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41540" w14:textId="77777777" w:rsidR="001A5518" w:rsidRPr="004E5B63" w:rsidRDefault="001A5518" w:rsidP="001A5518">
      <w:pPr>
        <w:rPr>
          <w:b/>
          <w:bCs/>
          <w:i/>
          <w:iCs/>
          <w:sz w:val="22"/>
          <w:szCs w:val="22"/>
          <w:u w:val="single"/>
          <w:lang w:val="sr-Latn-ME"/>
        </w:rPr>
      </w:pPr>
    </w:p>
    <w:p w14:paraId="6D301A41" w14:textId="77777777" w:rsidR="00F91C7B" w:rsidRPr="004E5B63" w:rsidRDefault="00F91C7B" w:rsidP="001A5518">
      <w:pPr>
        <w:rPr>
          <w:b/>
          <w:bCs/>
          <w:i/>
          <w:iCs/>
          <w:sz w:val="22"/>
          <w:szCs w:val="22"/>
          <w:u w:val="single"/>
          <w:lang w:val="sr-Latn-ME"/>
        </w:rPr>
      </w:pPr>
    </w:p>
    <w:p w14:paraId="696C1FEE" w14:textId="77777777" w:rsidR="002510A5" w:rsidRPr="004E5B63" w:rsidRDefault="002510A5" w:rsidP="002510A5">
      <w:pPr>
        <w:jc w:val="center"/>
        <w:rPr>
          <w:b/>
          <w:bCs/>
          <w:iCs/>
          <w:sz w:val="22"/>
          <w:szCs w:val="22"/>
          <w:u w:val="single"/>
          <w:lang w:val="sr-Latn-ME"/>
        </w:rPr>
      </w:pPr>
      <w:r w:rsidRPr="004E5B63">
        <w:rPr>
          <w:b/>
          <w:bCs/>
          <w:iCs/>
          <w:sz w:val="22"/>
          <w:szCs w:val="22"/>
          <w:u w:val="single"/>
          <w:lang w:val="sr-Latn-ME"/>
        </w:rPr>
        <w:t>SAŽETAK KARAKTERISTIKA LIJEKA</w:t>
      </w:r>
    </w:p>
    <w:p w14:paraId="7411D216" w14:textId="77777777" w:rsidR="002510A5" w:rsidRPr="004E5B63" w:rsidRDefault="002510A5" w:rsidP="002510A5">
      <w:pPr>
        <w:rPr>
          <w:b/>
          <w:bCs/>
          <w:i/>
          <w:iCs/>
          <w:sz w:val="22"/>
          <w:szCs w:val="22"/>
          <w:u w:val="single"/>
          <w:lang w:val="sr-Latn-ME"/>
        </w:rPr>
      </w:pPr>
    </w:p>
    <w:p w14:paraId="6AB59405" w14:textId="77777777" w:rsidR="00C37FD7" w:rsidRPr="004E5B63" w:rsidRDefault="00C37FD7" w:rsidP="00F5167F">
      <w:pPr>
        <w:tabs>
          <w:tab w:val="left" w:pos="540"/>
          <w:tab w:val="left" w:pos="569"/>
        </w:tabs>
        <w:rPr>
          <w:bCs/>
          <w:sz w:val="22"/>
          <w:szCs w:val="22"/>
          <w:lang w:val="sr-Latn-ME"/>
        </w:rPr>
      </w:pPr>
    </w:p>
    <w:p w14:paraId="52FC71BC" w14:textId="77777777" w:rsidR="00411B4B" w:rsidRPr="004E5B63" w:rsidRDefault="00411B4B" w:rsidP="00F5167F">
      <w:pPr>
        <w:tabs>
          <w:tab w:val="left" w:pos="540"/>
          <w:tab w:val="left" w:pos="569"/>
        </w:tabs>
        <w:rPr>
          <w:b/>
          <w:bCs/>
          <w:sz w:val="22"/>
          <w:szCs w:val="22"/>
          <w:lang w:val="sr-Latn-ME"/>
        </w:rPr>
      </w:pPr>
      <w:r w:rsidRPr="004E5B63">
        <w:rPr>
          <w:b/>
          <w:bCs/>
          <w:sz w:val="22"/>
          <w:szCs w:val="22"/>
          <w:lang w:val="sr-Latn-ME"/>
        </w:rPr>
        <w:t>1.</w:t>
      </w:r>
      <w:r w:rsidR="00F5167F" w:rsidRPr="004E5B63">
        <w:rPr>
          <w:b/>
          <w:bCs/>
          <w:sz w:val="22"/>
          <w:szCs w:val="22"/>
          <w:lang w:val="sr-Latn-ME"/>
        </w:rPr>
        <w:tab/>
      </w:r>
      <w:r w:rsidR="002846DB" w:rsidRPr="004E5B63">
        <w:rPr>
          <w:b/>
          <w:bCs/>
          <w:sz w:val="22"/>
          <w:szCs w:val="22"/>
          <w:lang w:val="sr-Latn-ME"/>
        </w:rPr>
        <w:t xml:space="preserve">NAZIV </w:t>
      </w:r>
      <w:r w:rsidRPr="004E5B63">
        <w:rPr>
          <w:b/>
          <w:bCs/>
          <w:sz w:val="22"/>
          <w:szCs w:val="22"/>
          <w:lang w:val="sr-Latn-ME"/>
        </w:rPr>
        <w:t>LIJEKA</w:t>
      </w:r>
    </w:p>
    <w:p w14:paraId="39A4250B" w14:textId="77777777" w:rsidR="00EC2532" w:rsidRPr="004E5B63" w:rsidRDefault="00EC2532">
      <w:pPr>
        <w:rPr>
          <w:sz w:val="22"/>
          <w:szCs w:val="22"/>
          <w:lang w:val="sr-Latn-ME"/>
        </w:rPr>
      </w:pPr>
    </w:p>
    <w:p w14:paraId="692DF87A" w14:textId="30F2B43F" w:rsidR="00107BF7" w:rsidRPr="004E5B63" w:rsidRDefault="00FF3CD0">
      <w:pPr>
        <w:rPr>
          <w:i/>
          <w:iCs/>
          <w:color w:val="808080"/>
          <w:sz w:val="22"/>
          <w:szCs w:val="22"/>
          <w:lang w:val="sr-Latn-ME"/>
        </w:rPr>
      </w:pPr>
      <w:r w:rsidRPr="004E5B63">
        <w:rPr>
          <w:sz w:val="22"/>
          <w:szCs w:val="22"/>
          <w:lang w:val="sr-Latn-ME"/>
        </w:rPr>
        <w:t>Sandostatin,</w:t>
      </w:r>
      <w:r w:rsidRPr="004E5B63">
        <w:rPr>
          <w:sz w:val="22"/>
          <w:szCs w:val="22"/>
          <w:vertAlign w:val="superscript"/>
          <w:lang w:val="sr-Latn-ME"/>
        </w:rPr>
        <w:t xml:space="preserve"> </w:t>
      </w:r>
      <w:r w:rsidRPr="004E5B63">
        <w:rPr>
          <w:sz w:val="22"/>
          <w:szCs w:val="22"/>
          <w:lang w:val="sr-Latn-ME"/>
        </w:rPr>
        <w:t>0,1 mg/ml, rastvor za injekciju/infuziju</w:t>
      </w:r>
    </w:p>
    <w:p w14:paraId="23A2463A" w14:textId="77777777" w:rsidR="000D425A" w:rsidRPr="004E5B63" w:rsidRDefault="000D425A">
      <w:pPr>
        <w:rPr>
          <w:bCs/>
          <w:sz w:val="22"/>
          <w:szCs w:val="22"/>
          <w:lang w:val="sr-Latn-ME"/>
        </w:rPr>
      </w:pPr>
    </w:p>
    <w:p w14:paraId="236CD3BF" w14:textId="77777777" w:rsidR="006D20A5" w:rsidRPr="004E5B63" w:rsidRDefault="006D20A5" w:rsidP="006D20A5">
      <w:pPr>
        <w:rPr>
          <w:sz w:val="22"/>
          <w:szCs w:val="22"/>
          <w:lang w:val="sr-Latn-ME"/>
        </w:rPr>
      </w:pPr>
      <w:r w:rsidRPr="004E5B63">
        <w:rPr>
          <w:sz w:val="22"/>
          <w:szCs w:val="22"/>
          <w:lang w:val="sr-Latn-ME"/>
        </w:rPr>
        <w:t>INN:</w:t>
      </w:r>
      <w:r w:rsidR="00FF3CD0" w:rsidRPr="004E5B63">
        <w:rPr>
          <w:sz w:val="22"/>
          <w:szCs w:val="22"/>
          <w:lang w:val="sr-Latn-ME"/>
        </w:rPr>
        <w:t xml:space="preserve"> oktreotid</w:t>
      </w:r>
    </w:p>
    <w:p w14:paraId="21041477" w14:textId="77777777" w:rsidR="006D20A5" w:rsidRPr="004E5B63" w:rsidRDefault="006D20A5">
      <w:pPr>
        <w:rPr>
          <w:bCs/>
          <w:sz w:val="22"/>
          <w:szCs w:val="22"/>
          <w:lang w:val="sr-Latn-ME"/>
        </w:rPr>
      </w:pPr>
    </w:p>
    <w:p w14:paraId="3491D70C" w14:textId="77777777" w:rsidR="00530BD7" w:rsidRPr="004E5B63" w:rsidRDefault="00530BD7">
      <w:pPr>
        <w:rPr>
          <w:bCs/>
          <w:sz w:val="22"/>
          <w:szCs w:val="22"/>
          <w:lang w:val="sr-Latn-ME"/>
        </w:rPr>
      </w:pPr>
    </w:p>
    <w:p w14:paraId="59F3BB94" w14:textId="77777777" w:rsidR="00411B4B" w:rsidRPr="004E5B63" w:rsidRDefault="00411B4B" w:rsidP="00F5167F">
      <w:pPr>
        <w:tabs>
          <w:tab w:val="left" w:pos="540"/>
          <w:tab w:val="left" w:pos="569"/>
        </w:tabs>
        <w:rPr>
          <w:b/>
          <w:bCs/>
          <w:sz w:val="22"/>
          <w:szCs w:val="22"/>
          <w:lang w:val="sr-Latn-ME"/>
        </w:rPr>
      </w:pPr>
      <w:r w:rsidRPr="004E5B63">
        <w:rPr>
          <w:b/>
          <w:bCs/>
          <w:sz w:val="22"/>
          <w:szCs w:val="22"/>
          <w:lang w:val="sr-Latn-ME"/>
        </w:rPr>
        <w:t xml:space="preserve">2. </w:t>
      </w:r>
      <w:r w:rsidR="00F5167F" w:rsidRPr="004E5B63">
        <w:rPr>
          <w:b/>
          <w:bCs/>
          <w:sz w:val="22"/>
          <w:szCs w:val="22"/>
          <w:lang w:val="sr-Latn-ME"/>
        </w:rPr>
        <w:tab/>
      </w:r>
      <w:r w:rsidRPr="004E5B63">
        <w:rPr>
          <w:b/>
          <w:bCs/>
          <w:sz w:val="22"/>
          <w:szCs w:val="22"/>
          <w:lang w:val="sr-Latn-ME"/>
        </w:rPr>
        <w:t>KVALITATIVNI I KVANTITATIVNI SASTAV</w:t>
      </w:r>
    </w:p>
    <w:p w14:paraId="766FFCE5" w14:textId="77777777" w:rsidR="005A0B2E" w:rsidRPr="004E5B63" w:rsidRDefault="005A0B2E">
      <w:pPr>
        <w:rPr>
          <w:sz w:val="22"/>
          <w:szCs w:val="22"/>
          <w:lang w:val="sr-Latn-ME"/>
        </w:rPr>
      </w:pPr>
    </w:p>
    <w:p w14:paraId="308D5A8A" w14:textId="261281EC" w:rsidR="00FF3CD0" w:rsidRPr="004E5B63" w:rsidRDefault="006B451E" w:rsidP="00FF3CD0">
      <w:pPr>
        <w:rPr>
          <w:noProof/>
          <w:sz w:val="22"/>
          <w:szCs w:val="22"/>
          <w:lang w:val="sr-Latn-ME"/>
        </w:rPr>
      </w:pPr>
      <w:r w:rsidRPr="004E5B63">
        <w:rPr>
          <w:noProof/>
          <w:sz w:val="22"/>
          <w:szCs w:val="22"/>
          <w:lang w:val="sr-Latn-ME"/>
        </w:rPr>
        <w:t>Jedna a</w:t>
      </w:r>
      <w:r w:rsidR="00FF3CD0" w:rsidRPr="004E5B63">
        <w:rPr>
          <w:noProof/>
          <w:sz w:val="22"/>
          <w:szCs w:val="22"/>
          <w:lang w:val="sr-Latn-ME"/>
        </w:rPr>
        <w:t>mpul</w:t>
      </w:r>
      <w:r w:rsidRPr="004E5B63">
        <w:rPr>
          <w:noProof/>
          <w:sz w:val="22"/>
          <w:szCs w:val="22"/>
          <w:lang w:val="sr-Latn-ME"/>
        </w:rPr>
        <w:t>a</w:t>
      </w:r>
      <w:r w:rsidR="00FF3CD0" w:rsidRPr="004E5B63">
        <w:rPr>
          <w:noProof/>
          <w:sz w:val="22"/>
          <w:szCs w:val="22"/>
          <w:lang w:val="sr-Latn-ME"/>
        </w:rPr>
        <w:t xml:space="preserve"> od 1 ml sadrž</w:t>
      </w:r>
      <w:r w:rsidRPr="004E5B63">
        <w:rPr>
          <w:noProof/>
          <w:sz w:val="22"/>
          <w:szCs w:val="22"/>
          <w:lang w:val="sr-Latn-ME"/>
        </w:rPr>
        <w:t>i</w:t>
      </w:r>
      <w:r w:rsidR="00FF3CD0" w:rsidRPr="004E5B63">
        <w:rPr>
          <w:noProof/>
          <w:sz w:val="22"/>
          <w:szCs w:val="22"/>
          <w:lang w:val="sr-Latn-ME"/>
        </w:rPr>
        <w:t xml:space="preserve"> 0,1</w:t>
      </w:r>
      <w:r w:rsidR="0063356B" w:rsidRPr="004E5B63">
        <w:rPr>
          <w:noProof/>
          <w:sz w:val="22"/>
          <w:szCs w:val="22"/>
          <w:lang w:val="sr-Latn-ME"/>
        </w:rPr>
        <w:t xml:space="preserve"> </w:t>
      </w:r>
      <w:r w:rsidR="00FF3CD0" w:rsidRPr="004E5B63">
        <w:rPr>
          <w:noProof/>
          <w:sz w:val="22"/>
          <w:szCs w:val="22"/>
          <w:lang w:val="sr-Latn-ME"/>
        </w:rPr>
        <w:t xml:space="preserve">mg oktreotida u obliku </w:t>
      </w:r>
      <w:r w:rsidR="00B91669" w:rsidRPr="004E5B63">
        <w:rPr>
          <w:noProof/>
          <w:sz w:val="22"/>
          <w:szCs w:val="22"/>
          <w:lang w:val="sr-Latn-ME"/>
        </w:rPr>
        <w:t>oktreotid acetata</w:t>
      </w:r>
      <w:r w:rsidR="00FF3CD0" w:rsidRPr="004E5B63">
        <w:rPr>
          <w:noProof/>
          <w:sz w:val="22"/>
          <w:szCs w:val="22"/>
          <w:lang w:val="sr-Latn-ME"/>
        </w:rPr>
        <w:t>.</w:t>
      </w:r>
    </w:p>
    <w:p w14:paraId="480B2CEA" w14:textId="77777777" w:rsidR="00576793" w:rsidRPr="004E5B63" w:rsidRDefault="00576793" w:rsidP="00FF3CD0">
      <w:pPr>
        <w:rPr>
          <w:noProof/>
          <w:sz w:val="22"/>
          <w:szCs w:val="22"/>
          <w:lang w:val="sr-Latn-ME"/>
        </w:rPr>
      </w:pPr>
    </w:p>
    <w:p w14:paraId="7C9DAB0B" w14:textId="77777777" w:rsidR="0003793F" w:rsidRPr="004E5B63" w:rsidRDefault="0003793F">
      <w:pPr>
        <w:rPr>
          <w:sz w:val="22"/>
          <w:szCs w:val="22"/>
          <w:lang w:val="sr-Latn-ME"/>
        </w:rPr>
      </w:pPr>
      <w:r w:rsidRPr="004E5B63">
        <w:rPr>
          <w:sz w:val="22"/>
          <w:szCs w:val="22"/>
          <w:lang w:val="sr-Latn-ME"/>
        </w:rPr>
        <w:t>Za spisak svih ekscipijenasa, pogledati dio 6.1.</w:t>
      </w:r>
    </w:p>
    <w:p w14:paraId="47B7C918" w14:textId="77777777" w:rsidR="0003793F" w:rsidRPr="004E5B63" w:rsidRDefault="0003793F">
      <w:pPr>
        <w:rPr>
          <w:sz w:val="22"/>
          <w:szCs w:val="22"/>
          <w:lang w:val="sr-Latn-ME"/>
        </w:rPr>
      </w:pPr>
    </w:p>
    <w:p w14:paraId="70AA808C" w14:textId="77777777" w:rsidR="00C37FD7" w:rsidRPr="004E5B63" w:rsidRDefault="00C37FD7">
      <w:pPr>
        <w:rPr>
          <w:sz w:val="22"/>
          <w:szCs w:val="22"/>
          <w:lang w:val="sr-Latn-ME"/>
        </w:rPr>
      </w:pPr>
    </w:p>
    <w:p w14:paraId="58126B1A" w14:textId="77777777" w:rsidR="00411B4B" w:rsidRPr="004E5B63" w:rsidRDefault="00411B4B" w:rsidP="00F5167F">
      <w:pPr>
        <w:tabs>
          <w:tab w:val="left" w:pos="540"/>
          <w:tab w:val="left" w:pos="569"/>
        </w:tabs>
        <w:rPr>
          <w:b/>
          <w:bCs/>
          <w:sz w:val="22"/>
          <w:szCs w:val="22"/>
          <w:lang w:val="sr-Latn-ME"/>
        </w:rPr>
      </w:pPr>
      <w:r w:rsidRPr="004E5B63">
        <w:rPr>
          <w:b/>
          <w:bCs/>
          <w:sz w:val="22"/>
          <w:szCs w:val="22"/>
          <w:lang w:val="sr-Latn-ME"/>
        </w:rPr>
        <w:t xml:space="preserve">3. </w:t>
      </w:r>
      <w:r w:rsidR="00F5167F" w:rsidRPr="004E5B63">
        <w:rPr>
          <w:b/>
          <w:bCs/>
          <w:sz w:val="22"/>
          <w:szCs w:val="22"/>
          <w:lang w:val="sr-Latn-ME"/>
        </w:rPr>
        <w:tab/>
      </w:r>
      <w:r w:rsidRPr="004E5B63">
        <w:rPr>
          <w:b/>
          <w:bCs/>
          <w:sz w:val="22"/>
          <w:szCs w:val="22"/>
          <w:lang w:val="sr-Latn-ME"/>
        </w:rPr>
        <w:t>FARMACEUTSKI OBLIK</w:t>
      </w:r>
      <w:r w:rsidR="009F2D23" w:rsidRPr="004E5B63">
        <w:rPr>
          <w:b/>
          <w:bCs/>
          <w:sz w:val="22"/>
          <w:szCs w:val="22"/>
          <w:lang w:val="sr-Latn-ME"/>
        </w:rPr>
        <w:t xml:space="preserve"> </w:t>
      </w:r>
    </w:p>
    <w:p w14:paraId="55A3A22E" w14:textId="77777777" w:rsidR="00FF3CD0" w:rsidRPr="004E5B63" w:rsidRDefault="00FF3CD0" w:rsidP="00FF3CD0">
      <w:pPr>
        <w:pStyle w:val="BodyText"/>
        <w:rPr>
          <w:sz w:val="22"/>
          <w:szCs w:val="22"/>
          <w:lang w:val="sr-Latn-ME"/>
        </w:rPr>
      </w:pPr>
    </w:p>
    <w:p w14:paraId="0191A178" w14:textId="6FD41847" w:rsidR="00FF3CD0" w:rsidRPr="004E5B63" w:rsidRDefault="00FF3CD0" w:rsidP="00FF3CD0">
      <w:pPr>
        <w:pStyle w:val="BodyText"/>
        <w:rPr>
          <w:sz w:val="22"/>
          <w:szCs w:val="22"/>
          <w:lang w:val="sr-Latn-ME"/>
        </w:rPr>
      </w:pPr>
      <w:r w:rsidRPr="004E5B63">
        <w:rPr>
          <w:sz w:val="22"/>
          <w:szCs w:val="22"/>
          <w:lang w:val="sr-Latn-ME"/>
        </w:rPr>
        <w:t>Rastvor za injekciju/infuziju.</w:t>
      </w:r>
    </w:p>
    <w:p w14:paraId="4A461310" w14:textId="77777777" w:rsidR="003F1A0C" w:rsidRPr="004E5B63" w:rsidRDefault="003F1A0C" w:rsidP="00FF3CD0">
      <w:pPr>
        <w:pStyle w:val="BodyText"/>
        <w:rPr>
          <w:sz w:val="22"/>
          <w:szCs w:val="22"/>
          <w:lang w:val="sr-Latn-ME"/>
        </w:rPr>
      </w:pPr>
    </w:p>
    <w:p w14:paraId="4AEC3B81" w14:textId="5A1A9EAC" w:rsidR="00FF3CD0" w:rsidRPr="004E5B63" w:rsidRDefault="00FF3CD0" w:rsidP="00FF3CD0">
      <w:pPr>
        <w:pStyle w:val="BodyText"/>
        <w:rPr>
          <w:sz w:val="22"/>
          <w:szCs w:val="22"/>
          <w:lang w:val="sr-Latn-ME"/>
        </w:rPr>
      </w:pPr>
      <w:r w:rsidRPr="004E5B63">
        <w:rPr>
          <w:sz w:val="22"/>
          <w:szCs w:val="22"/>
          <w:lang w:val="sr-Latn-ME"/>
        </w:rPr>
        <w:t>Bistar, bezbojan rastvor.</w:t>
      </w:r>
    </w:p>
    <w:p w14:paraId="63B3A592" w14:textId="60F990ED" w:rsidR="00EC2532" w:rsidRPr="004E5B63" w:rsidRDefault="00EC2532">
      <w:pPr>
        <w:rPr>
          <w:bCs/>
          <w:sz w:val="22"/>
          <w:szCs w:val="22"/>
          <w:lang w:val="sr-Latn-ME"/>
        </w:rPr>
      </w:pPr>
    </w:p>
    <w:p w14:paraId="6139B5BA" w14:textId="77777777" w:rsidR="009E566B" w:rsidRPr="004E5B63" w:rsidRDefault="009E566B">
      <w:pPr>
        <w:rPr>
          <w:bCs/>
          <w:sz w:val="22"/>
          <w:szCs w:val="22"/>
          <w:lang w:val="sr-Latn-ME"/>
        </w:rPr>
      </w:pPr>
    </w:p>
    <w:p w14:paraId="7DE3B1F2" w14:textId="77777777" w:rsidR="00411B4B" w:rsidRPr="004E5B63" w:rsidRDefault="00411B4B" w:rsidP="00F5167F">
      <w:pPr>
        <w:tabs>
          <w:tab w:val="left" w:pos="540"/>
          <w:tab w:val="left" w:pos="569"/>
        </w:tabs>
        <w:rPr>
          <w:b/>
          <w:bCs/>
          <w:sz w:val="22"/>
          <w:szCs w:val="22"/>
          <w:lang w:val="sr-Latn-ME"/>
        </w:rPr>
      </w:pPr>
      <w:r w:rsidRPr="004E5B63">
        <w:rPr>
          <w:b/>
          <w:bCs/>
          <w:sz w:val="22"/>
          <w:szCs w:val="22"/>
          <w:lang w:val="sr-Latn-ME"/>
        </w:rPr>
        <w:t xml:space="preserve">4. </w:t>
      </w:r>
      <w:r w:rsidR="00480FB1" w:rsidRPr="004E5B63">
        <w:rPr>
          <w:b/>
          <w:bCs/>
          <w:sz w:val="22"/>
          <w:szCs w:val="22"/>
          <w:lang w:val="sr-Latn-ME"/>
        </w:rPr>
        <w:tab/>
      </w:r>
      <w:r w:rsidRPr="004E5B63">
        <w:rPr>
          <w:b/>
          <w:bCs/>
          <w:sz w:val="22"/>
          <w:szCs w:val="22"/>
          <w:lang w:val="sr-Latn-ME"/>
        </w:rPr>
        <w:t>KLINIČKI PODACI</w:t>
      </w:r>
    </w:p>
    <w:p w14:paraId="232E7DF0" w14:textId="77777777" w:rsidR="00CD6F02" w:rsidRPr="004E5B63" w:rsidRDefault="00CD6F02" w:rsidP="00480FB1">
      <w:pPr>
        <w:tabs>
          <w:tab w:val="left" w:pos="540"/>
          <w:tab w:val="left" w:pos="569"/>
        </w:tabs>
        <w:rPr>
          <w:bCs/>
          <w:sz w:val="22"/>
          <w:szCs w:val="22"/>
          <w:lang w:val="sr-Latn-ME"/>
        </w:rPr>
      </w:pPr>
    </w:p>
    <w:p w14:paraId="49A21EC1" w14:textId="77777777" w:rsidR="00411B4B" w:rsidRPr="004E5B63" w:rsidRDefault="00411B4B" w:rsidP="00480FB1">
      <w:pPr>
        <w:tabs>
          <w:tab w:val="left" w:pos="540"/>
          <w:tab w:val="left" w:pos="569"/>
        </w:tabs>
        <w:rPr>
          <w:b/>
          <w:bCs/>
          <w:sz w:val="22"/>
          <w:szCs w:val="22"/>
          <w:lang w:val="sr-Latn-ME"/>
        </w:rPr>
      </w:pPr>
      <w:r w:rsidRPr="004E5B63">
        <w:rPr>
          <w:b/>
          <w:bCs/>
          <w:sz w:val="22"/>
          <w:szCs w:val="22"/>
          <w:lang w:val="sr-Latn-ME"/>
        </w:rPr>
        <w:t xml:space="preserve">4.1. </w:t>
      </w:r>
      <w:r w:rsidR="00480FB1" w:rsidRPr="004E5B63">
        <w:rPr>
          <w:b/>
          <w:bCs/>
          <w:sz w:val="22"/>
          <w:szCs w:val="22"/>
          <w:lang w:val="sr-Latn-ME"/>
        </w:rPr>
        <w:tab/>
      </w:r>
      <w:r w:rsidRPr="004E5B63">
        <w:rPr>
          <w:b/>
          <w:bCs/>
          <w:sz w:val="22"/>
          <w:szCs w:val="22"/>
          <w:lang w:val="sr-Latn-ME"/>
        </w:rPr>
        <w:t>Terapijske indikacije</w:t>
      </w:r>
    </w:p>
    <w:p w14:paraId="6B829F49" w14:textId="77777777" w:rsidR="00FF3CD0" w:rsidRPr="004E5B63" w:rsidRDefault="00FF3CD0" w:rsidP="00FF3CD0">
      <w:pPr>
        <w:pStyle w:val="Compound"/>
        <w:spacing w:before="0"/>
        <w:jc w:val="both"/>
        <w:rPr>
          <w:rFonts w:ascii="Times New Roman" w:hAnsi="Times New Roman"/>
          <w:noProof/>
          <w:sz w:val="22"/>
          <w:szCs w:val="22"/>
          <w:lang w:val="sr-Latn-ME"/>
        </w:rPr>
      </w:pPr>
    </w:p>
    <w:p w14:paraId="0D25B72C" w14:textId="77777777" w:rsidR="00FF3CD0" w:rsidRPr="004E5B63" w:rsidRDefault="00FF3CD0" w:rsidP="00FF3CD0">
      <w:pPr>
        <w:pStyle w:val="Compound"/>
        <w:spacing w:before="0"/>
        <w:jc w:val="both"/>
        <w:rPr>
          <w:rFonts w:ascii="Times New Roman" w:hAnsi="Times New Roman"/>
          <w:noProof/>
          <w:sz w:val="22"/>
          <w:szCs w:val="22"/>
          <w:lang w:val="sr-Latn-ME"/>
        </w:rPr>
      </w:pPr>
      <w:r w:rsidRPr="004E5B63">
        <w:rPr>
          <w:rFonts w:ascii="Times New Roman" w:hAnsi="Times New Roman"/>
          <w:noProof/>
          <w:sz w:val="22"/>
          <w:szCs w:val="22"/>
          <w:lang w:val="sr-Latn-ME"/>
        </w:rPr>
        <w:t>Kontrola simptoma i smanjenje nivoa hormona rasta (GH) i IGF-1 u plazmi kod pacijenata sa akromegalijom</w:t>
      </w:r>
      <w:r w:rsidRPr="004E5B63">
        <w:rPr>
          <w:rFonts w:ascii="Times New Roman" w:hAnsi="Times New Roman"/>
          <w:b/>
          <w:noProof/>
          <w:sz w:val="22"/>
          <w:szCs w:val="22"/>
          <w:lang w:val="sr-Latn-ME"/>
        </w:rPr>
        <w:t xml:space="preserve"> </w:t>
      </w:r>
      <w:r w:rsidRPr="004E5B63">
        <w:rPr>
          <w:rFonts w:ascii="Times New Roman" w:hAnsi="Times New Roman"/>
          <w:noProof/>
          <w:sz w:val="22"/>
          <w:szCs w:val="22"/>
          <w:lang w:val="sr-Latn-ME"/>
        </w:rPr>
        <w:t>koji su neadekvatno kontrolisani hirurškim zahvatom ili radioterapijom. Terapija lijekom Sandostatin je indikovana i kod pacijenata sa akromegalijom koji nisu pogodni za hiruršku intervenciju ili ne žele da se podvrgnu hirurškoj intervenciji, ili u periodu dok radioterapija ne počne u potpunosti da djeluje.</w:t>
      </w:r>
    </w:p>
    <w:p w14:paraId="7AF0CC00" w14:textId="77777777" w:rsidR="00FF3CD0" w:rsidRPr="004E5B63" w:rsidRDefault="00FF3CD0" w:rsidP="00FF3CD0">
      <w:pPr>
        <w:pStyle w:val="Compound"/>
        <w:spacing w:before="0"/>
        <w:jc w:val="both"/>
        <w:rPr>
          <w:rFonts w:ascii="Times New Roman" w:hAnsi="Times New Roman"/>
          <w:noProof/>
          <w:sz w:val="22"/>
          <w:szCs w:val="22"/>
          <w:lang w:val="sr-Latn-ME"/>
        </w:rPr>
      </w:pPr>
    </w:p>
    <w:p w14:paraId="02CF24F9" w14:textId="77777777" w:rsidR="00FF3CD0" w:rsidRPr="004E5B63" w:rsidRDefault="00FF3CD0" w:rsidP="00FF3CD0">
      <w:pPr>
        <w:keepNext/>
        <w:ind w:left="72" w:hanging="72"/>
        <w:outlineLvl w:val="2"/>
        <w:rPr>
          <w:noProof/>
          <w:sz w:val="22"/>
          <w:szCs w:val="22"/>
          <w:lang w:val="sr-Latn-ME"/>
        </w:rPr>
      </w:pPr>
      <w:r w:rsidRPr="004E5B63">
        <w:rPr>
          <w:noProof/>
          <w:sz w:val="22"/>
          <w:szCs w:val="22"/>
          <w:lang w:val="sr-Latn-ME"/>
        </w:rPr>
        <w:t>Ublažavanje simptoma udruženih sa funkcionalnim gastro-entero-pankreasnim endokrinim tumorima (GEP), npr. karcinoidnim tumorima koji ispoljavaju simptome karcinoidnog sindroma (vidjeti odjeljak 5.1).</w:t>
      </w:r>
    </w:p>
    <w:p w14:paraId="5FCA196E" w14:textId="77777777" w:rsidR="00FF3CD0" w:rsidRPr="004E5B63" w:rsidRDefault="00FF3CD0" w:rsidP="00FF3CD0">
      <w:pPr>
        <w:keepNext/>
        <w:outlineLvl w:val="2"/>
        <w:rPr>
          <w:noProof/>
          <w:sz w:val="22"/>
          <w:szCs w:val="22"/>
          <w:lang w:val="sr-Latn-ME"/>
        </w:rPr>
      </w:pPr>
    </w:p>
    <w:p w14:paraId="673E7AE9" w14:textId="77777777" w:rsidR="00FF3CD0" w:rsidRPr="004E5B63" w:rsidRDefault="00FF3CD0" w:rsidP="00FF3CD0">
      <w:pPr>
        <w:pStyle w:val="Compound"/>
        <w:spacing w:before="0"/>
        <w:jc w:val="both"/>
        <w:rPr>
          <w:rFonts w:ascii="Times New Roman" w:hAnsi="Times New Roman"/>
          <w:noProof/>
          <w:sz w:val="22"/>
          <w:szCs w:val="22"/>
          <w:u w:val="single"/>
          <w:lang w:val="sr-Latn-ME"/>
        </w:rPr>
      </w:pPr>
      <w:r w:rsidRPr="004E5B63">
        <w:rPr>
          <w:rFonts w:ascii="Times New Roman" w:hAnsi="Times New Roman"/>
          <w:noProof/>
          <w:sz w:val="22"/>
          <w:szCs w:val="22"/>
          <w:lang w:val="sr-Latn-ME"/>
        </w:rPr>
        <w:t>Sandostatin  ne predstavlja antitumorsku terapiju i ne dovodi do izliječenja kod ovih pacijenata.</w:t>
      </w:r>
    </w:p>
    <w:p w14:paraId="62FE2757" w14:textId="77777777" w:rsidR="00FF3CD0" w:rsidRPr="004E5B63" w:rsidRDefault="00FF3CD0" w:rsidP="00FF3CD0">
      <w:pPr>
        <w:rPr>
          <w:b/>
          <w:noProof/>
          <w:sz w:val="22"/>
          <w:szCs w:val="22"/>
          <w:lang w:val="sr-Latn-ME"/>
        </w:rPr>
      </w:pPr>
    </w:p>
    <w:p w14:paraId="4B38279F" w14:textId="77777777" w:rsidR="00FF3CD0" w:rsidRPr="004E5B63" w:rsidRDefault="00FF3CD0" w:rsidP="00FF3CD0">
      <w:pPr>
        <w:rPr>
          <w:b/>
          <w:noProof/>
          <w:sz w:val="22"/>
          <w:szCs w:val="22"/>
          <w:lang w:val="sr-Latn-ME"/>
        </w:rPr>
      </w:pPr>
      <w:r w:rsidRPr="004E5B63">
        <w:rPr>
          <w:noProof/>
          <w:sz w:val="22"/>
          <w:szCs w:val="22"/>
          <w:lang w:val="sr-Latn-ME"/>
        </w:rPr>
        <w:t>Prevencija komplikacija nakon operacije pankreasa.</w:t>
      </w:r>
    </w:p>
    <w:p w14:paraId="4454D1A2" w14:textId="77777777" w:rsidR="00FF3CD0" w:rsidRPr="004E5B63" w:rsidRDefault="00FF3CD0" w:rsidP="00FF3CD0">
      <w:pPr>
        <w:rPr>
          <w:noProof/>
          <w:sz w:val="22"/>
          <w:szCs w:val="22"/>
          <w:lang w:val="sr-Latn-ME"/>
        </w:rPr>
      </w:pPr>
    </w:p>
    <w:p w14:paraId="04FB09A6" w14:textId="77777777" w:rsidR="00FF3CD0" w:rsidRPr="004E5B63" w:rsidRDefault="00FF3CD0" w:rsidP="00FF3CD0">
      <w:pPr>
        <w:rPr>
          <w:noProof/>
          <w:sz w:val="22"/>
          <w:szCs w:val="22"/>
          <w:lang w:val="sr-Latn-ME"/>
        </w:rPr>
      </w:pPr>
      <w:r w:rsidRPr="004E5B63">
        <w:rPr>
          <w:noProof/>
          <w:sz w:val="22"/>
          <w:szCs w:val="22"/>
          <w:lang w:val="sr-Latn-ME"/>
        </w:rPr>
        <w:t>Hitno liječenje za zaustavljanje krvarenja i sprječavanje ponovnog krvarenja usljed gastro-ezofagusnih variksa kod pacijenata sa cirozom.</w:t>
      </w:r>
      <w:r w:rsidRPr="004E5B63">
        <w:rPr>
          <w:b/>
          <w:noProof/>
          <w:sz w:val="22"/>
          <w:szCs w:val="22"/>
          <w:lang w:val="sr-Latn-ME"/>
        </w:rPr>
        <w:t xml:space="preserve"> </w:t>
      </w:r>
      <w:r w:rsidRPr="004E5B63">
        <w:rPr>
          <w:noProof/>
          <w:sz w:val="22"/>
          <w:szCs w:val="22"/>
          <w:lang w:val="sr-Latn-ME"/>
        </w:rPr>
        <w:t>Sandostatin treba koristiti zajedno sa specifičnom terapijom poput endoskopske skleroterapije.</w:t>
      </w:r>
    </w:p>
    <w:p w14:paraId="2DADD7F5" w14:textId="77777777" w:rsidR="00FF3CD0" w:rsidRPr="004E5B63" w:rsidRDefault="00FF3CD0" w:rsidP="00FF3CD0">
      <w:pPr>
        <w:rPr>
          <w:noProof/>
          <w:sz w:val="22"/>
          <w:szCs w:val="22"/>
          <w:lang w:val="sr-Latn-ME"/>
        </w:rPr>
      </w:pPr>
    </w:p>
    <w:p w14:paraId="0142A3C1" w14:textId="77777777" w:rsidR="00FF3CD0" w:rsidRPr="004E5B63" w:rsidRDefault="00FF3CD0" w:rsidP="00FF3CD0">
      <w:pPr>
        <w:rPr>
          <w:noProof/>
          <w:sz w:val="22"/>
          <w:szCs w:val="22"/>
          <w:lang w:val="sr-Latn-ME"/>
        </w:rPr>
      </w:pPr>
      <w:r w:rsidRPr="004E5B63">
        <w:rPr>
          <w:noProof/>
          <w:sz w:val="22"/>
          <w:szCs w:val="22"/>
          <w:lang w:val="sr-Latn-ME"/>
        </w:rPr>
        <w:t>Terapija TSH- sekretujućih pituitarnih adenoma:</w:t>
      </w:r>
    </w:p>
    <w:p w14:paraId="7490DD1B" w14:textId="77777777" w:rsidR="00FF3CD0" w:rsidRPr="004E5B63" w:rsidRDefault="00FF3CD0" w:rsidP="00FF3CD0">
      <w:pPr>
        <w:numPr>
          <w:ilvl w:val="0"/>
          <w:numId w:val="12"/>
        </w:numPr>
        <w:tabs>
          <w:tab w:val="left" w:pos="284"/>
        </w:tabs>
        <w:jc w:val="both"/>
        <w:rPr>
          <w:noProof/>
          <w:sz w:val="22"/>
          <w:szCs w:val="22"/>
          <w:lang w:val="sr-Latn-ME"/>
        </w:rPr>
      </w:pPr>
      <w:r w:rsidRPr="004E5B63">
        <w:rPr>
          <w:noProof/>
          <w:sz w:val="22"/>
          <w:szCs w:val="22"/>
          <w:lang w:val="sr-Latn-ME"/>
        </w:rPr>
        <w:t>kada sekrecija nije normalizovana operacijom i/ili radioterapijom</w:t>
      </w:r>
    </w:p>
    <w:p w14:paraId="747F4546" w14:textId="77777777" w:rsidR="00FF3CD0" w:rsidRPr="004E5B63" w:rsidRDefault="00FF3CD0" w:rsidP="00FF3CD0">
      <w:pPr>
        <w:numPr>
          <w:ilvl w:val="0"/>
          <w:numId w:val="12"/>
        </w:numPr>
        <w:tabs>
          <w:tab w:val="left" w:pos="284"/>
        </w:tabs>
        <w:jc w:val="both"/>
        <w:rPr>
          <w:noProof/>
          <w:sz w:val="22"/>
          <w:szCs w:val="22"/>
          <w:lang w:val="sr-Latn-ME"/>
        </w:rPr>
      </w:pPr>
      <w:r w:rsidRPr="004E5B63">
        <w:rPr>
          <w:noProof/>
          <w:sz w:val="22"/>
          <w:szCs w:val="22"/>
          <w:lang w:val="sr-Latn-ME"/>
        </w:rPr>
        <w:t>kod pacijenata kod kojih operacija nije adekvatan način liječenja</w:t>
      </w:r>
    </w:p>
    <w:p w14:paraId="51918C89" w14:textId="77777777" w:rsidR="00FF3CD0" w:rsidRPr="004E5B63" w:rsidRDefault="00FF3CD0" w:rsidP="00FF3CD0">
      <w:pPr>
        <w:pStyle w:val="Header"/>
        <w:numPr>
          <w:ilvl w:val="0"/>
          <w:numId w:val="12"/>
        </w:numPr>
        <w:tabs>
          <w:tab w:val="clear" w:pos="4320"/>
          <w:tab w:val="clear" w:pos="8640"/>
          <w:tab w:val="left" w:pos="284"/>
        </w:tabs>
        <w:jc w:val="both"/>
        <w:rPr>
          <w:sz w:val="22"/>
          <w:szCs w:val="22"/>
          <w:lang w:val="sr-Latn-ME"/>
        </w:rPr>
      </w:pPr>
      <w:r w:rsidRPr="004E5B63">
        <w:rPr>
          <w:noProof/>
          <w:sz w:val="22"/>
          <w:szCs w:val="22"/>
          <w:lang w:val="sr-Latn-ME"/>
        </w:rPr>
        <w:t>kod pacijenata koji su na zračenju, do postizanja punog efekta radioterapije</w:t>
      </w:r>
    </w:p>
    <w:p w14:paraId="57C93238" w14:textId="77777777" w:rsidR="00411B4B" w:rsidRPr="004E5B63" w:rsidRDefault="00411B4B" w:rsidP="00480FB1">
      <w:pPr>
        <w:tabs>
          <w:tab w:val="left" w:pos="540"/>
          <w:tab w:val="left" w:pos="569"/>
        </w:tabs>
        <w:rPr>
          <w:bCs/>
          <w:sz w:val="22"/>
          <w:szCs w:val="22"/>
          <w:lang w:val="sr-Latn-ME"/>
        </w:rPr>
      </w:pPr>
    </w:p>
    <w:p w14:paraId="5C986F00" w14:textId="77777777" w:rsidR="00411B4B" w:rsidRPr="004E5B63" w:rsidRDefault="00411B4B" w:rsidP="00480FB1">
      <w:pPr>
        <w:tabs>
          <w:tab w:val="left" w:pos="540"/>
          <w:tab w:val="left" w:pos="569"/>
        </w:tabs>
        <w:rPr>
          <w:b/>
          <w:bCs/>
          <w:sz w:val="22"/>
          <w:szCs w:val="22"/>
          <w:lang w:val="sr-Latn-ME"/>
        </w:rPr>
      </w:pPr>
      <w:r w:rsidRPr="004E5B63">
        <w:rPr>
          <w:b/>
          <w:bCs/>
          <w:sz w:val="22"/>
          <w:szCs w:val="22"/>
          <w:lang w:val="sr-Latn-ME"/>
        </w:rPr>
        <w:t xml:space="preserve">4.2. </w:t>
      </w:r>
      <w:r w:rsidR="00480FB1" w:rsidRPr="004E5B63">
        <w:rPr>
          <w:b/>
          <w:bCs/>
          <w:sz w:val="22"/>
          <w:szCs w:val="22"/>
          <w:lang w:val="sr-Latn-ME"/>
        </w:rPr>
        <w:tab/>
      </w:r>
      <w:r w:rsidRPr="004E5B63">
        <w:rPr>
          <w:b/>
          <w:bCs/>
          <w:sz w:val="22"/>
          <w:szCs w:val="22"/>
          <w:lang w:val="sr-Latn-ME"/>
        </w:rPr>
        <w:t>Doziranje i način primjene</w:t>
      </w:r>
    </w:p>
    <w:p w14:paraId="5EE738FA" w14:textId="77777777" w:rsidR="0072020E" w:rsidRPr="004E5B63" w:rsidRDefault="0072020E" w:rsidP="00480FB1">
      <w:pPr>
        <w:tabs>
          <w:tab w:val="left" w:pos="540"/>
          <w:tab w:val="left" w:pos="569"/>
        </w:tabs>
        <w:rPr>
          <w:bCs/>
          <w:sz w:val="22"/>
          <w:szCs w:val="22"/>
          <w:lang w:val="sr-Latn-ME"/>
        </w:rPr>
      </w:pPr>
    </w:p>
    <w:p w14:paraId="6781B0D3" w14:textId="77777777" w:rsidR="00452E9D" w:rsidRPr="004E5B63" w:rsidRDefault="00452E9D" w:rsidP="00480FB1">
      <w:pPr>
        <w:tabs>
          <w:tab w:val="left" w:pos="540"/>
          <w:tab w:val="left" w:pos="569"/>
        </w:tabs>
        <w:rPr>
          <w:bCs/>
          <w:sz w:val="22"/>
          <w:szCs w:val="22"/>
          <w:u w:val="single"/>
          <w:lang w:val="sr-Latn-ME"/>
        </w:rPr>
      </w:pPr>
      <w:r w:rsidRPr="004E5B63">
        <w:rPr>
          <w:bCs/>
          <w:sz w:val="22"/>
          <w:szCs w:val="22"/>
          <w:u w:val="single"/>
          <w:lang w:val="sr-Latn-ME"/>
        </w:rPr>
        <w:t>Doziranje</w:t>
      </w:r>
    </w:p>
    <w:p w14:paraId="75697EF8" w14:textId="77777777" w:rsidR="00FF3CD0" w:rsidRPr="004E5B63" w:rsidRDefault="00FF3CD0" w:rsidP="00FF3CD0">
      <w:pPr>
        <w:pStyle w:val="Heading3"/>
        <w:jc w:val="both"/>
        <w:rPr>
          <w:rFonts w:ascii="Times New Roman" w:hAnsi="Times New Roman" w:cs="Times New Roman"/>
          <w:b/>
          <w:i/>
          <w:color w:val="auto"/>
          <w:sz w:val="22"/>
          <w:szCs w:val="22"/>
          <w:lang w:val="sr-Latn-ME"/>
        </w:rPr>
      </w:pPr>
      <w:r w:rsidRPr="004E5B63">
        <w:rPr>
          <w:rFonts w:ascii="Times New Roman" w:hAnsi="Times New Roman" w:cs="Times New Roman"/>
          <w:b/>
          <w:i/>
          <w:color w:val="auto"/>
          <w:sz w:val="22"/>
          <w:szCs w:val="22"/>
          <w:lang w:val="sr-Latn-ME"/>
        </w:rPr>
        <w:lastRenderedPageBreak/>
        <w:t>Akromegalija</w:t>
      </w:r>
    </w:p>
    <w:p w14:paraId="6B38D4A5" w14:textId="77777777" w:rsidR="00FF3CD0" w:rsidRPr="004E5B63" w:rsidRDefault="00FF3CD0" w:rsidP="00FF3CD0">
      <w:pPr>
        <w:rPr>
          <w:noProof/>
          <w:sz w:val="22"/>
          <w:szCs w:val="22"/>
          <w:lang w:val="sr-Latn-ME"/>
        </w:rPr>
      </w:pPr>
      <w:r w:rsidRPr="004E5B63">
        <w:rPr>
          <w:noProof/>
          <w:sz w:val="22"/>
          <w:szCs w:val="22"/>
          <w:lang w:val="sr-Latn-ME"/>
        </w:rPr>
        <w:t>U početku 0,05-0,1 mg s.c. injekcijom na svakih 8 ili12 sati. Korekcija doze treba da se zasniva na provjerama nivoa GH i IGF-1 svakog mjeseca (željeni nivo: GH &lt; 2,5 ng/ml; IGF-1 u normalnim granicama) i kliničkim simptomima, kao i na podnošljivosti. Optimalna dnevna doza kod većine pacijenata biće 0,3 mg. Ne treba prekoračivati maksimalnu dozu od 1,5 mg na dan. Kod pacijenata na stabilnim dozama lijeka Sandostatin, provjera vrijednosti GH i IGF-1 se vrši svakih 6 mjeseci.</w:t>
      </w:r>
    </w:p>
    <w:p w14:paraId="7E42B526" w14:textId="77777777" w:rsidR="00FF3CD0" w:rsidRPr="004E5B63" w:rsidRDefault="00FF3CD0" w:rsidP="00FF3CD0">
      <w:pPr>
        <w:rPr>
          <w:noProof/>
          <w:sz w:val="22"/>
          <w:szCs w:val="22"/>
          <w:lang w:val="sr-Latn-ME"/>
        </w:rPr>
      </w:pPr>
    </w:p>
    <w:p w14:paraId="602C72B5" w14:textId="77777777" w:rsidR="00FF3CD0" w:rsidRPr="004E5B63" w:rsidRDefault="00FF3CD0" w:rsidP="00FF3CD0">
      <w:pPr>
        <w:rPr>
          <w:noProof/>
          <w:sz w:val="22"/>
          <w:szCs w:val="22"/>
          <w:lang w:val="sr-Latn-ME"/>
        </w:rPr>
      </w:pPr>
      <w:r w:rsidRPr="004E5B63">
        <w:rPr>
          <w:noProof/>
          <w:sz w:val="22"/>
          <w:szCs w:val="22"/>
          <w:lang w:val="sr-Latn-ME"/>
        </w:rPr>
        <w:t>Ukoliko se za 3 mjeseca od započinjanja liječenja lijekom Sandostatin ne postigne značajno smanjenje nivoa GH niti poboljšanje kliničkih simptoma, treba prekinuti terapiju.</w:t>
      </w:r>
    </w:p>
    <w:p w14:paraId="243965FE" w14:textId="77777777" w:rsidR="00FF3CD0" w:rsidRPr="004E5B63" w:rsidRDefault="00FF3CD0" w:rsidP="00FF3CD0">
      <w:pPr>
        <w:rPr>
          <w:noProof/>
          <w:sz w:val="22"/>
          <w:szCs w:val="22"/>
          <w:lang w:val="sr-Latn-ME"/>
        </w:rPr>
      </w:pPr>
    </w:p>
    <w:p w14:paraId="490A8BC0" w14:textId="77777777" w:rsidR="00FF3CD0" w:rsidRPr="004E5B63" w:rsidRDefault="00FF3CD0" w:rsidP="00FF3CD0">
      <w:pPr>
        <w:pStyle w:val="Heading3"/>
        <w:jc w:val="both"/>
        <w:rPr>
          <w:rFonts w:ascii="Times New Roman" w:hAnsi="Times New Roman" w:cs="Times New Roman"/>
          <w:b/>
          <w:i/>
          <w:color w:val="auto"/>
          <w:sz w:val="22"/>
          <w:szCs w:val="22"/>
          <w:lang w:val="sr-Latn-ME"/>
        </w:rPr>
      </w:pPr>
      <w:r w:rsidRPr="004E5B63">
        <w:rPr>
          <w:rFonts w:ascii="Times New Roman" w:hAnsi="Times New Roman" w:cs="Times New Roman"/>
          <w:b/>
          <w:i/>
          <w:color w:val="auto"/>
          <w:sz w:val="22"/>
          <w:szCs w:val="22"/>
          <w:lang w:val="sr-Latn-ME"/>
        </w:rPr>
        <w:t>Gastro-entero-pankreasni endokrini tumori</w:t>
      </w:r>
    </w:p>
    <w:p w14:paraId="34A033B8" w14:textId="77777777" w:rsidR="00FF3CD0" w:rsidRPr="004E5B63" w:rsidRDefault="00FF3CD0" w:rsidP="00FF3CD0">
      <w:pPr>
        <w:rPr>
          <w:noProof/>
          <w:sz w:val="22"/>
          <w:szCs w:val="22"/>
          <w:lang w:val="sr-Latn-ME"/>
        </w:rPr>
      </w:pPr>
      <w:r w:rsidRPr="004E5B63">
        <w:rPr>
          <w:noProof/>
          <w:sz w:val="22"/>
          <w:szCs w:val="22"/>
          <w:lang w:val="sr-Latn-ME"/>
        </w:rPr>
        <w:t>U početku 0,05 mg jednom ili dvaput dnevno s.c. injekcijom. U zavisnosti od kliničkog odgovora, efekta na nivo hormona koje proizvodi tumor (u slučaju karcinoidnih tumora – dejstvo na urinarnu ekskreciju 5-hidroksiindol sirćetne kiseline), i na podnošljivost, doza se postepeno može povećavati do 0,1-0,2 mg 3 puta dnevno. U izuzetnim slučajevima mogu biti potrebne veće doze. Doze održavanja se podešavaju individualno.</w:t>
      </w:r>
    </w:p>
    <w:p w14:paraId="00ECF410" w14:textId="77777777" w:rsidR="00FF3CD0" w:rsidRPr="004E5B63" w:rsidRDefault="00FF3CD0" w:rsidP="00FF3CD0">
      <w:pPr>
        <w:rPr>
          <w:noProof/>
          <w:sz w:val="22"/>
          <w:szCs w:val="22"/>
          <w:lang w:val="sr-Latn-ME"/>
        </w:rPr>
      </w:pPr>
    </w:p>
    <w:p w14:paraId="1D5BB19A" w14:textId="77777777" w:rsidR="00FF3CD0" w:rsidRPr="004E5B63" w:rsidRDefault="00FF3CD0" w:rsidP="00FF3CD0">
      <w:pPr>
        <w:pStyle w:val="BodyText"/>
        <w:jc w:val="both"/>
        <w:rPr>
          <w:sz w:val="22"/>
          <w:szCs w:val="22"/>
          <w:lang w:val="sr-Latn-ME"/>
        </w:rPr>
      </w:pPr>
      <w:r w:rsidRPr="004E5B63">
        <w:rPr>
          <w:sz w:val="22"/>
          <w:szCs w:val="22"/>
          <w:lang w:val="sr-Latn-ME"/>
        </w:rPr>
        <w:t>Ukoliko kod karcinoidnih tumora nema povoljnog odgovora u roku od 1 nedjelje liječenja lijekom Sandostatin</w:t>
      </w:r>
      <w:r w:rsidRPr="004E5B63">
        <w:rPr>
          <w:b/>
          <w:sz w:val="22"/>
          <w:szCs w:val="22"/>
          <w:vertAlign w:val="superscript"/>
          <w:lang w:val="sr-Latn-ME"/>
        </w:rPr>
        <w:t xml:space="preserve"> </w:t>
      </w:r>
      <w:r w:rsidRPr="004E5B63">
        <w:rPr>
          <w:sz w:val="22"/>
          <w:szCs w:val="22"/>
          <w:lang w:val="sr-Latn-ME"/>
        </w:rPr>
        <w:t xml:space="preserve"> u maksimalnoj podnošljivoj dozi, treba prekinuti terapiju.</w:t>
      </w:r>
    </w:p>
    <w:p w14:paraId="61B925BB" w14:textId="77777777" w:rsidR="00FF3CD0" w:rsidRPr="004E5B63" w:rsidRDefault="00FF3CD0" w:rsidP="00FF3CD0">
      <w:pPr>
        <w:rPr>
          <w:noProof/>
          <w:sz w:val="22"/>
          <w:szCs w:val="22"/>
          <w:lang w:val="sr-Latn-ME"/>
        </w:rPr>
      </w:pPr>
    </w:p>
    <w:p w14:paraId="16E95289" w14:textId="77777777" w:rsidR="00FF3CD0" w:rsidRPr="004E5B63" w:rsidRDefault="00FF3CD0" w:rsidP="00FF3CD0">
      <w:pPr>
        <w:pStyle w:val="Heading3"/>
        <w:jc w:val="both"/>
        <w:rPr>
          <w:rFonts w:ascii="Times New Roman" w:hAnsi="Times New Roman" w:cs="Times New Roman"/>
          <w:b/>
          <w:i/>
          <w:color w:val="auto"/>
          <w:sz w:val="22"/>
          <w:szCs w:val="22"/>
          <w:lang w:val="sr-Latn-ME"/>
        </w:rPr>
      </w:pPr>
      <w:r w:rsidRPr="004E5B63">
        <w:rPr>
          <w:rFonts w:ascii="Times New Roman" w:hAnsi="Times New Roman" w:cs="Times New Roman"/>
          <w:b/>
          <w:i/>
          <w:color w:val="auto"/>
          <w:sz w:val="22"/>
          <w:szCs w:val="22"/>
          <w:lang w:val="sr-Latn-ME"/>
        </w:rPr>
        <w:t>Komplikacije nakon operacije na pankreasu</w:t>
      </w:r>
    </w:p>
    <w:p w14:paraId="10101A9A" w14:textId="77777777" w:rsidR="00FF3CD0" w:rsidRPr="004E5B63" w:rsidRDefault="00FF3CD0" w:rsidP="00FF3CD0">
      <w:pPr>
        <w:rPr>
          <w:sz w:val="22"/>
          <w:szCs w:val="22"/>
          <w:lang w:val="sr-Latn-ME"/>
        </w:rPr>
      </w:pPr>
      <w:r w:rsidRPr="004E5B63">
        <w:rPr>
          <w:sz w:val="22"/>
          <w:szCs w:val="22"/>
          <w:lang w:val="sr-Latn-ME"/>
        </w:rPr>
        <w:t>0,1 mg, 3 puta dnevno s.c. injekcijom tokom 7 uzastopnih dana, počevši od prve doze na dan operacije najmanje 1 sat prije laparotomije.</w:t>
      </w:r>
    </w:p>
    <w:p w14:paraId="54D94EB3" w14:textId="77777777" w:rsidR="00FF3CD0" w:rsidRPr="004E5B63" w:rsidRDefault="00FF3CD0" w:rsidP="00FF3CD0">
      <w:pPr>
        <w:rPr>
          <w:sz w:val="22"/>
          <w:szCs w:val="22"/>
          <w:lang w:val="sr-Latn-ME"/>
        </w:rPr>
      </w:pPr>
    </w:p>
    <w:p w14:paraId="2FAD112E" w14:textId="77777777" w:rsidR="00FF3CD0" w:rsidRPr="004E5B63" w:rsidRDefault="00FF3CD0" w:rsidP="00FF3CD0">
      <w:pPr>
        <w:pStyle w:val="Heading4"/>
        <w:jc w:val="both"/>
        <w:rPr>
          <w:rFonts w:ascii="Times New Roman" w:hAnsi="Times New Roman" w:cs="Times New Roman"/>
          <w:b/>
          <w:i w:val="0"/>
          <w:noProof/>
          <w:color w:val="auto"/>
          <w:sz w:val="22"/>
          <w:szCs w:val="22"/>
          <w:lang w:val="sr-Latn-ME"/>
        </w:rPr>
      </w:pPr>
      <w:r w:rsidRPr="004E5B63">
        <w:rPr>
          <w:rFonts w:ascii="Times New Roman" w:hAnsi="Times New Roman" w:cs="Times New Roman"/>
          <w:b/>
          <w:i w:val="0"/>
          <w:noProof/>
          <w:color w:val="auto"/>
          <w:sz w:val="22"/>
          <w:szCs w:val="22"/>
          <w:lang w:val="sr-Latn-ME"/>
        </w:rPr>
        <w:t>Krvarenje iz gastroezofagusnih variksa</w:t>
      </w:r>
    </w:p>
    <w:p w14:paraId="1D78D79F" w14:textId="77777777" w:rsidR="00FF3CD0" w:rsidRPr="004E5B63" w:rsidRDefault="00FF3CD0" w:rsidP="00FF3CD0">
      <w:pPr>
        <w:pStyle w:val="BodyText"/>
        <w:jc w:val="both"/>
        <w:rPr>
          <w:sz w:val="22"/>
          <w:szCs w:val="22"/>
          <w:lang w:val="sr-Latn-ME"/>
        </w:rPr>
      </w:pPr>
      <w:r w:rsidRPr="004E5B63">
        <w:rPr>
          <w:sz w:val="22"/>
          <w:szCs w:val="22"/>
          <w:lang w:val="sr-Latn-ME"/>
        </w:rPr>
        <w:t xml:space="preserve">25 mikrograma/sat tokom 5 dana kontinuiranom i.v. infuzijom. Sandostatin se može koristiti rastvoren u fiziološkom rastvoru. </w:t>
      </w:r>
    </w:p>
    <w:p w14:paraId="3FF4B44C" w14:textId="77777777" w:rsidR="00FF3CD0" w:rsidRPr="004E5B63" w:rsidRDefault="00FF3CD0" w:rsidP="00FF3CD0">
      <w:pPr>
        <w:pStyle w:val="BodyText"/>
        <w:jc w:val="both"/>
        <w:rPr>
          <w:color w:val="3366FF"/>
          <w:sz w:val="22"/>
          <w:szCs w:val="22"/>
          <w:lang w:val="sr-Latn-ME"/>
        </w:rPr>
      </w:pPr>
    </w:p>
    <w:p w14:paraId="29B590AB" w14:textId="58B384B5" w:rsidR="00FF3CD0" w:rsidRPr="004E5B63" w:rsidRDefault="008C3BB7" w:rsidP="00FF3CD0">
      <w:pPr>
        <w:rPr>
          <w:noProof/>
          <w:sz w:val="22"/>
          <w:szCs w:val="22"/>
          <w:lang w:val="sr-Latn-ME"/>
        </w:rPr>
      </w:pPr>
      <w:r w:rsidRPr="004E5B63">
        <w:rPr>
          <w:noProof/>
          <w:sz w:val="22"/>
          <w:szCs w:val="22"/>
          <w:lang w:val="sr-Latn-ME"/>
        </w:rPr>
        <w:t xml:space="preserve">Lijek </w:t>
      </w:r>
      <w:r w:rsidR="00FF3CD0" w:rsidRPr="004E5B63">
        <w:rPr>
          <w:noProof/>
          <w:sz w:val="22"/>
          <w:szCs w:val="22"/>
          <w:lang w:val="sr-Latn-ME"/>
        </w:rPr>
        <w:t xml:space="preserve">Sandostatin </w:t>
      </w:r>
      <w:r w:rsidRPr="004E5B63">
        <w:rPr>
          <w:noProof/>
          <w:sz w:val="22"/>
          <w:szCs w:val="22"/>
          <w:lang w:val="sr-Latn-ME"/>
        </w:rPr>
        <w:t xml:space="preserve">pri kontinuiranoj i.v. primjeni </w:t>
      </w:r>
      <w:r w:rsidR="00FF3CD0" w:rsidRPr="004E5B63">
        <w:rPr>
          <w:noProof/>
          <w:sz w:val="22"/>
          <w:szCs w:val="22"/>
          <w:lang w:val="sr-Latn-ME"/>
        </w:rPr>
        <w:t>u dozama do 50 mikrograma/sat tokom 5 dana dobro podnose pacijenti sa cirozom jetre sa krvarenjem iz gastroezofagusnih variksa</w:t>
      </w:r>
      <w:r w:rsidR="00AD54C7" w:rsidRPr="004E5B63">
        <w:rPr>
          <w:noProof/>
          <w:sz w:val="22"/>
          <w:szCs w:val="22"/>
          <w:lang w:val="sr-Latn-ME"/>
        </w:rPr>
        <w:t xml:space="preserve"> (vidjeti odjeljak 4.9)</w:t>
      </w:r>
      <w:r w:rsidR="00FF3CD0" w:rsidRPr="004E5B63">
        <w:rPr>
          <w:noProof/>
          <w:sz w:val="22"/>
          <w:szCs w:val="22"/>
          <w:lang w:val="sr-Latn-ME"/>
        </w:rPr>
        <w:t>.</w:t>
      </w:r>
    </w:p>
    <w:p w14:paraId="357BA76B" w14:textId="77777777" w:rsidR="00FF3CD0" w:rsidRPr="004E5B63" w:rsidRDefault="00FF3CD0" w:rsidP="00FF3CD0">
      <w:pPr>
        <w:rPr>
          <w:noProof/>
          <w:sz w:val="22"/>
          <w:szCs w:val="22"/>
          <w:lang w:val="sr-Latn-ME"/>
        </w:rPr>
      </w:pPr>
    </w:p>
    <w:p w14:paraId="63D28FA8" w14:textId="77777777" w:rsidR="00FF3CD0" w:rsidRPr="004E5B63" w:rsidRDefault="00FF3CD0" w:rsidP="00FF3CD0">
      <w:pPr>
        <w:rPr>
          <w:b/>
          <w:noProof/>
          <w:sz w:val="22"/>
          <w:szCs w:val="22"/>
          <w:lang w:val="sr-Latn-ME"/>
        </w:rPr>
      </w:pPr>
      <w:r w:rsidRPr="004E5B63">
        <w:rPr>
          <w:b/>
          <w:noProof/>
          <w:sz w:val="22"/>
          <w:szCs w:val="22"/>
          <w:lang w:val="sr-Latn-ME"/>
        </w:rPr>
        <w:t>Terapija TSH-sekretujućih pituitarnih adenoma</w:t>
      </w:r>
    </w:p>
    <w:p w14:paraId="1FDE0D6E" w14:textId="0D9F109C" w:rsidR="00FF3CD0" w:rsidRPr="004E5B63" w:rsidRDefault="00FF3CD0" w:rsidP="00FF3CD0">
      <w:pPr>
        <w:rPr>
          <w:noProof/>
          <w:sz w:val="22"/>
          <w:szCs w:val="22"/>
          <w:lang w:val="sr-Latn-ME"/>
        </w:rPr>
      </w:pPr>
      <w:r w:rsidRPr="004E5B63">
        <w:rPr>
          <w:noProof/>
          <w:sz w:val="22"/>
          <w:szCs w:val="22"/>
          <w:lang w:val="sr-Latn-ME"/>
        </w:rPr>
        <w:t>Najefikasnija doza u većini slučajeva je 100 mikrograma tri puta dnevno data kao su</w:t>
      </w:r>
      <w:r w:rsidR="00C53AD9" w:rsidRPr="004E5B63">
        <w:rPr>
          <w:noProof/>
          <w:sz w:val="22"/>
          <w:szCs w:val="22"/>
          <w:lang w:val="sr-Latn-ME"/>
        </w:rPr>
        <w:t>b</w:t>
      </w:r>
      <w:r w:rsidRPr="004E5B63">
        <w:rPr>
          <w:noProof/>
          <w:sz w:val="22"/>
          <w:szCs w:val="22"/>
          <w:lang w:val="sr-Latn-ME"/>
        </w:rPr>
        <w:t>kutana injekcija. Doza se može podešavati na osnovu odgovora TSH i tireoidnih hormona. Potrebno je najmanje 5 dana terapije kako bi se odredila efikasnost.</w:t>
      </w:r>
    </w:p>
    <w:p w14:paraId="24B5EFEE" w14:textId="77777777" w:rsidR="00FF3CD0" w:rsidRPr="004E5B63" w:rsidRDefault="00FF3CD0" w:rsidP="00FF3CD0">
      <w:pPr>
        <w:rPr>
          <w:noProof/>
          <w:sz w:val="22"/>
          <w:szCs w:val="22"/>
          <w:u w:val="single"/>
          <w:lang w:val="sr-Latn-ME"/>
        </w:rPr>
      </w:pPr>
    </w:p>
    <w:p w14:paraId="72C2556D" w14:textId="77777777" w:rsidR="00FF3CD0" w:rsidRPr="004E5B63" w:rsidRDefault="00FF3CD0" w:rsidP="00576793">
      <w:pPr>
        <w:rPr>
          <w:b/>
          <w:sz w:val="22"/>
          <w:szCs w:val="22"/>
          <w:lang w:val="sr-Latn-ME"/>
        </w:rPr>
      </w:pPr>
      <w:r w:rsidRPr="004E5B63">
        <w:rPr>
          <w:b/>
          <w:sz w:val="22"/>
          <w:szCs w:val="22"/>
          <w:lang w:val="sr-Latn-ME"/>
        </w:rPr>
        <w:t>Upotreba kod starijih</w:t>
      </w:r>
    </w:p>
    <w:p w14:paraId="245419E1" w14:textId="77777777" w:rsidR="00FF3CD0" w:rsidRPr="004E5B63" w:rsidRDefault="00FF3CD0" w:rsidP="00FF3CD0">
      <w:pPr>
        <w:rPr>
          <w:noProof/>
          <w:sz w:val="22"/>
          <w:szCs w:val="22"/>
          <w:lang w:val="sr-Latn-ME"/>
        </w:rPr>
      </w:pPr>
    </w:p>
    <w:p w14:paraId="49719A24" w14:textId="77777777" w:rsidR="00FF3CD0" w:rsidRPr="004E5B63" w:rsidRDefault="00FF3CD0" w:rsidP="00FF3CD0">
      <w:pPr>
        <w:pStyle w:val="BodyText"/>
        <w:jc w:val="both"/>
        <w:rPr>
          <w:sz w:val="22"/>
          <w:szCs w:val="22"/>
          <w:lang w:val="sr-Latn-ME"/>
        </w:rPr>
      </w:pPr>
      <w:r w:rsidRPr="004E5B63">
        <w:rPr>
          <w:sz w:val="22"/>
          <w:szCs w:val="22"/>
          <w:lang w:val="sr-Latn-ME"/>
        </w:rPr>
        <w:t>Nema dokaza o smanjenoj podnošljivosti ili zahtjevima za izmijenjenim načinom doziranja kod starijih pacijenata liječenih lijekom Sandostatin.</w:t>
      </w:r>
    </w:p>
    <w:p w14:paraId="263322E8" w14:textId="77777777" w:rsidR="00FF3CD0" w:rsidRPr="004E5B63" w:rsidRDefault="00FF3CD0" w:rsidP="00FF3CD0">
      <w:pPr>
        <w:rPr>
          <w:noProof/>
          <w:sz w:val="22"/>
          <w:szCs w:val="22"/>
          <w:lang w:val="sr-Latn-ME"/>
        </w:rPr>
      </w:pPr>
    </w:p>
    <w:p w14:paraId="12CEF13B" w14:textId="77777777" w:rsidR="00FF3CD0" w:rsidRPr="004E5B63" w:rsidRDefault="00FF3CD0" w:rsidP="00FF3CD0">
      <w:pPr>
        <w:pStyle w:val="BodyText"/>
        <w:jc w:val="both"/>
        <w:rPr>
          <w:b/>
          <w:sz w:val="22"/>
          <w:szCs w:val="22"/>
          <w:lang w:val="sr-Latn-ME"/>
        </w:rPr>
      </w:pPr>
      <w:r w:rsidRPr="004E5B63">
        <w:rPr>
          <w:b/>
          <w:sz w:val="22"/>
          <w:szCs w:val="22"/>
          <w:lang w:val="sr-Latn-ME"/>
        </w:rPr>
        <w:t>Upotreba kod djece</w:t>
      </w:r>
    </w:p>
    <w:p w14:paraId="28091AD5" w14:textId="77777777" w:rsidR="00FF3CD0" w:rsidRPr="004E5B63" w:rsidRDefault="00FF3CD0" w:rsidP="00FF3CD0">
      <w:pPr>
        <w:pStyle w:val="BodyText"/>
        <w:jc w:val="both"/>
        <w:rPr>
          <w:b/>
          <w:sz w:val="22"/>
          <w:szCs w:val="22"/>
          <w:lang w:val="sr-Latn-ME"/>
        </w:rPr>
      </w:pPr>
    </w:p>
    <w:p w14:paraId="00573247" w14:textId="77777777" w:rsidR="00FF3CD0" w:rsidRPr="004E5B63" w:rsidRDefault="00FF3CD0" w:rsidP="00FF3CD0">
      <w:pPr>
        <w:pStyle w:val="BodyText"/>
        <w:jc w:val="both"/>
        <w:rPr>
          <w:sz w:val="22"/>
          <w:szCs w:val="22"/>
          <w:lang w:val="sr-Latn-ME"/>
        </w:rPr>
      </w:pPr>
      <w:r w:rsidRPr="004E5B63">
        <w:rPr>
          <w:sz w:val="22"/>
          <w:szCs w:val="22"/>
          <w:lang w:val="sr-Latn-ME"/>
        </w:rPr>
        <w:t>Iskustva sa lijekom Sandostatin kod djece su ograničena.</w:t>
      </w:r>
    </w:p>
    <w:p w14:paraId="2C30798D" w14:textId="77777777" w:rsidR="00FF3CD0" w:rsidRPr="004E5B63" w:rsidRDefault="00FF3CD0" w:rsidP="00FF3CD0">
      <w:pPr>
        <w:pStyle w:val="BodyText"/>
        <w:jc w:val="both"/>
        <w:rPr>
          <w:sz w:val="22"/>
          <w:szCs w:val="22"/>
          <w:lang w:val="sr-Latn-ME"/>
        </w:rPr>
      </w:pPr>
    </w:p>
    <w:p w14:paraId="5AB3F30F" w14:textId="77777777" w:rsidR="00FF3CD0" w:rsidRPr="004E5B63" w:rsidRDefault="00FF3CD0" w:rsidP="00FF3CD0">
      <w:pPr>
        <w:pStyle w:val="BodyText"/>
        <w:jc w:val="both"/>
        <w:rPr>
          <w:b/>
          <w:sz w:val="22"/>
          <w:szCs w:val="22"/>
          <w:lang w:val="sr-Latn-ME"/>
        </w:rPr>
      </w:pPr>
      <w:r w:rsidRPr="004E5B63">
        <w:rPr>
          <w:b/>
          <w:sz w:val="22"/>
          <w:szCs w:val="22"/>
          <w:lang w:val="sr-Latn-ME"/>
        </w:rPr>
        <w:t>Upotreba kod pacijenata sa poremećenom funkcijom jetre</w:t>
      </w:r>
    </w:p>
    <w:p w14:paraId="448070B3" w14:textId="77777777" w:rsidR="00FF3CD0" w:rsidRPr="004E5B63" w:rsidRDefault="00FF3CD0" w:rsidP="00FF3CD0">
      <w:pPr>
        <w:pStyle w:val="BodyText"/>
        <w:jc w:val="both"/>
        <w:rPr>
          <w:b/>
          <w:sz w:val="22"/>
          <w:szCs w:val="22"/>
          <w:lang w:val="sr-Latn-ME"/>
        </w:rPr>
      </w:pPr>
    </w:p>
    <w:p w14:paraId="0E704C3C" w14:textId="77777777" w:rsidR="00FF3CD0" w:rsidRPr="004E5B63" w:rsidRDefault="00FF3CD0" w:rsidP="00FF3CD0">
      <w:pPr>
        <w:pStyle w:val="BodyText"/>
        <w:jc w:val="both"/>
        <w:rPr>
          <w:sz w:val="22"/>
          <w:szCs w:val="22"/>
          <w:lang w:val="sr-Latn-ME"/>
        </w:rPr>
      </w:pPr>
      <w:r w:rsidRPr="004E5B63">
        <w:rPr>
          <w:sz w:val="22"/>
          <w:szCs w:val="22"/>
          <w:lang w:val="sr-Latn-ME"/>
        </w:rPr>
        <w:t>Poluvrijeme eliminacije lijeka kod pacijenata sa cirozom jetre može biti produženo, što zahtijeva korekciju doze održavanja.</w:t>
      </w:r>
    </w:p>
    <w:p w14:paraId="3E96A5F6" w14:textId="77777777" w:rsidR="007B4113" w:rsidRPr="004E5B63" w:rsidRDefault="007B4113" w:rsidP="00FF3CD0">
      <w:pPr>
        <w:pStyle w:val="BodyText"/>
        <w:jc w:val="both"/>
        <w:rPr>
          <w:sz w:val="22"/>
          <w:szCs w:val="22"/>
          <w:lang w:val="sr-Latn-ME"/>
        </w:rPr>
      </w:pPr>
    </w:p>
    <w:p w14:paraId="1F2F8974" w14:textId="77777777" w:rsidR="00FF3CD0" w:rsidRPr="004E5B63" w:rsidRDefault="00FF3CD0" w:rsidP="00FF3CD0">
      <w:pPr>
        <w:pStyle w:val="BodyText"/>
        <w:jc w:val="both"/>
        <w:rPr>
          <w:b/>
          <w:sz w:val="22"/>
          <w:szCs w:val="22"/>
          <w:lang w:val="sr-Latn-ME"/>
        </w:rPr>
      </w:pPr>
      <w:r w:rsidRPr="004E5B63">
        <w:rPr>
          <w:b/>
          <w:sz w:val="22"/>
          <w:szCs w:val="22"/>
          <w:lang w:val="sr-Latn-ME"/>
        </w:rPr>
        <w:t>Upotreba kod pacijenata sa poremećenom funkcijom bubrega</w:t>
      </w:r>
    </w:p>
    <w:p w14:paraId="7DB8EEEB" w14:textId="77777777" w:rsidR="00FF3CD0" w:rsidRPr="004E5B63" w:rsidRDefault="00FF3CD0" w:rsidP="00FF3CD0">
      <w:pPr>
        <w:pStyle w:val="BodyText"/>
        <w:jc w:val="both"/>
        <w:rPr>
          <w:b/>
          <w:sz w:val="22"/>
          <w:szCs w:val="22"/>
          <w:lang w:val="sr-Latn-ME"/>
        </w:rPr>
      </w:pPr>
    </w:p>
    <w:p w14:paraId="3AB2AE06" w14:textId="77777777" w:rsidR="00FF3CD0" w:rsidRPr="004E5B63" w:rsidRDefault="00FF3CD0" w:rsidP="00FF3CD0">
      <w:pPr>
        <w:pStyle w:val="BodyText"/>
        <w:jc w:val="both"/>
        <w:rPr>
          <w:sz w:val="22"/>
          <w:szCs w:val="22"/>
          <w:lang w:val="sr-Latn-ME"/>
        </w:rPr>
      </w:pPr>
      <w:r w:rsidRPr="004E5B63">
        <w:rPr>
          <w:sz w:val="22"/>
          <w:szCs w:val="22"/>
          <w:lang w:val="sr-Latn-ME"/>
        </w:rPr>
        <w:t>Poremećaj funkcije bubrega nije uticao na ukupnu izloženost (</w:t>
      </w:r>
      <w:smartTag w:uri="urn:schemas-microsoft-com:office:smarttags" w:element="stockticker">
        <w:r w:rsidRPr="004E5B63">
          <w:rPr>
            <w:sz w:val="22"/>
            <w:szCs w:val="22"/>
            <w:lang w:val="sr-Latn-ME"/>
          </w:rPr>
          <w:t>PIK</w:t>
        </w:r>
      </w:smartTag>
      <w:r w:rsidRPr="004E5B63">
        <w:rPr>
          <w:sz w:val="22"/>
          <w:szCs w:val="22"/>
          <w:lang w:val="sr-Latn-ME"/>
        </w:rPr>
        <w:t>) oktreotidu datom u obliku s.c. injekcija, stoga nije potrebna korekcija doze lijeka Sandostatin.</w:t>
      </w:r>
    </w:p>
    <w:p w14:paraId="73CAF15F" w14:textId="1A752B81" w:rsidR="00452E9D" w:rsidRPr="004E5B63" w:rsidRDefault="00452E9D" w:rsidP="00480FB1">
      <w:pPr>
        <w:tabs>
          <w:tab w:val="left" w:pos="540"/>
          <w:tab w:val="left" w:pos="569"/>
        </w:tabs>
        <w:rPr>
          <w:bCs/>
          <w:sz w:val="22"/>
          <w:szCs w:val="22"/>
          <w:u w:val="single"/>
          <w:lang w:val="sr-Latn-ME"/>
        </w:rPr>
      </w:pPr>
    </w:p>
    <w:p w14:paraId="1C12C264" w14:textId="78D71369" w:rsidR="003F1A0C" w:rsidRPr="004E5B63" w:rsidRDefault="003F1A0C" w:rsidP="00480FB1">
      <w:pPr>
        <w:tabs>
          <w:tab w:val="left" w:pos="540"/>
          <w:tab w:val="left" w:pos="569"/>
        </w:tabs>
        <w:rPr>
          <w:bCs/>
          <w:sz w:val="22"/>
          <w:szCs w:val="22"/>
          <w:u w:val="single"/>
          <w:lang w:val="sr-Latn-ME"/>
        </w:rPr>
      </w:pPr>
    </w:p>
    <w:p w14:paraId="6E10A5E4" w14:textId="77777777" w:rsidR="003F1A0C" w:rsidRPr="004E5B63" w:rsidRDefault="003F1A0C" w:rsidP="00480FB1">
      <w:pPr>
        <w:tabs>
          <w:tab w:val="left" w:pos="540"/>
          <w:tab w:val="left" w:pos="569"/>
        </w:tabs>
        <w:rPr>
          <w:bCs/>
          <w:sz w:val="22"/>
          <w:szCs w:val="22"/>
          <w:u w:val="single"/>
          <w:lang w:val="sr-Latn-ME"/>
        </w:rPr>
      </w:pPr>
    </w:p>
    <w:p w14:paraId="4B9AB782" w14:textId="0A431AF3" w:rsidR="00452E9D" w:rsidRPr="004E5B63" w:rsidRDefault="00452E9D" w:rsidP="00480FB1">
      <w:pPr>
        <w:tabs>
          <w:tab w:val="left" w:pos="540"/>
          <w:tab w:val="left" w:pos="569"/>
        </w:tabs>
        <w:rPr>
          <w:bCs/>
          <w:sz w:val="22"/>
          <w:szCs w:val="22"/>
          <w:u w:val="single"/>
          <w:lang w:val="sr-Latn-ME"/>
        </w:rPr>
      </w:pPr>
      <w:r w:rsidRPr="004E5B63">
        <w:rPr>
          <w:bCs/>
          <w:sz w:val="22"/>
          <w:szCs w:val="22"/>
          <w:u w:val="single"/>
          <w:lang w:val="sr-Latn-ME"/>
        </w:rPr>
        <w:lastRenderedPageBreak/>
        <w:t>Način primjene</w:t>
      </w:r>
    </w:p>
    <w:p w14:paraId="4B6D8543" w14:textId="77777777" w:rsidR="003F1A0C" w:rsidRPr="004E5B63" w:rsidRDefault="003F1A0C" w:rsidP="00480FB1">
      <w:pPr>
        <w:tabs>
          <w:tab w:val="left" w:pos="540"/>
          <w:tab w:val="left" w:pos="569"/>
        </w:tabs>
        <w:rPr>
          <w:bCs/>
          <w:sz w:val="22"/>
          <w:szCs w:val="22"/>
          <w:u w:val="single"/>
          <w:lang w:val="sr-Latn-ME"/>
        </w:rPr>
      </w:pPr>
    </w:p>
    <w:p w14:paraId="097EC295" w14:textId="77777777" w:rsidR="00734F35" w:rsidRPr="004E5B63" w:rsidRDefault="00734F35" w:rsidP="00576793">
      <w:pPr>
        <w:pStyle w:val="BodyText"/>
        <w:jc w:val="both"/>
        <w:rPr>
          <w:sz w:val="22"/>
          <w:szCs w:val="22"/>
          <w:lang w:val="sr-Latn-ME"/>
        </w:rPr>
      </w:pPr>
      <w:r w:rsidRPr="004E5B63">
        <w:rPr>
          <w:sz w:val="22"/>
          <w:szCs w:val="22"/>
          <w:lang w:val="sr-Latn-ME"/>
        </w:rPr>
        <w:t>Sandostatin se može primijeniti direktno putem subkutane injekcije (s.c.) ili intravenskom (i.v.) infuzijom nakon razblaživanja. Za dalja uputstva o primjeni i razblaživanju lijeka, pogledati odjeljak 6.6.</w:t>
      </w:r>
    </w:p>
    <w:p w14:paraId="5EFB8520" w14:textId="77777777" w:rsidR="00452E9D" w:rsidRPr="004E5B63" w:rsidRDefault="00452E9D" w:rsidP="00480FB1">
      <w:pPr>
        <w:tabs>
          <w:tab w:val="left" w:pos="540"/>
          <w:tab w:val="left" w:pos="569"/>
        </w:tabs>
        <w:rPr>
          <w:bCs/>
          <w:sz w:val="22"/>
          <w:szCs w:val="22"/>
          <w:lang w:val="sr-Latn-ME"/>
        </w:rPr>
      </w:pPr>
    </w:p>
    <w:p w14:paraId="722F02E6" w14:textId="40A6528C" w:rsidR="00411B4B" w:rsidRPr="004E5B63" w:rsidRDefault="00411B4B" w:rsidP="00480FB1">
      <w:pPr>
        <w:tabs>
          <w:tab w:val="left" w:pos="540"/>
          <w:tab w:val="left" w:pos="569"/>
        </w:tabs>
        <w:rPr>
          <w:b/>
          <w:bCs/>
          <w:sz w:val="22"/>
          <w:szCs w:val="22"/>
          <w:lang w:val="sr-Latn-ME"/>
        </w:rPr>
      </w:pPr>
      <w:r w:rsidRPr="004E5B63">
        <w:rPr>
          <w:b/>
          <w:bCs/>
          <w:sz w:val="22"/>
          <w:szCs w:val="22"/>
          <w:lang w:val="sr-Latn-ME"/>
        </w:rPr>
        <w:t xml:space="preserve">4.3. </w:t>
      </w:r>
      <w:r w:rsidR="00480FB1" w:rsidRPr="004E5B63">
        <w:rPr>
          <w:b/>
          <w:bCs/>
          <w:sz w:val="22"/>
          <w:szCs w:val="22"/>
          <w:lang w:val="sr-Latn-ME"/>
        </w:rPr>
        <w:tab/>
      </w:r>
      <w:r w:rsidRPr="004E5B63">
        <w:rPr>
          <w:b/>
          <w:bCs/>
          <w:sz w:val="22"/>
          <w:szCs w:val="22"/>
          <w:lang w:val="sr-Latn-ME"/>
        </w:rPr>
        <w:t>Kontraindikacije</w:t>
      </w:r>
    </w:p>
    <w:p w14:paraId="47B9AB36" w14:textId="77777777" w:rsidR="003F1A0C" w:rsidRPr="004E5B63" w:rsidRDefault="003F1A0C" w:rsidP="00480FB1">
      <w:pPr>
        <w:tabs>
          <w:tab w:val="left" w:pos="540"/>
          <w:tab w:val="left" w:pos="569"/>
        </w:tabs>
        <w:rPr>
          <w:b/>
          <w:bCs/>
          <w:sz w:val="22"/>
          <w:szCs w:val="22"/>
          <w:lang w:val="sr-Latn-ME"/>
        </w:rPr>
      </w:pPr>
    </w:p>
    <w:p w14:paraId="108F2F70" w14:textId="77777777" w:rsidR="00B15802" w:rsidRPr="004E5B63" w:rsidRDefault="00B15802" w:rsidP="00B15802">
      <w:pPr>
        <w:rPr>
          <w:noProof/>
          <w:sz w:val="22"/>
          <w:szCs w:val="22"/>
          <w:lang w:val="sr-Latn-ME"/>
        </w:rPr>
      </w:pPr>
      <w:r w:rsidRPr="004E5B63">
        <w:rPr>
          <w:noProof/>
          <w:sz w:val="22"/>
          <w:szCs w:val="22"/>
          <w:lang w:val="sr-Latn-ME"/>
        </w:rPr>
        <w:t>Poznata preosjetljivost na oktreotid ili bilo koju pomoćnu supstancu lijeka (vidjeti odjeljak 6.1).</w:t>
      </w:r>
    </w:p>
    <w:p w14:paraId="601B9528" w14:textId="77777777" w:rsidR="0072020E" w:rsidRPr="004E5B63" w:rsidRDefault="0072020E" w:rsidP="00480FB1">
      <w:pPr>
        <w:tabs>
          <w:tab w:val="left" w:pos="540"/>
          <w:tab w:val="left" w:pos="569"/>
        </w:tabs>
        <w:rPr>
          <w:bCs/>
          <w:sz w:val="22"/>
          <w:szCs w:val="22"/>
          <w:lang w:val="sr-Latn-ME"/>
        </w:rPr>
      </w:pPr>
    </w:p>
    <w:p w14:paraId="1D360596" w14:textId="77777777" w:rsidR="00411B4B" w:rsidRPr="004E5B63" w:rsidRDefault="00411B4B" w:rsidP="00480FB1">
      <w:pPr>
        <w:tabs>
          <w:tab w:val="left" w:pos="540"/>
          <w:tab w:val="left" w:pos="569"/>
        </w:tabs>
        <w:rPr>
          <w:b/>
          <w:bCs/>
          <w:sz w:val="22"/>
          <w:szCs w:val="22"/>
          <w:lang w:val="sr-Latn-ME"/>
        </w:rPr>
      </w:pPr>
      <w:r w:rsidRPr="004E5B63">
        <w:rPr>
          <w:b/>
          <w:bCs/>
          <w:sz w:val="22"/>
          <w:szCs w:val="22"/>
          <w:lang w:val="sr-Latn-ME"/>
        </w:rPr>
        <w:t xml:space="preserve">4.4. </w:t>
      </w:r>
      <w:r w:rsidR="00480FB1" w:rsidRPr="004E5B63">
        <w:rPr>
          <w:b/>
          <w:bCs/>
          <w:sz w:val="22"/>
          <w:szCs w:val="22"/>
          <w:lang w:val="sr-Latn-ME"/>
        </w:rPr>
        <w:tab/>
      </w:r>
      <w:r w:rsidRPr="004E5B63">
        <w:rPr>
          <w:b/>
          <w:bCs/>
          <w:sz w:val="22"/>
          <w:szCs w:val="22"/>
          <w:lang w:val="sr-Latn-ME"/>
        </w:rPr>
        <w:t>Posebna upozorenja i mjere opreza pri upotrebi lijeka</w:t>
      </w:r>
    </w:p>
    <w:p w14:paraId="3C810E1B" w14:textId="77777777" w:rsidR="0072020E" w:rsidRPr="004E5B63" w:rsidRDefault="0072020E" w:rsidP="00480FB1">
      <w:pPr>
        <w:tabs>
          <w:tab w:val="left" w:pos="540"/>
          <w:tab w:val="left" w:pos="569"/>
        </w:tabs>
        <w:rPr>
          <w:bCs/>
          <w:sz w:val="22"/>
          <w:szCs w:val="22"/>
          <w:lang w:val="sr-Latn-ME"/>
        </w:rPr>
      </w:pPr>
    </w:p>
    <w:p w14:paraId="3E06E7A4" w14:textId="77777777" w:rsidR="002A7BD6" w:rsidRPr="004E5B63" w:rsidRDefault="002A7BD6" w:rsidP="002A7BD6">
      <w:pPr>
        <w:rPr>
          <w:b/>
          <w:noProof/>
          <w:sz w:val="22"/>
          <w:szCs w:val="22"/>
          <w:lang w:val="sr-Latn-ME"/>
        </w:rPr>
      </w:pPr>
      <w:r w:rsidRPr="004E5B63">
        <w:rPr>
          <w:b/>
          <w:noProof/>
          <w:sz w:val="22"/>
          <w:szCs w:val="22"/>
          <w:lang w:val="sr-Latn-ME"/>
        </w:rPr>
        <w:t>Opšta</w:t>
      </w:r>
    </w:p>
    <w:p w14:paraId="29F16382" w14:textId="77777777" w:rsidR="002A7BD6" w:rsidRPr="004E5B63" w:rsidRDefault="002A7BD6" w:rsidP="002A7BD6">
      <w:pPr>
        <w:rPr>
          <w:noProof/>
          <w:sz w:val="22"/>
          <w:szCs w:val="22"/>
          <w:lang w:val="sr-Latn-ME"/>
        </w:rPr>
      </w:pPr>
      <w:r w:rsidRPr="004E5B63">
        <w:rPr>
          <w:noProof/>
          <w:sz w:val="22"/>
          <w:szCs w:val="22"/>
          <w:lang w:val="sr-Latn-ME"/>
        </w:rPr>
        <w:t>Pošto tumori hipofize koji luče hormon rasta mogu ponekad da se šire izazivajući ozbiljne komplikacije  (npr. defekte u vidnom polju), neophodno je da svi pacijenti budu pažljivo praćeni. Ukoliko se pojave znaci ekspanzije tumora, savjetuje se primjena alternativnih terapija.</w:t>
      </w:r>
    </w:p>
    <w:p w14:paraId="2C833F67" w14:textId="77777777" w:rsidR="002A7BD6" w:rsidRPr="004E5B63" w:rsidRDefault="002A7BD6" w:rsidP="002A7BD6">
      <w:pPr>
        <w:rPr>
          <w:noProof/>
          <w:sz w:val="22"/>
          <w:szCs w:val="22"/>
          <w:lang w:val="sr-Latn-ME"/>
        </w:rPr>
      </w:pPr>
    </w:p>
    <w:p w14:paraId="42242FB4" w14:textId="77777777" w:rsidR="002A7BD6" w:rsidRPr="004E5B63" w:rsidRDefault="002A7BD6" w:rsidP="002A7BD6">
      <w:pPr>
        <w:rPr>
          <w:noProof/>
          <w:sz w:val="22"/>
          <w:szCs w:val="22"/>
          <w:lang w:val="sr-Latn-ME"/>
        </w:rPr>
      </w:pPr>
      <w:r w:rsidRPr="004E5B63">
        <w:rPr>
          <w:noProof/>
          <w:sz w:val="22"/>
          <w:szCs w:val="22"/>
          <w:lang w:val="sr-Latn-ME"/>
        </w:rPr>
        <w:t>Terapijska korist u vidu smanjenja nivoa hormona rasta (GH) i normalizacije koncentracije insulinu sličnom faktoru rasta 1 (IGF-1) kod pacijentkinja sa akromegalijom može obnoviti fertilnost. Pacijentkinje u reproduktivnom periodu treba savjetovati da koriste adekvatnu kontracepciju ako je potrebno tokom terapije oktreotidom (vidjeti odjeljak 4.6).</w:t>
      </w:r>
    </w:p>
    <w:p w14:paraId="0146EBB4" w14:textId="77777777" w:rsidR="002A7BD6" w:rsidRPr="004E5B63" w:rsidRDefault="002A7BD6" w:rsidP="002A7BD6">
      <w:pPr>
        <w:rPr>
          <w:noProof/>
          <w:sz w:val="22"/>
          <w:szCs w:val="22"/>
          <w:lang w:val="sr-Latn-ME"/>
        </w:rPr>
      </w:pPr>
    </w:p>
    <w:p w14:paraId="18CD0DAB" w14:textId="77777777" w:rsidR="002A7BD6" w:rsidRPr="004E5B63" w:rsidRDefault="002A7BD6" w:rsidP="002A7BD6">
      <w:pPr>
        <w:rPr>
          <w:noProof/>
          <w:sz w:val="22"/>
          <w:szCs w:val="22"/>
          <w:lang w:val="sr-Latn-ME"/>
        </w:rPr>
      </w:pPr>
      <w:r w:rsidRPr="004E5B63">
        <w:rPr>
          <w:noProof/>
          <w:sz w:val="22"/>
          <w:szCs w:val="22"/>
          <w:lang w:val="sr-Latn-ME"/>
        </w:rPr>
        <w:t xml:space="preserve">Kod pacijenata koji duže vrijeme primaju lijek, treba pratiti funkciju tireoidne žlijezde. </w:t>
      </w:r>
    </w:p>
    <w:p w14:paraId="0D921239" w14:textId="77777777" w:rsidR="002A7BD6" w:rsidRPr="004E5B63" w:rsidRDefault="002A7BD6" w:rsidP="002A7BD6">
      <w:pPr>
        <w:rPr>
          <w:noProof/>
          <w:sz w:val="22"/>
          <w:szCs w:val="22"/>
          <w:lang w:val="sr-Latn-ME"/>
        </w:rPr>
      </w:pPr>
    </w:p>
    <w:p w14:paraId="37D1BD0F" w14:textId="77777777" w:rsidR="002A7BD6" w:rsidRPr="004E5B63" w:rsidRDefault="002A7BD6" w:rsidP="002A7BD6">
      <w:pPr>
        <w:rPr>
          <w:noProof/>
          <w:sz w:val="22"/>
          <w:szCs w:val="22"/>
          <w:lang w:val="sr-Latn-ME"/>
        </w:rPr>
      </w:pPr>
      <w:r w:rsidRPr="004E5B63">
        <w:rPr>
          <w:noProof/>
          <w:sz w:val="22"/>
          <w:szCs w:val="22"/>
          <w:lang w:val="sr-Latn-ME"/>
        </w:rPr>
        <w:t>Tokom terapije oktreotidom treba pratiti funkciju jetre.</w:t>
      </w:r>
    </w:p>
    <w:p w14:paraId="044EA7F4" w14:textId="77777777" w:rsidR="002A7BD6" w:rsidRPr="004E5B63" w:rsidRDefault="002A7BD6" w:rsidP="002A7BD6">
      <w:pPr>
        <w:rPr>
          <w:b/>
          <w:bCs/>
          <w:sz w:val="22"/>
          <w:szCs w:val="22"/>
          <w:lang w:val="sr-Latn-ME"/>
        </w:rPr>
      </w:pPr>
    </w:p>
    <w:p w14:paraId="588DFFF9" w14:textId="77777777" w:rsidR="002A7BD6" w:rsidRPr="004E5B63" w:rsidRDefault="002A7BD6" w:rsidP="002A7BD6">
      <w:pPr>
        <w:rPr>
          <w:b/>
          <w:noProof/>
          <w:sz w:val="22"/>
          <w:szCs w:val="22"/>
          <w:lang w:val="sr-Latn-ME"/>
        </w:rPr>
      </w:pPr>
      <w:r w:rsidRPr="004E5B63">
        <w:rPr>
          <w:b/>
          <w:noProof/>
          <w:sz w:val="22"/>
          <w:szCs w:val="22"/>
          <w:lang w:val="sr-Latn-ME"/>
        </w:rPr>
        <w:t>Kardiovaskularni događaji vezani za primjenu oktreotida</w:t>
      </w:r>
    </w:p>
    <w:p w14:paraId="5AA1E678" w14:textId="36B44631" w:rsidR="002A7BD6" w:rsidRPr="004E5B63" w:rsidRDefault="002A7BD6" w:rsidP="002A7BD6">
      <w:pPr>
        <w:rPr>
          <w:noProof/>
          <w:sz w:val="22"/>
          <w:szCs w:val="22"/>
          <w:lang w:val="sr-Latn-ME"/>
        </w:rPr>
      </w:pPr>
      <w:r w:rsidRPr="004E5B63">
        <w:rPr>
          <w:noProof/>
          <w:sz w:val="22"/>
          <w:szCs w:val="22"/>
          <w:lang w:val="sr-Latn-ME"/>
        </w:rPr>
        <w:t xml:space="preserve">Prijavljeni su </w:t>
      </w:r>
      <w:r w:rsidR="008C3BB7" w:rsidRPr="004E5B63">
        <w:rPr>
          <w:noProof/>
          <w:sz w:val="22"/>
          <w:szCs w:val="22"/>
          <w:lang w:val="sr-Latn-ME"/>
        </w:rPr>
        <w:t>česti</w:t>
      </w:r>
      <w:r w:rsidRPr="004E5B63">
        <w:rPr>
          <w:noProof/>
          <w:sz w:val="22"/>
          <w:szCs w:val="22"/>
          <w:lang w:val="sr-Latn-ME"/>
        </w:rPr>
        <w:t>slučajevi bradikardije. Zbog toga je možda potrebno podešavanje doza beta-blokatora, blokatora kalcijumskih kanala ili ljekova koji kontrolišu balans tečnosti i elektrolita (vidjeti odjeljak 4.5).</w:t>
      </w:r>
    </w:p>
    <w:p w14:paraId="571E1BF7" w14:textId="77777777" w:rsidR="00AD54C7" w:rsidRPr="004E5B63" w:rsidRDefault="00AD54C7" w:rsidP="00AD54C7">
      <w:pPr>
        <w:rPr>
          <w:noProof/>
          <w:sz w:val="22"/>
          <w:szCs w:val="22"/>
          <w:lang w:val="sr-Latn-ME"/>
        </w:rPr>
      </w:pPr>
    </w:p>
    <w:p w14:paraId="101382D5" w14:textId="0956E11C" w:rsidR="002A7BD6" w:rsidRPr="004E5B63" w:rsidRDefault="00AD54C7" w:rsidP="00AD54C7">
      <w:pPr>
        <w:rPr>
          <w:noProof/>
          <w:sz w:val="22"/>
          <w:szCs w:val="22"/>
          <w:lang w:val="sr-Latn-ME"/>
        </w:rPr>
      </w:pPr>
      <w:r w:rsidRPr="004E5B63">
        <w:rPr>
          <w:noProof/>
          <w:sz w:val="22"/>
          <w:szCs w:val="22"/>
          <w:lang w:val="sr-Latn-ME"/>
        </w:rPr>
        <w:t>Prijavljeni su slučajevi atrioventrikularnih blokova (uključujući potpuni atrioventrikularni blok) kod pacijenata koji su primali visoke doze kontinuiranom infuzijom (100 mikrograma/sat) i kod pacijenata koji su primali oktreotid bolus i intavenski (50 mikrograma bolus injekcije praćene kontinuiranom infuzijom od 50 mikrograma/sat). Zbog toga se maksimalna doza od 50 mikrograma/sat ne smije preći (vidjeti odjeljak 4.2). Pacijenti koji primaju visoke doze oktreotida intravenski trebaju biti pod odgovarajućim kardiološkim praćenjem.</w:t>
      </w:r>
    </w:p>
    <w:p w14:paraId="076FFCE4" w14:textId="77777777" w:rsidR="00AD54C7" w:rsidRPr="004E5B63" w:rsidRDefault="00AD54C7" w:rsidP="00AD54C7">
      <w:pPr>
        <w:rPr>
          <w:noProof/>
          <w:sz w:val="22"/>
          <w:szCs w:val="22"/>
          <w:lang w:val="sr-Latn-ME"/>
        </w:rPr>
      </w:pPr>
    </w:p>
    <w:p w14:paraId="578ED4CF" w14:textId="77777777" w:rsidR="002A7BD6" w:rsidRPr="004E5B63" w:rsidRDefault="002A7BD6" w:rsidP="002A7BD6">
      <w:pPr>
        <w:rPr>
          <w:b/>
          <w:noProof/>
          <w:sz w:val="22"/>
          <w:szCs w:val="22"/>
          <w:lang w:val="sr-Latn-ME"/>
        </w:rPr>
      </w:pPr>
      <w:r w:rsidRPr="004E5B63">
        <w:rPr>
          <w:b/>
          <w:noProof/>
          <w:sz w:val="22"/>
          <w:szCs w:val="22"/>
          <w:lang w:val="sr-Latn-ME"/>
        </w:rPr>
        <w:t xml:space="preserve">Žučna kesa i događaji vezani za primjenu oktreotida </w:t>
      </w:r>
    </w:p>
    <w:p w14:paraId="1D86E237" w14:textId="692E6FC5" w:rsidR="002A7BD6" w:rsidRPr="004E5B63" w:rsidRDefault="002A7BD6" w:rsidP="002A7BD6">
      <w:pPr>
        <w:tabs>
          <w:tab w:val="left" w:pos="720"/>
        </w:tabs>
        <w:rPr>
          <w:noProof/>
          <w:color w:val="000000"/>
          <w:sz w:val="22"/>
          <w:szCs w:val="22"/>
          <w:lang w:val="sr-Latn-ME"/>
        </w:rPr>
      </w:pPr>
      <w:r w:rsidRPr="004E5B63">
        <w:rPr>
          <w:noProof/>
          <w:color w:val="000000"/>
          <w:sz w:val="22"/>
          <w:szCs w:val="22"/>
          <w:lang w:val="sr-Latn-ME"/>
        </w:rPr>
        <w:t xml:space="preserve">Holelitijaza je veoma čest događaj tokom terapije lijekom Sandostatin i može biti povezana sa holecistitisom i dilatacijom žučnog kanala (vidjeti odjeljak 4.8). </w:t>
      </w:r>
      <w:r w:rsidR="00576793" w:rsidRPr="004E5B63">
        <w:rPr>
          <w:noProof/>
          <w:color w:val="000000"/>
          <w:sz w:val="22"/>
          <w:szCs w:val="22"/>
          <w:lang w:val="sr-Latn-ME"/>
        </w:rPr>
        <w:t xml:space="preserve">Dodatno, u postmarketinškom periodu su prijavljeni slučajevi holangitisa kao komplikacija holelitijaze kod pacijenata koji su primali lijek Sandostatin. </w:t>
      </w:r>
      <w:r w:rsidRPr="004E5B63">
        <w:rPr>
          <w:noProof/>
          <w:color w:val="000000"/>
          <w:sz w:val="22"/>
          <w:szCs w:val="22"/>
          <w:lang w:val="sr-Latn-ME"/>
        </w:rPr>
        <w:t xml:space="preserve">Preporučuju se ultrazvučni pregledi žučne kese prije terapije i u 6-12-mjesečnim intervalima u toku terapije lijekom Sandostatin.  </w:t>
      </w:r>
    </w:p>
    <w:p w14:paraId="5AA129BA" w14:textId="77777777" w:rsidR="002A7BD6" w:rsidRPr="004E5B63" w:rsidRDefault="002A7BD6" w:rsidP="002A7BD6">
      <w:pPr>
        <w:rPr>
          <w:noProof/>
          <w:sz w:val="22"/>
          <w:szCs w:val="22"/>
          <w:lang w:val="sr-Latn-ME"/>
        </w:rPr>
      </w:pPr>
    </w:p>
    <w:p w14:paraId="73CAA4ED" w14:textId="77777777" w:rsidR="002A7BD6" w:rsidRPr="004E5B63" w:rsidRDefault="002A7BD6" w:rsidP="002A7BD6">
      <w:pPr>
        <w:rPr>
          <w:b/>
          <w:noProof/>
          <w:sz w:val="22"/>
          <w:szCs w:val="22"/>
          <w:lang w:val="sr-Latn-ME"/>
        </w:rPr>
      </w:pPr>
      <w:r w:rsidRPr="004E5B63">
        <w:rPr>
          <w:b/>
          <w:noProof/>
          <w:sz w:val="22"/>
          <w:szCs w:val="22"/>
          <w:lang w:val="sr-Latn-ME"/>
        </w:rPr>
        <w:t>GEP endokrini tumori</w:t>
      </w:r>
    </w:p>
    <w:p w14:paraId="40260891" w14:textId="77777777" w:rsidR="002A7BD6" w:rsidRPr="004E5B63" w:rsidRDefault="002A7BD6" w:rsidP="002A7BD6">
      <w:pPr>
        <w:rPr>
          <w:noProof/>
          <w:sz w:val="22"/>
          <w:szCs w:val="22"/>
          <w:lang w:val="sr-Latn-ME"/>
        </w:rPr>
      </w:pPr>
      <w:r w:rsidRPr="004E5B63">
        <w:rPr>
          <w:noProof/>
          <w:sz w:val="22"/>
          <w:szCs w:val="22"/>
          <w:lang w:val="sr-Latn-ME"/>
        </w:rPr>
        <w:t xml:space="preserve">Tokom liječenja GEP endokrinih tumora može doći do rijetkih pojava iznenadnog gubitka kontrole simptoma uspostavljene lijekom </w:t>
      </w:r>
      <w:r w:rsidRPr="004E5B63">
        <w:rPr>
          <w:sz w:val="22"/>
          <w:szCs w:val="22"/>
          <w:lang w:val="sr-Latn-ME"/>
        </w:rPr>
        <w:t>Sandostatin</w:t>
      </w:r>
      <w:r w:rsidRPr="004E5B63">
        <w:rPr>
          <w:noProof/>
          <w:sz w:val="22"/>
          <w:szCs w:val="22"/>
          <w:lang w:val="sr-Latn-ME"/>
        </w:rPr>
        <w:t>, uz brzo vraćanje teških simptoma. Ukoliko se prestane sa terapijom, simptomi se mogu pogoršati ili ponovo vratiti.</w:t>
      </w:r>
    </w:p>
    <w:p w14:paraId="0E236EE2" w14:textId="77777777" w:rsidR="002A7BD6" w:rsidRPr="004E5B63" w:rsidRDefault="002A7BD6" w:rsidP="002A7BD6">
      <w:pPr>
        <w:rPr>
          <w:noProof/>
          <w:sz w:val="22"/>
          <w:szCs w:val="22"/>
          <w:lang w:val="sr-Latn-ME"/>
        </w:rPr>
      </w:pPr>
    </w:p>
    <w:p w14:paraId="00617D2B" w14:textId="77777777" w:rsidR="002A7BD6" w:rsidRPr="004E5B63" w:rsidRDefault="002A7BD6" w:rsidP="002A7BD6">
      <w:pPr>
        <w:rPr>
          <w:b/>
          <w:noProof/>
          <w:sz w:val="22"/>
          <w:szCs w:val="22"/>
          <w:lang w:val="sr-Latn-ME"/>
        </w:rPr>
      </w:pPr>
      <w:r w:rsidRPr="004E5B63">
        <w:rPr>
          <w:b/>
          <w:noProof/>
          <w:sz w:val="22"/>
          <w:szCs w:val="22"/>
          <w:lang w:val="sr-Latn-ME"/>
        </w:rPr>
        <w:t>Metabolizam glukoze</w:t>
      </w:r>
    </w:p>
    <w:p w14:paraId="370B7C6A" w14:textId="77777777" w:rsidR="002A7BD6" w:rsidRPr="004E5B63" w:rsidRDefault="002A7BD6" w:rsidP="002A7BD6">
      <w:pPr>
        <w:rPr>
          <w:noProof/>
          <w:sz w:val="22"/>
          <w:szCs w:val="22"/>
          <w:lang w:val="sr-Latn-ME"/>
        </w:rPr>
      </w:pPr>
      <w:r w:rsidRPr="004E5B63">
        <w:rPr>
          <w:noProof/>
          <w:sz w:val="22"/>
          <w:szCs w:val="22"/>
          <w:lang w:val="sr-Latn-ME"/>
        </w:rPr>
        <w:t>Zbog svog inhibitornog dejstva na hormon rasta, glukagon i oslobađanje insulina, Sandostatin</w:t>
      </w:r>
      <w:r w:rsidRPr="004E5B63">
        <w:rPr>
          <w:noProof/>
          <w:sz w:val="22"/>
          <w:szCs w:val="22"/>
          <w:vertAlign w:val="superscript"/>
          <w:lang w:val="sr-Latn-ME"/>
        </w:rPr>
        <w:t xml:space="preserve"> </w:t>
      </w:r>
      <w:r w:rsidRPr="004E5B63">
        <w:rPr>
          <w:noProof/>
          <w:sz w:val="22"/>
          <w:szCs w:val="22"/>
          <w:lang w:val="sr-Latn-ME"/>
        </w:rPr>
        <w:t xml:space="preserve">može da utiče na regulaciju glukoze. Može doći do oštećenja post-prandijalne tolerancije glukoze, u nekim slučajevima može doći do pojave perzistentne hiperglikemije kao posljedice hroničnog primanja lijeka. Takođe, zapažena je i hipoglikemija. </w:t>
      </w:r>
    </w:p>
    <w:p w14:paraId="4EB0C547" w14:textId="77777777" w:rsidR="002A7BD6" w:rsidRPr="004E5B63" w:rsidRDefault="002A7BD6" w:rsidP="002A7BD6">
      <w:pPr>
        <w:rPr>
          <w:noProof/>
          <w:sz w:val="22"/>
          <w:szCs w:val="22"/>
          <w:lang w:val="sr-Latn-ME"/>
        </w:rPr>
      </w:pPr>
    </w:p>
    <w:p w14:paraId="6E8D03B1" w14:textId="77777777" w:rsidR="002A7BD6" w:rsidRPr="004E5B63" w:rsidRDefault="002A7BD6" w:rsidP="002A7BD6">
      <w:pPr>
        <w:rPr>
          <w:noProof/>
          <w:sz w:val="22"/>
          <w:szCs w:val="22"/>
          <w:lang w:val="sr-Latn-ME"/>
        </w:rPr>
      </w:pPr>
      <w:r w:rsidRPr="004E5B63">
        <w:rPr>
          <w:noProof/>
          <w:sz w:val="22"/>
          <w:szCs w:val="22"/>
          <w:lang w:val="sr-Latn-ME"/>
        </w:rPr>
        <w:lastRenderedPageBreak/>
        <w:t xml:space="preserve">Oktreotid može da produbi i produži hipoglikemiju kod pacijenata sa insulinomima zbog toga što oktreotid ima veću relativnu snagu inhibicije sekrecije hormona rasta i glukagona u odnosu na insulin, kao i zbog kraćeg inhibitornog djelovanja na insulin. Ovi pacijenti se moraju pažljivo pratiti tokom uvođenja terapije lijekom </w:t>
      </w:r>
      <w:r w:rsidRPr="004E5B63">
        <w:rPr>
          <w:sz w:val="22"/>
          <w:szCs w:val="22"/>
          <w:lang w:val="sr-Latn-ME"/>
        </w:rPr>
        <w:t>Sandostatin</w:t>
      </w:r>
      <w:r w:rsidRPr="004E5B63">
        <w:rPr>
          <w:noProof/>
          <w:sz w:val="22"/>
          <w:szCs w:val="22"/>
          <w:lang w:val="sr-Latn-ME"/>
        </w:rPr>
        <w:t>, i prilikom svake promjene doze. Izrazita kolebanja koncentracije glukoze u krvi se mogu smanjiti pomoću češćeg davanja manjih doza lijeka Sandostatin.</w:t>
      </w:r>
    </w:p>
    <w:p w14:paraId="32D38168" w14:textId="77777777" w:rsidR="002A7BD6" w:rsidRPr="004E5B63" w:rsidRDefault="002A7BD6" w:rsidP="002A7BD6">
      <w:pPr>
        <w:rPr>
          <w:noProof/>
          <w:sz w:val="22"/>
          <w:szCs w:val="22"/>
          <w:lang w:val="sr-Latn-ME"/>
        </w:rPr>
      </w:pPr>
    </w:p>
    <w:p w14:paraId="77184007" w14:textId="77777777" w:rsidR="002A7BD6" w:rsidRPr="004E5B63" w:rsidRDefault="002A7BD6" w:rsidP="002A7BD6">
      <w:pPr>
        <w:rPr>
          <w:b/>
          <w:noProof/>
          <w:sz w:val="22"/>
          <w:szCs w:val="22"/>
          <w:lang w:val="sr-Latn-ME"/>
        </w:rPr>
      </w:pPr>
      <w:r w:rsidRPr="004E5B63">
        <w:rPr>
          <w:noProof/>
          <w:sz w:val="22"/>
          <w:szCs w:val="22"/>
          <w:lang w:val="sr-Latn-ME"/>
        </w:rPr>
        <w:t xml:space="preserve">Potrebe za insulinom kod pacijenata sa tipom I diabetes mellitus mogu se smanjiti  lijekom </w:t>
      </w:r>
      <w:r w:rsidRPr="004E5B63">
        <w:rPr>
          <w:sz w:val="22"/>
          <w:szCs w:val="22"/>
          <w:lang w:val="sr-Latn-ME"/>
        </w:rPr>
        <w:t>Sandostatin</w:t>
      </w:r>
      <w:r w:rsidRPr="004E5B63">
        <w:rPr>
          <w:noProof/>
          <w:sz w:val="22"/>
          <w:szCs w:val="22"/>
          <w:lang w:val="sr-Latn-ME"/>
        </w:rPr>
        <w:t xml:space="preserve">. Kod pacijenata koji nemaju dijabetes i kod pacijenata sa tipom II diabetes mellitus kod kojih su rezerve insulina djelimično intaktne, </w:t>
      </w:r>
      <w:r w:rsidRPr="004E5B63">
        <w:rPr>
          <w:sz w:val="22"/>
          <w:szCs w:val="22"/>
          <w:lang w:val="sr-Latn-ME"/>
        </w:rPr>
        <w:t>Sandostatin</w:t>
      </w:r>
      <w:r w:rsidRPr="004E5B63">
        <w:rPr>
          <w:noProof/>
          <w:sz w:val="22"/>
          <w:szCs w:val="22"/>
          <w:lang w:val="sr-Latn-ME"/>
        </w:rPr>
        <w:t xml:space="preserve"> može da dovede do porasta post-prandijalne glikemije. Zbog toga se preporučuje praćenje tolerancije glukoze i terapije dijabetesa.</w:t>
      </w:r>
    </w:p>
    <w:p w14:paraId="785D5728" w14:textId="77777777" w:rsidR="002A7BD6" w:rsidRPr="004E5B63" w:rsidRDefault="002A7BD6" w:rsidP="002A7BD6">
      <w:pPr>
        <w:rPr>
          <w:noProof/>
          <w:sz w:val="22"/>
          <w:szCs w:val="22"/>
          <w:lang w:val="sr-Latn-ME"/>
        </w:rPr>
      </w:pPr>
    </w:p>
    <w:p w14:paraId="2FE59B3C" w14:textId="77777777" w:rsidR="002A7BD6" w:rsidRPr="004E5B63" w:rsidRDefault="002A7BD6" w:rsidP="002A7BD6">
      <w:pPr>
        <w:rPr>
          <w:b/>
          <w:noProof/>
          <w:sz w:val="22"/>
          <w:szCs w:val="22"/>
          <w:lang w:val="sr-Latn-ME"/>
        </w:rPr>
      </w:pPr>
      <w:r w:rsidRPr="004E5B63">
        <w:rPr>
          <w:b/>
          <w:noProof/>
          <w:sz w:val="22"/>
          <w:szCs w:val="22"/>
          <w:lang w:val="sr-Latn-ME"/>
        </w:rPr>
        <w:t>Variksi ezofagusa</w:t>
      </w:r>
    </w:p>
    <w:p w14:paraId="16811076" w14:textId="77777777" w:rsidR="002A7BD6" w:rsidRPr="004E5B63" w:rsidRDefault="002A7BD6" w:rsidP="002A7BD6">
      <w:pPr>
        <w:rPr>
          <w:noProof/>
          <w:sz w:val="22"/>
          <w:szCs w:val="22"/>
          <w:lang w:val="sr-Latn-ME"/>
        </w:rPr>
      </w:pPr>
      <w:r w:rsidRPr="004E5B63">
        <w:rPr>
          <w:noProof/>
          <w:sz w:val="22"/>
          <w:szCs w:val="22"/>
          <w:lang w:val="sr-Latn-ME"/>
        </w:rPr>
        <w:t>Odgovarajuće praćenje nivoa glukoze u krvi je obavezno, pošto nakon epizoda krvarenja iz variksa ezofagusa postoji povećan rizik za nastanak insulin-zavisnog dijabetesa ili rizik od izmijenjene potrebe za insulinom kod pacijenata sa već prisutnim dijabetesom.</w:t>
      </w:r>
    </w:p>
    <w:p w14:paraId="7061332A" w14:textId="77777777" w:rsidR="002A7BD6" w:rsidRPr="004E5B63" w:rsidRDefault="002A7BD6" w:rsidP="002A7BD6">
      <w:pPr>
        <w:rPr>
          <w:noProof/>
          <w:sz w:val="22"/>
          <w:szCs w:val="22"/>
          <w:lang w:val="sr-Latn-ME"/>
        </w:rPr>
      </w:pPr>
    </w:p>
    <w:p w14:paraId="5BF4CA37" w14:textId="77777777" w:rsidR="002A7BD6" w:rsidRPr="004E5B63" w:rsidRDefault="002A7BD6" w:rsidP="002A7BD6">
      <w:pPr>
        <w:rPr>
          <w:b/>
          <w:noProof/>
          <w:sz w:val="22"/>
          <w:szCs w:val="22"/>
          <w:lang w:val="sr-Latn-ME"/>
        </w:rPr>
      </w:pPr>
      <w:r w:rsidRPr="004E5B63">
        <w:rPr>
          <w:b/>
          <w:noProof/>
          <w:sz w:val="22"/>
          <w:szCs w:val="22"/>
          <w:lang w:val="sr-Latn-ME"/>
        </w:rPr>
        <w:t>Reakcija na mjestu davanja</w:t>
      </w:r>
    </w:p>
    <w:p w14:paraId="58FE98D7" w14:textId="77777777" w:rsidR="002A7BD6" w:rsidRPr="004E5B63" w:rsidRDefault="002A7BD6" w:rsidP="002A7BD6">
      <w:pPr>
        <w:tabs>
          <w:tab w:val="left" w:pos="720"/>
        </w:tabs>
        <w:rPr>
          <w:noProof/>
          <w:color w:val="000000"/>
          <w:sz w:val="22"/>
          <w:szCs w:val="22"/>
          <w:lang w:val="sr-Latn-ME"/>
        </w:rPr>
      </w:pPr>
      <w:r w:rsidRPr="004E5B63">
        <w:rPr>
          <w:noProof/>
          <w:color w:val="000000"/>
          <w:sz w:val="22"/>
          <w:szCs w:val="22"/>
          <w:lang w:val="sr-Latn-ME"/>
        </w:rPr>
        <w:t>U 52-nedjeljnom ispitivanju toksičnosti na pacovima, uglavnom mužjacima, uočeni su sarkomi na mjestu s.c. injekcije samo kod najvećih doza (oko 8 puta većih od maksimalne doze za ljude). U 52-nedjeljnom ispitivanju toksičnosti na psu nisu se javile hiperplastične ili neoplastične lezije na mjestu s.c. injekcije. Nije prijavljen nastanak tumora na mjestu injekcije kod pacijenata liječenih lijekom Sandostatin i do 15 godina. Sve trenutno dostupne informacije ukazuju na to da su nalazi kod pacova specifični za vrstu i da nemaju značaja za primjenu ovog lijeka kod ljudi (vidjeti odjeljak 5.3).</w:t>
      </w:r>
    </w:p>
    <w:p w14:paraId="3A3A496C" w14:textId="48D71B16" w:rsidR="002A7BD6" w:rsidRPr="004E5B63" w:rsidRDefault="002A7BD6" w:rsidP="002A7BD6">
      <w:pPr>
        <w:tabs>
          <w:tab w:val="left" w:pos="720"/>
        </w:tabs>
        <w:rPr>
          <w:noProof/>
          <w:color w:val="000000"/>
          <w:sz w:val="22"/>
          <w:szCs w:val="22"/>
          <w:lang w:val="sr-Latn-ME"/>
        </w:rPr>
      </w:pPr>
    </w:p>
    <w:p w14:paraId="4B291BA6" w14:textId="77777777" w:rsidR="00C566CE" w:rsidRPr="004E5B63" w:rsidRDefault="00C566CE" w:rsidP="00C566CE">
      <w:pPr>
        <w:tabs>
          <w:tab w:val="left" w:pos="720"/>
        </w:tabs>
        <w:rPr>
          <w:noProof/>
          <w:color w:val="000000"/>
          <w:sz w:val="22"/>
          <w:szCs w:val="22"/>
          <w:lang w:val="sr-Latn-ME"/>
        </w:rPr>
      </w:pPr>
      <w:r w:rsidRPr="004E5B63">
        <w:rPr>
          <w:noProof/>
          <w:color w:val="000000"/>
          <w:sz w:val="22"/>
          <w:szCs w:val="22"/>
          <w:lang w:val="sr-Latn-ME"/>
        </w:rPr>
        <w:t>Funkcija pankreasa</w:t>
      </w:r>
    </w:p>
    <w:p w14:paraId="031682B4" w14:textId="77777777" w:rsidR="00C566CE" w:rsidRPr="004E5B63" w:rsidRDefault="00C566CE" w:rsidP="00C566CE">
      <w:pPr>
        <w:tabs>
          <w:tab w:val="left" w:pos="720"/>
        </w:tabs>
        <w:rPr>
          <w:noProof/>
          <w:color w:val="000000"/>
          <w:sz w:val="22"/>
          <w:szCs w:val="22"/>
          <w:lang w:val="sr-Latn-ME"/>
        </w:rPr>
      </w:pPr>
    </w:p>
    <w:p w14:paraId="7F36E5D8" w14:textId="11A0ED3D" w:rsidR="00C566CE" w:rsidRPr="004E5B63" w:rsidRDefault="00C566CE" w:rsidP="00C566CE">
      <w:pPr>
        <w:tabs>
          <w:tab w:val="left" w:pos="720"/>
        </w:tabs>
        <w:rPr>
          <w:noProof/>
          <w:color w:val="000000"/>
          <w:sz w:val="22"/>
          <w:szCs w:val="22"/>
          <w:lang w:val="sr-Latn-ME"/>
        </w:rPr>
      </w:pPr>
      <w:r w:rsidRPr="004E5B63">
        <w:rPr>
          <w:noProof/>
          <w:color w:val="000000"/>
          <w:sz w:val="22"/>
          <w:szCs w:val="22"/>
          <w:lang w:val="sr-Latn-ME"/>
        </w:rPr>
        <w:t>Pankreasna egzokrina insuficijencija (PEI) je primijećena kod nekih pacijenata sa gastro-entero-pankreasnim endokrinim tumorima koji su primali oktreotid. Simptomi PEI mogu uključivati steatoreju, rijetku stolicu, nadimanje stomaka i gubitak tjelesne mase. Kod simptomatskih pacijenata je potrebno razmotriti praćenje i primjenu dogovarajuće terapije PEI prema kliničkim vodičima.</w:t>
      </w:r>
    </w:p>
    <w:p w14:paraId="0544E50B" w14:textId="77777777" w:rsidR="00C566CE" w:rsidRPr="004E5B63" w:rsidRDefault="00C566CE" w:rsidP="002A7BD6">
      <w:pPr>
        <w:tabs>
          <w:tab w:val="left" w:pos="720"/>
        </w:tabs>
        <w:rPr>
          <w:noProof/>
          <w:color w:val="000000"/>
          <w:sz w:val="22"/>
          <w:szCs w:val="22"/>
          <w:lang w:val="sr-Latn-ME"/>
        </w:rPr>
      </w:pPr>
    </w:p>
    <w:p w14:paraId="691F7B7D" w14:textId="77777777" w:rsidR="002A7BD6" w:rsidRPr="004E5B63" w:rsidRDefault="002A7BD6" w:rsidP="002A7BD6">
      <w:pPr>
        <w:tabs>
          <w:tab w:val="left" w:pos="720"/>
        </w:tabs>
        <w:rPr>
          <w:b/>
          <w:noProof/>
          <w:color w:val="000000"/>
          <w:sz w:val="22"/>
          <w:szCs w:val="22"/>
          <w:lang w:val="sr-Latn-ME"/>
        </w:rPr>
      </w:pPr>
      <w:r w:rsidRPr="004E5B63">
        <w:rPr>
          <w:b/>
          <w:noProof/>
          <w:color w:val="000000"/>
          <w:sz w:val="22"/>
          <w:szCs w:val="22"/>
          <w:lang w:val="sr-Latn-ME"/>
        </w:rPr>
        <w:t>Ishrana</w:t>
      </w:r>
    </w:p>
    <w:p w14:paraId="77D160A5" w14:textId="77777777" w:rsidR="002A7BD6" w:rsidRPr="004E5B63" w:rsidRDefault="002A7BD6" w:rsidP="002A7BD6">
      <w:pPr>
        <w:rPr>
          <w:noProof/>
          <w:sz w:val="22"/>
          <w:szCs w:val="22"/>
          <w:lang w:val="sr-Latn-ME"/>
        </w:rPr>
      </w:pPr>
      <w:r w:rsidRPr="004E5B63">
        <w:rPr>
          <w:noProof/>
          <w:sz w:val="22"/>
          <w:szCs w:val="22"/>
          <w:lang w:val="sr-Latn-ME"/>
        </w:rPr>
        <w:t xml:space="preserve">Oktreotid može izmijeniti resorpciju masti iz hrane kod nekih pacijenata. </w:t>
      </w:r>
    </w:p>
    <w:p w14:paraId="36758BE9" w14:textId="77777777" w:rsidR="002A7BD6" w:rsidRPr="004E5B63" w:rsidRDefault="002A7BD6" w:rsidP="002A7BD6">
      <w:pPr>
        <w:rPr>
          <w:noProof/>
          <w:sz w:val="22"/>
          <w:szCs w:val="22"/>
          <w:lang w:val="sr-Latn-ME"/>
        </w:rPr>
      </w:pPr>
    </w:p>
    <w:p w14:paraId="568527C2" w14:textId="77777777" w:rsidR="002A7BD6" w:rsidRPr="004E5B63" w:rsidRDefault="002A7BD6" w:rsidP="002A7BD6">
      <w:pPr>
        <w:rPr>
          <w:noProof/>
          <w:sz w:val="22"/>
          <w:szCs w:val="22"/>
          <w:lang w:val="sr-Latn-ME"/>
        </w:rPr>
      </w:pPr>
      <w:r w:rsidRPr="004E5B63">
        <w:rPr>
          <w:noProof/>
          <w:sz w:val="22"/>
          <w:szCs w:val="22"/>
          <w:lang w:val="sr-Latn-ME"/>
        </w:rPr>
        <w:t>Smanjeni nivoi vitamina B</w:t>
      </w:r>
      <w:r w:rsidRPr="004E5B63">
        <w:rPr>
          <w:noProof/>
          <w:sz w:val="22"/>
          <w:szCs w:val="22"/>
          <w:vertAlign w:val="subscript"/>
          <w:lang w:val="sr-Latn-ME"/>
        </w:rPr>
        <w:t xml:space="preserve">12  </w:t>
      </w:r>
      <w:r w:rsidRPr="004E5B63">
        <w:rPr>
          <w:noProof/>
          <w:sz w:val="22"/>
          <w:szCs w:val="22"/>
          <w:lang w:val="sr-Latn-ME"/>
        </w:rPr>
        <w:t xml:space="preserve">i abnormalni Schilling-ovi testovi mogu se vidjeti kod nekih pacijenata na terapiji oktreotidom. Praćenje nivoa ovog vitamina se preporučuje tokom terapije lijekom </w:t>
      </w:r>
      <w:r w:rsidRPr="004E5B63">
        <w:rPr>
          <w:sz w:val="22"/>
          <w:szCs w:val="22"/>
          <w:lang w:val="sr-Latn-ME"/>
        </w:rPr>
        <w:t xml:space="preserve">Sandostatin </w:t>
      </w:r>
      <w:r w:rsidRPr="004E5B63">
        <w:rPr>
          <w:noProof/>
          <w:sz w:val="22"/>
          <w:szCs w:val="22"/>
          <w:lang w:val="sr-Latn-ME"/>
        </w:rPr>
        <w:t xml:space="preserve"> kod pacijenata koji imaju u anamnezi podatak o nedostatku vitamina B</w:t>
      </w:r>
      <w:r w:rsidRPr="004E5B63">
        <w:rPr>
          <w:noProof/>
          <w:sz w:val="22"/>
          <w:szCs w:val="22"/>
          <w:vertAlign w:val="subscript"/>
          <w:lang w:val="sr-Latn-ME"/>
        </w:rPr>
        <w:t>12</w:t>
      </w:r>
      <w:r w:rsidRPr="004E5B63">
        <w:rPr>
          <w:noProof/>
          <w:sz w:val="22"/>
          <w:szCs w:val="22"/>
          <w:lang w:val="sr-Latn-ME"/>
        </w:rPr>
        <w:t>.</w:t>
      </w:r>
    </w:p>
    <w:p w14:paraId="6FF352DB" w14:textId="77777777" w:rsidR="00D35C52" w:rsidRPr="004E5B63" w:rsidRDefault="00D35C52" w:rsidP="002A7BD6">
      <w:pPr>
        <w:rPr>
          <w:noProof/>
          <w:sz w:val="22"/>
          <w:szCs w:val="22"/>
          <w:u w:val="single"/>
          <w:lang w:val="sr-Latn-ME"/>
        </w:rPr>
      </w:pPr>
    </w:p>
    <w:p w14:paraId="7304060A" w14:textId="77777777" w:rsidR="00D35C52" w:rsidRPr="004E5B63" w:rsidRDefault="00D35C52" w:rsidP="00D35C52">
      <w:pPr>
        <w:rPr>
          <w:noProof/>
          <w:sz w:val="22"/>
          <w:szCs w:val="22"/>
          <w:u w:val="single"/>
          <w:lang w:val="sr-Latn-ME"/>
        </w:rPr>
      </w:pPr>
      <w:r w:rsidRPr="004E5B63">
        <w:rPr>
          <w:noProof/>
          <w:sz w:val="22"/>
          <w:szCs w:val="22"/>
          <w:u w:val="single"/>
          <w:lang w:val="sr-Latn-ME"/>
        </w:rPr>
        <w:t>Funkcija pankreasa</w:t>
      </w:r>
    </w:p>
    <w:p w14:paraId="7C6897CE" w14:textId="77777777" w:rsidR="00D35C52" w:rsidRPr="004E5B63" w:rsidRDefault="00D35C52" w:rsidP="00D35C52">
      <w:pPr>
        <w:rPr>
          <w:noProof/>
          <w:sz w:val="22"/>
          <w:szCs w:val="22"/>
          <w:u w:val="single"/>
          <w:lang w:val="sr-Latn-ME"/>
        </w:rPr>
      </w:pPr>
    </w:p>
    <w:p w14:paraId="7F08A985" w14:textId="000EFEEF" w:rsidR="00D35C52" w:rsidRPr="004E5B63" w:rsidRDefault="00D35C52" w:rsidP="00D35C52">
      <w:pPr>
        <w:rPr>
          <w:noProof/>
          <w:sz w:val="22"/>
          <w:szCs w:val="22"/>
          <w:lang w:val="sr-Latn-ME"/>
        </w:rPr>
      </w:pPr>
      <w:r w:rsidRPr="004E5B63">
        <w:rPr>
          <w:noProof/>
          <w:sz w:val="22"/>
          <w:szCs w:val="22"/>
          <w:lang w:val="sr-Latn-ME"/>
        </w:rPr>
        <w:t>Pankreasna egzokrina insuficijencija (PEI) je primijećena kod nekih pacijenata sa gastro-entero-pankreasnim endokrinim tumorima koji su primali oktreotid. Simptomi PEI mogu uključivati steatoreju, rijetku stolicu, nadimanje stomaka i gubitak tjelesne mase. Kod simptomatskih pacijenata je potrebno razmotriti praćenje i primjenu odgovarajuće terapije PEI prema kliničkim vodičima.</w:t>
      </w:r>
    </w:p>
    <w:p w14:paraId="11CF14B8" w14:textId="77777777" w:rsidR="00D35C52" w:rsidRPr="004E5B63" w:rsidRDefault="00D35C52" w:rsidP="002A7BD6">
      <w:pPr>
        <w:rPr>
          <w:noProof/>
          <w:sz w:val="22"/>
          <w:szCs w:val="22"/>
          <w:u w:val="single"/>
          <w:lang w:val="sr-Latn-ME"/>
        </w:rPr>
      </w:pPr>
    </w:p>
    <w:p w14:paraId="0B0809B1" w14:textId="77777777" w:rsidR="002A7BD6" w:rsidRPr="004E5B63" w:rsidRDefault="002A7BD6" w:rsidP="002A7BD6">
      <w:pPr>
        <w:rPr>
          <w:noProof/>
          <w:sz w:val="22"/>
          <w:szCs w:val="22"/>
          <w:u w:val="single"/>
          <w:lang w:val="sr-Latn-ME"/>
        </w:rPr>
      </w:pPr>
      <w:r w:rsidRPr="004E5B63">
        <w:rPr>
          <w:noProof/>
          <w:sz w:val="22"/>
          <w:szCs w:val="22"/>
          <w:u w:val="single"/>
          <w:lang w:val="sr-Latn-ME"/>
        </w:rPr>
        <w:t>Sadržaj natrijuma</w:t>
      </w:r>
    </w:p>
    <w:p w14:paraId="4E6881FF" w14:textId="72870AFA" w:rsidR="002A7BD6" w:rsidRPr="004E5B63" w:rsidRDefault="002A7BD6" w:rsidP="002A7BD6">
      <w:pPr>
        <w:rPr>
          <w:noProof/>
          <w:sz w:val="22"/>
          <w:szCs w:val="22"/>
          <w:lang w:val="sr-Latn-ME"/>
        </w:rPr>
      </w:pPr>
      <w:r w:rsidRPr="004E5B63">
        <w:rPr>
          <w:noProof/>
          <w:sz w:val="22"/>
          <w:szCs w:val="22"/>
          <w:lang w:val="sr-Latn-ME"/>
        </w:rPr>
        <w:t xml:space="preserve">Sandostatin sadrži manje od 1 mmol (23 mg) natrijuma po </w:t>
      </w:r>
      <w:r w:rsidR="002F0A19" w:rsidRPr="004E5B63">
        <w:rPr>
          <w:noProof/>
          <w:sz w:val="22"/>
          <w:szCs w:val="22"/>
          <w:lang w:val="sr-Latn-ME"/>
        </w:rPr>
        <w:t>ampuli</w:t>
      </w:r>
      <w:r w:rsidRPr="004E5B63">
        <w:rPr>
          <w:noProof/>
          <w:sz w:val="22"/>
          <w:szCs w:val="22"/>
          <w:lang w:val="sr-Latn-ME"/>
        </w:rPr>
        <w:t>, tj. suštinski je bez natrijuma.</w:t>
      </w:r>
    </w:p>
    <w:p w14:paraId="1A500468" w14:textId="77777777" w:rsidR="00057E35" w:rsidRPr="004E5B63" w:rsidRDefault="00057E35" w:rsidP="00480FB1">
      <w:pPr>
        <w:tabs>
          <w:tab w:val="left" w:pos="540"/>
          <w:tab w:val="left" w:pos="569"/>
        </w:tabs>
        <w:rPr>
          <w:bCs/>
          <w:sz w:val="22"/>
          <w:szCs w:val="22"/>
          <w:lang w:val="sr-Latn-ME"/>
        </w:rPr>
      </w:pPr>
    </w:p>
    <w:p w14:paraId="0AC5CB6C" w14:textId="77777777" w:rsidR="00411B4B" w:rsidRPr="004E5B63" w:rsidRDefault="00411B4B" w:rsidP="00480FB1">
      <w:pPr>
        <w:tabs>
          <w:tab w:val="left" w:pos="540"/>
          <w:tab w:val="left" w:pos="569"/>
        </w:tabs>
        <w:rPr>
          <w:b/>
          <w:bCs/>
          <w:sz w:val="22"/>
          <w:szCs w:val="22"/>
          <w:lang w:val="sr-Latn-ME"/>
        </w:rPr>
      </w:pPr>
      <w:r w:rsidRPr="004E5B63">
        <w:rPr>
          <w:b/>
          <w:bCs/>
          <w:sz w:val="22"/>
          <w:szCs w:val="22"/>
          <w:lang w:val="sr-Latn-ME"/>
        </w:rPr>
        <w:t>4.5.</w:t>
      </w:r>
      <w:r w:rsidR="000D60CC" w:rsidRPr="004E5B63">
        <w:rPr>
          <w:b/>
          <w:bCs/>
          <w:sz w:val="22"/>
          <w:szCs w:val="22"/>
          <w:lang w:val="sr-Latn-ME"/>
        </w:rPr>
        <w:tab/>
      </w:r>
      <w:r w:rsidRPr="004E5B63">
        <w:rPr>
          <w:b/>
          <w:bCs/>
          <w:sz w:val="22"/>
          <w:szCs w:val="22"/>
          <w:lang w:val="sr-Latn-ME"/>
        </w:rPr>
        <w:t>Interakcije sa drugim ljekovima i druge vrste interakcija</w:t>
      </w:r>
    </w:p>
    <w:p w14:paraId="6119A634" w14:textId="77777777" w:rsidR="002A7BD6" w:rsidRPr="004E5B63" w:rsidRDefault="002A7BD6" w:rsidP="002A7BD6">
      <w:pPr>
        <w:rPr>
          <w:noProof/>
          <w:sz w:val="22"/>
          <w:szCs w:val="22"/>
          <w:lang w:val="sr-Latn-ME"/>
        </w:rPr>
      </w:pPr>
    </w:p>
    <w:p w14:paraId="300A0D08" w14:textId="77777777" w:rsidR="002A7BD6" w:rsidRPr="004E5B63" w:rsidRDefault="002A7BD6" w:rsidP="002A7BD6">
      <w:pPr>
        <w:rPr>
          <w:noProof/>
          <w:sz w:val="22"/>
          <w:szCs w:val="22"/>
          <w:lang w:val="sr-Latn-ME"/>
        </w:rPr>
      </w:pPr>
      <w:r w:rsidRPr="004E5B63">
        <w:rPr>
          <w:noProof/>
          <w:sz w:val="22"/>
          <w:szCs w:val="22"/>
          <w:lang w:val="sr-Latn-ME"/>
        </w:rPr>
        <w:t xml:space="preserve">Neophodno je podešavanje doze ljekova kao što su beta blokatori, blokatori kalcijumovih kanala ili diuretici  kada se primjenjuju istovremeno sa lijekom Sandostatin (vidjeti odjeljak 4.4). </w:t>
      </w:r>
    </w:p>
    <w:p w14:paraId="0CA2B437" w14:textId="77777777" w:rsidR="002A7BD6" w:rsidRPr="004E5B63" w:rsidRDefault="002A7BD6" w:rsidP="002A7BD6">
      <w:pPr>
        <w:rPr>
          <w:noProof/>
          <w:sz w:val="22"/>
          <w:szCs w:val="22"/>
          <w:lang w:val="sr-Latn-ME"/>
        </w:rPr>
      </w:pPr>
    </w:p>
    <w:p w14:paraId="58E86052" w14:textId="77777777" w:rsidR="002A7BD6" w:rsidRPr="004E5B63" w:rsidRDefault="002A7BD6" w:rsidP="002A7BD6">
      <w:pPr>
        <w:rPr>
          <w:noProof/>
          <w:sz w:val="22"/>
          <w:szCs w:val="22"/>
          <w:lang w:val="sr-Latn-ME"/>
        </w:rPr>
      </w:pPr>
      <w:r w:rsidRPr="004E5B63">
        <w:rPr>
          <w:noProof/>
          <w:sz w:val="22"/>
          <w:szCs w:val="22"/>
          <w:lang w:val="sr-Latn-ME"/>
        </w:rPr>
        <w:t>Možda će biti potrebno podešavanje doze insulina i antidijabetičkih ljekova kada se primjenjuju istovremeno sa lijekom Sandostatin (vidjeti odjeljak 4.4).</w:t>
      </w:r>
    </w:p>
    <w:p w14:paraId="65C4086C" w14:textId="77777777" w:rsidR="002A7BD6" w:rsidRPr="004E5B63" w:rsidRDefault="002A7BD6" w:rsidP="002A7BD6">
      <w:pPr>
        <w:rPr>
          <w:noProof/>
          <w:sz w:val="22"/>
          <w:szCs w:val="22"/>
          <w:lang w:val="sr-Latn-ME"/>
        </w:rPr>
      </w:pPr>
    </w:p>
    <w:p w14:paraId="2C8400E3" w14:textId="77777777" w:rsidR="002A7BD6" w:rsidRPr="004E5B63" w:rsidRDefault="002A7BD6" w:rsidP="002A7BD6">
      <w:pPr>
        <w:rPr>
          <w:noProof/>
          <w:sz w:val="22"/>
          <w:szCs w:val="22"/>
          <w:lang w:val="sr-Latn-ME"/>
        </w:rPr>
      </w:pPr>
      <w:r w:rsidRPr="004E5B63">
        <w:rPr>
          <w:noProof/>
          <w:sz w:val="22"/>
          <w:szCs w:val="22"/>
          <w:lang w:val="sr-Latn-ME"/>
        </w:rPr>
        <w:lastRenderedPageBreak/>
        <w:t>Ustanovljeno je da oktreotid redukuje resorpciju ciklosporina u crijevima i da usporava resorpciju cimetidina.</w:t>
      </w:r>
    </w:p>
    <w:p w14:paraId="5F22BC49" w14:textId="77777777" w:rsidR="002A7BD6" w:rsidRPr="004E5B63" w:rsidRDefault="002A7BD6" w:rsidP="002A7BD6">
      <w:pPr>
        <w:rPr>
          <w:noProof/>
          <w:sz w:val="22"/>
          <w:szCs w:val="22"/>
          <w:lang w:val="sr-Latn-ME"/>
        </w:rPr>
      </w:pPr>
    </w:p>
    <w:p w14:paraId="529E22B9" w14:textId="77777777" w:rsidR="002A7BD6" w:rsidRPr="004E5B63" w:rsidRDefault="002A7BD6" w:rsidP="002A7BD6">
      <w:pPr>
        <w:rPr>
          <w:noProof/>
          <w:sz w:val="22"/>
          <w:szCs w:val="22"/>
          <w:lang w:val="sr-Latn-ME"/>
        </w:rPr>
      </w:pPr>
      <w:r w:rsidRPr="004E5B63">
        <w:rPr>
          <w:noProof/>
          <w:sz w:val="22"/>
          <w:szCs w:val="22"/>
          <w:lang w:val="sr-Latn-ME"/>
        </w:rPr>
        <w:t>Istovremena primjena oktreotida i bromokriptina povećava biološku raspoloživost bromokriptina.</w:t>
      </w:r>
    </w:p>
    <w:p w14:paraId="17A6E3C2" w14:textId="77777777" w:rsidR="002A7BD6" w:rsidRPr="004E5B63" w:rsidRDefault="002A7BD6" w:rsidP="002A7BD6">
      <w:pPr>
        <w:rPr>
          <w:noProof/>
          <w:sz w:val="22"/>
          <w:szCs w:val="22"/>
          <w:lang w:val="sr-Latn-ME"/>
        </w:rPr>
      </w:pPr>
    </w:p>
    <w:p w14:paraId="787C4711" w14:textId="77777777" w:rsidR="002A7BD6" w:rsidRPr="004E5B63" w:rsidRDefault="002A7BD6" w:rsidP="002A7BD6">
      <w:pPr>
        <w:rPr>
          <w:noProof/>
          <w:sz w:val="22"/>
          <w:szCs w:val="22"/>
          <w:lang w:val="sr-Latn-ME"/>
        </w:rPr>
      </w:pPr>
      <w:r w:rsidRPr="004E5B63">
        <w:rPr>
          <w:noProof/>
          <w:sz w:val="22"/>
          <w:szCs w:val="22"/>
          <w:lang w:val="sr-Latn-ME"/>
        </w:rPr>
        <w:t>Ograničeni objavljeni podaci pokazuju da analozi somatostatina mogu da smanje metabolički klirens jedinjenja za koja je poznato da se metabolišu enzimima citohroma P450, što može biti posljedica supresije hormona rasta. Pošto se ovaj efekat oktreotida ne može isključiti, potreban je oprez prilikom istovremene primjene oktreotida i ljekova koji se uglavnom metabolišu pomoću CYP3A4 a koji imaju nizak terapijski indeks (npr. hinidin, terfenadin).</w:t>
      </w:r>
    </w:p>
    <w:p w14:paraId="7630981F" w14:textId="77777777" w:rsidR="00771671" w:rsidRPr="004E5B63" w:rsidRDefault="00771671" w:rsidP="00771671">
      <w:pPr>
        <w:tabs>
          <w:tab w:val="left" w:pos="540"/>
          <w:tab w:val="left" w:pos="569"/>
        </w:tabs>
        <w:rPr>
          <w:bCs/>
          <w:sz w:val="22"/>
          <w:szCs w:val="22"/>
          <w:lang w:val="sr-Latn-ME"/>
        </w:rPr>
      </w:pPr>
    </w:p>
    <w:p w14:paraId="4148C676" w14:textId="55B2B783" w:rsidR="00771671" w:rsidRPr="004E5B63" w:rsidRDefault="00771671" w:rsidP="00771671">
      <w:pPr>
        <w:tabs>
          <w:tab w:val="left" w:pos="540"/>
          <w:tab w:val="left" w:pos="569"/>
        </w:tabs>
        <w:rPr>
          <w:bCs/>
          <w:sz w:val="22"/>
          <w:szCs w:val="22"/>
          <w:lang w:val="sr-Latn-ME"/>
        </w:rPr>
      </w:pPr>
      <w:r w:rsidRPr="004E5B63">
        <w:rPr>
          <w:bCs/>
          <w:sz w:val="22"/>
          <w:szCs w:val="22"/>
          <w:lang w:val="sr-Latn-ME"/>
        </w:rPr>
        <w:t>Istovremena primjena sa radioaktivnim analozima somatostatina</w:t>
      </w:r>
    </w:p>
    <w:p w14:paraId="1FF2779C" w14:textId="77777777" w:rsidR="00771671" w:rsidRPr="004E5B63" w:rsidRDefault="00771671" w:rsidP="00771671">
      <w:pPr>
        <w:tabs>
          <w:tab w:val="left" w:pos="540"/>
          <w:tab w:val="left" w:pos="569"/>
        </w:tabs>
        <w:rPr>
          <w:bCs/>
          <w:sz w:val="22"/>
          <w:szCs w:val="22"/>
          <w:lang w:val="sr-Latn-ME"/>
        </w:rPr>
      </w:pPr>
    </w:p>
    <w:p w14:paraId="33E34DE0" w14:textId="77777777" w:rsidR="00771671" w:rsidRPr="004E5B63" w:rsidRDefault="00771671" w:rsidP="00771671">
      <w:pPr>
        <w:tabs>
          <w:tab w:val="left" w:pos="540"/>
          <w:tab w:val="left" w:pos="569"/>
        </w:tabs>
        <w:rPr>
          <w:bCs/>
          <w:sz w:val="22"/>
          <w:szCs w:val="22"/>
          <w:lang w:val="sr-Latn-ME"/>
        </w:rPr>
      </w:pPr>
      <w:r w:rsidRPr="004E5B63">
        <w:rPr>
          <w:bCs/>
          <w:sz w:val="22"/>
          <w:szCs w:val="22"/>
          <w:lang w:val="sr-Latn-ME"/>
        </w:rPr>
        <w:t>Somatostatin i njegovi analozi, kao što je oktreotid, vezuju se za somatostatinske receptore putem kompeticije i mogu ometati efikasnost radioaktivnih analoga somatostatina.</w:t>
      </w:r>
    </w:p>
    <w:p w14:paraId="52BF3CDA" w14:textId="5E2DB2DF" w:rsidR="0072020E" w:rsidRPr="004E5B63" w:rsidRDefault="00771671" w:rsidP="00771671">
      <w:pPr>
        <w:tabs>
          <w:tab w:val="left" w:pos="540"/>
          <w:tab w:val="left" w:pos="569"/>
        </w:tabs>
        <w:rPr>
          <w:bCs/>
          <w:sz w:val="22"/>
          <w:szCs w:val="22"/>
          <w:lang w:val="sr-Latn-ME"/>
        </w:rPr>
      </w:pPr>
      <w:r w:rsidRPr="004E5B63">
        <w:rPr>
          <w:bCs/>
          <w:sz w:val="22"/>
          <w:szCs w:val="22"/>
          <w:lang w:val="sr-Latn-ME"/>
        </w:rPr>
        <w:t>Treba da se izbjegava primjena lijeka Sandostatin 24 sata pr</w:t>
      </w:r>
      <w:r w:rsidR="005E74A8" w:rsidRPr="004E5B63">
        <w:rPr>
          <w:bCs/>
          <w:sz w:val="22"/>
          <w:szCs w:val="22"/>
          <w:lang w:val="sr-Latn-ME"/>
        </w:rPr>
        <w:t>ij</w:t>
      </w:r>
      <w:r w:rsidRPr="004E5B63">
        <w:rPr>
          <w:bCs/>
          <w:sz w:val="22"/>
          <w:szCs w:val="22"/>
          <w:lang w:val="sr-Latn-ME"/>
        </w:rPr>
        <w:t>e primjene radiofarmaceutskog lijeka lutecijum (177 Lu) oksodotreotida, koji se vezuje za somatostatinske receptore.</w:t>
      </w:r>
    </w:p>
    <w:p w14:paraId="2ED4C566" w14:textId="77777777" w:rsidR="00771671" w:rsidRPr="004E5B63" w:rsidRDefault="00771671" w:rsidP="00771671">
      <w:pPr>
        <w:tabs>
          <w:tab w:val="left" w:pos="540"/>
          <w:tab w:val="left" w:pos="569"/>
        </w:tabs>
        <w:rPr>
          <w:bCs/>
          <w:sz w:val="22"/>
          <w:szCs w:val="22"/>
          <w:lang w:val="sr-Latn-ME"/>
        </w:rPr>
      </w:pPr>
    </w:p>
    <w:p w14:paraId="0D8E63C5" w14:textId="77777777" w:rsidR="0072020E" w:rsidRPr="004E5B63" w:rsidRDefault="0072020E" w:rsidP="00480FB1">
      <w:pPr>
        <w:tabs>
          <w:tab w:val="left" w:pos="540"/>
          <w:tab w:val="left" w:pos="569"/>
        </w:tabs>
        <w:rPr>
          <w:b/>
          <w:sz w:val="22"/>
          <w:szCs w:val="22"/>
          <w:lang w:val="sr-Latn-ME"/>
        </w:rPr>
      </w:pPr>
      <w:r w:rsidRPr="004E5B63">
        <w:rPr>
          <w:b/>
          <w:bCs/>
          <w:sz w:val="22"/>
          <w:szCs w:val="22"/>
          <w:lang w:val="sr-Latn-ME"/>
        </w:rPr>
        <w:t xml:space="preserve">4.6. </w:t>
      </w:r>
      <w:r w:rsidR="00480FB1" w:rsidRPr="004E5B63">
        <w:rPr>
          <w:b/>
          <w:bCs/>
          <w:sz w:val="22"/>
          <w:szCs w:val="22"/>
          <w:lang w:val="sr-Latn-ME"/>
        </w:rPr>
        <w:tab/>
      </w:r>
      <w:r w:rsidR="006D20A5" w:rsidRPr="004E5B63">
        <w:rPr>
          <w:b/>
          <w:sz w:val="22"/>
          <w:szCs w:val="22"/>
          <w:lang w:val="sr-Latn-ME"/>
        </w:rPr>
        <w:t>Plodnost, trudnoća i dojenje</w:t>
      </w:r>
    </w:p>
    <w:p w14:paraId="2A96379D" w14:textId="77777777" w:rsidR="002031B3" w:rsidRPr="004E5B63" w:rsidRDefault="002031B3" w:rsidP="00480FB1">
      <w:pPr>
        <w:tabs>
          <w:tab w:val="left" w:pos="540"/>
          <w:tab w:val="left" w:pos="569"/>
        </w:tabs>
        <w:rPr>
          <w:sz w:val="22"/>
          <w:szCs w:val="22"/>
          <w:u w:val="single"/>
          <w:lang w:val="sr-Latn-ME"/>
        </w:rPr>
      </w:pPr>
    </w:p>
    <w:p w14:paraId="5FE03A9B" w14:textId="77777777" w:rsidR="002A7BD6" w:rsidRPr="004E5B63" w:rsidRDefault="002A7BD6" w:rsidP="002A7BD6">
      <w:pPr>
        <w:rPr>
          <w:b/>
          <w:noProof/>
          <w:sz w:val="22"/>
          <w:szCs w:val="22"/>
          <w:lang w:val="sr-Latn-ME"/>
        </w:rPr>
      </w:pPr>
      <w:r w:rsidRPr="004E5B63">
        <w:rPr>
          <w:b/>
          <w:noProof/>
          <w:sz w:val="22"/>
          <w:szCs w:val="22"/>
          <w:lang w:val="sr-Latn-ME"/>
        </w:rPr>
        <w:t>Trudnoća</w:t>
      </w:r>
    </w:p>
    <w:p w14:paraId="38352B78" w14:textId="77777777" w:rsidR="002A7BD6" w:rsidRPr="004E5B63" w:rsidRDefault="002A7BD6" w:rsidP="002A7BD6">
      <w:pPr>
        <w:rPr>
          <w:noProof/>
          <w:sz w:val="22"/>
          <w:szCs w:val="22"/>
          <w:lang w:val="sr-Latn-ME"/>
        </w:rPr>
      </w:pPr>
      <w:r w:rsidRPr="004E5B63">
        <w:rPr>
          <w:noProof/>
          <w:sz w:val="22"/>
          <w:szCs w:val="22"/>
          <w:lang w:val="sr-Latn-ME"/>
        </w:rPr>
        <w:t>Postoje ograničeni podaci (manje od 300 ishoda trudnoće) o upotrebi oktreotida kod trudnica, i približno jedna trećina ishoda trudnoće su nepoznati. Većina ovih slučajeva prijavljena je u postmarketinškoj upotrebi oktreotida i više od 50% su bile pacijentkinje sa akromegalijom izložene lijeku tokom trudnoće. Većina žena je bila izložena oktreotidu tokom prvog trimestra trudnoće u dozama od 100 do 1200 mikrograma/dnevno lijeka Sandostatin s.c. ili 10 do 40 mg/mjesečno lijeka Sandostatin</w:t>
      </w:r>
      <w:r w:rsidRPr="004E5B63">
        <w:rPr>
          <w:noProof/>
          <w:sz w:val="22"/>
          <w:szCs w:val="22"/>
          <w:vertAlign w:val="superscript"/>
          <w:lang w:val="sr-Latn-ME"/>
        </w:rPr>
        <w:t xml:space="preserve">  </w:t>
      </w:r>
      <w:r w:rsidRPr="004E5B63">
        <w:rPr>
          <w:noProof/>
          <w:sz w:val="22"/>
          <w:szCs w:val="22"/>
          <w:lang w:val="sr-Latn-ME"/>
        </w:rPr>
        <w:t>LAR</w:t>
      </w:r>
      <w:r w:rsidRPr="004E5B63">
        <w:rPr>
          <w:noProof/>
          <w:sz w:val="22"/>
          <w:szCs w:val="22"/>
          <w:vertAlign w:val="superscript"/>
          <w:lang w:val="sr-Latn-ME"/>
        </w:rPr>
        <w:t xml:space="preserve"> </w:t>
      </w:r>
      <w:r w:rsidRPr="004E5B63">
        <w:rPr>
          <w:noProof/>
          <w:sz w:val="22"/>
          <w:szCs w:val="22"/>
          <w:lang w:val="sr-Latn-ME"/>
        </w:rPr>
        <w:t xml:space="preserve">. Kongenitalne anomalije su prijavljene kod 4 % trudnoća čiji je ishod nepoznat. Ne sumnja se na povezanost oktreotida sa ovim slučajevima. </w:t>
      </w:r>
    </w:p>
    <w:p w14:paraId="6AD1684B" w14:textId="77777777" w:rsidR="002A7BD6" w:rsidRPr="004E5B63" w:rsidRDefault="002A7BD6" w:rsidP="002A7BD6">
      <w:pPr>
        <w:rPr>
          <w:noProof/>
          <w:sz w:val="22"/>
          <w:szCs w:val="22"/>
          <w:lang w:val="sr-Latn-ME"/>
        </w:rPr>
      </w:pPr>
    </w:p>
    <w:p w14:paraId="7E9AECF1" w14:textId="77777777" w:rsidR="002A7BD6" w:rsidRPr="004E5B63" w:rsidRDefault="002A7BD6" w:rsidP="002A7BD6">
      <w:pPr>
        <w:rPr>
          <w:noProof/>
          <w:sz w:val="22"/>
          <w:szCs w:val="22"/>
          <w:lang w:val="sr-Latn-ME"/>
        </w:rPr>
      </w:pPr>
      <w:r w:rsidRPr="004E5B63">
        <w:rPr>
          <w:noProof/>
          <w:sz w:val="22"/>
          <w:szCs w:val="22"/>
          <w:lang w:val="sr-Latn-ME"/>
        </w:rPr>
        <w:t>Studije na životinjama nisu pokazale direktne ili indirektne štetne uticaje u odnosu na reproduktivnu toksičnost (vidjeti odjeljak 5.3).</w:t>
      </w:r>
    </w:p>
    <w:p w14:paraId="1880E8BE" w14:textId="77777777" w:rsidR="002A7BD6" w:rsidRPr="004E5B63" w:rsidRDefault="002A7BD6" w:rsidP="002A7BD6">
      <w:pPr>
        <w:rPr>
          <w:noProof/>
          <w:sz w:val="22"/>
          <w:szCs w:val="22"/>
          <w:lang w:val="sr-Latn-ME"/>
        </w:rPr>
      </w:pPr>
    </w:p>
    <w:p w14:paraId="246D78FF" w14:textId="77777777" w:rsidR="002A7BD6" w:rsidRPr="004E5B63" w:rsidRDefault="002A7BD6" w:rsidP="002A7BD6">
      <w:pPr>
        <w:rPr>
          <w:noProof/>
          <w:sz w:val="22"/>
          <w:szCs w:val="22"/>
          <w:lang w:val="sr-Latn-ME"/>
        </w:rPr>
      </w:pPr>
      <w:r w:rsidRPr="004E5B63">
        <w:rPr>
          <w:noProof/>
          <w:sz w:val="22"/>
          <w:szCs w:val="22"/>
          <w:lang w:val="sr-Latn-ME"/>
        </w:rPr>
        <w:t>Kao mjera predostrožnosti, preporučuje se izbjegavanje upotrebe lijeka Sandostatin tokom trudnoće (vidjeti odjeljak 4.4).</w:t>
      </w:r>
    </w:p>
    <w:p w14:paraId="16C79C6A" w14:textId="77777777" w:rsidR="002A7BD6" w:rsidRPr="004E5B63" w:rsidRDefault="002A7BD6" w:rsidP="002A7BD6">
      <w:pPr>
        <w:rPr>
          <w:noProof/>
          <w:sz w:val="22"/>
          <w:szCs w:val="22"/>
          <w:lang w:val="sr-Latn-ME"/>
        </w:rPr>
      </w:pPr>
    </w:p>
    <w:p w14:paraId="02C856D1" w14:textId="77777777" w:rsidR="002A7BD6" w:rsidRPr="004E5B63" w:rsidRDefault="002A7BD6" w:rsidP="002A7BD6">
      <w:pPr>
        <w:rPr>
          <w:b/>
          <w:noProof/>
          <w:sz w:val="22"/>
          <w:szCs w:val="22"/>
          <w:lang w:val="sr-Latn-ME"/>
        </w:rPr>
      </w:pPr>
      <w:r w:rsidRPr="004E5B63">
        <w:rPr>
          <w:b/>
          <w:noProof/>
          <w:sz w:val="22"/>
          <w:szCs w:val="22"/>
          <w:lang w:val="sr-Latn-ME"/>
        </w:rPr>
        <w:t>Laktacija</w:t>
      </w:r>
    </w:p>
    <w:p w14:paraId="5AB74E44" w14:textId="77777777" w:rsidR="002A7BD6" w:rsidRPr="004E5B63" w:rsidRDefault="002A7BD6" w:rsidP="002A7BD6">
      <w:pPr>
        <w:pStyle w:val="Header"/>
        <w:tabs>
          <w:tab w:val="left" w:pos="284"/>
        </w:tabs>
        <w:rPr>
          <w:noProof/>
          <w:sz w:val="22"/>
          <w:szCs w:val="22"/>
          <w:lang w:val="sr-Latn-ME"/>
        </w:rPr>
      </w:pPr>
      <w:r w:rsidRPr="004E5B63">
        <w:rPr>
          <w:noProof/>
          <w:sz w:val="22"/>
          <w:szCs w:val="22"/>
          <w:lang w:val="sr-Latn-ME"/>
        </w:rPr>
        <w:t>Nije poznato da li se oktreotid izlučuje u humano mlijeko. Studije na životinjama su pokazale da se oktreotid izlučuje u mlijeko. Pacijentkinje ne bi trebalo da doje tokom terapije lijekom Sandostatin.</w:t>
      </w:r>
    </w:p>
    <w:p w14:paraId="45426557" w14:textId="77777777" w:rsidR="002A7BD6" w:rsidRPr="004E5B63" w:rsidRDefault="002A7BD6" w:rsidP="002A7BD6">
      <w:pPr>
        <w:pStyle w:val="Header"/>
        <w:tabs>
          <w:tab w:val="left" w:pos="284"/>
        </w:tabs>
        <w:rPr>
          <w:noProof/>
          <w:sz w:val="22"/>
          <w:szCs w:val="22"/>
          <w:lang w:val="sr-Latn-ME"/>
        </w:rPr>
      </w:pPr>
    </w:p>
    <w:p w14:paraId="1F3694E5" w14:textId="77777777" w:rsidR="002A7BD6" w:rsidRPr="004E5B63" w:rsidRDefault="002A7BD6" w:rsidP="002A7BD6">
      <w:pPr>
        <w:pStyle w:val="Header"/>
        <w:tabs>
          <w:tab w:val="left" w:pos="284"/>
        </w:tabs>
        <w:rPr>
          <w:b/>
          <w:sz w:val="22"/>
          <w:szCs w:val="22"/>
          <w:lang w:val="sr-Latn-ME"/>
        </w:rPr>
      </w:pPr>
      <w:r w:rsidRPr="004E5B63">
        <w:rPr>
          <w:b/>
          <w:sz w:val="22"/>
          <w:szCs w:val="22"/>
          <w:lang w:val="sr-Latn-ME"/>
        </w:rPr>
        <w:t>Plodnost</w:t>
      </w:r>
    </w:p>
    <w:p w14:paraId="0BFAEA50" w14:textId="77777777" w:rsidR="0072020E" w:rsidRPr="004E5B63" w:rsidRDefault="002A7BD6" w:rsidP="002A7BD6">
      <w:pPr>
        <w:pStyle w:val="Header"/>
        <w:tabs>
          <w:tab w:val="left" w:pos="284"/>
        </w:tabs>
        <w:rPr>
          <w:noProof/>
          <w:sz w:val="22"/>
          <w:szCs w:val="22"/>
          <w:lang w:val="sr-Latn-ME"/>
        </w:rPr>
      </w:pPr>
      <w:r w:rsidRPr="004E5B63">
        <w:rPr>
          <w:sz w:val="22"/>
          <w:szCs w:val="22"/>
          <w:lang w:val="sr-Latn-ME"/>
        </w:rPr>
        <w:t xml:space="preserve">Nije poznato da li oktreotid utiče na plodnost kod ljudi. </w:t>
      </w:r>
      <w:r w:rsidRPr="004E5B63">
        <w:rPr>
          <w:noProof/>
          <w:sz w:val="22"/>
          <w:szCs w:val="22"/>
          <w:lang w:val="sr-Latn-ME"/>
        </w:rPr>
        <w:t>Odloženo spuštanje testisa je zabilježeno kod muških potomaka ispitivanih životinja izloženih oktreotidu  tokom perioda trudnoće i laktacije. Međutim, oktreotid nije uticao na plodnost mužjaka i ženki pacova pri dozama od 1mg/kg tjelesne mase dnevno (vidjeti odjeljak 5.3).</w:t>
      </w:r>
    </w:p>
    <w:p w14:paraId="33FBBFBA" w14:textId="77777777" w:rsidR="00227BDB" w:rsidRPr="004E5B63" w:rsidRDefault="00227BDB" w:rsidP="00396DFD">
      <w:pPr>
        <w:tabs>
          <w:tab w:val="left" w:pos="540"/>
          <w:tab w:val="left" w:pos="569"/>
        </w:tabs>
        <w:ind w:left="540" w:hanging="540"/>
        <w:rPr>
          <w:b/>
          <w:bCs/>
          <w:sz w:val="22"/>
          <w:szCs w:val="22"/>
          <w:lang w:val="sr-Latn-ME"/>
        </w:rPr>
      </w:pPr>
    </w:p>
    <w:p w14:paraId="5BF7130B" w14:textId="77777777" w:rsidR="0072020E" w:rsidRPr="004E5B63" w:rsidRDefault="0072020E" w:rsidP="00396DFD">
      <w:pPr>
        <w:tabs>
          <w:tab w:val="left" w:pos="540"/>
          <w:tab w:val="left" w:pos="569"/>
        </w:tabs>
        <w:ind w:left="540" w:hanging="540"/>
        <w:rPr>
          <w:b/>
          <w:bCs/>
          <w:sz w:val="22"/>
          <w:szCs w:val="22"/>
          <w:lang w:val="sr-Latn-ME"/>
        </w:rPr>
      </w:pPr>
      <w:r w:rsidRPr="004E5B63">
        <w:rPr>
          <w:b/>
          <w:bCs/>
          <w:sz w:val="22"/>
          <w:szCs w:val="22"/>
          <w:lang w:val="sr-Latn-ME"/>
        </w:rPr>
        <w:t xml:space="preserve">4.7. </w:t>
      </w:r>
      <w:r w:rsidR="00480FB1" w:rsidRPr="004E5B63">
        <w:rPr>
          <w:b/>
          <w:bCs/>
          <w:sz w:val="22"/>
          <w:szCs w:val="22"/>
          <w:lang w:val="sr-Latn-ME"/>
        </w:rPr>
        <w:tab/>
      </w:r>
      <w:r w:rsidRPr="004E5B63">
        <w:rPr>
          <w:b/>
          <w:bCs/>
          <w:sz w:val="22"/>
          <w:szCs w:val="22"/>
          <w:lang w:val="sr-Latn-ME"/>
        </w:rPr>
        <w:t xml:space="preserve">Uticaj na </w:t>
      </w:r>
      <w:r w:rsidR="002031B3" w:rsidRPr="004E5B63">
        <w:rPr>
          <w:b/>
          <w:bCs/>
          <w:sz w:val="22"/>
          <w:szCs w:val="22"/>
          <w:lang w:val="sr-Latn-ME"/>
        </w:rPr>
        <w:t xml:space="preserve">sposobnost </w:t>
      </w:r>
      <w:r w:rsidR="00F34554" w:rsidRPr="004E5B63">
        <w:rPr>
          <w:b/>
          <w:bCs/>
          <w:sz w:val="22"/>
          <w:szCs w:val="22"/>
          <w:lang w:val="sr-Latn-ME"/>
        </w:rPr>
        <w:t>upravljanja vozili</w:t>
      </w:r>
      <w:r w:rsidRPr="004E5B63">
        <w:rPr>
          <w:b/>
          <w:bCs/>
          <w:sz w:val="22"/>
          <w:szCs w:val="22"/>
          <w:lang w:val="sr-Latn-ME"/>
        </w:rPr>
        <w:t>m</w:t>
      </w:r>
      <w:r w:rsidR="00F34554" w:rsidRPr="004E5B63">
        <w:rPr>
          <w:b/>
          <w:bCs/>
          <w:sz w:val="22"/>
          <w:szCs w:val="22"/>
          <w:lang w:val="sr-Latn-ME"/>
        </w:rPr>
        <w:t>a</w:t>
      </w:r>
      <w:r w:rsidRPr="004E5B63">
        <w:rPr>
          <w:b/>
          <w:bCs/>
          <w:sz w:val="22"/>
          <w:szCs w:val="22"/>
          <w:lang w:val="sr-Latn-ME"/>
        </w:rPr>
        <w:t xml:space="preserve"> i </w:t>
      </w:r>
      <w:r w:rsidR="000D3449" w:rsidRPr="004E5B63">
        <w:rPr>
          <w:b/>
          <w:bCs/>
          <w:sz w:val="22"/>
          <w:szCs w:val="22"/>
          <w:lang w:val="sr-Latn-ME"/>
        </w:rPr>
        <w:t xml:space="preserve">rukovanje </w:t>
      </w:r>
      <w:r w:rsidRPr="004E5B63">
        <w:rPr>
          <w:b/>
          <w:bCs/>
          <w:sz w:val="22"/>
          <w:szCs w:val="22"/>
          <w:lang w:val="sr-Latn-ME"/>
        </w:rPr>
        <w:t>mašinama</w:t>
      </w:r>
    </w:p>
    <w:p w14:paraId="30A269FC" w14:textId="77777777" w:rsidR="002A7BD6" w:rsidRPr="004E5B63" w:rsidRDefault="002A7BD6" w:rsidP="00480FB1">
      <w:pPr>
        <w:tabs>
          <w:tab w:val="left" w:pos="540"/>
          <w:tab w:val="left" w:pos="569"/>
        </w:tabs>
        <w:rPr>
          <w:sz w:val="22"/>
          <w:szCs w:val="22"/>
          <w:lang w:val="sr-Latn-ME"/>
        </w:rPr>
      </w:pPr>
    </w:p>
    <w:p w14:paraId="61C8ABFB" w14:textId="77777777" w:rsidR="0072020E" w:rsidRPr="004E5B63" w:rsidRDefault="002A7BD6" w:rsidP="00480FB1">
      <w:pPr>
        <w:tabs>
          <w:tab w:val="left" w:pos="540"/>
          <w:tab w:val="left" w:pos="569"/>
        </w:tabs>
        <w:rPr>
          <w:sz w:val="22"/>
          <w:szCs w:val="22"/>
          <w:lang w:val="sr-Latn-ME"/>
        </w:rPr>
      </w:pPr>
      <w:r w:rsidRPr="004E5B63">
        <w:rPr>
          <w:sz w:val="22"/>
          <w:szCs w:val="22"/>
          <w:lang w:val="sr-Latn-ME"/>
        </w:rPr>
        <w:t>Sandostatin nema uticaja ili ima zanemarljiv uticaj na sposobnost upravljanja motornim vozilom i rukovanje mašinama. Pacijentima se savjetuje oprez prilikom upravljanja motornim vozilom ili rukovanja mašinama ukoliko osjete vrtoglavicu, asteniju/zamor, ili glavobolju tokom terapije lijekom Sandostatin.</w:t>
      </w:r>
    </w:p>
    <w:p w14:paraId="6A7AA84E" w14:textId="25705771" w:rsidR="002A7BD6" w:rsidRPr="004E5B63" w:rsidRDefault="002A7BD6" w:rsidP="00480FB1">
      <w:pPr>
        <w:tabs>
          <w:tab w:val="left" w:pos="540"/>
          <w:tab w:val="left" w:pos="569"/>
        </w:tabs>
        <w:rPr>
          <w:b/>
          <w:bCs/>
          <w:sz w:val="22"/>
          <w:szCs w:val="22"/>
          <w:lang w:val="sr-Latn-ME"/>
        </w:rPr>
      </w:pPr>
    </w:p>
    <w:p w14:paraId="7E97964B" w14:textId="77777777" w:rsidR="0072020E" w:rsidRPr="004E5B63" w:rsidRDefault="0072020E" w:rsidP="00480FB1">
      <w:pPr>
        <w:tabs>
          <w:tab w:val="left" w:pos="540"/>
          <w:tab w:val="left" w:pos="569"/>
        </w:tabs>
        <w:rPr>
          <w:b/>
          <w:bCs/>
          <w:sz w:val="22"/>
          <w:szCs w:val="22"/>
          <w:lang w:val="sr-Latn-ME"/>
        </w:rPr>
      </w:pPr>
      <w:r w:rsidRPr="004E5B63">
        <w:rPr>
          <w:b/>
          <w:bCs/>
          <w:sz w:val="22"/>
          <w:szCs w:val="22"/>
          <w:lang w:val="sr-Latn-ME"/>
        </w:rPr>
        <w:t xml:space="preserve">4.8. </w:t>
      </w:r>
      <w:r w:rsidR="00480FB1" w:rsidRPr="004E5B63">
        <w:rPr>
          <w:b/>
          <w:bCs/>
          <w:sz w:val="22"/>
          <w:szCs w:val="22"/>
          <w:lang w:val="sr-Latn-ME"/>
        </w:rPr>
        <w:tab/>
      </w:r>
      <w:r w:rsidRPr="004E5B63">
        <w:rPr>
          <w:b/>
          <w:bCs/>
          <w:sz w:val="22"/>
          <w:szCs w:val="22"/>
          <w:lang w:val="sr-Latn-ME"/>
        </w:rPr>
        <w:t>Neželjena dejstva</w:t>
      </w:r>
    </w:p>
    <w:p w14:paraId="186DB2E9" w14:textId="77777777" w:rsidR="002A7BD6" w:rsidRPr="004E5B63" w:rsidRDefault="002A7BD6" w:rsidP="002A7BD6">
      <w:pPr>
        <w:rPr>
          <w:noProof/>
          <w:sz w:val="22"/>
          <w:szCs w:val="22"/>
          <w:u w:val="single"/>
          <w:lang w:val="sr-Latn-ME"/>
        </w:rPr>
      </w:pPr>
    </w:p>
    <w:p w14:paraId="43754B44" w14:textId="77777777" w:rsidR="002A7BD6" w:rsidRPr="004E5B63" w:rsidRDefault="002A7BD6" w:rsidP="002A7BD6">
      <w:pPr>
        <w:rPr>
          <w:noProof/>
          <w:sz w:val="22"/>
          <w:szCs w:val="22"/>
          <w:u w:val="single"/>
          <w:lang w:val="sr-Latn-ME"/>
        </w:rPr>
      </w:pPr>
      <w:r w:rsidRPr="004E5B63">
        <w:rPr>
          <w:noProof/>
          <w:sz w:val="22"/>
          <w:szCs w:val="22"/>
          <w:u w:val="single"/>
          <w:lang w:val="sr-Latn-ME"/>
        </w:rPr>
        <w:t>Sažetak bezbjednosnog profila</w:t>
      </w:r>
    </w:p>
    <w:p w14:paraId="05D55981" w14:textId="77777777" w:rsidR="002A7BD6" w:rsidRPr="004E5B63" w:rsidRDefault="002A7BD6" w:rsidP="002A7BD6">
      <w:pPr>
        <w:rPr>
          <w:noProof/>
          <w:sz w:val="22"/>
          <w:szCs w:val="22"/>
          <w:u w:val="single"/>
          <w:lang w:val="sr-Latn-ME"/>
        </w:rPr>
      </w:pPr>
    </w:p>
    <w:p w14:paraId="64D76F9F" w14:textId="77777777" w:rsidR="002A7BD6" w:rsidRPr="004E5B63" w:rsidRDefault="002A7BD6" w:rsidP="002A7BD6">
      <w:pPr>
        <w:rPr>
          <w:noProof/>
          <w:sz w:val="22"/>
          <w:szCs w:val="22"/>
          <w:lang w:val="sr-Latn-ME"/>
        </w:rPr>
      </w:pPr>
      <w:r w:rsidRPr="004E5B63">
        <w:rPr>
          <w:noProof/>
          <w:sz w:val="22"/>
          <w:szCs w:val="22"/>
          <w:lang w:val="sr-Latn-ME"/>
        </w:rPr>
        <w:lastRenderedPageBreak/>
        <w:t>Najčešće neželjene reakcije koje su prijavljene u toku terapije oktreotidom su gastrointestinalni poremećaji, poremećaji nervnog sistema, hepatobilijarni poremećaji, i poremećaji metabolizma i ishrane.</w:t>
      </w:r>
    </w:p>
    <w:p w14:paraId="37E204B9" w14:textId="77777777" w:rsidR="002A7BD6" w:rsidRPr="004E5B63" w:rsidRDefault="002A7BD6" w:rsidP="002A7BD6">
      <w:pPr>
        <w:rPr>
          <w:noProof/>
          <w:sz w:val="22"/>
          <w:szCs w:val="22"/>
          <w:lang w:val="sr-Latn-ME"/>
        </w:rPr>
      </w:pPr>
    </w:p>
    <w:p w14:paraId="74DBFE80" w14:textId="77777777" w:rsidR="002A7BD6" w:rsidRPr="004E5B63" w:rsidRDefault="002A7BD6" w:rsidP="002A7BD6">
      <w:pPr>
        <w:rPr>
          <w:noProof/>
          <w:sz w:val="22"/>
          <w:szCs w:val="22"/>
          <w:lang w:val="sr-Latn-ME"/>
        </w:rPr>
      </w:pPr>
      <w:r w:rsidRPr="004E5B63">
        <w:rPr>
          <w:noProof/>
          <w:sz w:val="22"/>
          <w:szCs w:val="22"/>
          <w:lang w:val="sr-Latn-ME"/>
        </w:rPr>
        <w:t>Najčešće prijavljivane neželjene reakcije u kliničkim studijama sa oktreotidom su dijareja, bol u abdomenu, mučnina, nadutost, glavobolja, holelitijaza, hiperglikemija i opstipacija. Ostale često prijavljene neželjene reakcije su vrtoglavica, lokalizovani bol, pijesak u žučnoj kesi, tireoidna disfunkcija (npr. snižen TSH, snižen ukupni T4, snižen slobodni T4), rijetke stolice, oštećena tolerancija glukoze, povraćanje, astenija i hipoglikemija.</w:t>
      </w:r>
    </w:p>
    <w:p w14:paraId="36BF77C6" w14:textId="77777777" w:rsidR="002A7BD6" w:rsidRPr="004E5B63" w:rsidRDefault="002A7BD6" w:rsidP="002A7BD6">
      <w:pPr>
        <w:rPr>
          <w:noProof/>
          <w:sz w:val="22"/>
          <w:szCs w:val="22"/>
          <w:lang w:val="sr-Latn-ME"/>
        </w:rPr>
      </w:pPr>
    </w:p>
    <w:p w14:paraId="6A62C9C2" w14:textId="77777777" w:rsidR="002A7BD6" w:rsidRPr="004E5B63" w:rsidRDefault="002A7BD6" w:rsidP="002A7BD6">
      <w:pPr>
        <w:rPr>
          <w:noProof/>
          <w:sz w:val="22"/>
          <w:szCs w:val="22"/>
          <w:u w:val="single"/>
          <w:lang w:val="sr-Latn-ME"/>
        </w:rPr>
      </w:pPr>
      <w:r w:rsidRPr="004E5B63">
        <w:rPr>
          <w:noProof/>
          <w:sz w:val="22"/>
          <w:szCs w:val="22"/>
          <w:u w:val="single"/>
          <w:lang w:val="sr-Latn-ME"/>
        </w:rPr>
        <w:t>Tabelarni prikaz neželjenih reakcija</w:t>
      </w:r>
    </w:p>
    <w:p w14:paraId="6AE307B8" w14:textId="77777777" w:rsidR="002A7BD6" w:rsidRPr="004E5B63" w:rsidRDefault="002A7BD6" w:rsidP="002A7BD6">
      <w:pPr>
        <w:rPr>
          <w:noProof/>
          <w:sz w:val="22"/>
          <w:szCs w:val="22"/>
          <w:highlight w:val="lightGray"/>
          <w:lang w:val="sr-Latn-ME"/>
        </w:rPr>
      </w:pPr>
    </w:p>
    <w:p w14:paraId="22ABFB6E" w14:textId="77777777" w:rsidR="002A7BD6" w:rsidRPr="004E5B63" w:rsidRDefault="002A7BD6" w:rsidP="002A7BD6">
      <w:pPr>
        <w:rPr>
          <w:noProof/>
          <w:sz w:val="22"/>
          <w:szCs w:val="22"/>
          <w:lang w:val="sr-Latn-ME"/>
        </w:rPr>
      </w:pPr>
      <w:r w:rsidRPr="004E5B63">
        <w:rPr>
          <w:noProof/>
          <w:sz w:val="22"/>
          <w:szCs w:val="22"/>
          <w:lang w:val="sr-Latn-ME"/>
        </w:rPr>
        <w:t>Sljedeće neželjene reakcije, navedene u Tabeli 1, su prikupljene iz kliničkih studija sa oktreotidom:</w:t>
      </w:r>
    </w:p>
    <w:p w14:paraId="3AD97FDB" w14:textId="77777777" w:rsidR="002A7BD6" w:rsidRPr="004E5B63" w:rsidRDefault="002A7BD6" w:rsidP="002A7BD6">
      <w:pPr>
        <w:shd w:val="clear" w:color="auto" w:fill="FFFFFF"/>
        <w:spacing w:before="216" w:line="250" w:lineRule="exact"/>
        <w:rPr>
          <w:b/>
          <w:color w:val="000000"/>
          <w:sz w:val="22"/>
          <w:szCs w:val="22"/>
          <w:lang w:val="sr-Latn-ME"/>
        </w:rPr>
      </w:pPr>
      <w:r w:rsidRPr="004E5B63">
        <w:rPr>
          <w:color w:val="000000"/>
          <w:spacing w:val="-1"/>
          <w:sz w:val="22"/>
          <w:szCs w:val="22"/>
          <w:lang w:val="sr-Latn-ME"/>
        </w:rPr>
        <w:t>Neželjene reakcije (Tabela 1) su rangirane po učestalosti, počev od najučestalijih, prema sljedećoj konvenciji</w:t>
      </w:r>
      <w:r w:rsidRPr="004E5B63">
        <w:rPr>
          <w:color w:val="000000"/>
          <w:spacing w:val="-2"/>
          <w:sz w:val="22"/>
          <w:szCs w:val="22"/>
          <w:lang w:val="sr-Latn-ME"/>
        </w:rPr>
        <w:t xml:space="preserve">: veoma česte (≥1/10); česte (≥1/100, &lt;1/10); povremene (≥1/1000, &lt;1/100); rijetke </w:t>
      </w:r>
      <w:r w:rsidRPr="004E5B63">
        <w:rPr>
          <w:color w:val="000000"/>
          <w:spacing w:val="-1"/>
          <w:sz w:val="22"/>
          <w:szCs w:val="22"/>
          <w:lang w:val="sr-Latn-ME"/>
        </w:rPr>
        <w:t>(≥1/10000, &lt;1/1000); veoma rijetke (≤1/10000) uključujući izolovane slučajeve. U svakoj grupi učestalosti, neželjene reakcije su rangirane po opadajućoj ozbiljnosti.</w:t>
      </w:r>
    </w:p>
    <w:p w14:paraId="450AC6AE" w14:textId="77777777" w:rsidR="002A7BD6" w:rsidRPr="004E5B63" w:rsidRDefault="002A7BD6" w:rsidP="002A7BD6">
      <w:pPr>
        <w:shd w:val="clear" w:color="auto" w:fill="FFFFFF"/>
        <w:spacing w:before="216" w:line="250" w:lineRule="exact"/>
        <w:rPr>
          <w:b/>
          <w:color w:val="000000"/>
          <w:sz w:val="22"/>
          <w:szCs w:val="22"/>
          <w:lang w:val="sr-Latn-ME"/>
        </w:rPr>
      </w:pPr>
      <w:r w:rsidRPr="004E5B63">
        <w:rPr>
          <w:b/>
          <w:color w:val="000000"/>
          <w:sz w:val="22"/>
          <w:szCs w:val="22"/>
          <w:lang w:val="sr-Latn-ME"/>
        </w:rPr>
        <w:t>Tabela 1                Neželjene reakcije prijavljene u kliničkim studijama</w:t>
      </w:r>
    </w:p>
    <w:p w14:paraId="4974DE0C" w14:textId="77777777" w:rsidR="002A7BD6" w:rsidRPr="004E5B63" w:rsidRDefault="002A7BD6" w:rsidP="002A7BD6">
      <w:pPr>
        <w:shd w:val="clear" w:color="auto" w:fill="FFFFFF"/>
        <w:spacing w:before="216" w:line="250" w:lineRule="exact"/>
        <w:rPr>
          <w:b/>
          <w:color w:val="000000"/>
          <w:sz w:val="22"/>
          <w:szCs w:val="22"/>
          <w:lang w:val="sr-Latn-ME"/>
        </w:rPr>
      </w:pPr>
    </w:p>
    <w:tbl>
      <w:tblPr>
        <w:tblW w:w="0" w:type="auto"/>
        <w:tblInd w:w="40" w:type="dxa"/>
        <w:tblLayout w:type="fixed"/>
        <w:tblCellMar>
          <w:left w:w="40" w:type="dxa"/>
          <w:right w:w="40" w:type="dxa"/>
        </w:tblCellMar>
        <w:tblLook w:val="04A0" w:firstRow="1" w:lastRow="0" w:firstColumn="1" w:lastColumn="0" w:noHBand="0" w:noVBand="1"/>
      </w:tblPr>
      <w:tblGrid>
        <w:gridCol w:w="3658"/>
        <w:gridCol w:w="5650"/>
      </w:tblGrid>
      <w:tr w:rsidR="002A7BD6" w:rsidRPr="004E5B63" w14:paraId="42646783" w14:textId="77777777" w:rsidTr="00D663C0">
        <w:trPr>
          <w:trHeight w:hRule="exact" w:val="1500"/>
        </w:trPr>
        <w:tc>
          <w:tcPr>
            <w:tcW w:w="3658" w:type="dxa"/>
            <w:tcBorders>
              <w:top w:val="single" w:sz="6" w:space="0" w:color="auto"/>
              <w:left w:val="single" w:sz="6" w:space="0" w:color="auto"/>
              <w:bottom w:val="single" w:sz="6" w:space="0" w:color="auto"/>
              <w:right w:val="single" w:sz="6" w:space="0" w:color="auto"/>
            </w:tcBorders>
            <w:shd w:val="clear" w:color="auto" w:fill="FFFFFF"/>
            <w:hideMark/>
          </w:tcPr>
          <w:p w14:paraId="23774E39" w14:textId="77777777" w:rsidR="002A7BD6" w:rsidRPr="004E5B63" w:rsidRDefault="002A7BD6" w:rsidP="00D663C0">
            <w:pPr>
              <w:shd w:val="clear" w:color="auto" w:fill="FFFFFF"/>
              <w:rPr>
                <w:b/>
                <w:color w:val="000000"/>
                <w:sz w:val="22"/>
                <w:szCs w:val="22"/>
                <w:lang w:val="sr-Latn-ME"/>
              </w:rPr>
            </w:pPr>
            <w:r w:rsidRPr="004E5B63">
              <w:rPr>
                <w:b/>
                <w:color w:val="000000"/>
                <w:sz w:val="22"/>
                <w:szCs w:val="22"/>
                <w:lang w:val="sr-Latn-ME"/>
              </w:rPr>
              <w:t>Gastrointestinalni poremećaji</w:t>
            </w:r>
          </w:p>
          <w:p w14:paraId="3300AEB5"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Veoma često</w:t>
            </w:r>
          </w:p>
          <w:p w14:paraId="3C3B32F7" w14:textId="77777777" w:rsidR="002A7BD6" w:rsidRPr="004E5B63" w:rsidRDefault="002A7BD6" w:rsidP="00D663C0">
            <w:pPr>
              <w:shd w:val="clear" w:color="auto" w:fill="FFFFFF"/>
              <w:rPr>
                <w:b/>
                <w:color w:val="000000"/>
                <w:sz w:val="22"/>
                <w:szCs w:val="22"/>
                <w:lang w:val="sr-Latn-ME"/>
              </w:rPr>
            </w:pPr>
            <w:r w:rsidRPr="004E5B63">
              <w:rPr>
                <w:color w:val="000000"/>
                <w:sz w:val="22"/>
                <w:szCs w:val="22"/>
                <w:lang w:val="sr-Latn-ME"/>
              </w:rPr>
              <w:t>Često</w:t>
            </w:r>
          </w:p>
        </w:tc>
        <w:tc>
          <w:tcPr>
            <w:tcW w:w="5650" w:type="dxa"/>
            <w:tcBorders>
              <w:top w:val="single" w:sz="6" w:space="0" w:color="auto"/>
              <w:left w:val="single" w:sz="6" w:space="0" w:color="auto"/>
              <w:bottom w:val="single" w:sz="6" w:space="0" w:color="auto"/>
              <w:right w:val="single" w:sz="6" w:space="0" w:color="auto"/>
            </w:tcBorders>
            <w:shd w:val="clear" w:color="auto" w:fill="FFFFFF"/>
          </w:tcPr>
          <w:p w14:paraId="461F0612" w14:textId="77777777" w:rsidR="002A7BD6" w:rsidRPr="004E5B63" w:rsidRDefault="002A7BD6" w:rsidP="00D663C0">
            <w:pPr>
              <w:shd w:val="clear" w:color="auto" w:fill="FFFFFF"/>
              <w:rPr>
                <w:color w:val="000000"/>
                <w:sz w:val="22"/>
                <w:szCs w:val="22"/>
                <w:lang w:val="sr-Latn-ME"/>
              </w:rPr>
            </w:pPr>
          </w:p>
          <w:p w14:paraId="2F38C04C"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Dijareja, abdominalni bol, mučnina, opstipacija, flatulencija</w:t>
            </w:r>
          </w:p>
          <w:p w14:paraId="2F3602B2" w14:textId="77777777" w:rsidR="002A7BD6" w:rsidRPr="004E5B63" w:rsidRDefault="002A7BD6" w:rsidP="00D663C0">
            <w:pPr>
              <w:shd w:val="clear" w:color="auto" w:fill="FFFFFF"/>
              <w:rPr>
                <w:color w:val="000000"/>
                <w:sz w:val="22"/>
                <w:szCs w:val="22"/>
                <w:lang w:val="sr-Latn-ME"/>
              </w:rPr>
            </w:pPr>
          </w:p>
          <w:p w14:paraId="46122D65"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Dispepsija, povraćanje, abdominalna naduvenost, steatoreja, rijetke stolice, diskoloracija fecesa</w:t>
            </w:r>
          </w:p>
        </w:tc>
      </w:tr>
      <w:tr w:rsidR="002A7BD6" w:rsidRPr="004E5B63" w14:paraId="65FB0EA3" w14:textId="77777777" w:rsidTr="00D663C0">
        <w:trPr>
          <w:trHeight w:hRule="exact" w:val="1053"/>
        </w:trPr>
        <w:tc>
          <w:tcPr>
            <w:tcW w:w="3658" w:type="dxa"/>
            <w:tcBorders>
              <w:top w:val="single" w:sz="6" w:space="0" w:color="auto"/>
              <w:left w:val="single" w:sz="6" w:space="0" w:color="auto"/>
              <w:bottom w:val="single" w:sz="6" w:space="0" w:color="auto"/>
              <w:right w:val="single" w:sz="6" w:space="0" w:color="auto"/>
            </w:tcBorders>
            <w:shd w:val="clear" w:color="auto" w:fill="FFFFFF"/>
          </w:tcPr>
          <w:p w14:paraId="20E3F50B" w14:textId="77777777" w:rsidR="002A7BD6" w:rsidRPr="004E5B63" w:rsidRDefault="002A7BD6" w:rsidP="00D663C0">
            <w:pPr>
              <w:shd w:val="clear" w:color="auto" w:fill="FFFFFF"/>
              <w:rPr>
                <w:b/>
                <w:color w:val="000000"/>
                <w:sz w:val="22"/>
                <w:szCs w:val="22"/>
                <w:lang w:val="sr-Latn-ME"/>
              </w:rPr>
            </w:pPr>
            <w:r w:rsidRPr="004E5B63">
              <w:rPr>
                <w:b/>
                <w:color w:val="000000"/>
                <w:sz w:val="22"/>
                <w:szCs w:val="22"/>
                <w:lang w:val="sr-Latn-ME"/>
              </w:rPr>
              <w:t>Poremećaji nervnog sistema</w:t>
            </w:r>
          </w:p>
          <w:p w14:paraId="643C626A"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Veoma često</w:t>
            </w:r>
          </w:p>
          <w:p w14:paraId="7B9857EB"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Često</w:t>
            </w:r>
          </w:p>
          <w:p w14:paraId="1E71C34A" w14:textId="77777777" w:rsidR="002A7BD6" w:rsidRPr="004E5B63" w:rsidRDefault="002A7BD6" w:rsidP="00D663C0">
            <w:pPr>
              <w:shd w:val="clear" w:color="auto" w:fill="FFFFFF"/>
              <w:rPr>
                <w:b/>
                <w:color w:val="000000"/>
                <w:sz w:val="22"/>
                <w:szCs w:val="22"/>
                <w:lang w:val="sr-Latn-ME"/>
              </w:rPr>
            </w:pPr>
          </w:p>
        </w:tc>
        <w:tc>
          <w:tcPr>
            <w:tcW w:w="5650" w:type="dxa"/>
            <w:tcBorders>
              <w:top w:val="single" w:sz="6" w:space="0" w:color="auto"/>
              <w:left w:val="single" w:sz="6" w:space="0" w:color="auto"/>
              <w:bottom w:val="single" w:sz="6" w:space="0" w:color="auto"/>
              <w:right w:val="single" w:sz="6" w:space="0" w:color="auto"/>
            </w:tcBorders>
            <w:shd w:val="clear" w:color="auto" w:fill="FFFFFF"/>
          </w:tcPr>
          <w:p w14:paraId="0D5DBD89" w14:textId="77777777" w:rsidR="002A7BD6" w:rsidRPr="004E5B63" w:rsidRDefault="002A7BD6" w:rsidP="00D663C0">
            <w:pPr>
              <w:shd w:val="clear" w:color="auto" w:fill="FFFFFF"/>
              <w:rPr>
                <w:color w:val="000000"/>
                <w:sz w:val="22"/>
                <w:szCs w:val="22"/>
                <w:lang w:val="sr-Latn-ME"/>
              </w:rPr>
            </w:pPr>
          </w:p>
          <w:p w14:paraId="603CE777"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Glavobolja</w:t>
            </w:r>
          </w:p>
          <w:p w14:paraId="1B88B100"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Vrtoglavica</w:t>
            </w:r>
          </w:p>
        </w:tc>
      </w:tr>
      <w:tr w:rsidR="002A7BD6" w:rsidRPr="004E5B63" w14:paraId="6E0B717F" w14:textId="77777777" w:rsidTr="00D663C0">
        <w:trPr>
          <w:trHeight w:hRule="exact" w:val="1053"/>
        </w:trPr>
        <w:tc>
          <w:tcPr>
            <w:tcW w:w="3658" w:type="dxa"/>
            <w:tcBorders>
              <w:top w:val="single" w:sz="6" w:space="0" w:color="auto"/>
              <w:left w:val="single" w:sz="6" w:space="0" w:color="auto"/>
              <w:bottom w:val="single" w:sz="6" w:space="0" w:color="auto"/>
              <w:right w:val="single" w:sz="6" w:space="0" w:color="auto"/>
            </w:tcBorders>
            <w:shd w:val="clear" w:color="auto" w:fill="FFFFFF"/>
            <w:hideMark/>
          </w:tcPr>
          <w:p w14:paraId="6B6D618C" w14:textId="77777777" w:rsidR="002A7BD6" w:rsidRPr="004E5B63" w:rsidRDefault="002A7BD6" w:rsidP="00D663C0">
            <w:pPr>
              <w:shd w:val="clear" w:color="auto" w:fill="FFFFFF"/>
              <w:rPr>
                <w:b/>
                <w:color w:val="000000"/>
                <w:sz w:val="22"/>
                <w:szCs w:val="22"/>
                <w:lang w:val="sr-Latn-ME"/>
              </w:rPr>
            </w:pPr>
            <w:r w:rsidRPr="004E5B63">
              <w:rPr>
                <w:b/>
                <w:color w:val="000000"/>
                <w:sz w:val="22"/>
                <w:szCs w:val="22"/>
                <w:lang w:val="sr-Latn-ME"/>
              </w:rPr>
              <w:t>Endokrini poremećaji</w:t>
            </w:r>
          </w:p>
          <w:p w14:paraId="5E442BFF" w14:textId="77777777" w:rsidR="002A7BD6" w:rsidRPr="004E5B63" w:rsidRDefault="002A7BD6" w:rsidP="00D663C0">
            <w:pPr>
              <w:shd w:val="clear" w:color="auto" w:fill="FFFFFF"/>
              <w:rPr>
                <w:sz w:val="22"/>
                <w:szCs w:val="22"/>
                <w:lang w:val="sr-Latn-ME"/>
              </w:rPr>
            </w:pPr>
            <w:r w:rsidRPr="004E5B63">
              <w:rPr>
                <w:color w:val="000000"/>
                <w:sz w:val="22"/>
                <w:szCs w:val="22"/>
                <w:lang w:val="sr-Latn-ME"/>
              </w:rPr>
              <w:t xml:space="preserve">Često </w:t>
            </w:r>
          </w:p>
        </w:tc>
        <w:tc>
          <w:tcPr>
            <w:tcW w:w="5650" w:type="dxa"/>
            <w:tcBorders>
              <w:top w:val="single" w:sz="6" w:space="0" w:color="auto"/>
              <w:left w:val="single" w:sz="6" w:space="0" w:color="auto"/>
              <w:bottom w:val="single" w:sz="6" w:space="0" w:color="auto"/>
              <w:right w:val="single" w:sz="6" w:space="0" w:color="auto"/>
            </w:tcBorders>
            <w:shd w:val="clear" w:color="auto" w:fill="FFFFFF"/>
          </w:tcPr>
          <w:p w14:paraId="7858C474" w14:textId="77777777" w:rsidR="002A7BD6" w:rsidRPr="004E5B63" w:rsidRDefault="002A7BD6" w:rsidP="00D663C0">
            <w:pPr>
              <w:shd w:val="clear" w:color="auto" w:fill="FFFFFF"/>
              <w:rPr>
                <w:color w:val="000000"/>
                <w:sz w:val="22"/>
                <w:szCs w:val="22"/>
                <w:lang w:val="sr-Latn-ME"/>
              </w:rPr>
            </w:pPr>
          </w:p>
          <w:p w14:paraId="007588C9"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Hipotireoidizam, poremećaj funkcije tireoidee (npr. snižen TSH, snižen ukupni T4, snižen slobodni T4)</w:t>
            </w:r>
          </w:p>
          <w:p w14:paraId="380D3733" w14:textId="77777777" w:rsidR="002A7BD6" w:rsidRPr="004E5B63" w:rsidRDefault="002A7BD6" w:rsidP="00D663C0">
            <w:pPr>
              <w:shd w:val="clear" w:color="auto" w:fill="FFFFFF"/>
              <w:rPr>
                <w:sz w:val="22"/>
                <w:szCs w:val="22"/>
                <w:lang w:val="sr-Latn-ME"/>
              </w:rPr>
            </w:pPr>
          </w:p>
        </w:tc>
      </w:tr>
      <w:tr w:rsidR="002A7BD6" w:rsidRPr="004E5B63" w14:paraId="3D115184" w14:textId="77777777" w:rsidTr="00D663C0">
        <w:trPr>
          <w:trHeight w:hRule="exact" w:val="1053"/>
        </w:trPr>
        <w:tc>
          <w:tcPr>
            <w:tcW w:w="3658" w:type="dxa"/>
            <w:tcBorders>
              <w:top w:val="single" w:sz="6" w:space="0" w:color="auto"/>
              <w:left w:val="single" w:sz="6" w:space="0" w:color="auto"/>
              <w:bottom w:val="single" w:sz="6" w:space="0" w:color="auto"/>
              <w:right w:val="single" w:sz="6" w:space="0" w:color="auto"/>
            </w:tcBorders>
            <w:shd w:val="clear" w:color="auto" w:fill="FFFFFF"/>
          </w:tcPr>
          <w:p w14:paraId="480E15DD" w14:textId="77777777" w:rsidR="002A7BD6" w:rsidRPr="004E5B63" w:rsidRDefault="002A7BD6" w:rsidP="00D663C0">
            <w:pPr>
              <w:shd w:val="clear" w:color="auto" w:fill="FFFFFF"/>
              <w:rPr>
                <w:b/>
                <w:color w:val="000000"/>
                <w:sz w:val="22"/>
                <w:szCs w:val="22"/>
                <w:lang w:val="sr-Latn-ME"/>
              </w:rPr>
            </w:pPr>
            <w:r w:rsidRPr="004E5B63">
              <w:rPr>
                <w:b/>
                <w:color w:val="000000"/>
                <w:sz w:val="22"/>
                <w:szCs w:val="22"/>
                <w:lang w:val="sr-Latn-ME"/>
              </w:rPr>
              <w:t xml:space="preserve">Hepatobilijarni poremećaji </w:t>
            </w:r>
          </w:p>
          <w:p w14:paraId="5F699B85"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Veoma često</w:t>
            </w:r>
          </w:p>
          <w:p w14:paraId="71802E28"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Često</w:t>
            </w:r>
          </w:p>
          <w:p w14:paraId="5D77A380" w14:textId="77777777" w:rsidR="002A7BD6" w:rsidRPr="004E5B63" w:rsidRDefault="002A7BD6" w:rsidP="00D663C0">
            <w:pPr>
              <w:shd w:val="clear" w:color="auto" w:fill="FFFFFF"/>
              <w:rPr>
                <w:b/>
                <w:color w:val="000000"/>
                <w:sz w:val="22"/>
                <w:szCs w:val="22"/>
                <w:lang w:val="sr-Latn-ME"/>
              </w:rPr>
            </w:pPr>
          </w:p>
        </w:tc>
        <w:tc>
          <w:tcPr>
            <w:tcW w:w="5650" w:type="dxa"/>
            <w:tcBorders>
              <w:top w:val="single" w:sz="6" w:space="0" w:color="auto"/>
              <w:left w:val="single" w:sz="6" w:space="0" w:color="auto"/>
              <w:bottom w:val="single" w:sz="6" w:space="0" w:color="auto"/>
              <w:right w:val="single" w:sz="6" w:space="0" w:color="auto"/>
            </w:tcBorders>
            <w:shd w:val="clear" w:color="auto" w:fill="FFFFFF"/>
          </w:tcPr>
          <w:p w14:paraId="51C83FCA" w14:textId="77777777" w:rsidR="002A7BD6" w:rsidRPr="004E5B63" w:rsidRDefault="002A7BD6" w:rsidP="00D663C0">
            <w:pPr>
              <w:shd w:val="clear" w:color="auto" w:fill="FFFFFF"/>
              <w:rPr>
                <w:color w:val="000000"/>
                <w:sz w:val="22"/>
                <w:szCs w:val="22"/>
                <w:lang w:val="sr-Latn-ME"/>
              </w:rPr>
            </w:pPr>
          </w:p>
          <w:p w14:paraId="0A43FD81"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 xml:space="preserve">Holelitijaza </w:t>
            </w:r>
          </w:p>
          <w:p w14:paraId="6D60FE86"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Holecistitis, bilijarni mulj, hiperbilirubinemija</w:t>
            </w:r>
          </w:p>
        </w:tc>
      </w:tr>
      <w:tr w:rsidR="002A7BD6" w:rsidRPr="004E5B63" w14:paraId="29B90346" w14:textId="77777777" w:rsidTr="00D663C0">
        <w:trPr>
          <w:trHeight w:hRule="exact" w:val="1053"/>
        </w:trPr>
        <w:tc>
          <w:tcPr>
            <w:tcW w:w="3658" w:type="dxa"/>
            <w:tcBorders>
              <w:top w:val="single" w:sz="6" w:space="0" w:color="auto"/>
              <w:left w:val="single" w:sz="6" w:space="0" w:color="auto"/>
              <w:bottom w:val="single" w:sz="6" w:space="0" w:color="auto"/>
              <w:right w:val="single" w:sz="6" w:space="0" w:color="auto"/>
            </w:tcBorders>
            <w:shd w:val="clear" w:color="auto" w:fill="FFFFFF"/>
            <w:hideMark/>
          </w:tcPr>
          <w:p w14:paraId="5C711216" w14:textId="77777777" w:rsidR="002A7BD6" w:rsidRPr="004E5B63" w:rsidRDefault="002A7BD6" w:rsidP="00D663C0">
            <w:pPr>
              <w:shd w:val="clear" w:color="auto" w:fill="FFFFFF"/>
              <w:rPr>
                <w:b/>
                <w:color w:val="000000"/>
                <w:spacing w:val="-1"/>
                <w:sz w:val="22"/>
                <w:szCs w:val="22"/>
                <w:lang w:val="sr-Latn-ME"/>
              </w:rPr>
            </w:pPr>
            <w:r w:rsidRPr="004E5B63">
              <w:rPr>
                <w:b/>
                <w:color w:val="000000"/>
                <w:spacing w:val="-1"/>
                <w:sz w:val="22"/>
                <w:szCs w:val="22"/>
                <w:lang w:val="sr-Latn-ME"/>
              </w:rPr>
              <w:t>Metabolizam i poremećaji ishrane</w:t>
            </w:r>
          </w:p>
          <w:p w14:paraId="78CFCDB9"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Veoma često</w:t>
            </w:r>
          </w:p>
          <w:p w14:paraId="57143C73"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Često</w:t>
            </w:r>
          </w:p>
          <w:p w14:paraId="3E5FE690" w14:textId="77777777" w:rsidR="002A7BD6" w:rsidRPr="004E5B63" w:rsidRDefault="002A7BD6" w:rsidP="00D663C0">
            <w:pPr>
              <w:shd w:val="clear" w:color="auto" w:fill="FFFFFF"/>
              <w:rPr>
                <w:sz w:val="22"/>
                <w:szCs w:val="22"/>
                <w:lang w:val="sr-Latn-ME"/>
              </w:rPr>
            </w:pPr>
            <w:r w:rsidRPr="004E5B63">
              <w:rPr>
                <w:color w:val="000000"/>
                <w:sz w:val="22"/>
                <w:szCs w:val="22"/>
                <w:lang w:val="sr-Latn-ME"/>
              </w:rPr>
              <w:t xml:space="preserve">Povremeno </w:t>
            </w:r>
          </w:p>
        </w:tc>
        <w:tc>
          <w:tcPr>
            <w:tcW w:w="5650" w:type="dxa"/>
            <w:tcBorders>
              <w:top w:val="single" w:sz="6" w:space="0" w:color="auto"/>
              <w:left w:val="single" w:sz="6" w:space="0" w:color="auto"/>
              <w:bottom w:val="single" w:sz="6" w:space="0" w:color="auto"/>
              <w:right w:val="single" w:sz="6" w:space="0" w:color="auto"/>
            </w:tcBorders>
            <w:shd w:val="clear" w:color="auto" w:fill="FFFFFF"/>
          </w:tcPr>
          <w:p w14:paraId="001CF38A" w14:textId="77777777" w:rsidR="002A7BD6" w:rsidRPr="004E5B63" w:rsidRDefault="002A7BD6" w:rsidP="00D663C0">
            <w:pPr>
              <w:shd w:val="clear" w:color="auto" w:fill="FFFFFF"/>
              <w:rPr>
                <w:color w:val="000000"/>
                <w:sz w:val="22"/>
                <w:szCs w:val="22"/>
                <w:lang w:val="sr-Latn-ME"/>
              </w:rPr>
            </w:pPr>
          </w:p>
          <w:p w14:paraId="71B7A4B6"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Hiperglikemija</w:t>
            </w:r>
          </w:p>
          <w:p w14:paraId="2D36C112"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Hipoglikemija, poremećena tolerancija glukoze, anoreksija</w:t>
            </w:r>
          </w:p>
          <w:p w14:paraId="2899A76F" w14:textId="77777777" w:rsidR="002A7BD6" w:rsidRPr="004E5B63" w:rsidRDefault="002A7BD6" w:rsidP="00D663C0">
            <w:pPr>
              <w:shd w:val="clear" w:color="auto" w:fill="FFFFFF"/>
              <w:rPr>
                <w:sz w:val="22"/>
                <w:szCs w:val="22"/>
                <w:lang w:val="sr-Latn-ME"/>
              </w:rPr>
            </w:pPr>
            <w:r w:rsidRPr="004E5B63">
              <w:rPr>
                <w:color w:val="000000"/>
                <w:sz w:val="22"/>
                <w:szCs w:val="22"/>
                <w:lang w:val="sr-Latn-ME"/>
              </w:rPr>
              <w:t xml:space="preserve">Dehidratacija </w:t>
            </w:r>
          </w:p>
        </w:tc>
      </w:tr>
      <w:tr w:rsidR="002A7BD6" w:rsidRPr="004E5B63" w14:paraId="08F0B40D" w14:textId="77777777" w:rsidTr="00D663C0">
        <w:trPr>
          <w:trHeight w:hRule="exact" w:val="1053"/>
        </w:trPr>
        <w:tc>
          <w:tcPr>
            <w:tcW w:w="3658" w:type="dxa"/>
            <w:tcBorders>
              <w:top w:val="single" w:sz="6" w:space="0" w:color="auto"/>
              <w:left w:val="single" w:sz="6" w:space="0" w:color="auto"/>
              <w:bottom w:val="single" w:sz="6" w:space="0" w:color="auto"/>
              <w:right w:val="single" w:sz="6" w:space="0" w:color="auto"/>
            </w:tcBorders>
            <w:shd w:val="clear" w:color="auto" w:fill="FFFFFF"/>
            <w:hideMark/>
          </w:tcPr>
          <w:p w14:paraId="39BF65E1" w14:textId="77777777" w:rsidR="002A7BD6" w:rsidRPr="004E5B63" w:rsidRDefault="002A7BD6" w:rsidP="00D663C0">
            <w:pPr>
              <w:shd w:val="clear" w:color="auto" w:fill="FFFFFF"/>
              <w:rPr>
                <w:b/>
                <w:color w:val="000000"/>
                <w:spacing w:val="-1"/>
                <w:sz w:val="22"/>
                <w:szCs w:val="22"/>
                <w:lang w:val="sr-Latn-ME"/>
              </w:rPr>
            </w:pPr>
            <w:r w:rsidRPr="004E5B63">
              <w:rPr>
                <w:b/>
                <w:color w:val="000000"/>
                <w:spacing w:val="-1"/>
                <w:sz w:val="22"/>
                <w:szCs w:val="22"/>
                <w:lang w:val="sr-Latn-ME"/>
              </w:rPr>
              <w:t>Opšti poremećaji i stanja na mjestu primjene</w:t>
            </w:r>
          </w:p>
          <w:p w14:paraId="7EB42D38" w14:textId="77777777" w:rsidR="002A7BD6" w:rsidRPr="004E5B63" w:rsidRDefault="002A7BD6" w:rsidP="00D663C0">
            <w:pPr>
              <w:shd w:val="clear" w:color="auto" w:fill="FFFFFF"/>
              <w:rPr>
                <w:sz w:val="22"/>
                <w:szCs w:val="22"/>
                <w:lang w:val="sr-Latn-ME"/>
              </w:rPr>
            </w:pPr>
            <w:r w:rsidRPr="004E5B63">
              <w:rPr>
                <w:color w:val="000000"/>
                <w:sz w:val="22"/>
                <w:szCs w:val="22"/>
                <w:lang w:val="sr-Latn-ME"/>
              </w:rPr>
              <w:t>Veoma često</w:t>
            </w:r>
          </w:p>
          <w:p w14:paraId="6137BE4B" w14:textId="77777777" w:rsidR="002A7BD6" w:rsidRPr="004E5B63" w:rsidRDefault="002A7BD6" w:rsidP="00D663C0">
            <w:pPr>
              <w:shd w:val="clear" w:color="auto" w:fill="FFFFFF"/>
              <w:rPr>
                <w:color w:val="000000"/>
                <w:spacing w:val="-1"/>
                <w:sz w:val="22"/>
                <w:szCs w:val="22"/>
                <w:lang w:val="sr-Latn-ME"/>
              </w:rPr>
            </w:pPr>
            <w:r w:rsidRPr="004E5B63">
              <w:rPr>
                <w:color w:val="000000"/>
                <w:spacing w:val="-1"/>
                <w:sz w:val="22"/>
                <w:szCs w:val="22"/>
                <w:lang w:val="sr-Latn-ME"/>
              </w:rPr>
              <w:t>Često</w:t>
            </w:r>
          </w:p>
        </w:tc>
        <w:tc>
          <w:tcPr>
            <w:tcW w:w="5650" w:type="dxa"/>
            <w:tcBorders>
              <w:top w:val="single" w:sz="6" w:space="0" w:color="auto"/>
              <w:left w:val="single" w:sz="6" w:space="0" w:color="auto"/>
              <w:bottom w:val="single" w:sz="6" w:space="0" w:color="auto"/>
              <w:right w:val="single" w:sz="6" w:space="0" w:color="auto"/>
            </w:tcBorders>
            <w:shd w:val="clear" w:color="auto" w:fill="FFFFFF"/>
          </w:tcPr>
          <w:p w14:paraId="328C3450" w14:textId="77777777" w:rsidR="002A7BD6" w:rsidRPr="004E5B63" w:rsidRDefault="002A7BD6" w:rsidP="00D663C0">
            <w:pPr>
              <w:shd w:val="clear" w:color="auto" w:fill="FFFFFF"/>
              <w:rPr>
                <w:color w:val="000000"/>
                <w:sz w:val="22"/>
                <w:szCs w:val="22"/>
                <w:lang w:val="sr-Latn-ME"/>
              </w:rPr>
            </w:pPr>
          </w:p>
          <w:p w14:paraId="47BFBE93" w14:textId="77777777" w:rsidR="002A7BD6" w:rsidRPr="004E5B63" w:rsidRDefault="002A7BD6" w:rsidP="00D663C0">
            <w:pPr>
              <w:shd w:val="clear" w:color="auto" w:fill="FFFFFF"/>
              <w:rPr>
                <w:color w:val="000000"/>
                <w:sz w:val="22"/>
                <w:szCs w:val="22"/>
                <w:lang w:val="sr-Latn-ME"/>
              </w:rPr>
            </w:pPr>
          </w:p>
          <w:p w14:paraId="21FEDB41"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Reakcije na mjestu primjene injekcije</w:t>
            </w:r>
          </w:p>
          <w:p w14:paraId="492E1BE3"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Astenija</w:t>
            </w:r>
          </w:p>
        </w:tc>
      </w:tr>
      <w:tr w:rsidR="002A7BD6" w:rsidRPr="004E5B63" w14:paraId="0EF4E2C4" w14:textId="77777777" w:rsidTr="00D663C0">
        <w:trPr>
          <w:trHeight w:hRule="exact" w:val="676"/>
        </w:trPr>
        <w:tc>
          <w:tcPr>
            <w:tcW w:w="3658" w:type="dxa"/>
            <w:tcBorders>
              <w:top w:val="single" w:sz="6" w:space="0" w:color="auto"/>
              <w:left w:val="single" w:sz="6" w:space="0" w:color="auto"/>
              <w:bottom w:val="single" w:sz="6" w:space="0" w:color="auto"/>
              <w:right w:val="single" w:sz="6" w:space="0" w:color="auto"/>
            </w:tcBorders>
            <w:shd w:val="clear" w:color="auto" w:fill="FFFFFF"/>
          </w:tcPr>
          <w:p w14:paraId="15380F5F" w14:textId="77777777" w:rsidR="002A7BD6" w:rsidRPr="004E5B63" w:rsidRDefault="002A7BD6" w:rsidP="00D663C0">
            <w:pPr>
              <w:shd w:val="clear" w:color="auto" w:fill="FFFFFF"/>
              <w:rPr>
                <w:b/>
                <w:color w:val="000000"/>
                <w:spacing w:val="-1"/>
                <w:sz w:val="22"/>
                <w:szCs w:val="22"/>
                <w:lang w:val="sr-Latn-ME"/>
              </w:rPr>
            </w:pPr>
            <w:r w:rsidRPr="004E5B63">
              <w:rPr>
                <w:b/>
                <w:color w:val="000000"/>
                <w:spacing w:val="-1"/>
                <w:sz w:val="22"/>
                <w:szCs w:val="22"/>
                <w:lang w:val="sr-Latn-ME"/>
              </w:rPr>
              <w:t>Ispitivanja</w:t>
            </w:r>
          </w:p>
          <w:p w14:paraId="22B26F47" w14:textId="77777777" w:rsidR="002A7BD6" w:rsidRPr="004E5B63" w:rsidRDefault="002A7BD6" w:rsidP="00D663C0">
            <w:pPr>
              <w:shd w:val="clear" w:color="auto" w:fill="FFFFFF"/>
              <w:rPr>
                <w:sz w:val="22"/>
                <w:szCs w:val="22"/>
                <w:lang w:val="sr-Latn-ME"/>
              </w:rPr>
            </w:pPr>
            <w:r w:rsidRPr="004E5B63">
              <w:rPr>
                <w:color w:val="000000"/>
                <w:spacing w:val="-1"/>
                <w:sz w:val="22"/>
                <w:szCs w:val="22"/>
                <w:lang w:val="sr-Latn-ME"/>
              </w:rPr>
              <w:t>Često</w:t>
            </w:r>
          </w:p>
          <w:p w14:paraId="3263C060" w14:textId="77777777" w:rsidR="002A7BD6" w:rsidRPr="004E5B63" w:rsidRDefault="002A7BD6" w:rsidP="00D663C0">
            <w:pPr>
              <w:ind w:firstLine="720"/>
              <w:rPr>
                <w:sz w:val="22"/>
                <w:szCs w:val="22"/>
                <w:lang w:val="sr-Latn-ME"/>
              </w:rPr>
            </w:pPr>
          </w:p>
        </w:tc>
        <w:tc>
          <w:tcPr>
            <w:tcW w:w="5650" w:type="dxa"/>
            <w:tcBorders>
              <w:top w:val="single" w:sz="6" w:space="0" w:color="auto"/>
              <w:left w:val="single" w:sz="6" w:space="0" w:color="auto"/>
              <w:bottom w:val="single" w:sz="6" w:space="0" w:color="auto"/>
              <w:right w:val="single" w:sz="6" w:space="0" w:color="auto"/>
            </w:tcBorders>
            <w:shd w:val="clear" w:color="auto" w:fill="FFFFFF"/>
          </w:tcPr>
          <w:p w14:paraId="37D7E497" w14:textId="77777777" w:rsidR="002A7BD6" w:rsidRPr="004E5B63" w:rsidRDefault="002A7BD6" w:rsidP="00D663C0">
            <w:pPr>
              <w:shd w:val="clear" w:color="auto" w:fill="FFFFFF"/>
              <w:rPr>
                <w:color w:val="000000"/>
                <w:sz w:val="22"/>
                <w:szCs w:val="22"/>
                <w:lang w:val="sr-Latn-ME"/>
              </w:rPr>
            </w:pPr>
          </w:p>
          <w:p w14:paraId="706933CB"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Povišen nivo transaminaza</w:t>
            </w:r>
          </w:p>
        </w:tc>
      </w:tr>
      <w:tr w:rsidR="002A7BD6" w:rsidRPr="004E5B63" w14:paraId="5D0DB78C" w14:textId="77777777" w:rsidTr="00D663C0">
        <w:trPr>
          <w:trHeight w:hRule="exact" w:val="699"/>
        </w:trPr>
        <w:tc>
          <w:tcPr>
            <w:tcW w:w="3658" w:type="dxa"/>
            <w:tcBorders>
              <w:top w:val="single" w:sz="6" w:space="0" w:color="auto"/>
              <w:left w:val="single" w:sz="6" w:space="0" w:color="auto"/>
              <w:bottom w:val="single" w:sz="6" w:space="0" w:color="auto"/>
              <w:right w:val="single" w:sz="6" w:space="0" w:color="auto"/>
            </w:tcBorders>
            <w:shd w:val="clear" w:color="auto" w:fill="FFFFFF"/>
            <w:hideMark/>
          </w:tcPr>
          <w:p w14:paraId="63AC41F5" w14:textId="77777777" w:rsidR="002A7BD6" w:rsidRPr="004E5B63" w:rsidRDefault="002A7BD6" w:rsidP="00D663C0">
            <w:pPr>
              <w:shd w:val="clear" w:color="auto" w:fill="FFFFFF"/>
              <w:rPr>
                <w:b/>
                <w:color w:val="000000"/>
                <w:spacing w:val="-1"/>
                <w:sz w:val="22"/>
                <w:szCs w:val="22"/>
                <w:lang w:val="sr-Latn-ME"/>
              </w:rPr>
            </w:pPr>
            <w:r w:rsidRPr="004E5B63">
              <w:rPr>
                <w:b/>
                <w:color w:val="000000"/>
                <w:spacing w:val="-1"/>
                <w:sz w:val="22"/>
                <w:szCs w:val="22"/>
                <w:lang w:val="sr-Latn-ME"/>
              </w:rPr>
              <w:t>Poremećaji kože i potkožnog tkiva</w:t>
            </w:r>
          </w:p>
          <w:p w14:paraId="626B3C27" w14:textId="77777777" w:rsidR="002A7BD6" w:rsidRPr="004E5B63" w:rsidRDefault="002A7BD6" w:rsidP="00D663C0">
            <w:pPr>
              <w:shd w:val="clear" w:color="auto" w:fill="FFFFFF"/>
              <w:rPr>
                <w:b/>
                <w:color w:val="000000"/>
                <w:spacing w:val="-1"/>
                <w:sz w:val="22"/>
                <w:szCs w:val="22"/>
                <w:lang w:val="sr-Latn-ME"/>
              </w:rPr>
            </w:pPr>
            <w:r w:rsidRPr="004E5B63">
              <w:rPr>
                <w:color w:val="000000"/>
                <w:sz w:val="22"/>
                <w:szCs w:val="22"/>
                <w:lang w:val="sr-Latn-ME"/>
              </w:rPr>
              <w:t xml:space="preserve">Često </w:t>
            </w:r>
            <w:r w:rsidRPr="004E5B63">
              <w:rPr>
                <w:b/>
                <w:color w:val="000000"/>
                <w:sz w:val="22"/>
                <w:szCs w:val="22"/>
                <w:lang w:val="sr-Latn-ME"/>
              </w:rPr>
              <w:t xml:space="preserve"> </w:t>
            </w:r>
          </w:p>
        </w:tc>
        <w:tc>
          <w:tcPr>
            <w:tcW w:w="5650" w:type="dxa"/>
            <w:tcBorders>
              <w:top w:val="single" w:sz="6" w:space="0" w:color="auto"/>
              <w:left w:val="single" w:sz="6" w:space="0" w:color="auto"/>
              <w:bottom w:val="single" w:sz="6" w:space="0" w:color="auto"/>
              <w:right w:val="single" w:sz="6" w:space="0" w:color="auto"/>
            </w:tcBorders>
            <w:shd w:val="clear" w:color="auto" w:fill="FFFFFF"/>
          </w:tcPr>
          <w:p w14:paraId="46EF9070" w14:textId="77777777" w:rsidR="002A7BD6" w:rsidRPr="004E5B63" w:rsidRDefault="002A7BD6" w:rsidP="00D663C0">
            <w:pPr>
              <w:shd w:val="clear" w:color="auto" w:fill="FFFFFF"/>
              <w:rPr>
                <w:color w:val="000000"/>
                <w:sz w:val="22"/>
                <w:szCs w:val="22"/>
                <w:lang w:val="sr-Latn-ME"/>
              </w:rPr>
            </w:pPr>
          </w:p>
          <w:p w14:paraId="6F850495"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Svrab, osip, alopecija</w:t>
            </w:r>
          </w:p>
        </w:tc>
      </w:tr>
      <w:tr w:rsidR="002A7BD6" w:rsidRPr="004E5B63" w14:paraId="6AB5F7CD" w14:textId="77777777" w:rsidTr="00D663C0">
        <w:trPr>
          <w:trHeight w:hRule="exact" w:val="645"/>
        </w:trPr>
        <w:tc>
          <w:tcPr>
            <w:tcW w:w="3658" w:type="dxa"/>
            <w:tcBorders>
              <w:top w:val="single" w:sz="6" w:space="0" w:color="auto"/>
              <w:left w:val="single" w:sz="6" w:space="0" w:color="auto"/>
              <w:bottom w:val="single" w:sz="6" w:space="0" w:color="auto"/>
              <w:right w:val="single" w:sz="6" w:space="0" w:color="auto"/>
            </w:tcBorders>
            <w:shd w:val="clear" w:color="auto" w:fill="FFFFFF"/>
            <w:hideMark/>
          </w:tcPr>
          <w:p w14:paraId="72475398" w14:textId="77777777" w:rsidR="002A7BD6" w:rsidRPr="004E5B63" w:rsidRDefault="002A7BD6" w:rsidP="00D663C0">
            <w:pPr>
              <w:shd w:val="clear" w:color="auto" w:fill="FFFFFF"/>
              <w:rPr>
                <w:b/>
                <w:color w:val="000000"/>
                <w:spacing w:val="-1"/>
                <w:sz w:val="22"/>
                <w:szCs w:val="22"/>
                <w:lang w:val="sr-Latn-ME"/>
              </w:rPr>
            </w:pPr>
            <w:r w:rsidRPr="004E5B63">
              <w:rPr>
                <w:b/>
                <w:color w:val="000000"/>
                <w:spacing w:val="-1"/>
                <w:sz w:val="22"/>
                <w:szCs w:val="22"/>
                <w:lang w:val="sr-Latn-ME"/>
              </w:rPr>
              <w:t>Respiratorni poremećaji</w:t>
            </w:r>
          </w:p>
          <w:p w14:paraId="355ED0FA" w14:textId="77777777" w:rsidR="002A7BD6" w:rsidRPr="004E5B63" w:rsidRDefault="002A7BD6" w:rsidP="00D663C0">
            <w:pPr>
              <w:shd w:val="clear" w:color="auto" w:fill="FFFFFF"/>
              <w:rPr>
                <w:sz w:val="22"/>
                <w:szCs w:val="22"/>
                <w:lang w:val="sr-Latn-ME"/>
              </w:rPr>
            </w:pPr>
            <w:r w:rsidRPr="004E5B63">
              <w:rPr>
                <w:color w:val="000000"/>
                <w:spacing w:val="-1"/>
                <w:sz w:val="22"/>
                <w:szCs w:val="22"/>
                <w:lang w:val="sr-Latn-ME"/>
              </w:rPr>
              <w:t xml:space="preserve">Često </w:t>
            </w:r>
          </w:p>
        </w:tc>
        <w:tc>
          <w:tcPr>
            <w:tcW w:w="5650" w:type="dxa"/>
            <w:tcBorders>
              <w:top w:val="single" w:sz="6" w:space="0" w:color="auto"/>
              <w:left w:val="single" w:sz="6" w:space="0" w:color="auto"/>
              <w:bottom w:val="single" w:sz="6" w:space="0" w:color="auto"/>
              <w:right w:val="single" w:sz="6" w:space="0" w:color="auto"/>
            </w:tcBorders>
            <w:shd w:val="clear" w:color="auto" w:fill="FFFFFF"/>
          </w:tcPr>
          <w:p w14:paraId="1183C9E2" w14:textId="77777777" w:rsidR="002A7BD6" w:rsidRPr="004E5B63" w:rsidRDefault="002A7BD6" w:rsidP="00D663C0">
            <w:pPr>
              <w:shd w:val="clear" w:color="auto" w:fill="FFFFFF"/>
              <w:rPr>
                <w:color w:val="000000"/>
                <w:sz w:val="22"/>
                <w:szCs w:val="22"/>
                <w:lang w:val="sr-Latn-ME"/>
              </w:rPr>
            </w:pPr>
          </w:p>
          <w:p w14:paraId="07E4AC63" w14:textId="77777777" w:rsidR="002A7BD6" w:rsidRPr="004E5B63" w:rsidRDefault="002A7BD6" w:rsidP="00D663C0">
            <w:pPr>
              <w:shd w:val="clear" w:color="auto" w:fill="FFFFFF"/>
              <w:rPr>
                <w:sz w:val="22"/>
                <w:szCs w:val="22"/>
                <w:lang w:val="sr-Latn-ME"/>
              </w:rPr>
            </w:pPr>
            <w:r w:rsidRPr="004E5B63">
              <w:rPr>
                <w:color w:val="000000"/>
                <w:sz w:val="22"/>
                <w:szCs w:val="22"/>
                <w:lang w:val="sr-Latn-ME"/>
              </w:rPr>
              <w:t xml:space="preserve">Dispnea </w:t>
            </w:r>
          </w:p>
        </w:tc>
      </w:tr>
      <w:tr w:rsidR="002A7BD6" w:rsidRPr="004E5B63" w14:paraId="60592949" w14:textId="77777777" w:rsidTr="00D663C0">
        <w:trPr>
          <w:trHeight w:hRule="exact" w:val="843"/>
        </w:trPr>
        <w:tc>
          <w:tcPr>
            <w:tcW w:w="3658" w:type="dxa"/>
            <w:tcBorders>
              <w:top w:val="single" w:sz="6" w:space="0" w:color="auto"/>
              <w:left w:val="single" w:sz="6" w:space="0" w:color="auto"/>
              <w:bottom w:val="single" w:sz="6" w:space="0" w:color="auto"/>
              <w:right w:val="single" w:sz="6" w:space="0" w:color="auto"/>
            </w:tcBorders>
            <w:shd w:val="clear" w:color="auto" w:fill="FFFFFF"/>
            <w:hideMark/>
          </w:tcPr>
          <w:p w14:paraId="61F06942" w14:textId="77777777" w:rsidR="002A7BD6" w:rsidRPr="004E5B63" w:rsidRDefault="002A7BD6" w:rsidP="00D663C0">
            <w:pPr>
              <w:shd w:val="clear" w:color="auto" w:fill="FFFFFF"/>
              <w:rPr>
                <w:b/>
                <w:color w:val="000000"/>
                <w:spacing w:val="-1"/>
                <w:sz w:val="22"/>
                <w:szCs w:val="22"/>
                <w:lang w:val="sr-Latn-ME"/>
              </w:rPr>
            </w:pPr>
            <w:r w:rsidRPr="004E5B63">
              <w:rPr>
                <w:b/>
                <w:color w:val="000000"/>
                <w:spacing w:val="-1"/>
                <w:sz w:val="22"/>
                <w:szCs w:val="22"/>
                <w:lang w:val="sr-Latn-ME"/>
              </w:rPr>
              <w:lastRenderedPageBreak/>
              <w:t>Kardiološki poremećaji</w:t>
            </w:r>
          </w:p>
          <w:p w14:paraId="5F02F77F" w14:textId="77777777" w:rsidR="002A7BD6" w:rsidRPr="004E5B63" w:rsidRDefault="002A7BD6" w:rsidP="00D663C0">
            <w:pPr>
              <w:shd w:val="clear" w:color="auto" w:fill="FFFFFF"/>
              <w:rPr>
                <w:color w:val="000000"/>
                <w:spacing w:val="-1"/>
                <w:sz w:val="22"/>
                <w:szCs w:val="22"/>
                <w:lang w:val="sr-Latn-ME"/>
              </w:rPr>
            </w:pPr>
            <w:r w:rsidRPr="004E5B63">
              <w:rPr>
                <w:color w:val="000000"/>
                <w:spacing w:val="-1"/>
                <w:sz w:val="22"/>
                <w:szCs w:val="22"/>
                <w:lang w:val="sr-Latn-ME"/>
              </w:rPr>
              <w:t xml:space="preserve">Često </w:t>
            </w:r>
          </w:p>
          <w:p w14:paraId="0FDD99E8" w14:textId="77777777" w:rsidR="002A7BD6" w:rsidRPr="004E5B63" w:rsidRDefault="002A7BD6" w:rsidP="00D663C0">
            <w:pPr>
              <w:shd w:val="clear" w:color="auto" w:fill="FFFFFF"/>
              <w:rPr>
                <w:b/>
                <w:color w:val="000000"/>
                <w:spacing w:val="-1"/>
                <w:sz w:val="22"/>
                <w:szCs w:val="22"/>
                <w:lang w:val="sr-Latn-ME"/>
              </w:rPr>
            </w:pPr>
            <w:r w:rsidRPr="004E5B63">
              <w:rPr>
                <w:color w:val="000000"/>
                <w:spacing w:val="-1"/>
                <w:sz w:val="22"/>
                <w:szCs w:val="22"/>
                <w:lang w:val="sr-Latn-ME"/>
              </w:rPr>
              <w:t>Povremeno</w:t>
            </w:r>
          </w:p>
        </w:tc>
        <w:tc>
          <w:tcPr>
            <w:tcW w:w="5650" w:type="dxa"/>
            <w:tcBorders>
              <w:top w:val="single" w:sz="6" w:space="0" w:color="auto"/>
              <w:left w:val="single" w:sz="6" w:space="0" w:color="auto"/>
              <w:bottom w:val="single" w:sz="6" w:space="0" w:color="auto"/>
              <w:right w:val="single" w:sz="6" w:space="0" w:color="auto"/>
            </w:tcBorders>
            <w:shd w:val="clear" w:color="auto" w:fill="FFFFFF"/>
          </w:tcPr>
          <w:p w14:paraId="436619CB" w14:textId="77777777" w:rsidR="002A7BD6" w:rsidRPr="004E5B63" w:rsidRDefault="002A7BD6" w:rsidP="00D663C0">
            <w:pPr>
              <w:shd w:val="clear" w:color="auto" w:fill="FFFFFF"/>
              <w:rPr>
                <w:color w:val="000000"/>
                <w:sz w:val="22"/>
                <w:szCs w:val="22"/>
                <w:lang w:val="sr-Latn-ME"/>
              </w:rPr>
            </w:pPr>
          </w:p>
          <w:p w14:paraId="3EF869A5"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 xml:space="preserve">Bradikardija </w:t>
            </w:r>
          </w:p>
          <w:p w14:paraId="5AF9C42B"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 xml:space="preserve">Tahikardija </w:t>
            </w:r>
          </w:p>
          <w:p w14:paraId="3AE78EAC" w14:textId="77777777" w:rsidR="002A7BD6" w:rsidRPr="004E5B63" w:rsidRDefault="002A7BD6" w:rsidP="00D663C0">
            <w:pPr>
              <w:shd w:val="clear" w:color="auto" w:fill="FFFFFF"/>
              <w:rPr>
                <w:color w:val="000000"/>
                <w:sz w:val="22"/>
                <w:szCs w:val="22"/>
                <w:lang w:val="sr-Latn-ME"/>
              </w:rPr>
            </w:pPr>
          </w:p>
        </w:tc>
      </w:tr>
    </w:tbl>
    <w:p w14:paraId="5791B653" w14:textId="77777777" w:rsidR="002A7BD6" w:rsidRPr="004E5B63" w:rsidRDefault="002A7BD6" w:rsidP="002A7BD6">
      <w:pPr>
        <w:shd w:val="clear" w:color="auto" w:fill="FFFFFF"/>
        <w:spacing w:before="216" w:line="250" w:lineRule="exact"/>
        <w:rPr>
          <w:b/>
          <w:color w:val="000000"/>
          <w:sz w:val="22"/>
          <w:szCs w:val="22"/>
          <w:lang w:val="sr-Latn-ME"/>
        </w:rPr>
      </w:pPr>
    </w:p>
    <w:p w14:paraId="0C0C8212" w14:textId="77777777" w:rsidR="002A7BD6" w:rsidRPr="004E5B63" w:rsidRDefault="002A7BD6" w:rsidP="002A7BD6">
      <w:pPr>
        <w:shd w:val="clear" w:color="auto" w:fill="FFFFFF"/>
        <w:spacing w:line="254" w:lineRule="exact"/>
        <w:ind w:right="480"/>
        <w:rPr>
          <w:color w:val="000000"/>
          <w:spacing w:val="-3"/>
          <w:sz w:val="22"/>
          <w:szCs w:val="22"/>
          <w:u w:val="single"/>
          <w:lang w:val="sr-Latn-ME"/>
        </w:rPr>
      </w:pPr>
      <w:r w:rsidRPr="004E5B63">
        <w:rPr>
          <w:color w:val="000000"/>
          <w:spacing w:val="-3"/>
          <w:sz w:val="22"/>
          <w:szCs w:val="22"/>
          <w:u w:val="single"/>
          <w:lang w:val="sr-Latn-ME"/>
        </w:rPr>
        <w:t>Postmarketinško iskustvo</w:t>
      </w:r>
    </w:p>
    <w:p w14:paraId="56E69FF0" w14:textId="77777777" w:rsidR="002A7BD6" w:rsidRPr="004E5B63" w:rsidRDefault="002A7BD6" w:rsidP="002A7BD6">
      <w:pPr>
        <w:shd w:val="clear" w:color="auto" w:fill="FFFFFF"/>
        <w:spacing w:line="254" w:lineRule="exact"/>
        <w:ind w:right="480"/>
        <w:rPr>
          <w:color w:val="000000"/>
          <w:spacing w:val="-3"/>
          <w:sz w:val="22"/>
          <w:szCs w:val="22"/>
          <w:lang w:val="sr-Latn-ME"/>
        </w:rPr>
      </w:pPr>
      <w:r w:rsidRPr="004E5B63">
        <w:rPr>
          <w:color w:val="000000"/>
          <w:spacing w:val="-3"/>
          <w:sz w:val="22"/>
          <w:szCs w:val="22"/>
          <w:lang w:val="sr-Latn-ME"/>
        </w:rPr>
        <w:t>Spontano prijavljene neželjene reakcije, prikazane u Tabeli 2, su dobrovoljno prijavljivane i nije uvijek moguće pouzdano procijeniti njihovu učestalost ili uzročnu povezanost sa primjenom lijeka.</w:t>
      </w:r>
    </w:p>
    <w:p w14:paraId="6892AB41" w14:textId="77777777" w:rsidR="002A7BD6" w:rsidRPr="004E5B63" w:rsidRDefault="002A7BD6" w:rsidP="002A7BD6">
      <w:pPr>
        <w:shd w:val="clear" w:color="auto" w:fill="FFFFFF"/>
        <w:spacing w:line="254" w:lineRule="exact"/>
        <w:ind w:left="110" w:right="480"/>
        <w:rPr>
          <w:b/>
          <w:color w:val="000000"/>
          <w:spacing w:val="-3"/>
          <w:sz w:val="22"/>
          <w:szCs w:val="22"/>
          <w:lang w:val="sr-Latn-ME"/>
        </w:rPr>
      </w:pPr>
    </w:p>
    <w:p w14:paraId="5DC0BA1F" w14:textId="77777777" w:rsidR="002A7BD6" w:rsidRPr="004E5B63" w:rsidRDefault="002A7BD6" w:rsidP="002A7BD6">
      <w:pPr>
        <w:shd w:val="clear" w:color="auto" w:fill="FFFFFF"/>
        <w:spacing w:line="254" w:lineRule="exact"/>
        <w:ind w:left="110" w:right="480"/>
        <w:rPr>
          <w:b/>
          <w:color w:val="000000"/>
          <w:spacing w:val="-3"/>
          <w:sz w:val="22"/>
          <w:szCs w:val="22"/>
          <w:lang w:val="sr-Latn-ME"/>
        </w:rPr>
      </w:pPr>
      <w:r w:rsidRPr="004E5B63">
        <w:rPr>
          <w:b/>
          <w:color w:val="000000"/>
          <w:spacing w:val="-3"/>
          <w:sz w:val="22"/>
          <w:szCs w:val="22"/>
          <w:lang w:val="sr-Latn-ME"/>
        </w:rPr>
        <w:t>Tabela 2</w:t>
      </w:r>
      <w:r w:rsidRPr="004E5B63">
        <w:rPr>
          <w:color w:val="000000"/>
          <w:spacing w:val="-3"/>
          <w:sz w:val="22"/>
          <w:szCs w:val="22"/>
          <w:lang w:val="sr-Latn-ME"/>
        </w:rPr>
        <w:t xml:space="preserve">  </w:t>
      </w:r>
      <w:r w:rsidRPr="004E5B63">
        <w:rPr>
          <w:b/>
          <w:color w:val="000000"/>
          <w:spacing w:val="-3"/>
          <w:sz w:val="22"/>
          <w:szCs w:val="22"/>
          <w:lang w:val="sr-Latn-ME"/>
        </w:rPr>
        <w:t>Neželjene reakcije prikupljene iz spontanih prijavljivanja</w:t>
      </w:r>
    </w:p>
    <w:p w14:paraId="45B12B7A" w14:textId="77777777" w:rsidR="002A7BD6" w:rsidRPr="004E5B63" w:rsidRDefault="002A7BD6" w:rsidP="002A7BD6">
      <w:pPr>
        <w:shd w:val="clear" w:color="auto" w:fill="FFFFFF"/>
        <w:spacing w:line="254" w:lineRule="exact"/>
        <w:ind w:left="110" w:right="480"/>
        <w:rPr>
          <w:b/>
          <w:color w:val="000000"/>
          <w:spacing w:val="-3"/>
          <w:sz w:val="22"/>
          <w:szCs w:val="22"/>
          <w:lang w:val="sr-Latn-ME"/>
        </w:rPr>
      </w:pPr>
    </w:p>
    <w:tbl>
      <w:tblPr>
        <w:tblW w:w="0" w:type="auto"/>
        <w:tblInd w:w="40" w:type="dxa"/>
        <w:tblLayout w:type="fixed"/>
        <w:tblCellMar>
          <w:left w:w="40" w:type="dxa"/>
          <w:right w:w="40" w:type="dxa"/>
        </w:tblCellMar>
        <w:tblLook w:val="0000" w:firstRow="0" w:lastRow="0" w:firstColumn="0" w:lastColumn="0" w:noHBand="0" w:noVBand="0"/>
      </w:tblPr>
      <w:tblGrid>
        <w:gridCol w:w="3606"/>
        <w:gridCol w:w="5569"/>
      </w:tblGrid>
      <w:tr w:rsidR="002A7BD6" w:rsidRPr="004E5B63" w14:paraId="615B287B" w14:textId="77777777" w:rsidTr="00D663C0">
        <w:trPr>
          <w:trHeight w:hRule="exact" w:val="379"/>
        </w:trPr>
        <w:tc>
          <w:tcPr>
            <w:tcW w:w="3606" w:type="dxa"/>
            <w:tcBorders>
              <w:top w:val="single" w:sz="6" w:space="0" w:color="auto"/>
              <w:left w:val="single" w:sz="6" w:space="0" w:color="auto"/>
              <w:bottom w:val="single" w:sz="6" w:space="0" w:color="auto"/>
              <w:right w:val="single" w:sz="6" w:space="0" w:color="auto"/>
            </w:tcBorders>
            <w:shd w:val="clear" w:color="auto" w:fill="FFFFFF"/>
          </w:tcPr>
          <w:p w14:paraId="38DDB698" w14:textId="77777777" w:rsidR="002A7BD6" w:rsidRPr="004E5B63" w:rsidRDefault="002A7BD6" w:rsidP="00D663C0">
            <w:pPr>
              <w:shd w:val="clear" w:color="auto" w:fill="FFFFFF"/>
              <w:rPr>
                <w:b/>
                <w:color w:val="000000"/>
                <w:sz w:val="22"/>
                <w:szCs w:val="22"/>
                <w:lang w:val="sr-Latn-ME"/>
              </w:rPr>
            </w:pPr>
            <w:r w:rsidRPr="004E5B63">
              <w:rPr>
                <w:b/>
                <w:color w:val="000000"/>
                <w:sz w:val="22"/>
                <w:szCs w:val="22"/>
                <w:lang w:val="sr-Latn-ME"/>
              </w:rPr>
              <w:t>Poremećaji krvi i limfnog sistema</w:t>
            </w:r>
          </w:p>
        </w:tc>
        <w:tc>
          <w:tcPr>
            <w:tcW w:w="5569" w:type="dxa"/>
            <w:tcBorders>
              <w:top w:val="single" w:sz="6" w:space="0" w:color="auto"/>
              <w:left w:val="single" w:sz="6" w:space="0" w:color="auto"/>
              <w:bottom w:val="single" w:sz="6" w:space="0" w:color="auto"/>
              <w:right w:val="single" w:sz="6" w:space="0" w:color="auto"/>
            </w:tcBorders>
            <w:shd w:val="clear" w:color="auto" w:fill="FFFFFF"/>
          </w:tcPr>
          <w:p w14:paraId="2CB2C5CE"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Trombocitopenija</w:t>
            </w:r>
          </w:p>
        </w:tc>
      </w:tr>
      <w:tr w:rsidR="002A7BD6" w:rsidRPr="004E5B63" w14:paraId="224B6AFA" w14:textId="77777777" w:rsidTr="00D663C0">
        <w:trPr>
          <w:trHeight w:hRule="exact" w:val="379"/>
        </w:trPr>
        <w:tc>
          <w:tcPr>
            <w:tcW w:w="3606" w:type="dxa"/>
            <w:tcBorders>
              <w:top w:val="single" w:sz="6" w:space="0" w:color="auto"/>
              <w:left w:val="single" w:sz="6" w:space="0" w:color="auto"/>
              <w:bottom w:val="single" w:sz="6" w:space="0" w:color="auto"/>
              <w:right w:val="single" w:sz="6" w:space="0" w:color="auto"/>
            </w:tcBorders>
            <w:shd w:val="clear" w:color="auto" w:fill="FFFFFF"/>
          </w:tcPr>
          <w:p w14:paraId="012CDCD1" w14:textId="77777777" w:rsidR="002A7BD6" w:rsidRPr="004E5B63" w:rsidRDefault="002A7BD6" w:rsidP="00D663C0">
            <w:pPr>
              <w:shd w:val="clear" w:color="auto" w:fill="FFFFFF"/>
              <w:rPr>
                <w:sz w:val="22"/>
                <w:szCs w:val="22"/>
                <w:lang w:val="sr-Latn-ME"/>
              </w:rPr>
            </w:pPr>
            <w:r w:rsidRPr="004E5B63">
              <w:rPr>
                <w:b/>
                <w:color w:val="000000"/>
                <w:sz w:val="22"/>
                <w:szCs w:val="22"/>
                <w:lang w:val="sr-Latn-ME"/>
              </w:rPr>
              <w:t>Poremećaji imuniteta</w:t>
            </w:r>
          </w:p>
        </w:tc>
        <w:tc>
          <w:tcPr>
            <w:tcW w:w="5569" w:type="dxa"/>
            <w:tcBorders>
              <w:top w:val="single" w:sz="6" w:space="0" w:color="auto"/>
              <w:left w:val="single" w:sz="6" w:space="0" w:color="auto"/>
              <w:bottom w:val="single" w:sz="6" w:space="0" w:color="auto"/>
              <w:right w:val="single" w:sz="6" w:space="0" w:color="auto"/>
            </w:tcBorders>
            <w:shd w:val="clear" w:color="auto" w:fill="FFFFFF"/>
          </w:tcPr>
          <w:p w14:paraId="311FE125"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Anafilaksa, alergijska/hipersenzitivna reakcija</w:t>
            </w:r>
          </w:p>
          <w:p w14:paraId="2F0D0A28" w14:textId="77777777" w:rsidR="002A7BD6" w:rsidRPr="004E5B63" w:rsidRDefault="002A7BD6" w:rsidP="00D663C0">
            <w:pPr>
              <w:shd w:val="clear" w:color="auto" w:fill="FFFFFF"/>
              <w:rPr>
                <w:sz w:val="22"/>
                <w:szCs w:val="22"/>
                <w:lang w:val="sr-Latn-ME"/>
              </w:rPr>
            </w:pPr>
          </w:p>
        </w:tc>
      </w:tr>
      <w:tr w:rsidR="002A7BD6" w:rsidRPr="004E5B63" w14:paraId="017218BD" w14:textId="77777777" w:rsidTr="00D663C0">
        <w:trPr>
          <w:trHeight w:hRule="exact" w:val="471"/>
        </w:trPr>
        <w:tc>
          <w:tcPr>
            <w:tcW w:w="3606" w:type="dxa"/>
            <w:tcBorders>
              <w:top w:val="single" w:sz="6" w:space="0" w:color="auto"/>
              <w:left w:val="single" w:sz="6" w:space="0" w:color="auto"/>
              <w:bottom w:val="single" w:sz="6" w:space="0" w:color="auto"/>
              <w:right w:val="single" w:sz="6" w:space="0" w:color="auto"/>
            </w:tcBorders>
            <w:shd w:val="clear" w:color="auto" w:fill="FFFFFF"/>
          </w:tcPr>
          <w:p w14:paraId="4253AAC3" w14:textId="77777777" w:rsidR="002A7BD6" w:rsidRPr="004E5B63" w:rsidRDefault="002A7BD6" w:rsidP="00D663C0">
            <w:pPr>
              <w:shd w:val="clear" w:color="auto" w:fill="FFFFFF"/>
              <w:rPr>
                <w:b/>
                <w:color w:val="000000"/>
                <w:spacing w:val="-1"/>
                <w:sz w:val="22"/>
                <w:szCs w:val="22"/>
                <w:lang w:val="sr-Latn-ME"/>
              </w:rPr>
            </w:pPr>
            <w:r w:rsidRPr="004E5B63">
              <w:rPr>
                <w:b/>
                <w:color w:val="000000"/>
                <w:spacing w:val="-1"/>
                <w:sz w:val="22"/>
                <w:szCs w:val="22"/>
                <w:lang w:val="sr-Latn-ME"/>
              </w:rPr>
              <w:t>Poremećaji kože i potkožnog tkiva</w:t>
            </w:r>
          </w:p>
          <w:p w14:paraId="1ECAC3EF" w14:textId="77777777" w:rsidR="002A7BD6" w:rsidRPr="004E5B63" w:rsidRDefault="002A7BD6" w:rsidP="00D663C0">
            <w:pPr>
              <w:shd w:val="clear" w:color="auto" w:fill="FFFFFF"/>
              <w:rPr>
                <w:sz w:val="22"/>
                <w:szCs w:val="22"/>
                <w:lang w:val="sr-Latn-ME"/>
              </w:rPr>
            </w:pPr>
          </w:p>
        </w:tc>
        <w:tc>
          <w:tcPr>
            <w:tcW w:w="5569" w:type="dxa"/>
            <w:tcBorders>
              <w:top w:val="single" w:sz="6" w:space="0" w:color="auto"/>
              <w:left w:val="single" w:sz="6" w:space="0" w:color="auto"/>
              <w:bottom w:val="single" w:sz="6" w:space="0" w:color="auto"/>
              <w:right w:val="single" w:sz="6" w:space="0" w:color="auto"/>
            </w:tcBorders>
            <w:shd w:val="clear" w:color="auto" w:fill="FFFFFF"/>
          </w:tcPr>
          <w:p w14:paraId="63CB75BF"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 xml:space="preserve">Urtikarija </w:t>
            </w:r>
          </w:p>
          <w:p w14:paraId="0F711CFF" w14:textId="77777777" w:rsidR="002A7BD6" w:rsidRPr="004E5B63" w:rsidRDefault="002A7BD6" w:rsidP="00D663C0">
            <w:pPr>
              <w:shd w:val="clear" w:color="auto" w:fill="FFFFFF"/>
              <w:rPr>
                <w:sz w:val="22"/>
                <w:szCs w:val="22"/>
                <w:lang w:val="sr-Latn-ME"/>
              </w:rPr>
            </w:pPr>
          </w:p>
        </w:tc>
      </w:tr>
      <w:tr w:rsidR="002A7BD6" w:rsidRPr="004E5B63" w14:paraId="6622CDBA" w14:textId="77777777" w:rsidTr="00D663C0">
        <w:trPr>
          <w:trHeight w:hRule="exact" w:val="624"/>
        </w:trPr>
        <w:tc>
          <w:tcPr>
            <w:tcW w:w="3606" w:type="dxa"/>
            <w:tcBorders>
              <w:top w:val="single" w:sz="6" w:space="0" w:color="auto"/>
              <w:left w:val="single" w:sz="6" w:space="0" w:color="auto"/>
              <w:bottom w:val="single" w:sz="6" w:space="0" w:color="auto"/>
              <w:right w:val="single" w:sz="6" w:space="0" w:color="auto"/>
            </w:tcBorders>
            <w:shd w:val="clear" w:color="auto" w:fill="FFFFFF"/>
          </w:tcPr>
          <w:p w14:paraId="112BC3AF" w14:textId="77777777" w:rsidR="002A7BD6" w:rsidRPr="004E5B63" w:rsidRDefault="002A7BD6" w:rsidP="00D663C0">
            <w:pPr>
              <w:shd w:val="clear" w:color="auto" w:fill="FFFFFF"/>
              <w:rPr>
                <w:b/>
                <w:color w:val="000000"/>
                <w:sz w:val="22"/>
                <w:szCs w:val="22"/>
                <w:lang w:val="sr-Latn-ME"/>
              </w:rPr>
            </w:pPr>
            <w:r w:rsidRPr="004E5B63">
              <w:rPr>
                <w:b/>
                <w:color w:val="000000"/>
                <w:sz w:val="22"/>
                <w:szCs w:val="22"/>
                <w:lang w:val="sr-Latn-ME"/>
              </w:rPr>
              <w:t xml:space="preserve">Hepatobilijarni poremećaji </w:t>
            </w:r>
          </w:p>
          <w:p w14:paraId="56FECCD1" w14:textId="77777777" w:rsidR="002A7BD6" w:rsidRPr="004E5B63" w:rsidRDefault="002A7BD6" w:rsidP="00D663C0">
            <w:pPr>
              <w:shd w:val="clear" w:color="auto" w:fill="FFFFFF"/>
              <w:rPr>
                <w:sz w:val="22"/>
                <w:szCs w:val="22"/>
                <w:lang w:val="sr-Latn-ME"/>
              </w:rPr>
            </w:pPr>
          </w:p>
        </w:tc>
        <w:tc>
          <w:tcPr>
            <w:tcW w:w="5569" w:type="dxa"/>
            <w:tcBorders>
              <w:top w:val="single" w:sz="6" w:space="0" w:color="auto"/>
              <w:left w:val="single" w:sz="6" w:space="0" w:color="auto"/>
              <w:bottom w:val="single" w:sz="6" w:space="0" w:color="auto"/>
              <w:right w:val="single" w:sz="6" w:space="0" w:color="auto"/>
            </w:tcBorders>
            <w:shd w:val="clear" w:color="auto" w:fill="FFFFFF"/>
          </w:tcPr>
          <w:p w14:paraId="080454C5"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Akutni pankreatitis, akutni hepatitis bez holestaze, holestatski hepatitis, holestaza, žutica, holestatska žutica</w:t>
            </w:r>
          </w:p>
          <w:p w14:paraId="2934B57A" w14:textId="77777777" w:rsidR="002A7BD6" w:rsidRPr="004E5B63" w:rsidRDefault="002A7BD6" w:rsidP="00D663C0">
            <w:pPr>
              <w:shd w:val="clear" w:color="auto" w:fill="FFFFFF"/>
              <w:rPr>
                <w:sz w:val="22"/>
                <w:szCs w:val="22"/>
                <w:lang w:val="sr-Latn-ME"/>
              </w:rPr>
            </w:pPr>
          </w:p>
        </w:tc>
      </w:tr>
      <w:tr w:rsidR="002A7BD6" w:rsidRPr="004E5B63" w14:paraId="77199EB7" w14:textId="77777777" w:rsidTr="00D663C0">
        <w:trPr>
          <w:trHeight w:hRule="exact" w:val="471"/>
        </w:trPr>
        <w:tc>
          <w:tcPr>
            <w:tcW w:w="3606" w:type="dxa"/>
            <w:tcBorders>
              <w:top w:val="single" w:sz="6" w:space="0" w:color="auto"/>
              <w:left w:val="single" w:sz="6" w:space="0" w:color="auto"/>
              <w:bottom w:val="single" w:sz="6" w:space="0" w:color="auto"/>
              <w:right w:val="single" w:sz="6" w:space="0" w:color="auto"/>
            </w:tcBorders>
            <w:shd w:val="clear" w:color="auto" w:fill="FFFFFF"/>
          </w:tcPr>
          <w:p w14:paraId="603B528D" w14:textId="77777777" w:rsidR="002A7BD6" w:rsidRPr="004E5B63" w:rsidRDefault="002A7BD6" w:rsidP="00D663C0">
            <w:pPr>
              <w:shd w:val="clear" w:color="auto" w:fill="FFFFFF"/>
              <w:rPr>
                <w:b/>
                <w:color w:val="000000"/>
                <w:spacing w:val="-1"/>
                <w:sz w:val="22"/>
                <w:szCs w:val="22"/>
                <w:lang w:val="sr-Latn-ME"/>
              </w:rPr>
            </w:pPr>
            <w:r w:rsidRPr="004E5B63">
              <w:rPr>
                <w:b/>
                <w:color w:val="000000"/>
                <w:spacing w:val="-1"/>
                <w:sz w:val="22"/>
                <w:szCs w:val="22"/>
                <w:lang w:val="sr-Latn-ME"/>
              </w:rPr>
              <w:t>Kardiološki poremećaji</w:t>
            </w:r>
          </w:p>
          <w:p w14:paraId="5EDAE056" w14:textId="77777777" w:rsidR="002A7BD6" w:rsidRPr="004E5B63" w:rsidRDefault="002A7BD6" w:rsidP="00D663C0">
            <w:pPr>
              <w:shd w:val="clear" w:color="auto" w:fill="FFFFFF"/>
              <w:rPr>
                <w:sz w:val="22"/>
                <w:szCs w:val="22"/>
                <w:lang w:val="sr-Latn-ME"/>
              </w:rPr>
            </w:pPr>
          </w:p>
        </w:tc>
        <w:tc>
          <w:tcPr>
            <w:tcW w:w="5569" w:type="dxa"/>
            <w:tcBorders>
              <w:top w:val="single" w:sz="6" w:space="0" w:color="auto"/>
              <w:left w:val="single" w:sz="6" w:space="0" w:color="auto"/>
              <w:bottom w:val="single" w:sz="6" w:space="0" w:color="auto"/>
              <w:right w:val="single" w:sz="6" w:space="0" w:color="auto"/>
            </w:tcBorders>
            <w:shd w:val="clear" w:color="auto" w:fill="FFFFFF"/>
          </w:tcPr>
          <w:p w14:paraId="0DDD196A" w14:textId="77777777" w:rsidR="002A7BD6" w:rsidRPr="004E5B63" w:rsidRDefault="002A7BD6" w:rsidP="00D663C0">
            <w:pPr>
              <w:shd w:val="clear" w:color="auto" w:fill="FFFFFF"/>
              <w:rPr>
                <w:color w:val="000000"/>
                <w:sz w:val="22"/>
                <w:szCs w:val="22"/>
                <w:lang w:val="sr-Latn-ME"/>
              </w:rPr>
            </w:pPr>
            <w:r w:rsidRPr="004E5B63">
              <w:rPr>
                <w:color w:val="000000"/>
                <w:sz w:val="22"/>
                <w:szCs w:val="22"/>
                <w:lang w:val="sr-Latn-ME"/>
              </w:rPr>
              <w:t xml:space="preserve">Aritmije </w:t>
            </w:r>
          </w:p>
          <w:p w14:paraId="7624A6A2" w14:textId="77777777" w:rsidR="002A7BD6" w:rsidRPr="004E5B63" w:rsidRDefault="002A7BD6" w:rsidP="00D663C0">
            <w:pPr>
              <w:shd w:val="clear" w:color="auto" w:fill="FFFFFF"/>
              <w:rPr>
                <w:sz w:val="22"/>
                <w:szCs w:val="22"/>
                <w:lang w:val="sr-Latn-ME"/>
              </w:rPr>
            </w:pPr>
          </w:p>
        </w:tc>
      </w:tr>
      <w:tr w:rsidR="002A7BD6" w:rsidRPr="004E5B63" w14:paraId="52215EE6" w14:textId="77777777" w:rsidTr="00D663C0">
        <w:trPr>
          <w:trHeight w:hRule="exact" w:val="661"/>
        </w:trPr>
        <w:tc>
          <w:tcPr>
            <w:tcW w:w="3606" w:type="dxa"/>
            <w:tcBorders>
              <w:top w:val="single" w:sz="6" w:space="0" w:color="auto"/>
              <w:left w:val="single" w:sz="6" w:space="0" w:color="auto"/>
              <w:bottom w:val="single" w:sz="6" w:space="0" w:color="auto"/>
              <w:right w:val="single" w:sz="6" w:space="0" w:color="auto"/>
            </w:tcBorders>
            <w:shd w:val="clear" w:color="auto" w:fill="FFFFFF"/>
          </w:tcPr>
          <w:p w14:paraId="2CEADB14" w14:textId="77777777" w:rsidR="002A7BD6" w:rsidRPr="004E5B63" w:rsidRDefault="002A7BD6" w:rsidP="00D663C0">
            <w:pPr>
              <w:shd w:val="clear" w:color="auto" w:fill="FFFFFF"/>
              <w:rPr>
                <w:sz w:val="22"/>
                <w:szCs w:val="22"/>
                <w:lang w:val="sr-Latn-ME"/>
              </w:rPr>
            </w:pPr>
            <w:r w:rsidRPr="004E5B63">
              <w:rPr>
                <w:b/>
                <w:color w:val="000000"/>
                <w:spacing w:val="-1"/>
                <w:sz w:val="22"/>
                <w:szCs w:val="22"/>
                <w:lang w:val="sr-Latn-ME"/>
              </w:rPr>
              <w:t xml:space="preserve">Laboratorijski nalazi </w:t>
            </w:r>
          </w:p>
        </w:tc>
        <w:tc>
          <w:tcPr>
            <w:tcW w:w="5569" w:type="dxa"/>
            <w:tcBorders>
              <w:top w:val="single" w:sz="6" w:space="0" w:color="auto"/>
              <w:left w:val="single" w:sz="6" w:space="0" w:color="auto"/>
              <w:bottom w:val="single" w:sz="6" w:space="0" w:color="auto"/>
              <w:right w:val="single" w:sz="6" w:space="0" w:color="auto"/>
            </w:tcBorders>
            <w:shd w:val="clear" w:color="auto" w:fill="FFFFFF"/>
          </w:tcPr>
          <w:p w14:paraId="48E346D6" w14:textId="77777777" w:rsidR="002A7BD6" w:rsidRPr="004E5B63" w:rsidRDefault="002A7BD6" w:rsidP="00D663C0">
            <w:pPr>
              <w:shd w:val="clear" w:color="auto" w:fill="FFFFFF"/>
              <w:rPr>
                <w:sz w:val="22"/>
                <w:szCs w:val="22"/>
                <w:lang w:val="sr-Latn-ME"/>
              </w:rPr>
            </w:pPr>
            <w:r w:rsidRPr="004E5B63">
              <w:rPr>
                <w:color w:val="000000"/>
                <w:sz w:val="22"/>
                <w:szCs w:val="22"/>
                <w:lang w:val="sr-Latn-ME"/>
              </w:rPr>
              <w:t>Povišen nivoi alkalne fosfataze, povišeni nivoi gama-glutamil transferaze</w:t>
            </w:r>
          </w:p>
        </w:tc>
      </w:tr>
    </w:tbl>
    <w:p w14:paraId="6542919E" w14:textId="77777777" w:rsidR="002A7BD6" w:rsidRPr="004E5B63" w:rsidRDefault="002A7BD6" w:rsidP="002A7BD6">
      <w:pPr>
        <w:pStyle w:val="Header"/>
        <w:tabs>
          <w:tab w:val="left" w:pos="284"/>
        </w:tabs>
        <w:rPr>
          <w:sz w:val="22"/>
          <w:szCs w:val="22"/>
          <w:lang w:val="sr-Latn-ME"/>
        </w:rPr>
      </w:pPr>
    </w:p>
    <w:p w14:paraId="45D94219" w14:textId="77777777" w:rsidR="002A7BD6" w:rsidRPr="004E5B63" w:rsidRDefault="002A7BD6" w:rsidP="002A7BD6">
      <w:pPr>
        <w:pStyle w:val="Header"/>
        <w:tabs>
          <w:tab w:val="left" w:pos="284"/>
        </w:tabs>
        <w:rPr>
          <w:sz w:val="22"/>
          <w:szCs w:val="22"/>
          <w:u w:val="single"/>
          <w:lang w:val="sr-Latn-ME"/>
        </w:rPr>
      </w:pPr>
      <w:r w:rsidRPr="004E5B63">
        <w:rPr>
          <w:sz w:val="22"/>
          <w:szCs w:val="22"/>
          <w:u w:val="single"/>
          <w:lang w:val="sr-Latn-ME"/>
        </w:rPr>
        <w:t>Opis odabranih neželjenih reakcija</w:t>
      </w:r>
    </w:p>
    <w:p w14:paraId="3AC9A1E8" w14:textId="77777777" w:rsidR="002A7BD6" w:rsidRPr="004E5B63" w:rsidRDefault="002A7BD6" w:rsidP="002A7BD6">
      <w:pPr>
        <w:pStyle w:val="Header"/>
        <w:tabs>
          <w:tab w:val="left" w:pos="284"/>
        </w:tabs>
        <w:rPr>
          <w:sz w:val="22"/>
          <w:szCs w:val="22"/>
          <w:u w:val="single"/>
          <w:lang w:val="sr-Latn-ME"/>
        </w:rPr>
      </w:pPr>
    </w:p>
    <w:p w14:paraId="64551F8A" w14:textId="77777777" w:rsidR="002A7BD6" w:rsidRPr="004E5B63" w:rsidRDefault="002A7BD6" w:rsidP="002A7BD6">
      <w:pPr>
        <w:rPr>
          <w:i/>
          <w:noProof/>
          <w:sz w:val="22"/>
          <w:szCs w:val="22"/>
          <w:lang w:val="sr-Latn-ME"/>
        </w:rPr>
      </w:pPr>
      <w:r w:rsidRPr="004E5B63">
        <w:rPr>
          <w:i/>
          <w:noProof/>
          <w:sz w:val="22"/>
          <w:szCs w:val="22"/>
          <w:lang w:val="sr-Latn-ME"/>
        </w:rPr>
        <w:t xml:space="preserve">Poremećaji na nivou žučne kese i povezani događaji </w:t>
      </w:r>
    </w:p>
    <w:p w14:paraId="30A7DE4E" w14:textId="2A4CEF63" w:rsidR="002A7BD6" w:rsidRPr="004E5B63" w:rsidRDefault="002A7BD6" w:rsidP="002A7BD6">
      <w:pPr>
        <w:tabs>
          <w:tab w:val="center" w:pos="4536"/>
          <w:tab w:val="right" w:pos="9072"/>
        </w:tabs>
        <w:rPr>
          <w:sz w:val="22"/>
          <w:szCs w:val="22"/>
          <w:lang w:val="sr-Latn-ME"/>
        </w:rPr>
      </w:pPr>
      <w:r w:rsidRPr="004E5B63">
        <w:rPr>
          <w:sz w:val="22"/>
          <w:szCs w:val="22"/>
          <w:lang w:val="sr-Latn-ME"/>
        </w:rPr>
        <w:t>Za analoge somatostatina je pokazano da inhibiraju kontraktilnost žučne kese i smanjuju sekreciju žuči, što može dovesti do abnormalnosti žučne kese ili pojave mulja u žučnoj kesi. Nastanak kamenja u žuči je bilo prijavljeno kod 15 do 30% hroničnih primalaca lijeka Sandostatin, su</w:t>
      </w:r>
      <w:r w:rsidR="00C53AD9" w:rsidRPr="004E5B63">
        <w:rPr>
          <w:sz w:val="22"/>
          <w:szCs w:val="22"/>
          <w:lang w:val="sr-Latn-ME"/>
        </w:rPr>
        <w:t>b</w:t>
      </w:r>
      <w:r w:rsidRPr="004E5B63">
        <w:rPr>
          <w:sz w:val="22"/>
          <w:szCs w:val="22"/>
          <w:lang w:val="sr-Latn-ME"/>
        </w:rPr>
        <w:t>kutanim načinom primjene. Incidenca u opštoj populaciji (starosti 40 do 60 godina) je 5 do 20%. Ukoliko se pojavi kamenje u žuči, uglavnom je asimptomatske prirode; kamenje koje dovodi do pojave simptoma, trebalo bi tretirati ili terapijom za rastvaranje sa žučnim solima ili hirurškim putem.</w:t>
      </w:r>
    </w:p>
    <w:p w14:paraId="330822C4" w14:textId="77777777" w:rsidR="002A7BD6" w:rsidRPr="004E5B63" w:rsidRDefault="002A7BD6" w:rsidP="002A7BD6">
      <w:pPr>
        <w:pStyle w:val="Header"/>
        <w:tabs>
          <w:tab w:val="left" w:pos="284"/>
        </w:tabs>
        <w:rPr>
          <w:sz w:val="22"/>
          <w:szCs w:val="22"/>
          <w:u w:val="single"/>
          <w:lang w:val="sr-Latn-ME"/>
        </w:rPr>
      </w:pPr>
    </w:p>
    <w:p w14:paraId="5A2A772B" w14:textId="77777777" w:rsidR="002A7BD6" w:rsidRPr="004E5B63" w:rsidRDefault="002A7BD6" w:rsidP="002A7BD6">
      <w:pPr>
        <w:pStyle w:val="Header"/>
        <w:tabs>
          <w:tab w:val="left" w:pos="284"/>
        </w:tabs>
        <w:rPr>
          <w:i/>
          <w:sz w:val="22"/>
          <w:szCs w:val="22"/>
          <w:lang w:val="sr-Latn-ME"/>
        </w:rPr>
      </w:pPr>
      <w:r w:rsidRPr="004E5B63">
        <w:rPr>
          <w:i/>
          <w:sz w:val="22"/>
          <w:szCs w:val="22"/>
          <w:lang w:val="sr-Latn-ME"/>
        </w:rPr>
        <w:t>Gastrointenstinalni poremećaji</w:t>
      </w:r>
    </w:p>
    <w:p w14:paraId="2A2A8EC7" w14:textId="77777777" w:rsidR="002A7BD6" w:rsidRPr="004E5B63" w:rsidRDefault="002A7BD6" w:rsidP="002A7BD6">
      <w:pPr>
        <w:rPr>
          <w:noProof/>
          <w:sz w:val="22"/>
          <w:szCs w:val="22"/>
          <w:lang w:val="sr-Latn-ME"/>
        </w:rPr>
      </w:pPr>
      <w:r w:rsidRPr="004E5B63">
        <w:rPr>
          <w:noProof/>
          <w:sz w:val="22"/>
          <w:szCs w:val="22"/>
          <w:lang w:val="sr-Latn-ME"/>
        </w:rPr>
        <w:t>U rijetkim slučajevima, gastrointestinalna neželjena dejstva mogu podsjećati na akutnu intestinalnu opstrukciju, sa progresivnom abdominalnom distenzijom, jakim epigastričnim bolom, abdominalnom osetljivošću i defansom.</w:t>
      </w:r>
    </w:p>
    <w:p w14:paraId="3DB4402F" w14:textId="77777777" w:rsidR="002A7BD6" w:rsidRPr="004E5B63" w:rsidRDefault="002A7BD6" w:rsidP="002A7BD6">
      <w:pPr>
        <w:rPr>
          <w:noProof/>
          <w:sz w:val="22"/>
          <w:szCs w:val="22"/>
          <w:lang w:val="sr-Latn-ME"/>
        </w:rPr>
      </w:pPr>
    </w:p>
    <w:p w14:paraId="470F2763" w14:textId="77777777" w:rsidR="002A7BD6" w:rsidRPr="004E5B63" w:rsidRDefault="002A7BD6" w:rsidP="002A7BD6">
      <w:pPr>
        <w:rPr>
          <w:noProof/>
          <w:sz w:val="22"/>
          <w:szCs w:val="22"/>
          <w:lang w:val="sr-Latn-ME"/>
        </w:rPr>
      </w:pPr>
      <w:r w:rsidRPr="004E5B63">
        <w:rPr>
          <w:noProof/>
          <w:sz w:val="22"/>
          <w:szCs w:val="22"/>
          <w:lang w:val="sr-Latn-ME"/>
        </w:rPr>
        <w:t>Poznato je da se učestalost gastrointestinalnih neželjenih dejstava smanjuje tokom vremena sa nastavkom terapije.</w:t>
      </w:r>
    </w:p>
    <w:p w14:paraId="2B66D26A" w14:textId="77777777" w:rsidR="002A7BD6" w:rsidRPr="004E5B63" w:rsidRDefault="002A7BD6" w:rsidP="002A7BD6">
      <w:pPr>
        <w:rPr>
          <w:noProof/>
          <w:sz w:val="22"/>
          <w:szCs w:val="22"/>
          <w:lang w:val="sr-Latn-ME"/>
        </w:rPr>
      </w:pPr>
    </w:p>
    <w:p w14:paraId="22A2F0FF" w14:textId="77777777" w:rsidR="002A7BD6" w:rsidRPr="004E5B63" w:rsidRDefault="002A7BD6" w:rsidP="002A7BD6">
      <w:pPr>
        <w:rPr>
          <w:noProof/>
          <w:sz w:val="22"/>
          <w:szCs w:val="22"/>
          <w:lang w:val="sr-Latn-ME"/>
        </w:rPr>
      </w:pPr>
      <w:r w:rsidRPr="004E5B63">
        <w:rPr>
          <w:noProof/>
          <w:sz w:val="22"/>
          <w:szCs w:val="22"/>
          <w:lang w:val="sr-Latn-ME"/>
        </w:rPr>
        <w:t>Pojava gastrointestinalnih neželjenih dejstava se može smanjiti izbjegavanjem unosa hrane u periodu primanja s.c. injekcije, i to davanjem injekcije izmedju dva obroka ili prije odlaska na počinak.</w:t>
      </w:r>
    </w:p>
    <w:p w14:paraId="60041ADC" w14:textId="77777777" w:rsidR="002A7BD6" w:rsidRPr="004E5B63" w:rsidRDefault="002A7BD6" w:rsidP="002A7BD6">
      <w:pPr>
        <w:rPr>
          <w:noProof/>
          <w:sz w:val="22"/>
          <w:szCs w:val="22"/>
          <w:lang w:val="sr-Latn-ME"/>
        </w:rPr>
      </w:pPr>
    </w:p>
    <w:p w14:paraId="18875AEB" w14:textId="77777777" w:rsidR="002A7BD6" w:rsidRPr="004E5B63" w:rsidRDefault="002A7BD6" w:rsidP="002A7BD6">
      <w:pPr>
        <w:rPr>
          <w:i/>
          <w:noProof/>
          <w:sz w:val="22"/>
          <w:szCs w:val="22"/>
          <w:lang w:val="sr-Latn-ME"/>
        </w:rPr>
      </w:pPr>
      <w:r w:rsidRPr="004E5B63">
        <w:rPr>
          <w:i/>
          <w:noProof/>
          <w:sz w:val="22"/>
          <w:szCs w:val="22"/>
          <w:lang w:val="sr-Latn-ME"/>
        </w:rPr>
        <w:t>Preosjetljivost i anafilaktičke reakcije</w:t>
      </w:r>
    </w:p>
    <w:p w14:paraId="1BB7998D" w14:textId="77777777" w:rsidR="002A7BD6" w:rsidRPr="004E5B63" w:rsidRDefault="002A7BD6" w:rsidP="002A7BD6">
      <w:pPr>
        <w:rPr>
          <w:noProof/>
          <w:sz w:val="22"/>
          <w:szCs w:val="22"/>
          <w:lang w:val="sr-Latn-ME"/>
        </w:rPr>
      </w:pPr>
      <w:r w:rsidRPr="004E5B63">
        <w:rPr>
          <w:noProof/>
          <w:sz w:val="22"/>
          <w:szCs w:val="22"/>
          <w:lang w:val="sr-Latn-ME"/>
        </w:rPr>
        <w:t>Preosjetljivost i alergijske reakcije su bile prijavljivane  nakon stavljanja lijeka u promet. Većina ovih reakcija su zahvatale kožu, rijetko usta i disajne puteve. Prijavljeni su i izolovani slučajevi anafilaktičkog šoka.</w:t>
      </w:r>
    </w:p>
    <w:p w14:paraId="5771D9B2" w14:textId="77777777" w:rsidR="007B4113" w:rsidRPr="004E5B63" w:rsidRDefault="007B4113" w:rsidP="002A7BD6">
      <w:pPr>
        <w:rPr>
          <w:noProof/>
          <w:sz w:val="22"/>
          <w:szCs w:val="22"/>
          <w:lang w:val="sr-Latn-ME"/>
        </w:rPr>
      </w:pPr>
    </w:p>
    <w:p w14:paraId="7697B510" w14:textId="77777777" w:rsidR="002A7BD6" w:rsidRPr="004E5B63" w:rsidRDefault="002A7BD6" w:rsidP="002A7BD6">
      <w:pPr>
        <w:rPr>
          <w:i/>
          <w:noProof/>
          <w:sz w:val="22"/>
          <w:szCs w:val="22"/>
          <w:lang w:val="sr-Latn-ME"/>
        </w:rPr>
      </w:pPr>
      <w:r w:rsidRPr="004E5B63">
        <w:rPr>
          <w:i/>
          <w:noProof/>
          <w:sz w:val="22"/>
          <w:szCs w:val="22"/>
          <w:lang w:val="sr-Latn-ME"/>
        </w:rPr>
        <w:t>Reakcije na mjestu primjene</w:t>
      </w:r>
    </w:p>
    <w:p w14:paraId="350A0AFE" w14:textId="77777777" w:rsidR="002A7BD6" w:rsidRPr="004E5B63" w:rsidRDefault="002A7BD6" w:rsidP="002A7BD6">
      <w:pPr>
        <w:rPr>
          <w:noProof/>
          <w:sz w:val="22"/>
          <w:szCs w:val="22"/>
          <w:lang w:val="sr-Latn-ME"/>
        </w:rPr>
      </w:pPr>
      <w:r w:rsidRPr="004E5B63">
        <w:rPr>
          <w:noProof/>
          <w:sz w:val="22"/>
          <w:szCs w:val="22"/>
          <w:lang w:val="sr-Latn-ME"/>
        </w:rPr>
        <w:t xml:space="preserve">Bol ili osjećaj bockanja, mravinjanja ili peckanja na mjestu primjene sa pojavom crvenila i oticanja, koje rijetko traje duže od 15 minuta. Lokalna nelagodnost se može smanjiti tako što će se rastvor ostaviti da dostigne sobnu temperaturu prije ubrizgavanja ili ubrizgavanjem manjeg volumena korišćenjem rastvora veće koncentracije. </w:t>
      </w:r>
    </w:p>
    <w:p w14:paraId="5D548691" w14:textId="20BC1C8E" w:rsidR="002A7BD6" w:rsidRPr="004E5B63" w:rsidRDefault="002A7BD6" w:rsidP="002A7BD6">
      <w:pPr>
        <w:rPr>
          <w:noProof/>
          <w:sz w:val="22"/>
          <w:szCs w:val="22"/>
          <w:lang w:val="sr-Latn-ME"/>
        </w:rPr>
      </w:pPr>
    </w:p>
    <w:p w14:paraId="6BA03BE4" w14:textId="77777777" w:rsidR="003F1A0C" w:rsidRPr="004E5B63" w:rsidRDefault="003F1A0C" w:rsidP="002A7BD6">
      <w:pPr>
        <w:rPr>
          <w:noProof/>
          <w:sz w:val="22"/>
          <w:szCs w:val="22"/>
          <w:lang w:val="sr-Latn-ME"/>
        </w:rPr>
      </w:pPr>
    </w:p>
    <w:p w14:paraId="0EBB4FC8" w14:textId="77777777" w:rsidR="002A7BD6" w:rsidRPr="004E5B63" w:rsidRDefault="002A7BD6" w:rsidP="002A7BD6">
      <w:pPr>
        <w:rPr>
          <w:i/>
          <w:noProof/>
          <w:sz w:val="22"/>
          <w:szCs w:val="22"/>
          <w:lang w:val="sr-Latn-ME"/>
        </w:rPr>
      </w:pPr>
      <w:r w:rsidRPr="004E5B63">
        <w:rPr>
          <w:i/>
          <w:noProof/>
          <w:sz w:val="22"/>
          <w:szCs w:val="22"/>
          <w:lang w:val="sr-Latn-ME"/>
        </w:rPr>
        <w:lastRenderedPageBreak/>
        <w:t>Metabolizam i poremećaji ishrane</w:t>
      </w:r>
    </w:p>
    <w:p w14:paraId="42F05CBC" w14:textId="77777777" w:rsidR="002A7BD6" w:rsidRPr="004E5B63" w:rsidRDefault="002A7BD6" w:rsidP="002A7BD6">
      <w:pPr>
        <w:rPr>
          <w:noProof/>
          <w:sz w:val="22"/>
          <w:szCs w:val="22"/>
          <w:lang w:val="sr-Latn-ME"/>
        </w:rPr>
      </w:pPr>
      <w:r w:rsidRPr="004E5B63">
        <w:rPr>
          <w:noProof/>
          <w:sz w:val="22"/>
          <w:szCs w:val="22"/>
          <w:lang w:val="sr-Latn-ME"/>
        </w:rPr>
        <w:t>Iako se može povećati fekalno izlučivanje masti, ne postoje dokazi da dugotrajna terapija oktreotidom dovodi do nutritivnog deficita usljed malapsorpcije.</w:t>
      </w:r>
    </w:p>
    <w:p w14:paraId="1A22712A" w14:textId="77777777" w:rsidR="002A7BD6" w:rsidRPr="004E5B63" w:rsidRDefault="002A7BD6" w:rsidP="002A7BD6">
      <w:pPr>
        <w:rPr>
          <w:noProof/>
          <w:sz w:val="22"/>
          <w:szCs w:val="22"/>
          <w:lang w:val="sr-Latn-ME"/>
        </w:rPr>
      </w:pPr>
    </w:p>
    <w:p w14:paraId="365C1C12" w14:textId="77777777" w:rsidR="002A7BD6" w:rsidRPr="004E5B63" w:rsidRDefault="002A7BD6" w:rsidP="002A7BD6">
      <w:pPr>
        <w:rPr>
          <w:i/>
          <w:noProof/>
          <w:sz w:val="22"/>
          <w:szCs w:val="22"/>
          <w:lang w:val="sr-Latn-ME"/>
        </w:rPr>
      </w:pPr>
      <w:r w:rsidRPr="004E5B63">
        <w:rPr>
          <w:i/>
          <w:noProof/>
          <w:sz w:val="22"/>
          <w:szCs w:val="22"/>
          <w:lang w:val="sr-Latn-ME"/>
        </w:rPr>
        <w:t>Enzimi pankreasa</w:t>
      </w:r>
    </w:p>
    <w:p w14:paraId="06ADA0C8" w14:textId="77777777" w:rsidR="002A7BD6" w:rsidRPr="004E5B63" w:rsidRDefault="002A7BD6" w:rsidP="002A7BD6">
      <w:pPr>
        <w:rPr>
          <w:noProof/>
          <w:sz w:val="22"/>
          <w:szCs w:val="22"/>
          <w:lang w:val="sr-Latn-ME"/>
        </w:rPr>
      </w:pPr>
      <w:r w:rsidRPr="004E5B63">
        <w:rPr>
          <w:noProof/>
          <w:sz w:val="22"/>
          <w:szCs w:val="22"/>
          <w:lang w:val="sr-Latn-ME"/>
        </w:rPr>
        <w:t>U vrlo rijetkim slučajevima, prijavljivan je akutni pankreatitis; obično se ovaj događaj javljao u prvim satima ili danima s.c. primjene lijeka Sandostatin i povlačio se nakon ukidanja lijeka. Dodatno, pankreatitis uzrokovan  holelitijazom prijavljivan je kod pacijenata dugotrajno liječenih lijekom Sandostatin s.c.</w:t>
      </w:r>
    </w:p>
    <w:p w14:paraId="4DFDBBA6" w14:textId="77777777" w:rsidR="002A7BD6" w:rsidRPr="004E5B63" w:rsidRDefault="002A7BD6" w:rsidP="002A7BD6">
      <w:pPr>
        <w:rPr>
          <w:i/>
          <w:noProof/>
          <w:sz w:val="22"/>
          <w:szCs w:val="22"/>
          <w:lang w:val="sr-Latn-ME"/>
        </w:rPr>
      </w:pPr>
    </w:p>
    <w:p w14:paraId="1A14A27A" w14:textId="77777777" w:rsidR="002A7BD6" w:rsidRPr="004E5B63" w:rsidRDefault="002A7BD6" w:rsidP="002A7BD6">
      <w:pPr>
        <w:rPr>
          <w:i/>
          <w:noProof/>
          <w:sz w:val="22"/>
          <w:szCs w:val="22"/>
          <w:lang w:val="sr-Latn-ME"/>
        </w:rPr>
      </w:pPr>
      <w:r w:rsidRPr="004E5B63">
        <w:rPr>
          <w:i/>
          <w:noProof/>
          <w:sz w:val="22"/>
          <w:szCs w:val="22"/>
          <w:lang w:val="sr-Latn-ME"/>
        </w:rPr>
        <w:t>Kardiološki poremećaji</w:t>
      </w:r>
    </w:p>
    <w:p w14:paraId="24A9EDA0" w14:textId="77777777" w:rsidR="002A7BD6" w:rsidRPr="004E5B63" w:rsidRDefault="002A7BD6" w:rsidP="002A7BD6">
      <w:pPr>
        <w:rPr>
          <w:noProof/>
          <w:sz w:val="22"/>
          <w:szCs w:val="22"/>
          <w:lang w:val="sr-Latn-ME"/>
        </w:rPr>
      </w:pPr>
      <w:r w:rsidRPr="004E5B63">
        <w:rPr>
          <w:noProof/>
          <w:sz w:val="22"/>
          <w:szCs w:val="22"/>
          <w:lang w:val="sr-Latn-ME"/>
        </w:rPr>
        <w:t>Bradikardija je česta neželjena reakcija kod primjene analoga somatostatina. I kod pacijenata sa akromegalijom i kod pacijenata sa karcinoidnim sindromom, primijećene su EKG promjene kao što su QT prolongacija, pomjeranje srčane osovine, rana repolarizacija, niska voltaža, R/S tranzicija, progresija ranog R talasa i nespecifične promjene ST-T talasa. Povezanost ovih događaja sa oktreotid-acetatom nije ustanovljena zato što mnogi od ovih pacijenata imaju prateću srčanu bolest (vidjeti odjeljak 4.4).</w:t>
      </w:r>
    </w:p>
    <w:p w14:paraId="260DDBA8" w14:textId="77777777" w:rsidR="002A7BD6" w:rsidRPr="004E5B63" w:rsidRDefault="002A7BD6" w:rsidP="002A7BD6">
      <w:pPr>
        <w:rPr>
          <w:noProof/>
          <w:sz w:val="22"/>
          <w:szCs w:val="22"/>
          <w:lang w:val="sr-Latn-ME"/>
        </w:rPr>
      </w:pPr>
    </w:p>
    <w:p w14:paraId="7CB08F46" w14:textId="77777777" w:rsidR="002A7BD6" w:rsidRPr="004E5B63" w:rsidRDefault="002A7BD6" w:rsidP="002A7BD6">
      <w:pPr>
        <w:rPr>
          <w:noProof/>
          <w:sz w:val="22"/>
          <w:szCs w:val="22"/>
          <w:lang w:val="sr-Latn-ME"/>
        </w:rPr>
      </w:pPr>
      <w:r w:rsidRPr="004E5B63">
        <w:rPr>
          <w:i/>
          <w:noProof/>
          <w:sz w:val="22"/>
          <w:szCs w:val="22"/>
          <w:lang w:val="sr-Latn-ME"/>
        </w:rPr>
        <w:t>Trombocitopenija</w:t>
      </w:r>
    </w:p>
    <w:p w14:paraId="1C756911" w14:textId="77777777" w:rsidR="002A7BD6" w:rsidRPr="004E5B63" w:rsidRDefault="002A7BD6" w:rsidP="002A7BD6">
      <w:pPr>
        <w:rPr>
          <w:noProof/>
          <w:sz w:val="22"/>
          <w:szCs w:val="22"/>
          <w:lang w:val="sr-Latn-ME"/>
        </w:rPr>
      </w:pPr>
      <w:r w:rsidRPr="004E5B63">
        <w:rPr>
          <w:noProof/>
          <w:sz w:val="22"/>
          <w:szCs w:val="22"/>
          <w:lang w:val="sr-Latn-ME"/>
        </w:rPr>
        <w:t>Trombocitopenija je bila prijavljivana nakon stavljanja lijeka u promet, naročito kod pacijenata sa cirozom jetre tokom terapije sa lijekom Sandostatin (i.v). Trombocitopenija je reverzibilne prirode nakon obustave terapije.</w:t>
      </w:r>
    </w:p>
    <w:p w14:paraId="67F47BB8" w14:textId="77777777" w:rsidR="007B4113" w:rsidRPr="004E5B63" w:rsidRDefault="007B4113" w:rsidP="007B4113">
      <w:pPr>
        <w:spacing w:line="276" w:lineRule="auto"/>
        <w:rPr>
          <w:rFonts w:eastAsia="Calibri"/>
          <w:sz w:val="22"/>
          <w:szCs w:val="22"/>
          <w:u w:val="single"/>
          <w:lang w:val="sr-Latn-ME"/>
        </w:rPr>
      </w:pPr>
    </w:p>
    <w:p w14:paraId="73E2A1AC" w14:textId="28625A73" w:rsidR="00AD54C7" w:rsidRPr="004E5B63" w:rsidRDefault="00AD54C7" w:rsidP="007B4113">
      <w:pPr>
        <w:spacing w:line="276" w:lineRule="auto"/>
        <w:rPr>
          <w:rFonts w:eastAsia="Calibri"/>
          <w:sz w:val="22"/>
          <w:szCs w:val="22"/>
          <w:u w:val="single"/>
          <w:lang w:val="sr-Latn-ME"/>
        </w:rPr>
      </w:pPr>
      <w:r w:rsidRPr="004E5B63">
        <w:rPr>
          <w:rFonts w:eastAsia="Calibri"/>
          <w:sz w:val="22"/>
          <w:szCs w:val="22"/>
          <w:u w:val="single"/>
          <w:lang w:val="sr-Latn-ME"/>
        </w:rPr>
        <w:t>Prijavljivanje sumnji na neželjena dejstva</w:t>
      </w:r>
    </w:p>
    <w:p w14:paraId="6034A30D" w14:textId="77777777" w:rsidR="007B4113" w:rsidRPr="004E5B63" w:rsidRDefault="007B4113" w:rsidP="007B4113">
      <w:pPr>
        <w:spacing w:line="276" w:lineRule="auto"/>
        <w:rPr>
          <w:rFonts w:eastAsia="Calibri"/>
          <w:sz w:val="22"/>
          <w:szCs w:val="22"/>
          <w:u w:val="single"/>
          <w:lang w:val="sr-Latn-ME"/>
        </w:rPr>
      </w:pPr>
    </w:p>
    <w:p w14:paraId="58612650" w14:textId="77777777" w:rsidR="00AD54C7" w:rsidRPr="004E5B63" w:rsidRDefault="00AD54C7" w:rsidP="00AD54C7">
      <w:pPr>
        <w:spacing w:after="200"/>
        <w:jc w:val="both"/>
        <w:rPr>
          <w:rFonts w:eastAsia="Calibri"/>
          <w:sz w:val="22"/>
          <w:szCs w:val="22"/>
          <w:lang w:val="sr-Latn-ME"/>
        </w:rPr>
      </w:pPr>
      <w:r w:rsidRPr="004E5B63">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207BB62" w14:textId="77777777" w:rsidR="00AD54C7" w:rsidRPr="004E5B63" w:rsidRDefault="00AD54C7" w:rsidP="00AD54C7">
      <w:pPr>
        <w:pStyle w:val="NoSpacing"/>
        <w:jc w:val="both"/>
        <w:rPr>
          <w:rFonts w:eastAsia="Calibri"/>
          <w:sz w:val="22"/>
          <w:szCs w:val="22"/>
          <w:lang w:val="sr-Latn-ME"/>
        </w:rPr>
      </w:pPr>
      <w:r w:rsidRPr="004E5B63">
        <w:rPr>
          <w:rFonts w:eastAsia="Calibri"/>
          <w:sz w:val="22"/>
          <w:szCs w:val="22"/>
          <w:lang w:val="sr-Latn-ME"/>
        </w:rPr>
        <w:t xml:space="preserve">Institut za ljekove i medicinska sredstva </w:t>
      </w:r>
    </w:p>
    <w:p w14:paraId="1DAC5CCB" w14:textId="77777777" w:rsidR="00AD54C7" w:rsidRPr="004E5B63" w:rsidRDefault="00AD54C7" w:rsidP="00AD54C7">
      <w:pPr>
        <w:pStyle w:val="NoSpacing"/>
        <w:jc w:val="both"/>
        <w:rPr>
          <w:rFonts w:eastAsia="Calibri"/>
          <w:sz w:val="22"/>
          <w:szCs w:val="22"/>
          <w:lang w:val="sr-Latn-ME"/>
        </w:rPr>
      </w:pPr>
      <w:r w:rsidRPr="004E5B63">
        <w:rPr>
          <w:rFonts w:eastAsia="Calibri"/>
          <w:sz w:val="22"/>
          <w:szCs w:val="22"/>
          <w:lang w:val="sr-Latn-ME"/>
        </w:rPr>
        <w:t>Odjeljenje za farmakovigilancu</w:t>
      </w:r>
    </w:p>
    <w:p w14:paraId="7870A871" w14:textId="77777777" w:rsidR="00AD54C7" w:rsidRPr="004E5B63" w:rsidRDefault="00AD54C7" w:rsidP="00AD54C7">
      <w:pPr>
        <w:pStyle w:val="NoSpacing"/>
        <w:jc w:val="both"/>
        <w:rPr>
          <w:rFonts w:eastAsia="Calibri"/>
          <w:sz w:val="22"/>
          <w:szCs w:val="22"/>
          <w:lang w:val="sr-Latn-ME"/>
        </w:rPr>
      </w:pPr>
      <w:r w:rsidRPr="004E5B63">
        <w:rPr>
          <w:rFonts w:eastAsia="Calibri"/>
          <w:sz w:val="22"/>
          <w:szCs w:val="22"/>
          <w:lang w:val="sr-Latn-ME"/>
        </w:rPr>
        <w:t>Bulevar Ivana Crnojevića 64a, 81000 Podgorica</w:t>
      </w:r>
    </w:p>
    <w:p w14:paraId="14FAE8F2" w14:textId="77777777" w:rsidR="00AD54C7" w:rsidRPr="004E5B63" w:rsidRDefault="00AD54C7" w:rsidP="00AD54C7">
      <w:pPr>
        <w:pStyle w:val="NoSpacing"/>
        <w:rPr>
          <w:rFonts w:eastAsia="Calibri"/>
          <w:sz w:val="22"/>
          <w:szCs w:val="22"/>
          <w:lang w:val="sr-Latn-ME"/>
        </w:rPr>
      </w:pPr>
    </w:p>
    <w:p w14:paraId="78C742FC" w14:textId="77777777" w:rsidR="00AD54C7" w:rsidRPr="004E5B63" w:rsidRDefault="00AD54C7" w:rsidP="00AD54C7">
      <w:pPr>
        <w:pStyle w:val="NoSpacing"/>
        <w:jc w:val="both"/>
        <w:rPr>
          <w:rFonts w:eastAsia="Calibri"/>
          <w:sz w:val="22"/>
          <w:szCs w:val="22"/>
          <w:lang w:val="sr-Latn-ME"/>
        </w:rPr>
      </w:pPr>
      <w:r w:rsidRPr="004E5B63">
        <w:rPr>
          <w:rFonts w:eastAsia="Calibri"/>
          <w:sz w:val="22"/>
          <w:szCs w:val="22"/>
          <w:lang w:val="sr-Latn-ME"/>
        </w:rPr>
        <w:t>tel: +382 (0) 20 310 280</w:t>
      </w:r>
    </w:p>
    <w:p w14:paraId="0F61AACC" w14:textId="77777777" w:rsidR="00AD54C7" w:rsidRPr="004E5B63" w:rsidRDefault="00AD54C7" w:rsidP="00AD54C7">
      <w:pPr>
        <w:pStyle w:val="NoSpacing"/>
        <w:jc w:val="both"/>
        <w:rPr>
          <w:rFonts w:eastAsia="Calibri"/>
          <w:sz w:val="22"/>
          <w:szCs w:val="22"/>
          <w:lang w:val="sr-Latn-ME"/>
        </w:rPr>
      </w:pPr>
      <w:r w:rsidRPr="004E5B63">
        <w:rPr>
          <w:rFonts w:eastAsia="Calibri"/>
          <w:sz w:val="22"/>
          <w:szCs w:val="22"/>
          <w:lang w:val="sr-Latn-ME"/>
        </w:rPr>
        <w:t>fax: +382 (0) 20 310 581</w:t>
      </w:r>
    </w:p>
    <w:p w14:paraId="30E2014B" w14:textId="77777777" w:rsidR="00AD54C7" w:rsidRPr="004E5B63" w:rsidRDefault="004227E3" w:rsidP="00AD54C7">
      <w:pPr>
        <w:pStyle w:val="NoSpacing"/>
        <w:jc w:val="both"/>
        <w:rPr>
          <w:rFonts w:eastAsia="Calibri"/>
          <w:sz w:val="22"/>
          <w:szCs w:val="22"/>
          <w:lang w:val="sr-Latn-ME"/>
        </w:rPr>
      </w:pPr>
      <w:hyperlink r:id="rId8" w:history="1">
        <w:r w:rsidR="00AD54C7" w:rsidRPr="004E5B63">
          <w:rPr>
            <w:rStyle w:val="Hyperlink"/>
            <w:rFonts w:eastAsia="Calibri"/>
            <w:sz w:val="22"/>
            <w:szCs w:val="22"/>
            <w:lang w:val="sr-Latn-ME"/>
          </w:rPr>
          <w:t>www.cinmed.me</w:t>
        </w:r>
      </w:hyperlink>
    </w:p>
    <w:p w14:paraId="69586206" w14:textId="77777777" w:rsidR="00AD54C7" w:rsidRPr="004E5B63" w:rsidRDefault="004227E3" w:rsidP="00AD54C7">
      <w:pPr>
        <w:pStyle w:val="NoSpacing"/>
        <w:jc w:val="both"/>
        <w:rPr>
          <w:rFonts w:eastAsia="Calibri"/>
          <w:color w:val="0000FF"/>
          <w:sz w:val="22"/>
          <w:szCs w:val="22"/>
          <w:u w:val="single"/>
          <w:lang w:val="sr-Latn-ME"/>
        </w:rPr>
      </w:pPr>
      <w:hyperlink r:id="rId9" w:history="1">
        <w:r w:rsidR="00AD54C7" w:rsidRPr="004E5B63">
          <w:rPr>
            <w:rStyle w:val="Hyperlink"/>
            <w:rFonts w:eastAsia="Calibri"/>
            <w:sz w:val="22"/>
            <w:szCs w:val="22"/>
            <w:lang w:val="sr-Latn-ME"/>
          </w:rPr>
          <w:t>nezeljenadejstva@cinmed.me</w:t>
        </w:r>
      </w:hyperlink>
    </w:p>
    <w:p w14:paraId="7EB580D4" w14:textId="77777777" w:rsidR="00AD54C7" w:rsidRPr="004E5B63" w:rsidRDefault="00AD54C7" w:rsidP="00AD54C7">
      <w:pPr>
        <w:pStyle w:val="NoSpacing"/>
        <w:jc w:val="both"/>
        <w:rPr>
          <w:rFonts w:eastAsia="Calibri"/>
          <w:sz w:val="22"/>
          <w:szCs w:val="22"/>
          <w:lang w:val="sr-Latn-ME"/>
        </w:rPr>
      </w:pPr>
      <w:r w:rsidRPr="004E5B63">
        <w:rPr>
          <w:rFonts w:eastAsia="Calibri"/>
          <w:sz w:val="22"/>
          <w:szCs w:val="22"/>
          <w:lang w:val="sr-Latn-ME"/>
        </w:rPr>
        <w:t>putem IS zdravstvene zaštite</w:t>
      </w:r>
    </w:p>
    <w:p w14:paraId="22343798" w14:textId="77777777" w:rsidR="00021551" w:rsidRPr="004E5B63" w:rsidRDefault="00021551" w:rsidP="00021551">
      <w:pPr>
        <w:pStyle w:val="NoSpacing"/>
        <w:jc w:val="both"/>
        <w:rPr>
          <w:rFonts w:eastAsia="Calibri"/>
          <w:sz w:val="22"/>
          <w:szCs w:val="22"/>
          <w:lang w:val="sr-Latn-ME"/>
        </w:rPr>
      </w:pPr>
      <w:r w:rsidRPr="004E5B63">
        <w:rPr>
          <w:rFonts w:eastAsia="Calibri"/>
          <w:sz w:val="22"/>
          <w:szCs w:val="22"/>
          <w:lang w:val="sr-Latn-ME"/>
        </w:rPr>
        <w:t>QR kod za online prijavu sumnje na neželjeno dejstvo lijeka:</w:t>
      </w:r>
    </w:p>
    <w:p w14:paraId="48458115" w14:textId="77777777" w:rsidR="00021551" w:rsidRPr="004E5B63" w:rsidRDefault="00021551" w:rsidP="00021551">
      <w:pPr>
        <w:pStyle w:val="NoSpacing"/>
        <w:jc w:val="both"/>
        <w:rPr>
          <w:rFonts w:eastAsia="Calibri"/>
          <w:sz w:val="22"/>
          <w:szCs w:val="22"/>
          <w:lang w:val="sr-Latn-ME"/>
        </w:rPr>
      </w:pPr>
    </w:p>
    <w:p w14:paraId="2D75EBAE" w14:textId="77777777" w:rsidR="00021551" w:rsidRPr="004E5B63" w:rsidRDefault="00021551" w:rsidP="00021551">
      <w:pPr>
        <w:pStyle w:val="NoSpacing"/>
        <w:rPr>
          <w:rFonts w:eastAsia="Calibri"/>
          <w:sz w:val="22"/>
          <w:szCs w:val="22"/>
          <w:lang w:val="sr-Latn-ME"/>
        </w:rPr>
      </w:pPr>
      <w:r w:rsidRPr="004E5B63">
        <w:rPr>
          <w:noProof/>
          <w:sz w:val="22"/>
          <w:szCs w:val="22"/>
        </w:rPr>
        <w:drawing>
          <wp:inline distT="0" distB="0" distL="0" distR="0" wp14:anchorId="1FDF3F04" wp14:editId="528136E5">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02C3EBC" w14:textId="77777777" w:rsidR="00836B35" w:rsidRPr="004E5B63" w:rsidRDefault="00836B35" w:rsidP="00480FB1">
      <w:pPr>
        <w:tabs>
          <w:tab w:val="left" w:pos="540"/>
          <w:tab w:val="left" w:pos="569"/>
        </w:tabs>
        <w:rPr>
          <w:b/>
          <w:bCs/>
          <w:sz w:val="22"/>
          <w:szCs w:val="22"/>
          <w:lang w:val="sr-Latn-ME"/>
        </w:rPr>
      </w:pPr>
    </w:p>
    <w:p w14:paraId="7C6F9952" w14:textId="77777777" w:rsidR="00CD6F02" w:rsidRPr="004E5B63" w:rsidRDefault="0072020E" w:rsidP="00480FB1">
      <w:pPr>
        <w:tabs>
          <w:tab w:val="left" w:pos="540"/>
          <w:tab w:val="left" w:pos="569"/>
        </w:tabs>
        <w:rPr>
          <w:b/>
          <w:bCs/>
          <w:sz w:val="22"/>
          <w:szCs w:val="22"/>
          <w:lang w:val="sr-Latn-ME"/>
        </w:rPr>
      </w:pPr>
      <w:r w:rsidRPr="004E5B63">
        <w:rPr>
          <w:b/>
          <w:bCs/>
          <w:sz w:val="22"/>
          <w:szCs w:val="22"/>
          <w:lang w:val="sr-Latn-ME"/>
        </w:rPr>
        <w:t xml:space="preserve">4.9. </w:t>
      </w:r>
      <w:r w:rsidR="00480FB1" w:rsidRPr="004E5B63">
        <w:rPr>
          <w:b/>
          <w:bCs/>
          <w:sz w:val="22"/>
          <w:szCs w:val="22"/>
          <w:lang w:val="sr-Latn-ME"/>
        </w:rPr>
        <w:tab/>
      </w:r>
      <w:r w:rsidRPr="004E5B63">
        <w:rPr>
          <w:b/>
          <w:bCs/>
          <w:sz w:val="22"/>
          <w:szCs w:val="22"/>
          <w:lang w:val="sr-Latn-ME"/>
        </w:rPr>
        <w:t>Predoziranje</w:t>
      </w:r>
      <w:r w:rsidR="002846DB" w:rsidRPr="004E5B63">
        <w:rPr>
          <w:b/>
          <w:bCs/>
          <w:sz w:val="22"/>
          <w:szCs w:val="22"/>
          <w:lang w:val="sr-Latn-ME"/>
        </w:rPr>
        <w:t xml:space="preserve"> </w:t>
      </w:r>
    </w:p>
    <w:p w14:paraId="6059D5A0" w14:textId="77777777" w:rsidR="002A7BD6" w:rsidRPr="004E5B63" w:rsidRDefault="002A7BD6" w:rsidP="002A7BD6">
      <w:pPr>
        <w:rPr>
          <w:noProof/>
          <w:sz w:val="22"/>
          <w:szCs w:val="22"/>
          <w:lang w:val="sr-Latn-ME"/>
        </w:rPr>
      </w:pPr>
    </w:p>
    <w:p w14:paraId="71653842" w14:textId="64888413" w:rsidR="002A7BD6" w:rsidRPr="004E5B63" w:rsidRDefault="002A7BD6" w:rsidP="002A7BD6">
      <w:pPr>
        <w:rPr>
          <w:sz w:val="22"/>
          <w:szCs w:val="22"/>
          <w:lang w:val="sr-Latn-ME"/>
        </w:rPr>
      </w:pPr>
      <w:r w:rsidRPr="004E5B63">
        <w:rPr>
          <w:noProof/>
          <w:sz w:val="22"/>
          <w:szCs w:val="22"/>
          <w:lang w:val="sr-Latn-ME"/>
        </w:rPr>
        <w:t>Prijavljen je ograničen broj nenamjernih predoziranja lijekom Sandostatin kod odraslih i djece</w:t>
      </w:r>
      <w:r w:rsidRPr="004E5B63">
        <w:rPr>
          <w:sz w:val="22"/>
          <w:szCs w:val="22"/>
          <w:lang w:val="sr-Latn-ME"/>
        </w:rPr>
        <w:t>. Kod odraslih, primjenjivane su doze u opsegu od 2400 do 6000 mikrograma/dnevno kontinuiranom infuzijom (100-250 mikrograma/sat) ili su</w:t>
      </w:r>
      <w:r w:rsidR="00C53AD9" w:rsidRPr="004E5B63">
        <w:rPr>
          <w:sz w:val="22"/>
          <w:szCs w:val="22"/>
          <w:lang w:val="sr-Latn-ME"/>
        </w:rPr>
        <w:t>b</w:t>
      </w:r>
      <w:r w:rsidRPr="004E5B63">
        <w:rPr>
          <w:sz w:val="22"/>
          <w:szCs w:val="22"/>
          <w:lang w:val="sr-Latn-ME"/>
        </w:rPr>
        <w:t>kutano (1</w:t>
      </w:r>
      <w:r w:rsidR="00AB5A00" w:rsidRPr="004E5B63">
        <w:rPr>
          <w:sz w:val="22"/>
          <w:szCs w:val="22"/>
          <w:lang w:val="sr-Latn-ME"/>
        </w:rPr>
        <w:t>0</w:t>
      </w:r>
      <w:r w:rsidRPr="004E5B63">
        <w:rPr>
          <w:sz w:val="22"/>
          <w:szCs w:val="22"/>
          <w:lang w:val="sr-Latn-ME"/>
        </w:rPr>
        <w:t>00 mikrograma/dnevno). Prijavljene neželjene reakcije su aritmija, hipotenzija, srčani zastoj, hipoksija mozga, pankreatitis, steatoza jetre, dijareja, slabost, letargija, gubitak tjelesne mase, hepatomegalija i laktatna acidoza.</w:t>
      </w:r>
      <w:r w:rsidR="00AD54C7" w:rsidRPr="004E5B63">
        <w:rPr>
          <w:sz w:val="22"/>
          <w:szCs w:val="22"/>
          <w:lang w:val="sr-Latn-ME"/>
        </w:rPr>
        <w:t xml:space="preserve"> Prijavljeni su slučajevi atrioventrikularnih blokova (uključujući potpuni atrioventrikularni blok) kod pacijenata koji su primali 100 mikrograma/sat oktreotida kontinuiranom infuzijom i/ili bolus i intavenski (50 mikrograma bolus injekcije praćene kontinuiranom infuzijom od 50 mikrograma/sat).</w:t>
      </w:r>
    </w:p>
    <w:p w14:paraId="61C8B125" w14:textId="643FC84F" w:rsidR="002A7BD6" w:rsidRPr="004E5B63" w:rsidRDefault="002A7BD6" w:rsidP="002A7BD6">
      <w:pPr>
        <w:rPr>
          <w:sz w:val="22"/>
          <w:szCs w:val="22"/>
          <w:lang w:val="sr-Latn-ME"/>
        </w:rPr>
      </w:pPr>
      <w:r w:rsidRPr="004E5B63">
        <w:rPr>
          <w:sz w:val="22"/>
          <w:szCs w:val="22"/>
          <w:lang w:val="sr-Latn-ME"/>
        </w:rPr>
        <w:lastRenderedPageBreak/>
        <w:t>Kod djece, primjenjivane su doze u opsegu 50-3000 mikrograma/dnevno kontinuiranom infuzijom (2,1-500 mikrograma/sat) ili su</w:t>
      </w:r>
      <w:r w:rsidR="00C53AD9" w:rsidRPr="004E5B63">
        <w:rPr>
          <w:sz w:val="22"/>
          <w:szCs w:val="22"/>
          <w:lang w:val="sr-Latn-ME"/>
        </w:rPr>
        <w:t>b</w:t>
      </w:r>
      <w:r w:rsidRPr="004E5B63">
        <w:rPr>
          <w:sz w:val="22"/>
          <w:szCs w:val="22"/>
          <w:lang w:val="sr-Latn-ME"/>
        </w:rPr>
        <w:t>kutano (50-100 mikrograma). Jedina prijavljena neželjena reakcija je bila blaga hiperglikemija.</w:t>
      </w:r>
    </w:p>
    <w:p w14:paraId="6B40C516" w14:textId="77777777" w:rsidR="002A7BD6" w:rsidRPr="004E5B63" w:rsidRDefault="002A7BD6" w:rsidP="002A7BD6">
      <w:pPr>
        <w:rPr>
          <w:sz w:val="22"/>
          <w:szCs w:val="22"/>
          <w:lang w:val="sr-Latn-ME"/>
        </w:rPr>
      </w:pPr>
    </w:p>
    <w:p w14:paraId="2ED5C55E" w14:textId="7DF45EC1" w:rsidR="002A7BD6" w:rsidRPr="004E5B63" w:rsidRDefault="002A7BD6" w:rsidP="002A7BD6">
      <w:pPr>
        <w:rPr>
          <w:noProof/>
          <w:sz w:val="22"/>
          <w:szCs w:val="22"/>
          <w:lang w:val="sr-Latn-ME"/>
        </w:rPr>
      </w:pPr>
      <w:r w:rsidRPr="004E5B63">
        <w:rPr>
          <w:sz w:val="22"/>
          <w:szCs w:val="22"/>
          <w:lang w:val="sr-Latn-ME"/>
        </w:rPr>
        <w:t>Nije bilo neočekivanih neželjenih reakcija kod pacijenata sa karcinomom koji su su</w:t>
      </w:r>
      <w:r w:rsidR="00C53AD9" w:rsidRPr="004E5B63">
        <w:rPr>
          <w:sz w:val="22"/>
          <w:szCs w:val="22"/>
          <w:lang w:val="sr-Latn-ME"/>
        </w:rPr>
        <w:t>b</w:t>
      </w:r>
      <w:r w:rsidRPr="004E5B63">
        <w:rPr>
          <w:sz w:val="22"/>
          <w:szCs w:val="22"/>
          <w:lang w:val="sr-Latn-ME"/>
        </w:rPr>
        <w:t xml:space="preserve">kutano primali lijek </w:t>
      </w:r>
      <w:r w:rsidRPr="004E5B63">
        <w:rPr>
          <w:noProof/>
          <w:sz w:val="22"/>
          <w:szCs w:val="22"/>
          <w:lang w:val="sr-Latn-ME"/>
        </w:rPr>
        <w:t xml:space="preserve">Sandostatin </w:t>
      </w:r>
      <w:r w:rsidRPr="004E5B63">
        <w:rPr>
          <w:sz w:val="22"/>
          <w:szCs w:val="22"/>
          <w:lang w:val="sr-Latn-ME"/>
        </w:rPr>
        <w:t xml:space="preserve">režimom 3000-30000 mikrograma/dnevno u podijeljenim dozama. </w:t>
      </w:r>
    </w:p>
    <w:p w14:paraId="5A018209" w14:textId="77777777" w:rsidR="002A7BD6" w:rsidRPr="004E5B63" w:rsidRDefault="002A7BD6" w:rsidP="002A7BD6">
      <w:pPr>
        <w:pStyle w:val="Header"/>
        <w:tabs>
          <w:tab w:val="left" w:pos="284"/>
        </w:tabs>
        <w:rPr>
          <w:noProof/>
          <w:sz w:val="22"/>
          <w:szCs w:val="22"/>
          <w:lang w:val="sr-Latn-ME"/>
        </w:rPr>
      </w:pPr>
    </w:p>
    <w:p w14:paraId="06E679C6" w14:textId="77777777" w:rsidR="00CD6F02" w:rsidRPr="004E5B63" w:rsidRDefault="002A7BD6" w:rsidP="002A7BD6">
      <w:pPr>
        <w:tabs>
          <w:tab w:val="left" w:pos="540"/>
          <w:tab w:val="left" w:pos="569"/>
        </w:tabs>
        <w:rPr>
          <w:b/>
          <w:bCs/>
          <w:sz w:val="22"/>
          <w:szCs w:val="22"/>
          <w:lang w:val="sr-Latn-ME"/>
        </w:rPr>
      </w:pPr>
      <w:r w:rsidRPr="004E5B63">
        <w:rPr>
          <w:noProof/>
          <w:sz w:val="22"/>
          <w:szCs w:val="22"/>
          <w:lang w:val="sr-Latn-ME"/>
        </w:rPr>
        <w:t>Terapija predoziranja je simptomatska.</w:t>
      </w:r>
    </w:p>
    <w:p w14:paraId="52DA66FD" w14:textId="1796609E" w:rsidR="00227BDB" w:rsidRPr="004E5B63" w:rsidRDefault="00227BDB" w:rsidP="00480FB1">
      <w:pPr>
        <w:tabs>
          <w:tab w:val="left" w:pos="540"/>
          <w:tab w:val="left" w:pos="569"/>
        </w:tabs>
        <w:rPr>
          <w:b/>
          <w:bCs/>
          <w:sz w:val="22"/>
          <w:szCs w:val="22"/>
          <w:lang w:val="sr-Latn-ME"/>
        </w:rPr>
      </w:pPr>
    </w:p>
    <w:p w14:paraId="7F055972" w14:textId="77777777" w:rsidR="007B4113" w:rsidRPr="004E5B63" w:rsidRDefault="007B4113" w:rsidP="00480FB1">
      <w:pPr>
        <w:tabs>
          <w:tab w:val="left" w:pos="540"/>
          <w:tab w:val="left" w:pos="569"/>
        </w:tabs>
        <w:rPr>
          <w:b/>
          <w:bCs/>
          <w:sz w:val="22"/>
          <w:szCs w:val="22"/>
          <w:lang w:val="sr-Latn-ME"/>
        </w:rPr>
      </w:pPr>
    </w:p>
    <w:p w14:paraId="1FADCB62" w14:textId="77777777" w:rsidR="0072020E" w:rsidRPr="004E5B63" w:rsidRDefault="0072020E" w:rsidP="00480FB1">
      <w:pPr>
        <w:tabs>
          <w:tab w:val="left" w:pos="540"/>
          <w:tab w:val="left" w:pos="569"/>
        </w:tabs>
        <w:rPr>
          <w:b/>
          <w:bCs/>
          <w:sz w:val="22"/>
          <w:szCs w:val="22"/>
          <w:lang w:val="sr-Latn-ME"/>
        </w:rPr>
      </w:pPr>
      <w:r w:rsidRPr="004E5B63">
        <w:rPr>
          <w:b/>
          <w:bCs/>
          <w:sz w:val="22"/>
          <w:szCs w:val="22"/>
          <w:lang w:val="sr-Latn-ME"/>
        </w:rPr>
        <w:t xml:space="preserve">5. </w:t>
      </w:r>
      <w:r w:rsidR="00480FB1" w:rsidRPr="004E5B63">
        <w:rPr>
          <w:b/>
          <w:bCs/>
          <w:sz w:val="22"/>
          <w:szCs w:val="22"/>
          <w:lang w:val="sr-Latn-ME"/>
        </w:rPr>
        <w:tab/>
      </w:r>
      <w:r w:rsidRPr="004E5B63">
        <w:rPr>
          <w:b/>
          <w:bCs/>
          <w:sz w:val="22"/>
          <w:szCs w:val="22"/>
          <w:lang w:val="sr-Latn-ME"/>
        </w:rPr>
        <w:t>FARMAKOLOŠK</w:t>
      </w:r>
      <w:r w:rsidR="000D425A" w:rsidRPr="004E5B63">
        <w:rPr>
          <w:b/>
          <w:bCs/>
          <w:sz w:val="22"/>
          <w:szCs w:val="22"/>
          <w:lang w:val="sr-Latn-ME"/>
        </w:rPr>
        <w:t>I</w:t>
      </w:r>
      <w:r w:rsidRPr="004E5B63">
        <w:rPr>
          <w:b/>
          <w:bCs/>
          <w:sz w:val="22"/>
          <w:szCs w:val="22"/>
          <w:lang w:val="sr-Latn-ME"/>
        </w:rPr>
        <w:t xml:space="preserve"> PODACI</w:t>
      </w:r>
    </w:p>
    <w:p w14:paraId="69602F6A" w14:textId="77777777" w:rsidR="0072020E" w:rsidRPr="004E5B63" w:rsidRDefault="0072020E" w:rsidP="00480FB1">
      <w:pPr>
        <w:tabs>
          <w:tab w:val="left" w:pos="540"/>
          <w:tab w:val="left" w:pos="569"/>
        </w:tabs>
        <w:rPr>
          <w:b/>
          <w:bCs/>
          <w:sz w:val="22"/>
          <w:szCs w:val="22"/>
          <w:lang w:val="sr-Latn-ME"/>
        </w:rPr>
      </w:pPr>
    </w:p>
    <w:p w14:paraId="2A07D3EB" w14:textId="77777777" w:rsidR="0072020E" w:rsidRPr="004E5B63" w:rsidRDefault="0072020E" w:rsidP="00480FB1">
      <w:pPr>
        <w:tabs>
          <w:tab w:val="left" w:pos="540"/>
          <w:tab w:val="left" w:pos="569"/>
        </w:tabs>
        <w:rPr>
          <w:b/>
          <w:bCs/>
          <w:sz w:val="22"/>
          <w:szCs w:val="22"/>
          <w:lang w:val="sr-Latn-ME"/>
        </w:rPr>
      </w:pPr>
      <w:r w:rsidRPr="004E5B63">
        <w:rPr>
          <w:b/>
          <w:bCs/>
          <w:sz w:val="22"/>
          <w:szCs w:val="22"/>
          <w:lang w:val="sr-Latn-ME"/>
        </w:rPr>
        <w:t xml:space="preserve">5.1. </w:t>
      </w:r>
      <w:r w:rsidR="00480FB1" w:rsidRPr="004E5B63">
        <w:rPr>
          <w:b/>
          <w:bCs/>
          <w:sz w:val="22"/>
          <w:szCs w:val="22"/>
          <w:lang w:val="sr-Latn-ME"/>
        </w:rPr>
        <w:tab/>
      </w:r>
      <w:r w:rsidRPr="004E5B63">
        <w:rPr>
          <w:b/>
          <w:bCs/>
          <w:sz w:val="22"/>
          <w:szCs w:val="22"/>
          <w:lang w:val="sr-Latn-ME"/>
        </w:rPr>
        <w:t>Farmakodinamski podaci</w:t>
      </w:r>
      <w:r w:rsidR="003A7059" w:rsidRPr="004E5B63">
        <w:rPr>
          <w:b/>
          <w:bCs/>
          <w:sz w:val="22"/>
          <w:szCs w:val="22"/>
          <w:lang w:val="sr-Latn-ME"/>
        </w:rPr>
        <w:t xml:space="preserve"> </w:t>
      </w:r>
    </w:p>
    <w:p w14:paraId="0959B31E" w14:textId="77777777" w:rsidR="00F45F77" w:rsidRPr="004E5B63" w:rsidRDefault="00F45F77" w:rsidP="00480FB1">
      <w:pPr>
        <w:tabs>
          <w:tab w:val="left" w:pos="540"/>
          <w:tab w:val="left" w:pos="569"/>
        </w:tabs>
        <w:rPr>
          <w:b/>
          <w:bCs/>
          <w:sz w:val="22"/>
          <w:szCs w:val="22"/>
          <w:lang w:val="sr-Latn-ME"/>
        </w:rPr>
      </w:pPr>
    </w:p>
    <w:p w14:paraId="51394A15" w14:textId="77777777" w:rsidR="0072020E" w:rsidRPr="004E5B63" w:rsidRDefault="0072020E" w:rsidP="00480FB1">
      <w:pPr>
        <w:tabs>
          <w:tab w:val="left" w:pos="540"/>
          <w:tab w:val="left" w:pos="569"/>
        </w:tabs>
        <w:rPr>
          <w:bCs/>
          <w:sz w:val="22"/>
          <w:szCs w:val="22"/>
          <w:lang w:val="sr-Latn-ME"/>
        </w:rPr>
      </w:pPr>
      <w:r w:rsidRPr="004E5B63">
        <w:rPr>
          <w:bCs/>
          <w:sz w:val="22"/>
          <w:szCs w:val="22"/>
          <w:lang w:val="sr-Latn-ME"/>
        </w:rPr>
        <w:t>Farmakoterapijska grupa:</w:t>
      </w:r>
      <w:r w:rsidR="002A7BD6" w:rsidRPr="004E5B63">
        <w:rPr>
          <w:noProof/>
          <w:sz w:val="22"/>
          <w:szCs w:val="22"/>
          <w:lang w:val="sr-Latn-ME"/>
        </w:rPr>
        <w:t xml:space="preserve"> antagonist hormona rasta</w:t>
      </w:r>
    </w:p>
    <w:p w14:paraId="1DDBECB6" w14:textId="77777777" w:rsidR="0072020E" w:rsidRPr="004E5B63" w:rsidRDefault="0072020E" w:rsidP="00480FB1">
      <w:pPr>
        <w:tabs>
          <w:tab w:val="left" w:pos="540"/>
          <w:tab w:val="left" w:pos="569"/>
        </w:tabs>
        <w:rPr>
          <w:bCs/>
          <w:sz w:val="22"/>
          <w:szCs w:val="22"/>
          <w:lang w:val="sr-Latn-ME"/>
        </w:rPr>
      </w:pPr>
    </w:p>
    <w:p w14:paraId="1914B6DF" w14:textId="77777777" w:rsidR="0072020E" w:rsidRPr="004E5B63" w:rsidRDefault="0072020E">
      <w:pPr>
        <w:tabs>
          <w:tab w:val="left" w:pos="540"/>
          <w:tab w:val="left" w:pos="569"/>
        </w:tabs>
        <w:rPr>
          <w:bCs/>
          <w:sz w:val="22"/>
          <w:szCs w:val="22"/>
          <w:lang w:val="sr-Latn-ME"/>
        </w:rPr>
      </w:pPr>
      <w:r w:rsidRPr="004E5B63">
        <w:rPr>
          <w:bCs/>
          <w:sz w:val="22"/>
          <w:szCs w:val="22"/>
          <w:lang w:val="sr-Latn-ME"/>
        </w:rPr>
        <w:t>ATC kod:</w:t>
      </w:r>
      <w:r w:rsidR="002A7BD6" w:rsidRPr="004E5B63">
        <w:rPr>
          <w:noProof/>
          <w:sz w:val="22"/>
          <w:szCs w:val="22"/>
          <w:lang w:val="sr-Latn-ME"/>
        </w:rPr>
        <w:t xml:space="preserve"> H01CB02</w:t>
      </w:r>
    </w:p>
    <w:p w14:paraId="2311C93F" w14:textId="77777777" w:rsidR="007B4113" w:rsidRPr="004E5B63" w:rsidRDefault="007B4113" w:rsidP="00DB7BE7">
      <w:pPr>
        <w:pStyle w:val="BodyTextIndent2"/>
        <w:spacing w:after="0" w:line="240" w:lineRule="auto"/>
        <w:ind w:left="0"/>
        <w:rPr>
          <w:rFonts w:ascii="Times New Roman" w:hAnsi="Times New Roman"/>
          <w:noProof/>
          <w:sz w:val="22"/>
          <w:szCs w:val="22"/>
          <w:lang w:val="sr-Latn-ME"/>
        </w:rPr>
      </w:pPr>
    </w:p>
    <w:p w14:paraId="183D615D" w14:textId="7FBA245C" w:rsidR="002A7BD6" w:rsidRPr="004E5B63" w:rsidRDefault="002A7BD6" w:rsidP="00DB7BE7">
      <w:pPr>
        <w:pStyle w:val="BodyTextIndent2"/>
        <w:spacing w:after="0" w:line="240" w:lineRule="auto"/>
        <w:ind w:left="0"/>
        <w:rPr>
          <w:rFonts w:ascii="Times New Roman" w:hAnsi="Times New Roman"/>
          <w:noProof/>
          <w:sz w:val="22"/>
          <w:szCs w:val="22"/>
          <w:lang w:val="sr-Latn-ME"/>
        </w:rPr>
      </w:pPr>
      <w:r w:rsidRPr="004E5B63">
        <w:rPr>
          <w:rFonts w:ascii="Times New Roman" w:hAnsi="Times New Roman"/>
          <w:noProof/>
          <w:sz w:val="22"/>
          <w:szCs w:val="22"/>
          <w:lang w:val="sr-Latn-ME"/>
        </w:rPr>
        <w:t>Oktreotid je sintetski oktapeptidni derivat prirodnog somatostatina sa sličnim farmakološkim djelovanjem, ali sa značajno produženim trajanjem dejstva. On inhibira patološki porast hormona rasta (GH) i peptida i serotonina koji se stvaraju unutar gastro-entero-pankreatičnog (GEP) endokrinog sistema.</w:t>
      </w:r>
    </w:p>
    <w:p w14:paraId="05CCDB05" w14:textId="77777777" w:rsidR="002A7BD6" w:rsidRPr="004E5B63" w:rsidRDefault="002A7BD6" w:rsidP="002A7BD6">
      <w:pPr>
        <w:rPr>
          <w:noProof/>
          <w:sz w:val="22"/>
          <w:szCs w:val="22"/>
          <w:lang w:val="sr-Latn-ME"/>
        </w:rPr>
      </w:pPr>
      <w:r w:rsidRPr="004E5B63">
        <w:rPr>
          <w:noProof/>
          <w:sz w:val="22"/>
          <w:szCs w:val="22"/>
          <w:lang w:val="sr-Latn-ME"/>
        </w:rPr>
        <w:t>Oktreotid je kod životinja snažniji inhibitor oslobađanja GH, glukagona i insulina od somatostatina, sa većom selektivnošću za supresiju GH i glukagona.</w:t>
      </w:r>
    </w:p>
    <w:p w14:paraId="1EFB0511" w14:textId="77777777" w:rsidR="002A7BD6" w:rsidRPr="004E5B63" w:rsidRDefault="002A7BD6" w:rsidP="002A7BD6">
      <w:pPr>
        <w:ind w:left="60"/>
        <w:rPr>
          <w:noProof/>
          <w:sz w:val="22"/>
          <w:szCs w:val="22"/>
          <w:lang w:val="sr-Latn-ME"/>
        </w:rPr>
      </w:pPr>
    </w:p>
    <w:p w14:paraId="1EFE2423" w14:textId="77777777" w:rsidR="002A7BD6" w:rsidRPr="004E5B63" w:rsidRDefault="002A7BD6" w:rsidP="002A7BD6">
      <w:pPr>
        <w:rPr>
          <w:noProof/>
          <w:sz w:val="22"/>
          <w:szCs w:val="22"/>
          <w:lang w:val="sr-Latn-ME"/>
        </w:rPr>
      </w:pPr>
      <w:r w:rsidRPr="004E5B63">
        <w:rPr>
          <w:noProof/>
          <w:sz w:val="22"/>
          <w:szCs w:val="22"/>
          <w:lang w:val="sr-Latn-ME"/>
        </w:rPr>
        <w:t>Dokazano je da Sandostatin kod zdravih osoba inhibira:</w:t>
      </w:r>
    </w:p>
    <w:p w14:paraId="16BD06B8" w14:textId="77777777" w:rsidR="002A7BD6" w:rsidRPr="004E5B63" w:rsidRDefault="002A7BD6" w:rsidP="002A7BD6">
      <w:pPr>
        <w:numPr>
          <w:ilvl w:val="0"/>
          <w:numId w:val="13"/>
        </w:numPr>
        <w:tabs>
          <w:tab w:val="left" w:pos="284"/>
        </w:tabs>
        <w:jc w:val="both"/>
        <w:rPr>
          <w:noProof/>
          <w:sz w:val="22"/>
          <w:szCs w:val="22"/>
          <w:lang w:val="sr-Latn-ME"/>
        </w:rPr>
      </w:pPr>
      <w:r w:rsidRPr="004E5B63">
        <w:rPr>
          <w:noProof/>
          <w:sz w:val="22"/>
          <w:szCs w:val="22"/>
          <w:lang w:val="sr-Latn-ME"/>
        </w:rPr>
        <w:t>oslobađanje GH stimulisano argininom i hipoglikemijom izazvanom vježbanjem i insulinom;</w:t>
      </w:r>
    </w:p>
    <w:p w14:paraId="6CB77691" w14:textId="77777777" w:rsidR="002A7BD6" w:rsidRPr="004E5B63" w:rsidRDefault="002A7BD6" w:rsidP="002A7BD6">
      <w:pPr>
        <w:pStyle w:val="BodyTextIndent2"/>
        <w:numPr>
          <w:ilvl w:val="0"/>
          <w:numId w:val="13"/>
        </w:numPr>
        <w:spacing w:after="0" w:line="240" w:lineRule="auto"/>
        <w:rPr>
          <w:rFonts w:ascii="Times New Roman" w:hAnsi="Times New Roman"/>
          <w:noProof/>
          <w:sz w:val="22"/>
          <w:szCs w:val="22"/>
          <w:lang w:val="sr-Latn-ME"/>
        </w:rPr>
      </w:pPr>
      <w:r w:rsidRPr="004E5B63">
        <w:rPr>
          <w:rFonts w:ascii="Times New Roman" w:hAnsi="Times New Roman"/>
          <w:noProof/>
          <w:sz w:val="22"/>
          <w:szCs w:val="22"/>
          <w:lang w:val="sr-Latn-ME"/>
        </w:rPr>
        <w:t>postprandijalno oslobađanje insulina, glukagona, gastrina, ostalih peptida GEP endokrinog sistema kao i oslobađanje insulina i glukagona koje stimuliše arginin;</w:t>
      </w:r>
    </w:p>
    <w:p w14:paraId="554C7B95" w14:textId="77777777" w:rsidR="002A7BD6" w:rsidRPr="004E5B63" w:rsidRDefault="002A7BD6" w:rsidP="002A7BD6">
      <w:pPr>
        <w:pStyle w:val="BodyTextIndent2"/>
        <w:numPr>
          <w:ilvl w:val="0"/>
          <w:numId w:val="13"/>
        </w:numPr>
        <w:spacing w:after="0" w:line="240" w:lineRule="auto"/>
        <w:rPr>
          <w:rFonts w:ascii="Times New Roman" w:hAnsi="Times New Roman"/>
          <w:noProof/>
          <w:sz w:val="22"/>
          <w:szCs w:val="22"/>
          <w:lang w:val="sr-Latn-ME"/>
        </w:rPr>
      </w:pPr>
      <w:r w:rsidRPr="004E5B63">
        <w:rPr>
          <w:rFonts w:ascii="Times New Roman" w:hAnsi="Times New Roman"/>
          <w:noProof/>
          <w:sz w:val="22"/>
          <w:szCs w:val="22"/>
          <w:lang w:val="sr-Latn-ME"/>
        </w:rPr>
        <w:t>oslobađanje tireotropin-rilizing hormona (TRH) pod dejstvom tiroid-stimulišućeg hormona (TSH).</w:t>
      </w:r>
    </w:p>
    <w:p w14:paraId="722DD3F9" w14:textId="77777777" w:rsidR="002A7BD6" w:rsidRPr="004E5B63" w:rsidRDefault="002A7BD6" w:rsidP="002A7BD6">
      <w:pPr>
        <w:pStyle w:val="Header"/>
        <w:tabs>
          <w:tab w:val="left" w:pos="284"/>
        </w:tabs>
        <w:rPr>
          <w:sz w:val="22"/>
          <w:szCs w:val="22"/>
          <w:lang w:val="sr-Latn-ME"/>
        </w:rPr>
      </w:pPr>
    </w:p>
    <w:p w14:paraId="6329F748" w14:textId="77777777" w:rsidR="002A7BD6" w:rsidRPr="004E5B63" w:rsidRDefault="002A7BD6" w:rsidP="002A7BD6">
      <w:pPr>
        <w:rPr>
          <w:noProof/>
          <w:sz w:val="22"/>
          <w:szCs w:val="22"/>
          <w:lang w:val="sr-Latn-ME"/>
        </w:rPr>
      </w:pPr>
      <w:r w:rsidRPr="004E5B63">
        <w:rPr>
          <w:noProof/>
          <w:sz w:val="22"/>
          <w:szCs w:val="22"/>
          <w:lang w:val="sr-Latn-ME"/>
        </w:rPr>
        <w:t>Za razliku od somatostatina, oktreotid više inhibira sekreciju GH nego insulina i njegova primjena nije praćena reaktivnom hipersekrecijom hormona (tj. GH kod pacijenata sa akromegalijom).</w:t>
      </w:r>
    </w:p>
    <w:p w14:paraId="5C0080DD" w14:textId="77777777" w:rsidR="002A7BD6" w:rsidRPr="004E5B63" w:rsidRDefault="002A7BD6" w:rsidP="002A7BD6">
      <w:pPr>
        <w:ind w:left="60"/>
        <w:rPr>
          <w:noProof/>
          <w:sz w:val="22"/>
          <w:szCs w:val="22"/>
          <w:lang w:val="sr-Latn-ME"/>
        </w:rPr>
      </w:pPr>
    </w:p>
    <w:p w14:paraId="1A5C73DB" w14:textId="77777777" w:rsidR="002A7BD6" w:rsidRPr="004E5B63" w:rsidRDefault="002A7BD6" w:rsidP="002A7BD6">
      <w:pPr>
        <w:rPr>
          <w:noProof/>
          <w:sz w:val="22"/>
          <w:szCs w:val="22"/>
          <w:lang w:val="sr-Latn-ME"/>
        </w:rPr>
      </w:pPr>
      <w:r w:rsidRPr="004E5B63">
        <w:rPr>
          <w:noProof/>
          <w:sz w:val="22"/>
          <w:szCs w:val="22"/>
          <w:lang w:val="sr-Latn-ME"/>
        </w:rPr>
        <w:t>Sandostatin kod pacijenata sa akromegalijom snižava nivo GH i IGF-1 u plazmi. Redukcija GH za 50% ili više javlja se kod čak 90% pacijenata, a redukcija GH u serumu na &lt; 5 ng/ml se može postići u približno polovini slučajeva. Kod većine pacijenata Sandostatin značajno ublažava kliničke simptome bolesti kao što su: glavobolja, otok kože i mekog tkiva, hiperhidroza, artralgija, parestezija. Terapija lijekom Sandostatin kod pacijenata sa velikim adenomom hipofize može rezultirati izvjesnim smanjenjem tumorske mase.</w:t>
      </w:r>
    </w:p>
    <w:p w14:paraId="67D55CAB" w14:textId="77777777" w:rsidR="002A7BD6" w:rsidRPr="004E5B63" w:rsidRDefault="002A7BD6" w:rsidP="002A7BD6">
      <w:pPr>
        <w:ind w:left="60"/>
        <w:rPr>
          <w:noProof/>
          <w:sz w:val="22"/>
          <w:szCs w:val="22"/>
          <w:lang w:val="sr-Latn-ME"/>
        </w:rPr>
      </w:pPr>
    </w:p>
    <w:p w14:paraId="7F50EA3A" w14:textId="77777777" w:rsidR="002A7BD6" w:rsidRPr="004E5B63" w:rsidRDefault="002A7BD6" w:rsidP="002A7BD6">
      <w:pPr>
        <w:rPr>
          <w:noProof/>
          <w:sz w:val="22"/>
          <w:szCs w:val="22"/>
          <w:lang w:val="sr-Latn-ME"/>
        </w:rPr>
      </w:pPr>
      <w:r w:rsidRPr="004E5B63">
        <w:rPr>
          <w:noProof/>
          <w:sz w:val="22"/>
          <w:szCs w:val="22"/>
          <w:lang w:val="sr-Latn-ME"/>
        </w:rPr>
        <w:t>Sandostatin kod pacijenata sa funkcionalnim tumorima GEP endokrinog sistema, zbog svojih različitih endokrinih efekata, utiče na znatan broj kliničkih osobina. Poboljšanje kliničke slike i poboljšanje kliničkih simptoma se javljaju kod pacijenata koji još uvijek imaju simptome u vezi sa tumorom uprkos prethodnim terapijama, a koje mogu obuhvatiti operaciju, embolizaciju hepatičke arterije i razne hemoterapije, npr. streptozotocinom i 5-fluorouracilom.</w:t>
      </w:r>
    </w:p>
    <w:p w14:paraId="5E36B8AA" w14:textId="4031286D" w:rsidR="002A7BD6" w:rsidRPr="004E5B63" w:rsidRDefault="002A7BD6" w:rsidP="002A7BD6">
      <w:pPr>
        <w:rPr>
          <w:b/>
          <w:noProof/>
          <w:sz w:val="22"/>
          <w:szCs w:val="22"/>
          <w:lang w:val="sr-Latn-ME"/>
        </w:rPr>
      </w:pPr>
    </w:p>
    <w:p w14:paraId="74574CDD" w14:textId="77777777" w:rsidR="002A7BD6" w:rsidRPr="004E5B63" w:rsidRDefault="002A7BD6" w:rsidP="002A7BD6">
      <w:pPr>
        <w:rPr>
          <w:b/>
          <w:noProof/>
          <w:sz w:val="22"/>
          <w:szCs w:val="22"/>
          <w:lang w:val="sr-Latn-ME"/>
        </w:rPr>
      </w:pPr>
      <w:r w:rsidRPr="004E5B63">
        <w:rPr>
          <w:b/>
          <w:noProof/>
          <w:sz w:val="22"/>
          <w:szCs w:val="22"/>
          <w:lang w:val="sr-Latn-ME"/>
        </w:rPr>
        <w:t>Dejstvo lijeka Sandostatin na različite vrste tumora je sljedeće:</w:t>
      </w:r>
    </w:p>
    <w:p w14:paraId="542CA4D5" w14:textId="77777777" w:rsidR="002A7BD6" w:rsidRPr="004E5B63" w:rsidRDefault="002A7BD6" w:rsidP="002A7BD6">
      <w:pPr>
        <w:ind w:left="60"/>
        <w:rPr>
          <w:b/>
          <w:noProof/>
          <w:sz w:val="22"/>
          <w:szCs w:val="22"/>
          <w:lang w:val="sr-Latn-ME"/>
        </w:rPr>
      </w:pPr>
    </w:p>
    <w:p w14:paraId="4FBC649B" w14:textId="77777777" w:rsidR="002A7BD6" w:rsidRPr="004E5B63" w:rsidRDefault="002A7BD6" w:rsidP="002A7BD6">
      <w:pPr>
        <w:rPr>
          <w:noProof/>
          <w:sz w:val="22"/>
          <w:szCs w:val="22"/>
          <w:lang w:val="sr-Latn-ME"/>
        </w:rPr>
      </w:pPr>
      <w:r w:rsidRPr="004E5B63">
        <w:rPr>
          <w:b/>
          <w:noProof/>
          <w:sz w:val="22"/>
          <w:szCs w:val="22"/>
          <w:lang w:val="sr-Latn-ME"/>
        </w:rPr>
        <w:t>Karcinoidni tumori</w:t>
      </w:r>
      <w:r w:rsidRPr="004E5B63">
        <w:rPr>
          <w:noProof/>
          <w:sz w:val="22"/>
          <w:szCs w:val="22"/>
          <w:lang w:val="sr-Latn-ME"/>
        </w:rPr>
        <w:t xml:space="preserve"> </w:t>
      </w:r>
    </w:p>
    <w:p w14:paraId="096C775D" w14:textId="77777777" w:rsidR="002A7BD6" w:rsidRPr="004E5B63" w:rsidRDefault="002A7BD6" w:rsidP="002A7BD6">
      <w:pPr>
        <w:rPr>
          <w:noProof/>
          <w:sz w:val="22"/>
          <w:szCs w:val="22"/>
          <w:lang w:val="sr-Latn-ME"/>
        </w:rPr>
      </w:pPr>
      <w:r w:rsidRPr="004E5B63">
        <w:rPr>
          <w:noProof/>
          <w:sz w:val="22"/>
          <w:szCs w:val="22"/>
          <w:lang w:val="sr-Latn-ME"/>
        </w:rPr>
        <w:t>Primjena lijeka Sandostatin može dovesti do poboljšanja simptoma, posebno crvenila lica i dijareje. U mnogim slučajevima to je praćeno padom koncentracije serotonina u plazmi i smanjenom urinarnom ekskrecijom 5-hidroksiindol sirćetne kiseline.</w:t>
      </w:r>
    </w:p>
    <w:p w14:paraId="212BD13A" w14:textId="7072DA8F" w:rsidR="002A7BD6" w:rsidRPr="004E5B63" w:rsidRDefault="002A7BD6" w:rsidP="002A7BD6">
      <w:pPr>
        <w:ind w:left="60"/>
        <w:rPr>
          <w:noProof/>
          <w:sz w:val="22"/>
          <w:szCs w:val="22"/>
          <w:lang w:val="sr-Latn-ME"/>
        </w:rPr>
      </w:pPr>
    </w:p>
    <w:p w14:paraId="01378D93" w14:textId="7DC37064" w:rsidR="003F1A0C" w:rsidRPr="004E5B63" w:rsidRDefault="003F1A0C" w:rsidP="002A7BD6">
      <w:pPr>
        <w:ind w:left="60"/>
        <w:rPr>
          <w:noProof/>
          <w:sz w:val="22"/>
          <w:szCs w:val="22"/>
          <w:lang w:val="sr-Latn-ME"/>
        </w:rPr>
      </w:pPr>
    </w:p>
    <w:p w14:paraId="4DBB99CC" w14:textId="77777777" w:rsidR="003F1A0C" w:rsidRPr="004E5B63" w:rsidRDefault="003F1A0C" w:rsidP="002A7BD6">
      <w:pPr>
        <w:ind w:left="60"/>
        <w:rPr>
          <w:noProof/>
          <w:sz w:val="22"/>
          <w:szCs w:val="22"/>
          <w:lang w:val="sr-Latn-ME"/>
        </w:rPr>
      </w:pPr>
    </w:p>
    <w:p w14:paraId="29065884" w14:textId="77777777" w:rsidR="002A7BD6" w:rsidRPr="004E5B63" w:rsidRDefault="002A7BD6" w:rsidP="002A7BD6">
      <w:pPr>
        <w:rPr>
          <w:b/>
          <w:noProof/>
          <w:sz w:val="22"/>
          <w:szCs w:val="22"/>
          <w:lang w:val="sr-Latn-ME"/>
        </w:rPr>
      </w:pPr>
      <w:r w:rsidRPr="004E5B63">
        <w:rPr>
          <w:b/>
          <w:noProof/>
          <w:sz w:val="22"/>
          <w:szCs w:val="22"/>
          <w:lang w:val="sr-Latn-ME"/>
        </w:rPr>
        <w:lastRenderedPageBreak/>
        <w:t>VIP-omi</w:t>
      </w:r>
    </w:p>
    <w:p w14:paraId="737E8D80" w14:textId="77777777" w:rsidR="002A7BD6" w:rsidRPr="004E5B63" w:rsidRDefault="002A7BD6" w:rsidP="002A7BD6">
      <w:pPr>
        <w:rPr>
          <w:noProof/>
          <w:sz w:val="22"/>
          <w:szCs w:val="22"/>
          <w:lang w:val="sr-Latn-ME"/>
        </w:rPr>
      </w:pPr>
      <w:r w:rsidRPr="004E5B63">
        <w:rPr>
          <w:noProof/>
          <w:sz w:val="22"/>
          <w:szCs w:val="22"/>
          <w:lang w:val="sr-Latn-ME"/>
        </w:rPr>
        <w:t>Biohemijska osobina ovih tumora je hiperprodukcija vazoaktivnog intestinalnog peptida (VIP). Primjena lijeka Sandostatin u većini slučajeva dovodi do ublažavanja teške sekretorne dijareje koja je karakteristična za ovo stanje, a samim tim i do poboljšanja kvaliteta života. Ovo je praćeno popravljanjem elektrolitnog disbalansa, npr. hipokalemije, čime se obezbjeđuje ukidanje enteralne i parenteralne supstitucione terapije elektrolitima. Kompjuterska tomografija kod nekih pacijenata ukazuje na usporavanje ili prestanak rasta tumora, pa čak i do smanjivanja tumora, naročito metastaza u jetri. Kliničko poboljšanje obično je praćeno redukcijom nivoa VIP-a u plazmi koji mogu opasti do normalnih referentnih vrijednosti.</w:t>
      </w:r>
    </w:p>
    <w:p w14:paraId="590767A0" w14:textId="77777777" w:rsidR="002A7BD6" w:rsidRPr="004E5B63" w:rsidRDefault="002A7BD6" w:rsidP="002A7BD6">
      <w:pPr>
        <w:pStyle w:val="Header"/>
        <w:tabs>
          <w:tab w:val="left" w:pos="284"/>
        </w:tabs>
        <w:rPr>
          <w:sz w:val="22"/>
          <w:szCs w:val="22"/>
          <w:lang w:val="sr-Latn-ME"/>
        </w:rPr>
      </w:pPr>
    </w:p>
    <w:p w14:paraId="0C1F5658" w14:textId="77777777" w:rsidR="002A7BD6" w:rsidRPr="004E5B63" w:rsidRDefault="002A7BD6" w:rsidP="002A7BD6">
      <w:pPr>
        <w:rPr>
          <w:b/>
          <w:noProof/>
          <w:sz w:val="22"/>
          <w:szCs w:val="22"/>
          <w:lang w:val="sr-Latn-ME"/>
        </w:rPr>
      </w:pPr>
      <w:r w:rsidRPr="004E5B63">
        <w:rPr>
          <w:b/>
          <w:noProof/>
          <w:sz w:val="22"/>
          <w:szCs w:val="22"/>
          <w:lang w:val="sr-Latn-ME"/>
        </w:rPr>
        <w:t>Glukagonomi</w:t>
      </w:r>
    </w:p>
    <w:p w14:paraId="2940330E" w14:textId="77777777" w:rsidR="002A7BD6" w:rsidRPr="004E5B63" w:rsidRDefault="002A7BD6" w:rsidP="002A7BD6">
      <w:pPr>
        <w:rPr>
          <w:noProof/>
          <w:sz w:val="22"/>
          <w:szCs w:val="22"/>
          <w:lang w:val="sr-Latn-ME"/>
        </w:rPr>
      </w:pPr>
      <w:r w:rsidRPr="004E5B63">
        <w:rPr>
          <w:noProof/>
          <w:sz w:val="22"/>
          <w:szCs w:val="22"/>
          <w:lang w:val="sr-Latn-ME"/>
        </w:rPr>
        <w:t xml:space="preserve">Primjena lijeka Sandostatin u većini slučajeva dovodi do značajnog poboljšanja nekrolitičkog migratornog osipa koji je karakterističan za ovo stanje. Dejstvo lijeka Sandostatin na stanje blagog diabetes mellitus koji se često javlja nije značajno i generalno ne dovodi do smanjenja potrebe za insulinom ili oralnim hipoglikemicima. Sandostatin dovodi do stišavanja dijareje, a time i do povećanja tjelesne mase kod ovih pacijenata. Iako primjena lijeka Sandostatin često dovodi do neposrednog smanjenja nivoa glukagona u plazmi, ovaj efekat se ne održava tokom dugotrajne terapije, uprkos kontinuiranom simptomatskom poboljšanju. </w:t>
      </w:r>
    </w:p>
    <w:p w14:paraId="1EF365B2" w14:textId="77777777" w:rsidR="002A7BD6" w:rsidRPr="004E5B63" w:rsidRDefault="002A7BD6" w:rsidP="002A7BD6">
      <w:pPr>
        <w:pStyle w:val="Header"/>
        <w:tabs>
          <w:tab w:val="left" w:pos="284"/>
        </w:tabs>
        <w:rPr>
          <w:sz w:val="22"/>
          <w:szCs w:val="22"/>
          <w:lang w:val="sr-Latn-ME"/>
        </w:rPr>
      </w:pPr>
    </w:p>
    <w:p w14:paraId="7A912DAF" w14:textId="77777777" w:rsidR="002A7BD6" w:rsidRPr="004E5B63" w:rsidRDefault="002A7BD6" w:rsidP="002A7BD6">
      <w:pPr>
        <w:rPr>
          <w:b/>
          <w:noProof/>
          <w:sz w:val="22"/>
          <w:szCs w:val="22"/>
          <w:lang w:val="sr-Latn-ME"/>
        </w:rPr>
      </w:pPr>
      <w:r w:rsidRPr="004E5B63">
        <w:rPr>
          <w:b/>
          <w:noProof/>
          <w:sz w:val="22"/>
          <w:szCs w:val="22"/>
          <w:lang w:val="sr-Latn-ME"/>
        </w:rPr>
        <w:t>Gastrinomi/Zollinger-Ellison-ov sindrom</w:t>
      </w:r>
    </w:p>
    <w:p w14:paraId="2E92927A" w14:textId="77777777" w:rsidR="002A7BD6" w:rsidRPr="004E5B63" w:rsidRDefault="002A7BD6" w:rsidP="002A7BD6">
      <w:pPr>
        <w:rPr>
          <w:noProof/>
          <w:sz w:val="22"/>
          <w:szCs w:val="22"/>
          <w:lang w:val="sr-Latn-ME"/>
        </w:rPr>
      </w:pPr>
      <w:r w:rsidRPr="004E5B63">
        <w:rPr>
          <w:noProof/>
          <w:sz w:val="22"/>
          <w:szCs w:val="22"/>
          <w:lang w:val="sr-Latn-ME"/>
        </w:rPr>
        <w:t>Terapijom inhibitorima protonske pumpe ili blokatorima H</w:t>
      </w:r>
      <w:r w:rsidRPr="004E5B63">
        <w:rPr>
          <w:noProof/>
          <w:sz w:val="22"/>
          <w:szCs w:val="22"/>
          <w:vertAlign w:val="subscript"/>
          <w:lang w:val="sr-Latn-ME"/>
        </w:rPr>
        <w:t>2</w:t>
      </w:r>
      <w:r w:rsidRPr="004E5B63">
        <w:rPr>
          <w:noProof/>
          <w:sz w:val="22"/>
          <w:szCs w:val="22"/>
          <w:lang w:val="sr-Latn-ME"/>
        </w:rPr>
        <w:t xml:space="preserve"> receptora se postiže kontrola hipersekrecije želudačne kiseline. Ipak dijareja,koja je takođe izraženi simptom, može biti manje ublažena inhibitorima protonske pumpe ili blokatorima H</w:t>
      </w:r>
      <w:r w:rsidRPr="004E5B63">
        <w:rPr>
          <w:noProof/>
          <w:sz w:val="22"/>
          <w:szCs w:val="22"/>
          <w:vertAlign w:val="subscript"/>
          <w:lang w:val="sr-Latn-ME"/>
        </w:rPr>
        <w:t>2</w:t>
      </w:r>
      <w:r w:rsidRPr="004E5B63">
        <w:rPr>
          <w:noProof/>
          <w:sz w:val="22"/>
          <w:szCs w:val="22"/>
          <w:lang w:val="sr-Latn-ME"/>
        </w:rPr>
        <w:t xml:space="preserve"> receptora. Sandostatin može dodatno smanjiti hipersekreciju želudačne kiseline i poboljšati simptome, uključujući i dijareju, jer dovodi do smanjenja povišenih nivoa gastrina u plazmi kod nekih pacijenata.</w:t>
      </w:r>
    </w:p>
    <w:p w14:paraId="480A2E8F" w14:textId="77777777" w:rsidR="002A7BD6" w:rsidRPr="004E5B63" w:rsidRDefault="002A7BD6" w:rsidP="002A7BD6">
      <w:pPr>
        <w:pStyle w:val="Header"/>
        <w:tabs>
          <w:tab w:val="left" w:pos="284"/>
        </w:tabs>
        <w:rPr>
          <w:sz w:val="22"/>
          <w:szCs w:val="22"/>
          <w:lang w:val="sr-Latn-ME"/>
        </w:rPr>
      </w:pPr>
    </w:p>
    <w:p w14:paraId="49A8EE6D" w14:textId="77777777" w:rsidR="002A7BD6" w:rsidRPr="004E5B63" w:rsidRDefault="002A7BD6" w:rsidP="002A7BD6">
      <w:pPr>
        <w:rPr>
          <w:b/>
          <w:noProof/>
          <w:sz w:val="22"/>
          <w:szCs w:val="22"/>
          <w:lang w:val="sr-Latn-ME"/>
        </w:rPr>
      </w:pPr>
      <w:r w:rsidRPr="004E5B63">
        <w:rPr>
          <w:b/>
          <w:noProof/>
          <w:sz w:val="22"/>
          <w:szCs w:val="22"/>
          <w:lang w:val="sr-Latn-ME"/>
        </w:rPr>
        <w:t>Insulinomi</w:t>
      </w:r>
    </w:p>
    <w:p w14:paraId="70CFBA90" w14:textId="77777777" w:rsidR="002A7BD6" w:rsidRPr="004E5B63" w:rsidRDefault="002A7BD6" w:rsidP="002A7BD6">
      <w:pPr>
        <w:rPr>
          <w:sz w:val="22"/>
          <w:szCs w:val="22"/>
          <w:lang w:val="sr-Latn-ME"/>
        </w:rPr>
      </w:pPr>
      <w:r w:rsidRPr="004E5B63">
        <w:rPr>
          <w:noProof/>
          <w:sz w:val="22"/>
          <w:szCs w:val="22"/>
          <w:lang w:val="sr-Latn-ME"/>
        </w:rPr>
        <w:t>Primjena lijeka Sandostatin dovodi do pada cirkulišućeg imunoreaktivnog insulina što, međutim, može biti kratkog trajanja (oko 2 sata). Sandostatin kod pacijenata sa operabilnim tumorima može pomoći da se preoperativno povrati i održi normoglikemija. Kontrola glikemije kod pacijenata sa inoperabilnim benignim ili malignim tumorima može se popraviti bez istovremene uporne redukcije nivoa insulina u cirkulaciji.</w:t>
      </w:r>
    </w:p>
    <w:p w14:paraId="6C3526E3" w14:textId="77777777" w:rsidR="002A7BD6" w:rsidRPr="004E5B63" w:rsidRDefault="002A7BD6" w:rsidP="002A7BD6">
      <w:pPr>
        <w:pStyle w:val="Header"/>
        <w:tabs>
          <w:tab w:val="left" w:pos="284"/>
        </w:tabs>
        <w:rPr>
          <w:sz w:val="22"/>
          <w:szCs w:val="22"/>
          <w:lang w:val="sr-Latn-ME"/>
        </w:rPr>
      </w:pPr>
    </w:p>
    <w:p w14:paraId="4E21C6FA" w14:textId="77777777" w:rsidR="002A7BD6" w:rsidRPr="004E5B63" w:rsidRDefault="002A7BD6" w:rsidP="002A7BD6">
      <w:pPr>
        <w:pStyle w:val="Heading3"/>
        <w:keepNext w:val="0"/>
        <w:keepLines w:val="0"/>
        <w:spacing w:before="0"/>
        <w:rPr>
          <w:rFonts w:ascii="Times New Roman" w:hAnsi="Times New Roman" w:cs="Times New Roman"/>
          <w:b/>
          <w:i/>
          <w:color w:val="auto"/>
          <w:sz w:val="22"/>
          <w:szCs w:val="22"/>
          <w:lang w:val="sr-Latn-ME"/>
        </w:rPr>
      </w:pPr>
      <w:r w:rsidRPr="004E5B63">
        <w:rPr>
          <w:rFonts w:ascii="Times New Roman" w:hAnsi="Times New Roman" w:cs="Times New Roman"/>
          <w:b/>
          <w:i/>
          <w:color w:val="auto"/>
          <w:sz w:val="22"/>
          <w:szCs w:val="22"/>
          <w:lang w:val="sr-Latn-ME"/>
        </w:rPr>
        <w:t>Komplikacije nakon operacije na pankreasu</w:t>
      </w:r>
    </w:p>
    <w:p w14:paraId="00DB500C" w14:textId="77777777" w:rsidR="002A7BD6" w:rsidRPr="004E5B63" w:rsidRDefault="002A7BD6" w:rsidP="002A7BD6">
      <w:pPr>
        <w:rPr>
          <w:noProof/>
          <w:sz w:val="22"/>
          <w:szCs w:val="22"/>
          <w:lang w:val="sr-Latn-ME"/>
        </w:rPr>
      </w:pPr>
      <w:r w:rsidRPr="004E5B63">
        <w:rPr>
          <w:noProof/>
          <w:sz w:val="22"/>
          <w:szCs w:val="22"/>
          <w:lang w:val="sr-Latn-ME"/>
        </w:rPr>
        <w:t xml:space="preserve">Perioperativna i postoperativna primjena lijeka </w:t>
      </w:r>
      <w:r w:rsidRPr="004E5B63">
        <w:rPr>
          <w:sz w:val="22"/>
          <w:szCs w:val="22"/>
          <w:lang w:val="sr-Latn-ME"/>
        </w:rPr>
        <w:t>Sandostatin</w:t>
      </w:r>
      <w:r w:rsidRPr="004E5B63">
        <w:rPr>
          <w:noProof/>
          <w:sz w:val="22"/>
          <w:szCs w:val="22"/>
          <w:lang w:val="sr-Latn-ME"/>
        </w:rPr>
        <w:t xml:space="preserve"> kod pacijenata koji imaju operaciju pankreasa, smanjuje pojavu tipičnih postoperativnih komplikacija (npr. pankreasna fistula, apsces i posljedična sepsa, postoperativni akutni pankreatitis).</w:t>
      </w:r>
    </w:p>
    <w:p w14:paraId="789A8D0F" w14:textId="77777777" w:rsidR="002A7BD6" w:rsidRPr="004E5B63" w:rsidRDefault="002A7BD6" w:rsidP="002A7BD6">
      <w:pPr>
        <w:rPr>
          <w:noProof/>
          <w:sz w:val="22"/>
          <w:szCs w:val="22"/>
          <w:lang w:val="sr-Latn-ME"/>
        </w:rPr>
      </w:pPr>
    </w:p>
    <w:p w14:paraId="5C227B33" w14:textId="77777777" w:rsidR="002A7BD6" w:rsidRPr="004E5B63" w:rsidRDefault="002A7BD6" w:rsidP="002A7BD6">
      <w:pPr>
        <w:rPr>
          <w:noProof/>
          <w:sz w:val="22"/>
          <w:szCs w:val="22"/>
          <w:lang w:val="sr-Latn-ME"/>
        </w:rPr>
      </w:pPr>
      <w:r w:rsidRPr="004E5B63">
        <w:rPr>
          <w:b/>
          <w:noProof/>
          <w:sz w:val="22"/>
          <w:szCs w:val="22"/>
          <w:lang w:val="sr-Latn-ME"/>
        </w:rPr>
        <w:t>Krvarenje iz gastro-ezofagusnih variksa</w:t>
      </w:r>
      <w:r w:rsidRPr="004E5B63">
        <w:rPr>
          <w:noProof/>
          <w:sz w:val="22"/>
          <w:szCs w:val="22"/>
          <w:lang w:val="sr-Latn-ME"/>
        </w:rPr>
        <w:t xml:space="preserve"> </w:t>
      </w:r>
    </w:p>
    <w:p w14:paraId="31DD378F" w14:textId="77777777" w:rsidR="002A7BD6" w:rsidRPr="004E5B63" w:rsidRDefault="002A7BD6" w:rsidP="002A7BD6">
      <w:pPr>
        <w:rPr>
          <w:noProof/>
          <w:sz w:val="22"/>
          <w:szCs w:val="22"/>
          <w:lang w:val="sr-Latn-ME"/>
        </w:rPr>
      </w:pPr>
      <w:r w:rsidRPr="004E5B63">
        <w:rPr>
          <w:noProof/>
          <w:sz w:val="22"/>
          <w:szCs w:val="22"/>
          <w:lang w:val="sr-Latn-ME"/>
        </w:rPr>
        <w:t>Davanje lijeka Sandostatin kod pacijenata sa krvarenjem iz gastro-ezofagusnih variksa usljed ciroze u kombinaciji sa specifičnom terapijom (npr. skleroterapijom) udruženo je sa boljom kontrolom krvarenja i rane pojave ponovnog krvarenja, smanjenom potrebom za transfuzijom i poboljšanim 5-dnevnim preživljavanjem. Iako nije potpuno razjašnjen precizan način djelovanja lijeka Sandostatin, pretpostavlja se da inhibiranjem vazoaktivnih hormona (npr. VIP, glukagon) Sandostatin smanjuje splanhnični protok krvi.</w:t>
      </w:r>
    </w:p>
    <w:p w14:paraId="0EA92F3C" w14:textId="77777777" w:rsidR="002A7BD6" w:rsidRPr="004E5B63" w:rsidRDefault="002A7BD6" w:rsidP="002A7BD6">
      <w:pPr>
        <w:rPr>
          <w:noProof/>
          <w:sz w:val="22"/>
          <w:szCs w:val="22"/>
          <w:lang w:val="sr-Latn-ME"/>
        </w:rPr>
      </w:pPr>
    </w:p>
    <w:p w14:paraId="0B85D2D0" w14:textId="77777777" w:rsidR="002A7BD6" w:rsidRPr="004E5B63" w:rsidRDefault="002A7BD6" w:rsidP="002A7BD6">
      <w:pPr>
        <w:pStyle w:val="Header"/>
        <w:tabs>
          <w:tab w:val="left" w:pos="284"/>
        </w:tabs>
        <w:spacing w:before="80" w:after="80"/>
        <w:rPr>
          <w:b/>
          <w:bCs/>
          <w:sz w:val="22"/>
          <w:szCs w:val="22"/>
          <w:lang w:val="sr-Latn-ME"/>
        </w:rPr>
      </w:pPr>
      <w:r w:rsidRPr="004E5B63">
        <w:rPr>
          <w:b/>
          <w:noProof/>
          <w:sz w:val="22"/>
          <w:szCs w:val="22"/>
          <w:lang w:val="sr-Latn-ME"/>
        </w:rPr>
        <w:t>Terapija TSH- sekretujućih pituitarnih adenoma</w:t>
      </w:r>
    </w:p>
    <w:p w14:paraId="27F52A04" w14:textId="77777777" w:rsidR="002A7BD6" w:rsidRPr="004E5B63" w:rsidRDefault="002A7BD6" w:rsidP="002A7BD6">
      <w:pPr>
        <w:pStyle w:val="Header"/>
        <w:tabs>
          <w:tab w:val="left" w:pos="284"/>
        </w:tabs>
        <w:rPr>
          <w:sz w:val="22"/>
          <w:szCs w:val="22"/>
          <w:lang w:val="sr-Latn-ME"/>
        </w:rPr>
      </w:pPr>
      <w:r w:rsidRPr="004E5B63">
        <w:rPr>
          <w:sz w:val="22"/>
          <w:szCs w:val="22"/>
          <w:lang w:val="sr-Latn-ME"/>
        </w:rPr>
        <w:t>Terapijski efekti lijeka Sandostatin su prospektivno posmatrani kod 21 pacijenta i udruženih sa serijama od 37 objavljenih slučajeva. Kod 42 pacijenta sa dostupnim biohemijskim podacima, 81% pacijenata (n=34) je imao zadovoljavajuće rezultate (najmanje 50% smanjenja nivoa TSH i značajnog smanjenja tireoidnih hormona), dok je 67% (n=28) imalo normalizaciju nivoa TSH i tireoidnih hormona. Kod ovih pacijenata, odgovor je održavan tokom čitave dužine trajanja terapije (najviše 61 mjesec, prosječno, 15,7 mjeseci).</w:t>
      </w:r>
    </w:p>
    <w:p w14:paraId="035994A1" w14:textId="77777777" w:rsidR="002A7BD6" w:rsidRPr="004E5B63" w:rsidRDefault="002A7BD6" w:rsidP="002A7BD6">
      <w:pPr>
        <w:pStyle w:val="Header"/>
        <w:tabs>
          <w:tab w:val="left" w:pos="284"/>
        </w:tabs>
        <w:rPr>
          <w:sz w:val="22"/>
          <w:szCs w:val="22"/>
          <w:lang w:val="sr-Latn-ME"/>
        </w:rPr>
      </w:pPr>
    </w:p>
    <w:p w14:paraId="1EA7884E" w14:textId="77777777" w:rsidR="002A7BD6" w:rsidRPr="004E5B63" w:rsidRDefault="002A7BD6" w:rsidP="002A7BD6">
      <w:pPr>
        <w:pStyle w:val="Header"/>
        <w:tabs>
          <w:tab w:val="left" w:pos="284"/>
        </w:tabs>
        <w:rPr>
          <w:sz w:val="22"/>
          <w:szCs w:val="22"/>
          <w:lang w:val="sr-Latn-ME"/>
        </w:rPr>
      </w:pPr>
      <w:r w:rsidRPr="004E5B63">
        <w:rPr>
          <w:sz w:val="22"/>
          <w:szCs w:val="22"/>
          <w:lang w:val="sr-Latn-ME"/>
        </w:rPr>
        <w:lastRenderedPageBreak/>
        <w:t>U pogledu kliničkih simptoma, jasan napredak je zabilježen kod 19 od 32 pacijenta sa kliničkim hipretireoidizmom. Smanjenje veličine tumora za više od 20% je zabilježeno u 11 slučajeva (41%), a za više od 50% u 4 slučaja (15%). Najranije smanjenje je zabilježeno nakon 14 dana terapije.</w:t>
      </w:r>
    </w:p>
    <w:p w14:paraId="1C24EB6F" w14:textId="77777777" w:rsidR="002E37A5" w:rsidRPr="004E5B63" w:rsidRDefault="002E37A5" w:rsidP="00480FB1">
      <w:pPr>
        <w:tabs>
          <w:tab w:val="left" w:pos="540"/>
          <w:tab w:val="left" w:pos="569"/>
        </w:tabs>
        <w:rPr>
          <w:b/>
          <w:bCs/>
          <w:sz w:val="22"/>
          <w:szCs w:val="22"/>
          <w:lang w:val="sr-Latn-ME"/>
        </w:rPr>
      </w:pPr>
    </w:p>
    <w:p w14:paraId="4F68C5A9" w14:textId="77777777" w:rsidR="0072020E" w:rsidRPr="004E5B63" w:rsidRDefault="0072020E" w:rsidP="00480FB1">
      <w:pPr>
        <w:tabs>
          <w:tab w:val="left" w:pos="540"/>
          <w:tab w:val="left" w:pos="569"/>
        </w:tabs>
        <w:rPr>
          <w:b/>
          <w:bCs/>
          <w:sz w:val="22"/>
          <w:szCs w:val="22"/>
          <w:lang w:val="sr-Latn-ME"/>
        </w:rPr>
      </w:pPr>
      <w:r w:rsidRPr="004E5B63">
        <w:rPr>
          <w:b/>
          <w:bCs/>
          <w:sz w:val="22"/>
          <w:szCs w:val="22"/>
          <w:lang w:val="sr-Latn-ME"/>
        </w:rPr>
        <w:t xml:space="preserve">5.2. </w:t>
      </w:r>
      <w:r w:rsidR="00480FB1" w:rsidRPr="004E5B63">
        <w:rPr>
          <w:b/>
          <w:bCs/>
          <w:sz w:val="22"/>
          <w:szCs w:val="22"/>
          <w:lang w:val="sr-Latn-ME"/>
        </w:rPr>
        <w:tab/>
      </w:r>
      <w:r w:rsidRPr="004E5B63">
        <w:rPr>
          <w:b/>
          <w:bCs/>
          <w:sz w:val="22"/>
          <w:szCs w:val="22"/>
          <w:lang w:val="sr-Latn-ME"/>
        </w:rPr>
        <w:t>Farmakokinetički podaci</w:t>
      </w:r>
      <w:r w:rsidR="003A7059" w:rsidRPr="004E5B63">
        <w:rPr>
          <w:b/>
          <w:bCs/>
          <w:sz w:val="22"/>
          <w:szCs w:val="22"/>
          <w:lang w:val="sr-Latn-ME"/>
        </w:rPr>
        <w:t xml:space="preserve"> </w:t>
      </w:r>
    </w:p>
    <w:p w14:paraId="69BF5FBA" w14:textId="77777777" w:rsidR="007B4113" w:rsidRPr="004E5B63" w:rsidRDefault="007B4113" w:rsidP="002A7BD6">
      <w:pPr>
        <w:pStyle w:val="Header"/>
        <w:tabs>
          <w:tab w:val="left" w:pos="284"/>
        </w:tabs>
        <w:rPr>
          <w:b/>
          <w:sz w:val="22"/>
          <w:szCs w:val="22"/>
          <w:lang w:val="sr-Latn-ME"/>
        </w:rPr>
      </w:pPr>
    </w:p>
    <w:p w14:paraId="0173B10D" w14:textId="361BF629" w:rsidR="002A7BD6" w:rsidRPr="004E5B63" w:rsidRDefault="002A7BD6" w:rsidP="002A7BD6">
      <w:pPr>
        <w:pStyle w:val="Header"/>
        <w:tabs>
          <w:tab w:val="left" w:pos="284"/>
        </w:tabs>
        <w:rPr>
          <w:b/>
          <w:iCs/>
          <w:sz w:val="22"/>
          <w:szCs w:val="22"/>
          <w:lang w:val="sr-Latn-ME"/>
        </w:rPr>
      </w:pPr>
      <w:r w:rsidRPr="004E5B63">
        <w:rPr>
          <w:b/>
          <w:sz w:val="22"/>
          <w:szCs w:val="22"/>
          <w:lang w:val="sr-Latn-ME"/>
        </w:rPr>
        <w:t>Resorpcija</w:t>
      </w:r>
      <w:r w:rsidRPr="004E5B63">
        <w:rPr>
          <w:b/>
          <w:iCs/>
          <w:sz w:val="22"/>
          <w:szCs w:val="22"/>
          <w:lang w:val="sr-Latn-ME"/>
        </w:rPr>
        <w:t xml:space="preserve"> </w:t>
      </w:r>
    </w:p>
    <w:p w14:paraId="4E5BEC3B" w14:textId="77777777" w:rsidR="002A7BD6" w:rsidRPr="004E5B63" w:rsidRDefault="002A7BD6" w:rsidP="002A7BD6">
      <w:pPr>
        <w:pStyle w:val="Header"/>
        <w:tabs>
          <w:tab w:val="left" w:pos="284"/>
        </w:tabs>
        <w:rPr>
          <w:noProof/>
          <w:color w:val="000000"/>
          <w:sz w:val="22"/>
          <w:szCs w:val="22"/>
          <w:lang w:val="sr-Latn-ME"/>
        </w:rPr>
      </w:pPr>
      <w:r w:rsidRPr="004E5B63">
        <w:rPr>
          <w:sz w:val="22"/>
          <w:szCs w:val="22"/>
          <w:lang w:val="sr-Latn-ME"/>
        </w:rPr>
        <w:t>Sandostatin</w:t>
      </w:r>
      <w:r w:rsidRPr="004E5B63">
        <w:rPr>
          <w:noProof/>
          <w:color w:val="000000"/>
          <w:sz w:val="22"/>
          <w:szCs w:val="22"/>
          <w:lang w:val="sr-Latn-ME"/>
        </w:rPr>
        <w:t xml:space="preserve"> se brzo i potpuno resorbuje nakon s.c. injekcije. Maksimalne koncentracije u plazmi se postižu za 30 minuta.</w:t>
      </w:r>
    </w:p>
    <w:p w14:paraId="3782693A" w14:textId="77777777" w:rsidR="002A7BD6" w:rsidRPr="004E5B63" w:rsidRDefault="002A7BD6" w:rsidP="002A7BD6">
      <w:pPr>
        <w:rPr>
          <w:noProof/>
          <w:sz w:val="22"/>
          <w:szCs w:val="22"/>
          <w:lang w:val="sr-Latn-ME"/>
        </w:rPr>
      </w:pPr>
    </w:p>
    <w:p w14:paraId="210BBA8D" w14:textId="77777777" w:rsidR="002A7BD6" w:rsidRPr="004E5B63" w:rsidRDefault="002A7BD6" w:rsidP="002A7BD6">
      <w:pPr>
        <w:pStyle w:val="Header"/>
        <w:tabs>
          <w:tab w:val="left" w:pos="284"/>
        </w:tabs>
        <w:rPr>
          <w:b/>
          <w:iCs/>
          <w:sz w:val="22"/>
          <w:szCs w:val="22"/>
          <w:lang w:val="sr-Latn-ME"/>
        </w:rPr>
      </w:pPr>
      <w:r w:rsidRPr="004E5B63">
        <w:rPr>
          <w:b/>
          <w:sz w:val="22"/>
          <w:szCs w:val="22"/>
          <w:lang w:val="sr-Latn-ME"/>
        </w:rPr>
        <w:t>Raspodjela</w:t>
      </w:r>
      <w:r w:rsidRPr="004E5B63">
        <w:rPr>
          <w:b/>
          <w:iCs/>
          <w:sz w:val="22"/>
          <w:szCs w:val="22"/>
          <w:lang w:val="sr-Latn-ME"/>
        </w:rPr>
        <w:t xml:space="preserve"> </w:t>
      </w:r>
    </w:p>
    <w:p w14:paraId="5A007CF3" w14:textId="77777777" w:rsidR="002A7BD6" w:rsidRPr="004E5B63" w:rsidRDefault="002A7BD6" w:rsidP="002A7BD6">
      <w:pPr>
        <w:rPr>
          <w:noProof/>
          <w:sz w:val="22"/>
          <w:szCs w:val="22"/>
          <w:lang w:val="sr-Latn-ME"/>
        </w:rPr>
      </w:pPr>
      <w:r w:rsidRPr="004E5B63">
        <w:rPr>
          <w:noProof/>
          <w:sz w:val="22"/>
          <w:szCs w:val="22"/>
          <w:lang w:val="sr-Latn-ME"/>
        </w:rPr>
        <w:t>Volumen raspodjele iznosi 0,27 l/kg, a ukupan klirens iz organizma 160 ml/min. Vezivanje za proteine plazme iznosi 65%. Količina lijeka Sandostatin koji se vezuje za krvne ćelije je zanemarljiva.</w:t>
      </w:r>
    </w:p>
    <w:p w14:paraId="5FC66C4A" w14:textId="77777777" w:rsidR="002A7BD6" w:rsidRPr="004E5B63" w:rsidRDefault="002A7BD6" w:rsidP="002A7BD6">
      <w:pPr>
        <w:rPr>
          <w:noProof/>
          <w:sz w:val="22"/>
          <w:szCs w:val="22"/>
          <w:lang w:val="sr-Latn-ME"/>
        </w:rPr>
      </w:pPr>
    </w:p>
    <w:p w14:paraId="5A352FF1" w14:textId="77777777" w:rsidR="002A7BD6" w:rsidRPr="004E5B63" w:rsidRDefault="002A7BD6" w:rsidP="002A7BD6">
      <w:pPr>
        <w:pStyle w:val="Header"/>
        <w:tabs>
          <w:tab w:val="left" w:pos="284"/>
        </w:tabs>
        <w:rPr>
          <w:b/>
          <w:iCs/>
          <w:sz w:val="22"/>
          <w:szCs w:val="22"/>
          <w:lang w:val="sr-Latn-ME"/>
        </w:rPr>
      </w:pPr>
      <w:r w:rsidRPr="004E5B63">
        <w:rPr>
          <w:b/>
          <w:sz w:val="22"/>
          <w:szCs w:val="22"/>
          <w:lang w:val="sr-Latn-ME"/>
        </w:rPr>
        <w:t>Izlučivanje</w:t>
      </w:r>
      <w:r w:rsidRPr="004E5B63">
        <w:rPr>
          <w:b/>
          <w:iCs/>
          <w:sz w:val="22"/>
          <w:szCs w:val="22"/>
          <w:lang w:val="sr-Latn-ME"/>
        </w:rPr>
        <w:t xml:space="preserve"> </w:t>
      </w:r>
    </w:p>
    <w:p w14:paraId="457D2151" w14:textId="77777777" w:rsidR="002A7BD6" w:rsidRPr="004E5B63" w:rsidRDefault="002A7BD6" w:rsidP="002A7BD6">
      <w:pPr>
        <w:tabs>
          <w:tab w:val="left" w:pos="720"/>
        </w:tabs>
        <w:rPr>
          <w:noProof/>
          <w:color w:val="000000"/>
          <w:sz w:val="22"/>
          <w:szCs w:val="22"/>
          <w:lang w:val="sr-Latn-ME"/>
        </w:rPr>
      </w:pPr>
      <w:r w:rsidRPr="004E5B63">
        <w:rPr>
          <w:noProof/>
          <w:color w:val="000000"/>
          <w:sz w:val="22"/>
          <w:szCs w:val="22"/>
          <w:lang w:val="sr-Latn-ME"/>
        </w:rPr>
        <w:t>Poluvrijeme eliminacije nakon s.c. primjene iznosi 100 minuta. Eliminacija nakon i.v. injekcije je dvofazna, uz poluvrijeme eliminacije od 10 i 90 minuta. Većina peptida se eliminiše preko fecesa, dok se oko 32% izlučuje neizmijenjeno u urin.</w:t>
      </w:r>
    </w:p>
    <w:p w14:paraId="6C74086D" w14:textId="77777777" w:rsidR="002A7BD6" w:rsidRPr="004E5B63" w:rsidRDefault="002A7BD6" w:rsidP="002A7BD6">
      <w:pPr>
        <w:rPr>
          <w:noProof/>
          <w:sz w:val="22"/>
          <w:szCs w:val="22"/>
          <w:lang w:val="sr-Latn-ME"/>
        </w:rPr>
      </w:pPr>
    </w:p>
    <w:p w14:paraId="3A741BEF" w14:textId="77777777" w:rsidR="002A7BD6" w:rsidRPr="004E5B63" w:rsidRDefault="002A7BD6" w:rsidP="002A7BD6">
      <w:pPr>
        <w:pStyle w:val="Header"/>
        <w:tabs>
          <w:tab w:val="left" w:pos="284"/>
        </w:tabs>
        <w:rPr>
          <w:b/>
          <w:iCs/>
          <w:sz w:val="22"/>
          <w:szCs w:val="22"/>
          <w:lang w:val="sr-Latn-ME"/>
        </w:rPr>
      </w:pPr>
      <w:r w:rsidRPr="004E5B63">
        <w:rPr>
          <w:b/>
          <w:sz w:val="22"/>
          <w:szCs w:val="22"/>
          <w:lang w:val="sr-Latn-ME"/>
        </w:rPr>
        <w:t>Posebna</w:t>
      </w:r>
      <w:r w:rsidRPr="004E5B63">
        <w:rPr>
          <w:b/>
          <w:iCs/>
          <w:sz w:val="22"/>
          <w:szCs w:val="22"/>
          <w:lang w:val="sr-Latn-ME"/>
        </w:rPr>
        <w:t xml:space="preserve"> populacija pacijenata</w:t>
      </w:r>
    </w:p>
    <w:p w14:paraId="13606DAE" w14:textId="77777777" w:rsidR="002A7BD6" w:rsidRPr="004E5B63" w:rsidRDefault="002A7BD6" w:rsidP="002A7BD6">
      <w:pPr>
        <w:rPr>
          <w:noProof/>
          <w:sz w:val="22"/>
          <w:szCs w:val="22"/>
          <w:lang w:val="sr-Latn-ME"/>
        </w:rPr>
      </w:pPr>
      <w:r w:rsidRPr="004E5B63">
        <w:rPr>
          <w:noProof/>
          <w:sz w:val="22"/>
          <w:szCs w:val="22"/>
          <w:lang w:val="sr-Latn-ME"/>
        </w:rPr>
        <w:t>Poremećena funkcija burega nije uticala na ukupnu izloženost (PIK) oktreotida datog u obliku s.c. injekcije.</w:t>
      </w:r>
    </w:p>
    <w:p w14:paraId="755C551E" w14:textId="77777777" w:rsidR="002A7BD6" w:rsidRPr="004E5B63" w:rsidRDefault="002A7BD6" w:rsidP="002A7BD6">
      <w:pPr>
        <w:rPr>
          <w:noProof/>
          <w:sz w:val="22"/>
          <w:szCs w:val="22"/>
          <w:lang w:val="sr-Latn-ME"/>
        </w:rPr>
      </w:pPr>
    </w:p>
    <w:p w14:paraId="723A66D7" w14:textId="77777777" w:rsidR="002A7BD6" w:rsidRPr="004E5B63" w:rsidRDefault="002A7BD6" w:rsidP="002A7BD6">
      <w:pPr>
        <w:tabs>
          <w:tab w:val="left" w:pos="720"/>
        </w:tabs>
        <w:rPr>
          <w:noProof/>
          <w:color w:val="000000"/>
          <w:sz w:val="22"/>
          <w:szCs w:val="22"/>
          <w:lang w:val="sr-Latn-ME"/>
        </w:rPr>
      </w:pPr>
      <w:r w:rsidRPr="004E5B63">
        <w:rPr>
          <w:noProof/>
          <w:color w:val="000000"/>
          <w:sz w:val="22"/>
          <w:szCs w:val="22"/>
          <w:lang w:val="sr-Latn-ME"/>
        </w:rPr>
        <w:t>Sposobnost eliminacije može biti smanjena kod pacijenata sa cirozom jetre, ali ne i kod pacijenata sa masnom jetrom.</w:t>
      </w:r>
    </w:p>
    <w:p w14:paraId="45884B8E" w14:textId="77777777" w:rsidR="0072020E" w:rsidRPr="004E5B63" w:rsidRDefault="0072020E" w:rsidP="00480FB1">
      <w:pPr>
        <w:tabs>
          <w:tab w:val="left" w:pos="540"/>
          <w:tab w:val="left" w:pos="569"/>
        </w:tabs>
        <w:rPr>
          <w:bCs/>
          <w:sz w:val="22"/>
          <w:szCs w:val="22"/>
          <w:lang w:val="sr-Latn-ME"/>
        </w:rPr>
      </w:pPr>
    </w:p>
    <w:p w14:paraId="18C74D65" w14:textId="77777777" w:rsidR="0072020E" w:rsidRPr="004E5B63" w:rsidRDefault="0072020E" w:rsidP="00480FB1">
      <w:pPr>
        <w:tabs>
          <w:tab w:val="left" w:pos="540"/>
          <w:tab w:val="left" w:pos="569"/>
        </w:tabs>
        <w:rPr>
          <w:b/>
          <w:bCs/>
          <w:sz w:val="22"/>
          <w:szCs w:val="22"/>
          <w:lang w:val="sr-Latn-ME"/>
        </w:rPr>
      </w:pPr>
      <w:r w:rsidRPr="004E5B63">
        <w:rPr>
          <w:b/>
          <w:bCs/>
          <w:sz w:val="22"/>
          <w:szCs w:val="22"/>
          <w:lang w:val="sr-Latn-ME"/>
        </w:rPr>
        <w:t xml:space="preserve">5.3. </w:t>
      </w:r>
      <w:r w:rsidR="00480FB1" w:rsidRPr="004E5B63">
        <w:rPr>
          <w:b/>
          <w:bCs/>
          <w:sz w:val="22"/>
          <w:szCs w:val="22"/>
          <w:lang w:val="sr-Latn-ME"/>
        </w:rPr>
        <w:tab/>
      </w:r>
      <w:r w:rsidRPr="004E5B63">
        <w:rPr>
          <w:b/>
          <w:bCs/>
          <w:sz w:val="22"/>
          <w:szCs w:val="22"/>
          <w:lang w:val="sr-Latn-ME"/>
        </w:rPr>
        <w:t xml:space="preserve">Pretklinički podaci o bezbjednosti </w:t>
      </w:r>
    </w:p>
    <w:p w14:paraId="30F0E81F" w14:textId="77777777" w:rsidR="002A7BD6" w:rsidRPr="004E5B63" w:rsidRDefault="002A7BD6" w:rsidP="002A7BD6">
      <w:pPr>
        <w:rPr>
          <w:noProof/>
          <w:sz w:val="22"/>
          <w:szCs w:val="22"/>
          <w:lang w:val="sr-Latn-ME"/>
        </w:rPr>
      </w:pPr>
    </w:p>
    <w:p w14:paraId="2505AB3B" w14:textId="77777777" w:rsidR="002A7BD6" w:rsidRPr="004E5B63" w:rsidRDefault="002A7BD6" w:rsidP="002A7BD6">
      <w:pPr>
        <w:rPr>
          <w:noProof/>
          <w:sz w:val="22"/>
          <w:szCs w:val="22"/>
          <w:lang w:val="sr-Latn-ME"/>
        </w:rPr>
      </w:pPr>
      <w:r w:rsidRPr="004E5B63">
        <w:rPr>
          <w:noProof/>
          <w:sz w:val="22"/>
          <w:szCs w:val="22"/>
          <w:lang w:val="sr-Latn-ME"/>
        </w:rPr>
        <w:t>Studije toksičnosti, genotoksičnosti, kancerogenosti i reproduktivne toksičnosti akutne i ponovljene doze na životinjama nisu pokazale specifičan bezbjednosni uticaj kod ljudi.</w:t>
      </w:r>
    </w:p>
    <w:p w14:paraId="6586B239" w14:textId="77777777" w:rsidR="002A7BD6" w:rsidRPr="004E5B63" w:rsidRDefault="002A7BD6" w:rsidP="002A7BD6">
      <w:pPr>
        <w:ind w:left="60"/>
        <w:rPr>
          <w:noProof/>
          <w:sz w:val="22"/>
          <w:szCs w:val="22"/>
          <w:lang w:val="sr-Latn-ME"/>
        </w:rPr>
      </w:pPr>
    </w:p>
    <w:p w14:paraId="7B7032F5" w14:textId="77777777" w:rsidR="002A7BD6" w:rsidRPr="004E5B63" w:rsidRDefault="002A7BD6" w:rsidP="002A7BD6">
      <w:pPr>
        <w:rPr>
          <w:noProof/>
          <w:sz w:val="22"/>
          <w:szCs w:val="22"/>
          <w:lang w:val="sr-Latn-ME"/>
        </w:rPr>
      </w:pPr>
      <w:r w:rsidRPr="004E5B63">
        <w:rPr>
          <w:noProof/>
          <w:sz w:val="22"/>
          <w:szCs w:val="22"/>
          <w:lang w:val="sr-Latn-ME"/>
        </w:rPr>
        <w:t>Studije reproduktivnosti na životinjama nisu pokazale dokaze teratogenosti, embrio/fetalne ili druge efekte oktreotida na reproduktivnost pri parenetalnim dozama do 1mg/kg/dan. Izvjesno usporavanje fiziološkog rasta zapaženo kod potomaka pacova bilo je prolazno, a pripisuje se inhibiciji hormona rasta (GH) do koje je došlo usljed izražene farmakodinamske aktivnosti (vidjeti odjeljak 4.6).</w:t>
      </w:r>
    </w:p>
    <w:p w14:paraId="1A5FE3AE" w14:textId="77777777" w:rsidR="002A7BD6" w:rsidRPr="004E5B63" w:rsidRDefault="002A7BD6" w:rsidP="002A7BD6">
      <w:pPr>
        <w:rPr>
          <w:noProof/>
          <w:sz w:val="22"/>
          <w:szCs w:val="22"/>
          <w:lang w:val="sr-Latn-ME"/>
        </w:rPr>
      </w:pPr>
    </w:p>
    <w:p w14:paraId="6BAE5BA8" w14:textId="77777777" w:rsidR="00836B35" w:rsidRPr="004E5B63" w:rsidRDefault="002A7BD6" w:rsidP="002A7BD6">
      <w:pPr>
        <w:tabs>
          <w:tab w:val="left" w:pos="540"/>
          <w:tab w:val="left" w:pos="569"/>
        </w:tabs>
        <w:rPr>
          <w:bCs/>
          <w:sz w:val="22"/>
          <w:szCs w:val="22"/>
          <w:lang w:val="sr-Latn-ME"/>
        </w:rPr>
      </w:pPr>
      <w:r w:rsidRPr="004E5B63">
        <w:rPr>
          <w:noProof/>
          <w:sz w:val="22"/>
          <w:szCs w:val="22"/>
          <w:lang w:val="sr-Latn-ME"/>
        </w:rPr>
        <w:t>Nisu sprovedene specifične studije na juvenilnim pacovima, U pre- i post-natalnim studijama razvoja, usporen rast i maturacija su zabilježeni kod F1 potomaka ispitivanih životinja kojima je dat oktreotid tokom cijelog perioda trudnoće i laktacije. Odloženo spuštanje testisa je zabilježeno kod muških F1 potomaka, dok je fertilnost kod izloženih mužjaka štenadi ostala nepromijenjena. Tako, gore navedena zapažanja su bila prolazna i pripisuju se inhibiciji hormona rasta (GH).</w:t>
      </w:r>
    </w:p>
    <w:p w14:paraId="1AFF26E2" w14:textId="10E54E8B" w:rsidR="00396DFD" w:rsidRPr="004E5B63" w:rsidRDefault="00396DFD" w:rsidP="00480FB1">
      <w:pPr>
        <w:tabs>
          <w:tab w:val="left" w:pos="540"/>
          <w:tab w:val="left" w:pos="569"/>
        </w:tabs>
        <w:rPr>
          <w:b/>
          <w:bCs/>
          <w:sz w:val="22"/>
          <w:szCs w:val="22"/>
          <w:lang w:val="sr-Latn-ME"/>
        </w:rPr>
      </w:pPr>
    </w:p>
    <w:p w14:paraId="27C96156" w14:textId="77777777" w:rsidR="00794741" w:rsidRPr="004E5B63" w:rsidRDefault="00794741" w:rsidP="00794741">
      <w:pPr>
        <w:tabs>
          <w:tab w:val="left" w:pos="540"/>
          <w:tab w:val="left" w:pos="569"/>
        </w:tabs>
        <w:rPr>
          <w:b/>
          <w:noProof/>
          <w:sz w:val="22"/>
          <w:szCs w:val="22"/>
          <w:u w:val="single"/>
          <w:lang w:val="sr-Latn-ME"/>
        </w:rPr>
      </w:pPr>
      <w:r w:rsidRPr="004E5B63">
        <w:rPr>
          <w:b/>
          <w:noProof/>
          <w:sz w:val="22"/>
          <w:szCs w:val="22"/>
          <w:u w:val="single"/>
          <w:lang w:val="sr-Latn-ME"/>
        </w:rPr>
        <w:t xml:space="preserve">Kancerogenost/hronična toksičnost </w:t>
      </w:r>
    </w:p>
    <w:p w14:paraId="73A7D597" w14:textId="77777777" w:rsidR="00794741" w:rsidRPr="004E5B63" w:rsidRDefault="00794741" w:rsidP="00794741">
      <w:pPr>
        <w:tabs>
          <w:tab w:val="left" w:pos="540"/>
          <w:tab w:val="left" w:pos="569"/>
        </w:tabs>
        <w:rPr>
          <w:b/>
          <w:noProof/>
          <w:sz w:val="22"/>
          <w:szCs w:val="22"/>
          <w:u w:val="single"/>
          <w:lang w:val="sr-Latn-ME"/>
        </w:rPr>
      </w:pPr>
    </w:p>
    <w:p w14:paraId="08B9E849" w14:textId="46AE1958" w:rsidR="00794741" w:rsidRPr="004E5B63" w:rsidRDefault="00794741" w:rsidP="00794741">
      <w:pPr>
        <w:tabs>
          <w:tab w:val="left" w:pos="540"/>
          <w:tab w:val="left" w:pos="569"/>
        </w:tabs>
        <w:rPr>
          <w:noProof/>
          <w:sz w:val="22"/>
          <w:szCs w:val="22"/>
          <w:lang w:val="sr-Latn-ME"/>
        </w:rPr>
      </w:pPr>
      <w:r w:rsidRPr="004E5B63">
        <w:rPr>
          <w:noProof/>
          <w:sz w:val="22"/>
          <w:szCs w:val="22"/>
          <w:lang w:val="sr-Latn-ME"/>
        </w:rPr>
        <w:t>Kod pacova, kod kojih je oktreotid acetat primjenjivan u dnevnim dozama do 1,25 mg/kg tjelesne mase, zapažena je pojava fibrosarkoma i to uglavnom kod većeg broja mužjaka, na mjestu davanja s.c. injekcija poslije 52, 104, i 113/116 nedjelja. Lokalni tumori javili su se i kod pacova u kontrolnoj grupi, ali se razvoj tih tumora pripisuje poremećenoj fibroplaziji koju izaziva konstantna iritacija na mjestu davanja injekcije, a koju dodatno pojačava kiseli nosač mliječne kiseline/manitola. Izgleda da se nespecifična reakcija tkiva javlja samo kod pacova. Neoplastične lezije nisu zapažene ni kod miševa koji su tokom 98 nedjelja svakodnevno dobijali s.c. injekcije oktreotida do 2 mg/kg, kao ni kod pasa tretiranih istim dnevnim s.c. dozama ovog lijeka u toku 52 nedjelje.</w:t>
      </w:r>
    </w:p>
    <w:p w14:paraId="03AA2CDF" w14:textId="77777777" w:rsidR="00DB7BE7" w:rsidRPr="004E5B63" w:rsidRDefault="00DB7BE7" w:rsidP="00794741">
      <w:pPr>
        <w:tabs>
          <w:tab w:val="left" w:pos="540"/>
          <w:tab w:val="left" w:pos="569"/>
        </w:tabs>
        <w:rPr>
          <w:noProof/>
          <w:sz w:val="22"/>
          <w:szCs w:val="22"/>
          <w:lang w:val="sr-Latn-ME"/>
        </w:rPr>
      </w:pPr>
    </w:p>
    <w:p w14:paraId="289E33E8" w14:textId="77777777" w:rsidR="00DB7BE7" w:rsidRPr="004E5B63" w:rsidRDefault="00DB7BE7" w:rsidP="00794741">
      <w:pPr>
        <w:tabs>
          <w:tab w:val="left" w:pos="540"/>
          <w:tab w:val="left" w:pos="569"/>
        </w:tabs>
        <w:rPr>
          <w:noProof/>
          <w:sz w:val="22"/>
          <w:szCs w:val="22"/>
          <w:lang w:val="sr-Latn-ME"/>
        </w:rPr>
      </w:pPr>
    </w:p>
    <w:p w14:paraId="458FF765" w14:textId="77777777" w:rsidR="00DB7BE7" w:rsidRPr="004E5B63" w:rsidRDefault="00DB7BE7" w:rsidP="00794741">
      <w:pPr>
        <w:tabs>
          <w:tab w:val="left" w:pos="540"/>
          <w:tab w:val="left" w:pos="569"/>
        </w:tabs>
        <w:rPr>
          <w:noProof/>
          <w:sz w:val="22"/>
          <w:szCs w:val="22"/>
          <w:lang w:val="sr-Latn-ME"/>
        </w:rPr>
      </w:pPr>
    </w:p>
    <w:p w14:paraId="200F28ED" w14:textId="6B36CE73" w:rsidR="003F1A0C" w:rsidRPr="004E5B63" w:rsidRDefault="003F1A0C" w:rsidP="00794741">
      <w:pPr>
        <w:tabs>
          <w:tab w:val="left" w:pos="540"/>
          <w:tab w:val="left" w:pos="569"/>
        </w:tabs>
        <w:rPr>
          <w:noProof/>
          <w:sz w:val="22"/>
          <w:szCs w:val="22"/>
          <w:lang w:val="sr-Latn-ME"/>
        </w:rPr>
      </w:pPr>
    </w:p>
    <w:p w14:paraId="309B0864" w14:textId="77777777" w:rsidR="003F1A0C" w:rsidRPr="004E5B63" w:rsidRDefault="003F1A0C" w:rsidP="00794741">
      <w:pPr>
        <w:tabs>
          <w:tab w:val="left" w:pos="540"/>
          <w:tab w:val="left" w:pos="569"/>
        </w:tabs>
        <w:rPr>
          <w:noProof/>
          <w:sz w:val="22"/>
          <w:szCs w:val="22"/>
          <w:lang w:val="sr-Latn-ME"/>
        </w:rPr>
      </w:pPr>
    </w:p>
    <w:p w14:paraId="4983607A" w14:textId="77777777" w:rsidR="0072020E" w:rsidRPr="004E5B63" w:rsidRDefault="0072020E" w:rsidP="00480FB1">
      <w:pPr>
        <w:tabs>
          <w:tab w:val="left" w:pos="540"/>
          <w:tab w:val="left" w:pos="569"/>
        </w:tabs>
        <w:rPr>
          <w:b/>
          <w:bCs/>
          <w:sz w:val="22"/>
          <w:szCs w:val="22"/>
          <w:lang w:val="sr-Latn-ME"/>
        </w:rPr>
      </w:pPr>
      <w:r w:rsidRPr="004E5B63">
        <w:rPr>
          <w:b/>
          <w:bCs/>
          <w:sz w:val="22"/>
          <w:szCs w:val="22"/>
          <w:lang w:val="sr-Latn-ME"/>
        </w:rPr>
        <w:lastRenderedPageBreak/>
        <w:t xml:space="preserve">6. </w:t>
      </w:r>
      <w:r w:rsidR="00480FB1" w:rsidRPr="004E5B63">
        <w:rPr>
          <w:b/>
          <w:bCs/>
          <w:sz w:val="22"/>
          <w:szCs w:val="22"/>
          <w:lang w:val="sr-Latn-ME"/>
        </w:rPr>
        <w:tab/>
      </w:r>
      <w:r w:rsidRPr="004E5B63">
        <w:rPr>
          <w:b/>
          <w:bCs/>
          <w:sz w:val="22"/>
          <w:szCs w:val="22"/>
          <w:lang w:val="sr-Latn-ME"/>
        </w:rPr>
        <w:t>FARMACEUTSKI PODACI</w:t>
      </w:r>
    </w:p>
    <w:p w14:paraId="501900E3" w14:textId="2A923B64" w:rsidR="00836B35" w:rsidRPr="004E5B63" w:rsidRDefault="00836B35" w:rsidP="00480FB1">
      <w:pPr>
        <w:tabs>
          <w:tab w:val="left" w:pos="540"/>
          <w:tab w:val="left" w:pos="569"/>
        </w:tabs>
        <w:rPr>
          <w:bCs/>
          <w:sz w:val="22"/>
          <w:szCs w:val="22"/>
          <w:lang w:val="sr-Latn-ME"/>
        </w:rPr>
      </w:pPr>
    </w:p>
    <w:p w14:paraId="46FD2F70" w14:textId="77777777" w:rsidR="003F1A0C" w:rsidRPr="004E5B63" w:rsidRDefault="003F1A0C" w:rsidP="00480FB1">
      <w:pPr>
        <w:tabs>
          <w:tab w:val="left" w:pos="540"/>
          <w:tab w:val="left" w:pos="569"/>
        </w:tabs>
        <w:rPr>
          <w:bCs/>
          <w:sz w:val="22"/>
          <w:szCs w:val="22"/>
          <w:lang w:val="sr-Latn-ME"/>
        </w:rPr>
      </w:pPr>
    </w:p>
    <w:p w14:paraId="6A43D2C3" w14:textId="77777777" w:rsidR="0072020E" w:rsidRPr="004E5B63" w:rsidRDefault="0072020E" w:rsidP="00480FB1">
      <w:pPr>
        <w:tabs>
          <w:tab w:val="left" w:pos="540"/>
          <w:tab w:val="left" w:pos="569"/>
        </w:tabs>
        <w:rPr>
          <w:b/>
          <w:bCs/>
          <w:sz w:val="22"/>
          <w:szCs w:val="22"/>
          <w:lang w:val="sr-Latn-ME"/>
        </w:rPr>
      </w:pPr>
      <w:r w:rsidRPr="004E5B63">
        <w:rPr>
          <w:b/>
          <w:bCs/>
          <w:sz w:val="22"/>
          <w:szCs w:val="22"/>
          <w:lang w:val="sr-Latn-ME"/>
        </w:rPr>
        <w:t xml:space="preserve">6.1. </w:t>
      </w:r>
      <w:r w:rsidR="00480FB1" w:rsidRPr="004E5B63">
        <w:rPr>
          <w:b/>
          <w:bCs/>
          <w:sz w:val="22"/>
          <w:szCs w:val="22"/>
          <w:lang w:val="sr-Latn-ME"/>
        </w:rPr>
        <w:tab/>
      </w:r>
      <w:r w:rsidRPr="004E5B63">
        <w:rPr>
          <w:b/>
          <w:bCs/>
          <w:sz w:val="22"/>
          <w:szCs w:val="22"/>
          <w:lang w:val="sr-Latn-ME"/>
        </w:rPr>
        <w:t>Lista pomoćnih supstanci</w:t>
      </w:r>
      <w:r w:rsidR="002E0135" w:rsidRPr="004E5B63">
        <w:rPr>
          <w:b/>
          <w:bCs/>
          <w:sz w:val="22"/>
          <w:szCs w:val="22"/>
          <w:lang w:val="sr-Latn-ME"/>
        </w:rPr>
        <w:t xml:space="preserve"> (ekscipijenasa)</w:t>
      </w:r>
    </w:p>
    <w:p w14:paraId="46F97BED" w14:textId="77777777" w:rsidR="002A7BD6" w:rsidRPr="004E5B63" w:rsidRDefault="002A7BD6" w:rsidP="002A7BD6">
      <w:pPr>
        <w:rPr>
          <w:b/>
          <w:noProof/>
          <w:sz w:val="22"/>
          <w:szCs w:val="22"/>
          <w:lang w:val="sr-Latn-ME"/>
        </w:rPr>
      </w:pPr>
    </w:p>
    <w:p w14:paraId="558F43E6" w14:textId="77777777" w:rsidR="002A7BD6" w:rsidRPr="004E5B63" w:rsidRDefault="002A7BD6" w:rsidP="009F2118">
      <w:pPr>
        <w:rPr>
          <w:sz w:val="22"/>
          <w:szCs w:val="22"/>
          <w:lang w:val="sr-Latn-ME"/>
        </w:rPr>
      </w:pPr>
      <w:r w:rsidRPr="004E5B63">
        <w:rPr>
          <w:sz w:val="22"/>
          <w:szCs w:val="22"/>
          <w:lang w:val="sr-Latn-ME"/>
        </w:rPr>
        <w:t xml:space="preserve">Mliječna kiselina, </w:t>
      </w:r>
    </w:p>
    <w:p w14:paraId="742C9FB3" w14:textId="77777777" w:rsidR="002A7BD6" w:rsidRPr="004E5B63" w:rsidRDefault="002A7BD6" w:rsidP="002A7BD6">
      <w:pPr>
        <w:pStyle w:val="BodyText"/>
        <w:jc w:val="both"/>
        <w:rPr>
          <w:sz w:val="22"/>
          <w:szCs w:val="22"/>
          <w:lang w:val="sr-Latn-ME"/>
        </w:rPr>
      </w:pPr>
      <w:r w:rsidRPr="004E5B63">
        <w:rPr>
          <w:sz w:val="22"/>
          <w:szCs w:val="22"/>
          <w:lang w:val="sr-Latn-ME"/>
        </w:rPr>
        <w:t>manitol,</w:t>
      </w:r>
    </w:p>
    <w:p w14:paraId="6EF78B5D" w14:textId="77777777" w:rsidR="002A7BD6" w:rsidRPr="004E5B63" w:rsidRDefault="002A7BD6" w:rsidP="002A7BD6">
      <w:pPr>
        <w:pStyle w:val="BodyText"/>
        <w:jc w:val="both"/>
        <w:rPr>
          <w:sz w:val="22"/>
          <w:szCs w:val="22"/>
          <w:lang w:val="sr-Latn-ME"/>
        </w:rPr>
      </w:pPr>
      <w:r w:rsidRPr="004E5B63">
        <w:rPr>
          <w:sz w:val="22"/>
          <w:szCs w:val="22"/>
          <w:lang w:val="sr-Latn-ME"/>
        </w:rPr>
        <w:t xml:space="preserve">natrijum hidrogenkarbonat, </w:t>
      </w:r>
    </w:p>
    <w:p w14:paraId="29AA5A02" w14:textId="77777777" w:rsidR="002A7BD6" w:rsidRPr="004E5B63" w:rsidRDefault="002A7BD6" w:rsidP="002A7BD6">
      <w:pPr>
        <w:pStyle w:val="BodyText"/>
        <w:jc w:val="both"/>
        <w:rPr>
          <w:sz w:val="22"/>
          <w:szCs w:val="22"/>
          <w:lang w:val="sr-Latn-ME"/>
        </w:rPr>
      </w:pPr>
      <w:r w:rsidRPr="004E5B63">
        <w:rPr>
          <w:sz w:val="22"/>
          <w:szCs w:val="22"/>
          <w:lang w:val="sr-Latn-ME"/>
        </w:rPr>
        <w:t>voda za injekcije.</w:t>
      </w:r>
    </w:p>
    <w:p w14:paraId="074BD5DF" w14:textId="77777777" w:rsidR="0072020E" w:rsidRPr="004E5B63" w:rsidRDefault="0072020E" w:rsidP="00480FB1">
      <w:pPr>
        <w:tabs>
          <w:tab w:val="left" w:pos="540"/>
          <w:tab w:val="left" w:pos="569"/>
        </w:tabs>
        <w:rPr>
          <w:bCs/>
          <w:sz w:val="22"/>
          <w:szCs w:val="22"/>
          <w:lang w:val="sr-Latn-ME"/>
        </w:rPr>
      </w:pPr>
    </w:p>
    <w:p w14:paraId="03588902" w14:textId="029A7BEE" w:rsidR="0072020E" w:rsidRPr="004E5B63" w:rsidRDefault="0072020E" w:rsidP="00480FB1">
      <w:pPr>
        <w:tabs>
          <w:tab w:val="left" w:pos="540"/>
          <w:tab w:val="left" w:pos="569"/>
        </w:tabs>
        <w:rPr>
          <w:b/>
          <w:bCs/>
          <w:sz w:val="22"/>
          <w:szCs w:val="22"/>
          <w:lang w:val="sr-Latn-ME"/>
        </w:rPr>
      </w:pPr>
      <w:r w:rsidRPr="004E5B63">
        <w:rPr>
          <w:b/>
          <w:bCs/>
          <w:sz w:val="22"/>
          <w:szCs w:val="22"/>
          <w:lang w:val="sr-Latn-ME"/>
        </w:rPr>
        <w:t xml:space="preserve">6.2. </w:t>
      </w:r>
      <w:r w:rsidR="00480FB1" w:rsidRPr="004E5B63">
        <w:rPr>
          <w:b/>
          <w:bCs/>
          <w:sz w:val="22"/>
          <w:szCs w:val="22"/>
          <w:lang w:val="sr-Latn-ME"/>
        </w:rPr>
        <w:tab/>
      </w:r>
      <w:r w:rsidRPr="004E5B63">
        <w:rPr>
          <w:b/>
          <w:bCs/>
          <w:sz w:val="22"/>
          <w:szCs w:val="22"/>
          <w:lang w:val="sr-Latn-ME"/>
        </w:rPr>
        <w:t>Inkompatibilnost</w:t>
      </w:r>
      <w:r w:rsidR="002846DB" w:rsidRPr="004E5B63">
        <w:rPr>
          <w:b/>
          <w:bCs/>
          <w:sz w:val="22"/>
          <w:szCs w:val="22"/>
          <w:lang w:val="sr-Latn-ME"/>
        </w:rPr>
        <w:t>i</w:t>
      </w:r>
    </w:p>
    <w:p w14:paraId="7B90FA47" w14:textId="77777777" w:rsidR="00B13BDE" w:rsidRPr="004E5B63" w:rsidRDefault="00B13BDE" w:rsidP="00480FB1">
      <w:pPr>
        <w:tabs>
          <w:tab w:val="left" w:pos="540"/>
          <w:tab w:val="left" w:pos="569"/>
        </w:tabs>
        <w:rPr>
          <w:b/>
          <w:bCs/>
          <w:sz w:val="22"/>
          <w:szCs w:val="22"/>
          <w:lang w:val="sr-Latn-ME"/>
        </w:rPr>
      </w:pPr>
    </w:p>
    <w:p w14:paraId="768CBFA8" w14:textId="21D6483A" w:rsidR="002A7BD6" w:rsidRPr="004E5B63" w:rsidRDefault="002A7BD6" w:rsidP="002A7BD6">
      <w:pPr>
        <w:pStyle w:val="Header"/>
        <w:tabs>
          <w:tab w:val="left" w:pos="284"/>
        </w:tabs>
        <w:rPr>
          <w:noProof/>
          <w:sz w:val="22"/>
          <w:szCs w:val="22"/>
          <w:lang w:val="sr-Latn-ME"/>
        </w:rPr>
      </w:pPr>
      <w:r w:rsidRPr="004E5B63">
        <w:rPr>
          <w:noProof/>
          <w:sz w:val="22"/>
          <w:szCs w:val="22"/>
          <w:lang w:val="sr-Latn-ME"/>
        </w:rPr>
        <w:t xml:space="preserve">Lijek se ne smije miješati sa drugim ljekovima osim sa onima </w:t>
      </w:r>
      <w:r w:rsidR="00711B1B" w:rsidRPr="004E5B63">
        <w:rPr>
          <w:noProof/>
          <w:sz w:val="22"/>
          <w:szCs w:val="22"/>
          <w:lang w:val="sr-Latn-ME"/>
        </w:rPr>
        <w:t xml:space="preserve">koji su </w:t>
      </w:r>
      <w:r w:rsidRPr="004E5B63">
        <w:rPr>
          <w:noProof/>
          <w:sz w:val="22"/>
          <w:szCs w:val="22"/>
          <w:lang w:val="sr-Latn-ME"/>
        </w:rPr>
        <w:t xml:space="preserve">navedeni u </w:t>
      </w:r>
      <w:r w:rsidR="00711B1B" w:rsidRPr="004E5B63">
        <w:rPr>
          <w:noProof/>
          <w:sz w:val="22"/>
          <w:szCs w:val="22"/>
          <w:lang w:val="sr-Latn-ME"/>
        </w:rPr>
        <w:t>dijel</w:t>
      </w:r>
      <w:r w:rsidRPr="004E5B63">
        <w:rPr>
          <w:noProof/>
          <w:sz w:val="22"/>
          <w:szCs w:val="22"/>
          <w:lang w:val="sr-Latn-ME"/>
        </w:rPr>
        <w:t xml:space="preserve">u 6.6. </w:t>
      </w:r>
    </w:p>
    <w:p w14:paraId="77DC94C5" w14:textId="18F068AC" w:rsidR="00B13BDE" w:rsidRPr="004E5B63" w:rsidRDefault="00B13BDE" w:rsidP="002A7BD6">
      <w:pPr>
        <w:pStyle w:val="Header"/>
        <w:tabs>
          <w:tab w:val="left" w:pos="284"/>
        </w:tabs>
        <w:rPr>
          <w:sz w:val="22"/>
          <w:szCs w:val="22"/>
          <w:lang w:val="sr-Latn-ME"/>
        </w:rPr>
      </w:pPr>
      <w:r w:rsidRPr="004E5B63">
        <w:rPr>
          <w:sz w:val="22"/>
          <w:szCs w:val="22"/>
          <w:lang w:val="sr-Latn-ME"/>
        </w:rPr>
        <w:t>Oktreotid acetat nije stabilan u rastvorima za totalnu parenteralnu ishranu.</w:t>
      </w:r>
    </w:p>
    <w:p w14:paraId="10A17723" w14:textId="53479B92" w:rsidR="0072020E" w:rsidRPr="004E5B63" w:rsidRDefault="002A7BD6" w:rsidP="002A7BD6">
      <w:pPr>
        <w:pStyle w:val="Header"/>
        <w:tabs>
          <w:tab w:val="left" w:pos="284"/>
        </w:tabs>
        <w:rPr>
          <w:noProof/>
          <w:sz w:val="22"/>
          <w:szCs w:val="22"/>
          <w:lang w:val="sr-Latn-ME"/>
        </w:rPr>
      </w:pPr>
      <w:r w:rsidRPr="004E5B63">
        <w:rPr>
          <w:noProof/>
          <w:sz w:val="22"/>
          <w:szCs w:val="22"/>
          <w:lang w:val="sr-Latn-ME"/>
        </w:rPr>
        <w:t xml:space="preserve"> </w:t>
      </w:r>
    </w:p>
    <w:p w14:paraId="26CA869D" w14:textId="77777777" w:rsidR="0072020E" w:rsidRPr="004E5B63" w:rsidRDefault="0072020E" w:rsidP="00480FB1">
      <w:pPr>
        <w:tabs>
          <w:tab w:val="left" w:pos="540"/>
          <w:tab w:val="left" w:pos="569"/>
        </w:tabs>
        <w:rPr>
          <w:b/>
          <w:bCs/>
          <w:sz w:val="22"/>
          <w:szCs w:val="22"/>
          <w:lang w:val="sr-Latn-ME"/>
        </w:rPr>
      </w:pPr>
      <w:r w:rsidRPr="004E5B63">
        <w:rPr>
          <w:b/>
          <w:bCs/>
          <w:sz w:val="22"/>
          <w:szCs w:val="22"/>
          <w:lang w:val="sr-Latn-ME"/>
        </w:rPr>
        <w:t>6.3.</w:t>
      </w:r>
      <w:r w:rsidR="00C05DF8" w:rsidRPr="004E5B63">
        <w:rPr>
          <w:b/>
          <w:bCs/>
          <w:sz w:val="22"/>
          <w:szCs w:val="22"/>
          <w:lang w:val="sr-Latn-ME"/>
        </w:rPr>
        <w:t xml:space="preserve"> </w:t>
      </w:r>
      <w:r w:rsidR="00480FB1" w:rsidRPr="004E5B63">
        <w:rPr>
          <w:b/>
          <w:bCs/>
          <w:sz w:val="22"/>
          <w:szCs w:val="22"/>
          <w:lang w:val="sr-Latn-ME"/>
        </w:rPr>
        <w:tab/>
      </w:r>
      <w:r w:rsidRPr="004E5B63">
        <w:rPr>
          <w:b/>
          <w:bCs/>
          <w:sz w:val="22"/>
          <w:szCs w:val="22"/>
          <w:lang w:val="sr-Latn-ME"/>
        </w:rPr>
        <w:t>Rok upotrebe</w:t>
      </w:r>
    </w:p>
    <w:p w14:paraId="2CEEC402" w14:textId="77777777" w:rsidR="00B13BDE" w:rsidRPr="004E5B63" w:rsidRDefault="00B13BDE" w:rsidP="002A7BD6">
      <w:pPr>
        <w:rPr>
          <w:noProof/>
          <w:sz w:val="22"/>
          <w:szCs w:val="22"/>
          <w:lang w:val="sr-Latn-ME"/>
        </w:rPr>
      </w:pPr>
    </w:p>
    <w:p w14:paraId="429AF8D8" w14:textId="2865F2F7" w:rsidR="002A7BD6" w:rsidRPr="004E5B63" w:rsidRDefault="002A7BD6" w:rsidP="002A7BD6">
      <w:pPr>
        <w:rPr>
          <w:noProof/>
          <w:sz w:val="22"/>
          <w:szCs w:val="22"/>
          <w:lang w:val="sr-Latn-ME"/>
        </w:rPr>
      </w:pPr>
      <w:r w:rsidRPr="004E5B63">
        <w:rPr>
          <w:noProof/>
          <w:sz w:val="22"/>
          <w:szCs w:val="22"/>
          <w:lang w:val="sr-Latn-ME"/>
        </w:rPr>
        <w:t>3 godine</w:t>
      </w:r>
      <w:r w:rsidR="00B13BDE" w:rsidRPr="004E5B63">
        <w:rPr>
          <w:noProof/>
          <w:sz w:val="22"/>
          <w:szCs w:val="22"/>
          <w:lang w:val="sr-Latn-ME"/>
        </w:rPr>
        <w:t>.</w:t>
      </w:r>
    </w:p>
    <w:p w14:paraId="4E495F11" w14:textId="77777777" w:rsidR="002A7BD6" w:rsidRPr="004E5B63" w:rsidRDefault="002A7BD6" w:rsidP="002A7BD6">
      <w:pPr>
        <w:rPr>
          <w:noProof/>
          <w:sz w:val="22"/>
          <w:szCs w:val="22"/>
          <w:lang w:val="sr-Latn-ME"/>
        </w:rPr>
      </w:pPr>
    </w:p>
    <w:p w14:paraId="6FD0FEE4" w14:textId="3592ACE8" w:rsidR="0072020E" w:rsidRPr="004E5B63" w:rsidRDefault="00B13BDE" w:rsidP="002A7BD6">
      <w:pPr>
        <w:tabs>
          <w:tab w:val="left" w:pos="540"/>
          <w:tab w:val="left" w:pos="569"/>
        </w:tabs>
        <w:rPr>
          <w:sz w:val="22"/>
          <w:szCs w:val="22"/>
          <w:lang w:val="sr-Latn-ME"/>
        </w:rPr>
      </w:pPr>
      <w:r w:rsidRPr="004E5B63">
        <w:rPr>
          <w:sz w:val="22"/>
          <w:szCs w:val="22"/>
          <w:lang w:val="sr-Latn-ME"/>
        </w:rPr>
        <w:t>Rok upotrebe nakon prvog otvaranja/razblaživanja lijeka:</w:t>
      </w:r>
      <w:r w:rsidR="002A7BD6" w:rsidRPr="004E5B63">
        <w:rPr>
          <w:sz w:val="22"/>
          <w:szCs w:val="22"/>
          <w:lang w:val="sr-Latn-ME"/>
        </w:rPr>
        <w:t xml:space="preserve"> upotrijebiti odmah.</w:t>
      </w:r>
    </w:p>
    <w:p w14:paraId="3FCF6A5D" w14:textId="77777777" w:rsidR="002A7BD6" w:rsidRPr="004E5B63" w:rsidRDefault="002A7BD6" w:rsidP="002A7BD6">
      <w:pPr>
        <w:tabs>
          <w:tab w:val="left" w:pos="540"/>
          <w:tab w:val="left" w:pos="569"/>
        </w:tabs>
        <w:rPr>
          <w:bCs/>
          <w:sz w:val="22"/>
          <w:szCs w:val="22"/>
          <w:lang w:val="sr-Latn-ME"/>
        </w:rPr>
      </w:pPr>
    </w:p>
    <w:p w14:paraId="13303D3E" w14:textId="77777777" w:rsidR="0072020E" w:rsidRPr="004E5B63" w:rsidRDefault="0072020E" w:rsidP="00480FB1">
      <w:pPr>
        <w:tabs>
          <w:tab w:val="left" w:pos="540"/>
          <w:tab w:val="left" w:pos="569"/>
        </w:tabs>
        <w:rPr>
          <w:b/>
          <w:bCs/>
          <w:sz w:val="22"/>
          <w:szCs w:val="22"/>
          <w:lang w:val="sr-Latn-ME"/>
        </w:rPr>
      </w:pPr>
      <w:r w:rsidRPr="004E5B63">
        <w:rPr>
          <w:b/>
          <w:bCs/>
          <w:sz w:val="22"/>
          <w:szCs w:val="22"/>
          <w:lang w:val="sr-Latn-ME"/>
        </w:rPr>
        <w:t xml:space="preserve">6.4. </w:t>
      </w:r>
      <w:r w:rsidR="00480FB1" w:rsidRPr="004E5B63">
        <w:rPr>
          <w:b/>
          <w:bCs/>
          <w:sz w:val="22"/>
          <w:szCs w:val="22"/>
          <w:lang w:val="sr-Latn-ME"/>
        </w:rPr>
        <w:tab/>
      </w:r>
      <w:r w:rsidRPr="004E5B63">
        <w:rPr>
          <w:b/>
          <w:bCs/>
          <w:sz w:val="22"/>
          <w:szCs w:val="22"/>
          <w:lang w:val="sr-Latn-ME"/>
        </w:rPr>
        <w:t>Posebne mjere upozorenja pri čuvanju</w:t>
      </w:r>
      <w:r w:rsidR="00F8570A" w:rsidRPr="004E5B63">
        <w:rPr>
          <w:b/>
          <w:bCs/>
          <w:sz w:val="22"/>
          <w:szCs w:val="22"/>
          <w:lang w:val="sr-Latn-ME"/>
        </w:rPr>
        <w:t xml:space="preserve"> lijeka</w:t>
      </w:r>
    </w:p>
    <w:p w14:paraId="3CAA23A1" w14:textId="77777777" w:rsidR="002A7BD6" w:rsidRPr="004E5B63" w:rsidRDefault="002A7BD6" w:rsidP="002A7BD6">
      <w:pPr>
        <w:rPr>
          <w:noProof/>
          <w:color w:val="000000"/>
          <w:sz w:val="22"/>
          <w:szCs w:val="22"/>
          <w:lang w:val="sr-Latn-ME"/>
        </w:rPr>
      </w:pPr>
    </w:p>
    <w:p w14:paraId="2F88C90C" w14:textId="77777777" w:rsidR="00B13BDE" w:rsidRPr="004E5B63" w:rsidRDefault="00B13BDE" w:rsidP="00B13BDE">
      <w:pPr>
        <w:rPr>
          <w:noProof/>
          <w:color w:val="000000"/>
          <w:sz w:val="22"/>
          <w:szCs w:val="22"/>
          <w:lang w:val="sr-Latn-ME"/>
        </w:rPr>
      </w:pPr>
      <w:r w:rsidRPr="004E5B63">
        <w:rPr>
          <w:noProof/>
          <w:color w:val="000000"/>
          <w:sz w:val="22"/>
          <w:szCs w:val="22"/>
          <w:lang w:val="sr-Latn-ME"/>
        </w:rPr>
        <w:t>Čuvati u originalnom pakovanju, radi zaštite od svjetlosti.</w:t>
      </w:r>
    </w:p>
    <w:p w14:paraId="3EC83113" w14:textId="1F1C5AE2" w:rsidR="00B13BDE" w:rsidRPr="004E5B63" w:rsidRDefault="00B13BDE" w:rsidP="00B13BDE">
      <w:pPr>
        <w:rPr>
          <w:noProof/>
          <w:sz w:val="22"/>
          <w:szCs w:val="22"/>
          <w:lang w:val="sr-Latn-ME"/>
        </w:rPr>
      </w:pPr>
      <w:r w:rsidRPr="004E5B63">
        <w:rPr>
          <w:noProof/>
          <w:sz w:val="22"/>
          <w:szCs w:val="22"/>
          <w:lang w:val="sr-Latn-ME"/>
        </w:rPr>
        <w:t>Čuva</w:t>
      </w:r>
      <w:r w:rsidR="002A7BD6" w:rsidRPr="004E5B63">
        <w:rPr>
          <w:noProof/>
          <w:sz w:val="22"/>
          <w:szCs w:val="22"/>
          <w:lang w:val="sr-Latn-ME"/>
        </w:rPr>
        <w:t>ti u frižideru na temperaturi od 2</w:t>
      </w:r>
      <w:r w:rsidRPr="004E5B63">
        <w:rPr>
          <w:noProof/>
          <w:sz w:val="22"/>
          <w:szCs w:val="22"/>
          <w:lang w:val="sr-Latn-ME"/>
        </w:rPr>
        <w:t xml:space="preserve"> </w:t>
      </w:r>
      <w:r w:rsidR="002A7BD6" w:rsidRPr="004E5B63">
        <w:rPr>
          <w:noProof/>
          <w:sz w:val="22"/>
          <w:szCs w:val="22"/>
          <w:lang w:val="sr-Latn-ME"/>
        </w:rPr>
        <w:t>-</w:t>
      </w:r>
      <w:r w:rsidRPr="004E5B63">
        <w:rPr>
          <w:noProof/>
          <w:sz w:val="22"/>
          <w:szCs w:val="22"/>
          <w:lang w:val="sr-Latn-ME"/>
        </w:rPr>
        <w:t xml:space="preserve"> </w:t>
      </w:r>
      <w:r w:rsidR="002A7BD6" w:rsidRPr="004E5B63">
        <w:rPr>
          <w:noProof/>
          <w:sz w:val="22"/>
          <w:szCs w:val="22"/>
          <w:lang w:val="sr-Latn-ME"/>
        </w:rPr>
        <w:t>8°C.</w:t>
      </w:r>
      <w:r w:rsidRPr="004E5B63">
        <w:rPr>
          <w:noProof/>
          <w:sz w:val="22"/>
          <w:szCs w:val="22"/>
          <w:lang w:val="sr-Latn-ME"/>
        </w:rPr>
        <w:t xml:space="preserve"> Ne zamrzavati.</w:t>
      </w:r>
    </w:p>
    <w:p w14:paraId="52A94A18" w14:textId="415002A5" w:rsidR="002A7BD6" w:rsidRPr="004E5B63" w:rsidRDefault="00B13BDE" w:rsidP="002A7BD6">
      <w:pPr>
        <w:rPr>
          <w:noProof/>
          <w:sz w:val="22"/>
          <w:szCs w:val="22"/>
          <w:lang w:val="sr-Latn-ME"/>
        </w:rPr>
      </w:pPr>
      <w:r w:rsidRPr="004E5B63">
        <w:rPr>
          <w:noProof/>
          <w:sz w:val="22"/>
          <w:szCs w:val="22"/>
          <w:lang w:val="sr-Latn-ME"/>
        </w:rPr>
        <w:t>Lijek se može čuvati najduže</w:t>
      </w:r>
      <w:r w:rsidR="002A7BD6" w:rsidRPr="004E5B63">
        <w:rPr>
          <w:noProof/>
          <w:sz w:val="22"/>
          <w:szCs w:val="22"/>
          <w:lang w:val="sr-Latn-ME"/>
        </w:rPr>
        <w:t xml:space="preserve"> 2 nedjelje na temperaturi do 30°C. </w:t>
      </w:r>
    </w:p>
    <w:p w14:paraId="3856DAA9" w14:textId="607A2464" w:rsidR="00B13BDE" w:rsidRPr="004E5B63" w:rsidRDefault="00B13BDE" w:rsidP="002A7BD6">
      <w:pPr>
        <w:rPr>
          <w:noProof/>
          <w:sz w:val="22"/>
          <w:szCs w:val="22"/>
          <w:lang w:val="sr-Latn-ME"/>
        </w:rPr>
      </w:pPr>
    </w:p>
    <w:p w14:paraId="48D2EB5E" w14:textId="6D9CCC34" w:rsidR="00B13BDE" w:rsidRPr="004E5B63" w:rsidRDefault="00B13BDE" w:rsidP="002A7BD6">
      <w:pPr>
        <w:rPr>
          <w:noProof/>
          <w:sz w:val="22"/>
          <w:szCs w:val="22"/>
          <w:lang w:val="sr-Latn-ME"/>
        </w:rPr>
      </w:pPr>
      <w:r w:rsidRPr="004E5B63">
        <w:rPr>
          <w:noProof/>
          <w:sz w:val="22"/>
          <w:szCs w:val="22"/>
          <w:lang w:val="sr-Latn-ME"/>
        </w:rPr>
        <w:t>Za uslove čuvanja nakon prvog otvaranja/razblaživanja leka, vid</w:t>
      </w:r>
      <w:r w:rsidR="00F62A3D" w:rsidRPr="004E5B63">
        <w:rPr>
          <w:noProof/>
          <w:sz w:val="22"/>
          <w:szCs w:val="22"/>
          <w:lang w:val="sr-Latn-ME"/>
        </w:rPr>
        <w:t>j</w:t>
      </w:r>
      <w:r w:rsidRPr="004E5B63">
        <w:rPr>
          <w:noProof/>
          <w:sz w:val="22"/>
          <w:szCs w:val="22"/>
          <w:lang w:val="sr-Latn-ME"/>
        </w:rPr>
        <w:t>eti dio 6.3.</w:t>
      </w:r>
    </w:p>
    <w:p w14:paraId="6CA0E698" w14:textId="77777777" w:rsidR="00EC2532" w:rsidRPr="004E5B63" w:rsidRDefault="00EC2532" w:rsidP="00480FB1">
      <w:pPr>
        <w:tabs>
          <w:tab w:val="left" w:pos="540"/>
          <w:tab w:val="left" w:pos="569"/>
        </w:tabs>
        <w:rPr>
          <w:bCs/>
          <w:sz w:val="22"/>
          <w:szCs w:val="22"/>
          <w:lang w:val="sr-Latn-ME"/>
        </w:rPr>
      </w:pPr>
    </w:p>
    <w:p w14:paraId="73BB4E26" w14:textId="24201FD2" w:rsidR="0072020E" w:rsidRPr="004E5B63" w:rsidRDefault="0072020E" w:rsidP="00480FB1">
      <w:pPr>
        <w:tabs>
          <w:tab w:val="left" w:pos="540"/>
          <w:tab w:val="left" w:pos="569"/>
        </w:tabs>
        <w:rPr>
          <w:b/>
          <w:bCs/>
          <w:sz w:val="22"/>
          <w:szCs w:val="22"/>
          <w:lang w:val="sr-Latn-ME"/>
        </w:rPr>
      </w:pPr>
      <w:r w:rsidRPr="004E5B63">
        <w:rPr>
          <w:b/>
          <w:bCs/>
          <w:sz w:val="22"/>
          <w:szCs w:val="22"/>
          <w:lang w:val="sr-Latn-ME"/>
        </w:rPr>
        <w:t xml:space="preserve">6.5. </w:t>
      </w:r>
      <w:r w:rsidR="00480FB1" w:rsidRPr="004E5B63">
        <w:rPr>
          <w:b/>
          <w:bCs/>
          <w:sz w:val="22"/>
          <w:szCs w:val="22"/>
          <w:lang w:val="sr-Latn-ME"/>
        </w:rPr>
        <w:tab/>
      </w:r>
      <w:r w:rsidR="002846DB" w:rsidRPr="004E5B63">
        <w:rPr>
          <w:b/>
          <w:bCs/>
          <w:sz w:val="22"/>
          <w:szCs w:val="22"/>
          <w:lang w:val="sr-Latn-ME"/>
        </w:rPr>
        <w:t xml:space="preserve">Vrsta i sadržaj </w:t>
      </w:r>
      <w:r w:rsidR="00F8570A" w:rsidRPr="004E5B63">
        <w:rPr>
          <w:b/>
          <w:bCs/>
          <w:sz w:val="22"/>
          <w:szCs w:val="22"/>
          <w:lang w:val="sr-Latn-ME"/>
        </w:rPr>
        <w:t>pakovanja</w:t>
      </w:r>
      <w:r w:rsidR="00C06864" w:rsidRPr="004E5B63">
        <w:rPr>
          <w:b/>
          <w:bCs/>
          <w:sz w:val="22"/>
          <w:szCs w:val="22"/>
          <w:lang w:val="sr-Latn-ME"/>
        </w:rPr>
        <w:t xml:space="preserve"> </w:t>
      </w:r>
    </w:p>
    <w:p w14:paraId="7F716EC3" w14:textId="77777777" w:rsidR="00B13BDE" w:rsidRPr="004E5B63" w:rsidRDefault="00B13BDE" w:rsidP="00480FB1">
      <w:pPr>
        <w:tabs>
          <w:tab w:val="left" w:pos="540"/>
          <w:tab w:val="left" w:pos="569"/>
        </w:tabs>
        <w:rPr>
          <w:b/>
          <w:bCs/>
          <w:sz w:val="22"/>
          <w:szCs w:val="22"/>
          <w:lang w:val="sr-Latn-ME"/>
        </w:rPr>
      </w:pPr>
    </w:p>
    <w:p w14:paraId="5C73A91C" w14:textId="5A80BA58" w:rsidR="00B13BDE" w:rsidRPr="004E5B63" w:rsidRDefault="00B13BDE" w:rsidP="00B13BDE">
      <w:pPr>
        <w:tabs>
          <w:tab w:val="left" w:pos="540"/>
          <w:tab w:val="left" w:pos="569"/>
        </w:tabs>
        <w:rPr>
          <w:noProof/>
          <w:color w:val="000000"/>
          <w:sz w:val="22"/>
          <w:szCs w:val="22"/>
          <w:lang w:val="sr-Latn-ME"/>
        </w:rPr>
      </w:pPr>
      <w:r w:rsidRPr="004E5B63">
        <w:rPr>
          <w:noProof/>
          <w:color w:val="000000"/>
          <w:sz w:val="22"/>
          <w:szCs w:val="22"/>
          <w:lang w:val="sr-Latn-ME"/>
        </w:rPr>
        <w:t>Unutrašnje pakovanje lijeka je ampula od bezbojnog borsilikatnog stakla hidrolitičke otpornosti tip I, sa jednom tačkom za prelom (one point-cut) i oznakom u vidu jednog prstena zelene boje i jednog prstena plave boje.</w:t>
      </w:r>
    </w:p>
    <w:p w14:paraId="015F8AA0" w14:textId="3FC90715" w:rsidR="00B13BDE" w:rsidRPr="004E5B63" w:rsidRDefault="00B13BDE" w:rsidP="002A7BD6">
      <w:pPr>
        <w:tabs>
          <w:tab w:val="left" w:pos="540"/>
          <w:tab w:val="left" w:pos="569"/>
        </w:tabs>
        <w:rPr>
          <w:noProof/>
          <w:color w:val="000000"/>
          <w:sz w:val="22"/>
          <w:szCs w:val="22"/>
          <w:lang w:val="sr-Latn-ME"/>
        </w:rPr>
      </w:pPr>
      <w:r w:rsidRPr="004E5B63">
        <w:rPr>
          <w:noProof/>
          <w:color w:val="000000"/>
          <w:sz w:val="22"/>
          <w:szCs w:val="22"/>
          <w:lang w:val="sr-Latn-ME"/>
        </w:rPr>
        <w:t>Spoljašnje pakovanje lijeka je složiva kartonska kutija u kojoj se nalazi 5 ampula sa po 1 ml rastvora za injekciju/infuziju i Uputstvo za lijek. Ampule su smještene u neobilježeni kartonski uložak koji je neodvojiv od složive kartonske kutije.</w:t>
      </w:r>
    </w:p>
    <w:p w14:paraId="083B96C6" w14:textId="77777777" w:rsidR="002A7BD6" w:rsidRPr="004E5B63" w:rsidRDefault="002A7BD6" w:rsidP="002A7BD6">
      <w:pPr>
        <w:tabs>
          <w:tab w:val="left" w:pos="540"/>
          <w:tab w:val="left" w:pos="569"/>
        </w:tabs>
        <w:rPr>
          <w:bCs/>
          <w:sz w:val="22"/>
          <w:szCs w:val="22"/>
          <w:lang w:val="sr-Latn-ME"/>
        </w:rPr>
      </w:pPr>
    </w:p>
    <w:p w14:paraId="7113CF3E" w14:textId="77777777" w:rsidR="002846DB" w:rsidRPr="004E5B63" w:rsidRDefault="0072020E" w:rsidP="00480FB1">
      <w:pPr>
        <w:tabs>
          <w:tab w:val="left" w:pos="540"/>
          <w:tab w:val="left" w:pos="569"/>
        </w:tabs>
        <w:rPr>
          <w:b/>
          <w:bCs/>
          <w:sz w:val="22"/>
          <w:szCs w:val="22"/>
          <w:lang w:val="sr-Latn-ME"/>
        </w:rPr>
      </w:pPr>
      <w:r w:rsidRPr="004E5B63">
        <w:rPr>
          <w:b/>
          <w:bCs/>
          <w:sz w:val="22"/>
          <w:szCs w:val="22"/>
          <w:lang w:val="sr-Latn-ME"/>
        </w:rPr>
        <w:t xml:space="preserve">6.6. </w:t>
      </w:r>
      <w:r w:rsidR="00480FB1" w:rsidRPr="004E5B63">
        <w:rPr>
          <w:b/>
          <w:bCs/>
          <w:sz w:val="22"/>
          <w:szCs w:val="22"/>
          <w:lang w:val="sr-Latn-ME"/>
        </w:rPr>
        <w:tab/>
      </w:r>
      <w:r w:rsidRPr="004E5B63">
        <w:rPr>
          <w:b/>
          <w:bCs/>
          <w:color w:val="000000"/>
          <w:sz w:val="22"/>
          <w:szCs w:val="22"/>
          <w:lang w:val="sr-Latn-ME"/>
        </w:rPr>
        <w:t>Posebne mjere opreza pri odlaganju materijala koji treba odbaciti nakon primjene lijeka</w:t>
      </w:r>
      <w:r w:rsidRPr="004E5B63">
        <w:rPr>
          <w:b/>
          <w:bCs/>
          <w:sz w:val="22"/>
          <w:szCs w:val="22"/>
          <w:lang w:val="sr-Latn-ME"/>
        </w:rPr>
        <w:t xml:space="preserve"> </w:t>
      </w:r>
      <w:r w:rsidR="00310F03" w:rsidRPr="004E5B63">
        <w:rPr>
          <w:b/>
          <w:bCs/>
          <w:sz w:val="22"/>
          <w:szCs w:val="22"/>
          <w:lang w:val="sr-Latn-ME"/>
        </w:rPr>
        <w:t xml:space="preserve">(i druga uputsva za rukovanje lijekom) </w:t>
      </w:r>
    </w:p>
    <w:p w14:paraId="200268E6" w14:textId="77777777" w:rsidR="00F321F5" w:rsidRPr="004E5B63" w:rsidRDefault="00F321F5" w:rsidP="00480FB1">
      <w:pPr>
        <w:tabs>
          <w:tab w:val="left" w:pos="540"/>
          <w:tab w:val="left" w:pos="569"/>
        </w:tabs>
        <w:rPr>
          <w:sz w:val="22"/>
          <w:szCs w:val="22"/>
          <w:lang w:val="sr-Latn-ME"/>
        </w:rPr>
      </w:pPr>
    </w:p>
    <w:p w14:paraId="177EFE46" w14:textId="513373C2" w:rsidR="00B66A70" w:rsidRPr="004E5B63" w:rsidRDefault="00F321F5" w:rsidP="00480FB1">
      <w:pPr>
        <w:tabs>
          <w:tab w:val="left" w:pos="540"/>
          <w:tab w:val="left" w:pos="569"/>
        </w:tabs>
        <w:rPr>
          <w:b/>
          <w:bCs/>
          <w:sz w:val="22"/>
          <w:szCs w:val="22"/>
          <w:lang w:val="sr-Latn-ME"/>
        </w:rPr>
      </w:pPr>
      <w:r w:rsidRPr="004E5B63">
        <w:rPr>
          <w:sz w:val="22"/>
          <w:szCs w:val="22"/>
          <w:lang w:val="sr-Latn-ME"/>
        </w:rPr>
        <w:t>Neupotr</w:t>
      </w:r>
      <w:r w:rsidR="00940004" w:rsidRPr="004E5B63">
        <w:rPr>
          <w:sz w:val="22"/>
          <w:szCs w:val="22"/>
          <w:lang w:val="sr-Latn-ME"/>
        </w:rPr>
        <w:t>ij</w:t>
      </w:r>
      <w:r w:rsidRPr="004E5B63">
        <w:rPr>
          <w:sz w:val="22"/>
          <w:szCs w:val="22"/>
          <w:lang w:val="sr-Latn-ME"/>
        </w:rPr>
        <w:t>ebljeni lijek se uništava u skladu sa važećim propisima.</w:t>
      </w:r>
    </w:p>
    <w:p w14:paraId="7DED782D" w14:textId="77777777" w:rsidR="00F321F5" w:rsidRPr="004E5B63" w:rsidRDefault="00F321F5" w:rsidP="00F321F5">
      <w:pPr>
        <w:pStyle w:val="Header"/>
        <w:tabs>
          <w:tab w:val="left" w:pos="284"/>
        </w:tabs>
        <w:rPr>
          <w:b/>
          <w:sz w:val="22"/>
          <w:szCs w:val="22"/>
          <w:lang w:val="sr-Latn-ME"/>
        </w:rPr>
      </w:pPr>
    </w:p>
    <w:p w14:paraId="1A2851C2" w14:textId="77777777" w:rsidR="00F321F5" w:rsidRPr="004E5B63" w:rsidRDefault="00F321F5" w:rsidP="00F321F5">
      <w:pPr>
        <w:pStyle w:val="Header"/>
        <w:tabs>
          <w:tab w:val="left" w:pos="284"/>
        </w:tabs>
        <w:rPr>
          <w:b/>
          <w:sz w:val="22"/>
          <w:szCs w:val="22"/>
          <w:lang w:val="sr-Latn-ME"/>
        </w:rPr>
      </w:pPr>
      <w:r w:rsidRPr="004E5B63">
        <w:rPr>
          <w:b/>
          <w:sz w:val="22"/>
          <w:szCs w:val="22"/>
          <w:lang w:val="sr-Latn-ME"/>
        </w:rPr>
        <w:t>Uputstvo za upotrebu i rukovanje</w:t>
      </w:r>
    </w:p>
    <w:p w14:paraId="17D53940" w14:textId="77777777" w:rsidR="00F321F5" w:rsidRPr="004E5B63" w:rsidRDefault="00F321F5" w:rsidP="00F321F5">
      <w:pPr>
        <w:pStyle w:val="Header"/>
        <w:tabs>
          <w:tab w:val="left" w:pos="284"/>
        </w:tabs>
        <w:rPr>
          <w:sz w:val="22"/>
          <w:szCs w:val="22"/>
          <w:lang w:val="sr-Latn-ME"/>
        </w:rPr>
      </w:pPr>
    </w:p>
    <w:p w14:paraId="6A020172" w14:textId="335EEDE9" w:rsidR="00F321F5" w:rsidRPr="004E5B63" w:rsidRDefault="00F321F5" w:rsidP="00F321F5">
      <w:pPr>
        <w:pStyle w:val="Header"/>
        <w:tabs>
          <w:tab w:val="left" w:pos="284"/>
        </w:tabs>
        <w:rPr>
          <w:sz w:val="22"/>
          <w:szCs w:val="22"/>
          <w:lang w:val="sr-Latn-ME"/>
        </w:rPr>
      </w:pPr>
      <w:r w:rsidRPr="004E5B63">
        <w:rPr>
          <w:sz w:val="22"/>
          <w:szCs w:val="22"/>
          <w:lang w:val="sr-Latn-ME"/>
        </w:rPr>
        <w:t>Ampula je nam</w:t>
      </w:r>
      <w:r w:rsidR="00F62A3D" w:rsidRPr="004E5B63">
        <w:rPr>
          <w:sz w:val="22"/>
          <w:szCs w:val="22"/>
          <w:lang w:val="sr-Latn-ME"/>
        </w:rPr>
        <w:t>i</w:t>
      </w:r>
      <w:r w:rsidRPr="004E5B63">
        <w:rPr>
          <w:sz w:val="22"/>
          <w:szCs w:val="22"/>
          <w:lang w:val="sr-Latn-ME"/>
        </w:rPr>
        <w:t xml:space="preserve">jenjena samo za pojedinačnu primjenu; treba je otvoriti neposredno prije primjene, a neiskorišćenu količinu lijeka treba </w:t>
      </w:r>
      <w:r w:rsidR="00012575" w:rsidRPr="004E5B63">
        <w:rPr>
          <w:sz w:val="22"/>
          <w:szCs w:val="22"/>
          <w:lang w:val="sr-Latn-ME"/>
        </w:rPr>
        <w:t>od</w:t>
      </w:r>
      <w:r w:rsidRPr="004E5B63">
        <w:rPr>
          <w:sz w:val="22"/>
          <w:szCs w:val="22"/>
          <w:lang w:val="sr-Latn-ME"/>
        </w:rPr>
        <w:t>baciti.</w:t>
      </w:r>
    </w:p>
    <w:p w14:paraId="69FE7144" w14:textId="77777777" w:rsidR="00F321F5" w:rsidRPr="004E5B63" w:rsidRDefault="00F321F5" w:rsidP="00F321F5">
      <w:pPr>
        <w:pStyle w:val="Header"/>
        <w:tabs>
          <w:tab w:val="left" w:pos="284"/>
        </w:tabs>
        <w:rPr>
          <w:sz w:val="22"/>
          <w:szCs w:val="22"/>
          <w:lang w:val="sr-Latn-ME"/>
        </w:rPr>
      </w:pPr>
    </w:p>
    <w:p w14:paraId="614C2B65" w14:textId="1DD74634" w:rsidR="00F321F5" w:rsidRPr="004E5B63" w:rsidRDefault="00F321F5" w:rsidP="00F321F5">
      <w:pPr>
        <w:pStyle w:val="Header"/>
        <w:tabs>
          <w:tab w:val="left" w:pos="284"/>
        </w:tabs>
        <w:rPr>
          <w:b/>
          <w:sz w:val="22"/>
          <w:szCs w:val="22"/>
          <w:lang w:val="sr-Latn-ME"/>
        </w:rPr>
      </w:pPr>
      <w:r w:rsidRPr="004E5B63">
        <w:rPr>
          <w:b/>
          <w:sz w:val="22"/>
          <w:szCs w:val="22"/>
          <w:lang w:val="sr-Latn-ME"/>
        </w:rPr>
        <w:t>Su</w:t>
      </w:r>
      <w:r w:rsidR="00C04AE5" w:rsidRPr="004E5B63">
        <w:rPr>
          <w:b/>
          <w:sz w:val="22"/>
          <w:szCs w:val="22"/>
          <w:lang w:val="sr-Latn-ME"/>
        </w:rPr>
        <w:t>b</w:t>
      </w:r>
      <w:r w:rsidRPr="004E5B63">
        <w:rPr>
          <w:b/>
          <w:sz w:val="22"/>
          <w:szCs w:val="22"/>
          <w:lang w:val="sr-Latn-ME"/>
        </w:rPr>
        <w:t>kutana upotreba</w:t>
      </w:r>
    </w:p>
    <w:p w14:paraId="4229BEE6" w14:textId="77777777" w:rsidR="00F321F5" w:rsidRPr="004E5B63" w:rsidRDefault="00F321F5" w:rsidP="00F321F5">
      <w:pPr>
        <w:pStyle w:val="Header"/>
        <w:tabs>
          <w:tab w:val="left" w:pos="284"/>
        </w:tabs>
        <w:rPr>
          <w:b/>
          <w:sz w:val="22"/>
          <w:szCs w:val="22"/>
          <w:lang w:val="sr-Latn-ME"/>
        </w:rPr>
      </w:pPr>
    </w:p>
    <w:p w14:paraId="568D4509" w14:textId="66ACF1E9" w:rsidR="00F321F5" w:rsidRPr="004E5B63" w:rsidRDefault="00F321F5" w:rsidP="00F321F5">
      <w:pPr>
        <w:pStyle w:val="Header"/>
        <w:tabs>
          <w:tab w:val="left" w:pos="284"/>
        </w:tabs>
        <w:rPr>
          <w:sz w:val="22"/>
          <w:szCs w:val="22"/>
          <w:lang w:val="sr-Latn-ME"/>
        </w:rPr>
      </w:pPr>
      <w:r w:rsidRPr="004E5B63">
        <w:rPr>
          <w:sz w:val="22"/>
          <w:szCs w:val="22"/>
          <w:lang w:val="sr-Latn-ME"/>
        </w:rPr>
        <w:t>Pacijenti koji sami sebi daju lijek su</w:t>
      </w:r>
      <w:r w:rsidR="00012575" w:rsidRPr="004E5B63">
        <w:rPr>
          <w:sz w:val="22"/>
          <w:szCs w:val="22"/>
          <w:lang w:val="sr-Latn-ME"/>
        </w:rPr>
        <w:t>b</w:t>
      </w:r>
      <w:r w:rsidRPr="004E5B63">
        <w:rPr>
          <w:sz w:val="22"/>
          <w:szCs w:val="22"/>
          <w:lang w:val="sr-Latn-ME"/>
        </w:rPr>
        <w:t>kutanom injekcijom, moraju dobiti precizne instrukcije od ljekara ili medicinske sestre.</w:t>
      </w:r>
    </w:p>
    <w:p w14:paraId="75230CF5" w14:textId="77777777" w:rsidR="00012575" w:rsidRPr="004E5B63" w:rsidRDefault="00012575" w:rsidP="00F321F5">
      <w:pPr>
        <w:pStyle w:val="Header"/>
        <w:tabs>
          <w:tab w:val="left" w:pos="284"/>
        </w:tabs>
        <w:rPr>
          <w:sz w:val="22"/>
          <w:szCs w:val="22"/>
          <w:lang w:val="sr-Latn-ME"/>
        </w:rPr>
      </w:pPr>
    </w:p>
    <w:p w14:paraId="049E4F0D" w14:textId="5C7B271A" w:rsidR="00F321F5" w:rsidRPr="004E5B63" w:rsidRDefault="00012575" w:rsidP="00F321F5">
      <w:pPr>
        <w:pStyle w:val="Header"/>
        <w:tabs>
          <w:tab w:val="left" w:pos="284"/>
        </w:tabs>
        <w:rPr>
          <w:sz w:val="22"/>
          <w:szCs w:val="22"/>
          <w:lang w:val="sr-Latn-ME"/>
        </w:rPr>
      </w:pPr>
      <w:r w:rsidRPr="004E5B63">
        <w:rPr>
          <w:sz w:val="22"/>
          <w:szCs w:val="22"/>
          <w:lang w:val="sr-Latn-ME"/>
        </w:rPr>
        <w:t>P</w:t>
      </w:r>
      <w:r w:rsidR="00F321F5" w:rsidRPr="004E5B63">
        <w:rPr>
          <w:sz w:val="22"/>
          <w:szCs w:val="22"/>
          <w:lang w:val="sr-Latn-ME"/>
        </w:rPr>
        <w:t xml:space="preserve">reporučuje se da rastvor bude na sobnoj temperaturi prije </w:t>
      </w:r>
      <w:r w:rsidR="00803FED" w:rsidRPr="004E5B63">
        <w:rPr>
          <w:sz w:val="22"/>
          <w:szCs w:val="22"/>
          <w:lang w:val="sr-Latn-ME"/>
        </w:rPr>
        <w:t>primjene lijeka</w:t>
      </w:r>
      <w:r w:rsidRPr="004E5B63">
        <w:rPr>
          <w:sz w:val="22"/>
          <w:szCs w:val="22"/>
          <w:lang w:val="sr-Latn-ME"/>
        </w:rPr>
        <w:t>, kako bi se izbjegla nelagodnost pri primjeni lijeka</w:t>
      </w:r>
      <w:r w:rsidR="00F321F5" w:rsidRPr="004E5B63">
        <w:rPr>
          <w:sz w:val="22"/>
          <w:szCs w:val="22"/>
          <w:lang w:val="sr-Latn-ME"/>
        </w:rPr>
        <w:t>. Treba izbjegavati višestruko davanje injekcija u kratk</w:t>
      </w:r>
      <w:r w:rsidRPr="004E5B63">
        <w:rPr>
          <w:sz w:val="22"/>
          <w:szCs w:val="22"/>
          <w:lang w:val="sr-Latn-ME"/>
        </w:rPr>
        <w:t>im</w:t>
      </w:r>
      <w:r w:rsidR="00F321F5" w:rsidRPr="004E5B63">
        <w:rPr>
          <w:sz w:val="22"/>
          <w:szCs w:val="22"/>
          <w:lang w:val="sr-Latn-ME"/>
        </w:rPr>
        <w:t xml:space="preserve"> vremensk</w:t>
      </w:r>
      <w:r w:rsidRPr="004E5B63">
        <w:rPr>
          <w:sz w:val="22"/>
          <w:szCs w:val="22"/>
          <w:lang w:val="sr-Latn-ME"/>
        </w:rPr>
        <w:t>im</w:t>
      </w:r>
      <w:r w:rsidR="00F321F5" w:rsidRPr="004E5B63">
        <w:rPr>
          <w:sz w:val="22"/>
          <w:szCs w:val="22"/>
          <w:lang w:val="sr-Latn-ME"/>
        </w:rPr>
        <w:t xml:space="preserve"> interval</w:t>
      </w:r>
      <w:r w:rsidRPr="004E5B63">
        <w:rPr>
          <w:sz w:val="22"/>
          <w:szCs w:val="22"/>
          <w:lang w:val="sr-Latn-ME"/>
        </w:rPr>
        <w:t>ima</w:t>
      </w:r>
      <w:r w:rsidR="00F321F5" w:rsidRPr="004E5B63">
        <w:rPr>
          <w:sz w:val="22"/>
          <w:szCs w:val="22"/>
          <w:lang w:val="sr-Latn-ME"/>
        </w:rPr>
        <w:t xml:space="preserve"> na isto</w:t>
      </w:r>
      <w:r w:rsidR="00803FED" w:rsidRPr="004E5B63">
        <w:rPr>
          <w:sz w:val="22"/>
          <w:szCs w:val="22"/>
          <w:lang w:val="sr-Latn-ME"/>
        </w:rPr>
        <w:t>m</w:t>
      </w:r>
      <w:r w:rsidR="00F321F5" w:rsidRPr="004E5B63">
        <w:rPr>
          <w:sz w:val="22"/>
          <w:szCs w:val="22"/>
          <w:lang w:val="sr-Latn-ME"/>
        </w:rPr>
        <w:t xml:space="preserve"> mjest</w:t>
      </w:r>
      <w:r w:rsidR="00803FED" w:rsidRPr="004E5B63">
        <w:rPr>
          <w:sz w:val="22"/>
          <w:szCs w:val="22"/>
          <w:lang w:val="sr-Latn-ME"/>
        </w:rPr>
        <w:t>u</w:t>
      </w:r>
      <w:r w:rsidR="00F321F5" w:rsidRPr="004E5B63">
        <w:rPr>
          <w:sz w:val="22"/>
          <w:szCs w:val="22"/>
          <w:lang w:val="sr-Latn-ME"/>
        </w:rPr>
        <w:t>.</w:t>
      </w:r>
    </w:p>
    <w:p w14:paraId="794BA309" w14:textId="77777777" w:rsidR="00012575" w:rsidRPr="004E5B63" w:rsidRDefault="00012575" w:rsidP="00F321F5">
      <w:pPr>
        <w:pStyle w:val="Header"/>
        <w:tabs>
          <w:tab w:val="left" w:pos="284"/>
        </w:tabs>
        <w:rPr>
          <w:sz w:val="22"/>
          <w:szCs w:val="22"/>
          <w:lang w:val="sr-Latn-ME"/>
        </w:rPr>
      </w:pPr>
    </w:p>
    <w:p w14:paraId="484B64F6" w14:textId="69999F57" w:rsidR="00F321F5" w:rsidRPr="004E5B63" w:rsidRDefault="00F321F5" w:rsidP="00F321F5">
      <w:pPr>
        <w:pStyle w:val="Header"/>
        <w:tabs>
          <w:tab w:val="left" w:pos="284"/>
        </w:tabs>
        <w:rPr>
          <w:sz w:val="22"/>
          <w:szCs w:val="22"/>
          <w:lang w:val="sr-Latn-ME"/>
        </w:rPr>
      </w:pPr>
      <w:r w:rsidRPr="004E5B63">
        <w:rPr>
          <w:sz w:val="22"/>
          <w:szCs w:val="22"/>
          <w:lang w:val="sr-Latn-ME"/>
        </w:rPr>
        <w:lastRenderedPageBreak/>
        <w:t>Ampule treba otvoriti pred sam</w:t>
      </w:r>
      <w:r w:rsidR="00803FED" w:rsidRPr="004E5B63">
        <w:rPr>
          <w:sz w:val="22"/>
          <w:szCs w:val="22"/>
          <w:lang w:val="sr-Latn-ME"/>
        </w:rPr>
        <w:t>u</w:t>
      </w:r>
      <w:r w:rsidRPr="004E5B63">
        <w:rPr>
          <w:sz w:val="22"/>
          <w:szCs w:val="22"/>
          <w:lang w:val="sr-Latn-ME"/>
        </w:rPr>
        <w:t xml:space="preserve"> </w:t>
      </w:r>
      <w:r w:rsidR="00803FED" w:rsidRPr="004E5B63">
        <w:rPr>
          <w:sz w:val="22"/>
          <w:szCs w:val="22"/>
          <w:lang w:val="sr-Latn-ME"/>
        </w:rPr>
        <w:t>primjenu lijeka</w:t>
      </w:r>
      <w:r w:rsidRPr="004E5B63">
        <w:rPr>
          <w:sz w:val="22"/>
          <w:szCs w:val="22"/>
          <w:lang w:val="sr-Latn-ME"/>
        </w:rPr>
        <w:t xml:space="preserve">; </w:t>
      </w:r>
      <w:r w:rsidR="00012575" w:rsidRPr="004E5B63">
        <w:rPr>
          <w:sz w:val="22"/>
          <w:szCs w:val="22"/>
          <w:lang w:val="sr-Latn-ME"/>
        </w:rPr>
        <w:t xml:space="preserve">svu </w:t>
      </w:r>
      <w:r w:rsidRPr="004E5B63">
        <w:rPr>
          <w:sz w:val="22"/>
          <w:szCs w:val="22"/>
          <w:lang w:val="sr-Latn-ME"/>
        </w:rPr>
        <w:t>neiskorišćenu količinu</w:t>
      </w:r>
      <w:r w:rsidR="00F62A3D" w:rsidRPr="004E5B63">
        <w:rPr>
          <w:sz w:val="22"/>
          <w:szCs w:val="22"/>
          <w:lang w:val="sr-Latn-ME"/>
        </w:rPr>
        <w:t xml:space="preserve"> lijeka</w:t>
      </w:r>
      <w:r w:rsidRPr="004E5B63">
        <w:rPr>
          <w:sz w:val="22"/>
          <w:szCs w:val="22"/>
          <w:lang w:val="sr-Latn-ME"/>
        </w:rPr>
        <w:t xml:space="preserve"> treba </w:t>
      </w:r>
      <w:r w:rsidR="00012575" w:rsidRPr="004E5B63">
        <w:rPr>
          <w:sz w:val="22"/>
          <w:szCs w:val="22"/>
          <w:lang w:val="sr-Latn-ME"/>
        </w:rPr>
        <w:t>od</w:t>
      </w:r>
      <w:r w:rsidRPr="004E5B63">
        <w:rPr>
          <w:sz w:val="22"/>
          <w:szCs w:val="22"/>
          <w:lang w:val="sr-Latn-ME"/>
        </w:rPr>
        <w:t>baciti.</w:t>
      </w:r>
    </w:p>
    <w:p w14:paraId="0DD60CE7" w14:textId="77777777" w:rsidR="007B4113" w:rsidRPr="004E5B63" w:rsidRDefault="007B4113" w:rsidP="00F321F5">
      <w:pPr>
        <w:pStyle w:val="Header"/>
        <w:tabs>
          <w:tab w:val="left" w:pos="284"/>
        </w:tabs>
        <w:rPr>
          <w:sz w:val="22"/>
          <w:szCs w:val="22"/>
          <w:lang w:val="sr-Latn-ME"/>
        </w:rPr>
      </w:pPr>
    </w:p>
    <w:p w14:paraId="67142DC0" w14:textId="77777777" w:rsidR="00F321F5" w:rsidRPr="004E5B63" w:rsidRDefault="00F321F5" w:rsidP="00F321F5">
      <w:pPr>
        <w:pStyle w:val="Header"/>
        <w:tabs>
          <w:tab w:val="left" w:pos="284"/>
        </w:tabs>
        <w:rPr>
          <w:b/>
          <w:sz w:val="22"/>
          <w:szCs w:val="22"/>
          <w:lang w:val="sr-Latn-ME"/>
        </w:rPr>
      </w:pPr>
      <w:r w:rsidRPr="004E5B63">
        <w:rPr>
          <w:b/>
          <w:sz w:val="22"/>
          <w:szCs w:val="22"/>
          <w:lang w:val="sr-Latn-ME"/>
        </w:rPr>
        <w:t xml:space="preserve">Intravenska upotreba </w:t>
      </w:r>
    </w:p>
    <w:p w14:paraId="0C2C016F" w14:textId="77777777" w:rsidR="00F321F5" w:rsidRPr="004E5B63" w:rsidRDefault="00F321F5" w:rsidP="00F321F5">
      <w:pPr>
        <w:pStyle w:val="Header"/>
        <w:tabs>
          <w:tab w:val="left" w:pos="284"/>
        </w:tabs>
        <w:rPr>
          <w:sz w:val="22"/>
          <w:szCs w:val="22"/>
          <w:lang w:val="sr-Latn-ME"/>
        </w:rPr>
      </w:pPr>
    </w:p>
    <w:p w14:paraId="0F3FBB45" w14:textId="77777777" w:rsidR="00F321F5" w:rsidRPr="004E5B63" w:rsidRDefault="00F321F5" w:rsidP="00F321F5">
      <w:pPr>
        <w:pStyle w:val="Header"/>
        <w:tabs>
          <w:tab w:val="left" w:pos="284"/>
        </w:tabs>
        <w:rPr>
          <w:sz w:val="22"/>
          <w:szCs w:val="22"/>
          <w:lang w:val="sr-Latn-ME"/>
        </w:rPr>
      </w:pPr>
      <w:r w:rsidRPr="004E5B63">
        <w:rPr>
          <w:sz w:val="22"/>
          <w:szCs w:val="22"/>
          <w:lang w:val="sr-Latn-ME"/>
        </w:rPr>
        <w:t>Ljekove za parenteralnu upotrebu treba vizuelno pregledati prije davanja zbog promjene boje ili prisustva čestica.</w:t>
      </w:r>
    </w:p>
    <w:p w14:paraId="1B000589" w14:textId="77777777" w:rsidR="00F321F5" w:rsidRPr="004E5B63" w:rsidRDefault="00F321F5" w:rsidP="00F321F5">
      <w:pPr>
        <w:pStyle w:val="Header"/>
        <w:tabs>
          <w:tab w:val="left" w:pos="284"/>
        </w:tabs>
        <w:rPr>
          <w:sz w:val="22"/>
          <w:szCs w:val="22"/>
          <w:lang w:val="sr-Latn-ME"/>
        </w:rPr>
      </w:pPr>
    </w:p>
    <w:p w14:paraId="6AE10679" w14:textId="36FE697F" w:rsidR="00F321F5" w:rsidRPr="004E5B63" w:rsidRDefault="00F321F5" w:rsidP="00F321F5">
      <w:pPr>
        <w:pStyle w:val="Header"/>
        <w:tabs>
          <w:tab w:val="left" w:pos="284"/>
        </w:tabs>
        <w:rPr>
          <w:sz w:val="22"/>
          <w:szCs w:val="22"/>
          <w:lang w:val="sr-Latn-ME"/>
        </w:rPr>
      </w:pPr>
      <w:r w:rsidRPr="004E5B63">
        <w:rPr>
          <w:sz w:val="22"/>
          <w:szCs w:val="22"/>
          <w:lang w:val="sr-Latn-ME"/>
        </w:rPr>
        <w:t xml:space="preserve">Za intravensku primjenu </w:t>
      </w:r>
      <w:r w:rsidR="00C04AE5" w:rsidRPr="004E5B63">
        <w:rPr>
          <w:sz w:val="22"/>
          <w:szCs w:val="22"/>
          <w:lang w:val="sr-Latn-ME"/>
        </w:rPr>
        <w:t>lijek se mora</w:t>
      </w:r>
      <w:r w:rsidRPr="004E5B63">
        <w:rPr>
          <w:sz w:val="22"/>
          <w:szCs w:val="22"/>
          <w:lang w:val="sr-Latn-ME"/>
        </w:rPr>
        <w:t xml:space="preserve"> razblažiti prije primjene. Sandostatin (oktreotid</w:t>
      </w:r>
      <w:r w:rsidR="005E6BF5" w:rsidRPr="004E5B63">
        <w:rPr>
          <w:sz w:val="22"/>
          <w:szCs w:val="22"/>
          <w:lang w:val="sr-Latn-ME"/>
        </w:rPr>
        <w:t xml:space="preserve"> acetat</w:t>
      </w:r>
      <w:r w:rsidRPr="004E5B63">
        <w:rPr>
          <w:sz w:val="22"/>
          <w:szCs w:val="22"/>
          <w:lang w:val="sr-Latn-ME"/>
        </w:rPr>
        <w:t xml:space="preserve">) je fizički i hemijski stabilan tokom 24 h u sterilnom fiziološkom rastvoru ili sterilnom rastvoru dekstroze (glukoze) 5% u vodi. </w:t>
      </w:r>
      <w:r w:rsidR="00C04AE5" w:rsidRPr="004E5B63">
        <w:rPr>
          <w:sz w:val="22"/>
          <w:szCs w:val="22"/>
          <w:lang w:val="sr-Latn-ME"/>
        </w:rPr>
        <w:t>Međutim, b</w:t>
      </w:r>
      <w:r w:rsidR="005E6BF5" w:rsidRPr="004E5B63">
        <w:rPr>
          <w:sz w:val="22"/>
          <w:szCs w:val="22"/>
          <w:lang w:val="sr-Latn-ME"/>
        </w:rPr>
        <w:t>udući da</w:t>
      </w:r>
      <w:r w:rsidRPr="004E5B63">
        <w:rPr>
          <w:sz w:val="22"/>
          <w:szCs w:val="22"/>
          <w:lang w:val="sr-Latn-ME"/>
        </w:rPr>
        <w:t xml:space="preserve"> lijek Sandostatin može da utiče na homeostazu glukoze, preporučuje se kori</w:t>
      </w:r>
      <w:r w:rsidR="00803FED" w:rsidRPr="004E5B63">
        <w:rPr>
          <w:sz w:val="22"/>
          <w:szCs w:val="22"/>
          <w:lang w:val="sr-Latn-ME"/>
        </w:rPr>
        <w:t>šćenje</w:t>
      </w:r>
      <w:r w:rsidRPr="004E5B63">
        <w:rPr>
          <w:sz w:val="22"/>
          <w:szCs w:val="22"/>
          <w:lang w:val="sr-Latn-ME"/>
        </w:rPr>
        <w:t xml:space="preserve"> fiziološk</w:t>
      </w:r>
      <w:r w:rsidR="00803FED" w:rsidRPr="004E5B63">
        <w:rPr>
          <w:sz w:val="22"/>
          <w:szCs w:val="22"/>
          <w:lang w:val="sr-Latn-ME"/>
        </w:rPr>
        <w:t>og</w:t>
      </w:r>
      <w:r w:rsidRPr="004E5B63">
        <w:rPr>
          <w:sz w:val="22"/>
          <w:szCs w:val="22"/>
          <w:lang w:val="sr-Latn-ME"/>
        </w:rPr>
        <w:t xml:space="preserve"> rastvor</w:t>
      </w:r>
      <w:r w:rsidR="00803FED" w:rsidRPr="004E5B63">
        <w:rPr>
          <w:sz w:val="22"/>
          <w:szCs w:val="22"/>
          <w:lang w:val="sr-Latn-ME"/>
        </w:rPr>
        <w:t>a</w:t>
      </w:r>
      <w:r w:rsidRPr="004E5B63">
        <w:rPr>
          <w:sz w:val="22"/>
          <w:szCs w:val="22"/>
          <w:lang w:val="sr-Latn-ME"/>
        </w:rPr>
        <w:t xml:space="preserve"> </w:t>
      </w:r>
      <w:r w:rsidR="00803FED" w:rsidRPr="004E5B63">
        <w:rPr>
          <w:sz w:val="22"/>
          <w:szCs w:val="22"/>
          <w:lang w:val="sr-Latn-ME"/>
        </w:rPr>
        <w:t>umjesto</w:t>
      </w:r>
      <w:r w:rsidRPr="004E5B63">
        <w:rPr>
          <w:sz w:val="22"/>
          <w:szCs w:val="22"/>
          <w:lang w:val="sr-Latn-ME"/>
        </w:rPr>
        <w:t xml:space="preserve"> rastvor</w:t>
      </w:r>
      <w:r w:rsidR="00803FED" w:rsidRPr="004E5B63">
        <w:rPr>
          <w:sz w:val="22"/>
          <w:szCs w:val="22"/>
          <w:lang w:val="sr-Latn-ME"/>
        </w:rPr>
        <w:t>a</w:t>
      </w:r>
      <w:r w:rsidRPr="004E5B63">
        <w:rPr>
          <w:sz w:val="22"/>
          <w:szCs w:val="22"/>
          <w:lang w:val="sr-Latn-ME"/>
        </w:rPr>
        <w:t xml:space="preserve"> dekstroze</w:t>
      </w:r>
      <w:r w:rsidR="00803FED" w:rsidRPr="004E5B63">
        <w:rPr>
          <w:sz w:val="22"/>
          <w:szCs w:val="22"/>
          <w:lang w:val="sr-Latn-ME"/>
        </w:rPr>
        <w:t xml:space="preserve"> (glukoze)</w:t>
      </w:r>
      <w:r w:rsidRPr="004E5B63">
        <w:rPr>
          <w:sz w:val="22"/>
          <w:szCs w:val="22"/>
          <w:lang w:val="sr-Latn-ME"/>
        </w:rPr>
        <w:t xml:space="preserve">. </w:t>
      </w:r>
    </w:p>
    <w:p w14:paraId="55C24884" w14:textId="49B79F6D" w:rsidR="00F321F5" w:rsidRPr="004E5B63" w:rsidRDefault="00F321F5" w:rsidP="00F321F5">
      <w:pPr>
        <w:pStyle w:val="Header"/>
        <w:tabs>
          <w:tab w:val="left" w:pos="284"/>
        </w:tabs>
        <w:rPr>
          <w:sz w:val="22"/>
          <w:szCs w:val="22"/>
          <w:lang w:val="sr-Latn-ME"/>
        </w:rPr>
      </w:pPr>
      <w:r w:rsidRPr="004E5B63">
        <w:rPr>
          <w:sz w:val="22"/>
          <w:szCs w:val="22"/>
          <w:lang w:val="sr-Latn-ME"/>
        </w:rPr>
        <w:t>Razblaženi rastvor je fizički i hemijski stabilan najmanje 24</w:t>
      </w:r>
      <w:r w:rsidR="0099060F" w:rsidRPr="004E5B63">
        <w:rPr>
          <w:sz w:val="22"/>
          <w:szCs w:val="22"/>
          <w:lang w:val="sr-Latn-ME"/>
        </w:rPr>
        <w:t xml:space="preserve"> </w:t>
      </w:r>
      <w:r w:rsidRPr="004E5B63">
        <w:rPr>
          <w:sz w:val="22"/>
          <w:szCs w:val="22"/>
          <w:lang w:val="sr-Latn-ME"/>
        </w:rPr>
        <w:t>h na temperaturi ispod 25°C. Sa mikrobiloške tačke gledišta, razblaženi rastvor treba odmah iskoristiti. Ako se rastvor ne upotr</w:t>
      </w:r>
      <w:r w:rsidR="00803FED" w:rsidRPr="004E5B63">
        <w:rPr>
          <w:sz w:val="22"/>
          <w:szCs w:val="22"/>
          <w:lang w:val="sr-Latn-ME"/>
        </w:rPr>
        <w:t>ij</w:t>
      </w:r>
      <w:r w:rsidRPr="004E5B63">
        <w:rPr>
          <w:sz w:val="22"/>
          <w:szCs w:val="22"/>
          <w:lang w:val="sr-Latn-ME"/>
        </w:rPr>
        <w:t>ebi odmah,</w:t>
      </w:r>
      <w:r w:rsidR="00C04AE5" w:rsidRPr="004E5B63">
        <w:rPr>
          <w:sz w:val="22"/>
          <w:szCs w:val="22"/>
          <w:lang w:val="sr-Latn-ME"/>
        </w:rPr>
        <w:t xml:space="preserve"> vrijeme i uslovi</w:t>
      </w:r>
      <w:r w:rsidRPr="004E5B63">
        <w:rPr>
          <w:sz w:val="22"/>
          <w:szCs w:val="22"/>
          <w:lang w:val="sr-Latn-ME"/>
        </w:rPr>
        <w:t xml:space="preserve"> čuvanj</w:t>
      </w:r>
      <w:r w:rsidR="00C04AE5" w:rsidRPr="004E5B63">
        <w:rPr>
          <w:sz w:val="22"/>
          <w:szCs w:val="22"/>
          <w:lang w:val="sr-Latn-ME"/>
        </w:rPr>
        <w:t>a</w:t>
      </w:r>
      <w:r w:rsidRPr="004E5B63">
        <w:rPr>
          <w:sz w:val="22"/>
          <w:szCs w:val="22"/>
          <w:lang w:val="sr-Latn-ME"/>
        </w:rPr>
        <w:t xml:space="preserve"> prije </w:t>
      </w:r>
      <w:r w:rsidR="00C04AE5" w:rsidRPr="004E5B63">
        <w:rPr>
          <w:sz w:val="22"/>
          <w:szCs w:val="22"/>
          <w:lang w:val="sr-Latn-ME"/>
        </w:rPr>
        <w:t>primjene</w:t>
      </w:r>
      <w:r w:rsidRPr="004E5B63">
        <w:rPr>
          <w:sz w:val="22"/>
          <w:szCs w:val="22"/>
          <w:lang w:val="sr-Latn-ME"/>
        </w:rPr>
        <w:t xml:space="preserve"> </w:t>
      </w:r>
      <w:r w:rsidR="00C04AE5" w:rsidRPr="004E5B63">
        <w:rPr>
          <w:sz w:val="22"/>
          <w:szCs w:val="22"/>
          <w:lang w:val="sr-Latn-ME"/>
        </w:rPr>
        <w:t>su</w:t>
      </w:r>
      <w:r w:rsidRPr="004E5B63">
        <w:rPr>
          <w:sz w:val="22"/>
          <w:szCs w:val="22"/>
          <w:lang w:val="sr-Latn-ME"/>
        </w:rPr>
        <w:t xml:space="preserve"> odgovornost korisnika.</w:t>
      </w:r>
    </w:p>
    <w:p w14:paraId="1964D3D6" w14:textId="77777777" w:rsidR="00F321F5" w:rsidRPr="004E5B63" w:rsidRDefault="00F321F5" w:rsidP="00F321F5">
      <w:pPr>
        <w:pStyle w:val="Header"/>
        <w:tabs>
          <w:tab w:val="left" w:pos="284"/>
        </w:tabs>
        <w:rPr>
          <w:sz w:val="22"/>
          <w:szCs w:val="22"/>
          <w:lang w:val="sr-Latn-ME"/>
        </w:rPr>
      </w:pPr>
    </w:p>
    <w:p w14:paraId="6E80158C" w14:textId="77777777" w:rsidR="0072020E" w:rsidRPr="004E5B63" w:rsidRDefault="0072020E" w:rsidP="00480FB1">
      <w:pPr>
        <w:tabs>
          <w:tab w:val="left" w:pos="540"/>
          <w:tab w:val="left" w:pos="569"/>
        </w:tabs>
        <w:rPr>
          <w:bCs/>
          <w:sz w:val="22"/>
          <w:szCs w:val="22"/>
          <w:lang w:val="sr-Latn-ME"/>
        </w:rPr>
      </w:pPr>
    </w:p>
    <w:p w14:paraId="42C7843C" w14:textId="77777777" w:rsidR="00F8570A" w:rsidRPr="004E5B63" w:rsidRDefault="0072020E" w:rsidP="00480FB1">
      <w:pPr>
        <w:tabs>
          <w:tab w:val="left" w:pos="540"/>
          <w:tab w:val="left" w:pos="569"/>
        </w:tabs>
        <w:rPr>
          <w:b/>
          <w:bCs/>
          <w:sz w:val="22"/>
          <w:szCs w:val="22"/>
          <w:lang w:val="sr-Latn-ME"/>
        </w:rPr>
      </w:pPr>
      <w:r w:rsidRPr="004E5B63">
        <w:rPr>
          <w:b/>
          <w:bCs/>
          <w:sz w:val="22"/>
          <w:szCs w:val="22"/>
          <w:lang w:val="sr-Latn-ME"/>
        </w:rPr>
        <w:t xml:space="preserve">7. </w:t>
      </w:r>
      <w:r w:rsidR="00480FB1" w:rsidRPr="004E5B63">
        <w:rPr>
          <w:b/>
          <w:bCs/>
          <w:sz w:val="22"/>
          <w:szCs w:val="22"/>
          <w:lang w:val="sr-Latn-ME"/>
        </w:rPr>
        <w:tab/>
      </w:r>
      <w:r w:rsidRPr="004E5B63">
        <w:rPr>
          <w:b/>
          <w:bCs/>
          <w:sz w:val="22"/>
          <w:szCs w:val="22"/>
          <w:lang w:val="sr-Latn-ME"/>
        </w:rPr>
        <w:t>NOSILAC DOZVOLE</w:t>
      </w:r>
      <w:r w:rsidR="00483928" w:rsidRPr="004E5B63">
        <w:rPr>
          <w:b/>
          <w:bCs/>
          <w:sz w:val="22"/>
          <w:szCs w:val="22"/>
          <w:lang w:val="sr-Latn-ME"/>
        </w:rPr>
        <w:t xml:space="preserve"> </w:t>
      </w:r>
    </w:p>
    <w:p w14:paraId="7B28CCAE" w14:textId="77777777" w:rsidR="00C61BE0" w:rsidRPr="004E5B63" w:rsidRDefault="00C61BE0" w:rsidP="00480FB1">
      <w:pPr>
        <w:tabs>
          <w:tab w:val="left" w:pos="540"/>
          <w:tab w:val="left" w:pos="569"/>
        </w:tabs>
        <w:rPr>
          <w:bCs/>
          <w:sz w:val="22"/>
          <w:szCs w:val="22"/>
          <w:lang w:val="sr-Latn-ME"/>
        </w:rPr>
      </w:pPr>
    </w:p>
    <w:p w14:paraId="67413C13" w14:textId="246C0745" w:rsidR="00F321F5" w:rsidRPr="004E5B63" w:rsidRDefault="00F321F5" w:rsidP="00F321F5">
      <w:pPr>
        <w:pStyle w:val="Header"/>
        <w:rPr>
          <w:sz w:val="22"/>
          <w:szCs w:val="22"/>
          <w:lang w:val="sr-Latn-ME"/>
        </w:rPr>
      </w:pPr>
      <w:r w:rsidRPr="004E5B63">
        <w:rPr>
          <w:sz w:val="22"/>
          <w:szCs w:val="22"/>
          <w:lang w:val="sr-Latn-ME"/>
        </w:rPr>
        <w:t>“Novartis Pharma Services AG” dio stranog društva Podgorica</w:t>
      </w:r>
    </w:p>
    <w:p w14:paraId="4CAA9153" w14:textId="218546D3" w:rsidR="00C37FD7" w:rsidRPr="004E5B63" w:rsidRDefault="00F321F5" w:rsidP="00F321F5">
      <w:pPr>
        <w:tabs>
          <w:tab w:val="left" w:pos="540"/>
          <w:tab w:val="left" w:pos="569"/>
        </w:tabs>
        <w:rPr>
          <w:sz w:val="22"/>
          <w:szCs w:val="22"/>
          <w:lang w:val="sr-Latn-ME"/>
        </w:rPr>
      </w:pPr>
      <w:r w:rsidRPr="004E5B63">
        <w:rPr>
          <w:sz w:val="22"/>
          <w:szCs w:val="22"/>
          <w:lang w:val="sr-Latn-ME"/>
        </w:rPr>
        <w:t>Ul. Svetlane Kane Radević br</w:t>
      </w:r>
      <w:r w:rsidR="0099060F" w:rsidRPr="004E5B63">
        <w:rPr>
          <w:sz w:val="22"/>
          <w:szCs w:val="22"/>
          <w:lang w:val="sr-Latn-ME"/>
        </w:rPr>
        <w:t>.</w:t>
      </w:r>
      <w:r w:rsidRPr="004E5B63">
        <w:rPr>
          <w:sz w:val="22"/>
          <w:szCs w:val="22"/>
          <w:lang w:val="sr-Latn-ME"/>
        </w:rPr>
        <w:t xml:space="preserve"> 3, Podgorica</w:t>
      </w:r>
      <w:r w:rsidR="004C06EE" w:rsidRPr="004E5B63">
        <w:rPr>
          <w:sz w:val="22"/>
          <w:szCs w:val="22"/>
          <w:lang w:val="sr-Latn-ME"/>
        </w:rPr>
        <w:t>, Crna Gora</w:t>
      </w:r>
    </w:p>
    <w:p w14:paraId="4695F09F" w14:textId="0A6E3833" w:rsidR="00F321F5" w:rsidRPr="004E5B63" w:rsidRDefault="00F321F5" w:rsidP="00F321F5">
      <w:pPr>
        <w:tabs>
          <w:tab w:val="left" w:pos="540"/>
          <w:tab w:val="left" w:pos="569"/>
        </w:tabs>
        <w:rPr>
          <w:bCs/>
          <w:sz w:val="22"/>
          <w:szCs w:val="22"/>
          <w:lang w:val="sr-Latn-ME"/>
        </w:rPr>
      </w:pPr>
    </w:p>
    <w:p w14:paraId="416EBDA4" w14:textId="77777777" w:rsidR="00803FED" w:rsidRPr="004E5B63" w:rsidRDefault="00803FED" w:rsidP="00F321F5">
      <w:pPr>
        <w:tabs>
          <w:tab w:val="left" w:pos="540"/>
          <w:tab w:val="left" w:pos="569"/>
        </w:tabs>
        <w:rPr>
          <w:bCs/>
          <w:sz w:val="22"/>
          <w:szCs w:val="22"/>
          <w:lang w:val="sr-Latn-ME"/>
        </w:rPr>
      </w:pPr>
    </w:p>
    <w:p w14:paraId="013CEAF1" w14:textId="77777777" w:rsidR="0072020E" w:rsidRPr="004E5B63" w:rsidRDefault="0072020E" w:rsidP="00480FB1">
      <w:pPr>
        <w:tabs>
          <w:tab w:val="left" w:pos="540"/>
          <w:tab w:val="left" w:pos="569"/>
        </w:tabs>
        <w:rPr>
          <w:b/>
          <w:bCs/>
          <w:sz w:val="22"/>
          <w:szCs w:val="22"/>
          <w:lang w:val="sr-Latn-ME"/>
        </w:rPr>
      </w:pPr>
      <w:r w:rsidRPr="004E5B63">
        <w:rPr>
          <w:b/>
          <w:bCs/>
          <w:sz w:val="22"/>
          <w:szCs w:val="22"/>
          <w:lang w:val="sr-Latn-ME"/>
        </w:rPr>
        <w:t xml:space="preserve">8. </w:t>
      </w:r>
      <w:r w:rsidR="00480FB1" w:rsidRPr="004E5B63">
        <w:rPr>
          <w:b/>
          <w:bCs/>
          <w:sz w:val="22"/>
          <w:szCs w:val="22"/>
          <w:lang w:val="sr-Latn-ME"/>
        </w:rPr>
        <w:tab/>
      </w:r>
      <w:r w:rsidRPr="004E5B63">
        <w:rPr>
          <w:b/>
          <w:bCs/>
          <w:sz w:val="22"/>
          <w:szCs w:val="22"/>
          <w:lang w:val="sr-Latn-ME"/>
        </w:rPr>
        <w:t>BROJ DOZVOLE</w:t>
      </w:r>
      <w:r w:rsidR="008A6D43" w:rsidRPr="004E5B63">
        <w:rPr>
          <w:b/>
          <w:bCs/>
          <w:sz w:val="22"/>
          <w:szCs w:val="22"/>
          <w:lang w:val="sr-Latn-ME"/>
        </w:rPr>
        <w:t xml:space="preserve"> ZA STAVLJANJE LIJEKA U PROMET</w:t>
      </w:r>
    </w:p>
    <w:p w14:paraId="190DD79A" w14:textId="77777777" w:rsidR="00F321F5" w:rsidRPr="004E5B63" w:rsidRDefault="00F321F5" w:rsidP="00F321F5">
      <w:pPr>
        <w:pStyle w:val="Header"/>
        <w:tabs>
          <w:tab w:val="left" w:pos="284"/>
        </w:tabs>
        <w:rPr>
          <w:sz w:val="22"/>
          <w:szCs w:val="22"/>
          <w:lang w:val="sr-Latn-ME"/>
        </w:rPr>
      </w:pPr>
    </w:p>
    <w:p w14:paraId="127BAF34" w14:textId="34B4D64D" w:rsidR="0072020E" w:rsidRPr="004E5B63" w:rsidRDefault="005463EB" w:rsidP="00480FB1">
      <w:pPr>
        <w:tabs>
          <w:tab w:val="left" w:pos="540"/>
          <w:tab w:val="left" w:pos="569"/>
        </w:tabs>
        <w:rPr>
          <w:bCs/>
          <w:sz w:val="22"/>
          <w:szCs w:val="22"/>
          <w:lang w:val="sr-Latn-ME"/>
        </w:rPr>
      </w:pPr>
      <w:r w:rsidRPr="005463EB">
        <w:rPr>
          <w:bCs/>
          <w:sz w:val="22"/>
          <w:szCs w:val="22"/>
          <w:lang w:val="sr-Latn-ME"/>
        </w:rPr>
        <w:t>2030/24/5548 - 4985</w:t>
      </w:r>
    </w:p>
    <w:p w14:paraId="2DFD2B38" w14:textId="1A5E4228" w:rsidR="00F45F77" w:rsidRDefault="00F45F77" w:rsidP="00480FB1">
      <w:pPr>
        <w:tabs>
          <w:tab w:val="left" w:pos="540"/>
          <w:tab w:val="left" w:pos="569"/>
        </w:tabs>
        <w:rPr>
          <w:bCs/>
          <w:sz w:val="22"/>
          <w:szCs w:val="22"/>
          <w:lang w:val="sr-Latn-ME"/>
        </w:rPr>
      </w:pPr>
    </w:p>
    <w:p w14:paraId="2D1CB7EC" w14:textId="77777777" w:rsidR="005463EB" w:rsidRPr="004E5B63" w:rsidRDefault="005463EB" w:rsidP="00480FB1">
      <w:pPr>
        <w:tabs>
          <w:tab w:val="left" w:pos="540"/>
          <w:tab w:val="left" w:pos="569"/>
        </w:tabs>
        <w:rPr>
          <w:bCs/>
          <w:sz w:val="22"/>
          <w:szCs w:val="22"/>
          <w:lang w:val="sr-Latn-ME"/>
        </w:rPr>
      </w:pPr>
    </w:p>
    <w:p w14:paraId="646FC833" w14:textId="77777777" w:rsidR="0072020E" w:rsidRPr="004E5B63" w:rsidRDefault="0072020E" w:rsidP="00480FB1">
      <w:pPr>
        <w:tabs>
          <w:tab w:val="left" w:pos="540"/>
          <w:tab w:val="left" w:pos="569"/>
        </w:tabs>
        <w:rPr>
          <w:b/>
          <w:bCs/>
          <w:sz w:val="22"/>
          <w:szCs w:val="22"/>
          <w:lang w:val="sr-Latn-ME"/>
        </w:rPr>
      </w:pPr>
      <w:r w:rsidRPr="004E5B63">
        <w:rPr>
          <w:b/>
          <w:bCs/>
          <w:sz w:val="22"/>
          <w:szCs w:val="22"/>
          <w:lang w:val="sr-Latn-ME"/>
        </w:rPr>
        <w:t xml:space="preserve">9. </w:t>
      </w:r>
      <w:r w:rsidR="00480FB1" w:rsidRPr="004E5B63">
        <w:rPr>
          <w:b/>
          <w:bCs/>
          <w:sz w:val="22"/>
          <w:szCs w:val="22"/>
          <w:lang w:val="sr-Latn-ME"/>
        </w:rPr>
        <w:tab/>
      </w:r>
      <w:r w:rsidRPr="004E5B63">
        <w:rPr>
          <w:b/>
          <w:bCs/>
          <w:sz w:val="22"/>
          <w:szCs w:val="22"/>
          <w:lang w:val="sr-Latn-ME"/>
        </w:rPr>
        <w:t xml:space="preserve">DATUM </w:t>
      </w:r>
      <w:r w:rsidR="00C05DF8" w:rsidRPr="004E5B63">
        <w:rPr>
          <w:b/>
          <w:bCs/>
          <w:sz w:val="22"/>
          <w:szCs w:val="22"/>
          <w:lang w:val="sr-Latn-ME"/>
        </w:rPr>
        <w:t xml:space="preserve">PRVE </w:t>
      </w:r>
      <w:r w:rsidR="008A6D43" w:rsidRPr="004E5B63">
        <w:rPr>
          <w:b/>
          <w:bCs/>
          <w:sz w:val="22"/>
          <w:szCs w:val="22"/>
          <w:lang w:val="sr-Latn-ME"/>
        </w:rPr>
        <w:t>DOZVOLE</w:t>
      </w:r>
      <w:r w:rsidR="00C05DF8" w:rsidRPr="004E5B63">
        <w:rPr>
          <w:b/>
          <w:bCs/>
          <w:sz w:val="22"/>
          <w:szCs w:val="22"/>
          <w:lang w:val="sr-Latn-ME"/>
        </w:rPr>
        <w:t>/OBNOVE DOZVOLE</w:t>
      </w:r>
      <w:r w:rsidR="008A6D43" w:rsidRPr="004E5B63">
        <w:rPr>
          <w:b/>
          <w:bCs/>
          <w:sz w:val="22"/>
          <w:szCs w:val="22"/>
          <w:lang w:val="sr-Latn-ME"/>
        </w:rPr>
        <w:t xml:space="preserve"> ZA STAVLJANJE LIJEKA U PROMET</w:t>
      </w:r>
    </w:p>
    <w:p w14:paraId="2F6049F5" w14:textId="77777777" w:rsidR="0072020E" w:rsidRPr="004E5B63" w:rsidRDefault="0072020E" w:rsidP="00480FB1">
      <w:pPr>
        <w:tabs>
          <w:tab w:val="left" w:pos="540"/>
          <w:tab w:val="left" w:pos="569"/>
        </w:tabs>
        <w:rPr>
          <w:bCs/>
          <w:sz w:val="22"/>
          <w:szCs w:val="22"/>
          <w:lang w:val="sr-Latn-ME"/>
        </w:rPr>
      </w:pPr>
    </w:p>
    <w:p w14:paraId="176E8CBF" w14:textId="13EB4633" w:rsidR="00836B35" w:rsidRPr="004E5B63" w:rsidRDefault="0099060F" w:rsidP="00480FB1">
      <w:pPr>
        <w:tabs>
          <w:tab w:val="left" w:pos="540"/>
          <w:tab w:val="left" w:pos="569"/>
        </w:tabs>
        <w:rPr>
          <w:sz w:val="22"/>
          <w:szCs w:val="22"/>
          <w:lang w:val="sr-Latn-ME"/>
        </w:rPr>
      </w:pPr>
      <w:r w:rsidRPr="004E5B63">
        <w:rPr>
          <w:sz w:val="22"/>
          <w:szCs w:val="22"/>
          <w:lang w:val="sr-Latn-ME"/>
        </w:rPr>
        <w:t xml:space="preserve">Datum prve dozvole: </w:t>
      </w:r>
      <w:r w:rsidR="00803FED" w:rsidRPr="004E5B63">
        <w:rPr>
          <w:sz w:val="22"/>
          <w:szCs w:val="22"/>
          <w:lang w:val="sr-Latn-ME"/>
        </w:rPr>
        <w:t>12.02.2015. godine</w:t>
      </w:r>
    </w:p>
    <w:p w14:paraId="43F0C6C1" w14:textId="7FE7338E" w:rsidR="0099060F" w:rsidRPr="004E5B63" w:rsidRDefault="0099060F" w:rsidP="00480FB1">
      <w:pPr>
        <w:tabs>
          <w:tab w:val="left" w:pos="540"/>
          <w:tab w:val="left" w:pos="569"/>
        </w:tabs>
        <w:rPr>
          <w:sz w:val="22"/>
          <w:szCs w:val="22"/>
          <w:lang w:val="sr-Latn-ME"/>
        </w:rPr>
      </w:pPr>
      <w:r w:rsidRPr="004E5B63">
        <w:rPr>
          <w:sz w:val="22"/>
          <w:szCs w:val="22"/>
          <w:lang w:val="sr-Latn-ME"/>
        </w:rPr>
        <w:t>Datum poslednje obnove dozvole:</w:t>
      </w:r>
      <w:r w:rsidR="005463EB">
        <w:rPr>
          <w:sz w:val="22"/>
          <w:szCs w:val="22"/>
          <w:lang w:val="sr-Latn-ME"/>
        </w:rPr>
        <w:t xml:space="preserve"> </w:t>
      </w:r>
      <w:r w:rsidR="00550968">
        <w:rPr>
          <w:sz w:val="22"/>
          <w:szCs w:val="22"/>
          <w:lang w:val="sr-Latn-ME"/>
        </w:rPr>
        <w:t>05</w:t>
      </w:r>
      <w:r w:rsidR="005463EB" w:rsidRPr="005463EB">
        <w:rPr>
          <w:sz w:val="22"/>
          <w:szCs w:val="22"/>
          <w:lang w:val="sr-Latn-ME"/>
        </w:rPr>
        <w:t>.1</w:t>
      </w:r>
      <w:r w:rsidR="00550968">
        <w:rPr>
          <w:sz w:val="22"/>
          <w:szCs w:val="22"/>
          <w:lang w:val="sr-Latn-ME"/>
        </w:rPr>
        <w:t>1</w:t>
      </w:r>
      <w:r w:rsidR="005463EB" w:rsidRPr="005463EB">
        <w:rPr>
          <w:sz w:val="22"/>
          <w:szCs w:val="22"/>
          <w:lang w:val="sr-Latn-ME"/>
        </w:rPr>
        <w:t>.2024. godine</w:t>
      </w:r>
    </w:p>
    <w:p w14:paraId="4FDEFCE4" w14:textId="05EEB605" w:rsidR="007B4113" w:rsidRPr="004E5B63" w:rsidRDefault="007B4113" w:rsidP="00480FB1">
      <w:pPr>
        <w:tabs>
          <w:tab w:val="left" w:pos="540"/>
          <w:tab w:val="left" w:pos="569"/>
        </w:tabs>
        <w:rPr>
          <w:sz w:val="22"/>
          <w:szCs w:val="22"/>
          <w:lang w:val="sr-Latn-ME"/>
        </w:rPr>
      </w:pPr>
    </w:p>
    <w:p w14:paraId="31C99377" w14:textId="77777777" w:rsidR="007B4113" w:rsidRPr="004E5B63" w:rsidRDefault="007B4113" w:rsidP="00480FB1">
      <w:pPr>
        <w:tabs>
          <w:tab w:val="left" w:pos="540"/>
          <w:tab w:val="left" w:pos="569"/>
        </w:tabs>
        <w:rPr>
          <w:bCs/>
          <w:sz w:val="22"/>
          <w:szCs w:val="22"/>
          <w:lang w:val="sr-Latn-ME"/>
        </w:rPr>
      </w:pPr>
    </w:p>
    <w:p w14:paraId="071A3BC1" w14:textId="77777777" w:rsidR="003F6A59" w:rsidRPr="004E5B63" w:rsidRDefault="0072020E" w:rsidP="00C05DF8">
      <w:pPr>
        <w:tabs>
          <w:tab w:val="left" w:pos="540"/>
          <w:tab w:val="left" w:pos="569"/>
        </w:tabs>
        <w:ind w:left="540" w:hanging="540"/>
        <w:rPr>
          <w:bCs/>
          <w:sz w:val="22"/>
          <w:szCs w:val="22"/>
          <w:lang w:val="sr-Latn-ME"/>
        </w:rPr>
      </w:pPr>
      <w:r w:rsidRPr="004E5B63">
        <w:rPr>
          <w:b/>
          <w:bCs/>
          <w:sz w:val="22"/>
          <w:szCs w:val="22"/>
          <w:lang w:val="sr-Latn-ME"/>
        </w:rPr>
        <w:t xml:space="preserve">10. </w:t>
      </w:r>
      <w:r w:rsidR="00480FB1" w:rsidRPr="004E5B63">
        <w:rPr>
          <w:b/>
          <w:bCs/>
          <w:sz w:val="22"/>
          <w:szCs w:val="22"/>
          <w:lang w:val="sr-Latn-ME"/>
        </w:rPr>
        <w:tab/>
      </w:r>
      <w:r w:rsidR="002846DB" w:rsidRPr="004E5B63">
        <w:rPr>
          <w:b/>
          <w:bCs/>
          <w:sz w:val="22"/>
          <w:szCs w:val="22"/>
          <w:lang w:val="sr-Latn-ME"/>
        </w:rPr>
        <w:t>D</w:t>
      </w:r>
      <w:r w:rsidR="00EC2532" w:rsidRPr="004E5B63">
        <w:rPr>
          <w:b/>
          <w:bCs/>
          <w:sz w:val="22"/>
          <w:szCs w:val="22"/>
          <w:lang w:val="sr-Latn-ME"/>
        </w:rPr>
        <w:t xml:space="preserve">ATUM REVIZIJE TEKSTA </w:t>
      </w:r>
    </w:p>
    <w:p w14:paraId="14730FB7" w14:textId="77777777" w:rsidR="003F6A59" w:rsidRPr="004E5B63" w:rsidRDefault="003F6A59" w:rsidP="00480FB1">
      <w:pPr>
        <w:tabs>
          <w:tab w:val="left" w:pos="540"/>
          <w:tab w:val="left" w:pos="569"/>
        </w:tabs>
        <w:rPr>
          <w:bCs/>
          <w:sz w:val="22"/>
          <w:szCs w:val="22"/>
          <w:lang w:val="sr-Latn-ME"/>
        </w:rPr>
      </w:pPr>
    </w:p>
    <w:p w14:paraId="1D2EA697" w14:textId="22468E20" w:rsidR="008A6D43" w:rsidRPr="004E5B63" w:rsidRDefault="00550968" w:rsidP="00480FB1">
      <w:pPr>
        <w:tabs>
          <w:tab w:val="left" w:pos="540"/>
          <w:tab w:val="left" w:pos="569"/>
        </w:tabs>
        <w:rPr>
          <w:bCs/>
          <w:sz w:val="22"/>
          <w:szCs w:val="22"/>
          <w:lang w:val="sr-Latn-ME"/>
        </w:rPr>
      </w:pPr>
      <w:r>
        <w:rPr>
          <w:bCs/>
          <w:sz w:val="22"/>
          <w:szCs w:val="22"/>
          <w:lang w:val="sr-Latn-ME"/>
        </w:rPr>
        <w:t>Novem</w:t>
      </w:r>
      <w:bookmarkStart w:id="0" w:name="_GoBack"/>
      <w:bookmarkEnd w:id="0"/>
      <w:r w:rsidR="005463EB">
        <w:rPr>
          <w:bCs/>
          <w:sz w:val="22"/>
          <w:szCs w:val="22"/>
          <w:lang w:val="sr-Latn-ME"/>
        </w:rPr>
        <w:t>bar, 2024. godine</w:t>
      </w:r>
    </w:p>
    <w:sectPr w:rsidR="008A6D43" w:rsidRPr="004E5B63"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B2FFB" w14:textId="77777777" w:rsidR="004227E3" w:rsidRDefault="004227E3">
      <w:r>
        <w:separator/>
      </w:r>
    </w:p>
  </w:endnote>
  <w:endnote w:type="continuationSeparator" w:id="0">
    <w:p w14:paraId="5CA55727" w14:textId="77777777" w:rsidR="004227E3" w:rsidRDefault="0042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charset w:val="00"/>
    <w:family w:val="swiss"/>
    <w:pitch w:val="variable"/>
    <w:sig w:usb0="00000087" w:usb1="00000000" w:usb2="00000000" w:usb3="00000000" w:csb0="0000001B"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5E247" w14:textId="0673E344"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50968">
      <w:rPr>
        <w:noProof/>
        <w:sz w:val="22"/>
        <w:szCs w:val="22"/>
      </w:rPr>
      <w:t>13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50968">
      <w:rPr>
        <w:noProof/>
        <w:sz w:val="22"/>
        <w:szCs w:val="22"/>
      </w:rPr>
      <w:t>13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E8773" w14:textId="77777777" w:rsidR="004227E3" w:rsidRDefault="004227E3">
      <w:r>
        <w:separator/>
      </w:r>
    </w:p>
  </w:footnote>
  <w:footnote w:type="continuationSeparator" w:id="0">
    <w:p w14:paraId="4D50B56D" w14:textId="77777777" w:rsidR="004227E3" w:rsidRDefault="00422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05pt;height:13.4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1A776A3"/>
    <w:multiLevelType w:val="hybridMultilevel"/>
    <w:tmpl w:val="3176FC54"/>
    <w:lvl w:ilvl="0" w:tplc="B2A88BA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741059"/>
    <w:multiLevelType w:val="hybridMultilevel"/>
    <w:tmpl w:val="AB2C3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2"/>
  </w:num>
  <w:num w:numId="11">
    <w:abstractNumId w:val="5"/>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2575"/>
    <w:rsid w:val="000176CA"/>
    <w:rsid w:val="00021551"/>
    <w:rsid w:val="00036FA0"/>
    <w:rsid w:val="0003793F"/>
    <w:rsid w:val="00057E35"/>
    <w:rsid w:val="00076726"/>
    <w:rsid w:val="00080303"/>
    <w:rsid w:val="000941EC"/>
    <w:rsid w:val="000A3F58"/>
    <w:rsid w:val="000D2343"/>
    <w:rsid w:val="000D30DD"/>
    <w:rsid w:val="000D3449"/>
    <w:rsid w:val="000D425A"/>
    <w:rsid w:val="000D60CC"/>
    <w:rsid w:val="000E2084"/>
    <w:rsid w:val="000E6F55"/>
    <w:rsid w:val="000F77FA"/>
    <w:rsid w:val="00107BF7"/>
    <w:rsid w:val="001228B9"/>
    <w:rsid w:val="00126F53"/>
    <w:rsid w:val="0014766D"/>
    <w:rsid w:val="001536CC"/>
    <w:rsid w:val="00167645"/>
    <w:rsid w:val="001A3FBA"/>
    <w:rsid w:val="001A5518"/>
    <w:rsid w:val="001A75E0"/>
    <w:rsid w:val="001B1C6A"/>
    <w:rsid w:val="001C1263"/>
    <w:rsid w:val="001C1417"/>
    <w:rsid w:val="001E390B"/>
    <w:rsid w:val="001F42FB"/>
    <w:rsid w:val="001F719A"/>
    <w:rsid w:val="002031B3"/>
    <w:rsid w:val="00215931"/>
    <w:rsid w:val="00226DC4"/>
    <w:rsid w:val="00227BDB"/>
    <w:rsid w:val="00234CB1"/>
    <w:rsid w:val="002352F8"/>
    <w:rsid w:val="002510A5"/>
    <w:rsid w:val="00254A0A"/>
    <w:rsid w:val="00266046"/>
    <w:rsid w:val="00267E93"/>
    <w:rsid w:val="002846DB"/>
    <w:rsid w:val="00284CCD"/>
    <w:rsid w:val="002A7BD6"/>
    <w:rsid w:val="002B0905"/>
    <w:rsid w:val="002C6637"/>
    <w:rsid w:val="002E0135"/>
    <w:rsid w:val="002E37A5"/>
    <w:rsid w:val="002F0A19"/>
    <w:rsid w:val="00310F03"/>
    <w:rsid w:val="003247D2"/>
    <w:rsid w:val="003445C1"/>
    <w:rsid w:val="00355B61"/>
    <w:rsid w:val="00362686"/>
    <w:rsid w:val="00370278"/>
    <w:rsid w:val="00371510"/>
    <w:rsid w:val="00396DFD"/>
    <w:rsid w:val="003A7059"/>
    <w:rsid w:val="003B7A36"/>
    <w:rsid w:val="003C17AB"/>
    <w:rsid w:val="003C7823"/>
    <w:rsid w:val="003E1DCC"/>
    <w:rsid w:val="003F1A0C"/>
    <w:rsid w:val="003F6A59"/>
    <w:rsid w:val="004065C8"/>
    <w:rsid w:val="00411B4B"/>
    <w:rsid w:val="00415BEE"/>
    <w:rsid w:val="004227E3"/>
    <w:rsid w:val="00427F85"/>
    <w:rsid w:val="00436F42"/>
    <w:rsid w:val="004378B4"/>
    <w:rsid w:val="00451314"/>
    <w:rsid w:val="00452E9D"/>
    <w:rsid w:val="004534C7"/>
    <w:rsid w:val="004671AA"/>
    <w:rsid w:val="00480FB1"/>
    <w:rsid w:val="00483928"/>
    <w:rsid w:val="004943EE"/>
    <w:rsid w:val="004C06EE"/>
    <w:rsid w:val="004D6103"/>
    <w:rsid w:val="004E3BCE"/>
    <w:rsid w:val="004E5B63"/>
    <w:rsid w:val="004F0E97"/>
    <w:rsid w:val="00501DD1"/>
    <w:rsid w:val="00515C21"/>
    <w:rsid w:val="00530BD7"/>
    <w:rsid w:val="00536552"/>
    <w:rsid w:val="00545CD2"/>
    <w:rsid w:val="005463EB"/>
    <w:rsid w:val="005476F3"/>
    <w:rsid w:val="00550968"/>
    <w:rsid w:val="00572527"/>
    <w:rsid w:val="00573E40"/>
    <w:rsid w:val="00576348"/>
    <w:rsid w:val="00576793"/>
    <w:rsid w:val="00581E7F"/>
    <w:rsid w:val="005A0B2E"/>
    <w:rsid w:val="005A23D2"/>
    <w:rsid w:val="005A36CB"/>
    <w:rsid w:val="005B49B8"/>
    <w:rsid w:val="005C0741"/>
    <w:rsid w:val="005C5EF4"/>
    <w:rsid w:val="005E2E0B"/>
    <w:rsid w:val="005E6BF5"/>
    <w:rsid w:val="005E74A8"/>
    <w:rsid w:val="005E7A7D"/>
    <w:rsid w:val="005F6E09"/>
    <w:rsid w:val="0063356B"/>
    <w:rsid w:val="00646BD1"/>
    <w:rsid w:val="006561C2"/>
    <w:rsid w:val="00657ED5"/>
    <w:rsid w:val="00666D69"/>
    <w:rsid w:val="00671CB3"/>
    <w:rsid w:val="00674BAF"/>
    <w:rsid w:val="00682200"/>
    <w:rsid w:val="006A1497"/>
    <w:rsid w:val="006B0BD1"/>
    <w:rsid w:val="006B451E"/>
    <w:rsid w:val="006D20A5"/>
    <w:rsid w:val="006D37BF"/>
    <w:rsid w:val="006E4B76"/>
    <w:rsid w:val="006F1BC2"/>
    <w:rsid w:val="00702E22"/>
    <w:rsid w:val="00711B1B"/>
    <w:rsid w:val="0072020E"/>
    <w:rsid w:val="00734F35"/>
    <w:rsid w:val="00771671"/>
    <w:rsid w:val="00786071"/>
    <w:rsid w:val="00794741"/>
    <w:rsid w:val="007A3ECB"/>
    <w:rsid w:val="007B4113"/>
    <w:rsid w:val="00803FED"/>
    <w:rsid w:val="00812820"/>
    <w:rsid w:val="00824AB9"/>
    <w:rsid w:val="00836B35"/>
    <w:rsid w:val="00843BDE"/>
    <w:rsid w:val="0089705C"/>
    <w:rsid w:val="008A6D43"/>
    <w:rsid w:val="008B491E"/>
    <w:rsid w:val="008C1A28"/>
    <w:rsid w:val="008C2E98"/>
    <w:rsid w:val="008C3BB7"/>
    <w:rsid w:val="008E49BD"/>
    <w:rsid w:val="008E53E9"/>
    <w:rsid w:val="008E5771"/>
    <w:rsid w:val="00916F68"/>
    <w:rsid w:val="0093019B"/>
    <w:rsid w:val="00940004"/>
    <w:rsid w:val="00940B9B"/>
    <w:rsid w:val="00943663"/>
    <w:rsid w:val="0095676E"/>
    <w:rsid w:val="00956983"/>
    <w:rsid w:val="00963CF0"/>
    <w:rsid w:val="00964BB1"/>
    <w:rsid w:val="0096614E"/>
    <w:rsid w:val="009727DD"/>
    <w:rsid w:val="009775D9"/>
    <w:rsid w:val="0099060F"/>
    <w:rsid w:val="00997175"/>
    <w:rsid w:val="009A1847"/>
    <w:rsid w:val="009B062A"/>
    <w:rsid w:val="009C5B08"/>
    <w:rsid w:val="009E566B"/>
    <w:rsid w:val="009E7C6F"/>
    <w:rsid w:val="009F1793"/>
    <w:rsid w:val="009F2118"/>
    <w:rsid w:val="009F2D23"/>
    <w:rsid w:val="00A01D69"/>
    <w:rsid w:val="00A02335"/>
    <w:rsid w:val="00A46C9A"/>
    <w:rsid w:val="00A619F3"/>
    <w:rsid w:val="00A62A73"/>
    <w:rsid w:val="00A8066A"/>
    <w:rsid w:val="00A87FF6"/>
    <w:rsid w:val="00AA0A3B"/>
    <w:rsid w:val="00AA2763"/>
    <w:rsid w:val="00AA33B6"/>
    <w:rsid w:val="00AB50CA"/>
    <w:rsid w:val="00AB5A00"/>
    <w:rsid w:val="00AB6D64"/>
    <w:rsid w:val="00AC53CE"/>
    <w:rsid w:val="00AD2193"/>
    <w:rsid w:val="00AD54C7"/>
    <w:rsid w:val="00AF2AC7"/>
    <w:rsid w:val="00AF5B02"/>
    <w:rsid w:val="00AF74CE"/>
    <w:rsid w:val="00B13BDE"/>
    <w:rsid w:val="00B15802"/>
    <w:rsid w:val="00B208DB"/>
    <w:rsid w:val="00B23F69"/>
    <w:rsid w:val="00B60619"/>
    <w:rsid w:val="00B66A70"/>
    <w:rsid w:val="00B67366"/>
    <w:rsid w:val="00B80EE1"/>
    <w:rsid w:val="00B84135"/>
    <w:rsid w:val="00B85402"/>
    <w:rsid w:val="00B91669"/>
    <w:rsid w:val="00BD0920"/>
    <w:rsid w:val="00C04AE5"/>
    <w:rsid w:val="00C04D34"/>
    <w:rsid w:val="00C05DF8"/>
    <w:rsid w:val="00C06864"/>
    <w:rsid w:val="00C10F54"/>
    <w:rsid w:val="00C23D8D"/>
    <w:rsid w:val="00C37AA3"/>
    <w:rsid w:val="00C37FD7"/>
    <w:rsid w:val="00C43419"/>
    <w:rsid w:val="00C44CF3"/>
    <w:rsid w:val="00C53AD9"/>
    <w:rsid w:val="00C566CE"/>
    <w:rsid w:val="00C61BE0"/>
    <w:rsid w:val="00C70B0E"/>
    <w:rsid w:val="00C773CA"/>
    <w:rsid w:val="00C83785"/>
    <w:rsid w:val="00C92AF3"/>
    <w:rsid w:val="00C94C0D"/>
    <w:rsid w:val="00CA1FEB"/>
    <w:rsid w:val="00CB4899"/>
    <w:rsid w:val="00CD4F85"/>
    <w:rsid w:val="00CD6F02"/>
    <w:rsid w:val="00CE246D"/>
    <w:rsid w:val="00CF07A0"/>
    <w:rsid w:val="00CF3E03"/>
    <w:rsid w:val="00D0082A"/>
    <w:rsid w:val="00D21455"/>
    <w:rsid w:val="00D35C52"/>
    <w:rsid w:val="00D47634"/>
    <w:rsid w:val="00D709B3"/>
    <w:rsid w:val="00DA293E"/>
    <w:rsid w:val="00DA2ED6"/>
    <w:rsid w:val="00DB76B8"/>
    <w:rsid w:val="00DB7BE7"/>
    <w:rsid w:val="00DC2EA1"/>
    <w:rsid w:val="00DD5A92"/>
    <w:rsid w:val="00DD6AAF"/>
    <w:rsid w:val="00DE3F5C"/>
    <w:rsid w:val="00DF1D20"/>
    <w:rsid w:val="00E21324"/>
    <w:rsid w:val="00E246B9"/>
    <w:rsid w:val="00E31629"/>
    <w:rsid w:val="00E31FEA"/>
    <w:rsid w:val="00E34C6A"/>
    <w:rsid w:val="00E45169"/>
    <w:rsid w:val="00E47787"/>
    <w:rsid w:val="00E51C30"/>
    <w:rsid w:val="00E64180"/>
    <w:rsid w:val="00E66CCE"/>
    <w:rsid w:val="00E7017E"/>
    <w:rsid w:val="00E742D2"/>
    <w:rsid w:val="00E74AEE"/>
    <w:rsid w:val="00E868E5"/>
    <w:rsid w:val="00E9237A"/>
    <w:rsid w:val="00E939FA"/>
    <w:rsid w:val="00EA5765"/>
    <w:rsid w:val="00EC2532"/>
    <w:rsid w:val="00ED7812"/>
    <w:rsid w:val="00EE3324"/>
    <w:rsid w:val="00EF3B86"/>
    <w:rsid w:val="00F226C5"/>
    <w:rsid w:val="00F317E9"/>
    <w:rsid w:val="00F321F5"/>
    <w:rsid w:val="00F34554"/>
    <w:rsid w:val="00F45F77"/>
    <w:rsid w:val="00F5167F"/>
    <w:rsid w:val="00F52258"/>
    <w:rsid w:val="00F62A3D"/>
    <w:rsid w:val="00F8570A"/>
    <w:rsid w:val="00F91C7B"/>
    <w:rsid w:val="00FB60C6"/>
    <w:rsid w:val="00FF3CD0"/>
    <w:rsid w:val="00FF4D6A"/>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AEB2B74"/>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semiHidden/>
    <w:unhideWhenUsed/>
    <w:qFormat/>
    <w:rsid w:val="00FF3CD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FF3C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styleId="BodyText">
    <w:name w:val="Body Text"/>
    <w:basedOn w:val="Normal"/>
    <w:link w:val="BodyTextChar"/>
    <w:rsid w:val="00FF3CD0"/>
    <w:rPr>
      <w:noProof/>
      <w:color w:val="000000"/>
      <w:szCs w:val="20"/>
    </w:rPr>
  </w:style>
  <w:style w:type="character" w:customStyle="1" w:styleId="BodyTextChar">
    <w:name w:val="Body Text Char"/>
    <w:basedOn w:val="DefaultParagraphFont"/>
    <w:link w:val="BodyText"/>
    <w:rsid w:val="00FF3CD0"/>
    <w:rPr>
      <w:noProof/>
      <w:color w:val="000000"/>
      <w:sz w:val="24"/>
      <w:lang w:val="en-US" w:eastAsia="en-US"/>
    </w:rPr>
  </w:style>
  <w:style w:type="character" w:customStyle="1" w:styleId="HeaderChar">
    <w:name w:val="Header Char"/>
    <w:basedOn w:val="DefaultParagraphFont"/>
    <w:link w:val="Header"/>
    <w:rsid w:val="00FF3CD0"/>
    <w:rPr>
      <w:sz w:val="24"/>
      <w:szCs w:val="24"/>
      <w:lang w:val="en-US" w:eastAsia="en-US"/>
    </w:rPr>
  </w:style>
  <w:style w:type="paragraph" w:customStyle="1" w:styleId="Compound">
    <w:name w:val="Compound"/>
    <w:basedOn w:val="Normal"/>
    <w:rsid w:val="00FF3CD0"/>
    <w:pPr>
      <w:keepNext/>
      <w:spacing w:before="720"/>
      <w:jc w:val="center"/>
    </w:pPr>
    <w:rPr>
      <w:rFonts w:ascii="Arial" w:hAnsi="Arial"/>
      <w:sz w:val="32"/>
      <w:szCs w:val="20"/>
      <w:lang w:val="en-GB"/>
    </w:rPr>
  </w:style>
  <w:style w:type="character" w:customStyle="1" w:styleId="Heading3Char">
    <w:name w:val="Heading 3 Char"/>
    <w:basedOn w:val="DefaultParagraphFont"/>
    <w:link w:val="Heading3"/>
    <w:semiHidden/>
    <w:rsid w:val="00FF3CD0"/>
    <w:rPr>
      <w:rFonts w:asciiTheme="majorHAnsi" w:eastAsiaTheme="majorEastAsia" w:hAnsiTheme="majorHAnsi" w:cstheme="majorBidi"/>
      <w:color w:val="1F4D78" w:themeColor="accent1" w:themeShade="7F"/>
      <w:sz w:val="24"/>
      <w:szCs w:val="24"/>
      <w:lang w:val="en-US" w:eastAsia="en-US"/>
    </w:rPr>
  </w:style>
  <w:style w:type="character" w:customStyle="1" w:styleId="Heading4Char">
    <w:name w:val="Heading 4 Char"/>
    <w:basedOn w:val="DefaultParagraphFont"/>
    <w:link w:val="Heading4"/>
    <w:semiHidden/>
    <w:rsid w:val="00FF3CD0"/>
    <w:rPr>
      <w:rFonts w:asciiTheme="majorHAnsi" w:eastAsiaTheme="majorEastAsia" w:hAnsiTheme="majorHAnsi" w:cstheme="majorBidi"/>
      <w:i/>
      <w:iCs/>
      <w:color w:val="2E74B5" w:themeColor="accent1" w:themeShade="BF"/>
      <w:sz w:val="24"/>
      <w:szCs w:val="24"/>
      <w:lang w:val="en-US" w:eastAsia="en-US"/>
    </w:rPr>
  </w:style>
  <w:style w:type="paragraph" w:styleId="BodyTextIndent2">
    <w:name w:val="Body Text Indent 2"/>
    <w:basedOn w:val="Normal"/>
    <w:link w:val="BodyTextIndent2Char"/>
    <w:rsid w:val="002A7BD6"/>
    <w:pPr>
      <w:tabs>
        <w:tab w:val="left" w:pos="284"/>
      </w:tabs>
      <w:spacing w:after="120" w:line="480" w:lineRule="auto"/>
      <w:ind w:left="283"/>
      <w:jc w:val="both"/>
    </w:pPr>
    <w:rPr>
      <w:rFonts w:ascii="Humanist777" w:hAnsi="Humanist777"/>
    </w:rPr>
  </w:style>
  <w:style w:type="character" w:customStyle="1" w:styleId="BodyTextIndent2Char">
    <w:name w:val="Body Text Indent 2 Char"/>
    <w:basedOn w:val="DefaultParagraphFont"/>
    <w:link w:val="BodyTextIndent2"/>
    <w:rsid w:val="002A7BD6"/>
    <w:rPr>
      <w:rFonts w:ascii="Humanist777" w:hAnsi="Humanist777"/>
      <w:sz w:val="24"/>
      <w:szCs w:val="24"/>
      <w:lang w:val="en-US" w:eastAsia="en-US"/>
    </w:rPr>
  </w:style>
  <w:style w:type="paragraph" w:customStyle="1" w:styleId="Text">
    <w:name w:val="Text"/>
    <w:aliases w:val="Graphic"/>
    <w:basedOn w:val="Normal"/>
    <w:link w:val="TextChar"/>
    <w:rsid w:val="002A7BD6"/>
    <w:pPr>
      <w:spacing w:before="120"/>
      <w:jc w:val="both"/>
    </w:pPr>
    <w:rPr>
      <w:rFonts w:eastAsia="MS Mincho"/>
      <w:szCs w:val="20"/>
    </w:rPr>
  </w:style>
  <w:style w:type="character" w:customStyle="1" w:styleId="TextChar">
    <w:name w:val="Text Char"/>
    <w:link w:val="Text"/>
    <w:rsid w:val="002A7BD6"/>
    <w:rPr>
      <w:rFonts w:eastAsia="MS Mincho"/>
      <w:sz w:val="24"/>
      <w:lang w:val="en-US" w:eastAsia="en-US"/>
    </w:rPr>
  </w:style>
  <w:style w:type="character" w:styleId="Hyperlink">
    <w:name w:val="Hyperlink"/>
    <w:basedOn w:val="DefaultParagraphFont"/>
    <w:rsid w:val="00AD54C7"/>
    <w:rPr>
      <w:color w:val="0563C1" w:themeColor="hyperlink"/>
      <w:u w:val="single"/>
    </w:rPr>
  </w:style>
  <w:style w:type="paragraph" w:styleId="Revision">
    <w:name w:val="Revision"/>
    <w:hidden/>
    <w:uiPriority w:val="99"/>
    <w:semiHidden/>
    <w:rsid w:val="00021551"/>
    <w:rPr>
      <w:sz w:val="24"/>
      <w:szCs w:val="24"/>
      <w:lang w:val="en-US" w:eastAsia="en-US"/>
    </w:rPr>
  </w:style>
  <w:style w:type="paragraph" w:styleId="BodyText2">
    <w:name w:val="Body Text 2"/>
    <w:basedOn w:val="Normal"/>
    <w:link w:val="BodyText2Char"/>
    <w:rsid w:val="00794741"/>
    <w:pPr>
      <w:spacing w:after="120" w:line="480" w:lineRule="auto"/>
    </w:pPr>
  </w:style>
  <w:style w:type="character" w:customStyle="1" w:styleId="BodyText2Char">
    <w:name w:val="Body Text 2 Char"/>
    <w:basedOn w:val="DefaultParagraphFont"/>
    <w:link w:val="BodyText2"/>
    <w:rsid w:val="0079474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923806">
      <w:bodyDiv w:val="1"/>
      <w:marLeft w:val="0"/>
      <w:marRight w:val="0"/>
      <w:marTop w:val="0"/>
      <w:marBottom w:val="0"/>
      <w:divBdr>
        <w:top w:val="none" w:sz="0" w:space="0" w:color="auto"/>
        <w:left w:val="none" w:sz="0" w:space="0" w:color="auto"/>
        <w:bottom w:val="none" w:sz="0" w:space="0" w:color="auto"/>
        <w:right w:val="none" w:sz="0" w:space="0" w:color="auto"/>
      </w:divBdr>
    </w:div>
    <w:div w:id="1299258829">
      <w:bodyDiv w:val="1"/>
      <w:marLeft w:val="0"/>
      <w:marRight w:val="0"/>
      <w:marTop w:val="0"/>
      <w:marBottom w:val="0"/>
      <w:divBdr>
        <w:top w:val="none" w:sz="0" w:space="0" w:color="auto"/>
        <w:left w:val="none" w:sz="0" w:space="0" w:color="auto"/>
        <w:bottom w:val="none" w:sz="0" w:space="0" w:color="auto"/>
        <w:right w:val="none" w:sz="0" w:space="0" w:color="auto"/>
      </w:divBdr>
    </w:div>
    <w:div w:id="203607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E4244-3A62-495D-904B-2DF151A9E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5201</Words>
  <Characters>29648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34780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Jovana Jovanovic</cp:lastModifiedBy>
  <cp:revision>4</cp:revision>
  <dcterms:created xsi:type="dcterms:W3CDTF">2024-10-30T12:31:00Z</dcterms:created>
  <dcterms:modified xsi:type="dcterms:W3CDTF">2024-11-05T12:08:00Z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2021-04-20T09:18:39Z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41f19944-03f4-416f-a662-e04df4d551fe</vt:lpwstr>
  </property>
  <property fmtid="{D5CDD505-2E9C-101B-9397-08002B2CF9AE}" pid="9" name="MSIP_Label_4929bff8-5b33-42aa-95d2-28f72e792cb0_ContentBits">
    <vt:lpwstr>0</vt:lpwstr>
  </property>
</Properties>
</file>