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Pr="00A633A9" w:rsidRDefault="001A5518" w:rsidP="001A5518">
      <w:pPr>
        <w:rPr>
          <w:b/>
          <w:bCs/>
          <w:i/>
          <w:iCs/>
          <w:sz w:val="22"/>
          <w:szCs w:val="22"/>
          <w:u w:val="single"/>
          <w:lang w:val="sr-Latn-ME"/>
        </w:rPr>
      </w:pPr>
    </w:p>
    <w:p w:rsidR="00F91C7B" w:rsidRPr="00A633A9" w:rsidRDefault="00F91C7B" w:rsidP="001A5518">
      <w:pPr>
        <w:rPr>
          <w:b/>
          <w:bCs/>
          <w:i/>
          <w:iCs/>
          <w:sz w:val="22"/>
          <w:szCs w:val="22"/>
          <w:u w:val="single"/>
          <w:lang w:val="sr-Latn-ME"/>
        </w:rPr>
      </w:pPr>
    </w:p>
    <w:p w:rsidR="003C17AB" w:rsidRPr="00206CF0" w:rsidRDefault="002510A5" w:rsidP="00CA5513">
      <w:pPr>
        <w:jc w:val="center"/>
        <w:rPr>
          <w:b/>
          <w:bCs/>
          <w:iCs/>
          <w:sz w:val="22"/>
          <w:szCs w:val="22"/>
          <w:u w:val="single"/>
          <w:lang w:val="sr-Latn-RS"/>
        </w:rPr>
      </w:pPr>
      <w:r w:rsidRPr="00206CF0">
        <w:rPr>
          <w:b/>
          <w:bCs/>
          <w:iCs/>
          <w:sz w:val="22"/>
          <w:szCs w:val="22"/>
          <w:u w:val="single"/>
          <w:lang w:val="sr-Latn-RS"/>
        </w:rPr>
        <w:t>SAŽETAK KARAKTERISTIKA LIJEKA</w:t>
      </w:r>
    </w:p>
    <w:p w:rsidR="00CA5513" w:rsidRPr="00206CF0" w:rsidRDefault="00CA5513" w:rsidP="00CA5513">
      <w:pPr>
        <w:jc w:val="center"/>
        <w:rPr>
          <w:b/>
          <w:bCs/>
          <w:iCs/>
          <w:sz w:val="22"/>
          <w:szCs w:val="22"/>
          <w:u w:val="single"/>
          <w:lang w:val="sr-Latn-RS"/>
        </w:rPr>
      </w:pPr>
    </w:p>
    <w:p w:rsidR="00CA5513" w:rsidRPr="00206CF0" w:rsidRDefault="00CA5513" w:rsidP="00CA5513">
      <w:pPr>
        <w:jc w:val="center"/>
        <w:rPr>
          <w:b/>
          <w:bCs/>
          <w:iCs/>
          <w:sz w:val="22"/>
          <w:szCs w:val="22"/>
          <w:u w:val="single"/>
          <w:lang w:val="sr-Latn-RS"/>
        </w:rPr>
      </w:pPr>
    </w:p>
    <w:p w:rsidR="00C37FD7" w:rsidRPr="00206CF0" w:rsidRDefault="00C37FD7" w:rsidP="00F5167F">
      <w:pPr>
        <w:tabs>
          <w:tab w:val="left" w:pos="540"/>
          <w:tab w:val="left" w:pos="569"/>
        </w:tabs>
        <w:rPr>
          <w:bCs/>
          <w:sz w:val="22"/>
          <w:szCs w:val="22"/>
          <w:lang w:val="sr-Latn-RS"/>
        </w:rPr>
      </w:pPr>
    </w:p>
    <w:p w:rsidR="00411B4B" w:rsidRPr="00206CF0" w:rsidRDefault="00411B4B" w:rsidP="00F55D06">
      <w:pPr>
        <w:tabs>
          <w:tab w:val="left" w:pos="540"/>
          <w:tab w:val="left" w:pos="569"/>
        </w:tabs>
        <w:jc w:val="both"/>
        <w:rPr>
          <w:b/>
          <w:bCs/>
          <w:sz w:val="22"/>
          <w:szCs w:val="22"/>
          <w:lang w:val="sr-Latn-RS"/>
        </w:rPr>
      </w:pPr>
      <w:r w:rsidRPr="00206CF0">
        <w:rPr>
          <w:b/>
          <w:bCs/>
          <w:sz w:val="22"/>
          <w:szCs w:val="22"/>
          <w:lang w:val="sr-Latn-RS"/>
        </w:rPr>
        <w:t>1.</w:t>
      </w:r>
      <w:r w:rsidR="00F5167F" w:rsidRPr="00206CF0">
        <w:rPr>
          <w:b/>
          <w:bCs/>
          <w:sz w:val="22"/>
          <w:szCs w:val="22"/>
          <w:lang w:val="sr-Latn-RS"/>
        </w:rPr>
        <w:tab/>
      </w:r>
      <w:r w:rsidR="002846DB" w:rsidRPr="00206CF0">
        <w:rPr>
          <w:b/>
          <w:bCs/>
          <w:sz w:val="22"/>
          <w:szCs w:val="22"/>
          <w:lang w:val="sr-Latn-RS"/>
        </w:rPr>
        <w:t xml:space="preserve">NAZIV </w:t>
      </w:r>
      <w:r w:rsidRPr="00206CF0">
        <w:rPr>
          <w:b/>
          <w:bCs/>
          <w:sz w:val="22"/>
          <w:szCs w:val="22"/>
          <w:lang w:val="sr-Latn-RS"/>
        </w:rPr>
        <w:t>LIJEKA</w:t>
      </w:r>
    </w:p>
    <w:p w:rsidR="00EC2532" w:rsidRPr="00206CF0" w:rsidRDefault="00EC2532" w:rsidP="00F55D06">
      <w:pPr>
        <w:jc w:val="both"/>
        <w:rPr>
          <w:sz w:val="22"/>
          <w:szCs w:val="22"/>
          <w:lang w:val="sr-Latn-RS"/>
        </w:rPr>
      </w:pPr>
    </w:p>
    <w:p w:rsidR="00107BF7" w:rsidRPr="00206CF0" w:rsidRDefault="00CA5513" w:rsidP="00F55D06">
      <w:pPr>
        <w:jc w:val="both"/>
        <w:rPr>
          <w:iCs/>
          <w:color w:val="000000" w:themeColor="text1"/>
          <w:sz w:val="22"/>
          <w:szCs w:val="22"/>
          <w:lang w:val="sr-Latn-RS"/>
        </w:rPr>
      </w:pPr>
      <w:r w:rsidRPr="00206CF0">
        <w:rPr>
          <w:color w:val="000000" w:themeColor="text1"/>
          <w:sz w:val="22"/>
          <w:szCs w:val="22"/>
          <w:lang w:val="sr-Latn-RS"/>
        </w:rPr>
        <w:t xml:space="preserve">MIRCERA, </w:t>
      </w:r>
      <w:r w:rsidRPr="00206CF0">
        <w:rPr>
          <w:bCs/>
          <w:color w:val="000000" w:themeColor="text1"/>
          <w:sz w:val="22"/>
          <w:szCs w:val="22"/>
          <w:lang w:val="sr-Latn-RS"/>
        </w:rPr>
        <w:t>50 mikrograma/0.3 ml</w:t>
      </w:r>
      <w:r w:rsidRPr="00206CF0">
        <w:rPr>
          <w:iCs/>
          <w:color w:val="000000" w:themeColor="text1"/>
          <w:sz w:val="22"/>
          <w:szCs w:val="22"/>
          <w:lang w:val="sr-Latn-RS"/>
        </w:rPr>
        <w:t xml:space="preserve">, rastvor za injekciju u napunjenom injekcionom špricu </w:t>
      </w:r>
    </w:p>
    <w:p w:rsidR="00CA5513" w:rsidRPr="00206CF0" w:rsidRDefault="00CA5513" w:rsidP="00F55D06">
      <w:pPr>
        <w:jc w:val="both"/>
        <w:rPr>
          <w:iCs/>
          <w:color w:val="000000" w:themeColor="text1"/>
          <w:sz w:val="22"/>
          <w:szCs w:val="22"/>
          <w:lang w:val="sr-Latn-RS"/>
        </w:rPr>
      </w:pPr>
      <w:r w:rsidRPr="00206CF0">
        <w:rPr>
          <w:color w:val="000000" w:themeColor="text1"/>
          <w:sz w:val="22"/>
          <w:szCs w:val="22"/>
          <w:lang w:val="sr-Latn-RS"/>
        </w:rPr>
        <w:t xml:space="preserve">MIRCERA, </w:t>
      </w:r>
      <w:r w:rsidRPr="00206CF0">
        <w:rPr>
          <w:bCs/>
          <w:color w:val="000000" w:themeColor="text1"/>
          <w:sz w:val="22"/>
          <w:szCs w:val="22"/>
          <w:lang w:val="sr-Latn-RS"/>
        </w:rPr>
        <w:t>75 mikrograma/0.3 ml</w:t>
      </w:r>
      <w:r w:rsidRPr="00206CF0">
        <w:rPr>
          <w:iCs/>
          <w:color w:val="000000" w:themeColor="text1"/>
          <w:sz w:val="22"/>
          <w:szCs w:val="22"/>
          <w:lang w:val="sr-Latn-RS"/>
        </w:rPr>
        <w:t xml:space="preserve">, rastvor za injekciju u napunjenom injekcionom špricu </w:t>
      </w:r>
    </w:p>
    <w:p w:rsidR="00CA5513" w:rsidRPr="00206CF0" w:rsidRDefault="00CA5513" w:rsidP="00F55D06">
      <w:pPr>
        <w:jc w:val="both"/>
        <w:rPr>
          <w:iCs/>
          <w:color w:val="000000" w:themeColor="text1"/>
          <w:sz w:val="22"/>
          <w:szCs w:val="22"/>
          <w:lang w:val="sr-Latn-RS"/>
        </w:rPr>
      </w:pPr>
      <w:r w:rsidRPr="00206CF0">
        <w:rPr>
          <w:color w:val="000000" w:themeColor="text1"/>
          <w:sz w:val="22"/>
          <w:szCs w:val="22"/>
          <w:lang w:val="sr-Latn-RS"/>
        </w:rPr>
        <w:t xml:space="preserve">MIRCERA, </w:t>
      </w:r>
      <w:r w:rsidRPr="00206CF0">
        <w:rPr>
          <w:bCs/>
          <w:color w:val="000000" w:themeColor="text1"/>
          <w:sz w:val="22"/>
          <w:szCs w:val="22"/>
          <w:lang w:val="sr-Latn-RS"/>
        </w:rPr>
        <w:t>100 mikrograma/0.3 ml</w:t>
      </w:r>
      <w:r w:rsidRPr="00206CF0">
        <w:rPr>
          <w:iCs/>
          <w:color w:val="000000" w:themeColor="text1"/>
          <w:sz w:val="22"/>
          <w:szCs w:val="22"/>
          <w:lang w:val="sr-Latn-RS"/>
        </w:rPr>
        <w:t xml:space="preserve">, rastvor za injekciju u napunjenom injekcionom špricu </w:t>
      </w:r>
    </w:p>
    <w:p w:rsidR="00D72624" w:rsidRPr="00206CF0" w:rsidRDefault="00D72624" w:rsidP="00F55D06">
      <w:pPr>
        <w:jc w:val="both"/>
        <w:rPr>
          <w:iCs/>
          <w:color w:val="000000" w:themeColor="text1"/>
          <w:sz w:val="22"/>
          <w:szCs w:val="22"/>
          <w:lang w:val="sr-Latn-RS"/>
        </w:rPr>
      </w:pPr>
      <w:r w:rsidRPr="00206CF0">
        <w:rPr>
          <w:iCs/>
          <w:color w:val="000000" w:themeColor="text1"/>
          <w:sz w:val="22"/>
          <w:szCs w:val="22"/>
          <w:lang w:val="sr-Latn-RS"/>
        </w:rPr>
        <w:t>MIRCERA, 200 mikrograma/0.3 ml</w:t>
      </w:r>
      <w:r w:rsidR="00A633A9" w:rsidRPr="00206CF0">
        <w:rPr>
          <w:iCs/>
          <w:color w:val="000000" w:themeColor="text1"/>
          <w:sz w:val="22"/>
          <w:szCs w:val="22"/>
          <w:lang w:val="sr-Latn-RS"/>
        </w:rPr>
        <w:t>,</w:t>
      </w:r>
      <w:r w:rsidRPr="00206CF0">
        <w:rPr>
          <w:iCs/>
          <w:color w:val="000000" w:themeColor="text1"/>
          <w:sz w:val="22"/>
          <w:szCs w:val="22"/>
          <w:lang w:val="sr-Latn-RS"/>
        </w:rPr>
        <w:t xml:space="preserve"> rastvor za injekciju u napunjenom injekcionom špricu</w:t>
      </w:r>
    </w:p>
    <w:p w:rsidR="000D425A" w:rsidRPr="00206CF0" w:rsidRDefault="000D425A" w:rsidP="00F55D06">
      <w:pPr>
        <w:jc w:val="both"/>
        <w:rPr>
          <w:bCs/>
          <w:sz w:val="22"/>
          <w:szCs w:val="22"/>
          <w:lang w:val="sr-Latn-RS"/>
        </w:rPr>
      </w:pPr>
    </w:p>
    <w:p w:rsidR="006D20A5" w:rsidRPr="00206CF0" w:rsidRDefault="006D20A5" w:rsidP="00F55D06">
      <w:pPr>
        <w:jc w:val="both"/>
        <w:rPr>
          <w:sz w:val="22"/>
          <w:szCs w:val="22"/>
          <w:lang w:val="sr-Latn-RS"/>
        </w:rPr>
      </w:pPr>
      <w:r w:rsidRPr="00206CF0">
        <w:rPr>
          <w:sz w:val="22"/>
          <w:szCs w:val="22"/>
          <w:lang w:val="sr-Latn-RS"/>
        </w:rPr>
        <w:t>INN:</w:t>
      </w:r>
      <w:r w:rsidR="00CA5513" w:rsidRPr="00206CF0">
        <w:rPr>
          <w:sz w:val="22"/>
          <w:szCs w:val="22"/>
          <w:lang w:val="sr-Latn-RS"/>
        </w:rPr>
        <w:t xml:space="preserve"> metoksipolietilenglikol-epoetin beta</w:t>
      </w:r>
    </w:p>
    <w:p w:rsidR="006D20A5" w:rsidRPr="00206CF0" w:rsidRDefault="006D20A5" w:rsidP="00F55D06">
      <w:pPr>
        <w:jc w:val="both"/>
        <w:rPr>
          <w:bCs/>
          <w:sz w:val="22"/>
          <w:szCs w:val="22"/>
          <w:lang w:val="sr-Latn-RS"/>
        </w:rPr>
      </w:pPr>
    </w:p>
    <w:p w:rsidR="00530BD7" w:rsidRPr="00206CF0" w:rsidRDefault="00530BD7" w:rsidP="00F55D06">
      <w:pPr>
        <w:jc w:val="both"/>
        <w:rPr>
          <w:bCs/>
          <w:sz w:val="22"/>
          <w:szCs w:val="22"/>
          <w:lang w:val="sr-Latn-RS"/>
        </w:rPr>
      </w:pPr>
    </w:p>
    <w:p w:rsidR="00411B4B" w:rsidRPr="00206CF0" w:rsidRDefault="00411B4B" w:rsidP="00F55D06">
      <w:pPr>
        <w:tabs>
          <w:tab w:val="left" w:pos="540"/>
          <w:tab w:val="left" w:pos="569"/>
        </w:tabs>
        <w:jc w:val="both"/>
        <w:rPr>
          <w:b/>
          <w:bCs/>
          <w:sz w:val="22"/>
          <w:szCs w:val="22"/>
          <w:lang w:val="sr-Latn-RS"/>
        </w:rPr>
      </w:pPr>
      <w:r w:rsidRPr="00206CF0">
        <w:rPr>
          <w:b/>
          <w:bCs/>
          <w:sz w:val="22"/>
          <w:szCs w:val="22"/>
          <w:lang w:val="sr-Latn-RS"/>
        </w:rPr>
        <w:t xml:space="preserve">2. </w:t>
      </w:r>
      <w:r w:rsidR="00F5167F" w:rsidRPr="00206CF0">
        <w:rPr>
          <w:b/>
          <w:bCs/>
          <w:sz w:val="22"/>
          <w:szCs w:val="22"/>
          <w:lang w:val="sr-Latn-RS"/>
        </w:rPr>
        <w:tab/>
      </w:r>
      <w:r w:rsidRPr="00206CF0">
        <w:rPr>
          <w:b/>
          <w:bCs/>
          <w:sz w:val="22"/>
          <w:szCs w:val="22"/>
          <w:lang w:val="sr-Latn-RS"/>
        </w:rPr>
        <w:t>KVALITATIVNI I KVANTITATIVNI SASTAV</w:t>
      </w:r>
    </w:p>
    <w:p w:rsidR="005A0B2E" w:rsidRPr="00206CF0" w:rsidRDefault="005A0B2E" w:rsidP="00F55D06">
      <w:pPr>
        <w:jc w:val="both"/>
        <w:rPr>
          <w:sz w:val="22"/>
          <w:szCs w:val="22"/>
          <w:lang w:val="sr-Latn-RS"/>
        </w:rPr>
      </w:pPr>
    </w:p>
    <w:p w:rsidR="00CA5513" w:rsidRPr="00206CF0" w:rsidRDefault="00CA5513" w:rsidP="00F55D06">
      <w:pPr>
        <w:jc w:val="both"/>
        <w:rPr>
          <w:sz w:val="22"/>
          <w:szCs w:val="22"/>
          <w:lang w:val="sr-Latn-RS"/>
        </w:rPr>
      </w:pPr>
      <w:r w:rsidRPr="00206CF0">
        <w:rPr>
          <w:sz w:val="22"/>
          <w:szCs w:val="22"/>
          <w:lang w:val="sr-Latn-RS"/>
        </w:rPr>
        <w:t>Jedan napunjen</w:t>
      </w:r>
      <w:r w:rsidR="00283F26" w:rsidRPr="00206CF0">
        <w:rPr>
          <w:sz w:val="22"/>
          <w:szCs w:val="22"/>
          <w:lang w:val="sr-Latn-RS"/>
        </w:rPr>
        <w:t>i</w:t>
      </w:r>
      <w:r w:rsidRPr="00206CF0">
        <w:rPr>
          <w:sz w:val="22"/>
          <w:szCs w:val="22"/>
          <w:lang w:val="sr-Latn-RS"/>
        </w:rPr>
        <w:t xml:space="preserve"> injekcioni špric sadrži 50 mikrograma metoksipolietilen glikol-epoetina beta*</w:t>
      </w:r>
      <w:r w:rsidRPr="00206CF0">
        <w:rPr>
          <w:color w:val="FF0000"/>
          <w:sz w:val="22"/>
          <w:szCs w:val="22"/>
          <w:lang w:val="sr-Latn-RS"/>
        </w:rPr>
        <w:t xml:space="preserve"> </w:t>
      </w:r>
      <w:r w:rsidRPr="00206CF0">
        <w:rPr>
          <w:sz w:val="22"/>
          <w:szCs w:val="22"/>
          <w:lang w:val="sr-Latn-RS"/>
        </w:rPr>
        <w:t>u koncentraciji od 167 mikrograma/ml. Ova jačina ukazuje na količinu proteinskog dijela metoksi</w:t>
      </w:r>
      <w:r w:rsidR="00A633A9" w:rsidRPr="00206CF0">
        <w:rPr>
          <w:sz w:val="22"/>
          <w:szCs w:val="22"/>
          <w:lang w:val="sr-Latn-RS"/>
        </w:rPr>
        <w:t xml:space="preserve"> </w:t>
      </w:r>
      <w:r w:rsidRPr="00206CF0">
        <w:rPr>
          <w:sz w:val="22"/>
          <w:szCs w:val="22"/>
          <w:lang w:val="sr-Latn-RS"/>
        </w:rPr>
        <w:t xml:space="preserve">polietilen glikol-epoetin beta molekula ne uzimajući u obzir glikozilaciju. </w:t>
      </w:r>
    </w:p>
    <w:p w:rsidR="00004273" w:rsidRPr="00206CF0" w:rsidRDefault="00004273" w:rsidP="00F55D06">
      <w:pPr>
        <w:jc w:val="both"/>
        <w:rPr>
          <w:sz w:val="22"/>
          <w:szCs w:val="22"/>
          <w:lang w:val="sr-Latn-RS"/>
        </w:rPr>
      </w:pPr>
    </w:p>
    <w:p w:rsidR="00CA5513" w:rsidRPr="00206CF0" w:rsidRDefault="00CA5513" w:rsidP="00F55D06">
      <w:pPr>
        <w:jc w:val="both"/>
        <w:rPr>
          <w:sz w:val="22"/>
          <w:szCs w:val="22"/>
          <w:lang w:val="sr-Latn-RS"/>
        </w:rPr>
      </w:pPr>
      <w:r w:rsidRPr="00206CF0">
        <w:rPr>
          <w:sz w:val="22"/>
          <w:szCs w:val="22"/>
          <w:lang w:val="sr-Latn-RS"/>
        </w:rPr>
        <w:t>Jedan napunjen</w:t>
      </w:r>
      <w:r w:rsidR="00283F26" w:rsidRPr="00206CF0">
        <w:rPr>
          <w:sz w:val="22"/>
          <w:szCs w:val="22"/>
          <w:lang w:val="sr-Latn-RS"/>
        </w:rPr>
        <w:t>i</w:t>
      </w:r>
      <w:r w:rsidRPr="00206CF0">
        <w:rPr>
          <w:sz w:val="22"/>
          <w:szCs w:val="22"/>
          <w:lang w:val="sr-Latn-RS"/>
        </w:rPr>
        <w:t xml:space="preserve"> injekcioni špric sadrži 75 mikrograma metoksipolietilen glikol-epoetina beta* u koncentraciji od 250 mikrograma/ml. Ova jačina ukazuje na količinu proteinskog dijela metoksi</w:t>
      </w:r>
      <w:r w:rsidR="00A633A9" w:rsidRPr="00206CF0">
        <w:rPr>
          <w:sz w:val="22"/>
          <w:szCs w:val="22"/>
          <w:lang w:val="sr-Latn-RS"/>
        </w:rPr>
        <w:t xml:space="preserve"> </w:t>
      </w:r>
      <w:r w:rsidRPr="00206CF0">
        <w:rPr>
          <w:sz w:val="22"/>
          <w:szCs w:val="22"/>
          <w:lang w:val="sr-Latn-RS"/>
        </w:rPr>
        <w:t xml:space="preserve">polietilen glikol-epoetin beta molekula ne uzimajući u obzir glikozilaciju. </w:t>
      </w:r>
    </w:p>
    <w:p w:rsidR="00004273" w:rsidRPr="00206CF0" w:rsidRDefault="00004273" w:rsidP="00F55D06">
      <w:pPr>
        <w:jc w:val="both"/>
        <w:rPr>
          <w:sz w:val="22"/>
          <w:szCs w:val="22"/>
          <w:lang w:val="sr-Latn-RS"/>
        </w:rPr>
      </w:pPr>
    </w:p>
    <w:p w:rsidR="00CA5513" w:rsidRPr="00206CF0" w:rsidRDefault="00CA5513" w:rsidP="00F55D06">
      <w:pPr>
        <w:jc w:val="both"/>
        <w:rPr>
          <w:sz w:val="22"/>
          <w:szCs w:val="22"/>
          <w:lang w:val="sr-Latn-RS"/>
        </w:rPr>
      </w:pPr>
      <w:r w:rsidRPr="00206CF0">
        <w:rPr>
          <w:sz w:val="22"/>
          <w:szCs w:val="22"/>
          <w:lang w:val="sr-Latn-RS"/>
        </w:rPr>
        <w:t>Jedan napunjeni injekcioni špri</w:t>
      </w:r>
      <w:r w:rsidR="00283F26" w:rsidRPr="00206CF0">
        <w:rPr>
          <w:sz w:val="22"/>
          <w:szCs w:val="22"/>
          <w:lang w:val="sr-Latn-RS"/>
        </w:rPr>
        <w:t>c</w:t>
      </w:r>
      <w:r w:rsidRPr="00206CF0">
        <w:rPr>
          <w:sz w:val="22"/>
          <w:szCs w:val="22"/>
          <w:lang w:val="sr-Latn-RS"/>
        </w:rPr>
        <w:t xml:space="preserve"> sadrži 100 mikrograma metoksipolietilen glikol-epoetina beta* u koncentraciji od 333 mikrograma/ml. Ova jačina ukazuje na količinu proteinskog dijela metoksi</w:t>
      </w:r>
      <w:r w:rsidR="00A633A9" w:rsidRPr="00206CF0">
        <w:rPr>
          <w:sz w:val="22"/>
          <w:szCs w:val="22"/>
          <w:lang w:val="sr-Latn-RS"/>
        </w:rPr>
        <w:t xml:space="preserve"> </w:t>
      </w:r>
      <w:r w:rsidRPr="00206CF0">
        <w:rPr>
          <w:sz w:val="22"/>
          <w:szCs w:val="22"/>
          <w:lang w:val="sr-Latn-RS"/>
        </w:rPr>
        <w:t xml:space="preserve">polietilen glikol-epoetin beta molekula ne uzimajući u obzir glikozilaciju. </w:t>
      </w:r>
    </w:p>
    <w:p w:rsidR="00004273" w:rsidRPr="00206CF0" w:rsidRDefault="00004273" w:rsidP="00F55D06">
      <w:pPr>
        <w:jc w:val="both"/>
        <w:rPr>
          <w:sz w:val="22"/>
          <w:szCs w:val="22"/>
          <w:lang w:val="sr-Latn-RS"/>
        </w:rPr>
      </w:pPr>
    </w:p>
    <w:p w:rsidR="00D72624" w:rsidRPr="00206CF0" w:rsidRDefault="00D72624" w:rsidP="00F55D06">
      <w:pPr>
        <w:jc w:val="both"/>
        <w:rPr>
          <w:sz w:val="22"/>
          <w:szCs w:val="22"/>
          <w:lang w:val="sr-Latn-RS"/>
        </w:rPr>
      </w:pPr>
      <w:r w:rsidRPr="00206CF0">
        <w:rPr>
          <w:sz w:val="22"/>
          <w:szCs w:val="22"/>
          <w:lang w:val="sr-Latn-RS"/>
        </w:rPr>
        <w:t>Jedan napunjen</w:t>
      </w:r>
      <w:r w:rsidR="00283F26" w:rsidRPr="00206CF0">
        <w:rPr>
          <w:sz w:val="22"/>
          <w:szCs w:val="22"/>
          <w:lang w:val="sr-Latn-RS"/>
        </w:rPr>
        <w:t>i</w:t>
      </w:r>
      <w:r w:rsidRPr="00206CF0">
        <w:rPr>
          <w:sz w:val="22"/>
          <w:szCs w:val="22"/>
          <w:lang w:val="sr-Latn-RS"/>
        </w:rPr>
        <w:t xml:space="preserve"> injekcioni špric sadrži 200 mikrograma metoksipolietilen glikol-epoetina beta* u koncentraciji od 667 mikrograma/ml. Ova jačina ukazuje na količinu proteinskog dijela metoksi</w:t>
      </w:r>
      <w:r w:rsidR="00A633A9" w:rsidRPr="00206CF0">
        <w:rPr>
          <w:sz w:val="22"/>
          <w:szCs w:val="22"/>
          <w:lang w:val="sr-Latn-RS"/>
        </w:rPr>
        <w:t xml:space="preserve"> </w:t>
      </w:r>
      <w:r w:rsidRPr="00206CF0">
        <w:rPr>
          <w:sz w:val="22"/>
          <w:szCs w:val="22"/>
          <w:lang w:val="sr-Latn-RS"/>
        </w:rPr>
        <w:t xml:space="preserve">polietilen glikol-epoetin beta molekula ne uzimajući u obzir glikozilaciju. </w:t>
      </w:r>
    </w:p>
    <w:p w:rsidR="00CA5513" w:rsidRPr="00206CF0" w:rsidRDefault="00CA5513" w:rsidP="00F55D06">
      <w:pPr>
        <w:tabs>
          <w:tab w:val="left" w:pos="1560"/>
        </w:tabs>
        <w:jc w:val="both"/>
        <w:rPr>
          <w:color w:val="FF0000"/>
          <w:sz w:val="22"/>
          <w:szCs w:val="22"/>
          <w:lang w:val="sr-Latn-RS"/>
        </w:rPr>
      </w:pPr>
      <w:r w:rsidRPr="00206CF0">
        <w:rPr>
          <w:sz w:val="22"/>
          <w:szCs w:val="22"/>
          <w:lang w:val="sr-Latn-RS"/>
        </w:rPr>
        <w:tab/>
      </w:r>
    </w:p>
    <w:p w:rsidR="00CA5513" w:rsidRPr="00206CF0" w:rsidRDefault="00CA5513" w:rsidP="00F55D06">
      <w:pPr>
        <w:jc w:val="both"/>
        <w:rPr>
          <w:sz w:val="22"/>
          <w:szCs w:val="22"/>
          <w:lang w:val="sr-Latn-RS"/>
        </w:rPr>
      </w:pPr>
      <w:r w:rsidRPr="00206CF0">
        <w:rPr>
          <w:sz w:val="22"/>
          <w:szCs w:val="22"/>
          <w:lang w:val="sr-Latn-RS"/>
        </w:rPr>
        <w:t>* Protein koji se produkuje tehnologijom rekombinacije DNK na jajnim ćelijama kineskog hrčka (CHO) i kovalentno konjuguje za linearni metoksi</w:t>
      </w:r>
      <w:r w:rsidR="00A633A9" w:rsidRPr="00206CF0">
        <w:rPr>
          <w:sz w:val="22"/>
          <w:szCs w:val="22"/>
          <w:lang w:val="sr-Latn-RS"/>
        </w:rPr>
        <w:t xml:space="preserve"> </w:t>
      </w:r>
      <w:r w:rsidRPr="00206CF0">
        <w:rPr>
          <w:sz w:val="22"/>
          <w:szCs w:val="22"/>
          <w:lang w:val="sr-Latn-RS"/>
        </w:rPr>
        <w:t xml:space="preserve">polietilen glikol (PEG). </w:t>
      </w:r>
    </w:p>
    <w:p w:rsidR="00CA5513" w:rsidRPr="00206CF0" w:rsidRDefault="00CA5513" w:rsidP="00F55D06">
      <w:pPr>
        <w:jc w:val="both"/>
        <w:rPr>
          <w:sz w:val="22"/>
          <w:szCs w:val="22"/>
          <w:lang w:val="sr-Latn-RS"/>
        </w:rPr>
      </w:pPr>
      <w:r w:rsidRPr="00206CF0">
        <w:rPr>
          <w:sz w:val="22"/>
          <w:szCs w:val="22"/>
          <w:lang w:val="sr-Latn-RS"/>
        </w:rPr>
        <w:t>Potentnost metoksipolietilen glikol-epoetin beta ne treba porediti sa jačinom drugog pegilovanog ili nepegilovanog proteina iste terapijske klase. Za više informacija vidjeti dio 5.1.</w:t>
      </w:r>
    </w:p>
    <w:p w:rsidR="00CA5513" w:rsidRPr="00206CF0" w:rsidRDefault="00CA5513" w:rsidP="00F55D06">
      <w:pPr>
        <w:jc w:val="both"/>
        <w:rPr>
          <w:sz w:val="22"/>
          <w:szCs w:val="22"/>
          <w:lang w:val="sr-Latn-RS"/>
        </w:rPr>
      </w:pPr>
    </w:p>
    <w:p w:rsidR="0003793F" w:rsidRPr="00206CF0" w:rsidRDefault="0003793F" w:rsidP="00F55D06">
      <w:pPr>
        <w:jc w:val="both"/>
        <w:rPr>
          <w:sz w:val="22"/>
          <w:szCs w:val="22"/>
          <w:lang w:val="sr-Latn-RS"/>
        </w:rPr>
      </w:pPr>
      <w:r w:rsidRPr="00206CF0">
        <w:rPr>
          <w:sz w:val="22"/>
          <w:szCs w:val="22"/>
          <w:lang w:val="sr-Latn-RS"/>
        </w:rPr>
        <w:t>Za spisak svih ekscipijenasa, pogledati dio 6.1.</w:t>
      </w:r>
    </w:p>
    <w:p w:rsidR="00C37FD7" w:rsidRPr="00206CF0" w:rsidRDefault="00C37FD7" w:rsidP="00F55D06">
      <w:pPr>
        <w:jc w:val="both"/>
        <w:rPr>
          <w:sz w:val="22"/>
          <w:szCs w:val="22"/>
          <w:lang w:val="sr-Latn-RS"/>
        </w:rPr>
      </w:pPr>
    </w:p>
    <w:p w:rsidR="00004273" w:rsidRPr="00206CF0" w:rsidRDefault="00004273" w:rsidP="00F55D06">
      <w:pPr>
        <w:jc w:val="both"/>
        <w:rPr>
          <w:sz w:val="22"/>
          <w:szCs w:val="22"/>
          <w:lang w:val="sr-Latn-RS"/>
        </w:rPr>
      </w:pPr>
    </w:p>
    <w:p w:rsidR="00411B4B" w:rsidRPr="00206CF0" w:rsidRDefault="00411B4B" w:rsidP="00F55D06">
      <w:pPr>
        <w:tabs>
          <w:tab w:val="left" w:pos="540"/>
          <w:tab w:val="left" w:pos="569"/>
        </w:tabs>
        <w:jc w:val="both"/>
        <w:rPr>
          <w:b/>
          <w:bCs/>
          <w:sz w:val="22"/>
          <w:szCs w:val="22"/>
          <w:lang w:val="sr-Latn-RS"/>
        </w:rPr>
      </w:pPr>
      <w:r w:rsidRPr="00206CF0">
        <w:rPr>
          <w:b/>
          <w:bCs/>
          <w:sz w:val="22"/>
          <w:szCs w:val="22"/>
          <w:lang w:val="sr-Latn-RS"/>
        </w:rPr>
        <w:t xml:space="preserve">3. </w:t>
      </w:r>
      <w:r w:rsidR="00F5167F" w:rsidRPr="00206CF0">
        <w:rPr>
          <w:b/>
          <w:bCs/>
          <w:sz w:val="22"/>
          <w:szCs w:val="22"/>
          <w:lang w:val="sr-Latn-RS"/>
        </w:rPr>
        <w:tab/>
      </w:r>
      <w:r w:rsidRPr="00206CF0">
        <w:rPr>
          <w:b/>
          <w:bCs/>
          <w:sz w:val="22"/>
          <w:szCs w:val="22"/>
          <w:lang w:val="sr-Latn-RS"/>
        </w:rPr>
        <w:t>FARMACEUTSKI OBLIK</w:t>
      </w:r>
      <w:r w:rsidR="009F2D23" w:rsidRPr="00206CF0">
        <w:rPr>
          <w:b/>
          <w:bCs/>
          <w:sz w:val="22"/>
          <w:szCs w:val="22"/>
          <w:lang w:val="sr-Latn-RS"/>
        </w:rPr>
        <w:t xml:space="preserve"> </w:t>
      </w:r>
    </w:p>
    <w:p w:rsidR="00411B4B" w:rsidRPr="00206CF0" w:rsidRDefault="00411B4B" w:rsidP="00F55D06">
      <w:pPr>
        <w:jc w:val="both"/>
        <w:rPr>
          <w:bCs/>
          <w:sz w:val="22"/>
          <w:szCs w:val="22"/>
          <w:lang w:val="sr-Latn-RS"/>
        </w:rPr>
      </w:pPr>
    </w:p>
    <w:p w:rsidR="00CA5513" w:rsidRPr="00206CF0" w:rsidRDefault="00CA5513" w:rsidP="00F55D06">
      <w:pPr>
        <w:jc w:val="both"/>
        <w:rPr>
          <w:color w:val="000000"/>
          <w:sz w:val="22"/>
          <w:szCs w:val="22"/>
          <w:lang w:val="sr-Latn-RS"/>
        </w:rPr>
      </w:pPr>
      <w:r w:rsidRPr="00206CF0">
        <w:rPr>
          <w:color w:val="000000"/>
          <w:sz w:val="22"/>
          <w:szCs w:val="22"/>
          <w:lang w:val="sr-Latn-RS"/>
        </w:rPr>
        <w:t>Rastvor za injekciju u napunjenom injekcionom špricu.</w:t>
      </w:r>
    </w:p>
    <w:p w:rsidR="00004273" w:rsidRPr="00206CF0" w:rsidRDefault="00004273" w:rsidP="00F55D06">
      <w:pPr>
        <w:jc w:val="both"/>
        <w:rPr>
          <w:sz w:val="22"/>
          <w:szCs w:val="22"/>
          <w:lang w:val="sr-Latn-RS"/>
        </w:rPr>
      </w:pPr>
    </w:p>
    <w:p w:rsidR="00CA5513" w:rsidRPr="00206CF0" w:rsidRDefault="00CA5513" w:rsidP="00F55D06">
      <w:pPr>
        <w:jc w:val="both"/>
        <w:rPr>
          <w:sz w:val="22"/>
          <w:szCs w:val="22"/>
          <w:lang w:val="sr-Latn-RS"/>
        </w:rPr>
      </w:pPr>
      <w:r w:rsidRPr="00206CF0">
        <w:rPr>
          <w:sz w:val="22"/>
          <w:szCs w:val="22"/>
          <w:lang w:val="sr-Latn-RS"/>
        </w:rPr>
        <w:t>Ovaj rastvor je bistar i bezbojan do blijedožućkast.</w:t>
      </w:r>
    </w:p>
    <w:p w:rsidR="00EC2532" w:rsidRPr="00206CF0" w:rsidRDefault="00EC2532" w:rsidP="00F55D06">
      <w:pPr>
        <w:jc w:val="both"/>
        <w:rPr>
          <w:bCs/>
          <w:sz w:val="22"/>
          <w:szCs w:val="22"/>
          <w:lang w:val="sr-Latn-RS"/>
        </w:rPr>
      </w:pPr>
    </w:p>
    <w:p w:rsidR="00004273" w:rsidRPr="00206CF0" w:rsidRDefault="00004273" w:rsidP="00F55D06">
      <w:pPr>
        <w:jc w:val="both"/>
        <w:rPr>
          <w:bCs/>
          <w:sz w:val="22"/>
          <w:szCs w:val="22"/>
          <w:lang w:val="sr-Latn-RS"/>
        </w:rPr>
      </w:pPr>
    </w:p>
    <w:p w:rsidR="00411B4B" w:rsidRPr="00206CF0" w:rsidRDefault="00411B4B" w:rsidP="00F55D06">
      <w:pPr>
        <w:tabs>
          <w:tab w:val="left" w:pos="540"/>
          <w:tab w:val="left" w:pos="569"/>
        </w:tabs>
        <w:jc w:val="both"/>
        <w:rPr>
          <w:b/>
          <w:bCs/>
          <w:sz w:val="22"/>
          <w:szCs w:val="22"/>
          <w:lang w:val="sr-Latn-RS"/>
        </w:rPr>
      </w:pPr>
      <w:r w:rsidRPr="00206CF0">
        <w:rPr>
          <w:b/>
          <w:bCs/>
          <w:sz w:val="22"/>
          <w:szCs w:val="22"/>
          <w:lang w:val="sr-Latn-RS"/>
        </w:rPr>
        <w:t xml:space="preserve">4. </w:t>
      </w:r>
      <w:r w:rsidR="00480FB1" w:rsidRPr="00206CF0">
        <w:rPr>
          <w:b/>
          <w:bCs/>
          <w:sz w:val="22"/>
          <w:szCs w:val="22"/>
          <w:lang w:val="sr-Latn-RS"/>
        </w:rPr>
        <w:tab/>
      </w:r>
      <w:r w:rsidRPr="00206CF0">
        <w:rPr>
          <w:b/>
          <w:bCs/>
          <w:sz w:val="22"/>
          <w:szCs w:val="22"/>
          <w:lang w:val="sr-Latn-RS"/>
        </w:rPr>
        <w:t>KLINIČKI PODACI</w:t>
      </w:r>
    </w:p>
    <w:p w:rsidR="00CD6F02" w:rsidRPr="00206CF0" w:rsidRDefault="00CD6F02" w:rsidP="00F55D06">
      <w:pPr>
        <w:tabs>
          <w:tab w:val="left" w:pos="540"/>
          <w:tab w:val="left" w:pos="569"/>
        </w:tabs>
        <w:jc w:val="both"/>
        <w:rPr>
          <w:bCs/>
          <w:sz w:val="22"/>
          <w:szCs w:val="22"/>
          <w:lang w:val="sr-Latn-RS"/>
        </w:rPr>
      </w:pPr>
    </w:p>
    <w:p w:rsidR="00411B4B" w:rsidRPr="00206CF0" w:rsidRDefault="00411B4B" w:rsidP="00F55D06">
      <w:pPr>
        <w:tabs>
          <w:tab w:val="left" w:pos="540"/>
          <w:tab w:val="left" w:pos="569"/>
        </w:tabs>
        <w:jc w:val="both"/>
        <w:rPr>
          <w:b/>
          <w:bCs/>
          <w:sz w:val="22"/>
          <w:szCs w:val="22"/>
          <w:lang w:val="sr-Latn-RS"/>
        </w:rPr>
      </w:pPr>
      <w:r w:rsidRPr="00206CF0">
        <w:rPr>
          <w:b/>
          <w:bCs/>
          <w:sz w:val="22"/>
          <w:szCs w:val="22"/>
          <w:lang w:val="sr-Latn-RS"/>
        </w:rPr>
        <w:t xml:space="preserve">4.1. </w:t>
      </w:r>
      <w:r w:rsidR="00480FB1" w:rsidRPr="00206CF0">
        <w:rPr>
          <w:b/>
          <w:bCs/>
          <w:sz w:val="22"/>
          <w:szCs w:val="22"/>
          <w:lang w:val="sr-Latn-RS"/>
        </w:rPr>
        <w:tab/>
      </w:r>
      <w:r w:rsidRPr="00206CF0">
        <w:rPr>
          <w:b/>
          <w:bCs/>
          <w:sz w:val="22"/>
          <w:szCs w:val="22"/>
          <w:lang w:val="sr-Latn-RS"/>
        </w:rPr>
        <w:t>Terapijske indikacije</w:t>
      </w:r>
    </w:p>
    <w:p w:rsidR="00411B4B" w:rsidRPr="00206CF0" w:rsidRDefault="00411B4B" w:rsidP="00F55D06">
      <w:pPr>
        <w:tabs>
          <w:tab w:val="left" w:pos="540"/>
          <w:tab w:val="left" w:pos="569"/>
        </w:tabs>
        <w:jc w:val="both"/>
        <w:rPr>
          <w:bCs/>
          <w:sz w:val="22"/>
          <w:szCs w:val="22"/>
          <w:lang w:val="sr-Latn-RS"/>
        </w:rPr>
      </w:pPr>
    </w:p>
    <w:p w:rsidR="00CA5513" w:rsidRPr="00206CF0" w:rsidRDefault="00CA5513" w:rsidP="00F55D06">
      <w:pPr>
        <w:tabs>
          <w:tab w:val="left" w:pos="540"/>
          <w:tab w:val="left" w:pos="569"/>
        </w:tabs>
        <w:jc w:val="both"/>
        <w:rPr>
          <w:sz w:val="22"/>
          <w:szCs w:val="22"/>
          <w:lang w:val="sr-Latn-RS"/>
        </w:rPr>
      </w:pPr>
      <w:r w:rsidRPr="00206CF0">
        <w:rPr>
          <w:sz w:val="22"/>
          <w:szCs w:val="22"/>
          <w:lang w:val="sr-Latn-RS"/>
        </w:rPr>
        <w:t>Liječenje simptomatske anemije povezane sa hroničnim oboljenjem bubrega (HOB) ), kod odraslih pacijenata (vidjeti dio 5.1).</w:t>
      </w:r>
    </w:p>
    <w:p w:rsidR="00CA5513" w:rsidRPr="00206CF0" w:rsidRDefault="00CA5513" w:rsidP="00F55D06">
      <w:pPr>
        <w:tabs>
          <w:tab w:val="left" w:pos="540"/>
          <w:tab w:val="left" w:pos="569"/>
        </w:tabs>
        <w:jc w:val="both"/>
        <w:rPr>
          <w:bCs/>
          <w:sz w:val="22"/>
          <w:szCs w:val="22"/>
          <w:lang w:val="sr-Latn-RS"/>
        </w:rPr>
      </w:pPr>
    </w:p>
    <w:p w:rsidR="001B2D1D" w:rsidRPr="00206CF0" w:rsidRDefault="001B2D1D" w:rsidP="00F55D06">
      <w:pPr>
        <w:tabs>
          <w:tab w:val="left" w:pos="540"/>
          <w:tab w:val="left" w:pos="569"/>
        </w:tabs>
        <w:jc w:val="both"/>
        <w:rPr>
          <w:bCs/>
          <w:sz w:val="22"/>
          <w:szCs w:val="22"/>
          <w:lang w:val="sr-Latn-RS"/>
        </w:rPr>
      </w:pPr>
      <w:r w:rsidRPr="00206CF0">
        <w:rPr>
          <w:bCs/>
          <w:sz w:val="22"/>
          <w:szCs w:val="22"/>
          <w:lang w:val="sr-Latn-RS"/>
        </w:rPr>
        <w:lastRenderedPageBreak/>
        <w:t>Terapija simptomatske anemije povezane sa hroničnom</w:t>
      </w:r>
      <w:r w:rsidR="00455457" w:rsidRPr="00206CF0">
        <w:rPr>
          <w:bCs/>
          <w:sz w:val="22"/>
          <w:szCs w:val="22"/>
          <w:lang w:val="sr-Latn-RS"/>
        </w:rPr>
        <w:t xml:space="preserve"> bolešću bubrega </w:t>
      </w:r>
      <w:r w:rsidRPr="00206CF0">
        <w:rPr>
          <w:bCs/>
          <w:sz w:val="22"/>
          <w:szCs w:val="22"/>
          <w:lang w:val="sr-Latn-RS"/>
        </w:rPr>
        <w:t>kod pedijatrijskih pacijenata uzrasta od 3 mjeseca do manje od 18 godina koji prelaze sa drugog lijeka za stimulaciju eritropoeze (</w:t>
      </w:r>
      <w:r w:rsidR="00652A0B" w:rsidRPr="00206CF0">
        <w:rPr>
          <w:bCs/>
          <w:sz w:val="22"/>
          <w:szCs w:val="22"/>
          <w:lang w:val="sr-Latn-RS"/>
        </w:rPr>
        <w:t>A</w:t>
      </w:r>
      <w:r w:rsidRPr="00206CF0">
        <w:rPr>
          <w:bCs/>
          <w:sz w:val="22"/>
          <w:szCs w:val="22"/>
          <w:lang w:val="sr-Latn-RS"/>
        </w:rPr>
        <w:t>SE) nakon što im je nivo hemoglobina stabilizovan primj</w:t>
      </w:r>
      <w:r w:rsidR="00652A0B" w:rsidRPr="00206CF0">
        <w:rPr>
          <w:bCs/>
          <w:sz w:val="22"/>
          <w:szCs w:val="22"/>
          <w:lang w:val="sr-Latn-RS"/>
        </w:rPr>
        <w:t>enom prethodnog A</w:t>
      </w:r>
      <w:r w:rsidRPr="00206CF0">
        <w:rPr>
          <w:bCs/>
          <w:sz w:val="22"/>
          <w:szCs w:val="22"/>
          <w:lang w:val="sr-Latn-RS"/>
        </w:rPr>
        <w:t>SE-a (vidjeti dio 5.1).</w:t>
      </w:r>
    </w:p>
    <w:p w:rsidR="001B2D1D" w:rsidRPr="00206CF0" w:rsidRDefault="001B2D1D" w:rsidP="00F55D06">
      <w:pPr>
        <w:tabs>
          <w:tab w:val="left" w:pos="540"/>
          <w:tab w:val="left" w:pos="569"/>
        </w:tabs>
        <w:jc w:val="both"/>
        <w:rPr>
          <w:bCs/>
          <w:sz w:val="22"/>
          <w:szCs w:val="22"/>
          <w:lang w:val="sr-Latn-RS"/>
        </w:rPr>
      </w:pPr>
    </w:p>
    <w:p w:rsidR="00411B4B" w:rsidRPr="00206CF0" w:rsidRDefault="00411B4B" w:rsidP="00F55D06">
      <w:pPr>
        <w:tabs>
          <w:tab w:val="left" w:pos="540"/>
          <w:tab w:val="left" w:pos="569"/>
        </w:tabs>
        <w:jc w:val="both"/>
        <w:rPr>
          <w:b/>
          <w:bCs/>
          <w:sz w:val="22"/>
          <w:szCs w:val="22"/>
          <w:lang w:val="sr-Latn-RS"/>
        </w:rPr>
      </w:pPr>
      <w:r w:rsidRPr="00206CF0">
        <w:rPr>
          <w:b/>
          <w:bCs/>
          <w:sz w:val="22"/>
          <w:szCs w:val="22"/>
          <w:lang w:val="sr-Latn-RS"/>
        </w:rPr>
        <w:t xml:space="preserve">4.2. </w:t>
      </w:r>
      <w:r w:rsidR="00480FB1" w:rsidRPr="00206CF0">
        <w:rPr>
          <w:b/>
          <w:bCs/>
          <w:sz w:val="22"/>
          <w:szCs w:val="22"/>
          <w:lang w:val="sr-Latn-RS"/>
        </w:rPr>
        <w:tab/>
      </w:r>
      <w:r w:rsidRPr="00206CF0">
        <w:rPr>
          <w:b/>
          <w:bCs/>
          <w:sz w:val="22"/>
          <w:szCs w:val="22"/>
          <w:lang w:val="sr-Latn-RS"/>
        </w:rPr>
        <w:t>Doziranje i način primjene</w:t>
      </w:r>
    </w:p>
    <w:p w:rsidR="0072020E" w:rsidRPr="00206CF0" w:rsidRDefault="0072020E" w:rsidP="00F55D06">
      <w:pPr>
        <w:tabs>
          <w:tab w:val="left" w:pos="540"/>
          <w:tab w:val="left" w:pos="569"/>
        </w:tabs>
        <w:jc w:val="both"/>
        <w:rPr>
          <w:bCs/>
          <w:sz w:val="22"/>
          <w:szCs w:val="22"/>
          <w:lang w:val="sr-Latn-RS"/>
        </w:rPr>
      </w:pPr>
    </w:p>
    <w:p w:rsidR="00CA5513" w:rsidRPr="00206CF0" w:rsidRDefault="00CA5513" w:rsidP="00F55D06">
      <w:pPr>
        <w:jc w:val="both"/>
        <w:rPr>
          <w:rFonts w:eastAsia="Times"/>
          <w:sz w:val="22"/>
          <w:szCs w:val="22"/>
          <w:lang w:val="sr-Latn-RS"/>
        </w:rPr>
      </w:pPr>
      <w:r w:rsidRPr="00206CF0">
        <w:rPr>
          <w:sz w:val="22"/>
          <w:szCs w:val="22"/>
          <w:lang w:val="sr-Latn-RS"/>
        </w:rPr>
        <w:t>Terapija lijekom</w:t>
      </w:r>
      <w:r w:rsidR="00697E9D" w:rsidRPr="00206CF0">
        <w:rPr>
          <w:sz w:val="22"/>
          <w:szCs w:val="22"/>
          <w:lang w:val="sr-Latn-RS"/>
        </w:rPr>
        <w:t xml:space="preserve"> </w:t>
      </w:r>
      <w:r w:rsidRPr="00206CF0">
        <w:rPr>
          <w:sz w:val="22"/>
          <w:szCs w:val="22"/>
          <w:lang w:val="sr-Latn-RS"/>
        </w:rPr>
        <w:t>mora se započeti pod nadzorom ljekara koji ima iskustva u liječenju pacijenata sa bubrežnom insuficijencijom</w:t>
      </w:r>
      <w:r w:rsidRPr="00206CF0">
        <w:rPr>
          <w:rFonts w:eastAsia="SimSun"/>
          <w:iCs/>
          <w:color w:val="000000"/>
          <w:sz w:val="22"/>
          <w:szCs w:val="22"/>
          <w:lang w:val="sr-Latn-RS" w:eastAsia="zh-CN"/>
        </w:rPr>
        <w:t>.</w:t>
      </w:r>
      <w:r w:rsidRPr="00206CF0">
        <w:rPr>
          <w:rFonts w:eastAsia="Times"/>
          <w:sz w:val="22"/>
          <w:szCs w:val="22"/>
          <w:lang w:val="sr-Latn-RS"/>
        </w:rPr>
        <w:t xml:space="preserve"> </w:t>
      </w:r>
    </w:p>
    <w:p w:rsidR="00CA5513" w:rsidRPr="00206CF0" w:rsidRDefault="00CA5513" w:rsidP="00F55D06">
      <w:pPr>
        <w:tabs>
          <w:tab w:val="left" w:pos="540"/>
          <w:tab w:val="left" w:pos="569"/>
        </w:tabs>
        <w:jc w:val="both"/>
        <w:rPr>
          <w:bCs/>
          <w:sz w:val="22"/>
          <w:szCs w:val="22"/>
          <w:lang w:val="sr-Latn-RS"/>
        </w:rPr>
      </w:pPr>
    </w:p>
    <w:p w:rsidR="00452E9D" w:rsidRPr="00206CF0" w:rsidRDefault="00452E9D" w:rsidP="00F55D06">
      <w:pPr>
        <w:tabs>
          <w:tab w:val="left" w:pos="540"/>
          <w:tab w:val="left" w:pos="569"/>
        </w:tabs>
        <w:jc w:val="both"/>
        <w:rPr>
          <w:bCs/>
          <w:sz w:val="22"/>
          <w:szCs w:val="22"/>
          <w:u w:val="single"/>
          <w:lang w:val="sr-Latn-RS"/>
        </w:rPr>
      </w:pPr>
      <w:r w:rsidRPr="00206CF0">
        <w:rPr>
          <w:bCs/>
          <w:sz w:val="22"/>
          <w:szCs w:val="22"/>
          <w:u w:val="single"/>
          <w:lang w:val="sr-Latn-RS"/>
        </w:rPr>
        <w:t>Doziranje</w:t>
      </w:r>
    </w:p>
    <w:p w:rsidR="00452E9D" w:rsidRPr="00206CF0" w:rsidRDefault="00452E9D" w:rsidP="00F55D06">
      <w:pPr>
        <w:tabs>
          <w:tab w:val="left" w:pos="540"/>
          <w:tab w:val="left" w:pos="569"/>
        </w:tabs>
        <w:jc w:val="both"/>
        <w:rPr>
          <w:bCs/>
          <w:sz w:val="22"/>
          <w:szCs w:val="22"/>
          <w:u w:val="single"/>
          <w:lang w:val="sr-Latn-RS"/>
        </w:rPr>
      </w:pPr>
    </w:p>
    <w:p w:rsidR="00CA5513" w:rsidRPr="00206CF0" w:rsidRDefault="00CA5513" w:rsidP="00F55D06">
      <w:pPr>
        <w:tabs>
          <w:tab w:val="left" w:pos="540"/>
          <w:tab w:val="left" w:pos="569"/>
        </w:tabs>
        <w:jc w:val="both"/>
        <w:rPr>
          <w:bCs/>
          <w:sz w:val="22"/>
          <w:szCs w:val="22"/>
          <w:u w:val="single"/>
          <w:lang w:val="sr-Latn-RS"/>
        </w:rPr>
      </w:pPr>
      <w:r w:rsidRPr="00206CF0">
        <w:rPr>
          <w:bCs/>
          <w:i/>
          <w:sz w:val="22"/>
          <w:szCs w:val="22"/>
          <w:u w:val="single"/>
          <w:lang w:val="sr-Latn-RS"/>
        </w:rPr>
        <w:t>Liječenje simptomatske anemije kod pacijenata sa hroničnim oboljenjem bubrega</w:t>
      </w:r>
    </w:p>
    <w:p w:rsidR="00CA5513" w:rsidRPr="00206CF0" w:rsidRDefault="00CA5513" w:rsidP="00F55D06">
      <w:pPr>
        <w:jc w:val="both"/>
        <w:rPr>
          <w:sz w:val="22"/>
          <w:szCs w:val="22"/>
          <w:lang w:val="sr-Latn-RS"/>
        </w:rPr>
      </w:pPr>
      <w:r w:rsidRPr="00206CF0">
        <w:rPr>
          <w:sz w:val="22"/>
          <w:szCs w:val="22"/>
          <w:lang w:val="sr-Latn-RS"/>
        </w:rPr>
        <w:t>Simptomi kao i posljedice anemije mogu varirati u zavisnosti od starosti, pola i težine bolesti; neophodna je procjena kliničkog stanja svakog pojedinačnog pacijenta od strane ljekara.</w:t>
      </w:r>
    </w:p>
    <w:p w:rsidR="00CA5513" w:rsidRPr="00206CF0" w:rsidRDefault="001B2D1D" w:rsidP="00F55D06">
      <w:pPr>
        <w:jc w:val="both"/>
        <w:rPr>
          <w:sz w:val="22"/>
          <w:szCs w:val="22"/>
          <w:lang w:val="sr-Latn-RS"/>
        </w:rPr>
      </w:pPr>
      <w:r w:rsidRPr="00206CF0">
        <w:rPr>
          <w:sz w:val="22"/>
          <w:szCs w:val="22"/>
          <w:lang w:val="sr-Latn-RS"/>
        </w:rPr>
        <w:t xml:space="preserve">Lijek </w:t>
      </w:r>
      <w:r w:rsidR="00CA5513" w:rsidRPr="00206CF0">
        <w:rPr>
          <w:sz w:val="22"/>
          <w:szCs w:val="22"/>
          <w:lang w:val="sr-Latn-RS"/>
        </w:rPr>
        <w:t>može biti primijenjen subkutano ili intravenski. u cilju povećanja hemoglobina ne više od 12 g/dl (7.45 mmol/</w:t>
      </w:r>
      <w:r w:rsidR="00697E9D" w:rsidRPr="00206CF0">
        <w:rPr>
          <w:sz w:val="22"/>
          <w:szCs w:val="22"/>
          <w:lang w:val="sr-Latn-RS"/>
        </w:rPr>
        <w:t>l</w:t>
      </w:r>
      <w:r w:rsidR="00CA5513" w:rsidRPr="00206CF0">
        <w:rPr>
          <w:sz w:val="22"/>
          <w:szCs w:val="22"/>
          <w:lang w:val="sr-Latn-RS"/>
        </w:rPr>
        <w:t xml:space="preserve">). Subkutana primjena se preporučuje kod pacijenata koji nisu na dijalizi kako bi se izbjeglo punktiranje perifernih vena. </w:t>
      </w:r>
    </w:p>
    <w:p w:rsidR="001B2D1D" w:rsidRPr="00206CF0" w:rsidRDefault="001B2D1D" w:rsidP="00F55D06">
      <w:pPr>
        <w:jc w:val="both"/>
        <w:rPr>
          <w:sz w:val="22"/>
          <w:szCs w:val="22"/>
          <w:lang w:val="sr-Latn-RS"/>
        </w:rPr>
      </w:pPr>
    </w:p>
    <w:p w:rsidR="00CA5513" w:rsidRPr="00206CF0" w:rsidRDefault="00CA5513" w:rsidP="00F55D06">
      <w:pPr>
        <w:jc w:val="both"/>
        <w:rPr>
          <w:sz w:val="22"/>
          <w:szCs w:val="22"/>
          <w:lang w:val="sr-Latn-RS"/>
        </w:rPr>
      </w:pPr>
      <w:r w:rsidRPr="00206CF0">
        <w:rPr>
          <w:sz w:val="22"/>
          <w:szCs w:val="22"/>
          <w:lang w:val="sr-Latn-RS"/>
        </w:rPr>
        <w:t>Zbog varijabilnosti stanja samog pacijenta, individualne vrijednosti hemoglobina iznad i ispod željenog nivoa mogu povremeno biti uočene. Varijabilnost u nivou hemoglobina treba korigovati korekcijom doze lijeka, uzimajući u obzir da je preporučeni opseg ciljnih vrijednosti koncentracije hemoglobina od 10 g/dl (6.21 mmol/</w:t>
      </w:r>
      <w:r w:rsidR="00697E9D" w:rsidRPr="00206CF0">
        <w:rPr>
          <w:sz w:val="22"/>
          <w:szCs w:val="22"/>
          <w:lang w:val="sr-Latn-RS"/>
        </w:rPr>
        <w:t>l</w:t>
      </w:r>
      <w:r w:rsidRPr="00206CF0">
        <w:rPr>
          <w:sz w:val="22"/>
          <w:szCs w:val="22"/>
          <w:lang w:val="sr-Latn-RS"/>
        </w:rPr>
        <w:t>)do 12 g/d</w:t>
      </w:r>
      <w:r w:rsidR="00697E9D" w:rsidRPr="00206CF0">
        <w:rPr>
          <w:sz w:val="22"/>
          <w:szCs w:val="22"/>
          <w:lang w:val="sr-Latn-RS"/>
        </w:rPr>
        <w:t>l</w:t>
      </w:r>
      <w:r w:rsidRPr="00206CF0">
        <w:rPr>
          <w:sz w:val="22"/>
          <w:szCs w:val="22"/>
          <w:lang w:val="sr-Latn-RS"/>
        </w:rPr>
        <w:t xml:space="preserve"> (7.45 mmol/</w:t>
      </w:r>
      <w:r w:rsidR="00697E9D" w:rsidRPr="00206CF0">
        <w:rPr>
          <w:sz w:val="22"/>
          <w:szCs w:val="22"/>
          <w:lang w:val="sr-Latn-RS"/>
        </w:rPr>
        <w:t>l</w:t>
      </w:r>
      <w:r w:rsidRPr="00206CF0">
        <w:rPr>
          <w:sz w:val="22"/>
          <w:szCs w:val="22"/>
          <w:lang w:val="sr-Latn-RS"/>
        </w:rPr>
        <w:t>). Stabilan nivo hemoglobina veći od 12 g/d</w:t>
      </w:r>
      <w:r w:rsidR="00697E9D" w:rsidRPr="00206CF0">
        <w:rPr>
          <w:sz w:val="22"/>
          <w:szCs w:val="22"/>
          <w:lang w:val="sr-Latn-RS"/>
        </w:rPr>
        <w:t>l</w:t>
      </w:r>
      <w:r w:rsidRPr="00206CF0">
        <w:rPr>
          <w:sz w:val="22"/>
          <w:szCs w:val="22"/>
          <w:lang w:val="sr-Latn-RS"/>
        </w:rPr>
        <w:t xml:space="preserve"> (7.45 mmol/</w:t>
      </w:r>
      <w:r w:rsidR="00697E9D" w:rsidRPr="00206CF0">
        <w:rPr>
          <w:sz w:val="22"/>
          <w:szCs w:val="22"/>
          <w:lang w:val="sr-Latn-RS"/>
        </w:rPr>
        <w:t>l</w:t>
      </w:r>
      <w:r w:rsidRPr="00206CF0">
        <w:rPr>
          <w:sz w:val="22"/>
          <w:szCs w:val="22"/>
          <w:lang w:val="sr-Latn-RS"/>
        </w:rPr>
        <w:t>) treba izbjegavati; preporuke za prilagodjavanje doze kada se nivo hemoglobina poveća iznad 12 g/d</w:t>
      </w:r>
      <w:r w:rsidR="00697E9D" w:rsidRPr="00206CF0">
        <w:rPr>
          <w:sz w:val="22"/>
          <w:szCs w:val="22"/>
          <w:lang w:val="sr-Latn-RS"/>
        </w:rPr>
        <w:t>l</w:t>
      </w:r>
      <w:r w:rsidRPr="00206CF0">
        <w:rPr>
          <w:sz w:val="22"/>
          <w:szCs w:val="22"/>
          <w:lang w:val="sr-Latn-RS"/>
        </w:rPr>
        <w:t xml:space="preserve"> (7.45 mmol/</w:t>
      </w:r>
      <w:r w:rsidR="00697E9D" w:rsidRPr="00206CF0">
        <w:rPr>
          <w:sz w:val="22"/>
          <w:szCs w:val="22"/>
          <w:lang w:val="sr-Latn-RS"/>
        </w:rPr>
        <w:t>l</w:t>
      </w:r>
      <w:r w:rsidRPr="00206CF0">
        <w:rPr>
          <w:sz w:val="22"/>
          <w:szCs w:val="22"/>
          <w:lang w:val="sr-Latn-RS"/>
        </w:rPr>
        <w:t>) opisane su u daljem tekstu.</w:t>
      </w:r>
    </w:p>
    <w:p w:rsidR="001B2D1D" w:rsidRPr="00206CF0" w:rsidRDefault="001B2D1D" w:rsidP="00F55D06">
      <w:pPr>
        <w:jc w:val="both"/>
        <w:rPr>
          <w:sz w:val="22"/>
          <w:szCs w:val="22"/>
          <w:lang w:val="sr-Latn-RS"/>
        </w:rPr>
      </w:pPr>
    </w:p>
    <w:p w:rsidR="00CA5513" w:rsidRPr="00206CF0" w:rsidRDefault="001B2D1D" w:rsidP="00F55D06">
      <w:pPr>
        <w:jc w:val="both"/>
        <w:rPr>
          <w:sz w:val="22"/>
          <w:szCs w:val="22"/>
          <w:lang w:val="sr-Latn-RS"/>
        </w:rPr>
      </w:pPr>
      <w:r w:rsidRPr="00206CF0">
        <w:rPr>
          <w:sz w:val="22"/>
          <w:szCs w:val="22"/>
          <w:lang w:val="sr-Latn-RS"/>
        </w:rPr>
        <w:t>Treba izbjegavati p</w:t>
      </w:r>
      <w:r w:rsidR="00CA5513" w:rsidRPr="00206CF0">
        <w:rPr>
          <w:sz w:val="22"/>
          <w:szCs w:val="22"/>
          <w:lang w:val="sr-Latn-RS"/>
        </w:rPr>
        <w:t>ovećanje nivoa hemoglobina veće od 2 g/d</w:t>
      </w:r>
      <w:r w:rsidR="005B23EE" w:rsidRPr="00206CF0">
        <w:rPr>
          <w:sz w:val="22"/>
          <w:szCs w:val="22"/>
          <w:lang w:val="sr-Latn-RS"/>
        </w:rPr>
        <w:t>l</w:t>
      </w:r>
      <w:r w:rsidR="00CA5513" w:rsidRPr="00206CF0">
        <w:rPr>
          <w:sz w:val="22"/>
          <w:szCs w:val="22"/>
          <w:lang w:val="sr-Latn-RS"/>
        </w:rPr>
        <w:t xml:space="preserve"> (1.24 mmol/</w:t>
      </w:r>
      <w:r w:rsidR="005B23EE" w:rsidRPr="00206CF0">
        <w:rPr>
          <w:sz w:val="22"/>
          <w:szCs w:val="22"/>
          <w:lang w:val="sr-Latn-RS"/>
        </w:rPr>
        <w:t>l</w:t>
      </w:r>
      <w:r w:rsidR="00CA5513" w:rsidRPr="00206CF0">
        <w:rPr>
          <w:sz w:val="22"/>
          <w:szCs w:val="22"/>
          <w:lang w:val="sr-Latn-RS"/>
        </w:rPr>
        <w:t xml:space="preserve">) tokom perioda od četiri nedelje </w:t>
      </w:r>
      <w:r w:rsidRPr="00206CF0">
        <w:rPr>
          <w:sz w:val="22"/>
          <w:szCs w:val="22"/>
          <w:lang w:val="sr-Latn-RS"/>
        </w:rPr>
        <w:t>kod odraslih pacijenata odnosno 1 g/dl (0,62 mmol/l) tokom perioda od 4 nedjelje kod pedijatrijskih pacijenata</w:t>
      </w:r>
      <w:r w:rsidR="00CA5513" w:rsidRPr="00206CF0">
        <w:rPr>
          <w:sz w:val="22"/>
          <w:szCs w:val="22"/>
          <w:lang w:val="sr-Latn-RS"/>
        </w:rPr>
        <w:t>. Ukoliko se pojavi, trebalo bi prilagoditi dozu lijeka kao što je opisano.</w:t>
      </w:r>
    </w:p>
    <w:p w:rsidR="001B2D1D" w:rsidRPr="00206CF0" w:rsidRDefault="001B2D1D" w:rsidP="00F55D06">
      <w:pPr>
        <w:jc w:val="both"/>
        <w:rPr>
          <w:sz w:val="22"/>
          <w:szCs w:val="22"/>
          <w:lang w:val="sr-Latn-RS"/>
        </w:rPr>
      </w:pPr>
    </w:p>
    <w:p w:rsidR="00CA5513" w:rsidRPr="00206CF0" w:rsidRDefault="00CA5513" w:rsidP="00F55D06">
      <w:pPr>
        <w:jc w:val="both"/>
        <w:rPr>
          <w:sz w:val="22"/>
          <w:szCs w:val="22"/>
          <w:lang w:val="sr-Latn-RS"/>
        </w:rPr>
      </w:pPr>
      <w:r w:rsidRPr="00206CF0">
        <w:rPr>
          <w:sz w:val="22"/>
          <w:szCs w:val="22"/>
          <w:lang w:val="sr-Latn-RS"/>
        </w:rPr>
        <w:t>Pacijente treba pažljivo pratiti kako bi se obezbijedilo da se za postizanje adekvatne kontrole simptoma anemije primjenjuje najniža preporučena efektivna doza lijeka, a koncentracija hemoglobina istovremeno održala ispod ili na 12 g/dl (7,45 mmol/l).</w:t>
      </w:r>
    </w:p>
    <w:p w:rsidR="00CA5513" w:rsidRPr="00206CF0" w:rsidRDefault="00CA5513" w:rsidP="00F55D06">
      <w:pPr>
        <w:tabs>
          <w:tab w:val="left" w:pos="540"/>
          <w:tab w:val="left" w:pos="569"/>
        </w:tabs>
        <w:jc w:val="both"/>
        <w:rPr>
          <w:bCs/>
          <w:sz w:val="22"/>
          <w:szCs w:val="22"/>
          <w:u w:val="single"/>
          <w:lang w:val="sr-Latn-RS"/>
        </w:rPr>
      </w:pPr>
    </w:p>
    <w:p w:rsidR="00CA5513" w:rsidRPr="00206CF0" w:rsidRDefault="00CA5513" w:rsidP="00F55D06">
      <w:pPr>
        <w:jc w:val="both"/>
        <w:rPr>
          <w:sz w:val="22"/>
          <w:szCs w:val="22"/>
          <w:lang w:val="sr-Latn-RS"/>
        </w:rPr>
      </w:pPr>
      <w:r w:rsidRPr="00206CF0">
        <w:rPr>
          <w:sz w:val="22"/>
          <w:szCs w:val="22"/>
          <w:lang w:val="sr-Latn-RS"/>
        </w:rPr>
        <w:t>Potreban je oprez priikom povećanja doza lijeka kod pacijenata sa hroničnom insuficijencijom bubrega. Kod pacijenata sa slabim hemoglobinskim odgovorom na lijek potrebno je razmotriti druga moguća objašnjenja slabog odgovora (vidjeti djelove 4.4 i 5.1).</w:t>
      </w:r>
    </w:p>
    <w:p w:rsidR="00CA5513" w:rsidRPr="00206CF0" w:rsidRDefault="00CA5513" w:rsidP="00F55D06">
      <w:pPr>
        <w:jc w:val="both"/>
        <w:rPr>
          <w:sz w:val="22"/>
          <w:szCs w:val="22"/>
          <w:lang w:val="sr-Latn-RS"/>
        </w:rPr>
      </w:pPr>
    </w:p>
    <w:p w:rsidR="00CA5513" w:rsidRPr="00206CF0" w:rsidRDefault="00CA5513" w:rsidP="00F55D06">
      <w:pPr>
        <w:jc w:val="both"/>
        <w:rPr>
          <w:sz w:val="22"/>
          <w:szCs w:val="22"/>
          <w:lang w:val="sr-Latn-RS"/>
        </w:rPr>
      </w:pPr>
      <w:r w:rsidRPr="00206CF0">
        <w:rPr>
          <w:sz w:val="22"/>
          <w:szCs w:val="22"/>
          <w:lang w:val="sr-Latn-RS"/>
        </w:rPr>
        <w:t>Preporučuje se da se vrijednost hemoglobina prati na svake dvije ned</w:t>
      </w:r>
      <w:r w:rsidR="005B23EE" w:rsidRPr="00206CF0">
        <w:rPr>
          <w:sz w:val="22"/>
          <w:szCs w:val="22"/>
          <w:lang w:val="sr-Latn-RS"/>
        </w:rPr>
        <w:t>j</w:t>
      </w:r>
      <w:r w:rsidRPr="00206CF0">
        <w:rPr>
          <w:sz w:val="22"/>
          <w:szCs w:val="22"/>
          <w:lang w:val="sr-Latn-RS"/>
        </w:rPr>
        <w:t>elje dok se ne stabilizuje, a potom da se prati periodično</w:t>
      </w:r>
      <w:r w:rsidR="001B2D1D" w:rsidRPr="00206CF0">
        <w:rPr>
          <w:sz w:val="22"/>
          <w:szCs w:val="22"/>
          <w:lang w:val="sr-Latn-RS"/>
        </w:rPr>
        <w:t xml:space="preserve"> (vidjeti dio 4.4)</w:t>
      </w:r>
      <w:r w:rsidRPr="00206CF0">
        <w:rPr>
          <w:sz w:val="22"/>
          <w:szCs w:val="22"/>
          <w:lang w:val="sr-Latn-RS"/>
        </w:rPr>
        <w:t>.</w:t>
      </w:r>
    </w:p>
    <w:p w:rsidR="00CA5513" w:rsidRPr="00206CF0" w:rsidRDefault="00CA5513" w:rsidP="00F55D06">
      <w:pPr>
        <w:jc w:val="both"/>
        <w:outlineLvl w:val="0"/>
        <w:rPr>
          <w:i/>
          <w:sz w:val="22"/>
          <w:szCs w:val="22"/>
          <w:u w:val="single"/>
          <w:lang w:val="sr-Latn-RS"/>
        </w:rPr>
      </w:pPr>
    </w:p>
    <w:p w:rsidR="00CA5513" w:rsidRPr="00206CF0" w:rsidRDefault="001B2D1D" w:rsidP="00F55D06">
      <w:pPr>
        <w:jc w:val="both"/>
        <w:outlineLvl w:val="0"/>
        <w:rPr>
          <w:i/>
          <w:sz w:val="22"/>
          <w:szCs w:val="22"/>
          <w:u w:val="single"/>
          <w:lang w:val="sr-Latn-RS"/>
        </w:rPr>
      </w:pPr>
      <w:r w:rsidRPr="00206CF0">
        <w:rPr>
          <w:i/>
          <w:sz w:val="22"/>
          <w:szCs w:val="22"/>
          <w:u w:val="single"/>
          <w:lang w:val="sr-Latn-RS"/>
        </w:rPr>
        <w:t xml:space="preserve">Odrasli pacijenti </w:t>
      </w:r>
      <w:r w:rsidR="00CA5513" w:rsidRPr="00206CF0">
        <w:rPr>
          <w:i/>
          <w:sz w:val="22"/>
          <w:szCs w:val="22"/>
          <w:u w:val="single"/>
          <w:lang w:val="sr-Latn-RS"/>
        </w:rPr>
        <w:t>koji trenutno ne primaju agens za stimulaciju eritropoeze (ASE):</w:t>
      </w:r>
    </w:p>
    <w:p w:rsidR="00CA5513" w:rsidRPr="00206CF0" w:rsidRDefault="00CA5513" w:rsidP="00F55D06">
      <w:pPr>
        <w:jc w:val="both"/>
        <w:outlineLvl w:val="0"/>
        <w:rPr>
          <w:i/>
          <w:sz w:val="22"/>
          <w:szCs w:val="22"/>
          <w:u w:val="single"/>
          <w:lang w:val="sr-Latn-RS"/>
        </w:rPr>
      </w:pPr>
    </w:p>
    <w:p w:rsidR="00CA5513" w:rsidRPr="00206CF0" w:rsidRDefault="00CA5513" w:rsidP="00F55D06">
      <w:pPr>
        <w:jc w:val="both"/>
        <w:outlineLvl w:val="0"/>
        <w:rPr>
          <w:sz w:val="22"/>
          <w:szCs w:val="22"/>
          <w:lang w:val="sr-Latn-RS"/>
        </w:rPr>
      </w:pPr>
      <w:r w:rsidRPr="00206CF0">
        <w:rPr>
          <w:sz w:val="22"/>
          <w:szCs w:val="22"/>
          <w:lang w:val="sr-Latn-RS"/>
        </w:rPr>
        <w:t>U cilju povećanja nivoa hemoglobina iznad 10g/dl (6,21 mmol/l), preporučena početna doza kod pacijenata koji nijesu na dijalizi iznosi 1.2 mikrograma /kg tjelesne težine, jednom mjesečno kao pojedinačna subkutana injekcija.</w:t>
      </w:r>
    </w:p>
    <w:p w:rsidR="00CA5513" w:rsidRPr="00206CF0" w:rsidRDefault="00CA5513" w:rsidP="00F55D06">
      <w:pPr>
        <w:jc w:val="both"/>
        <w:outlineLvl w:val="0"/>
        <w:rPr>
          <w:sz w:val="22"/>
          <w:szCs w:val="22"/>
          <w:lang w:val="sr-Latn-RS"/>
        </w:rPr>
      </w:pPr>
    </w:p>
    <w:p w:rsidR="00CA5513" w:rsidRPr="00206CF0" w:rsidRDefault="00CA5513" w:rsidP="00F55D06">
      <w:pPr>
        <w:jc w:val="both"/>
        <w:rPr>
          <w:sz w:val="22"/>
          <w:szCs w:val="22"/>
          <w:lang w:val="sr-Latn-RS"/>
        </w:rPr>
      </w:pPr>
      <w:r w:rsidRPr="00206CF0">
        <w:rPr>
          <w:sz w:val="22"/>
          <w:szCs w:val="22"/>
          <w:lang w:val="sr-Latn-RS"/>
        </w:rPr>
        <w:t>Alternativno, početna doza od 0,6 mikrograma/kg tjelesne težine, može biti primijenjena jednom u dvije nedjelje kao pojedinačna intravenska ili subkutana injekcija kod pacijenata koji su na dijalizi, kao i kod pacijenata koji nijesu na dijalizi.</w:t>
      </w:r>
    </w:p>
    <w:p w:rsidR="00CA5513" w:rsidRPr="00206CF0" w:rsidRDefault="00CA5513" w:rsidP="00F55D06">
      <w:pPr>
        <w:tabs>
          <w:tab w:val="left" w:pos="540"/>
          <w:tab w:val="left" w:pos="569"/>
        </w:tabs>
        <w:jc w:val="both"/>
        <w:rPr>
          <w:bCs/>
          <w:sz w:val="22"/>
          <w:szCs w:val="22"/>
          <w:u w:val="single"/>
          <w:lang w:val="sr-Latn-RS"/>
        </w:rPr>
      </w:pPr>
    </w:p>
    <w:p w:rsidR="00CA5513" w:rsidRPr="00206CF0" w:rsidRDefault="00CA5513" w:rsidP="00F55D06">
      <w:pPr>
        <w:jc w:val="both"/>
        <w:rPr>
          <w:sz w:val="22"/>
          <w:szCs w:val="22"/>
          <w:lang w:val="sr-Latn-RS"/>
        </w:rPr>
      </w:pPr>
      <w:r w:rsidRPr="00206CF0">
        <w:rPr>
          <w:sz w:val="22"/>
          <w:szCs w:val="22"/>
          <w:lang w:val="sr-Latn-RS"/>
        </w:rPr>
        <w:t xml:space="preserve">Ova doza se može povećavati za približno 25% prethodne doze ako je brzina porasta nivoa hemoglobina manja od 1,0 g/dl (0,621 mmol/l) tokom mjesec dana. Dalja povećanja za 25% mogu se vršiti u intervalima od mjesec dana dok se ne postigne individualna ciljna vrijednost hemoglobina.  </w:t>
      </w:r>
    </w:p>
    <w:p w:rsidR="00CA5513" w:rsidRPr="00206CF0" w:rsidRDefault="00CA5513" w:rsidP="00F55D06">
      <w:pPr>
        <w:pStyle w:val="Date"/>
        <w:jc w:val="both"/>
        <w:rPr>
          <w:szCs w:val="22"/>
          <w:lang w:val="sr-Latn-RS"/>
        </w:rPr>
      </w:pPr>
    </w:p>
    <w:p w:rsidR="00CA5513" w:rsidRPr="00206CF0" w:rsidRDefault="00CA5513" w:rsidP="00F55D06">
      <w:pPr>
        <w:jc w:val="both"/>
        <w:rPr>
          <w:sz w:val="22"/>
          <w:szCs w:val="22"/>
          <w:lang w:val="sr-Latn-RS"/>
        </w:rPr>
      </w:pPr>
      <w:r w:rsidRPr="00206CF0">
        <w:rPr>
          <w:sz w:val="22"/>
          <w:szCs w:val="22"/>
          <w:lang w:val="sr-Latn-RS"/>
        </w:rPr>
        <w:t xml:space="preserve">Ako je brzina porasta hemoglobina veća od 2 g/dl (1,24 mmol/l) tokom jednog mjeseca, ili ako se nivo hemoglobina povećava i približava vrijednosti od 12 g/dl (7,45 mmol/l), dozu treba smanjiti za približno 25%. Ako nivo hemoglobina nastavi da raste, terapiju treba prekinuti sve dok nivo hemoglobina ne </w:t>
      </w:r>
      <w:r w:rsidRPr="00206CF0">
        <w:rPr>
          <w:sz w:val="22"/>
          <w:szCs w:val="22"/>
          <w:lang w:val="sr-Latn-RS"/>
        </w:rPr>
        <w:lastRenderedPageBreak/>
        <w:t>počne da opada, a onda je treba ponovo započeti, ali sa dozom koja je za oko 25% manja od doze koja je prethodno data.  Po obustavljanju doziranja, očekuje se da vrijednost  hemoglobina počne da opada brzinom od 0,35 g/dl (0.22 mmol/</w:t>
      </w:r>
      <w:r w:rsidR="009D369E" w:rsidRPr="00206CF0">
        <w:rPr>
          <w:sz w:val="22"/>
          <w:szCs w:val="22"/>
          <w:lang w:val="sr-Latn-RS"/>
        </w:rPr>
        <w:t>l</w:t>
      </w:r>
      <w:r w:rsidRPr="00206CF0">
        <w:rPr>
          <w:sz w:val="22"/>
          <w:szCs w:val="22"/>
          <w:lang w:val="sr-Latn-RS"/>
        </w:rPr>
        <w:t>)</w:t>
      </w:r>
      <w:r w:rsidRPr="00206CF0">
        <w:rPr>
          <w:color w:val="FF0000"/>
          <w:sz w:val="22"/>
          <w:szCs w:val="22"/>
          <w:lang w:val="sr-Latn-RS"/>
        </w:rPr>
        <w:t xml:space="preserve"> </w:t>
      </w:r>
      <w:r w:rsidRPr="00206CF0">
        <w:rPr>
          <w:sz w:val="22"/>
          <w:szCs w:val="22"/>
          <w:lang w:val="sr-Latn-RS"/>
        </w:rPr>
        <w:t>ned</w:t>
      </w:r>
      <w:r w:rsidR="009D369E" w:rsidRPr="00206CF0">
        <w:rPr>
          <w:sz w:val="22"/>
          <w:szCs w:val="22"/>
          <w:lang w:val="sr-Latn-RS"/>
        </w:rPr>
        <w:t>j</w:t>
      </w:r>
      <w:r w:rsidRPr="00206CF0">
        <w:rPr>
          <w:sz w:val="22"/>
          <w:szCs w:val="22"/>
          <w:lang w:val="sr-Latn-RS"/>
        </w:rPr>
        <w:t>eljno. Podešavanje doze ne treba raditi češće od jednom mjesečno.</w:t>
      </w:r>
    </w:p>
    <w:p w:rsidR="00CA5513" w:rsidRPr="00206CF0" w:rsidRDefault="00CA5513" w:rsidP="00F55D06">
      <w:pPr>
        <w:jc w:val="both"/>
        <w:rPr>
          <w:sz w:val="22"/>
          <w:szCs w:val="22"/>
          <w:lang w:val="sr-Latn-RS"/>
        </w:rPr>
      </w:pPr>
    </w:p>
    <w:p w:rsidR="00CA5513" w:rsidRPr="00206CF0" w:rsidRDefault="00CA5513" w:rsidP="00F55D06">
      <w:pPr>
        <w:jc w:val="both"/>
        <w:rPr>
          <w:sz w:val="22"/>
          <w:szCs w:val="22"/>
          <w:lang w:val="sr-Latn-RS"/>
        </w:rPr>
      </w:pPr>
      <w:r w:rsidRPr="00206CF0">
        <w:rPr>
          <w:sz w:val="22"/>
          <w:szCs w:val="22"/>
          <w:lang w:val="sr-Latn-RS"/>
        </w:rPr>
        <w:t xml:space="preserve">Ako se postigne koncentracija hemoglobina veća od 10 g/dl (6,21 mmol/l) kod individualnog pacijenta, </w:t>
      </w:r>
      <w:r w:rsidR="0013136D" w:rsidRPr="00206CF0">
        <w:rPr>
          <w:sz w:val="22"/>
          <w:szCs w:val="22"/>
          <w:lang w:val="sr-Latn-RS"/>
        </w:rPr>
        <w:t>metoksi</w:t>
      </w:r>
      <w:r w:rsidR="00A633A9" w:rsidRPr="00206CF0">
        <w:rPr>
          <w:sz w:val="22"/>
          <w:szCs w:val="22"/>
          <w:lang w:val="sr-Latn-RS"/>
        </w:rPr>
        <w:t xml:space="preserve"> </w:t>
      </w:r>
      <w:r w:rsidR="00455457" w:rsidRPr="00206CF0">
        <w:rPr>
          <w:sz w:val="22"/>
          <w:szCs w:val="22"/>
          <w:lang w:val="sr-Latn-RS"/>
        </w:rPr>
        <w:t>polietilenglikol-epoetin beta</w:t>
      </w:r>
      <w:r w:rsidRPr="00206CF0">
        <w:rPr>
          <w:sz w:val="22"/>
          <w:szCs w:val="22"/>
          <w:lang w:val="sr-Latn-RS"/>
        </w:rPr>
        <w:t xml:space="preserve"> se može primjenjivati jednom mjesečno u dozi koja je jednaka dvostrukoj vrijednosti doze koja je prethodno primjenjivana jedanput u dvije nedelje.</w:t>
      </w:r>
    </w:p>
    <w:p w:rsidR="00CA5513" w:rsidRPr="00206CF0" w:rsidRDefault="00CA5513" w:rsidP="00F55D06">
      <w:pPr>
        <w:tabs>
          <w:tab w:val="left" w:pos="540"/>
          <w:tab w:val="left" w:pos="569"/>
        </w:tabs>
        <w:jc w:val="both"/>
        <w:rPr>
          <w:bCs/>
          <w:sz w:val="22"/>
          <w:szCs w:val="22"/>
          <w:u w:val="single"/>
          <w:lang w:val="sr-Latn-RS"/>
        </w:rPr>
      </w:pPr>
    </w:p>
    <w:p w:rsidR="00CA5513" w:rsidRPr="00206CF0" w:rsidRDefault="0013136D" w:rsidP="00F55D06">
      <w:pPr>
        <w:jc w:val="both"/>
        <w:outlineLvl w:val="0"/>
        <w:rPr>
          <w:i/>
          <w:sz w:val="22"/>
          <w:szCs w:val="22"/>
          <w:u w:val="single"/>
          <w:lang w:val="sr-Latn-RS"/>
        </w:rPr>
      </w:pPr>
      <w:r w:rsidRPr="00206CF0">
        <w:rPr>
          <w:i/>
          <w:sz w:val="22"/>
          <w:szCs w:val="22"/>
          <w:u w:val="single"/>
          <w:lang w:val="sr-Latn-RS"/>
        </w:rPr>
        <w:t xml:space="preserve">Odrasli pacijenti </w:t>
      </w:r>
      <w:r w:rsidR="00CA5513" w:rsidRPr="00206CF0">
        <w:rPr>
          <w:i/>
          <w:sz w:val="22"/>
          <w:szCs w:val="22"/>
          <w:u w:val="single"/>
          <w:lang w:val="sr-Latn-RS"/>
        </w:rPr>
        <w:t>koji trenutno primaju terapiju ASE:</w:t>
      </w:r>
    </w:p>
    <w:p w:rsidR="00CA5513" w:rsidRPr="00206CF0" w:rsidRDefault="00CA5513" w:rsidP="00F55D06">
      <w:pPr>
        <w:tabs>
          <w:tab w:val="left" w:pos="540"/>
          <w:tab w:val="left" w:pos="569"/>
        </w:tabs>
        <w:jc w:val="both"/>
        <w:rPr>
          <w:sz w:val="22"/>
          <w:szCs w:val="22"/>
          <w:lang w:val="sr-Latn-RS"/>
        </w:rPr>
      </w:pPr>
      <w:r w:rsidRPr="00206CF0">
        <w:rPr>
          <w:sz w:val="22"/>
          <w:szCs w:val="22"/>
          <w:lang w:val="sr-Latn-RS"/>
        </w:rPr>
        <w:t xml:space="preserve">Pacijenti koji trenutno primaju terapiju ASE mogu preći na </w:t>
      </w:r>
      <w:r w:rsidR="0013136D" w:rsidRPr="00206CF0">
        <w:rPr>
          <w:sz w:val="22"/>
          <w:szCs w:val="22"/>
          <w:lang w:val="sr-Latn-RS"/>
        </w:rPr>
        <w:t>metoksi</w:t>
      </w:r>
      <w:r w:rsidR="00A633A9" w:rsidRPr="00206CF0">
        <w:rPr>
          <w:sz w:val="22"/>
          <w:szCs w:val="22"/>
          <w:lang w:val="sr-Latn-RS"/>
        </w:rPr>
        <w:t xml:space="preserve"> </w:t>
      </w:r>
      <w:r w:rsidR="0013136D" w:rsidRPr="00206CF0">
        <w:rPr>
          <w:sz w:val="22"/>
          <w:szCs w:val="22"/>
          <w:lang w:val="sr-Latn-RS"/>
        </w:rPr>
        <w:t>polietilenglikol-epoetin beta</w:t>
      </w:r>
      <w:r w:rsidRPr="00206CF0">
        <w:rPr>
          <w:sz w:val="22"/>
          <w:szCs w:val="22"/>
          <w:lang w:val="sr-Latn-RS"/>
        </w:rPr>
        <w:t xml:space="preserve"> jednom mjesečno, u vidu pojedinačne intravenske ili su</w:t>
      </w:r>
      <w:r w:rsidR="009D369E" w:rsidRPr="00206CF0">
        <w:rPr>
          <w:sz w:val="22"/>
          <w:szCs w:val="22"/>
          <w:lang w:val="sr-Latn-RS"/>
        </w:rPr>
        <w:t>b</w:t>
      </w:r>
      <w:r w:rsidRPr="00206CF0">
        <w:rPr>
          <w:sz w:val="22"/>
          <w:szCs w:val="22"/>
          <w:lang w:val="sr-Latn-RS"/>
        </w:rPr>
        <w:t>kutane injekcije. Početna doza metoksi</w:t>
      </w:r>
      <w:r w:rsidR="00A633A9" w:rsidRPr="00206CF0">
        <w:rPr>
          <w:sz w:val="22"/>
          <w:szCs w:val="22"/>
          <w:lang w:val="sr-Latn-RS"/>
        </w:rPr>
        <w:t xml:space="preserve"> </w:t>
      </w:r>
      <w:r w:rsidRPr="00206CF0">
        <w:rPr>
          <w:sz w:val="22"/>
          <w:szCs w:val="22"/>
          <w:lang w:val="sr-Latn-RS"/>
        </w:rPr>
        <w:t>polietilen glikol-epoetina beta bazira se na prethodno izračunatoj ned</w:t>
      </w:r>
      <w:r w:rsidR="009D369E" w:rsidRPr="00206CF0">
        <w:rPr>
          <w:sz w:val="22"/>
          <w:szCs w:val="22"/>
          <w:lang w:val="sr-Latn-RS"/>
        </w:rPr>
        <w:t>j</w:t>
      </w:r>
      <w:r w:rsidRPr="00206CF0">
        <w:rPr>
          <w:sz w:val="22"/>
          <w:szCs w:val="22"/>
          <w:lang w:val="sr-Latn-RS"/>
        </w:rPr>
        <w:t>eljnoj dozi darbepoetina alfa ili epoetina u trenutku supstitucije, kako je prikazano na Tabeli 1. Prvu injekciju treba dati u trenutku kada je na redu redovna injekcija darbepoetina alfa ili epoetina.</w:t>
      </w:r>
    </w:p>
    <w:p w:rsidR="00CA5513" w:rsidRPr="00206CF0" w:rsidRDefault="00CA5513" w:rsidP="00F55D06">
      <w:pPr>
        <w:tabs>
          <w:tab w:val="left" w:pos="540"/>
          <w:tab w:val="left" w:pos="569"/>
        </w:tabs>
        <w:jc w:val="both"/>
        <w:rPr>
          <w:sz w:val="22"/>
          <w:szCs w:val="22"/>
          <w:lang w:val="sr-Latn-RS"/>
        </w:rPr>
      </w:pPr>
    </w:p>
    <w:p w:rsidR="00CA5513" w:rsidRPr="00206CF0" w:rsidRDefault="00CA5513" w:rsidP="00F55D06">
      <w:pPr>
        <w:ind w:left="1134" w:hanging="1134"/>
        <w:jc w:val="both"/>
        <w:outlineLvl w:val="0"/>
        <w:rPr>
          <w:b/>
          <w:sz w:val="22"/>
          <w:szCs w:val="22"/>
          <w:lang w:val="sr-Latn-RS"/>
        </w:rPr>
      </w:pPr>
      <w:r w:rsidRPr="00206CF0">
        <w:rPr>
          <w:b/>
          <w:sz w:val="22"/>
          <w:szCs w:val="22"/>
          <w:lang w:val="sr-Latn-RS"/>
        </w:rPr>
        <w:t>Tabela 1:</w:t>
      </w:r>
      <w:r w:rsidRPr="00206CF0">
        <w:rPr>
          <w:b/>
          <w:sz w:val="22"/>
          <w:szCs w:val="22"/>
          <w:lang w:val="sr-Latn-RS"/>
        </w:rPr>
        <w:tab/>
        <w:t xml:space="preserve">Početne doze </w:t>
      </w:r>
      <w:r w:rsidR="0013136D" w:rsidRPr="00206CF0">
        <w:rPr>
          <w:b/>
          <w:sz w:val="22"/>
          <w:szCs w:val="22"/>
          <w:lang w:val="sr-Latn-RS"/>
        </w:rPr>
        <w:t>metoksi</w:t>
      </w:r>
      <w:r w:rsidR="00A633A9" w:rsidRPr="00206CF0">
        <w:rPr>
          <w:b/>
          <w:sz w:val="22"/>
          <w:szCs w:val="22"/>
          <w:lang w:val="sr-Latn-RS"/>
        </w:rPr>
        <w:t xml:space="preserve"> </w:t>
      </w:r>
      <w:r w:rsidR="0013136D" w:rsidRPr="00206CF0">
        <w:rPr>
          <w:b/>
          <w:sz w:val="22"/>
          <w:szCs w:val="22"/>
          <w:lang w:val="sr-Latn-RS"/>
        </w:rPr>
        <w:t>polietilenglikol-epoetina beta kod odraslih pa</w:t>
      </w:r>
      <w:r w:rsidR="00652A0B" w:rsidRPr="00206CF0">
        <w:rPr>
          <w:b/>
          <w:sz w:val="22"/>
          <w:szCs w:val="22"/>
          <w:lang w:val="sr-Latn-RS"/>
        </w:rPr>
        <w:t>cijenata koji trenutno primaju A</w:t>
      </w:r>
      <w:r w:rsidR="0013136D" w:rsidRPr="00206CF0">
        <w:rPr>
          <w:b/>
          <w:sz w:val="22"/>
          <w:szCs w:val="22"/>
          <w:lang w:val="sr-Latn-RS"/>
        </w:rPr>
        <w:t>SE</w:t>
      </w:r>
    </w:p>
    <w:tbl>
      <w:tblPr>
        <w:tblW w:w="9416" w:type="dxa"/>
        <w:tblInd w:w="108" w:type="dxa"/>
        <w:tblLayout w:type="fixed"/>
        <w:tblLook w:val="0000" w:firstRow="0" w:lastRow="0" w:firstColumn="0" w:lastColumn="0" w:noHBand="0" w:noVBand="0"/>
      </w:tblPr>
      <w:tblGrid>
        <w:gridCol w:w="2864"/>
        <w:gridCol w:w="2977"/>
        <w:gridCol w:w="3118"/>
        <w:gridCol w:w="457"/>
      </w:tblGrid>
      <w:tr w:rsidR="00CA5513" w:rsidRPr="00206CF0" w:rsidTr="00F55D06">
        <w:trPr>
          <w:tblHeader/>
        </w:trPr>
        <w:tc>
          <w:tcPr>
            <w:tcW w:w="2864" w:type="dxa"/>
            <w:tcBorders>
              <w:top w:val="single" w:sz="4" w:space="0" w:color="000000"/>
              <w:left w:val="single" w:sz="4" w:space="0" w:color="000000"/>
              <w:bottom w:val="single" w:sz="4" w:space="0" w:color="000000"/>
            </w:tcBorders>
          </w:tcPr>
          <w:p w:rsidR="00CA5513" w:rsidRPr="00206CF0" w:rsidRDefault="00CA5513" w:rsidP="00F55D06">
            <w:pPr>
              <w:snapToGrid w:val="0"/>
              <w:jc w:val="both"/>
              <w:rPr>
                <w:b/>
                <w:sz w:val="22"/>
                <w:szCs w:val="22"/>
                <w:lang w:val="sr-Latn-RS"/>
              </w:rPr>
            </w:pPr>
            <w:r w:rsidRPr="00206CF0">
              <w:rPr>
                <w:b/>
                <w:sz w:val="22"/>
                <w:szCs w:val="22"/>
                <w:lang w:val="sr-Latn-RS"/>
              </w:rPr>
              <w:t>Prethodna ned</w:t>
            </w:r>
            <w:r w:rsidR="009D369E" w:rsidRPr="00206CF0">
              <w:rPr>
                <w:b/>
                <w:sz w:val="22"/>
                <w:szCs w:val="22"/>
                <w:lang w:val="sr-Latn-RS"/>
              </w:rPr>
              <w:t>j</w:t>
            </w:r>
            <w:r w:rsidRPr="00206CF0">
              <w:rPr>
                <w:b/>
                <w:sz w:val="22"/>
                <w:szCs w:val="22"/>
                <w:lang w:val="sr-Latn-RS"/>
              </w:rPr>
              <w:t xml:space="preserve">eljna doza darbepoetina alfa </w:t>
            </w:r>
          </w:p>
          <w:p w:rsidR="00CA5513" w:rsidRPr="00206CF0" w:rsidRDefault="00CA5513" w:rsidP="00F55D06">
            <w:pPr>
              <w:snapToGrid w:val="0"/>
              <w:jc w:val="both"/>
              <w:rPr>
                <w:b/>
                <w:sz w:val="22"/>
                <w:szCs w:val="22"/>
                <w:lang w:val="sr-Latn-RS"/>
              </w:rPr>
            </w:pPr>
            <w:r w:rsidRPr="00206CF0">
              <w:rPr>
                <w:b/>
                <w:sz w:val="22"/>
                <w:szCs w:val="22"/>
                <w:lang w:val="sr-Latn-RS"/>
              </w:rPr>
              <w:t>intravenska ili subkutana (mikrograma/nedeljno)</w:t>
            </w:r>
          </w:p>
        </w:tc>
        <w:tc>
          <w:tcPr>
            <w:tcW w:w="2977" w:type="dxa"/>
            <w:tcBorders>
              <w:top w:val="single" w:sz="4" w:space="0" w:color="000000"/>
              <w:left w:val="single" w:sz="4" w:space="0" w:color="000000"/>
              <w:bottom w:val="single" w:sz="4" w:space="0" w:color="000000"/>
            </w:tcBorders>
          </w:tcPr>
          <w:p w:rsidR="00CA5513" w:rsidRPr="00206CF0" w:rsidRDefault="00CA5513" w:rsidP="00F55D06">
            <w:pPr>
              <w:snapToGrid w:val="0"/>
              <w:jc w:val="both"/>
              <w:rPr>
                <w:b/>
                <w:sz w:val="22"/>
                <w:szCs w:val="22"/>
                <w:lang w:val="sr-Latn-RS"/>
              </w:rPr>
            </w:pPr>
            <w:r w:rsidRPr="00206CF0">
              <w:rPr>
                <w:b/>
                <w:sz w:val="22"/>
                <w:szCs w:val="22"/>
                <w:lang w:val="sr-Latn-RS"/>
              </w:rPr>
              <w:t>Prethodna ned</w:t>
            </w:r>
            <w:r w:rsidR="009D369E" w:rsidRPr="00206CF0">
              <w:rPr>
                <w:b/>
                <w:sz w:val="22"/>
                <w:szCs w:val="22"/>
                <w:lang w:val="sr-Latn-RS"/>
              </w:rPr>
              <w:t>j</w:t>
            </w:r>
            <w:r w:rsidRPr="00206CF0">
              <w:rPr>
                <w:b/>
                <w:sz w:val="22"/>
                <w:szCs w:val="22"/>
                <w:lang w:val="sr-Latn-RS"/>
              </w:rPr>
              <w:t xml:space="preserve">eljna doza epoetina </w:t>
            </w:r>
          </w:p>
          <w:p w:rsidR="00CA5513" w:rsidRPr="00206CF0" w:rsidRDefault="00CA5513" w:rsidP="00F55D06">
            <w:pPr>
              <w:snapToGrid w:val="0"/>
              <w:jc w:val="both"/>
              <w:rPr>
                <w:b/>
                <w:sz w:val="22"/>
                <w:szCs w:val="22"/>
                <w:lang w:val="sr-Latn-RS"/>
              </w:rPr>
            </w:pPr>
            <w:r w:rsidRPr="00206CF0">
              <w:rPr>
                <w:b/>
                <w:sz w:val="22"/>
                <w:szCs w:val="22"/>
                <w:lang w:val="sr-Latn-RS"/>
              </w:rPr>
              <w:t>intravenska ili subkutana (I.J./nedeljno)</w:t>
            </w:r>
          </w:p>
        </w:tc>
        <w:tc>
          <w:tcPr>
            <w:tcW w:w="3118" w:type="dxa"/>
            <w:tcBorders>
              <w:top w:val="single" w:sz="4" w:space="0" w:color="000000"/>
              <w:left w:val="single" w:sz="4" w:space="0" w:color="000000"/>
              <w:bottom w:val="single" w:sz="4" w:space="0" w:color="000000"/>
              <w:right w:val="single" w:sz="4" w:space="0" w:color="auto"/>
            </w:tcBorders>
          </w:tcPr>
          <w:p w:rsidR="00CA5513" w:rsidRPr="00206CF0" w:rsidRDefault="00CA5513" w:rsidP="00F55D06">
            <w:pPr>
              <w:snapToGrid w:val="0"/>
              <w:jc w:val="both"/>
              <w:rPr>
                <w:b/>
                <w:sz w:val="22"/>
                <w:szCs w:val="22"/>
                <w:lang w:val="sr-Latn-RS"/>
              </w:rPr>
            </w:pPr>
            <w:r w:rsidRPr="00206CF0">
              <w:rPr>
                <w:b/>
                <w:sz w:val="22"/>
                <w:szCs w:val="22"/>
                <w:lang w:val="sr-Latn-RS"/>
              </w:rPr>
              <w:t xml:space="preserve">Mjesečna intravenska ili subkutana doza </w:t>
            </w:r>
            <w:r w:rsidR="0013136D" w:rsidRPr="00206CF0">
              <w:rPr>
                <w:b/>
                <w:sz w:val="22"/>
                <w:szCs w:val="22"/>
                <w:lang w:val="sr-Latn-RS"/>
              </w:rPr>
              <w:t>metoksi</w:t>
            </w:r>
            <w:r w:rsidR="00A633A9" w:rsidRPr="00206CF0">
              <w:rPr>
                <w:b/>
                <w:sz w:val="22"/>
                <w:szCs w:val="22"/>
                <w:lang w:val="sr-Latn-RS"/>
              </w:rPr>
              <w:t xml:space="preserve"> </w:t>
            </w:r>
            <w:r w:rsidR="0013136D" w:rsidRPr="00206CF0">
              <w:rPr>
                <w:b/>
                <w:sz w:val="22"/>
                <w:szCs w:val="22"/>
                <w:lang w:val="sr-Latn-RS"/>
              </w:rPr>
              <w:t xml:space="preserve">polietilenglikol-epoetina beta </w:t>
            </w:r>
            <w:r w:rsidRPr="00206CF0">
              <w:rPr>
                <w:b/>
                <w:sz w:val="22"/>
                <w:szCs w:val="22"/>
                <w:lang w:val="sr-Latn-RS"/>
              </w:rPr>
              <w:t xml:space="preserve">(mikrograma/jednom mjesečno) </w:t>
            </w:r>
          </w:p>
        </w:tc>
        <w:tc>
          <w:tcPr>
            <w:tcW w:w="457" w:type="dxa"/>
            <w:tcBorders>
              <w:left w:val="single" w:sz="4" w:space="0" w:color="auto"/>
            </w:tcBorders>
          </w:tcPr>
          <w:p w:rsidR="00CA5513" w:rsidRPr="00206CF0" w:rsidRDefault="00CA5513" w:rsidP="00F55D06">
            <w:pPr>
              <w:snapToGrid w:val="0"/>
              <w:jc w:val="both"/>
              <w:rPr>
                <w:b/>
                <w:sz w:val="22"/>
                <w:szCs w:val="22"/>
                <w:lang w:val="sr-Latn-RS"/>
              </w:rPr>
            </w:pPr>
          </w:p>
        </w:tc>
      </w:tr>
      <w:tr w:rsidR="00CA5513" w:rsidRPr="00206CF0" w:rsidTr="00F55D06">
        <w:trPr>
          <w:tblHeader/>
        </w:trPr>
        <w:tc>
          <w:tcPr>
            <w:tcW w:w="2864" w:type="dxa"/>
            <w:tcBorders>
              <w:left w:val="single" w:sz="4" w:space="0" w:color="000000"/>
              <w:bottom w:val="single" w:sz="4" w:space="0" w:color="000000"/>
            </w:tcBorders>
          </w:tcPr>
          <w:p w:rsidR="00CA5513" w:rsidRPr="00206CF0" w:rsidRDefault="00CA5513" w:rsidP="009D369E">
            <w:pPr>
              <w:snapToGrid w:val="0"/>
              <w:jc w:val="center"/>
              <w:rPr>
                <w:sz w:val="22"/>
                <w:szCs w:val="22"/>
                <w:lang w:val="sr-Latn-RS"/>
              </w:rPr>
            </w:pPr>
            <w:r w:rsidRPr="00206CF0">
              <w:rPr>
                <w:sz w:val="22"/>
                <w:szCs w:val="22"/>
                <w:lang w:val="sr-Latn-RS"/>
              </w:rPr>
              <w:t>&lt;40</w:t>
            </w:r>
          </w:p>
        </w:tc>
        <w:tc>
          <w:tcPr>
            <w:tcW w:w="2977" w:type="dxa"/>
            <w:tcBorders>
              <w:left w:val="single" w:sz="4" w:space="0" w:color="000000"/>
              <w:bottom w:val="single" w:sz="4" w:space="0" w:color="000000"/>
            </w:tcBorders>
          </w:tcPr>
          <w:p w:rsidR="00CA5513" w:rsidRPr="00206CF0" w:rsidRDefault="00CA5513" w:rsidP="009D369E">
            <w:pPr>
              <w:snapToGrid w:val="0"/>
              <w:jc w:val="center"/>
              <w:rPr>
                <w:sz w:val="22"/>
                <w:szCs w:val="22"/>
                <w:lang w:val="sr-Latn-RS"/>
              </w:rPr>
            </w:pPr>
            <w:r w:rsidRPr="00206CF0">
              <w:rPr>
                <w:sz w:val="22"/>
                <w:szCs w:val="22"/>
                <w:lang w:val="sr-Latn-RS"/>
              </w:rPr>
              <w:t>&lt;8000</w:t>
            </w:r>
          </w:p>
        </w:tc>
        <w:tc>
          <w:tcPr>
            <w:tcW w:w="3118" w:type="dxa"/>
            <w:tcBorders>
              <w:left w:val="single" w:sz="4" w:space="0" w:color="000000"/>
              <w:bottom w:val="single" w:sz="4" w:space="0" w:color="000000"/>
              <w:right w:val="single" w:sz="4" w:space="0" w:color="auto"/>
            </w:tcBorders>
          </w:tcPr>
          <w:p w:rsidR="00CA5513" w:rsidRPr="00206CF0" w:rsidRDefault="00CA5513" w:rsidP="009D369E">
            <w:pPr>
              <w:snapToGrid w:val="0"/>
              <w:jc w:val="center"/>
              <w:rPr>
                <w:sz w:val="22"/>
                <w:szCs w:val="22"/>
                <w:lang w:val="sr-Latn-RS"/>
              </w:rPr>
            </w:pPr>
            <w:r w:rsidRPr="00206CF0">
              <w:rPr>
                <w:sz w:val="22"/>
                <w:szCs w:val="22"/>
                <w:lang w:val="sr-Latn-RS"/>
              </w:rPr>
              <w:t>120</w:t>
            </w:r>
          </w:p>
        </w:tc>
        <w:tc>
          <w:tcPr>
            <w:tcW w:w="457" w:type="dxa"/>
            <w:tcBorders>
              <w:left w:val="single" w:sz="4" w:space="0" w:color="auto"/>
            </w:tcBorders>
          </w:tcPr>
          <w:p w:rsidR="00CA5513" w:rsidRPr="00206CF0" w:rsidRDefault="00CA5513" w:rsidP="00F55D06">
            <w:pPr>
              <w:snapToGrid w:val="0"/>
              <w:jc w:val="both"/>
              <w:rPr>
                <w:b/>
                <w:sz w:val="22"/>
                <w:szCs w:val="22"/>
                <w:lang w:val="sr-Latn-RS"/>
              </w:rPr>
            </w:pPr>
          </w:p>
        </w:tc>
      </w:tr>
      <w:tr w:rsidR="00CA5513" w:rsidRPr="00206CF0" w:rsidTr="00F55D06">
        <w:trPr>
          <w:tblHeader/>
        </w:trPr>
        <w:tc>
          <w:tcPr>
            <w:tcW w:w="2864" w:type="dxa"/>
            <w:tcBorders>
              <w:left w:val="single" w:sz="4" w:space="0" w:color="000000"/>
              <w:bottom w:val="single" w:sz="4" w:space="0" w:color="000000"/>
            </w:tcBorders>
          </w:tcPr>
          <w:p w:rsidR="00CA5513" w:rsidRPr="00206CF0" w:rsidRDefault="00CA5513" w:rsidP="009D369E">
            <w:pPr>
              <w:snapToGrid w:val="0"/>
              <w:jc w:val="center"/>
              <w:rPr>
                <w:sz w:val="22"/>
                <w:szCs w:val="22"/>
                <w:lang w:val="sr-Latn-RS"/>
              </w:rPr>
            </w:pPr>
            <w:r w:rsidRPr="00206CF0">
              <w:rPr>
                <w:sz w:val="22"/>
                <w:szCs w:val="22"/>
                <w:lang w:val="sr-Latn-RS"/>
              </w:rPr>
              <w:t>40-80</w:t>
            </w:r>
          </w:p>
        </w:tc>
        <w:tc>
          <w:tcPr>
            <w:tcW w:w="2977" w:type="dxa"/>
            <w:tcBorders>
              <w:left w:val="single" w:sz="4" w:space="0" w:color="000000"/>
              <w:bottom w:val="single" w:sz="4" w:space="0" w:color="000000"/>
            </w:tcBorders>
          </w:tcPr>
          <w:p w:rsidR="00CA5513" w:rsidRPr="00206CF0" w:rsidRDefault="00CA5513" w:rsidP="009D369E">
            <w:pPr>
              <w:snapToGrid w:val="0"/>
              <w:jc w:val="center"/>
              <w:rPr>
                <w:sz w:val="22"/>
                <w:szCs w:val="22"/>
                <w:lang w:val="sr-Latn-RS"/>
              </w:rPr>
            </w:pPr>
            <w:r w:rsidRPr="00206CF0">
              <w:rPr>
                <w:sz w:val="22"/>
                <w:szCs w:val="22"/>
                <w:lang w:val="sr-Latn-RS"/>
              </w:rPr>
              <w:t>8000-16000</w:t>
            </w:r>
          </w:p>
        </w:tc>
        <w:tc>
          <w:tcPr>
            <w:tcW w:w="3118" w:type="dxa"/>
            <w:tcBorders>
              <w:left w:val="single" w:sz="4" w:space="0" w:color="000000"/>
              <w:bottom w:val="single" w:sz="4" w:space="0" w:color="000000"/>
              <w:right w:val="single" w:sz="4" w:space="0" w:color="auto"/>
            </w:tcBorders>
          </w:tcPr>
          <w:p w:rsidR="00CA5513" w:rsidRPr="00206CF0" w:rsidRDefault="00CA5513" w:rsidP="009D369E">
            <w:pPr>
              <w:snapToGrid w:val="0"/>
              <w:jc w:val="center"/>
              <w:rPr>
                <w:sz w:val="22"/>
                <w:szCs w:val="22"/>
                <w:lang w:val="sr-Latn-RS"/>
              </w:rPr>
            </w:pPr>
            <w:r w:rsidRPr="00206CF0">
              <w:rPr>
                <w:sz w:val="22"/>
                <w:szCs w:val="22"/>
                <w:lang w:val="sr-Latn-RS"/>
              </w:rPr>
              <w:t>200</w:t>
            </w:r>
          </w:p>
        </w:tc>
        <w:tc>
          <w:tcPr>
            <w:tcW w:w="457" w:type="dxa"/>
            <w:tcBorders>
              <w:left w:val="single" w:sz="4" w:space="0" w:color="auto"/>
            </w:tcBorders>
          </w:tcPr>
          <w:p w:rsidR="00CA5513" w:rsidRPr="00206CF0" w:rsidRDefault="00CA5513" w:rsidP="00F55D06">
            <w:pPr>
              <w:snapToGrid w:val="0"/>
              <w:jc w:val="both"/>
              <w:rPr>
                <w:b/>
                <w:sz w:val="22"/>
                <w:szCs w:val="22"/>
                <w:lang w:val="sr-Latn-RS"/>
              </w:rPr>
            </w:pPr>
          </w:p>
        </w:tc>
      </w:tr>
      <w:tr w:rsidR="00CA5513" w:rsidRPr="00206CF0" w:rsidTr="00F55D06">
        <w:trPr>
          <w:tblHeader/>
        </w:trPr>
        <w:tc>
          <w:tcPr>
            <w:tcW w:w="2864" w:type="dxa"/>
            <w:tcBorders>
              <w:left w:val="single" w:sz="4" w:space="0" w:color="000000"/>
              <w:bottom w:val="single" w:sz="4" w:space="0" w:color="000000"/>
            </w:tcBorders>
          </w:tcPr>
          <w:p w:rsidR="00CA5513" w:rsidRPr="00206CF0" w:rsidRDefault="00CA5513" w:rsidP="009D369E">
            <w:pPr>
              <w:snapToGrid w:val="0"/>
              <w:jc w:val="center"/>
              <w:rPr>
                <w:sz w:val="22"/>
                <w:szCs w:val="22"/>
                <w:lang w:val="sr-Latn-RS"/>
              </w:rPr>
            </w:pPr>
            <w:r w:rsidRPr="00206CF0">
              <w:rPr>
                <w:sz w:val="22"/>
                <w:szCs w:val="22"/>
                <w:lang w:val="sr-Latn-RS"/>
              </w:rPr>
              <w:t>&gt;80</w:t>
            </w:r>
          </w:p>
        </w:tc>
        <w:tc>
          <w:tcPr>
            <w:tcW w:w="2977" w:type="dxa"/>
            <w:tcBorders>
              <w:left w:val="single" w:sz="4" w:space="0" w:color="000000"/>
              <w:bottom w:val="single" w:sz="4" w:space="0" w:color="000000"/>
            </w:tcBorders>
          </w:tcPr>
          <w:p w:rsidR="00CA5513" w:rsidRPr="00206CF0" w:rsidRDefault="00CA5513" w:rsidP="009D369E">
            <w:pPr>
              <w:snapToGrid w:val="0"/>
              <w:jc w:val="center"/>
              <w:rPr>
                <w:sz w:val="22"/>
                <w:szCs w:val="22"/>
                <w:lang w:val="sr-Latn-RS"/>
              </w:rPr>
            </w:pPr>
            <w:r w:rsidRPr="00206CF0">
              <w:rPr>
                <w:sz w:val="22"/>
                <w:szCs w:val="22"/>
                <w:lang w:val="sr-Latn-RS"/>
              </w:rPr>
              <w:t>&gt;16000</w:t>
            </w:r>
          </w:p>
        </w:tc>
        <w:tc>
          <w:tcPr>
            <w:tcW w:w="3118" w:type="dxa"/>
            <w:tcBorders>
              <w:left w:val="single" w:sz="4" w:space="0" w:color="000000"/>
              <w:bottom w:val="single" w:sz="4" w:space="0" w:color="000000"/>
              <w:right w:val="single" w:sz="4" w:space="0" w:color="auto"/>
            </w:tcBorders>
          </w:tcPr>
          <w:p w:rsidR="00CA5513" w:rsidRPr="00206CF0" w:rsidRDefault="00CA5513" w:rsidP="009D369E">
            <w:pPr>
              <w:snapToGrid w:val="0"/>
              <w:jc w:val="center"/>
              <w:rPr>
                <w:sz w:val="22"/>
                <w:szCs w:val="22"/>
                <w:lang w:val="sr-Latn-RS"/>
              </w:rPr>
            </w:pPr>
            <w:r w:rsidRPr="00206CF0">
              <w:rPr>
                <w:sz w:val="22"/>
                <w:szCs w:val="22"/>
                <w:lang w:val="sr-Latn-RS"/>
              </w:rPr>
              <w:t>360</w:t>
            </w:r>
          </w:p>
        </w:tc>
        <w:tc>
          <w:tcPr>
            <w:tcW w:w="457" w:type="dxa"/>
            <w:tcBorders>
              <w:left w:val="single" w:sz="4" w:space="0" w:color="auto"/>
            </w:tcBorders>
          </w:tcPr>
          <w:p w:rsidR="00CA5513" w:rsidRPr="00206CF0" w:rsidRDefault="00CA5513" w:rsidP="00F55D06">
            <w:pPr>
              <w:snapToGrid w:val="0"/>
              <w:jc w:val="both"/>
              <w:rPr>
                <w:b/>
                <w:sz w:val="22"/>
                <w:szCs w:val="22"/>
                <w:lang w:val="sr-Latn-RS"/>
              </w:rPr>
            </w:pPr>
          </w:p>
        </w:tc>
      </w:tr>
    </w:tbl>
    <w:p w:rsidR="00CA5513" w:rsidRPr="00206CF0" w:rsidRDefault="00CA5513" w:rsidP="00F55D06">
      <w:pPr>
        <w:jc w:val="both"/>
        <w:rPr>
          <w:sz w:val="22"/>
          <w:szCs w:val="22"/>
          <w:lang w:val="sr-Latn-RS"/>
        </w:rPr>
      </w:pPr>
    </w:p>
    <w:p w:rsidR="00CA5513" w:rsidRPr="00206CF0" w:rsidRDefault="00CA5513" w:rsidP="00F55D06">
      <w:pPr>
        <w:jc w:val="both"/>
        <w:rPr>
          <w:sz w:val="22"/>
          <w:szCs w:val="22"/>
          <w:lang w:val="sr-Latn-RS"/>
        </w:rPr>
      </w:pPr>
      <w:r w:rsidRPr="00206CF0">
        <w:rPr>
          <w:sz w:val="22"/>
          <w:szCs w:val="22"/>
          <w:lang w:val="sr-Latn-RS"/>
        </w:rPr>
        <w:t>Ako je potrebno podesiti dozu da bi se održala ciljna koncentracija hemoglobina od preko 10 g/dl (6,21 mmol/l), mjesečna doza može biti povećana za približno 25%.</w:t>
      </w:r>
    </w:p>
    <w:p w:rsidR="00CA5513" w:rsidRPr="00206CF0" w:rsidRDefault="00CA5513" w:rsidP="00F55D06">
      <w:pPr>
        <w:jc w:val="both"/>
        <w:rPr>
          <w:sz w:val="22"/>
          <w:szCs w:val="22"/>
          <w:lang w:val="sr-Latn-RS"/>
        </w:rPr>
      </w:pPr>
      <w:r w:rsidRPr="00206CF0">
        <w:rPr>
          <w:sz w:val="22"/>
          <w:szCs w:val="22"/>
          <w:lang w:val="sr-Latn-RS"/>
        </w:rPr>
        <w:t>Ako nivo hemoglobina raste brzinom većom od 2 g/dl (1,24 mmol/l) u toku mjesec dana, ili ako nivo hemoglobina raste i približava se vrijednosti od 12 g/dl (7,45 mmol/l), ovu dozu treba smanjiti za približno 25%. Ako, pak, nivo hemoglobina nastavi i dalje da raste, terapiju treba prekinuti sve dok nivo hemoglobina ne počne da pada, a onda terapiju treba ponovo započeti sa dozom koja je 25% manja od one koja je prethodno primjenjivana. Nakon prekida terapije, očekuje se da nivo hemoglobina počne da pada brzinom od približno 0,35 g/dl (0.22 mmol/</w:t>
      </w:r>
      <w:r w:rsidR="00106CE9" w:rsidRPr="00206CF0">
        <w:rPr>
          <w:sz w:val="22"/>
          <w:szCs w:val="22"/>
          <w:lang w:val="sr-Latn-RS"/>
        </w:rPr>
        <w:t>l</w:t>
      </w:r>
      <w:r w:rsidRPr="00206CF0">
        <w:rPr>
          <w:sz w:val="22"/>
          <w:szCs w:val="22"/>
          <w:lang w:val="sr-Latn-RS"/>
        </w:rPr>
        <w:t>)</w:t>
      </w:r>
      <w:r w:rsidRPr="00206CF0">
        <w:rPr>
          <w:color w:val="FF0000"/>
          <w:sz w:val="22"/>
          <w:szCs w:val="22"/>
          <w:u w:val="single"/>
          <w:lang w:val="sr-Latn-RS"/>
        </w:rPr>
        <w:t xml:space="preserve"> </w:t>
      </w:r>
      <w:r w:rsidRPr="00206CF0">
        <w:rPr>
          <w:sz w:val="22"/>
          <w:szCs w:val="22"/>
          <w:lang w:val="sr-Latn-RS"/>
        </w:rPr>
        <w:t>nedeljno. Dozu ne treba podešavati češće od jednom mjesečno.</w:t>
      </w:r>
    </w:p>
    <w:p w:rsidR="00CA5513" w:rsidRPr="00206CF0" w:rsidRDefault="00CA5513" w:rsidP="00F55D06">
      <w:pPr>
        <w:jc w:val="both"/>
        <w:rPr>
          <w:sz w:val="22"/>
          <w:szCs w:val="22"/>
          <w:lang w:val="sr-Latn-RS"/>
        </w:rPr>
      </w:pPr>
    </w:p>
    <w:p w:rsidR="00CA5513" w:rsidRPr="00206CF0" w:rsidRDefault="00CA5513" w:rsidP="00F55D06">
      <w:pPr>
        <w:jc w:val="both"/>
        <w:rPr>
          <w:sz w:val="22"/>
          <w:szCs w:val="22"/>
          <w:lang w:val="sr-Latn-RS"/>
        </w:rPr>
      </w:pPr>
      <w:r w:rsidRPr="00206CF0">
        <w:rPr>
          <w:sz w:val="22"/>
          <w:szCs w:val="22"/>
          <w:lang w:val="sr-Latn-RS"/>
        </w:rPr>
        <w:t xml:space="preserve">Budući da je terapijsko iskustvo ograničeno sa pacijentima koji su na peritonealnoj dijalizi, kod ovih pacijenata se preporučuje redovno praćenje vrijednosti hemoglobina i strogo pridržavanje preporuka za doziranje.  </w:t>
      </w:r>
    </w:p>
    <w:p w:rsidR="00CA5513" w:rsidRPr="00206CF0" w:rsidRDefault="00CA5513" w:rsidP="00F55D06">
      <w:pPr>
        <w:jc w:val="both"/>
        <w:outlineLvl w:val="0"/>
        <w:rPr>
          <w:sz w:val="22"/>
          <w:szCs w:val="22"/>
          <w:u w:val="single"/>
          <w:lang w:val="sr-Latn-RS"/>
        </w:rPr>
      </w:pPr>
    </w:p>
    <w:p w:rsidR="0013136D" w:rsidRPr="00206CF0" w:rsidRDefault="0013136D" w:rsidP="00697E9D">
      <w:pPr>
        <w:keepNext/>
        <w:keepLines/>
        <w:jc w:val="both"/>
        <w:outlineLvl w:val="0"/>
        <w:rPr>
          <w:i/>
          <w:sz w:val="22"/>
          <w:szCs w:val="22"/>
          <w:u w:val="single"/>
          <w:lang w:val="sr-Latn-RS"/>
        </w:rPr>
      </w:pPr>
      <w:r w:rsidRPr="00206CF0">
        <w:rPr>
          <w:i/>
          <w:sz w:val="22"/>
          <w:szCs w:val="22"/>
          <w:u w:val="single"/>
          <w:lang w:val="sr-Latn-RS"/>
        </w:rPr>
        <w:t>Pedijatrijski pacijenti uzrasta od 3 mjeseca do manje od 18 godina koji se trenutno liječe ljekovima za stimulaciju eritropoeze (</w:t>
      </w:r>
      <w:r w:rsidR="00652A0B" w:rsidRPr="00206CF0">
        <w:rPr>
          <w:i/>
          <w:sz w:val="22"/>
          <w:szCs w:val="22"/>
          <w:u w:val="single"/>
          <w:lang w:val="sr-Latn-RS"/>
        </w:rPr>
        <w:t>A</w:t>
      </w:r>
      <w:r w:rsidRPr="00206CF0">
        <w:rPr>
          <w:i/>
          <w:sz w:val="22"/>
          <w:szCs w:val="22"/>
          <w:u w:val="single"/>
          <w:lang w:val="sr-Latn-RS"/>
        </w:rPr>
        <w:t>SE):</w:t>
      </w:r>
    </w:p>
    <w:p w:rsidR="0013136D" w:rsidRPr="00206CF0" w:rsidRDefault="0013136D">
      <w:pPr>
        <w:jc w:val="both"/>
        <w:rPr>
          <w:sz w:val="22"/>
          <w:szCs w:val="22"/>
          <w:lang w:val="sr-Latn-RS"/>
        </w:rPr>
      </w:pPr>
      <w:r w:rsidRPr="00206CF0">
        <w:rPr>
          <w:sz w:val="22"/>
          <w:szCs w:val="22"/>
          <w:lang w:val="sr-Latn-RS"/>
        </w:rPr>
        <w:t xml:space="preserve">Pedijatrijski pacijenti kojima se nivo hemoglobina stabilizovao uz liječenje </w:t>
      </w:r>
      <w:r w:rsidR="00652A0B" w:rsidRPr="00206CF0">
        <w:rPr>
          <w:sz w:val="22"/>
          <w:szCs w:val="22"/>
          <w:lang w:val="sr-Latn-RS"/>
        </w:rPr>
        <w:t>A</w:t>
      </w:r>
      <w:r w:rsidR="00D72624" w:rsidRPr="00206CF0">
        <w:rPr>
          <w:sz w:val="22"/>
          <w:szCs w:val="22"/>
          <w:lang w:val="sr-Latn-RS"/>
        </w:rPr>
        <w:t>SE</w:t>
      </w:r>
      <w:r w:rsidR="00D72624" w:rsidRPr="00206CF0">
        <w:rPr>
          <w:sz w:val="22"/>
          <w:szCs w:val="22"/>
          <w:lang w:val="sr-Latn-RS"/>
        </w:rPr>
        <w:noBreakHyphen/>
        <w:t>om mogu preći na metoksi</w:t>
      </w:r>
      <w:r w:rsidR="00A633A9" w:rsidRPr="00206CF0">
        <w:rPr>
          <w:sz w:val="22"/>
          <w:szCs w:val="22"/>
          <w:lang w:val="sr-Latn-RS"/>
        </w:rPr>
        <w:t xml:space="preserve"> </w:t>
      </w:r>
      <w:r w:rsidRPr="00206CF0">
        <w:rPr>
          <w:sz w:val="22"/>
          <w:szCs w:val="22"/>
          <w:lang w:val="sr-Latn-RS"/>
        </w:rPr>
        <w:t>polietilenglikol-epoetin beta prim</w:t>
      </w:r>
      <w:r w:rsidR="00455457" w:rsidRPr="00206CF0">
        <w:rPr>
          <w:sz w:val="22"/>
          <w:szCs w:val="22"/>
          <w:lang w:val="sr-Latn-RS"/>
        </w:rPr>
        <w:t>ij</w:t>
      </w:r>
      <w:r w:rsidRPr="00206CF0">
        <w:rPr>
          <w:sz w:val="22"/>
          <w:szCs w:val="22"/>
          <w:lang w:val="sr-Latn-RS"/>
        </w:rPr>
        <w:t>enjen jedanput svake 4 nedjelje intravenskom ili su</w:t>
      </w:r>
      <w:r w:rsidR="00455457" w:rsidRPr="00206CF0">
        <w:rPr>
          <w:sz w:val="22"/>
          <w:szCs w:val="22"/>
          <w:lang w:val="sr-Latn-RS"/>
        </w:rPr>
        <w:t>b</w:t>
      </w:r>
      <w:r w:rsidRPr="00206CF0">
        <w:rPr>
          <w:sz w:val="22"/>
          <w:szCs w:val="22"/>
          <w:lang w:val="sr-Latn-RS"/>
        </w:rPr>
        <w:t>kutanom injekcijom, uz uslov da put primjene os</w:t>
      </w:r>
      <w:r w:rsidR="00D72624" w:rsidRPr="00206CF0">
        <w:rPr>
          <w:sz w:val="22"/>
          <w:szCs w:val="22"/>
          <w:lang w:val="sr-Latn-RS"/>
        </w:rPr>
        <w:t>tane isti. Početna doza metoksi</w:t>
      </w:r>
      <w:r w:rsidR="00A633A9" w:rsidRPr="00206CF0">
        <w:rPr>
          <w:sz w:val="22"/>
          <w:szCs w:val="22"/>
          <w:lang w:val="sr-Latn-RS"/>
        </w:rPr>
        <w:t xml:space="preserve"> </w:t>
      </w:r>
      <w:r w:rsidRPr="00206CF0">
        <w:rPr>
          <w:sz w:val="22"/>
          <w:szCs w:val="22"/>
          <w:lang w:val="sr-Latn-RS"/>
        </w:rPr>
        <w:t>polietilenglikol-epoetina beta izračunava se na osnovu ukupne ned</w:t>
      </w:r>
      <w:r w:rsidR="00455457" w:rsidRPr="00206CF0">
        <w:rPr>
          <w:sz w:val="22"/>
          <w:szCs w:val="22"/>
          <w:lang w:val="sr-Latn-RS"/>
        </w:rPr>
        <w:t>j</w:t>
      </w:r>
      <w:r w:rsidRPr="00206CF0">
        <w:rPr>
          <w:sz w:val="22"/>
          <w:szCs w:val="22"/>
          <w:lang w:val="sr-Latn-RS"/>
        </w:rPr>
        <w:t xml:space="preserve">eljne doze </w:t>
      </w:r>
      <w:r w:rsidR="00652A0B" w:rsidRPr="00206CF0">
        <w:rPr>
          <w:sz w:val="22"/>
          <w:szCs w:val="22"/>
          <w:lang w:val="sr-Latn-RS"/>
        </w:rPr>
        <w:t>A</w:t>
      </w:r>
      <w:r w:rsidRPr="00206CF0">
        <w:rPr>
          <w:sz w:val="22"/>
          <w:szCs w:val="22"/>
          <w:lang w:val="sr-Latn-RS"/>
        </w:rPr>
        <w:t>SE</w:t>
      </w:r>
      <w:r w:rsidRPr="00206CF0">
        <w:rPr>
          <w:sz w:val="22"/>
          <w:szCs w:val="22"/>
          <w:lang w:val="sr-Latn-RS"/>
        </w:rPr>
        <w:noBreakHyphen/>
        <w:t>a u trenutku prelaska na lijek Mircera (Tabela 2).</w:t>
      </w:r>
    </w:p>
    <w:p w:rsidR="00106CE9" w:rsidRPr="00206CF0" w:rsidRDefault="00106CE9">
      <w:pPr>
        <w:rPr>
          <w:sz w:val="22"/>
          <w:szCs w:val="22"/>
          <w:lang w:val="sr-Latn-RS"/>
        </w:rPr>
      </w:pPr>
      <w:r w:rsidRPr="00206CF0">
        <w:rPr>
          <w:sz w:val="22"/>
          <w:szCs w:val="22"/>
          <w:lang w:val="sr-Latn-RS"/>
        </w:rPr>
        <w:br w:type="page"/>
      </w:r>
    </w:p>
    <w:p w:rsidR="0013136D" w:rsidRPr="00206CF0" w:rsidRDefault="00D72624">
      <w:pPr>
        <w:pStyle w:val="Caption"/>
        <w:keepNext/>
        <w:keepLines/>
        <w:jc w:val="both"/>
        <w:rPr>
          <w:sz w:val="22"/>
          <w:szCs w:val="22"/>
          <w:lang w:val="sr-Latn-RS"/>
        </w:rPr>
      </w:pPr>
      <w:r w:rsidRPr="00206CF0">
        <w:rPr>
          <w:sz w:val="22"/>
          <w:szCs w:val="22"/>
          <w:lang w:val="sr-Latn-RS"/>
        </w:rPr>
        <w:lastRenderedPageBreak/>
        <w:t>Tabela 2. Početne doze metoksi</w:t>
      </w:r>
      <w:r w:rsidR="00A633A9" w:rsidRPr="00206CF0">
        <w:rPr>
          <w:sz w:val="22"/>
          <w:szCs w:val="22"/>
          <w:lang w:val="sr-Latn-RS"/>
        </w:rPr>
        <w:t xml:space="preserve"> </w:t>
      </w:r>
      <w:r w:rsidR="0013136D" w:rsidRPr="00206CF0">
        <w:rPr>
          <w:sz w:val="22"/>
          <w:szCs w:val="22"/>
          <w:lang w:val="sr-Latn-RS"/>
        </w:rPr>
        <w:t xml:space="preserve">polietilenglikol-epoetina beta kod pedijatrijskih pacijenata uzrasta od 3 mjeseca do manje od 18 godina koji trenutno primaju </w:t>
      </w:r>
      <w:r w:rsidR="00652A0B" w:rsidRPr="00206CF0">
        <w:rPr>
          <w:sz w:val="22"/>
          <w:szCs w:val="22"/>
          <w:lang w:val="sr-Latn-RS"/>
        </w:rPr>
        <w:t>A</w:t>
      </w:r>
      <w:r w:rsidR="0013136D" w:rsidRPr="00206CF0">
        <w:rPr>
          <w:sz w:val="22"/>
          <w:szCs w:val="22"/>
          <w:lang w:val="sr-Latn-RS"/>
        </w:rPr>
        <w:t>SE</w:t>
      </w:r>
    </w:p>
    <w:p w:rsidR="0013136D" w:rsidRPr="00206CF0" w:rsidRDefault="0013136D" w:rsidP="00F55D06">
      <w:pPr>
        <w:jc w:val="both"/>
        <w:rPr>
          <w:sz w:val="22"/>
          <w:szCs w:val="22"/>
          <w:lang w:val="sr-Latn-RS" w:eastAsia="ja-JP"/>
        </w:rPr>
      </w:pPr>
    </w:p>
    <w:tbl>
      <w:tblPr>
        <w:tblW w:w="8534" w:type="dxa"/>
        <w:tblInd w:w="108" w:type="dxa"/>
        <w:tblLayout w:type="fixed"/>
        <w:tblLook w:val="0000" w:firstRow="0" w:lastRow="0" w:firstColumn="0" w:lastColumn="0" w:noHBand="0" w:noVBand="0"/>
      </w:tblPr>
      <w:tblGrid>
        <w:gridCol w:w="2722"/>
        <w:gridCol w:w="2835"/>
        <w:gridCol w:w="2977"/>
      </w:tblGrid>
      <w:tr w:rsidR="0013136D" w:rsidRPr="00206CF0" w:rsidTr="00F55D06">
        <w:trPr>
          <w:tblHeader/>
        </w:trPr>
        <w:tc>
          <w:tcPr>
            <w:tcW w:w="2722" w:type="dxa"/>
            <w:tcBorders>
              <w:top w:val="single" w:sz="4" w:space="0" w:color="000000"/>
              <w:left w:val="single" w:sz="4" w:space="0" w:color="000000"/>
              <w:bottom w:val="single" w:sz="4" w:space="0" w:color="000000"/>
            </w:tcBorders>
          </w:tcPr>
          <w:p w:rsidR="0013136D" w:rsidRPr="00206CF0" w:rsidRDefault="0013136D" w:rsidP="00F55D06">
            <w:pPr>
              <w:snapToGrid w:val="0"/>
              <w:jc w:val="both"/>
              <w:rPr>
                <w:b/>
                <w:sz w:val="22"/>
                <w:szCs w:val="22"/>
                <w:lang w:val="sr-Latn-RS"/>
              </w:rPr>
            </w:pPr>
            <w:r w:rsidRPr="00206CF0">
              <w:rPr>
                <w:b/>
                <w:sz w:val="22"/>
                <w:szCs w:val="22"/>
                <w:lang w:val="sr-Latn-RS"/>
              </w:rPr>
              <w:t>Prethodna nedjeljna doza darbepoetina alfa (mikrogram/</w:t>
            </w:r>
            <w:r w:rsidR="00455457" w:rsidRPr="00206CF0">
              <w:rPr>
                <w:b/>
                <w:sz w:val="22"/>
                <w:szCs w:val="22"/>
                <w:lang w:val="sr-Latn-RS"/>
              </w:rPr>
              <w:t>nedjelja</w:t>
            </w:r>
            <w:r w:rsidRPr="00206CF0">
              <w:rPr>
                <w:b/>
                <w:sz w:val="22"/>
                <w:szCs w:val="22"/>
                <w:lang w:val="sr-Latn-RS"/>
              </w:rPr>
              <w:t>)</w:t>
            </w:r>
          </w:p>
        </w:tc>
        <w:tc>
          <w:tcPr>
            <w:tcW w:w="2835" w:type="dxa"/>
            <w:tcBorders>
              <w:top w:val="single" w:sz="4" w:space="0" w:color="000000"/>
              <w:left w:val="single" w:sz="4" w:space="0" w:color="000000"/>
              <w:bottom w:val="single" w:sz="4" w:space="0" w:color="000000"/>
              <w:right w:val="single" w:sz="4" w:space="0" w:color="000000"/>
            </w:tcBorders>
          </w:tcPr>
          <w:p w:rsidR="0013136D" w:rsidRPr="00206CF0" w:rsidRDefault="0013136D" w:rsidP="00F55D06">
            <w:pPr>
              <w:snapToGrid w:val="0"/>
              <w:jc w:val="both"/>
              <w:rPr>
                <w:b/>
                <w:sz w:val="22"/>
                <w:szCs w:val="22"/>
                <w:lang w:val="sr-Latn-RS"/>
              </w:rPr>
            </w:pPr>
            <w:r w:rsidRPr="00206CF0">
              <w:rPr>
                <w:b/>
                <w:sz w:val="22"/>
                <w:szCs w:val="22"/>
                <w:lang w:val="sr-Latn-RS"/>
              </w:rPr>
              <w:t xml:space="preserve">Prethodna nedjeljna doza </w:t>
            </w:r>
            <w:r w:rsidRPr="00206CF0">
              <w:rPr>
                <w:rStyle w:val="Emphasis"/>
                <w:b/>
                <w:sz w:val="22"/>
                <w:szCs w:val="22"/>
                <w:lang w:val="sr-Latn-RS"/>
              </w:rPr>
              <w:t>epoetin</w:t>
            </w:r>
            <w:r w:rsidRPr="00206CF0">
              <w:rPr>
                <w:b/>
                <w:sz w:val="22"/>
                <w:szCs w:val="22"/>
                <w:lang w:val="sr-Latn-RS"/>
              </w:rPr>
              <w:t>a (i.j./ned</w:t>
            </w:r>
            <w:r w:rsidR="00455457" w:rsidRPr="00206CF0">
              <w:rPr>
                <w:b/>
                <w:sz w:val="22"/>
                <w:szCs w:val="22"/>
                <w:lang w:val="sr-Latn-RS"/>
              </w:rPr>
              <w:t>j</w:t>
            </w:r>
            <w:r w:rsidRPr="00206CF0">
              <w:rPr>
                <w:b/>
                <w:sz w:val="22"/>
                <w:szCs w:val="22"/>
                <w:lang w:val="sr-Latn-RS"/>
              </w:rPr>
              <w:t>elja)</w:t>
            </w:r>
          </w:p>
        </w:tc>
        <w:tc>
          <w:tcPr>
            <w:tcW w:w="2977" w:type="dxa"/>
            <w:tcBorders>
              <w:top w:val="single" w:sz="4" w:space="0" w:color="000000"/>
              <w:left w:val="single" w:sz="4" w:space="0" w:color="000000"/>
              <w:bottom w:val="single" w:sz="4" w:space="0" w:color="000000"/>
              <w:right w:val="single" w:sz="4" w:space="0" w:color="000000"/>
            </w:tcBorders>
          </w:tcPr>
          <w:p w:rsidR="0013136D" w:rsidRPr="00206CF0" w:rsidRDefault="00D72624" w:rsidP="00F55D06">
            <w:pPr>
              <w:snapToGrid w:val="0"/>
              <w:jc w:val="both"/>
              <w:rPr>
                <w:b/>
                <w:sz w:val="22"/>
                <w:szCs w:val="22"/>
                <w:lang w:val="sr-Latn-RS"/>
              </w:rPr>
            </w:pPr>
            <w:r w:rsidRPr="00206CF0">
              <w:rPr>
                <w:b/>
                <w:sz w:val="22"/>
                <w:szCs w:val="22"/>
                <w:lang w:val="sr-Latn-RS"/>
              </w:rPr>
              <w:t>Doza metoksi</w:t>
            </w:r>
            <w:r w:rsidR="00A633A9" w:rsidRPr="00206CF0">
              <w:rPr>
                <w:b/>
                <w:sz w:val="22"/>
                <w:szCs w:val="22"/>
                <w:lang w:val="sr-Latn-RS"/>
              </w:rPr>
              <w:t xml:space="preserve"> </w:t>
            </w:r>
            <w:r w:rsidR="0013136D" w:rsidRPr="00206CF0">
              <w:rPr>
                <w:b/>
                <w:sz w:val="22"/>
                <w:szCs w:val="22"/>
                <w:lang w:val="sr-Latn-RS"/>
              </w:rPr>
              <w:t xml:space="preserve">polietilenglikol-epoetina beta jedanput svake 4 nedjelje (mikrogram) </w:t>
            </w:r>
          </w:p>
        </w:tc>
      </w:tr>
      <w:tr w:rsidR="0013136D" w:rsidRPr="00206CF0" w:rsidTr="00F55D06">
        <w:trPr>
          <w:tblHeader/>
        </w:trPr>
        <w:tc>
          <w:tcPr>
            <w:tcW w:w="2722" w:type="dxa"/>
            <w:tcBorders>
              <w:left w:val="single" w:sz="4" w:space="0" w:color="000000"/>
              <w:bottom w:val="single" w:sz="4" w:space="0" w:color="auto"/>
            </w:tcBorders>
          </w:tcPr>
          <w:p w:rsidR="0013136D" w:rsidRPr="00206CF0" w:rsidRDefault="0013136D">
            <w:pPr>
              <w:snapToGrid w:val="0"/>
              <w:jc w:val="center"/>
              <w:rPr>
                <w:sz w:val="22"/>
                <w:szCs w:val="22"/>
                <w:lang w:val="sr-Latn-RS"/>
              </w:rPr>
            </w:pPr>
            <w:r w:rsidRPr="00206CF0">
              <w:rPr>
                <w:sz w:val="22"/>
                <w:szCs w:val="22"/>
                <w:lang w:val="sr-Latn-RS"/>
              </w:rPr>
              <w:t>9 - &lt;12</w:t>
            </w:r>
          </w:p>
        </w:tc>
        <w:tc>
          <w:tcPr>
            <w:tcW w:w="2835" w:type="dxa"/>
            <w:tcBorders>
              <w:left w:val="single" w:sz="4" w:space="0" w:color="000000"/>
              <w:bottom w:val="single" w:sz="4" w:space="0" w:color="auto"/>
              <w:right w:val="single" w:sz="4" w:space="0" w:color="000000"/>
            </w:tcBorders>
          </w:tcPr>
          <w:p w:rsidR="0013136D" w:rsidRPr="00206CF0" w:rsidRDefault="0013136D">
            <w:pPr>
              <w:snapToGrid w:val="0"/>
              <w:jc w:val="center"/>
              <w:rPr>
                <w:sz w:val="22"/>
                <w:szCs w:val="22"/>
                <w:lang w:val="sr-Latn-RS"/>
              </w:rPr>
            </w:pPr>
            <w:r w:rsidRPr="00206CF0">
              <w:rPr>
                <w:sz w:val="22"/>
                <w:szCs w:val="22"/>
                <w:lang w:val="sr-Latn-RS"/>
              </w:rPr>
              <w:t>2000 -  &lt;2700</w:t>
            </w:r>
          </w:p>
        </w:tc>
        <w:tc>
          <w:tcPr>
            <w:tcW w:w="2977" w:type="dxa"/>
            <w:tcBorders>
              <w:left w:val="single" w:sz="4" w:space="0" w:color="000000"/>
              <w:bottom w:val="single" w:sz="4" w:space="0" w:color="auto"/>
              <w:right w:val="single" w:sz="4" w:space="0" w:color="000000"/>
            </w:tcBorders>
          </w:tcPr>
          <w:p w:rsidR="0013136D" w:rsidRPr="00206CF0" w:rsidRDefault="0013136D">
            <w:pPr>
              <w:snapToGrid w:val="0"/>
              <w:jc w:val="center"/>
              <w:rPr>
                <w:sz w:val="22"/>
                <w:szCs w:val="22"/>
                <w:lang w:val="sr-Latn-RS"/>
              </w:rPr>
            </w:pPr>
            <w:r w:rsidRPr="00206CF0">
              <w:rPr>
                <w:sz w:val="22"/>
                <w:szCs w:val="22"/>
                <w:lang w:val="sr-Latn-RS"/>
              </w:rPr>
              <w:t>30</w:t>
            </w:r>
          </w:p>
        </w:tc>
      </w:tr>
      <w:tr w:rsidR="0013136D" w:rsidRPr="00206CF0" w:rsidTr="00F55D06">
        <w:trPr>
          <w:tblHeader/>
        </w:trPr>
        <w:tc>
          <w:tcPr>
            <w:tcW w:w="2722" w:type="dxa"/>
            <w:tcBorders>
              <w:top w:val="single" w:sz="4" w:space="0" w:color="auto"/>
              <w:left w:val="single" w:sz="4" w:space="0" w:color="auto"/>
              <w:bottom w:val="single" w:sz="4" w:space="0" w:color="auto"/>
              <w:right w:val="single" w:sz="4" w:space="0" w:color="auto"/>
            </w:tcBorders>
          </w:tcPr>
          <w:p w:rsidR="0013136D" w:rsidRPr="00206CF0" w:rsidRDefault="0013136D">
            <w:pPr>
              <w:snapToGrid w:val="0"/>
              <w:jc w:val="center"/>
              <w:rPr>
                <w:sz w:val="22"/>
                <w:szCs w:val="22"/>
                <w:lang w:val="sr-Latn-RS"/>
              </w:rPr>
            </w:pPr>
            <w:r w:rsidRPr="00206CF0">
              <w:rPr>
                <w:sz w:val="22"/>
                <w:szCs w:val="22"/>
                <w:lang w:val="sr-Latn-RS"/>
              </w:rPr>
              <w:t>12 - &lt;15</w:t>
            </w:r>
          </w:p>
        </w:tc>
        <w:tc>
          <w:tcPr>
            <w:tcW w:w="2835" w:type="dxa"/>
            <w:tcBorders>
              <w:top w:val="single" w:sz="4" w:space="0" w:color="auto"/>
              <w:left w:val="single" w:sz="4" w:space="0" w:color="auto"/>
              <w:bottom w:val="single" w:sz="4" w:space="0" w:color="auto"/>
              <w:right w:val="single" w:sz="4" w:space="0" w:color="auto"/>
            </w:tcBorders>
          </w:tcPr>
          <w:p w:rsidR="0013136D" w:rsidRPr="00206CF0" w:rsidRDefault="0013136D">
            <w:pPr>
              <w:snapToGrid w:val="0"/>
              <w:jc w:val="center"/>
              <w:rPr>
                <w:sz w:val="22"/>
                <w:szCs w:val="22"/>
                <w:lang w:val="sr-Latn-RS"/>
              </w:rPr>
            </w:pPr>
            <w:r w:rsidRPr="00206CF0">
              <w:rPr>
                <w:sz w:val="22"/>
                <w:szCs w:val="22"/>
                <w:lang w:val="sr-Latn-RS"/>
              </w:rPr>
              <w:t>2700 -  &lt;3500</w:t>
            </w:r>
          </w:p>
        </w:tc>
        <w:tc>
          <w:tcPr>
            <w:tcW w:w="2977" w:type="dxa"/>
            <w:tcBorders>
              <w:top w:val="single" w:sz="4" w:space="0" w:color="auto"/>
              <w:left w:val="single" w:sz="4" w:space="0" w:color="auto"/>
              <w:bottom w:val="single" w:sz="4" w:space="0" w:color="auto"/>
              <w:right w:val="single" w:sz="4" w:space="0" w:color="auto"/>
            </w:tcBorders>
          </w:tcPr>
          <w:p w:rsidR="0013136D" w:rsidRPr="00206CF0" w:rsidRDefault="0013136D">
            <w:pPr>
              <w:snapToGrid w:val="0"/>
              <w:jc w:val="center"/>
              <w:rPr>
                <w:sz w:val="22"/>
                <w:szCs w:val="22"/>
                <w:lang w:val="sr-Latn-RS"/>
              </w:rPr>
            </w:pPr>
            <w:r w:rsidRPr="00206CF0">
              <w:rPr>
                <w:sz w:val="22"/>
                <w:szCs w:val="22"/>
                <w:lang w:val="sr-Latn-RS"/>
              </w:rPr>
              <w:t>50</w:t>
            </w:r>
          </w:p>
        </w:tc>
      </w:tr>
      <w:tr w:rsidR="0013136D" w:rsidRPr="00206CF0" w:rsidTr="00F55D06">
        <w:trPr>
          <w:tblHeader/>
        </w:trPr>
        <w:tc>
          <w:tcPr>
            <w:tcW w:w="2722" w:type="dxa"/>
            <w:tcBorders>
              <w:top w:val="single" w:sz="4" w:space="0" w:color="auto"/>
              <w:left w:val="single" w:sz="4" w:space="0" w:color="auto"/>
              <w:bottom w:val="single" w:sz="4" w:space="0" w:color="auto"/>
              <w:right w:val="single" w:sz="4" w:space="0" w:color="auto"/>
            </w:tcBorders>
          </w:tcPr>
          <w:p w:rsidR="0013136D" w:rsidRPr="00206CF0" w:rsidRDefault="0013136D">
            <w:pPr>
              <w:snapToGrid w:val="0"/>
              <w:jc w:val="center"/>
              <w:rPr>
                <w:sz w:val="22"/>
                <w:szCs w:val="22"/>
                <w:lang w:val="sr-Latn-RS"/>
              </w:rPr>
            </w:pPr>
            <w:r w:rsidRPr="00206CF0">
              <w:rPr>
                <w:sz w:val="22"/>
                <w:szCs w:val="22"/>
                <w:lang w:val="sr-Latn-RS"/>
              </w:rPr>
              <w:t>15 - &lt;24</w:t>
            </w:r>
          </w:p>
        </w:tc>
        <w:tc>
          <w:tcPr>
            <w:tcW w:w="2835" w:type="dxa"/>
            <w:tcBorders>
              <w:top w:val="single" w:sz="4" w:space="0" w:color="auto"/>
              <w:left w:val="single" w:sz="4" w:space="0" w:color="auto"/>
              <w:bottom w:val="single" w:sz="4" w:space="0" w:color="auto"/>
              <w:right w:val="single" w:sz="4" w:space="0" w:color="auto"/>
            </w:tcBorders>
          </w:tcPr>
          <w:p w:rsidR="0013136D" w:rsidRPr="00206CF0" w:rsidRDefault="0013136D">
            <w:pPr>
              <w:snapToGrid w:val="0"/>
              <w:jc w:val="center"/>
              <w:rPr>
                <w:sz w:val="22"/>
                <w:szCs w:val="22"/>
                <w:lang w:val="sr-Latn-RS"/>
              </w:rPr>
            </w:pPr>
            <w:r w:rsidRPr="00206CF0">
              <w:rPr>
                <w:sz w:val="22"/>
                <w:szCs w:val="22"/>
                <w:lang w:val="sr-Latn-RS"/>
              </w:rPr>
              <w:t>3500 -  &lt;5500</w:t>
            </w:r>
          </w:p>
        </w:tc>
        <w:tc>
          <w:tcPr>
            <w:tcW w:w="2977" w:type="dxa"/>
            <w:tcBorders>
              <w:top w:val="single" w:sz="4" w:space="0" w:color="auto"/>
              <w:left w:val="single" w:sz="4" w:space="0" w:color="auto"/>
              <w:bottom w:val="single" w:sz="4" w:space="0" w:color="auto"/>
              <w:right w:val="single" w:sz="4" w:space="0" w:color="auto"/>
            </w:tcBorders>
          </w:tcPr>
          <w:p w:rsidR="0013136D" w:rsidRPr="00206CF0" w:rsidRDefault="0013136D">
            <w:pPr>
              <w:snapToGrid w:val="0"/>
              <w:jc w:val="center"/>
              <w:rPr>
                <w:sz w:val="22"/>
                <w:szCs w:val="22"/>
                <w:lang w:val="sr-Latn-RS"/>
              </w:rPr>
            </w:pPr>
            <w:r w:rsidRPr="00206CF0">
              <w:rPr>
                <w:sz w:val="22"/>
                <w:szCs w:val="22"/>
                <w:lang w:val="sr-Latn-RS"/>
              </w:rPr>
              <w:t>75</w:t>
            </w:r>
          </w:p>
        </w:tc>
      </w:tr>
      <w:tr w:rsidR="0013136D" w:rsidRPr="00206CF0" w:rsidTr="00F55D06">
        <w:trPr>
          <w:tblHeader/>
        </w:trPr>
        <w:tc>
          <w:tcPr>
            <w:tcW w:w="2722" w:type="dxa"/>
            <w:tcBorders>
              <w:top w:val="single" w:sz="4" w:space="0" w:color="auto"/>
              <w:left w:val="single" w:sz="4" w:space="0" w:color="auto"/>
              <w:bottom w:val="single" w:sz="4" w:space="0" w:color="auto"/>
              <w:right w:val="single" w:sz="4" w:space="0" w:color="auto"/>
            </w:tcBorders>
          </w:tcPr>
          <w:p w:rsidR="0013136D" w:rsidRPr="00206CF0" w:rsidRDefault="0013136D">
            <w:pPr>
              <w:snapToGrid w:val="0"/>
              <w:jc w:val="center"/>
              <w:rPr>
                <w:sz w:val="22"/>
                <w:szCs w:val="22"/>
                <w:lang w:val="sr-Latn-RS"/>
              </w:rPr>
            </w:pPr>
            <w:r w:rsidRPr="00206CF0">
              <w:rPr>
                <w:sz w:val="22"/>
                <w:szCs w:val="22"/>
                <w:lang w:val="sr-Latn-RS"/>
              </w:rPr>
              <w:t>24 - &lt;30</w:t>
            </w:r>
          </w:p>
        </w:tc>
        <w:tc>
          <w:tcPr>
            <w:tcW w:w="2835" w:type="dxa"/>
            <w:tcBorders>
              <w:top w:val="single" w:sz="4" w:space="0" w:color="auto"/>
              <w:left w:val="single" w:sz="4" w:space="0" w:color="auto"/>
              <w:bottom w:val="single" w:sz="4" w:space="0" w:color="auto"/>
              <w:right w:val="single" w:sz="4" w:space="0" w:color="auto"/>
            </w:tcBorders>
          </w:tcPr>
          <w:p w:rsidR="0013136D" w:rsidRPr="00206CF0" w:rsidRDefault="0013136D">
            <w:pPr>
              <w:snapToGrid w:val="0"/>
              <w:jc w:val="center"/>
              <w:rPr>
                <w:sz w:val="22"/>
                <w:szCs w:val="22"/>
                <w:lang w:val="sr-Latn-RS"/>
              </w:rPr>
            </w:pPr>
            <w:r w:rsidRPr="00206CF0">
              <w:rPr>
                <w:sz w:val="22"/>
                <w:szCs w:val="22"/>
                <w:lang w:val="sr-Latn-RS"/>
              </w:rPr>
              <w:t>5500 -  &lt;6500</w:t>
            </w:r>
          </w:p>
        </w:tc>
        <w:tc>
          <w:tcPr>
            <w:tcW w:w="2977" w:type="dxa"/>
            <w:tcBorders>
              <w:top w:val="single" w:sz="4" w:space="0" w:color="auto"/>
              <w:left w:val="single" w:sz="4" w:space="0" w:color="auto"/>
              <w:bottom w:val="single" w:sz="4" w:space="0" w:color="auto"/>
              <w:right w:val="single" w:sz="4" w:space="0" w:color="auto"/>
            </w:tcBorders>
          </w:tcPr>
          <w:p w:rsidR="0013136D" w:rsidRPr="00206CF0" w:rsidRDefault="0013136D">
            <w:pPr>
              <w:snapToGrid w:val="0"/>
              <w:jc w:val="center"/>
              <w:rPr>
                <w:sz w:val="22"/>
                <w:szCs w:val="22"/>
                <w:lang w:val="sr-Latn-RS"/>
              </w:rPr>
            </w:pPr>
            <w:r w:rsidRPr="00206CF0">
              <w:rPr>
                <w:sz w:val="22"/>
                <w:szCs w:val="22"/>
                <w:lang w:val="sr-Latn-RS"/>
              </w:rPr>
              <w:t>100</w:t>
            </w:r>
          </w:p>
        </w:tc>
      </w:tr>
      <w:tr w:rsidR="0013136D" w:rsidRPr="00206CF0" w:rsidTr="00F55D06">
        <w:trPr>
          <w:tblHeader/>
        </w:trPr>
        <w:tc>
          <w:tcPr>
            <w:tcW w:w="2722" w:type="dxa"/>
            <w:tcBorders>
              <w:top w:val="single" w:sz="4" w:space="0" w:color="auto"/>
              <w:left w:val="single" w:sz="4" w:space="0" w:color="auto"/>
              <w:bottom w:val="single" w:sz="4" w:space="0" w:color="auto"/>
              <w:right w:val="single" w:sz="4" w:space="0" w:color="auto"/>
            </w:tcBorders>
          </w:tcPr>
          <w:p w:rsidR="0013136D" w:rsidRPr="00206CF0" w:rsidRDefault="0013136D">
            <w:pPr>
              <w:snapToGrid w:val="0"/>
              <w:jc w:val="center"/>
              <w:rPr>
                <w:sz w:val="22"/>
                <w:szCs w:val="22"/>
                <w:lang w:val="sr-Latn-RS"/>
              </w:rPr>
            </w:pPr>
            <w:r w:rsidRPr="00206CF0">
              <w:rPr>
                <w:sz w:val="22"/>
                <w:szCs w:val="22"/>
                <w:lang w:val="sr-Latn-RS"/>
              </w:rPr>
              <w:t>30 - &lt;35</w:t>
            </w:r>
          </w:p>
        </w:tc>
        <w:tc>
          <w:tcPr>
            <w:tcW w:w="2835" w:type="dxa"/>
            <w:tcBorders>
              <w:top w:val="single" w:sz="4" w:space="0" w:color="auto"/>
              <w:left w:val="single" w:sz="4" w:space="0" w:color="auto"/>
              <w:bottom w:val="single" w:sz="4" w:space="0" w:color="auto"/>
              <w:right w:val="single" w:sz="4" w:space="0" w:color="auto"/>
            </w:tcBorders>
          </w:tcPr>
          <w:p w:rsidR="0013136D" w:rsidRPr="00206CF0" w:rsidRDefault="0013136D">
            <w:pPr>
              <w:snapToGrid w:val="0"/>
              <w:jc w:val="center"/>
              <w:rPr>
                <w:sz w:val="22"/>
                <w:szCs w:val="22"/>
                <w:lang w:val="sr-Latn-RS"/>
              </w:rPr>
            </w:pPr>
            <w:r w:rsidRPr="00206CF0">
              <w:rPr>
                <w:sz w:val="22"/>
                <w:szCs w:val="22"/>
                <w:lang w:val="sr-Latn-RS"/>
              </w:rPr>
              <w:t>6500 -  &lt;8000</w:t>
            </w:r>
          </w:p>
        </w:tc>
        <w:tc>
          <w:tcPr>
            <w:tcW w:w="2977" w:type="dxa"/>
            <w:tcBorders>
              <w:top w:val="single" w:sz="4" w:space="0" w:color="auto"/>
              <w:left w:val="single" w:sz="4" w:space="0" w:color="auto"/>
              <w:bottom w:val="single" w:sz="4" w:space="0" w:color="auto"/>
              <w:right w:val="single" w:sz="4" w:space="0" w:color="auto"/>
            </w:tcBorders>
          </w:tcPr>
          <w:p w:rsidR="0013136D" w:rsidRPr="00206CF0" w:rsidRDefault="0013136D">
            <w:pPr>
              <w:snapToGrid w:val="0"/>
              <w:jc w:val="center"/>
              <w:rPr>
                <w:sz w:val="22"/>
                <w:szCs w:val="22"/>
                <w:lang w:val="sr-Latn-RS"/>
              </w:rPr>
            </w:pPr>
            <w:r w:rsidRPr="00206CF0">
              <w:rPr>
                <w:sz w:val="22"/>
                <w:szCs w:val="22"/>
                <w:lang w:val="sr-Latn-RS"/>
              </w:rPr>
              <w:t>120</w:t>
            </w:r>
          </w:p>
        </w:tc>
      </w:tr>
      <w:tr w:rsidR="0013136D" w:rsidRPr="00206CF0" w:rsidTr="00F55D06">
        <w:trPr>
          <w:tblHeader/>
        </w:trPr>
        <w:tc>
          <w:tcPr>
            <w:tcW w:w="2722" w:type="dxa"/>
            <w:tcBorders>
              <w:top w:val="single" w:sz="4" w:space="0" w:color="auto"/>
              <w:left w:val="single" w:sz="4" w:space="0" w:color="auto"/>
              <w:bottom w:val="single" w:sz="4" w:space="0" w:color="auto"/>
              <w:right w:val="single" w:sz="4" w:space="0" w:color="auto"/>
            </w:tcBorders>
          </w:tcPr>
          <w:p w:rsidR="0013136D" w:rsidRPr="00206CF0" w:rsidRDefault="0013136D">
            <w:pPr>
              <w:snapToGrid w:val="0"/>
              <w:jc w:val="center"/>
              <w:rPr>
                <w:sz w:val="22"/>
                <w:szCs w:val="22"/>
                <w:lang w:val="sr-Latn-RS"/>
              </w:rPr>
            </w:pPr>
            <w:r w:rsidRPr="00206CF0">
              <w:rPr>
                <w:sz w:val="22"/>
                <w:szCs w:val="22"/>
                <w:lang w:val="sr-Latn-RS"/>
              </w:rPr>
              <w:t>35 - &lt;47</w:t>
            </w:r>
          </w:p>
        </w:tc>
        <w:tc>
          <w:tcPr>
            <w:tcW w:w="2835" w:type="dxa"/>
            <w:tcBorders>
              <w:top w:val="single" w:sz="4" w:space="0" w:color="auto"/>
              <w:left w:val="single" w:sz="4" w:space="0" w:color="auto"/>
              <w:bottom w:val="single" w:sz="4" w:space="0" w:color="auto"/>
              <w:right w:val="single" w:sz="4" w:space="0" w:color="auto"/>
            </w:tcBorders>
          </w:tcPr>
          <w:p w:rsidR="0013136D" w:rsidRPr="00206CF0" w:rsidRDefault="0013136D">
            <w:pPr>
              <w:snapToGrid w:val="0"/>
              <w:jc w:val="center"/>
              <w:rPr>
                <w:sz w:val="22"/>
                <w:szCs w:val="22"/>
                <w:lang w:val="sr-Latn-RS"/>
              </w:rPr>
            </w:pPr>
            <w:r w:rsidRPr="00206CF0">
              <w:rPr>
                <w:sz w:val="22"/>
                <w:szCs w:val="22"/>
                <w:lang w:val="sr-Latn-RS"/>
              </w:rPr>
              <w:t>8000 - &lt;10 000</w:t>
            </w:r>
          </w:p>
        </w:tc>
        <w:tc>
          <w:tcPr>
            <w:tcW w:w="2977" w:type="dxa"/>
            <w:tcBorders>
              <w:top w:val="single" w:sz="4" w:space="0" w:color="auto"/>
              <w:left w:val="single" w:sz="4" w:space="0" w:color="auto"/>
              <w:bottom w:val="single" w:sz="4" w:space="0" w:color="auto"/>
              <w:right w:val="single" w:sz="4" w:space="0" w:color="auto"/>
            </w:tcBorders>
          </w:tcPr>
          <w:p w:rsidR="0013136D" w:rsidRPr="00206CF0" w:rsidRDefault="0013136D">
            <w:pPr>
              <w:snapToGrid w:val="0"/>
              <w:jc w:val="center"/>
              <w:rPr>
                <w:sz w:val="22"/>
                <w:szCs w:val="22"/>
                <w:lang w:val="sr-Latn-RS"/>
              </w:rPr>
            </w:pPr>
            <w:r w:rsidRPr="00206CF0">
              <w:rPr>
                <w:sz w:val="22"/>
                <w:szCs w:val="22"/>
                <w:lang w:val="sr-Latn-RS"/>
              </w:rPr>
              <w:t>150</w:t>
            </w:r>
          </w:p>
        </w:tc>
      </w:tr>
      <w:tr w:rsidR="0013136D" w:rsidRPr="00206CF0" w:rsidTr="00F55D06">
        <w:trPr>
          <w:tblHeader/>
        </w:trPr>
        <w:tc>
          <w:tcPr>
            <w:tcW w:w="2722" w:type="dxa"/>
            <w:tcBorders>
              <w:top w:val="single" w:sz="4" w:space="0" w:color="auto"/>
              <w:left w:val="single" w:sz="4" w:space="0" w:color="auto"/>
              <w:bottom w:val="single" w:sz="4" w:space="0" w:color="auto"/>
              <w:right w:val="single" w:sz="4" w:space="0" w:color="auto"/>
            </w:tcBorders>
          </w:tcPr>
          <w:p w:rsidR="0013136D" w:rsidRPr="00206CF0" w:rsidRDefault="0013136D">
            <w:pPr>
              <w:snapToGrid w:val="0"/>
              <w:jc w:val="center"/>
              <w:rPr>
                <w:sz w:val="22"/>
                <w:szCs w:val="22"/>
                <w:lang w:val="sr-Latn-RS"/>
              </w:rPr>
            </w:pPr>
            <w:r w:rsidRPr="00206CF0">
              <w:rPr>
                <w:sz w:val="22"/>
                <w:szCs w:val="22"/>
                <w:lang w:val="sr-Latn-RS"/>
              </w:rPr>
              <w:t>47 - &lt;60</w:t>
            </w:r>
          </w:p>
        </w:tc>
        <w:tc>
          <w:tcPr>
            <w:tcW w:w="2835" w:type="dxa"/>
            <w:tcBorders>
              <w:top w:val="single" w:sz="4" w:space="0" w:color="auto"/>
              <w:left w:val="single" w:sz="4" w:space="0" w:color="auto"/>
              <w:bottom w:val="single" w:sz="4" w:space="0" w:color="auto"/>
              <w:right w:val="single" w:sz="4" w:space="0" w:color="auto"/>
            </w:tcBorders>
          </w:tcPr>
          <w:p w:rsidR="0013136D" w:rsidRPr="00206CF0" w:rsidRDefault="0013136D">
            <w:pPr>
              <w:snapToGrid w:val="0"/>
              <w:jc w:val="center"/>
              <w:rPr>
                <w:sz w:val="22"/>
                <w:szCs w:val="22"/>
                <w:lang w:val="sr-Latn-RS"/>
              </w:rPr>
            </w:pPr>
            <w:r w:rsidRPr="00206CF0">
              <w:rPr>
                <w:sz w:val="22"/>
                <w:szCs w:val="22"/>
                <w:lang w:val="sr-Latn-RS"/>
              </w:rPr>
              <w:t>10 000 - &lt;13 000</w:t>
            </w:r>
          </w:p>
        </w:tc>
        <w:tc>
          <w:tcPr>
            <w:tcW w:w="2977" w:type="dxa"/>
            <w:tcBorders>
              <w:top w:val="single" w:sz="4" w:space="0" w:color="auto"/>
              <w:left w:val="single" w:sz="4" w:space="0" w:color="auto"/>
              <w:bottom w:val="single" w:sz="4" w:space="0" w:color="auto"/>
              <w:right w:val="single" w:sz="4" w:space="0" w:color="auto"/>
            </w:tcBorders>
          </w:tcPr>
          <w:p w:rsidR="0013136D" w:rsidRPr="00206CF0" w:rsidRDefault="0013136D">
            <w:pPr>
              <w:snapToGrid w:val="0"/>
              <w:jc w:val="center"/>
              <w:rPr>
                <w:sz w:val="22"/>
                <w:szCs w:val="22"/>
                <w:lang w:val="sr-Latn-RS"/>
              </w:rPr>
            </w:pPr>
            <w:r w:rsidRPr="00206CF0">
              <w:rPr>
                <w:sz w:val="22"/>
                <w:szCs w:val="22"/>
                <w:lang w:val="sr-Latn-RS"/>
              </w:rPr>
              <w:t>200</w:t>
            </w:r>
          </w:p>
        </w:tc>
      </w:tr>
      <w:tr w:rsidR="0013136D" w:rsidRPr="00206CF0" w:rsidTr="00F55D06">
        <w:trPr>
          <w:tblHeader/>
        </w:trPr>
        <w:tc>
          <w:tcPr>
            <w:tcW w:w="2722" w:type="dxa"/>
            <w:tcBorders>
              <w:top w:val="single" w:sz="4" w:space="0" w:color="auto"/>
              <w:left w:val="single" w:sz="4" w:space="0" w:color="auto"/>
              <w:bottom w:val="single" w:sz="4" w:space="0" w:color="auto"/>
              <w:right w:val="single" w:sz="4" w:space="0" w:color="auto"/>
            </w:tcBorders>
          </w:tcPr>
          <w:p w:rsidR="0013136D" w:rsidRPr="00206CF0" w:rsidRDefault="0013136D">
            <w:pPr>
              <w:snapToGrid w:val="0"/>
              <w:jc w:val="center"/>
              <w:rPr>
                <w:sz w:val="22"/>
                <w:szCs w:val="22"/>
                <w:lang w:val="sr-Latn-RS"/>
              </w:rPr>
            </w:pPr>
            <w:r w:rsidRPr="00206CF0">
              <w:rPr>
                <w:sz w:val="22"/>
                <w:szCs w:val="22"/>
                <w:lang w:val="sr-Latn-RS"/>
              </w:rPr>
              <w:t>60 - &lt;90</w:t>
            </w:r>
          </w:p>
        </w:tc>
        <w:tc>
          <w:tcPr>
            <w:tcW w:w="2835" w:type="dxa"/>
            <w:tcBorders>
              <w:top w:val="single" w:sz="4" w:space="0" w:color="auto"/>
              <w:left w:val="single" w:sz="4" w:space="0" w:color="auto"/>
              <w:bottom w:val="single" w:sz="4" w:space="0" w:color="auto"/>
              <w:right w:val="single" w:sz="4" w:space="0" w:color="auto"/>
            </w:tcBorders>
          </w:tcPr>
          <w:p w:rsidR="0013136D" w:rsidRPr="00206CF0" w:rsidRDefault="0013136D">
            <w:pPr>
              <w:snapToGrid w:val="0"/>
              <w:jc w:val="center"/>
              <w:rPr>
                <w:sz w:val="22"/>
                <w:szCs w:val="22"/>
                <w:lang w:val="sr-Latn-RS"/>
              </w:rPr>
            </w:pPr>
            <w:r w:rsidRPr="00206CF0">
              <w:rPr>
                <w:sz w:val="22"/>
                <w:szCs w:val="22"/>
                <w:lang w:val="sr-Latn-RS"/>
              </w:rPr>
              <w:t>13 000 - &lt;20 000</w:t>
            </w:r>
          </w:p>
        </w:tc>
        <w:tc>
          <w:tcPr>
            <w:tcW w:w="2977" w:type="dxa"/>
            <w:tcBorders>
              <w:top w:val="single" w:sz="4" w:space="0" w:color="auto"/>
              <w:left w:val="single" w:sz="4" w:space="0" w:color="auto"/>
              <w:bottom w:val="single" w:sz="4" w:space="0" w:color="auto"/>
              <w:right w:val="single" w:sz="4" w:space="0" w:color="auto"/>
            </w:tcBorders>
          </w:tcPr>
          <w:p w:rsidR="0013136D" w:rsidRPr="00206CF0" w:rsidRDefault="0013136D">
            <w:pPr>
              <w:snapToGrid w:val="0"/>
              <w:jc w:val="center"/>
              <w:rPr>
                <w:sz w:val="22"/>
                <w:szCs w:val="22"/>
                <w:lang w:val="sr-Latn-RS"/>
              </w:rPr>
            </w:pPr>
            <w:r w:rsidRPr="00206CF0">
              <w:rPr>
                <w:sz w:val="22"/>
                <w:szCs w:val="22"/>
                <w:lang w:val="sr-Latn-RS"/>
              </w:rPr>
              <w:t>250</w:t>
            </w:r>
          </w:p>
        </w:tc>
      </w:tr>
      <w:tr w:rsidR="0013136D" w:rsidRPr="00206CF0" w:rsidTr="00F55D06">
        <w:trPr>
          <w:tblHeader/>
        </w:trPr>
        <w:tc>
          <w:tcPr>
            <w:tcW w:w="2722" w:type="dxa"/>
            <w:tcBorders>
              <w:top w:val="single" w:sz="4" w:space="0" w:color="auto"/>
              <w:left w:val="single" w:sz="4" w:space="0" w:color="auto"/>
              <w:bottom w:val="single" w:sz="4" w:space="0" w:color="auto"/>
              <w:right w:val="single" w:sz="4" w:space="0" w:color="auto"/>
            </w:tcBorders>
          </w:tcPr>
          <w:p w:rsidR="0013136D" w:rsidRPr="00206CF0" w:rsidRDefault="0013136D">
            <w:pPr>
              <w:snapToGrid w:val="0"/>
              <w:jc w:val="center"/>
              <w:rPr>
                <w:sz w:val="22"/>
                <w:szCs w:val="22"/>
                <w:lang w:val="sr-Latn-RS"/>
              </w:rPr>
            </w:pPr>
            <w:r w:rsidRPr="00206CF0">
              <w:rPr>
                <w:sz w:val="22"/>
                <w:szCs w:val="22"/>
                <w:lang w:val="sr-Latn-RS"/>
              </w:rPr>
              <w:t>≥90</w:t>
            </w:r>
          </w:p>
        </w:tc>
        <w:tc>
          <w:tcPr>
            <w:tcW w:w="2835" w:type="dxa"/>
            <w:tcBorders>
              <w:top w:val="single" w:sz="4" w:space="0" w:color="auto"/>
              <w:left w:val="single" w:sz="4" w:space="0" w:color="auto"/>
              <w:bottom w:val="single" w:sz="4" w:space="0" w:color="auto"/>
              <w:right w:val="single" w:sz="4" w:space="0" w:color="auto"/>
            </w:tcBorders>
          </w:tcPr>
          <w:p w:rsidR="0013136D" w:rsidRPr="00206CF0" w:rsidRDefault="0013136D">
            <w:pPr>
              <w:snapToGrid w:val="0"/>
              <w:jc w:val="center"/>
              <w:rPr>
                <w:sz w:val="22"/>
                <w:szCs w:val="22"/>
                <w:lang w:val="sr-Latn-RS"/>
              </w:rPr>
            </w:pPr>
            <w:r w:rsidRPr="00206CF0">
              <w:rPr>
                <w:sz w:val="22"/>
                <w:szCs w:val="22"/>
                <w:lang w:val="sr-Latn-RS"/>
              </w:rPr>
              <w:t>≥20 000</w:t>
            </w:r>
          </w:p>
        </w:tc>
        <w:tc>
          <w:tcPr>
            <w:tcW w:w="2977" w:type="dxa"/>
            <w:tcBorders>
              <w:top w:val="single" w:sz="4" w:space="0" w:color="auto"/>
              <w:left w:val="single" w:sz="4" w:space="0" w:color="auto"/>
              <w:bottom w:val="single" w:sz="4" w:space="0" w:color="auto"/>
              <w:right w:val="single" w:sz="4" w:space="0" w:color="auto"/>
            </w:tcBorders>
          </w:tcPr>
          <w:p w:rsidR="0013136D" w:rsidRPr="00206CF0" w:rsidRDefault="0013136D">
            <w:pPr>
              <w:snapToGrid w:val="0"/>
              <w:jc w:val="center"/>
              <w:rPr>
                <w:sz w:val="22"/>
                <w:szCs w:val="22"/>
                <w:lang w:val="sr-Latn-RS"/>
              </w:rPr>
            </w:pPr>
            <w:r w:rsidRPr="00206CF0">
              <w:rPr>
                <w:sz w:val="22"/>
                <w:szCs w:val="22"/>
                <w:lang w:val="sr-Latn-RS"/>
              </w:rPr>
              <w:t>360</w:t>
            </w:r>
          </w:p>
        </w:tc>
      </w:tr>
    </w:tbl>
    <w:p w:rsidR="0013136D" w:rsidRPr="00206CF0" w:rsidRDefault="0013136D" w:rsidP="00697E9D">
      <w:pPr>
        <w:pStyle w:val="TextTi12"/>
        <w:spacing w:after="0" w:line="240" w:lineRule="auto"/>
        <w:rPr>
          <w:sz w:val="22"/>
          <w:szCs w:val="22"/>
          <w:highlight w:val="green"/>
          <w:lang w:val="sr-Latn-RS"/>
        </w:rPr>
      </w:pPr>
    </w:p>
    <w:p w:rsidR="0013136D" w:rsidRPr="00206CF0" w:rsidRDefault="0013136D" w:rsidP="00697E9D">
      <w:pPr>
        <w:jc w:val="both"/>
        <w:rPr>
          <w:sz w:val="22"/>
          <w:szCs w:val="22"/>
          <w:lang w:val="sr-Latn-RS"/>
        </w:rPr>
      </w:pPr>
      <w:r w:rsidRPr="00206CF0">
        <w:rPr>
          <w:sz w:val="22"/>
          <w:szCs w:val="22"/>
          <w:lang w:val="sr-Latn-RS"/>
        </w:rPr>
        <w:t xml:space="preserve">Napunjeni špricevi nisu dizajnirani za primjenu djelimičnih doza. S obzirom na dostupne jačine doze napunjenih špriceva, pedijatrijski pacijenti čija doza </w:t>
      </w:r>
      <w:r w:rsidR="00652A0B" w:rsidRPr="00206CF0">
        <w:rPr>
          <w:sz w:val="22"/>
          <w:szCs w:val="22"/>
          <w:lang w:val="sr-Latn-RS"/>
        </w:rPr>
        <w:t>A</w:t>
      </w:r>
      <w:r w:rsidRPr="00206CF0">
        <w:rPr>
          <w:sz w:val="22"/>
          <w:szCs w:val="22"/>
          <w:lang w:val="sr-Latn-RS"/>
        </w:rPr>
        <w:t>SE</w:t>
      </w:r>
      <w:r w:rsidRPr="00206CF0">
        <w:rPr>
          <w:sz w:val="22"/>
          <w:szCs w:val="22"/>
          <w:lang w:val="sr-Latn-RS"/>
        </w:rPr>
        <w:noBreakHyphen/>
        <w:t>a iznosi &lt; 9 mikrograma/nedjelja darbepoetina alfa odnosno &lt; 2000 i.j./nedjelja epoetina ne sm</w:t>
      </w:r>
      <w:r w:rsidR="00455457" w:rsidRPr="00206CF0">
        <w:rPr>
          <w:sz w:val="22"/>
          <w:szCs w:val="22"/>
          <w:lang w:val="sr-Latn-RS"/>
        </w:rPr>
        <w:t>i</w:t>
      </w:r>
      <w:r w:rsidRPr="00206CF0">
        <w:rPr>
          <w:sz w:val="22"/>
          <w:szCs w:val="22"/>
          <w:lang w:val="sr-Latn-RS"/>
        </w:rPr>
        <w:t>ju preći na metoksi</w:t>
      </w:r>
      <w:r w:rsidR="00A633A9" w:rsidRPr="00206CF0">
        <w:rPr>
          <w:sz w:val="22"/>
          <w:szCs w:val="22"/>
          <w:lang w:val="sr-Latn-RS"/>
        </w:rPr>
        <w:t xml:space="preserve"> </w:t>
      </w:r>
      <w:r w:rsidRPr="00206CF0">
        <w:rPr>
          <w:sz w:val="22"/>
          <w:szCs w:val="22"/>
          <w:lang w:val="sr-Latn-RS"/>
        </w:rPr>
        <w:t>polietilenglikol</w:t>
      </w:r>
      <w:r w:rsidRPr="00206CF0">
        <w:rPr>
          <w:sz w:val="22"/>
          <w:szCs w:val="22"/>
          <w:lang w:val="sr-Latn-RS"/>
        </w:rPr>
        <w:noBreakHyphen/>
        <w:t>epoetin beta.</w:t>
      </w:r>
    </w:p>
    <w:p w:rsidR="0013136D" w:rsidRPr="00206CF0" w:rsidRDefault="0013136D">
      <w:pPr>
        <w:jc w:val="both"/>
        <w:rPr>
          <w:sz w:val="22"/>
          <w:szCs w:val="22"/>
          <w:lang w:val="sr-Latn-RS"/>
        </w:rPr>
      </w:pPr>
    </w:p>
    <w:p w:rsidR="0013136D" w:rsidRPr="00206CF0" w:rsidRDefault="0013136D">
      <w:pPr>
        <w:jc w:val="both"/>
        <w:rPr>
          <w:sz w:val="22"/>
          <w:szCs w:val="22"/>
          <w:lang w:val="sr-Latn-RS"/>
        </w:rPr>
      </w:pPr>
      <w:r w:rsidRPr="00206CF0">
        <w:rPr>
          <w:sz w:val="22"/>
          <w:szCs w:val="22"/>
          <w:lang w:val="sr-Latn-RS"/>
        </w:rPr>
        <w:t>Ako je za održavanje ciljne koncentracije hemoglobina iznad 10 g/dl potrebno prilagođavanje doze, doza koja se primjenjuje svake 4 nedjelje može se prilagoditi za približno 25%.</w:t>
      </w:r>
    </w:p>
    <w:p w:rsidR="0013136D" w:rsidRPr="00206CF0" w:rsidRDefault="0013136D">
      <w:pPr>
        <w:jc w:val="both"/>
        <w:rPr>
          <w:rFonts w:eastAsia="MS Mincho"/>
          <w:b/>
          <w:sz w:val="22"/>
          <w:szCs w:val="22"/>
          <w:highlight w:val="yellow"/>
          <w:lang w:val="sr-Latn-RS"/>
        </w:rPr>
      </w:pPr>
    </w:p>
    <w:p w:rsidR="0013136D" w:rsidRPr="00206CF0" w:rsidRDefault="0013136D">
      <w:pPr>
        <w:jc w:val="both"/>
        <w:rPr>
          <w:sz w:val="22"/>
          <w:szCs w:val="22"/>
          <w:lang w:val="sr-Latn-RS"/>
        </w:rPr>
      </w:pPr>
      <w:r w:rsidRPr="00206CF0">
        <w:rPr>
          <w:sz w:val="22"/>
          <w:szCs w:val="22"/>
          <w:lang w:val="sr-Latn-RS"/>
        </w:rPr>
        <w:t>Ako je porast nivoa hemoglobina tokom 4 nedjelje veći od 1 g/dl (0,62 mmol/l) ili ako se nivo hemoglobina povećava i približava vrijednosti od 12 g/dl (7,45 mmol/l), doza metoksi</w:t>
      </w:r>
      <w:r w:rsidR="00A633A9" w:rsidRPr="00206CF0">
        <w:rPr>
          <w:sz w:val="22"/>
          <w:szCs w:val="22"/>
          <w:lang w:val="sr-Latn-RS"/>
        </w:rPr>
        <w:t xml:space="preserve"> </w:t>
      </w:r>
      <w:r w:rsidRPr="00206CF0">
        <w:rPr>
          <w:sz w:val="22"/>
          <w:szCs w:val="22"/>
          <w:lang w:val="sr-Latn-RS"/>
        </w:rPr>
        <w:t>polietilenglikol-epoetina beta mora se smanjiti za približno 25%.</w:t>
      </w:r>
    </w:p>
    <w:p w:rsidR="0013136D" w:rsidRPr="00206CF0" w:rsidRDefault="0013136D">
      <w:pPr>
        <w:jc w:val="both"/>
        <w:rPr>
          <w:sz w:val="22"/>
          <w:szCs w:val="22"/>
          <w:lang w:val="sr-Latn-RS"/>
        </w:rPr>
      </w:pPr>
    </w:p>
    <w:p w:rsidR="0013136D" w:rsidRPr="00206CF0" w:rsidRDefault="0013136D">
      <w:pPr>
        <w:jc w:val="both"/>
        <w:rPr>
          <w:sz w:val="22"/>
          <w:szCs w:val="22"/>
          <w:lang w:val="sr-Latn-RS"/>
        </w:rPr>
      </w:pPr>
      <w:r w:rsidRPr="00206CF0">
        <w:rPr>
          <w:sz w:val="22"/>
          <w:szCs w:val="22"/>
          <w:lang w:val="sr-Latn-RS"/>
        </w:rPr>
        <w:t>Ako se nivo hemoglobina nastavi povećavati nakon smanjenja doze, liječenje se mora prekinuti dok se nivo hemoglobina ne počne smanjivati. Liječenje tada treba ponovo započeti dozom približno 25% nižom od doze koju je pacijent prethodno primao.</w:t>
      </w:r>
    </w:p>
    <w:p w:rsidR="0013136D" w:rsidRPr="00206CF0" w:rsidRDefault="0013136D" w:rsidP="00F55D06">
      <w:pPr>
        <w:jc w:val="both"/>
        <w:rPr>
          <w:sz w:val="22"/>
          <w:szCs w:val="22"/>
          <w:lang w:val="sr-Latn-RS"/>
        </w:rPr>
      </w:pPr>
    </w:p>
    <w:p w:rsidR="0013136D" w:rsidRPr="00206CF0" w:rsidRDefault="0013136D" w:rsidP="00F55D06">
      <w:pPr>
        <w:jc w:val="both"/>
        <w:rPr>
          <w:sz w:val="22"/>
          <w:szCs w:val="22"/>
          <w:lang w:val="sr-Latn-RS"/>
        </w:rPr>
      </w:pPr>
      <w:r w:rsidRPr="00206CF0">
        <w:rPr>
          <w:sz w:val="22"/>
          <w:szCs w:val="22"/>
          <w:lang w:val="sr-Latn-RS"/>
        </w:rPr>
        <w:t>Doza se ne sm</w:t>
      </w:r>
      <w:r w:rsidR="00455457" w:rsidRPr="00206CF0">
        <w:rPr>
          <w:sz w:val="22"/>
          <w:szCs w:val="22"/>
          <w:lang w:val="sr-Latn-RS"/>
        </w:rPr>
        <w:t>ij</w:t>
      </w:r>
      <w:r w:rsidRPr="00206CF0">
        <w:rPr>
          <w:sz w:val="22"/>
          <w:szCs w:val="22"/>
          <w:lang w:val="sr-Latn-RS"/>
        </w:rPr>
        <w:t>e prilagođavati češće od jedanput svake 4 nedjelje.</w:t>
      </w:r>
    </w:p>
    <w:p w:rsidR="0013136D" w:rsidRPr="00206CF0" w:rsidRDefault="0013136D" w:rsidP="00F55D06">
      <w:pPr>
        <w:jc w:val="both"/>
        <w:outlineLvl w:val="0"/>
        <w:rPr>
          <w:sz w:val="22"/>
          <w:szCs w:val="22"/>
          <w:u w:val="single"/>
          <w:lang w:val="sr-Latn-RS"/>
        </w:rPr>
      </w:pPr>
    </w:p>
    <w:p w:rsidR="00CA5513" w:rsidRPr="00206CF0" w:rsidRDefault="00CA5513" w:rsidP="00F55D06">
      <w:pPr>
        <w:jc w:val="both"/>
        <w:outlineLvl w:val="0"/>
        <w:rPr>
          <w:sz w:val="22"/>
          <w:szCs w:val="22"/>
          <w:u w:val="single"/>
          <w:lang w:val="sr-Latn-RS"/>
        </w:rPr>
      </w:pPr>
      <w:r w:rsidRPr="00206CF0">
        <w:rPr>
          <w:sz w:val="22"/>
          <w:szCs w:val="22"/>
          <w:u w:val="single"/>
          <w:lang w:val="sr-Latn-RS"/>
        </w:rPr>
        <w:t xml:space="preserve">Prekid terapije </w:t>
      </w:r>
    </w:p>
    <w:p w:rsidR="00CA5513" w:rsidRPr="00206CF0" w:rsidRDefault="00CA5513" w:rsidP="00F55D06">
      <w:pPr>
        <w:jc w:val="both"/>
        <w:rPr>
          <w:sz w:val="22"/>
          <w:szCs w:val="22"/>
          <w:lang w:val="sr-Latn-RS"/>
        </w:rPr>
      </w:pPr>
      <w:r w:rsidRPr="00206CF0">
        <w:rPr>
          <w:sz w:val="22"/>
          <w:szCs w:val="22"/>
          <w:lang w:val="sr-Latn-RS"/>
        </w:rPr>
        <w:t xml:space="preserve">Terapija </w:t>
      </w:r>
      <w:r w:rsidR="000A0686" w:rsidRPr="00206CF0">
        <w:rPr>
          <w:sz w:val="22"/>
          <w:szCs w:val="22"/>
          <w:lang w:val="sr-Latn-RS"/>
        </w:rPr>
        <w:t>je</w:t>
      </w:r>
      <w:r w:rsidRPr="00206CF0">
        <w:rPr>
          <w:sz w:val="22"/>
          <w:szCs w:val="22"/>
          <w:lang w:val="sr-Latn-RS"/>
        </w:rPr>
        <w:t xml:space="preserve"> obično dugotrajna. Međutim, ona se može prekinuti, ako je to neophodno, u svakom trenutku. </w:t>
      </w:r>
    </w:p>
    <w:p w:rsidR="00CA5513" w:rsidRPr="00206CF0" w:rsidRDefault="00CA5513" w:rsidP="00F55D06">
      <w:pPr>
        <w:jc w:val="both"/>
        <w:rPr>
          <w:sz w:val="22"/>
          <w:szCs w:val="22"/>
          <w:lang w:val="sr-Latn-RS"/>
        </w:rPr>
      </w:pPr>
    </w:p>
    <w:p w:rsidR="00CA5513" w:rsidRPr="00206CF0" w:rsidRDefault="00CA5513" w:rsidP="00F55D06">
      <w:pPr>
        <w:jc w:val="both"/>
        <w:outlineLvl w:val="0"/>
        <w:rPr>
          <w:sz w:val="22"/>
          <w:szCs w:val="22"/>
          <w:u w:val="single"/>
          <w:lang w:val="sr-Latn-RS"/>
        </w:rPr>
      </w:pPr>
      <w:r w:rsidRPr="00206CF0">
        <w:rPr>
          <w:sz w:val="22"/>
          <w:szCs w:val="22"/>
          <w:u w:val="single"/>
          <w:lang w:val="sr-Latn-RS"/>
        </w:rPr>
        <w:t>Propuštena doza</w:t>
      </w:r>
    </w:p>
    <w:p w:rsidR="00CA5513" w:rsidRPr="00206CF0" w:rsidRDefault="00CA5513" w:rsidP="00F55D06">
      <w:pPr>
        <w:jc w:val="both"/>
        <w:rPr>
          <w:sz w:val="22"/>
          <w:szCs w:val="22"/>
          <w:lang w:val="sr-Latn-RS"/>
        </w:rPr>
      </w:pPr>
      <w:r w:rsidRPr="00206CF0">
        <w:rPr>
          <w:sz w:val="22"/>
          <w:szCs w:val="22"/>
          <w:lang w:val="sr-Latn-RS"/>
        </w:rPr>
        <w:t xml:space="preserve">Ako se propusti jedna doza lijeka, tu propuštenu treba dati što je moguće prije, i davanje lijeka MIRCERA ponovo započeti uz preporučenu učestalost doziranja. </w:t>
      </w:r>
    </w:p>
    <w:p w:rsidR="00CA5513" w:rsidRPr="00206CF0" w:rsidRDefault="00CA5513" w:rsidP="00F55D06">
      <w:pPr>
        <w:jc w:val="both"/>
        <w:rPr>
          <w:sz w:val="22"/>
          <w:szCs w:val="22"/>
          <w:lang w:val="sr-Latn-RS"/>
        </w:rPr>
      </w:pPr>
    </w:p>
    <w:p w:rsidR="000A0686" w:rsidRPr="00206CF0" w:rsidRDefault="000A0686" w:rsidP="00F55D06">
      <w:pPr>
        <w:keepNext/>
        <w:jc w:val="both"/>
        <w:rPr>
          <w:sz w:val="22"/>
          <w:szCs w:val="22"/>
          <w:u w:val="single"/>
          <w:lang w:val="sr-Latn-RS"/>
        </w:rPr>
      </w:pPr>
      <w:r w:rsidRPr="00206CF0">
        <w:rPr>
          <w:i/>
          <w:iCs/>
          <w:sz w:val="22"/>
          <w:szCs w:val="22"/>
          <w:u w:val="single"/>
          <w:lang w:val="sr-Latn-RS"/>
        </w:rPr>
        <w:t>Pedijatrijska populacija</w:t>
      </w:r>
    </w:p>
    <w:p w:rsidR="000A0686" w:rsidRPr="00206CF0" w:rsidRDefault="000A0686" w:rsidP="00F55D06">
      <w:pPr>
        <w:jc w:val="both"/>
        <w:rPr>
          <w:sz w:val="22"/>
          <w:szCs w:val="22"/>
          <w:highlight w:val="yellow"/>
          <w:lang w:val="sr-Latn-RS"/>
        </w:rPr>
      </w:pPr>
      <w:r w:rsidRPr="00206CF0">
        <w:rPr>
          <w:sz w:val="22"/>
          <w:szCs w:val="22"/>
          <w:lang w:val="sr-Latn-RS"/>
        </w:rPr>
        <w:t>Efikasnost i bezbjednost metoksi</w:t>
      </w:r>
      <w:r w:rsidR="00A633A9" w:rsidRPr="00206CF0">
        <w:rPr>
          <w:sz w:val="22"/>
          <w:szCs w:val="22"/>
          <w:lang w:val="sr-Latn-RS"/>
        </w:rPr>
        <w:t xml:space="preserve"> </w:t>
      </w:r>
      <w:r w:rsidRPr="00206CF0">
        <w:rPr>
          <w:sz w:val="22"/>
          <w:szCs w:val="22"/>
          <w:lang w:val="sr-Latn-RS"/>
        </w:rPr>
        <w:t>polietilenglikol-epoetina beta kod pedijatrijskih pacijenata mlađih od 3 mjeseca nijesu ustanovljene. Nema dostupnih podataka.</w:t>
      </w:r>
    </w:p>
    <w:p w:rsidR="000A0686" w:rsidRPr="00206CF0" w:rsidRDefault="000A0686" w:rsidP="00F55D06">
      <w:pPr>
        <w:jc w:val="both"/>
        <w:outlineLvl w:val="0"/>
        <w:rPr>
          <w:sz w:val="22"/>
          <w:szCs w:val="22"/>
          <w:u w:val="single"/>
          <w:lang w:val="sr-Latn-RS"/>
        </w:rPr>
      </w:pPr>
    </w:p>
    <w:p w:rsidR="000A0686" w:rsidRPr="00206CF0" w:rsidRDefault="000A0686" w:rsidP="00F55D06">
      <w:pPr>
        <w:keepNext/>
        <w:jc w:val="both"/>
        <w:rPr>
          <w:sz w:val="22"/>
          <w:szCs w:val="22"/>
          <w:u w:val="single"/>
          <w:lang w:val="sr-Latn-RS"/>
        </w:rPr>
      </w:pPr>
      <w:r w:rsidRPr="00206CF0">
        <w:rPr>
          <w:sz w:val="22"/>
          <w:szCs w:val="22"/>
          <w:u w:val="single"/>
          <w:lang w:val="sr-Latn-RS"/>
        </w:rPr>
        <w:t>Posebne populacije</w:t>
      </w:r>
    </w:p>
    <w:p w:rsidR="000A0686" w:rsidRPr="00206CF0" w:rsidRDefault="000A0686" w:rsidP="00F55D06">
      <w:pPr>
        <w:keepNext/>
        <w:jc w:val="both"/>
        <w:rPr>
          <w:sz w:val="22"/>
          <w:szCs w:val="22"/>
          <w:u w:val="single"/>
          <w:lang w:val="sr-Latn-RS"/>
        </w:rPr>
      </w:pPr>
    </w:p>
    <w:p w:rsidR="00CA5513" w:rsidRPr="00206CF0" w:rsidRDefault="00CA5513" w:rsidP="00F55D06">
      <w:pPr>
        <w:jc w:val="both"/>
        <w:outlineLvl w:val="0"/>
        <w:rPr>
          <w:sz w:val="22"/>
          <w:szCs w:val="22"/>
          <w:u w:val="single"/>
          <w:lang w:val="sr-Latn-RS"/>
        </w:rPr>
      </w:pPr>
      <w:r w:rsidRPr="00206CF0">
        <w:rPr>
          <w:sz w:val="22"/>
          <w:szCs w:val="22"/>
          <w:u w:val="single"/>
          <w:lang w:val="sr-Latn-RS"/>
        </w:rPr>
        <w:t>Upotreba kod djece</w:t>
      </w:r>
    </w:p>
    <w:p w:rsidR="00CA5513" w:rsidRPr="00206CF0" w:rsidRDefault="00CA5513" w:rsidP="00F55D06">
      <w:pPr>
        <w:jc w:val="both"/>
        <w:rPr>
          <w:sz w:val="22"/>
          <w:szCs w:val="22"/>
          <w:lang w:val="sr-Latn-RS"/>
        </w:rPr>
      </w:pPr>
      <w:r w:rsidRPr="00206CF0">
        <w:rPr>
          <w:sz w:val="22"/>
          <w:szCs w:val="22"/>
          <w:lang w:val="sr-Latn-RS"/>
        </w:rPr>
        <w:t>MIRCERA se ne preporučuje kod djece i mladih ispod 18 godina starosti zbog nedostatka podataka o bezbjednosti i efikasnosti primjene.</w:t>
      </w:r>
    </w:p>
    <w:p w:rsidR="00CA5513" w:rsidRPr="00206CF0" w:rsidRDefault="00CA5513" w:rsidP="00F55D06">
      <w:pPr>
        <w:jc w:val="both"/>
        <w:rPr>
          <w:sz w:val="22"/>
          <w:szCs w:val="22"/>
          <w:lang w:val="sr-Latn-RS"/>
        </w:rPr>
      </w:pPr>
    </w:p>
    <w:p w:rsidR="00CA5513" w:rsidRPr="00206CF0" w:rsidRDefault="00CA5513" w:rsidP="00F55D06">
      <w:pPr>
        <w:widowControl w:val="0"/>
        <w:jc w:val="both"/>
        <w:outlineLvl w:val="0"/>
        <w:rPr>
          <w:sz w:val="22"/>
          <w:szCs w:val="22"/>
          <w:u w:val="single"/>
          <w:lang w:val="sr-Latn-RS"/>
        </w:rPr>
      </w:pPr>
      <w:r w:rsidRPr="00206CF0">
        <w:rPr>
          <w:sz w:val="22"/>
          <w:szCs w:val="22"/>
          <w:u w:val="single"/>
          <w:lang w:val="sr-Latn-RS"/>
        </w:rPr>
        <w:t>Pacijenti starijeg životnog doba</w:t>
      </w:r>
    </w:p>
    <w:p w:rsidR="00CA5513" w:rsidRPr="00206CF0" w:rsidRDefault="00CA5513" w:rsidP="00F55D06">
      <w:pPr>
        <w:widowControl w:val="0"/>
        <w:jc w:val="both"/>
        <w:rPr>
          <w:sz w:val="22"/>
          <w:szCs w:val="22"/>
          <w:lang w:val="sr-Latn-RS"/>
        </w:rPr>
      </w:pPr>
      <w:r w:rsidRPr="00206CF0">
        <w:rPr>
          <w:sz w:val="22"/>
          <w:szCs w:val="22"/>
          <w:lang w:val="sr-Latn-RS"/>
        </w:rPr>
        <w:t xml:space="preserve">U kliničkim studijama 24% pacijenata koji su primali </w:t>
      </w:r>
      <w:r w:rsidR="000A0686" w:rsidRPr="00206CF0">
        <w:rPr>
          <w:sz w:val="22"/>
          <w:szCs w:val="22"/>
          <w:lang w:val="sr-Latn-RS"/>
        </w:rPr>
        <w:t>metoksi</w:t>
      </w:r>
      <w:r w:rsidR="00A633A9" w:rsidRPr="00206CF0">
        <w:rPr>
          <w:sz w:val="22"/>
          <w:szCs w:val="22"/>
          <w:lang w:val="sr-Latn-RS"/>
        </w:rPr>
        <w:t xml:space="preserve"> </w:t>
      </w:r>
      <w:r w:rsidR="000A0686" w:rsidRPr="00206CF0">
        <w:rPr>
          <w:sz w:val="22"/>
          <w:szCs w:val="22"/>
          <w:lang w:val="sr-Latn-RS"/>
        </w:rPr>
        <w:t xml:space="preserve">polietilenglikol-epoetin beta </w:t>
      </w:r>
      <w:r w:rsidRPr="00206CF0">
        <w:rPr>
          <w:sz w:val="22"/>
          <w:szCs w:val="22"/>
          <w:lang w:val="sr-Latn-RS"/>
        </w:rPr>
        <w:t>bili su između 65 i 74 godina starosti, dok su 20% bili stari 75 i više godina. Za pacijente starije od 65 godina nije potrebno posebno podešavati dozu.</w:t>
      </w:r>
    </w:p>
    <w:p w:rsidR="00106CE9" w:rsidRPr="00206CF0" w:rsidRDefault="00106CE9">
      <w:pPr>
        <w:rPr>
          <w:sz w:val="22"/>
          <w:szCs w:val="22"/>
          <w:lang w:val="sr-Latn-RS"/>
        </w:rPr>
      </w:pPr>
      <w:r w:rsidRPr="00206CF0">
        <w:rPr>
          <w:sz w:val="22"/>
          <w:szCs w:val="22"/>
          <w:lang w:val="sr-Latn-RS"/>
        </w:rPr>
        <w:br w:type="page"/>
      </w:r>
    </w:p>
    <w:p w:rsidR="00CA5513" w:rsidRPr="00206CF0" w:rsidRDefault="00CA5513" w:rsidP="00F55D06">
      <w:pPr>
        <w:widowControl w:val="0"/>
        <w:jc w:val="both"/>
        <w:outlineLvl w:val="0"/>
        <w:rPr>
          <w:sz w:val="22"/>
          <w:szCs w:val="22"/>
          <w:u w:val="single"/>
          <w:lang w:val="sr-Latn-RS"/>
        </w:rPr>
      </w:pPr>
      <w:r w:rsidRPr="00206CF0">
        <w:rPr>
          <w:sz w:val="22"/>
          <w:szCs w:val="22"/>
          <w:u w:val="single"/>
          <w:lang w:val="sr-Latn-RS"/>
        </w:rPr>
        <w:lastRenderedPageBreak/>
        <w:t>Pacijenti sa oslabljenom funkcijom jetre</w:t>
      </w:r>
    </w:p>
    <w:p w:rsidR="00CA5513" w:rsidRPr="00206CF0" w:rsidRDefault="00CA5513" w:rsidP="00F55D06">
      <w:pPr>
        <w:widowControl w:val="0"/>
        <w:jc w:val="both"/>
        <w:rPr>
          <w:sz w:val="22"/>
          <w:szCs w:val="22"/>
          <w:lang w:val="sr-Latn-RS"/>
        </w:rPr>
      </w:pPr>
      <w:r w:rsidRPr="00206CF0">
        <w:rPr>
          <w:sz w:val="22"/>
          <w:szCs w:val="22"/>
          <w:lang w:val="sr-Latn-RS"/>
        </w:rPr>
        <w:t>Nije potrbno podešavanje početne doze niti kasnija modifikacija doze kod pacijenata sa oslabljenom funkcijom jetre.</w:t>
      </w:r>
    </w:p>
    <w:p w:rsidR="00CA5513" w:rsidRPr="00206CF0" w:rsidRDefault="00CA5513" w:rsidP="00F55D06">
      <w:pPr>
        <w:tabs>
          <w:tab w:val="left" w:pos="540"/>
          <w:tab w:val="left" w:pos="569"/>
        </w:tabs>
        <w:jc w:val="both"/>
        <w:rPr>
          <w:bCs/>
          <w:sz w:val="22"/>
          <w:szCs w:val="22"/>
          <w:u w:val="single"/>
          <w:lang w:val="sr-Latn-RS"/>
        </w:rPr>
      </w:pPr>
    </w:p>
    <w:p w:rsidR="00452E9D" w:rsidRPr="00206CF0" w:rsidRDefault="00452E9D" w:rsidP="00F55D06">
      <w:pPr>
        <w:tabs>
          <w:tab w:val="left" w:pos="540"/>
          <w:tab w:val="left" w:pos="569"/>
        </w:tabs>
        <w:jc w:val="both"/>
        <w:rPr>
          <w:bCs/>
          <w:sz w:val="22"/>
          <w:szCs w:val="22"/>
          <w:u w:val="single"/>
          <w:lang w:val="sr-Latn-RS"/>
        </w:rPr>
      </w:pPr>
      <w:r w:rsidRPr="00206CF0">
        <w:rPr>
          <w:bCs/>
          <w:sz w:val="22"/>
          <w:szCs w:val="22"/>
          <w:u w:val="single"/>
          <w:lang w:val="sr-Latn-RS"/>
        </w:rPr>
        <w:t>Način primjene</w:t>
      </w:r>
    </w:p>
    <w:p w:rsidR="00CA5513" w:rsidRPr="00206CF0" w:rsidRDefault="00CA5513" w:rsidP="00F55D06">
      <w:pPr>
        <w:pStyle w:val="Header"/>
        <w:tabs>
          <w:tab w:val="left" w:pos="284"/>
        </w:tabs>
        <w:jc w:val="both"/>
        <w:rPr>
          <w:sz w:val="22"/>
          <w:szCs w:val="22"/>
          <w:lang w:val="sr-Latn-RS"/>
        </w:rPr>
      </w:pPr>
      <w:r w:rsidRPr="00206CF0">
        <w:rPr>
          <w:sz w:val="22"/>
          <w:szCs w:val="22"/>
          <w:lang w:val="sr-Latn-RS"/>
        </w:rPr>
        <w:t>Lijek se može primjeniti subkutano ili intravenski. Može se ubrizgavati subkutano u abdomen, ruku ili butinu. Sva tri mjesta ubrizgavanja su jednako pogodna. Za uputstvo za primjenu lijeka vidjeti dio 6.6.</w:t>
      </w:r>
    </w:p>
    <w:p w:rsidR="00452E9D" w:rsidRPr="00206CF0" w:rsidRDefault="00452E9D" w:rsidP="00F55D06">
      <w:pPr>
        <w:tabs>
          <w:tab w:val="left" w:pos="540"/>
          <w:tab w:val="left" w:pos="569"/>
        </w:tabs>
        <w:jc w:val="both"/>
        <w:rPr>
          <w:bCs/>
          <w:sz w:val="22"/>
          <w:szCs w:val="22"/>
          <w:lang w:val="sr-Latn-RS"/>
        </w:rPr>
      </w:pPr>
    </w:p>
    <w:p w:rsidR="00411B4B" w:rsidRPr="00206CF0" w:rsidRDefault="00411B4B" w:rsidP="00F55D06">
      <w:pPr>
        <w:tabs>
          <w:tab w:val="left" w:pos="540"/>
          <w:tab w:val="left" w:pos="569"/>
        </w:tabs>
        <w:jc w:val="both"/>
        <w:rPr>
          <w:b/>
          <w:bCs/>
          <w:sz w:val="22"/>
          <w:szCs w:val="22"/>
          <w:lang w:val="sr-Latn-RS"/>
        </w:rPr>
      </w:pPr>
      <w:r w:rsidRPr="00206CF0">
        <w:rPr>
          <w:b/>
          <w:bCs/>
          <w:sz w:val="22"/>
          <w:szCs w:val="22"/>
          <w:lang w:val="sr-Latn-RS"/>
        </w:rPr>
        <w:t xml:space="preserve">4.3. </w:t>
      </w:r>
      <w:r w:rsidR="00480FB1" w:rsidRPr="00206CF0">
        <w:rPr>
          <w:b/>
          <w:bCs/>
          <w:sz w:val="22"/>
          <w:szCs w:val="22"/>
          <w:lang w:val="sr-Latn-RS"/>
        </w:rPr>
        <w:tab/>
      </w:r>
      <w:r w:rsidRPr="00206CF0">
        <w:rPr>
          <w:b/>
          <w:bCs/>
          <w:sz w:val="22"/>
          <w:szCs w:val="22"/>
          <w:lang w:val="sr-Latn-RS"/>
        </w:rPr>
        <w:t>Kontraindikacije</w:t>
      </w:r>
    </w:p>
    <w:p w:rsidR="0072020E" w:rsidRPr="00206CF0" w:rsidRDefault="0072020E" w:rsidP="00F55D06">
      <w:pPr>
        <w:tabs>
          <w:tab w:val="left" w:pos="540"/>
          <w:tab w:val="left" w:pos="569"/>
        </w:tabs>
        <w:jc w:val="both"/>
        <w:rPr>
          <w:bCs/>
          <w:sz w:val="22"/>
          <w:szCs w:val="22"/>
          <w:lang w:val="sr-Latn-RS"/>
        </w:rPr>
      </w:pPr>
    </w:p>
    <w:p w:rsidR="00CA5513" w:rsidRPr="00206CF0" w:rsidRDefault="00CA5513" w:rsidP="00F55D06">
      <w:pPr>
        <w:jc w:val="both"/>
        <w:outlineLvl w:val="0"/>
        <w:rPr>
          <w:sz w:val="22"/>
          <w:szCs w:val="22"/>
          <w:lang w:val="sr-Latn-RS"/>
        </w:rPr>
      </w:pPr>
      <w:r w:rsidRPr="00206CF0">
        <w:rPr>
          <w:sz w:val="22"/>
          <w:szCs w:val="22"/>
          <w:lang w:val="sr-Latn-RS"/>
        </w:rPr>
        <w:t xml:space="preserve">Preosjetljivost na aktivnu supstancu ili bilo koju od pomoćnih materija navedenih u dijelu 6.1. </w:t>
      </w:r>
    </w:p>
    <w:p w:rsidR="00CA5513" w:rsidRPr="00206CF0" w:rsidRDefault="00CA5513" w:rsidP="00F55D06">
      <w:pPr>
        <w:pStyle w:val="Date"/>
        <w:jc w:val="both"/>
        <w:rPr>
          <w:szCs w:val="22"/>
          <w:lang w:val="sr-Latn-RS"/>
        </w:rPr>
      </w:pPr>
      <w:r w:rsidRPr="00206CF0">
        <w:rPr>
          <w:szCs w:val="22"/>
          <w:lang w:val="sr-Latn-RS"/>
        </w:rPr>
        <w:t>Nekontrolisana hipertenzija.</w:t>
      </w:r>
    </w:p>
    <w:p w:rsidR="00CA5513" w:rsidRPr="00206CF0" w:rsidRDefault="00CA5513" w:rsidP="00F55D06">
      <w:pPr>
        <w:tabs>
          <w:tab w:val="left" w:pos="540"/>
          <w:tab w:val="left" w:pos="569"/>
        </w:tabs>
        <w:jc w:val="both"/>
        <w:rPr>
          <w:bCs/>
          <w:sz w:val="22"/>
          <w:szCs w:val="22"/>
          <w:lang w:val="sr-Latn-RS"/>
        </w:rPr>
      </w:pPr>
    </w:p>
    <w:p w:rsidR="00411B4B" w:rsidRPr="00206CF0" w:rsidRDefault="00411B4B" w:rsidP="00F55D06">
      <w:pPr>
        <w:tabs>
          <w:tab w:val="left" w:pos="540"/>
          <w:tab w:val="left" w:pos="569"/>
        </w:tabs>
        <w:jc w:val="both"/>
        <w:rPr>
          <w:b/>
          <w:bCs/>
          <w:sz w:val="22"/>
          <w:szCs w:val="22"/>
          <w:lang w:val="sr-Latn-RS"/>
        </w:rPr>
      </w:pPr>
      <w:r w:rsidRPr="00206CF0">
        <w:rPr>
          <w:b/>
          <w:bCs/>
          <w:sz w:val="22"/>
          <w:szCs w:val="22"/>
          <w:lang w:val="sr-Latn-RS"/>
        </w:rPr>
        <w:t xml:space="preserve">4.4. </w:t>
      </w:r>
      <w:r w:rsidR="00480FB1" w:rsidRPr="00206CF0">
        <w:rPr>
          <w:b/>
          <w:bCs/>
          <w:sz w:val="22"/>
          <w:szCs w:val="22"/>
          <w:lang w:val="sr-Latn-RS"/>
        </w:rPr>
        <w:tab/>
      </w:r>
      <w:r w:rsidRPr="00206CF0">
        <w:rPr>
          <w:b/>
          <w:bCs/>
          <w:sz w:val="22"/>
          <w:szCs w:val="22"/>
          <w:lang w:val="sr-Latn-RS"/>
        </w:rPr>
        <w:t>Posebna upozorenja i mjere opreza pri upotrebi lijeka</w:t>
      </w:r>
    </w:p>
    <w:p w:rsidR="0072020E" w:rsidRPr="00206CF0" w:rsidRDefault="0072020E" w:rsidP="00F55D06">
      <w:pPr>
        <w:tabs>
          <w:tab w:val="left" w:pos="540"/>
          <w:tab w:val="left" w:pos="569"/>
        </w:tabs>
        <w:jc w:val="both"/>
        <w:rPr>
          <w:bCs/>
          <w:sz w:val="22"/>
          <w:szCs w:val="22"/>
          <w:lang w:val="sr-Latn-RS"/>
        </w:rPr>
      </w:pPr>
    </w:p>
    <w:p w:rsidR="00287577" w:rsidRPr="00206CF0" w:rsidRDefault="00287577" w:rsidP="00F55D06">
      <w:pPr>
        <w:pStyle w:val="Header"/>
        <w:tabs>
          <w:tab w:val="left" w:pos="284"/>
        </w:tabs>
        <w:spacing w:before="80" w:after="80"/>
        <w:jc w:val="both"/>
        <w:rPr>
          <w:b/>
          <w:bCs/>
          <w:sz w:val="22"/>
          <w:szCs w:val="22"/>
          <w:lang w:val="sr-Latn-RS"/>
        </w:rPr>
      </w:pPr>
      <w:r w:rsidRPr="00206CF0">
        <w:rPr>
          <w:bCs/>
          <w:sz w:val="22"/>
          <w:szCs w:val="22"/>
          <w:lang w:val="sr-Latn-RS"/>
        </w:rPr>
        <w:t xml:space="preserve">Nije utvrđena bezbjednost i efikasnost </w:t>
      </w:r>
      <w:r w:rsidR="000A0686" w:rsidRPr="00206CF0">
        <w:rPr>
          <w:sz w:val="22"/>
          <w:szCs w:val="22"/>
          <w:lang w:val="sr-Latn-RS"/>
        </w:rPr>
        <w:t>metoksi</w:t>
      </w:r>
      <w:r w:rsidR="00A633A9" w:rsidRPr="00206CF0">
        <w:rPr>
          <w:sz w:val="22"/>
          <w:szCs w:val="22"/>
          <w:lang w:val="sr-Latn-RS"/>
        </w:rPr>
        <w:t xml:space="preserve"> </w:t>
      </w:r>
      <w:r w:rsidR="000A0686" w:rsidRPr="00206CF0">
        <w:rPr>
          <w:sz w:val="22"/>
          <w:szCs w:val="22"/>
          <w:lang w:val="sr-Latn-RS"/>
        </w:rPr>
        <w:t xml:space="preserve">polietilenglikol-epoetin beta </w:t>
      </w:r>
      <w:r w:rsidRPr="00206CF0">
        <w:rPr>
          <w:bCs/>
          <w:sz w:val="22"/>
          <w:szCs w:val="22"/>
          <w:lang w:val="sr-Latn-RS"/>
        </w:rPr>
        <w:t>za druge indikacije, uključujući anemiju kod pacijenata sa karcinomom.</w:t>
      </w:r>
    </w:p>
    <w:p w:rsidR="00287577" w:rsidRPr="00206CF0" w:rsidRDefault="00287577" w:rsidP="00697E9D">
      <w:pPr>
        <w:jc w:val="both"/>
        <w:rPr>
          <w:sz w:val="22"/>
          <w:szCs w:val="22"/>
          <w:lang w:val="sr-Latn-RS"/>
        </w:rPr>
      </w:pPr>
      <w:r w:rsidRPr="00206CF0">
        <w:rPr>
          <w:sz w:val="22"/>
          <w:szCs w:val="22"/>
          <w:lang w:val="sr-Latn-RS"/>
        </w:rPr>
        <w:t xml:space="preserve">Potreban je oprez prilikom povećanja doza </w:t>
      </w:r>
      <w:r w:rsidR="000A0686" w:rsidRPr="00206CF0">
        <w:rPr>
          <w:sz w:val="22"/>
          <w:szCs w:val="22"/>
          <w:lang w:val="sr-Latn-RS"/>
        </w:rPr>
        <w:t>metoksi</w:t>
      </w:r>
      <w:r w:rsidR="00A633A9" w:rsidRPr="00206CF0">
        <w:rPr>
          <w:sz w:val="22"/>
          <w:szCs w:val="22"/>
          <w:lang w:val="sr-Latn-RS"/>
        </w:rPr>
        <w:t xml:space="preserve"> </w:t>
      </w:r>
      <w:r w:rsidR="000A0686" w:rsidRPr="00206CF0">
        <w:rPr>
          <w:sz w:val="22"/>
          <w:szCs w:val="22"/>
          <w:lang w:val="sr-Latn-RS"/>
        </w:rPr>
        <w:t xml:space="preserve">polietilenglikol-epoetin beta </w:t>
      </w:r>
      <w:r w:rsidRPr="00206CF0">
        <w:rPr>
          <w:sz w:val="22"/>
          <w:szCs w:val="22"/>
          <w:lang w:val="sr-Latn-RS"/>
        </w:rPr>
        <w:t>kod pacijenata sa hroničnoim insuficijencijom bubrega jer visoke kumulativne doze epoetina mogu biti povezane sa povećanim rizikom od smrtnosti te ozbiljnih kardiovaskularnih i cerebrovaskularnih događaja. Kod pacijenata sa slabim hemoglobinskim odgovorom na epoetine potrebno je razmotriti druga moguća objašnjenja slabog odgovora (vidjeti djelove 4.2 i 5.1).</w:t>
      </w:r>
    </w:p>
    <w:p w:rsidR="00287577" w:rsidRPr="00206CF0" w:rsidRDefault="00287577">
      <w:pPr>
        <w:jc w:val="both"/>
        <w:rPr>
          <w:sz w:val="22"/>
          <w:szCs w:val="22"/>
          <w:lang w:val="sr-Latn-RS"/>
        </w:rPr>
      </w:pPr>
    </w:p>
    <w:p w:rsidR="000A0686" w:rsidRPr="00206CF0" w:rsidRDefault="000A0686" w:rsidP="00F55D06">
      <w:pPr>
        <w:keepNext/>
        <w:jc w:val="both"/>
        <w:rPr>
          <w:sz w:val="22"/>
          <w:szCs w:val="22"/>
          <w:lang w:val="sr-Latn-RS"/>
        </w:rPr>
      </w:pPr>
      <w:r w:rsidRPr="00206CF0">
        <w:rPr>
          <w:sz w:val="22"/>
          <w:szCs w:val="22"/>
          <w:u w:val="single"/>
          <w:lang w:val="sr-Latn-RS"/>
        </w:rPr>
        <w:t>Pedijatrijska populacija:</w:t>
      </w:r>
    </w:p>
    <w:p w:rsidR="000A0686" w:rsidRPr="00206CF0" w:rsidRDefault="000A0686" w:rsidP="00F55D06">
      <w:pPr>
        <w:keepNext/>
        <w:jc w:val="both"/>
        <w:rPr>
          <w:sz w:val="22"/>
          <w:szCs w:val="22"/>
          <w:lang w:val="sr-Latn-RS"/>
        </w:rPr>
      </w:pPr>
    </w:p>
    <w:p w:rsidR="000A0686" w:rsidRPr="00206CF0" w:rsidRDefault="000A0686" w:rsidP="00F55D06">
      <w:pPr>
        <w:jc w:val="both"/>
        <w:rPr>
          <w:sz w:val="22"/>
          <w:szCs w:val="22"/>
          <w:lang w:val="sr-Latn-RS"/>
        </w:rPr>
      </w:pPr>
      <w:r w:rsidRPr="00206CF0">
        <w:rPr>
          <w:sz w:val="22"/>
          <w:szCs w:val="22"/>
          <w:lang w:val="sr-Latn-RS"/>
        </w:rPr>
        <w:t>Pedijatrijske pacijente, a naročito d</w:t>
      </w:r>
      <w:r w:rsidR="00E75B71" w:rsidRPr="00206CF0">
        <w:rPr>
          <w:sz w:val="22"/>
          <w:szCs w:val="22"/>
          <w:lang w:val="sr-Latn-RS"/>
        </w:rPr>
        <w:t>j</w:t>
      </w:r>
      <w:r w:rsidRPr="00206CF0">
        <w:rPr>
          <w:sz w:val="22"/>
          <w:szCs w:val="22"/>
          <w:lang w:val="sr-Latn-RS"/>
        </w:rPr>
        <w:t>ecu mlađu od 1 godine, treba pažljivo proc</w:t>
      </w:r>
      <w:r w:rsidR="00E75B71" w:rsidRPr="00206CF0">
        <w:rPr>
          <w:sz w:val="22"/>
          <w:szCs w:val="22"/>
          <w:lang w:val="sr-Latn-RS"/>
        </w:rPr>
        <w:t>j</w:t>
      </w:r>
      <w:r w:rsidRPr="00206CF0">
        <w:rPr>
          <w:sz w:val="22"/>
          <w:szCs w:val="22"/>
          <w:lang w:val="sr-Latn-RS"/>
        </w:rPr>
        <w:t>eniti i stabilizovati im nivo hemoglobina pr</w:t>
      </w:r>
      <w:r w:rsidR="00455457" w:rsidRPr="00206CF0">
        <w:rPr>
          <w:sz w:val="22"/>
          <w:szCs w:val="22"/>
          <w:lang w:val="sr-Latn-RS"/>
        </w:rPr>
        <w:t>ij</w:t>
      </w:r>
      <w:r w:rsidRPr="00206CF0">
        <w:rPr>
          <w:sz w:val="22"/>
          <w:szCs w:val="22"/>
          <w:lang w:val="sr-Latn-RS"/>
        </w:rPr>
        <w:t>e prebacivanja sa l</w:t>
      </w:r>
      <w:r w:rsidR="00E75B71" w:rsidRPr="00206CF0">
        <w:rPr>
          <w:sz w:val="22"/>
          <w:szCs w:val="22"/>
          <w:lang w:val="sr-Latn-RS"/>
        </w:rPr>
        <w:t>ij</w:t>
      </w:r>
      <w:r w:rsidRPr="00206CF0">
        <w:rPr>
          <w:sz w:val="22"/>
          <w:szCs w:val="22"/>
          <w:lang w:val="sr-Latn-RS"/>
        </w:rPr>
        <w:t xml:space="preserve">ečenja drugim </w:t>
      </w:r>
      <w:r w:rsidR="00652A0B" w:rsidRPr="00206CF0">
        <w:rPr>
          <w:sz w:val="22"/>
          <w:szCs w:val="22"/>
          <w:lang w:val="sr-Latn-RS"/>
        </w:rPr>
        <w:t>A</w:t>
      </w:r>
      <w:r w:rsidRPr="00206CF0">
        <w:rPr>
          <w:sz w:val="22"/>
          <w:szCs w:val="22"/>
          <w:lang w:val="sr-Latn-RS"/>
        </w:rPr>
        <w:t>SE</w:t>
      </w:r>
      <w:r w:rsidRPr="00206CF0">
        <w:rPr>
          <w:sz w:val="22"/>
          <w:szCs w:val="22"/>
          <w:lang w:val="sr-Latn-RS"/>
        </w:rPr>
        <w:noBreakHyphen/>
        <w:t xml:space="preserve">om. Nakon prelaska sa drugog </w:t>
      </w:r>
      <w:r w:rsidR="00652A0B" w:rsidRPr="00206CF0">
        <w:rPr>
          <w:sz w:val="22"/>
          <w:szCs w:val="22"/>
          <w:lang w:val="sr-Latn-RS"/>
        </w:rPr>
        <w:t>A</w:t>
      </w:r>
      <w:r w:rsidRPr="00206CF0">
        <w:rPr>
          <w:sz w:val="22"/>
          <w:szCs w:val="22"/>
          <w:lang w:val="sr-Latn-RS"/>
        </w:rPr>
        <w:t>SE</w:t>
      </w:r>
      <w:r w:rsidRPr="00206CF0">
        <w:rPr>
          <w:sz w:val="22"/>
          <w:szCs w:val="22"/>
          <w:lang w:val="sr-Latn-RS"/>
        </w:rPr>
        <w:noBreakHyphen/>
        <w:t>a, preporučuje se kontrolisati nivo hemoglobina svake 4 ned</w:t>
      </w:r>
      <w:r w:rsidR="00E75B71" w:rsidRPr="00206CF0">
        <w:rPr>
          <w:sz w:val="22"/>
          <w:szCs w:val="22"/>
          <w:lang w:val="sr-Latn-RS"/>
        </w:rPr>
        <w:t>j</w:t>
      </w:r>
      <w:r w:rsidRPr="00206CF0">
        <w:rPr>
          <w:sz w:val="22"/>
          <w:szCs w:val="22"/>
          <w:lang w:val="sr-Latn-RS"/>
        </w:rPr>
        <w:t>elje.</w:t>
      </w:r>
    </w:p>
    <w:p w:rsidR="000A0686" w:rsidRPr="00206CF0" w:rsidRDefault="000A0686" w:rsidP="00F55D06">
      <w:pPr>
        <w:jc w:val="both"/>
        <w:rPr>
          <w:sz w:val="22"/>
          <w:szCs w:val="22"/>
          <w:lang w:val="sr-Latn-RS"/>
        </w:rPr>
      </w:pPr>
    </w:p>
    <w:p w:rsidR="000A0686" w:rsidRPr="00206CF0" w:rsidRDefault="000A0686" w:rsidP="00F55D06">
      <w:pPr>
        <w:jc w:val="both"/>
        <w:rPr>
          <w:sz w:val="22"/>
          <w:szCs w:val="22"/>
          <w:lang w:val="sr-Latn-RS"/>
        </w:rPr>
      </w:pPr>
      <w:r w:rsidRPr="00206CF0">
        <w:rPr>
          <w:sz w:val="22"/>
          <w:szCs w:val="22"/>
          <w:lang w:val="sr-Latn-RS"/>
        </w:rPr>
        <w:t xml:space="preserve">Budući da najmanja dostupna jačina doze napunjenog šprica iznosi 30 mikrograma, pacijenti čija trenutna doza </w:t>
      </w:r>
      <w:r w:rsidR="00455457" w:rsidRPr="00206CF0">
        <w:rPr>
          <w:sz w:val="22"/>
          <w:szCs w:val="22"/>
          <w:lang w:val="sr-Latn-RS"/>
        </w:rPr>
        <w:t>ASE</w:t>
      </w:r>
      <w:r w:rsidRPr="00206CF0">
        <w:rPr>
          <w:sz w:val="22"/>
          <w:szCs w:val="22"/>
          <w:lang w:val="sr-Latn-RS"/>
        </w:rPr>
        <w:noBreakHyphen/>
        <w:t>a iznosi &lt; 9 mikrograma darbepoetina alfa ned</w:t>
      </w:r>
      <w:r w:rsidR="00E75B71" w:rsidRPr="00206CF0">
        <w:rPr>
          <w:sz w:val="22"/>
          <w:szCs w:val="22"/>
          <w:lang w:val="sr-Latn-RS"/>
        </w:rPr>
        <w:t>j</w:t>
      </w:r>
      <w:r w:rsidRPr="00206CF0">
        <w:rPr>
          <w:sz w:val="22"/>
          <w:szCs w:val="22"/>
          <w:lang w:val="sr-Latn-RS"/>
        </w:rPr>
        <w:t>eljno odnosno &lt; 2000 i.j. epoetina ned</w:t>
      </w:r>
      <w:r w:rsidR="00E75B71" w:rsidRPr="00206CF0">
        <w:rPr>
          <w:sz w:val="22"/>
          <w:szCs w:val="22"/>
          <w:lang w:val="sr-Latn-RS"/>
        </w:rPr>
        <w:t>j</w:t>
      </w:r>
      <w:r w:rsidRPr="00206CF0">
        <w:rPr>
          <w:sz w:val="22"/>
          <w:szCs w:val="22"/>
          <w:lang w:val="sr-Latn-RS"/>
        </w:rPr>
        <w:t>eljno ne sm</w:t>
      </w:r>
      <w:r w:rsidR="00455457" w:rsidRPr="00206CF0">
        <w:rPr>
          <w:sz w:val="22"/>
          <w:szCs w:val="22"/>
          <w:lang w:val="sr-Latn-RS"/>
        </w:rPr>
        <w:t>i</w:t>
      </w:r>
      <w:r w:rsidRPr="00206CF0">
        <w:rPr>
          <w:sz w:val="22"/>
          <w:szCs w:val="22"/>
          <w:lang w:val="sr-Latn-RS"/>
        </w:rPr>
        <w:t>ju prijeći na metoksi</w:t>
      </w:r>
      <w:r w:rsidR="00A633A9" w:rsidRPr="00206CF0">
        <w:rPr>
          <w:sz w:val="22"/>
          <w:szCs w:val="22"/>
          <w:lang w:val="sr-Latn-RS"/>
        </w:rPr>
        <w:t xml:space="preserve"> </w:t>
      </w:r>
      <w:r w:rsidRPr="00206CF0">
        <w:rPr>
          <w:sz w:val="22"/>
          <w:szCs w:val="22"/>
          <w:lang w:val="sr-Latn-RS"/>
        </w:rPr>
        <w:t>polietilenglikol</w:t>
      </w:r>
      <w:r w:rsidRPr="00206CF0">
        <w:rPr>
          <w:sz w:val="22"/>
          <w:szCs w:val="22"/>
          <w:lang w:val="sr-Latn-RS"/>
        </w:rPr>
        <w:noBreakHyphen/>
        <w:t>epoetin beta. Prim</w:t>
      </w:r>
      <w:r w:rsidR="00E75B71" w:rsidRPr="00206CF0">
        <w:rPr>
          <w:sz w:val="22"/>
          <w:szCs w:val="22"/>
          <w:lang w:val="sr-Latn-RS"/>
        </w:rPr>
        <w:t>j</w:t>
      </w:r>
      <w:r w:rsidRPr="00206CF0">
        <w:rPr>
          <w:sz w:val="22"/>
          <w:szCs w:val="22"/>
          <w:lang w:val="sr-Latn-RS"/>
        </w:rPr>
        <w:t>ena d</w:t>
      </w:r>
      <w:r w:rsidR="00E75B71" w:rsidRPr="00206CF0">
        <w:rPr>
          <w:sz w:val="22"/>
          <w:szCs w:val="22"/>
          <w:lang w:val="sr-Latn-RS"/>
        </w:rPr>
        <w:t>j</w:t>
      </w:r>
      <w:r w:rsidRPr="00206CF0">
        <w:rPr>
          <w:sz w:val="22"/>
          <w:szCs w:val="22"/>
          <w:lang w:val="sr-Latn-RS"/>
        </w:rPr>
        <w:t>elimičnih doza napunjenim štpricevima se ne preporučuje.</w:t>
      </w:r>
    </w:p>
    <w:p w:rsidR="000A0686" w:rsidRPr="00206CF0" w:rsidRDefault="000A0686" w:rsidP="00697E9D">
      <w:pPr>
        <w:jc w:val="both"/>
        <w:rPr>
          <w:sz w:val="22"/>
          <w:szCs w:val="22"/>
          <w:lang w:val="sr-Latn-RS"/>
        </w:rPr>
      </w:pPr>
    </w:p>
    <w:p w:rsidR="00287577" w:rsidRPr="00206CF0" w:rsidRDefault="00287577" w:rsidP="00F55D06">
      <w:pPr>
        <w:jc w:val="both"/>
        <w:rPr>
          <w:sz w:val="22"/>
          <w:szCs w:val="22"/>
          <w:lang w:val="sr-Latn-RS"/>
        </w:rPr>
      </w:pPr>
      <w:r w:rsidRPr="00206CF0">
        <w:rPr>
          <w:sz w:val="22"/>
          <w:szCs w:val="22"/>
          <w:u w:val="single"/>
          <w:lang w:val="sr-Latn-RS"/>
        </w:rPr>
        <w:t>Dopunska terapija gvožđem</w:t>
      </w:r>
      <w:r w:rsidRPr="00206CF0">
        <w:rPr>
          <w:sz w:val="22"/>
          <w:szCs w:val="22"/>
          <w:lang w:val="sr-Latn-RS"/>
        </w:rPr>
        <w:t xml:space="preserve"> preporučuje se svim pacijentima sa vrijednostima feritina u  serumu ispod  100 mikrograma/l ili zasićenošću transferina ispod 20%. U cilju obezbjeđivanja djelotvorne eritropoeze, kod svih pacijenata se prije i tokom terapije mora određivati status gvožđa.  </w:t>
      </w:r>
    </w:p>
    <w:p w:rsidR="00287577" w:rsidRPr="00206CF0" w:rsidRDefault="00287577" w:rsidP="00F55D06">
      <w:pPr>
        <w:jc w:val="both"/>
        <w:rPr>
          <w:b/>
          <w:sz w:val="22"/>
          <w:szCs w:val="22"/>
          <w:u w:val="single"/>
          <w:shd w:val="clear" w:color="auto" w:fill="FFFF00"/>
          <w:lang w:val="sr-Latn-RS"/>
        </w:rPr>
      </w:pPr>
    </w:p>
    <w:p w:rsidR="00287577" w:rsidRPr="00206CF0" w:rsidRDefault="00287577" w:rsidP="00F55D06">
      <w:pPr>
        <w:jc w:val="both"/>
        <w:rPr>
          <w:rFonts w:eastAsia="MS Mincho"/>
          <w:sz w:val="22"/>
          <w:szCs w:val="22"/>
          <w:lang w:val="sr-Latn-RS"/>
        </w:rPr>
      </w:pPr>
      <w:r w:rsidRPr="00206CF0">
        <w:rPr>
          <w:sz w:val="22"/>
          <w:szCs w:val="22"/>
          <w:u w:val="single"/>
          <w:lang w:val="sr-Latn-RS"/>
        </w:rPr>
        <w:t xml:space="preserve">Ako pacijent ne reaguje na terapiju </w:t>
      </w:r>
      <w:r w:rsidR="00E75B71" w:rsidRPr="00206CF0">
        <w:rPr>
          <w:sz w:val="22"/>
          <w:szCs w:val="22"/>
          <w:u w:val="single"/>
          <w:lang w:val="sr-Latn-RS"/>
        </w:rPr>
        <w:t>metoksi</w:t>
      </w:r>
      <w:r w:rsidR="00A633A9" w:rsidRPr="00206CF0">
        <w:rPr>
          <w:sz w:val="22"/>
          <w:szCs w:val="22"/>
          <w:u w:val="single"/>
          <w:lang w:val="sr-Latn-RS"/>
        </w:rPr>
        <w:t xml:space="preserve"> </w:t>
      </w:r>
      <w:r w:rsidR="00E75B71" w:rsidRPr="00206CF0">
        <w:rPr>
          <w:sz w:val="22"/>
          <w:szCs w:val="22"/>
          <w:u w:val="single"/>
          <w:lang w:val="sr-Latn-RS"/>
        </w:rPr>
        <w:t xml:space="preserve">polietilenglikol-epoetinom beta </w:t>
      </w:r>
      <w:r w:rsidRPr="00206CF0">
        <w:rPr>
          <w:sz w:val="22"/>
          <w:szCs w:val="22"/>
          <w:u w:val="single"/>
          <w:lang w:val="sr-Latn-RS"/>
        </w:rPr>
        <w:t>mora se odmah potražiti uzročnik takvog stanja.</w:t>
      </w:r>
      <w:r w:rsidRPr="00206CF0">
        <w:rPr>
          <w:sz w:val="22"/>
          <w:szCs w:val="22"/>
          <w:lang w:val="sr-Latn-RS"/>
        </w:rPr>
        <w:t xml:space="preserve"> Nedostatak gvožđa,  folne kisjeline ili vitamina B12 smanjuje </w:t>
      </w:r>
      <w:r w:rsidR="00784CA0" w:rsidRPr="00206CF0">
        <w:rPr>
          <w:sz w:val="22"/>
          <w:szCs w:val="22"/>
          <w:lang w:val="sr-Latn-RS"/>
        </w:rPr>
        <w:t xml:space="preserve">efikasnost </w:t>
      </w:r>
      <w:r w:rsidRPr="00206CF0">
        <w:rPr>
          <w:sz w:val="22"/>
          <w:szCs w:val="22"/>
          <w:lang w:val="sr-Latn-RS"/>
        </w:rPr>
        <w:t>ASE  i stoga to treba korigovati. Povremene infekcije, zapaljenske i traumatske epizode, neprimjetni gubitak krvi, hemoliza, teška intoksikacija aluminijumom, osnovno teško hematološko oboljenje, ili fibroza koštane srži mogu takođe da ugroze eritropoetinski odgovor. Kao dio procjene treba određivati i broj retikulocita. Ako se isključe ovdje pomenuta stanja, i ako je nagli pad hemoglobina kod pacijenta povezan sa retikulocitopenijom i anti-eritropoetinskim antitijelima, treba razmisliti o pregledu koštane srži u cilju dijagnostikovanja izolovane eritrocitne aplazije (</w:t>
      </w:r>
      <w:r w:rsidRPr="00206CF0">
        <w:rPr>
          <w:i/>
          <w:sz w:val="22"/>
          <w:szCs w:val="22"/>
          <w:lang w:val="sr-Latn-RS"/>
        </w:rPr>
        <w:t>pure red cell aplasia</w:t>
      </w:r>
      <w:r w:rsidRPr="00206CF0">
        <w:rPr>
          <w:sz w:val="22"/>
          <w:szCs w:val="22"/>
          <w:lang w:val="sr-Latn-RS"/>
        </w:rPr>
        <w:t xml:space="preserve">) (PRCA). </w:t>
      </w:r>
      <w:r w:rsidRPr="00206CF0">
        <w:rPr>
          <w:rFonts w:eastAsia="MS Mincho"/>
          <w:sz w:val="22"/>
          <w:szCs w:val="22"/>
          <w:lang w:val="sr-Latn-RS"/>
        </w:rPr>
        <w:t>Ako se dijagnostikuje PRCA, terapija se mora obustaviti i pacijent ne smije biti prebačen  na neki drugi ASE.</w:t>
      </w:r>
    </w:p>
    <w:p w:rsidR="00287577" w:rsidRPr="00206CF0" w:rsidRDefault="00287577" w:rsidP="00F55D06">
      <w:pPr>
        <w:jc w:val="both"/>
        <w:rPr>
          <w:sz w:val="22"/>
          <w:szCs w:val="22"/>
          <w:lang w:val="sr-Latn-RS"/>
        </w:rPr>
      </w:pPr>
    </w:p>
    <w:p w:rsidR="00E13729" w:rsidRPr="00206CF0" w:rsidRDefault="00E13729" w:rsidP="00F55D06">
      <w:pPr>
        <w:jc w:val="both"/>
        <w:rPr>
          <w:sz w:val="22"/>
          <w:szCs w:val="22"/>
          <w:lang w:val="sr-Latn-RS"/>
        </w:rPr>
      </w:pPr>
      <w:r w:rsidRPr="00206CF0">
        <w:rPr>
          <w:sz w:val="22"/>
          <w:szCs w:val="22"/>
          <w:lang w:val="sr-Latn-RS"/>
        </w:rPr>
        <w:t>Ljekari mogu tražiti od nosioca dozvole za lijek testiranje ili ponovno testiranje serumskih uzoraka u referentnoj laboratoriji u slučaju suspektne ili potvrđene izolovane aplazije crvene krvne loze izazvane anti-eritropoetinskim antitijelima ili nerazjašnjenog gubitka djelovanja tokom liječenja lijekom MIRCERA (npr. koji se klinički manifestuje teškom anemijom i niskim brojem retikulocita).</w:t>
      </w:r>
    </w:p>
    <w:p w:rsidR="00E13729" w:rsidRPr="00206CF0" w:rsidRDefault="00E13729" w:rsidP="00F55D06">
      <w:pPr>
        <w:jc w:val="both"/>
        <w:rPr>
          <w:sz w:val="22"/>
          <w:szCs w:val="22"/>
          <w:lang w:val="sr-Latn-RS"/>
        </w:rPr>
      </w:pPr>
    </w:p>
    <w:p w:rsidR="00287577" w:rsidRPr="00206CF0" w:rsidRDefault="00287577" w:rsidP="00F55D06">
      <w:pPr>
        <w:jc w:val="both"/>
        <w:rPr>
          <w:rFonts w:eastAsia="MS Mincho"/>
          <w:sz w:val="22"/>
          <w:szCs w:val="22"/>
          <w:lang w:val="sr-Latn-RS"/>
        </w:rPr>
      </w:pPr>
      <w:r w:rsidRPr="00206CF0">
        <w:rPr>
          <w:rFonts w:eastAsia="MS Mincho"/>
          <w:sz w:val="22"/>
          <w:szCs w:val="22"/>
          <w:u w:val="single"/>
          <w:lang w:val="sr-Latn-RS"/>
        </w:rPr>
        <w:t>Izolovana eritrocitna aplazija</w:t>
      </w:r>
      <w:r w:rsidRPr="00206CF0">
        <w:rPr>
          <w:rFonts w:eastAsia="MS Mincho"/>
          <w:sz w:val="22"/>
          <w:szCs w:val="22"/>
          <w:lang w:val="sr-Latn-RS"/>
        </w:rPr>
        <w:t xml:space="preserve"> izazvana anti-eritropoetinskim antitijelima zabilježena je u vezi sa primjenom ASE, uključujući i </w:t>
      </w:r>
      <w:r w:rsidR="00652A0B" w:rsidRPr="00206CF0">
        <w:rPr>
          <w:rFonts w:eastAsia="MS Mincho"/>
          <w:sz w:val="22"/>
          <w:szCs w:val="22"/>
          <w:lang w:val="sr-Latn-RS"/>
        </w:rPr>
        <w:t>metoksi</w:t>
      </w:r>
      <w:r w:rsidR="00A633A9" w:rsidRPr="00206CF0">
        <w:rPr>
          <w:rFonts w:eastAsia="MS Mincho"/>
          <w:sz w:val="22"/>
          <w:szCs w:val="22"/>
          <w:lang w:val="sr-Latn-RS"/>
        </w:rPr>
        <w:t xml:space="preserve"> </w:t>
      </w:r>
      <w:r w:rsidR="00652A0B" w:rsidRPr="00206CF0">
        <w:rPr>
          <w:rFonts w:eastAsia="MS Mincho"/>
          <w:sz w:val="22"/>
          <w:szCs w:val="22"/>
          <w:lang w:val="sr-Latn-RS"/>
        </w:rPr>
        <w:t xml:space="preserve">polietilenglikol-epoetin </w:t>
      </w:r>
      <w:r w:rsidR="00455457" w:rsidRPr="00206CF0">
        <w:rPr>
          <w:rFonts w:eastAsia="MS Mincho"/>
          <w:sz w:val="22"/>
          <w:szCs w:val="22"/>
          <w:lang w:val="sr-Latn-RS"/>
        </w:rPr>
        <w:t>beta</w:t>
      </w:r>
      <w:r w:rsidRPr="00206CF0">
        <w:rPr>
          <w:rFonts w:eastAsia="MS Mincho"/>
          <w:sz w:val="22"/>
          <w:szCs w:val="22"/>
          <w:lang w:val="sr-Latn-RS"/>
        </w:rPr>
        <w:t xml:space="preserve">. Pokazano je da ova antitijela stupaju u unakrsne reakcije sa ASE, pa kod pacijenata kod kojih se sumnja na imaju antitijela na </w:t>
      </w:r>
      <w:r w:rsidRPr="00206CF0">
        <w:rPr>
          <w:rFonts w:eastAsia="MS Mincho"/>
          <w:sz w:val="22"/>
          <w:szCs w:val="22"/>
          <w:lang w:val="sr-Latn-RS"/>
        </w:rPr>
        <w:lastRenderedPageBreak/>
        <w:t xml:space="preserve">eritropoetin, ili kod kojih je ovo stanje potvrđeno, ne treba prelaziti na </w:t>
      </w:r>
      <w:r w:rsidR="00652A0B" w:rsidRPr="00206CF0">
        <w:rPr>
          <w:rFonts w:eastAsia="MS Mincho"/>
          <w:sz w:val="22"/>
          <w:szCs w:val="22"/>
          <w:lang w:val="sr-Latn-RS"/>
        </w:rPr>
        <w:t>metoksi</w:t>
      </w:r>
      <w:r w:rsidR="00A633A9" w:rsidRPr="00206CF0">
        <w:rPr>
          <w:rFonts w:eastAsia="MS Mincho"/>
          <w:sz w:val="22"/>
          <w:szCs w:val="22"/>
          <w:lang w:val="sr-Latn-RS"/>
        </w:rPr>
        <w:t xml:space="preserve"> </w:t>
      </w:r>
      <w:r w:rsidR="00652A0B" w:rsidRPr="00206CF0">
        <w:rPr>
          <w:rFonts w:eastAsia="MS Mincho"/>
          <w:sz w:val="22"/>
          <w:szCs w:val="22"/>
          <w:lang w:val="sr-Latn-RS"/>
        </w:rPr>
        <w:t xml:space="preserve">polietilenglikol-epoetin beta </w:t>
      </w:r>
      <w:r w:rsidRPr="00206CF0">
        <w:rPr>
          <w:rFonts w:eastAsia="MS Mincho"/>
          <w:sz w:val="22"/>
          <w:szCs w:val="22"/>
          <w:lang w:val="sr-Latn-RS"/>
        </w:rPr>
        <w:t xml:space="preserve">(vidi dio 4.8). </w:t>
      </w:r>
    </w:p>
    <w:p w:rsidR="00287577" w:rsidRPr="00206CF0" w:rsidRDefault="00287577" w:rsidP="00F55D06">
      <w:pPr>
        <w:jc w:val="both"/>
        <w:rPr>
          <w:rFonts w:eastAsia="MS Mincho"/>
          <w:sz w:val="22"/>
          <w:szCs w:val="22"/>
          <w:lang w:val="sr-Latn-RS"/>
        </w:rPr>
      </w:pPr>
    </w:p>
    <w:p w:rsidR="00287577" w:rsidRPr="00206CF0" w:rsidRDefault="00784CA0" w:rsidP="00F55D06">
      <w:pPr>
        <w:jc w:val="both"/>
        <w:rPr>
          <w:rFonts w:eastAsia="MS Mincho"/>
          <w:sz w:val="22"/>
          <w:szCs w:val="22"/>
          <w:lang w:val="sr-Latn-RS"/>
        </w:rPr>
      </w:pPr>
      <w:r w:rsidRPr="00206CF0">
        <w:rPr>
          <w:rFonts w:eastAsia="MS Mincho"/>
          <w:sz w:val="22"/>
          <w:szCs w:val="22"/>
          <w:u w:val="single"/>
          <w:lang w:val="sr-Latn-RS"/>
        </w:rPr>
        <w:t>PRCA</w:t>
      </w:r>
      <w:r w:rsidR="00287577" w:rsidRPr="00206CF0">
        <w:rPr>
          <w:rFonts w:eastAsia="MS Mincho"/>
          <w:sz w:val="22"/>
          <w:szCs w:val="22"/>
          <w:u w:val="single"/>
          <w:lang w:val="sr-Latn-RS"/>
        </w:rPr>
        <w:t xml:space="preserve"> kod pacijenata sa hepatitisom C </w:t>
      </w:r>
      <w:r w:rsidR="00287577" w:rsidRPr="00206CF0">
        <w:rPr>
          <w:rFonts w:eastAsia="MS Mincho"/>
          <w:sz w:val="22"/>
          <w:szCs w:val="22"/>
          <w:lang w:val="sr-Latn-RS"/>
        </w:rPr>
        <w:t>Paradoksalno smanjenje nivoa hemoglobina i razvoj teške anemije udružene sa niskim brojem retikulocita ukazuje da je potrebno prekinuti tretman epoetinom i uraditi testiranje na anti-eritropoetin antitijela. Zabilježeni su slučajevi kod pacijenata sa hepatitisom C koji su primali interferon i ribavirin, kada se eritropoetin koristio konkomitantno. Epoetini nijesu odobreni za tretman anemije udružene sa hepatitisom C.</w:t>
      </w:r>
    </w:p>
    <w:p w:rsidR="00287577" w:rsidRPr="00206CF0" w:rsidRDefault="00287577" w:rsidP="00F55D06">
      <w:pPr>
        <w:jc w:val="both"/>
        <w:rPr>
          <w:rFonts w:eastAsia="MS Mincho"/>
          <w:sz w:val="22"/>
          <w:szCs w:val="22"/>
          <w:lang w:val="sr-Latn-RS"/>
        </w:rPr>
      </w:pPr>
    </w:p>
    <w:p w:rsidR="00287577" w:rsidRPr="00206CF0" w:rsidRDefault="00287577" w:rsidP="00F55D06">
      <w:pPr>
        <w:jc w:val="both"/>
        <w:rPr>
          <w:sz w:val="22"/>
          <w:szCs w:val="22"/>
          <w:lang w:val="sr-Latn-RS"/>
        </w:rPr>
      </w:pPr>
      <w:r w:rsidRPr="00206CF0">
        <w:rPr>
          <w:sz w:val="22"/>
          <w:szCs w:val="22"/>
          <w:u w:val="single"/>
          <w:lang w:val="sr-Latn-RS"/>
        </w:rPr>
        <w:t>Praćenje krvnog pritiska:</w:t>
      </w:r>
      <w:r w:rsidRPr="00206CF0">
        <w:rPr>
          <w:b/>
          <w:bCs/>
          <w:sz w:val="22"/>
          <w:szCs w:val="22"/>
          <w:lang w:val="sr-Latn-RS"/>
        </w:rPr>
        <w:t xml:space="preserve"> </w:t>
      </w:r>
      <w:r w:rsidRPr="00206CF0">
        <w:rPr>
          <w:bCs/>
          <w:sz w:val="22"/>
          <w:szCs w:val="22"/>
          <w:lang w:val="sr-Latn-RS"/>
        </w:rPr>
        <w:t xml:space="preserve">Kao i sa drugim ASE, tokom terapije </w:t>
      </w:r>
      <w:r w:rsidR="00652A0B" w:rsidRPr="00206CF0">
        <w:rPr>
          <w:bCs/>
          <w:sz w:val="22"/>
          <w:szCs w:val="22"/>
          <w:lang w:val="sr-Latn-RS"/>
        </w:rPr>
        <w:t>metoksi</w:t>
      </w:r>
      <w:r w:rsidR="00A633A9" w:rsidRPr="00206CF0">
        <w:rPr>
          <w:bCs/>
          <w:sz w:val="22"/>
          <w:szCs w:val="22"/>
          <w:lang w:val="sr-Latn-RS"/>
        </w:rPr>
        <w:t xml:space="preserve"> </w:t>
      </w:r>
      <w:r w:rsidR="00652A0B" w:rsidRPr="00206CF0">
        <w:rPr>
          <w:bCs/>
          <w:sz w:val="22"/>
          <w:szCs w:val="22"/>
          <w:lang w:val="sr-Latn-RS"/>
        </w:rPr>
        <w:t xml:space="preserve">polietilenglikol-epoetinom beta </w:t>
      </w:r>
      <w:r w:rsidRPr="00206CF0">
        <w:rPr>
          <w:sz w:val="22"/>
          <w:szCs w:val="22"/>
          <w:lang w:val="sr-Latn-RS"/>
        </w:rPr>
        <w:t xml:space="preserve">može doći do povećanja krvnog pritiska. Zbog toga, prije, tokom uvođenja i kasnije tokom terapije </w:t>
      </w:r>
      <w:r w:rsidR="00652A0B" w:rsidRPr="00206CF0">
        <w:rPr>
          <w:sz w:val="22"/>
          <w:szCs w:val="22"/>
          <w:lang w:val="sr-Latn-RS"/>
        </w:rPr>
        <w:t>metoksi</w:t>
      </w:r>
      <w:r w:rsidR="00A633A9" w:rsidRPr="00206CF0">
        <w:rPr>
          <w:sz w:val="22"/>
          <w:szCs w:val="22"/>
          <w:lang w:val="sr-Latn-RS"/>
        </w:rPr>
        <w:t xml:space="preserve"> </w:t>
      </w:r>
      <w:r w:rsidR="00652A0B" w:rsidRPr="00206CF0">
        <w:rPr>
          <w:sz w:val="22"/>
          <w:szCs w:val="22"/>
          <w:lang w:val="sr-Latn-RS"/>
        </w:rPr>
        <w:t xml:space="preserve">polietilenglikol-epoetinom beta </w:t>
      </w:r>
      <w:r w:rsidRPr="00206CF0">
        <w:rPr>
          <w:sz w:val="22"/>
          <w:szCs w:val="22"/>
          <w:lang w:val="sr-Latn-RS"/>
        </w:rPr>
        <w:t xml:space="preserve">kod svih pacijenata treba na odgovarajući način kontrolisati krvni pritisak. Ako se visok krvni pritisak teško kontroliše ljekovima i promjenom načina ishrane, dozu treba ili smanjiti ili potpuno prekinuti (vidjeti </w:t>
      </w:r>
      <w:r w:rsidR="00784CA0" w:rsidRPr="00206CF0">
        <w:rPr>
          <w:sz w:val="22"/>
          <w:szCs w:val="22"/>
          <w:lang w:val="sr-Latn-RS"/>
        </w:rPr>
        <w:t xml:space="preserve">dio </w:t>
      </w:r>
      <w:r w:rsidRPr="00206CF0">
        <w:rPr>
          <w:sz w:val="22"/>
          <w:szCs w:val="22"/>
          <w:lang w:val="sr-Latn-RS"/>
        </w:rPr>
        <w:t>4.2).</w:t>
      </w:r>
    </w:p>
    <w:p w:rsidR="00287577" w:rsidRPr="00206CF0" w:rsidRDefault="00287577" w:rsidP="00F55D06">
      <w:pPr>
        <w:jc w:val="both"/>
        <w:rPr>
          <w:rFonts w:eastAsia="MS Mincho"/>
          <w:sz w:val="22"/>
          <w:szCs w:val="22"/>
          <w:lang w:val="sr-Latn-RS"/>
        </w:rPr>
      </w:pPr>
    </w:p>
    <w:p w:rsidR="00287577" w:rsidRPr="00206CF0" w:rsidRDefault="00287577" w:rsidP="00F55D06">
      <w:pPr>
        <w:jc w:val="both"/>
        <w:rPr>
          <w:rFonts w:eastAsia="MS Mincho"/>
          <w:sz w:val="22"/>
          <w:szCs w:val="22"/>
          <w:lang w:val="sr-Latn-RS"/>
        </w:rPr>
      </w:pPr>
      <w:r w:rsidRPr="00206CF0">
        <w:rPr>
          <w:rFonts w:eastAsia="MS Mincho"/>
          <w:sz w:val="22"/>
          <w:szCs w:val="22"/>
          <w:lang w:val="sr-Latn-RS"/>
        </w:rPr>
        <w:t xml:space="preserve">Prijavljena su teška kožna neželjena dejstva, uključujući Stevens-Johnsonov sindrom i toksičnu epidermalnu nekrolizu, povezanu sa liječenjem epoetinom, koja mogu biti opasna po život ili smrtonosna (vidjeti dio 4.8). Teži slučajevi su zabilježeni kod primjene epoetina dugog </w:t>
      </w:r>
      <w:r w:rsidR="00784CA0" w:rsidRPr="00206CF0">
        <w:rPr>
          <w:rFonts w:eastAsia="MS Mincho"/>
          <w:sz w:val="22"/>
          <w:szCs w:val="22"/>
          <w:lang w:val="sr-Latn-RS"/>
        </w:rPr>
        <w:t>djelovanja</w:t>
      </w:r>
      <w:r w:rsidRPr="00206CF0">
        <w:rPr>
          <w:rFonts w:eastAsia="MS Mincho"/>
          <w:sz w:val="22"/>
          <w:szCs w:val="22"/>
          <w:lang w:val="sr-Latn-RS"/>
        </w:rPr>
        <w:t xml:space="preserve">. U trenutku propisivanja lijeka pacijente je potrebno savjetovati o znacima i simptomima te pažljivo pratiti da li imaju kožne reakcije. U slučaju pojavljivanja znakova i simptoma koji upućuju na te reakcije, potrebno je odmah prekinuti primjenu lijeka Mircera i razmisliti o zamjenskom liječenju. U slučaju da se zbog primjene </w:t>
      </w:r>
      <w:r w:rsidR="00652A0B" w:rsidRPr="00206CF0">
        <w:rPr>
          <w:rFonts w:eastAsia="MS Mincho"/>
          <w:sz w:val="22"/>
          <w:szCs w:val="22"/>
          <w:lang w:val="sr-Latn-RS"/>
        </w:rPr>
        <w:t>metoksi</w:t>
      </w:r>
      <w:r w:rsidR="00A633A9" w:rsidRPr="00206CF0">
        <w:rPr>
          <w:rFonts w:eastAsia="MS Mincho"/>
          <w:sz w:val="22"/>
          <w:szCs w:val="22"/>
          <w:lang w:val="sr-Latn-RS"/>
        </w:rPr>
        <w:t xml:space="preserve"> </w:t>
      </w:r>
      <w:r w:rsidR="00652A0B" w:rsidRPr="00206CF0">
        <w:rPr>
          <w:rFonts w:eastAsia="MS Mincho"/>
          <w:sz w:val="22"/>
          <w:szCs w:val="22"/>
          <w:lang w:val="sr-Latn-RS"/>
        </w:rPr>
        <w:t xml:space="preserve">polietilenglikol-epoetina beta </w:t>
      </w:r>
      <w:r w:rsidRPr="00206CF0">
        <w:rPr>
          <w:rFonts w:eastAsia="MS Mincho"/>
          <w:sz w:val="22"/>
          <w:szCs w:val="22"/>
          <w:lang w:val="sr-Latn-RS"/>
        </w:rPr>
        <w:t xml:space="preserve">kod pacijenata pojave teške kožne reakcije kao što su Stevens-Johnsonov sindrom ili toksična epidermalna nekroliza, ni u jednom trenutku ne smije se ponovo započeti liječenje tog pacijenta </w:t>
      </w:r>
      <w:r w:rsidR="00652A0B" w:rsidRPr="00206CF0">
        <w:rPr>
          <w:rFonts w:eastAsia="MS Mincho"/>
          <w:sz w:val="22"/>
          <w:szCs w:val="22"/>
          <w:lang w:val="sr-Latn-RS"/>
        </w:rPr>
        <w:t>metoksi</w:t>
      </w:r>
      <w:r w:rsidR="00A633A9" w:rsidRPr="00206CF0">
        <w:rPr>
          <w:rFonts w:eastAsia="MS Mincho"/>
          <w:sz w:val="22"/>
          <w:szCs w:val="22"/>
          <w:lang w:val="sr-Latn-RS"/>
        </w:rPr>
        <w:t xml:space="preserve"> </w:t>
      </w:r>
      <w:r w:rsidR="00652A0B" w:rsidRPr="00206CF0">
        <w:rPr>
          <w:rFonts w:eastAsia="MS Mincho"/>
          <w:sz w:val="22"/>
          <w:szCs w:val="22"/>
          <w:lang w:val="sr-Latn-RS"/>
        </w:rPr>
        <w:t>polietilenglikol-epoetinom beta</w:t>
      </w:r>
      <w:r w:rsidRPr="00206CF0">
        <w:rPr>
          <w:rFonts w:eastAsia="MS Mincho"/>
          <w:sz w:val="22"/>
          <w:szCs w:val="22"/>
          <w:lang w:val="sr-Latn-RS"/>
        </w:rPr>
        <w:t>.</w:t>
      </w:r>
    </w:p>
    <w:p w:rsidR="00287577" w:rsidRPr="00206CF0" w:rsidRDefault="00287577" w:rsidP="00F55D06">
      <w:pPr>
        <w:jc w:val="both"/>
        <w:rPr>
          <w:rFonts w:eastAsia="MS Mincho"/>
          <w:sz w:val="22"/>
          <w:szCs w:val="22"/>
          <w:lang w:val="sr-Latn-RS"/>
        </w:rPr>
      </w:pPr>
    </w:p>
    <w:p w:rsidR="00287577" w:rsidRPr="00206CF0" w:rsidRDefault="00287577" w:rsidP="00F55D06">
      <w:pPr>
        <w:jc w:val="both"/>
        <w:rPr>
          <w:rFonts w:eastAsia="MS Mincho"/>
          <w:sz w:val="22"/>
          <w:szCs w:val="22"/>
          <w:lang w:val="sr-Latn-RS"/>
        </w:rPr>
      </w:pPr>
      <w:r w:rsidRPr="00206CF0">
        <w:rPr>
          <w:rFonts w:eastAsia="MS Mincho"/>
          <w:sz w:val="22"/>
          <w:szCs w:val="22"/>
          <w:u w:val="single"/>
          <w:lang w:val="sr-Latn-RS"/>
        </w:rPr>
        <w:t>Koncentracija hemoglobina</w:t>
      </w:r>
      <w:r w:rsidRPr="00206CF0">
        <w:rPr>
          <w:rFonts w:eastAsia="MS Mincho"/>
          <w:sz w:val="22"/>
          <w:szCs w:val="22"/>
          <w:lang w:val="sr-Latn-RS"/>
        </w:rPr>
        <w:t xml:space="preserve">: Kod pacijenata sa hroničnim oboljenjem bubrega, </w:t>
      </w:r>
      <w:r w:rsidR="00652A0B" w:rsidRPr="00206CF0">
        <w:rPr>
          <w:rFonts w:eastAsia="MS Mincho"/>
          <w:sz w:val="22"/>
          <w:szCs w:val="22"/>
          <w:lang w:val="sr-Latn-RS"/>
        </w:rPr>
        <w:t xml:space="preserve">koncentracija </w:t>
      </w:r>
      <w:r w:rsidRPr="00206CF0">
        <w:rPr>
          <w:rFonts w:eastAsia="MS Mincho"/>
          <w:sz w:val="22"/>
          <w:szCs w:val="22"/>
          <w:lang w:val="sr-Latn-RS"/>
        </w:rPr>
        <w:t xml:space="preserve">hemoglobina </w:t>
      </w:r>
      <w:r w:rsidR="00652A0B" w:rsidRPr="00206CF0">
        <w:rPr>
          <w:rFonts w:eastAsia="MS Mincho"/>
          <w:sz w:val="22"/>
          <w:szCs w:val="22"/>
          <w:lang w:val="sr-Latn-RS"/>
        </w:rPr>
        <w:t>tokom održavanja ne sm</w:t>
      </w:r>
      <w:r w:rsidR="00455457" w:rsidRPr="00206CF0">
        <w:rPr>
          <w:rFonts w:eastAsia="MS Mincho"/>
          <w:sz w:val="22"/>
          <w:szCs w:val="22"/>
          <w:lang w:val="sr-Latn-RS"/>
        </w:rPr>
        <w:t>ij</w:t>
      </w:r>
      <w:r w:rsidR="00652A0B" w:rsidRPr="00206CF0">
        <w:rPr>
          <w:rFonts w:eastAsia="MS Mincho"/>
          <w:sz w:val="22"/>
          <w:szCs w:val="22"/>
          <w:lang w:val="sr-Latn-RS"/>
        </w:rPr>
        <w:t xml:space="preserve">e da pređe </w:t>
      </w:r>
      <w:r w:rsidRPr="00206CF0">
        <w:rPr>
          <w:rFonts w:eastAsia="MS Mincho"/>
          <w:sz w:val="22"/>
          <w:szCs w:val="22"/>
          <w:lang w:val="sr-Latn-RS"/>
        </w:rPr>
        <w:t xml:space="preserve">iznad gornje granice preporučene u </w:t>
      </w:r>
      <w:r w:rsidR="00784CA0" w:rsidRPr="00206CF0">
        <w:rPr>
          <w:rFonts w:eastAsia="MS Mincho"/>
          <w:sz w:val="22"/>
          <w:szCs w:val="22"/>
          <w:lang w:val="sr-Latn-RS"/>
        </w:rPr>
        <w:t xml:space="preserve">dijelu </w:t>
      </w:r>
      <w:r w:rsidRPr="00206CF0">
        <w:rPr>
          <w:rFonts w:eastAsia="MS Mincho"/>
          <w:sz w:val="22"/>
          <w:szCs w:val="22"/>
          <w:lang w:val="sr-Latn-RS"/>
        </w:rPr>
        <w:t>4.2. U kliničkim studijama, uočen je povećani rizik od smrti i ozbiljnih kardiovaskularnih događaja uključujući trombozu ili cerebrovaskularne dogadjaje koji uključuju infarkt,  kada su agensi stimulacije eritropoeze davani kod pacijenata sa hemoglobinom iznad 12 g/d</w:t>
      </w:r>
      <w:r w:rsidR="00784CA0" w:rsidRPr="00206CF0">
        <w:rPr>
          <w:rFonts w:eastAsia="MS Mincho"/>
          <w:sz w:val="22"/>
          <w:szCs w:val="22"/>
          <w:lang w:val="sr-Latn-RS"/>
        </w:rPr>
        <w:t>l</w:t>
      </w:r>
      <w:r w:rsidRPr="00206CF0">
        <w:rPr>
          <w:rFonts w:eastAsia="MS Mincho"/>
          <w:sz w:val="22"/>
          <w:szCs w:val="22"/>
          <w:lang w:val="sr-Latn-RS"/>
        </w:rPr>
        <w:t xml:space="preserve"> (7.5 mmol/</w:t>
      </w:r>
      <w:r w:rsidR="00784CA0" w:rsidRPr="00206CF0">
        <w:rPr>
          <w:rFonts w:eastAsia="MS Mincho"/>
          <w:sz w:val="22"/>
          <w:szCs w:val="22"/>
          <w:lang w:val="sr-Latn-RS"/>
        </w:rPr>
        <w:t>l</w:t>
      </w:r>
      <w:r w:rsidRPr="00206CF0">
        <w:rPr>
          <w:rFonts w:eastAsia="MS Mincho"/>
          <w:sz w:val="22"/>
          <w:szCs w:val="22"/>
          <w:lang w:val="sr-Latn-RS"/>
        </w:rPr>
        <w:t>) (vidi dio 4.8).</w:t>
      </w:r>
    </w:p>
    <w:p w:rsidR="00287577" w:rsidRPr="00206CF0" w:rsidRDefault="00287577" w:rsidP="00F55D06">
      <w:pPr>
        <w:jc w:val="both"/>
        <w:rPr>
          <w:rFonts w:eastAsia="MS Mincho"/>
          <w:sz w:val="22"/>
          <w:szCs w:val="22"/>
          <w:lang w:val="sr-Latn-RS"/>
        </w:rPr>
      </w:pPr>
      <w:r w:rsidRPr="00206CF0">
        <w:rPr>
          <w:rFonts w:eastAsia="MS Mincho"/>
          <w:sz w:val="22"/>
          <w:szCs w:val="22"/>
          <w:lang w:val="sr-Latn-RS"/>
        </w:rPr>
        <w:t>Kontrolisane kliničke studije nisu pokazale značajno bolji efekat koji bi išao u prilog davanju epoetina kada je koncentracija hemoglobina iznad nivoa potrebnog za kontrolu simptoma anemije i izbjegavanje transfuzije.</w:t>
      </w:r>
    </w:p>
    <w:p w:rsidR="00287577" w:rsidRPr="00206CF0" w:rsidRDefault="00287577" w:rsidP="00F55D06">
      <w:pPr>
        <w:jc w:val="both"/>
        <w:rPr>
          <w:rFonts w:eastAsia="MS Mincho"/>
          <w:sz w:val="22"/>
          <w:szCs w:val="22"/>
          <w:lang w:val="sr-Latn-RS"/>
        </w:rPr>
      </w:pPr>
    </w:p>
    <w:p w:rsidR="00287577" w:rsidRPr="00206CF0" w:rsidRDefault="00287577" w:rsidP="00F55D06">
      <w:pPr>
        <w:jc w:val="both"/>
        <w:rPr>
          <w:rFonts w:eastAsia="MS Mincho"/>
          <w:sz w:val="22"/>
          <w:szCs w:val="22"/>
          <w:lang w:val="sr-Latn-RS"/>
        </w:rPr>
      </w:pPr>
      <w:r w:rsidRPr="00206CF0">
        <w:rPr>
          <w:rFonts w:eastAsia="MS Mincho"/>
          <w:sz w:val="22"/>
          <w:szCs w:val="22"/>
          <w:lang w:val="sr-Latn-RS"/>
        </w:rPr>
        <w:t>Bezbjednost i efikasnost terapije nije</w:t>
      </w:r>
      <w:r w:rsidR="00F60970" w:rsidRPr="00206CF0">
        <w:rPr>
          <w:rFonts w:eastAsia="MS Mincho"/>
          <w:sz w:val="22"/>
          <w:szCs w:val="22"/>
          <w:lang w:val="sr-Latn-RS"/>
        </w:rPr>
        <w:t>su</w:t>
      </w:r>
      <w:r w:rsidRPr="00206CF0">
        <w:rPr>
          <w:rFonts w:eastAsia="MS Mincho"/>
          <w:sz w:val="22"/>
          <w:szCs w:val="22"/>
          <w:lang w:val="sr-Latn-RS"/>
        </w:rPr>
        <w:t xml:space="preserve"> </w:t>
      </w:r>
      <w:r w:rsidR="00F60970" w:rsidRPr="00206CF0">
        <w:rPr>
          <w:rFonts w:eastAsia="MS Mincho"/>
          <w:sz w:val="22"/>
          <w:szCs w:val="22"/>
          <w:lang w:val="sr-Latn-RS"/>
        </w:rPr>
        <w:t xml:space="preserve">utvrđeni </w:t>
      </w:r>
      <w:r w:rsidRPr="00206CF0">
        <w:rPr>
          <w:rFonts w:eastAsia="MS Mincho"/>
          <w:sz w:val="22"/>
          <w:szCs w:val="22"/>
          <w:lang w:val="sr-Latn-RS"/>
        </w:rPr>
        <w:t>kod pacijenata koji imaju hemoglobinopatije, konvulzije, krvarenja, nedavna krvarenja koja su iziskivala transfuziju ili kojima je broj trombocita veći od 500 x 10</w:t>
      </w:r>
      <w:r w:rsidRPr="00206CF0">
        <w:rPr>
          <w:rFonts w:eastAsia="MS Mincho"/>
          <w:sz w:val="22"/>
          <w:szCs w:val="22"/>
          <w:vertAlign w:val="superscript"/>
          <w:lang w:val="sr-Latn-RS"/>
        </w:rPr>
        <w:t>9</w:t>
      </w:r>
      <w:r w:rsidRPr="00206CF0">
        <w:rPr>
          <w:rFonts w:eastAsia="MS Mincho"/>
          <w:sz w:val="22"/>
          <w:szCs w:val="22"/>
          <w:lang w:val="sr-Latn-RS"/>
        </w:rPr>
        <w:t>/l. Prema tome, kod ovih pacijenata je potreban oprez.</w:t>
      </w:r>
    </w:p>
    <w:p w:rsidR="00287577" w:rsidRPr="00206CF0" w:rsidRDefault="00287577" w:rsidP="00F55D06">
      <w:pPr>
        <w:jc w:val="both"/>
        <w:rPr>
          <w:sz w:val="22"/>
          <w:szCs w:val="22"/>
          <w:u w:val="single"/>
          <w:lang w:val="sr-Latn-RS"/>
        </w:rPr>
      </w:pPr>
    </w:p>
    <w:p w:rsidR="00287577" w:rsidRPr="00206CF0" w:rsidRDefault="00287577" w:rsidP="00F55D06">
      <w:pPr>
        <w:jc w:val="both"/>
        <w:rPr>
          <w:sz w:val="22"/>
          <w:szCs w:val="22"/>
          <w:lang w:val="sr-Latn-RS"/>
        </w:rPr>
      </w:pPr>
      <w:r w:rsidRPr="00206CF0">
        <w:rPr>
          <w:sz w:val="22"/>
          <w:szCs w:val="22"/>
          <w:u w:val="single"/>
          <w:lang w:val="sr-Latn-RS"/>
        </w:rPr>
        <w:t>Dejstvo na rast tumora:</w:t>
      </w:r>
      <w:r w:rsidRPr="00206CF0">
        <w:rPr>
          <w:sz w:val="22"/>
          <w:szCs w:val="22"/>
          <w:lang w:val="sr-Latn-RS"/>
        </w:rPr>
        <w:t xml:space="preserve"> </w:t>
      </w:r>
      <w:r w:rsidR="00652A0B" w:rsidRPr="00206CF0">
        <w:rPr>
          <w:sz w:val="22"/>
          <w:szCs w:val="22"/>
          <w:lang w:val="sr-Latn-RS"/>
        </w:rPr>
        <w:t>Metoksi</w:t>
      </w:r>
      <w:r w:rsidR="00A633A9" w:rsidRPr="00206CF0">
        <w:rPr>
          <w:sz w:val="22"/>
          <w:szCs w:val="22"/>
          <w:lang w:val="sr-Latn-RS"/>
        </w:rPr>
        <w:t xml:space="preserve"> </w:t>
      </w:r>
      <w:r w:rsidR="00455457" w:rsidRPr="00206CF0">
        <w:rPr>
          <w:sz w:val="22"/>
          <w:szCs w:val="22"/>
          <w:lang w:val="sr-Latn-RS"/>
        </w:rPr>
        <w:t>polietilenglikol-epoetin beta</w:t>
      </w:r>
      <w:r w:rsidRPr="00206CF0">
        <w:rPr>
          <w:sz w:val="22"/>
          <w:szCs w:val="22"/>
          <w:lang w:val="sr-Latn-RS"/>
        </w:rPr>
        <w:t xml:space="preserve">, kao i drugi ASE, jeste faktor rasta koji prvenstveno stimuliše produkciju </w:t>
      </w:r>
      <w:r w:rsidR="00652A0B" w:rsidRPr="00206CF0">
        <w:rPr>
          <w:sz w:val="22"/>
          <w:szCs w:val="22"/>
          <w:lang w:val="sr-Latn-RS"/>
        </w:rPr>
        <w:t>eritrocita</w:t>
      </w:r>
      <w:r w:rsidRPr="00206CF0">
        <w:rPr>
          <w:sz w:val="22"/>
          <w:szCs w:val="22"/>
          <w:lang w:val="sr-Latn-RS"/>
        </w:rPr>
        <w:t>. Receptori eritropoietina mogu biti eksprimirani na površini brojnih tumorskih ćelija. Kao što je to slučaj i sa svim drugim faktorima rasta, postoji mogućnost i rizik da bi ASE mogli da stimulišu rast bilo kog oblika maligniteta. Dvije kontrolisane kliničke studije u kojima su epoetini davani pacijentima sa različitim tipovima karcinoma, uključujući i karcinom glave i vrata, kao i karcinom dojke, pokazali su neobjašnjeni porast mortaliteta.</w:t>
      </w:r>
    </w:p>
    <w:p w:rsidR="00287577" w:rsidRPr="00206CF0" w:rsidRDefault="00287577" w:rsidP="00F55D06">
      <w:pPr>
        <w:jc w:val="both"/>
        <w:rPr>
          <w:rFonts w:eastAsia="MS Mincho"/>
          <w:sz w:val="22"/>
          <w:szCs w:val="22"/>
          <w:lang w:val="sr-Latn-RS"/>
        </w:rPr>
      </w:pPr>
    </w:p>
    <w:p w:rsidR="00287577" w:rsidRPr="00206CF0" w:rsidRDefault="00287577" w:rsidP="00F55D06">
      <w:pPr>
        <w:jc w:val="both"/>
        <w:rPr>
          <w:rFonts w:eastAsia="MS Mincho"/>
          <w:sz w:val="22"/>
          <w:szCs w:val="22"/>
          <w:lang w:val="sr-Latn-RS"/>
        </w:rPr>
      </w:pPr>
      <w:r w:rsidRPr="00206CF0">
        <w:rPr>
          <w:sz w:val="22"/>
          <w:szCs w:val="22"/>
          <w:u w:val="single"/>
          <w:lang w:val="sr-Latn-RS"/>
        </w:rPr>
        <w:t>Zloupotreba</w:t>
      </w:r>
      <w:r w:rsidRPr="00206CF0">
        <w:rPr>
          <w:rFonts w:eastAsia="MS Mincho"/>
          <w:sz w:val="22"/>
          <w:szCs w:val="22"/>
          <w:lang w:val="sr-Latn-RS"/>
        </w:rPr>
        <w:t xml:space="preserve"> preparata </w:t>
      </w:r>
      <w:r w:rsidR="00652A0B" w:rsidRPr="00206CF0">
        <w:rPr>
          <w:rFonts w:eastAsia="MS Mincho"/>
          <w:sz w:val="22"/>
          <w:szCs w:val="22"/>
          <w:lang w:val="sr-Latn-RS"/>
        </w:rPr>
        <w:t>metoksi</w:t>
      </w:r>
      <w:r w:rsidR="00A633A9" w:rsidRPr="00206CF0">
        <w:rPr>
          <w:rFonts w:eastAsia="MS Mincho"/>
          <w:sz w:val="22"/>
          <w:szCs w:val="22"/>
          <w:lang w:val="sr-Latn-RS"/>
        </w:rPr>
        <w:t xml:space="preserve"> </w:t>
      </w:r>
      <w:r w:rsidR="00652A0B" w:rsidRPr="00206CF0">
        <w:rPr>
          <w:rFonts w:eastAsia="MS Mincho"/>
          <w:sz w:val="22"/>
          <w:szCs w:val="22"/>
          <w:lang w:val="sr-Latn-RS"/>
        </w:rPr>
        <w:t>po</w:t>
      </w:r>
      <w:r w:rsidR="00455457" w:rsidRPr="00206CF0">
        <w:rPr>
          <w:rFonts w:eastAsia="MS Mincho"/>
          <w:sz w:val="22"/>
          <w:szCs w:val="22"/>
          <w:lang w:val="sr-Latn-RS"/>
        </w:rPr>
        <w:t>lietilenglikol-epoetina beta</w:t>
      </w:r>
      <w:r w:rsidRPr="00206CF0">
        <w:rPr>
          <w:rFonts w:eastAsia="MS Mincho"/>
          <w:sz w:val="22"/>
          <w:szCs w:val="22"/>
          <w:lang w:val="sr-Latn-RS"/>
        </w:rPr>
        <w:t xml:space="preserve"> od strane zdravih ljudi  može da dovede do prekomjernog porasta vrijednosti hemoglobina. Ovo može da bude povezano sa kardiovaskularnim komplikacijama opasnim po život.</w:t>
      </w:r>
    </w:p>
    <w:p w:rsidR="00287577" w:rsidRPr="00206CF0" w:rsidRDefault="00287577" w:rsidP="00F55D06">
      <w:pPr>
        <w:jc w:val="both"/>
        <w:rPr>
          <w:rFonts w:eastAsia="MS Mincho"/>
          <w:sz w:val="22"/>
          <w:szCs w:val="22"/>
          <w:lang w:val="sr-Latn-RS"/>
        </w:rPr>
      </w:pPr>
    </w:p>
    <w:p w:rsidR="00287577" w:rsidRPr="00206CF0" w:rsidRDefault="00287577" w:rsidP="00F55D06">
      <w:pPr>
        <w:jc w:val="both"/>
        <w:rPr>
          <w:rFonts w:eastAsia="MS Mincho"/>
          <w:sz w:val="22"/>
          <w:szCs w:val="22"/>
          <w:lang w:val="sr-Latn-RS"/>
        </w:rPr>
      </w:pPr>
      <w:r w:rsidRPr="00206CF0">
        <w:rPr>
          <w:rFonts w:eastAsia="MS Mincho"/>
          <w:sz w:val="22"/>
          <w:szCs w:val="22"/>
          <w:u w:val="single"/>
          <w:lang w:val="sr-Latn-RS"/>
        </w:rPr>
        <w:t>Praćenje</w:t>
      </w:r>
      <w:r w:rsidR="00D836C1" w:rsidRPr="00206CF0">
        <w:rPr>
          <w:rFonts w:eastAsia="MS Mincho"/>
          <w:sz w:val="22"/>
          <w:szCs w:val="22"/>
          <w:u w:val="single"/>
          <w:lang w:val="sr-Latn-RS"/>
        </w:rPr>
        <w:t>:</w:t>
      </w:r>
      <w:r w:rsidR="00D836C1" w:rsidRPr="00206CF0">
        <w:rPr>
          <w:rFonts w:eastAsia="MS Mincho"/>
          <w:sz w:val="22"/>
          <w:szCs w:val="22"/>
          <w:lang w:val="sr-Latn-RS"/>
        </w:rPr>
        <w:t xml:space="preserve"> </w:t>
      </w:r>
      <w:r w:rsidR="00F60970" w:rsidRPr="00206CF0">
        <w:rPr>
          <w:rFonts w:eastAsia="MS Mincho"/>
          <w:sz w:val="22"/>
          <w:szCs w:val="22"/>
          <w:lang w:val="sr-Latn-RS"/>
        </w:rPr>
        <w:t>Kako bi se poboljšalo praćenje bioloških ljekova, naziv i broj serije primjenjenog lijeka potrebno je jasno evidentirati.</w:t>
      </w:r>
    </w:p>
    <w:p w:rsidR="00287577" w:rsidRPr="00206CF0" w:rsidRDefault="00287577" w:rsidP="00F55D06">
      <w:pPr>
        <w:jc w:val="both"/>
        <w:rPr>
          <w:rFonts w:eastAsia="MS Mincho"/>
          <w:sz w:val="22"/>
          <w:szCs w:val="22"/>
          <w:lang w:val="sr-Latn-RS"/>
        </w:rPr>
      </w:pPr>
    </w:p>
    <w:p w:rsidR="00287577" w:rsidRPr="00206CF0" w:rsidRDefault="00287577" w:rsidP="00F55D06">
      <w:pPr>
        <w:jc w:val="both"/>
        <w:rPr>
          <w:sz w:val="22"/>
          <w:szCs w:val="22"/>
          <w:lang w:val="sr-Latn-RS"/>
        </w:rPr>
      </w:pPr>
      <w:r w:rsidRPr="00206CF0">
        <w:rPr>
          <w:sz w:val="22"/>
          <w:szCs w:val="22"/>
          <w:lang w:val="sr-Latn-RS"/>
        </w:rPr>
        <w:t>Ovaj lijek sadrži manje od 1mmol (23mg) po ml, tj. suštinski ne sadrži natrijum.</w:t>
      </w:r>
    </w:p>
    <w:p w:rsidR="00D836C1" w:rsidRPr="00206CF0" w:rsidRDefault="00D836C1">
      <w:pPr>
        <w:rPr>
          <w:bCs/>
          <w:sz w:val="22"/>
          <w:szCs w:val="22"/>
          <w:lang w:val="sr-Latn-RS"/>
        </w:rPr>
      </w:pPr>
      <w:r w:rsidRPr="00206CF0">
        <w:rPr>
          <w:bCs/>
          <w:sz w:val="22"/>
          <w:szCs w:val="22"/>
          <w:lang w:val="sr-Latn-RS"/>
        </w:rPr>
        <w:br w:type="page"/>
      </w:r>
    </w:p>
    <w:p w:rsidR="00411B4B" w:rsidRPr="00206CF0" w:rsidRDefault="00411B4B" w:rsidP="00F55D06">
      <w:pPr>
        <w:tabs>
          <w:tab w:val="left" w:pos="540"/>
          <w:tab w:val="left" w:pos="569"/>
        </w:tabs>
        <w:jc w:val="both"/>
        <w:rPr>
          <w:b/>
          <w:bCs/>
          <w:sz w:val="22"/>
          <w:szCs w:val="22"/>
          <w:lang w:val="sr-Latn-RS"/>
        </w:rPr>
      </w:pPr>
      <w:r w:rsidRPr="00206CF0">
        <w:rPr>
          <w:b/>
          <w:bCs/>
          <w:sz w:val="22"/>
          <w:szCs w:val="22"/>
          <w:lang w:val="sr-Latn-RS"/>
        </w:rPr>
        <w:lastRenderedPageBreak/>
        <w:t>4.5.</w:t>
      </w:r>
      <w:r w:rsidR="000D60CC" w:rsidRPr="00206CF0">
        <w:rPr>
          <w:b/>
          <w:bCs/>
          <w:sz w:val="22"/>
          <w:szCs w:val="22"/>
          <w:lang w:val="sr-Latn-RS"/>
        </w:rPr>
        <w:tab/>
      </w:r>
      <w:r w:rsidRPr="00206CF0">
        <w:rPr>
          <w:b/>
          <w:bCs/>
          <w:sz w:val="22"/>
          <w:szCs w:val="22"/>
          <w:lang w:val="sr-Latn-RS"/>
        </w:rPr>
        <w:t>Interakcije sa drugim ljekovima i druge vrste interakcija</w:t>
      </w:r>
    </w:p>
    <w:p w:rsidR="00287577" w:rsidRPr="00206CF0" w:rsidRDefault="00287577" w:rsidP="00F55D06">
      <w:pPr>
        <w:tabs>
          <w:tab w:val="left" w:pos="540"/>
          <w:tab w:val="left" w:pos="569"/>
        </w:tabs>
        <w:jc w:val="both"/>
        <w:rPr>
          <w:b/>
          <w:bCs/>
          <w:sz w:val="22"/>
          <w:szCs w:val="22"/>
          <w:lang w:val="sr-Latn-RS"/>
        </w:rPr>
      </w:pPr>
    </w:p>
    <w:p w:rsidR="00287577" w:rsidRPr="00206CF0" w:rsidRDefault="00287577" w:rsidP="00F55D06">
      <w:pPr>
        <w:jc w:val="both"/>
        <w:rPr>
          <w:sz w:val="22"/>
          <w:szCs w:val="22"/>
          <w:lang w:val="sr-Latn-RS"/>
        </w:rPr>
      </w:pPr>
      <w:r w:rsidRPr="00206CF0">
        <w:rPr>
          <w:sz w:val="22"/>
          <w:szCs w:val="22"/>
          <w:lang w:val="sr-Latn-RS"/>
        </w:rPr>
        <w:t xml:space="preserve">Nisu rađene studije interakcija. Nema dokaza da </w:t>
      </w:r>
      <w:r w:rsidR="00652A0B" w:rsidRPr="00206CF0">
        <w:rPr>
          <w:sz w:val="22"/>
          <w:szCs w:val="22"/>
          <w:lang w:val="sr-Latn-RS"/>
        </w:rPr>
        <w:t>metoksi</w:t>
      </w:r>
      <w:r w:rsidR="00A633A9" w:rsidRPr="00206CF0">
        <w:rPr>
          <w:sz w:val="22"/>
          <w:szCs w:val="22"/>
          <w:lang w:val="sr-Latn-RS"/>
        </w:rPr>
        <w:t xml:space="preserve"> </w:t>
      </w:r>
      <w:r w:rsidR="00652A0B" w:rsidRPr="00206CF0">
        <w:rPr>
          <w:sz w:val="22"/>
          <w:szCs w:val="22"/>
          <w:lang w:val="sr-Latn-RS"/>
        </w:rPr>
        <w:t>polietilenglikol-epoetin beta</w:t>
      </w:r>
      <w:r w:rsidRPr="00206CF0">
        <w:rPr>
          <w:sz w:val="22"/>
          <w:szCs w:val="22"/>
          <w:lang w:val="sr-Latn-RS"/>
        </w:rPr>
        <w:t xml:space="preserve"> utiče na metabolizam drugih ljekova.</w:t>
      </w:r>
    </w:p>
    <w:p w:rsidR="0072020E" w:rsidRPr="00206CF0" w:rsidRDefault="0072020E" w:rsidP="00F55D06">
      <w:pPr>
        <w:tabs>
          <w:tab w:val="left" w:pos="540"/>
          <w:tab w:val="left" w:pos="569"/>
        </w:tabs>
        <w:jc w:val="both"/>
        <w:rPr>
          <w:bCs/>
          <w:sz w:val="22"/>
          <w:szCs w:val="22"/>
          <w:lang w:val="sr-Latn-RS"/>
        </w:rPr>
      </w:pPr>
    </w:p>
    <w:p w:rsidR="0072020E" w:rsidRPr="00206CF0" w:rsidRDefault="0072020E" w:rsidP="00F55D06">
      <w:pPr>
        <w:tabs>
          <w:tab w:val="left" w:pos="540"/>
          <w:tab w:val="left" w:pos="569"/>
        </w:tabs>
        <w:jc w:val="both"/>
        <w:rPr>
          <w:b/>
          <w:sz w:val="22"/>
          <w:szCs w:val="22"/>
          <w:lang w:val="sr-Latn-RS"/>
        </w:rPr>
      </w:pPr>
      <w:r w:rsidRPr="00206CF0">
        <w:rPr>
          <w:b/>
          <w:bCs/>
          <w:sz w:val="22"/>
          <w:szCs w:val="22"/>
          <w:lang w:val="sr-Latn-RS"/>
        </w:rPr>
        <w:t xml:space="preserve">4.6. </w:t>
      </w:r>
      <w:r w:rsidR="00480FB1" w:rsidRPr="00206CF0">
        <w:rPr>
          <w:b/>
          <w:bCs/>
          <w:sz w:val="22"/>
          <w:szCs w:val="22"/>
          <w:lang w:val="sr-Latn-RS"/>
        </w:rPr>
        <w:tab/>
      </w:r>
      <w:r w:rsidR="006D20A5" w:rsidRPr="00206CF0">
        <w:rPr>
          <w:b/>
          <w:sz w:val="22"/>
          <w:szCs w:val="22"/>
          <w:lang w:val="sr-Latn-RS"/>
        </w:rPr>
        <w:t>Plodnost, trudnoća i dojenje</w:t>
      </w:r>
    </w:p>
    <w:p w:rsidR="002031B3" w:rsidRPr="00206CF0" w:rsidRDefault="002031B3" w:rsidP="00F55D06">
      <w:pPr>
        <w:tabs>
          <w:tab w:val="left" w:pos="540"/>
          <w:tab w:val="left" w:pos="569"/>
        </w:tabs>
        <w:jc w:val="both"/>
        <w:rPr>
          <w:sz w:val="22"/>
          <w:szCs w:val="22"/>
          <w:u w:val="single"/>
          <w:lang w:val="sr-Latn-RS"/>
        </w:rPr>
      </w:pPr>
    </w:p>
    <w:p w:rsidR="00287577" w:rsidRPr="00206CF0" w:rsidRDefault="00287577" w:rsidP="00F55D06">
      <w:pPr>
        <w:jc w:val="both"/>
        <w:outlineLvl w:val="0"/>
        <w:rPr>
          <w:sz w:val="22"/>
          <w:szCs w:val="22"/>
          <w:u w:val="single"/>
          <w:lang w:val="sr-Latn-RS"/>
        </w:rPr>
      </w:pPr>
      <w:r w:rsidRPr="00206CF0">
        <w:rPr>
          <w:sz w:val="22"/>
          <w:szCs w:val="22"/>
          <w:u w:val="single"/>
          <w:lang w:val="sr-Latn-RS"/>
        </w:rPr>
        <w:t>Trudnoća:</w:t>
      </w:r>
    </w:p>
    <w:p w:rsidR="00287577" w:rsidRPr="00206CF0" w:rsidRDefault="00287577" w:rsidP="00F55D06">
      <w:pPr>
        <w:jc w:val="both"/>
        <w:rPr>
          <w:sz w:val="22"/>
          <w:szCs w:val="22"/>
          <w:lang w:val="sr-Latn-RS"/>
        </w:rPr>
      </w:pPr>
      <w:r w:rsidRPr="00206CF0">
        <w:rPr>
          <w:sz w:val="22"/>
          <w:szCs w:val="22"/>
          <w:lang w:val="sr-Latn-RS"/>
        </w:rPr>
        <w:t xml:space="preserve">Ne postoje podaci o upotrebi </w:t>
      </w:r>
      <w:r w:rsidR="00652A0B" w:rsidRPr="00206CF0">
        <w:rPr>
          <w:sz w:val="22"/>
          <w:szCs w:val="22"/>
          <w:lang w:val="sr-Latn-RS"/>
        </w:rPr>
        <w:t>metoksi</w:t>
      </w:r>
      <w:r w:rsidR="00A633A9" w:rsidRPr="00206CF0">
        <w:rPr>
          <w:sz w:val="22"/>
          <w:szCs w:val="22"/>
          <w:lang w:val="sr-Latn-RS"/>
        </w:rPr>
        <w:t xml:space="preserve"> </w:t>
      </w:r>
      <w:r w:rsidR="00652A0B" w:rsidRPr="00206CF0">
        <w:rPr>
          <w:sz w:val="22"/>
          <w:szCs w:val="22"/>
          <w:lang w:val="sr-Latn-RS"/>
        </w:rPr>
        <w:t xml:space="preserve">polietilenglikol-epoetin beta </w:t>
      </w:r>
      <w:r w:rsidRPr="00206CF0">
        <w:rPr>
          <w:sz w:val="22"/>
          <w:szCs w:val="22"/>
          <w:lang w:val="sr-Latn-RS"/>
        </w:rPr>
        <w:t xml:space="preserve">kod trudnica. </w:t>
      </w:r>
    </w:p>
    <w:p w:rsidR="00287577" w:rsidRPr="00206CF0" w:rsidRDefault="00287577" w:rsidP="00F55D06">
      <w:pPr>
        <w:jc w:val="both"/>
        <w:rPr>
          <w:sz w:val="22"/>
          <w:szCs w:val="22"/>
          <w:lang w:val="sr-Latn-RS"/>
        </w:rPr>
      </w:pPr>
      <w:r w:rsidRPr="00206CF0">
        <w:rPr>
          <w:sz w:val="22"/>
          <w:szCs w:val="22"/>
          <w:lang w:val="sr-Latn-RS"/>
        </w:rPr>
        <w:t xml:space="preserve">Ispitivanja na životinjama ne ukazuju na direktno štetno dejstvo vezano za trudnoću, razvoj embriona/fetusa, porođaj ili postnatalni razvoj, ali ukazuju na reverzibilno smanjenje težine fetusa koje je karakteristično za cijelu klasu ovih ljekova (vidjeti </w:t>
      </w:r>
      <w:r w:rsidR="00D836C1" w:rsidRPr="00206CF0">
        <w:rPr>
          <w:sz w:val="22"/>
          <w:szCs w:val="22"/>
          <w:lang w:val="sr-Latn-RS"/>
        </w:rPr>
        <w:t xml:space="preserve">dio </w:t>
      </w:r>
      <w:r w:rsidRPr="00206CF0">
        <w:rPr>
          <w:sz w:val="22"/>
          <w:szCs w:val="22"/>
          <w:lang w:val="sr-Latn-RS"/>
        </w:rPr>
        <w:t>5.3). Kada se ovaj lijek propisuje trudnicama potreban je oprez.</w:t>
      </w:r>
    </w:p>
    <w:p w:rsidR="00287577" w:rsidRPr="00206CF0" w:rsidRDefault="00287577" w:rsidP="00F55D06">
      <w:pPr>
        <w:jc w:val="both"/>
        <w:rPr>
          <w:sz w:val="22"/>
          <w:szCs w:val="22"/>
          <w:lang w:val="sr-Latn-RS"/>
        </w:rPr>
      </w:pPr>
    </w:p>
    <w:p w:rsidR="00287577" w:rsidRPr="00206CF0" w:rsidRDefault="00287577" w:rsidP="00F55D06">
      <w:pPr>
        <w:jc w:val="both"/>
        <w:outlineLvl w:val="0"/>
        <w:rPr>
          <w:sz w:val="22"/>
          <w:szCs w:val="22"/>
          <w:u w:val="single"/>
          <w:lang w:val="sr-Latn-RS"/>
        </w:rPr>
      </w:pPr>
      <w:r w:rsidRPr="00206CF0">
        <w:rPr>
          <w:sz w:val="22"/>
          <w:szCs w:val="22"/>
          <w:u w:val="single"/>
          <w:lang w:val="sr-Latn-RS"/>
        </w:rPr>
        <w:t>Dojenje:</w:t>
      </w:r>
    </w:p>
    <w:p w:rsidR="00287577" w:rsidRPr="00206CF0" w:rsidRDefault="00287577" w:rsidP="00F55D06">
      <w:pPr>
        <w:jc w:val="both"/>
        <w:rPr>
          <w:sz w:val="22"/>
          <w:szCs w:val="22"/>
          <w:lang w:val="sr-Latn-RS"/>
        </w:rPr>
      </w:pPr>
      <w:r w:rsidRPr="00206CF0">
        <w:rPr>
          <w:sz w:val="22"/>
          <w:szCs w:val="22"/>
          <w:lang w:val="sr-Latn-RS"/>
        </w:rPr>
        <w:t xml:space="preserve">Nije poznato da li se  </w:t>
      </w:r>
      <w:r w:rsidR="00652A0B" w:rsidRPr="00206CF0">
        <w:rPr>
          <w:sz w:val="22"/>
          <w:szCs w:val="22"/>
          <w:lang w:val="sr-Latn-RS"/>
        </w:rPr>
        <w:t>metoksi</w:t>
      </w:r>
      <w:r w:rsidR="00A633A9" w:rsidRPr="00206CF0">
        <w:rPr>
          <w:sz w:val="22"/>
          <w:szCs w:val="22"/>
          <w:lang w:val="sr-Latn-RS"/>
        </w:rPr>
        <w:t xml:space="preserve"> </w:t>
      </w:r>
      <w:r w:rsidR="00652A0B" w:rsidRPr="00206CF0">
        <w:rPr>
          <w:sz w:val="22"/>
          <w:szCs w:val="22"/>
          <w:lang w:val="sr-Latn-RS"/>
        </w:rPr>
        <w:t>polietilenglikol-epoetin beta</w:t>
      </w:r>
      <w:r w:rsidRPr="00206CF0">
        <w:rPr>
          <w:sz w:val="22"/>
          <w:szCs w:val="22"/>
          <w:lang w:val="sr-Latn-RS"/>
        </w:rPr>
        <w:t xml:space="preserve"> izlučuje u mlijeku majki dojilja. Jedna studija na životinjama je pokazala da se metoksi polietilen glikol-epoetin beta izlučuje u mlijeku. Odluka o tome da li da se prekine sa dojenjem ili da se prekine terapija </w:t>
      </w:r>
      <w:r w:rsidR="00652A0B" w:rsidRPr="00206CF0">
        <w:rPr>
          <w:sz w:val="22"/>
          <w:szCs w:val="22"/>
          <w:lang w:val="sr-Latn-RS"/>
        </w:rPr>
        <w:t>metoksi</w:t>
      </w:r>
      <w:r w:rsidR="00A633A9" w:rsidRPr="00206CF0">
        <w:rPr>
          <w:sz w:val="22"/>
          <w:szCs w:val="22"/>
          <w:lang w:val="sr-Latn-RS"/>
        </w:rPr>
        <w:t xml:space="preserve"> </w:t>
      </w:r>
      <w:r w:rsidR="00652A0B" w:rsidRPr="00206CF0">
        <w:rPr>
          <w:sz w:val="22"/>
          <w:szCs w:val="22"/>
          <w:lang w:val="sr-Latn-RS"/>
        </w:rPr>
        <w:t xml:space="preserve">polietilenglikol-epoetinom beta </w:t>
      </w:r>
      <w:r w:rsidRPr="00206CF0">
        <w:rPr>
          <w:sz w:val="22"/>
          <w:szCs w:val="22"/>
          <w:lang w:val="sr-Latn-RS"/>
        </w:rPr>
        <w:t xml:space="preserve">treba da se bazira na procjeni koristi terapije </w:t>
      </w:r>
      <w:r w:rsidR="00652A0B" w:rsidRPr="00206CF0">
        <w:rPr>
          <w:sz w:val="22"/>
          <w:szCs w:val="22"/>
          <w:lang w:val="sr-Latn-RS"/>
        </w:rPr>
        <w:t>metoksi</w:t>
      </w:r>
      <w:r w:rsidR="00A633A9" w:rsidRPr="00206CF0">
        <w:rPr>
          <w:sz w:val="22"/>
          <w:szCs w:val="22"/>
          <w:lang w:val="sr-Latn-RS"/>
        </w:rPr>
        <w:t xml:space="preserve"> </w:t>
      </w:r>
      <w:r w:rsidR="00652A0B" w:rsidRPr="00206CF0">
        <w:rPr>
          <w:sz w:val="22"/>
          <w:szCs w:val="22"/>
          <w:lang w:val="sr-Latn-RS"/>
        </w:rPr>
        <w:t xml:space="preserve">polietilenglikol-epoetinom beta </w:t>
      </w:r>
      <w:r w:rsidRPr="00206CF0">
        <w:rPr>
          <w:sz w:val="22"/>
          <w:szCs w:val="22"/>
          <w:lang w:val="sr-Latn-RS"/>
        </w:rPr>
        <w:t xml:space="preserve">za ženu i koristi od dojenja za dijete. </w:t>
      </w:r>
    </w:p>
    <w:p w:rsidR="00287577" w:rsidRPr="00206CF0" w:rsidRDefault="00287577" w:rsidP="00F55D06">
      <w:pPr>
        <w:pStyle w:val="Header"/>
        <w:tabs>
          <w:tab w:val="left" w:pos="284"/>
        </w:tabs>
        <w:jc w:val="both"/>
        <w:rPr>
          <w:sz w:val="22"/>
          <w:szCs w:val="22"/>
          <w:lang w:val="sr-Latn-RS"/>
        </w:rPr>
      </w:pPr>
    </w:p>
    <w:p w:rsidR="00287577" w:rsidRPr="00206CF0" w:rsidRDefault="00287577" w:rsidP="00F55D06">
      <w:pPr>
        <w:jc w:val="both"/>
        <w:rPr>
          <w:sz w:val="22"/>
          <w:szCs w:val="22"/>
          <w:u w:val="single"/>
          <w:lang w:val="sr-Latn-RS"/>
        </w:rPr>
      </w:pPr>
      <w:r w:rsidRPr="00206CF0">
        <w:rPr>
          <w:sz w:val="22"/>
          <w:szCs w:val="22"/>
          <w:u w:val="single"/>
          <w:lang w:val="sr-Latn-RS"/>
        </w:rPr>
        <w:t>Plodnost:</w:t>
      </w:r>
    </w:p>
    <w:p w:rsidR="00287577" w:rsidRPr="00206CF0" w:rsidRDefault="00287577" w:rsidP="00F55D06">
      <w:pPr>
        <w:jc w:val="both"/>
        <w:rPr>
          <w:sz w:val="22"/>
          <w:szCs w:val="22"/>
          <w:lang w:val="sr-Latn-RS"/>
        </w:rPr>
      </w:pPr>
      <w:r w:rsidRPr="00206CF0">
        <w:rPr>
          <w:sz w:val="22"/>
          <w:szCs w:val="22"/>
          <w:lang w:val="sr-Latn-RS"/>
        </w:rPr>
        <w:t>Studije na životinjama nijesu dokazale uticaj na oštećenje fertiliteta (vidjeti dio 5.3). Potencijalni rizik kod ljudi nije poznat.</w:t>
      </w:r>
    </w:p>
    <w:p w:rsidR="00227BDB" w:rsidRPr="00206CF0" w:rsidRDefault="00227BDB" w:rsidP="00F55D06">
      <w:pPr>
        <w:tabs>
          <w:tab w:val="left" w:pos="540"/>
          <w:tab w:val="left" w:pos="569"/>
        </w:tabs>
        <w:ind w:left="540" w:hanging="540"/>
        <w:jc w:val="both"/>
        <w:rPr>
          <w:b/>
          <w:bCs/>
          <w:sz w:val="22"/>
          <w:szCs w:val="22"/>
          <w:lang w:val="sr-Latn-RS"/>
        </w:rPr>
      </w:pPr>
    </w:p>
    <w:p w:rsidR="0072020E" w:rsidRPr="00206CF0" w:rsidRDefault="0072020E" w:rsidP="00F55D06">
      <w:pPr>
        <w:tabs>
          <w:tab w:val="left" w:pos="540"/>
          <w:tab w:val="left" w:pos="569"/>
        </w:tabs>
        <w:ind w:left="540" w:hanging="540"/>
        <w:jc w:val="both"/>
        <w:rPr>
          <w:b/>
          <w:bCs/>
          <w:sz w:val="22"/>
          <w:szCs w:val="22"/>
          <w:lang w:val="sr-Latn-RS"/>
        </w:rPr>
      </w:pPr>
      <w:r w:rsidRPr="00206CF0">
        <w:rPr>
          <w:b/>
          <w:bCs/>
          <w:sz w:val="22"/>
          <w:szCs w:val="22"/>
          <w:lang w:val="sr-Latn-RS"/>
        </w:rPr>
        <w:t xml:space="preserve">4.7. </w:t>
      </w:r>
      <w:r w:rsidR="00480FB1" w:rsidRPr="00206CF0">
        <w:rPr>
          <w:b/>
          <w:bCs/>
          <w:sz w:val="22"/>
          <w:szCs w:val="22"/>
          <w:lang w:val="sr-Latn-RS"/>
        </w:rPr>
        <w:tab/>
      </w:r>
      <w:r w:rsidRPr="00206CF0">
        <w:rPr>
          <w:b/>
          <w:bCs/>
          <w:sz w:val="22"/>
          <w:szCs w:val="22"/>
          <w:lang w:val="sr-Latn-RS"/>
        </w:rPr>
        <w:t xml:space="preserve">Uticaj na </w:t>
      </w:r>
      <w:r w:rsidR="002031B3" w:rsidRPr="00206CF0">
        <w:rPr>
          <w:b/>
          <w:bCs/>
          <w:sz w:val="22"/>
          <w:szCs w:val="22"/>
          <w:lang w:val="sr-Latn-RS"/>
        </w:rPr>
        <w:t xml:space="preserve">sposobnost </w:t>
      </w:r>
      <w:r w:rsidR="00F34554" w:rsidRPr="00206CF0">
        <w:rPr>
          <w:b/>
          <w:bCs/>
          <w:sz w:val="22"/>
          <w:szCs w:val="22"/>
          <w:lang w:val="sr-Latn-RS"/>
        </w:rPr>
        <w:t>upravljanja vozili</w:t>
      </w:r>
      <w:r w:rsidRPr="00206CF0">
        <w:rPr>
          <w:b/>
          <w:bCs/>
          <w:sz w:val="22"/>
          <w:szCs w:val="22"/>
          <w:lang w:val="sr-Latn-RS"/>
        </w:rPr>
        <w:t>m</w:t>
      </w:r>
      <w:r w:rsidR="00F34554" w:rsidRPr="00206CF0">
        <w:rPr>
          <w:b/>
          <w:bCs/>
          <w:sz w:val="22"/>
          <w:szCs w:val="22"/>
          <w:lang w:val="sr-Latn-RS"/>
        </w:rPr>
        <w:t>a</w:t>
      </w:r>
      <w:r w:rsidRPr="00206CF0">
        <w:rPr>
          <w:b/>
          <w:bCs/>
          <w:sz w:val="22"/>
          <w:szCs w:val="22"/>
          <w:lang w:val="sr-Latn-RS"/>
        </w:rPr>
        <w:t xml:space="preserve"> i </w:t>
      </w:r>
      <w:r w:rsidR="000D3449" w:rsidRPr="00206CF0">
        <w:rPr>
          <w:b/>
          <w:bCs/>
          <w:sz w:val="22"/>
          <w:szCs w:val="22"/>
          <w:lang w:val="sr-Latn-RS"/>
        </w:rPr>
        <w:t xml:space="preserve">rukovanje </w:t>
      </w:r>
      <w:r w:rsidRPr="00206CF0">
        <w:rPr>
          <w:b/>
          <w:bCs/>
          <w:sz w:val="22"/>
          <w:szCs w:val="22"/>
          <w:lang w:val="sr-Latn-RS"/>
        </w:rPr>
        <w:t>mašinama</w:t>
      </w:r>
    </w:p>
    <w:p w:rsidR="0072020E" w:rsidRPr="00206CF0" w:rsidRDefault="0072020E" w:rsidP="00F55D06">
      <w:pPr>
        <w:tabs>
          <w:tab w:val="left" w:pos="540"/>
          <w:tab w:val="left" w:pos="569"/>
        </w:tabs>
        <w:jc w:val="both"/>
        <w:rPr>
          <w:b/>
          <w:bCs/>
          <w:sz w:val="22"/>
          <w:szCs w:val="22"/>
          <w:lang w:val="sr-Latn-RS"/>
        </w:rPr>
      </w:pPr>
    </w:p>
    <w:p w:rsidR="00287577" w:rsidRPr="00206CF0" w:rsidRDefault="00652A0B" w:rsidP="00F55D06">
      <w:pPr>
        <w:jc w:val="both"/>
        <w:outlineLvl w:val="0"/>
        <w:rPr>
          <w:sz w:val="22"/>
          <w:szCs w:val="22"/>
          <w:lang w:val="sr-Latn-RS"/>
        </w:rPr>
      </w:pPr>
      <w:r w:rsidRPr="00206CF0">
        <w:rPr>
          <w:sz w:val="22"/>
          <w:szCs w:val="22"/>
          <w:lang w:val="sr-Latn-RS"/>
        </w:rPr>
        <w:t>Metoksi</w:t>
      </w:r>
      <w:r w:rsidR="00A633A9" w:rsidRPr="00206CF0">
        <w:rPr>
          <w:sz w:val="22"/>
          <w:szCs w:val="22"/>
          <w:lang w:val="sr-Latn-RS"/>
        </w:rPr>
        <w:t xml:space="preserve"> </w:t>
      </w:r>
      <w:r w:rsidRPr="00206CF0">
        <w:rPr>
          <w:sz w:val="22"/>
          <w:szCs w:val="22"/>
          <w:lang w:val="sr-Latn-RS"/>
        </w:rPr>
        <w:t>polietilenglikol-epoetin beta</w:t>
      </w:r>
      <w:r w:rsidR="00287577" w:rsidRPr="00206CF0">
        <w:rPr>
          <w:sz w:val="22"/>
          <w:szCs w:val="22"/>
          <w:lang w:val="sr-Latn-RS"/>
        </w:rPr>
        <w:t xml:space="preserve"> ima zanemarljivi ili nikakav uticaj na sposobnost za upravljanje vozilima i mašinama.</w:t>
      </w:r>
    </w:p>
    <w:p w:rsidR="00287577" w:rsidRPr="00206CF0" w:rsidRDefault="00287577" w:rsidP="00F55D06">
      <w:pPr>
        <w:tabs>
          <w:tab w:val="left" w:pos="540"/>
          <w:tab w:val="left" w:pos="569"/>
        </w:tabs>
        <w:jc w:val="both"/>
        <w:rPr>
          <w:b/>
          <w:bCs/>
          <w:sz w:val="22"/>
          <w:szCs w:val="22"/>
          <w:lang w:val="sr-Latn-RS"/>
        </w:rPr>
      </w:pPr>
    </w:p>
    <w:p w:rsidR="0072020E" w:rsidRPr="00206CF0" w:rsidRDefault="0072020E" w:rsidP="00F55D06">
      <w:pPr>
        <w:tabs>
          <w:tab w:val="left" w:pos="540"/>
          <w:tab w:val="left" w:pos="569"/>
        </w:tabs>
        <w:jc w:val="both"/>
        <w:rPr>
          <w:b/>
          <w:bCs/>
          <w:sz w:val="22"/>
          <w:szCs w:val="22"/>
          <w:lang w:val="sr-Latn-RS"/>
        </w:rPr>
      </w:pPr>
      <w:r w:rsidRPr="00206CF0">
        <w:rPr>
          <w:b/>
          <w:bCs/>
          <w:sz w:val="22"/>
          <w:szCs w:val="22"/>
          <w:lang w:val="sr-Latn-RS"/>
        </w:rPr>
        <w:t xml:space="preserve">4.8. </w:t>
      </w:r>
      <w:r w:rsidR="00480FB1" w:rsidRPr="00206CF0">
        <w:rPr>
          <w:b/>
          <w:bCs/>
          <w:sz w:val="22"/>
          <w:szCs w:val="22"/>
          <w:lang w:val="sr-Latn-RS"/>
        </w:rPr>
        <w:tab/>
      </w:r>
      <w:r w:rsidRPr="00206CF0">
        <w:rPr>
          <w:b/>
          <w:bCs/>
          <w:sz w:val="22"/>
          <w:szCs w:val="22"/>
          <w:lang w:val="sr-Latn-RS"/>
        </w:rPr>
        <w:t>Neželjena dejstva</w:t>
      </w:r>
    </w:p>
    <w:p w:rsidR="00287577" w:rsidRPr="00206CF0" w:rsidRDefault="00287577" w:rsidP="00F55D06">
      <w:pPr>
        <w:tabs>
          <w:tab w:val="left" w:pos="540"/>
          <w:tab w:val="left" w:pos="569"/>
        </w:tabs>
        <w:jc w:val="both"/>
        <w:rPr>
          <w:b/>
          <w:bCs/>
          <w:sz w:val="22"/>
          <w:szCs w:val="22"/>
          <w:lang w:val="sr-Latn-RS"/>
        </w:rPr>
      </w:pPr>
    </w:p>
    <w:p w:rsidR="00287577" w:rsidRPr="00206CF0" w:rsidRDefault="00287577" w:rsidP="00F55D06">
      <w:pPr>
        <w:tabs>
          <w:tab w:val="left" w:pos="540"/>
          <w:tab w:val="left" w:pos="569"/>
        </w:tabs>
        <w:jc w:val="both"/>
        <w:rPr>
          <w:bCs/>
          <w:sz w:val="22"/>
          <w:szCs w:val="22"/>
          <w:u w:val="single"/>
          <w:lang w:val="sr-Latn-RS"/>
        </w:rPr>
      </w:pPr>
      <w:r w:rsidRPr="00206CF0">
        <w:rPr>
          <w:bCs/>
          <w:sz w:val="22"/>
          <w:szCs w:val="22"/>
          <w:u w:val="single"/>
          <w:lang w:val="sr-Latn-RS"/>
        </w:rPr>
        <w:t>(a) Profil bezbjednosti</w:t>
      </w:r>
    </w:p>
    <w:p w:rsidR="00287577" w:rsidRPr="00206CF0" w:rsidRDefault="00287577" w:rsidP="00F55D06">
      <w:pPr>
        <w:jc w:val="both"/>
        <w:rPr>
          <w:sz w:val="22"/>
          <w:szCs w:val="22"/>
          <w:lang w:val="sr-Latn-RS"/>
        </w:rPr>
      </w:pPr>
      <w:r w:rsidRPr="00206CF0">
        <w:rPr>
          <w:sz w:val="22"/>
          <w:szCs w:val="22"/>
          <w:lang w:val="sr-Latn-RS"/>
        </w:rPr>
        <w:t xml:space="preserve">Bazom podataka o bezbjednosti obuhvaćeno je 3042 </w:t>
      </w:r>
      <w:r w:rsidR="00652A0B" w:rsidRPr="00206CF0">
        <w:rPr>
          <w:sz w:val="22"/>
          <w:szCs w:val="22"/>
          <w:lang w:val="sr-Latn-RS"/>
        </w:rPr>
        <w:t xml:space="preserve">odrasla </w:t>
      </w:r>
      <w:r w:rsidRPr="00206CF0">
        <w:rPr>
          <w:sz w:val="22"/>
          <w:szCs w:val="22"/>
          <w:lang w:val="sr-Latn-RS"/>
        </w:rPr>
        <w:t xml:space="preserve">pacijenata sa HOB, uključujući i 1939 </w:t>
      </w:r>
      <w:r w:rsidR="00652A0B" w:rsidRPr="00206CF0">
        <w:rPr>
          <w:sz w:val="22"/>
          <w:szCs w:val="22"/>
          <w:lang w:val="sr-Latn-RS"/>
        </w:rPr>
        <w:t xml:space="preserve">odrasla </w:t>
      </w:r>
      <w:r w:rsidRPr="00206CF0">
        <w:rPr>
          <w:sz w:val="22"/>
          <w:szCs w:val="22"/>
          <w:lang w:val="sr-Latn-RS"/>
        </w:rPr>
        <w:t xml:space="preserve">pacijenata koji su primali lijek </w:t>
      </w:r>
      <w:r w:rsidR="00652A0B" w:rsidRPr="00206CF0">
        <w:rPr>
          <w:sz w:val="22"/>
          <w:szCs w:val="22"/>
          <w:lang w:val="sr-Latn-RS"/>
        </w:rPr>
        <w:t>metoksi</w:t>
      </w:r>
      <w:r w:rsidR="00A633A9" w:rsidRPr="00206CF0">
        <w:rPr>
          <w:sz w:val="22"/>
          <w:szCs w:val="22"/>
          <w:lang w:val="sr-Latn-RS"/>
        </w:rPr>
        <w:t xml:space="preserve"> </w:t>
      </w:r>
      <w:r w:rsidR="00652A0B" w:rsidRPr="00206CF0">
        <w:rPr>
          <w:sz w:val="22"/>
          <w:szCs w:val="22"/>
          <w:lang w:val="sr-Latn-RS"/>
        </w:rPr>
        <w:t>polietilenglikol-epoetin beta</w:t>
      </w:r>
      <w:r w:rsidRPr="00206CF0">
        <w:rPr>
          <w:sz w:val="22"/>
          <w:szCs w:val="22"/>
          <w:lang w:val="sr-Latn-RS"/>
        </w:rPr>
        <w:t xml:space="preserve"> i 1103 koji su primali neki drugi</w:t>
      </w:r>
      <w:r w:rsidRPr="00206CF0">
        <w:rPr>
          <w:color w:val="FF0000"/>
          <w:sz w:val="22"/>
          <w:szCs w:val="22"/>
          <w:lang w:val="sr-Latn-RS"/>
        </w:rPr>
        <w:t xml:space="preserve"> </w:t>
      </w:r>
      <w:r w:rsidRPr="00206CF0">
        <w:rPr>
          <w:sz w:val="22"/>
          <w:szCs w:val="22"/>
          <w:lang w:val="sr-Latn-RS"/>
        </w:rPr>
        <w:t xml:space="preserve">ASE. Očekuje se da približno 6% pacijenata koji primaju </w:t>
      </w:r>
      <w:r w:rsidR="00652A0B" w:rsidRPr="00206CF0">
        <w:rPr>
          <w:sz w:val="22"/>
          <w:szCs w:val="22"/>
          <w:lang w:val="sr-Latn-RS"/>
        </w:rPr>
        <w:t>metoksi</w:t>
      </w:r>
      <w:r w:rsidR="00A633A9" w:rsidRPr="00206CF0">
        <w:rPr>
          <w:sz w:val="22"/>
          <w:szCs w:val="22"/>
          <w:lang w:val="sr-Latn-RS"/>
        </w:rPr>
        <w:t xml:space="preserve"> </w:t>
      </w:r>
      <w:r w:rsidR="00652A0B" w:rsidRPr="00206CF0">
        <w:rPr>
          <w:sz w:val="22"/>
          <w:szCs w:val="22"/>
          <w:lang w:val="sr-Latn-RS"/>
        </w:rPr>
        <w:t>polietilenglikol-epoetin beta</w:t>
      </w:r>
      <w:r w:rsidRPr="00206CF0">
        <w:rPr>
          <w:sz w:val="22"/>
          <w:szCs w:val="22"/>
          <w:lang w:val="sr-Latn-RS"/>
        </w:rPr>
        <w:t>imaju neke neželjene reakcije. Najčešće zabilježena neželjena reakcija bila je hipertenzija (čest</w:t>
      </w:r>
      <w:r w:rsidR="00750FAE" w:rsidRPr="00206CF0">
        <w:rPr>
          <w:sz w:val="22"/>
          <w:szCs w:val="22"/>
          <w:lang w:val="sr-Latn-RS"/>
        </w:rPr>
        <w:t>o</w:t>
      </w:r>
      <w:r w:rsidRPr="00206CF0">
        <w:rPr>
          <w:sz w:val="22"/>
          <w:szCs w:val="22"/>
          <w:lang w:val="sr-Latn-RS"/>
        </w:rPr>
        <w:t>).</w:t>
      </w:r>
    </w:p>
    <w:p w:rsidR="00287577" w:rsidRPr="00206CF0" w:rsidRDefault="00287577" w:rsidP="00F55D06">
      <w:pPr>
        <w:tabs>
          <w:tab w:val="left" w:pos="540"/>
          <w:tab w:val="left" w:pos="569"/>
        </w:tabs>
        <w:jc w:val="both"/>
        <w:rPr>
          <w:b/>
          <w:bCs/>
          <w:sz w:val="22"/>
          <w:szCs w:val="22"/>
          <w:lang w:val="sr-Latn-RS"/>
        </w:rPr>
      </w:pPr>
    </w:p>
    <w:p w:rsidR="00287577" w:rsidRPr="00206CF0" w:rsidRDefault="00287577" w:rsidP="00F55D06">
      <w:pPr>
        <w:jc w:val="both"/>
        <w:rPr>
          <w:sz w:val="22"/>
          <w:szCs w:val="22"/>
          <w:u w:val="single"/>
          <w:lang w:val="sr-Latn-RS"/>
        </w:rPr>
      </w:pPr>
      <w:r w:rsidRPr="00206CF0">
        <w:rPr>
          <w:sz w:val="22"/>
          <w:szCs w:val="22"/>
          <w:u w:val="single"/>
          <w:lang w:val="sr-Latn-RS"/>
        </w:rPr>
        <w:t>(b) Tabelarni prikaz neželjenih reakcija</w:t>
      </w:r>
    </w:p>
    <w:p w:rsidR="00287577" w:rsidRPr="00206CF0" w:rsidRDefault="00287577" w:rsidP="00F55D06">
      <w:pPr>
        <w:jc w:val="both"/>
        <w:rPr>
          <w:sz w:val="22"/>
          <w:szCs w:val="22"/>
          <w:lang w:val="sr-Latn-RS"/>
        </w:rPr>
      </w:pPr>
      <w:r w:rsidRPr="00206CF0">
        <w:rPr>
          <w:sz w:val="22"/>
          <w:szCs w:val="22"/>
          <w:u w:val="single"/>
          <w:lang w:val="sr-Latn-RS"/>
        </w:rPr>
        <w:t xml:space="preserve">Neželjene reakcije u Tabeli </w:t>
      </w:r>
      <w:r w:rsidR="00652A0B" w:rsidRPr="00206CF0">
        <w:rPr>
          <w:sz w:val="22"/>
          <w:szCs w:val="22"/>
          <w:u w:val="single"/>
          <w:lang w:val="sr-Latn-RS"/>
        </w:rPr>
        <w:t xml:space="preserve">3 </w:t>
      </w:r>
      <w:r w:rsidRPr="00206CF0">
        <w:rPr>
          <w:sz w:val="22"/>
          <w:szCs w:val="22"/>
          <w:u w:val="single"/>
          <w:lang w:val="sr-Latn-RS"/>
        </w:rPr>
        <w:t xml:space="preserve">prikazane su u skladu sa MeDRA klasom sistema organa i učestalosti. </w:t>
      </w:r>
    </w:p>
    <w:p w:rsidR="00287577" w:rsidRPr="00206CF0" w:rsidRDefault="00287577" w:rsidP="00F55D06">
      <w:pPr>
        <w:jc w:val="both"/>
        <w:rPr>
          <w:sz w:val="22"/>
          <w:szCs w:val="22"/>
          <w:lang w:val="sr-Latn-RS"/>
        </w:rPr>
      </w:pPr>
      <w:r w:rsidRPr="00206CF0">
        <w:rPr>
          <w:sz w:val="22"/>
          <w:szCs w:val="22"/>
          <w:lang w:val="sr-Latn-RS"/>
        </w:rPr>
        <w:t>Učestalost se definiše na sljedeći način:</w:t>
      </w:r>
    </w:p>
    <w:p w:rsidR="00287577" w:rsidRPr="00206CF0" w:rsidRDefault="00287577" w:rsidP="00F55D06">
      <w:pPr>
        <w:jc w:val="both"/>
        <w:rPr>
          <w:sz w:val="22"/>
          <w:szCs w:val="22"/>
          <w:lang w:val="sr-Latn-RS"/>
        </w:rPr>
      </w:pPr>
      <w:r w:rsidRPr="00206CF0">
        <w:rPr>
          <w:sz w:val="22"/>
          <w:szCs w:val="22"/>
          <w:lang w:val="sr-Latn-RS"/>
        </w:rPr>
        <w:t>Vrlo čest</w:t>
      </w:r>
      <w:r w:rsidR="00750FAE" w:rsidRPr="00206CF0">
        <w:rPr>
          <w:sz w:val="22"/>
          <w:szCs w:val="22"/>
          <w:lang w:val="sr-Latn-RS"/>
        </w:rPr>
        <w:t>o</w:t>
      </w:r>
      <w:r w:rsidRPr="00206CF0">
        <w:rPr>
          <w:sz w:val="22"/>
          <w:szCs w:val="22"/>
          <w:lang w:val="sr-Latn-RS"/>
        </w:rPr>
        <w:t xml:space="preserve"> (≥1/10); česta (≥1/100 do &lt;1/10); povremen</w:t>
      </w:r>
      <w:r w:rsidR="00750FAE" w:rsidRPr="00206CF0">
        <w:rPr>
          <w:sz w:val="22"/>
          <w:szCs w:val="22"/>
          <w:lang w:val="sr-Latn-RS"/>
        </w:rPr>
        <w:t>o</w:t>
      </w:r>
      <w:r w:rsidR="00750FAE" w:rsidRPr="00206CF0" w:rsidDel="00750FAE">
        <w:rPr>
          <w:sz w:val="22"/>
          <w:szCs w:val="22"/>
          <w:lang w:val="sr-Latn-RS"/>
        </w:rPr>
        <w:t xml:space="preserve"> </w:t>
      </w:r>
      <w:r w:rsidRPr="00206CF0">
        <w:rPr>
          <w:sz w:val="22"/>
          <w:szCs w:val="22"/>
          <w:lang w:val="sr-Latn-RS"/>
        </w:rPr>
        <w:t>(≥1/1,000 do &lt;1/100); rijetk</w:t>
      </w:r>
      <w:r w:rsidR="00750FAE" w:rsidRPr="00206CF0">
        <w:rPr>
          <w:sz w:val="22"/>
          <w:szCs w:val="22"/>
          <w:lang w:val="sr-Latn-RS"/>
        </w:rPr>
        <w:t>o</w:t>
      </w:r>
      <w:r w:rsidRPr="00206CF0">
        <w:rPr>
          <w:sz w:val="22"/>
          <w:szCs w:val="22"/>
          <w:lang w:val="sr-Latn-RS"/>
        </w:rPr>
        <w:t xml:space="preserve"> (≥1/10,000 do &lt;1/1,000); vrlo rijetk</w:t>
      </w:r>
      <w:r w:rsidR="00750FAE" w:rsidRPr="00206CF0">
        <w:rPr>
          <w:sz w:val="22"/>
          <w:szCs w:val="22"/>
          <w:lang w:val="sr-Latn-RS"/>
        </w:rPr>
        <w:t>o</w:t>
      </w:r>
      <w:r w:rsidRPr="00206CF0">
        <w:rPr>
          <w:sz w:val="22"/>
          <w:szCs w:val="22"/>
          <w:lang w:val="sr-Latn-RS"/>
        </w:rPr>
        <w:t xml:space="preserve"> (&lt;1/10,000) ; </w:t>
      </w:r>
      <w:r w:rsidR="00750FAE" w:rsidRPr="00206CF0">
        <w:rPr>
          <w:sz w:val="22"/>
          <w:szCs w:val="22"/>
          <w:lang w:val="sr-Latn-RS"/>
        </w:rPr>
        <w:t xml:space="preserve">nepoznato </w:t>
      </w:r>
      <w:r w:rsidRPr="00206CF0">
        <w:rPr>
          <w:sz w:val="22"/>
          <w:szCs w:val="22"/>
          <w:lang w:val="sr-Latn-RS"/>
        </w:rPr>
        <w:t>(ne može biti procjenjena na osnovu dostupnih podataka).</w:t>
      </w:r>
    </w:p>
    <w:p w:rsidR="00287577" w:rsidRPr="00206CF0" w:rsidRDefault="00287577" w:rsidP="00F55D06">
      <w:pPr>
        <w:jc w:val="both"/>
        <w:rPr>
          <w:sz w:val="22"/>
          <w:szCs w:val="22"/>
          <w:lang w:val="sr-Latn-RS"/>
        </w:rPr>
      </w:pPr>
    </w:p>
    <w:p w:rsidR="00652A0B" w:rsidRPr="00206CF0" w:rsidRDefault="00287577" w:rsidP="00F55D06">
      <w:pPr>
        <w:ind w:left="1134" w:hanging="1134"/>
        <w:jc w:val="both"/>
        <w:rPr>
          <w:b/>
          <w:sz w:val="22"/>
          <w:szCs w:val="22"/>
          <w:lang w:val="sr-Latn-RS"/>
        </w:rPr>
      </w:pPr>
      <w:r w:rsidRPr="00206CF0">
        <w:rPr>
          <w:b/>
          <w:sz w:val="22"/>
          <w:szCs w:val="22"/>
          <w:lang w:val="sr-Latn-RS"/>
        </w:rPr>
        <w:t xml:space="preserve">Tabela </w:t>
      </w:r>
      <w:r w:rsidR="00652A0B" w:rsidRPr="00206CF0">
        <w:rPr>
          <w:b/>
          <w:sz w:val="22"/>
          <w:szCs w:val="22"/>
          <w:lang w:val="sr-Latn-RS"/>
        </w:rPr>
        <w:t>3</w:t>
      </w:r>
      <w:r w:rsidRPr="00206CF0">
        <w:rPr>
          <w:b/>
          <w:sz w:val="22"/>
          <w:szCs w:val="22"/>
          <w:lang w:val="sr-Latn-RS"/>
        </w:rPr>
        <w:t xml:space="preserve">: </w:t>
      </w:r>
      <w:r w:rsidRPr="00206CF0">
        <w:rPr>
          <w:b/>
          <w:sz w:val="22"/>
          <w:szCs w:val="22"/>
          <w:lang w:val="sr-Latn-RS"/>
        </w:rPr>
        <w:tab/>
        <w:t xml:space="preserve">Neželjene reakcije koje su pripisane terapiji </w:t>
      </w:r>
      <w:r w:rsidR="00652A0B" w:rsidRPr="00206CF0">
        <w:rPr>
          <w:b/>
          <w:sz w:val="22"/>
          <w:szCs w:val="22"/>
          <w:lang w:val="sr-Latn-RS"/>
        </w:rPr>
        <w:t>metoksi</w:t>
      </w:r>
      <w:r w:rsidR="00A633A9" w:rsidRPr="00206CF0">
        <w:rPr>
          <w:b/>
          <w:sz w:val="22"/>
          <w:szCs w:val="22"/>
          <w:lang w:val="sr-Latn-RS"/>
        </w:rPr>
        <w:t xml:space="preserve"> </w:t>
      </w:r>
      <w:r w:rsidR="00652A0B" w:rsidRPr="00206CF0">
        <w:rPr>
          <w:b/>
          <w:sz w:val="22"/>
          <w:szCs w:val="22"/>
          <w:lang w:val="sr-Latn-RS"/>
        </w:rPr>
        <w:t>polietilenglikol-epoetin beta</w:t>
      </w:r>
      <w:r w:rsidR="00750FAE" w:rsidRPr="00206CF0">
        <w:rPr>
          <w:b/>
          <w:sz w:val="22"/>
          <w:szCs w:val="22"/>
          <w:lang w:val="sr-Latn-RS"/>
        </w:rPr>
        <w:t xml:space="preserve"> </w:t>
      </w:r>
      <w:r w:rsidRPr="00206CF0">
        <w:rPr>
          <w:b/>
          <w:sz w:val="22"/>
          <w:szCs w:val="22"/>
          <w:lang w:val="sr-Latn-RS"/>
        </w:rPr>
        <w:t xml:space="preserve">kod </w:t>
      </w:r>
      <w:r w:rsidR="00652A0B" w:rsidRPr="00206CF0">
        <w:rPr>
          <w:b/>
          <w:sz w:val="22"/>
          <w:szCs w:val="22"/>
          <w:lang w:val="sr-Latn-RS"/>
        </w:rPr>
        <w:t xml:space="preserve">odraslih </w:t>
      </w:r>
      <w:r w:rsidRPr="00206CF0">
        <w:rPr>
          <w:b/>
          <w:sz w:val="22"/>
          <w:szCs w:val="22"/>
          <w:lang w:val="sr-Latn-RS"/>
        </w:rPr>
        <w:t xml:space="preserve">pacijenata hroničnim bolestima bubrega. </w:t>
      </w:r>
    </w:p>
    <w:p w:rsidR="00750FAE" w:rsidRPr="00206CF0" w:rsidRDefault="00750FAE" w:rsidP="00F55D06">
      <w:pPr>
        <w:ind w:left="1134" w:hanging="1134"/>
        <w:jc w:val="both"/>
        <w:rPr>
          <w:b/>
          <w:sz w:val="22"/>
          <w:szCs w:val="22"/>
          <w:lang w:val="sr-Latn-RS"/>
        </w:rPr>
      </w:pPr>
    </w:p>
    <w:p w:rsidR="00287577" w:rsidRPr="00206CF0" w:rsidRDefault="00287577" w:rsidP="00F55D06">
      <w:pPr>
        <w:ind w:left="1134" w:hanging="1134"/>
        <w:jc w:val="both"/>
        <w:rPr>
          <w:sz w:val="22"/>
          <w:szCs w:val="22"/>
          <w:lang w:val="sr-Latn-RS"/>
        </w:rPr>
      </w:pPr>
      <w:r w:rsidRPr="00206CF0">
        <w:rPr>
          <w:sz w:val="22"/>
          <w:szCs w:val="22"/>
          <w:lang w:val="sr-Latn-RS"/>
        </w:rPr>
        <w:t>Neželjena dejstva zabilježena samo nakon stavljanja lijeka u promet (*).</w:t>
      </w:r>
    </w:p>
    <w:p w:rsidR="00287577" w:rsidRPr="00206CF0" w:rsidRDefault="00287577" w:rsidP="00F55D06">
      <w:pPr>
        <w:widowControl w:val="0"/>
        <w:ind w:left="567" w:hanging="567"/>
        <w:jc w:val="both"/>
        <w:rPr>
          <w:sz w:val="22"/>
          <w:szCs w:val="22"/>
          <w:lang w:val="sr-Latn-R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015"/>
        <w:gridCol w:w="3796"/>
      </w:tblGrid>
      <w:tr w:rsidR="00287577" w:rsidRPr="00206CF0" w:rsidTr="00F55D06">
        <w:tc>
          <w:tcPr>
            <w:tcW w:w="3256" w:type="dxa"/>
            <w:shd w:val="clear" w:color="auto" w:fill="auto"/>
            <w:vAlign w:val="center"/>
          </w:tcPr>
          <w:p w:rsidR="00287577" w:rsidRPr="00206CF0" w:rsidRDefault="00287577" w:rsidP="00F55D06">
            <w:pPr>
              <w:jc w:val="both"/>
              <w:rPr>
                <w:b/>
                <w:bCs/>
                <w:sz w:val="22"/>
                <w:szCs w:val="22"/>
                <w:lang w:val="sr-Latn-RS"/>
              </w:rPr>
            </w:pPr>
            <w:r w:rsidRPr="00206CF0">
              <w:rPr>
                <w:b/>
                <w:sz w:val="22"/>
                <w:szCs w:val="22"/>
                <w:lang w:val="sr-Latn-RS"/>
              </w:rPr>
              <w:t>Klasa sistema organa</w:t>
            </w:r>
          </w:p>
        </w:tc>
        <w:tc>
          <w:tcPr>
            <w:tcW w:w="2015" w:type="dxa"/>
            <w:shd w:val="clear" w:color="auto" w:fill="auto"/>
            <w:vAlign w:val="center"/>
          </w:tcPr>
          <w:p w:rsidR="00287577" w:rsidRPr="00206CF0" w:rsidRDefault="00287577" w:rsidP="00F55D06">
            <w:pPr>
              <w:jc w:val="both"/>
              <w:rPr>
                <w:b/>
                <w:bCs/>
                <w:sz w:val="22"/>
                <w:szCs w:val="22"/>
                <w:lang w:val="sr-Latn-RS"/>
              </w:rPr>
            </w:pPr>
            <w:r w:rsidRPr="00206CF0">
              <w:rPr>
                <w:b/>
                <w:sz w:val="22"/>
                <w:szCs w:val="22"/>
                <w:lang w:val="sr-Latn-RS"/>
              </w:rPr>
              <w:t>Učestalost</w:t>
            </w:r>
          </w:p>
        </w:tc>
        <w:tc>
          <w:tcPr>
            <w:tcW w:w="3796" w:type="dxa"/>
            <w:shd w:val="clear" w:color="auto" w:fill="auto"/>
            <w:vAlign w:val="center"/>
          </w:tcPr>
          <w:p w:rsidR="00287577" w:rsidRPr="00206CF0" w:rsidRDefault="00287577" w:rsidP="00F55D06">
            <w:pPr>
              <w:jc w:val="both"/>
              <w:rPr>
                <w:b/>
                <w:bCs/>
                <w:sz w:val="22"/>
                <w:szCs w:val="22"/>
                <w:lang w:val="sr-Latn-RS"/>
              </w:rPr>
            </w:pPr>
            <w:r w:rsidRPr="00206CF0">
              <w:rPr>
                <w:b/>
                <w:sz w:val="22"/>
                <w:szCs w:val="22"/>
                <w:lang w:val="sr-Latn-RS"/>
              </w:rPr>
              <w:t>Neželjena dejstva</w:t>
            </w:r>
          </w:p>
        </w:tc>
      </w:tr>
      <w:tr w:rsidR="00287577" w:rsidRPr="00206CF0" w:rsidTr="00F55D06">
        <w:tc>
          <w:tcPr>
            <w:tcW w:w="3256" w:type="dxa"/>
            <w:vMerge w:val="restart"/>
            <w:shd w:val="clear" w:color="auto" w:fill="auto"/>
            <w:vAlign w:val="center"/>
          </w:tcPr>
          <w:p w:rsidR="00287577" w:rsidRPr="00206CF0" w:rsidRDefault="00287577" w:rsidP="00F55D06">
            <w:pPr>
              <w:jc w:val="both"/>
              <w:rPr>
                <w:bCs/>
                <w:sz w:val="22"/>
                <w:szCs w:val="22"/>
                <w:lang w:val="sr-Latn-RS"/>
              </w:rPr>
            </w:pPr>
            <w:r w:rsidRPr="00206CF0">
              <w:rPr>
                <w:sz w:val="22"/>
                <w:szCs w:val="22"/>
                <w:lang w:val="sr-Latn-RS"/>
              </w:rPr>
              <w:t>Poremećaji krvi i limfnog sistema</w:t>
            </w:r>
          </w:p>
        </w:tc>
        <w:tc>
          <w:tcPr>
            <w:tcW w:w="2015" w:type="dxa"/>
            <w:shd w:val="clear" w:color="auto" w:fill="auto"/>
            <w:vAlign w:val="center"/>
          </w:tcPr>
          <w:p w:rsidR="00287577" w:rsidRPr="00206CF0" w:rsidRDefault="00E13729" w:rsidP="00F55D06">
            <w:pPr>
              <w:jc w:val="both"/>
              <w:rPr>
                <w:bCs/>
                <w:sz w:val="22"/>
                <w:szCs w:val="22"/>
                <w:lang w:val="sr-Latn-RS"/>
              </w:rPr>
            </w:pPr>
            <w:r w:rsidRPr="00206CF0">
              <w:rPr>
                <w:bCs/>
                <w:sz w:val="22"/>
                <w:szCs w:val="22"/>
                <w:lang w:val="sr-Latn-RS"/>
              </w:rPr>
              <w:t>povremeno</w:t>
            </w:r>
          </w:p>
        </w:tc>
        <w:tc>
          <w:tcPr>
            <w:tcW w:w="3796" w:type="dxa"/>
            <w:shd w:val="clear" w:color="auto" w:fill="auto"/>
            <w:vAlign w:val="center"/>
          </w:tcPr>
          <w:p w:rsidR="00287577" w:rsidRPr="00206CF0" w:rsidRDefault="00287577" w:rsidP="00F55D06">
            <w:pPr>
              <w:jc w:val="both"/>
              <w:rPr>
                <w:bCs/>
                <w:sz w:val="22"/>
                <w:szCs w:val="22"/>
                <w:lang w:val="sr-Latn-RS"/>
              </w:rPr>
            </w:pPr>
            <w:r w:rsidRPr="00206CF0">
              <w:rPr>
                <w:bCs/>
                <w:sz w:val="22"/>
                <w:szCs w:val="22"/>
                <w:lang w:val="sr-Latn-RS"/>
              </w:rPr>
              <w:t>trombocitopenija*</w:t>
            </w:r>
          </w:p>
        </w:tc>
      </w:tr>
      <w:tr w:rsidR="00287577" w:rsidRPr="00206CF0" w:rsidTr="00F55D06">
        <w:tc>
          <w:tcPr>
            <w:tcW w:w="3256" w:type="dxa"/>
            <w:vMerge/>
            <w:shd w:val="clear" w:color="auto" w:fill="auto"/>
            <w:vAlign w:val="center"/>
          </w:tcPr>
          <w:p w:rsidR="00287577" w:rsidRPr="00206CF0" w:rsidRDefault="00287577" w:rsidP="00F55D06">
            <w:pPr>
              <w:jc w:val="both"/>
              <w:rPr>
                <w:bCs/>
                <w:sz w:val="22"/>
                <w:szCs w:val="22"/>
                <w:lang w:val="sr-Latn-RS"/>
              </w:rPr>
            </w:pPr>
          </w:p>
        </w:tc>
        <w:tc>
          <w:tcPr>
            <w:tcW w:w="2015" w:type="dxa"/>
            <w:shd w:val="clear" w:color="auto" w:fill="auto"/>
            <w:vAlign w:val="center"/>
          </w:tcPr>
          <w:p w:rsidR="00287577" w:rsidRPr="00206CF0" w:rsidRDefault="00287577" w:rsidP="00F55D06">
            <w:pPr>
              <w:jc w:val="both"/>
              <w:rPr>
                <w:bCs/>
                <w:sz w:val="22"/>
                <w:szCs w:val="22"/>
                <w:lang w:val="sr-Latn-RS"/>
              </w:rPr>
            </w:pPr>
            <w:r w:rsidRPr="00206CF0">
              <w:rPr>
                <w:bCs/>
                <w:sz w:val="22"/>
                <w:szCs w:val="22"/>
                <w:lang w:val="sr-Latn-RS"/>
              </w:rPr>
              <w:t>nepoznato</w:t>
            </w:r>
          </w:p>
        </w:tc>
        <w:tc>
          <w:tcPr>
            <w:tcW w:w="3796" w:type="dxa"/>
            <w:shd w:val="clear" w:color="auto" w:fill="auto"/>
            <w:vAlign w:val="center"/>
          </w:tcPr>
          <w:p w:rsidR="00287577" w:rsidRPr="00206CF0" w:rsidRDefault="00287577" w:rsidP="00F55D06">
            <w:pPr>
              <w:jc w:val="both"/>
              <w:rPr>
                <w:bCs/>
                <w:sz w:val="22"/>
                <w:szCs w:val="22"/>
                <w:lang w:val="sr-Latn-RS"/>
              </w:rPr>
            </w:pPr>
            <w:r w:rsidRPr="00206CF0">
              <w:rPr>
                <w:sz w:val="22"/>
                <w:szCs w:val="22"/>
                <w:lang w:val="sr-Latn-RS"/>
              </w:rPr>
              <w:t xml:space="preserve">aplazija crvene krvne loze </w:t>
            </w:r>
            <w:r w:rsidRPr="00206CF0">
              <w:rPr>
                <w:bCs/>
                <w:sz w:val="22"/>
                <w:szCs w:val="22"/>
                <w:lang w:val="sr-Latn-RS"/>
              </w:rPr>
              <w:t>*</w:t>
            </w:r>
          </w:p>
        </w:tc>
      </w:tr>
      <w:tr w:rsidR="00287577" w:rsidRPr="00206CF0" w:rsidTr="00F55D06">
        <w:tc>
          <w:tcPr>
            <w:tcW w:w="3256" w:type="dxa"/>
            <w:vMerge w:val="restart"/>
            <w:shd w:val="clear" w:color="auto" w:fill="auto"/>
            <w:vAlign w:val="center"/>
          </w:tcPr>
          <w:p w:rsidR="00287577" w:rsidRPr="00206CF0" w:rsidRDefault="00287577" w:rsidP="00F55D06">
            <w:pPr>
              <w:jc w:val="both"/>
              <w:rPr>
                <w:bCs/>
                <w:sz w:val="22"/>
                <w:szCs w:val="22"/>
                <w:lang w:val="sr-Latn-RS"/>
              </w:rPr>
            </w:pPr>
            <w:r w:rsidRPr="00206CF0">
              <w:rPr>
                <w:sz w:val="22"/>
                <w:szCs w:val="22"/>
                <w:lang w:val="sr-Latn-RS"/>
              </w:rPr>
              <w:t>Poremećaji imunološkog sistema</w:t>
            </w:r>
          </w:p>
        </w:tc>
        <w:tc>
          <w:tcPr>
            <w:tcW w:w="2015" w:type="dxa"/>
            <w:shd w:val="clear" w:color="auto" w:fill="auto"/>
            <w:vAlign w:val="center"/>
          </w:tcPr>
          <w:p w:rsidR="00287577" w:rsidRPr="00206CF0" w:rsidRDefault="00287577" w:rsidP="00F55D06">
            <w:pPr>
              <w:jc w:val="both"/>
              <w:rPr>
                <w:bCs/>
                <w:sz w:val="22"/>
                <w:szCs w:val="22"/>
                <w:lang w:val="sr-Latn-RS"/>
              </w:rPr>
            </w:pPr>
            <w:r w:rsidRPr="00206CF0">
              <w:rPr>
                <w:bCs/>
                <w:sz w:val="22"/>
                <w:szCs w:val="22"/>
                <w:lang w:val="sr-Latn-RS"/>
              </w:rPr>
              <w:t>rijetko</w:t>
            </w:r>
          </w:p>
        </w:tc>
        <w:tc>
          <w:tcPr>
            <w:tcW w:w="3796" w:type="dxa"/>
            <w:shd w:val="clear" w:color="auto" w:fill="auto"/>
            <w:vAlign w:val="center"/>
          </w:tcPr>
          <w:p w:rsidR="00287577" w:rsidRPr="00206CF0" w:rsidRDefault="00287577" w:rsidP="00F55D06">
            <w:pPr>
              <w:jc w:val="both"/>
              <w:rPr>
                <w:bCs/>
                <w:sz w:val="22"/>
                <w:szCs w:val="22"/>
                <w:lang w:val="sr-Latn-RS"/>
              </w:rPr>
            </w:pPr>
            <w:r w:rsidRPr="00206CF0">
              <w:rPr>
                <w:bCs/>
                <w:sz w:val="22"/>
                <w:szCs w:val="22"/>
                <w:lang w:val="sr-Latn-RS"/>
              </w:rPr>
              <w:t>preosjetljivost</w:t>
            </w:r>
          </w:p>
        </w:tc>
      </w:tr>
      <w:tr w:rsidR="00287577" w:rsidRPr="00206CF0" w:rsidTr="00F55D06">
        <w:tc>
          <w:tcPr>
            <w:tcW w:w="3256" w:type="dxa"/>
            <w:vMerge/>
            <w:shd w:val="clear" w:color="auto" w:fill="auto"/>
            <w:vAlign w:val="center"/>
          </w:tcPr>
          <w:p w:rsidR="00287577" w:rsidRPr="00206CF0" w:rsidRDefault="00287577" w:rsidP="00F55D06">
            <w:pPr>
              <w:jc w:val="both"/>
              <w:rPr>
                <w:bCs/>
                <w:sz w:val="22"/>
                <w:szCs w:val="22"/>
                <w:lang w:val="sr-Latn-RS"/>
              </w:rPr>
            </w:pPr>
          </w:p>
        </w:tc>
        <w:tc>
          <w:tcPr>
            <w:tcW w:w="2015" w:type="dxa"/>
            <w:shd w:val="clear" w:color="auto" w:fill="auto"/>
            <w:vAlign w:val="center"/>
          </w:tcPr>
          <w:p w:rsidR="00287577" w:rsidRPr="00206CF0" w:rsidRDefault="00287577" w:rsidP="00F55D06">
            <w:pPr>
              <w:jc w:val="both"/>
              <w:rPr>
                <w:bCs/>
                <w:sz w:val="22"/>
                <w:szCs w:val="22"/>
                <w:lang w:val="sr-Latn-RS"/>
              </w:rPr>
            </w:pPr>
            <w:r w:rsidRPr="00206CF0">
              <w:rPr>
                <w:bCs/>
                <w:sz w:val="22"/>
                <w:szCs w:val="22"/>
                <w:lang w:val="sr-Latn-RS"/>
              </w:rPr>
              <w:t>nepoznato</w:t>
            </w:r>
          </w:p>
        </w:tc>
        <w:tc>
          <w:tcPr>
            <w:tcW w:w="3796" w:type="dxa"/>
            <w:shd w:val="clear" w:color="auto" w:fill="auto"/>
            <w:vAlign w:val="center"/>
          </w:tcPr>
          <w:p w:rsidR="00287577" w:rsidRPr="00206CF0" w:rsidRDefault="00287577" w:rsidP="00F55D06">
            <w:pPr>
              <w:jc w:val="both"/>
              <w:rPr>
                <w:bCs/>
                <w:sz w:val="22"/>
                <w:szCs w:val="22"/>
                <w:lang w:val="sr-Latn-RS"/>
              </w:rPr>
            </w:pPr>
            <w:r w:rsidRPr="00206CF0">
              <w:rPr>
                <w:bCs/>
                <w:sz w:val="22"/>
                <w:szCs w:val="22"/>
                <w:lang w:val="sr-Latn-RS"/>
              </w:rPr>
              <w:t>anafilaktička reakcija*</w:t>
            </w:r>
          </w:p>
        </w:tc>
      </w:tr>
      <w:tr w:rsidR="00287577" w:rsidRPr="00206CF0" w:rsidTr="00F55D06">
        <w:tc>
          <w:tcPr>
            <w:tcW w:w="3256" w:type="dxa"/>
            <w:vMerge w:val="restart"/>
            <w:shd w:val="clear" w:color="auto" w:fill="auto"/>
            <w:vAlign w:val="center"/>
          </w:tcPr>
          <w:p w:rsidR="00287577" w:rsidRPr="00206CF0" w:rsidRDefault="00287577" w:rsidP="00F55D06">
            <w:pPr>
              <w:jc w:val="both"/>
              <w:rPr>
                <w:bCs/>
                <w:sz w:val="22"/>
                <w:szCs w:val="22"/>
                <w:lang w:val="sr-Latn-RS"/>
              </w:rPr>
            </w:pPr>
            <w:r w:rsidRPr="00206CF0">
              <w:rPr>
                <w:sz w:val="22"/>
                <w:szCs w:val="22"/>
                <w:lang w:val="sr-Latn-RS"/>
              </w:rPr>
              <w:t>Poremećaji nervnog sistema</w:t>
            </w:r>
          </w:p>
        </w:tc>
        <w:tc>
          <w:tcPr>
            <w:tcW w:w="2015" w:type="dxa"/>
            <w:shd w:val="clear" w:color="auto" w:fill="auto"/>
            <w:vAlign w:val="center"/>
          </w:tcPr>
          <w:p w:rsidR="00287577" w:rsidRPr="00206CF0" w:rsidRDefault="00287577" w:rsidP="00F55D06">
            <w:pPr>
              <w:jc w:val="both"/>
              <w:rPr>
                <w:bCs/>
                <w:sz w:val="22"/>
                <w:szCs w:val="22"/>
                <w:lang w:val="sr-Latn-RS"/>
              </w:rPr>
            </w:pPr>
            <w:r w:rsidRPr="00206CF0">
              <w:rPr>
                <w:bCs/>
                <w:sz w:val="22"/>
                <w:szCs w:val="22"/>
                <w:lang w:val="sr-Latn-RS"/>
              </w:rPr>
              <w:t>manje često</w:t>
            </w:r>
          </w:p>
        </w:tc>
        <w:tc>
          <w:tcPr>
            <w:tcW w:w="3796" w:type="dxa"/>
            <w:shd w:val="clear" w:color="auto" w:fill="auto"/>
            <w:vAlign w:val="center"/>
          </w:tcPr>
          <w:p w:rsidR="00287577" w:rsidRPr="00206CF0" w:rsidRDefault="00287577" w:rsidP="00F55D06">
            <w:pPr>
              <w:jc w:val="both"/>
              <w:rPr>
                <w:bCs/>
                <w:sz w:val="22"/>
                <w:szCs w:val="22"/>
                <w:lang w:val="sr-Latn-RS"/>
              </w:rPr>
            </w:pPr>
            <w:r w:rsidRPr="00206CF0">
              <w:rPr>
                <w:bCs/>
                <w:sz w:val="22"/>
                <w:szCs w:val="22"/>
                <w:lang w:val="sr-Latn-RS"/>
              </w:rPr>
              <w:t>glavobolja</w:t>
            </w:r>
          </w:p>
        </w:tc>
      </w:tr>
      <w:tr w:rsidR="00287577" w:rsidRPr="00206CF0" w:rsidTr="00F55D06">
        <w:tc>
          <w:tcPr>
            <w:tcW w:w="3256" w:type="dxa"/>
            <w:vMerge/>
            <w:shd w:val="clear" w:color="auto" w:fill="auto"/>
            <w:vAlign w:val="center"/>
          </w:tcPr>
          <w:p w:rsidR="00287577" w:rsidRPr="00206CF0" w:rsidRDefault="00287577" w:rsidP="00F55D06">
            <w:pPr>
              <w:jc w:val="both"/>
              <w:rPr>
                <w:bCs/>
                <w:sz w:val="22"/>
                <w:szCs w:val="22"/>
                <w:lang w:val="sr-Latn-RS"/>
              </w:rPr>
            </w:pPr>
          </w:p>
        </w:tc>
        <w:tc>
          <w:tcPr>
            <w:tcW w:w="2015" w:type="dxa"/>
            <w:shd w:val="clear" w:color="auto" w:fill="auto"/>
            <w:vAlign w:val="center"/>
          </w:tcPr>
          <w:p w:rsidR="00287577" w:rsidRPr="00206CF0" w:rsidRDefault="00287577" w:rsidP="00F55D06">
            <w:pPr>
              <w:jc w:val="both"/>
              <w:rPr>
                <w:bCs/>
                <w:sz w:val="22"/>
                <w:szCs w:val="22"/>
                <w:lang w:val="sr-Latn-RS"/>
              </w:rPr>
            </w:pPr>
            <w:r w:rsidRPr="00206CF0">
              <w:rPr>
                <w:bCs/>
                <w:sz w:val="22"/>
                <w:szCs w:val="22"/>
                <w:lang w:val="sr-Latn-RS"/>
              </w:rPr>
              <w:t>rijetko</w:t>
            </w:r>
          </w:p>
        </w:tc>
        <w:tc>
          <w:tcPr>
            <w:tcW w:w="3796" w:type="dxa"/>
            <w:shd w:val="clear" w:color="auto" w:fill="auto"/>
            <w:vAlign w:val="center"/>
          </w:tcPr>
          <w:p w:rsidR="00287577" w:rsidRPr="00206CF0" w:rsidRDefault="00287577" w:rsidP="00F55D06">
            <w:pPr>
              <w:jc w:val="both"/>
              <w:rPr>
                <w:bCs/>
                <w:sz w:val="22"/>
                <w:szCs w:val="22"/>
                <w:lang w:val="sr-Latn-RS"/>
              </w:rPr>
            </w:pPr>
            <w:r w:rsidRPr="00206CF0">
              <w:rPr>
                <w:sz w:val="22"/>
                <w:szCs w:val="22"/>
                <w:lang w:val="sr-Latn-RS"/>
              </w:rPr>
              <w:t>hipertenzivna encefalopatija</w:t>
            </w:r>
          </w:p>
        </w:tc>
      </w:tr>
      <w:tr w:rsidR="00E13729" w:rsidRPr="00206CF0" w:rsidTr="00F55D06">
        <w:tc>
          <w:tcPr>
            <w:tcW w:w="3256" w:type="dxa"/>
            <w:vMerge w:val="restart"/>
            <w:shd w:val="clear" w:color="auto" w:fill="auto"/>
            <w:vAlign w:val="center"/>
          </w:tcPr>
          <w:p w:rsidR="00E13729" w:rsidRPr="00206CF0" w:rsidRDefault="00E13729" w:rsidP="00F55D06">
            <w:pPr>
              <w:jc w:val="both"/>
              <w:rPr>
                <w:bCs/>
                <w:sz w:val="22"/>
                <w:szCs w:val="22"/>
                <w:lang w:val="sr-Latn-RS"/>
              </w:rPr>
            </w:pPr>
            <w:r w:rsidRPr="00206CF0">
              <w:rPr>
                <w:sz w:val="22"/>
                <w:szCs w:val="22"/>
                <w:lang w:val="sr-Latn-RS"/>
              </w:rPr>
              <w:lastRenderedPageBreak/>
              <w:t>Vaskularni poremećaji</w:t>
            </w:r>
          </w:p>
        </w:tc>
        <w:tc>
          <w:tcPr>
            <w:tcW w:w="2015" w:type="dxa"/>
            <w:shd w:val="clear" w:color="auto" w:fill="auto"/>
            <w:vAlign w:val="center"/>
          </w:tcPr>
          <w:p w:rsidR="00E13729" w:rsidRPr="00206CF0" w:rsidRDefault="00E13729" w:rsidP="00F55D06">
            <w:pPr>
              <w:jc w:val="both"/>
              <w:rPr>
                <w:bCs/>
                <w:sz w:val="22"/>
                <w:szCs w:val="22"/>
                <w:lang w:val="sr-Latn-RS"/>
              </w:rPr>
            </w:pPr>
            <w:r w:rsidRPr="00206CF0">
              <w:rPr>
                <w:bCs/>
                <w:sz w:val="22"/>
                <w:szCs w:val="22"/>
                <w:lang w:val="sr-Latn-RS"/>
              </w:rPr>
              <w:t>često</w:t>
            </w:r>
          </w:p>
        </w:tc>
        <w:tc>
          <w:tcPr>
            <w:tcW w:w="3796" w:type="dxa"/>
            <w:shd w:val="clear" w:color="auto" w:fill="auto"/>
            <w:vAlign w:val="center"/>
          </w:tcPr>
          <w:p w:rsidR="00E13729" w:rsidRPr="00206CF0" w:rsidRDefault="00E13729" w:rsidP="00F55D06">
            <w:pPr>
              <w:jc w:val="both"/>
              <w:rPr>
                <w:bCs/>
                <w:sz w:val="22"/>
                <w:szCs w:val="22"/>
                <w:lang w:val="sr-Latn-RS"/>
              </w:rPr>
            </w:pPr>
            <w:r w:rsidRPr="00206CF0">
              <w:rPr>
                <w:sz w:val="22"/>
                <w:szCs w:val="22"/>
                <w:lang w:val="sr-Latn-RS"/>
              </w:rPr>
              <w:t>hipertenzija</w:t>
            </w:r>
          </w:p>
        </w:tc>
      </w:tr>
      <w:tr w:rsidR="00E13729" w:rsidRPr="00206CF0" w:rsidTr="00F55D06">
        <w:tc>
          <w:tcPr>
            <w:tcW w:w="3256" w:type="dxa"/>
            <w:vMerge/>
            <w:shd w:val="clear" w:color="auto" w:fill="auto"/>
            <w:vAlign w:val="center"/>
          </w:tcPr>
          <w:p w:rsidR="00E13729" w:rsidRPr="00206CF0" w:rsidRDefault="00E13729" w:rsidP="00F55D06">
            <w:pPr>
              <w:jc w:val="both"/>
              <w:rPr>
                <w:bCs/>
                <w:sz w:val="22"/>
                <w:szCs w:val="22"/>
                <w:lang w:val="sr-Latn-RS"/>
              </w:rPr>
            </w:pPr>
          </w:p>
        </w:tc>
        <w:tc>
          <w:tcPr>
            <w:tcW w:w="2015" w:type="dxa"/>
            <w:shd w:val="clear" w:color="auto" w:fill="auto"/>
            <w:vAlign w:val="center"/>
          </w:tcPr>
          <w:p w:rsidR="00E13729" w:rsidRPr="00206CF0" w:rsidRDefault="00F60970" w:rsidP="00F55D06">
            <w:pPr>
              <w:jc w:val="both"/>
              <w:rPr>
                <w:bCs/>
                <w:sz w:val="22"/>
                <w:szCs w:val="22"/>
                <w:lang w:val="sr-Latn-RS"/>
              </w:rPr>
            </w:pPr>
            <w:r w:rsidRPr="00206CF0">
              <w:rPr>
                <w:bCs/>
                <w:sz w:val="22"/>
                <w:szCs w:val="22"/>
                <w:lang w:val="sr-Latn-RS"/>
              </w:rPr>
              <w:t>povremeno</w:t>
            </w:r>
          </w:p>
        </w:tc>
        <w:tc>
          <w:tcPr>
            <w:tcW w:w="3796" w:type="dxa"/>
            <w:shd w:val="clear" w:color="auto" w:fill="auto"/>
            <w:vAlign w:val="center"/>
          </w:tcPr>
          <w:p w:rsidR="00E13729" w:rsidRPr="00206CF0" w:rsidRDefault="00F60970" w:rsidP="00F55D06">
            <w:pPr>
              <w:jc w:val="both"/>
              <w:rPr>
                <w:bCs/>
                <w:sz w:val="22"/>
                <w:szCs w:val="22"/>
                <w:lang w:val="sr-Latn-RS"/>
              </w:rPr>
            </w:pPr>
            <w:r w:rsidRPr="00206CF0">
              <w:rPr>
                <w:bCs/>
                <w:sz w:val="22"/>
                <w:szCs w:val="22"/>
                <w:lang w:val="sr-Latn-RS"/>
              </w:rPr>
              <w:t>tromboza*</w:t>
            </w:r>
          </w:p>
        </w:tc>
      </w:tr>
      <w:tr w:rsidR="00E13729" w:rsidRPr="00206CF0" w:rsidTr="00F55D06">
        <w:tc>
          <w:tcPr>
            <w:tcW w:w="3256" w:type="dxa"/>
            <w:vMerge/>
            <w:shd w:val="clear" w:color="auto" w:fill="auto"/>
            <w:vAlign w:val="center"/>
          </w:tcPr>
          <w:p w:rsidR="00E13729" w:rsidRPr="00206CF0" w:rsidRDefault="00E13729" w:rsidP="00F55D06">
            <w:pPr>
              <w:jc w:val="both"/>
              <w:rPr>
                <w:bCs/>
                <w:sz w:val="22"/>
                <w:szCs w:val="22"/>
                <w:lang w:val="sr-Latn-RS"/>
              </w:rPr>
            </w:pPr>
          </w:p>
        </w:tc>
        <w:tc>
          <w:tcPr>
            <w:tcW w:w="2015" w:type="dxa"/>
            <w:shd w:val="clear" w:color="auto" w:fill="auto"/>
            <w:vAlign w:val="center"/>
          </w:tcPr>
          <w:p w:rsidR="00E13729" w:rsidRPr="00206CF0" w:rsidRDefault="00F60970" w:rsidP="00F55D06">
            <w:pPr>
              <w:jc w:val="both"/>
              <w:rPr>
                <w:bCs/>
                <w:sz w:val="22"/>
                <w:szCs w:val="22"/>
                <w:lang w:val="sr-Latn-RS"/>
              </w:rPr>
            </w:pPr>
            <w:r w:rsidRPr="00206CF0">
              <w:rPr>
                <w:bCs/>
                <w:sz w:val="22"/>
                <w:szCs w:val="22"/>
                <w:lang w:val="sr-Latn-RS"/>
              </w:rPr>
              <w:t>rijetko</w:t>
            </w:r>
          </w:p>
        </w:tc>
        <w:tc>
          <w:tcPr>
            <w:tcW w:w="3796" w:type="dxa"/>
            <w:shd w:val="clear" w:color="auto" w:fill="auto"/>
            <w:vAlign w:val="center"/>
          </w:tcPr>
          <w:p w:rsidR="00E13729" w:rsidRPr="00206CF0" w:rsidRDefault="00F60970" w:rsidP="00F55D06">
            <w:pPr>
              <w:jc w:val="both"/>
              <w:rPr>
                <w:bCs/>
                <w:sz w:val="22"/>
                <w:szCs w:val="22"/>
                <w:lang w:val="sr-Latn-RS"/>
              </w:rPr>
            </w:pPr>
            <w:r w:rsidRPr="00206CF0">
              <w:rPr>
                <w:bCs/>
                <w:sz w:val="22"/>
                <w:szCs w:val="22"/>
                <w:lang w:val="sr-Latn-RS"/>
              </w:rPr>
              <w:t>navale toplote</w:t>
            </w:r>
          </w:p>
        </w:tc>
      </w:tr>
      <w:tr w:rsidR="00E13729" w:rsidRPr="00206CF0" w:rsidTr="00F55D06">
        <w:tc>
          <w:tcPr>
            <w:tcW w:w="3256" w:type="dxa"/>
            <w:vMerge/>
            <w:shd w:val="clear" w:color="auto" w:fill="auto"/>
            <w:vAlign w:val="center"/>
          </w:tcPr>
          <w:p w:rsidR="00E13729" w:rsidRPr="00206CF0" w:rsidRDefault="00E13729" w:rsidP="00F55D06">
            <w:pPr>
              <w:jc w:val="both"/>
              <w:rPr>
                <w:bCs/>
                <w:sz w:val="22"/>
                <w:szCs w:val="22"/>
                <w:lang w:val="sr-Latn-RS"/>
              </w:rPr>
            </w:pPr>
          </w:p>
        </w:tc>
        <w:tc>
          <w:tcPr>
            <w:tcW w:w="2015" w:type="dxa"/>
            <w:shd w:val="clear" w:color="auto" w:fill="auto"/>
            <w:vAlign w:val="center"/>
          </w:tcPr>
          <w:p w:rsidR="00E13729" w:rsidRPr="00206CF0" w:rsidDel="00E13729" w:rsidRDefault="00E13729" w:rsidP="00F55D06">
            <w:pPr>
              <w:jc w:val="both"/>
              <w:rPr>
                <w:bCs/>
                <w:sz w:val="22"/>
                <w:szCs w:val="22"/>
                <w:lang w:val="sr-Latn-RS"/>
              </w:rPr>
            </w:pPr>
            <w:r w:rsidRPr="00206CF0">
              <w:rPr>
                <w:bCs/>
                <w:sz w:val="22"/>
                <w:szCs w:val="22"/>
                <w:lang w:val="sr-Latn-RS"/>
              </w:rPr>
              <w:t>rijetko</w:t>
            </w:r>
          </w:p>
        </w:tc>
        <w:tc>
          <w:tcPr>
            <w:tcW w:w="3796" w:type="dxa"/>
            <w:shd w:val="clear" w:color="auto" w:fill="auto"/>
            <w:vAlign w:val="center"/>
          </w:tcPr>
          <w:p w:rsidR="00E13729" w:rsidRPr="00206CF0" w:rsidRDefault="00E13729" w:rsidP="00F55D06">
            <w:pPr>
              <w:jc w:val="both"/>
              <w:rPr>
                <w:bCs/>
                <w:sz w:val="22"/>
                <w:szCs w:val="22"/>
                <w:lang w:val="sr-Latn-RS"/>
              </w:rPr>
            </w:pPr>
            <w:r w:rsidRPr="00206CF0">
              <w:rPr>
                <w:bCs/>
                <w:sz w:val="22"/>
                <w:szCs w:val="22"/>
                <w:lang w:val="sr-Latn-RS" w:eastAsia="zh-CN"/>
              </w:rPr>
              <w:t>plućna embolija</w:t>
            </w:r>
            <w:r w:rsidRPr="00206CF0">
              <w:rPr>
                <w:bCs/>
                <w:sz w:val="22"/>
                <w:szCs w:val="22"/>
                <w:lang w:val="sr-Latn-RS"/>
              </w:rPr>
              <w:t>*</w:t>
            </w:r>
          </w:p>
        </w:tc>
      </w:tr>
      <w:tr w:rsidR="00287577" w:rsidRPr="00206CF0" w:rsidTr="00F55D06">
        <w:tc>
          <w:tcPr>
            <w:tcW w:w="3256" w:type="dxa"/>
            <w:vMerge w:val="restart"/>
            <w:shd w:val="clear" w:color="auto" w:fill="auto"/>
            <w:vAlign w:val="center"/>
          </w:tcPr>
          <w:p w:rsidR="00287577" w:rsidRPr="00206CF0" w:rsidRDefault="00287577" w:rsidP="00F55D06">
            <w:pPr>
              <w:jc w:val="both"/>
              <w:rPr>
                <w:bCs/>
                <w:sz w:val="22"/>
                <w:szCs w:val="22"/>
                <w:lang w:val="sr-Latn-RS"/>
              </w:rPr>
            </w:pPr>
            <w:r w:rsidRPr="00206CF0">
              <w:rPr>
                <w:sz w:val="22"/>
                <w:szCs w:val="22"/>
                <w:lang w:val="sr-Latn-RS"/>
              </w:rPr>
              <w:t>Poremećaji kože i potkožnog tkiva</w:t>
            </w:r>
          </w:p>
        </w:tc>
        <w:tc>
          <w:tcPr>
            <w:tcW w:w="2015" w:type="dxa"/>
            <w:shd w:val="clear" w:color="auto" w:fill="auto"/>
            <w:vAlign w:val="center"/>
          </w:tcPr>
          <w:p w:rsidR="00287577" w:rsidRPr="00206CF0" w:rsidRDefault="00287577" w:rsidP="00F55D06">
            <w:pPr>
              <w:jc w:val="both"/>
              <w:rPr>
                <w:bCs/>
                <w:sz w:val="22"/>
                <w:szCs w:val="22"/>
                <w:lang w:val="sr-Latn-RS"/>
              </w:rPr>
            </w:pPr>
            <w:r w:rsidRPr="00206CF0">
              <w:rPr>
                <w:bCs/>
                <w:sz w:val="22"/>
                <w:szCs w:val="22"/>
                <w:lang w:val="sr-Latn-RS"/>
              </w:rPr>
              <w:t>rijetko</w:t>
            </w:r>
          </w:p>
        </w:tc>
        <w:tc>
          <w:tcPr>
            <w:tcW w:w="3796" w:type="dxa"/>
            <w:shd w:val="clear" w:color="auto" w:fill="auto"/>
            <w:vAlign w:val="center"/>
          </w:tcPr>
          <w:p w:rsidR="00287577" w:rsidRPr="00206CF0" w:rsidRDefault="00287577" w:rsidP="00F55D06">
            <w:pPr>
              <w:jc w:val="both"/>
              <w:rPr>
                <w:bCs/>
                <w:sz w:val="22"/>
                <w:szCs w:val="22"/>
                <w:lang w:val="sr-Latn-RS"/>
              </w:rPr>
            </w:pPr>
            <w:r w:rsidRPr="00206CF0">
              <w:rPr>
                <w:sz w:val="22"/>
                <w:szCs w:val="22"/>
                <w:lang w:val="sr-Latn-RS"/>
              </w:rPr>
              <w:t>makulo-papularni osip</w:t>
            </w:r>
          </w:p>
        </w:tc>
      </w:tr>
      <w:tr w:rsidR="00287577" w:rsidRPr="00206CF0" w:rsidTr="00F55D06">
        <w:tc>
          <w:tcPr>
            <w:tcW w:w="3256" w:type="dxa"/>
            <w:vMerge/>
            <w:shd w:val="clear" w:color="auto" w:fill="auto"/>
            <w:vAlign w:val="center"/>
          </w:tcPr>
          <w:p w:rsidR="00287577" w:rsidRPr="00206CF0" w:rsidRDefault="00287577" w:rsidP="00F55D06">
            <w:pPr>
              <w:jc w:val="both"/>
              <w:rPr>
                <w:bCs/>
                <w:sz w:val="22"/>
                <w:szCs w:val="22"/>
                <w:lang w:val="sr-Latn-RS"/>
              </w:rPr>
            </w:pPr>
          </w:p>
        </w:tc>
        <w:tc>
          <w:tcPr>
            <w:tcW w:w="2015" w:type="dxa"/>
            <w:shd w:val="clear" w:color="auto" w:fill="auto"/>
            <w:vAlign w:val="center"/>
          </w:tcPr>
          <w:p w:rsidR="00287577" w:rsidRPr="00206CF0" w:rsidRDefault="00287577" w:rsidP="00F55D06">
            <w:pPr>
              <w:jc w:val="both"/>
              <w:rPr>
                <w:bCs/>
                <w:sz w:val="22"/>
                <w:szCs w:val="22"/>
                <w:lang w:val="sr-Latn-RS"/>
              </w:rPr>
            </w:pPr>
            <w:r w:rsidRPr="00206CF0">
              <w:rPr>
                <w:bCs/>
                <w:sz w:val="22"/>
                <w:szCs w:val="22"/>
                <w:lang w:val="sr-Latn-RS"/>
              </w:rPr>
              <w:t>nepoznato</w:t>
            </w:r>
          </w:p>
        </w:tc>
        <w:tc>
          <w:tcPr>
            <w:tcW w:w="3796" w:type="dxa"/>
            <w:shd w:val="clear" w:color="auto" w:fill="auto"/>
            <w:vAlign w:val="center"/>
          </w:tcPr>
          <w:p w:rsidR="00287577" w:rsidRPr="00206CF0" w:rsidRDefault="00287577" w:rsidP="00F55D06">
            <w:pPr>
              <w:jc w:val="both"/>
              <w:rPr>
                <w:bCs/>
                <w:sz w:val="22"/>
                <w:szCs w:val="22"/>
                <w:lang w:val="sr-Latn-RS"/>
              </w:rPr>
            </w:pPr>
            <w:r w:rsidRPr="00206CF0">
              <w:rPr>
                <w:bCs/>
                <w:sz w:val="22"/>
                <w:szCs w:val="22"/>
                <w:lang w:val="sr-Latn-RS"/>
              </w:rPr>
              <w:t>Stevens Johnsonov sindrom/toksična epidermalna nekroliza *</w:t>
            </w:r>
          </w:p>
        </w:tc>
      </w:tr>
      <w:tr w:rsidR="00287577" w:rsidRPr="00206CF0" w:rsidTr="00F55D06">
        <w:tc>
          <w:tcPr>
            <w:tcW w:w="3256" w:type="dxa"/>
            <w:shd w:val="clear" w:color="auto" w:fill="auto"/>
            <w:vAlign w:val="center"/>
          </w:tcPr>
          <w:p w:rsidR="00287577" w:rsidRPr="00206CF0" w:rsidRDefault="00287577" w:rsidP="00F55D06">
            <w:pPr>
              <w:jc w:val="both"/>
              <w:rPr>
                <w:bCs/>
                <w:sz w:val="22"/>
                <w:szCs w:val="22"/>
                <w:lang w:val="sr-Latn-RS"/>
              </w:rPr>
            </w:pPr>
            <w:r w:rsidRPr="00206CF0">
              <w:rPr>
                <w:sz w:val="22"/>
                <w:szCs w:val="22"/>
                <w:lang w:val="sr-Latn-RS"/>
              </w:rPr>
              <w:t>Povrede, trovanja i komplikacije u toku medicinskih intervencija</w:t>
            </w:r>
          </w:p>
        </w:tc>
        <w:tc>
          <w:tcPr>
            <w:tcW w:w="2015" w:type="dxa"/>
            <w:shd w:val="clear" w:color="auto" w:fill="auto"/>
            <w:vAlign w:val="center"/>
          </w:tcPr>
          <w:p w:rsidR="00287577" w:rsidRPr="00206CF0" w:rsidRDefault="00287577" w:rsidP="00F55D06">
            <w:pPr>
              <w:jc w:val="both"/>
              <w:rPr>
                <w:bCs/>
                <w:sz w:val="22"/>
                <w:szCs w:val="22"/>
                <w:lang w:val="sr-Latn-RS"/>
              </w:rPr>
            </w:pPr>
            <w:r w:rsidRPr="00206CF0">
              <w:rPr>
                <w:bCs/>
                <w:sz w:val="22"/>
                <w:szCs w:val="22"/>
                <w:lang w:val="sr-Latn-RS"/>
              </w:rPr>
              <w:t>manje često</w:t>
            </w:r>
          </w:p>
        </w:tc>
        <w:tc>
          <w:tcPr>
            <w:tcW w:w="3796" w:type="dxa"/>
            <w:shd w:val="clear" w:color="auto" w:fill="auto"/>
            <w:vAlign w:val="center"/>
          </w:tcPr>
          <w:p w:rsidR="00287577" w:rsidRPr="00206CF0" w:rsidRDefault="00287577" w:rsidP="00F55D06">
            <w:pPr>
              <w:jc w:val="both"/>
              <w:rPr>
                <w:bCs/>
                <w:sz w:val="22"/>
                <w:szCs w:val="22"/>
                <w:lang w:val="sr-Latn-RS"/>
              </w:rPr>
            </w:pPr>
            <w:r w:rsidRPr="00206CF0">
              <w:rPr>
                <w:sz w:val="22"/>
                <w:szCs w:val="22"/>
                <w:lang w:val="sr-Latn-RS"/>
              </w:rPr>
              <w:t xml:space="preserve">tromboza </w:t>
            </w:r>
            <w:r w:rsidR="00F60970" w:rsidRPr="00206CF0">
              <w:rPr>
                <w:sz w:val="22"/>
                <w:szCs w:val="22"/>
                <w:lang w:val="sr-Latn-RS"/>
              </w:rPr>
              <w:t xml:space="preserve">na mjestu </w:t>
            </w:r>
            <w:r w:rsidRPr="00206CF0">
              <w:rPr>
                <w:sz w:val="22"/>
                <w:szCs w:val="22"/>
                <w:lang w:val="sr-Latn-RS"/>
              </w:rPr>
              <w:t>vaskularnog  pristupa</w:t>
            </w:r>
          </w:p>
        </w:tc>
      </w:tr>
    </w:tbl>
    <w:p w:rsidR="00287577" w:rsidRPr="00206CF0" w:rsidRDefault="00287577" w:rsidP="00F55D06">
      <w:pPr>
        <w:tabs>
          <w:tab w:val="left" w:pos="540"/>
          <w:tab w:val="left" w:pos="569"/>
        </w:tabs>
        <w:jc w:val="both"/>
        <w:rPr>
          <w:b/>
          <w:bCs/>
          <w:sz w:val="22"/>
          <w:szCs w:val="22"/>
          <w:lang w:val="sr-Latn-RS"/>
        </w:rPr>
      </w:pPr>
    </w:p>
    <w:p w:rsidR="00287577" w:rsidRPr="00206CF0" w:rsidRDefault="00287577" w:rsidP="00F55D06">
      <w:pPr>
        <w:widowControl w:val="0"/>
        <w:jc w:val="both"/>
        <w:rPr>
          <w:sz w:val="22"/>
          <w:szCs w:val="22"/>
          <w:u w:val="single"/>
          <w:lang w:val="sr-Latn-RS"/>
        </w:rPr>
      </w:pPr>
      <w:r w:rsidRPr="00206CF0">
        <w:rPr>
          <w:sz w:val="22"/>
          <w:szCs w:val="22"/>
          <w:lang w:val="sr-Latn-RS"/>
        </w:rPr>
        <w:t>(</w:t>
      </w:r>
      <w:r w:rsidRPr="00206CF0">
        <w:rPr>
          <w:sz w:val="22"/>
          <w:szCs w:val="22"/>
          <w:u w:val="single"/>
          <w:lang w:val="sr-Latn-RS"/>
        </w:rPr>
        <w:t>c) Opis odabranih neželjenih dejstava</w:t>
      </w:r>
    </w:p>
    <w:p w:rsidR="00652A0B" w:rsidRPr="00206CF0" w:rsidRDefault="00652A0B" w:rsidP="00F55D06">
      <w:pPr>
        <w:widowControl w:val="0"/>
        <w:jc w:val="both"/>
        <w:rPr>
          <w:sz w:val="22"/>
          <w:szCs w:val="22"/>
          <w:lang w:val="sr-Latn-RS"/>
        </w:rPr>
      </w:pPr>
    </w:p>
    <w:p w:rsidR="00652A0B" w:rsidRPr="00206CF0" w:rsidRDefault="00652A0B" w:rsidP="00F55D06">
      <w:pPr>
        <w:widowControl w:val="0"/>
        <w:jc w:val="both"/>
        <w:rPr>
          <w:sz w:val="22"/>
          <w:szCs w:val="22"/>
          <w:lang w:val="sr-Latn-RS"/>
        </w:rPr>
      </w:pPr>
      <w:r w:rsidRPr="00206CF0">
        <w:rPr>
          <w:sz w:val="22"/>
          <w:szCs w:val="22"/>
          <w:lang w:val="sr-Latn-RS"/>
        </w:rPr>
        <w:t>Odrasla populacija</w:t>
      </w:r>
    </w:p>
    <w:p w:rsidR="00652A0B" w:rsidRPr="00206CF0" w:rsidRDefault="00652A0B" w:rsidP="00F55D06">
      <w:pPr>
        <w:widowControl w:val="0"/>
        <w:jc w:val="both"/>
        <w:rPr>
          <w:sz w:val="22"/>
          <w:szCs w:val="22"/>
          <w:lang w:val="sr-Latn-RS"/>
        </w:rPr>
      </w:pPr>
    </w:p>
    <w:p w:rsidR="00287577" w:rsidRPr="00206CF0" w:rsidRDefault="00E13729" w:rsidP="00F55D06">
      <w:pPr>
        <w:widowControl w:val="0"/>
        <w:jc w:val="both"/>
        <w:rPr>
          <w:sz w:val="22"/>
          <w:szCs w:val="22"/>
          <w:lang w:val="sr-Latn-RS"/>
        </w:rPr>
      </w:pPr>
      <w:r w:rsidRPr="00206CF0">
        <w:rPr>
          <w:sz w:val="22"/>
          <w:szCs w:val="22"/>
          <w:lang w:val="sr-Latn-RS"/>
        </w:rPr>
        <w:t>Nakon puštanja lijeka u promet</w:t>
      </w:r>
      <w:r w:rsidR="00287577" w:rsidRPr="00206CF0">
        <w:rPr>
          <w:sz w:val="22"/>
          <w:szCs w:val="22"/>
          <w:lang w:val="sr-Latn-RS"/>
        </w:rPr>
        <w:t xml:space="preserve"> prijavlj</w:t>
      </w:r>
      <w:r w:rsidRPr="00206CF0">
        <w:rPr>
          <w:sz w:val="22"/>
          <w:szCs w:val="22"/>
          <w:lang w:val="sr-Latn-RS"/>
        </w:rPr>
        <w:t>iva</w:t>
      </w:r>
      <w:r w:rsidR="00287577" w:rsidRPr="00206CF0">
        <w:rPr>
          <w:sz w:val="22"/>
          <w:szCs w:val="22"/>
          <w:lang w:val="sr-Latn-RS"/>
        </w:rPr>
        <w:t xml:space="preserve">ni </w:t>
      </w:r>
      <w:r w:rsidRPr="00206CF0">
        <w:rPr>
          <w:sz w:val="22"/>
          <w:szCs w:val="22"/>
          <w:lang w:val="sr-Latn-RS"/>
        </w:rPr>
        <w:t xml:space="preserve">su i </w:t>
      </w:r>
      <w:r w:rsidR="00287577" w:rsidRPr="00206CF0">
        <w:rPr>
          <w:sz w:val="22"/>
          <w:szCs w:val="22"/>
          <w:lang w:val="sr-Latn-RS"/>
        </w:rPr>
        <w:t>slučajevi trombocitopenije. U kliničkim studijama je zabilježen blag pad vrijednosti trombocita koji je ostajao u granicama normale.</w:t>
      </w:r>
    </w:p>
    <w:p w:rsidR="00287577" w:rsidRPr="00206CF0" w:rsidRDefault="00287577" w:rsidP="00F55D06">
      <w:pPr>
        <w:widowControl w:val="0"/>
        <w:jc w:val="both"/>
        <w:rPr>
          <w:sz w:val="22"/>
          <w:szCs w:val="22"/>
          <w:lang w:val="sr-Latn-RS"/>
        </w:rPr>
      </w:pPr>
      <w:r w:rsidRPr="00206CF0">
        <w:rPr>
          <w:sz w:val="22"/>
          <w:szCs w:val="22"/>
          <w:lang w:val="sr-Latn-RS"/>
        </w:rPr>
        <w:t xml:space="preserve">Kod 7% </w:t>
      </w:r>
      <w:r w:rsidR="00652A0B" w:rsidRPr="00206CF0">
        <w:rPr>
          <w:sz w:val="22"/>
          <w:szCs w:val="22"/>
          <w:lang w:val="sr-Latn-RS"/>
        </w:rPr>
        <w:t xml:space="preserve">odraslih </w:t>
      </w:r>
      <w:r w:rsidRPr="00206CF0">
        <w:rPr>
          <w:sz w:val="22"/>
          <w:szCs w:val="22"/>
          <w:lang w:val="sr-Latn-RS"/>
        </w:rPr>
        <w:t xml:space="preserve">pacijenata koji su bili na terapiji lijekom MIRCERA i kod </w:t>
      </w:r>
      <w:r w:rsidR="00652A0B" w:rsidRPr="00206CF0">
        <w:rPr>
          <w:sz w:val="22"/>
          <w:szCs w:val="22"/>
          <w:lang w:val="sr-Latn-RS"/>
        </w:rPr>
        <w:t>odraslih</w:t>
      </w:r>
      <w:r w:rsidRPr="00206CF0">
        <w:rPr>
          <w:sz w:val="22"/>
          <w:szCs w:val="22"/>
          <w:lang w:val="sr-Latn-RS"/>
        </w:rPr>
        <w:t xml:space="preserve"> 4% pacijenata koji su primali neki drugi ASE zabilježen je broj trombocita manji od  100 x 10</w:t>
      </w:r>
      <w:r w:rsidRPr="00206CF0">
        <w:rPr>
          <w:sz w:val="22"/>
          <w:szCs w:val="22"/>
          <w:vertAlign w:val="superscript"/>
          <w:lang w:val="sr-Latn-RS"/>
        </w:rPr>
        <w:t>9</w:t>
      </w:r>
      <w:r w:rsidRPr="00206CF0">
        <w:rPr>
          <w:sz w:val="22"/>
          <w:szCs w:val="22"/>
          <w:lang w:val="sr-Latn-RS"/>
        </w:rPr>
        <w:t>/l.</w:t>
      </w:r>
      <w:r w:rsidR="00E13729" w:rsidRPr="00206CF0">
        <w:rPr>
          <w:sz w:val="22"/>
          <w:szCs w:val="22"/>
          <w:lang w:val="sr-Latn-RS"/>
        </w:rPr>
        <w:t xml:space="preserve"> U ispitivanju bezbjednosti nakon dobijanja dozvole, u kom se ispitivala bezbjednost lijeka kod dugoročne izloženosti do 8,4 godina, početni broj trombocita niži od 100 x 10</w:t>
      </w:r>
      <w:r w:rsidR="00E13729" w:rsidRPr="00206CF0">
        <w:rPr>
          <w:sz w:val="22"/>
          <w:szCs w:val="22"/>
          <w:vertAlign w:val="superscript"/>
          <w:lang w:val="sr-Latn-RS"/>
        </w:rPr>
        <w:t>9</w:t>
      </w:r>
      <w:r w:rsidR="00E13729" w:rsidRPr="00206CF0">
        <w:rPr>
          <w:sz w:val="22"/>
          <w:szCs w:val="22"/>
          <w:lang w:val="sr-Latn-RS"/>
        </w:rPr>
        <w:t xml:space="preserve">/l bio je prisutan kod 2,1% </w:t>
      </w:r>
      <w:r w:rsidR="00652A0B" w:rsidRPr="00206CF0">
        <w:rPr>
          <w:sz w:val="22"/>
          <w:szCs w:val="22"/>
          <w:lang w:val="sr-Latn-RS"/>
        </w:rPr>
        <w:t xml:space="preserve">odraslih </w:t>
      </w:r>
      <w:r w:rsidR="00E13729" w:rsidRPr="00206CF0">
        <w:rPr>
          <w:sz w:val="22"/>
          <w:szCs w:val="22"/>
          <w:lang w:val="sr-Latn-RS"/>
        </w:rPr>
        <w:t xml:space="preserve">pacijenata u grupi liječenoj </w:t>
      </w:r>
      <w:r w:rsidR="00652A0B" w:rsidRPr="00206CF0">
        <w:rPr>
          <w:sz w:val="22"/>
          <w:szCs w:val="22"/>
          <w:lang w:val="sr-Latn-RS"/>
        </w:rPr>
        <w:t>metoksi</w:t>
      </w:r>
      <w:r w:rsidR="00A633A9" w:rsidRPr="00206CF0">
        <w:rPr>
          <w:sz w:val="22"/>
          <w:szCs w:val="22"/>
          <w:lang w:val="sr-Latn-RS"/>
        </w:rPr>
        <w:t xml:space="preserve"> </w:t>
      </w:r>
      <w:r w:rsidR="00652A0B" w:rsidRPr="00206CF0">
        <w:rPr>
          <w:sz w:val="22"/>
          <w:szCs w:val="22"/>
          <w:lang w:val="sr-Latn-RS"/>
        </w:rPr>
        <w:t>polietilenglikol-epoetinom beta</w:t>
      </w:r>
      <w:r w:rsidR="00E13729" w:rsidRPr="00206CF0">
        <w:rPr>
          <w:sz w:val="22"/>
          <w:szCs w:val="22"/>
          <w:lang w:val="sr-Latn-RS"/>
        </w:rPr>
        <w:t xml:space="preserve"> i kod 2,4% </w:t>
      </w:r>
      <w:r w:rsidR="00652A0B" w:rsidRPr="00206CF0">
        <w:rPr>
          <w:sz w:val="22"/>
          <w:szCs w:val="22"/>
          <w:lang w:val="sr-Latn-RS"/>
        </w:rPr>
        <w:t xml:space="preserve">odraslih </w:t>
      </w:r>
      <w:r w:rsidR="00E13729" w:rsidRPr="00206CF0">
        <w:rPr>
          <w:sz w:val="22"/>
          <w:szCs w:val="22"/>
          <w:lang w:val="sr-Latn-RS"/>
        </w:rPr>
        <w:t>pacijenata u grupi koja je primala druge ljekove za stimulaciju eritropoeze. Tokom ispitivanja, broj trombocita niži od 100 x 10</w:t>
      </w:r>
      <w:r w:rsidR="00E13729" w:rsidRPr="00206CF0">
        <w:rPr>
          <w:sz w:val="22"/>
          <w:szCs w:val="22"/>
          <w:vertAlign w:val="superscript"/>
          <w:lang w:val="sr-Latn-RS"/>
        </w:rPr>
        <w:t>9</w:t>
      </w:r>
      <w:r w:rsidR="00E13729" w:rsidRPr="00206CF0">
        <w:rPr>
          <w:sz w:val="22"/>
          <w:szCs w:val="22"/>
          <w:lang w:val="sr-Latn-RS"/>
        </w:rPr>
        <w:t>/l prim</w:t>
      </w:r>
      <w:r w:rsidR="00351F16" w:rsidRPr="00206CF0">
        <w:rPr>
          <w:sz w:val="22"/>
          <w:szCs w:val="22"/>
          <w:lang w:val="sr-Latn-RS"/>
        </w:rPr>
        <w:t>i</w:t>
      </w:r>
      <w:r w:rsidR="00E13729" w:rsidRPr="00206CF0">
        <w:rPr>
          <w:sz w:val="22"/>
          <w:szCs w:val="22"/>
          <w:lang w:val="sr-Latn-RS"/>
        </w:rPr>
        <w:t xml:space="preserve">jećen je svake godine kod 1,5% - 3,0% </w:t>
      </w:r>
      <w:r w:rsidR="00652A0B" w:rsidRPr="00206CF0">
        <w:rPr>
          <w:sz w:val="22"/>
          <w:szCs w:val="22"/>
          <w:lang w:val="sr-Latn-RS"/>
        </w:rPr>
        <w:t xml:space="preserve">odraslih </w:t>
      </w:r>
      <w:r w:rsidR="00E13729" w:rsidRPr="00206CF0">
        <w:rPr>
          <w:sz w:val="22"/>
          <w:szCs w:val="22"/>
          <w:lang w:val="sr-Latn-RS"/>
        </w:rPr>
        <w:t xml:space="preserve">pacijenata liječenih </w:t>
      </w:r>
      <w:r w:rsidR="00652A0B" w:rsidRPr="00206CF0">
        <w:rPr>
          <w:sz w:val="22"/>
          <w:szCs w:val="22"/>
          <w:lang w:val="sr-Latn-RS"/>
        </w:rPr>
        <w:t>metoksi</w:t>
      </w:r>
      <w:r w:rsidR="00A633A9" w:rsidRPr="00206CF0">
        <w:rPr>
          <w:sz w:val="22"/>
          <w:szCs w:val="22"/>
          <w:lang w:val="sr-Latn-RS"/>
        </w:rPr>
        <w:t xml:space="preserve"> </w:t>
      </w:r>
      <w:r w:rsidR="00652A0B" w:rsidRPr="00206CF0">
        <w:rPr>
          <w:sz w:val="22"/>
          <w:szCs w:val="22"/>
          <w:lang w:val="sr-Latn-RS"/>
        </w:rPr>
        <w:t xml:space="preserve">polietilenglikol-epoetinom beta </w:t>
      </w:r>
      <w:r w:rsidR="00E13729" w:rsidRPr="00206CF0">
        <w:rPr>
          <w:sz w:val="22"/>
          <w:szCs w:val="22"/>
          <w:lang w:val="sr-Latn-RS"/>
        </w:rPr>
        <w:t xml:space="preserve">i kod 1,6% - 2,5% </w:t>
      </w:r>
      <w:r w:rsidR="00652A0B" w:rsidRPr="00206CF0">
        <w:rPr>
          <w:sz w:val="22"/>
          <w:szCs w:val="22"/>
          <w:lang w:val="sr-Latn-RS"/>
        </w:rPr>
        <w:t xml:space="preserve">odraslih </w:t>
      </w:r>
      <w:r w:rsidR="00E13729" w:rsidRPr="00206CF0">
        <w:rPr>
          <w:sz w:val="22"/>
          <w:szCs w:val="22"/>
          <w:lang w:val="sr-Latn-RS"/>
        </w:rPr>
        <w:t>pacijenata koji su primali druge ljekove za stimulaciju eritropoeze.</w:t>
      </w:r>
    </w:p>
    <w:p w:rsidR="00287577" w:rsidRPr="00206CF0" w:rsidRDefault="00287577" w:rsidP="00F55D06">
      <w:pPr>
        <w:widowControl w:val="0"/>
        <w:jc w:val="both"/>
        <w:rPr>
          <w:sz w:val="22"/>
          <w:szCs w:val="22"/>
          <w:lang w:val="sr-Latn-RS"/>
        </w:rPr>
      </w:pPr>
    </w:p>
    <w:p w:rsidR="00287577" w:rsidRPr="00206CF0" w:rsidRDefault="00287577" w:rsidP="00F55D06">
      <w:pPr>
        <w:widowControl w:val="0"/>
        <w:jc w:val="both"/>
        <w:rPr>
          <w:sz w:val="22"/>
          <w:szCs w:val="22"/>
          <w:lang w:val="sr-Latn-RS"/>
        </w:rPr>
      </w:pPr>
      <w:r w:rsidRPr="00206CF0">
        <w:rPr>
          <w:sz w:val="22"/>
          <w:szCs w:val="22"/>
          <w:lang w:val="sr-Latn-RS"/>
        </w:rPr>
        <w:t>U kontrolisan</w:t>
      </w:r>
      <w:r w:rsidR="00E13729" w:rsidRPr="00206CF0">
        <w:rPr>
          <w:sz w:val="22"/>
          <w:szCs w:val="22"/>
          <w:lang w:val="sr-Latn-RS"/>
        </w:rPr>
        <w:t>oj</w:t>
      </w:r>
      <w:r w:rsidRPr="00206CF0">
        <w:rPr>
          <w:sz w:val="22"/>
          <w:szCs w:val="22"/>
          <w:lang w:val="sr-Latn-RS"/>
        </w:rPr>
        <w:t xml:space="preserve"> kliničk</w:t>
      </w:r>
      <w:r w:rsidR="00E13729" w:rsidRPr="00206CF0">
        <w:rPr>
          <w:sz w:val="22"/>
          <w:szCs w:val="22"/>
          <w:lang w:val="sr-Latn-RS"/>
        </w:rPr>
        <w:t>oj</w:t>
      </w:r>
      <w:r w:rsidRPr="00206CF0">
        <w:rPr>
          <w:sz w:val="22"/>
          <w:szCs w:val="22"/>
          <w:lang w:val="sr-Latn-RS"/>
        </w:rPr>
        <w:t xml:space="preserve"> studij</w:t>
      </w:r>
      <w:r w:rsidR="00E13729" w:rsidRPr="00206CF0">
        <w:rPr>
          <w:sz w:val="22"/>
          <w:szCs w:val="22"/>
          <w:lang w:val="sr-Latn-RS"/>
        </w:rPr>
        <w:t>i</w:t>
      </w:r>
      <w:r w:rsidRPr="00206CF0">
        <w:rPr>
          <w:sz w:val="22"/>
          <w:szCs w:val="22"/>
          <w:lang w:val="sr-Latn-RS"/>
        </w:rPr>
        <w:t xml:space="preserve"> sa epoetinom alfa ili darbepoetinom alfa, učestalost infarkta miokarda je bila česta.</w:t>
      </w:r>
      <w:r w:rsidR="00E13729" w:rsidRPr="00206CF0">
        <w:rPr>
          <w:sz w:val="22"/>
          <w:szCs w:val="22"/>
          <w:lang w:val="sr-Latn-RS"/>
        </w:rPr>
        <w:t xml:space="preserve"> U ispitivanju bezbjednosti nakon dobijanja dozvole zab</w:t>
      </w:r>
      <w:r w:rsidR="00351F16" w:rsidRPr="00206CF0">
        <w:rPr>
          <w:sz w:val="22"/>
          <w:szCs w:val="22"/>
          <w:lang w:val="sr-Latn-RS"/>
        </w:rPr>
        <w:t>i</w:t>
      </w:r>
      <w:r w:rsidR="00E13729" w:rsidRPr="00206CF0">
        <w:rPr>
          <w:sz w:val="22"/>
          <w:szCs w:val="22"/>
          <w:lang w:val="sr-Latn-RS"/>
        </w:rPr>
        <w:t>l</w:t>
      </w:r>
      <w:r w:rsidR="00351F16" w:rsidRPr="00206CF0">
        <w:rPr>
          <w:sz w:val="22"/>
          <w:szCs w:val="22"/>
          <w:lang w:val="sr-Latn-RS"/>
        </w:rPr>
        <w:t>j</w:t>
      </w:r>
      <w:r w:rsidR="00E13729" w:rsidRPr="00206CF0">
        <w:rPr>
          <w:sz w:val="22"/>
          <w:szCs w:val="22"/>
          <w:lang w:val="sr-Latn-RS"/>
        </w:rPr>
        <w:t xml:space="preserve">ežena je slična učestalost moždanog udara u grupi liječenoj </w:t>
      </w:r>
      <w:r w:rsidR="00652A0B" w:rsidRPr="00206CF0">
        <w:rPr>
          <w:sz w:val="22"/>
          <w:szCs w:val="22"/>
          <w:lang w:val="sr-Latn-RS"/>
        </w:rPr>
        <w:t>metoksi</w:t>
      </w:r>
      <w:r w:rsidR="00A633A9" w:rsidRPr="00206CF0">
        <w:rPr>
          <w:sz w:val="22"/>
          <w:szCs w:val="22"/>
          <w:lang w:val="sr-Latn-RS"/>
        </w:rPr>
        <w:t xml:space="preserve"> </w:t>
      </w:r>
      <w:r w:rsidR="00652A0B" w:rsidRPr="00206CF0">
        <w:rPr>
          <w:sz w:val="22"/>
          <w:szCs w:val="22"/>
          <w:lang w:val="sr-Latn-RS"/>
        </w:rPr>
        <w:t xml:space="preserve">polietilenglikol-epoetinom beta </w:t>
      </w:r>
      <w:r w:rsidR="00E13729" w:rsidRPr="00206CF0">
        <w:rPr>
          <w:sz w:val="22"/>
          <w:szCs w:val="22"/>
          <w:lang w:val="sr-Latn-RS"/>
        </w:rPr>
        <w:t>(6,3%) i grupama koje su primale referentne ljekove za stimulaciju eritropoeze (epoetin alfa, darbepoetin alfa i epoetin beta) (7%).</w:t>
      </w:r>
    </w:p>
    <w:p w:rsidR="00287577" w:rsidRPr="00206CF0" w:rsidRDefault="00287577" w:rsidP="00F55D06">
      <w:pPr>
        <w:pStyle w:val="Header"/>
        <w:tabs>
          <w:tab w:val="left" w:pos="284"/>
        </w:tabs>
        <w:jc w:val="both"/>
        <w:rPr>
          <w:sz w:val="22"/>
          <w:szCs w:val="22"/>
          <w:lang w:val="sr-Latn-RS"/>
        </w:rPr>
      </w:pPr>
    </w:p>
    <w:p w:rsidR="00287577" w:rsidRPr="00206CF0" w:rsidRDefault="00287577" w:rsidP="00F55D06">
      <w:pPr>
        <w:pStyle w:val="Header"/>
        <w:tabs>
          <w:tab w:val="left" w:pos="284"/>
        </w:tabs>
        <w:jc w:val="both"/>
        <w:rPr>
          <w:sz w:val="22"/>
          <w:szCs w:val="22"/>
          <w:lang w:val="sr-Latn-RS"/>
        </w:rPr>
      </w:pPr>
      <w:r w:rsidRPr="00206CF0">
        <w:rPr>
          <w:sz w:val="22"/>
          <w:szCs w:val="22"/>
          <w:lang w:val="sr-Latn-RS"/>
        </w:rPr>
        <w:t>Kao i sa drugim agensima stimulacije eritropoeze, slučajevi tromboze, uključujući plućnu emboliju bili su zabilježeni u postmarketinškim praćenjima (vidjeti dio 4.4).</w:t>
      </w:r>
    </w:p>
    <w:p w:rsidR="00287577" w:rsidRPr="00206CF0" w:rsidRDefault="00287577" w:rsidP="00F55D06">
      <w:pPr>
        <w:pStyle w:val="Header"/>
        <w:tabs>
          <w:tab w:val="left" w:pos="284"/>
        </w:tabs>
        <w:jc w:val="both"/>
        <w:rPr>
          <w:sz w:val="22"/>
          <w:szCs w:val="22"/>
          <w:lang w:val="sr-Latn-RS"/>
        </w:rPr>
      </w:pPr>
    </w:p>
    <w:p w:rsidR="00287577" w:rsidRPr="00206CF0" w:rsidRDefault="00287577" w:rsidP="00F55D06">
      <w:pPr>
        <w:widowControl w:val="0"/>
        <w:jc w:val="both"/>
        <w:rPr>
          <w:sz w:val="22"/>
          <w:szCs w:val="22"/>
          <w:lang w:val="sr-Latn-RS"/>
        </w:rPr>
      </w:pPr>
      <w:r w:rsidRPr="00206CF0">
        <w:rPr>
          <w:sz w:val="22"/>
          <w:szCs w:val="22"/>
          <w:lang w:val="sr-Latn-RS"/>
        </w:rPr>
        <w:t xml:space="preserve">Prijavljena je izolovana eritrocitna aplazija (PRCA) izazvana neutralizirajućim anti- eritropoetinskim antitijelima, čija je učestalost nepoznata. U slučaju kada se PRCA dijagnostifikuje, terapija </w:t>
      </w:r>
      <w:r w:rsidR="00652A0B" w:rsidRPr="00206CF0">
        <w:rPr>
          <w:sz w:val="22"/>
          <w:szCs w:val="22"/>
          <w:lang w:val="sr-Latn-RS"/>
        </w:rPr>
        <w:t>metoksi</w:t>
      </w:r>
      <w:r w:rsidR="00A633A9" w:rsidRPr="00206CF0">
        <w:rPr>
          <w:sz w:val="22"/>
          <w:szCs w:val="22"/>
          <w:lang w:val="sr-Latn-RS"/>
        </w:rPr>
        <w:t xml:space="preserve"> </w:t>
      </w:r>
      <w:r w:rsidR="00652A0B" w:rsidRPr="00206CF0">
        <w:rPr>
          <w:sz w:val="22"/>
          <w:szCs w:val="22"/>
          <w:lang w:val="sr-Latn-RS"/>
        </w:rPr>
        <w:t>polietilenglikol-epoetinom beta</w:t>
      </w:r>
      <w:r w:rsidRPr="00206CF0">
        <w:rPr>
          <w:sz w:val="22"/>
          <w:szCs w:val="22"/>
          <w:lang w:val="sr-Latn-RS"/>
        </w:rPr>
        <w:t xml:space="preserve"> se mora prekinuti i pacijenta ne treba liječiti nekim drugim rekombinantnim  proteinom (vidjeti dio 4.4).</w:t>
      </w:r>
    </w:p>
    <w:p w:rsidR="00287577" w:rsidRPr="00206CF0" w:rsidRDefault="00287577" w:rsidP="00F55D06">
      <w:pPr>
        <w:tabs>
          <w:tab w:val="left" w:pos="540"/>
          <w:tab w:val="left" w:pos="569"/>
        </w:tabs>
        <w:jc w:val="both"/>
        <w:rPr>
          <w:b/>
          <w:bCs/>
          <w:sz w:val="22"/>
          <w:szCs w:val="22"/>
          <w:lang w:val="sr-Latn-RS"/>
        </w:rPr>
      </w:pPr>
    </w:p>
    <w:p w:rsidR="00652A0B" w:rsidRPr="00206CF0" w:rsidRDefault="00652A0B" w:rsidP="00F55D06">
      <w:pPr>
        <w:keepNext/>
        <w:keepLines/>
        <w:jc w:val="both"/>
        <w:rPr>
          <w:sz w:val="22"/>
          <w:szCs w:val="22"/>
          <w:lang w:val="sr-Latn-RS"/>
        </w:rPr>
      </w:pPr>
      <w:r w:rsidRPr="00206CF0">
        <w:rPr>
          <w:sz w:val="22"/>
          <w:szCs w:val="22"/>
          <w:lang w:val="sr-Latn-RS"/>
        </w:rPr>
        <w:t>Pedijatrijska populacija</w:t>
      </w:r>
    </w:p>
    <w:p w:rsidR="00652A0B" w:rsidRPr="00206CF0" w:rsidRDefault="00652A0B" w:rsidP="00F55D06">
      <w:pPr>
        <w:keepNext/>
        <w:keepLines/>
        <w:jc w:val="both"/>
        <w:rPr>
          <w:sz w:val="22"/>
          <w:szCs w:val="22"/>
          <w:lang w:val="sr-Latn-RS"/>
        </w:rPr>
      </w:pPr>
    </w:p>
    <w:p w:rsidR="00652A0B" w:rsidRPr="00206CF0" w:rsidRDefault="00652A0B" w:rsidP="00F55D06">
      <w:pPr>
        <w:autoSpaceDE w:val="0"/>
        <w:autoSpaceDN w:val="0"/>
        <w:adjustRightInd w:val="0"/>
        <w:jc w:val="both"/>
        <w:rPr>
          <w:sz w:val="22"/>
          <w:szCs w:val="22"/>
          <w:lang w:val="sr-Latn-RS"/>
        </w:rPr>
      </w:pPr>
      <w:r w:rsidRPr="00206CF0">
        <w:rPr>
          <w:sz w:val="22"/>
          <w:szCs w:val="22"/>
          <w:lang w:val="sr-Latn-RS"/>
        </w:rPr>
        <w:t>U dv</w:t>
      </w:r>
      <w:r w:rsidR="00455457" w:rsidRPr="00206CF0">
        <w:rPr>
          <w:sz w:val="22"/>
          <w:szCs w:val="22"/>
          <w:lang w:val="sr-Latn-RS"/>
        </w:rPr>
        <w:t>ije</w:t>
      </w:r>
      <w:r w:rsidRPr="00206CF0">
        <w:rPr>
          <w:sz w:val="22"/>
          <w:szCs w:val="22"/>
          <w:lang w:val="sr-Latn-RS"/>
        </w:rPr>
        <w:t xml:space="preserve"> pedijatrijske studije, ispitivana pedijatrijska populacija se sastojala od ukupno 104 pacijenta, od kojih je 12 imalo manje od 5 godina, 36 bilo uzrasta od 5 do 11 godina i 56 bilo uzrasta od 12 do 17 godina. S obzirom na nisku izloženost pacijenata u tim ispitivanjima, bezbjednosni profil metoksi</w:t>
      </w:r>
      <w:r w:rsidR="00A633A9" w:rsidRPr="00206CF0">
        <w:rPr>
          <w:sz w:val="22"/>
          <w:szCs w:val="22"/>
          <w:lang w:val="sr-Latn-RS"/>
        </w:rPr>
        <w:t xml:space="preserve"> </w:t>
      </w:r>
      <w:r w:rsidRPr="00206CF0">
        <w:rPr>
          <w:sz w:val="22"/>
          <w:szCs w:val="22"/>
          <w:lang w:val="sr-Latn-RS"/>
        </w:rPr>
        <w:t>polietilenglikol-epoetina beta u pedijatrijskoj populaciji uključenoj u ta dva ispitivanja sveukupno je odgovarao poznatom bezbjednosnom profilu za odraslu populaciju (vidjeti dio 5.1).</w:t>
      </w:r>
    </w:p>
    <w:p w:rsidR="00652A0B" w:rsidRPr="00206CF0" w:rsidRDefault="00652A0B" w:rsidP="00F55D06">
      <w:pPr>
        <w:tabs>
          <w:tab w:val="left" w:pos="540"/>
          <w:tab w:val="left" w:pos="569"/>
        </w:tabs>
        <w:jc w:val="both"/>
        <w:rPr>
          <w:b/>
          <w:bCs/>
          <w:sz w:val="22"/>
          <w:szCs w:val="22"/>
          <w:lang w:val="sr-Latn-RS"/>
        </w:rPr>
      </w:pPr>
    </w:p>
    <w:p w:rsidR="00351F16" w:rsidRPr="00206CF0" w:rsidRDefault="00351F16" w:rsidP="00351F16">
      <w:pPr>
        <w:pStyle w:val="NoSpacing"/>
        <w:jc w:val="both"/>
        <w:rPr>
          <w:rFonts w:eastAsia="Calibri"/>
          <w:noProof/>
          <w:spacing w:val="-5"/>
          <w:sz w:val="22"/>
          <w:szCs w:val="22"/>
          <w:u w:val="single"/>
          <w:lang w:val="sr-Latn-RS"/>
        </w:rPr>
      </w:pPr>
      <w:r w:rsidRPr="00206CF0">
        <w:rPr>
          <w:rFonts w:eastAsia="Calibri"/>
          <w:noProof/>
          <w:spacing w:val="-5"/>
          <w:sz w:val="22"/>
          <w:szCs w:val="22"/>
          <w:u w:val="single"/>
          <w:lang w:val="sr-Latn-RS"/>
        </w:rPr>
        <w:t>Prijavljivanje sumnji na neželjena dejstva</w:t>
      </w:r>
    </w:p>
    <w:p w:rsidR="00351F16" w:rsidRPr="00206CF0" w:rsidRDefault="00351F16" w:rsidP="00351F16">
      <w:pPr>
        <w:pStyle w:val="NoSpacing"/>
        <w:jc w:val="both"/>
        <w:rPr>
          <w:rFonts w:eastAsia="Calibri"/>
          <w:noProof/>
          <w:spacing w:val="-5"/>
          <w:sz w:val="22"/>
          <w:szCs w:val="22"/>
          <w:u w:val="single"/>
          <w:lang w:val="sr-Latn-RS"/>
        </w:rPr>
      </w:pPr>
    </w:p>
    <w:p w:rsidR="00351F16" w:rsidRPr="00206CF0" w:rsidRDefault="00351F16" w:rsidP="00351F16">
      <w:pPr>
        <w:pStyle w:val="NoSpacing"/>
        <w:jc w:val="both"/>
        <w:rPr>
          <w:rFonts w:eastAsia="Calibri"/>
          <w:noProof/>
          <w:sz w:val="22"/>
          <w:szCs w:val="22"/>
          <w:lang w:val="sr-Latn-RS"/>
        </w:rPr>
      </w:pPr>
      <w:r w:rsidRPr="00206CF0">
        <w:rPr>
          <w:rFonts w:eastAsia="Calibri"/>
          <w:noProof/>
          <w:sz w:val="22"/>
          <w:szCs w:val="22"/>
          <w:lang w:val="sr-Latn-RS"/>
        </w:rPr>
        <w:t>Ako Vam se javi bilo koje neželjeno dejstvo recite to svom ljekaru, farmaceutu ili medicinskoj sestri. Ovo uključuje i bilo koja neželjena dejstva koja nijesu navedena u ovom uputstvu</w:t>
      </w:r>
      <w:r w:rsidRPr="00206CF0">
        <w:rPr>
          <w:rFonts w:eastAsia="Calibri"/>
          <w:noProof/>
          <w:spacing w:val="-4"/>
          <w:sz w:val="22"/>
          <w:szCs w:val="22"/>
          <w:lang w:val="sr-Latn-RS"/>
        </w:rPr>
        <w:t>.</w:t>
      </w:r>
      <w:r w:rsidRPr="00206CF0">
        <w:rPr>
          <w:rFonts w:eastAsia="Calibri"/>
          <w:noProof/>
          <w:sz w:val="22"/>
          <w:szCs w:val="22"/>
          <w:lang w:val="sr-Latn-RS"/>
        </w:rPr>
        <w:t xml:space="preserve"> Prijavljivanjem neželjenih dejstava možete da pomognete u procjeni bezbjednosti ovog lijeka. Sumnju na neželjena dejstva možete da prijavite i Institutu za ljekove i medicinska sredstva (CInMED):</w:t>
      </w:r>
    </w:p>
    <w:p w:rsidR="00351F16" w:rsidRPr="00206CF0" w:rsidRDefault="00351F16" w:rsidP="00351F16">
      <w:pPr>
        <w:pStyle w:val="NoSpacing"/>
        <w:jc w:val="both"/>
        <w:rPr>
          <w:rFonts w:eastAsia="Calibri"/>
          <w:noProof/>
          <w:sz w:val="22"/>
          <w:szCs w:val="22"/>
          <w:lang w:val="sr-Latn-RS"/>
        </w:rPr>
      </w:pPr>
    </w:p>
    <w:p w:rsidR="00351F16" w:rsidRPr="00206CF0" w:rsidRDefault="00351F16" w:rsidP="00351F16">
      <w:pPr>
        <w:jc w:val="both"/>
        <w:rPr>
          <w:noProof/>
          <w:sz w:val="22"/>
          <w:szCs w:val="22"/>
          <w:lang w:val="sr-Latn-RS"/>
        </w:rPr>
      </w:pPr>
      <w:r w:rsidRPr="00206CF0">
        <w:rPr>
          <w:noProof/>
          <w:sz w:val="22"/>
          <w:szCs w:val="22"/>
          <w:lang w:val="sr-Latn-RS"/>
        </w:rPr>
        <w:t xml:space="preserve">Institut za ljekove i medicinska sredstva </w:t>
      </w:r>
    </w:p>
    <w:p w:rsidR="00351F16" w:rsidRPr="00206CF0" w:rsidRDefault="00351F16" w:rsidP="00351F16">
      <w:pPr>
        <w:jc w:val="both"/>
        <w:rPr>
          <w:noProof/>
          <w:sz w:val="22"/>
          <w:szCs w:val="22"/>
          <w:lang w:val="sr-Latn-RS"/>
        </w:rPr>
      </w:pPr>
      <w:r w:rsidRPr="00206CF0">
        <w:rPr>
          <w:noProof/>
          <w:sz w:val="22"/>
          <w:szCs w:val="22"/>
          <w:lang w:val="sr-Latn-RS"/>
        </w:rPr>
        <w:t>Odjeljenje za farmakovigilancu</w:t>
      </w:r>
    </w:p>
    <w:p w:rsidR="00351F16" w:rsidRPr="00206CF0" w:rsidRDefault="00351F16" w:rsidP="00351F16">
      <w:pPr>
        <w:jc w:val="both"/>
        <w:rPr>
          <w:noProof/>
          <w:sz w:val="22"/>
          <w:szCs w:val="22"/>
          <w:lang w:val="sr-Latn-RS"/>
        </w:rPr>
      </w:pPr>
      <w:r w:rsidRPr="00206CF0">
        <w:rPr>
          <w:noProof/>
          <w:sz w:val="22"/>
          <w:szCs w:val="22"/>
          <w:lang w:val="sr-Latn-RS"/>
        </w:rPr>
        <w:t>Bulevar Ivana Crnojevića 64a, 81000 Podgorica</w:t>
      </w:r>
    </w:p>
    <w:p w:rsidR="00351F16" w:rsidRPr="00206CF0" w:rsidRDefault="00351F16" w:rsidP="00351F16">
      <w:pPr>
        <w:jc w:val="both"/>
        <w:rPr>
          <w:noProof/>
          <w:sz w:val="22"/>
          <w:szCs w:val="22"/>
          <w:lang w:val="sr-Latn-RS"/>
        </w:rPr>
      </w:pPr>
    </w:p>
    <w:p w:rsidR="00351F16" w:rsidRPr="00206CF0" w:rsidRDefault="00351F16" w:rsidP="00351F16">
      <w:pPr>
        <w:jc w:val="both"/>
        <w:rPr>
          <w:noProof/>
          <w:sz w:val="22"/>
          <w:szCs w:val="22"/>
          <w:lang w:val="sr-Latn-RS"/>
        </w:rPr>
      </w:pPr>
      <w:r w:rsidRPr="00206CF0">
        <w:rPr>
          <w:noProof/>
          <w:sz w:val="22"/>
          <w:szCs w:val="22"/>
          <w:lang w:val="sr-Latn-RS"/>
        </w:rPr>
        <w:lastRenderedPageBreak/>
        <w:t>tel: +382 (0) 20 310 280</w:t>
      </w:r>
    </w:p>
    <w:p w:rsidR="00351F16" w:rsidRPr="00206CF0" w:rsidRDefault="00351F16" w:rsidP="00351F16">
      <w:pPr>
        <w:jc w:val="both"/>
        <w:rPr>
          <w:noProof/>
          <w:sz w:val="22"/>
          <w:szCs w:val="22"/>
          <w:lang w:val="sr-Latn-RS"/>
        </w:rPr>
      </w:pPr>
      <w:r w:rsidRPr="00206CF0">
        <w:rPr>
          <w:noProof/>
          <w:sz w:val="22"/>
          <w:szCs w:val="22"/>
          <w:lang w:val="sr-Latn-RS"/>
        </w:rPr>
        <w:t>fax: +382 (0) 20 310 581</w:t>
      </w:r>
    </w:p>
    <w:p w:rsidR="00351F16" w:rsidRPr="00206CF0" w:rsidRDefault="009529F9" w:rsidP="00351F16">
      <w:pPr>
        <w:jc w:val="both"/>
        <w:rPr>
          <w:noProof/>
          <w:sz w:val="22"/>
          <w:szCs w:val="22"/>
          <w:lang w:val="sr-Latn-RS"/>
        </w:rPr>
      </w:pPr>
      <w:hyperlink r:id="rId8" w:history="1">
        <w:r w:rsidR="00351F16" w:rsidRPr="00206CF0">
          <w:rPr>
            <w:rStyle w:val="Hyperlink"/>
            <w:noProof/>
            <w:sz w:val="22"/>
            <w:szCs w:val="22"/>
            <w:lang w:val="sr-Latn-RS"/>
          </w:rPr>
          <w:t>www.cinmed.me</w:t>
        </w:r>
      </w:hyperlink>
      <w:r w:rsidR="00351F16" w:rsidRPr="00206CF0">
        <w:rPr>
          <w:noProof/>
          <w:sz w:val="22"/>
          <w:szCs w:val="22"/>
          <w:lang w:val="sr-Latn-RS"/>
        </w:rPr>
        <w:t xml:space="preserve"> </w:t>
      </w:r>
    </w:p>
    <w:p w:rsidR="00351F16" w:rsidRPr="00206CF0" w:rsidRDefault="009529F9" w:rsidP="00351F16">
      <w:pPr>
        <w:jc w:val="both"/>
        <w:rPr>
          <w:noProof/>
          <w:sz w:val="22"/>
          <w:szCs w:val="22"/>
          <w:lang w:val="sr-Latn-RS"/>
        </w:rPr>
      </w:pPr>
      <w:hyperlink r:id="rId9" w:history="1">
        <w:r w:rsidR="00351F16" w:rsidRPr="00206CF0">
          <w:rPr>
            <w:rStyle w:val="Hyperlink"/>
            <w:noProof/>
            <w:sz w:val="22"/>
            <w:szCs w:val="22"/>
            <w:lang w:val="sr-Latn-RS"/>
          </w:rPr>
          <w:t>nezeljenadejstva@cinmed.me</w:t>
        </w:r>
      </w:hyperlink>
      <w:r w:rsidR="00351F16" w:rsidRPr="00206CF0">
        <w:rPr>
          <w:noProof/>
          <w:sz w:val="22"/>
          <w:szCs w:val="22"/>
          <w:lang w:val="sr-Latn-RS"/>
        </w:rPr>
        <w:t xml:space="preserve"> </w:t>
      </w:r>
    </w:p>
    <w:p w:rsidR="00351F16" w:rsidRPr="00206CF0" w:rsidRDefault="00351F16" w:rsidP="00351F16">
      <w:pPr>
        <w:jc w:val="both"/>
        <w:rPr>
          <w:noProof/>
          <w:sz w:val="22"/>
          <w:szCs w:val="22"/>
          <w:lang w:val="sr-Latn-RS"/>
        </w:rPr>
      </w:pPr>
      <w:r w:rsidRPr="00206CF0">
        <w:rPr>
          <w:noProof/>
          <w:sz w:val="22"/>
          <w:szCs w:val="22"/>
          <w:lang w:val="sr-Latn-RS"/>
        </w:rPr>
        <w:t>putem IS zdravstvene zaštite</w:t>
      </w:r>
    </w:p>
    <w:p w:rsidR="00351F16" w:rsidRPr="00206CF0" w:rsidRDefault="00351F16" w:rsidP="00351F16">
      <w:pPr>
        <w:pStyle w:val="NoSpacing"/>
        <w:jc w:val="both"/>
        <w:rPr>
          <w:rFonts w:eastAsia="Calibri"/>
          <w:sz w:val="22"/>
          <w:szCs w:val="22"/>
          <w:lang w:val="sr-Latn-RS"/>
        </w:rPr>
      </w:pPr>
      <w:r w:rsidRPr="00206CF0">
        <w:rPr>
          <w:rFonts w:eastAsia="Calibri"/>
          <w:sz w:val="22"/>
          <w:szCs w:val="22"/>
          <w:lang w:val="sr-Latn-RS"/>
        </w:rPr>
        <w:t>QR kod za online prijavu sumnje na neželjeno dejstvo lijeka:</w:t>
      </w:r>
    </w:p>
    <w:p w:rsidR="00351F16" w:rsidRPr="00206CF0" w:rsidRDefault="00351F16" w:rsidP="00351F16">
      <w:pPr>
        <w:pStyle w:val="NoSpacing"/>
        <w:jc w:val="both"/>
        <w:rPr>
          <w:rFonts w:eastAsia="Calibri"/>
          <w:sz w:val="22"/>
          <w:szCs w:val="22"/>
          <w:lang w:val="sr-Latn-RS"/>
        </w:rPr>
      </w:pPr>
    </w:p>
    <w:p w:rsidR="00351F16" w:rsidRPr="00206CF0" w:rsidRDefault="00EB524B" w:rsidP="00351F16">
      <w:pPr>
        <w:jc w:val="both"/>
        <w:rPr>
          <w:noProof/>
          <w:sz w:val="22"/>
          <w:szCs w:val="22"/>
          <w:lang w:val="sr-Latn-RS"/>
        </w:rPr>
      </w:pPr>
      <w:r w:rsidRPr="00206CF0">
        <w:rPr>
          <w:b/>
          <w:bCs/>
          <w:noProof/>
          <w:sz w:val="22"/>
          <w:szCs w:val="22"/>
          <w:lang w:val="sr-Latn-RS"/>
        </w:rPr>
        <w:drawing>
          <wp:inline distT="0" distB="0" distL="0" distR="0" wp14:anchorId="441F12E4" wp14:editId="77249854">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rsidR="00836B35" w:rsidRPr="00206CF0" w:rsidRDefault="00836B35" w:rsidP="00F55D06">
      <w:pPr>
        <w:tabs>
          <w:tab w:val="left" w:pos="540"/>
          <w:tab w:val="left" w:pos="569"/>
        </w:tabs>
        <w:jc w:val="both"/>
        <w:rPr>
          <w:b/>
          <w:bCs/>
          <w:sz w:val="22"/>
          <w:szCs w:val="22"/>
          <w:lang w:val="sr-Latn-RS"/>
        </w:rPr>
      </w:pPr>
    </w:p>
    <w:p w:rsidR="00CD6F02" w:rsidRPr="00206CF0" w:rsidRDefault="0072020E" w:rsidP="00F55D06">
      <w:pPr>
        <w:tabs>
          <w:tab w:val="left" w:pos="540"/>
          <w:tab w:val="left" w:pos="569"/>
        </w:tabs>
        <w:jc w:val="both"/>
        <w:rPr>
          <w:b/>
          <w:bCs/>
          <w:sz w:val="22"/>
          <w:szCs w:val="22"/>
          <w:lang w:val="sr-Latn-RS"/>
        </w:rPr>
      </w:pPr>
      <w:r w:rsidRPr="00206CF0">
        <w:rPr>
          <w:b/>
          <w:bCs/>
          <w:sz w:val="22"/>
          <w:szCs w:val="22"/>
          <w:lang w:val="sr-Latn-RS"/>
        </w:rPr>
        <w:t xml:space="preserve">4.9. </w:t>
      </w:r>
      <w:r w:rsidR="00480FB1" w:rsidRPr="00206CF0">
        <w:rPr>
          <w:b/>
          <w:bCs/>
          <w:sz w:val="22"/>
          <w:szCs w:val="22"/>
          <w:lang w:val="sr-Latn-RS"/>
        </w:rPr>
        <w:tab/>
      </w:r>
      <w:r w:rsidRPr="00206CF0">
        <w:rPr>
          <w:b/>
          <w:bCs/>
          <w:sz w:val="22"/>
          <w:szCs w:val="22"/>
          <w:lang w:val="sr-Latn-RS"/>
        </w:rPr>
        <w:t>Predoziranje</w:t>
      </w:r>
      <w:r w:rsidR="002846DB" w:rsidRPr="00206CF0">
        <w:rPr>
          <w:b/>
          <w:bCs/>
          <w:sz w:val="22"/>
          <w:szCs w:val="22"/>
          <w:lang w:val="sr-Latn-RS"/>
        </w:rPr>
        <w:t xml:space="preserve"> </w:t>
      </w:r>
    </w:p>
    <w:p w:rsidR="00287577" w:rsidRPr="00206CF0" w:rsidRDefault="00287577" w:rsidP="00F55D06">
      <w:pPr>
        <w:tabs>
          <w:tab w:val="left" w:pos="540"/>
          <w:tab w:val="left" w:pos="569"/>
        </w:tabs>
        <w:jc w:val="both"/>
        <w:rPr>
          <w:b/>
          <w:bCs/>
          <w:sz w:val="22"/>
          <w:szCs w:val="22"/>
          <w:lang w:val="sr-Latn-RS"/>
        </w:rPr>
      </w:pPr>
    </w:p>
    <w:p w:rsidR="00287577" w:rsidRPr="00206CF0" w:rsidRDefault="00287577" w:rsidP="00F55D06">
      <w:pPr>
        <w:widowControl w:val="0"/>
        <w:jc w:val="both"/>
        <w:rPr>
          <w:sz w:val="22"/>
          <w:szCs w:val="22"/>
          <w:lang w:val="sr-Latn-RS"/>
        </w:rPr>
      </w:pPr>
      <w:r w:rsidRPr="00206CF0">
        <w:rPr>
          <w:sz w:val="22"/>
          <w:szCs w:val="22"/>
          <w:lang w:val="sr-Latn-RS"/>
        </w:rPr>
        <w:t xml:space="preserve">Terapijski raspon </w:t>
      </w:r>
      <w:r w:rsidR="004A5A86" w:rsidRPr="00206CF0">
        <w:rPr>
          <w:sz w:val="22"/>
          <w:szCs w:val="22"/>
          <w:lang w:val="sr-Latn-RS"/>
        </w:rPr>
        <w:t>metoksi</w:t>
      </w:r>
      <w:r w:rsidR="00A633A9" w:rsidRPr="00206CF0">
        <w:rPr>
          <w:sz w:val="22"/>
          <w:szCs w:val="22"/>
          <w:lang w:val="sr-Latn-RS"/>
        </w:rPr>
        <w:t xml:space="preserve"> </w:t>
      </w:r>
      <w:r w:rsidR="004A5A86" w:rsidRPr="00206CF0">
        <w:rPr>
          <w:sz w:val="22"/>
          <w:szCs w:val="22"/>
          <w:lang w:val="sr-Latn-RS"/>
        </w:rPr>
        <w:t xml:space="preserve">polietilenglikol-epoetina beta </w:t>
      </w:r>
      <w:r w:rsidRPr="00206CF0">
        <w:rPr>
          <w:sz w:val="22"/>
          <w:szCs w:val="22"/>
          <w:lang w:val="sr-Latn-RS"/>
        </w:rPr>
        <w:t xml:space="preserve">je širok. Kada se započinje liječenje, mora se imati u vidu kako će pojedinačni pacijent reagovati. Predoziranje može da dovede do manifestacija prekomjernog farmakodinamičkog dejstva, npr. prekomjerne eritropoeze. U slučaju previsokih nivoa  hemoglobina </w:t>
      </w:r>
      <w:r w:rsidR="004A5A86" w:rsidRPr="00206CF0">
        <w:rPr>
          <w:sz w:val="22"/>
          <w:szCs w:val="22"/>
          <w:lang w:val="sr-Latn-RS"/>
        </w:rPr>
        <w:t>metoksi</w:t>
      </w:r>
      <w:r w:rsidR="00A633A9" w:rsidRPr="00206CF0">
        <w:rPr>
          <w:sz w:val="22"/>
          <w:szCs w:val="22"/>
          <w:lang w:val="sr-Latn-RS"/>
        </w:rPr>
        <w:t xml:space="preserve"> </w:t>
      </w:r>
      <w:r w:rsidR="004A5A86" w:rsidRPr="00206CF0">
        <w:rPr>
          <w:sz w:val="22"/>
          <w:szCs w:val="22"/>
          <w:lang w:val="sr-Latn-RS"/>
        </w:rPr>
        <w:t xml:space="preserve">polietilenglikol-epoetin beta </w:t>
      </w:r>
      <w:r w:rsidRPr="00206CF0">
        <w:rPr>
          <w:sz w:val="22"/>
          <w:szCs w:val="22"/>
          <w:lang w:val="sr-Latn-RS"/>
        </w:rPr>
        <w:t>treba privremeno obustaviti (vidjeti dio 4.2). Ako je to klinički indikovano, može se uraditi flebotomija.</w:t>
      </w:r>
    </w:p>
    <w:p w:rsidR="00227BDB" w:rsidRDefault="00227BDB" w:rsidP="00F55D06">
      <w:pPr>
        <w:tabs>
          <w:tab w:val="left" w:pos="540"/>
          <w:tab w:val="left" w:pos="569"/>
        </w:tabs>
        <w:jc w:val="both"/>
        <w:rPr>
          <w:b/>
          <w:bCs/>
          <w:sz w:val="22"/>
          <w:szCs w:val="22"/>
          <w:lang w:val="sr-Latn-RS"/>
        </w:rPr>
      </w:pPr>
    </w:p>
    <w:p w:rsidR="00206CF0" w:rsidRPr="00206CF0" w:rsidRDefault="00206CF0" w:rsidP="00F55D06">
      <w:pPr>
        <w:tabs>
          <w:tab w:val="left" w:pos="540"/>
          <w:tab w:val="left" w:pos="569"/>
        </w:tabs>
        <w:jc w:val="both"/>
        <w:rPr>
          <w:b/>
          <w:bCs/>
          <w:sz w:val="22"/>
          <w:szCs w:val="22"/>
          <w:lang w:val="sr-Latn-RS"/>
        </w:rPr>
      </w:pPr>
    </w:p>
    <w:p w:rsidR="0072020E" w:rsidRPr="00206CF0" w:rsidRDefault="0072020E" w:rsidP="00F55D06">
      <w:pPr>
        <w:tabs>
          <w:tab w:val="left" w:pos="540"/>
          <w:tab w:val="left" w:pos="569"/>
        </w:tabs>
        <w:jc w:val="both"/>
        <w:rPr>
          <w:b/>
          <w:bCs/>
          <w:sz w:val="22"/>
          <w:szCs w:val="22"/>
          <w:lang w:val="sr-Latn-RS"/>
        </w:rPr>
      </w:pPr>
      <w:r w:rsidRPr="00206CF0">
        <w:rPr>
          <w:b/>
          <w:bCs/>
          <w:sz w:val="22"/>
          <w:szCs w:val="22"/>
          <w:lang w:val="sr-Latn-RS"/>
        </w:rPr>
        <w:t xml:space="preserve">5. </w:t>
      </w:r>
      <w:r w:rsidR="00480FB1" w:rsidRPr="00206CF0">
        <w:rPr>
          <w:b/>
          <w:bCs/>
          <w:sz w:val="22"/>
          <w:szCs w:val="22"/>
          <w:lang w:val="sr-Latn-RS"/>
        </w:rPr>
        <w:tab/>
      </w:r>
      <w:r w:rsidRPr="00206CF0">
        <w:rPr>
          <w:b/>
          <w:bCs/>
          <w:sz w:val="22"/>
          <w:szCs w:val="22"/>
          <w:lang w:val="sr-Latn-RS"/>
        </w:rPr>
        <w:t>FARMAKOLOŠK</w:t>
      </w:r>
      <w:r w:rsidR="000D425A" w:rsidRPr="00206CF0">
        <w:rPr>
          <w:b/>
          <w:bCs/>
          <w:sz w:val="22"/>
          <w:szCs w:val="22"/>
          <w:lang w:val="sr-Latn-RS"/>
        </w:rPr>
        <w:t>I</w:t>
      </w:r>
      <w:r w:rsidRPr="00206CF0">
        <w:rPr>
          <w:b/>
          <w:bCs/>
          <w:sz w:val="22"/>
          <w:szCs w:val="22"/>
          <w:lang w:val="sr-Latn-RS"/>
        </w:rPr>
        <w:t xml:space="preserve"> PODACI</w:t>
      </w:r>
    </w:p>
    <w:p w:rsidR="0072020E" w:rsidRPr="00206CF0" w:rsidRDefault="0072020E" w:rsidP="00F55D06">
      <w:pPr>
        <w:tabs>
          <w:tab w:val="left" w:pos="540"/>
          <w:tab w:val="left" w:pos="569"/>
        </w:tabs>
        <w:jc w:val="both"/>
        <w:rPr>
          <w:b/>
          <w:bCs/>
          <w:sz w:val="22"/>
          <w:szCs w:val="22"/>
          <w:lang w:val="sr-Latn-RS"/>
        </w:rPr>
      </w:pPr>
    </w:p>
    <w:p w:rsidR="0072020E" w:rsidRPr="00206CF0" w:rsidRDefault="0072020E" w:rsidP="00F55D06">
      <w:pPr>
        <w:tabs>
          <w:tab w:val="left" w:pos="540"/>
          <w:tab w:val="left" w:pos="569"/>
        </w:tabs>
        <w:jc w:val="both"/>
        <w:rPr>
          <w:b/>
          <w:bCs/>
          <w:sz w:val="22"/>
          <w:szCs w:val="22"/>
          <w:lang w:val="sr-Latn-RS"/>
        </w:rPr>
      </w:pPr>
      <w:r w:rsidRPr="00206CF0">
        <w:rPr>
          <w:b/>
          <w:bCs/>
          <w:sz w:val="22"/>
          <w:szCs w:val="22"/>
          <w:lang w:val="sr-Latn-RS"/>
        </w:rPr>
        <w:t xml:space="preserve">5.1. </w:t>
      </w:r>
      <w:r w:rsidR="00480FB1" w:rsidRPr="00206CF0">
        <w:rPr>
          <w:b/>
          <w:bCs/>
          <w:sz w:val="22"/>
          <w:szCs w:val="22"/>
          <w:lang w:val="sr-Latn-RS"/>
        </w:rPr>
        <w:tab/>
      </w:r>
      <w:r w:rsidRPr="00206CF0">
        <w:rPr>
          <w:b/>
          <w:bCs/>
          <w:sz w:val="22"/>
          <w:szCs w:val="22"/>
          <w:lang w:val="sr-Latn-RS"/>
        </w:rPr>
        <w:t>Farmakodinamski podaci</w:t>
      </w:r>
      <w:r w:rsidR="003A7059" w:rsidRPr="00206CF0">
        <w:rPr>
          <w:b/>
          <w:bCs/>
          <w:sz w:val="22"/>
          <w:szCs w:val="22"/>
          <w:lang w:val="sr-Latn-RS"/>
        </w:rPr>
        <w:t xml:space="preserve"> </w:t>
      </w:r>
    </w:p>
    <w:p w:rsidR="00F45F77" w:rsidRPr="00206CF0" w:rsidRDefault="00F45F77" w:rsidP="00F55D06">
      <w:pPr>
        <w:tabs>
          <w:tab w:val="left" w:pos="540"/>
          <w:tab w:val="left" w:pos="569"/>
        </w:tabs>
        <w:jc w:val="both"/>
        <w:rPr>
          <w:b/>
          <w:bCs/>
          <w:sz w:val="22"/>
          <w:szCs w:val="22"/>
          <w:lang w:val="sr-Latn-RS"/>
        </w:rPr>
      </w:pPr>
    </w:p>
    <w:p w:rsidR="0072020E" w:rsidRPr="00206CF0" w:rsidRDefault="0072020E" w:rsidP="00F55D06">
      <w:pPr>
        <w:tabs>
          <w:tab w:val="left" w:pos="540"/>
          <w:tab w:val="left" w:pos="569"/>
        </w:tabs>
        <w:jc w:val="both"/>
        <w:rPr>
          <w:bCs/>
          <w:sz w:val="22"/>
          <w:szCs w:val="22"/>
          <w:lang w:val="sr-Latn-RS"/>
        </w:rPr>
      </w:pPr>
      <w:r w:rsidRPr="00206CF0">
        <w:rPr>
          <w:bCs/>
          <w:sz w:val="22"/>
          <w:szCs w:val="22"/>
          <w:lang w:val="sr-Latn-RS"/>
        </w:rPr>
        <w:t>Farmakoterapijska grupa:</w:t>
      </w:r>
      <w:r w:rsidR="00287577" w:rsidRPr="00206CF0">
        <w:rPr>
          <w:bCs/>
          <w:sz w:val="22"/>
          <w:szCs w:val="22"/>
          <w:lang w:val="sr-Latn-RS"/>
        </w:rPr>
        <w:t xml:space="preserve"> Ostali antianemijski preparati</w:t>
      </w:r>
    </w:p>
    <w:p w:rsidR="0072020E" w:rsidRPr="00206CF0" w:rsidRDefault="0072020E" w:rsidP="00F55D06">
      <w:pPr>
        <w:tabs>
          <w:tab w:val="left" w:pos="540"/>
          <w:tab w:val="left" w:pos="569"/>
        </w:tabs>
        <w:jc w:val="both"/>
        <w:rPr>
          <w:bCs/>
          <w:sz w:val="22"/>
          <w:szCs w:val="22"/>
          <w:lang w:val="sr-Latn-RS"/>
        </w:rPr>
      </w:pPr>
    </w:p>
    <w:p w:rsidR="0072020E" w:rsidRPr="00206CF0" w:rsidRDefault="0072020E" w:rsidP="00F55D06">
      <w:pPr>
        <w:tabs>
          <w:tab w:val="left" w:pos="540"/>
          <w:tab w:val="left" w:pos="569"/>
        </w:tabs>
        <w:jc w:val="both"/>
        <w:rPr>
          <w:bCs/>
          <w:sz w:val="22"/>
          <w:szCs w:val="22"/>
          <w:lang w:val="sr-Latn-RS"/>
        </w:rPr>
      </w:pPr>
      <w:r w:rsidRPr="00206CF0">
        <w:rPr>
          <w:bCs/>
          <w:sz w:val="22"/>
          <w:szCs w:val="22"/>
          <w:lang w:val="sr-Latn-RS"/>
        </w:rPr>
        <w:t>ATC kod:</w:t>
      </w:r>
      <w:r w:rsidR="00287577" w:rsidRPr="00206CF0">
        <w:rPr>
          <w:bCs/>
          <w:sz w:val="22"/>
          <w:szCs w:val="22"/>
          <w:lang w:val="sr-Latn-RS"/>
        </w:rPr>
        <w:t xml:space="preserve"> B03XA03</w:t>
      </w:r>
    </w:p>
    <w:p w:rsidR="00287577" w:rsidRPr="00206CF0" w:rsidRDefault="00287577" w:rsidP="00F55D06">
      <w:pPr>
        <w:tabs>
          <w:tab w:val="left" w:pos="540"/>
          <w:tab w:val="left" w:pos="569"/>
        </w:tabs>
        <w:jc w:val="both"/>
        <w:rPr>
          <w:bCs/>
          <w:sz w:val="22"/>
          <w:szCs w:val="22"/>
          <w:lang w:val="sr-Latn-RS"/>
        </w:rPr>
      </w:pPr>
    </w:p>
    <w:p w:rsidR="002E37A5" w:rsidRPr="00206CF0" w:rsidRDefault="00287577" w:rsidP="00F55D06">
      <w:pPr>
        <w:jc w:val="both"/>
        <w:rPr>
          <w:kern w:val="1"/>
          <w:sz w:val="22"/>
          <w:szCs w:val="22"/>
          <w:lang w:val="sr-Latn-RS"/>
        </w:rPr>
      </w:pPr>
      <w:r w:rsidRPr="00206CF0">
        <w:rPr>
          <w:kern w:val="1"/>
          <w:sz w:val="22"/>
          <w:szCs w:val="22"/>
          <w:u w:val="single"/>
          <w:lang w:val="sr-Latn-RS"/>
        </w:rPr>
        <w:t>Mehanizam dejstva</w:t>
      </w:r>
    </w:p>
    <w:p w:rsidR="00287577" w:rsidRPr="00206CF0" w:rsidRDefault="004A5A86" w:rsidP="00F55D06">
      <w:pPr>
        <w:jc w:val="both"/>
        <w:rPr>
          <w:kern w:val="1"/>
          <w:sz w:val="22"/>
          <w:szCs w:val="22"/>
          <w:lang w:val="sr-Latn-RS"/>
        </w:rPr>
      </w:pPr>
      <w:r w:rsidRPr="00206CF0">
        <w:rPr>
          <w:kern w:val="1"/>
          <w:sz w:val="22"/>
          <w:szCs w:val="22"/>
          <w:lang w:val="sr-Latn-RS"/>
        </w:rPr>
        <w:t>Metoksi</w:t>
      </w:r>
      <w:r w:rsidR="00A633A9" w:rsidRPr="00206CF0">
        <w:rPr>
          <w:kern w:val="1"/>
          <w:sz w:val="22"/>
          <w:szCs w:val="22"/>
          <w:lang w:val="sr-Latn-RS"/>
        </w:rPr>
        <w:t xml:space="preserve"> </w:t>
      </w:r>
      <w:r w:rsidRPr="00206CF0">
        <w:rPr>
          <w:kern w:val="1"/>
          <w:sz w:val="22"/>
          <w:szCs w:val="22"/>
          <w:lang w:val="sr-Latn-RS"/>
        </w:rPr>
        <w:t>polietilenglikol-epoetin beta</w:t>
      </w:r>
      <w:r w:rsidR="00287577" w:rsidRPr="00206CF0">
        <w:rPr>
          <w:kern w:val="1"/>
          <w:sz w:val="22"/>
          <w:szCs w:val="22"/>
          <w:lang w:val="sr-Latn-RS"/>
        </w:rPr>
        <w:t xml:space="preserve"> stimuliše eritropoezu interakcijom sa receptorom eritropoetina na progenitorskim ćelijama u koštanoj srži. Metoksi</w:t>
      </w:r>
      <w:r w:rsidR="00A633A9" w:rsidRPr="00206CF0">
        <w:rPr>
          <w:kern w:val="1"/>
          <w:sz w:val="22"/>
          <w:szCs w:val="22"/>
          <w:lang w:val="sr-Latn-RS"/>
        </w:rPr>
        <w:t xml:space="preserve"> </w:t>
      </w:r>
      <w:r w:rsidR="00287577" w:rsidRPr="00206CF0">
        <w:rPr>
          <w:kern w:val="1"/>
          <w:sz w:val="22"/>
          <w:szCs w:val="22"/>
          <w:lang w:val="sr-Latn-RS"/>
        </w:rPr>
        <w:t xml:space="preserve">polietilenglikol-epoetin beta, aktivna supstanca lijeka MIRCERA, </w:t>
      </w:r>
      <w:r w:rsidR="00287577" w:rsidRPr="00206CF0">
        <w:rPr>
          <w:iCs/>
          <w:kern w:val="1"/>
          <w:sz w:val="22"/>
          <w:szCs w:val="22"/>
          <w:lang w:val="sr-Latn-RS"/>
        </w:rPr>
        <w:t xml:space="preserve">predstavlja kontinuirani aktivator receptora eritropoetina koji pokazuje različitu aktivnost na nivou receptora i odlikuje se sporijom asocijacijom sa receptorom i sporijom disocijacijom od receptora, smanjenom specifičnom aktivnošću </w:t>
      </w:r>
      <w:r w:rsidR="00287577" w:rsidRPr="00206CF0">
        <w:rPr>
          <w:i/>
          <w:iCs/>
          <w:kern w:val="1"/>
          <w:sz w:val="22"/>
          <w:szCs w:val="22"/>
          <w:lang w:val="sr-Latn-RS"/>
        </w:rPr>
        <w:t>in vitro</w:t>
      </w:r>
      <w:r w:rsidR="00287577" w:rsidRPr="00206CF0">
        <w:rPr>
          <w:iCs/>
          <w:kern w:val="1"/>
          <w:sz w:val="22"/>
          <w:szCs w:val="22"/>
          <w:lang w:val="sr-Latn-RS"/>
        </w:rPr>
        <w:t xml:space="preserve">, uz povećanu aktivnost </w:t>
      </w:r>
      <w:r w:rsidR="00287577" w:rsidRPr="00206CF0">
        <w:rPr>
          <w:i/>
          <w:iCs/>
          <w:kern w:val="1"/>
          <w:sz w:val="22"/>
          <w:szCs w:val="22"/>
          <w:lang w:val="sr-Latn-RS"/>
        </w:rPr>
        <w:t>in vivo</w:t>
      </w:r>
      <w:r w:rsidR="00287577" w:rsidRPr="00206CF0">
        <w:rPr>
          <w:iCs/>
          <w:kern w:val="1"/>
          <w:sz w:val="22"/>
          <w:szCs w:val="22"/>
          <w:lang w:val="sr-Latn-RS"/>
        </w:rPr>
        <w:t>, kao i produženim polu-životom, za razliku od eritropoetina. Prosječna molekulska masa mu je približno 60 kDa gdje na proteinski dio plus ugljeno-hidratni dio otpada približno 30 kDa.</w:t>
      </w:r>
      <w:r w:rsidR="00287577" w:rsidRPr="00206CF0">
        <w:rPr>
          <w:kern w:val="1"/>
          <w:sz w:val="22"/>
          <w:szCs w:val="22"/>
          <w:lang w:val="sr-Latn-RS"/>
        </w:rPr>
        <w:t xml:space="preserve"> </w:t>
      </w:r>
    </w:p>
    <w:p w:rsidR="00287577" w:rsidRPr="00206CF0" w:rsidRDefault="00287577" w:rsidP="00F55D06">
      <w:pPr>
        <w:jc w:val="both"/>
        <w:rPr>
          <w:sz w:val="22"/>
          <w:szCs w:val="22"/>
          <w:lang w:val="sr-Latn-RS"/>
        </w:rPr>
      </w:pPr>
    </w:p>
    <w:p w:rsidR="00287577" w:rsidRPr="00206CF0" w:rsidRDefault="00287577" w:rsidP="00F55D06">
      <w:pPr>
        <w:jc w:val="both"/>
        <w:rPr>
          <w:sz w:val="22"/>
          <w:szCs w:val="22"/>
          <w:lang w:val="sr-Latn-RS"/>
        </w:rPr>
      </w:pPr>
      <w:r w:rsidRPr="00206CF0">
        <w:rPr>
          <w:sz w:val="22"/>
          <w:szCs w:val="22"/>
          <w:u w:val="single"/>
          <w:lang w:val="sr-Latn-RS"/>
        </w:rPr>
        <w:t>Farmakodinamski efekti</w:t>
      </w:r>
    </w:p>
    <w:p w:rsidR="00287577" w:rsidRPr="00206CF0" w:rsidRDefault="00287577" w:rsidP="00F55D06">
      <w:pPr>
        <w:jc w:val="both"/>
        <w:rPr>
          <w:kern w:val="1"/>
          <w:sz w:val="22"/>
          <w:szCs w:val="22"/>
          <w:lang w:val="sr-Latn-RS"/>
        </w:rPr>
      </w:pPr>
      <w:r w:rsidRPr="00206CF0">
        <w:rPr>
          <w:kern w:val="1"/>
          <w:sz w:val="22"/>
          <w:szCs w:val="22"/>
          <w:lang w:val="sr-Latn-RS"/>
        </w:rPr>
        <w:t xml:space="preserve">Kao primarni faktor rasta za eritroidni razvoj, prirodni hormon eritropoetin se produkuje u bubrezima i oslobađa u krvotok kao odgovor na hipoksiju. U tom odgovoru na hipoksiju, prirodni hormon eritropoetin ulazi u interakciju sa eritroidnim progenitorskim ćelijama da povećava produkciju </w:t>
      </w:r>
      <w:r w:rsidR="004A5A86" w:rsidRPr="00206CF0">
        <w:rPr>
          <w:kern w:val="1"/>
          <w:sz w:val="22"/>
          <w:szCs w:val="22"/>
          <w:lang w:val="sr-Latn-RS"/>
        </w:rPr>
        <w:t>eritrocita.</w:t>
      </w:r>
      <w:r w:rsidRPr="00206CF0">
        <w:rPr>
          <w:kern w:val="1"/>
          <w:sz w:val="22"/>
          <w:szCs w:val="22"/>
          <w:lang w:val="sr-Latn-RS"/>
        </w:rPr>
        <w:t xml:space="preserve">  </w:t>
      </w:r>
    </w:p>
    <w:p w:rsidR="00287577" w:rsidRPr="00206CF0" w:rsidRDefault="00287577" w:rsidP="00F55D06">
      <w:pPr>
        <w:jc w:val="both"/>
        <w:rPr>
          <w:kern w:val="1"/>
          <w:sz w:val="22"/>
          <w:szCs w:val="22"/>
          <w:lang w:val="sr-Latn-RS"/>
        </w:rPr>
      </w:pPr>
    </w:p>
    <w:p w:rsidR="004A5A86" w:rsidRPr="00206CF0" w:rsidRDefault="004A5A86" w:rsidP="00F55D06">
      <w:pPr>
        <w:jc w:val="both"/>
        <w:rPr>
          <w:sz w:val="22"/>
          <w:szCs w:val="22"/>
          <w:u w:val="single"/>
          <w:lang w:val="sr-Latn-RS"/>
        </w:rPr>
      </w:pPr>
      <w:r w:rsidRPr="00206CF0">
        <w:rPr>
          <w:sz w:val="22"/>
          <w:szCs w:val="22"/>
          <w:u w:val="single"/>
          <w:lang w:val="sr-Latn-RS"/>
        </w:rPr>
        <w:t>Klinička efikanost i bezb</w:t>
      </w:r>
      <w:r w:rsidR="00455457" w:rsidRPr="00206CF0">
        <w:rPr>
          <w:sz w:val="22"/>
          <w:szCs w:val="22"/>
          <w:u w:val="single"/>
          <w:lang w:val="sr-Latn-RS"/>
        </w:rPr>
        <w:t>j</w:t>
      </w:r>
      <w:r w:rsidRPr="00206CF0">
        <w:rPr>
          <w:sz w:val="22"/>
          <w:szCs w:val="22"/>
          <w:u w:val="single"/>
          <w:lang w:val="sr-Latn-RS"/>
        </w:rPr>
        <w:t>ednost</w:t>
      </w:r>
    </w:p>
    <w:p w:rsidR="00417025" w:rsidRPr="00206CF0" w:rsidRDefault="00417025" w:rsidP="00F55D06">
      <w:pPr>
        <w:jc w:val="both"/>
        <w:rPr>
          <w:sz w:val="22"/>
          <w:szCs w:val="22"/>
          <w:u w:val="single"/>
          <w:lang w:val="sr-Latn-RS"/>
        </w:rPr>
      </w:pPr>
    </w:p>
    <w:p w:rsidR="004A5A86" w:rsidRPr="00206CF0" w:rsidRDefault="004A5A86" w:rsidP="00F55D06">
      <w:pPr>
        <w:keepNext/>
        <w:keepLines/>
        <w:jc w:val="both"/>
        <w:rPr>
          <w:i/>
          <w:iCs/>
          <w:kern w:val="1"/>
          <w:sz w:val="22"/>
          <w:szCs w:val="22"/>
          <w:u w:val="single"/>
          <w:lang w:val="sr-Latn-RS"/>
        </w:rPr>
      </w:pPr>
      <w:r w:rsidRPr="00206CF0">
        <w:rPr>
          <w:i/>
          <w:iCs/>
          <w:kern w:val="1"/>
          <w:sz w:val="22"/>
          <w:szCs w:val="22"/>
          <w:u w:val="single"/>
          <w:lang w:val="sr-Latn-RS"/>
        </w:rPr>
        <w:t xml:space="preserve">Odrasla populacija </w:t>
      </w:r>
    </w:p>
    <w:p w:rsidR="004A5A86" w:rsidRPr="00206CF0" w:rsidRDefault="004A5A86" w:rsidP="00F55D06">
      <w:pPr>
        <w:jc w:val="both"/>
        <w:rPr>
          <w:kern w:val="1"/>
          <w:sz w:val="22"/>
          <w:szCs w:val="22"/>
          <w:lang w:val="sr-Latn-RS"/>
        </w:rPr>
      </w:pPr>
    </w:p>
    <w:p w:rsidR="00287577" w:rsidRPr="00206CF0" w:rsidRDefault="00287577" w:rsidP="00F55D06">
      <w:pPr>
        <w:jc w:val="both"/>
        <w:rPr>
          <w:kern w:val="1"/>
          <w:sz w:val="22"/>
          <w:szCs w:val="22"/>
          <w:lang w:val="sr-Latn-RS"/>
        </w:rPr>
      </w:pPr>
      <w:r w:rsidRPr="00206CF0">
        <w:rPr>
          <w:iCs/>
          <w:kern w:val="1"/>
          <w:sz w:val="22"/>
          <w:szCs w:val="22"/>
          <w:lang w:val="sr-Latn-RS"/>
        </w:rPr>
        <w:t>Podaci iz studija korekcije hemoglobina kod pacijenata koji su lijek dobijali jednom u dvije ned</w:t>
      </w:r>
      <w:r w:rsidR="00417025" w:rsidRPr="00206CF0">
        <w:rPr>
          <w:iCs/>
          <w:kern w:val="1"/>
          <w:sz w:val="22"/>
          <w:szCs w:val="22"/>
          <w:lang w:val="sr-Latn-RS"/>
        </w:rPr>
        <w:t>j</w:t>
      </w:r>
      <w:r w:rsidRPr="00206CF0">
        <w:rPr>
          <w:iCs/>
          <w:kern w:val="1"/>
          <w:sz w:val="22"/>
          <w:szCs w:val="22"/>
          <w:lang w:val="sr-Latn-RS"/>
        </w:rPr>
        <w:t>elje i jednom u četiri ned</w:t>
      </w:r>
      <w:r w:rsidR="00417025" w:rsidRPr="00206CF0">
        <w:rPr>
          <w:iCs/>
          <w:kern w:val="1"/>
          <w:sz w:val="22"/>
          <w:szCs w:val="22"/>
          <w:lang w:val="sr-Latn-RS"/>
        </w:rPr>
        <w:t>j</w:t>
      </w:r>
      <w:r w:rsidRPr="00206CF0">
        <w:rPr>
          <w:iCs/>
          <w:kern w:val="1"/>
          <w:sz w:val="22"/>
          <w:szCs w:val="22"/>
          <w:lang w:val="sr-Latn-RS"/>
        </w:rPr>
        <w:t xml:space="preserve">elje, pokazuju  da su stope odgovora vrijednosti hemoglobina u grupi koja je primala </w:t>
      </w:r>
      <w:r w:rsidR="004A5A86" w:rsidRPr="00206CF0">
        <w:rPr>
          <w:iCs/>
          <w:kern w:val="1"/>
          <w:sz w:val="22"/>
          <w:szCs w:val="22"/>
          <w:lang w:val="sr-Latn-RS"/>
        </w:rPr>
        <w:t>metoksi</w:t>
      </w:r>
      <w:r w:rsidR="00A633A9" w:rsidRPr="00206CF0">
        <w:rPr>
          <w:iCs/>
          <w:kern w:val="1"/>
          <w:sz w:val="22"/>
          <w:szCs w:val="22"/>
          <w:lang w:val="sr-Latn-RS"/>
        </w:rPr>
        <w:t xml:space="preserve"> </w:t>
      </w:r>
      <w:r w:rsidR="004A5A86" w:rsidRPr="00206CF0">
        <w:rPr>
          <w:iCs/>
          <w:kern w:val="1"/>
          <w:sz w:val="22"/>
          <w:szCs w:val="22"/>
          <w:lang w:val="sr-Latn-RS"/>
        </w:rPr>
        <w:t>polietilenglikol-epoetin beta</w:t>
      </w:r>
      <w:r w:rsidRPr="00206CF0">
        <w:rPr>
          <w:iCs/>
          <w:kern w:val="1"/>
          <w:sz w:val="22"/>
          <w:szCs w:val="22"/>
          <w:lang w:val="sr-Latn-RS"/>
        </w:rPr>
        <w:t>na kraju perioda korekcije bile visoke i slične komparativnim preparatima.</w:t>
      </w:r>
      <w:r w:rsidRPr="00206CF0">
        <w:rPr>
          <w:kern w:val="1"/>
          <w:sz w:val="22"/>
          <w:szCs w:val="22"/>
          <w:lang w:val="sr-Latn-RS"/>
        </w:rPr>
        <w:t xml:space="preserve"> Srednje vrijeme do postizanja odgovora u grupi koja je primala </w:t>
      </w:r>
      <w:r w:rsidR="007C6923" w:rsidRPr="00206CF0">
        <w:rPr>
          <w:kern w:val="1"/>
          <w:sz w:val="22"/>
          <w:szCs w:val="22"/>
          <w:lang w:val="sr-Latn-RS"/>
        </w:rPr>
        <w:t>metoksi</w:t>
      </w:r>
      <w:r w:rsidR="00A633A9" w:rsidRPr="00206CF0">
        <w:rPr>
          <w:kern w:val="1"/>
          <w:sz w:val="22"/>
          <w:szCs w:val="22"/>
          <w:lang w:val="sr-Latn-RS"/>
        </w:rPr>
        <w:t xml:space="preserve"> </w:t>
      </w:r>
      <w:r w:rsidR="007C6923" w:rsidRPr="00206CF0">
        <w:rPr>
          <w:kern w:val="1"/>
          <w:sz w:val="22"/>
          <w:szCs w:val="22"/>
          <w:lang w:val="sr-Latn-RS"/>
        </w:rPr>
        <w:t xml:space="preserve">polietilenglikol-epoetin beta </w:t>
      </w:r>
      <w:r w:rsidRPr="00206CF0">
        <w:rPr>
          <w:kern w:val="1"/>
          <w:sz w:val="22"/>
          <w:szCs w:val="22"/>
          <w:lang w:val="sr-Latn-RS"/>
        </w:rPr>
        <w:t>bilo je 43 dana, a u kontrolnoj grupi je iznosilo 29 dana, gdje je porast vrijednosti hemoglobina u prvih 6 ned</w:t>
      </w:r>
      <w:r w:rsidR="00417025" w:rsidRPr="00206CF0">
        <w:rPr>
          <w:kern w:val="1"/>
          <w:sz w:val="22"/>
          <w:szCs w:val="22"/>
          <w:lang w:val="sr-Latn-RS"/>
        </w:rPr>
        <w:t>j</w:t>
      </w:r>
      <w:r w:rsidRPr="00206CF0">
        <w:rPr>
          <w:kern w:val="1"/>
          <w:sz w:val="22"/>
          <w:szCs w:val="22"/>
          <w:lang w:val="sr-Latn-RS"/>
        </w:rPr>
        <w:t>elja iznosio 0,2 g/dl/ned</w:t>
      </w:r>
      <w:r w:rsidR="00417025" w:rsidRPr="00206CF0">
        <w:rPr>
          <w:kern w:val="1"/>
          <w:sz w:val="22"/>
          <w:szCs w:val="22"/>
          <w:lang w:val="sr-Latn-RS"/>
        </w:rPr>
        <w:t>j</w:t>
      </w:r>
      <w:r w:rsidRPr="00206CF0">
        <w:rPr>
          <w:kern w:val="1"/>
          <w:sz w:val="22"/>
          <w:szCs w:val="22"/>
          <w:lang w:val="sr-Latn-RS"/>
        </w:rPr>
        <w:t>eljno odnosno 0,3 g/dl/nedeljno.</w:t>
      </w:r>
    </w:p>
    <w:p w:rsidR="00287577" w:rsidRPr="00206CF0" w:rsidRDefault="00287577" w:rsidP="00F55D06">
      <w:pPr>
        <w:jc w:val="both"/>
        <w:rPr>
          <w:kern w:val="1"/>
          <w:sz w:val="22"/>
          <w:szCs w:val="22"/>
          <w:lang w:val="sr-Latn-RS"/>
        </w:rPr>
      </w:pPr>
    </w:p>
    <w:p w:rsidR="00287577" w:rsidRPr="00206CF0" w:rsidRDefault="00287577" w:rsidP="00F55D06">
      <w:pPr>
        <w:jc w:val="both"/>
        <w:rPr>
          <w:kern w:val="1"/>
          <w:sz w:val="22"/>
          <w:szCs w:val="22"/>
          <w:lang w:val="sr-Latn-RS"/>
        </w:rPr>
      </w:pPr>
      <w:r w:rsidRPr="00206CF0">
        <w:rPr>
          <w:kern w:val="1"/>
          <w:sz w:val="22"/>
          <w:szCs w:val="22"/>
          <w:lang w:val="sr-Latn-RS"/>
        </w:rPr>
        <w:lastRenderedPageBreak/>
        <w:t xml:space="preserve">Sprovedene su četiri randomizovane kontrolisane studije sa pacijentima na dijalizi koji primaju darbepoetin alfa ili epoetin u trenutku uključenja u studiju. Pacijenti su randomizacijom podijeljeni u grupe da ostanu na terapiji u trenutku uključenja u studiju ili da se prebace na </w:t>
      </w:r>
      <w:r w:rsidR="007C6923" w:rsidRPr="00206CF0">
        <w:rPr>
          <w:kern w:val="1"/>
          <w:sz w:val="22"/>
          <w:szCs w:val="22"/>
          <w:lang w:val="sr-Latn-RS"/>
        </w:rPr>
        <w:t>metoksi</w:t>
      </w:r>
      <w:r w:rsidR="00A633A9" w:rsidRPr="00206CF0">
        <w:rPr>
          <w:kern w:val="1"/>
          <w:sz w:val="22"/>
          <w:szCs w:val="22"/>
          <w:lang w:val="sr-Latn-RS"/>
        </w:rPr>
        <w:t xml:space="preserve"> </w:t>
      </w:r>
      <w:r w:rsidR="007C6923" w:rsidRPr="00206CF0">
        <w:rPr>
          <w:kern w:val="1"/>
          <w:sz w:val="22"/>
          <w:szCs w:val="22"/>
          <w:lang w:val="sr-Latn-RS"/>
        </w:rPr>
        <w:t xml:space="preserve">polietilenglikol-epoetin beta </w:t>
      </w:r>
      <w:r w:rsidRPr="00206CF0">
        <w:rPr>
          <w:kern w:val="1"/>
          <w:sz w:val="22"/>
          <w:szCs w:val="22"/>
          <w:lang w:val="sr-Latn-RS"/>
        </w:rPr>
        <w:t>u cilju održavanja stabilnih nivoa hemoglobina. U periodu evaluacije (poslije 29-36 ned</w:t>
      </w:r>
      <w:r w:rsidR="00417025" w:rsidRPr="00206CF0">
        <w:rPr>
          <w:kern w:val="1"/>
          <w:sz w:val="22"/>
          <w:szCs w:val="22"/>
          <w:lang w:val="sr-Latn-RS"/>
        </w:rPr>
        <w:t>j</w:t>
      </w:r>
      <w:r w:rsidRPr="00206CF0">
        <w:rPr>
          <w:kern w:val="1"/>
          <w:sz w:val="22"/>
          <w:szCs w:val="22"/>
          <w:lang w:val="sr-Latn-RS"/>
        </w:rPr>
        <w:t xml:space="preserve">elja), srednji i prosječni nivoi  hemoglobina kod pacijenata koji su primali </w:t>
      </w:r>
      <w:r w:rsidR="007C6923" w:rsidRPr="00206CF0">
        <w:rPr>
          <w:kern w:val="1"/>
          <w:sz w:val="22"/>
          <w:szCs w:val="22"/>
          <w:lang w:val="sr-Latn-RS"/>
        </w:rPr>
        <w:t>metoksi</w:t>
      </w:r>
      <w:r w:rsidR="00A633A9" w:rsidRPr="00206CF0">
        <w:rPr>
          <w:kern w:val="1"/>
          <w:sz w:val="22"/>
          <w:szCs w:val="22"/>
          <w:lang w:val="sr-Latn-RS"/>
        </w:rPr>
        <w:t xml:space="preserve"> </w:t>
      </w:r>
      <w:r w:rsidR="007C6923" w:rsidRPr="00206CF0">
        <w:rPr>
          <w:kern w:val="1"/>
          <w:sz w:val="22"/>
          <w:szCs w:val="22"/>
          <w:lang w:val="sr-Latn-RS"/>
        </w:rPr>
        <w:t>polietilenglikol-epoetin beta</w:t>
      </w:r>
      <w:r w:rsidRPr="00206CF0">
        <w:rPr>
          <w:kern w:val="1"/>
          <w:sz w:val="22"/>
          <w:szCs w:val="22"/>
          <w:lang w:val="sr-Latn-RS"/>
        </w:rPr>
        <w:t xml:space="preserve"> bili su praktično isti kao i nivoi hemoglobina kada su prebačeni na ovu terapiju.</w:t>
      </w:r>
    </w:p>
    <w:p w:rsidR="00287577" w:rsidRPr="00206CF0" w:rsidRDefault="00287577" w:rsidP="00F55D06">
      <w:pPr>
        <w:jc w:val="both"/>
        <w:rPr>
          <w:kern w:val="1"/>
          <w:sz w:val="22"/>
          <w:szCs w:val="22"/>
          <w:lang w:val="sr-Latn-RS"/>
        </w:rPr>
      </w:pPr>
    </w:p>
    <w:p w:rsidR="00287577" w:rsidRPr="00206CF0" w:rsidRDefault="00287577" w:rsidP="00F55D06">
      <w:pPr>
        <w:jc w:val="both"/>
        <w:rPr>
          <w:kern w:val="1"/>
          <w:sz w:val="22"/>
          <w:szCs w:val="22"/>
          <w:lang w:val="sr-Latn-RS"/>
        </w:rPr>
      </w:pPr>
      <w:r w:rsidRPr="00206CF0">
        <w:rPr>
          <w:kern w:val="1"/>
          <w:sz w:val="22"/>
          <w:szCs w:val="22"/>
          <w:lang w:val="sr-Latn-RS"/>
        </w:rPr>
        <w:t>U jednoj randomizovanoj, dvostruko slijepoj, placebo</w:t>
      </w:r>
      <w:r w:rsidR="00417025" w:rsidRPr="00206CF0">
        <w:rPr>
          <w:kern w:val="1"/>
          <w:sz w:val="22"/>
          <w:szCs w:val="22"/>
          <w:lang w:val="sr-Latn-RS"/>
        </w:rPr>
        <w:t>m</w:t>
      </w:r>
      <w:r w:rsidRPr="00206CF0">
        <w:rPr>
          <w:kern w:val="1"/>
          <w:sz w:val="22"/>
          <w:szCs w:val="22"/>
          <w:lang w:val="sr-Latn-RS"/>
        </w:rPr>
        <w:t xml:space="preserve"> kontrolisanoj studiji sa 4038 pacijenata koji nijesu na dijalizi, sa dijabetesom tip 2 i vrijednostima hemoglobina ≤ 11g/dl, pacijenti su primali ili terapiju darbepoetinom alfa u cilju dostizanja ciljnih vrijednosti hemoglobina od 13g/dl ili placebo (vidi dio 4.4). Studija nije dostigla primarni cilj, da pokaže smanjen rizik za sve uzroke smrtnosti, kardiovaskularnih oboljenja kao ni poslednji stadijum bubrežnog oboljenja (end stage renal disease ESRD). Analiza individulanih komponenti ciljeva studije pokazala je sljedeći koeficijent rizika (95% interval pouzdanosti): smrt 1.05 (0.92, 1.21), moždani udar 1.92 (1.38, 2.68), kongestivna srčana insuficijencija 0.89 (0.74, 1.08), infarkt miokarda 0.96 (0.75, 1.23), hospitalizacija usljed ishemije miokarda 0.84 (0.55, 1.27), posl</w:t>
      </w:r>
      <w:r w:rsidR="00417025" w:rsidRPr="00206CF0">
        <w:rPr>
          <w:kern w:val="1"/>
          <w:sz w:val="22"/>
          <w:szCs w:val="22"/>
          <w:lang w:val="sr-Latn-RS"/>
        </w:rPr>
        <w:t>j</w:t>
      </w:r>
      <w:r w:rsidRPr="00206CF0">
        <w:rPr>
          <w:kern w:val="1"/>
          <w:sz w:val="22"/>
          <w:szCs w:val="22"/>
          <w:lang w:val="sr-Latn-RS"/>
        </w:rPr>
        <w:t>ednji stadijum bubrežnog oboljenja 1.02 (0.87, 1.18).</w:t>
      </w:r>
    </w:p>
    <w:p w:rsidR="00287577" w:rsidRPr="00206CF0" w:rsidRDefault="00287577" w:rsidP="00F55D06">
      <w:pPr>
        <w:jc w:val="both"/>
        <w:rPr>
          <w:kern w:val="1"/>
          <w:sz w:val="22"/>
          <w:szCs w:val="22"/>
          <w:lang w:val="sr-Latn-RS"/>
        </w:rPr>
      </w:pPr>
    </w:p>
    <w:p w:rsidR="00287577" w:rsidRPr="00206CF0" w:rsidRDefault="00287577" w:rsidP="00697E9D">
      <w:pPr>
        <w:jc w:val="both"/>
        <w:rPr>
          <w:kern w:val="1"/>
          <w:sz w:val="22"/>
          <w:szCs w:val="22"/>
          <w:lang w:val="sr-Latn-RS"/>
        </w:rPr>
      </w:pPr>
      <w:r w:rsidRPr="00206CF0">
        <w:rPr>
          <w:kern w:val="1"/>
          <w:sz w:val="22"/>
          <w:szCs w:val="22"/>
          <w:lang w:val="sr-Latn-RS"/>
        </w:rPr>
        <w:t>Kod pacijenata sa hroničnom insuficijencijom bubrega (kod onih na dijalizi i onih koji nisu na dijalizi, koji imaju ili nemaju dijabetes) sprovedene su post-hoc analize objedinjenih podataka iz kliničkih ispitivanja ljekova za stimulaciju eritropoeze.  Primjećena je tendencija povećanja procjenjenog rizika od smrti zbog bilo kojeg uzroka te kardiovaskularnih i cerebrovaskularnih događaja povezanih sa višim kumulativnim dozama</w:t>
      </w:r>
      <w:r w:rsidRPr="00206CF0" w:rsidDel="00602A0D">
        <w:rPr>
          <w:kern w:val="1"/>
          <w:sz w:val="22"/>
          <w:szCs w:val="22"/>
          <w:lang w:val="sr-Latn-RS"/>
        </w:rPr>
        <w:t xml:space="preserve"> </w:t>
      </w:r>
      <w:r w:rsidRPr="00206CF0">
        <w:rPr>
          <w:kern w:val="1"/>
          <w:sz w:val="22"/>
          <w:szCs w:val="22"/>
          <w:lang w:val="sr-Latn-RS"/>
        </w:rPr>
        <w:t>ljekova za stimulaciju eritropoeze, nezavisno od dijabetesa i statusa dijalize (vidjeti djelove 4.2 i 4.4).</w:t>
      </w:r>
    </w:p>
    <w:p w:rsidR="00287577" w:rsidRPr="00206CF0" w:rsidRDefault="00287577" w:rsidP="00F55D06">
      <w:pPr>
        <w:jc w:val="both"/>
        <w:rPr>
          <w:kern w:val="1"/>
          <w:sz w:val="22"/>
          <w:szCs w:val="22"/>
          <w:lang w:val="sr-Latn-RS"/>
        </w:rPr>
      </w:pPr>
    </w:p>
    <w:p w:rsidR="00287577" w:rsidRPr="00206CF0" w:rsidRDefault="00287577" w:rsidP="00F55D06">
      <w:pPr>
        <w:jc w:val="both"/>
        <w:rPr>
          <w:kern w:val="1"/>
          <w:sz w:val="22"/>
          <w:szCs w:val="22"/>
          <w:lang w:val="sr-Latn-RS"/>
        </w:rPr>
      </w:pPr>
      <w:r w:rsidRPr="00206CF0">
        <w:rPr>
          <w:kern w:val="1"/>
          <w:sz w:val="22"/>
          <w:szCs w:val="22"/>
          <w:lang w:val="sr-Latn-RS"/>
        </w:rPr>
        <w:t xml:space="preserve">Eritropoetin predstavlja faktor rasta koji primarno stimuliše produkciju </w:t>
      </w:r>
      <w:r w:rsidR="007C6923" w:rsidRPr="00206CF0">
        <w:rPr>
          <w:kern w:val="1"/>
          <w:sz w:val="22"/>
          <w:szCs w:val="22"/>
          <w:lang w:val="sr-Latn-RS"/>
        </w:rPr>
        <w:t>eritrocita</w:t>
      </w:r>
      <w:r w:rsidRPr="00206CF0">
        <w:rPr>
          <w:kern w:val="1"/>
          <w:sz w:val="22"/>
          <w:szCs w:val="22"/>
          <w:lang w:val="sr-Latn-RS"/>
        </w:rPr>
        <w:t>. Eritropoetinski receptori mogu biti eksprimirani na površini različitih tumorskih ćelija.</w:t>
      </w:r>
    </w:p>
    <w:p w:rsidR="00287577" w:rsidRPr="00206CF0" w:rsidRDefault="00287577" w:rsidP="00F55D06">
      <w:pPr>
        <w:jc w:val="both"/>
        <w:rPr>
          <w:kern w:val="1"/>
          <w:sz w:val="22"/>
          <w:szCs w:val="22"/>
          <w:lang w:val="sr-Latn-RS"/>
        </w:rPr>
      </w:pPr>
    </w:p>
    <w:p w:rsidR="00287577" w:rsidRPr="00206CF0" w:rsidRDefault="00287577" w:rsidP="00F55D06">
      <w:pPr>
        <w:jc w:val="both"/>
        <w:rPr>
          <w:kern w:val="1"/>
          <w:sz w:val="22"/>
          <w:szCs w:val="22"/>
          <w:lang w:val="sr-Latn-RS"/>
        </w:rPr>
      </w:pPr>
      <w:r w:rsidRPr="00206CF0">
        <w:rPr>
          <w:kern w:val="1"/>
          <w:sz w:val="22"/>
          <w:szCs w:val="22"/>
          <w:lang w:val="sr-Latn-RS"/>
        </w:rPr>
        <w:t>Preživljavanje i tumorska progresija su ispitivani u pet velikih kontrolisanih kliničkih studija koje su uključile ukupno 2.833 pacijenta, od kojih su četiri bile dvostruko slijepe, placebo</w:t>
      </w:r>
      <w:r w:rsidR="00417025" w:rsidRPr="00206CF0">
        <w:rPr>
          <w:kern w:val="1"/>
          <w:sz w:val="22"/>
          <w:szCs w:val="22"/>
          <w:lang w:val="sr-Latn-RS"/>
        </w:rPr>
        <w:t>m</w:t>
      </w:r>
      <w:r w:rsidRPr="00206CF0">
        <w:rPr>
          <w:kern w:val="1"/>
          <w:sz w:val="22"/>
          <w:szCs w:val="22"/>
          <w:lang w:val="sr-Latn-RS"/>
        </w:rPr>
        <w:t xml:space="preserve"> kontrolisane studije, a jedna studija je bila otvorena. Dvije studije su uključivale pacijente koji su bili na hemoterapiji. Ciljna vrijednost hemoglobina u dvije studije bila je &gt;13 g/d</w:t>
      </w:r>
      <w:r w:rsidR="00417025" w:rsidRPr="00206CF0">
        <w:rPr>
          <w:kern w:val="1"/>
          <w:sz w:val="22"/>
          <w:szCs w:val="22"/>
          <w:lang w:val="sr-Latn-RS"/>
        </w:rPr>
        <w:t>l</w:t>
      </w:r>
      <w:r w:rsidRPr="00206CF0">
        <w:rPr>
          <w:kern w:val="1"/>
          <w:sz w:val="22"/>
          <w:szCs w:val="22"/>
          <w:lang w:val="sr-Latn-RS"/>
        </w:rPr>
        <w:t>; dok je u preostale tri studije bila 12-14 g/d</w:t>
      </w:r>
      <w:r w:rsidR="00417025" w:rsidRPr="00206CF0">
        <w:rPr>
          <w:kern w:val="1"/>
          <w:sz w:val="22"/>
          <w:szCs w:val="22"/>
          <w:lang w:val="sr-Latn-RS"/>
        </w:rPr>
        <w:t>l</w:t>
      </w:r>
      <w:r w:rsidRPr="00206CF0">
        <w:rPr>
          <w:kern w:val="1"/>
          <w:sz w:val="22"/>
          <w:szCs w:val="22"/>
          <w:lang w:val="sr-Latn-RS"/>
        </w:rPr>
        <w:t>. U otvorenoj studiji nije bilo razlike u ukupnom preživljavanju između pacijenata liječenih rekombinantnim humanim eritropoetinom i kontrolne grupe. U četiri placebo</w:t>
      </w:r>
      <w:r w:rsidR="00417025" w:rsidRPr="00206CF0">
        <w:rPr>
          <w:kern w:val="1"/>
          <w:sz w:val="22"/>
          <w:szCs w:val="22"/>
          <w:lang w:val="sr-Latn-RS"/>
        </w:rPr>
        <w:t xml:space="preserve">m </w:t>
      </w:r>
      <w:r w:rsidRPr="00206CF0">
        <w:rPr>
          <w:kern w:val="1"/>
          <w:sz w:val="22"/>
          <w:szCs w:val="22"/>
          <w:lang w:val="sr-Latn-RS"/>
        </w:rPr>
        <w:t>kontrolisane studije, odnos</w:t>
      </w:r>
      <w:r w:rsidR="00417025" w:rsidRPr="00206CF0">
        <w:rPr>
          <w:kern w:val="1"/>
          <w:sz w:val="22"/>
          <w:szCs w:val="22"/>
          <w:lang w:val="sr-Latn-RS"/>
        </w:rPr>
        <w:t xml:space="preserve"> rizika</w:t>
      </w:r>
      <w:r w:rsidRPr="00206CF0">
        <w:rPr>
          <w:kern w:val="1"/>
          <w:sz w:val="22"/>
          <w:szCs w:val="22"/>
          <w:lang w:val="sr-Latn-RS"/>
        </w:rPr>
        <w:t xml:space="preserve"> (hazard ratio) u ukupnom preživljavanju je bio u opsegu između 1.25 i 2.47 u korist kontrolne grupe. Ove studije su pokazale konzistentno neobjašnjivo statistički značajano povećanje smrtnosti kod pacijenata sa anemijom sa različitim tipovima karcinoma, koji su dobijali rekombinantni humani eritropoetin u poređenju sa kontrolnom grupom. Ukupna stopa preživljavanja u studijama ne može biti zadovoljavajuće objašnjena razlikama u incidenci tromboze i drugih sličnih komplikacija između pacijenata koji su dobijali rekombinantni humani eritropoetin i onih u kontrolnoj grupi.</w:t>
      </w:r>
    </w:p>
    <w:p w:rsidR="00287577" w:rsidRPr="00206CF0" w:rsidRDefault="00287577" w:rsidP="00F55D06">
      <w:pPr>
        <w:jc w:val="both"/>
        <w:rPr>
          <w:kern w:val="1"/>
          <w:sz w:val="22"/>
          <w:szCs w:val="22"/>
          <w:lang w:val="sr-Latn-RS"/>
        </w:rPr>
      </w:pPr>
    </w:p>
    <w:p w:rsidR="00287577" w:rsidRPr="00206CF0" w:rsidRDefault="00287577" w:rsidP="00F55D06">
      <w:pPr>
        <w:jc w:val="both"/>
        <w:rPr>
          <w:kern w:val="1"/>
          <w:sz w:val="22"/>
          <w:szCs w:val="22"/>
          <w:lang w:val="sr-Latn-RS"/>
        </w:rPr>
      </w:pPr>
      <w:r w:rsidRPr="00206CF0">
        <w:rPr>
          <w:kern w:val="1"/>
          <w:sz w:val="22"/>
          <w:szCs w:val="22"/>
          <w:lang w:val="sr-Latn-RS"/>
        </w:rPr>
        <w:t>Urađena je analiza podataka za više od 13.900 pacijenata oboljelih od karcinoma (koji su na hemo, radio, kombinovanoj ili bez terapije) koji su učestvovali u 53 kontrolisane kliničke studije a primali su nekoliko epoetina. Meta-analiza podataka o ukupnom preživljavanju pokazala je koeficijent rizika od 1.06 u korist pacijenata u kontrolnoj grupi (95% CI:1.00, 1.12; 53 studije i 13.933 pacijenata)</w:t>
      </w:r>
      <w:r w:rsidR="00417025" w:rsidRPr="00206CF0">
        <w:rPr>
          <w:kern w:val="1"/>
          <w:sz w:val="22"/>
          <w:szCs w:val="22"/>
          <w:lang w:val="sr-Latn-RS"/>
        </w:rPr>
        <w:t>,</w:t>
      </w:r>
      <w:r w:rsidRPr="00206CF0">
        <w:rPr>
          <w:kern w:val="1"/>
          <w:sz w:val="22"/>
          <w:szCs w:val="22"/>
          <w:lang w:val="sr-Latn-RS"/>
        </w:rPr>
        <w:t xml:space="preserve"> a za pacijente oboljele od kancera koji primaju hemoterapiju, koeficijent rizika za ukupno preživljavanje je bio 1.04 (95% CI: 0.97, 1.11;38 kliničkih studija i 10 441 pacijent).  Meta analiza ukazuje na značajno povećanje rizika od tromboembolijskih dogadjaja kod pacijenata oboljelih od karcinoma koji primaju rekombinantni humani eritropoetin (vidi dio 4.4). Mircera nije odobrena za tretman pacijenata sa anemijom uzrokovanom hemoterapijom (vidi dio 4.1), pacijenti koji su na terapiji </w:t>
      </w:r>
      <w:r w:rsidR="007C6923" w:rsidRPr="00206CF0">
        <w:rPr>
          <w:kern w:val="1"/>
          <w:sz w:val="22"/>
          <w:szCs w:val="22"/>
          <w:lang w:val="sr-Latn-RS"/>
        </w:rPr>
        <w:t>metoksi</w:t>
      </w:r>
      <w:r w:rsidR="00A633A9" w:rsidRPr="00206CF0">
        <w:rPr>
          <w:kern w:val="1"/>
          <w:sz w:val="22"/>
          <w:szCs w:val="22"/>
          <w:lang w:val="sr-Latn-RS"/>
        </w:rPr>
        <w:t xml:space="preserve"> </w:t>
      </w:r>
      <w:r w:rsidR="007C6923" w:rsidRPr="00206CF0">
        <w:rPr>
          <w:kern w:val="1"/>
          <w:sz w:val="22"/>
          <w:szCs w:val="22"/>
          <w:lang w:val="sr-Latn-RS"/>
        </w:rPr>
        <w:t>polietilenglikol-epoetinom beta</w:t>
      </w:r>
      <w:r w:rsidRPr="00206CF0">
        <w:rPr>
          <w:kern w:val="1"/>
          <w:sz w:val="22"/>
          <w:szCs w:val="22"/>
          <w:lang w:val="sr-Latn-RS"/>
        </w:rPr>
        <w:t xml:space="preserve"> nijesu bili uključeni u ovu analizu.</w:t>
      </w:r>
    </w:p>
    <w:p w:rsidR="00287577" w:rsidRPr="00206CF0" w:rsidRDefault="00287577" w:rsidP="00F55D06">
      <w:pPr>
        <w:jc w:val="both"/>
        <w:rPr>
          <w:kern w:val="1"/>
          <w:sz w:val="22"/>
          <w:szCs w:val="22"/>
          <w:lang w:val="sr-Latn-RS"/>
        </w:rPr>
      </w:pPr>
    </w:p>
    <w:p w:rsidR="00287577" w:rsidRPr="00206CF0" w:rsidRDefault="007C6923" w:rsidP="00F55D06">
      <w:pPr>
        <w:jc w:val="both"/>
        <w:rPr>
          <w:kern w:val="1"/>
          <w:sz w:val="22"/>
          <w:szCs w:val="22"/>
          <w:lang w:val="sr-Latn-RS"/>
        </w:rPr>
      </w:pPr>
      <w:r w:rsidRPr="00206CF0">
        <w:rPr>
          <w:kern w:val="1"/>
          <w:sz w:val="22"/>
          <w:szCs w:val="22"/>
          <w:lang w:val="sr-Latn-RS"/>
        </w:rPr>
        <w:t>Metoksi</w:t>
      </w:r>
      <w:r w:rsidR="00A633A9" w:rsidRPr="00206CF0">
        <w:rPr>
          <w:kern w:val="1"/>
          <w:sz w:val="22"/>
          <w:szCs w:val="22"/>
          <w:lang w:val="sr-Latn-RS"/>
        </w:rPr>
        <w:t xml:space="preserve"> </w:t>
      </w:r>
      <w:r w:rsidRPr="00206CF0">
        <w:rPr>
          <w:kern w:val="1"/>
          <w:sz w:val="22"/>
          <w:szCs w:val="22"/>
          <w:lang w:val="sr-Latn-RS"/>
        </w:rPr>
        <w:t>polietilenglikol-epoetin beta</w:t>
      </w:r>
      <w:r w:rsidR="00287577" w:rsidRPr="00206CF0">
        <w:rPr>
          <w:kern w:val="1"/>
          <w:sz w:val="22"/>
          <w:szCs w:val="22"/>
          <w:lang w:val="sr-Latn-RS"/>
        </w:rPr>
        <w:t xml:space="preserve"> nije odobrena za liječenje pacijenata sa anemijom koja je izazvana hemoterapijom (vidjeti dio 4.1 i 4.4).</w:t>
      </w:r>
    </w:p>
    <w:p w:rsidR="007C6923" w:rsidRPr="00206CF0" w:rsidRDefault="007C6923" w:rsidP="00F55D06">
      <w:pPr>
        <w:jc w:val="both"/>
        <w:rPr>
          <w:kern w:val="1"/>
          <w:sz w:val="22"/>
          <w:szCs w:val="22"/>
          <w:lang w:val="sr-Latn-RS"/>
        </w:rPr>
      </w:pPr>
    </w:p>
    <w:p w:rsidR="007C6923" w:rsidRPr="00206CF0" w:rsidRDefault="007C6923" w:rsidP="00F55D06">
      <w:pPr>
        <w:keepNext/>
        <w:keepLines/>
        <w:numPr>
          <w:ilvl w:val="12"/>
          <w:numId w:val="0"/>
        </w:numPr>
        <w:jc w:val="both"/>
        <w:rPr>
          <w:i/>
          <w:iCs/>
          <w:sz w:val="22"/>
          <w:szCs w:val="22"/>
          <w:u w:val="single"/>
          <w:lang w:val="sr-Latn-RS"/>
        </w:rPr>
      </w:pPr>
      <w:r w:rsidRPr="00206CF0">
        <w:rPr>
          <w:i/>
          <w:iCs/>
          <w:sz w:val="22"/>
          <w:szCs w:val="22"/>
          <w:u w:val="single"/>
          <w:lang w:val="sr-Latn-RS"/>
        </w:rPr>
        <w:lastRenderedPageBreak/>
        <w:t>Pedijatrijska populacija</w:t>
      </w:r>
    </w:p>
    <w:p w:rsidR="007C6923" w:rsidRPr="00206CF0" w:rsidRDefault="007C6923" w:rsidP="00F55D06">
      <w:pPr>
        <w:keepNext/>
        <w:keepLines/>
        <w:numPr>
          <w:ilvl w:val="12"/>
          <w:numId w:val="0"/>
        </w:numPr>
        <w:jc w:val="both"/>
        <w:rPr>
          <w:i/>
          <w:iCs/>
          <w:sz w:val="22"/>
          <w:szCs w:val="22"/>
          <w:lang w:val="sr-Latn-RS"/>
        </w:rPr>
      </w:pPr>
    </w:p>
    <w:p w:rsidR="007C6923" w:rsidRPr="00206CF0" w:rsidRDefault="007C6923" w:rsidP="00697E9D">
      <w:pPr>
        <w:numPr>
          <w:ilvl w:val="12"/>
          <w:numId w:val="0"/>
        </w:numPr>
        <w:ind w:right="-2"/>
        <w:jc w:val="both"/>
        <w:rPr>
          <w:sz w:val="22"/>
          <w:szCs w:val="22"/>
          <w:lang w:val="sr-Latn-RS"/>
        </w:rPr>
      </w:pPr>
      <w:r w:rsidRPr="00206CF0">
        <w:rPr>
          <w:sz w:val="22"/>
          <w:szCs w:val="22"/>
          <w:lang w:val="sr-Latn-RS"/>
        </w:rPr>
        <w:t>Kod pedijatrijskih pacijenata sprovedena su dva ispitivanja. Jedno je ispitivanje uključivalo intravensku primjenu (i.v.), a drugo su</w:t>
      </w:r>
      <w:r w:rsidR="00455457" w:rsidRPr="00206CF0">
        <w:rPr>
          <w:sz w:val="22"/>
          <w:szCs w:val="22"/>
          <w:lang w:val="sr-Latn-RS"/>
        </w:rPr>
        <w:t>b</w:t>
      </w:r>
      <w:r w:rsidRPr="00206CF0">
        <w:rPr>
          <w:sz w:val="22"/>
          <w:szCs w:val="22"/>
          <w:lang w:val="sr-Latn-RS"/>
        </w:rPr>
        <w:t>kutanu primjenu (s.c.) metoksi</w:t>
      </w:r>
      <w:r w:rsidR="00A633A9" w:rsidRPr="00206CF0">
        <w:rPr>
          <w:sz w:val="22"/>
          <w:szCs w:val="22"/>
          <w:lang w:val="sr-Latn-RS"/>
        </w:rPr>
        <w:t xml:space="preserve"> </w:t>
      </w:r>
      <w:r w:rsidRPr="00206CF0">
        <w:rPr>
          <w:sz w:val="22"/>
          <w:szCs w:val="22"/>
          <w:lang w:val="sr-Latn-RS"/>
        </w:rPr>
        <w:t>polietilenglikol-epoetina beta.</w:t>
      </w:r>
    </w:p>
    <w:p w:rsidR="007C6923" w:rsidRPr="00206CF0" w:rsidRDefault="007C6923">
      <w:pPr>
        <w:numPr>
          <w:ilvl w:val="12"/>
          <w:numId w:val="0"/>
        </w:numPr>
        <w:ind w:right="-2"/>
        <w:jc w:val="both"/>
        <w:rPr>
          <w:sz w:val="22"/>
          <w:szCs w:val="22"/>
          <w:lang w:val="sr-Latn-RS"/>
        </w:rPr>
      </w:pPr>
    </w:p>
    <w:p w:rsidR="007C6923" w:rsidRPr="00206CF0" w:rsidRDefault="007C6923">
      <w:pPr>
        <w:numPr>
          <w:ilvl w:val="12"/>
          <w:numId w:val="0"/>
        </w:numPr>
        <w:ind w:right="-2"/>
        <w:jc w:val="both"/>
        <w:rPr>
          <w:sz w:val="22"/>
          <w:szCs w:val="22"/>
          <w:lang w:val="sr-Latn-RS"/>
        </w:rPr>
      </w:pPr>
      <w:r w:rsidRPr="00206CF0">
        <w:rPr>
          <w:sz w:val="22"/>
          <w:szCs w:val="22"/>
          <w:lang w:val="sr-Latn-RS"/>
        </w:rPr>
        <w:t>Ispitivanje koje je uključivalo i.v primjenu bilo je otvoreno, multicentrično ispitivanje faze II sa jednom grupom ispitanika i primjenom višestrukih doza radi utvrđivanja doze (NH19707), koje je obuhvatilo 64 pedijatrijska pacijenata (uzrasta od 5 do 17 godina) sa hroničnom bolešću bubrega na hemodijalizi kako bi se oc</w:t>
      </w:r>
      <w:r w:rsidR="00455457" w:rsidRPr="00206CF0">
        <w:rPr>
          <w:sz w:val="22"/>
          <w:szCs w:val="22"/>
          <w:lang w:val="sr-Latn-RS"/>
        </w:rPr>
        <w:t>i</w:t>
      </w:r>
      <w:r w:rsidRPr="00206CF0">
        <w:rPr>
          <w:sz w:val="22"/>
          <w:szCs w:val="22"/>
          <w:lang w:val="sr-Latn-RS"/>
        </w:rPr>
        <w:t>jenila dva faktora konverzije (grupa 1 i grupa 2) u svrhu prelaska sa terapije održavanja i.v epoetinom alfa/beta ili darbepoetinom alfa na metoksi</w:t>
      </w:r>
      <w:r w:rsidR="00A633A9" w:rsidRPr="00206CF0">
        <w:rPr>
          <w:sz w:val="22"/>
          <w:szCs w:val="22"/>
          <w:lang w:val="sr-Latn-RS"/>
        </w:rPr>
        <w:t xml:space="preserve"> </w:t>
      </w:r>
      <w:r w:rsidRPr="00206CF0">
        <w:rPr>
          <w:sz w:val="22"/>
          <w:szCs w:val="22"/>
          <w:lang w:val="sr-Latn-RS"/>
        </w:rPr>
        <w:t xml:space="preserve">polietilenglikol-epoetin beta, primjenjen i.v jedanput svake 4 nedjelje tokom 20 nedjelja. Efikasnost se procjenjivala na osnovu promjene koncentracije hemoglobina (g/dl) od početka ispitivanja do perioda ocenjivanja. Prilagođena srednja vrijednost promjene nivoa hemoglobina od početka ispitivanja do perioda ocjenjivanja u grupi 1 iznosila je –0,74 g/dl [95% CI: -1,32 do -0,16], a u grupi 2 je iznosila </w:t>
      </w:r>
      <w:r w:rsidRPr="00206CF0">
        <w:rPr>
          <w:sz w:val="22"/>
          <w:szCs w:val="22"/>
          <w:lang w:val="sr-Latn-RS"/>
        </w:rPr>
        <w:noBreakHyphen/>
        <w:t xml:space="preserve">0,09 g/dl [95% CI: </w:t>
      </w:r>
      <w:r w:rsidRPr="00206CF0">
        <w:rPr>
          <w:sz w:val="22"/>
          <w:szCs w:val="22"/>
          <w:lang w:val="sr-Latn-RS"/>
        </w:rPr>
        <w:noBreakHyphen/>
        <w:t>0,45 do 0,26]. Kod 58% pacijenata u grupi 1 i 75% pacijenata u grupi 2 vrijednosti hemoglobina održale su se unutar ±1 g/dl u odnosu na početnu vrijednost, a kod njih 75% u grupi 1 i 81% u grupi 2 vrijednosti hemoglobina održale su se unutar raspona od 10 </w:t>
      </w:r>
      <w:r w:rsidRPr="00206CF0">
        <w:rPr>
          <w:sz w:val="22"/>
          <w:szCs w:val="22"/>
          <w:lang w:val="sr-Latn-RS"/>
        </w:rPr>
        <w:noBreakHyphen/>
        <w:t> 12 g/dl. Rezultati analiza podgrupa prema uzrastnim grupama (5 - 11 godina i 12 - 17 godina) odgovarali su onima prim</w:t>
      </w:r>
      <w:r w:rsidR="00455457" w:rsidRPr="00206CF0">
        <w:rPr>
          <w:sz w:val="22"/>
          <w:szCs w:val="22"/>
          <w:lang w:val="sr-Latn-RS"/>
        </w:rPr>
        <w:t>i</w:t>
      </w:r>
      <w:r w:rsidRPr="00206CF0">
        <w:rPr>
          <w:sz w:val="22"/>
          <w:szCs w:val="22"/>
          <w:lang w:val="sr-Latn-RS"/>
        </w:rPr>
        <w:t>jećenim u sveukupnoj populaciji. Pacijenti koji su dovršili 20</w:t>
      </w:r>
      <w:r w:rsidRPr="00206CF0">
        <w:rPr>
          <w:sz w:val="22"/>
          <w:szCs w:val="22"/>
          <w:lang w:val="sr-Latn-RS"/>
        </w:rPr>
        <w:noBreakHyphen/>
        <w:t>nedjeljno osnovno liječenje i odgovarajuće održavali nivoe hemoglobina mogli su se uključiti u neobavezni 52</w:t>
      </w:r>
      <w:r w:rsidRPr="00206CF0">
        <w:rPr>
          <w:sz w:val="22"/>
          <w:szCs w:val="22"/>
          <w:lang w:val="sr-Latn-RS"/>
        </w:rPr>
        <w:noBreakHyphen/>
        <w:t>ned</w:t>
      </w:r>
      <w:r w:rsidR="00370ACD" w:rsidRPr="00206CF0">
        <w:rPr>
          <w:sz w:val="22"/>
          <w:szCs w:val="22"/>
          <w:lang w:val="sr-Latn-RS"/>
        </w:rPr>
        <w:t>j</w:t>
      </w:r>
      <w:r w:rsidRPr="00206CF0">
        <w:rPr>
          <w:sz w:val="22"/>
          <w:szCs w:val="22"/>
          <w:lang w:val="sr-Latn-RS"/>
        </w:rPr>
        <w:t xml:space="preserve">eljni produžetak ispitivanja radi procjene bezbjednosti uz jednaku učestalost primjene.  </w:t>
      </w:r>
    </w:p>
    <w:p w:rsidR="007C6923" w:rsidRPr="00206CF0" w:rsidRDefault="007C6923">
      <w:pPr>
        <w:numPr>
          <w:ilvl w:val="12"/>
          <w:numId w:val="0"/>
        </w:numPr>
        <w:ind w:right="-2"/>
        <w:jc w:val="both"/>
        <w:rPr>
          <w:sz w:val="22"/>
          <w:szCs w:val="22"/>
          <w:lang w:val="sr-Latn-RS"/>
        </w:rPr>
      </w:pPr>
    </w:p>
    <w:p w:rsidR="007C6923" w:rsidRPr="00206CF0" w:rsidRDefault="007C6923">
      <w:pPr>
        <w:numPr>
          <w:ilvl w:val="12"/>
          <w:numId w:val="0"/>
        </w:numPr>
        <w:ind w:right="-2"/>
        <w:jc w:val="both"/>
        <w:rPr>
          <w:sz w:val="22"/>
          <w:szCs w:val="22"/>
          <w:lang w:val="sr-Latn-RS"/>
        </w:rPr>
      </w:pPr>
      <w:r w:rsidRPr="00206CF0">
        <w:rPr>
          <w:sz w:val="22"/>
          <w:szCs w:val="22"/>
          <w:lang w:val="sr-Latn-RS"/>
        </w:rPr>
        <w:t>Ispitivanje koje je uključivalo s.c. primjenu bilo je otvoreno, multicentrično, drugo ispitivanje faze II sa jednom grupom ispitanika radi utvrđivanja doze (NH19708), sprovedeno kod 40 pedijatrijskih pacijenata (uzrasta od 3 mesjeca do 17 godina) sa hroničnom bolešću bubrega koji su bili na dijalizi ili još nisu bili na dijalizi, kako bi se ocjenio faktor konverzije korišćen u grupi 2 u ispitivanju i.v. primjene u svrhu prelaska sa terapije održavanja s.c. epoetinom alfa/beta ili darboepoetinom alfa na metoksi</w:t>
      </w:r>
      <w:r w:rsidR="00A633A9" w:rsidRPr="00206CF0">
        <w:rPr>
          <w:sz w:val="22"/>
          <w:szCs w:val="22"/>
          <w:lang w:val="sr-Latn-RS"/>
        </w:rPr>
        <w:t xml:space="preserve"> </w:t>
      </w:r>
      <w:r w:rsidRPr="00206CF0">
        <w:rPr>
          <w:sz w:val="22"/>
          <w:szCs w:val="22"/>
          <w:lang w:val="sr-Latn-RS"/>
        </w:rPr>
        <w:t>polietilenglikol-epoetin beta, primjenjen s.c. jedanput svake 4 nedjelje tokom 20 nedjelja. Slično kao u spomenutom ispitivanju, u ovom je ispitivanju primarna mjera ishoda efikasnosti bila promjena koncentracije hemoglobina (g/d</w:t>
      </w:r>
      <w:r w:rsidR="00370ACD" w:rsidRPr="00206CF0">
        <w:rPr>
          <w:sz w:val="22"/>
          <w:szCs w:val="22"/>
          <w:lang w:val="sr-Latn-RS"/>
        </w:rPr>
        <w:t>l</w:t>
      </w:r>
      <w:r w:rsidRPr="00206CF0">
        <w:rPr>
          <w:sz w:val="22"/>
          <w:szCs w:val="22"/>
          <w:lang w:val="sr-Latn-RS"/>
        </w:rPr>
        <w:t xml:space="preserve">) od početka ispitivanja do perioda ocjenjivanja. Srednja vrijednost promjene koncentracije hemoglobina tokom perioda ocjenjivanja iznosila je 0,48 g/dl [95% CI: 0,15 do 0,82], što je bilo unutar granica ekvivalentnosti od </w:t>
      </w:r>
      <w:r w:rsidRPr="00206CF0">
        <w:rPr>
          <w:sz w:val="22"/>
          <w:szCs w:val="22"/>
          <w:lang w:val="sr-Latn-RS"/>
        </w:rPr>
        <w:noBreakHyphen/>
        <w:t>1 do +1 g/dl. Rezultati srednje vrijednosti promjene koncentracije hemoglobina prema uzrastnim grupama (&lt; 5 godina, 5 - 11 godina, ≥ 12 godina) odgovarali su rezultatima primarne mjere ishoda tokom perioda ocjenjivanja. Pacijenti koji su dovršili 20</w:t>
      </w:r>
      <w:r w:rsidRPr="00206CF0">
        <w:rPr>
          <w:sz w:val="22"/>
          <w:szCs w:val="22"/>
          <w:lang w:val="sr-Latn-RS"/>
        </w:rPr>
        <w:noBreakHyphen/>
        <w:t>nedjeljno osnovno liječenje i odgovarajuće održavali nivoe hemoglobina, mogli su se uključiti u neobavezni 24</w:t>
      </w:r>
      <w:r w:rsidRPr="00206CF0">
        <w:rPr>
          <w:sz w:val="22"/>
          <w:szCs w:val="22"/>
          <w:lang w:val="sr-Latn-RS"/>
        </w:rPr>
        <w:noBreakHyphen/>
        <w:t>nedjeljni produžetak ispitivanja radi procjene bezbjednosti uz jednaku učestalost primjene.</w:t>
      </w:r>
    </w:p>
    <w:p w:rsidR="007C6923" w:rsidRPr="00206CF0" w:rsidRDefault="007C6923">
      <w:pPr>
        <w:numPr>
          <w:ilvl w:val="12"/>
          <w:numId w:val="0"/>
        </w:numPr>
        <w:ind w:right="-2"/>
        <w:jc w:val="both"/>
        <w:rPr>
          <w:sz w:val="22"/>
          <w:szCs w:val="22"/>
          <w:lang w:val="sr-Latn-RS"/>
        </w:rPr>
      </w:pPr>
      <w:r w:rsidRPr="00206CF0">
        <w:rPr>
          <w:sz w:val="22"/>
          <w:szCs w:val="22"/>
          <w:lang w:val="sr-Latn-RS"/>
        </w:rPr>
        <w:t xml:space="preserve"> </w:t>
      </w:r>
    </w:p>
    <w:p w:rsidR="007C6923" w:rsidRPr="00206CF0" w:rsidRDefault="007C6923" w:rsidP="00F55D06">
      <w:pPr>
        <w:numPr>
          <w:ilvl w:val="12"/>
          <w:numId w:val="0"/>
        </w:numPr>
        <w:ind w:right="-2"/>
        <w:jc w:val="both"/>
        <w:rPr>
          <w:kern w:val="1"/>
          <w:sz w:val="22"/>
          <w:szCs w:val="22"/>
          <w:lang w:val="sr-Latn-RS"/>
        </w:rPr>
      </w:pPr>
      <w:r w:rsidRPr="00206CF0">
        <w:rPr>
          <w:sz w:val="22"/>
          <w:szCs w:val="22"/>
          <w:lang w:val="sr-Latn-RS"/>
        </w:rPr>
        <w:t>U oba su se ispitivanja srednje vrijednosti hemoglobina kod većine pacijenata održale unutar raspona od 10 do 12 g/dl tokom c</w:t>
      </w:r>
      <w:r w:rsidR="00455457" w:rsidRPr="00206CF0">
        <w:rPr>
          <w:sz w:val="22"/>
          <w:szCs w:val="22"/>
          <w:lang w:val="sr-Latn-RS"/>
        </w:rPr>
        <w:t>ij</w:t>
      </w:r>
      <w:r w:rsidRPr="00206CF0">
        <w:rPr>
          <w:sz w:val="22"/>
          <w:szCs w:val="22"/>
          <w:lang w:val="sr-Latn-RS"/>
        </w:rPr>
        <w:t>elog perioda ocjenjivanja i produžetka ispitivanja radi procjene bezbjednosti. U oba ispitivanja bezbejdnosni profil prim</w:t>
      </w:r>
      <w:r w:rsidR="00455457" w:rsidRPr="00206CF0">
        <w:rPr>
          <w:sz w:val="22"/>
          <w:szCs w:val="22"/>
          <w:lang w:val="sr-Latn-RS"/>
        </w:rPr>
        <w:t>i</w:t>
      </w:r>
      <w:r w:rsidRPr="00206CF0">
        <w:rPr>
          <w:sz w:val="22"/>
          <w:szCs w:val="22"/>
          <w:lang w:val="sr-Latn-RS"/>
        </w:rPr>
        <w:t>jećen kod pedijatrijskih pacijenata je odgovarao onom kod odraslih (vidjeti dio 4.8).</w:t>
      </w:r>
    </w:p>
    <w:p w:rsidR="00287577" w:rsidRPr="00206CF0" w:rsidRDefault="00287577" w:rsidP="00F55D06">
      <w:pPr>
        <w:tabs>
          <w:tab w:val="left" w:pos="540"/>
          <w:tab w:val="left" w:pos="569"/>
        </w:tabs>
        <w:jc w:val="both"/>
        <w:rPr>
          <w:b/>
          <w:bCs/>
          <w:sz w:val="22"/>
          <w:szCs w:val="22"/>
          <w:lang w:val="sr-Latn-RS"/>
        </w:rPr>
      </w:pPr>
    </w:p>
    <w:p w:rsidR="00287577" w:rsidRPr="00206CF0" w:rsidRDefault="0072020E" w:rsidP="00F55D06">
      <w:pPr>
        <w:tabs>
          <w:tab w:val="left" w:pos="540"/>
          <w:tab w:val="left" w:pos="569"/>
        </w:tabs>
        <w:jc w:val="both"/>
        <w:rPr>
          <w:b/>
          <w:bCs/>
          <w:sz w:val="22"/>
          <w:szCs w:val="22"/>
          <w:lang w:val="sr-Latn-RS"/>
        </w:rPr>
      </w:pPr>
      <w:r w:rsidRPr="00206CF0">
        <w:rPr>
          <w:b/>
          <w:bCs/>
          <w:sz w:val="22"/>
          <w:szCs w:val="22"/>
          <w:lang w:val="sr-Latn-RS"/>
        </w:rPr>
        <w:t xml:space="preserve">5.2. </w:t>
      </w:r>
      <w:r w:rsidR="00480FB1" w:rsidRPr="00206CF0">
        <w:rPr>
          <w:b/>
          <w:bCs/>
          <w:sz w:val="22"/>
          <w:szCs w:val="22"/>
          <w:lang w:val="sr-Latn-RS"/>
        </w:rPr>
        <w:tab/>
      </w:r>
      <w:r w:rsidRPr="00206CF0">
        <w:rPr>
          <w:b/>
          <w:bCs/>
          <w:sz w:val="22"/>
          <w:szCs w:val="22"/>
          <w:lang w:val="sr-Latn-RS"/>
        </w:rPr>
        <w:t>Farmakokinetički podaci</w:t>
      </w:r>
    </w:p>
    <w:p w:rsidR="00287577" w:rsidRPr="00206CF0" w:rsidRDefault="00287577" w:rsidP="00F55D06">
      <w:pPr>
        <w:tabs>
          <w:tab w:val="left" w:pos="540"/>
          <w:tab w:val="left" w:pos="569"/>
        </w:tabs>
        <w:jc w:val="both"/>
        <w:rPr>
          <w:b/>
          <w:bCs/>
          <w:sz w:val="22"/>
          <w:szCs w:val="22"/>
          <w:lang w:val="sr-Latn-RS"/>
        </w:rPr>
      </w:pPr>
    </w:p>
    <w:p w:rsidR="00C601DE" w:rsidRPr="00206CF0" w:rsidRDefault="00C601DE" w:rsidP="00F55D06">
      <w:pPr>
        <w:keepNext/>
        <w:keepLines/>
        <w:jc w:val="both"/>
        <w:rPr>
          <w:i/>
          <w:iCs/>
          <w:sz w:val="22"/>
          <w:szCs w:val="22"/>
          <w:lang w:val="sr-Latn-RS"/>
        </w:rPr>
      </w:pPr>
      <w:r w:rsidRPr="00206CF0">
        <w:rPr>
          <w:i/>
          <w:iCs/>
          <w:sz w:val="22"/>
          <w:szCs w:val="22"/>
          <w:lang w:val="sr-Latn-RS"/>
        </w:rPr>
        <w:t>Odrasla populacija</w:t>
      </w:r>
    </w:p>
    <w:p w:rsidR="00C601DE" w:rsidRPr="00206CF0" w:rsidRDefault="00C601DE" w:rsidP="00F55D06">
      <w:pPr>
        <w:jc w:val="both"/>
        <w:rPr>
          <w:sz w:val="22"/>
          <w:szCs w:val="22"/>
          <w:lang w:val="sr-Latn-RS"/>
        </w:rPr>
      </w:pPr>
    </w:p>
    <w:p w:rsidR="00287577" w:rsidRPr="00206CF0" w:rsidRDefault="00287577" w:rsidP="00F55D06">
      <w:pPr>
        <w:jc w:val="both"/>
        <w:rPr>
          <w:sz w:val="22"/>
          <w:szCs w:val="22"/>
          <w:lang w:val="sr-Latn-RS"/>
        </w:rPr>
      </w:pPr>
      <w:r w:rsidRPr="00206CF0">
        <w:rPr>
          <w:sz w:val="22"/>
          <w:szCs w:val="22"/>
          <w:lang w:val="sr-Latn-RS"/>
        </w:rPr>
        <w:t>Farmakokinetika lijeka metoksi</w:t>
      </w:r>
      <w:r w:rsidR="00A633A9" w:rsidRPr="00206CF0">
        <w:rPr>
          <w:sz w:val="22"/>
          <w:szCs w:val="22"/>
          <w:lang w:val="sr-Latn-RS"/>
        </w:rPr>
        <w:t xml:space="preserve"> </w:t>
      </w:r>
      <w:r w:rsidRPr="00206CF0">
        <w:rPr>
          <w:sz w:val="22"/>
          <w:szCs w:val="22"/>
          <w:lang w:val="sr-Latn-RS"/>
        </w:rPr>
        <w:t>polietilenglikol-epoetin beta ispitivana je na zdravim dobrovoljcima i na anemičnim pacijentima sa HOB uključujući pacijente na dijalizi i one koji se ne dijaliziraju.</w:t>
      </w:r>
    </w:p>
    <w:p w:rsidR="00287577" w:rsidRPr="00206CF0" w:rsidRDefault="00287577" w:rsidP="00F55D06">
      <w:pPr>
        <w:tabs>
          <w:tab w:val="left" w:pos="1410"/>
        </w:tabs>
        <w:jc w:val="both"/>
        <w:rPr>
          <w:sz w:val="22"/>
          <w:szCs w:val="22"/>
          <w:lang w:val="sr-Latn-RS"/>
        </w:rPr>
      </w:pPr>
      <w:r w:rsidRPr="00206CF0">
        <w:rPr>
          <w:sz w:val="22"/>
          <w:szCs w:val="22"/>
          <w:lang w:val="sr-Latn-RS"/>
        </w:rPr>
        <w:tab/>
      </w:r>
    </w:p>
    <w:p w:rsidR="00287577" w:rsidRPr="00206CF0" w:rsidRDefault="00287577" w:rsidP="00F55D06">
      <w:pPr>
        <w:jc w:val="both"/>
        <w:rPr>
          <w:sz w:val="22"/>
          <w:szCs w:val="22"/>
          <w:lang w:val="sr-Latn-RS"/>
        </w:rPr>
      </w:pPr>
      <w:r w:rsidRPr="00206CF0">
        <w:rPr>
          <w:sz w:val="22"/>
          <w:szCs w:val="22"/>
          <w:lang w:val="sr-Latn-RS"/>
        </w:rPr>
        <w:t>Po subkutanom davanju pacijentima sa HOB koji se ne dijaliziraju maksimalne koncentracije metoksi polietilen glikol-epoetina beta u serumu zabilježene su 95 časova (vrijednost medijane) nakon primjene. Apsolutna bioraspoloživost  metoksi polietilen glikol-epoetina beta nakon subkutane primjene iznosila je 54%. Zabilježeni terminalni poluživot eliminacije iznosio je 142 časa kod pacijenata sa HOB koji se ne dijaliziraju.</w:t>
      </w:r>
    </w:p>
    <w:p w:rsidR="00287577" w:rsidRPr="00206CF0" w:rsidRDefault="00287577" w:rsidP="00F55D06">
      <w:pPr>
        <w:jc w:val="both"/>
        <w:rPr>
          <w:sz w:val="22"/>
          <w:szCs w:val="22"/>
          <w:lang w:val="sr-Latn-RS"/>
        </w:rPr>
      </w:pPr>
    </w:p>
    <w:p w:rsidR="00287577" w:rsidRPr="00206CF0" w:rsidRDefault="00287577" w:rsidP="00F55D06">
      <w:pPr>
        <w:jc w:val="both"/>
        <w:rPr>
          <w:sz w:val="22"/>
          <w:szCs w:val="22"/>
          <w:lang w:val="sr-Latn-RS"/>
        </w:rPr>
      </w:pPr>
      <w:r w:rsidRPr="00206CF0">
        <w:rPr>
          <w:sz w:val="22"/>
          <w:szCs w:val="22"/>
          <w:lang w:val="sr-Latn-RS"/>
        </w:rPr>
        <w:lastRenderedPageBreak/>
        <w:t xml:space="preserve">Nakon subkutane primjene kod pacijenata sa HOB na dijalizi, maksimalne koncentracije metoksi polietilen glikol-epoetina u serumu zabilježene su 72 časa (vrijednost medijane) nakon primjene. Apsolutna bioraspoloživost  metoksi polietilen glikol-epoetina beta nakon subkutane primjene iznosila je 62%, a zabilježeni terminalni poluživot eliminacije iznosio je 139 časova kod pacijenata sa HOB koji su na programu dijalize. </w:t>
      </w:r>
    </w:p>
    <w:p w:rsidR="00287577" w:rsidRPr="00206CF0" w:rsidRDefault="00287577" w:rsidP="00F55D06">
      <w:pPr>
        <w:jc w:val="both"/>
        <w:rPr>
          <w:sz w:val="22"/>
          <w:szCs w:val="22"/>
          <w:lang w:val="sr-Latn-RS"/>
        </w:rPr>
      </w:pPr>
    </w:p>
    <w:p w:rsidR="00287577" w:rsidRPr="00206CF0" w:rsidRDefault="00287577" w:rsidP="00F55D06">
      <w:pPr>
        <w:jc w:val="both"/>
        <w:rPr>
          <w:sz w:val="22"/>
          <w:szCs w:val="22"/>
          <w:lang w:val="sr-Latn-RS"/>
        </w:rPr>
      </w:pPr>
      <w:r w:rsidRPr="00206CF0">
        <w:rPr>
          <w:sz w:val="22"/>
          <w:szCs w:val="22"/>
          <w:lang w:val="sr-Latn-RS"/>
        </w:rPr>
        <w:t>Nakon intravenskog davanja pacijentima sa HOB koji su na programu dijalize ukupni sistemski klirens bio je 0,494 ml/h/kg tjelesne težine. Poluživot eliminacije nakon intravenskog davanja lijeka metoksi</w:t>
      </w:r>
      <w:r w:rsidR="00D0241E" w:rsidRPr="00206CF0">
        <w:rPr>
          <w:sz w:val="22"/>
          <w:szCs w:val="22"/>
          <w:lang w:val="sr-Latn-RS"/>
        </w:rPr>
        <w:t xml:space="preserve"> </w:t>
      </w:r>
      <w:r w:rsidRPr="00206CF0">
        <w:rPr>
          <w:sz w:val="22"/>
          <w:szCs w:val="22"/>
          <w:lang w:val="sr-Latn-RS"/>
        </w:rPr>
        <w:t>polietilenglikol-epoetin beta iznosi 134 časa.</w:t>
      </w:r>
    </w:p>
    <w:p w:rsidR="00287577" w:rsidRPr="00206CF0" w:rsidRDefault="00287577" w:rsidP="00F55D06">
      <w:pPr>
        <w:jc w:val="both"/>
        <w:rPr>
          <w:sz w:val="22"/>
          <w:szCs w:val="22"/>
          <w:lang w:val="sr-Latn-RS"/>
        </w:rPr>
      </w:pPr>
    </w:p>
    <w:p w:rsidR="00287577" w:rsidRPr="00206CF0" w:rsidRDefault="00287577" w:rsidP="00F55D06">
      <w:pPr>
        <w:jc w:val="both"/>
        <w:rPr>
          <w:sz w:val="22"/>
          <w:szCs w:val="22"/>
          <w:lang w:val="sr-Latn-RS"/>
        </w:rPr>
      </w:pPr>
      <w:r w:rsidRPr="00206CF0">
        <w:rPr>
          <w:sz w:val="22"/>
          <w:szCs w:val="22"/>
          <w:lang w:val="sr-Latn-RS"/>
        </w:rPr>
        <w:t>Poređenje koncentracije lijeka metoksi</w:t>
      </w:r>
      <w:r w:rsidR="00D0241E" w:rsidRPr="00206CF0">
        <w:rPr>
          <w:sz w:val="22"/>
          <w:szCs w:val="22"/>
          <w:lang w:val="sr-Latn-RS"/>
        </w:rPr>
        <w:t xml:space="preserve"> </w:t>
      </w:r>
      <w:r w:rsidRPr="00206CF0">
        <w:rPr>
          <w:sz w:val="22"/>
          <w:szCs w:val="22"/>
          <w:lang w:val="sr-Latn-RS"/>
        </w:rPr>
        <w:t>polietilenglikol-epoetin beta u serumu mjerene prije i poslije hemodijalize kod 41 pacijenta sa HOB pokazalo je da hemodijaliza nema uticaja na farmakokinetiku ovog lijeka.</w:t>
      </w:r>
    </w:p>
    <w:p w:rsidR="00287577" w:rsidRPr="00206CF0" w:rsidRDefault="00287577" w:rsidP="00F55D06">
      <w:pPr>
        <w:jc w:val="both"/>
        <w:rPr>
          <w:sz w:val="22"/>
          <w:szCs w:val="22"/>
          <w:lang w:val="sr-Latn-RS"/>
        </w:rPr>
      </w:pPr>
    </w:p>
    <w:p w:rsidR="00287577" w:rsidRPr="00206CF0" w:rsidRDefault="00287577" w:rsidP="00F55D06">
      <w:pPr>
        <w:jc w:val="both"/>
        <w:rPr>
          <w:sz w:val="22"/>
          <w:szCs w:val="22"/>
          <w:lang w:val="sr-Latn-RS"/>
        </w:rPr>
      </w:pPr>
      <w:r w:rsidRPr="00206CF0">
        <w:rPr>
          <w:sz w:val="22"/>
          <w:szCs w:val="22"/>
          <w:lang w:val="sr-Latn-RS"/>
        </w:rPr>
        <w:t>Analiza kod 126 pacijenata sa HOB pokazala je da nema farmakokinetičkih razlika između pacijenata koji su na hemodijalizi i onih koji nisu.</w:t>
      </w:r>
    </w:p>
    <w:p w:rsidR="00287577" w:rsidRPr="00206CF0" w:rsidRDefault="00287577" w:rsidP="00F55D06">
      <w:pPr>
        <w:jc w:val="both"/>
        <w:rPr>
          <w:sz w:val="22"/>
          <w:szCs w:val="22"/>
          <w:lang w:val="sr-Latn-RS"/>
        </w:rPr>
      </w:pPr>
    </w:p>
    <w:p w:rsidR="0072020E" w:rsidRPr="00206CF0" w:rsidRDefault="00287577" w:rsidP="00F55D06">
      <w:pPr>
        <w:jc w:val="both"/>
        <w:rPr>
          <w:sz w:val="22"/>
          <w:szCs w:val="22"/>
          <w:lang w:val="sr-Latn-RS"/>
        </w:rPr>
      </w:pPr>
      <w:r w:rsidRPr="00206CF0">
        <w:rPr>
          <w:sz w:val="22"/>
          <w:szCs w:val="22"/>
          <w:lang w:val="sr-Latn-RS"/>
        </w:rPr>
        <w:t>U studiji, nakon intravenskog davanja, farmakokinetika metoksipolietilenglikola-epoetin beta je slična kod pacijenata sa teškim oštećenjem jetre u poređenju sa zdravim pojedincima (vidi dio 4.2).</w:t>
      </w:r>
      <w:r w:rsidR="003A7059" w:rsidRPr="00206CF0">
        <w:rPr>
          <w:b/>
          <w:bCs/>
          <w:sz w:val="22"/>
          <w:szCs w:val="22"/>
          <w:lang w:val="sr-Latn-RS"/>
        </w:rPr>
        <w:t xml:space="preserve"> </w:t>
      </w:r>
    </w:p>
    <w:p w:rsidR="00C601DE" w:rsidRPr="00206CF0" w:rsidRDefault="00C601DE" w:rsidP="00F55D06">
      <w:pPr>
        <w:keepNext/>
        <w:jc w:val="both"/>
        <w:rPr>
          <w:i/>
          <w:iCs/>
          <w:sz w:val="22"/>
          <w:szCs w:val="22"/>
          <w:u w:val="single"/>
          <w:lang w:val="sr-Latn-RS"/>
        </w:rPr>
      </w:pPr>
    </w:p>
    <w:p w:rsidR="00C601DE" w:rsidRPr="00206CF0" w:rsidRDefault="00C601DE" w:rsidP="00F55D06">
      <w:pPr>
        <w:keepNext/>
        <w:jc w:val="both"/>
        <w:rPr>
          <w:i/>
          <w:iCs/>
          <w:sz w:val="22"/>
          <w:szCs w:val="22"/>
          <w:u w:val="single"/>
          <w:lang w:val="sr-Latn-RS"/>
        </w:rPr>
      </w:pPr>
      <w:r w:rsidRPr="00206CF0">
        <w:rPr>
          <w:i/>
          <w:iCs/>
          <w:sz w:val="22"/>
          <w:szCs w:val="22"/>
          <w:u w:val="single"/>
          <w:lang w:val="sr-Latn-RS"/>
        </w:rPr>
        <w:t>Pedijatrijska populacija</w:t>
      </w:r>
    </w:p>
    <w:p w:rsidR="00C601DE" w:rsidRPr="00206CF0" w:rsidRDefault="00C601DE" w:rsidP="00F55D06">
      <w:pPr>
        <w:keepNext/>
        <w:jc w:val="both"/>
        <w:rPr>
          <w:sz w:val="22"/>
          <w:szCs w:val="22"/>
          <w:lang w:val="sr-Latn-RS"/>
        </w:rPr>
      </w:pPr>
    </w:p>
    <w:p w:rsidR="00C601DE" w:rsidRPr="00206CF0" w:rsidRDefault="00C601DE" w:rsidP="00697E9D">
      <w:pPr>
        <w:jc w:val="both"/>
        <w:rPr>
          <w:sz w:val="22"/>
          <w:szCs w:val="22"/>
          <w:lang w:val="sr-Latn-RS"/>
        </w:rPr>
      </w:pPr>
      <w:r w:rsidRPr="00206CF0">
        <w:rPr>
          <w:sz w:val="22"/>
          <w:szCs w:val="22"/>
          <w:lang w:val="sr-Latn-RS"/>
        </w:rPr>
        <w:t>Sprovedena je populacijska farmakokinetička analiza za</w:t>
      </w:r>
      <w:r w:rsidR="00455457" w:rsidRPr="00206CF0">
        <w:rPr>
          <w:sz w:val="22"/>
          <w:szCs w:val="22"/>
          <w:lang w:val="sr-Latn-RS"/>
        </w:rPr>
        <w:t>snovana na podacima prikupljenim</w:t>
      </w:r>
      <w:r w:rsidRPr="00206CF0">
        <w:rPr>
          <w:sz w:val="22"/>
          <w:szCs w:val="22"/>
          <w:lang w:val="sr-Latn-RS"/>
        </w:rPr>
        <w:t xml:space="preserve"> u 103 pedijatrijska pacijenta uzrasta od 6 mjeseci do 17 godina i tjelesne mase u rasponu od 7 do 90 kg i 524 odrasla pacijenta. Pedijatrijski pacijenti primali su metoksi</w:t>
      </w:r>
      <w:r w:rsidR="00D0241E" w:rsidRPr="00206CF0">
        <w:rPr>
          <w:sz w:val="22"/>
          <w:szCs w:val="22"/>
          <w:lang w:val="sr-Latn-RS"/>
        </w:rPr>
        <w:t xml:space="preserve"> </w:t>
      </w:r>
      <w:r w:rsidRPr="00206CF0">
        <w:rPr>
          <w:sz w:val="22"/>
          <w:szCs w:val="22"/>
          <w:lang w:val="sr-Latn-RS"/>
        </w:rPr>
        <w:t>polietilenglikol-epoetin beta i.v. (svi pacijenti na hemodijalizi) ili s.c. (pacijenti na peritonejskoj dijalizi, hemodijalizi ili pacijenti koji još nisu bili na dijalizi). Pokazalo se da se klirens i volumen distribucije povećavaju sa porastom tjelesne mase, a volumen distribucije i sa uzrastom. Prim</w:t>
      </w:r>
      <w:r w:rsidR="00455457" w:rsidRPr="00206CF0">
        <w:rPr>
          <w:sz w:val="22"/>
          <w:szCs w:val="22"/>
          <w:lang w:val="sr-Latn-RS"/>
        </w:rPr>
        <w:t>i</w:t>
      </w:r>
      <w:r w:rsidRPr="00206CF0">
        <w:rPr>
          <w:sz w:val="22"/>
          <w:szCs w:val="22"/>
          <w:lang w:val="sr-Latn-RS"/>
        </w:rPr>
        <w:t>jećene maksimalne i minimalne koncentracije metoksi polietilenglikol-epoetina beta u serumu kod pedijatrijskih pacijenata prikupljene nakon stabilizacije njihovih nivoa hemoglobina bile su uporedive sa onima prim</w:t>
      </w:r>
      <w:r w:rsidR="00455457" w:rsidRPr="00206CF0">
        <w:rPr>
          <w:sz w:val="22"/>
          <w:szCs w:val="22"/>
          <w:lang w:val="sr-Latn-RS"/>
        </w:rPr>
        <w:t>i</w:t>
      </w:r>
      <w:r w:rsidRPr="00206CF0">
        <w:rPr>
          <w:sz w:val="22"/>
          <w:szCs w:val="22"/>
          <w:lang w:val="sr-Latn-RS"/>
        </w:rPr>
        <w:t xml:space="preserve">jećenim kod odraslih za oba puta primjene, odnosno i za i.v. i s.c. primjenu. </w:t>
      </w:r>
    </w:p>
    <w:p w:rsidR="0072020E" w:rsidRPr="00206CF0" w:rsidRDefault="00370ACD" w:rsidP="00F55D06">
      <w:pPr>
        <w:tabs>
          <w:tab w:val="left" w:pos="915"/>
        </w:tabs>
        <w:jc w:val="both"/>
        <w:rPr>
          <w:bCs/>
          <w:sz w:val="22"/>
          <w:szCs w:val="22"/>
          <w:lang w:val="sr-Latn-RS"/>
        </w:rPr>
      </w:pPr>
      <w:r w:rsidRPr="00206CF0">
        <w:rPr>
          <w:sz w:val="22"/>
          <w:szCs w:val="22"/>
          <w:lang w:val="sr-Latn-RS"/>
        </w:rPr>
        <w:tab/>
      </w:r>
    </w:p>
    <w:p w:rsidR="0072020E" w:rsidRPr="00206CF0" w:rsidRDefault="0072020E" w:rsidP="00F55D06">
      <w:pPr>
        <w:tabs>
          <w:tab w:val="left" w:pos="540"/>
          <w:tab w:val="left" w:pos="569"/>
        </w:tabs>
        <w:jc w:val="both"/>
        <w:rPr>
          <w:b/>
          <w:bCs/>
          <w:sz w:val="22"/>
          <w:szCs w:val="22"/>
          <w:lang w:val="sr-Latn-RS"/>
        </w:rPr>
      </w:pPr>
      <w:r w:rsidRPr="00206CF0">
        <w:rPr>
          <w:b/>
          <w:bCs/>
          <w:sz w:val="22"/>
          <w:szCs w:val="22"/>
          <w:lang w:val="sr-Latn-RS"/>
        </w:rPr>
        <w:t xml:space="preserve">5.3. </w:t>
      </w:r>
      <w:r w:rsidR="00480FB1" w:rsidRPr="00206CF0">
        <w:rPr>
          <w:b/>
          <w:bCs/>
          <w:sz w:val="22"/>
          <w:szCs w:val="22"/>
          <w:lang w:val="sr-Latn-RS"/>
        </w:rPr>
        <w:tab/>
      </w:r>
      <w:r w:rsidRPr="00206CF0">
        <w:rPr>
          <w:b/>
          <w:bCs/>
          <w:sz w:val="22"/>
          <w:szCs w:val="22"/>
          <w:lang w:val="sr-Latn-RS"/>
        </w:rPr>
        <w:t xml:space="preserve">Pretklinički podaci o bezbjednosti </w:t>
      </w:r>
    </w:p>
    <w:p w:rsidR="00836B35" w:rsidRPr="00206CF0" w:rsidRDefault="00836B35" w:rsidP="00F55D06">
      <w:pPr>
        <w:tabs>
          <w:tab w:val="left" w:pos="540"/>
          <w:tab w:val="left" w:pos="569"/>
        </w:tabs>
        <w:jc w:val="both"/>
        <w:rPr>
          <w:bCs/>
          <w:sz w:val="22"/>
          <w:szCs w:val="22"/>
          <w:lang w:val="sr-Latn-RS"/>
        </w:rPr>
      </w:pPr>
    </w:p>
    <w:p w:rsidR="00287577" w:rsidRPr="00206CF0" w:rsidRDefault="00287577" w:rsidP="00F55D06">
      <w:pPr>
        <w:jc w:val="both"/>
        <w:rPr>
          <w:sz w:val="22"/>
          <w:szCs w:val="22"/>
          <w:lang w:val="sr-Latn-RS"/>
        </w:rPr>
      </w:pPr>
      <w:r w:rsidRPr="00206CF0">
        <w:rPr>
          <w:sz w:val="22"/>
          <w:szCs w:val="22"/>
          <w:lang w:val="sr-Latn-RS"/>
        </w:rPr>
        <w:t>Pretklinički podaci ne pokazuju posebne opasnosti za ljude na bazi konvencionalnih studija kardiovaskularne bezbjednosti, farmakologije, toksičnosti ponovljenih doza i reproduktivne toksičnosti.</w:t>
      </w:r>
    </w:p>
    <w:p w:rsidR="00287577" w:rsidRPr="00206CF0" w:rsidRDefault="00287577" w:rsidP="00F55D06">
      <w:pPr>
        <w:jc w:val="both"/>
        <w:rPr>
          <w:sz w:val="22"/>
          <w:szCs w:val="22"/>
          <w:lang w:val="sr-Latn-RS"/>
        </w:rPr>
      </w:pPr>
      <w:r w:rsidRPr="00206CF0">
        <w:rPr>
          <w:sz w:val="22"/>
          <w:szCs w:val="22"/>
          <w:lang w:val="sr-Latn-RS"/>
        </w:rPr>
        <w:t>Karcinogeni potencijal lijeka metoksi</w:t>
      </w:r>
      <w:r w:rsidR="00D0241E" w:rsidRPr="00206CF0">
        <w:rPr>
          <w:sz w:val="22"/>
          <w:szCs w:val="22"/>
          <w:lang w:val="sr-Latn-RS"/>
        </w:rPr>
        <w:t xml:space="preserve"> </w:t>
      </w:r>
      <w:r w:rsidRPr="00206CF0">
        <w:rPr>
          <w:sz w:val="22"/>
          <w:szCs w:val="22"/>
          <w:lang w:val="sr-Latn-RS"/>
        </w:rPr>
        <w:t xml:space="preserve">polietilenglikol-epoetin beta nije ispitivan u dugoročnim  studijama na životinjama. On nije doveo do proliferativnog odgovora kod tumorskih ćelija koje ne potiču od hematopoeznog tkiva u </w:t>
      </w:r>
      <w:r w:rsidRPr="00206CF0">
        <w:rPr>
          <w:i/>
          <w:sz w:val="22"/>
          <w:szCs w:val="22"/>
          <w:lang w:val="sr-Latn-RS"/>
        </w:rPr>
        <w:t>in vitro linijama</w:t>
      </w:r>
      <w:r w:rsidRPr="00206CF0">
        <w:rPr>
          <w:sz w:val="22"/>
          <w:szCs w:val="22"/>
          <w:lang w:val="sr-Latn-RS"/>
        </w:rPr>
        <w:t xml:space="preserve">. U jednoj šestomjesečnoj studiji toksičnosti na pacovima, odnosno njihovim tumorskim ćelijama koje ne potiču od hematopoeznog tkiva, nije zabilježen ni povećan tumorski, niti neočekivani mitogeni odgovor. Uz to, korišćenjem </w:t>
      </w:r>
      <w:r w:rsidRPr="00206CF0">
        <w:rPr>
          <w:i/>
          <w:sz w:val="22"/>
          <w:szCs w:val="22"/>
          <w:lang w:val="sr-Latn-RS"/>
        </w:rPr>
        <w:t>in vitro različitih ćelijskih linija humanih tkiva</w:t>
      </w:r>
      <w:r w:rsidRPr="00206CF0">
        <w:rPr>
          <w:sz w:val="22"/>
          <w:szCs w:val="22"/>
          <w:lang w:val="sr-Latn-RS"/>
        </w:rPr>
        <w:t xml:space="preserve"> vezivanje metoksi</w:t>
      </w:r>
      <w:r w:rsidR="00D0241E" w:rsidRPr="00206CF0">
        <w:rPr>
          <w:sz w:val="22"/>
          <w:szCs w:val="22"/>
          <w:lang w:val="sr-Latn-RS"/>
        </w:rPr>
        <w:t xml:space="preserve"> </w:t>
      </w:r>
      <w:r w:rsidRPr="00206CF0">
        <w:rPr>
          <w:sz w:val="22"/>
          <w:szCs w:val="22"/>
          <w:lang w:val="sr-Latn-RS"/>
        </w:rPr>
        <w:t>polietilenglikol-epoetin beta zabilježeno je samo za ciljne ćelije (progenitorske ćelije koštane srži).</w:t>
      </w:r>
    </w:p>
    <w:p w:rsidR="00287577" w:rsidRPr="00206CF0" w:rsidRDefault="00287577" w:rsidP="00F55D06">
      <w:pPr>
        <w:jc w:val="both"/>
        <w:rPr>
          <w:sz w:val="22"/>
          <w:szCs w:val="22"/>
          <w:lang w:val="sr-Latn-RS"/>
        </w:rPr>
      </w:pPr>
      <w:r w:rsidRPr="00206CF0">
        <w:rPr>
          <w:sz w:val="22"/>
          <w:szCs w:val="22"/>
          <w:lang w:val="sr-Latn-RS"/>
        </w:rPr>
        <w:t>Nije zabilježen ni značajni prolazak lijeka metoksi</w:t>
      </w:r>
      <w:r w:rsidR="00D0241E" w:rsidRPr="00206CF0">
        <w:rPr>
          <w:sz w:val="22"/>
          <w:szCs w:val="22"/>
          <w:lang w:val="sr-Latn-RS"/>
        </w:rPr>
        <w:t xml:space="preserve"> </w:t>
      </w:r>
      <w:r w:rsidRPr="00206CF0">
        <w:rPr>
          <w:sz w:val="22"/>
          <w:szCs w:val="22"/>
          <w:lang w:val="sr-Latn-RS"/>
        </w:rPr>
        <w:t>polietilenglikol-epoetin beta kroz placentu pacova, a ispitivanja na životinjama  nisu pokazala nikakvo štetno dejstvo na trudnoću, embrionalni/fetalni razvoj, porođaj ili postnatalni razvoj. Međutim, primijećeno je reverzibilno smanjenje težine fetusa i smanjenje postnatalnog porasta tjelesne težine potomaka koje je karakteristično za cijelu klasu ovih lijekova, i to pri dozama koje su dovodile i do pretjeranih farmakodinamskih efekata kod majki. Fizički, kognitivni ili seksualni razvoj potomaka majki koje su primale lijek metoksi</w:t>
      </w:r>
      <w:r w:rsidR="00D0241E" w:rsidRPr="00206CF0">
        <w:rPr>
          <w:sz w:val="22"/>
          <w:szCs w:val="22"/>
          <w:lang w:val="sr-Latn-RS"/>
        </w:rPr>
        <w:t xml:space="preserve"> </w:t>
      </w:r>
      <w:r w:rsidRPr="00206CF0">
        <w:rPr>
          <w:sz w:val="22"/>
          <w:szCs w:val="22"/>
          <w:lang w:val="sr-Latn-RS"/>
        </w:rPr>
        <w:t>polietilenglikol-epoetin beta</w:t>
      </w:r>
      <w:r w:rsidRPr="00206CF0">
        <w:rPr>
          <w:bCs/>
          <w:iCs/>
          <w:sz w:val="22"/>
          <w:szCs w:val="22"/>
          <w:lang w:val="sr-Latn-RS"/>
        </w:rPr>
        <w:t xml:space="preserve"> tokom gestacije i laktacije nije bio ugrožen. Kada je </w:t>
      </w:r>
      <w:r w:rsidRPr="00206CF0">
        <w:rPr>
          <w:sz w:val="22"/>
          <w:szCs w:val="22"/>
          <w:lang w:val="sr-Latn-RS"/>
        </w:rPr>
        <w:t>metoksi</w:t>
      </w:r>
      <w:r w:rsidR="00D0241E" w:rsidRPr="00206CF0">
        <w:rPr>
          <w:sz w:val="22"/>
          <w:szCs w:val="22"/>
          <w:lang w:val="sr-Latn-RS"/>
        </w:rPr>
        <w:t xml:space="preserve"> </w:t>
      </w:r>
      <w:r w:rsidRPr="00206CF0">
        <w:rPr>
          <w:sz w:val="22"/>
          <w:szCs w:val="22"/>
          <w:lang w:val="sr-Latn-RS"/>
        </w:rPr>
        <w:t>polietilenglikol-epoetin beta davana su</w:t>
      </w:r>
      <w:r w:rsidR="00370ACD" w:rsidRPr="00206CF0">
        <w:rPr>
          <w:sz w:val="22"/>
          <w:szCs w:val="22"/>
          <w:lang w:val="sr-Latn-RS"/>
        </w:rPr>
        <w:t>b</w:t>
      </w:r>
      <w:r w:rsidRPr="00206CF0">
        <w:rPr>
          <w:sz w:val="22"/>
          <w:szCs w:val="22"/>
          <w:lang w:val="sr-Latn-RS"/>
        </w:rPr>
        <w:t xml:space="preserve">kutano mužjacima i ženkama pacova prije i tokom parenja, njihov reproduktivni učinak, fertilnost i parametri sperme nisu bili ugroženi. </w:t>
      </w:r>
    </w:p>
    <w:p w:rsidR="00004273" w:rsidRPr="00206CF0" w:rsidRDefault="00004273" w:rsidP="00F55D06">
      <w:pPr>
        <w:tabs>
          <w:tab w:val="left" w:pos="540"/>
          <w:tab w:val="left" w:pos="569"/>
        </w:tabs>
        <w:jc w:val="both"/>
        <w:rPr>
          <w:b/>
          <w:bCs/>
          <w:sz w:val="22"/>
          <w:szCs w:val="22"/>
          <w:lang w:val="sr-Latn-RS"/>
        </w:rPr>
      </w:pPr>
    </w:p>
    <w:p w:rsidR="00004273" w:rsidRDefault="00004273" w:rsidP="00F55D06">
      <w:pPr>
        <w:tabs>
          <w:tab w:val="left" w:pos="540"/>
          <w:tab w:val="left" w:pos="569"/>
        </w:tabs>
        <w:jc w:val="both"/>
        <w:rPr>
          <w:b/>
          <w:bCs/>
          <w:sz w:val="22"/>
          <w:szCs w:val="22"/>
          <w:lang w:val="sr-Latn-RS"/>
        </w:rPr>
      </w:pPr>
    </w:p>
    <w:p w:rsidR="00206CF0" w:rsidRDefault="00206CF0" w:rsidP="00F55D06">
      <w:pPr>
        <w:tabs>
          <w:tab w:val="left" w:pos="540"/>
          <w:tab w:val="left" w:pos="569"/>
        </w:tabs>
        <w:jc w:val="both"/>
        <w:rPr>
          <w:b/>
          <w:bCs/>
          <w:sz w:val="22"/>
          <w:szCs w:val="22"/>
          <w:lang w:val="sr-Latn-RS"/>
        </w:rPr>
      </w:pPr>
    </w:p>
    <w:p w:rsidR="00206CF0" w:rsidRDefault="00206CF0" w:rsidP="00F55D06">
      <w:pPr>
        <w:tabs>
          <w:tab w:val="left" w:pos="540"/>
          <w:tab w:val="left" w:pos="569"/>
        </w:tabs>
        <w:jc w:val="both"/>
        <w:rPr>
          <w:b/>
          <w:bCs/>
          <w:sz w:val="22"/>
          <w:szCs w:val="22"/>
          <w:lang w:val="sr-Latn-RS"/>
        </w:rPr>
      </w:pPr>
    </w:p>
    <w:p w:rsidR="00206CF0" w:rsidRPr="00206CF0" w:rsidRDefault="00206CF0" w:rsidP="00F55D06">
      <w:pPr>
        <w:tabs>
          <w:tab w:val="left" w:pos="540"/>
          <w:tab w:val="left" w:pos="569"/>
        </w:tabs>
        <w:jc w:val="both"/>
        <w:rPr>
          <w:b/>
          <w:bCs/>
          <w:sz w:val="22"/>
          <w:szCs w:val="22"/>
          <w:lang w:val="sr-Latn-RS"/>
        </w:rPr>
      </w:pPr>
    </w:p>
    <w:p w:rsidR="0072020E" w:rsidRPr="00206CF0" w:rsidRDefault="0072020E" w:rsidP="00F55D06">
      <w:pPr>
        <w:tabs>
          <w:tab w:val="left" w:pos="540"/>
          <w:tab w:val="left" w:pos="569"/>
        </w:tabs>
        <w:jc w:val="both"/>
        <w:rPr>
          <w:b/>
          <w:bCs/>
          <w:sz w:val="22"/>
          <w:szCs w:val="22"/>
          <w:lang w:val="sr-Latn-RS"/>
        </w:rPr>
      </w:pPr>
      <w:r w:rsidRPr="00206CF0">
        <w:rPr>
          <w:b/>
          <w:bCs/>
          <w:sz w:val="22"/>
          <w:szCs w:val="22"/>
          <w:lang w:val="sr-Latn-RS"/>
        </w:rPr>
        <w:lastRenderedPageBreak/>
        <w:t xml:space="preserve">6. </w:t>
      </w:r>
      <w:r w:rsidR="00480FB1" w:rsidRPr="00206CF0">
        <w:rPr>
          <w:b/>
          <w:bCs/>
          <w:sz w:val="22"/>
          <w:szCs w:val="22"/>
          <w:lang w:val="sr-Latn-RS"/>
        </w:rPr>
        <w:tab/>
      </w:r>
      <w:r w:rsidRPr="00206CF0">
        <w:rPr>
          <w:b/>
          <w:bCs/>
          <w:sz w:val="22"/>
          <w:szCs w:val="22"/>
          <w:lang w:val="sr-Latn-RS"/>
        </w:rPr>
        <w:t>FARMACEUTSKI PODACI</w:t>
      </w:r>
    </w:p>
    <w:p w:rsidR="00836B35" w:rsidRPr="00206CF0" w:rsidRDefault="00836B35" w:rsidP="00F55D06">
      <w:pPr>
        <w:tabs>
          <w:tab w:val="left" w:pos="540"/>
          <w:tab w:val="left" w:pos="569"/>
        </w:tabs>
        <w:jc w:val="both"/>
        <w:rPr>
          <w:bCs/>
          <w:sz w:val="22"/>
          <w:szCs w:val="22"/>
          <w:lang w:val="sr-Latn-RS"/>
        </w:rPr>
      </w:pPr>
    </w:p>
    <w:p w:rsidR="0072020E" w:rsidRPr="00206CF0" w:rsidRDefault="0072020E" w:rsidP="00F55D06">
      <w:pPr>
        <w:tabs>
          <w:tab w:val="left" w:pos="540"/>
          <w:tab w:val="left" w:pos="569"/>
        </w:tabs>
        <w:jc w:val="both"/>
        <w:rPr>
          <w:b/>
          <w:bCs/>
          <w:sz w:val="22"/>
          <w:szCs w:val="22"/>
          <w:lang w:val="sr-Latn-RS"/>
        </w:rPr>
      </w:pPr>
      <w:r w:rsidRPr="00206CF0">
        <w:rPr>
          <w:b/>
          <w:bCs/>
          <w:sz w:val="22"/>
          <w:szCs w:val="22"/>
          <w:lang w:val="sr-Latn-RS"/>
        </w:rPr>
        <w:t xml:space="preserve">6.1. </w:t>
      </w:r>
      <w:r w:rsidR="00480FB1" w:rsidRPr="00206CF0">
        <w:rPr>
          <w:b/>
          <w:bCs/>
          <w:sz w:val="22"/>
          <w:szCs w:val="22"/>
          <w:lang w:val="sr-Latn-RS"/>
        </w:rPr>
        <w:tab/>
      </w:r>
      <w:r w:rsidRPr="00206CF0">
        <w:rPr>
          <w:b/>
          <w:bCs/>
          <w:sz w:val="22"/>
          <w:szCs w:val="22"/>
          <w:lang w:val="sr-Latn-RS"/>
        </w:rPr>
        <w:t>Lista pomoćnih supstanci</w:t>
      </w:r>
      <w:r w:rsidR="002E0135" w:rsidRPr="00206CF0">
        <w:rPr>
          <w:b/>
          <w:bCs/>
          <w:sz w:val="22"/>
          <w:szCs w:val="22"/>
          <w:lang w:val="sr-Latn-RS"/>
        </w:rPr>
        <w:t xml:space="preserve"> (ekscipijenasa)</w:t>
      </w:r>
    </w:p>
    <w:p w:rsidR="00287577" w:rsidRPr="00206CF0" w:rsidRDefault="00287577" w:rsidP="00F55D06">
      <w:pPr>
        <w:tabs>
          <w:tab w:val="left" w:pos="540"/>
          <w:tab w:val="left" w:pos="569"/>
        </w:tabs>
        <w:jc w:val="both"/>
        <w:rPr>
          <w:b/>
          <w:bCs/>
          <w:sz w:val="22"/>
          <w:szCs w:val="22"/>
          <w:lang w:val="sr-Latn-RS"/>
        </w:rPr>
      </w:pPr>
    </w:p>
    <w:p w:rsidR="00287577" w:rsidRPr="00206CF0" w:rsidRDefault="00287577" w:rsidP="00F55D06">
      <w:pPr>
        <w:jc w:val="both"/>
        <w:outlineLvl w:val="0"/>
        <w:rPr>
          <w:sz w:val="22"/>
          <w:szCs w:val="22"/>
          <w:lang w:val="sr-Latn-RS"/>
        </w:rPr>
      </w:pPr>
      <w:r w:rsidRPr="00206CF0">
        <w:rPr>
          <w:sz w:val="22"/>
          <w:szCs w:val="22"/>
          <w:lang w:val="sr-Latn-RS"/>
        </w:rPr>
        <w:t>Natrijum</w:t>
      </w:r>
      <w:r w:rsidR="00004273" w:rsidRPr="00206CF0">
        <w:rPr>
          <w:sz w:val="22"/>
          <w:szCs w:val="22"/>
          <w:lang w:val="sr-Latn-RS"/>
        </w:rPr>
        <w:t xml:space="preserve"> </w:t>
      </w:r>
      <w:r w:rsidRPr="00206CF0">
        <w:rPr>
          <w:sz w:val="22"/>
          <w:szCs w:val="22"/>
          <w:lang w:val="sr-Latn-RS"/>
        </w:rPr>
        <w:t>dihidrogenfosfat monoh</w:t>
      </w:r>
      <w:r w:rsidR="00A633A9" w:rsidRPr="00206CF0">
        <w:rPr>
          <w:sz w:val="22"/>
          <w:szCs w:val="22"/>
          <w:lang w:val="sr-Latn-RS"/>
        </w:rPr>
        <w:t>i</w:t>
      </w:r>
      <w:r w:rsidRPr="00206CF0">
        <w:rPr>
          <w:sz w:val="22"/>
          <w:szCs w:val="22"/>
          <w:lang w:val="sr-Latn-RS"/>
        </w:rPr>
        <w:t>drat</w:t>
      </w:r>
    </w:p>
    <w:p w:rsidR="00287577" w:rsidRPr="00206CF0" w:rsidRDefault="00287577" w:rsidP="00F55D06">
      <w:pPr>
        <w:jc w:val="both"/>
        <w:rPr>
          <w:sz w:val="22"/>
          <w:szCs w:val="22"/>
          <w:lang w:val="sr-Latn-RS"/>
        </w:rPr>
      </w:pPr>
      <w:r w:rsidRPr="00206CF0">
        <w:rPr>
          <w:sz w:val="22"/>
          <w:szCs w:val="22"/>
          <w:lang w:val="sr-Latn-RS"/>
        </w:rPr>
        <w:t>Natrijum</w:t>
      </w:r>
      <w:r w:rsidR="00004273" w:rsidRPr="00206CF0">
        <w:rPr>
          <w:sz w:val="22"/>
          <w:szCs w:val="22"/>
          <w:lang w:val="sr-Latn-RS"/>
        </w:rPr>
        <w:t xml:space="preserve"> </w:t>
      </w:r>
      <w:r w:rsidRPr="00206CF0">
        <w:rPr>
          <w:sz w:val="22"/>
          <w:szCs w:val="22"/>
          <w:lang w:val="sr-Latn-RS"/>
        </w:rPr>
        <w:t>sulfat, bezvodni</w:t>
      </w:r>
    </w:p>
    <w:p w:rsidR="00287577" w:rsidRPr="00206CF0" w:rsidRDefault="00287577" w:rsidP="00F55D06">
      <w:pPr>
        <w:jc w:val="both"/>
        <w:rPr>
          <w:sz w:val="22"/>
          <w:szCs w:val="22"/>
          <w:lang w:val="sr-Latn-RS"/>
        </w:rPr>
      </w:pPr>
      <w:r w:rsidRPr="00206CF0">
        <w:rPr>
          <w:sz w:val="22"/>
          <w:szCs w:val="22"/>
          <w:lang w:val="sr-Latn-RS"/>
        </w:rPr>
        <w:t>Manitol (E421)</w:t>
      </w:r>
    </w:p>
    <w:p w:rsidR="00287577" w:rsidRPr="00206CF0" w:rsidRDefault="00287577" w:rsidP="00F55D06">
      <w:pPr>
        <w:tabs>
          <w:tab w:val="left" w:pos="1305"/>
        </w:tabs>
        <w:jc w:val="both"/>
        <w:rPr>
          <w:sz w:val="22"/>
          <w:szCs w:val="22"/>
          <w:lang w:val="sr-Latn-RS"/>
        </w:rPr>
      </w:pPr>
      <w:r w:rsidRPr="00206CF0">
        <w:rPr>
          <w:sz w:val="22"/>
          <w:szCs w:val="22"/>
          <w:lang w:val="sr-Latn-RS"/>
        </w:rPr>
        <w:t xml:space="preserve">Metionin </w:t>
      </w:r>
      <w:r w:rsidRPr="00206CF0">
        <w:rPr>
          <w:sz w:val="22"/>
          <w:szCs w:val="22"/>
          <w:lang w:val="sr-Latn-RS"/>
        </w:rPr>
        <w:tab/>
      </w:r>
    </w:p>
    <w:p w:rsidR="00287577" w:rsidRPr="00206CF0" w:rsidRDefault="00287577" w:rsidP="00F55D06">
      <w:pPr>
        <w:jc w:val="both"/>
        <w:rPr>
          <w:sz w:val="22"/>
          <w:szCs w:val="22"/>
          <w:lang w:val="sr-Latn-RS"/>
        </w:rPr>
      </w:pPr>
      <w:r w:rsidRPr="00206CF0">
        <w:rPr>
          <w:sz w:val="22"/>
          <w:szCs w:val="22"/>
          <w:lang w:val="sr-Latn-RS"/>
        </w:rPr>
        <w:t xml:space="preserve">Poloksamer 188 </w:t>
      </w:r>
    </w:p>
    <w:p w:rsidR="00287577" w:rsidRPr="00206CF0" w:rsidRDefault="00287577" w:rsidP="00F55D06">
      <w:pPr>
        <w:jc w:val="both"/>
        <w:rPr>
          <w:sz w:val="22"/>
          <w:szCs w:val="22"/>
          <w:lang w:val="sr-Latn-RS"/>
        </w:rPr>
      </w:pPr>
      <w:r w:rsidRPr="00206CF0">
        <w:rPr>
          <w:sz w:val="22"/>
          <w:szCs w:val="22"/>
          <w:lang w:val="sr-Latn-RS"/>
        </w:rPr>
        <w:t>Voda za injekcije</w:t>
      </w:r>
    </w:p>
    <w:p w:rsidR="0072020E" w:rsidRPr="00206CF0" w:rsidRDefault="0072020E" w:rsidP="00F55D06">
      <w:pPr>
        <w:tabs>
          <w:tab w:val="left" w:pos="540"/>
          <w:tab w:val="left" w:pos="569"/>
        </w:tabs>
        <w:jc w:val="both"/>
        <w:rPr>
          <w:bCs/>
          <w:sz w:val="22"/>
          <w:szCs w:val="22"/>
          <w:lang w:val="sr-Latn-RS"/>
        </w:rPr>
      </w:pPr>
    </w:p>
    <w:p w:rsidR="0072020E" w:rsidRPr="00206CF0" w:rsidRDefault="0072020E" w:rsidP="00F55D06">
      <w:pPr>
        <w:tabs>
          <w:tab w:val="left" w:pos="540"/>
          <w:tab w:val="left" w:pos="569"/>
        </w:tabs>
        <w:jc w:val="both"/>
        <w:rPr>
          <w:b/>
          <w:bCs/>
          <w:sz w:val="22"/>
          <w:szCs w:val="22"/>
          <w:lang w:val="sr-Latn-RS"/>
        </w:rPr>
      </w:pPr>
      <w:r w:rsidRPr="00206CF0">
        <w:rPr>
          <w:b/>
          <w:bCs/>
          <w:sz w:val="22"/>
          <w:szCs w:val="22"/>
          <w:lang w:val="sr-Latn-RS"/>
        </w:rPr>
        <w:t xml:space="preserve">6.2. </w:t>
      </w:r>
      <w:r w:rsidR="00480FB1" w:rsidRPr="00206CF0">
        <w:rPr>
          <w:b/>
          <w:bCs/>
          <w:sz w:val="22"/>
          <w:szCs w:val="22"/>
          <w:lang w:val="sr-Latn-RS"/>
        </w:rPr>
        <w:tab/>
      </w:r>
      <w:r w:rsidRPr="00206CF0">
        <w:rPr>
          <w:b/>
          <w:bCs/>
          <w:sz w:val="22"/>
          <w:szCs w:val="22"/>
          <w:lang w:val="sr-Latn-RS"/>
        </w:rPr>
        <w:t>Inkompatibilnost</w:t>
      </w:r>
      <w:r w:rsidR="002846DB" w:rsidRPr="00206CF0">
        <w:rPr>
          <w:b/>
          <w:bCs/>
          <w:sz w:val="22"/>
          <w:szCs w:val="22"/>
          <w:lang w:val="sr-Latn-RS"/>
        </w:rPr>
        <w:t>i</w:t>
      </w:r>
    </w:p>
    <w:p w:rsidR="0072020E" w:rsidRPr="00206CF0" w:rsidRDefault="0072020E" w:rsidP="00F55D06">
      <w:pPr>
        <w:tabs>
          <w:tab w:val="left" w:pos="540"/>
          <w:tab w:val="left" w:pos="569"/>
        </w:tabs>
        <w:jc w:val="both"/>
        <w:rPr>
          <w:bCs/>
          <w:sz w:val="22"/>
          <w:szCs w:val="22"/>
          <w:lang w:val="sr-Latn-RS"/>
        </w:rPr>
      </w:pPr>
    </w:p>
    <w:p w:rsidR="00287577" w:rsidRPr="00206CF0" w:rsidRDefault="00287577" w:rsidP="00F55D06">
      <w:pPr>
        <w:jc w:val="both"/>
        <w:rPr>
          <w:sz w:val="22"/>
          <w:szCs w:val="22"/>
          <w:lang w:val="sr-Latn-RS"/>
        </w:rPr>
      </w:pPr>
      <w:r w:rsidRPr="00206CF0">
        <w:rPr>
          <w:sz w:val="22"/>
          <w:szCs w:val="22"/>
          <w:lang w:val="sr-Latn-RS"/>
        </w:rPr>
        <w:t>Budući da ispitivanja kompatibilnosti nisu rađena, lijek metoksipolietilenglikol-epoetin beta ne treba miješati sa drugim ljekovima</w:t>
      </w:r>
      <w:r w:rsidR="00004273" w:rsidRPr="00206CF0">
        <w:rPr>
          <w:sz w:val="22"/>
          <w:szCs w:val="22"/>
          <w:lang w:val="sr-Latn-RS"/>
        </w:rPr>
        <w:t>.</w:t>
      </w:r>
    </w:p>
    <w:p w:rsidR="00287577" w:rsidRPr="00206CF0" w:rsidRDefault="00287577" w:rsidP="00F55D06">
      <w:pPr>
        <w:tabs>
          <w:tab w:val="left" w:pos="540"/>
          <w:tab w:val="left" w:pos="569"/>
        </w:tabs>
        <w:jc w:val="both"/>
        <w:rPr>
          <w:bCs/>
          <w:sz w:val="22"/>
          <w:szCs w:val="22"/>
          <w:lang w:val="sr-Latn-RS"/>
        </w:rPr>
      </w:pPr>
    </w:p>
    <w:p w:rsidR="0072020E" w:rsidRPr="00206CF0" w:rsidRDefault="0072020E" w:rsidP="00F55D06">
      <w:pPr>
        <w:tabs>
          <w:tab w:val="left" w:pos="540"/>
          <w:tab w:val="left" w:pos="569"/>
        </w:tabs>
        <w:jc w:val="both"/>
        <w:rPr>
          <w:b/>
          <w:bCs/>
          <w:sz w:val="22"/>
          <w:szCs w:val="22"/>
          <w:lang w:val="sr-Latn-RS"/>
        </w:rPr>
      </w:pPr>
      <w:r w:rsidRPr="00206CF0">
        <w:rPr>
          <w:b/>
          <w:bCs/>
          <w:sz w:val="22"/>
          <w:szCs w:val="22"/>
          <w:lang w:val="sr-Latn-RS"/>
        </w:rPr>
        <w:t>6.3.</w:t>
      </w:r>
      <w:r w:rsidR="00C05DF8" w:rsidRPr="00206CF0">
        <w:rPr>
          <w:b/>
          <w:bCs/>
          <w:sz w:val="22"/>
          <w:szCs w:val="22"/>
          <w:lang w:val="sr-Latn-RS"/>
        </w:rPr>
        <w:t xml:space="preserve"> </w:t>
      </w:r>
      <w:r w:rsidR="00480FB1" w:rsidRPr="00206CF0">
        <w:rPr>
          <w:b/>
          <w:bCs/>
          <w:sz w:val="22"/>
          <w:szCs w:val="22"/>
          <w:lang w:val="sr-Latn-RS"/>
        </w:rPr>
        <w:tab/>
      </w:r>
      <w:r w:rsidRPr="00206CF0">
        <w:rPr>
          <w:b/>
          <w:bCs/>
          <w:sz w:val="22"/>
          <w:szCs w:val="22"/>
          <w:lang w:val="sr-Latn-RS"/>
        </w:rPr>
        <w:t>Rok upotrebe</w:t>
      </w:r>
    </w:p>
    <w:p w:rsidR="0072020E" w:rsidRPr="00206CF0" w:rsidRDefault="0072020E" w:rsidP="00F55D06">
      <w:pPr>
        <w:tabs>
          <w:tab w:val="left" w:pos="540"/>
          <w:tab w:val="left" w:pos="569"/>
        </w:tabs>
        <w:jc w:val="both"/>
        <w:rPr>
          <w:bCs/>
          <w:sz w:val="22"/>
          <w:szCs w:val="22"/>
          <w:lang w:val="sr-Latn-RS"/>
        </w:rPr>
      </w:pPr>
    </w:p>
    <w:p w:rsidR="00287577" w:rsidRPr="00206CF0" w:rsidRDefault="00287577" w:rsidP="00F55D06">
      <w:pPr>
        <w:jc w:val="both"/>
        <w:rPr>
          <w:sz w:val="22"/>
          <w:szCs w:val="22"/>
          <w:lang w:val="sr-Latn-RS"/>
        </w:rPr>
      </w:pPr>
      <w:r w:rsidRPr="00206CF0">
        <w:rPr>
          <w:sz w:val="22"/>
          <w:szCs w:val="22"/>
          <w:lang w:val="sr-Latn-RS"/>
        </w:rPr>
        <w:t>3 godine</w:t>
      </w:r>
      <w:r w:rsidR="00004273" w:rsidRPr="00206CF0">
        <w:rPr>
          <w:sz w:val="22"/>
          <w:szCs w:val="22"/>
          <w:lang w:val="sr-Latn-RS"/>
        </w:rPr>
        <w:t>.</w:t>
      </w:r>
    </w:p>
    <w:p w:rsidR="00287577" w:rsidRPr="00206CF0" w:rsidRDefault="00287577" w:rsidP="00F55D06">
      <w:pPr>
        <w:tabs>
          <w:tab w:val="left" w:pos="540"/>
          <w:tab w:val="left" w:pos="569"/>
        </w:tabs>
        <w:jc w:val="both"/>
        <w:rPr>
          <w:bCs/>
          <w:sz w:val="22"/>
          <w:szCs w:val="22"/>
          <w:lang w:val="sr-Latn-RS"/>
        </w:rPr>
      </w:pPr>
    </w:p>
    <w:p w:rsidR="0072020E" w:rsidRPr="00206CF0" w:rsidRDefault="0072020E" w:rsidP="00F55D06">
      <w:pPr>
        <w:tabs>
          <w:tab w:val="left" w:pos="540"/>
          <w:tab w:val="left" w:pos="569"/>
        </w:tabs>
        <w:jc w:val="both"/>
        <w:rPr>
          <w:b/>
          <w:bCs/>
          <w:sz w:val="22"/>
          <w:szCs w:val="22"/>
          <w:lang w:val="sr-Latn-RS"/>
        </w:rPr>
      </w:pPr>
      <w:r w:rsidRPr="00206CF0">
        <w:rPr>
          <w:b/>
          <w:bCs/>
          <w:sz w:val="22"/>
          <w:szCs w:val="22"/>
          <w:lang w:val="sr-Latn-RS"/>
        </w:rPr>
        <w:t xml:space="preserve">6.4. </w:t>
      </w:r>
      <w:r w:rsidR="00480FB1" w:rsidRPr="00206CF0">
        <w:rPr>
          <w:b/>
          <w:bCs/>
          <w:sz w:val="22"/>
          <w:szCs w:val="22"/>
          <w:lang w:val="sr-Latn-RS"/>
        </w:rPr>
        <w:tab/>
      </w:r>
      <w:r w:rsidRPr="00206CF0">
        <w:rPr>
          <w:b/>
          <w:bCs/>
          <w:sz w:val="22"/>
          <w:szCs w:val="22"/>
          <w:lang w:val="sr-Latn-RS"/>
        </w:rPr>
        <w:t>Posebne mjere upozorenja pri čuvanju</w:t>
      </w:r>
      <w:r w:rsidR="00F8570A" w:rsidRPr="00206CF0">
        <w:rPr>
          <w:b/>
          <w:bCs/>
          <w:sz w:val="22"/>
          <w:szCs w:val="22"/>
          <w:lang w:val="sr-Latn-RS"/>
        </w:rPr>
        <w:t xml:space="preserve"> lijeka</w:t>
      </w:r>
    </w:p>
    <w:p w:rsidR="00EC2532" w:rsidRPr="00206CF0" w:rsidRDefault="00EC2532" w:rsidP="00F55D06">
      <w:pPr>
        <w:tabs>
          <w:tab w:val="left" w:pos="540"/>
          <w:tab w:val="left" w:pos="569"/>
        </w:tabs>
        <w:jc w:val="both"/>
        <w:rPr>
          <w:bCs/>
          <w:sz w:val="22"/>
          <w:szCs w:val="22"/>
          <w:lang w:val="sr-Latn-RS"/>
        </w:rPr>
      </w:pPr>
    </w:p>
    <w:p w:rsidR="00287577" w:rsidRPr="00206CF0" w:rsidRDefault="00287577" w:rsidP="00F55D06">
      <w:pPr>
        <w:jc w:val="both"/>
        <w:rPr>
          <w:sz w:val="22"/>
          <w:szCs w:val="22"/>
          <w:lang w:val="sr-Latn-RS"/>
        </w:rPr>
      </w:pPr>
      <w:r w:rsidRPr="00206CF0">
        <w:rPr>
          <w:sz w:val="22"/>
          <w:szCs w:val="22"/>
          <w:lang w:val="sr-Latn-RS"/>
        </w:rPr>
        <w:t>Čuvati u frižideru (2</w:t>
      </w:r>
      <w:r w:rsidRPr="00206CF0">
        <w:rPr>
          <w:sz w:val="22"/>
          <w:szCs w:val="22"/>
          <w:vertAlign w:val="superscript"/>
          <w:lang w:val="sr-Latn-RS"/>
        </w:rPr>
        <w:t>o</w:t>
      </w:r>
      <w:r w:rsidRPr="00206CF0">
        <w:rPr>
          <w:sz w:val="22"/>
          <w:szCs w:val="22"/>
          <w:lang w:val="sr-Latn-RS"/>
        </w:rPr>
        <w:t xml:space="preserve">C </w:t>
      </w:r>
      <w:r w:rsidR="00004273" w:rsidRPr="00206CF0">
        <w:rPr>
          <w:sz w:val="22"/>
          <w:szCs w:val="22"/>
          <w:lang w:val="sr-Latn-RS"/>
        </w:rPr>
        <w:t>-</w:t>
      </w:r>
      <w:r w:rsidRPr="00206CF0">
        <w:rPr>
          <w:sz w:val="22"/>
          <w:szCs w:val="22"/>
          <w:lang w:val="sr-Latn-RS"/>
        </w:rPr>
        <w:t xml:space="preserve"> 8</w:t>
      </w:r>
      <w:r w:rsidRPr="00206CF0">
        <w:rPr>
          <w:sz w:val="22"/>
          <w:szCs w:val="22"/>
          <w:vertAlign w:val="superscript"/>
          <w:lang w:val="sr-Latn-RS"/>
        </w:rPr>
        <w:t>o</w:t>
      </w:r>
      <w:r w:rsidRPr="00206CF0">
        <w:rPr>
          <w:sz w:val="22"/>
          <w:szCs w:val="22"/>
          <w:lang w:val="sr-Latn-RS"/>
        </w:rPr>
        <w:t>C).</w:t>
      </w:r>
    </w:p>
    <w:p w:rsidR="00004273" w:rsidRPr="00206CF0" w:rsidRDefault="00004273" w:rsidP="00F55D06">
      <w:pPr>
        <w:jc w:val="both"/>
        <w:rPr>
          <w:sz w:val="22"/>
          <w:szCs w:val="22"/>
          <w:lang w:val="sr-Latn-RS"/>
        </w:rPr>
      </w:pPr>
    </w:p>
    <w:p w:rsidR="00004273" w:rsidRPr="00206CF0" w:rsidRDefault="00287577" w:rsidP="00F55D06">
      <w:pPr>
        <w:tabs>
          <w:tab w:val="left" w:pos="2715"/>
        </w:tabs>
        <w:jc w:val="both"/>
        <w:rPr>
          <w:sz w:val="22"/>
          <w:szCs w:val="22"/>
          <w:lang w:val="sr-Latn-RS"/>
        </w:rPr>
      </w:pPr>
      <w:r w:rsidRPr="00206CF0">
        <w:rPr>
          <w:sz w:val="22"/>
          <w:szCs w:val="22"/>
          <w:lang w:val="sr-Latn-RS"/>
        </w:rPr>
        <w:t>Ne smije se zamrzavati.</w:t>
      </w:r>
    </w:p>
    <w:p w:rsidR="00287577" w:rsidRPr="00206CF0" w:rsidRDefault="00287577" w:rsidP="00F55D06">
      <w:pPr>
        <w:tabs>
          <w:tab w:val="left" w:pos="2715"/>
        </w:tabs>
        <w:jc w:val="both"/>
        <w:rPr>
          <w:sz w:val="22"/>
          <w:szCs w:val="22"/>
          <w:lang w:val="sr-Latn-RS"/>
        </w:rPr>
      </w:pPr>
      <w:r w:rsidRPr="00206CF0">
        <w:rPr>
          <w:sz w:val="22"/>
          <w:szCs w:val="22"/>
          <w:lang w:val="sr-Latn-RS"/>
        </w:rPr>
        <w:tab/>
      </w:r>
    </w:p>
    <w:p w:rsidR="00287577" w:rsidRPr="00206CF0" w:rsidRDefault="00287577" w:rsidP="00F55D06">
      <w:pPr>
        <w:jc w:val="both"/>
        <w:rPr>
          <w:sz w:val="22"/>
          <w:szCs w:val="22"/>
          <w:lang w:val="sr-Latn-RS"/>
        </w:rPr>
      </w:pPr>
      <w:r w:rsidRPr="00206CF0">
        <w:rPr>
          <w:sz w:val="22"/>
          <w:szCs w:val="22"/>
          <w:lang w:val="sr-Latn-RS"/>
        </w:rPr>
        <w:t>Napunjen</w:t>
      </w:r>
      <w:r w:rsidR="00283F26" w:rsidRPr="00206CF0">
        <w:rPr>
          <w:sz w:val="22"/>
          <w:szCs w:val="22"/>
          <w:lang w:val="sr-Latn-RS"/>
        </w:rPr>
        <w:t>i</w:t>
      </w:r>
      <w:r w:rsidRPr="00206CF0">
        <w:rPr>
          <w:sz w:val="22"/>
          <w:szCs w:val="22"/>
          <w:lang w:val="sr-Latn-RS"/>
        </w:rPr>
        <w:t xml:space="preserve"> injekcioni špric čuvati u spoljašnjoj kartonskoj ambalaži zaštićen od svjetlosti.</w:t>
      </w:r>
    </w:p>
    <w:p w:rsidR="00287577" w:rsidRPr="00206CF0" w:rsidRDefault="00287577" w:rsidP="00F55D06">
      <w:pPr>
        <w:jc w:val="both"/>
        <w:rPr>
          <w:sz w:val="22"/>
          <w:szCs w:val="22"/>
          <w:lang w:val="sr-Latn-RS"/>
        </w:rPr>
      </w:pPr>
      <w:r w:rsidRPr="00206CF0">
        <w:rPr>
          <w:sz w:val="22"/>
          <w:szCs w:val="22"/>
          <w:lang w:val="sr-Latn-RS"/>
        </w:rPr>
        <w:t xml:space="preserve">Krajnji korisnik može da izvadi </w:t>
      </w:r>
      <w:r w:rsidR="00004273" w:rsidRPr="00206CF0">
        <w:rPr>
          <w:sz w:val="22"/>
          <w:szCs w:val="22"/>
          <w:lang w:val="sr-Latn-RS"/>
        </w:rPr>
        <w:t xml:space="preserve">lijek </w:t>
      </w:r>
      <w:r w:rsidRPr="00206CF0">
        <w:rPr>
          <w:sz w:val="22"/>
          <w:szCs w:val="22"/>
          <w:lang w:val="sr-Latn-RS"/>
        </w:rPr>
        <w:t>iz frižidera i čuva ga na sobnoj temperaturi (ne preko 30°C) tokom samo jednog jednomjesečnog perioda. Kada se izvadi iz frižidera, lijek se mora iskoristiti u ovom roku.</w:t>
      </w:r>
    </w:p>
    <w:p w:rsidR="00287577" w:rsidRPr="00206CF0" w:rsidRDefault="00287577" w:rsidP="00F55D06">
      <w:pPr>
        <w:tabs>
          <w:tab w:val="left" w:pos="540"/>
          <w:tab w:val="left" w:pos="569"/>
        </w:tabs>
        <w:jc w:val="both"/>
        <w:rPr>
          <w:bCs/>
          <w:sz w:val="22"/>
          <w:szCs w:val="22"/>
          <w:lang w:val="sr-Latn-RS"/>
        </w:rPr>
      </w:pPr>
    </w:p>
    <w:p w:rsidR="0072020E" w:rsidRPr="00206CF0" w:rsidRDefault="0072020E" w:rsidP="00F55D06">
      <w:pPr>
        <w:tabs>
          <w:tab w:val="left" w:pos="540"/>
          <w:tab w:val="left" w:pos="569"/>
        </w:tabs>
        <w:jc w:val="both"/>
        <w:rPr>
          <w:b/>
          <w:bCs/>
          <w:sz w:val="22"/>
          <w:szCs w:val="22"/>
          <w:lang w:val="sr-Latn-RS"/>
        </w:rPr>
      </w:pPr>
      <w:r w:rsidRPr="00206CF0">
        <w:rPr>
          <w:b/>
          <w:bCs/>
          <w:sz w:val="22"/>
          <w:szCs w:val="22"/>
          <w:lang w:val="sr-Latn-RS"/>
        </w:rPr>
        <w:t xml:space="preserve">6.5. </w:t>
      </w:r>
      <w:r w:rsidR="00480FB1" w:rsidRPr="00206CF0">
        <w:rPr>
          <w:b/>
          <w:bCs/>
          <w:sz w:val="22"/>
          <w:szCs w:val="22"/>
          <w:lang w:val="sr-Latn-RS"/>
        </w:rPr>
        <w:tab/>
      </w:r>
      <w:r w:rsidR="002846DB" w:rsidRPr="00206CF0">
        <w:rPr>
          <w:b/>
          <w:bCs/>
          <w:sz w:val="22"/>
          <w:szCs w:val="22"/>
          <w:lang w:val="sr-Latn-RS"/>
        </w:rPr>
        <w:t xml:space="preserve">Vrsta i sadržaj </w:t>
      </w:r>
      <w:r w:rsidR="00F8570A" w:rsidRPr="00206CF0">
        <w:rPr>
          <w:b/>
          <w:bCs/>
          <w:sz w:val="22"/>
          <w:szCs w:val="22"/>
          <w:lang w:val="sr-Latn-RS"/>
        </w:rPr>
        <w:t>pakovanja</w:t>
      </w:r>
      <w:r w:rsidR="00C06864" w:rsidRPr="00206CF0">
        <w:rPr>
          <w:b/>
          <w:bCs/>
          <w:sz w:val="22"/>
          <w:szCs w:val="22"/>
          <w:lang w:val="sr-Latn-RS"/>
        </w:rPr>
        <w:t xml:space="preserve"> </w:t>
      </w:r>
    </w:p>
    <w:p w:rsidR="00287577" w:rsidRPr="00206CF0" w:rsidRDefault="00287577" w:rsidP="00F55D06">
      <w:pPr>
        <w:tabs>
          <w:tab w:val="left" w:pos="540"/>
          <w:tab w:val="left" w:pos="569"/>
        </w:tabs>
        <w:jc w:val="both"/>
        <w:rPr>
          <w:b/>
          <w:bCs/>
          <w:sz w:val="22"/>
          <w:szCs w:val="22"/>
          <w:lang w:val="sr-Latn-RS"/>
        </w:rPr>
      </w:pPr>
    </w:p>
    <w:p w:rsidR="00004273" w:rsidRPr="00206CF0" w:rsidRDefault="00287577" w:rsidP="00F55D06">
      <w:pPr>
        <w:jc w:val="both"/>
        <w:rPr>
          <w:sz w:val="22"/>
          <w:szCs w:val="22"/>
          <w:lang w:val="sr-Latn-RS"/>
        </w:rPr>
      </w:pPr>
      <w:r w:rsidRPr="00206CF0">
        <w:rPr>
          <w:sz w:val="22"/>
          <w:szCs w:val="22"/>
          <w:lang w:val="sr-Latn-RS"/>
        </w:rPr>
        <w:t>Napunjen</w:t>
      </w:r>
      <w:r w:rsidR="00283F26" w:rsidRPr="00206CF0">
        <w:rPr>
          <w:sz w:val="22"/>
          <w:szCs w:val="22"/>
          <w:lang w:val="sr-Latn-RS"/>
        </w:rPr>
        <w:t>i</w:t>
      </w:r>
      <w:r w:rsidRPr="00206CF0">
        <w:rPr>
          <w:sz w:val="22"/>
          <w:szCs w:val="22"/>
          <w:lang w:val="sr-Latn-RS"/>
        </w:rPr>
        <w:t xml:space="preserve"> injekcioni špric (staklo tipa I) sa laminiranim klipom (bromobutil gumeni materijal) i gumenom kapicom za zatvaranje (bromobutil gumeni materijal) sa iglom 27G1/2</w:t>
      </w:r>
      <w:r w:rsidR="00004273" w:rsidRPr="00206CF0">
        <w:rPr>
          <w:sz w:val="22"/>
          <w:szCs w:val="22"/>
          <w:lang w:val="sr-Latn-RS"/>
        </w:rPr>
        <w:t>, u kartonskoj kutiji.</w:t>
      </w:r>
    </w:p>
    <w:p w:rsidR="00004273" w:rsidRPr="00206CF0" w:rsidRDefault="00004273" w:rsidP="00F55D06">
      <w:pPr>
        <w:jc w:val="both"/>
        <w:rPr>
          <w:sz w:val="22"/>
          <w:szCs w:val="22"/>
          <w:lang w:val="sr-Latn-RS"/>
        </w:rPr>
      </w:pPr>
    </w:p>
    <w:p w:rsidR="00287577" w:rsidRPr="00206CF0" w:rsidRDefault="00287577" w:rsidP="00F55D06">
      <w:pPr>
        <w:jc w:val="both"/>
        <w:rPr>
          <w:sz w:val="22"/>
          <w:szCs w:val="22"/>
          <w:lang w:val="sr-Latn-RS"/>
        </w:rPr>
      </w:pPr>
      <w:r w:rsidRPr="00206CF0">
        <w:rPr>
          <w:sz w:val="22"/>
          <w:szCs w:val="22"/>
          <w:lang w:val="sr-Latn-RS"/>
        </w:rPr>
        <w:t>Svaki napunjeni injekcioni špric sadrži  0,3 ml rastvora za injekcije, a u svakom pakovanju se nalazi po jedan špric.</w:t>
      </w:r>
    </w:p>
    <w:p w:rsidR="0072020E" w:rsidRPr="00206CF0" w:rsidRDefault="00287577" w:rsidP="00F55D06">
      <w:pPr>
        <w:tabs>
          <w:tab w:val="left" w:pos="2710"/>
        </w:tabs>
        <w:jc w:val="both"/>
        <w:rPr>
          <w:bCs/>
          <w:sz w:val="22"/>
          <w:szCs w:val="22"/>
          <w:lang w:val="sr-Latn-RS"/>
        </w:rPr>
      </w:pPr>
      <w:r w:rsidRPr="00206CF0">
        <w:rPr>
          <w:bCs/>
          <w:sz w:val="22"/>
          <w:szCs w:val="22"/>
          <w:lang w:val="sr-Latn-RS"/>
        </w:rPr>
        <w:tab/>
      </w:r>
    </w:p>
    <w:p w:rsidR="002846DB" w:rsidRPr="00206CF0" w:rsidRDefault="0072020E" w:rsidP="00F55D06">
      <w:pPr>
        <w:tabs>
          <w:tab w:val="left" w:pos="540"/>
          <w:tab w:val="left" w:pos="569"/>
        </w:tabs>
        <w:jc w:val="both"/>
        <w:rPr>
          <w:b/>
          <w:bCs/>
          <w:sz w:val="22"/>
          <w:szCs w:val="22"/>
          <w:lang w:val="sr-Latn-RS"/>
        </w:rPr>
      </w:pPr>
      <w:r w:rsidRPr="00206CF0">
        <w:rPr>
          <w:b/>
          <w:bCs/>
          <w:sz w:val="22"/>
          <w:szCs w:val="22"/>
          <w:lang w:val="sr-Latn-RS"/>
        </w:rPr>
        <w:t xml:space="preserve">6.6. </w:t>
      </w:r>
      <w:r w:rsidR="00480FB1" w:rsidRPr="00206CF0">
        <w:rPr>
          <w:b/>
          <w:bCs/>
          <w:sz w:val="22"/>
          <w:szCs w:val="22"/>
          <w:lang w:val="sr-Latn-RS"/>
        </w:rPr>
        <w:tab/>
      </w:r>
      <w:r w:rsidRPr="00206CF0">
        <w:rPr>
          <w:b/>
          <w:bCs/>
          <w:color w:val="000000"/>
          <w:sz w:val="22"/>
          <w:szCs w:val="22"/>
          <w:lang w:val="sr-Latn-RS"/>
        </w:rPr>
        <w:t>Posebne mjere opreza pri odlaganju materijala koji treba odbaciti nakon primjene lijeka</w:t>
      </w:r>
      <w:r w:rsidRPr="00206CF0">
        <w:rPr>
          <w:b/>
          <w:bCs/>
          <w:sz w:val="22"/>
          <w:szCs w:val="22"/>
          <w:lang w:val="sr-Latn-RS"/>
        </w:rPr>
        <w:t xml:space="preserve"> </w:t>
      </w:r>
      <w:r w:rsidR="00310F03" w:rsidRPr="00206CF0">
        <w:rPr>
          <w:b/>
          <w:bCs/>
          <w:sz w:val="22"/>
          <w:szCs w:val="22"/>
          <w:lang w:val="sr-Latn-RS"/>
        </w:rPr>
        <w:t>(i druga uputs</w:t>
      </w:r>
      <w:r w:rsidR="004109FA" w:rsidRPr="00206CF0">
        <w:rPr>
          <w:b/>
          <w:bCs/>
          <w:sz w:val="22"/>
          <w:szCs w:val="22"/>
          <w:lang w:val="sr-Latn-RS"/>
        </w:rPr>
        <w:t>t</w:t>
      </w:r>
      <w:r w:rsidR="00310F03" w:rsidRPr="00206CF0">
        <w:rPr>
          <w:b/>
          <w:bCs/>
          <w:sz w:val="22"/>
          <w:szCs w:val="22"/>
          <w:lang w:val="sr-Latn-RS"/>
        </w:rPr>
        <w:t xml:space="preserve">va za rukovanje lijekom) </w:t>
      </w:r>
    </w:p>
    <w:p w:rsidR="00B66A70" w:rsidRPr="00206CF0" w:rsidRDefault="00B66A70" w:rsidP="00F55D06">
      <w:pPr>
        <w:tabs>
          <w:tab w:val="left" w:pos="540"/>
          <w:tab w:val="left" w:pos="569"/>
        </w:tabs>
        <w:jc w:val="both"/>
        <w:rPr>
          <w:b/>
          <w:bCs/>
          <w:sz w:val="22"/>
          <w:szCs w:val="22"/>
          <w:lang w:val="sr-Latn-RS"/>
        </w:rPr>
      </w:pPr>
    </w:p>
    <w:p w:rsidR="00004273" w:rsidRPr="00206CF0" w:rsidRDefault="00A633A9" w:rsidP="00F55D06">
      <w:pPr>
        <w:jc w:val="both"/>
        <w:rPr>
          <w:sz w:val="22"/>
          <w:szCs w:val="22"/>
          <w:lang w:val="sr-Latn-RS"/>
        </w:rPr>
      </w:pPr>
      <w:r w:rsidRPr="00206CF0">
        <w:rPr>
          <w:sz w:val="22"/>
          <w:szCs w:val="22"/>
          <w:lang w:val="sr-Latn-RS"/>
        </w:rPr>
        <w:t>N</w:t>
      </w:r>
      <w:r w:rsidR="00287577" w:rsidRPr="00206CF0">
        <w:rPr>
          <w:sz w:val="22"/>
          <w:szCs w:val="22"/>
          <w:lang w:val="sr-Latn-RS"/>
        </w:rPr>
        <w:t xml:space="preserve">apunjeni špric je spreman za upotrebu. Sterilni napunjeni špric ne sadrži konzervanse i mora se iskoristi samo za jedno ubrizgavanje. Samo jedna doza se smije dati po jednom špricu. </w:t>
      </w:r>
      <w:r w:rsidR="001829D8" w:rsidRPr="00206CF0">
        <w:rPr>
          <w:sz w:val="22"/>
          <w:szCs w:val="22"/>
          <w:lang w:val="sr-Latn-RS"/>
        </w:rPr>
        <w:t>Napunjeni špricevi nisu dizajnirani za prim</w:t>
      </w:r>
      <w:r w:rsidR="00455457" w:rsidRPr="00206CF0">
        <w:rPr>
          <w:sz w:val="22"/>
          <w:szCs w:val="22"/>
          <w:lang w:val="sr-Latn-RS"/>
        </w:rPr>
        <w:t>j</w:t>
      </w:r>
      <w:r w:rsidR="001829D8" w:rsidRPr="00206CF0">
        <w:rPr>
          <w:sz w:val="22"/>
          <w:szCs w:val="22"/>
          <w:lang w:val="sr-Latn-RS"/>
        </w:rPr>
        <w:t>enu d</w:t>
      </w:r>
      <w:r w:rsidR="00004273" w:rsidRPr="00206CF0">
        <w:rPr>
          <w:sz w:val="22"/>
          <w:szCs w:val="22"/>
          <w:lang w:val="sr-Latn-RS"/>
        </w:rPr>
        <w:t>j</w:t>
      </w:r>
      <w:r w:rsidR="001829D8" w:rsidRPr="00206CF0">
        <w:rPr>
          <w:sz w:val="22"/>
          <w:szCs w:val="22"/>
          <w:lang w:val="sr-Latn-RS"/>
        </w:rPr>
        <w:t xml:space="preserve">elimičnih doza. </w:t>
      </w:r>
      <w:r w:rsidR="00287577" w:rsidRPr="00206CF0">
        <w:rPr>
          <w:sz w:val="22"/>
          <w:szCs w:val="22"/>
          <w:lang w:val="sr-Latn-RS"/>
        </w:rPr>
        <w:t>Smije se ubrizgavati isključivo rastvor koji je bistar, bezbojan do blijedo žut, i u kome nema vidljivih čestica.</w:t>
      </w:r>
    </w:p>
    <w:p w:rsidR="00287577" w:rsidRPr="00206CF0" w:rsidRDefault="00287577" w:rsidP="00F55D06">
      <w:pPr>
        <w:jc w:val="both"/>
        <w:rPr>
          <w:sz w:val="22"/>
          <w:szCs w:val="22"/>
          <w:lang w:val="sr-Latn-RS"/>
        </w:rPr>
      </w:pPr>
      <w:r w:rsidRPr="00206CF0">
        <w:rPr>
          <w:sz w:val="22"/>
          <w:szCs w:val="22"/>
          <w:lang w:val="sr-Latn-RS"/>
        </w:rPr>
        <w:t xml:space="preserve"> </w:t>
      </w:r>
    </w:p>
    <w:p w:rsidR="00004273" w:rsidRPr="00206CF0" w:rsidRDefault="00287577" w:rsidP="00F55D06">
      <w:pPr>
        <w:tabs>
          <w:tab w:val="left" w:pos="3255"/>
        </w:tabs>
        <w:jc w:val="both"/>
        <w:rPr>
          <w:sz w:val="22"/>
          <w:szCs w:val="22"/>
          <w:lang w:val="sr-Latn-RS"/>
        </w:rPr>
      </w:pPr>
      <w:r w:rsidRPr="00206CF0">
        <w:rPr>
          <w:sz w:val="22"/>
          <w:szCs w:val="22"/>
          <w:lang w:val="sr-Latn-RS"/>
        </w:rPr>
        <w:t xml:space="preserve">Ne smije se mućkati. </w:t>
      </w:r>
    </w:p>
    <w:p w:rsidR="00287577" w:rsidRPr="00206CF0" w:rsidRDefault="00287577" w:rsidP="00F55D06">
      <w:pPr>
        <w:tabs>
          <w:tab w:val="left" w:pos="3255"/>
        </w:tabs>
        <w:jc w:val="both"/>
        <w:rPr>
          <w:sz w:val="22"/>
          <w:szCs w:val="22"/>
          <w:lang w:val="sr-Latn-RS"/>
        </w:rPr>
      </w:pPr>
      <w:r w:rsidRPr="00206CF0">
        <w:rPr>
          <w:sz w:val="22"/>
          <w:szCs w:val="22"/>
          <w:lang w:val="sr-Latn-RS"/>
        </w:rPr>
        <w:tab/>
      </w:r>
    </w:p>
    <w:p w:rsidR="00287577" w:rsidRPr="00206CF0" w:rsidRDefault="00287577" w:rsidP="00F55D06">
      <w:pPr>
        <w:jc w:val="both"/>
        <w:rPr>
          <w:sz w:val="22"/>
          <w:szCs w:val="22"/>
          <w:lang w:val="sr-Latn-RS"/>
        </w:rPr>
      </w:pPr>
      <w:r w:rsidRPr="00206CF0">
        <w:rPr>
          <w:sz w:val="22"/>
          <w:szCs w:val="22"/>
          <w:lang w:val="sr-Latn-RS"/>
        </w:rPr>
        <w:t>Prije ubrizgavanja pustite špric da se zagrije do temperature od oko 25</w:t>
      </w:r>
      <w:r w:rsidRPr="00206CF0">
        <w:rPr>
          <w:sz w:val="22"/>
          <w:szCs w:val="22"/>
          <w:vertAlign w:val="superscript"/>
          <w:lang w:val="sr-Latn-RS"/>
        </w:rPr>
        <w:t>o</w:t>
      </w:r>
      <w:r w:rsidRPr="00206CF0">
        <w:rPr>
          <w:sz w:val="22"/>
          <w:szCs w:val="22"/>
          <w:lang w:val="sr-Latn-RS"/>
        </w:rPr>
        <w:t>C.</w:t>
      </w:r>
    </w:p>
    <w:p w:rsidR="00287577" w:rsidRPr="00206CF0" w:rsidRDefault="00287577" w:rsidP="00F55D06">
      <w:pPr>
        <w:jc w:val="both"/>
        <w:rPr>
          <w:sz w:val="22"/>
          <w:szCs w:val="22"/>
          <w:lang w:val="sr-Latn-RS"/>
        </w:rPr>
      </w:pPr>
    </w:p>
    <w:p w:rsidR="00287577" w:rsidRPr="00206CF0" w:rsidRDefault="00287577" w:rsidP="00F55D06">
      <w:pPr>
        <w:tabs>
          <w:tab w:val="left" w:pos="540"/>
          <w:tab w:val="left" w:pos="569"/>
        </w:tabs>
        <w:jc w:val="both"/>
        <w:rPr>
          <w:b/>
          <w:bCs/>
          <w:sz w:val="22"/>
          <w:szCs w:val="22"/>
          <w:lang w:val="sr-Latn-RS"/>
        </w:rPr>
      </w:pPr>
      <w:r w:rsidRPr="00206CF0">
        <w:rPr>
          <w:sz w:val="22"/>
          <w:szCs w:val="22"/>
          <w:lang w:val="sr-Latn-RS"/>
        </w:rPr>
        <w:t>Svu neiskorišćenu količinu lijeka i otpadnog materijala treba ukloniti u skladu sa važećim propisima.</w:t>
      </w:r>
    </w:p>
    <w:p w:rsidR="0072020E" w:rsidRDefault="0072020E" w:rsidP="00F55D06">
      <w:pPr>
        <w:tabs>
          <w:tab w:val="left" w:pos="540"/>
          <w:tab w:val="left" w:pos="569"/>
        </w:tabs>
        <w:jc w:val="both"/>
        <w:rPr>
          <w:bCs/>
          <w:sz w:val="22"/>
          <w:szCs w:val="22"/>
          <w:lang w:val="sr-Latn-RS"/>
        </w:rPr>
      </w:pPr>
    </w:p>
    <w:p w:rsidR="00206CF0" w:rsidRDefault="00206CF0" w:rsidP="00F55D06">
      <w:pPr>
        <w:tabs>
          <w:tab w:val="left" w:pos="540"/>
          <w:tab w:val="left" w:pos="569"/>
        </w:tabs>
        <w:jc w:val="both"/>
        <w:rPr>
          <w:bCs/>
          <w:sz w:val="22"/>
          <w:szCs w:val="22"/>
          <w:lang w:val="sr-Latn-RS"/>
        </w:rPr>
      </w:pPr>
    </w:p>
    <w:p w:rsidR="00206CF0" w:rsidRDefault="00206CF0" w:rsidP="00F55D06">
      <w:pPr>
        <w:tabs>
          <w:tab w:val="left" w:pos="540"/>
          <w:tab w:val="left" w:pos="569"/>
        </w:tabs>
        <w:jc w:val="both"/>
        <w:rPr>
          <w:bCs/>
          <w:sz w:val="22"/>
          <w:szCs w:val="22"/>
          <w:lang w:val="sr-Latn-RS"/>
        </w:rPr>
      </w:pPr>
    </w:p>
    <w:p w:rsidR="00206CF0" w:rsidRDefault="00206CF0" w:rsidP="00F55D06">
      <w:pPr>
        <w:tabs>
          <w:tab w:val="left" w:pos="540"/>
          <w:tab w:val="left" w:pos="569"/>
        </w:tabs>
        <w:jc w:val="both"/>
        <w:rPr>
          <w:bCs/>
          <w:sz w:val="22"/>
          <w:szCs w:val="22"/>
          <w:lang w:val="sr-Latn-RS"/>
        </w:rPr>
      </w:pPr>
    </w:p>
    <w:p w:rsidR="00206CF0" w:rsidRPr="00206CF0" w:rsidRDefault="00206CF0" w:rsidP="00F55D06">
      <w:pPr>
        <w:tabs>
          <w:tab w:val="left" w:pos="540"/>
          <w:tab w:val="left" w:pos="569"/>
        </w:tabs>
        <w:jc w:val="both"/>
        <w:rPr>
          <w:bCs/>
          <w:sz w:val="22"/>
          <w:szCs w:val="22"/>
          <w:lang w:val="sr-Latn-RS"/>
        </w:rPr>
      </w:pPr>
    </w:p>
    <w:p w:rsidR="00004273" w:rsidRPr="00206CF0" w:rsidRDefault="00004273" w:rsidP="00F55D06">
      <w:pPr>
        <w:tabs>
          <w:tab w:val="left" w:pos="540"/>
          <w:tab w:val="left" w:pos="569"/>
        </w:tabs>
        <w:jc w:val="both"/>
        <w:rPr>
          <w:bCs/>
          <w:sz w:val="22"/>
          <w:szCs w:val="22"/>
          <w:lang w:val="sr-Latn-RS"/>
        </w:rPr>
      </w:pPr>
    </w:p>
    <w:p w:rsidR="00F8570A" w:rsidRPr="00206CF0" w:rsidRDefault="0072020E" w:rsidP="00F55D06">
      <w:pPr>
        <w:tabs>
          <w:tab w:val="left" w:pos="540"/>
          <w:tab w:val="left" w:pos="569"/>
        </w:tabs>
        <w:jc w:val="both"/>
        <w:rPr>
          <w:b/>
          <w:bCs/>
          <w:sz w:val="22"/>
          <w:szCs w:val="22"/>
          <w:lang w:val="sr-Latn-RS"/>
        </w:rPr>
      </w:pPr>
      <w:r w:rsidRPr="00206CF0">
        <w:rPr>
          <w:b/>
          <w:bCs/>
          <w:sz w:val="22"/>
          <w:szCs w:val="22"/>
          <w:lang w:val="sr-Latn-RS"/>
        </w:rPr>
        <w:lastRenderedPageBreak/>
        <w:t xml:space="preserve">7. </w:t>
      </w:r>
      <w:r w:rsidR="00480FB1" w:rsidRPr="00206CF0">
        <w:rPr>
          <w:b/>
          <w:bCs/>
          <w:sz w:val="22"/>
          <w:szCs w:val="22"/>
          <w:lang w:val="sr-Latn-RS"/>
        </w:rPr>
        <w:tab/>
      </w:r>
      <w:r w:rsidRPr="00206CF0">
        <w:rPr>
          <w:b/>
          <w:bCs/>
          <w:sz w:val="22"/>
          <w:szCs w:val="22"/>
          <w:lang w:val="sr-Latn-RS"/>
        </w:rPr>
        <w:t>NOSILAC DOZVOLE</w:t>
      </w:r>
      <w:r w:rsidR="00483928" w:rsidRPr="00206CF0">
        <w:rPr>
          <w:b/>
          <w:bCs/>
          <w:sz w:val="22"/>
          <w:szCs w:val="22"/>
          <w:lang w:val="sr-Latn-RS"/>
        </w:rPr>
        <w:t xml:space="preserve"> </w:t>
      </w:r>
    </w:p>
    <w:p w:rsidR="00C61BE0" w:rsidRPr="00206CF0" w:rsidRDefault="00C61BE0" w:rsidP="00F55D06">
      <w:pPr>
        <w:tabs>
          <w:tab w:val="left" w:pos="540"/>
          <w:tab w:val="left" w:pos="569"/>
        </w:tabs>
        <w:jc w:val="both"/>
        <w:rPr>
          <w:bCs/>
          <w:sz w:val="22"/>
          <w:szCs w:val="22"/>
          <w:lang w:val="sr-Latn-RS"/>
        </w:rPr>
      </w:pPr>
    </w:p>
    <w:p w:rsidR="00004273" w:rsidRPr="00206CF0" w:rsidRDefault="00004273" w:rsidP="00F55D06">
      <w:pPr>
        <w:tabs>
          <w:tab w:val="left" w:pos="540"/>
          <w:tab w:val="left" w:pos="569"/>
        </w:tabs>
        <w:jc w:val="both"/>
        <w:rPr>
          <w:bCs/>
          <w:sz w:val="22"/>
          <w:szCs w:val="22"/>
          <w:lang w:val="sr-Latn-RS"/>
        </w:rPr>
      </w:pPr>
    </w:p>
    <w:p w:rsidR="00287577" w:rsidRPr="00206CF0" w:rsidRDefault="00287577" w:rsidP="00F55D06">
      <w:pPr>
        <w:pStyle w:val="Header"/>
        <w:tabs>
          <w:tab w:val="left" w:pos="284"/>
        </w:tabs>
        <w:jc w:val="both"/>
        <w:rPr>
          <w:sz w:val="22"/>
          <w:szCs w:val="22"/>
          <w:lang w:val="sr-Latn-RS"/>
        </w:rPr>
      </w:pPr>
      <w:r w:rsidRPr="00206CF0">
        <w:rPr>
          <w:sz w:val="22"/>
          <w:szCs w:val="22"/>
          <w:lang w:val="sr-Latn-RS"/>
        </w:rPr>
        <w:t>Hoffmann – La Roche Ltd.</w:t>
      </w:r>
    </w:p>
    <w:p w:rsidR="00287577" w:rsidRPr="00206CF0" w:rsidRDefault="00287577" w:rsidP="00F55D06">
      <w:pPr>
        <w:pStyle w:val="Header"/>
        <w:tabs>
          <w:tab w:val="left" w:pos="284"/>
        </w:tabs>
        <w:jc w:val="both"/>
        <w:rPr>
          <w:sz w:val="22"/>
          <w:szCs w:val="22"/>
          <w:lang w:val="sr-Latn-RS"/>
        </w:rPr>
      </w:pPr>
      <w:r w:rsidRPr="00206CF0">
        <w:rPr>
          <w:sz w:val="22"/>
          <w:szCs w:val="22"/>
          <w:lang w:val="sr-Latn-RS"/>
        </w:rPr>
        <w:t>Dio stranog društva Podgorica</w:t>
      </w:r>
    </w:p>
    <w:p w:rsidR="00287577" w:rsidRPr="00206CF0" w:rsidRDefault="00BC0720" w:rsidP="00F55D06">
      <w:pPr>
        <w:pStyle w:val="Header"/>
        <w:tabs>
          <w:tab w:val="left" w:pos="284"/>
        </w:tabs>
        <w:jc w:val="both"/>
        <w:rPr>
          <w:sz w:val="22"/>
          <w:szCs w:val="22"/>
          <w:lang w:val="sr-Latn-RS"/>
        </w:rPr>
      </w:pPr>
      <w:r w:rsidRPr="00206CF0">
        <w:rPr>
          <w:sz w:val="22"/>
          <w:szCs w:val="22"/>
          <w:lang w:val="sr-Latn-RS"/>
        </w:rPr>
        <w:t xml:space="preserve">Ul. </w:t>
      </w:r>
      <w:r w:rsidR="00287577" w:rsidRPr="00206CF0">
        <w:rPr>
          <w:sz w:val="22"/>
          <w:szCs w:val="22"/>
          <w:lang w:val="sr-Latn-RS"/>
        </w:rPr>
        <w:t>Cetinjska 11</w:t>
      </w:r>
    </w:p>
    <w:p w:rsidR="00287577" w:rsidRPr="00206CF0" w:rsidRDefault="00287577" w:rsidP="00F55D06">
      <w:pPr>
        <w:pStyle w:val="Header"/>
        <w:tabs>
          <w:tab w:val="left" w:pos="284"/>
        </w:tabs>
        <w:jc w:val="both"/>
        <w:rPr>
          <w:sz w:val="22"/>
          <w:szCs w:val="22"/>
          <w:lang w:val="sr-Latn-RS"/>
        </w:rPr>
      </w:pPr>
      <w:r w:rsidRPr="00206CF0">
        <w:rPr>
          <w:sz w:val="22"/>
          <w:szCs w:val="22"/>
          <w:lang w:val="sr-Latn-RS"/>
        </w:rPr>
        <w:t>81000 Podgorica</w:t>
      </w:r>
    </w:p>
    <w:p w:rsidR="00287577" w:rsidRPr="00206CF0" w:rsidRDefault="00287577" w:rsidP="00F55D06">
      <w:pPr>
        <w:pStyle w:val="Header"/>
        <w:tabs>
          <w:tab w:val="left" w:pos="284"/>
        </w:tabs>
        <w:jc w:val="both"/>
        <w:rPr>
          <w:sz w:val="22"/>
          <w:szCs w:val="22"/>
          <w:lang w:val="sr-Latn-RS"/>
        </w:rPr>
      </w:pPr>
      <w:r w:rsidRPr="00206CF0">
        <w:rPr>
          <w:sz w:val="22"/>
          <w:szCs w:val="22"/>
          <w:lang w:val="sr-Latn-RS"/>
        </w:rPr>
        <w:t>Crna Gora</w:t>
      </w:r>
    </w:p>
    <w:p w:rsidR="00C37FD7" w:rsidRPr="00206CF0" w:rsidRDefault="00C37FD7" w:rsidP="00F55D06">
      <w:pPr>
        <w:tabs>
          <w:tab w:val="left" w:pos="540"/>
          <w:tab w:val="left" w:pos="569"/>
        </w:tabs>
        <w:jc w:val="both"/>
        <w:rPr>
          <w:bCs/>
          <w:sz w:val="22"/>
          <w:szCs w:val="22"/>
          <w:lang w:val="sr-Latn-RS"/>
        </w:rPr>
      </w:pPr>
    </w:p>
    <w:p w:rsidR="00004273" w:rsidRPr="00206CF0" w:rsidRDefault="00004273" w:rsidP="00F55D06">
      <w:pPr>
        <w:tabs>
          <w:tab w:val="left" w:pos="540"/>
          <w:tab w:val="left" w:pos="569"/>
        </w:tabs>
        <w:jc w:val="both"/>
        <w:rPr>
          <w:bCs/>
          <w:sz w:val="22"/>
          <w:szCs w:val="22"/>
          <w:lang w:val="sr-Latn-RS"/>
        </w:rPr>
      </w:pPr>
    </w:p>
    <w:p w:rsidR="0072020E" w:rsidRPr="00206CF0" w:rsidRDefault="0072020E" w:rsidP="00F55D06">
      <w:pPr>
        <w:tabs>
          <w:tab w:val="left" w:pos="540"/>
          <w:tab w:val="left" w:pos="569"/>
        </w:tabs>
        <w:jc w:val="both"/>
        <w:rPr>
          <w:b/>
          <w:bCs/>
          <w:sz w:val="22"/>
          <w:szCs w:val="22"/>
          <w:lang w:val="sr-Latn-RS"/>
        </w:rPr>
      </w:pPr>
      <w:r w:rsidRPr="00206CF0">
        <w:rPr>
          <w:b/>
          <w:bCs/>
          <w:sz w:val="22"/>
          <w:szCs w:val="22"/>
          <w:lang w:val="sr-Latn-RS"/>
        </w:rPr>
        <w:t xml:space="preserve">8. </w:t>
      </w:r>
      <w:r w:rsidR="00480FB1" w:rsidRPr="00206CF0">
        <w:rPr>
          <w:b/>
          <w:bCs/>
          <w:sz w:val="22"/>
          <w:szCs w:val="22"/>
          <w:lang w:val="sr-Latn-RS"/>
        </w:rPr>
        <w:tab/>
      </w:r>
      <w:r w:rsidRPr="00206CF0">
        <w:rPr>
          <w:b/>
          <w:bCs/>
          <w:sz w:val="22"/>
          <w:szCs w:val="22"/>
          <w:lang w:val="sr-Latn-RS"/>
        </w:rPr>
        <w:t>BROJ DOZVOLE</w:t>
      </w:r>
      <w:r w:rsidR="008A6D43" w:rsidRPr="00206CF0">
        <w:rPr>
          <w:b/>
          <w:bCs/>
          <w:sz w:val="22"/>
          <w:szCs w:val="22"/>
          <w:lang w:val="sr-Latn-RS"/>
        </w:rPr>
        <w:t xml:space="preserve"> ZA STAVLJANJE LIJEKA U PROMET</w:t>
      </w:r>
    </w:p>
    <w:p w:rsidR="0072020E" w:rsidRPr="00206CF0" w:rsidRDefault="0072020E" w:rsidP="00F55D06">
      <w:pPr>
        <w:tabs>
          <w:tab w:val="left" w:pos="540"/>
          <w:tab w:val="left" w:pos="569"/>
        </w:tabs>
        <w:jc w:val="both"/>
        <w:rPr>
          <w:bCs/>
          <w:sz w:val="22"/>
          <w:szCs w:val="22"/>
          <w:lang w:val="sr-Latn-RS"/>
        </w:rPr>
      </w:pPr>
    </w:p>
    <w:p w:rsidR="001A522A" w:rsidRPr="00206CF0" w:rsidRDefault="001A522A" w:rsidP="001A522A">
      <w:pPr>
        <w:jc w:val="both"/>
        <w:rPr>
          <w:iCs/>
          <w:color w:val="000000" w:themeColor="text1"/>
          <w:sz w:val="22"/>
          <w:szCs w:val="22"/>
          <w:lang w:val="sr-Latn-RS"/>
        </w:rPr>
      </w:pPr>
      <w:r w:rsidRPr="00206CF0">
        <w:rPr>
          <w:color w:val="000000" w:themeColor="text1"/>
          <w:sz w:val="22"/>
          <w:szCs w:val="22"/>
          <w:lang w:val="sr-Latn-RS"/>
        </w:rPr>
        <w:t xml:space="preserve">MIRCERA, </w:t>
      </w:r>
      <w:r w:rsidRPr="00206CF0">
        <w:rPr>
          <w:bCs/>
          <w:color w:val="000000" w:themeColor="text1"/>
          <w:sz w:val="22"/>
          <w:szCs w:val="22"/>
          <w:lang w:val="sr-Latn-RS"/>
        </w:rPr>
        <w:t>50 mikrograma/0.3 ml</w:t>
      </w:r>
      <w:r w:rsidRPr="00206CF0">
        <w:rPr>
          <w:iCs/>
          <w:color w:val="000000" w:themeColor="text1"/>
          <w:sz w:val="22"/>
          <w:szCs w:val="22"/>
          <w:lang w:val="sr-Latn-RS"/>
        </w:rPr>
        <w:t>, rastvor za injekciju u napunjenom injekcionom špricu, 1x0.3ml:</w:t>
      </w:r>
      <w:r w:rsidR="00477CE0" w:rsidRPr="00206CF0">
        <w:rPr>
          <w:iCs/>
          <w:color w:val="000000" w:themeColor="text1"/>
          <w:sz w:val="22"/>
          <w:szCs w:val="22"/>
          <w:lang w:val="sr-Latn-RS"/>
        </w:rPr>
        <w:t xml:space="preserve"> </w:t>
      </w:r>
    </w:p>
    <w:p w:rsidR="00477CE0" w:rsidRPr="00206CF0" w:rsidRDefault="00477CE0" w:rsidP="001A522A">
      <w:pPr>
        <w:jc w:val="both"/>
        <w:rPr>
          <w:iCs/>
          <w:color w:val="000000" w:themeColor="text1"/>
          <w:sz w:val="22"/>
          <w:szCs w:val="22"/>
          <w:lang w:val="sr-Latn-RS"/>
        </w:rPr>
      </w:pPr>
      <w:r w:rsidRPr="00206CF0">
        <w:rPr>
          <w:sz w:val="22"/>
          <w:szCs w:val="22"/>
          <w:lang w:val="sr-Latn-RS" w:eastAsia="sr-Latn-ME"/>
        </w:rPr>
        <w:t xml:space="preserve">2030/24/5891 </w:t>
      </w:r>
      <w:r w:rsidRPr="00206CF0">
        <w:rPr>
          <w:sz w:val="22"/>
          <w:szCs w:val="22"/>
          <w:lang w:val="sr-Latn-RS" w:eastAsia="sr-Latn-ME"/>
        </w:rPr>
        <w:t>–</w:t>
      </w:r>
      <w:r w:rsidRPr="00206CF0">
        <w:rPr>
          <w:sz w:val="22"/>
          <w:szCs w:val="22"/>
          <w:lang w:val="sr-Latn-RS" w:eastAsia="sr-Latn-ME"/>
        </w:rPr>
        <w:t xml:space="preserve"> 7736</w:t>
      </w:r>
    </w:p>
    <w:p w:rsidR="001A522A" w:rsidRPr="00206CF0" w:rsidRDefault="001A522A" w:rsidP="001A522A">
      <w:pPr>
        <w:jc w:val="both"/>
        <w:rPr>
          <w:iCs/>
          <w:color w:val="000000" w:themeColor="text1"/>
          <w:sz w:val="22"/>
          <w:szCs w:val="22"/>
          <w:lang w:val="sr-Latn-RS"/>
        </w:rPr>
      </w:pPr>
      <w:r w:rsidRPr="00206CF0">
        <w:rPr>
          <w:color w:val="000000" w:themeColor="text1"/>
          <w:sz w:val="22"/>
          <w:szCs w:val="22"/>
          <w:lang w:val="sr-Latn-RS"/>
        </w:rPr>
        <w:t xml:space="preserve">MIRCERA, </w:t>
      </w:r>
      <w:r w:rsidRPr="00206CF0">
        <w:rPr>
          <w:bCs/>
          <w:color w:val="000000" w:themeColor="text1"/>
          <w:sz w:val="22"/>
          <w:szCs w:val="22"/>
          <w:lang w:val="sr-Latn-RS"/>
        </w:rPr>
        <w:t>75 mikrograma/0.3 ml</w:t>
      </w:r>
      <w:r w:rsidRPr="00206CF0">
        <w:rPr>
          <w:iCs/>
          <w:color w:val="000000" w:themeColor="text1"/>
          <w:sz w:val="22"/>
          <w:szCs w:val="22"/>
          <w:lang w:val="sr-Latn-RS"/>
        </w:rPr>
        <w:t>, rastvor za injekciju u napunjenom injekcionom špricu, 1x0.3ml:</w:t>
      </w:r>
    </w:p>
    <w:p w:rsidR="00477CE0" w:rsidRPr="00206CF0" w:rsidRDefault="00477CE0" w:rsidP="001A522A">
      <w:pPr>
        <w:jc w:val="both"/>
        <w:rPr>
          <w:iCs/>
          <w:color w:val="000000" w:themeColor="text1"/>
          <w:sz w:val="22"/>
          <w:szCs w:val="22"/>
          <w:lang w:val="sr-Latn-RS"/>
        </w:rPr>
      </w:pPr>
      <w:r w:rsidRPr="00206CF0">
        <w:rPr>
          <w:sz w:val="22"/>
          <w:szCs w:val="22"/>
          <w:lang w:val="sr-Latn-RS" w:eastAsia="sr-Latn-ME"/>
        </w:rPr>
        <w:t>2030/24/5892 - 7737</w:t>
      </w:r>
    </w:p>
    <w:p w:rsidR="001A522A" w:rsidRPr="00206CF0" w:rsidRDefault="001A522A" w:rsidP="001A522A">
      <w:pPr>
        <w:jc w:val="both"/>
        <w:rPr>
          <w:iCs/>
          <w:color w:val="000000" w:themeColor="text1"/>
          <w:sz w:val="22"/>
          <w:szCs w:val="22"/>
          <w:lang w:val="sr-Latn-RS"/>
        </w:rPr>
      </w:pPr>
      <w:r w:rsidRPr="00206CF0">
        <w:rPr>
          <w:color w:val="000000" w:themeColor="text1"/>
          <w:sz w:val="22"/>
          <w:szCs w:val="22"/>
          <w:lang w:val="sr-Latn-RS"/>
        </w:rPr>
        <w:t xml:space="preserve">MIRCERA, </w:t>
      </w:r>
      <w:r w:rsidRPr="00206CF0">
        <w:rPr>
          <w:bCs/>
          <w:color w:val="000000" w:themeColor="text1"/>
          <w:sz w:val="22"/>
          <w:szCs w:val="22"/>
          <w:lang w:val="sr-Latn-RS"/>
        </w:rPr>
        <w:t>100 mikrograma/0.3 ml</w:t>
      </w:r>
      <w:r w:rsidRPr="00206CF0">
        <w:rPr>
          <w:iCs/>
          <w:color w:val="000000" w:themeColor="text1"/>
          <w:sz w:val="22"/>
          <w:szCs w:val="22"/>
          <w:lang w:val="sr-Latn-RS"/>
        </w:rPr>
        <w:t>, rastvor za injekciju u napunjenom injekcionom špricu, 1x0.3ml:</w:t>
      </w:r>
    </w:p>
    <w:p w:rsidR="00BB362A" w:rsidRPr="00206CF0" w:rsidRDefault="00BB362A" w:rsidP="001A522A">
      <w:pPr>
        <w:jc w:val="both"/>
        <w:rPr>
          <w:iCs/>
          <w:color w:val="000000" w:themeColor="text1"/>
          <w:sz w:val="22"/>
          <w:szCs w:val="22"/>
          <w:lang w:val="sr-Latn-RS"/>
        </w:rPr>
      </w:pPr>
      <w:r w:rsidRPr="00206CF0">
        <w:rPr>
          <w:sz w:val="22"/>
          <w:szCs w:val="22"/>
          <w:lang w:val="sr-Latn-RS" w:eastAsia="sr-Latn-ME"/>
        </w:rPr>
        <w:t>2030/24/5893 - 7738</w:t>
      </w:r>
    </w:p>
    <w:p w:rsidR="001A522A" w:rsidRPr="00206CF0" w:rsidRDefault="001A522A" w:rsidP="001A522A">
      <w:pPr>
        <w:jc w:val="both"/>
        <w:rPr>
          <w:iCs/>
          <w:color w:val="000000" w:themeColor="text1"/>
          <w:sz w:val="22"/>
          <w:szCs w:val="22"/>
          <w:lang w:val="sr-Latn-RS"/>
        </w:rPr>
      </w:pPr>
      <w:r w:rsidRPr="00206CF0">
        <w:rPr>
          <w:iCs/>
          <w:color w:val="000000" w:themeColor="text1"/>
          <w:sz w:val="22"/>
          <w:szCs w:val="22"/>
          <w:lang w:val="sr-Latn-RS"/>
        </w:rPr>
        <w:t>MIRCERA, 200 mikrograma/0.3 ml, rastvor za injekciju u napunjenom injekcionom špricu, 1x0.3ml:</w:t>
      </w:r>
    </w:p>
    <w:p w:rsidR="00BB362A" w:rsidRPr="00206CF0" w:rsidRDefault="00BB362A" w:rsidP="001A522A">
      <w:pPr>
        <w:jc w:val="both"/>
        <w:rPr>
          <w:iCs/>
          <w:color w:val="000000" w:themeColor="text1"/>
          <w:sz w:val="22"/>
          <w:szCs w:val="22"/>
          <w:lang w:val="sr-Latn-RS"/>
        </w:rPr>
      </w:pPr>
      <w:r w:rsidRPr="00206CF0">
        <w:rPr>
          <w:sz w:val="22"/>
          <w:szCs w:val="22"/>
          <w:lang w:val="sr-Latn-RS" w:eastAsia="sr-Latn-ME"/>
        </w:rPr>
        <w:t>2030/24/5894 - 3081</w:t>
      </w:r>
    </w:p>
    <w:p w:rsidR="00F45F77" w:rsidRPr="00206CF0" w:rsidRDefault="00F45F77" w:rsidP="00F55D06">
      <w:pPr>
        <w:tabs>
          <w:tab w:val="left" w:pos="540"/>
          <w:tab w:val="left" w:pos="569"/>
        </w:tabs>
        <w:jc w:val="both"/>
        <w:rPr>
          <w:bCs/>
          <w:sz w:val="22"/>
          <w:szCs w:val="22"/>
          <w:lang w:val="sr-Latn-RS"/>
        </w:rPr>
      </w:pPr>
      <w:bookmarkStart w:id="0" w:name="_GoBack"/>
      <w:bookmarkEnd w:id="0"/>
    </w:p>
    <w:p w:rsidR="00004273" w:rsidRPr="00206CF0" w:rsidRDefault="00004273" w:rsidP="00F55D06">
      <w:pPr>
        <w:tabs>
          <w:tab w:val="left" w:pos="540"/>
          <w:tab w:val="left" w:pos="569"/>
        </w:tabs>
        <w:jc w:val="both"/>
        <w:rPr>
          <w:bCs/>
          <w:sz w:val="22"/>
          <w:szCs w:val="22"/>
          <w:lang w:val="sr-Latn-RS"/>
        </w:rPr>
      </w:pPr>
    </w:p>
    <w:p w:rsidR="0072020E" w:rsidRPr="00206CF0" w:rsidRDefault="0072020E" w:rsidP="00F55D06">
      <w:pPr>
        <w:tabs>
          <w:tab w:val="left" w:pos="540"/>
          <w:tab w:val="left" w:pos="569"/>
        </w:tabs>
        <w:jc w:val="both"/>
        <w:rPr>
          <w:b/>
          <w:bCs/>
          <w:sz w:val="22"/>
          <w:szCs w:val="22"/>
          <w:lang w:val="sr-Latn-RS"/>
        </w:rPr>
      </w:pPr>
      <w:r w:rsidRPr="00206CF0">
        <w:rPr>
          <w:b/>
          <w:bCs/>
          <w:sz w:val="22"/>
          <w:szCs w:val="22"/>
          <w:lang w:val="sr-Latn-RS"/>
        </w:rPr>
        <w:t xml:space="preserve">9. </w:t>
      </w:r>
      <w:r w:rsidR="00480FB1" w:rsidRPr="00206CF0">
        <w:rPr>
          <w:b/>
          <w:bCs/>
          <w:sz w:val="22"/>
          <w:szCs w:val="22"/>
          <w:lang w:val="sr-Latn-RS"/>
        </w:rPr>
        <w:tab/>
      </w:r>
      <w:r w:rsidRPr="00206CF0">
        <w:rPr>
          <w:b/>
          <w:bCs/>
          <w:sz w:val="22"/>
          <w:szCs w:val="22"/>
          <w:lang w:val="sr-Latn-RS"/>
        </w:rPr>
        <w:t xml:space="preserve">DATUM </w:t>
      </w:r>
      <w:r w:rsidR="00C05DF8" w:rsidRPr="00206CF0">
        <w:rPr>
          <w:b/>
          <w:bCs/>
          <w:sz w:val="22"/>
          <w:szCs w:val="22"/>
          <w:lang w:val="sr-Latn-RS"/>
        </w:rPr>
        <w:t xml:space="preserve">PRVE </w:t>
      </w:r>
      <w:r w:rsidR="008A6D43" w:rsidRPr="00206CF0">
        <w:rPr>
          <w:b/>
          <w:bCs/>
          <w:sz w:val="22"/>
          <w:szCs w:val="22"/>
          <w:lang w:val="sr-Latn-RS"/>
        </w:rPr>
        <w:t>DOZVOLE</w:t>
      </w:r>
      <w:r w:rsidR="00C05DF8" w:rsidRPr="00206CF0">
        <w:rPr>
          <w:b/>
          <w:bCs/>
          <w:sz w:val="22"/>
          <w:szCs w:val="22"/>
          <w:lang w:val="sr-Latn-RS"/>
        </w:rPr>
        <w:t>/OBNOVE DOZVOLE</w:t>
      </w:r>
      <w:r w:rsidR="008A6D43" w:rsidRPr="00206CF0">
        <w:rPr>
          <w:b/>
          <w:bCs/>
          <w:sz w:val="22"/>
          <w:szCs w:val="22"/>
          <w:lang w:val="sr-Latn-RS"/>
        </w:rPr>
        <w:t xml:space="preserve"> ZA STAVLJANJE LIJEKA U PROMET</w:t>
      </w:r>
    </w:p>
    <w:p w:rsidR="00287577" w:rsidRPr="00206CF0" w:rsidRDefault="00287577" w:rsidP="00F55D06">
      <w:pPr>
        <w:tabs>
          <w:tab w:val="left" w:pos="540"/>
          <w:tab w:val="left" w:pos="569"/>
        </w:tabs>
        <w:jc w:val="both"/>
        <w:rPr>
          <w:b/>
          <w:bCs/>
          <w:sz w:val="22"/>
          <w:szCs w:val="22"/>
          <w:lang w:val="sr-Latn-RS"/>
        </w:rPr>
      </w:pPr>
    </w:p>
    <w:p w:rsidR="00477CE0" w:rsidRPr="00206CF0" w:rsidRDefault="00477CE0" w:rsidP="00477CE0">
      <w:pPr>
        <w:jc w:val="both"/>
        <w:rPr>
          <w:sz w:val="22"/>
          <w:szCs w:val="22"/>
          <w:lang w:val="sr-Latn-RS"/>
        </w:rPr>
      </w:pPr>
      <w:r w:rsidRPr="00206CF0">
        <w:rPr>
          <w:color w:val="000000"/>
          <w:spacing w:val="5"/>
          <w:sz w:val="22"/>
          <w:szCs w:val="22"/>
          <w:lang w:val="sr-Latn-RS"/>
        </w:rPr>
        <w:t xml:space="preserve">Datum prve dozvole: </w:t>
      </w:r>
    </w:p>
    <w:p w:rsidR="00BC0720" w:rsidRPr="00206CF0" w:rsidRDefault="00BC0720" w:rsidP="00BC0720">
      <w:pPr>
        <w:jc w:val="both"/>
        <w:rPr>
          <w:iCs/>
          <w:color w:val="000000" w:themeColor="text1"/>
          <w:sz w:val="22"/>
          <w:szCs w:val="22"/>
          <w:lang w:val="sr-Latn-RS"/>
        </w:rPr>
      </w:pPr>
      <w:r w:rsidRPr="00206CF0">
        <w:rPr>
          <w:color w:val="000000" w:themeColor="text1"/>
          <w:sz w:val="22"/>
          <w:szCs w:val="22"/>
          <w:lang w:val="sr-Latn-RS"/>
        </w:rPr>
        <w:t xml:space="preserve">MIRCERA, </w:t>
      </w:r>
      <w:r w:rsidRPr="00206CF0">
        <w:rPr>
          <w:bCs/>
          <w:color w:val="000000" w:themeColor="text1"/>
          <w:sz w:val="22"/>
          <w:szCs w:val="22"/>
          <w:lang w:val="sr-Latn-RS"/>
        </w:rPr>
        <w:t>50 mikrograma/0.3 ml</w:t>
      </w:r>
      <w:r w:rsidRPr="00206CF0">
        <w:rPr>
          <w:iCs/>
          <w:color w:val="000000" w:themeColor="text1"/>
          <w:sz w:val="22"/>
          <w:szCs w:val="22"/>
          <w:lang w:val="sr-Latn-RS"/>
        </w:rPr>
        <w:t>, rastvor za injekciju u napunjenom injekcionom špricu, 1x0.3ml:</w:t>
      </w:r>
    </w:p>
    <w:p w:rsidR="00477CE0" w:rsidRPr="00206CF0" w:rsidRDefault="00477CE0" w:rsidP="00BC0720">
      <w:pPr>
        <w:jc w:val="both"/>
        <w:rPr>
          <w:iCs/>
          <w:color w:val="000000" w:themeColor="text1"/>
          <w:sz w:val="22"/>
          <w:szCs w:val="22"/>
          <w:lang w:val="sr-Latn-RS"/>
        </w:rPr>
      </w:pPr>
      <w:r w:rsidRPr="00206CF0">
        <w:rPr>
          <w:sz w:val="22"/>
          <w:szCs w:val="22"/>
          <w:lang w:val="sr-Latn-RS" w:eastAsia="sr-Latn-ME"/>
        </w:rPr>
        <w:t>16.12.2009. godine</w:t>
      </w:r>
    </w:p>
    <w:p w:rsidR="00BC0720" w:rsidRPr="00206CF0" w:rsidRDefault="00BC0720" w:rsidP="00BC0720">
      <w:pPr>
        <w:jc w:val="both"/>
        <w:rPr>
          <w:iCs/>
          <w:color w:val="000000" w:themeColor="text1"/>
          <w:sz w:val="22"/>
          <w:szCs w:val="22"/>
          <w:lang w:val="sr-Latn-RS"/>
        </w:rPr>
      </w:pPr>
      <w:r w:rsidRPr="00206CF0">
        <w:rPr>
          <w:color w:val="000000" w:themeColor="text1"/>
          <w:sz w:val="22"/>
          <w:szCs w:val="22"/>
          <w:lang w:val="sr-Latn-RS"/>
        </w:rPr>
        <w:t xml:space="preserve">MIRCERA, </w:t>
      </w:r>
      <w:r w:rsidRPr="00206CF0">
        <w:rPr>
          <w:bCs/>
          <w:color w:val="000000" w:themeColor="text1"/>
          <w:sz w:val="22"/>
          <w:szCs w:val="22"/>
          <w:lang w:val="sr-Latn-RS"/>
        </w:rPr>
        <w:t>75 mikrograma/0.3 ml</w:t>
      </w:r>
      <w:r w:rsidRPr="00206CF0">
        <w:rPr>
          <w:iCs/>
          <w:color w:val="000000" w:themeColor="text1"/>
          <w:sz w:val="22"/>
          <w:szCs w:val="22"/>
          <w:lang w:val="sr-Latn-RS"/>
        </w:rPr>
        <w:t>, rastvor za injekciju u napunjenom injekcionom špricu, 1x0.3ml:</w:t>
      </w:r>
    </w:p>
    <w:p w:rsidR="00477CE0" w:rsidRPr="00206CF0" w:rsidRDefault="00477CE0" w:rsidP="00BC0720">
      <w:pPr>
        <w:jc w:val="both"/>
        <w:rPr>
          <w:iCs/>
          <w:color w:val="000000" w:themeColor="text1"/>
          <w:sz w:val="22"/>
          <w:szCs w:val="22"/>
          <w:lang w:val="sr-Latn-RS"/>
        </w:rPr>
      </w:pPr>
      <w:r w:rsidRPr="00206CF0">
        <w:rPr>
          <w:sz w:val="22"/>
          <w:szCs w:val="22"/>
          <w:lang w:val="sr-Latn-RS" w:eastAsia="sr-Latn-ME"/>
        </w:rPr>
        <w:t>16.12.2009. godine</w:t>
      </w:r>
    </w:p>
    <w:p w:rsidR="00BC0720" w:rsidRPr="00206CF0" w:rsidRDefault="00BC0720" w:rsidP="00BC0720">
      <w:pPr>
        <w:jc w:val="both"/>
        <w:rPr>
          <w:iCs/>
          <w:color w:val="000000" w:themeColor="text1"/>
          <w:sz w:val="22"/>
          <w:szCs w:val="22"/>
          <w:lang w:val="sr-Latn-RS"/>
        </w:rPr>
      </w:pPr>
      <w:r w:rsidRPr="00206CF0">
        <w:rPr>
          <w:color w:val="000000" w:themeColor="text1"/>
          <w:sz w:val="22"/>
          <w:szCs w:val="22"/>
          <w:lang w:val="sr-Latn-RS"/>
        </w:rPr>
        <w:t xml:space="preserve">MIRCERA, </w:t>
      </w:r>
      <w:r w:rsidRPr="00206CF0">
        <w:rPr>
          <w:bCs/>
          <w:color w:val="000000" w:themeColor="text1"/>
          <w:sz w:val="22"/>
          <w:szCs w:val="22"/>
          <w:lang w:val="sr-Latn-RS"/>
        </w:rPr>
        <w:t>100 mikrograma/0.3 ml</w:t>
      </w:r>
      <w:r w:rsidRPr="00206CF0">
        <w:rPr>
          <w:iCs/>
          <w:color w:val="000000" w:themeColor="text1"/>
          <w:sz w:val="22"/>
          <w:szCs w:val="22"/>
          <w:lang w:val="sr-Latn-RS"/>
        </w:rPr>
        <w:t>, rastvor za injekciju u napunjenom injekcionom špricu, 1x0.3ml:</w:t>
      </w:r>
    </w:p>
    <w:p w:rsidR="00BB362A" w:rsidRPr="00206CF0" w:rsidRDefault="00BB362A" w:rsidP="00BC0720">
      <w:pPr>
        <w:jc w:val="both"/>
        <w:rPr>
          <w:iCs/>
          <w:color w:val="000000" w:themeColor="text1"/>
          <w:sz w:val="22"/>
          <w:szCs w:val="22"/>
          <w:lang w:val="sr-Latn-RS"/>
        </w:rPr>
      </w:pPr>
      <w:r w:rsidRPr="00206CF0">
        <w:rPr>
          <w:sz w:val="22"/>
          <w:szCs w:val="22"/>
          <w:lang w:val="sr-Latn-RS" w:eastAsia="sr-Latn-ME"/>
        </w:rPr>
        <w:t>16.12.2009. godine</w:t>
      </w:r>
    </w:p>
    <w:p w:rsidR="00BC0720" w:rsidRPr="00206CF0" w:rsidRDefault="00BC0720" w:rsidP="00BC0720">
      <w:pPr>
        <w:jc w:val="both"/>
        <w:rPr>
          <w:iCs/>
          <w:color w:val="000000" w:themeColor="text1"/>
          <w:sz w:val="22"/>
          <w:szCs w:val="22"/>
          <w:lang w:val="sr-Latn-RS"/>
        </w:rPr>
      </w:pPr>
      <w:r w:rsidRPr="00206CF0">
        <w:rPr>
          <w:iCs/>
          <w:color w:val="000000" w:themeColor="text1"/>
          <w:sz w:val="22"/>
          <w:szCs w:val="22"/>
          <w:lang w:val="sr-Latn-RS"/>
        </w:rPr>
        <w:t>MIRCERA, 200 mikrograma/0.3 ml, rastvor za injekciju u napunjenom injekcionom špricu, 1x0.3ml:</w:t>
      </w:r>
    </w:p>
    <w:p w:rsidR="00BB362A" w:rsidRPr="00206CF0" w:rsidRDefault="00BB362A" w:rsidP="00BC0720">
      <w:pPr>
        <w:jc w:val="both"/>
        <w:rPr>
          <w:iCs/>
          <w:color w:val="000000" w:themeColor="text1"/>
          <w:sz w:val="22"/>
          <w:szCs w:val="22"/>
          <w:lang w:val="sr-Latn-RS"/>
        </w:rPr>
      </w:pPr>
      <w:r w:rsidRPr="00206CF0">
        <w:rPr>
          <w:iCs/>
          <w:color w:val="000000" w:themeColor="text1"/>
          <w:sz w:val="22"/>
          <w:szCs w:val="22"/>
          <w:lang w:val="sr-Latn-RS"/>
        </w:rPr>
        <w:t>13.01.2014. godine</w:t>
      </w:r>
    </w:p>
    <w:p w:rsidR="00BC0720" w:rsidRPr="00206CF0" w:rsidRDefault="00BC0720" w:rsidP="00BC0720">
      <w:pPr>
        <w:tabs>
          <w:tab w:val="left" w:pos="720"/>
        </w:tabs>
        <w:jc w:val="both"/>
        <w:rPr>
          <w:bCs/>
          <w:sz w:val="22"/>
          <w:szCs w:val="22"/>
          <w:lang w:val="sr-Latn-RS"/>
        </w:rPr>
      </w:pPr>
    </w:p>
    <w:p w:rsidR="00D72624" w:rsidRPr="00206CF0" w:rsidRDefault="00477CE0" w:rsidP="00F55D06">
      <w:pPr>
        <w:tabs>
          <w:tab w:val="left" w:pos="540"/>
          <w:tab w:val="left" w:pos="569"/>
        </w:tabs>
        <w:jc w:val="both"/>
        <w:rPr>
          <w:bCs/>
          <w:sz w:val="22"/>
          <w:szCs w:val="22"/>
          <w:lang w:val="sr-Latn-RS"/>
        </w:rPr>
      </w:pPr>
      <w:r w:rsidRPr="00206CF0">
        <w:rPr>
          <w:bCs/>
          <w:sz w:val="22"/>
          <w:szCs w:val="22"/>
          <w:lang w:val="sr-Latn-RS"/>
        </w:rPr>
        <w:t xml:space="preserve">Datum poslednje obnove dozvole: </w:t>
      </w:r>
      <w:r w:rsidRPr="00206CF0">
        <w:rPr>
          <w:sz w:val="22"/>
          <w:szCs w:val="22"/>
          <w:lang w:val="sr-Latn-RS" w:eastAsia="sr-Latn-ME"/>
        </w:rPr>
        <w:t>07.11.2024. godine</w:t>
      </w:r>
    </w:p>
    <w:p w:rsidR="00836B35" w:rsidRPr="00206CF0" w:rsidRDefault="00836B35" w:rsidP="00F55D06">
      <w:pPr>
        <w:tabs>
          <w:tab w:val="left" w:pos="540"/>
          <w:tab w:val="left" w:pos="569"/>
        </w:tabs>
        <w:jc w:val="both"/>
        <w:rPr>
          <w:bCs/>
          <w:sz w:val="22"/>
          <w:szCs w:val="22"/>
          <w:lang w:val="sr-Latn-RS"/>
        </w:rPr>
      </w:pPr>
    </w:p>
    <w:p w:rsidR="003F6A59" w:rsidRPr="00206CF0" w:rsidRDefault="0072020E" w:rsidP="00F55D06">
      <w:pPr>
        <w:tabs>
          <w:tab w:val="left" w:pos="540"/>
          <w:tab w:val="left" w:pos="569"/>
        </w:tabs>
        <w:ind w:left="540" w:hanging="540"/>
        <w:jc w:val="both"/>
        <w:rPr>
          <w:bCs/>
          <w:sz w:val="22"/>
          <w:szCs w:val="22"/>
          <w:lang w:val="sr-Latn-RS"/>
        </w:rPr>
      </w:pPr>
      <w:r w:rsidRPr="00206CF0">
        <w:rPr>
          <w:b/>
          <w:bCs/>
          <w:sz w:val="22"/>
          <w:szCs w:val="22"/>
          <w:lang w:val="sr-Latn-RS"/>
        </w:rPr>
        <w:t xml:space="preserve">10. </w:t>
      </w:r>
      <w:r w:rsidR="00480FB1" w:rsidRPr="00206CF0">
        <w:rPr>
          <w:b/>
          <w:bCs/>
          <w:sz w:val="22"/>
          <w:szCs w:val="22"/>
          <w:lang w:val="sr-Latn-RS"/>
        </w:rPr>
        <w:tab/>
      </w:r>
      <w:r w:rsidR="002846DB" w:rsidRPr="00206CF0">
        <w:rPr>
          <w:b/>
          <w:bCs/>
          <w:sz w:val="22"/>
          <w:szCs w:val="22"/>
          <w:lang w:val="sr-Latn-RS"/>
        </w:rPr>
        <w:t>D</w:t>
      </w:r>
      <w:r w:rsidR="00EC2532" w:rsidRPr="00206CF0">
        <w:rPr>
          <w:b/>
          <w:bCs/>
          <w:sz w:val="22"/>
          <w:szCs w:val="22"/>
          <w:lang w:val="sr-Latn-RS"/>
        </w:rPr>
        <w:t xml:space="preserve">ATUM REVIZIJE TEKSTA </w:t>
      </w:r>
    </w:p>
    <w:p w:rsidR="003F6A59" w:rsidRPr="00206CF0" w:rsidRDefault="003F6A59" w:rsidP="00F55D06">
      <w:pPr>
        <w:jc w:val="both"/>
        <w:rPr>
          <w:bCs/>
          <w:sz w:val="22"/>
          <w:szCs w:val="22"/>
          <w:lang w:val="sr-Latn-RS"/>
        </w:rPr>
      </w:pPr>
    </w:p>
    <w:p w:rsidR="00A633A9" w:rsidRPr="00206CF0" w:rsidRDefault="00477CE0" w:rsidP="00F55D06">
      <w:pPr>
        <w:jc w:val="both"/>
        <w:rPr>
          <w:bCs/>
          <w:sz w:val="22"/>
          <w:szCs w:val="22"/>
          <w:lang w:val="sr-Latn-RS"/>
        </w:rPr>
      </w:pPr>
      <w:r w:rsidRPr="00206CF0">
        <w:rPr>
          <w:bCs/>
          <w:sz w:val="22"/>
          <w:szCs w:val="22"/>
          <w:lang w:val="sr-Latn-RS"/>
        </w:rPr>
        <w:t>Novembar</w:t>
      </w:r>
      <w:r w:rsidR="00A633A9" w:rsidRPr="00206CF0">
        <w:rPr>
          <w:bCs/>
          <w:sz w:val="22"/>
          <w:szCs w:val="22"/>
          <w:lang w:val="sr-Latn-RS"/>
        </w:rPr>
        <w:t>, 2024. godine</w:t>
      </w:r>
    </w:p>
    <w:sectPr w:rsidR="00A633A9" w:rsidRPr="00206CF0" w:rsidSect="00EF3B86">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9F9" w:rsidRDefault="009529F9">
      <w:r>
        <w:separator/>
      </w:r>
    </w:p>
  </w:endnote>
  <w:endnote w:type="continuationSeparator" w:id="0">
    <w:p w:rsidR="009529F9" w:rsidRDefault="0095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22A" w:rsidRPr="00B23F69" w:rsidRDefault="001A522A"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206CF0">
      <w:rPr>
        <w:noProof/>
        <w:sz w:val="22"/>
        <w:szCs w:val="22"/>
      </w:rPr>
      <w:t>14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206CF0">
      <w:rPr>
        <w:noProof/>
        <w:sz w:val="22"/>
        <w:szCs w:val="22"/>
      </w:rPr>
      <w:t>14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9F9" w:rsidRDefault="009529F9">
      <w:r>
        <w:separator/>
      </w:r>
    </w:p>
  </w:footnote>
  <w:footnote w:type="continuationSeparator" w:id="0">
    <w:p w:rsidR="009529F9" w:rsidRDefault="00952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4273"/>
    <w:rsid w:val="0001484E"/>
    <w:rsid w:val="000176CA"/>
    <w:rsid w:val="00036FA0"/>
    <w:rsid w:val="0003793F"/>
    <w:rsid w:val="00057E35"/>
    <w:rsid w:val="00076726"/>
    <w:rsid w:val="00080303"/>
    <w:rsid w:val="000A0686"/>
    <w:rsid w:val="000A3F58"/>
    <w:rsid w:val="000D2343"/>
    <w:rsid w:val="000D3449"/>
    <w:rsid w:val="000D425A"/>
    <w:rsid w:val="000D60CC"/>
    <w:rsid w:val="000E2084"/>
    <w:rsid w:val="000E6F55"/>
    <w:rsid w:val="000F77FA"/>
    <w:rsid w:val="00106CE9"/>
    <w:rsid w:val="00107BF7"/>
    <w:rsid w:val="00116B5A"/>
    <w:rsid w:val="00126F53"/>
    <w:rsid w:val="0013136D"/>
    <w:rsid w:val="0014766D"/>
    <w:rsid w:val="001536CC"/>
    <w:rsid w:val="001829D8"/>
    <w:rsid w:val="00193665"/>
    <w:rsid w:val="001A3FBA"/>
    <w:rsid w:val="001A522A"/>
    <w:rsid w:val="001A5518"/>
    <w:rsid w:val="001B1C6A"/>
    <w:rsid w:val="001B2D1D"/>
    <w:rsid w:val="001B399C"/>
    <w:rsid w:val="001C1263"/>
    <w:rsid w:val="001C1417"/>
    <w:rsid w:val="001E390B"/>
    <w:rsid w:val="001F42FB"/>
    <w:rsid w:val="001F719A"/>
    <w:rsid w:val="002031B3"/>
    <w:rsid w:val="00206CF0"/>
    <w:rsid w:val="00215931"/>
    <w:rsid w:val="00227BDB"/>
    <w:rsid w:val="00234CB1"/>
    <w:rsid w:val="002352F8"/>
    <w:rsid w:val="002510A5"/>
    <w:rsid w:val="00254A0A"/>
    <w:rsid w:val="0025706C"/>
    <w:rsid w:val="00266046"/>
    <w:rsid w:val="002664ED"/>
    <w:rsid w:val="00283F26"/>
    <w:rsid w:val="002846DB"/>
    <w:rsid w:val="00284CCD"/>
    <w:rsid w:val="00287577"/>
    <w:rsid w:val="002C6637"/>
    <w:rsid w:val="002D4D0A"/>
    <w:rsid w:val="002E0135"/>
    <w:rsid w:val="002E37A5"/>
    <w:rsid w:val="00310F03"/>
    <w:rsid w:val="003247D2"/>
    <w:rsid w:val="003445C1"/>
    <w:rsid w:val="00351F16"/>
    <w:rsid w:val="00355B61"/>
    <w:rsid w:val="00362686"/>
    <w:rsid w:val="00370ACD"/>
    <w:rsid w:val="00371510"/>
    <w:rsid w:val="00396DFD"/>
    <w:rsid w:val="003A7059"/>
    <w:rsid w:val="003B7A36"/>
    <w:rsid w:val="003C17AB"/>
    <w:rsid w:val="003C7823"/>
    <w:rsid w:val="003E1DCC"/>
    <w:rsid w:val="003F6A59"/>
    <w:rsid w:val="004065C8"/>
    <w:rsid w:val="004109FA"/>
    <w:rsid w:val="00411B4B"/>
    <w:rsid w:val="00415BEE"/>
    <w:rsid w:val="00417025"/>
    <w:rsid w:val="00427F85"/>
    <w:rsid w:val="00436F42"/>
    <w:rsid w:val="004378B4"/>
    <w:rsid w:val="00451314"/>
    <w:rsid w:val="00452E9D"/>
    <w:rsid w:val="004534C7"/>
    <w:rsid w:val="00455457"/>
    <w:rsid w:val="004671AA"/>
    <w:rsid w:val="00477CE0"/>
    <w:rsid w:val="00480FB1"/>
    <w:rsid w:val="00483928"/>
    <w:rsid w:val="004A5A86"/>
    <w:rsid w:val="004A6311"/>
    <w:rsid w:val="004D6103"/>
    <w:rsid w:val="004E3BCE"/>
    <w:rsid w:val="004F0E97"/>
    <w:rsid w:val="00501DD1"/>
    <w:rsid w:val="00515C21"/>
    <w:rsid w:val="00530BD7"/>
    <w:rsid w:val="00545CD2"/>
    <w:rsid w:val="005476F3"/>
    <w:rsid w:val="00557B28"/>
    <w:rsid w:val="00572527"/>
    <w:rsid w:val="00573E40"/>
    <w:rsid w:val="00576348"/>
    <w:rsid w:val="00583483"/>
    <w:rsid w:val="005A0B2E"/>
    <w:rsid w:val="005A23D2"/>
    <w:rsid w:val="005A36CB"/>
    <w:rsid w:val="005B23EE"/>
    <w:rsid w:val="005B49B8"/>
    <w:rsid w:val="005C0741"/>
    <w:rsid w:val="005C2579"/>
    <w:rsid w:val="005C5EF4"/>
    <w:rsid w:val="005E2E0B"/>
    <w:rsid w:val="005E7A7D"/>
    <w:rsid w:val="00602457"/>
    <w:rsid w:val="00646BD1"/>
    <w:rsid w:val="00651E25"/>
    <w:rsid w:val="00652A0B"/>
    <w:rsid w:val="00654AFC"/>
    <w:rsid w:val="006561C2"/>
    <w:rsid w:val="00671CB3"/>
    <w:rsid w:val="00674BAF"/>
    <w:rsid w:val="00682200"/>
    <w:rsid w:val="00692BF6"/>
    <w:rsid w:val="00697E9D"/>
    <w:rsid w:val="006A1497"/>
    <w:rsid w:val="006B0BD1"/>
    <w:rsid w:val="006D20A5"/>
    <w:rsid w:val="006D37BF"/>
    <w:rsid w:val="00702E22"/>
    <w:rsid w:val="0072020E"/>
    <w:rsid w:val="00750FAE"/>
    <w:rsid w:val="00751820"/>
    <w:rsid w:val="00784CA0"/>
    <w:rsid w:val="00786071"/>
    <w:rsid w:val="007A3ECB"/>
    <w:rsid w:val="007C6923"/>
    <w:rsid w:val="007F0952"/>
    <w:rsid w:val="00824AB9"/>
    <w:rsid w:val="00836B35"/>
    <w:rsid w:val="00843BDE"/>
    <w:rsid w:val="0089705C"/>
    <w:rsid w:val="008A6D43"/>
    <w:rsid w:val="008B491E"/>
    <w:rsid w:val="008C1A28"/>
    <w:rsid w:val="008C2E98"/>
    <w:rsid w:val="008E49BD"/>
    <w:rsid w:val="008E53E9"/>
    <w:rsid w:val="008E5771"/>
    <w:rsid w:val="008F4ACF"/>
    <w:rsid w:val="00940B9B"/>
    <w:rsid w:val="0094214C"/>
    <w:rsid w:val="009529F9"/>
    <w:rsid w:val="0095676E"/>
    <w:rsid w:val="00956983"/>
    <w:rsid w:val="00961B75"/>
    <w:rsid w:val="00963CF0"/>
    <w:rsid w:val="00964BB1"/>
    <w:rsid w:val="009775D9"/>
    <w:rsid w:val="00997175"/>
    <w:rsid w:val="009A1847"/>
    <w:rsid w:val="009B062A"/>
    <w:rsid w:val="009C22A5"/>
    <w:rsid w:val="009D369E"/>
    <w:rsid w:val="009E7C6F"/>
    <w:rsid w:val="009F1793"/>
    <w:rsid w:val="009F2D23"/>
    <w:rsid w:val="00A01D69"/>
    <w:rsid w:val="00A02335"/>
    <w:rsid w:val="00A46C9A"/>
    <w:rsid w:val="00A619F3"/>
    <w:rsid w:val="00A62A73"/>
    <w:rsid w:val="00A633A9"/>
    <w:rsid w:val="00A87FF6"/>
    <w:rsid w:val="00A90494"/>
    <w:rsid w:val="00A945C7"/>
    <w:rsid w:val="00AA0A3B"/>
    <w:rsid w:val="00AA2763"/>
    <w:rsid w:val="00AA33B6"/>
    <w:rsid w:val="00AA5831"/>
    <w:rsid w:val="00AB50CA"/>
    <w:rsid w:val="00AB6D64"/>
    <w:rsid w:val="00AC53CE"/>
    <w:rsid w:val="00AD2193"/>
    <w:rsid w:val="00AF2AC7"/>
    <w:rsid w:val="00AF74CE"/>
    <w:rsid w:val="00B208DB"/>
    <w:rsid w:val="00B23F69"/>
    <w:rsid w:val="00B60619"/>
    <w:rsid w:val="00B66A70"/>
    <w:rsid w:val="00B67366"/>
    <w:rsid w:val="00B80EE1"/>
    <w:rsid w:val="00B84135"/>
    <w:rsid w:val="00BB362A"/>
    <w:rsid w:val="00BC0720"/>
    <w:rsid w:val="00C012C6"/>
    <w:rsid w:val="00C04D34"/>
    <w:rsid w:val="00C05DF8"/>
    <w:rsid w:val="00C06864"/>
    <w:rsid w:val="00C10F54"/>
    <w:rsid w:val="00C23D8D"/>
    <w:rsid w:val="00C37AA3"/>
    <w:rsid w:val="00C37FD7"/>
    <w:rsid w:val="00C43419"/>
    <w:rsid w:val="00C44CF3"/>
    <w:rsid w:val="00C601DE"/>
    <w:rsid w:val="00C61BE0"/>
    <w:rsid w:val="00C70B0E"/>
    <w:rsid w:val="00C7644E"/>
    <w:rsid w:val="00C773CA"/>
    <w:rsid w:val="00C77CE0"/>
    <w:rsid w:val="00C83785"/>
    <w:rsid w:val="00C94C0D"/>
    <w:rsid w:val="00CA1FEB"/>
    <w:rsid w:val="00CA5513"/>
    <w:rsid w:val="00CD4F85"/>
    <w:rsid w:val="00CD6F02"/>
    <w:rsid w:val="00CE246D"/>
    <w:rsid w:val="00CF07A0"/>
    <w:rsid w:val="00CF3E03"/>
    <w:rsid w:val="00D0082A"/>
    <w:rsid w:val="00D0241E"/>
    <w:rsid w:val="00D21455"/>
    <w:rsid w:val="00D215F1"/>
    <w:rsid w:val="00D33D53"/>
    <w:rsid w:val="00D45DBA"/>
    <w:rsid w:val="00D47634"/>
    <w:rsid w:val="00D62B66"/>
    <w:rsid w:val="00D65842"/>
    <w:rsid w:val="00D709B3"/>
    <w:rsid w:val="00D72624"/>
    <w:rsid w:val="00D81DCE"/>
    <w:rsid w:val="00D836C1"/>
    <w:rsid w:val="00DA2ED6"/>
    <w:rsid w:val="00DB76B8"/>
    <w:rsid w:val="00DC2EA1"/>
    <w:rsid w:val="00DD6AAF"/>
    <w:rsid w:val="00DE3F5C"/>
    <w:rsid w:val="00DF1D20"/>
    <w:rsid w:val="00E13729"/>
    <w:rsid w:val="00E21324"/>
    <w:rsid w:val="00E246B9"/>
    <w:rsid w:val="00E31FEA"/>
    <w:rsid w:val="00E44E4D"/>
    <w:rsid w:val="00E45169"/>
    <w:rsid w:val="00E47787"/>
    <w:rsid w:val="00E51C30"/>
    <w:rsid w:val="00E64180"/>
    <w:rsid w:val="00E74AEE"/>
    <w:rsid w:val="00E75B71"/>
    <w:rsid w:val="00E868E5"/>
    <w:rsid w:val="00E9237A"/>
    <w:rsid w:val="00E939FA"/>
    <w:rsid w:val="00EA5765"/>
    <w:rsid w:val="00EB524B"/>
    <w:rsid w:val="00EC2532"/>
    <w:rsid w:val="00EC4406"/>
    <w:rsid w:val="00ED7812"/>
    <w:rsid w:val="00EF3B86"/>
    <w:rsid w:val="00F115C1"/>
    <w:rsid w:val="00F317E9"/>
    <w:rsid w:val="00F34554"/>
    <w:rsid w:val="00F45F77"/>
    <w:rsid w:val="00F5167F"/>
    <w:rsid w:val="00F52258"/>
    <w:rsid w:val="00F55D06"/>
    <w:rsid w:val="00F60970"/>
    <w:rsid w:val="00F766C0"/>
    <w:rsid w:val="00F8570A"/>
    <w:rsid w:val="00F9110C"/>
    <w:rsid w:val="00F91C7B"/>
    <w:rsid w:val="00F95FBA"/>
    <w:rsid w:val="00FA6C78"/>
    <w:rsid w:val="00FB1C05"/>
    <w:rsid w:val="00FB6A63"/>
    <w:rsid w:val="00FF5F82"/>
    <w:rsid w:val="00FF667C"/>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5814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paragraph" w:styleId="Date">
    <w:name w:val="Date"/>
    <w:basedOn w:val="Normal"/>
    <w:next w:val="Normal"/>
    <w:link w:val="DateChar"/>
    <w:rsid w:val="00CA5513"/>
    <w:rPr>
      <w:sz w:val="22"/>
      <w:szCs w:val="20"/>
      <w:lang w:val="en-GB"/>
    </w:rPr>
  </w:style>
  <w:style w:type="character" w:customStyle="1" w:styleId="DateChar">
    <w:name w:val="Date Char"/>
    <w:basedOn w:val="DefaultParagraphFont"/>
    <w:link w:val="Date"/>
    <w:rsid w:val="00CA5513"/>
    <w:rPr>
      <w:sz w:val="22"/>
      <w:lang w:val="en-GB" w:eastAsia="en-US"/>
    </w:rPr>
  </w:style>
  <w:style w:type="character" w:styleId="Emphasis">
    <w:name w:val="Emphasis"/>
    <w:qFormat/>
    <w:rsid w:val="0013136D"/>
    <w:rPr>
      <w:rFonts w:cs="Times New Roman"/>
      <w:i/>
      <w:iCs/>
    </w:rPr>
  </w:style>
  <w:style w:type="paragraph" w:styleId="Caption">
    <w:name w:val="caption"/>
    <w:basedOn w:val="Normal"/>
    <w:next w:val="Normal"/>
    <w:link w:val="CaptionChar"/>
    <w:qFormat/>
    <w:rsid w:val="0013136D"/>
    <w:rPr>
      <w:b/>
      <w:bCs/>
      <w:sz w:val="20"/>
      <w:szCs w:val="20"/>
      <w:lang w:eastAsia="ja-JP"/>
    </w:rPr>
  </w:style>
  <w:style w:type="paragraph" w:customStyle="1" w:styleId="TextTi12">
    <w:name w:val="Text:Ti12"/>
    <w:basedOn w:val="Normal"/>
    <w:link w:val="TextTi12Char1"/>
    <w:rsid w:val="0013136D"/>
    <w:pPr>
      <w:spacing w:after="170" w:line="280" w:lineRule="atLeast"/>
      <w:jc w:val="both"/>
    </w:pPr>
    <w:rPr>
      <w:lang w:eastAsia="de-DE"/>
    </w:rPr>
  </w:style>
  <w:style w:type="character" w:customStyle="1" w:styleId="TextTi12Char1">
    <w:name w:val="Text:Ti12 Char1"/>
    <w:link w:val="TextTi12"/>
    <w:rsid w:val="0013136D"/>
    <w:rPr>
      <w:sz w:val="24"/>
      <w:szCs w:val="24"/>
      <w:lang w:val="en-US" w:eastAsia="de-DE"/>
    </w:rPr>
  </w:style>
  <w:style w:type="character" w:customStyle="1" w:styleId="CaptionChar">
    <w:name w:val="Caption Char"/>
    <w:link w:val="Caption"/>
    <w:rsid w:val="0013136D"/>
    <w:rPr>
      <w:b/>
      <w:bCs/>
      <w:lang w:val="en-US" w:eastAsia="ja-JP"/>
    </w:rPr>
  </w:style>
  <w:style w:type="character" w:styleId="Hyperlink">
    <w:name w:val="Hyperlink"/>
    <w:basedOn w:val="DefaultParagraphFont"/>
    <w:rsid w:val="00351F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AC141-29AD-4E41-B294-328AFCE08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6531</Words>
  <Characters>37229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43673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Olja Borozan</cp:lastModifiedBy>
  <cp:revision>10</cp:revision>
  <cp:lastPrinted>2020-11-16T13:09:00Z</cp:lastPrinted>
  <dcterms:created xsi:type="dcterms:W3CDTF">2024-10-07T07:02:00Z</dcterms:created>
  <dcterms:modified xsi:type="dcterms:W3CDTF">2024-11-07T08:46:00Z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