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49763" w14:textId="77777777" w:rsidR="001A5518" w:rsidRPr="00275456" w:rsidRDefault="001A5518" w:rsidP="005C6DFE">
      <w:pPr>
        <w:jc w:val="both"/>
        <w:rPr>
          <w:b/>
          <w:bCs/>
          <w:i/>
          <w:iCs/>
          <w:sz w:val="22"/>
          <w:szCs w:val="22"/>
          <w:u w:val="single"/>
          <w:lang w:val="sr-Latn-ME"/>
        </w:rPr>
      </w:pPr>
    </w:p>
    <w:p w14:paraId="5730A51A" w14:textId="77777777" w:rsidR="00F91C7B" w:rsidRPr="00275456" w:rsidRDefault="00F91C7B" w:rsidP="005C6DFE">
      <w:pPr>
        <w:jc w:val="both"/>
        <w:rPr>
          <w:b/>
          <w:bCs/>
          <w:i/>
          <w:iCs/>
          <w:sz w:val="22"/>
          <w:szCs w:val="22"/>
          <w:u w:val="single"/>
          <w:lang w:val="sr-Latn-ME"/>
        </w:rPr>
      </w:pPr>
    </w:p>
    <w:p w14:paraId="003AC545" w14:textId="77777777" w:rsidR="002510A5" w:rsidRPr="00275456" w:rsidRDefault="002510A5" w:rsidP="00EA088A">
      <w:pPr>
        <w:jc w:val="center"/>
        <w:rPr>
          <w:b/>
          <w:bCs/>
          <w:iCs/>
          <w:sz w:val="22"/>
          <w:szCs w:val="22"/>
          <w:u w:val="single"/>
          <w:lang w:val="sr-Latn-ME"/>
        </w:rPr>
      </w:pPr>
      <w:r w:rsidRPr="00275456">
        <w:rPr>
          <w:b/>
          <w:bCs/>
          <w:iCs/>
          <w:sz w:val="22"/>
          <w:szCs w:val="22"/>
          <w:u w:val="single"/>
          <w:lang w:val="sr-Latn-ME"/>
        </w:rPr>
        <w:t>SAŽETAK KARAKTERISTIKA LIJEKA</w:t>
      </w:r>
    </w:p>
    <w:p w14:paraId="69AE8DFA" w14:textId="77777777" w:rsidR="002510A5" w:rsidRPr="00275456" w:rsidRDefault="002510A5" w:rsidP="005C6DFE">
      <w:pPr>
        <w:jc w:val="both"/>
        <w:rPr>
          <w:b/>
          <w:bCs/>
          <w:i/>
          <w:iCs/>
          <w:sz w:val="22"/>
          <w:szCs w:val="22"/>
          <w:u w:val="single"/>
          <w:lang w:val="sr-Latn-ME"/>
        </w:rPr>
      </w:pPr>
    </w:p>
    <w:p w14:paraId="34DF0FC9" w14:textId="77777777" w:rsidR="003C17AB" w:rsidRPr="00275456" w:rsidRDefault="003C17AB" w:rsidP="005C6DFE">
      <w:pPr>
        <w:tabs>
          <w:tab w:val="left" w:pos="540"/>
          <w:tab w:val="left" w:pos="569"/>
        </w:tabs>
        <w:jc w:val="both"/>
        <w:rPr>
          <w:sz w:val="22"/>
          <w:szCs w:val="22"/>
          <w:lang w:val="sr-Latn-ME"/>
        </w:rPr>
      </w:pPr>
    </w:p>
    <w:p w14:paraId="6C6D5D65" w14:textId="77777777" w:rsidR="00C37FD7" w:rsidRPr="00275456" w:rsidRDefault="00C37FD7" w:rsidP="005C6DFE">
      <w:pPr>
        <w:tabs>
          <w:tab w:val="left" w:pos="540"/>
          <w:tab w:val="left" w:pos="569"/>
        </w:tabs>
        <w:jc w:val="both"/>
        <w:rPr>
          <w:bCs/>
          <w:sz w:val="22"/>
          <w:szCs w:val="22"/>
          <w:lang w:val="sr-Latn-ME"/>
        </w:rPr>
      </w:pPr>
    </w:p>
    <w:p w14:paraId="3AA4E18E" w14:textId="77777777" w:rsidR="00411B4B" w:rsidRPr="00275456" w:rsidRDefault="00411B4B" w:rsidP="005C6DFE">
      <w:pPr>
        <w:tabs>
          <w:tab w:val="left" w:pos="540"/>
          <w:tab w:val="left" w:pos="569"/>
        </w:tabs>
        <w:jc w:val="both"/>
        <w:rPr>
          <w:b/>
          <w:bCs/>
          <w:sz w:val="22"/>
          <w:szCs w:val="22"/>
          <w:lang w:val="sr-Latn-ME"/>
        </w:rPr>
      </w:pPr>
      <w:r w:rsidRPr="00275456">
        <w:rPr>
          <w:b/>
          <w:bCs/>
          <w:sz w:val="22"/>
          <w:szCs w:val="22"/>
          <w:lang w:val="sr-Latn-ME"/>
        </w:rPr>
        <w:t>1.</w:t>
      </w:r>
      <w:r w:rsidR="00F5167F" w:rsidRPr="00275456">
        <w:rPr>
          <w:b/>
          <w:bCs/>
          <w:sz w:val="22"/>
          <w:szCs w:val="22"/>
          <w:lang w:val="sr-Latn-ME"/>
        </w:rPr>
        <w:tab/>
      </w:r>
      <w:r w:rsidR="002846DB" w:rsidRPr="00275456">
        <w:rPr>
          <w:b/>
          <w:bCs/>
          <w:sz w:val="22"/>
          <w:szCs w:val="22"/>
          <w:lang w:val="sr-Latn-ME"/>
        </w:rPr>
        <w:t xml:space="preserve">NAZIV </w:t>
      </w:r>
      <w:r w:rsidRPr="00275456">
        <w:rPr>
          <w:b/>
          <w:bCs/>
          <w:sz w:val="22"/>
          <w:szCs w:val="22"/>
          <w:lang w:val="sr-Latn-ME"/>
        </w:rPr>
        <w:t>LIJEKA</w:t>
      </w:r>
    </w:p>
    <w:p w14:paraId="626DD3C9" w14:textId="77777777" w:rsidR="00EC2532" w:rsidRPr="00275456" w:rsidRDefault="00EC2532" w:rsidP="005C6DFE">
      <w:pPr>
        <w:jc w:val="both"/>
        <w:rPr>
          <w:sz w:val="22"/>
          <w:szCs w:val="22"/>
          <w:lang w:val="sr-Latn-ME"/>
        </w:rPr>
      </w:pPr>
    </w:p>
    <w:p w14:paraId="033071E6" w14:textId="50E3C935" w:rsidR="00785722" w:rsidRPr="00275456" w:rsidRDefault="00785722" w:rsidP="005C6DFE">
      <w:pPr>
        <w:widowControl w:val="0"/>
        <w:tabs>
          <w:tab w:val="left" w:pos="284"/>
        </w:tabs>
        <w:jc w:val="both"/>
        <w:rPr>
          <w:sz w:val="22"/>
          <w:szCs w:val="22"/>
          <w:lang w:val="sr-Latn-ME"/>
        </w:rPr>
      </w:pPr>
      <w:r w:rsidRPr="005C6DFE">
        <w:rPr>
          <w:sz w:val="22"/>
          <w:szCs w:val="22"/>
          <w:lang w:val="sr-Latn-ME"/>
        </w:rPr>
        <w:t>Simponi</w:t>
      </w:r>
      <w:r w:rsidRPr="00EA088A">
        <w:rPr>
          <w:sz w:val="22"/>
          <w:szCs w:val="22"/>
          <w:lang w:val="sr-Latn-ME"/>
        </w:rPr>
        <w:t>, 50 mg</w:t>
      </w:r>
      <w:r w:rsidRPr="00275456">
        <w:rPr>
          <w:sz w:val="22"/>
          <w:szCs w:val="22"/>
          <w:lang w:val="sr-Latn-ME"/>
        </w:rPr>
        <w:t xml:space="preserve">, rastvor za injekciju u </w:t>
      </w:r>
      <w:r w:rsidR="0055474E" w:rsidRPr="00275456">
        <w:rPr>
          <w:sz w:val="22"/>
          <w:szCs w:val="22"/>
          <w:lang w:val="sr-Latn-ME"/>
        </w:rPr>
        <w:t>napunjenom injekcionom penu</w:t>
      </w:r>
    </w:p>
    <w:p w14:paraId="748E254C" w14:textId="305693DA" w:rsidR="00785722" w:rsidRPr="00275456" w:rsidRDefault="00785722" w:rsidP="005C6DFE">
      <w:pPr>
        <w:widowControl w:val="0"/>
        <w:tabs>
          <w:tab w:val="left" w:pos="284"/>
        </w:tabs>
        <w:jc w:val="both"/>
        <w:rPr>
          <w:sz w:val="22"/>
          <w:szCs w:val="22"/>
          <w:lang w:val="sr-Latn-ME"/>
        </w:rPr>
      </w:pPr>
      <w:r w:rsidRPr="005C6DFE">
        <w:rPr>
          <w:sz w:val="22"/>
          <w:szCs w:val="22"/>
          <w:lang w:val="sr-Latn-ME"/>
        </w:rPr>
        <w:t>Simponi</w:t>
      </w:r>
      <w:r w:rsidRPr="00EA088A">
        <w:rPr>
          <w:sz w:val="22"/>
          <w:szCs w:val="22"/>
          <w:lang w:val="sr-Latn-ME"/>
        </w:rPr>
        <w:t>, 50 mg</w:t>
      </w:r>
      <w:r w:rsidRPr="00275456">
        <w:rPr>
          <w:sz w:val="22"/>
          <w:szCs w:val="22"/>
          <w:lang w:val="sr-Latn-ME"/>
        </w:rPr>
        <w:t>, rastvor za injekciju u napunjenom injekcionom špricu</w:t>
      </w:r>
    </w:p>
    <w:p w14:paraId="0C39BCEA" w14:textId="77777777" w:rsidR="00785722" w:rsidRPr="00275456" w:rsidRDefault="00785722" w:rsidP="005C6DFE">
      <w:pPr>
        <w:jc w:val="both"/>
        <w:rPr>
          <w:bCs/>
          <w:sz w:val="22"/>
          <w:szCs w:val="22"/>
          <w:lang w:val="sr-Latn-ME"/>
        </w:rPr>
      </w:pPr>
    </w:p>
    <w:p w14:paraId="1E112192" w14:textId="77777777" w:rsidR="00785722" w:rsidRPr="00275456" w:rsidRDefault="00785722" w:rsidP="005C6DFE">
      <w:pPr>
        <w:jc w:val="both"/>
        <w:rPr>
          <w:sz w:val="22"/>
          <w:szCs w:val="22"/>
          <w:lang w:val="sr-Latn-ME"/>
        </w:rPr>
      </w:pPr>
      <w:r w:rsidRPr="00275456">
        <w:rPr>
          <w:sz w:val="22"/>
          <w:szCs w:val="22"/>
          <w:lang w:val="sr-Latn-ME"/>
        </w:rPr>
        <w:t>INN: golimumab</w:t>
      </w:r>
    </w:p>
    <w:p w14:paraId="3F6D4A4A" w14:textId="77777777" w:rsidR="006D20A5" w:rsidRPr="00275456" w:rsidRDefault="006D20A5" w:rsidP="005C6DFE">
      <w:pPr>
        <w:jc w:val="both"/>
        <w:rPr>
          <w:bCs/>
          <w:sz w:val="22"/>
          <w:szCs w:val="22"/>
          <w:lang w:val="sr-Latn-ME"/>
        </w:rPr>
      </w:pPr>
    </w:p>
    <w:p w14:paraId="5EC7CF33" w14:textId="77777777" w:rsidR="00530BD7" w:rsidRPr="00275456" w:rsidRDefault="00530BD7" w:rsidP="005C6DFE">
      <w:pPr>
        <w:jc w:val="both"/>
        <w:rPr>
          <w:bCs/>
          <w:sz w:val="22"/>
          <w:szCs w:val="22"/>
          <w:lang w:val="sr-Latn-ME"/>
        </w:rPr>
      </w:pPr>
    </w:p>
    <w:p w14:paraId="3264BAF5" w14:textId="6570EA52" w:rsidR="00411B4B" w:rsidRPr="00275456" w:rsidRDefault="00411B4B" w:rsidP="005C6DFE">
      <w:pPr>
        <w:tabs>
          <w:tab w:val="left" w:pos="540"/>
          <w:tab w:val="left" w:pos="569"/>
        </w:tabs>
        <w:jc w:val="both"/>
        <w:rPr>
          <w:b/>
          <w:bCs/>
          <w:sz w:val="22"/>
          <w:szCs w:val="22"/>
          <w:lang w:val="sr-Latn-ME"/>
        </w:rPr>
      </w:pPr>
      <w:r w:rsidRPr="00275456">
        <w:rPr>
          <w:b/>
          <w:bCs/>
          <w:sz w:val="22"/>
          <w:szCs w:val="22"/>
          <w:lang w:val="sr-Latn-ME"/>
        </w:rPr>
        <w:t xml:space="preserve">2. </w:t>
      </w:r>
      <w:r w:rsidR="00F5167F" w:rsidRPr="00275456">
        <w:rPr>
          <w:b/>
          <w:bCs/>
          <w:sz w:val="22"/>
          <w:szCs w:val="22"/>
          <w:lang w:val="sr-Latn-ME"/>
        </w:rPr>
        <w:tab/>
      </w:r>
      <w:r w:rsidRPr="00275456">
        <w:rPr>
          <w:b/>
          <w:bCs/>
          <w:sz w:val="22"/>
          <w:szCs w:val="22"/>
          <w:lang w:val="sr-Latn-ME"/>
        </w:rPr>
        <w:t>KVALITATIVNI I KVANTITATIVNI SASTAV</w:t>
      </w:r>
    </w:p>
    <w:p w14:paraId="37DA2FD2" w14:textId="77777777" w:rsidR="00785722" w:rsidRPr="00275456" w:rsidRDefault="00785722" w:rsidP="005C6DFE">
      <w:pPr>
        <w:tabs>
          <w:tab w:val="left" w:pos="540"/>
          <w:tab w:val="left" w:pos="569"/>
        </w:tabs>
        <w:jc w:val="both"/>
        <w:rPr>
          <w:b/>
          <w:bCs/>
          <w:sz w:val="22"/>
          <w:szCs w:val="22"/>
          <w:lang w:val="sr-Latn-ME"/>
        </w:rPr>
      </w:pPr>
    </w:p>
    <w:p w14:paraId="546B689E" w14:textId="0472EB24" w:rsidR="00785722" w:rsidRPr="005C6DFE" w:rsidRDefault="00785722" w:rsidP="005C6DFE">
      <w:pPr>
        <w:tabs>
          <w:tab w:val="left" w:pos="284"/>
        </w:tabs>
        <w:jc w:val="both"/>
        <w:rPr>
          <w:sz w:val="22"/>
          <w:szCs w:val="22"/>
          <w:u w:val="single"/>
          <w:lang w:val="sr-Latn-ME"/>
        </w:rPr>
      </w:pPr>
      <w:r w:rsidRPr="005C6DFE">
        <w:rPr>
          <w:sz w:val="22"/>
          <w:szCs w:val="22"/>
          <w:u w:val="single"/>
          <w:lang w:val="sr-Latn-ME"/>
        </w:rPr>
        <w:t xml:space="preserve">Simponi, 50 mg, rastvor za injekciju u </w:t>
      </w:r>
      <w:r w:rsidR="007F11C3" w:rsidRPr="005C6DFE">
        <w:rPr>
          <w:sz w:val="22"/>
          <w:szCs w:val="22"/>
          <w:u w:val="single"/>
          <w:lang w:val="sr-Latn-ME"/>
        </w:rPr>
        <w:t>napunjenom injekcionom penu</w:t>
      </w:r>
    </w:p>
    <w:p w14:paraId="37995289" w14:textId="0D34889F" w:rsidR="00785722" w:rsidRPr="00275456" w:rsidRDefault="00785722" w:rsidP="005C6DFE">
      <w:pPr>
        <w:tabs>
          <w:tab w:val="left" w:pos="284"/>
        </w:tabs>
        <w:jc w:val="both"/>
        <w:rPr>
          <w:sz w:val="22"/>
          <w:szCs w:val="22"/>
          <w:lang w:val="sr-Latn-ME"/>
        </w:rPr>
      </w:pPr>
      <w:r w:rsidRPr="00EA088A">
        <w:rPr>
          <w:sz w:val="22"/>
          <w:szCs w:val="22"/>
          <w:lang w:val="sr-Latn-ME"/>
        </w:rPr>
        <w:t xml:space="preserve">Jedan </w:t>
      </w:r>
      <w:r w:rsidR="007F11C3" w:rsidRPr="00EA088A">
        <w:rPr>
          <w:sz w:val="22"/>
          <w:szCs w:val="22"/>
          <w:lang w:val="sr-Latn-ME"/>
        </w:rPr>
        <w:t xml:space="preserve">napunjeni injekcioni pen </w:t>
      </w:r>
      <w:r w:rsidRPr="00275456">
        <w:rPr>
          <w:sz w:val="22"/>
          <w:szCs w:val="22"/>
          <w:lang w:val="sr-Latn-ME"/>
        </w:rPr>
        <w:t>od 0,5 </w:t>
      </w:r>
      <w:r w:rsidR="00F81F67">
        <w:rPr>
          <w:sz w:val="22"/>
          <w:szCs w:val="22"/>
          <w:lang w:val="sr-Latn-ME"/>
        </w:rPr>
        <w:t>ml</w:t>
      </w:r>
      <w:r w:rsidRPr="00275456">
        <w:rPr>
          <w:sz w:val="22"/>
          <w:szCs w:val="22"/>
          <w:lang w:val="sr-Latn-ME"/>
        </w:rPr>
        <w:t xml:space="preserve"> sadrži 50 mg golimumaba*.</w:t>
      </w:r>
    </w:p>
    <w:p w14:paraId="10002325" w14:textId="77777777" w:rsidR="00785722" w:rsidRPr="00275456" w:rsidRDefault="00785722" w:rsidP="005C6DFE">
      <w:pPr>
        <w:tabs>
          <w:tab w:val="left" w:pos="284"/>
        </w:tabs>
        <w:jc w:val="both"/>
        <w:rPr>
          <w:sz w:val="22"/>
          <w:szCs w:val="22"/>
          <w:lang w:val="sr-Latn-ME"/>
        </w:rPr>
      </w:pPr>
    </w:p>
    <w:p w14:paraId="7050FFF4" w14:textId="77777777" w:rsidR="00785722" w:rsidRPr="005C6DFE" w:rsidRDefault="00785722" w:rsidP="005C6DFE">
      <w:pPr>
        <w:tabs>
          <w:tab w:val="left" w:pos="284"/>
        </w:tabs>
        <w:jc w:val="both"/>
        <w:rPr>
          <w:sz w:val="22"/>
          <w:szCs w:val="22"/>
          <w:u w:val="single"/>
          <w:lang w:val="sr-Latn-ME"/>
        </w:rPr>
      </w:pPr>
      <w:r w:rsidRPr="005C6DFE">
        <w:rPr>
          <w:sz w:val="22"/>
          <w:szCs w:val="22"/>
          <w:u w:val="single"/>
          <w:lang w:val="sr-Latn-ME"/>
        </w:rPr>
        <w:t>Simponi, 50 mg, rastvor za injekciju u napunjenom injekcionom špricu</w:t>
      </w:r>
    </w:p>
    <w:p w14:paraId="6E7838B6" w14:textId="1EF83612" w:rsidR="00785722" w:rsidRPr="00275456" w:rsidRDefault="00785722" w:rsidP="005C6DFE">
      <w:pPr>
        <w:tabs>
          <w:tab w:val="left" w:pos="284"/>
        </w:tabs>
        <w:jc w:val="both"/>
        <w:rPr>
          <w:sz w:val="22"/>
          <w:szCs w:val="22"/>
          <w:lang w:val="sr-Latn-ME"/>
        </w:rPr>
      </w:pPr>
      <w:r w:rsidRPr="00EA088A">
        <w:rPr>
          <w:sz w:val="22"/>
          <w:szCs w:val="22"/>
          <w:lang w:val="sr-Latn-ME"/>
        </w:rPr>
        <w:t xml:space="preserve">Jedan napunjeni injekcioni špric od 0,5 </w:t>
      </w:r>
      <w:r w:rsidR="00F81F67">
        <w:rPr>
          <w:sz w:val="22"/>
          <w:szCs w:val="22"/>
          <w:lang w:val="sr-Latn-ME"/>
        </w:rPr>
        <w:t>ml</w:t>
      </w:r>
      <w:r w:rsidRPr="00275456">
        <w:rPr>
          <w:sz w:val="22"/>
          <w:szCs w:val="22"/>
          <w:lang w:val="sr-Latn-ME"/>
        </w:rPr>
        <w:t xml:space="preserve"> sadrži 50 mg golimumaba*.</w:t>
      </w:r>
    </w:p>
    <w:p w14:paraId="15248EBD" w14:textId="77777777" w:rsidR="00785722" w:rsidRPr="00275456" w:rsidRDefault="00785722" w:rsidP="005C6DFE">
      <w:pPr>
        <w:tabs>
          <w:tab w:val="left" w:pos="284"/>
        </w:tabs>
        <w:jc w:val="both"/>
        <w:rPr>
          <w:sz w:val="22"/>
          <w:szCs w:val="22"/>
          <w:lang w:val="sr-Latn-ME"/>
        </w:rPr>
      </w:pPr>
    </w:p>
    <w:p w14:paraId="36849C70" w14:textId="77777777" w:rsidR="00785722" w:rsidRPr="00275456" w:rsidRDefault="00785722" w:rsidP="005C6DFE">
      <w:pPr>
        <w:tabs>
          <w:tab w:val="left" w:pos="284"/>
        </w:tabs>
        <w:jc w:val="both"/>
        <w:rPr>
          <w:sz w:val="22"/>
          <w:szCs w:val="22"/>
          <w:lang w:val="sr-Latn-ME"/>
        </w:rPr>
      </w:pPr>
      <w:r w:rsidRPr="00275456">
        <w:rPr>
          <w:sz w:val="22"/>
          <w:szCs w:val="22"/>
          <w:lang w:val="sr-Latn-ME"/>
        </w:rPr>
        <w:t>* Humano monoklonsko antitijelo IgG1κ proizvedeno na ćelijskoj liniji mišijeg hibridoma tehnologijom rekombinantne DNK.</w:t>
      </w:r>
    </w:p>
    <w:p w14:paraId="18723BDF" w14:textId="77777777" w:rsidR="00785722" w:rsidRPr="00275456" w:rsidRDefault="00785722" w:rsidP="005C6DFE">
      <w:pPr>
        <w:tabs>
          <w:tab w:val="left" w:pos="284"/>
        </w:tabs>
        <w:jc w:val="both"/>
        <w:rPr>
          <w:sz w:val="22"/>
          <w:szCs w:val="22"/>
          <w:lang w:val="sr-Latn-ME"/>
        </w:rPr>
      </w:pPr>
    </w:p>
    <w:p w14:paraId="716FA2EA" w14:textId="77777777" w:rsidR="00785722" w:rsidRPr="00275456" w:rsidRDefault="00785722" w:rsidP="005C6DFE">
      <w:pPr>
        <w:tabs>
          <w:tab w:val="left" w:pos="284"/>
        </w:tabs>
        <w:jc w:val="both"/>
        <w:rPr>
          <w:bCs/>
          <w:sz w:val="22"/>
          <w:szCs w:val="22"/>
          <w:lang w:val="sr-Latn-ME"/>
        </w:rPr>
      </w:pPr>
      <w:r w:rsidRPr="00275456">
        <w:rPr>
          <w:bCs/>
          <w:sz w:val="22"/>
          <w:szCs w:val="22"/>
          <w:lang w:val="sr-Latn-ME"/>
        </w:rPr>
        <w:t>Pomoćna supstanca sa poznatim dejstvom:</w:t>
      </w:r>
    </w:p>
    <w:p w14:paraId="62C9E118" w14:textId="333F0884" w:rsidR="00785722" w:rsidRPr="00275456" w:rsidRDefault="00785722" w:rsidP="005C6DFE">
      <w:pPr>
        <w:tabs>
          <w:tab w:val="left" w:pos="284"/>
        </w:tabs>
        <w:jc w:val="both"/>
        <w:rPr>
          <w:bCs/>
          <w:sz w:val="22"/>
          <w:szCs w:val="22"/>
          <w:lang w:val="sr-Latn-ME"/>
        </w:rPr>
      </w:pPr>
      <w:r w:rsidRPr="00275456">
        <w:rPr>
          <w:bCs/>
          <w:sz w:val="22"/>
          <w:szCs w:val="22"/>
          <w:lang w:val="sr-Latn-ME"/>
        </w:rPr>
        <w:t xml:space="preserve">Jedan </w:t>
      </w:r>
      <w:r w:rsidR="007F11C3" w:rsidRPr="00275456">
        <w:rPr>
          <w:sz w:val="22"/>
          <w:szCs w:val="22"/>
          <w:lang w:val="sr-Latn-ME"/>
        </w:rPr>
        <w:t xml:space="preserve">napunjeni injekcioni pen </w:t>
      </w:r>
      <w:r w:rsidRPr="00275456">
        <w:rPr>
          <w:bCs/>
          <w:sz w:val="22"/>
          <w:szCs w:val="22"/>
          <w:lang w:val="sr-Latn-ME"/>
        </w:rPr>
        <w:t>sadrži 20,5 mg sorbitola po dozi od 50 mg.</w:t>
      </w:r>
    </w:p>
    <w:p w14:paraId="75CD39BF" w14:textId="77777777" w:rsidR="00785722" w:rsidRPr="00275456" w:rsidRDefault="00785722" w:rsidP="005C6DFE">
      <w:pPr>
        <w:tabs>
          <w:tab w:val="left" w:pos="284"/>
        </w:tabs>
        <w:jc w:val="both"/>
        <w:rPr>
          <w:bCs/>
          <w:sz w:val="22"/>
          <w:szCs w:val="22"/>
          <w:lang w:val="sr-Latn-ME"/>
        </w:rPr>
      </w:pPr>
      <w:r w:rsidRPr="00275456">
        <w:rPr>
          <w:bCs/>
          <w:sz w:val="22"/>
          <w:szCs w:val="22"/>
          <w:lang w:val="sr-Latn-ME"/>
        </w:rPr>
        <w:t>Jedan napunjen injekcioni špric sadrži 20,5 mg sorbitola po dozi od 50 mg.</w:t>
      </w:r>
    </w:p>
    <w:p w14:paraId="5D652444" w14:textId="77777777" w:rsidR="005A0B2E" w:rsidRPr="00275456" w:rsidRDefault="005A0B2E" w:rsidP="005C6DFE">
      <w:pPr>
        <w:jc w:val="both"/>
        <w:rPr>
          <w:sz w:val="22"/>
          <w:szCs w:val="22"/>
          <w:lang w:val="sr-Latn-ME"/>
        </w:rPr>
      </w:pPr>
    </w:p>
    <w:p w14:paraId="0C2D27B0" w14:textId="77777777" w:rsidR="0003793F" w:rsidRPr="00275456" w:rsidRDefault="0003793F" w:rsidP="005C6DFE">
      <w:pPr>
        <w:jc w:val="both"/>
        <w:rPr>
          <w:sz w:val="22"/>
          <w:szCs w:val="22"/>
          <w:lang w:val="sr-Latn-ME"/>
        </w:rPr>
      </w:pPr>
      <w:r w:rsidRPr="00275456">
        <w:rPr>
          <w:sz w:val="22"/>
          <w:szCs w:val="22"/>
          <w:lang w:val="sr-Latn-ME"/>
        </w:rPr>
        <w:t>Za spisak svih ekscipijenasa, pogledati dio 6.1.</w:t>
      </w:r>
    </w:p>
    <w:p w14:paraId="3B583C64" w14:textId="77777777" w:rsidR="0003793F" w:rsidRPr="00275456" w:rsidRDefault="0003793F" w:rsidP="005C6DFE">
      <w:pPr>
        <w:jc w:val="both"/>
        <w:rPr>
          <w:sz w:val="22"/>
          <w:szCs w:val="22"/>
          <w:lang w:val="sr-Latn-ME"/>
        </w:rPr>
      </w:pPr>
    </w:p>
    <w:p w14:paraId="43119DAC" w14:textId="77777777" w:rsidR="00C37FD7" w:rsidRPr="00275456" w:rsidRDefault="00C37FD7" w:rsidP="005C6DFE">
      <w:pPr>
        <w:jc w:val="both"/>
        <w:rPr>
          <w:sz w:val="22"/>
          <w:szCs w:val="22"/>
          <w:lang w:val="sr-Latn-ME"/>
        </w:rPr>
      </w:pPr>
    </w:p>
    <w:p w14:paraId="15DAA50E" w14:textId="1030983E" w:rsidR="00411B4B" w:rsidRPr="00275456" w:rsidRDefault="00411B4B" w:rsidP="005C6DFE">
      <w:pPr>
        <w:tabs>
          <w:tab w:val="left" w:pos="540"/>
          <w:tab w:val="left" w:pos="569"/>
        </w:tabs>
        <w:jc w:val="both"/>
        <w:rPr>
          <w:b/>
          <w:bCs/>
          <w:sz w:val="22"/>
          <w:szCs w:val="22"/>
          <w:lang w:val="sr-Latn-ME"/>
        </w:rPr>
      </w:pPr>
      <w:r w:rsidRPr="00275456">
        <w:rPr>
          <w:b/>
          <w:bCs/>
          <w:sz w:val="22"/>
          <w:szCs w:val="22"/>
          <w:lang w:val="sr-Latn-ME"/>
        </w:rPr>
        <w:t xml:space="preserve">3. </w:t>
      </w:r>
      <w:r w:rsidR="00F5167F" w:rsidRPr="00275456">
        <w:rPr>
          <w:b/>
          <w:bCs/>
          <w:sz w:val="22"/>
          <w:szCs w:val="22"/>
          <w:lang w:val="sr-Latn-ME"/>
        </w:rPr>
        <w:tab/>
      </w:r>
      <w:r w:rsidRPr="00275456">
        <w:rPr>
          <w:b/>
          <w:bCs/>
          <w:sz w:val="22"/>
          <w:szCs w:val="22"/>
          <w:lang w:val="sr-Latn-ME"/>
        </w:rPr>
        <w:t>FARMACEUTSKI OBLIK</w:t>
      </w:r>
      <w:r w:rsidR="009F2D23" w:rsidRPr="00275456">
        <w:rPr>
          <w:b/>
          <w:bCs/>
          <w:sz w:val="22"/>
          <w:szCs w:val="22"/>
          <w:lang w:val="sr-Latn-ME"/>
        </w:rPr>
        <w:t xml:space="preserve"> </w:t>
      </w:r>
    </w:p>
    <w:p w14:paraId="334D4476" w14:textId="77777777" w:rsidR="00785722" w:rsidRPr="00275456" w:rsidRDefault="00785722" w:rsidP="005C6DFE">
      <w:pPr>
        <w:tabs>
          <w:tab w:val="left" w:pos="540"/>
          <w:tab w:val="left" w:pos="569"/>
        </w:tabs>
        <w:jc w:val="both"/>
        <w:rPr>
          <w:b/>
          <w:bCs/>
          <w:sz w:val="22"/>
          <w:szCs w:val="22"/>
          <w:lang w:val="sr-Latn-ME"/>
        </w:rPr>
      </w:pPr>
    </w:p>
    <w:p w14:paraId="1A5E99FA" w14:textId="14366E5F" w:rsidR="00785722" w:rsidRPr="00275456" w:rsidRDefault="00785722" w:rsidP="005C6DFE">
      <w:pPr>
        <w:tabs>
          <w:tab w:val="left" w:pos="284"/>
        </w:tabs>
        <w:jc w:val="both"/>
        <w:rPr>
          <w:sz w:val="22"/>
          <w:szCs w:val="22"/>
          <w:lang w:val="sr-Latn-ME"/>
        </w:rPr>
      </w:pPr>
      <w:r w:rsidRPr="00275456">
        <w:rPr>
          <w:sz w:val="22"/>
          <w:szCs w:val="22"/>
          <w:lang w:val="sr-Latn-ME"/>
        </w:rPr>
        <w:t xml:space="preserve">Rastvor za injekciju u </w:t>
      </w:r>
      <w:r w:rsidR="007F11C3" w:rsidRPr="00275456">
        <w:rPr>
          <w:sz w:val="22"/>
          <w:szCs w:val="22"/>
          <w:lang w:val="sr-Latn-ME"/>
        </w:rPr>
        <w:t xml:space="preserve">napunjenom injekcionom penu </w:t>
      </w:r>
      <w:r w:rsidRPr="00275456">
        <w:rPr>
          <w:sz w:val="22"/>
          <w:szCs w:val="22"/>
          <w:lang w:val="sr-Latn-ME"/>
        </w:rPr>
        <w:t xml:space="preserve">(injekcija), SmartJect. </w:t>
      </w:r>
    </w:p>
    <w:p w14:paraId="3A45D028" w14:textId="77777777" w:rsidR="00785722" w:rsidRPr="00275456" w:rsidRDefault="00785722" w:rsidP="005C6DFE">
      <w:pPr>
        <w:tabs>
          <w:tab w:val="left" w:pos="284"/>
        </w:tabs>
        <w:jc w:val="both"/>
        <w:rPr>
          <w:sz w:val="22"/>
          <w:szCs w:val="22"/>
          <w:lang w:val="sr-Latn-ME"/>
        </w:rPr>
      </w:pPr>
    </w:p>
    <w:p w14:paraId="234F5B2F" w14:textId="77777777" w:rsidR="00785722" w:rsidRPr="00275456" w:rsidRDefault="00785722" w:rsidP="005C6DFE">
      <w:pPr>
        <w:tabs>
          <w:tab w:val="left" w:pos="284"/>
        </w:tabs>
        <w:jc w:val="both"/>
        <w:rPr>
          <w:sz w:val="22"/>
          <w:szCs w:val="22"/>
          <w:lang w:val="sr-Latn-ME"/>
        </w:rPr>
      </w:pPr>
      <w:r w:rsidRPr="00275456">
        <w:rPr>
          <w:sz w:val="22"/>
          <w:szCs w:val="22"/>
          <w:lang w:val="sr-Latn-ME"/>
        </w:rPr>
        <w:t>Rastvor za injekciju u napunjenom injekcionom špricu (injekcija).</w:t>
      </w:r>
    </w:p>
    <w:p w14:paraId="3669ECF2" w14:textId="77777777" w:rsidR="00785722" w:rsidRPr="00275456" w:rsidRDefault="00785722" w:rsidP="005C6DFE">
      <w:pPr>
        <w:tabs>
          <w:tab w:val="left" w:pos="284"/>
        </w:tabs>
        <w:jc w:val="both"/>
        <w:rPr>
          <w:sz w:val="22"/>
          <w:szCs w:val="22"/>
          <w:lang w:val="sr-Latn-ME"/>
        </w:rPr>
      </w:pPr>
    </w:p>
    <w:p w14:paraId="18B3D5B6" w14:textId="77777777" w:rsidR="00785722" w:rsidRPr="00275456" w:rsidRDefault="00785722" w:rsidP="005C6DFE">
      <w:pPr>
        <w:tabs>
          <w:tab w:val="left" w:pos="284"/>
        </w:tabs>
        <w:jc w:val="both"/>
        <w:rPr>
          <w:sz w:val="22"/>
          <w:szCs w:val="22"/>
          <w:lang w:val="sr-Latn-ME"/>
        </w:rPr>
      </w:pPr>
      <w:r w:rsidRPr="00275456">
        <w:rPr>
          <w:sz w:val="22"/>
          <w:szCs w:val="22"/>
          <w:lang w:val="sr-Latn-ME"/>
        </w:rPr>
        <w:t>Rastvor je bistar do blago opalescentan, bezbojan do žućkast.</w:t>
      </w:r>
    </w:p>
    <w:p w14:paraId="7FFACE31" w14:textId="77777777" w:rsidR="00411B4B" w:rsidRPr="00275456" w:rsidRDefault="00411B4B" w:rsidP="005C6DFE">
      <w:pPr>
        <w:jc w:val="both"/>
        <w:rPr>
          <w:bCs/>
          <w:sz w:val="22"/>
          <w:szCs w:val="22"/>
          <w:lang w:val="sr-Latn-ME"/>
        </w:rPr>
      </w:pPr>
    </w:p>
    <w:p w14:paraId="53C53246" w14:textId="77777777" w:rsidR="00EC2532" w:rsidRPr="00275456" w:rsidRDefault="00EC2532" w:rsidP="005C6DFE">
      <w:pPr>
        <w:jc w:val="both"/>
        <w:rPr>
          <w:bCs/>
          <w:sz w:val="22"/>
          <w:szCs w:val="22"/>
          <w:lang w:val="sr-Latn-ME"/>
        </w:rPr>
      </w:pPr>
    </w:p>
    <w:p w14:paraId="4F2686AA" w14:textId="77777777" w:rsidR="00411B4B" w:rsidRPr="00275456" w:rsidRDefault="00411B4B" w:rsidP="005C6DFE">
      <w:pPr>
        <w:tabs>
          <w:tab w:val="left" w:pos="540"/>
          <w:tab w:val="left" w:pos="569"/>
        </w:tabs>
        <w:jc w:val="both"/>
        <w:rPr>
          <w:b/>
          <w:bCs/>
          <w:sz w:val="22"/>
          <w:szCs w:val="22"/>
          <w:lang w:val="sr-Latn-ME"/>
        </w:rPr>
      </w:pPr>
      <w:r w:rsidRPr="00275456">
        <w:rPr>
          <w:b/>
          <w:bCs/>
          <w:sz w:val="22"/>
          <w:szCs w:val="22"/>
          <w:lang w:val="sr-Latn-ME"/>
        </w:rPr>
        <w:t xml:space="preserve">4. </w:t>
      </w:r>
      <w:r w:rsidR="00480FB1" w:rsidRPr="00275456">
        <w:rPr>
          <w:b/>
          <w:bCs/>
          <w:sz w:val="22"/>
          <w:szCs w:val="22"/>
          <w:lang w:val="sr-Latn-ME"/>
        </w:rPr>
        <w:tab/>
      </w:r>
      <w:r w:rsidRPr="00275456">
        <w:rPr>
          <w:b/>
          <w:bCs/>
          <w:sz w:val="22"/>
          <w:szCs w:val="22"/>
          <w:lang w:val="sr-Latn-ME"/>
        </w:rPr>
        <w:t>KLINIČKI PODACI</w:t>
      </w:r>
    </w:p>
    <w:p w14:paraId="1408FC6E" w14:textId="77777777" w:rsidR="00CD6F02" w:rsidRPr="00275456" w:rsidRDefault="00CD6F02" w:rsidP="005C6DFE">
      <w:pPr>
        <w:tabs>
          <w:tab w:val="left" w:pos="540"/>
          <w:tab w:val="left" w:pos="569"/>
        </w:tabs>
        <w:jc w:val="both"/>
        <w:rPr>
          <w:bCs/>
          <w:sz w:val="22"/>
          <w:szCs w:val="22"/>
          <w:lang w:val="sr-Latn-ME"/>
        </w:rPr>
      </w:pPr>
    </w:p>
    <w:p w14:paraId="37C8C52E" w14:textId="5EE1DDE8" w:rsidR="00411B4B" w:rsidRPr="00275456" w:rsidRDefault="00411B4B" w:rsidP="005C6DFE">
      <w:pPr>
        <w:tabs>
          <w:tab w:val="left" w:pos="540"/>
          <w:tab w:val="left" w:pos="569"/>
        </w:tabs>
        <w:jc w:val="both"/>
        <w:rPr>
          <w:b/>
          <w:bCs/>
          <w:sz w:val="22"/>
          <w:szCs w:val="22"/>
          <w:lang w:val="sr-Latn-ME"/>
        </w:rPr>
      </w:pPr>
      <w:r w:rsidRPr="00275456">
        <w:rPr>
          <w:b/>
          <w:bCs/>
          <w:sz w:val="22"/>
          <w:szCs w:val="22"/>
          <w:lang w:val="sr-Latn-ME"/>
        </w:rPr>
        <w:t xml:space="preserve">4.1. </w:t>
      </w:r>
      <w:r w:rsidR="00480FB1" w:rsidRPr="00275456">
        <w:rPr>
          <w:b/>
          <w:bCs/>
          <w:sz w:val="22"/>
          <w:szCs w:val="22"/>
          <w:lang w:val="sr-Latn-ME"/>
        </w:rPr>
        <w:tab/>
      </w:r>
      <w:r w:rsidRPr="00275456">
        <w:rPr>
          <w:b/>
          <w:bCs/>
          <w:sz w:val="22"/>
          <w:szCs w:val="22"/>
          <w:lang w:val="sr-Latn-ME"/>
        </w:rPr>
        <w:t>Terapijske indikacije</w:t>
      </w:r>
    </w:p>
    <w:p w14:paraId="1A0AF223" w14:textId="77777777" w:rsidR="00785722" w:rsidRPr="00275456" w:rsidRDefault="00785722" w:rsidP="005C6DFE">
      <w:pPr>
        <w:tabs>
          <w:tab w:val="left" w:pos="540"/>
          <w:tab w:val="left" w:pos="569"/>
        </w:tabs>
        <w:jc w:val="both"/>
        <w:rPr>
          <w:b/>
          <w:bCs/>
          <w:sz w:val="22"/>
          <w:szCs w:val="22"/>
          <w:lang w:val="sr-Latn-ME"/>
        </w:rPr>
      </w:pPr>
    </w:p>
    <w:p w14:paraId="593F34AF"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Reumatoidni artritis (RA)</w:t>
      </w:r>
    </w:p>
    <w:p w14:paraId="68D50D11"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Lijek </w:t>
      </w:r>
      <w:r w:rsidRPr="00275456">
        <w:rPr>
          <w:bCs/>
          <w:sz w:val="22"/>
          <w:szCs w:val="22"/>
          <w:lang w:val="sr-Latn-ME"/>
        </w:rPr>
        <w:t>Simponi</w:t>
      </w:r>
      <w:r w:rsidRPr="00275456">
        <w:rPr>
          <w:sz w:val="22"/>
          <w:szCs w:val="22"/>
          <w:lang w:val="sr-Latn-ME"/>
        </w:rPr>
        <w:t xml:space="preserve"> u kombinaciji sa metotreksatom (MTX) je indikovan za liječenje:</w:t>
      </w:r>
    </w:p>
    <w:p w14:paraId="506329CE" w14:textId="77777777" w:rsidR="00785722" w:rsidRPr="00275456" w:rsidRDefault="00785722" w:rsidP="00EA088A">
      <w:pPr>
        <w:numPr>
          <w:ilvl w:val="0"/>
          <w:numId w:val="12"/>
        </w:numPr>
        <w:tabs>
          <w:tab w:val="clear" w:pos="360"/>
          <w:tab w:val="num" w:pos="284"/>
        </w:tabs>
        <w:ind w:left="284" w:hanging="284"/>
        <w:jc w:val="both"/>
        <w:rPr>
          <w:sz w:val="22"/>
          <w:szCs w:val="22"/>
          <w:lang w:val="sr-Latn-ME"/>
        </w:rPr>
      </w:pPr>
      <w:r w:rsidRPr="00275456">
        <w:rPr>
          <w:sz w:val="22"/>
          <w:szCs w:val="22"/>
          <w:lang w:val="sr-Latn-ME"/>
        </w:rPr>
        <w:t>umjerenog do teškog aktivnog reumatoidnog artritisa kod odraslih pacijenata čiji je odgovor na antireumatske ljekove koji modifikuju tok bolesti (terapija DMARD), uključujući metotreksat, neadekvatan.</w:t>
      </w:r>
    </w:p>
    <w:p w14:paraId="07479B81" w14:textId="77777777" w:rsidR="00785722" w:rsidRPr="00275456" w:rsidRDefault="00785722" w:rsidP="00EA088A">
      <w:pPr>
        <w:numPr>
          <w:ilvl w:val="0"/>
          <w:numId w:val="12"/>
        </w:numPr>
        <w:tabs>
          <w:tab w:val="clear" w:pos="360"/>
          <w:tab w:val="num" w:pos="284"/>
        </w:tabs>
        <w:ind w:left="284" w:hanging="284"/>
        <w:jc w:val="both"/>
        <w:rPr>
          <w:sz w:val="22"/>
          <w:szCs w:val="22"/>
          <w:lang w:val="sr-Latn-ME"/>
        </w:rPr>
      </w:pPr>
      <w:r w:rsidRPr="00275456">
        <w:rPr>
          <w:sz w:val="22"/>
          <w:szCs w:val="22"/>
          <w:lang w:val="sr-Latn-ME"/>
        </w:rPr>
        <w:t>teškog, aktivnog i progresivnog reumatoidnog artritisa kod odraslih pacijenata koji prethodno nijesu bili liječeni metotreksatom (MTX).</w:t>
      </w:r>
    </w:p>
    <w:p w14:paraId="61256B45" w14:textId="77777777" w:rsidR="00785722" w:rsidRPr="00275456" w:rsidRDefault="00785722" w:rsidP="005C6DFE">
      <w:pPr>
        <w:tabs>
          <w:tab w:val="left" w:pos="284"/>
        </w:tabs>
        <w:jc w:val="both"/>
        <w:rPr>
          <w:sz w:val="22"/>
          <w:szCs w:val="22"/>
          <w:lang w:val="sr-Latn-ME"/>
        </w:rPr>
      </w:pPr>
    </w:p>
    <w:p w14:paraId="739113E0" w14:textId="77777777" w:rsidR="00785722" w:rsidRPr="00275456" w:rsidRDefault="00785722" w:rsidP="005C6DFE">
      <w:pPr>
        <w:tabs>
          <w:tab w:val="left" w:pos="284"/>
        </w:tabs>
        <w:jc w:val="both"/>
        <w:rPr>
          <w:sz w:val="22"/>
          <w:szCs w:val="22"/>
          <w:lang w:val="sr-Latn-ME"/>
        </w:rPr>
      </w:pPr>
      <w:r w:rsidRPr="00275456">
        <w:rPr>
          <w:sz w:val="22"/>
          <w:szCs w:val="22"/>
          <w:lang w:val="sr-Latn-ME"/>
        </w:rPr>
        <w:t>Pokazano je da Simponi, u kombinaciji sa MTX, smanjuje stepen progresije oštećenja zglobova, na osnovu rentgenskog snimka, i poboljšava fizičku funkciju.</w:t>
      </w:r>
    </w:p>
    <w:p w14:paraId="1FB4621A" w14:textId="77777777" w:rsidR="00785722" w:rsidRPr="00275456" w:rsidRDefault="00785722" w:rsidP="00785722">
      <w:pPr>
        <w:tabs>
          <w:tab w:val="left" w:pos="284"/>
        </w:tabs>
        <w:rPr>
          <w:sz w:val="22"/>
          <w:szCs w:val="22"/>
          <w:lang w:val="sr-Latn-ME"/>
        </w:rPr>
      </w:pPr>
    </w:p>
    <w:p w14:paraId="66243E4F" w14:textId="77777777" w:rsidR="00785722" w:rsidRPr="00275456" w:rsidRDefault="00785722" w:rsidP="005C6DFE">
      <w:pPr>
        <w:keepNext/>
        <w:tabs>
          <w:tab w:val="left" w:pos="567"/>
        </w:tabs>
        <w:jc w:val="both"/>
        <w:rPr>
          <w:snapToGrid w:val="0"/>
          <w:sz w:val="22"/>
          <w:szCs w:val="22"/>
          <w:u w:val="single"/>
          <w:lang w:val="sr-Latn-ME"/>
        </w:rPr>
      </w:pPr>
      <w:r w:rsidRPr="00275456">
        <w:rPr>
          <w:snapToGrid w:val="0"/>
          <w:sz w:val="22"/>
          <w:szCs w:val="22"/>
          <w:u w:val="single"/>
          <w:lang w:val="sr-Latn-ME"/>
        </w:rPr>
        <w:lastRenderedPageBreak/>
        <w:t>Juvenilni idiopatski artritis</w:t>
      </w:r>
    </w:p>
    <w:p w14:paraId="177745C0" w14:textId="77777777" w:rsidR="00785722" w:rsidRPr="00950194" w:rsidRDefault="00785722" w:rsidP="005C6DFE">
      <w:pPr>
        <w:tabs>
          <w:tab w:val="left" w:pos="284"/>
        </w:tabs>
        <w:jc w:val="both"/>
        <w:rPr>
          <w:i/>
          <w:sz w:val="22"/>
          <w:szCs w:val="22"/>
          <w:lang w:val="sr-Latn-ME"/>
        </w:rPr>
      </w:pPr>
      <w:r w:rsidRPr="00352F6E">
        <w:rPr>
          <w:i/>
          <w:sz w:val="22"/>
          <w:szCs w:val="22"/>
          <w:lang w:val="sr-Latn-ME"/>
        </w:rPr>
        <w:t>Poliartikularni juvenilni idiopatski artritis (pJIA)</w:t>
      </w:r>
    </w:p>
    <w:p w14:paraId="55BBA38D" w14:textId="74F43851" w:rsidR="00785722" w:rsidRPr="00275456" w:rsidRDefault="00785722" w:rsidP="005C6DFE">
      <w:pPr>
        <w:tabs>
          <w:tab w:val="left" w:pos="284"/>
        </w:tabs>
        <w:jc w:val="both"/>
        <w:rPr>
          <w:snapToGrid w:val="0"/>
          <w:sz w:val="22"/>
          <w:szCs w:val="22"/>
          <w:u w:val="single"/>
          <w:lang w:val="sr-Latn-ME"/>
        </w:rPr>
      </w:pPr>
      <w:r w:rsidRPr="00275456">
        <w:rPr>
          <w:sz w:val="22"/>
          <w:szCs w:val="22"/>
          <w:lang w:val="sr-Latn-ME"/>
        </w:rPr>
        <w:t xml:space="preserve">Lijek Simponi, u kombinaciji sa metotreksatom (MTX), indikovan je za liječenje poliartikularnog juvenilnog idiopatskog artritisa kod djece </w:t>
      </w:r>
      <w:r w:rsidR="00A3401E" w:rsidRPr="00275456">
        <w:rPr>
          <w:sz w:val="22"/>
          <w:szCs w:val="22"/>
          <w:lang w:val="sr-Latn-ME"/>
        </w:rPr>
        <w:t>od 2 godine ili starije</w:t>
      </w:r>
      <w:r w:rsidR="00A3401E" w:rsidRPr="00275456" w:rsidDel="00A3401E">
        <w:rPr>
          <w:sz w:val="22"/>
          <w:szCs w:val="22"/>
          <w:lang w:val="sr-Latn-ME"/>
        </w:rPr>
        <w:t xml:space="preserve"> </w:t>
      </w:r>
      <w:r w:rsidRPr="00275456">
        <w:rPr>
          <w:sz w:val="22"/>
          <w:szCs w:val="22"/>
          <w:lang w:val="sr-Latn-ME"/>
        </w:rPr>
        <w:t xml:space="preserve"> koja nijesu na odgovarajući način odgovorila na prethodno liječenje metotreksatom.</w:t>
      </w:r>
    </w:p>
    <w:p w14:paraId="1A7E3908" w14:textId="77777777" w:rsidR="00785722" w:rsidRPr="00275456" w:rsidRDefault="00785722" w:rsidP="005C6DFE">
      <w:pPr>
        <w:tabs>
          <w:tab w:val="left" w:pos="284"/>
        </w:tabs>
        <w:jc w:val="both"/>
        <w:rPr>
          <w:snapToGrid w:val="0"/>
          <w:sz w:val="22"/>
          <w:szCs w:val="22"/>
          <w:u w:val="single"/>
          <w:lang w:val="sr-Latn-ME"/>
        </w:rPr>
      </w:pPr>
    </w:p>
    <w:p w14:paraId="775EB574" w14:textId="77777777" w:rsidR="00785722" w:rsidRPr="00275456" w:rsidRDefault="00785722" w:rsidP="005C6DFE">
      <w:pPr>
        <w:tabs>
          <w:tab w:val="left" w:pos="284"/>
        </w:tabs>
        <w:jc w:val="both"/>
        <w:rPr>
          <w:snapToGrid w:val="0"/>
          <w:sz w:val="22"/>
          <w:szCs w:val="22"/>
          <w:u w:val="single"/>
          <w:lang w:val="sr-Latn-ME"/>
        </w:rPr>
      </w:pPr>
      <w:r w:rsidRPr="00275456">
        <w:rPr>
          <w:snapToGrid w:val="0"/>
          <w:sz w:val="22"/>
          <w:szCs w:val="22"/>
          <w:u w:val="single"/>
          <w:lang w:val="sr-Latn-ME"/>
        </w:rPr>
        <w:t>Psorijatični artritis (PsA)</w:t>
      </w:r>
    </w:p>
    <w:p w14:paraId="07642346" w14:textId="77777777" w:rsidR="00785722" w:rsidRPr="00275456" w:rsidRDefault="00785722" w:rsidP="005C6DFE">
      <w:pPr>
        <w:widowControl w:val="0"/>
        <w:tabs>
          <w:tab w:val="left" w:pos="284"/>
          <w:tab w:val="left" w:pos="1298"/>
          <w:tab w:val="left" w:pos="2596"/>
          <w:tab w:val="left" w:pos="3895"/>
          <w:tab w:val="left" w:pos="5193"/>
          <w:tab w:val="left" w:pos="6492"/>
          <w:tab w:val="left" w:pos="7790"/>
        </w:tabs>
        <w:autoSpaceDE w:val="0"/>
        <w:autoSpaceDN w:val="0"/>
        <w:jc w:val="both"/>
        <w:rPr>
          <w:snapToGrid w:val="0"/>
          <w:sz w:val="22"/>
          <w:szCs w:val="22"/>
          <w:lang w:val="sr-Latn-ME"/>
        </w:rPr>
      </w:pPr>
    </w:p>
    <w:p w14:paraId="27A9D8EC" w14:textId="77777777" w:rsidR="00785722" w:rsidRPr="00275456" w:rsidRDefault="00785722" w:rsidP="005C6DFE">
      <w:pPr>
        <w:tabs>
          <w:tab w:val="left" w:pos="284"/>
        </w:tabs>
        <w:jc w:val="both"/>
        <w:rPr>
          <w:sz w:val="22"/>
          <w:szCs w:val="22"/>
          <w:lang w:val="sr-Latn-ME"/>
        </w:rPr>
      </w:pPr>
      <w:r w:rsidRPr="00275456">
        <w:rPr>
          <w:snapToGrid w:val="0"/>
          <w:sz w:val="22"/>
          <w:szCs w:val="22"/>
          <w:lang w:val="sr-Latn-ME"/>
        </w:rPr>
        <w:t>Lijek Simponi, primijenjen sam, ili u kombinaciji s metotreksatom,</w:t>
      </w:r>
      <w:r w:rsidRPr="00275456">
        <w:rPr>
          <w:sz w:val="22"/>
          <w:szCs w:val="22"/>
          <w:lang w:val="sr-Latn-ME"/>
        </w:rPr>
        <w:t xml:space="preserve"> indikovan je za liječenje aktivnog i progresivnog psorijatičnog artritisa kod odraslih pacijenata kod kojih je odgovor na prethodno liječenje DMARD bio neadekvatan. Pokazano je da Simponi smanjuje stepen progresije oštećenja perifernih zglobova, na osnovu rentgenskog snimka, kod pacijenata sa poliartikularnim simetričnim podtipom oboljenja (vidjeti dio 5.1) i da poboljšava fizičku funkciju.</w:t>
      </w:r>
    </w:p>
    <w:p w14:paraId="39F39AD2" w14:textId="77777777" w:rsidR="00785722" w:rsidRPr="00275456" w:rsidRDefault="00785722" w:rsidP="005C6DFE">
      <w:pPr>
        <w:tabs>
          <w:tab w:val="left" w:pos="284"/>
        </w:tabs>
        <w:jc w:val="both"/>
        <w:rPr>
          <w:sz w:val="22"/>
          <w:szCs w:val="22"/>
          <w:lang w:val="sr-Latn-ME"/>
        </w:rPr>
      </w:pPr>
    </w:p>
    <w:p w14:paraId="51872FE6"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Aksijalni spondiloartritis</w:t>
      </w:r>
    </w:p>
    <w:p w14:paraId="4A455A94" w14:textId="77777777" w:rsidR="00785722" w:rsidRPr="00275456" w:rsidRDefault="00785722" w:rsidP="005C6DFE">
      <w:pPr>
        <w:tabs>
          <w:tab w:val="left" w:pos="284"/>
        </w:tabs>
        <w:jc w:val="both"/>
        <w:rPr>
          <w:i/>
          <w:snapToGrid w:val="0"/>
          <w:sz w:val="22"/>
          <w:szCs w:val="22"/>
          <w:lang w:val="sr-Latn-ME"/>
        </w:rPr>
      </w:pPr>
      <w:r w:rsidRPr="00275456">
        <w:rPr>
          <w:i/>
          <w:sz w:val="22"/>
          <w:szCs w:val="22"/>
          <w:lang w:val="sr-Latn-ME"/>
        </w:rPr>
        <w:t xml:space="preserve">Ankilozirajući spondilitis </w:t>
      </w:r>
      <w:r w:rsidRPr="00275456">
        <w:rPr>
          <w:i/>
          <w:snapToGrid w:val="0"/>
          <w:sz w:val="22"/>
          <w:szCs w:val="22"/>
          <w:lang w:val="sr-Latn-ME"/>
        </w:rPr>
        <w:t>(AS)</w:t>
      </w:r>
    </w:p>
    <w:p w14:paraId="61B0B94E" w14:textId="69F9FE25" w:rsidR="00785722" w:rsidRPr="00275456" w:rsidRDefault="00785722" w:rsidP="005C6DFE">
      <w:pPr>
        <w:tabs>
          <w:tab w:val="left" w:pos="540"/>
          <w:tab w:val="left" w:pos="569"/>
        </w:tabs>
        <w:jc w:val="both"/>
        <w:rPr>
          <w:sz w:val="22"/>
          <w:szCs w:val="22"/>
          <w:lang w:val="sr-Latn-ME"/>
        </w:rPr>
      </w:pPr>
      <w:r w:rsidRPr="00275456">
        <w:rPr>
          <w:snapToGrid w:val="0"/>
          <w:sz w:val="22"/>
          <w:szCs w:val="22"/>
          <w:lang w:val="sr-Latn-ME"/>
        </w:rPr>
        <w:t xml:space="preserve">Lijek Simponi </w:t>
      </w:r>
      <w:r w:rsidRPr="00275456">
        <w:rPr>
          <w:sz w:val="22"/>
          <w:szCs w:val="22"/>
          <w:lang w:val="sr-Latn-ME"/>
        </w:rPr>
        <w:t>je indikovan za liječenje teškog oblika aktivnog ankilozirajućeg spondilitisa kod odraslih pacijenata koji nisu adekvatno reagovali na konvencionalnu terapiju.</w:t>
      </w:r>
    </w:p>
    <w:p w14:paraId="3697B818" w14:textId="77777777" w:rsidR="00A3401E" w:rsidRPr="00275456" w:rsidRDefault="00A3401E" w:rsidP="005C6DFE">
      <w:pPr>
        <w:tabs>
          <w:tab w:val="left" w:pos="540"/>
          <w:tab w:val="left" w:pos="569"/>
        </w:tabs>
        <w:jc w:val="both"/>
        <w:rPr>
          <w:sz w:val="22"/>
          <w:szCs w:val="22"/>
          <w:lang w:val="sr-Latn-ME"/>
        </w:rPr>
      </w:pPr>
    </w:p>
    <w:p w14:paraId="53C1C17F" w14:textId="1745E49A" w:rsidR="00785722" w:rsidRPr="00EA088A" w:rsidRDefault="00A3401E" w:rsidP="005C6DFE">
      <w:pPr>
        <w:jc w:val="both"/>
        <w:rPr>
          <w:i/>
          <w:sz w:val="22"/>
          <w:szCs w:val="22"/>
          <w:lang w:val="sr-Latn-ME"/>
        </w:rPr>
      </w:pPr>
      <w:r w:rsidRPr="00275456">
        <w:rPr>
          <w:i/>
          <w:sz w:val="22"/>
          <w:szCs w:val="22"/>
          <w:lang w:val="sr-Latn-ME"/>
        </w:rPr>
        <w:t>A</w:t>
      </w:r>
      <w:r w:rsidR="00785722" w:rsidRPr="00275456">
        <w:rPr>
          <w:i/>
          <w:sz w:val="22"/>
          <w:szCs w:val="22"/>
          <w:lang w:val="sr-Latn-ME"/>
        </w:rPr>
        <w:t>ksijalni spondiloartritis</w:t>
      </w:r>
      <w:r w:rsidRPr="005C6DFE">
        <w:rPr>
          <w:sz w:val="22"/>
          <w:szCs w:val="22"/>
          <w:lang w:val="sr-Latn-ME"/>
        </w:rPr>
        <w:t xml:space="preserve"> </w:t>
      </w:r>
      <w:r w:rsidRPr="00EA088A">
        <w:rPr>
          <w:i/>
          <w:sz w:val="22"/>
          <w:szCs w:val="22"/>
          <w:lang w:val="sr-Latn-ME"/>
        </w:rPr>
        <w:t>bez radiografskog dokaza</w:t>
      </w:r>
      <w:r w:rsidR="00785722" w:rsidRPr="00EA088A">
        <w:rPr>
          <w:i/>
          <w:sz w:val="22"/>
          <w:szCs w:val="22"/>
          <w:lang w:val="sr-Latn-ME"/>
        </w:rPr>
        <w:t xml:space="preserve"> (nr-Axial SpA)</w:t>
      </w:r>
    </w:p>
    <w:p w14:paraId="0131B2D2" w14:textId="152B3848" w:rsidR="00785722" w:rsidRPr="00275456" w:rsidRDefault="00785722" w:rsidP="005C6DFE">
      <w:pPr>
        <w:jc w:val="both"/>
        <w:rPr>
          <w:sz w:val="22"/>
          <w:szCs w:val="22"/>
          <w:u w:val="single"/>
          <w:lang w:val="sr-Latn-ME"/>
        </w:rPr>
      </w:pPr>
      <w:r w:rsidRPr="00C9046D">
        <w:rPr>
          <w:sz w:val="22"/>
          <w:szCs w:val="22"/>
          <w:lang w:val="sr-Latn-ME"/>
        </w:rPr>
        <w:t xml:space="preserve">Lijek Simponi je indikovan za lječenje odraslih pacijenata sa teškim, aktivnim </w:t>
      </w:r>
      <w:r w:rsidRPr="00275456">
        <w:rPr>
          <w:sz w:val="22"/>
          <w:szCs w:val="22"/>
          <w:lang w:val="sr-Latn-ME"/>
        </w:rPr>
        <w:t xml:space="preserve">aksijalnim spondiloartritisom </w:t>
      </w:r>
      <w:r w:rsidR="003C685D" w:rsidRPr="00275456">
        <w:rPr>
          <w:i/>
          <w:sz w:val="22"/>
          <w:szCs w:val="22"/>
          <w:lang w:val="sr-Latn-ME"/>
        </w:rPr>
        <w:t xml:space="preserve">bez radiografskog dokaza </w:t>
      </w:r>
      <w:r w:rsidRPr="00275456">
        <w:rPr>
          <w:sz w:val="22"/>
          <w:szCs w:val="22"/>
          <w:lang w:val="sr-Latn-ME"/>
        </w:rPr>
        <w:t xml:space="preserve">sa objektivnim znacima inflamacije, na koju ukazuju povišene vrijednosti C reaktivnog proteina (CRP) i/ili snimci magnetne rezonance (MRI), a koji nijesu adekvatno reagovali na, ili ne podnose terapiju nesteroidnim antiinflamatornim ljekovima (NSAIL). </w:t>
      </w:r>
    </w:p>
    <w:p w14:paraId="6AA5D5C3" w14:textId="77777777" w:rsidR="00785722" w:rsidRPr="00275456" w:rsidRDefault="00785722" w:rsidP="005C6DFE">
      <w:pPr>
        <w:tabs>
          <w:tab w:val="left" w:pos="540"/>
          <w:tab w:val="left" w:pos="569"/>
        </w:tabs>
        <w:jc w:val="both"/>
        <w:rPr>
          <w:sz w:val="22"/>
          <w:szCs w:val="22"/>
          <w:u w:val="single"/>
          <w:lang w:val="sr-Latn-ME"/>
        </w:rPr>
      </w:pPr>
    </w:p>
    <w:p w14:paraId="770691E0" w14:textId="77777777" w:rsidR="00785722" w:rsidRPr="00275456" w:rsidRDefault="00785722" w:rsidP="005C6DFE">
      <w:pPr>
        <w:tabs>
          <w:tab w:val="left" w:pos="540"/>
          <w:tab w:val="left" w:pos="569"/>
        </w:tabs>
        <w:jc w:val="both"/>
        <w:rPr>
          <w:sz w:val="22"/>
          <w:szCs w:val="22"/>
          <w:u w:val="single"/>
          <w:lang w:val="sr-Latn-ME"/>
        </w:rPr>
      </w:pPr>
      <w:r w:rsidRPr="00275456">
        <w:rPr>
          <w:sz w:val="22"/>
          <w:szCs w:val="22"/>
          <w:u w:val="single"/>
          <w:lang w:val="sr-Latn-ME"/>
        </w:rPr>
        <w:t>Ulcerozni kolitis (UC)</w:t>
      </w:r>
    </w:p>
    <w:p w14:paraId="5217233A" w14:textId="77777777" w:rsidR="00785722" w:rsidRPr="00275456" w:rsidRDefault="00785722" w:rsidP="005C6DFE">
      <w:pPr>
        <w:tabs>
          <w:tab w:val="left" w:pos="540"/>
          <w:tab w:val="left" w:pos="569"/>
        </w:tabs>
        <w:jc w:val="both"/>
        <w:rPr>
          <w:sz w:val="22"/>
          <w:szCs w:val="22"/>
          <w:lang w:val="sr-Latn-ME"/>
        </w:rPr>
      </w:pPr>
      <w:r w:rsidRPr="00275456">
        <w:rPr>
          <w:sz w:val="22"/>
          <w:szCs w:val="22"/>
          <w:lang w:val="sr-Latn-ME"/>
        </w:rPr>
        <w:t>Lijek Simponi je indikovan za liječenje umjerenog do teškog oblika aktivnog ulceroznog kolitisa kod odraslih pacijenata koji nijesu adekvatno odreagovali na konvencionalnu terapiju uključujući kortikosteroide i 6-merkaptopurin (6-MP) ili azatiopin (AZA), ili koji ne podnose ili imaju medicinske kontraindikacije za takvu terapiju.</w:t>
      </w:r>
    </w:p>
    <w:p w14:paraId="2C41388C" w14:textId="77777777" w:rsidR="00411B4B" w:rsidRPr="00275456" w:rsidRDefault="00411B4B" w:rsidP="005C6DFE">
      <w:pPr>
        <w:tabs>
          <w:tab w:val="left" w:pos="540"/>
          <w:tab w:val="left" w:pos="569"/>
        </w:tabs>
        <w:jc w:val="both"/>
        <w:rPr>
          <w:bCs/>
          <w:sz w:val="22"/>
          <w:szCs w:val="22"/>
          <w:lang w:val="sr-Latn-ME"/>
        </w:rPr>
      </w:pPr>
    </w:p>
    <w:p w14:paraId="5D232D99" w14:textId="77777777" w:rsidR="00411B4B" w:rsidRPr="00275456" w:rsidRDefault="00411B4B" w:rsidP="005C6DFE">
      <w:pPr>
        <w:tabs>
          <w:tab w:val="left" w:pos="540"/>
          <w:tab w:val="left" w:pos="569"/>
        </w:tabs>
        <w:jc w:val="both"/>
        <w:rPr>
          <w:b/>
          <w:bCs/>
          <w:sz w:val="22"/>
          <w:szCs w:val="22"/>
          <w:lang w:val="sr-Latn-ME"/>
        </w:rPr>
      </w:pPr>
      <w:r w:rsidRPr="00275456">
        <w:rPr>
          <w:b/>
          <w:bCs/>
          <w:sz w:val="22"/>
          <w:szCs w:val="22"/>
          <w:lang w:val="sr-Latn-ME"/>
        </w:rPr>
        <w:t xml:space="preserve">4.2. </w:t>
      </w:r>
      <w:r w:rsidR="00480FB1" w:rsidRPr="00275456">
        <w:rPr>
          <w:b/>
          <w:bCs/>
          <w:sz w:val="22"/>
          <w:szCs w:val="22"/>
          <w:lang w:val="sr-Latn-ME"/>
        </w:rPr>
        <w:tab/>
      </w:r>
      <w:r w:rsidRPr="00275456">
        <w:rPr>
          <w:b/>
          <w:bCs/>
          <w:sz w:val="22"/>
          <w:szCs w:val="22"/>
          <w:lang w:val="sr-Latn-ME"/>
        </w:rPr>
        <w:t>Doziranje i način primjene</w:t>
      </w:r>
    </w:p>
    <w:p w14:paraId="29991F26" w14:textId="77777777" w:rsidR="0072020E" w:rsidRPr="00275456" w:rsidRDefault="0072020E" w:rsidP="005C6DFE">
      <w:pPr>
        <w:tabs>
          <w:tab w:val="left" w:pos="540"/>
          <w:tab w:val="left" w:pos="569"/>
        </w:tabs>
        <w:jc w:val="both"/>
        <w:rPr>
          <w:bCs/>
          <w:sz w:val="22"/>
          <w:szCs w:val="22"/>
          <w:lang w:val="sr-Latn-ME"/>
        </w:rPr>
      </w:pPr>
    </w:p>
    <w:p w14:paraId="21557B34" w14:textId="41A3B25D"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Liječenje  se započinje i sprovodi pod nadzorom ljekara specijalista s iskustvom u dijagnostikovanju i liječenju reumatoidnog artritisa, poliartikularnog juvenilnog idiopatskog artritisa, psorijatičnog artritisa, ankilozirajućeg spondilitisa, aksijalnog spondiloartritisa</w:t>
      </w:r>
      <w:r w:rsidR="00A3401E" w:rsidRPr="00275456">
        <w:rPr>
          <w:bCs/>
          <w:sz w:val="22"/>
          <w:szCs w:val="22"/>
          <w:lang w:val="sr-Latn-ME"/>
        </w:rPr>
        <w:t xml:space="preserve"> bez radiografskog dokaza</w:t>
      </w:r>
      <w:r w:rsidRPr="00275456">
        <w:rPr>
          <w:bCs/>
          <w:sz w:val="22"/>
          <w:szCs w:val="22"/>
          <w:lang w:val="sr-Latn-ME"/>
        </w:rPr>
        <w:t xml:space="preserve"> ili ulceroznog kolitisa. Pacijenti koji se liječe lijekom  Simponi trebalo bi da dobiju tzv. karticu sa podsjetnikom za pacijenta.</w:t>
      </w:r>
    </w:p>
    <w:p w14:paraId="6764360E" w14:textId="77777777" w:rsidR="00785722" w:rsidRPr="00275456" w:rsidRDefault="00785722" w:rsidP="005C6DFE">
      <w:pPr>
        <w:tabs>
          <w:tab w:val="left" w:pos="540"/>
          <w:tab w:val="left" w:pos="569"/>
        </w:tabs>
        <w:jc w:val="both"/>
        <w:rPr>
          <w:bCs/>
          <w:sz w:val="22"/>
          <w:szCs w:val="22"/>
          <w:lang w:val="sr-Latn-ME"/>
        </w:rPr>
      </w:pPr>
    </w:p>
    <w:p w14:paraId="0A7AB1D2" w14:textId="77777777" w:rsidR="00785722" w:rsidRPr="00275456" w:rsidRDefault="00785722" w:rsidP="005C6DFE">
      <w:pPr>
        <w:tabs>
          <w:tab w:val="left" w:pos="540"/>
          <w:tab w:val="left" w:pos="569"/>
        </w:tabs>
        <w:jc w:val="both"/>
        <w:rPr>
          <w:bCs/>
          <w:sz w:val="22"/>
          <w:szCs w:val="22"/>
          <w:u w:val="single"/>
          <w:lang w:val="sr-Latn-ME"/>
        </w:rPr>
      </w:pPr>
      <w:r w:rsidRPr="00275456">
        <w:rPr>
          <w:bCs/>
          <w:sz w:val="22"/>
          <w:szCs w:val="22"/>
          <w:u w:val="single"/>
          <w:lang w:val="sr-Latn-ME"/>
        </w:rPr>
        <w:t>Doziranje</w:t>
      </w:r>
    </w:p>
    <w:p w14:paraId="20048CFF" w14:textId="77777777" w:rsidR="00785722" w:rsidRPr="00275456" w:rsidRDefault="00785722" w:rsidP="005C6DFE">
      <w:pPr>
        <w:tabs>
          <w:tab w:val="left" w:pos="540"/>
          <w:tab w:val="left" w:pos="569"/>
        </w:tabs>
        <w:jc w:val="both"/>
        <w:rPr>
          <w:bCs/>
          <w:i/>
          <w:iCs/>
          <w:sz w:val="22"/>
          <w:szCs w:val="22"/>
          <w:lang w:val="sr-Latn-ME"/>
        </w:rPr>
      </w:pPr>
      <w:r w:rsidRPr="00275456">
        <w:rPr>
          <w:bCs/>
          <w:i/>
          <w:iCs/>
          <w:sz w:val="22"/>
          <w:szCs w:val="22"/>
          <w:lang w:val="sr-Latn-ME"/>
        </w:rPr>
        <w:t>Reumatoidni artritis</w:t>
      </w:r>
    </w:p>
    <w:p w14:paraId="69A1E5F4"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Daje se 50 mg lijeka Simponi jednom mjesečno, istog datuma u mjesecu.</w:t>
      </w:r>
    </w:p>
    <w:p w14:paraId="02FFC13F" w14:textId="361ADA5A"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Lijek Simponi se mora primijeniti istovremeno sa </w:t>
      </w:r>
      <w:r w:rsidR="00F25D3D" w:rsidRPr="00275456">
        <w:rPr>
          <w:bCs/>
          <w:sz w:val="22"/>
          <w:szCs w:val="22"/>
          <w:lang w:val="sr-Latn-ME"/>
        </w:rPr>
        <w:t>metotreksatom</w:t>
      </w:r>
      <w:r w:rsidRPr="00275456">
        <w:rPr>
          <w:bCs/>
          <w:sz w:val="22"/>
          <w:szCs w:val="22"/>
          <w:lang w:val="sr-Latn-ME"/>
        </w:rPr>
        <w:t>.</w:t>
      </w:r>
    </w:p>
    <w:p w14:paraId="28A54E2D" w14:textId="77777777" w:rsidR="00785722" w:rsidRPr="00275456" w:rsidRDefault="00785722" w:rsidP="005C6DFE">
      <w:pPr>
        <w:tabs>
          <w:tab w:val="left" w:pos="540"/>
          <w:tab w:val="left" w:pos="569"/>
        </w:tabs>
        <w:jc w:val="both"/>
        <w:rPr>
          <w:bCs/>
          <w:sz w:val="22"/>
          <w:szCs w:val="22"/>
          <w:lang w:val="sr-Latn-ME"/>
        </w:rPr>
      </w:pPr>
    </w:p>
    <w:p w14:paraId="68B4E858" w14:textId="3FFE74D3" w:rsidR="00785722" w:rsidRPr="00275456" w:rsidRDefault="00785722" w:rsidP="005C6DFE">
      <w:pPr>
        <w:tabs>
          <w:tab w:val="left" w:pos="540"/>
          <w:tab w:val="left" w:pos="569"/>
        </w:tabs>
        <w:jc w:val="both"/>
        <w:rPr>
          <w:bCs/>
          <w:i/>
          <w:iCs/>
          <w:sz w:val="22"/>
          <w:szCs w:val="22"/>
          <w:lang w:val="sr-Latn-ME"/>
        </w:rPr>
      </w:pPr>
      <w:r w:rsidRPr="00275456">
        <w:rPr>
          <w:bCs/>
          <w:i/>
          <w:iCs/>
          <w:sz w:val="22"/>
          <w:szCs w:val="22"/>
          <w:lang w:val="sr-Latn-ME"/>
        </w:rPr>
        <w:t xml:space="preserve">Psorijatični artritis, ankilozirajući spondilitis ili aksijalni spondiloartritis </w:t>
      </w:r>
      <w:r w:rsidR="00A3401E" w:rsidRPr="00275456">
        <w:rPr>
          <w:bCs/>
          <w:i/>
          <w:iCs/>
          <w:sz w:val="22"/>
          <w:szCs w:val="22"/>
          <w:lang w:val="sr-Latn-ME"/>
        </w:rPr>
        <w:t>bez radiografskog dokaza</w:t>
      </w:r>
    </w:p>
    <w:p w14:paraId="7F425A32" w14:textId="5AE2E8B6"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Daje se 50 mg lijeka Simponi jednom mjesečno, istoga datuma u mjesecu.</w:t>
      </w:r>
    </w:p>
    <w:p w14:paraId="2F8B3563" w14:textId="77777777" w:rsidR="00785722" w:rsidRPr="00275456" w:rsidRDefault="00785722" w:rsidP="005C6DFE">
      <w:pPr>
        <w:tabs>
          <w:tab w:val="left" w:pos="540"/>
          <w:tab w:val="left" w:pos="569"/>
        </w:tabs>
        <w:jc w:val="both"/>
        <w:rPr>
          <w:bCs/>
          <w:sz w:val="22"/>
          <w:szCs w:val="22"/>
          <w:lang w:val="sr-Latn-ME"/>
        </w:rPr>
      </w:pPr>
    </w:p>
    <w:p w14:paraId="0A8BEF4F"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Za sve iznad navedene indikacije na osnovu dostupnih podataka, klinički odgovor se obično postiže u periodu od 12 do 14 nedjelja liječenja (nakon 3-4 doze). Kod pacijenata kod kojih nije dokazano terapijsko djelovanje u tom vremenskom periodu, treba ponovno razmotriti nastavak terapije. </w:t>
      </w:r>
    </w:p>
    <w:p w14:paraId="35686318" w14:textId="77777777" w:rsidR="00785722" w:rsidRPr="00275456" w:rsidRDefault="00785722" w:rsidP="005C6DFE">
      <w:pPr>
        <w:tabs>
          <w:tab w:val="left" w:pos="540"/>
          <w:tab w:val="left" w:pos="569"/>
        </w:tabs>
        <w:jc w:val="both"/>
        <w:rPr>
          <w:bCs/>
          <w:sz w:val="22"/>
          <w:szCs w:val="22"/>
          <w:lang w:val="sr-Latn-ME"/>
        </w:rPr>
      </w:pPr>
    </w:p>
    <w:p w14:paraId="00AE6ECF"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Pacijenti sa tjelesnom masom većom od 100kg</w:t>
      </w:r>
    </w:p>
    <w:p w14:paraId="3EDD9B92" w14:textId="1FD490BB"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Za sve navedene indikacije kod pacijenata sa reumatoidnim artritisom, psorijatičnim artritisom, ankilozirajućim spondilitisom ili aksijalnim spondiloartritisom </w:t>
      </w:r>
      <w:r w:rsidR="00A3401E" w:rsidRPr="00275456">
        <w:rPr>
          <w:bCs/>
          <w:sz w:val="22"/>
          <w:szCs w:val="22"/>
          <w:lang w:val="sr-Latn-ME"/>
        </w:rPr>
        <w:t xml:space="preserve">bez radiografskog dokaza </w:t>
      </w:r>
      <w:r w:rsidRPr="00275456">
        <w:rPr>
          <w:bCs/>
          <w:sz w:val="22"/>
          <w:szCs w:val="22"/>
          <w:lang w:val="sr-Latn-ME"/>
        </w:rPr>
        <w:t xml:space="preserve">i tjelesnom masom većom od 100 kg kod kojih se ne postigne odgovarajući klinički odgovor nakon 3 ili 4 doze, može se razmotriti povećanje doze golimumaba na 100 mg jednom mjesečno, ali imajući u vidu da pritom dolazi do povećanja rizika od pojave pojedinih ozbiljnih neželjenih reakcija pri primjeni doze od </w:t>
      </w:r>
      <w:r w:rsidRPr="00275456">
        <w:rPr>
          <w:bCs/>
          <w:sz w:val="22"/>
          <w:szCs w:val="22"/>
          <w:lang w:val="sr-Latn-ME"/>
        </w:rPr>
        <w:lastRenderedPageBreak/>
        <w:t xml:space="preserve">100 mg u poređenju sa dozom od 50 mg (vidjeti dio 4.8). Kod pacijenata kod kojih nema dokazanog terapijskog dejstva nakon 3 do 4 dodatne doze od 100 mg, treba ponovno razmotriti nastavak terapije. </w:t>
      </w:r>
    </w:p>
    <w:p w14:paraId="56A5F57F" w14:textId="77777777" w:rsidR="00785722" w:rsidRPr="00275456" w:rsidRDefault="00785722" w:rsidP="005C6DFE">
      <w:pPr>
        <w:tabs>
          <w:tab w:val="left" w:pos="540"/>
          <w:tab w:val="left" w:pos="569"/>
        </w:tabs>
        <w:jc w:val="both"/>
        <w:rPr>
          <w:bCs/>
          <w:sz w:val="22"/>
          <w:szCs w:val="22"/>
          <w:lang w:val="sr-Latn-ME"/>
        </w:rPr>
      </w:pPr>
    </w:p>
    <w:p w14:paraId="37C7FD0D" w14:textId="77777777" w:rsidR="00785722" w:rsidRPr="00275456" w:rsidRDefault="00785722" w:rsidP="005C6DFE">
      <w:pPr>
        <w:tabs>
          <w:tab w:val="left" w:pos="540"/>
          <w:tab w:val="left" w:pos="569"/>
        </w:tabs>
        <w:jc w:val="both"/>
        <w:rPr>
          <w:bCs/>
          <w:i/>
          <w:iCs/>
          <w:sz w:val="22"/>
          <w:szCs w:val="22"/>
          <w:lang w:val="sr-Latn-ME"/>
        </w:rPr>
      </w:pPr>
      <w:r w:rsidRPr="00275456">
        <w:rPr>
          <w:bCs/>
          <w:i/>
          <w:iCs/>
          <w:sz w:val="22"/>
          <w:szCs w:val="22"/>
          <w:lang w:val="sr-Latn-ME"/>
        </w:rPr>
        <w:t>Ulcerozni kolitis</w:t>
      </w:r>
    </w:p>
    <w:p w14:paraId="0E43B57D"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Pacijenti sa tjelesnom masom manjom od 80 kg</w:t>
      </w:r>
    </w:p>
    <w:p w14:paraId="5E33010B" w14:textId="621F80F8"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Inicijalna (indukciona) doza lijeka Simponi je 200 mg, a nakon dvije nedjelje se daje doza od 100 mg. Pacijenti koji su postigli odgovarajući odgovor,u nastavku terapije u 6. nedjelji   treba da prime 50 mg, a nakon toga istu dozu ponavljati svake 4 nedjelje. Pacijenti koji nijesu postigli adekvatan odgovor u nastavku terapije u 6. nedjelji mogu koristiti 100 mg i istu dozu ponavljati  svake 4 nedjelje nakon toga (vidjeti odjeljak 5.1).</w:t>
      </w:r>
    </w:p>
    <w:p w14:paraId="65BBF735" w14:textId="77777777" w:rsidR="00785722" w:rsidRPr="00275456" w:rsidRDefault="00785722" w:rsidP="005C6DFE">
      <w:pPr>
        <w:tabs>
          <w:tab w:val="left" w:pos="540"/>
          <w:tab w:val="left" w:pos="569"/>
        </w:tabs>
        <w:jc w:val="both"/>
        <w:rPr>
          <w:bCs/>
          <w:sz w:val="22"/>
          <w:szCs w:val="22"/>
          <w:lang w:val="sr-Latn-ME"/>
        </w:rPr>
      </w:pPr>
    </w:p>
    <w:p w14:paraId="7707A1E3"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Pacijenti sa tjelesnom masom većom ili jednakom 80 kg</w:t>
      </w:r>
    </w:p>
    <w:p w14:paraId="7ADA8868"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Daje se inicijalna doza od 200 mg lijeka Simponi, praćena dozom od 100 mg u drugoj nedjelji, a nakon toga 100 mg na svake 4 nedjelje (vidjeti odjeljak 5.1).</w:t>
      </w:r>
    </w:p>
    <w:p w14:paraId="2CB0033B" w14:textId="77777777" w:rsidR="00785722" w:rsidRPr="00275456" w:rsidRDefault="00785722" w:rsidP="005C6DFE">
      <w:pPr>
        <w:tabs>
          <w:tab w:val="left" w:pos="540"/>
          <w:tab w:val="left" w:pos="569"/>
        </w:tabs>
        <w:jc w:val="both"/>
        <w:rPr>
          <w:bCs/>
          <w:sz w:val="22"/>
          <w:szCs w:val="22"/>
          <w:lang w:val="sr-Latn-ME"/>
        </w:rPr>
      </w:pPr>
    </w:p>
    <w:p w14:paraId="7778B53D"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U toku terapije održavanja, doza kortikosteroida se može smanjiti u skladu sa vodičima kliničke prakse.</w:t>
      </w:r>
    </w:p>
    <w:p w14:paraId="6CCDD7F3" w14:textId="77777777" w:rsidR="00785722" w:rsidRPr="00275456" w:rsidRDefault="00785722" w:rsidP="005C6DFE">
      <w:pPr>
        <w:tabs>
          <w:tab w:val="left" w:pos="540"/>
          <w:tab w:val="left" w:pos="569"/>
        </w:tabs>
        <w:jc w:val="both"/>
        <w:rPr>
          <w:bCs/>
          <w:sz w:val="22"/>
          <w:szCs w:val="22"/>
          <w:lang w:val="sr-Latn-ME"/>
        </w:rPr>
      </w:pPr>
    </w:p>
    <w:p w14:paraId="2FE2699C"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Na osnovu dostupnih podataka, klinički odgovor se obično postiže u periodu od 12 do 14 nedjelja liječenja (nakon 4 doze). Kod pacijenata kod kojih nije dokazano terapijsko djelovanje u tom vremenskom periodu, treba ponovo razmotriti nastavak terapije.</w:t>
      </w:r>
    </w:p>
    <w:p w14:paraId="1BFA418B" w14:textId="77777777" w:rsidR="00785722" w:rsidRPr="00275456" w:rsidRDefault="00785722" w:rsidP="005C6DFE">
      <w:pPr>
        <w:tabs>
          <w:tab w:val="left" w:pos="540"/>
          <w:tab w:val="left" w:pos="569"/>
        </w:tabs>
        <w:jc w:val="both"/>
        <w:rPr>
          <w:bCs/>
          <w:sz w:val="22"/>
          <w:szCs w:val="22"/>
          <w:lang w:val="sr-Latn-ME"/>
        </w:rPr>
      </w:pPr>
    </w:p>
    <w:p w14:paraId="6AB129FD" w14:textId="6DA38A39" w:rsidR="00785722" w:rsidRPr="00275456" w:rsidRDefault="00785722" w:rsidP="005C6DFE">
      <w:pPr>
        <w:tabs>
          <w:tab w:val="left" w:pos="540"/>
          <w:tab w:val="left" w:pos="569"/>
        </w:tabs>
        <w:jc w:val="both"/>
        <w:rPr>
          <w:bCs/>
          <w:sz w:val="22"/>
          <w:szCs w:val="22"/>
          <w:u w:val="single"/>
          <w:lang w:val="sr-Latn-ME"/>
        </w:rPr>
      </w:pPr>
      <w:r w:rsidRPr="00275456">
        <w:rPr>
          <w:bCs/>
          <w:sz w:val="22"/>
          <w:szCs w:val="22"/>
          <w:u w:val="single"/>
          <w:lang w:val="sr-Latn-ME"/>
        </w:rPr>
        <w:t>Propuštena doza</w:t>
      </w:r>
    </w:p>
    <w:p w14:paraId="29A4CD77" w14:textId="35FAAEA2"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Ako pacijent zaboravi da primijeni lijek Simponi predviđenog dana, zaboravljenu dozu treba injicirati čim se pacijent sjeti. Pacijenta treba upozoriti da sebi ne smije da ubrizga dvostruku dozu da bi nadoknadio propuštenu. </w:t>
      </w:r>
    </w:p>
    <w:p w14:paraId="326B200E"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ab/>
      </w:r>
    </w:p>
    <w:p w14:paraId="52B97A0C" w14:textId="6D0A557D"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Sljedeću dozu treba primijeniti na osnovu sljedećih preporuka: </w:t>
      </w:r>
    </w:p>
    <w:p w14:paraId="308C0AB5"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w:t>
      </w:r>
      <w:r w:rsidRPr="00275456">
        <w:rPr>
          <w:bCs/>
          <w:sz w:val="22"/>
          <w:szCs w:val="22"/>
          <w:lang w:val="sr-Latn-ME"/>
        </w:rPr>
        <w:tab/>
        <w:t>Ako se s primjenom kasni manje od 2 nedjelje, pacijent treba da sebi da zaboravljenu dozu i da nastavi prema dotadašnjem mjesečnom rasporedu.</w:t>
      </w:r>
    </w:p>
    <w:p w14:paraId="07838E42"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w:t>
      </w:r>
      <w:r w:rsidRPr="00275456">
        <w:rPr>
          <w:bCs/>
          <w:sz w:val="22"/>
          <w:szCs w:val="22"/>
          <w:lang w:val="sr-Latn-ME"/>
        </w:rPr>
        <w:tab/>
        <w:t>Ako se s primjenom kasni više od 2 nedjelje, pacijent treba da sebi da zaboravljenu dozu i uspostavi novi mjesečni raspored počevši od datuma primjene te injekcije.</w:t>
      </w:r>
    </w:p>
    <w:p w14:paraId="5CF53EE9" w14:textId="77777777" w:rsidR="00785722" w:rsidRPr="00275456" w:rsidRDefault="00785722" w:rsidP="005C6DFE">
      <w:pPr>
        <w:tabs>
          <w:tab w:val="left" w:pos="540"/>
          <w:tab w:val="left" w:pos="569"/>
        </w:tabs>
        <w:jc w:val="both"/>
        <w:rPr>
          <w:bCs/>
          <w:sz w:val="22"/>
          <w:szCs w:val="22"/>
          <w:lang w:val="sr-Latn-ME"/>
        </w:rPr>
      </w:pPr>
    </w:p>
    <w:p w14:paraId="477B4EAE" w14:textId="77777777" w:rsidR="00785722" w:rsidRPr="00275456" w:rsidRDefault="00785722" w:rsidP="005C6DFE">
      <w:pPr>
        <w:tabs>
          <w:tab w:val="left" w:pos="540"/>
          <w:tab w:val="left" w:pos="569"/>
        </w:tabs>
        <w:jc w:val="both"/>
        <w:rPr>
          <w:bCs/>
          <w:i/>
          <w:iCs/>
          <w:sz w:val="22"/>
          <w:szCs w:val="22"/>
          <w:lang w:val="sr-Latn-ME"/>
        </w:rPr>
      </w:pPr>
      <w:r w:rsidRPr="00275456">
        <w:rPr>
          <w:bCs/>
          <w:i/>
          <w:iCs/>
          <w:sz w:val="22"/>
          <w:szCs w:val="22"/>
          <w:lang w:val="sr-Latn-ME"/>
        </w:rPr>
        <w:t>Posebne populacije</w:t>
      </w:r>
    </w:p>
    <w:p w14:paraId="6086417A" w14:textId="77777777" w:rsidR="00785722" w:rsidRPr="00275456" w:rsidRDefault="00785722" w:rsidP="005C6DFE">
      <w:pPr>
        <w:tabs>
          <w:tab w:val="left" w:pos="540"/>
          <w:tab w:val="left" w:pos="569"/>
        </w:tabs>
        <w:jc w:val="both"/>
        <w:rPr>
          <w:bCs/>
          <w:i/>
          <w:iCs/>
          <w:sz w:val="22"/>
          <w:szCs w:val="22"/>
          <w:lang w:val="sr-Latn-ME"/>
        </w:rPr>
      </w:pPr>
      <w:r w:rsidRPr="00275456">
        <w:rPr>
          <w:bCs/>
          <w:i/>
          <w:iCs/>
          <w:sz w:val="22"/>
          <w:szCs w:val="22"/>
          <w:lang w:val="sr-Latn-ME"/>
        </w:rPr>
        <w:t>Starije osobe (≥ 65 godina starosti)</w:t>
      </w:r>
    </w:p>
    <w:p w14:paraId="198ABE1D"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Nije potrebno prilagođavanje doze kod starijih osoba.</w:t>
      </w:r>
    </w:p>
    <w:p w14:paraId="7AAC1B60" w14:textId="77777777" w:rsidR="00785722" w:rsidRPr="00275456" w:rsidRDefault="00785722" w:rsidP="005C6DFE">
      <w:pPr>
        <w:tabs>
          <w:tab w:val="left" w:pos="540"/>
          <w:tab w:val="left" w:pos="569"/>
        </w:tabs>
        <w:jc w:val="both"/>
        <w:rPr>
          <w:bCs/>
          <w:sz w:val="22"/>
          <w:szCs w:val="22"/>
          <w:lang w:val="sr-Latn-ME"/>
        </w:rPr>
      </w:pPr>
    </w:p>
    <w:p w14:paraId="37A31E99" w14:textId="77777777" w:rsidR="00785722" w:rsidRPr="00275456" w:rsidRDefault="00785722" w:rsidP="005C6DFE">
      <w:pPr>
        <w:tabs>
          <w:tab w:val="left" w:pos="540"/>
          <w:tab w:val="left" w:pos="569"/>
        </w:tabs>
        <w:jc w:val="both"/>
        <w:rPr>
          <w:bCs/>
          <w:i/>
          <w:iCs/>
          <w:sz w:val="22"/>
          <w:szCs w:val="22"/>
          <w:lang w:val="sr-Latn-ME"/>
        </w:rPr>
      </w:pPr>
      <w:r w:rsidRPr="00275456">
        <w:rPr>
          <w:bCs/>
          <w:i/>
          <w:iCs/>
          <w:sz w:val="22"/>
          <w:szCs w:val="22"/>
          <w:lang w:val="sr-Latn-ME"/>
        </w:rPr>
        <w:t>Bubrežna insuficijencija i insuficijencija jetre</w:t>
      </w:r>
    </w:p>
    <w:p w14:paraId="07D99CA4"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Lijek Simponi nije ispitivan u ovim populacijama pacijenata. Ne mogu se dati preporuke za doziranje. </w:t>
      </w:r>
    </w:p>
    <w:p w14:paraId="425AF6E0" w14:textId="77777777" w:rsidR="00785722" w:rsidRPr="00275456" w:rsidRDefault="00785722" w:rsidP="005C6DFE">
      <w:pPr>
        <w:tabs>
          <w:tab w:val="left" w:pos="540"/>
          <w:tab w:val="left" w:pos="569"/>
        </w:tabs>
        <w:jc w:val="both"/>
        <w:rPr>
          <w:bCs/>
          <w:sz w:val="22"/>
          <w:szCs w:val="22"/>
          <w:lang w:val="sr-Latn-ME"/>
        </w:rPr>
      </w:pPr>
    </w:p>
    <w:p w14:paraId="36BDCB2A" w14:textId="77777777" w:rsidR="00785722" w:rsidRPr="00275456" w:rsidRDefault="00785722" w:rsidP="005C6DFE">
      <w:pPr>
        <w:tabs>
          <w:tab w:val="left" w:pos="540"/>
          <w:tab w:val="left" w:pos="569"/>
        </w:tabs>
        <w:jc w:val="both"/>
        <w:rPr>
          <w:bCs/>
          <w:i/>
          <w:iCs/>
          <w:sz w:val="22"/>
          <w:szCs w:val="22"/>
          <w:lang w:val="sr-Latn-ME"/>
        </w:rPr>
      </w:pPr>
      <w:r w:rsidRPr="00275456">
        <w:rPr>
          <w:bCs/>
          <w:i/>
          <w:iCs/>
          <w:sz w:val="22"/>
          <w:szCs w:val="22"/>
          <w:lang w:val="sr-Latn-ME"/>
        </w:rPr>
        <w:t>Pedijatrijska populacija</w:t>
      </w:r>
    </w:p>
    <w:p w14:paraId="2A27D14B" w14:textId="3F379160"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Bezbjednost i efikasnost lijeka Simponi za primjenu kod pacijenata koji su </w:t>
      </w:r>
      <w:r w:rsidR="00F81F67">
        <w:rPr>
          <w:bCs/>
          <w:sz w:val="22"/>
          <w:szCs w:val="22"/>
          <w:lang w:val="sr-Latn-ME"/>
        </w:rPr>
        <w:t>ml</w:t>
      </w:r>
      <w:r w:rsidRPr="00275456">
        <w:rPr>
          <w:bCs/>
          <w:sz w:val="22"/>
          <w:szCs w:val="22"/>
          <w:lang w:val="sr-Latn-ME"/>
        </w:rPr>
        <w:t xml:space="preserve">ađi od 18 godina  za sve indikacije osim pJIA nije utvrđena. </w:t>
      </w:r>
    </w:p>
    <w:p w14:paraId="5494E537"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ab/>
      </w:r>
    </w:p>
    <w:p w14:paraId="6F2A46F2" w14:textId="77777777" w:rsidR="00785722" w:rsidRPr="00275456" w:rsidRDefault="00785722" w:rsidP="005C6DFE">
      <w:pPr>
        <w:tabs>
          <w:tab w:val="left" w:pos="540"/>
          <w:tab w:val="left" w:pos="569"/>
        </w:tabs>
        <w:jc w:val="both"/>
        <w:rPr>
          <w:bCs/>
          <w:i/>
          <w:iCs/>
          <w:sz w:val="22"/>
          <w:szCs w:val="22"/>
          <w:lang w:val="sr-Latn-ME"/>
        </w:rPr>
      </w:pPr>
      <w:r w:rsidRPr="00275456">
        <w:rPr>
          <w:bCs/>
          <w:i/>
          <w:iCs/>
          <w:sz w:val="22"/>
          <w:szCs w:val="22"/>
          <w:lang w:val="sr-Latn-ME"/>
        </w:rPr>
        <w:t xml:space="preserve">Poliartikularni juvenilni idiopatski artritis </w:t>
      </w:r>
    </w:p>
    <w:p w14:paraId="43F09532" w14:textId="3439EAF1"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Daje se 50 mg lijeka Simponi jednom mjesečno, istog datuma u m</w:t>
      </w:r>
      <w:r w:rsidR="00B41524" w:rsidRPr="00275456">
        <w:rPr>
          <w:bCs/>
          <w:sz w:val="22"/>
          <w:szCs w:val="22"/>
          <w:lang w:val="sr-Latn-ME"/>
        </w:rPr>
        <w:t>j</w:t>
      </w:r>
      <w:r w:rsidRPr="00275456">
        <w:rPr>
          <w:bCs/>
          <w:sz w:val="22"/>
          <w:szCs w:val="22"/>
          <w:lang w:val="sr-Latn-ME"/>
        </w:rPr>
        <w:t>esecu, kod djece sa tjelesnom masom od najmanje 40 kg.</w:t>
      </w:r>
    </w:p>
    <w:p w14:paraId="7F986C90" w14:textId="77777777" w:rsidR="00785722" w:rsidRPr="00275456" w:rsidRDefault="00785722" w:rsidP="005C6DFE">
      <w:pPr>
        <w:tabs>
          <w:tab w:val="left" w:pos="540"/>
          <w:tab w:val="left" w:pos="569"/>
        </w:tabs>
        <w:jc w:val="both"/>
        <w:rPr>
          <w:bCs/>
          <w:sz w:val="22"/>
          <w:szCs w:val="22"/>
          <w:lang w:val="sr-Latn-ME"/>
        </w:rPr>
      </w:pPr>
    </w:p>
    <w:p w14:paraId="1589C282"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Dostupni podaci pokazuju da se klinički odgovor obično postiže u roku od 12 do 14 nedjelja liječenja (nakon 3-4 doze). Treba ponovno razmotriti nastavak terapije kod djece kod koje se unutar tog razdoblja ne uoče dokazi o koristi terapije.</w:t>
      </w:r>
    </w:p>
    <w:p w14:paraId="60F7A1CF" w14:textId="77777777" w:rsidR="00785722" w:rsidRPr="00275456" w:rsidRDefault="00785722" w:rsidP="005C6DFE">
      <w:pPr>
        <w:tabs>
          <w:tab w:val="left" w:pos="540"/>
          <w:tab w:val="left" w:pos="569"/>
        </w:tabs>
        <w:jc w:val="both"/>
        <w:rPr>
          <w:bCs/>
          <w:sz w:val="22"/>
          <w:szCs w:val="22"/>
          <w:lang w:val="sr-Latn-ME"/>
        </w:rPr>
      </w:pPr>
    </w:p>
    <w:p w14:paraId="17075EF7" w14:textId="77777777" w:rsidR="00785722" w:rsidRPr="00275456" w:rsidRDefault="00785722" w:rsidP="005C6DFE">
      <w:pPr>
        <w:tabs>
          <w:tab w:val="left" w:pos="540"/>
          <w:tab w:val="left" w:pos="569"/>
        </w:tabs>
        <w:jc w:val="both"/>
        <w:rPr>
          <w:bCs/>
          <w:i/>
          <w:iCs/>
          <w:sz w:val="22"/>
          <w:szCs w:val="22"/>
          <w:lang w:val="sr-Latn-ME"/>
        </w:rPr>
      </w:pPr>
      <w:r w:rsidRPr="00275456">
        <w:rPr>
          <w:bCs/>
          <w:i/>
          <w:iCs/>
          <w:sz w:val="22"/>
          <w:szCs w:val="22"/>
          <w:lang w:val="sr-Latn-ME"/>
        </w:rPr>
        <w:t>Način primjene</w:t>
      </w:r>
    </w:p>
    <w:p w14:paraId="03BF5477"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Simponi je namjenjen za subkutanu primjenu. Nakon odgovarajućeg osposobljavanja u tehnici primjene subkutane injekcije, pacijent može sam sebi da daje lijek Simponi ako ljekar procijeni da je to primjereno ili mu, po potrebi, može dati dodatna uputstva. Pacijentima treba reći da ubrizgaju cijelu količinu lijeka Simponi u skladu sa opsežnim uputstvima za upotrebu lijeka koja su sastavni dio uputstva za upotrebu lijeka. Ukoliko je potrebno više injekcija, injekcije treba primjenjivati na različitim djelovima tijela.</w:t>
      </w:r>
    </w:p>
    <w:p w14:paraId="2534ED99" w14:textId="5C1F4840" w:rsidR="00452E9D" w:rsidRPr="00275456" w:rsidRDefault="00785722" w:rsidP="005C6DFE">
      <w:pPr>
        <w:tabs>
          <w:tab w:val="left" w:pos="540"/>
          <w:tab w:val="left" w:pos="569"/>
        </w:tabs>
        <w:jc w:val="both"/>
        <w:rPr>
          <w:bCs/>
          <w:sz w:val="22"/>
          <w:szCs w:val="22"/>
          <w:lang w:val="sr-Latn-ME"/>
        </w:rPr>
      </w:pPr>
      <w:r w:rsidRPr="00275456">
        <w:rPr>
          <w:bCs/>
          <w:sz w:val="22"/>
          <w:szCs w:val="22"/>
          <w:lang w:val="sr-Latn-ME"/>
        </w:rPr>
        <w:lastRenderedPageBreak/>
        <w:t>Uputstvo za upotrebu lijeka navedeno je u poglavlju 6.6.</w:t>
      </w:r>
    </w:p>
    <w:p w14:paraId="3723B39D" w14:textId="77777777" w:rsidR="00785722" w:rsidRPr="00275456" w:rsidRDefault="00785722" w:rsidP="005C6DFE">
      <w:pPr>
        <w:tabs>
          <w:tab w:val="left" w:pos="540"/>
          <w:tab w:val="left" w:pos="569"/>
        </w:tabs>
        <w:jc w:val="both"/>
        <w:rPr>
          <w:bCs/>
          <w:sz w:val="22"/>
          <w:szCs w:val="22"/>
          <w:lang w:val="sr-Latn-ME"/>
        </w:rPr>
      </w:pPr>
    </w:p>
    <w:p w14:paraId="7A8BD794" w14:textId="77777777" w:rsidR="00411B4B" w:rsidRPr="00275456" w:rsidRDefault="00411B4B" w:rsidP="005C6DFE">
      <w:pPr>
        <w:tabs>
          <w:tab w:val="left" w:pos="540"/>
          <w:tab w:val="left" w:pos="569"/>
        </w:tabs>
        <w:jc w:val="both"/>
        <w:rPr>
          <w:b/>
          <w:bCs/>
          <w:sz w:val="22"/>
          <w:szCs w:val="22"/>
          <w:lang w:val="sr-Latn-ME"/>
        </w:rPr>
      </w:pPr>
      <w:r w:rsidRPr="00275456">
        <w:rPr>
          <w:b/>
          <w:bCs/>
          <w:sz w:val="22"/>
          <w:szCs w:val="22"/>
          <w:lang w:val="sr-Latn-ME"/>
        </w:rPr>
        <w:t xml:space="preserve">4.3. </w:t>
      </w:r>
      <w:r w:rsidR="00480FB1" w:rsidRPr="00275456">
        <w:rPr>
          <w:b/>
          <w:bCs/>
          <w:sz w:val="22"/>
          <w:szCs w:val="22"/>
          <w:lang w:val="sr-Latn-ME"/>
        </w:rPr>
        <w:tab/>
      </w:r>
      <w:r w:rsidRPr="00275456">
        <w:rPr>
          <w:b/>
          <w:bCs/>
          <w:sz w:val="22"/>
          <w:szCs w:val="22"/>
          <w:lang w:val="sr-Latn-ME"/>
        </w:rPr>
        <w:t>Kontraindikacije</w:t>
      </w:r>
    </w:p>
    <w:p w14:paraId="61DA302A" w14:textId="0DBDC4FE" w:rsidR="0072020E" w:rsidRPr="00275456" w:rsidRDefault="0072020E" w:rsidP="005C6DFE">
      <w:pPr>
        <w:tabs>
          <w:tab w:val="left" w:pos="540"/>
          <w:tab w:val="left" w:pos="569"/>
        </w:tabs>
        <w:jc w:val="both"/>
        <w:rPr>
          <w:bCs/>
          <w:sz w:val="22"/>
          <w:szCs w:val="22"/>
          <w:lang w:val="sr-Latn-ME"/>
        </w:rPr>
      </w:pPr>
    </w:p>
    <w:p w14:paraId="5CD54A42"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Preosjetljivost na aktivnu supstancu ili neku od pomoćnih supstanci navedenih u odjeljku 6.1.</w:t>
      </w:r>
    </w:p>
    <w:p w14:paraId="7D8E9FF6" w14:textId="77777777" w:rsidR="00785722" w:rsidRPr="00275456" w:rsidRDefault="00785722" w:rsidP="005C6DFE">
      <w:pPr>
        <w:tabs>
          <w:tab w:val="left" w:pos="540"/>
          <w:tab w:val="left" w:pos="569"/>
        </w:tabs>
        <w:jc w:val="both"/>
        <w:rPr>
          <w:bCs/>
          <w:sz w:val="22"/>
          <w:szCs w:val="22"/>
          <w:lang w:val="sr-Latn-ME"/>
        </w:rPr>
      </w:pPr>
    </w:p>
    <w:p w14:paraId="639BA656"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Aktivna tuberkuloza (TB) ili druge teške infekcije poput sepse i oportunističkih infekcija (vidi poglavlje 4.4).</w:t>
      </w:r>
    </w:p>
    <w:p w14:paraId="654928C0" w14:textId="77777777" w:rsidR="00785722" w:rsidRPr="00275456" w:rsidRDefault="00785722" w:rsidP="005C6DFE">
      <w:pPr>
        <w:tabs>
          <w:tab w:val="left" w:pos="540"/>
          <w:tab w:val="left" w:pos="569"/>
        </w:tabs>
        <w:jc w:val="both"/>
        <w:rPr>
          <w:bCs/>
          <w:sz w:val="22"/>
          <w:szCs w:val="22"/>
          <w:lang w:val="sr-Latn-ME"/>
        </w:rPr>
      </w:pPr>
    </w:p>
    <w:p w14:paraId="443AF773" w14:textId="0BF38E11"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Umjerena i teška insuficijencija miokarda (NYHA stepen III/IV) (vidi poglavlje 4.4).</w:t>
      </w:r>
    </w:p>
    <w:p w14:paraId="199DEB4F" w14:textId="77777777" w:rsidR="00785722" w:rsidRPr="00275456" w:rsidRDefault="00785722" w:rsidP="005C6DFE">
      <w:pPr>
        <w:tabs>
          <w:tab w:val="left" w:pos="540"/>
          <w:tab w:val="left" w:pos="569"/>
        </w:tabs>
        <w:jc w:val="both"/>
        <w:rPr>
          <w:bCs/>
          <w:sz w:val="22"/>
          <w:szCs w:val="22"/>
          <w:lang w:val="sr-Latn-ME"/>
        </w:rPr>
      </w:pPr>
    </w:p>
    <w:p w14:paraId="0A76AE93" w14:textId="7778A626" w:rsidR="00411B4B" w:rsidRPr="00275456" w:rsidRDefault="00411B4B" w:rsidP="005C6DFE">
      <w:pPr>
        <w:tabs>
          <w:tab w:val="left" w:pos="540"/>
          <w:tab w:val="left" w:pos="569"/>
        </w:tabs>
        <w:jc w:val="both"/>
        <w:rPr>
          <w:b/>
          <w:bCs/>
          <w:sz w:val="22"/>
          <w:szCs w:val="22"/>
          <w:lang w:val="sr-Latn-ME"/>
        </w:rPr>
      </w:pPr>
      <w:r w:rsidRPr="00275456">
        <w:rPr>
          <w:b/>
          <w:bCs/>
          <w:sz w:val="22"/>
          <w:szCs w:val="22"/>
          <w:lang w:val="sr-Latn-ME"/>
        </w:rPr>
        <w:t xml:space="preserve">4.4. </w:t>
      </w:r>
      <w:r w:rsidR="00480FB1" w:rsidRPr="00275456">
        <w:rPr>
          <w:b/>
          <w:bCs/>
          <w:sz w:val="22"/>
          <w:szCs w:val="22"/>
          <w:lang w:val="sr-Latn-ME"/>
        </w:rPr>
        <w:tab/>
      </w:r>
      <w:r w:rsidRPr="00275456">
        <w:rPr>
          <w:b/>
          <w:bCs/>
          <w:sz w:val="22"/>
          <w:szCs w:val="22"/>
          <w:lang w:val="sr-Latn-ME"/>
        </w:rPr>
        <w:t>Posebna upozorenja i mjere opreza pri upotrebi lijeka</w:t>
      </w:r>
    </w:p>
    <w:p w14:paraId="6A8AFEBB" w14:textId="77777777" w:rsidR="00785722" w:rsidRPr="00275456" w:rsidRDefault="00785722" w:rsidP="005C6DFE">
      <w:pPr>
        <w:tabs>
          <w:tab w:val="left" w:pos="540"/>
          <w:tab w:val="left" w:pos="569"/>
        </w:tabs>
        <w:jc w:val="both"/>
        <w:rPr>
          <w:b/>
          <w:bCs/>
          <w:sz w:val="22"/>
          <w:szCs w:val="22"/>
          <w:lang w:val="sr-Latn-ME"/>
        </w:rPr>
      </w:pPr>
    </w:p>
    <w:p w14:paraId="0FE71C4B" w14:textId="77777777" w:rsidR="00785722" w:rsidRPr="00275456" w:rsidRDefault="00785722" w:rsidP="005C6DFE">
      <w:pPr>
        <w:jc w:val="both"/>
        <w:rPr>
          <w:bCs/>
          <w:sz w:val="22"/>
          <w:szCs w:val="22"/>
          <w:u w:val="single"/>
          <w:lang w:val="sr-Latn-ME"/>
        </w:rPr>
      </w:pPr>
      <w:bookmarkStart w:id="0" w:name="_Hlk30518921"/>
      <w:r w:rsidRPr="00275456">
        <w:rPr>
          <w:bCs/>
          <w:sz w:val="22"/>
          <w:szCs w:val="22"/>
          <w:u w:val="single"/>
          <w:lang w:val="sr-Latn-ME"/>
        </w:rPr>
        <w:t>Sledljivost</w:t>
      </w:r>
    </w:p>
    <w:p w14:paraId="3035305B" w14:textId="77777777" w:rsidR="00785722" w:rsidRPr="005C6DFE" w:rsidRDefault="00785722" w:rsidP="005C6DFE">
      <w:pPr>
        <w:jc w:val="both"/>
        <w:rPr>
          <w:bCs/>
          <w:sz w:val="22"/>
          <w:szCs w:val="22"/>
          <w:lang w:val="sr-Latn-ME"/>
        </w:rPr>
      </w:pPr>
      <w:r w:rsidRPr="00275456">
        <w:rPr>
          <w:bCs/>
          <w:sz w:val="22"/>
          <w:szCs w:val="22"/>
          <w:lang w:val="sr-Latn-ME"/>
        </w:rPr>
        <w:t>U cilju poboljšanja sledljivosti bioloških ljekova, naziv i broj serije primijenjenog lijeka treba da budu jasno zabilježeni</w:t>
      </w:r>
      <w:bookmarkEnd w:id="0"/>
      <w:r w:rsidRPr="005C6DFE">
        <w:rPr>
          <w:bCs/>
          <w:sz w:val="22"/>
          <w:szCs w:val="22"/>
          <w:lang w:val="sr-Latn-ME"/>
        </w:rPr>
        <w:t>.</w:t>
      </w:r>
    </w:p>
    <w:p w14:paraId="038CD500" w14:textId="77777777" w:rsidR="00785722" w:rsidRPr="00EA088A" w:rsidRDefault="00785722" w:rsidP="005C6DFE">
      <w:pPr>
        <w:tabs>
          <w:tab w:val="left" w:pos="284"/>
        </w:tabs>
        <w:jc w:val="both"/>
        <w:rPr>
          <w:sz w:val="22"/>
          <w:szCs w:val="22"/>
          <w:u w:val="single"/>
          <w:lang w:val="sr-Latn-ME"/>
        </w:rPr>
      </w:pPr>
    </w:p>
    <w:p w14:paraId="4CD40E7B" w14:textId="77777777" w:rsidR="00785722" w:rsidRPr="00EA088A" w:rsidRDefault="00785722" w:rsidP="005C6DFE">
      <w:pPr>
        <w:tabs>
          <w:tab w:val="left" w:pos="284"/>
        </w:tabs>
        <w:jc w:val="both"/>
        <w:rPr>
          <w:sz w:val="22"/>
          <w:szCs w:val="22"/>
          <w:u w:val="single"/>
          <w:lang w:val="sr-Latn-ME"/>
        </w:rPr>
      </w:pPr>
      <w:r w:rsidRPr="00EA088A">
        <w:rPr>
          <w:sz w:val="22"/>
          <w:szCs w:val="22"/>
          <w:u w:val="single"/>
          <w:lang w:val="sr-Latn-ME"/>
        </w:rPr>
        <w:t>Infekcije</w:t>
      </w:r>
    </w:p>
    <w:p w14:paraId="7E3C6856" w14:textId="77777777" w:rsidR="00785722" w:rsidRPr="00275456" w:rsidRDefault="00785722" w:rsidP="005C6DFE">
      <w:pPr>
        <w:tabs>
          <w:tab w:val="left" w:pos="284"/>
        </w:tabs>
        <w:jc w:val="both"/>
        <w:rPr>
          <w:sz w:val="22"/>
          <w:szCs w:val="22"/>
          <w:lang w:val="sr-Latn-ME"/>
        </w:rPr>
      </w:pPr>
      <w:r w:rsidRPr="00C9046D">
        <w:rPr>
          <w:sz w:val="22"/>
          <w:szCs w:val="22"/>
          <w:lang w:val="sr-Latn-ME"/>
        </w:rPr>
        <w:t>Pac</w:t>
      </w:r>
      <w:r w:rsidRPr="00275456">
        <w:rPr>
          <w:sz w:val="22"/>
          <w:szCs w:val="22"/>
          <w:lang w:val="sr-Latn-ME"/>
        </w:rPr>
        <w:t xml:space="preserve">ijente je potrebno pažljivo pratiti zbog infekcija, uključujući i tuberkulozu, prije, tokom i nakon liječenja golimumabom. Budući da eliminacija golimumaba može da traje i do 5 mjeseci, pacijent mora biti pod nadzorom i tokom tog perioda. Ako se kod pacijenta razvije ozbiljna infekcija ili sepsa, ne smije se nastaviti dalje sa liječenjem golimumabom (vidi poglavlje 4.3). </w:t>
      </w:r>
    </w:p>
    <w:p w14:paraId="6E7B9B68" w14:textId="77777777" w:rsidR="00785722" w:rsidRPr="00275456" w:rsidRDefault="00785722" w:rsidP="005C6DFE">
      <w:pPr>
        <w:tabs>
          <w:tab w:val="left" w:pos="284"/>
        </w:tabs>
        <w:spacing w:line="260" w:lineRule="exact"/>
        <w:jc w:val="both"/>
        <w:rPr>
          <w:sz w:val="22"/>
          <w:szCs w:val="22"/>
          <w:lang w:val="sr-Latn-ME"/>
        </w:rPr>
      </w:pPr>
    </w:p>
    <w:p w14:paraId="57B5AEB9" w14:textId="407E980B" w:rsidR="00785722" w:rsidRPr="00275456" w:rsidRDefault="00785722" w:rsidP="005C6DFE">
      <w:pPr>
        <w:tabs>
          <w:tab w:val="left" w:pos="284"/>
        </w:tabs>
        <w:spacing w:line="260" w:lineRule="exact"/>
        <w:jc w:val="both"/>
        <w:rPr>
          <w:sz w:val="22"/>
          <w:szCs w:val="22"/>
          <w:lang w:val="sr-Latn-ME" w:eastAsia="sv-SE"/>
        </w:rPr>
      </w:pPr>
      <w:r w:rsidRPr="00275456">
        <w:rPr>
          <w:sz w:val="22"/>
          <w:szCs w:val="22"/>
          <w:lang w:val="sr-Latn-ME"/>
        </w:rPr>
        <w:t>Golimumab se ne smije davati pacijentima s klinički značajnom aktivnom infekcijom. P</w:t>
      </w:r>
      <w:r w:rsidRPr="00275456">
        <w:rPr>
          <w:sz w:val="22"/>
          <w:szCs w:val="22"/>
          <w:lang w:val="sr-Latn-ME" w:eastAsia="sv-SE"/>
        </w:rPr>
        <w:t>otreban je oprez kad se razmatra mogućnost primjene golimumaba kod pacijenata sa hroničnim ili rekurentnim infekcijama.</w:t>
      </w:r>
      <w:r w:rsidR="00D672C7" w:rsidRPr="00275456">
        <w:rPr>
          <w:sz w:val="22"/>
          <w:szCs w:val="22"/>
          <w:lang w:val="sr-Latn-ME" w:eastAsia="sv-SE"/>
        </w:rPr>
        <w:t xml:space="preserve"> </w:t>
      </w:r>
      <w:r w:rsidRPr="00275456">
        <w:rPr>
          <w:sz w:val="22"/>
          <w:szCs w:val="22"/>
          <w:lang w:val="sr-Latn-ME" w:eastAsia="sv-SE"/>
        </w:rPr>
        <w:t>Pacijente treba upoznati s potencijalnim faktorima rizika za razvoj infekcije i savjetovati ih da na odgovarajući način izbjegavaju te faktore.</w:t>
      </w:r>
    </w:p>
    <w:p w14:paraId="6FFCE332" w14:textId="77777777" w:rsidR="00785722" w:rsidRPr="00275456" w:rsidRDefault="00785722" w:rsidP="005C6DFE">
      <w:pPr>
        <w:tabs>
          <w:tab w:val="left" w:pos="284"/>
        </w:tabs>
        <w:spacing w:line="260" w:lineRule="exact"/>
        <w:jc w:val="both"/>
        <w:rPr>
          <w:sz w:val="22"/>
          <w:szCs w:val="22"/>
          <w:lang w:val="sr-Latn-ME"/>
        </w:rPr>
      </w:pPr>
    </w:p>
    <w:p w14:paraId="53A4D5E5" w14:textId="77777777" w:rsidR="00785722" w:rsidRPr="00275456" w:rsidRDefault="00785722" w:rsidP="005C6DFE">
      <w:pPr>
        <w:tabs>
          <w:tab w:val="left" w:pos="284"/>
        </w:tabs>
        <w:jc w:val="both"/>
        <w:rPr>
          <w:sz w:val="22"/>
          <w:szCs w:val="22"/>
          <w:lang w:val="sr-Latn-ME"/>
        </w:rPr>
      </w:pPr>
      <w:r w:rsidRPr="00275456">
        <w:rPr>
          <w:sz w:val="22"/>
          <w:szCs w:val="22"/>
          <w:lang w:val="sr-Latn-ME"/>
        </w:rPr>
        <w:t>Pacijenti koji uzimaju TNF blokatore skloniji su ozbiljnim infekcijama.</w:t>
      </w:r>
    </w:p>
    <w:p w14:paraId="75AE9F36" w14:textId="539BACBF" w:rsidR="00785722" w:rsidRPr="00275456" w:rsidRDefault="00785722" w:rsidP="005C6DFE">
      <w:pPr>
        <w:tabs>
          <w:tab w:val="left" w:pos="284"/>
        </w:tabs>
        <w:jc w:val="both"/>
        <w:rPr>
          <w:sz w:val="22"/>
          <w:szCs w:val="22"/>
          <w:lang w:val="sr-Latn-ME"/>
        </w:rPr>
      </w:pPr>
      <w:r w:rsidRPr="00275456">
        <w:rPr>
          <w:sz w:val="22"/>
          <w:szCs w:val="22"/>
          <w:lang w:val="sr-Latn-ME"/>
        </w:rPr>
        <w:t>Kod pacijenata liječenih golimumabom zabilježene su bakterijske (uključujući sepsu i pneumoniju), mikobakterijske (uključujući TB), invazivne gljivične i oportunističke infekcije, ponekad sa smrtnim ishodom. Neke od tih ozbiljnih infekcija nastale su kod pacijenata koji su istovremeno liječeni imunosupresivnim ljekovima, što, uz osnovnu bolest, može povećati njihovu sklonost ka infekcijama. Pacijente kod kojih se tokom liječenja golimumabom pojavi nova infekcija treba pažljivo pratiti i podvrgnuti detaljnoj dijagnostičkoj proceduri. Liječenje golimumabom treba prekinuti ako se kod pacijenta razvije nova ozbiljna infekcija ili sepsa i treba uvesti odgovarajuću antimikrobnu ili antifungalnu terapiju sve dok infekcija ne bude pod kontrolom.</w:t>
      </w:r>
    </w:p>
    <w:p w14:paraId="471EBF78" w14:textId="77777777" w:rsidR="00785722" w:rsidRPr="00275456" w:rsidRDefault="00785722" w:rsidP="005C6DFE">
      <w:pPr>
        <w:tabs>
          <w:tab w:val="left" w:pos="284"/>
        </w:tabs>
        <w:jc w:val="both"/>
        <w:rPr>
          <w:sz w:val="22"/>
          <w:szCs w:val="22"/>
          <w:lang w:val="sr-Latn-ME"/>
        </w:rPr>
      </w:pPr>
    </w:p>
    <w:p w14:paraId="01A44B52" w14:textId="77777777" w:rsidR="00785722" w:rsidRPr="00275456" w:rsidRDefault="00785722" w:rsidP="005C6DFE">
      <w:pPr>
        <w:jc w:val="both"/>
        <w:rPr>
          <w:sz w:val="22"/>
          <w:szCs w:val="22"/>
          <w:lang w:val="sr-Latn-ME"/>
        </w:rPr>
      </w:pPr>
      <w:r w:rsidRPr="00275456">
        <w:rPr>
          <w:sz w:val="22"/>
          <w:szCs w:val="22"/>
          <w:lang w:val="sr-Latn-ME"/>
        </w:rPr>
        <w:t>Kod pacijenata koji su boravili ili putovali u područja za koja su karakteristične endemske invazivne gljivične infekcije, kao što su histoplazmoza, kokcidioidomikoza ili blastomikoza, treba pažljivo procijeniti odnos koristi i rizika liječenja golimumabom, prije uvođenja golimumaba u terapiju. Ako se kod  rizičnih pacijenata koji su liječeni golimumabom javi ozbiljna sistemska bolest, treba posumnjati na invazivnu gljivičnu infekciju. Za dijagnozu i primenu empirijske antimikotičke terapije kod ovih pacijenata treba, ako je moguće, potražiti savjet lekara specijalizovanog za liječenje pacijenata sa invazivnim gljivičnim infekcijama.</w:t>
      </w:r>
    </w:p>
    <w:p w14:paraId="16EA2B69" w14:textId="77777777" w:rsidR="00785722" w:rsidRPr="00275456" w:rsidRDefault="00785722" w:rsidP="005C6DFE">
      <w:pPr>
        <w:keepNext/>
        <w:tabs>
          <w:tab w:val="left" w:pos="284"/>
          <w:tab w:val="left" w:pos="567"/>
        </w:tabs>
        <w:spacing w:line="260" w:lineRule="exact"/>
        <w:jc w:val="both"/>
        <w:outlineLvl w:val="5"/>
        <w:rPr>
          <w:i/>
          <w:iCs/>
          <w:sz w:val="22"/>
          <w:szCs w:val="22"/>
          <w:lang w:val="sr-Latn-ME"/>
        </w:rPr>
      </w:pPr>
    </w:p>
    <w:p w14:paraId="30900B7A" w14:textId="77777777" w:rsidR="00785722" w:rsidRPr="00275456" w:rsidRDefault="00785722" w:rsidP="005C6DFE">
      <w:pPr>
        <w:keepNext/>
        <w:tabs>
          <w:tab w:val="left" w:pos="284"/>
          <w:tab w:val="left" w:pos="567"/>
        </w:tabs>
        <w:spacing w:line="260" w:lineRule="exact"/>
        <w:jc w:val="both"/>
        <w:outlineLvl w:val="5"/>
        <w:rPr>
          <w:iCs/>
          <w:sz w:val="22"/>
          <w:szCs w:val="22"/>
          <w:u w:val="single"/>
          <w:lang w:val="sr-Latn-ME"/>
        </w:rPr>
      </w:pPr>
      <w:r w:rsidRPr="00275456">
        <w:rPr>
          <w:iCs/>
          <w:sz w:val="22"/>
          <w:szCs w:val="22"/>
          <w:u w:val="single"/>
          <w:lang w:val="sr-Latn-ME"/>
        </w:rPr>
        <w:t>Tuberkuloza</w:t>
      </w:r>
    </w:p>
    <w:p w14:paraId="21150C5E" w14:textId="77777777" w:rsidR="00785722" w:rsidRPr="00275456" w:rsidRDefault="00785722" w:rsidP="005C6DFE">
      <w:pPr>
        <w:tabs>
          <w:tab w:val="left" w:pos="284"/>
          <w:tab w:val="left" w:pos="567"/>
        </w:tabs>
        <w:spacing w:line="260" w:lineRule="exact"/>
        <w:jc w:val="both"/>
        <w:rPr>
          <w:sz w:val="22"/>
          <w:szCs w:val="22"/>
          <w:lang w:val="sr-Latn-ME"/>
        </w:rPr>
      </w:pPr>
      <w:r w:rsidRPr="00275456">
        <w:rPr>
          <w:sz w:val="22"/>
          <w:szCs w:val="22"/>
          <w:lang w:val="sr-Latn-ME"/>
        </w:rPr>
        <w:t>Kod pacijenata liječenih golimumabom zabilježeni su slučajevi tuberkuloze. Treba naglasiti da je u većini slučajeva ustanovljena ekstrapulmonarna tuberkuloza i da se radilo o lokalizovanom ili diseminovanom obliku bolesti.</w:t>
      </w:r>
    </w:p>
    <w:p w14:paraId="3F884774" w14:textId="77777777" w:rsidR="00785722" w:rsidRPr="00275456" w:rsidRDefault="00785722" w:rsidP="005C6DFE">
      <w:pPr>
        <w:tabs>
          <w:tab w:val="left" w:pos="284"/>
          <w:tab w:val="left" w:pos="567"/>
        </w:tabs>
        <w:spacing w:line="260" w:lineRule="exact"/>
        <w:jc w:val="both"/>
        <w:rPr>
          <w:sz w:val="22"/>
          <w:szCs w:val="22"/>
          <w:lang w:val="sr-Latn-ME"/>
        </w:rPr>
      </w:pPr>
      <w:r w:rsidRPr="00275456">
        <w:rPr>
          <w:sz w:val="22"/>
          <w:szCs w:val="22"/>
          <w:lang w:val="sr-Latn-ME"/>
        </w:rPr>
        <w:t xml:space="preserve"> </w:t>
      </w:r>
    </w:p>
    <w:p w14:paraId="6A2A1267" w14:textId="163EF18F" w:rsidR="00785722" w:rsidRPr="00275456" w:rsidRDefault="00785722" w:rsidP="005C6DFE">
      <w:pPr>
        <w:tabs>
          <w:tab w:val="left" w:pos="284"/>
          <w:tab w:val="left" w:pos="567"/>
        </w:tabs>
        <w:spacing w:line="260" w:lineRule="exact"/>
        <w:jc w:val="both"/>
        <w:rPr>
          <w:sz w:val="22"/>
          <w:szCs w:val="22"/>
          <w:lang w:val="sr-Latn-ME"/>
        </w:rPr>
      </w:pPr>
      <w:r w:rsidRPr="00275456">
        <w:rPr>
          <w:sz w:val="22"/>
          <w:szCs w:val="22"/>
          <w:lang w:val="sr-Latn-ME"/>
        </w:rPr>
        <w:t xml:space="preserve">Prije uvođenja započinjanja terapije golimumabom sve pacijente treba provjeriti na tuberkulozu, aktivnu i neaktivnu („latentnu“). Ta provjera treba da uključi detaljnu anamnezu s podacima o obolijevanju od tuberkuloze ili mogućem ranijem kontaktu s tuberkulozom i ranijoj i/ili sadašnjoj imunosupresivnoj terapiji. Odgovarajuće preglede, kao što su kožni tuberkulinski test ili pregledi krvi kao i rendgen pluća, treba sprovesti kod svih pacijenata (uvažavajući lokalne preporuke). Preporučuje se da se ti pregledi </w:t>
      </w:r>
      <w:r w:rsidRPr="00275456">
        <w:rPr>
          <w:sz w:val="22"/>
          <w:szCs w:val="22"/>
          <w:lang w:val="sr-Latn-ME"/>
        </w:rPr>
        <w:lastRenderedPageBreak/>
        <w:t xml:space="preserve">zabilježe u </w:t>
      </w:r>
      <w:r w:rsidR="00D672C7" w:rsidRPr="00275456">
        <w:rPr>
          <w:sz w:val="22"/>
          <w:szCs w:val="22"/>
          <w:lang w:val="sr-Latn-ME"/>
        </w:rPr>
        <w:t>K</w:t>
      </w:r>
      <w:r w:rsidRPr="00275456">
        <w:rPr>
          <w:sz w:val="22"/>
          <w:szCs w:val="22"/>
          <w:lang w:val="sr-Latn-ME"/>
        </w:rPr>
        <w:t>articu sa podsetnikom za pacijenta. Podsjećamo propisivače na rizik od lažno negativnih tuberkulinskih testova, posebno kod teško bolesnih i imunokompromitovanih pacijenata.</w:t>
      </w:r>
    </w:p>
    <w:p w14:paraId="6B10F918" w14:textId="77777777" w:rsidR="00785722" w:rsidRPr="00275456" w:rsidRDefault="00785722" w:rsidP="005C6DFE">
      <w:pPr>
        <w:tabs>
          <w:tab w:val="left" w:pos="284"/>
          <w:tab w:val="left" w:pos="567"/>
        </w:tabs>
        <w:spacing w:line="260" w:lineRule="exact"/>
        <w:jc w:val="both"/>
        <w:rPr>
          <w:snapToGrid w:val="0"/>
          <w:sz w:val="22"/>
          <w:szCs w:val="22"/>
          <w:lang w:val="sr-Latn-ME"/>
        </w:rPr>
      </w:pPr>
    </w:p>
    <w:p w14:paraId="0530FB58" w14:textId="77777777" w:rsidR="00785722" w:rsidRPr="00275456" w:rsidRDefault="00785722" w:rsidP="005C6DFE">
      <w:pPr>
        <w:tabs>
          <w:tab w:val="left" w:pos="284"/>
        </w:tabs>
        <w:jc w:val="both"/>
        <w:rPr>
          <w:sz w:val="22"/>
          <w:szCs w:val="22"/>
          <w:lang w:val="sr-Latn-ME"/>
        </w:rPr>
      </w:pPr>
      <w:r w:rsidRPr="00275456">
        <w:rPr>
          <w:sz w:val="22"/>
          <w:szCs w:val="22"/>
          <w:lang w:val="sr-Latn-ME"/>
        </w:rPr>
        <w:t>Ako je dijagnostifikovana aktivna tuberkuloza, ne smije se započeti liječenje golimumabom (vidi poglavlje 4.3).</w:t>
      </w:r>
    </w:p>
    <w:p w14:paraId="4327088E" w14:textId="77777777" w:rsidR="00785722" w:rsidRPr="00275456" w:rsidRDefault="00785722" w:rsidP="005C6DFE">
      <w:pPr>
        <w:tabs>
          <w:tab w:val="left" w:pos="284"/>
          <w:tab w:val="left" w:pos="567"/>
        </w:tabs>
        <w:spacing w:line="260" w:lineRule="exact"/>
        <w:jc w:val="both"/>
        <w:rPr>
          <w:sz w:val="22"/>
          <w:szCs w:val="22"/>
          <w:lang w:val="sr-Latn-ME"/>
        </w:rPr>
      </w:pPr>
    </w:p>
    <w:p w14:paraId="4B800228" w14:textId="77777777" w:rsidR="00785722" w:rsidRPr="00275456" w:rsidRDefault="00785722" w:rsidP="005C6DFE">
      <w:pPr>
        <w:tabs>
          <w:tab w:val="left" w:pos="284"/>
        </w:tabs>
        <w:jc w:val="both"/>
        <w:rPr>
          <w:sz w:val="22"/>
          <w:szCs w:val="22"/>
          <w:lang w:val="sr-Latn-ME"/>
        </w:rPr>
      </w:pPr>
      <w:r w:rsidRPr="00275456">
        <w:rPr>
          <w:sz w:val="22"/>
          <w:szCs w:val="22"/>
          <w:lang w:val="sr-Latn-ME"/>
        </w:rPr>
        <w:t>Ako se sumnja na latentnu tuberkulozu, treba potražiti savjet ljekara specijalizovanog za liječenje tuberkuloze. U svim situacijama opisanim u daljem tekstu, potrebno je pažljivo odmjeriti odnos rizika i koristi liječenja golimumabom.</w:t>
      </w:r>
    </w:p>
    <w:p w14:paraId="08DF98D1" w14:textId="77777777" w:rsidR="00785722" w:rsidRPr="00275456" w:rsidRDefault="00785722" w:rsidP="005C6DFE">
      <w:pPr>
        <w:tabs>
          <w:tab w:val="left" w:pos="284"/>
          <w:tab w:val="left" w:pos="567"/>
        </w:tabs>
        <w:spacing w:line="260" w:lineRule="exact"/>
        <w:jc w:val="both"/>
        <w:rPr>
          <w:sz w:val="22"/>
          <w:szCs w:val="22"/>
          <w:lang w:val="sr-Latn-ME"/>
        </w:rPr>
      </w:pPr>
    </w:p>
    <w:p w14:paraId="04F64D11" w14:textId="77777777" w:rsidR="00785722" w:rsidRPr="00275456" w:rsidRDefault="00785722" w:rsidP="005C6DFE">
      <w:pPr>
        <w:tabs>
          <w:tab w:val="left" w:pos="284"/>
          <w:tab w:val="left" w:pos="567"/>
        </w:tabs>
        <w:spacing w:line="260" w:lineRule="exact"/>
        <w:jc w:val="both"/>
        <w:rPr>
          <w:sz w:val="22"/>
          <w:szCs w:val="22"/>
          <w:lang w:val="sr-Latn-ME"/>
        </w:rPr>
      </w:pPr>
      <w:r w:rsidRPr="00275456">
        <w:rPr>
          <w:sz w:val="22"/>
          <w:szCs w:val="22"/>
          <w:lang w:val="sr-Latn-ME"/>
        </w:rPr>
        <w:t>Ako je dijagnostikovana neaktivna („latentna“) tuberkuloza, prije uvođenja golimumaba mora se započeti liječenje latentne tuberkuloze antituberkuloznom terapijom i u skladu sa lokalnim preporukama.</w:t>
      </w:r>
    </w:p>
    <w:p w14:paraId="77F72F0F" w14:textId="77777777" w:rsidR="00785722" w:rsidRPr="00275456" w:rsidRDefault="00785722" w:rsidP="005C6DFE">
      <w:pPr>
        <w:tabs>
          <w:tab w:val="left" w:pos="284"/>
          <w:tab w:val="left" w:pos="567"/>
        </w:tabs>
        <w:spacing w:line="260" w:lineRule="exact"/>
        <w:jc w:val="both"/>
        <w:rPr>
          <w:sz w:val="22"/>
          <w:szCs w:val="22"/>
          <w:lang w:val="sr-Latn-ME"/>
        </w:rPr>
      </w:pPr>
    </w:p>
    <w:p w14:paraId="60D540E4" w14:textId="77777777" w:rsidR="00785722" w:rsidRPr="00275456" w:rsidRDefault="00785722" w:rsidP="005C6DFE">
      <w:pPr>
        <w:tabs>
          <w:tab w:val="left" w:pos="284"/>
          <w:tab w:val="left" w:pos="567"/>
        </w:tabs>
        <w:spacing w:line="260" w:lineRule="exact"/>
        <w:jc w:val="both"/>
        <w:rPr>
          <w:sz w:val="22"/>
          <w:szCs w:val="22"/>
          <w:lang w:val="sr-Latn-ME"/>
        </w:rPr>
      </w:pPr>
      <w:r w:rsidRPr="00275456">
        <w:rPr>
          <w:sz w:val="22"/>
          <w:szCs w:val="22"/>
          <w:lang w:val="sr-Latn-ME"/>
        </w:rPr>
        <w:t xml:space="preserve">Kod pacijenata koji imaju nekoliko faktora rizika ili značajne faktore rizika za tuberkulozu i imaju negativan  test na latentnu tuberkulozu, anti-tuberkuloznu terapiju treba uzeti u obzir </w:t>
      </w:r>
      <w:bookmarkStart w:id="1" w:name="_Hlk30520014"/>
      <w:r w:rsidRPr="00275456">
        <w:rPr>
          <w:sz w:val="22"/>
          <w:szCs w:val="22"/>
          <w:lang w:val="sr-Latn-ME"/>
        </w:rPr>
        <w:t>prije uvođenja golimumaba</w:t>
      </w:r>
      <w:bookmarkEnd w:id="1"/>
      <w:r w:rsidRPr="00275456">
        <w:rPr>
          <w:sz w:val="22"/>
          <w:szCs w:val="22"/>
          <w:lang w:val="sr-Latn-ME"/>
        </w:rPr>
        <w:t xml:space="preserve">. Primjenu </w:t>
      </w:r>
      <w:bookmarkStart w:id="2" w:name="_Hlk30520507"/>
      <w:r w:rsidRPr="00275456">
        <w:rPr>
          <w:sz w:val="22"/>
          <w:szCs w:val="22"/>
          <w:lang w:val="sr-Latn-ME"/>
        </w:rPr>
        <w:t xml:space="preserve">anti-tuberkulozne terapije </w:t>
      </w:r>
      <w:bookmarkEnd w:id="2"/>
      <w:r w:rsidRPr="00275456">
        <w:rPr>
          <w:sz w:val="22"/>
          <w:szCs w:val="22"/>
          <w:lang w:val="sr-Latn-ME"/>
        </w:rPr>
        <w:t xml:space="preserve">treba uzeti u obzir prije </w:t>
      </w:r>
      <w:bookmarkStart w:id="3" w:name="_Hlk30520524"/>
      <w:r w:rsidRPr="00275456">
        <w:rPr>
          <w:sz w:val="22"/>
          <w:szCs w:val="22"/>
          <w:lang w:val="sr-Latn-ME"/>
        </w:rPr>
        <w:t>uvođenja golimumaba</w:t>
      </w:r>
      <w:bookmarkEnd w:id="3"/>
      <w:r w:rsidRPr="00275456">
        <w:rPr>
          <w:sz w:val="22"/>
          <w:szCs w:val="22"/>
          <w:lang w:val="sr-Latn-ME"/>
        </w:rPr>
        <w:t xml:space="preserve"> kod pacijenata koji su prethodno imali latentan ili aktivan oblik tuberkuloze i kod kojih odgovarajuća terapija nije bila potvrđena.</w:t>
      </w:r>
    </w:p>
    <w:p w14:paraId="70276123" w14:textId="77777777" w:rsidR="00785722" w:rsidRPr="00275456" w:rsidRDefault="00785722" w:rsidP="005C6DFE">
      <w:pPr>
        <w:tabs>
          <w:tab w:val="left" w:pos="284"/>
          <w:tab w:val="left" w:pos="567"/>
        </w:tabs>
        <w:spacing w:line="260" w:lineRule="exact"/>
        <w:jc w:val="both"/>
        <w:rPr>
          <w:sz w:val="22"/>
          <w:szCs w:val="22"/>
          <w:lang w:val="sr-Latn-ME"/>
        </w:rPr>
      </w:pPr>
    </w:p>
    <w:p w14:paraId="31C674A6" w14:textId="77777777" w:rsidR="00785722" w:rsidRPr="00275456" w:rsidRDefault="00785722" w:rsidP="005C6DFE">
      <w:pPr>
        <w:tabs>
          <w:tab w:val="left" w:pos="284"/>
          <w:tab w:val="left" w:pos="567"/>
        </w:tabs>
        <w:spacing w:line="260" w:lineRule="exact"/>
        <w:jc w:val="both"/>
        <w:rPr>
          <w:sz w:val="22"/>
          <w:szCs w:val="22"/>
          <w:lang w:val="sr-Latn-ME"/>
        </w:rPr>
      </w:pPr>
      <w:r w:rsidRPr="00275456">
        <w:rPr>
          <w:sz w:val="22"/>
          <w:szCs w:val="22"/>
          <w:lang w:val="sr-Latn-ME"/>
        </w:rPr>
        <w:t>Slučajevi aktivne tuberkuloze su se javljali kod pacijenata liječenih golimumabom tokom i nakon terapije latentne tuberkuloze. Kod pacijenta koji primaju lijek Simponi treba pažlјivo pratiti znake i simptome aktivne tuberkuloze, uklјučujući i pacijente koji su imali negativne rezulatate testa na latentnu tuberkulozu, pacijente koji su na terapiji zbog latentne tuberkuloze, ili pacijenti koji su prethodno bili liječeni zbog tuberkuloze.</w:t>
      </w:r>
    </w:p>
    <w:p w14:paraId="2575E4BD" w14:textId="77777777" w:rsidR="00785722" w:rsidRPr="00275456" w:rsidRDefault="00785722" w:rsidP="005C6DFE">
      <w:pPr>
        <w:tabs>
          <w:tab w:val="left" w:pos="284"/>
          <w:tab w:val="left" w:pos="567"/>
        </w:tabs>
        <w:spacing w:line="260" w:lineRule="exact"/>
        <w:jc w:val="both"/>
        <w:rPr>
          <w:sz w:val="22"/>
          <w:szCs w:val="22"/>
          <w:lang w:val="sr-Latn-ME"/>
        </w:rPr>
      </w:pPr>
    </w:p>
    <w:p w14:paraId="36D4F7BC" w14:textId="77777777" w:rsidR="00785722" w:rsidRPr="00275456" w:rsidRDefault="00785722" w:rsidP="005C6DFE">
      <w:pPr>
        <w:tabs>
          <w:tab w:val="left" w:pos="284"/>
          <w:tab w:val="left" w:pos="567"/>
        </w:tabs>
        <w:spacing w:line="260" w:lineRule="exact"/>
        <w:jc w:val="both"/>
        <w:rPr>
          <w:sz w:val="22"/>
          <w:szCs w:val="22"/>
          <w:lang w:val="sr-Latn-ME"/>
        </w:rPr>
      </w:pPr>
      <w:r w:rsidRPr="00275456">
        <w:rPr>
          <w:sz w:val="22"/>
          <w:szCs w:val="22"/>
          <w:lang w:val="sr-Latn-ME"/>
        </w:rPr>
        <w:t>Sve pacijente je potrebno posavjetovati da se jave ljekaru ako se za vrijeme ili nakon liječenja golimumabom pojave znaci/simptomi koji bi mogli ukazivati na tuberkulozu (npr. uporni kašalj, gubitak na težini, subfebrilnost).</w:t>
      </w:r>
    </w:p>
    <w:p w14:paraId="2330AF4E" w14:textId="77777777" w:rsidR="00785722" w:rsidRPr="00275456" w:rsidRDefault="00785722" w:rsidP="005C6DFE">
      <w:pPr>
        <w:tabs>
          <w:tab w:val="left" w:pos="284"/>
        </w:tabs>
        <w:spacing w:line="260" w:lineRule="exact"/>
        <w:jc w:val="both"/>
        <w:rPr>
          <w:i/>
          <w:sz w:val="22"/>
          <w:szCs w:val="22"/>
          <w:lang w:val="sr-Latn-ME"/>
        </w:rPr>
      </w:pPr>
    </w:p>
    <w:p w14:paraId="1DC20C2B" w14:textId="77777777" w:rsidR="00785722" w:rsidRPr="00275456" w:rsidRDefault="00785722" w:rsidP="005C6DFE">
      <w:pPr>
        <w:tabs>
          <w:tab w:val="left" w:pos="284"/>
        </w:tabs>
        <w:spacing w:line="260" w:lineRule="exact"/>
        <w:jc w:val="both"/>
        <w:rPr>
          <w:iCs/>
          <w:sz w:val="22"/>
          <w:szCs w:val="22"/>
          <w:u w:val="single"/>
          <w:lang w:val="sr-Latn-ME"/>
        </w:rPr>
      </w:pPr>
      <w:r w:rsidRPr="00275456">
        <w:rPr>
          <w:iCs/>
          <w:sz w:val="22"/>
          <w:szCs w:val="22"/>
          <w:u w:val="single"/>
          <w:lang w:val="sr-Latn-ME"/>
        </w:rPr>
        <w:t>Reaktivacija virusa hepatitisa B (HBV)</w:t>
      </w:r>
    </w:p>
    <w:p w14:paraId="38599661" w14:textId="77777777" w:rsidR="00785722" w:rsidRPr="00275456" w:rsidRDefault="00785722" w:rsidP="005C6DFE">
      <w:pPr>
        <w:tabs>
          <w:tab w:val="left" w:pos="284"/>
        </w:tabs>
        <w:spacing w:line="260" w:lineRule="exact"/>
        <w:jc w:val="both"/>
        <w:rPr>
          <w:sz w:val="22"/>
          <w:szCs w:val="22"/>
          <w:lang w:val="sr-Latn-ME"/>
        </w:rPr>
      </w:pPr>
      <w:r w:rsidRPr="00275456">
        <w:rPr>
          <w:sz w:val="22"/>
          <w:szCs w:val="22"/>
          <w:lang w:val="sr-Latn-ME"/>
        </w:rPr>
        <w:t xml:space="preserve">Ponovno aktiviranje hepatitisa B dogodilo se kod pacijenata koji su primali TNF blokator uključujući golimumab, a hronične su kliconoše tog virusa </w:t>
      </w:r>
      <w:r w:rsidRPr="00275456">
        <w:rPr>
          <w:bCs/>
          <w:sz w:val="22"/>
          <w:szCs w:val="22"/>
          <w:lang w:val="sr-Latn-ME"/>
        </w:rPr>
        <w:t>(tj., pozitivni su na površinski antigen)</w:t>
      </w:r>
      <w:r w:rsidRPr="00275456">
        <w:rPr>
          <w:sz w:val="22"/>
          <w:szCs w:val="22"/>
          <w:lang w:val="sr-Latn-ME"/>
        </w:rPr>
        <w:t xml:space="preserve">. Neki su slučajevi imali smrtni ishod. </w:t>
      </w:r>
    </w:p>
    <w:p w14:paraId="5FEAC906" w14:textId="77777777" w:rsidR="00785722" w:rsidRPr="00275456" w:rsidRDefault="00785722" w:rsidP="005C6DFE">
      <w:pPr>
        <w:tabs>
          <w:tab w:val="left" w:pos="284"/>
        </w:tabs>
        <w:spacing w:line="260" w:lineRule="exact"/>
        <w:jc w:val="both"/>
        <w:rPr>
          <w:sz w:val="22"/>
          <w:szCs w:val="22"/>
          <w:lang w:val="sr-Latn-ME"/>
        </w:rPr>
      </w:pPr>
    </w:p>
    <w:p w14:paraId="4D2ED773" w14:textId="77777777" w:rsidR="00785722" w:rsidRPr="00275456" w:rsidRDefault="00785722" w:rsidP="005C6DFE">
      <w:pPr>
        <w:tabs>
          <w:tab w:val="left" w:pos="284"/>
        </w:tabs>
        <w:spacing w:line="260" w:lineRule="exact"/>
        <w:jc w:val="both"/>
        <w:rPr>
          <w:sz w:val="22"/>
          <w:szCs w:val="22"/>
          <w:lang w:val="sr-Latn-ME"/>
        </w:rPr>
      </w:pPr>
      <w:r w:rsidRPr="00275456">
        <w:rPr>
          <w:sz w:val="22"/>
          <w:szCs w:val="22"/>
          <w:lang w:val="sr-Latn-ME"/>
        </w:rPr>
        <w:t>Prije početka terapije golimumabom pacijente je potrebno testirati na HBV. Za pacijente kod kojih je test na HBV pozitivan, preporučuje se konsultacija sa ljekarom koji je stručan u liječenju hepatitisa B.</w:t>
      </w:r>
    </w:p>
    <w:p w14:paraId="190C42AD" w14:textId="77777777" w:rsidR="00785722" w:rsidRPr="00275456" w:rsidRDefault="00785722" w:rsidP="005C6DFE">
      <w:pPr>
        <w:tabs>
          <w:tab w:val="left" w:pos="284"/>
        </w:tabs>
        <w:spacing w:line="260" w:lineRule="exact"/>
        <w:jc w:val="both"/>
        <w:rPr>
          <w:sz w:val="22"/>
          <w:szCs w:val="22"/>
          <w:lang w:val="sr-Latn-ME"/>
        </w:rPr>
      </w:pPr>
    </w:p>
    <w:p w14:paraId="0666AFE8" w14:textId="77777777" w:rsidR="00785722" w:rsidRPr="00275456" w:rsidRDefault="00785722" w:rsidP="005C6DFE">
      <w:pPr>
        <w:tabs>
          <w:tab w:val="left" w:pos="284"/>
        </w:tabs>
        <w:spacing w:line="260" w:lineRule="exact"/>
        <w:jc w:val="both"/>
        <w:rPr>
          <w:sz w:val="22"/>
          <w:szCs w:val="22"/>
          <w:lang w:val="sr-Latn-ME"/>
        </w:rPr>
      </w:pPr>
      <w:r w:rsidRPr="00275456">
        <w:rPr>
          <w:sz w:val="22"/>
          <w:szCs w:val="22"/>
          <w:lang w:val="sr-Latn-ME"/>
        </w:rPr>
        <w:t xml:space="preserve">Osobe koje nose virus hepatitisa B, a koje moraju da prime terapiju golimumabom, treba pažljivo pratiti </w:t>
      </w:r>
      <w:bookmarkStart w:id="4" w:name="_Hlk30523213"/>
      <w:r w:rsidRPr="00275456">
        <w:rPr>
          <w:sz w:val="22"/>
          <w:szCs w:val="22"/>
          <w:lang w:val="sr-Latn-ME"/>
        </w:rPr>
        <w:t xml:space="preserve">sve vrijeme liječenja i još nekoliko mjeseci nakon završetka liječenja, </w:t>
      </w:r>
      <w:bookmarkEnd w:id="4"/>
      <w:r w:rsidRPr="00275456">
        <w:rPr>
          <w:sz w:val="22"/>
          <w:szCs w:val="22"/>
          <w:lang w:val="sr-Latn-ME"/>
        </w:rPr>
        <w:t>kako bi se uočili znaci i simptomi aktivne infekcije virusom hepatitisa B. Nema odgovarajućih podataka o pacijentima koji nose virus hepatitisa B koji su se liječili antivirusnim ljekovima istovremeno sa TNF blokatorima radi sprečavanja ponovne aktivacije virusa hepatitisa B. Kod pacijenata kod kojih dođe do ponovne aktivacije virusa hepatitisa B, potrebno je prekinuti terapiju golimumabom i započeti primenu efikasne antivirusne terapije uz odgovarajuće suportivno liječenje.</w:t>
      </w:r>
    </w:p>
    <w:p w14:paraId="2C770E94" w14:textId="77777777" w:rsidR="00785722" w:rsidRPr="00275456" w:rsidRDefault="00785722" w:rsidP="005C6DFE">
      <w:pPr>
        <w:tabs>
          <w:tab w:val="left" w:pos="284"/>
        </w:tabs>
        <w:spacing w:line="260" w:lineRule="exact"/>
        <w:jc w:val="both"/>
        <w:rPr>
          <w:bCs/>
          <w:sz w:val="22"/>
          <w:szCs w:val="22"/>
          <w:lang w:val="sr-Latn-ME"/>
        </w:rPr>
      </w:pPr>
    </w:p>
    <w:p w14:paraId="6E771F8D"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Maligne i limfoproliferativne bolesti</w:t>
      </w:r>
    </w:p>
    <w:p w14:paraId="6B02519E" w14:textId="77777777" w:rsidR="00785722" w:rsidRPr="00275456" w:rsidRDefault="00785722" w:rsidP="005C6DFE">
      <w:pPr>
        <w:tabs>
          <w:tab w:val="left" w:pos="567"/>
        </w:tabs>
        <w:jc w:val="both"/>
        <w:rPr>
          <w:bCs/>
          <w:sz w:val="22"/>
          <w:szCs w:val="22"/>
          <w:lang w:val="sr-Latn-ME"/>
        </w:rPr>
      </w:pPr>
      <w:r w:rsidRPr="00275456">
        <w:rPr>
          <w:sz w:val="22"/>
          <w:szCs w:val="22"/>
          <w:lang w:val="sr-Latn-ME"/>
        </w:rPr>
        <w:t xml:space="preserve">Nije poznata potencijalna uloga liječenja </w:t>
      </w:r>
      <w:r w:rsidRPr="00275456">
        <w:rPr>
          <w:bCs/>
          <w:sz w:val="22"/>
          <w:szCs w:val="22"/>
          <w:lang w:val="sr-Latn-ME"/>
        </w:rPr>
        <w:t>TNF-blokatorima</w:t>
      </w:r>
      <w:r w:rsidRPr="00275456">
        <w:rPr>
          <w:sz w:val="22"/>
          <w:szCs w:val="22"/>
          <w:lang w:val="sr-Latn-ME"/>
        </w:rPr>
        <w:t xml:space="preserve"> u razvoju malignih bolesti. </w:t>
      </w:r>
      <w:r w:rsidRPr="00275456">
        <w:rPr>
          <w:bCs/>
          <w:sz w:val="22"/>
          <w:szCs w:val="22"/>
          <w:lang w:val="sr-Latn-ME"/>
        </w:rPr>
        <w:t>S obzirom na dosadašnje saznanje, ne može se isključiti rizik od pojave limfoma, leukemija ili drugih malignih bolesti kod pacijenata liječenih TNF-blokatorima. Potreban je oprez prilikom razmatranja liječenja TNF blokatorima pacijenata koji su bolovali od maligne bolesti ili o nastavku liječenja pacijenata koji razviju malignu bolest.</w:t>
      </w:r>
    </w:p>
    <w:p w14:paraId="76B45BF6" w14:textId="4B29ED94" w:rsidR="005339F2" w:rsidRPr="00275456" w:rsidRDefault="005339F2" w:rsidP="005C6DFE">
      <w:pPr>
        <w:tabs>
          <w:tab w:val="left" w:pos="540"/>
          <w:tab w:val="left" w:pos="569"/>
        </w:tabs>
        <w:jc w:val="both"/>
        <w:rPr>
          <w:bCs/>
          <w:sz w:val="22"/>
          <w:szCs w:val="22"/>
          <w:lang w:val="sr-Latn-ME"/>
        </w:rPr>
      </w:pPr>
    </w:p>
    <w:p w14:paraId="1A266A78" w14:textId="77777777" w:rsidR="00785722" w:rsidRPr="00275456" w:rsidRDefault="00785722" w:rsidP="005C6DFE">
      <w:pPr>
        <w:tabs>
          <w:tab w:val="left" w:pos="284"/>
        </w:tabs>
        <w:spacing w:line="260" w:lineRule="exact"/>
        <w:jc w:val="both"/>
        <w:rPr>
          <w:bCs/>
          <w:i/>
          <w:sz w:val="22"/>
          <w:szCs w:val="22"/>
          <w:lang w:val="sr-Latn-ME"/>
        </w:rPr>
      </w:pPr>
      <w:r w:rsidRPr="00275456">
        <w:rPr>
          <w:bCs/>
          <w:i/>
          <w:sz w:val="22"/>
          <w:szCs w:val="22"/>
          <w:lang w:val="sr-Latn-ME"/>
        </w:rPr>
        <w:t>Pedijatrijski maligniteti</w:t>
      </w:r>
    </w:p>
    <w:p w14:paraId="4ECF38F0" w14:textId="505D2B16" w:rsidR="00785722" w:rsidRPr="00275456" w:rsidRDefault="00785722" w:rsidP="005C6DFE">
      <w:pPr>
        <w:tabs>
          <w:tab w:val="left" w:pos="284"/>
        </w:tabs>
        <w:spacing w:line="260" w:lineRule="exact"/>
        <w:jc w:val="both"/>
        <w:rPr>
          <w:bCs/>
          <w:sz w:val="22"/>
          <w:szCs w:val="22"/>
          <w:lang w:val="sr-Latn-ME"/>
        </w:rPr>
      </w:pPr>
      <w:r w:rsidRPr="00275456">
        <w:rPr>
          <w:bCs/>
          <w:sz w:val="22"/>
          <w:szCs w:val="22"/>
          <w:lang w:val="sr-Latn-ME"/>
        </w:rPr>
        <w:t xml:space="preserve">Pojava maligniteta, pa čak i sa fatalnim ishodom, prijavljena je kod djece, adolescenata i </w:t>
      </w:r>
      <w:r w:rsidR="00F81F67">
        <w:rPr>
          <w:bCs/>
          <w:sz w:val="22"/>
          <w:szCs w:val="22"/>
          <w:lang w:val="sr-Latn-ME"/>
        </w:rPr>
        <w:t>ml</w:t>
      </w:r>
      <w:r w:rsidRPr="00275456">
        <w:rPr>
          <w:bCs/>
          <w:sz w:val="22"/>
          <w:szCs w:val="22"/>
          <w:lang w:val="sr-Latn-ME"/>
        </w:rPr>
        <w:t xml:space="preserve">ađih odraslih osoba (do 22 godine starosti) koji su liječeni TNF-blokatorima (terapija započeta ≤ 18 godina starosti) </w:t>
      </w:r>
      <w:r w:rsidRPr="00275456">
        <w:rPr>
          <w:bCs/>
          <w:sz w:val="22"/>
          <w:szCs w:val="22"/>
          <w:lang w:val="sr-Latn-ME"/>
        </w:rPr>
        <w:lastRenderedPageBreak/>
        <w:t>tokom postmarketinške primjene. Aproksimativno polovina slučajeva su bili limfomi. Ostali zabilježeni slučajevi su bili različiti maligniteti, koji uključuju i rijetka maligna oboljenja obično udružena sa imunosupresijom. Rizik od pojave maligniteta kod djece i adolescenata liječenih TNF-blokatorima, ne smije se isključiti.</w:t>
      </w:r>
    </w:p>
    <w:p w14:paraId="7EC823A1" w14:textId="77777777" w:rsidR="00785722" w:rsidRPr="00275456" w:rsidRDefault="00785722" w:rsidP="005C6DFE">
      <w:pPr>
        <w:tabs>
          <w:tab w:val="left" w:pos="284"/>
        </w:tabs>
        <w:spacing w:line="260" w:lineRule="exact"/>
        <w:jc w:val="both"/>
        <w:rPr>
          <w:bCs/>
          <w:i/>
          <w:sz w:val="22"/>
          <w:szCs w:val="22"/>
          <w:lang w:val="sr-Latn-ME"/>
        </w:rPr>
      </w:pPr>
    </w:p>
    <w:p w14:paraId="5F0BCC86" w14:textId="77777777" w:rsidR="00785722" w:rsidRPr="00275456" w:rsidRDefault="00785722" w:rsidP="005C6DFE">
      <w:pPr>
        <w:keepNext/>
        <w:tabs>
          <w:tab w:val="left" w:pos="284"/>
          <w:tab w:val="left" w:pos="567"/>
        </w:tabs>
        <w:spacing w:line="260" w:lineRule="exact"/>
        <w:jc w:val="both"/>
        <w:outlineLvl w:val="5"/>
        <w:rPr>
          <w:bCs/>
          <w:i/>
          <w:iCs/>
          <w:sz w:val="22"/>
          <w:szCs w:val="22"/>
          <w:lang w:val="sr-Latn-ME"/>
        </w:rPr>
      </w:pPr>
      <w:r w:rsidRPr="00275456">
        <w:rPr>
          <w:bCs/>
          <w:i/>
          <w:iCs/>
          <w:sz w:val="22"/>
          <w:szCs w:val="22"/>
          <w:lang w:val="sr-Latn-ME"/>
        </w:rPr>
        <w:t>Limfomi i leukemije</w:t>
      </w:r>
    </w:p>
    <w:p w14:paraId="62B22664" w14:textId="77777777" w:rsidR="00785722" w:rsidRPr="00275456" w:rsidRDefault="00785722" w:rsidP="005C6DFE">
      <w:pPr>
        <w:tabs>
          <w:tab w:val="left" w:pos="284"/>
        </w:tabs>
        <w:spacing w:line="260" w:lineRule="exact"/>
        <w:jc w:val="both"/>
        <w:rPr>
          <w:sz w:val="22"/>
          <w:szCs w:val="22"/>
          <w:lang w:val="sr-Latn-ME"/>
        </w:rPr>
      </w:pPr>
      <w:r w:rsidRPr="00275456">
        <w:rPr>
          <w:sz w:val="22"/>
          <w:szCs w:val="22"/>
          <w:lang w:val="sr-Latn-ME"/>
        </w:rPr>
        <w:t>U kontrolisanim djelovima kliničkih ispitivanja blokatora TNF</w:t>
      </w:r>
      <w:r w:rsidRPr="00EA088A">
        <w:rPr>
          <w:sz w:val="22"/>
          <w:szCs w:val="22"/>
          <w:vertAlign w:val="subscript"/>
          <w:lang w:val="sr-Latn-ME"/>
        </w:rPr>
        <w:sym w:font="Symbol" w:char="F061"/>
      </w:r>
      <w:r w:rsidRPr="00EA088A">
        <w:rPr>
          <w:sz w:val="22"/>
          <w:szCs w:val="22"/>
          <w:vertAlign w:val="subscript"/>
          <w:lang w:val="sr-Latn-ME"/>
        </w:rPr>
        <w:t>,</w:t>
      </w:r>
      <w:r w:rsidRPr="00EA088A">
        <w:rPr>
          <w:sz w:val="22"/>
          <w:szCs w:val="22"/>
          <w:lang w:val="sr-Latn-ME"/>
        </w:rPr>
        <w:t xml:space="preserve"> uključujući golimumab, zabilježeno je više slučajeva limfoma kod pacijenata koji su liječeni TNF blokatorom u poređenju s kontrolnom grupom pacijen</w:t>
      </w:r>
      <w:r w:rsidRPr="00C9046D">
        <w:rPr>
          <w:sz w:val="22"/>
          <w:szCs w:val="22"/>
          <w:lang w:val="sr-Latn-ME"/>
        </w:rPr>
        <w:t>ata. Tokom kliničkih ispitivanja lijeka Simponi faze IIb i faze III u reumatoidnom artritisu (RA),, psorijatičnom artritisu (PsA) i ankilozirajućem spondilitisu (AS), incidenca limfoma kod pacijenata liječenih golimumabom bila je viša od one očekivane u op</w:t>
      </w:r>
      <w:r w:rsidRPr="00275456">
        <w:rPr>
          <w:sz w:val="22"/>
          <w:szCs w:val="22"/>
          <w:lang w:val="sr-Latn-ME"/>
        </w:rPr>
        <w:t xml:space="preserve">štoj populaciji. </w:t>
      </w:r>
      <w:r w:rsidRPr="00275456">
        <w:rPr>
          <w:bCs/>
          <w:sz w:val="22"/>
          <w:szCs w:val="22"/>
          <w:lang w:val="sr-Latn-ME"/>
        </w:rPr>
        <w:t xml:space="preserve">Slučajevi leukemije su bili prijavljeni kod pacijenata koji su liječeni golimumabom. </w:t>
      </w:r>
      <w:r w:rsidRPr="00275456">
        <w:rPr>
          <w:sz w:val="22"/>
          <w:szCs w:val="22"/>
          <w:lang w:val="sr-Latn-ME"/>
        </w:rPr>
        <w:t>Postoji povećan predisponirajući rizik od pojave limfoma i leukemija kod pacijenata oboljelih od reumatoidnog artritisa sa dugoročnom, visoko aktivnom, inflamatornom bolešću, koja komplikuje procjenu rizika.</w:t>
      </w:r>
    </w:p>
    <w:p w14:paraId="6777B1E0" w14:textId="77777777" w:rsidR="00785722" w:rsidRPr="00275456" w:rsidRDefault="00785722" w:rsidP="005C6DFE">
      <w:pPr>
        <w:tabs>
          <w:tab w:val="left" w:pos="284"/>
        </w:tabs>
        <w:spacing w:line="260" w:lineRule="exact"/>
        <w:jc w:val="both"/>
        <w:rPr>
          <w:sz w:val="22"/>
          <w:szCs w:val="22"/>
          <w:lang w:val="sr-Latn-ME"/>
        </w:rPr>
      </w:pPr>
    </w:p>
    <w:p w14:paraId="75EFDFA0" w14:textId="214ACEE0" w:rsidR="00785722" w:rsidRPr="00275456" w:rsidRDefault="00785722" w:rsidP="005C6DFE">
      <w:pPr>
        <w:tabs>
          <w:tab w:val="left" w:pos="284"/>
        </w:tabs>
        <w:spacing w:line="260" w:lineRule="exact"/>
        <w:jc w:val="both"/>
        <w:rPr>
          <w:sz w:val="22"/>
          <w:szCs w:val="22"/>
          <w:lang w:val="sr-Latn-ME"/>
        </w:rPr>
      </w:pPr>
      <w:r w:rsidRPr="00275456">
        <w:rPr>
          <w:sz w:val="22"/>
          <w:szCs w:val="22"/>
          <w:lang w:val="sr-Latn-ME"/>
        </w:rPr>
        <w:t xml:space="preserve">Rijetki postmarketinški slučajevi hepatospleničnog T-ćelijskog limfoma (HSTCL) su prijavljeni kod pacijenata liječenih drugim TNF blokatorima (vidjeti poglavlje 4.8). Ovaj rijedak tip T-ćelijskog limfoma ima veoma agresivan tok bolesti, najčešće sa fatalnim ishodom. Većina slučajeva se javila kod adolescenata i </w:t>
      </w:r>
      <w:r w:rsidR="00F81F67">
        <w:rPr>
          <w:sz w:val="22"/>
          <w:szCs w:val="22"/>
          <w:lang w:val="sr-Latn-ME"/>
        </w:rPr>
        <w:t>ml</w:t>
      </w:r>
      <w:r w:rsidRPr="00275456">
        <w:rPr>
          <w:sz w:val="22"/>
          <w:szCs w:val="22"/>
          <w:lang w:val="sr-Latn-ME"/>
        </w:rPr>
        <w:t>ađih muškaraca od kojih su skoro svi bili na istovremenoj terapiji azatioprinom (AZA) ili merkaptopurinom (6-MP) zbog inflamatorne bolesti crijeva. Treba pažljivo procijeniti potencijalni rizik od kombinovane primjene AZA ili 6-MP i golimumaba.. Ne može se isključiti rizik od razvoja hepatospleničnog T-ćelijskog limfoma kod pacijenata liječenih TNF blokatorima.</w:t>
      </w:r>
    </w:p>
    <w:p w14:paraId="0E62E3A1" w14:textId="77777777" w:rsidR="00785722" w:rsidRPr="00275456" w:rsidRDefault="00785722" w:rsidP="005C6DFE">
      <w:pPr>
        <w:tabs>
          <w:tab w:val="left" w:pos="284"/>
        </w:tabs>
        <w:spacing w:line="260" w:lineRule="exact"/>
        <w:jc w:val="both"/>
        <w:rPr>
          <w:sz w:val="22"/>
          <w:szCs w:val="22"/>
          <w:lang w:val="sr-Latn-ME"/>
        </w:rPr>
      </w:pPr>
    </w:p>
    <w:p w14:paraId="02C35D8D" w14:textId="77777777" w:rsidR="00785722" w:rsidRPr="00275456" w:rsidRDefault="00785722" w:rsidP="005C6DFE">
      <w:pPr>
        <w:tabs>
          <w:tab w:val="left" w:pos="284"/>
        </w:tabs>
        <w:spacing w:line="260" w:lineRule="exact"/>
        <w:jc w:val="both"/>
        <w:rPr>
          <w:bCs/>
          <w:i/>
          <w:sz w:val="22"/>
          <w:szCs w:val="22"/>
          <w:lang w:val="sr-Latn-ME"/>
        </w:rPr>
      </w:pPr>
      <w:r w:rsidRPr="00275456">
        <w:rPr>
          <w:bCs/>
          <w:i/>
          <w:sz w:val="22"/>
          <w:szCs w:val="22"/>
          <w:lang w:val="sr-Latn-ME"/>
        </w:rPr>
        <w:t>Druge maligne bolesti osim limfoma</w:t>
      </w:r>
    </w:p>
    <w:p w14:paraId="0C9AF403" w14:textId="77777777" w:rsidR="00D672C7" w:rsidRPr="00275456" w:rsidRDefault="00785722" w:rsidP="005C6DFE">
      <w:pPr>
        <w:tabs>
          <w:tab w:val="left" w:pos="284"/>
        </w:tabs>
        <w:spacing w:line="260" w:lineRule="exact"/>
        <w:jc w:val="both"/>
        <w:rPr>
          <w:sz w:val="22"/>
          <w:szCs w:val="22"/>
          <w:lang w:val="sr-Latn-ME"/>
        </w:rPr>
      </w:pPr>
      <w:r w:rsidRPr="00275456">
        <w:rPr>
          <w:sz w:val="22"/>
          <w:szCs w:val="22"/>
          <w:lang w:val="sr-Latn-ME"/>
        </w:rPr>
        <w:t>U kontrolisanim djelovima faze IIb i faze III kliničkih ispitivanja leka Simponi u terapiji reumatoidnog artritisa, psorijatičnog artritisa, ankilozirajućeg spondilitisa i ulceroznog kolitisa, incidenca malignih bolesti koje nijesu limfomi (</w:t>
      </w:r>
      <w:r w:rsidRPr="00275456">
        <w:rPr>
          <w:bCs/>
          <w:sz w:val="22"/>
          <w:szCs w:val="22"/>
          <w:lang w:val="sr-Latn-ME"/>
        </w:rPr>
        <w:t xml:space="preserve">isključujući nemelanomski </w:t>
      </w:r>
      <w:r w:rsidRPr="00275456">
        <w:rPr>
          <w:sz w:val="22"/>
          <w:szCs w:val="22"/>
          <w:lang w:val="sr-Latn-ME"/>
        </w:rPr>
        <w:t xml:space="preserve">rak kože), bila je slična u grupi koja je primala </w:t>
      </w:r>
    </w:p>
    <w:p w14:paraId="1BE89755" w14:textId="3C68F6AE" w:rsidR="00785722" w:rsidRPr="00275456" w:rsidRDefault="00785722" w:rsidP="005C6DFE">
      <w:pPr>
        <w:tabs>
          <w:tab w:val="left" w:pos="284"/>
        </w:tabs>
        <w:spacing w:line="260" w:lineRule="exact"/>
        <w:jc w:val="both"/>
        <w:rPr>
          <w:sz w:val="22"/>
          <w:szCs w:val="22"/>
          <w:lang w:val="sr-Latn-ME"/>
        </w:rPr>
      </w:pPr>
      <w:r w:rsidRPr="00275456">
        <w:rPr>
          <w:sz w:val="22"/>
          <w:szCs w:val="22"/>
          <w:lang w:val="sr-Latn-ME"/>
        </w:rPr>
        <w:t>golimumab i u kontrolnim grupama</w:t>
      </w:r>
      <w:r w:rsidR="00D672C7" w:rsidRPr="00275456">
        <w:rPr>
          <w:sz w:val="22"/>
          <w:szCs w:val="22"/>
          <w:lang w:val="sr-Latn-ME"/>
        </w:rPr>
        <w:t>.</w:t>
      </w:r>
    </w:p>
    <w:p w14:paraId="21CC57B7" w14:textId="77777777" w:rsidR="00D672C7" w:rsidRPr="00275456" w:rsidRDefault="00D672C7" w:rsidP="00EA088A">
      <w:pPr>
        <w:tabs>
          <w:tab w:val="left" w:pos="284"/>
        </w:tabs>
        <w:spacing w:line="260" w:lineRule="exact"/>
        <w:jc w:val="both"/>
        <w:rPr>
          <w:bCs/>
          <w:sz w:val="22"/>
          <w:szCs w:val="22"/>
          <w:lang w:val="sr-Latn-ME"/>
        </w:rPr>
      </w:pPr>
    </w:p>
    <w:p w14:paraId="450258B2" w14:textId="77777777" w:rsidR="00785722" w:rsidRPr="00275456" w:rsidRDefault="00785722" w:rsidP="005C6DFE">
      <w:pPr>
        <w:tabs>
          <w:tab w:val="left" w:pos="284"/>
        </w:tabs>
        <w:spacing w:line="260" w:lineRule="exact"/>
        <w:jc w:val="both"/>
        <w:rPr>
          <w:bCs/>
          <w:i/>
          <w:sz w:val="22"/>
          <w:szCs w:val="22"/>
          <w:lang w:val="sr-Latn-ME"/>
        </w:rPr>
      </w:pPr>
      <w:r w:rsidRPr="00275456">
        <w:rPr>
          <w:bCs/>
          <w:i/>
          <w:sz w:val="22"/>
          <w:szCs w:val="22"/>
          <w:lang w:val="sr-Latn-ME"/>
        </w:rPr>
        <w:t>Displazija / rak debelog crijeva</w:t>
      </w:r>
    </w:p>
    <w:p w14:paraId="061173B8" w14:textId="77777777" w:rsidR="00785722" w:rsidRPr="00275456" w:rsidRDefault="00785722" w:rsidP="005C6DFE">
      <w:pPr>
        <w:tabs>
          <w:tab w:val="left" w:pos="284"/>
        </w:tabs>
        <w:spacing w:line="260" w:lineRule="exact"/>
        <w:jc w:val="both"/>
        <w:rPr>
          <w:bCs/>
          <w:sz w:val="22"/>
          <w:szCs w:val="22"/>
          <w:lang w:val="sr-Latn-ME"/>
        </w:rPr>
      </w:pPr>
      <w:r w:rsidRPr="00275456">
        <w:rPr>
          <w:bCs/>
          <w:sz w:val="22"/>
          <w:szCs w:val="22"/>
          <w:lang w:val="sr-Latn-ME"/>
        </w:rPr>
        <w:t>Nije poznato da li terapija golimumabom utiče na rizik od razvoja displazije ili raka debelog crijeva. Sve pacijente sa ulceroznim kolitisom koji imaju povećan rizik od displazije ili raka debelog crijeva (na primjer, pacijente sa dugotrajnim ulceroznim kolitisom ili primarnim skleroznim holangitisom), ili koji su imali prethodnu istoriju displazije ili raka debelog crijeva treba pregledati u redovnim intervalima prije terapije i u toku cijelog toka terapije. Ovo ispitivanje treba da uključi kolonoskopiju i biopsije prema lokalnim preporukama. Kod pacijenata sa novo dijagnostifikovanom displazijom liječenih lijekom Simponi, rizik i korist za pojedinačnog pacijenta treba pažljivo razmotriti i uzeti u obzir pri odluci o nastavku terapije.</w:t>
      </w:r>
    </w:p>
    <w:p w14:paraId="6690FF28" w14:textId="77777777" w:rsidR="00785722" w:rsidRPr="00275456" w:rsidRDefault="00785722" w:rsidP="005C6DFE">
      <w:pPr>
        <w:tabs>
          <w:tab w:val="left" w:pos="284"/>
        </w:tabs>
        <w:spacing w:line="260" w:lineRule="exact"/>
        <w:jc w:val="both"/>
        <w:rPr>
          <w:bCs/>
          <w:sz w:val="22"/>
          <w:szCs w:val="22"/>
          <w:lang w:val="sr-Latn-ME"/>
        </w:rPr>
      </w:pPr>
    </w:p>
    <w:p w14:paraId="63998CE7" w14:textId="77777777" w:rsidR="00785722" w:rsidRPr="00275456" w:rsidRDefault="00785722" w:rsidP="005C6DFE">
      <w:pPr>
        <w:tabs>
          <w:tab w:val="left" w:pos="284"/>
          <w:tab w:val="left" w:pos="567"/>
        </w:tabs>
        <w:spacing w:line="260" w:lineRule="exact"/>
        <w:jc w:val="both"/>
        <w:rPr>
          <w:sz w:val="22"/>
          <w:szCs w:val="22"/>
          <w:lang w:val="sr-Latn-ME"/>
        </w:rPr>
      </w:pPr>
      <w:r w:rsidRPr="00275456">
        <w:rPr>
          <w:sz w:val="22"/>
          <w:szCs w:val="22"/>
          <w:lang w:val="sr-Latn-ME"/>
        </w:rPr>
        <w:t>U eksplorativnom kliničkom ispitivanju u kojem se ocjenjivala primjena golimumaba kod pacijenata s</w:t>
      </w:r>
      <w:r w:rsidRPr="00275456">
        <w:rPr>
          <w:bCs/>
          <w:sz w:val="22"/>
          <w:szCs w:val="22"/>
          <w:lang w:val="sr-Latn-ME"/>
        </w:rPr>
        <w:t xml:space="preserve"> teškom perzistentnom astmom, </w:t>
      </w:r>
      <w:r w:rsidRPr="00275456">
        <w:rPr>
          <w:sz w:val="22"/>
          <w:szCs w:val="22"/>
          <w:lang w:val="sr-Latn-ME"/>
        </w:rPr>
        <w:t xml:space="preserve">zabilježeno je više slučajeva malignih bolesti kod pacijenata liječenih golimumabom nego kod pacijenata u kontrolnoj grupi (vidi poglavlje 4.8). Značaj ovog nalaza nije poznat. </w:t>
      </w:r>
    </w:p>
    <w:p w14:paraId="14BF5EED" w14:textId="77777777" w:rsidR="00785722" w:rsidRPr="00275456" w:rsidRDefault="00785722" w:rsidP="005C6DFE">
      <w:pPr>
        <w:tabs>
          <w:tab w:val="left" w:pos="284"/>
          <w:tab w:val="left" w:pos="567"/>
        </w:tabs>
        <w:spacing w:line="260" w:lineRule="exact"/>
        <w:jc w:val="both"/>
        <w:rPr>
          <w:bCs/>
          <w:sz w:val="22"/>
          <w:szCs w:val="22"/>
          <w:lang w:val="sr-Latn-ME"/>
        </w:rPr>
      </w:pPr>
    </w:p>
    <w:p w14:paraId="0CA957E2" w14:textId="77777777" w:rsidR="00785722" w:rsidRPr="00275456" w:rsidRDefault="00785722" w:rsidP="005C6DFE">
      <w:pPr>
        <w:tabs>
          <w:tab w:val="left" w:pos="567"/>
        </w:tabs>
        <w:jc w:val="both"/>
        <w:rPr>
          <w:bCs/>
          <w:sz w:val="22"/>
          <w:szCs w:val="22"/>
          <w:lang w:val="sr-Latn-ME"/>
        </w:rPr>
      </w:pPr>
      <w:r w:rsidRPr="00275456">
        <w:rPr>
          <w:bCs/>
          <w:sz w:val="22"/>
          <w:szCs w:val="22"/>
          <w:lang w:val="sr-Latn-ME"/>
        </w:rPr>
        <w:t>U eksplorativnom kliničkom ispitivanju u kojem se ocjenjivala primjena drugog TNF blokatora, infliksimaba, kod pacijenata s umjerenom do teškom hroničnom opstruktivnom bolesti pluća (HOBP), zabilježeno je više slučajeva malignih bolesti, uglavnom pluća, glave i vrata, kod pacijenata liječenih infliksimabom, nego kod pacijenata u kontrolnoj grupi. Svi pacijenti su bili teški pušači. Stoga je potreban oprez kada se bilo koji TNF blokator primjenjuje kod pacijenata s HOBP-om kao i kod pacijenata koji imaju povećan rizik od razvoja maligne bolesti jer su teški pušači.</w:t>
      </w:r>
    </w:p>
    <w:p w14:paraId="2B42234B" w14:textId="415E31AB" w:rsidR="005339F2" w:rsidRPr="00275456" w:rsidRDefault="005339F2" w:rsidP="005C6DFE">
      <w:pPr>
        <w:tabs>
          <w:tab w:val="left" w:pos="567"/>
        </w:tabs>
        <w:jc w:val="both"/>
        <w:rPr>
          <w:bCs/>
          <w:sz w:val="22"/>
          <w:szCs w:val="22"/>
          <w:lang w:val="sr-Latn-ME"/>
        </w:rPr>
      </w:pPr>
    </w:p>
    <w:p w14:paraId="43AA1C9A" w14:textId="77777777" w:rsidR="00785722" w:rsidRPr="00275456" w:rsidRDefault="00785722" w:rsidP="005C6DFE">
      <w:pPr>
        <w:tabs>
          <w:tab w:val="left" w:pos="567"/>
        </w:tabs>
        <w:jc w:val="both"/>
        <w:rPr>
          <w:bCs/>
          <w:i/>
          <w:sz w:val="22"/>
          <w:szCs w:val="22"/>
          <w:lang w:val="sr-Latn-ME"/>
        </w:rPr>
      </w:pPr>
      <w:r w:rsidRPr="00275456">
        <w:rPr>
          <w:bCs/>
          <w:i/>
          <w:sz w:val="22"/>
          <w:szCs w:val="22"/>
          <w:lang w:val="sr-Latn-ME"/>
        </w:rPr>
        <w:t>Rak kože</w:t>
      </w:r>
    </w:p>
    <w:p w14:paraId="7018180F" w14:textId="77777777" w:rsidR="00785722" w:rsidRPr="00275456" w:rsidRDefault="00785722" w:rsidP="005C6DFE">
      <w:pPr>
        <w:tabs>
          <w:tab w:val="left" w:pos="567"/>
        </w:tabs>
        <w:jc w:val="both"/>
        <w:rPr>
          <w:bCs/>
          <w:sz w:val="22"/>
          <w:szCs w:val="22"/>
          <w:lang w:val="sr-Latn-ME"/>
        </w:rPr>
      </w:pPr>
      <w:r w:rsidRPr="00275456">
        <w:rPr>
          <w:bCs/>
          <w:color w:val="000000"/>
          <w:sz w:val="22"/>
          <w:szCs w:val="22"/>
          <w:lang w:val="sr-Latn-ME"/>
        </w:rPr>
        <w:t>Melanom i karcinom Merkelovih ćelija su prijavljeni kod pacijenata koji su primali blokatore TNF-a, uključujući lijek Simponi (vidjeti odjeljak 4.8). Preporučuju se periodični pregledi kože, posebno kod pacijenata sa faktorima rizika za rak kože.</w:t>
      </w:r>
    </w:p>
    <w:p w14:paraId="675FE8AA" w14:textId="77777777" w:rsidR="00785722" w:rsidRPr="00275456" w:rsidRDefault="00785722" w:rsidP="005C6DFE">
      <w:pPr>
        <w:tabs>
          <w:tab w:val="left" w:pos="567"/>
        </w:tabs>
        <w:jc w:val="both"/>
        <w:rPr>
          <w:b/>
          <w:bCs/>
          <w:sz w:val="22"/>
          <w:szCs w:val="22"/>
          <w:lang w:val="sr-Latn-ME"/>
        </w:rPr>
      </w:pPr>
    </w:p>
    <w:p w14:paraId="656DAD47"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lastRenderedPageBreak/>
        <w:t>Kongestivna srčana insuficijencija</w:t>
      </w:r>
    </w:p>
    <w:p w14:paraId="21D44B34" w14:textId="07C5AA15" w:rsidR="00785722" w:rsidRPr="00275456" w:rsidRDefault="00785722" w:rsidP="005C6DFE">
      <w:pPr>
        <w:tabs>
          <w:tab w:val="left" w:pos="284"/>
        </w:tabs>
        <w:jc w:val="both"/>
        <w:rPr>
          <w:bCs/>
          <w:sz w:val="22"/>
          <w:szCs w:val="22"/>
          <w:lang w:val="sr-Latn-ME"/>
        </w:rPr>
      </w:pPr>
      <w:r w:rsidRPr="00275456">
        <w:rPr>
          <w:sz w:val="22"/>
          <w:szCs w:val="22"/>
          <w:lang w:val="sr-Latn-ME"/>
        </w:rPr>
        <w:t>Kod primjene TNF-blokatora, uključujući i golimumab, zabilježeni su slučajevi pogoršanja kao i dijagnostikovanja novootkrivene kongestivne srčane insuficijencije. Neki slučajevi su imali smrtni ishod.</w:t>
      </w:r>
      <w:r w:rsidRPr="005C6DFE">
        <w:rPr>
          <w:sz w:val="22"/>
          <w:szCs w:val="22"/>
          <w:lang w:val="sr-Latn-ME"/>
        </w:rPr>
        <w:t xml:space="preserve"> </w:t>
      </w:r>
      <w:r w:rsidRPr="00EA088A">
        <w:rPr>
          <w:sz w:val="22"/>
          <w:szCs w:val="22"/>
          <w:lang w:val="sr-Latn-ME"/>
        </w:rPr>
        <w:t>U kliničkim ispitivanjima s drugim TNF blokatorom zabilježeni su pogoršanje kongestivne insuficijencije srca i povećana smrtnost zbog kongestivne srčane insuficijencije. Golimumab</w:t>
      </w:r>
      <w:r w:rsidRPr="00C9046D">
        <w:rPr>
          <w:bCs/>
          <w:sz w:val="22"/>
          <w:szCs w:val="22"/>
          <w:lang w:val="sr-Latn-ME"/>
        </w:rPr>
        <w:t xml:space="preserve"> nije ispitivan kod pacijenata s kongestivnom insuficijencijom srca. Golimumab</w:t>
      </w:r>
      <w:r w:rsidRPr="00275456">
        <w:rPr>
          <w:sz w:val="22"/>
          <w:szCs w:val="22"/>
          <w:lang w:val="sr-Latn-ME"/>
        </w:rPr>
        <w:t xml:space="preserve"> </w:t>
      </w:r>
      <w:r w:rsidRPr="00275456">
        <w:rPr>
          <w:bCs/>
          <w:sz w:val="22"/>
          <w:szCs w:val="22"/>
          <w:lang w:val="sr-Latn-ME"/>
        </w:rPr>
        <w:t>treba davati uz oprez pacijentima s blagom srčanom insuficijencijom (NYHA gradus I/II). Pacijente je potrebno pažljivo pratiti, a davanje golimumaba prekinuti kod onih pacijenata kod kojih se pojave novi ili pogoršaju postojeći simptomi srčane insuficijencije (vidi poglavlje 4.3).</w:t>
      </w:r>
    </w:p>
    <w:p w14:paraId="6855BD70" w14:textId="77777777" w:rsidR="00785722" w:rsidRPr="00275456" w:rsidRDefault="00785722" w:rsidP="005C6DFE">
      <w:pPr>
        <w:tabs>
          <w:tab w:val="left" w:pos="284"/>
        </w:tabs>
        <w:spacing w:line="260" w:lineRule="exact"/>
        <w:jc w:val="both"/>
        <w:rPr>
          <w:sz w:val="22"/>
          <w:szCs w:val="22"/>
          <w:u w:val="single"/>
          <w:lang w:val="sr-Latn-ME"/>
        </w:rPr>
      </w:pPr>
    </w:p>
    <w:p w14:paraId="3C5170B1"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Neurološka neželjena dejstva</w:t>
      </w:r>
    </w:p>
    <w:p w14:paraId="1B5D0B92" w14:textId="451AA4C5" w:rsidR="00785722" w:rsidRPr="00275456" w:rsidRDefault="00785722" w:rsidP="005C6DFE">
      <w:pPr>
        <w:tabs>
          <w:tab w:val="left" w:pos="567"/>
        </w:tabs>
        <w:jc w:val="both"/>
        <w:rPr>
          <w:bCs/>
          <w:sz w:val="22"/>
          <w:szCs w:val="22"/>
          <w:lang w:val="sr-Latn-ME"/>
        </w:rPr>
      </w:pPr>
      <w:r w:rsidRPr="00275456">
        <w:rPr>
          <w:bCs/>
          <w:sz w:val="22"/>
          <w:szCs w:val="22"/>
          <w:lang w:val="sr-Latn-ME"/>
        </w:rPr>
        <w:t xml:space="preserve">Primjena TNF-blokatora, uključujući </w:t>
      </w:r>
      <w:bookmarkStart w:id="5" w:name="_Hlk30577705"/>
      <w:r w:rsidRPr="00275456">
        <w:rPr>
          <w:bCs/>
          <w:sz w:val="22"/>
          <w:szCs w:val="22"/>
          <w:lang w:val="sr-Latn-ME"/>
        </w:rPr>
        <w:t>golimumab</w:t>
      </w:r>
      <w:bookmarkEnd w:id="5"/>
      <w:r w:rsidRPr="00275456">
        <w:rPr>
          <w:bCs/>
          <w:sz w:val="22"/>
          <w:szCs w:val="22"/>
          <w:lang w:val="sr-Latn-ME"/>
        </w:rPr>
        <w:t>, dovodi se u vezu sa pojavom ili egzacerbacijom kliničkih simptoma i/ili radioloških dokaza demijelinizacije centralnog nervnog sistema, uključujući multiplu sklerozu i periferni demijelinizirajući poremećaj. Kod pacijenata sa već postojećim ili novonastalim demijelinizacionim bolestima, prije početka liječenja golimumabom</w:t>
      </w:r>
      <w:r w:rsidRPr="00275456" w:rsidDel="00515075">
        <w:rPr>
          <w:bCs/>
          <w:sz w:val="22"/>
          <w:szCs w:val="22"/>
          <w:lang w:val="sr-Latn-ME"/>
        </w:rPr>
        <w:t xml:space="preserve"> </w:t>
      </w:r>
      <w:r w:rsidRPr="00275456">
        <w:rPr>
          <w:bCs/>
          <w:sz w:val="22"/>
          <w:szCs w:val="22"/>
          <w:lang w:val="sr-Latn-ME"/>
        </w:rPr>
        <w:t>treba pažljivo procijeniti koristi i rizike liječenja TNF-blokatorom. Potrebno je uzeti u obzir i prekid terapije golimumabom</w:t>
      </w:r>
      <w:r w:rsidRPr="00275456" w:rsidDel="00515075">
        <w:rPr>
          <w:bCs/>
          <w:sz w:val="22"/>
          <w:szCs w:val="22"/>
          <w:lang w:val="sr-Latn-ME"/>
        </w:rPr>
        <w:t xml:space="preserve"> </w:t>
      </w:r>
      <w:r w:rsidRPr="00275456">
        <w:rPr>
          <w:bCs/>
          <w:sz w:val="22"/>
          <w:szCs w:val="22"/>
          <w:lang w:val="sr-Latn-ME"/>
        </w:rPr>
        <w:t>ukoliko dođe do razvoja nekog od navedenih poremećaja (videti odeljak 4.8).</w:t>
      </w:r>
    </w:p>
    <w:p w14:paraId="5B91AEA3" w14:textId="77777777" w:rsidR="00785722" w:rsidRPr="00275456" w:rsidRDefault="00785722" w:rsidP="005C6DFE">
      <w:pPr>
        <w:tabs>
          <w:tab w:val="left" w:pos="284"/>
          <w:tab w:val="left" w:pos="567"/>
        </w:tabs>
        <w:spacing w:line="260" w:lineRule="exact"/>
        <w:jc w:val="both"/>
        <w:rPr>
          <w:sz w:val="22"/>
          <w:szCs w:val="22"/>
          <w:u w:val="single"/>
          <w:lang w:val="sr-Latn-ME"/>
        </w:rPr>
      </w:pPr>
    </w:p>
    <w:p w14:paraId="7EE591CE" w14:textId="77777777" w:rsidR="00785722" w:rsidRPr="00275456" w:rsidRDefault="00785722" w:rsidP="005C6DFE">
      <w:pPr>
        <w:tabs>
          <w:tab w:val="left" w:pos="284"/>
          <w:tab w:val="left" w:pos="567"/>
        </w:tabs>
        <w:spacing w:line="260" w:lineRule="exact"/>
        <w:jc w:val="both"/>
        <w:rPr>
          <w:sz w:val="22"/>
          <w:szCs w:val="22"/>
          <w:u w:val="single"/>
          <w:lang w:val="sr-Latn-ME"/>
        </w:rPr>
      </w:pPr>
      <w:r w:rsidRPr="00275456">
        <w:rPr>
          <w:sz w:val="22"/>
          <w:szCs w:val="22"/>
          <w:u w:val="single"/>
          <w:lang w:val="sr-Latn-ME"/>
        </w:rPr>
        <w:t>Hirurški zahvati</w:t>
      </w:r>
    </w:p>
    <w:p w14:paraId="48178FEF" w14:textId="77777777" w:rsidR="00785722" w:rsidRPr="00275456" w:rsidRDefault="00785722" w:rsidP="005C6DFE">
      <w:pPr>
        <w:tabs>
          <w:tab w:val="left" w:pos="567"/>
        </w:tabs>
        <w:jc w:val="both"/>
        <w:rPr>
          <w:bCs/>
          <w:sz w:val="22"/>
          <w:szCs w:val="22"/>
          <w:lang w:val="sr-Latn-ME"/>
        </w:rPr>
      </w:pPr>
      <w:r w:rsidRPr="00275456">
        <w:rPr>
          <w:bCs/>
          <w:sz w:val="22"/>
          <w:szCs w:val="22"/>
          <w:lang w:val="sr-Latn-ME"/>
        </w:rPr>
        <w:t>Ograničena su iskustva o bezbjednosti primene golimumaba kod pacijenata koji se podvrgavaju hirurškim zahvatima, uključujući artroplastiku. Ukoliko se planira hirurški zahvat, treba voditi računa o dugom poluvremenu eliminacije lijeka. Pacijenta, kome je za vreme liječenja golimumabom</w:t>
      </w:r>
      <w:r w:rsidRPr="00275456" w:rsidDel="00515075">
        <w:rPr>
          <w:bCs/>
          <w:sz w:val="22"/>
          <w:szCs w:val="22"/>
          <w:lang w:val="sr-Latn-ME"/>
        </w:rPr>
        <w:t xml:space="preserve"> </w:t>
      </w:r>
      <w:r w:rsidRPr="00275456">
        <w:rPr>
          <w:bCs/>
          <w:sz w:val="22"/>
          <w:szCs w:val="22"/>
          <w:lang w:val="sr-Latn-ME"/>
        </w:rPr>
        <w:t>potrebna operacija, neophodno je pažljivo pratiti zbog infekcija, i preduzeti odgovarajuće mjere.</w:t>
      </w:r>
    </w:p>
    <w:p w14:paraId="4AF9A6A7" w14:textId="77777777" w:rsidR="00785722" w:rsidRPr="00275456" w:rsidRDefault="00785722" w:rsidP="005C6DFE">
      <w:pPr>
        <w:tabs>
          <w:tab w:val="left" w:pos="284"/>
          <w:tab w:val="left" w:pos="567"/>
        </w:tabs>
        <w:spacing w:line="260" w:lineRule="exact"/>
        <w:jc w:val="both"/>
        <w:rPr>
          <w:sz w:val="22"/>
          <w:szCs w:val="22"/>
          <w:lang w:val="sr-Latn-ME"/>
        </w:rPr>
      </w:pPr>
    </w:p>
    <w:p w14:paraId="667B44E9" w14:textId="77777777" w:rsidR="00785722" w:rsidRPr="00275456" w:rsidRDefault="00785722" w:rsidP="005C6DFE">
      <w:pPr>
        <w:tabs>
          <w:tab w:val="left" w:pos="284"/>
          <w:tab w:val="left" w:pos="567"/>
        </w:tabs>
        <w:spacing w:line="260" w:lineRule="exact"/>
        <w:jc w:val="both"/>
        <w:rPr>
          <w:b/>
          <w:bCs/>
          <w:sz w:val="22"/>
          <w:szCs w:val="22"/>
          <w:u w:val="single"/>
          <w:lang w:val="sr-Latn-ME"/>
        </w:rPr>
      </w:pPr>
      <w:r w:rsidRPr="00275456">
        <w:rPr>
          <w:sz w:val="22"/>
          <w:szCs w:val="22"/>
          <w:u w:val="single"/>
          <w:lang w:val="sr-Latn-ME"/>
        </w:rPr>
        <w:t>Imunosupresija</w:t>
      </w:r>
    </w:p>
    <w:p w14:paraId="220F7C3B" w14:textId="77777777" w:rsidR="00785722" w:rsidRPr="00275456" w:rsidRDefault="00785722" w:rsidP="005C6DFE">
      <w:pPr>
        <w:tabs>
          <w:tab w:val="left" w:pos="284"/>
          <w:tab w:val="left" w:pos="567"/>
        </w:tabs>
        <w:spacing w:line="260" w:lineRule="exact"/>
        <w:jc w:val="both"/>
        <w:rPr>
          <w:sz w:val="22"/>
          <w:szCs w:val="22"/>
          <w:lang w:val="sr-Latn-ME"/>
        </w:rPr>
      </w:pPr>
      <w:r w:rsidRPr="00275456">
        <w:rPr>
          <w:sz w:val="22"/>
          <w:szCs w:val="22"/>
          <w:lang w:val="sr-Latn-ME"/>
        </w:rPr>
        <w:t xml:space="preserve">Postoji mogućnost da TNF-blokatori, uključujući golimumab, utiču na odbranu domaćina protiv infekcija i malignih bolesti, jer je TNF medijator inflamacije i modulator ćelijskog imunskog odgovora. </w:t>
      </w:r>
    </w:p>
    <w:p w14:paraId="471DB841" w14:textId="77777777" w:rsidR="00785722" w:rsidRPr="00275456" w:rsidRDefault="00785722" w:rsidP="005C6DFE">
      <w:pPr>
        <w:tabs>
          <w:tab w:val="left" w:pos="284"/>
          <w:tab w:val="left" w:pos="567"/>
        </w:tabs>
        <w:spacing w:line="260" w:lineRule="exact"/>
        <w:jc w:val="both"/>
        <w:rPr>
          <w:sz w:val="22"/>
          <w:szCs w:val="22"/>
          <w:lang w:val="sr-Latn-ME"/>
        </w:rPr>
      </w:pPr>
    </w:p>
    <w:p w14:paraId="5A3260C4"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Autoimunski procesi</w:t>
      </w:r>
    </w:p>
    <w:p w14:paraId="59B72029" w14:textId="77777777" w:rsidR="00785722" w:rsidRPr="00275456" w:rsidRDefault="00785722" w:rsidP="005C6DFE">
      <w:pPr>
        <w:tabs>
          <w:tab w:val="left" w:pos="567"/>
        </w:tabs>
        <w:jc w:val="both"/>
        <w:rPr>
          <w:bCs/>
          <w:sz w:val="22"/>
          <w:szCs w:val="22"/>
          <w:lang w:val="sr-Latn-ME"/>
        </w:rPr>
      </w:pPr>
      <w:r w:rsidRPr="00275456">
        <w:rPr>
          <w:bCs/>
          <w:sz w:val="22"/>
          <w:szCs w:val="22"/>
          <w:lang w:val="sr-Latn-ME"/>
        </w:rPr>
        <w:t>Relativni nedostatak TNF</w:t>
      </w:r>
      <w:r w:rsidRPr="00EA088A">
        <w:rPr>
          <w:bCs/>
          <w:sz w:val="22"/>
          <w:szCs w:val="22"/>
          <w:vertAlign w:val="subscript"/>
          <w:lang w:val="sr-Latn-ME"/>
        </w:rPr>
        <w:sym w:font="Symbol" w:char="F061"/>
      </w:r>
      <w:r w:rsidRPr="00EA088A">
        <w:rPr>
          <w:bCs/>
          <w:sz w:val="22"/>
          <w:szCs w:val="22"/>
          <w:lang w:val="sr-Latn-ME"/>
        </w:rPr>
        <w:t>, prouzrokovan terapijom TNF-blokatorom, može pokrenuti autoimunski proces. Ako se kod pacijenta, nakon liječenja golimumabom</w:t>
      </w:r>
      <w:r w:rsidRPr="00C9046D" w:rsidDel="008A06F7">
        <w:rPr>
          <w:bCs/>
          <w:sz w:val="22"/>
          <w:szCs w:val="22"/>
          <w:lang w:val="sr-Latn-ME"/>
        </w:rPr>
        <w:t xml:space="preserve"> </w:t>
      </w:r>
      <w:r w:rsidRPr="00275456">
        <w:rPr>
          <w:bCs/>
          <w:sz w:val="22"/>
          <w:szCs w:val="22"/>
          <w:lang w:val="sr-Latn-ME"/>
        </w:rPr>
        <w:t>jave simptomi koji ukazuju na sindrom sličan lupusu i ako ima pozitivan nalaz antitijela na dvolančanu DNK, treba prekinuti lečenje golimumabom</w:t>
      </w:r>
      <w:r w:rsidRPr="00275456" w:rsidDel="008A06F7">
        <w:rPr>
          <w:bCs/>
          <w:sz w:val="22"/>
          <w:szCs w:val="22"/>
          <w:lang w:val="sr-Latn-ME"/>
        </w:rPr>
        <w:t xml:space="preserve"> </w:t>
      </w:r>
      <w:r w:rsidRPr="00275456">
        <w:rPr>
          <w:bCs/>
          <w:sz w:val="22"/>
          <w:szCs w:val="22"/>
          <w:lang w:val="sr-Latn-ME"/>
        </w:rPr>
        <w:t xml:space="preserve">(vidi odjeljak 4.8). </w:t>
      </w:r>
    </w:p>
    <w:p w14:paraId="6159A061" w14:textId="77777777" w:rsidR="00785722" w:rsidRPr="00275456" w:rsidRDefault="00785722" w:rsidP="005C6DFE">
      <w:pPr>
        <w:tabs>
          <w:tab w:val="left" w:pos="284"/>
        </w:tabs>
        <w:spacing w:line="260" w:lineRule="exact"/>
        <w:jc w:val="both"/>
        <w:rPr>
          <w:bCs/>
          <w:sz w:val="22"/>
          <w:szCs w:val="22"/>
          <w:u w:val="single"/>
          <w:lang w:val="sr-Latn-ME"/>
        </w:rPr>
      </w:pPr>
    </w:p>
    <w:p w14:paraId="466AA120" w14:textId="77777777" w:rsidR="00785722" w:rsidRPr="00275456" w:rsidRDefault="00785722" w:rsidP="005C6DFE">
      <w:pPr>
        <w:tabs>
          <w:tab w:val="left" w:pos="284"/>
        </w:tabs>
        <w:spacing w:line="260" w:lineRule="exact"/>
        <w:jc w:val="both"/>
        <w:rPr>
          <w:bCs/>
          <w:sz w:val="22"/>
          <w:szCs w:val="22"/>
          <w:u w:val="single"/>
          <w:lang w:val="sr-Latn-ME"/>
        </w:rPr>
      </w:pPr>
      <w:r w:rsidRPr="00275456">
        <w:rPr>
          <w:bCs/>
          <w:sz w:val="22"/>
          <w:szCs w:val="22"/>
          <w:u w:val="single"/>
          <w:lang w:val="sr-Latn-ME"/>
        </w:rPr>
        <w:t xml:space="preserve">Hematološke reakcije </w:t>
      </w:r>
    </w:p>
    <w:p w14:paraId="03B41415" w14:textId="0ADE9340" w:rsidR="00785722" w:rsidRPr="00275456" w:rsidRDefault="00785722" w:rsidP="005C6DFE">
      <w:pPr>
        <w:tabs>
          <w:tab w:val="left" w:pos="284"/>
        </w:tabs>
        <w:spacing w:line="260" w:lineRule="exact"/>
        <w:jc w:val="both"/>
        <w:rPr>
          <w:bCs/>
          <w:sz w:val="22"/>
          <w:szCs w:val="22"/>
          <w:lang w:val="sr-Latn-ME"/>
        </w:rPr>
      </w:pPr>
      <w:r w:rsidRPr="00275456">
        <w:rPr>
          <w:bCs/>
          <w:sz w:val="22"/>
          <w:szCs w:val="22"/>
          <w:lang w:val="sr-Latn-ME"/>
        </w:rPr>
        <w:t>Kod pacijenata liječenih TNF-blokatorima, uključujući i golimumab, zabilježeni su pancitopenija, leukopenija, neutropenija, agranulocitoza, aplastična anemija i trombocitopenija. Sve pacijente treba savjetovati da odmah potraže medicinsku pomoć ako razviju znakove i simptome koji ukazuju na krvnu diskraziju (npr. uporna povišena telesna temperatura, modrice, krvarenje, bljedilo). Kod pacijenata sa potvrđenim značajnim hematološkim poremećajima treba razmotriti prekid liječenja golimumabom</w:t>
      </w:r>
    </w:p>
    <w:p w14:paraId="17C3A8E3" w14:textId="77777777" w:rsidR="001E54A5" w:rsidRPr="00275456" w:rsidRDefault="001E54A5" w:rsidP="005C6DFE">
      <w:pPr>
        <w:tabs>
          <w:tab w:val="left" w:pos="284"/>
        </w:tabs>
        <w:spacing w:line="260" w:lineRule="exact"/>
        <w:jc w:val="both"/>
        <w:rPr>
          <w:bCs/>
          <w:sz w:val="22"/>
          <w:szCs w:val="22"/>
          <w:lang w:val="sr-Latn-ME"/>
        </w:rPr>
      </w:pPr>
    </w:p>
    <w:p w14:paraId="2E7319BC" w14:textId="77777777" w:rsidR="00785722" w:rsidRPr="00275456" w:rsidRDefault="00785722" w:rsidP="005C6DFE">
      <w:pPr>
        <w:tabs>
          <w:tab w:val="left" w:pos="567"/>
        </w:tabs>
        <w:jc w:val="both"/>
        <w:rPr>
          <w:bCs/>
          <w:sz w:val="22"/>
          <w:szCs w:val="22"/>
          <w:u w:val="single"/>
          <w:lang w:val="sr-Latn-ME"/>
        </w:rPr>
      </w:pPr>
      <w:r w:rsidRPr="00275456">
        <w:rPr>
          <w:bCs/>
          <w:sz w:val="22"/>
          <w:szCs w:val="22"/>
          <w:u w:val="single"/>
          <w:lang w:val="sr-Latn-ME"/>
        </w:rPr>
        <w:t>Istovremena primjena TNF blokatora i anakinre</w:t>
      </w:r>
    </w:p>
    <w:p w14:paraId="10AF0C4E" w14:textId="77777777" w:rsidR="00785722" w:rsidRPr="00275456" w:rsidRDefault="00785722" w:rsidP="005C6DFE">
      <w:pPr>
        <w:tabs>
          <w:tab w:val="left" w:pos="284"/>
        </w:tabs>
        <w:jc w:val="both"/>
        <w:rPr>
          <w:sz w:val="22"/>
          <w:szCs w:val="22"/>
          <w:lang w:val="sr-Latn-ME"/>
        </w:rPr>
      </w:pPr>
      <w:r w:rsidRPr="00275456">
        <w:rPr>
          <w:sz w:val="22"/>
          <w:szCs w:val="22"/>
          <w:lang w:val="sr-Latn-ME"/>
        </w:rPr>
        <w:t>Ozbiljne infekcije i neutropenija primijećene su u kliničkim ispitivanjima istovremene primjene anakinre i drugog TNF-blokatora, etanercepta, koja nije izazvala dodatno kliničko poboljšanje. Zbog prirode neželjenih dejstava primijećenih kod ove kombinovane terapije, slična toksičnost mogla bi se javiti i kod istovremene primjene anakinre i drugih TNF-blokatora. Ne preporučuje se kombinovana primjena golimumaba i anakinre.</w:t>
      </w:r>
    </w:p>
    <w:p w14:paraId="2677B8FF" w14:textId="77777777" w:rsidR="00785722" w:rsidRPr="00275456" w:rsidRDefault="00785722" w:rsidP="005C6DFE">
      <w:pPr>
        <w:tabs>
          <w:tab w:val="left" w:pos="284"/>
        </w:tabs>
        <w:jc w:val="both"/>
        <w:rPr>
          <w:sz w:val="22"/>
          <w:szCs w:val="22"/>
          <w:lang w:val="sr-Latn-ME"/>
        </w:rPr>
      </w:pPr>
    </w:p>
    <w:p w14:paraId="5A00CC00" w14:textId="77777777" w:rsidR="00785722" w:rsidRPr="00275456" w:rsidRDefault="00785722" w:rsidP="005C6DFE">
      <w:pPr>
        <w:tabs>
          <w:tab w:val="left" w:pos="567"/>
        </w:tabs>
        <w:jc w:val="both"/>
        <w:rPr>
          <w:bCs/>
          <w:sz w:val="22"/>
          <w:szCs w:val="22"/>
          <w:u w:val="single"/>
          <w:lang w:val="sr-Latn-ME"/>
        </w:rPr>
      </w:pPr>
      <w:r w:rsidRPr="00275456">
        <w:rPr>
          <w:bCs/>
          <w:sz w:val="22"/>
          <w:szCs w:val="22"/>
          <w:u w:val="single"/>
          <w:lang w:val="sr-Latn-ME"/>
        </w:rPr>
        <w:t>Istovremena primjena TNF blokatora i abatacepta</w:t>
      </w:r>
    </w:p>
    <w:p w14:paraId="6486A72A" w14:textId="4DEF1FB8" w:rsidR="005339F2" w:rsidRPr="00275456" w:rsidRDefault="00785722" w:rsidP="005C6DFE">
      <w:pPr>
        <w:tabs>
          <w:tab w:val="left" w:pos="567"/>
        </w:tabs>
        <w:jc w:val="both"/>
        <w:rPr>
          <w:bCs/>
          <w:sz w:val="22"/>
          <w:szCs w:val="22"/>
          <w:lang w:val="sr-Latn-ME"/>
        </w:rPr>
      </w:pPr>
      <w:r w:rsidRPr="00275456">
        <w:rPr>
          <w:bCs/>
          <w:sz w:val="22"/>
          <w:szCs w:val="22"/>
          <w:lang w:val="sr-Latn-ME"/>
        </w:rPr>
        <w:t>U kliničkim ispitivanjima istovremena primjena TNF blokatora i abatacepta bila je povezana s povećanim rizikom od infekcija, uključujući i ozbiljne infekcije, u odnosu na primjenu samo TNF blokatora, a pritom nije došlo do povećanja kliničkog dejstva. Ne preporučuje se kombinovana primjena golimumaba i abatacepta.</w:t>
      </w:r>
    </w:p>
    <w:p w14:paraId="50ADF836" w14:textId="77777777" w:rsidR="00785722" w:rsidRPr="00275456" w:rsidRDefault="00785722" w:rsidP="005C6DFE">
      <w:pPr>
        <w:tabs>
          <w:tab w:val="left" w:pos="567"/>
        </w:tabs>
        <w:jc w:val="both"/>
        <w:rPr>
          <w:b/>
          <w:bCs/>
          <w:sz w:val="22"/>
          <w:szCs w:val="22"/>
          <w:lang w:val="sr-Latn-ME"/>
        </w:rPr>
      </w:pPr>
    </w:p>
    <w:p w14:paraId="3D180902" w14:textId="77777777" w:rsidR="00785722" w:rsidRPr="00275456" w:rsidRDefault="00785722" w:rsidP="00EA088A">
      <w:pPr>
        <w:tabs>
          <w:tab w:val="left" w:pos="284"/>
        </w:tabs>
        <w:jc w:val="both"/>
        <w:rPr>
          <w:sz w:val="22"/>
          <w:szCs w:val="22"/>
          <w:u w:val="single"/>
          <w:lang w:val="sr-Latn-ME"/>
        </w:rPr>
      </w:pPr>
      <w:r w:rsidRPr="00275456">
        <w:rPr>
          <w:sz w:val="22"/>
          <w:szCs w:val="22"/>
          <w:u w:val="single"/>
          <w:lang w:val="sr-Latn-ME"/>
        </w:rPr>
        <w:t>Istovremena primjena sa ostalim biološkim terapeuticima</w:t>
      </w:r>
    </w:p>
    <w:p w14:paraId="5E1E5FF3" w14:textId="23C717EF" w:rsidR="00785722" w:rsidRPr="00275456" w:rsidRDefault="00785722" w:rsidP="005C6DFE">
      <w:pPr>
        <w:tabs>
          <w:tab w:val="left" w:pos="567"/>
        </w:tabs>
        <w:jc w:val="both"/>
        <w:rPr>
          <w:b/>
          <w:bCs/>
          <w:sz w:val="22"/>
          <w:szCs w:val="22"/>
          <w:lang w:val="sr-Latn-ME"/>
        </w:rPr>
      </w:pPr>
      <w:r w:rsidRPr="00275456">
        <w:rPr>
          <w:sz w:val="22"/>
          <w:szCs w:val="22"/>
          <w:lang w:val="sr-Latn-ME"/>
        </w:rPr>
        <w:t>Nema dovoljno podataka o istovremenoj upotrebi golimumaba sa ostalim biološkim terapeuticima koji se koriste u liječenju istih stanja kao i golimumab. Istovremena upotreba</w:t>
      </w:r>
      <w:r w:rsidR="001E54A5" w:rsidRPr="00275456">
        <w:rPr>
          <w:sz w:val="22"/>
          <w:szCs w:val="22"/>
          <w:lang w:val="sr-Latn-ME"/>
        </w:rPr>
        <w:t>golimumaba</w:t>
      </w:r>
      <w:r w:rsidRPr="00275456">
        <w:rPr>
          <w:sz w:val="22"/>
          <w:szCs w:val="22"/>
          <w:lang w:val="sr-Latn-ME"/>
        </w:rPr>
        <w:t xml:space="preserve"> sa ovim biološkim </w:t>
      </w:r>
      <w:r w:rsidRPr="00275456">
        <w:rPr>
          <w:sz w:val="22"/>
          <w:szCs w:val="22"/>
          <w:lang w:val="sr-Latn-ME"/>
        </w:rPr>
        <w:lastRenderedPageBreak/>
        <w:t>ljekovima se ne preporučuje zbog mogućnosti pojave povećanog rizika od infekcije, i ostalih potencijalnih farmakoloških interakcija.</w:t>
      </w:r>
    </w:p>
    <w:p w14:paraId="4E53DF65" w14:textId="77777777" w:rsidR="00785722" w:rsidRPr="00275456" w:rsidRDefault="00785722" w:rsidP="005C6DFE">
      <w:pPr>
        <w:tabs>
          <w:tab w:val="left" w:pos="567"/>
        </w:tabs>
        <w:jc w:val="both"/>
        <w:rPr>
          <w:b/>
          <w:bCs/>
          <w:sz w:val="22"/>
          <w:szCs w:val="22"/>
          <w:lang w:val="sr-Latn-ME"/>
        </w:rPr>
      </w:pPr>
    </w:p>
    <w:p w14:paraId="02ADF1AC" w14:textId="77777777" w:rsidR="00785722" w:rsidRPr="00275456" w:rsidRDefault="00785722" w:rsidP="005C6DFE">
      <w:pPr>
        <w:tabs>
          <w:tab w:val="left" w:pos="567"/>
        </w:tabs>
        <w:jc w:val="both"/>
        <w:rPr>
          <w:bCs/>
          <w:sz w:val="22"/>
          <w:szCs w:val="22"/>
          <w:u w:val="single"/>
          <w:lang w:val="sr-Latn-ME"/>
        </w:rPr>
      </w:pPr>
      <w:r w:rsidRPr="00275456">
        <w:rPr>
          <w:bCs/>
          <w:sz w:val="22"/>
          <w:szCs w:val="22"/>
          <w:u w:val="single"/>
          <w:lang w:val="sr-Latn-ME"/>
        </w:rPr>
        <w:t>Prelaženje između bioloških DMARDS</w:t>
      </w:r>
    </w:p>
    <w:p w14:paraId="661D0E00" w14:textId="77777777" w:rsidR="00785722" w:rsidRPr="00275456" w:rsidRDefault="00785722" w:rsidP="005C6DFE">
      <w:pPr>
        <w:tabs>
          <w:tab w:val="left" w:pos="567"/>
        </w:tabs>
        <w:jc w:val="both"/>
        <w:rPr>
          <w:b/>
          <w:bCs/>
          <w:sz w:val="22"/>
          <w:szCs w:val="22"/>
          <w:lang w:val="sr-Latn-ME"/>
        </w:rPr>
      </w:pPr>
      <w:r w:rsidRPr="00275456">
        <w:rPr>
          <w:bCs/>
          <w:sz w:val="22"/>
          <w:szCs w:val="22"/>
          <w:lang w:val="sr-Latn-ME"/>
        </w:rPr>
        <w:t>Prilikom prelaska iz jedne biološke terapije u drugu treba obratiti pažnju i pacijente treba i dalje držati pod nadzorom, jer preklapanje u biološkim aktivnostima može dalje povećati rizik od neželjenih događaja, uključujući infekciju.</w:t>
      </w:r>
    </w:p>
    <w:p w14:paraId="03AF10E4" w14:textId="77777777" w:rsidR="00785722" w:rsidRPr="00275456" w:rsidRDefault="00785722" w:rsidP="005C6DFE">
      <w:pPr>
        <w:tabs>
          <w:tab w:val="left" w:pos="567"/>
        </w:tabs>
        <w:jc w:val="both"/>
        <w:rPr>
          <w:b/>
          <w:bCs/>
          <w:sz w:val="22"/>
          <w:szCs w:val="22"/>
          <w:lang w:val="sr-Latn-ME"/>
        </w:rPr>
      </w:pPr>
    </w:p>
    <w:p w14:paraId="6E279ABF"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Vakcinacija / infektivni agensi koji se koriste u terapijske svrhe</w:t>
      </w:r>
    </w:p>
    <w:p w14:paraId="006879C4" w14:textId="77777777" w:rsidR="00785722" w:rsidRPr="00275456" w:rsidRDefault="00785722" w:rsidP="005C6DFE">
      <w:pPr>
        <w:tabs>
          <w:tab w:val="left" w:pos="284"/>
        </w:tabs>
        <w:jc w:val="both"/>
        <w:rPr>
          <w:sz w:val="22"/>
          <w:szCs w:val="22"/>
          <w:lang w:val="sr-Latn-ME"/>
        </w:rPr>
      </w:pPr>
      <w:r w:rsidRPr="00275456">
        <w:rPr>
          <w:sz w:val="22"/>
          <w:szCs w:val="22"/>
          <w:lang w:val="sr-Latn-ME"/>
        </w:rPr>
        <w:t>Pacijenti liječeni golimumabom mogu istovremeno primiti vakcine, osim živih vakcina (vidi poglavlja 4.5 i 4.6). Kod pacijenata na terapiji TNF blokatorima, raspoloživi su ograničeni podaci o odgovoru na vakcinaciju živim vakcinama, ili sekundarnoj transmisiji infekcije živom vakcinom. Primjena živih vakcina može dovesti do kliničkih infekcija, uključujući diseminovane infekcije.</w:t>
      </w:r>
    </w:p>
    <w:p w14:paraId="431408BA" w14:textId="77777777" w:rsidR="00785722" w:rsidRPr="00275456" w:rsidRDefault="00785722" w:rsidP="005C6DFE">
      <w:pPr>
        <w:tabs>
          <w:tab w:val="left" w:pos="284"/>
        </w:tabs>
        <w:jc w:val="both"/>
        <w:rPr>
          <w:sz w:val="22"/>
          <w:szCs w:val="22"/>
          <w:lang w:val="sr-Latn-ME"/>
        </w:rPr>
      </w:pPr>
    </w:p>
    <w:p w14:paraId="729FAE12"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Primjena infektivnih agenasa koji se koriste u terapijske svrhe poput živih atenuisanih bakterija u druge svrhe (na primjer intravezikalna instilacija BCG-a za liječenje raka) mogla bi dovesti do kliničkih infekcija, uključujući diseminovane infekcije. Preporučuje se da se infektivni agensi koji se koriste u terapijske svrhe ne primjenjuju istovrjemeno sa golimumabom.  </w:t>
      </w:r>
    </w:p>
    <w:p w14:paraId="72E5E358" w14:textId="77777777" w:rsidR="00785722" w:rsidRPr="00275456" w:rsidRDefault="00785722" w:rsidP="005C6DFE">
      <w:pPr>
        <w:tabs>
          <w:tab w:val="left" w:pos="284"/>
        </w:tabs>
        <w:jc w:val="both"/>
        <w:rPr>
          <w:sz w:val="22"/>
          <w:szCs w:val="22"/>
          <w:lang w:val="sr-Latn-ME"/>
        </w:rPr>
      </w:pPr>
    </w:p>
    <w:p w14:paraId="784F9C14" w14:textId="77777777" w:rsidR="00785722" w:rsidRPr="00275456" w:rsidRDefault="00785722" w:rsidP="005C6DFE">
      <w:pPr>
        <w:tabs>
          <w:tab w:val="left" w:pos="284"/>
        </w:tabs>
        <w:spacing w:line="260" w:lineRule="exact"/>
        <w:jc w:val="both"/>
        <w:rPr>
          <w:sz w:val="22"/>
          <w:szCs w:val="22"/>
          <w:u w:val="single"/>
          <w:lang w:val="sr-Latn-ME"/>
        </w:rPr>
      </w:pPr>
      <w:r w:rsidRPr="00275456">
        <w:rPr>
          <w:sz w:val="22"/>
          <w:szCs w:val="22"/>
          <w:u w:val="single"/>
          <w:lang w:val="sr-Latn-ME"/>
        </w:rPr>
        <w:t>Alergijske reakcije</w:t>
      </w:r>
    </w:p>
    <w:p w14:paraId="6FEBF28C" w14:textId="6E625EB3" w:rsidR="00785722" w:rsidRPr="00275456" w:rsidRDefault="00785722" w:rsidP="005C6DFE">
      <w:pPr>
        <w:autoSpaceDE w:val="0"/>
        <w:autoSpaceDN w:val="0"/>
        <w:adjustRightInd w:val="0"/>
        <w:jc w:val="both"/>
        <w:rPr>
          <w:sz w:val="22"/>
          <w:szCs w:val="22"/>
          <w:lang w:val="sr-Latn-ME"/>
        </w:rPr>
      </w:pPr>
      <w:r w:rsidRPr="00275456">
        <w:rPr>
          <w:sz w:val="22"/>
          <w:szCs w:val="22"/>
          <w:lang w:val="sr-Latn-ME"/>
        </w:rPr>
        <w:t xml:space="preserve">Tokom postmarketinškog praćenja lijeka, ozbiljne reakcije sistemske preosjetljivosti (uključujući i anafilaktičku reakciju) prijavljene su nakon primjene </w:t>
      </w:r>
      <w:r w:rsidR="001E54A5" w:rsidRPr="00275456">
        <w:rPr>
          <w:sz w:val="22"/>
          <w:szCs w:val="22"/>
          <w:lang w:val="sr-Latn-ME"/>
        </w:rPr>
        <w:t>golimumaba</w:t>
      </w:r>
      <w:r w:rsidRPr="00275456">
        <w:rPr>
          <w:sz w:val="22"/>
          <w:szCs w:val="22"/>
          <w:lang w:val="sr-Latn-ME"/>
        </w:rPr>
        <w:t>. Neke od ovih reakcija su se pojavile nakon prve primjene golimumaba.</w:t>
      </w:r>
      <w:r w:rsidR="001E54A5" w:rsidRPr="00275456">
        <w:rPr>
          <w:sz w:val="22"/>
          <w:szCs w:val="22"/>
          <w:lang w:val="sr-Latn-ME"/>
        </w:rPr>
        <w:t xml:space="preserve"> </w:t>
      </w:r>
      <w:r w:rsidRPr="00275456">
        <w:rPr>
          <w:sz w:val="22"/>
          <w:szCs w:val="22"/>
          <w:lang w:val="sr-Latn-ME"/>
        </w:rPr>
        <w:t>Ukoliko dođe do anafilaktičke reakcije ili druge ozbiljne alergijske reakcije, primjenu golimumaba treba smjesta prekinuti i započeti sa odgovarajućim liječenjem.</w:t>
      </w:r>
    </w:p>
    <w:p w14:paraId="49C4CB36" w14:textId="77777777" w:rsidR="00785722" w:rsidRPr="00275456" w:rsidRDefault="00785722" w:rsidP="005C6DFE">
      <w:pPr>
        <w:tabs>
          <w:tab w:val="left" w:pos="284"/>
        </w:tabs>
        <w:spacing w:line="260" w:lineRule="exact"/>
        <w:jc w:val="both"/>
        <w:rPr>
          <w:sz w:val="22"/>
          <w:szCs w:val="22"/>
          <w:lang w:val="sr-Latn-ME"/>
        </w:rPr>
      </w:pPr>
    </w:p>
    <w:p w14:paraId="1DB4B541" w14:textId="77777777" w:rsidR="00785722" w:rsidRPr="00275456" w:rsidRDefault="00785722" w:rsidP="005C6DFE">
      <w:pPr>
        <w:keepNext/>
        <w:tabs>
          <w:tab w:val="left" w:pos="284"/>
          <w:tab w:val="left" w:pos="567"/>
        </w:tabs>
        <w:spacing w:line="260" w:lineRule="exact"/>
        <w:jc w:val="both"/>
        <w:outlineLvl w:val="5"/>
        <w:rPr>
          <w:i/>
          <w:iCs/>
          <w:sz w:val="22"/>
          <w:szCs w:val="22"/>
          <w:lang w:val="sr-Latn-ME"/>
        </w:rPr>
      </w:pPr>
      <w:r w:rsidRPr="00275456">
        <w:rPr>
          <w:i/>
          <w:iCs/>
          <w:sz w:val="22"/>
          <w:szCs w:val="22"/>
          <w:lang w:val="sr-Latn-ME"/>
        </w:rPr>
        <w:t>Osjetljivost na lateks</w:t>
      </w:r>
    </w:p>
    <w:p w14:paraId="389A41E6" w14:textId="69A0C675" w:rsidR="00785722" w:rsidRPr="00275456" w:rsidRDefault="00785722" w:rsidP="005C6DFE">
      <w:pPr>
        <w:tabs>
          <w:tab w:val="left" w:pos="284"/>
        </w:tabs>
        <w:spacing w:line="260" w:lineRule="exact"/>
        <w:jc w:val="both"/>
        <w:rPr>
          <w:bCs/>
          <w:sz w:val="22"/>
          <w:szCs w:val="22"/>
          <w:lang w:val="sr-Latn-ME"/>
        </w:rPr>
      </w:pPr>
      <w:bookmarkStart w:id="6" w:name="OLE_LINK2"/>
      <w:r w:rsidRPr="00275456">
        <w:rPr>
          <w:bCs/>
          <w:sz w:val="22"/>
          <w:szCs w:val="22"/>
          <w:lang w:val="sr-Latn-ME"/>
        </w:rPr>
        <w:t xml:space="preserve">Zaštitni poklopac na igli </w:t>
      </w:r>
      <w:r w:rsidR="00431489" w:rsidRPr="00275456">
        <w:rPr>
          <w:bCs/>
          <w:sz w:val="22"/>
          <w:szCs w:val="22"/>
          <w:lang w:val="sr-Latn-ME"/>
        </w:rPr>
        <w:t xml:space="preserve">napunjenog injekcionog </w:t>
      </w:r>
      <w:r w:rsidRPr="00275456">
        <w:rPr>
          <w:bCs/>
          <w:sz w:val="22"/>
          <w:szCs w:val="22"/>
          <w:lang w:val="sr-Latn-ME"/>
        </w:rPr>
        <w:t>pena ili napunjenog injekcionog šprica je napravljen je od suve prirodne gume koja sadrži lateks i može izazvati alergijske reakcije kod osoba preosjetljivih na lateks.</w:t>
      </w:r>
    </w:p>
    <w:bookmarkEnd w:id="6"/>
    <w:p w14:paraId="10DEF2BE" w14:textId="77777777" w:rsidR="00785722" w:rsidRPr="00275456" w:rsidRDefault="00785722" w:rsidP="005C6DFE">
      <w:pPr>
        <w:tabs>
          <w:tab w:val="left" w:pos="284"/>
        </w:tabs>
        <w:spacing w:line="260" w:lineRule="exact"/>
        <w:jc w:val="both"/>
        <w:rPr>
          <w:sz w:val="22"/>
          <w:szCs w:val="22"/>
          <w:u w:val="single"/>
          <w:lang w:val="sr-Latn-ME"/>
        </w:rPr>
      </w:pPr>
    </w:p>
    <w:p w14:paraId="541322DD" w14:textId="77777777" w:rsidR="00785722" w:rsidRPr="00275456" w:rsidRDefault="00785722" w:rsidP="005C6DFE">
      <w:pPr>
        <w:tabs>
          <w:tab w:val="left" w:pos="284"/>
        </w:tabs>
        <w:spacing w:line="260" w:lineRule="exact"/>
        <w:jc w:val="both"/>
        <w:rPr>
          <w:sz w:val="22"/>
          <w:szCs w:val="22"/>
          <w:u w:val="single"/>
          <w:lang w:val="sr-Latn-ME"/>
        </w:rPr>
      </w:pPr>
      <w:r w:rsidRPr="00275456">
        <w:rPr>
          <w:sz w:val="22"/>
          <w:szCs w:val="22"/>
          <w:u w:val="single"/>
          <w:lang w:val="sr-Latn-ME"/>
        </w:rPr>
        <w:t>Posebne populacije</w:t>
      </w:r>
    </w:p>
    <w:p w14:paraId="7D2D48D4" w14:textId="77777777" w:rsidR="00785722" w:rsidRPr="00275456" w:rsidRDefault="00785722" w:rsidP="005C6DFE">
      <w:pPr>
        <w:tabs>
          <w:tab w:val="left" w:pos="284"/>
          <w:tab w:val="left" w:pos="567"/>
        </w:tabs>
        <w:spacing w:line="260" w:lineRule="exact"/>
        <w:jc w:val="both"/>
        <w:rPr>
          <w:sz w:val="22"/>
          <w:szCs w:val="22"/>
          <w:lang w:val="sr-Latn-ME"/>
        </w:rPr>
      </w:pPr>
    </w:p>
    <w:p w14:paraId="4D4FF755" w14:textId="77777777" w:rsidR="00785722" w:rsidRPr="00275456" w:rsidRDefault="00785722" w:rsidP="005C6DFE">
      <w:pPr>
        <w:tabs>
          <w:tab w:val="left" w:pos="284"/>
          <w:tab w:val="left" w:pos="567"/>
        </w:tabs>
        <w:spacing w:line="260" w:lineRule="exact"/>
        <w:jc w:val="both"/>
        <w:rPr>
          <w:i/>
          <w:iCs/>
          <w:sz w:val="22"/>
          <w:szCs w:val="22"/>
          <w:lang w:val="sr-Latn-ME"/>
        </w:rPr>
      </w:pPr>
      <w:r w:rsidRPr="00275456">
        <w:rPr>
          <w:i/>
          <w:iCs/>
          <w:sz w:val="22"/>
          <w:szCs w:val="22"/>
          <w:lang w:val="sr-Latn-ME"/>
        </w:rPr>
        <w:t>Starije osobe (≥ 65 godina)</w:t>
      </w:r>
    </w:p>
    <w:p w14:paraId="0FD05DB6" w14:textId="1792E5BF" w:rsidR="00785722" w:rsidRPr="00275456" w:rsidRDefault="00785722" w:rsidP="005C6DFE">
      <w:pPr>
        <w:tabs>
          <w:tab w:val="left" w:pos="284"/>
        </w:tabs>
        <w:spacing w:line="260" w:lineRule="exact"/>
        <w:jc w:val="both"/>
        <w:rPr>
          <w:sz w:val="22"/>
          <w:szCs w:val="22"/>
          <w:lang w:val="sr-Latn-ME"/>
        </w:rPr>
      </w:pPr>
      <w:bookmarkStart w:id="7" w:name="OLE_LINK20"/>
      <w:r w:rsidRPr="00275456">
        <w:rPr>
          <w:sz w:val="22"/>
          <w:szCs w:val="22"/>
          <w:lang w:val="sr-Latn-ME"/>
        </w:rPr>
        <w:t xml:space="preserve">U ispitivanjima faze III u reumatoidnom artritisu, psorijatičnom artritisu, ankilozirajućem spondilitisu i ulceroznom kolitisu, opšte gledano nije bilo razlika što se tiče ukupnih neželjenih dejstava, ozbiljnih neželjenih dejstava i ozbiljnih infekcija između pacijenata starijih  od 65 godina koji su primali golimumab, u poređenju s </w:t>
      </w:r>
      <w:r w:rsidR="00F81F67">
        <w:rPr>
          <w:sz w:val="22"/>
          <w:szCs w:val="22"/>
          <w:lang w:val="sr-Latn-ME"/>
        </w:rPr>
        <w:t>ml</w:t>
      </w:r>
      <w:r w:rsidRPr="00275456">
        <w:rPr>
          <w:sz w:val="22"/>
          <w:szCs w:val="22"/>
          <w:lang w:val="sr-Latn-ME"/>
        </w:rPr>
        <w:t>ađim bolesnicima. Međutim, potreban je oprez prilikom liječenja starijih osoba, pri čemu posebno treba obratiti pažnju na infekcije. Pacijenti starosti 45 godina i stariji nijesu bili uključeni u nr-Axial SpA studiju.</w:t>
      </w:r>
    </w:p>
    <w:p w14:paraId="47A7BCD3" w14:textId="77777777" w:rsidR="00785722" w:rsidRPr="00275456" w:rsidRDefault="00785722" w:rsidP="005C6DFE">
      <w:pPr>
        <w:tabs>
          <w:tab w:val="left" w:pos="284"/>
        </w:tabs>
        <w:spacing w:line="260" w:lineRule="exact"/>
        <w:jc w:val="both"/>
        <w:rPr>
          <w:sz w:val="22"/>
          <w:szCs w:val="22"/>
          <w:lang w:val="sr-Latn-ME"/>
        </w:rPr>
      </w:pPr>
    </w:p>
    <w:bookmarkEnd w:id="7"/>
    <w:p w14:paraId="0903BCDA" w14:textId="77777777" w:rsidR="00785722" w:rsidRPr="00275456" w:rsidRDefault="00785722" w:rsidP="005C6DFE">
      <w:pPr>
        <w:tabs>
          <w:tab w:val="left" w:pos="284"/>
        </w:tabs>
        <w:autoSpaceDE w:val="0"/>
        <w:autoSpaceDN w:val="0"/>
        <w:adjustRightInd w:val="0"/>
        <w:jc w:val="both"/>
        <w:rPr>
          <w:i/>
          <w:iCs/>
          <w:sz w:val="22"/>
          <w:szCs w:val="22"/>
          <w:lang w:val="sr-Latn-ME"/>
        </w:rPr>
      </w:pPr>
      <w:r w:rsidRPr="00275456">
        <w:rPr>
          <w:i/>
          <w:iCs/>
          <w:sz w:val="22"/>
          <w:szCs w:val="22"/>
          <w:lang w:val="sr-Latn-ME"/>
        </w:rPr>
        <w:t>Insuficijencija bubrega i jetre</w:t>
      </w:r>
    </w:p>
    <w:p w14:paraId="6F70B4A2"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i/>
          <w:iCs/>
          <w:sz w:val="22"/>
          <w:szCs w:val="22"/>
          <w:lang w:val="sr-Latn-ME"/>
        </w:rPr>
        <w:t xml:space="preserve"> </w:t>
      </w:r>
      <w:r w:rsidRPr="00275456">
        <w:rPr>
          <w:bCs/>
          <w:iCs/>
          <w:sz w:val="22"/>
          <w:szCs w:val="22"/>
          <w:lang w:val="sr-Latn-ME"/>
        </w:rPr>
        <w:t>Nisu sprovedene posebne studije o primjeni golimumaba</w:t>
      </w:r>
      <w:r w:rsidRPr="00275456">
        <w:rPr>
          <w:sz w:val="22"/>
          <w:szCs w:val="22"/>
          <w:lang w:val="sr-Latn-ME"/>
        </w:rPr>
        <w:t xml:space="preserve"> kod pacijenata s oštećenom funkcijom bubrega ili jetre. Golimumab treba primijeniti uz oprez kod pacijenata s poremećajem funkcije jetre (vidi poglavlje 4.2).</w:t>
      </w:r>
    </w:p>
    <w:p w14:paraId="00348D75" w14:textId="77777777" w:rsidR="00785722" w:rsidRPr="00275456" w:rsidRDefault="00785722" w:rsidP="005C6DFE">
      <w:pPr>
        <w:tabs>
          <w:tab w:val="left" w:pos="540"/>
          <w:tab w:val="left" w:pos="569"/>
        </w:tabs>
        <w:jc w:val="both"/>
        <w:rPr>
          <w:bCs/>
          <w:sz w:val="22"/>
          <w:szCs w:val="22"/>
          <w:lang w:val="sr-Latn-ME"/>
        </w:rPr>
      </w:pPr>
    </w:p>
    <w:p w14:paraId="7B237BCB" w14:textId="191B2DB6" w:rsidR="00785722" w:rsidRPr="00275456" w:rsidRDefault="00785722" w:rsidP="005C6DFE">
      <w:pPr>
        <w:tabs>
          <w:tab w:val="left" w:pos="540"/>
          <w:tab w:val="left" w:pos="569"/>
        </w:tabs>
        <w:jc w:val="both"/>
        <w:rPr>
          <w:i/>
          <w:iCs/>
          <w:sz w:val="22"/>
          <w:szCs w:val="22"/>
          <w:lang w:val="sr-Latn-ME"/>
        </w:rPr>
      </w:pPr>
      <w:r w:rsidRPr="00275456">
        <w:rPr>
          <w:i/>
          <w:iCs/>
          <w:sz w:val="22"/>
          <w:szCs w:val="22"/>
          <w:lang w:val="sr-Latn-ME"/>
        </w:rPr>
        <w:t>Pedijatrijska populacija</w:t>
      </w:r>
    </w:p>
    <w:p w14:paraId="42B5554A" w14:textId="77777777" w:rsidR="001E54A5" w:rsidRPr="00275456" w:rsidRDefault="001E54A5" w:rsidP="005C6DFE">
      <w:pPr>
        <w:tabs>
          <w:tab w:val="left" w:pos="540"/>
          <w:tab w:val="left" w:pos="569"/>
        </w:tabs>
        <w:jc w:val="both"/>
        <w:rPr>
          <w:i/>
          <w:iCs/>
          <w:sz w:val="22"/>
          <w:szCs w:val="22"/>
          <w:lang w:val="sr-Latn-ME"/>
        </w:rPr>
      </w:pPr>
    </w:p>
    <w:p w14:paraId="1B512717" w14:textId="77777777" w:rsidR="00785722" w:rsidRPr="00275456" w:rsidRDefault="00785722" w:rsidP="005C6DFE">
      <w:pPr>
        <w:keepNext/>
        <w:tabs>
          <w:tab w:val="left" w:pos="567"/>
        </w:tabs>
        <w:autoSpaceDE w:val="0"/>
        <w:autoSpaceDN w:val="0"/>
        <w:adjustRightInd w:val="0"/>
        <w:jc w:val="both"/>
        <w:rPr>
          <w:sz w:val="22"/>
          <w:szCs w:val="22"/>
          <w:u w:val="single"/>
          <w:lang w:val="sr-Latn-ME"/>
        </w:rPr>
      </w:pPr>
      <w:r w:rsidRPr="00275456">
        <w:rPr>
          <w:sz w:val="22"/>
          <w:szCs w:val="22"/>
          <w:u w:val="single"/>
          <w:lang w:val="sr-Latn-ME"/>
        </w:rPr>
        <w:t>Vakcinacije</w:t>
      </w:r>
    </w:p>
    <w:p w14:paraId="4E6EE5FE" w14:textId="237FABF8" w:rsidR="00785722" w:rsidRPr="00C9046D" w:rsidRDefault="00785722" w:rsidP="005C6DFE">
      <w:pPr>
        <w:tabs>
          <w:tab w:val="left" w:pos="567"/>
        </w:tabs>
        <w:autoSpaceDE w:val="0"/>
        <w:autoSpaceDN w:val="0"/>
        <w:adjustRightInd w:val="0"/>
        <w:jc w:val="both"/>
        <w:rPr>
          <w:sz w:val="22"/>
          <w:szCs w:val="22"/>
          <w:u w:val="single"/>
          <w:lang w:val="sr-Latn-ME"/>
        </w:rPr>
      </w:pPr>
      <w:r w:rsidRPr="00275456">
        <w:rPr>
          <w:sz w:val="22"/>
          <w:szCs w:val="22"/>
          <w:lang w:val="sr-Latn-ME"/>
        </w:rPr>
        <w:t xml:space="preserve">Ako je moguće, preporučuje se da pedijatrijski pacijenti prije započinjanja terapije </w:t>
      </w:r>
      <w:r w:rsidR="001E54A5" w:rsidRPr="00275456">
        <w:rPr>
          <w:sz w:val="22"/>
          <w:szCs w:val="22"/>
          <w:lang w:val="sr-Latn-ME"/>
        </w:rPr>
        <w:t>golimumabom</w:t>
      </w:r>
      <w:r w:rsidRPr="00275456">
        <w:rPr>
          <w:sz w:val="22"/>
          <w:szCs w:val="22"/>
          <w:lang w:val="sr-Latn-ME"/>
        </w:rPr>
        <w:t xml:space="preserve"> prime sve potrebne vakcine u skladu s važećim programom imunizacije.</w:t>
      </w:r>
      <w:r w:rsidRPr="005C6DFE">
        <w:rPr>
          <w:sz w:val="22"/>
          <w:szCs w:val="22"/>
          <w:lang w:val="sr-Latn-ME"/>
        </w:rPr>
        <w:t xml:space="preserve"> </w:t>
      </w:r>
      <w:r w:rsidRPr="00EA088A">
        <w:rPr>
          <w:sz w:val="22"/>
          <w:szCs w:val="22"/>
          <w:lang w:val="sr-Latn-ME"/>
        </w:rPr>
        <w:t>(videti podnaslov “Vakcinacija/infektivni agensi koji se koriste u terapijske svrhe”).</w:t>
      </w:r>
    </w:p>
    <w:p w14:paraId="0F7A3018"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Pomoćne supstance</w:t>
      </w:r>
    </w:p>
    <w:p w14:paraId="599D1AB4" w14:textId="77777777" w:rsidR="001E54A5" w:rsidRPr="00275456" w:rsidRDefault="00785722" w:rsidP="005C6DFE">
      <w:pPr>
        <w:tabs>
          <w:tab w:val="left" w:pos="284"/>
        </w:tabs>
        <w:jc w:val="both"/>
        <w:rPr>
          <w:sz w:val="22"/>
          <w:szCs w:val="22"/>
          <w:lang w:val="sr-Latn-ME"/>
        </w:rPr>
      </w:pPr>
      <w:r w:rsidRPr="00275456">
        <w:rPr>
          <w:sz w:val="22"/>
          <w:szCs w:val="22"/>
          <w:lang w:val="sr-Latn-ME"/>
        </w:rPr>
        <w:t>Lijek Simponi sadrži sorbitol (E420). Kod pacijenta sa rijetkim naslednim problemom netolerancije fruktoze treba uzeti u obzir aditivni efekat istovremeno primenjenih proizvoda koji sadrže sorbitol (ili fruktozu) i dijetarni unos sorbitola (ili fruktoze) (vidjeti odjeljak 2)</w:t>
      </w:r>
      <w:r w:rsidR="001E54A5" w:rsidRPr="00275456">
        <w:rPr>
          <w:sz w:val="22"/>
          <w:szCs w:val="22"/>
          <w:lang w:val="sr-Latn-ME"/>
        </w:rPr>
        <w:t>.</w:t>
      </w:r>
    </w:p>
    <w:p w14:paraId="5D93D4FF" w14:textId="39404D7F" w:rsidR="00785722" w:rsidRDefault="00785722" w:rsidP="005C6DFE">
      <w:pPr>
        <w:tabs>
          <w:tab w:val="left" w:pos="284"/>
        </w:tabs>
        <w:jc w:val="both"/>
        <w:rPr>
          <w:sz w:val="22"/>
          <w:szCs w:val="22"/>
          <w:lang w:val="sr-Latn-ME"/>
        </w:rPr>
      </w:pPr>
      <w:r w:rsidRPr="00275456">
        <w:rPr>
          <w:sz w:val="22"/>
          <w:szCs w:val="22"/>
          <w:lang w:val="sr-Latn-ME"/>
        </w:rPr>
        <w:t xml:space="preserve"> </w:t>
      </w:r>
    </w:p>
    <w:p w14:paraId="72E9E0D1" w14:textId="77777777" w:rsidR="00EA0ADE" w:rsidRPr="005C6DFE" w:rsidRDefault="00EA0ADE" w:rsidP="005C6DFE">
      <w:pPr>
        <w:tabs>
          <w:tab w:val="left" w:pos="284"/>
        </w:tabs>
        <w:jc w:val="both"/>
        <w:rPr>
          <w:sz w:val="22"/>
          <w:szCs w:val="22"/>
          <w:u w:val="single"/>
          <w:lang w:val="sr-Latn-ME"/>
        </w:rPr>
      </w:pPr>
    </w:p>
    <w:p w14:paraId="0B5F1108" w14:textId="77777777" w:rsidR="00785722" w:rsidRPr="00EA088A" w:rsidRDefault="00785722" w:rsidP="005C6DFE">
      <w:pPr>
        <w:jc w:val="both"/>
        <w:rPr>
          <w:sz w:val="22"/>
          <w:szCs w:val="22"/>
          <w:u w:val="single"/>
          <w:lang w:val="sr-Latn-ME"/>
        </w:rPr>
      </w:pPr>
      <w:r w:rsidRPr="00EA088A">
        <w:rPr>
          <w:sz w:val="22"/>
          <w:szCs w:val="22"/>
          <w:u w:val="single"/>
          <w:lang w:val="sr-Latn-ME"/>
        </w:rPr>
        <w:lastRenderedPageBreak/>
        <w:t>Mogućnost grešaka pri primjeni lijeka</w:t>
      </w:r>
    </w:p>
    <w:p w14:paraId="591D23F1" w14:textId="77777777" w:rsidR="00785722" w:rsidRPr="00275456" w:rsidRDefault="00785722" w:rsidP="005C6DFE">
      <w:pPr>
        <w:jc w:val="both"/>
        <w:rPr>
          <w:sz w:val="22"/>
          <w:szCs w:val="22"/>
          <w:lang w:val="sr-Latn-ME"/>
        </w:rPr>
      </w:pPr>
      <w:r w:rsidRPr="00EA088A">
        <w:rPr>
          <w:sz w:val="22"/>
          <w:szCs w:val="22"/>
          <w:lang w:val="sr-Latn-ME"/>
        </w:rPr>
        <w:t>Simponi je registrovan u jačinama od 50 mg i 100 mg za supkutanu primjenu. Važno je upotrebiti odgovarajuću jačinu lijeka kako bi s</w:t>
      </w:r>
      <w:r w:rsidRPr="00C9046D">
        <w:rPr>
          <w:sz w:val="22"/>
          <w:szCs w:val="22"/>
          <w:lang w:val="sr-Latn-ME"/>
        </w:rPr>
        <w:t>e primjenila tačna doza, kao što je navedeno u doziranju (</w:t>
      </w:r>
      <w:r w:rsidRPr="00275456">
        <w:rPr>
          <w:bCs/>
          <w:color w:val="000000"/>
          <w:sz w:val="22"/>
          <w:szCs w:val="22"/>
          <w:lang w:val="sr-Latn-ME"/>
        </w:rPr>
        <w:t xml:space="preserve">vidjeti odjeljak </w:t>
      </w:r>
      <w:r w:rsidRPr="00275456">
        <w:rPr>
          <w:sz w:val="22"/>
          <w:szCs w:val="22"/>
          <w:lang w:val="sr-Latn-ME"/>
        </w:rPr>
        <w:t>4.2). Treba paziti da se upotrebi odgovarajuća jačina kako bi se osiguralo da pacijenti ne prime premalu ili preveliku dozu.</w:t>
      </w:r>
    </w:p>
    <w:p w14:paraId="1FEF3208" w14:textId="77777777" w:rsidR="00057E35" w:rsidRPr="00275456" w:rsidRDefault="00057E35" w:rsidP="005C6DFE">
      <w:pPr>
        <w:tabs>
          <w:tab w:val="left" w:pos="540"/>
          <w:tab w:val="left" w:pos="569"/>
        </w:tabs>
        <w:jc w:val="both"/>
        <w:rPr>
          <w:bCs/>
          <w:sz w:val="22"/>
          <w:szCs w:val="22"/>
          <w:lang w:val="sr-Latn-ME"/>
        </w:rPr>
      </w:pPr>
    </w:p>
    <w:p w14:paraId="365F2091" w14:textId="59F534B6" w:rsidR="00411B4B" w:rsidRPr="00275456" w:rsidRDefault="00411B4B" w:rsidP="005C6DFE">
      <w:pPr>
        <w:tabs>
          <w:tab w:val="left" w:pos="540"/>
          <w:tab w:val="left" w:pos="569"/>
        </w:tabs>
        <w:jc w:val="both"/>
        <w:rPr>
          <w:b/>
          <w:bCs/>
          <w:sz w:val="22"/>
          <w:szCs w:val="22"/>
          <w:lang w:val="sr-Latn-ME"/>
        </w:rPr>
      </w:pPr>
      <w:r w:rsidRPr="00275456">
        <w:rPr>
          <w:b/>
          <w:bCs/>
          <w:sz w:val="22"/>
          <w:szCs w:val="22"/>
          <w:lang w:val="sr-Latn-ME"/>
        </w:rPr>
        <w:t>4.5.</w:t>
      </w:r>
      <w:r w:rsidR="000D60CC" w:rsidRPr="00275456">
        <w:rPr>
          <w:b/>
          <w:bCs/>
          <w:sz w:val="22"/>
          <w:szCs w:val="22"/>
          <w:lang w:val="sr-Latn-ME"/>
        </w:rPr>
        <w:tab/>
      </w:r>
      <w:r w:rsidRPr="00275456">
        <w:rPr>
          <w:b/>
          <w:bCs/>
          <w:sz w:val="22"/>
          <w:szCs w:val="22"/>
          <w:lang w:val="sr-Latn-ME"/>
        </w:rPr>
        <w:t>Interakcije sa drugim ljekovima i druge vrste interakcija</w:t>
      </w:r>
    </w:p>
    <w:p w14:paraId="2EF40DD9" w14:textId="77777777" w:rsidR="00785722" w:rsidRPr="00275456" w:rsidRDefault="00785722" w:rsidP="005C6DFE">
      <w:pPr>
        <w:tabs>
          <w:tab w:val="left" w:pos="540"/>
          <w:tab w:val="left" w:pos="569"/>
        </w:tabs>
        <w:jc w:val="both"/>
        <w:rPr>
          <w:b/>
          <w:bCs/>
          <w:sz w:val="22"/>
          <w:szCs w:val="22"/>
          <w:lang w:val="sr-Latn-ME"/>
        </w:rPr>
      </w:pPr>
    </w:p>
    <w:p w14:paraId="06D2E8CB" w14:textId="77777777" w:rsidR="00785722" w:rsidRPr="00275456" w:rsidRDefault="00785722" w:rsidP="005C6DFE">
      <w:pPr>
        <w:tabs>
          <w:tab w:val="left" w:pos="284"/>
        </w:tabs>
        <w:jc w:val="both"/>
        <w:rPr>
          <w:sz w:val="22"/>
          <w:szCs w:val="22"/>
          <w:lang w:val="sr-Latn-ME"/>
        </w:rPr>
      </w:pPr>
      <w:r w:rsidRPr="00275456">
        <w:rPr>
          <w:sz w:val="22"/>
          <w:szCs w:val="22"/>
          <w:lang w:val="sr-Latn-ME"/>
        </w:rPr>
        <w:t>Nisu sprovedena ispitivanja interakcija.</w:t>
      </w:r>
    </w:p>
    <w:p w14:paraId="64395F6D" w14:textId="77777777" w:rsidR="00785722" w:rsidRPr="00275456" w:rsidRDefault="00785722" w:rsidP="005C6DFE">
      <w:pPr>
        <w:tabs>
          <w:tab w:val="left" w:pos="284"/>
        </w:tabs>
        <w:jc w:val="both"/>
        <w:rPr>
          <w:sz w:val="22"/>
          <w:szCs w:val="22"/>
          <w:lang w:val="sr-Latn-ME"/>
        </w:rPr>
      </w:pPr>
    </w:p>
    <w:p w14:paraId="080ED4D5" w14:textId="77777777" w:rsidR="00785722" w:rsidRPr="00275456" w:rsidRDefault="00785722" w:rsidP="005C6DFE">
      <w:pPr>
        <w:tabs>
          <w:tab w:val="left" w:pos="284"/>
        </w:tabs>
        <w:jc w:val="both"/>
        <w:rPr>
          <w:sz w:val="22"/>
          <w:szCs w:val="22"/>
          <w:lang w:val="sr-Latn-ME"/>
        </w:rPr>
      </w:pPr>
      <w:r w:rsidRPr="00275456">
        <w:rPr>
          <w:sz w:val="22"/>
          <w:szCs w:val="22"/>
          <w:u w:val="single"/>
          <w:lang w:val="sr-Latn-ME"/>
        </w:rPr>
        <w:t>Istovremena primjena sa ostalim biološkim terapeuticima</w:t>
      </w:r>
    </w:p>
    <w:p w14:paraId="3C07A900" w14:textId="77777777" w:rsidR="00785722" w:rsidRPr="00275456" w:rsidRDefault="00785722" w:rsidP="005C6DFE">
      <w:pPr>
        <w:tabs>
          <w:tab w:val="left" w:pos="567"/>
        </w:tabs>
        <w:jc w:val="both"/>
        <w:rPr>
          <w:bCs/>
          <w:color w:val="000000"/>
          <w:sz w:val="22"/>
          <w:szCs w:val="22"/>
          <w:lang w:val="sr-Latn-ME"/>
        </w:rPr>
      </w:pPr>
      <w:r w:rsidRPr="00275456">
        <w:rPr>
          <w:bCs/>
          <w:color w:val="000000"/>
          <w:sz w:val="22"/>
          <w:szCs w:val="22"/>
          <w:lang w:val="sr-Latn-ME"/>
        </w:rPr>
        <w:t>Ne preporučuje se istovremena primjena golimumaba  sa drugim biološkim ljekovima koji se koriste za liječenje istih stanja kao i golimumab, uključujući anakinru i abatacept (vidi odjeljak 4.4).</w:t>
      </w:r>
    </w:p>
    <w:p w14:paraId="0CEB32A1" w14:textId="77777777" w:rsidR="00785722" w:rsidRPr="00275456" w:rsidRDefault="00785722" w:rsidP="005C6DFE">
      <w:pPr>
        <w:tabs>
          <w:tab w:val="left" w:pos="284"/>
        </w:tabs>
        <w:jc w:val="both"/>
        <w:rPr>
          <w:sz w:val="22"/>
          <w:szCs w:val="22"/>
          <w:lang w:val="sr-Latn-ME"/>
        </w:rPr>
      </w:pPr>
    </w:p>
    <w:p w14:paraId="360204DC"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Žive vakcine / infektivni agensi koji se koriste u terapijske svrhe</w:t>
      </w:r>
    </w:p>
    <w:p w14:paraId="06813282" w14:textId="77777777" w:rsidR="00785722" w:rsidRPr="00275456" w:rsidRDefault="00785722" w:rsidP="005C6DFE">
      <w:pPr>
        <w:tabs>
          <w:tab w:val="left" w:pos="284"/>
        </w:tabs>
        <w:jc w:val="both"/>
        <w:rPr>
          <w:sz w:val="22"/>
          <w:szCs w:val="22"/>
          <w:lang w:val="sr-Latn-ME"/>
        </w:rPr>
      </w:pPr>
      <w:r w:rsidRPr="00275456">
        <w:rPr>
          <w:sz w:val="22"/>
          <w:szCs w:val="22"/>
          <w:lang w:val="sr-Latn-ME"/>
        </w:rPr>
        <w:t>Žive vakcine se ne smiju primjenjivati istovremeno sa golimumabom (vidi poglavlja 4.4 i 4.6).</w:t>
      </w:r>
    </w:p>
    <w:p w14:paraId="257B5CC0" w14:textId="3290C92F" w:rsidR="00785722" w:rsidRPr="00275456" w:rsidRDefault="00785722" w:rsidP="005C6DFE">
      <w:pPr>
        <w:tabs>
          <w:tab w:val="left" w:pos="284"/>
        </w:tabs>
        <w:jc w:val="both"/>
        <w:rPr>
          <w:sz w:val="22"/>
          <w:szCs w:val="22"/>
          <w:lang w:val="sr-Latn-ME"/>
        </w:rPr>
      </w:pPr>
      <w:r w:rsidRPr="00275456">
        <w:rPr>
          <w:sz w:val="22"/>
          <w:szCs w:val="22"/>
          <w:lang w:val="sr-Latn-ME"/>
        </w:rPr>
        <w:t xml:space="preserve">Infektivni agensi koji se koriste u terapijske svrhe ne treba da se primjenjuju istovremeno sa </w:t>
      </w:r>
      <w:r w:rsidR="001E54A5" w:rsidRPr="00275456">
        <w:rPr>
          <w:sz w:val="22"/>
          <w:szCs w:val="22"/>
          <w:lang w:val="sr-Latn-ME"/>
        </w:rPr>
        <w:t>golimumabom</w:t>
      </w:r>
      <w:r w:rsidRPr="00275456">
        <w:rPr>
          <w:sz w:val="22"/>
          <w:szCs w:val="22"/>
          <w:lang w:val="sr-Latn-ME"/>
        </w:rPr>
        <w:t xml:space="preserve">(vidjeti poglavlje 4.4). </w:t>
      </w:r>
    </w:p>
    <w:p w14:paraId="08A1FC15" w14:textId="77777777" w:rsidR="00785722" w:rsidRPr="00275456" w:rsidRDefault="00785722" w:rsidP="005C6DFE">
      <w:pPr>
        <w:tabs>
          <w:tab w:val="left" w:pos="284"/>
        </w:tabs>
        <w:jc w:val="both"/>
        <w:rPr>
          <w:sz w:val="22"/>
          <w:szCs w:val="22"/>
          <w:lang w:val="sr-Latn-ME"/>
        </w:rPr>
      </w:pPr>
    </w:p>
    <w:p w14:paraId="49506C4C"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Metotreksat</w:t>
      </w:r>
    </w:p>
    <w:p w14:paraId="2D578211"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Iako istovremena primjena metotreksata  rezultira povećanim koncentracijama golimumaba u stanju dinamičke ravnoteže kod pacijenata s reumatoidnim artritisom, psorijatičnim artritisom i ankilozirajućim spondilitisom, podaci pokazuju da nema potrebe za prilagođavanjem doze golimumaba kao ni metotreksata (vidi poglavlje 5.2). </w:t>
      </w:r>
    </w:p>
    <w:p w14:paraId="7584E85B" w14:textId="77777777" w:rsidR="00785722" w:rsidRPr="00275456" w:rsidRDefault="00785722" w:rsidP="005C6DFE">
      <w:pPr>
        <w:tabs>
          <w:tab w:val="left" w:pos="540"/>
          <w:tab w:val="left" w:pos="569"/>
        </w:tabs>
        <w:jc w:val="both"/>
        <w:rPr>
          <w:bCs/>
          <w:sz w:val="22"/>
          <w:szCs w:val="22"/>
          <w:lang w:val="sr-Latn-ME"/>
        </w:rPr>
      </w:pPr>
    </w:p>
    <w:p w14:paraId="64181C33" w14:textId="77777777" w:rsidR="0072020E" w:rsidRPr="00275456" w:rsidRDefault="0072020E" w:rsidP="005C6DFE">
      <w:pPr>
        <w:tabs>
          <w:tab w:val="left" w:pos="540"/>
          <w:tab w:val="left" w:pos="569"/>
        </w:tabs>
        <w:jc w:val="both"/>
        <w:rPr>
          <w:b/>
          <w:sz w:val="22"/>
          <w:szCs w:val="22"/>
          <w:lang w:val="sr-Latn-ME"/>
        </w:rPr>
      </w:pPr>
      <w:r w:rsidRPr="00275456">
        <w:rPr>
          <w:b/>
          <w:bCs/>
          <w:sz w:val="22"/>
          <w:szCs w:val="22"/>
          <w:lang w:val="sr-Latn-ME"/>
        </w:rPr>
        <w:t xml:space="preserve">4.6. </w:t>
      </w:r>
      <w:r w:rsidR="00480FB1" w:rsidRPr="00275456">
        <w:rPr>
          <w:b/>
          <w:bCs/>
          <w:sz w:val="22"/>
          <w:szCs w:val="22"/>
          <w:lang w:val="sr-Latn-ME"/>
        </w:rPr>
        <w:tab/>
      </w:r>
      <w:r w:rsidR="006D20A5" w:rsidRPr="00275456">
        <w:rPr>
          <w:b/>
          <w:sz w:val="22"/>
          <w:szCs w:val="22"/>
          <w:lang w:val="sr-Latn-ME"/>
        </w:rPr>
        <w:t>Plodnost, trudnoća i dojenje</w:t>
      </w:r>
    </w:p>
    <w:p w14:paraId="0BFEC964" w14:textId="77777777" w:rsidR="002031B3" w:rsidRPr="00275456" w:rsidRDefault="002031B3" w:rsidP="005C6DFE">
      <w:pPr>
        <w:tabs>
          <w:tab w:val="left" w:pos="540"/>
          <w:tab w:val="left" w:pos="569"/>
        </w:tabs>
        <w:jc w:val="both"/>
        <w:rPr>
          <w:sz w:val="22"/>
          <w:szCs w:val="22"/>
          <w:u w:val="single"/>
          <w:lang w:val="sr-Latn-ME"/>
        </w:rPr>
      </w:pPr>
    </w:p>
    <w:p w14:paraId="55D176E4" w14:textId="77777777" w:rsidR="00785722" w:rsidRPr="00275456" w:rsidRDefault="00785722" w:rsidP="005C6DFE">
      <w:pPr>
        <w:tabs>
          <w:tab w:val="left" w:pos="540"/>
          <w:tab w:val="left" w:pos="569"/>
        </w:tabs>
        <w:jc w:val="both"/>
        <w:rPr>
          <w:sz w:val="22"/>
          <w:szCs w:val="22"/>
          <w:u w:val="single"/>
          <w:lang w:val="sr-Latn-ME"/>
        </w:rPr>
      </w:pPr>
      <w:r w:rsidRPr="00275456">
        <w:rPr>
          <w:sz w:val="22"/>
          <w:szCs w:val="22"/>
          <w:u w:val="single"/>
          <w:lang w:val="sr-Latn-ME"/>
        </w:rPr>
        <w:t>Plodnost</w:t>
      </w:r>
    </w:p>
    <w:p w14:paraId="08B3A5C6" w14:textId="73F51F69" w:rsidR="00785722" w:rsidRPr="00275456" w:rsidRDefault="00785722" w:rsidP="005C6DFE">
      <w:pPr>
        <w:tabs>
          <w:tab w:val="left" w:pos="540"/>
          <w:tab w:val="left" w:pos="569"/>
        </w:tabs>
        <w:jc w:val="both"/>
        <w:rPr>
          <w:sz w:val="22"/>
          <w:szCs w:val="22"/>
          <w:u w:val="single"/>
          <w:lang w:val="sr-Latn-ME"/>
        </w:rPr>
      </w:pPr>
      <w:r w:rsidRPr="00275456">
        <w:rPr>
          <w:sz w:val="22"/>
          <w:szCs w:val="22"/>
          <w:lang w:val="sr-Latn-ME"/>
        </w:rPr>
        <w:t>Studije uticaja golimumaba na fertilitet životinja nisu bile sprovedene. Studija plodnosti urađena na miševima, sa analognim antitijelom koje selektivno inhibira funkcionalnu aktivnost mišjeg TNF</w:t>
      </w:r>
      <w:r w:rsidRPr="00275456">
        <w:rPr>
          <w:sz w:val="22"/>
          <w:szCs w:val="22"/>
          <w:vertAlign w:val="subscript"/>
          <w:lang w:val="sr-Latn-ME"/>
        </w:rPr>
        <w:t>α</w:t>
      </w:r>
      <w:r w:rsidRPr="00275456">
        <w:rPr>
          <w:sz w:val="22"/>
          <w:szCs w:val="22"/>
          <w:lang w:val="sr-Latn-ME"/>
        </w:rPr>
        <w:t xml:space="preserve"> nije pokazala relevantni efekat na fertilitet (vidjeti dio 5.3).</w:t>
      </w:r>
    </w:p>
    <w:p w14:paraId="6EEB5FFD" w14:textId="77777777" w:rsidR="00785722" w:rsidRPr="00275456" w:rsidRDefault="00785722" w:rsidP="005C6DFE">
      <w:pPr>
        <w:tabs>
          <w:tab w:val="left" w:pos="284"/>
        </w:tabs>
        <w:jc w:val="both"/>
        <w:outlineLvl w:val="0"/>
        <w:rPr>
          <w:sz w:val="22"/>
          <w:szCs w:val="22"/>
          <w:u w:val="single"/>
          <w:lang w:val="sr-Latn-ME"/>
        </w:rPr>
      </w:pPr>
    </w:p>
    <w:p w14:paraId="56CE5C8D" w14:textId="77777777" w:rsidR="00785722" w:rsidRPr="00275456" w:rsidRDefault="00785722" w:rsidP="005C6DFE">
      <w:pPr>
        <w:tabs>
          <w:tab w:val="left" w:pos="284"/>
        </w:tabs>
        <w:jc w:val="both"/>
        <w:outlineLvl w:val="0"/>
        <w:rPr>
          <w:sz w:val="22"/>
          <w:szCs w:val="22"/>
          <w:u w:val="single"/>
          <w:lang w:val="sr-Latn-ME"/>
        </w:rPr>
      </w:pPr>
      <w:r w:rsidRPr="00275456">
        <w:rPr>
          <w:sz w:val="22"/>
          <w:szCs w:val="22"/>
          <w:u w:val="single"/>
          <w:lang w:val="sr-Latn-ME"/>
        </w:rPr>
        <w:t>Žene u reproduktivnom periodu</w:t>
      </w:r>
    </w:p>
    <w:p w14:paraId="45C17FF0" w14:textId="77777777" w:rsidR="00785722" w:rsidRPr="00275456" w:rsidRDefault="00785722" w:rsidP="005C6DFE">
      <w:pPr>
        <w:tabs>
          <w:tab w:val="left" w:pos="284"/>
        </w:tabs>
        <w:jc w:val="both"/>
        <w:rPr>
          <w:sz w:val="22"/>
          <w:szCs w:val="22"/>
          <w:lang w:val="sr-Latn-ME"/>
        </w:rPr>
      </w:pPr>
      <w:r w:rsidRPr="00275456">
        <w:rPr>
          <w:sz w:val="22"/>
          <w:szCs w:val="22"/>
          <w:lang w:val="sr-Latn-ME"/>
        </w:rPr>
        <w:t>Žene u reproduktivnom dobu moraju da koriste odgovarajuću kontracepciju radi prevencije trudnoće tokom liječenja i barem 6 mjeseci nakon posljednje doze golimumaba.</w:t>
      </w:r>
    </w:p>
    <w:p w14:paraId="1C069C24" w14:textId="77777777" w:rsidR="00785722" w:rsidRPr="00275456" w:rsidRDefault="00785722" w:rsidP="005C6DFE">
      <w:pPr>
        <w:tabs>
          <w:tab w:val="left" w:pos="540"/>
          <w:tab w:val="left" w:pos="569"/>
        </w:tabs>
        <w:jc w:val="both"/>
        <w:rPr>
          <w:sz w:val="22"/>
          <w:szCs w:val="22"/>
          <w:u w:val="single"/>
          <w:lang w:val="sr-Latn-ME"/>
        </w:rPr>
      </w:pPr>
    </w:p>
    <w:p w14:paraId="44A0C23B" w14:textId="77777777" w:rsidR="00785722" w:rsidRPr="00275456" w:rsidRDefault="00785722" w:rsidP="005C6DFE">
      <w:pPr>
        <w:tabs>
          <w:tab w:val="left" w:pos="540"/>
          <w:tab w:val="left" w:pos="569"/>
        </w:tabs>
        <w:jc w:val="both"/>
        <w:rPr>
          <w:sz w:val="22"/>
          <w:szCs w:val="22"/>
          <w:u w:val="single"/>
          <w:lang w:val="sr-Latn-ME"/>
        </w:rPr>
      </w:pPr>
      <w:r w:rsidRPr="00275456">
        <w:rPr>
          <w:sz w:val="22"/>
          <w:szCs w:val="22"/>
          <w:u w:val="single"/>
          <w:lang w:val="sr-Latn-ME"/>
        </w:rPr>
        <w:t>Trudnoća</w:t>
      </w:r>
    </w:p>
    <w:p w14:paraId="04B10F28" w14:textId="6FFC19BA" w:rsidR="00E9261F" w:rsidRPr="00275456" w:rsidRDefault="00E9261F" w:rsidP="005C6DFE">
      <w:pPr>
        <w:tabs>
          <w:tab w:val="left" w:pos="284"/>
        </w:tabs>
        <w:jc w:val="both"/>
        <w:outlineLvl w:val="0"/>
        <w:rPr>
          <w:sz w:val="22"/>
          <w:szCs w:val="22"/>
          <w:lang w:val="sr-Latn-ME"/>
        </w:rPr>
      </w:pPr>
      <w:r w:rsidRPr="00275456">
        <w:rPr>
          <w:sz w:val="22"/>
          <w:szCs w:val="22"/>
          <w:lang w:val="sr-Latn-ME"/>
        </w:rPr>
        <w:t xml:space="preserve">Postoji umjerena količina podataka (približno 400 trudnoća) prikupljenih prospektivno tokom trudnoća izloženih golimumabu koje su završile živorođenom djecom sa poznatim ishodima, uključujući 220 trudnoća izloženih golimumabu tokom prvog trimestra. U populacionoj studiji sprovedenoj u Sjevernoj Evropi koja je obuhvatila 131 trudnoću (i 134 odojčadi) bilo je 6/134 (4,5%) događaja velikih kongenitalnih anomalija nakon izlaganja lijeku Simponi </w:t>
      </w:r>
      <w:r w:rsidRPr="00275456">
        <w:rPr>
          <w:i/>
          <w:iCs/>
          <w:sz w:val="22"/>
          <w:szCs w:val="22"/>
          <w:lang w:val="sr-Latn-ME"/>
        </w:rPr>
        <w:t>in utero</w:t>
      </w:r>
      <w:r w:rsidRPr="00275456">
        <w:rPr>
          <w:sz w:val="22"/>
          <w:szCs w:val="22"/>
          <w:lang w:val="sr-Latn-ME"/>
        </w:rPr>
        <w:t xml:space="preserve"> u odnosu na 599/10823 (5,5%) događaja kod primjene nebiološke sistemske terapije te u poređenju sa 4,6% u opštoj populaciji u studiji. Odnosi izgleda prilagođeni za ometajuće faktore bili su sljedeći: OR: 0,79 (95% CI: 0,35-1,81) za Simponi u odnosu na nebiološku sistemsku terapiju i OR: 0,95 (95% CI: 0,42-2,16) za Simponi u poređenju sa opštom populacijom.</w:t>
      </w:r>
    </w:p>
    <w:p w14:paraId="4C1AE114" w14:textId="77777777" w:rsidR="00E9261F" w:rsidRPr="00275456" w:rsidRDefault="00E9261F" w:rsidP="005C6DFE">
      <w:pPr>
        <w:tabs>
          <w:tab w:val="left" w:pos="284"/>
        </w:tabs>
        <w:jc w:val="both"/>
        <w:outlineLvl w:val="0"/>
        <w:rPr>
          <w:sz w:val="22"/>
          <w:szCs w:val="22"/>
          <w:lang w:val="sr-Latn-ME"/>
        </w:rPr>
      </w:pPr>
    </w:p>
    <w:p w14:paraId="66483144" w14:textId="39FE3EA5" w:rsidR="00785722" w:rsidRPr="00275456" w:rsidRDefault="00785722" w:rsidP="005C6DFE">
      <w:pPr>
        <w:tabs>
          <w:tab w:val="left" w:pos="284"/>
        </w:tabs>
        <w:jc w:val="both"/>
        <w:outlineLvl w:val="0"/>
        <w:rPr>
          <w:sz w:val="22"/>
          <w:szCs w:val="22"/>
          <w:lang w:val="sr-Latn-ME"/>
        </w:rPr>
      </w:pPr>
      <w:r w:rsidRPr="00275456">
        <w:rPr>
          <w:sz w:val="22"/>
          <w:szCs w:val="22"/>
          <w:lang w:val="sr-Latn-ME"/>
        </w:rPr>
        <w:t xml:space="preserve">Zbog inhibicije TNF-a, golimumab primijenjen u trudnoći može uticati na normalni imunološki odgovor novorođenčeta. Istraživanja na životinjama ne ukazuju na direktna ili indirektna štetna dejstva na trudnoću, embrionalno-fetalni razvoj, porod i postporođajni razvoj (vidi poglavlje 5.3). </w:t>
      </w:r>
      <w:r w:rsidR="00E9261F" w:rsidRPr="00275456">
        <w:rPr>
          <w:sz w:val="22"/>
          <w:szCs w:val="22"/>
          <w:lang w:val="sr-Latn-ME"/>
        </w:rPr>
        <w:t xml:space="preserve">Dostupno kliničko iskustvo je ograničeno. Golimumab se smije koristiti tokom trudnoće </w:t>
      </w:r>
      <w:r w:rsidRPr="00275456">
        <w:rPr>
          <w:sz w:val="22"/>
          <w:szCs w:val="22"/>
          <w:lang w:val="sr-Latn-ME"/>
        </w:rPr>
        <w:t>samo ako je baš neophodno.</w:t>
      </w:r>
    </w:p>
    <w:p w14:paraId="7A96E3C1" w14:textId="77777777" w:rsidR="00785722" w:rsidRPr="00275456" w:rsidRDefault="00785722" w:rsidP="00785722">
      <w:pPr>
        <w:tabs>
          <w:tab w:val="left" w:pos="284"/>
        </w:tabs>
        <w:outlineLvl w:val="0"/>
        <w:rPr>
          <w:sz w:val="22"/>
          <w:szCs w:val="22"/>
          <w:lang w:val="sr-Latn-ME"/>
        </w:rPr>
      </w:pPr>
    </w:p>
    <w:p w14:paraId="31EFD444" w14:textId="69B622B2" w:rsidR="00785722" w:rsidRPr="00275456" w:rsidRDefault="00785722" w:rsidP="005C6DFE">
      <w:pPr>
        <w:tabs>
          <w:tab w:val="left" w:pos="284"/>
        </w:tabs>
        <w:jc w:val="both"/>
        <w:outlineLvl w:val="0"/>
        <w:rPr>
          <w:sz w:val="22"/>
          <w:szCs w:val="22"/>
          <w:lang w:val="sr-Latn-ME"/>
        </w:rPr>
      </w:pPr>
      <w:r w:rsidRPr="00275456">
        <w:rPr>
          <w:sz w:val="22"/>
          <w:szCs w:val="22"/>
          <w:lang w:val="sr-Latn-ME"/>
        </w:rPr>
        <w:t>Golimumab prolazi kroz placentu. Kod novorođenčeta čije su majke bile na terapiji TNF- blokirajućim monoklonskim antitijelima tokom trudnoće, primijećeno je prisustvo antitijela u serumu djeteta i liječene majke i do 6 mjeseci nakon rođenja djeteta. Posljedično, kod novorođenčadi postoji opasnost od pojave infekcija.</w:t>
      </w:r>
      <w:r w:rsidR="001E54A5" w:rsidRPr="00275456">
        <w:rPr>
          <w:sz w:val="22"/>
          <w:szCs w:val="22"/>
          <w:lang w:val="sr-Latn-ME"/>
        </w:rPr>
        <w:t xml:space="preserve"> </w:t>
      </w:r>
      <w:r w:rsidRPr="00275456">
        <w:rPr>
          <w:sz w:val="22"/>
          <w:szCs w:val="22"/>
          <w:lang w:val="sr-Latn-ME"/>
        </w:rPr>
        <w:t xml:space="preserve">Primjena žive vakcine kod novorođenčadi, koja su bila izložena golimumabu </w:t>
      </w:r>
      <w:r w:rsidRPr="00275456">
        <w:rPr>
          <w:i/>
          <w:sz w:val="22"/>
          <w:szCs w:val="22"/>
          <w:lang w:val="sr-Latn-ME"/>
        </w:rPr>
        <w:t xml:space="preserve">in </w:t>
      </w:r>
      <w:r w:rsidRPr="00275456">
        <w:rPr>
          <w:i/>
          <w:sz w:val="22"/>
          <w:szCs w:val="22"/>
          <w:lang w:val="sr-Latn-ME"/>
        </w:rPr>
        <w:lastRenderedPageBreak/>
        <w:t>utero</w:t>
      </w:r>
      <w:r w:rsidRPr="00275456">
        <w:rPr>
          <w:sz w:val="22"/>
          <w:szCs w:val="22"/>
          <w:lang w:val="sr-Latn-ME"/>
        </w:rPr>
        <w:t>, ne preporučuje se i do 6 mjeseci nakon posljednje injekcije golimumaba, koju je majka primila tokom trudnoće (vidjeti dio 4.4 i 4.5).</w:t>
      </w:r>
    </w:p>
    <w:p w14:paraId="58AEFA3C" w14:textId="77777777" w:rsidR="00785722" w:rsidRPr="00275456" w:rsidRDefault="00785722" w:rsidP="005C6DFE">
      <w:pPr>
        <w:tabs>
          <w:tab w:val="left" w:pos="540"/>
          <w:tab w:val="left" w:pos="569"/>
        </w:tabs>
        <w:jc w:val="both"/>
        <w:rPr>
          <w:sz w:val="22"/>
          <w:szCs w:val="22"/>
          <w:u w:val="single"/>
          <w:lang w:val="sr-Latn-ME"/>
        </w:rPr>
      </w:pPr>
    </w:p>
    <w:p w14:paraId="4BC2BF37" w14:textId="77777777" w:rsidR="00785722" w:rsidRPr="00275456" w:rsidRDefault="00785722" w:rsidP="005C6DFE">
      <w:pPr>
        <w:tabs>
          <w:tab w:val="left" w:pos="540"/>
          <w:tab w:val="left" w:pos="569"/>
        </w:tabs>
        <w:jc w:val="both"/>
        <w:rPr>
          <w:b/>
          <w:bCs/>
          <w:sz w:val="22"/>
          <w:szCs w:val="22"/>
          <w:lang w:val="sr-Latn-ME"/>
        </w:rPr>
      </w:pPr>
      <w:r w:rsidRPr="00275456">
        <w:rPr>
          <w:sz w:val="22"/>
          <w:szCs w:val="22"/>
          <w:u w:val="single"/>
          <w:lang w:val="sr-Latn-ME"/>
        </w:rPr>
        <w:t xml:space="preserve">Dojenje </w:t>
      </w:r>
    </w:p>
    <w:p w14:paraId="092E7EA5" w14:textId="013EC89D" w:rsidR="00785722" w:rsidRPr="00275456" w:rsidRDefault="00785722" w:rsidP="005C6DFE">
      <w:pPr>
        <w:jc w:val="both"/>
        <w:outlineLvl w:val="0"/>
        <w:rPr>
          <w:sz w:val="22"/>
          <w:szCs w:val="22"/>
          <w:vertAlign w:val="superscript"/>
          <w:lang w:val="sr-Latn-ME"/>
        </w:rPr>
      </w:pPr>
      <w:r w:rsidRPr="00275456">
        <w:rPr>
          <w:sz w:val="22"/>
          <w:szCs w:val="22"/>
          <w:lang w:val="sr-Latn-ME"/>
        </w:rPr>
        <w:t xml:space="preserve">Nije poznato da li se golimumab izlučuje u majčino </w:t>
      </w:r>
      <w:r w:rsidR="00F81F67">
        <w:rPr>
          <w:sz w:val="22"/>
          <w:szCs w:val="22"/>
          <w:lang w:val="sr-Latn-ME"/>
        </w:rPr>
        <w:t>ml</w:t>
      </w:r>
      <w:r w:rsidRPr="00275456">
        <w:rPr>
          <w:sz w:val="22"/>
          <w:szCs w:val="22"/>
          <w:lang w:val="sr-Latn-ME"/>
        </w:rPr>
        <w:t xml:space="preserve">ijeko i da li ga dijete apsorbuje sistemski nakon ingestije. Dokazano je da se golimumab izlučuje u </w:t>
      </w:r>
      <w:r w:rsidR="00F81F67">
        <w:rPr>
          <w:sz w:val="22"/>
          <w:szCs w:val="22"/>
          <w:lang w:val="sr-Latn-ME"/>
        </w:rPr>
        <w:t>ml</w:t>
      </w:r>
      <w:r w:rsidRPr="00275456">
        <w:rPr>
          <w:sz w:val="22"/>
          <w:szCs w:val="22"/>
          <w:lang w:val="sr-Latn-ME"/>
        </w:rPr>
        <w:t xml:space="preserve">ijeko majmuna, a budući da se majčini imunoglobulini izlučuju u </w:t>
      </w:r>
      <w:r w:rsidR="00F81F67">
        <w:rPr>
          <w:sz w:val="22"/>
          <w:szCs w:val="22"/>
          <w:lang w:val="sr-Latn-ME"/>
        </w:rPr>
        <w:t>ml</w:t>
      </w:r>
      <w:r w:rsidRPr="00275456">
        <w:rPr>
          <w:sz w:val="22"/>
          <w:szCs w:val="22"/>
          <w:lang w:val="sr-Latn-ME"/>
        </w:rPr>
        <w:t>ijeko, žene ne smiju da doje za vrijeme liječenja i barem 6 mjeseci nakon primjene golimumaba.</w:t>
      </w:r>
    </w:p>
    <w:p w14:paraId="3882CB5F" w14:textId="77777777" w:rsidR="00227BDB" w:rsidRPr="00275456" w:rsidRDefault="00227BDB" w:rsidP="005C6DFE">
      <w:pPr>
        <w:tabs>
          <w:tab w:val="left" w:pos="540"/>
          <w:tab w:val="left" w:pos="569"/>
        </w:tabs>
        <w:ind w:left="540" w:hanging="540"/>
        <w:jc w:val="both"/>
        <w:rPr>
          <w:b/>
          <w:bCs/>
          <w:sz w:val="22"/>
          <w:szCs w:val="22"/>
          <w:lang w:val="sr-Latn-ME"/>
        </w:rPr>
      </w:pPr>
    </w:p>
    <w:p w14:paraId="0CC0CF49" w14:textId="77777777" w:rsidR="0072020E" w:rsidRPr="00275456" w:rsidRDefault="0072020E" w:rsidP="005C6DFE">
      <w:pPr>
        <w:tabs>
          <w:tab w:val="left" w:pos="540"/>
          <w:tab w:val="left" w:pos="569"/>
        </w:tabs>
        <w:ind w:left="540" w:hanging="540"/>
        <w:jc w:val="both"/>
        <w:rPr>
          <w:b/>
          <w:bCs/>
          <w:sz w:val="22"/>
          <w:szCs w:val="22"/>
          <w:lang w:val="sr-Latn-ME"/>
        </w:rPr>
      </w:pPr>
      <w:r w:rsidRPr="00275456">
        <w:rPr>
          <w:b/>
          <w:bCs/>
          <w:sz w:val="22"/>
          <w:szCs w:val="22"/>
          <w:lang w:val="sr-Latn-ME"/>
        </w:rPr>
        <w:t xml:space="preserve">4.7. </w:t>
      </w:r>
      <w:r w:rsidR="00480FB1" w:rsidRPr="00275456">
        <w:rPr>
          <w:b/>
          <w:bCs/>
          <w:sz w:val="22"/>
          <w:szCs w:val="22"/>
          <w:lang w:val="sr-Latn-ME"/>
        </w:rPr>
        <w:tab/>
      </w:r>
      <w:r w:rsidRPr="00275456">
        <w:rPr>
          <w:b/>
          <w:bCs/>
          <w:sz w:val="22"/>
          <w:szCs w:val="22"/>
          <w:lang w:val="sr-Latn-ME"/>
        </w:rPr>
        <w:t xml:space="preserve">Uticaj na </w:t>
      </w:r>
      <w:r w:rsidR="002031B3" w:rsidRPr="00275456">
        <w:rPr>
          <w:b/>
          <w:bCs/>
          <w:sz w:val="22"/>
          <w:szCs w:val="22"/>
          <w:lang w:val="sr-Latn-ME"/>
        </w:rPr>
        <w:t xml:space="preserve">sposobnost </w:t>
      </w:r>
      <w:r w:rsidR="00F34554" w:rsidRPr="00275456">
        <w:rPr>
          <w:b/>
          <w:bCs/>
          <w:sz w:val="22"/>
          <w:szCs w:val="22"/>
          <w:lang w:val="sr-Latn-ME"/>
        </w:rPr>
        <w:t>upravljanja vozili</w:t>
      </w:r>
      <w:r w:rsidRPr="00275456">
        <w:rPr>
          <w:b/>
          <w:bCs/>
          <w:sz w:val="22"/>
          <w:szCs w:val="22"/>
          <w:lang w:val="sr-Latn-ME"/>
        </w:rPr>
        <w:t>m</w:t>
      </w:r>
      <w:r w:rsidR="00F34554" w:rsidRPr="00275456">
        <w:rPr>
          <w:b/>
          <w:bCs/>
          <w:sz w:val="22"/>
          <w:szCs w:val="22"/>
          <w:lang w:val="sr-Latn-ME"/>
        </w:rPr>
        <w:t>a</w:t>
      </w:r>
      <w:r w:rsidRPr="00275456">
        <w:rPr>
          <w:b/>
          <w:bCs/>
          <w:sz w:val="22"/>
          <w:szCs w:val="22"/>
          <w:lang w:val="sr-Latn-ME"/>
        </w:rPr>
        <w:t xml:space="preserve"> i </w:t>
      </w:r>
      <w:r w:rsidR="000D3449" w:rsidRPr="00275456">
        <w:rPr>
          <w:b/>
          <w:bCs/>
          <w:sz w:val="22"/>
          <w:szCs w:val="22"/>
          <w:lang w:val="sr-Latn-ME"/>
        </w:rPr>
        <w:t xml:space="preserve">rukovanje </w:t>
      </w:r>
      <w:r w:rsidRPr="00275456">
        <w:rPr>
          <w:b/>
          <w:bCs/>
          <w:sz w:val="22"/>
          <w:szCs w:val="22"/>
          <w:lang w:val="sr-Latn-ME"/>
        </w:rPr>
        <w:t>mašinama</w:t>
      </w:r>
    </w:p>
    <w:p w14:paraId="5BDCD9D7" w14:textId="0E0CC501" w:rsidR="0072020E" w:rsidRPr="00275456" w:rsidRDefault="0072020E" w:rsidP="005C6DFE">
      <w:pPr>
        <w:tabs>
          <w:tab w:val="left" w:pos="540"/>
          <w:tab w:val="left" w:pos="569"/>
        </w:tabs>
        <w:jc w:val="both"/>
        <w:rPr>
          <w:b/>
          <w:bCs/>
          <w:sz w:val="22"/>
          <w:szCs w:val="22"/>
          <w:lang w:val="sr-Latn-ME"/>
        </w:rPr>
      </w:pPr>
    </w:p>
    <w:p w14:paraId="4726B00C"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Lijek Simponi može u manjoj mjeri uticati na upravljanje vozilima i rukovanje mašinama. Međutim, nakon primjene lijeka </w:t>
      </w:r>
      <w:r w:rsidRPr="00275456">
        <w:rPr>
          <w:bCs/>
          <w:sz w:val="22"/>
          <w:szCs w:val="22"/>
          <w:lang w:val="sr-Latn-ME"/>
        </w:rPr>
        <w:t>Simponi</w:t>
      </w:r>
      <w:r w:rsidRPr="00275456">
        <w:rPr>
          <w:sz w:val="22"/>
          <w:szCs w:val="22"/>
          <w:lang w:val="sr-Latn-ME"/>
        </w:rPr>
        <w:t xml:space="preserve"> može se javiti nesvjestica (vidi poglavlje 4.8).</w:t>
      </w:r>
    </w:p>
    <w:p w14:paraId="1AEE685E" w14:textId="77777777" w:rsidR="00785722" w:rsidRPr="00275456" w:rsidRDefault="00785722" w:rsidP="005C6DFE">
      <w:pPr>
        <w:tabs>
          <w:tab w:val="left" w:pos="540"/>
          <w:tab w:val="left" w:pos="569"/>
        </w:tabs>
        <w:jc w:val="both"/>
        <w:rPr>
          <w:b/>
          <w:bCs/>
          <w:sz w:val="22"/>
          <w:szCs w:val="22"/>
          <w:lang w:val="sr-Latn-ME"/>
        </w:rPr>
      </w:pPr>
    </w:p>
    <w:p w14:paraId="429E0165" w14:textId="77777777"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4.8. </w:t>
      </w:r>
      <w:r w:rsidR="00480FB1" w:rsidRPr="00275456">
        <w:rPr>
          <w:b/>
          <w:bCs/>
          <w:sz w:val="22"/>
          <w:szCs w:val="22"/>
          <w:lang w:val="sr-Latn-ME"/>
        </w:rPr>
        <w:tab/>
      </w:r>
      <w:r w:rsidRPr="00275456">
        <w:rPr>
          <w:b/>
          <w:bCs/>
          <w:sz w:val="22"/>
          <w:szCs w:val="22"/>
          <w:lang w:val="sr-Latn-ME"/>
        </w:rPr>
        <w:t>Neželjena dejstva</w:t>
      </w:r>
    </w:p>
    <w:p w14:paraId="42A855EF" w14:textId="61D93CD9" w:rsidR="004E70AD" w:rsidRPr="00275456" w:rsidRDefault="004E70AD" w:rsidP="005C6DFE">
      <w:pPr>
        <w:tabs>
          <w:tab w:val="left" w:pos="540"/>
          <w:tab w:val="left" w:pos="569"/>
        </w:tabs>
        <w:jc w:val="both"/>
        <w:rPr>
          <w:b/>
          <w:bCs/>
          <w:sz w:val="22"/>
          <w:szCs w:val="22"/>
          <w:lang w:val="sr-Latn-ME"/>
        </w:rPr>
      </w:pPr>
    </w:p>
    <w:p w14:paraId="5A3C6686"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 xml:space="preserve">Sažetak bezbjednosnog profila </w:t>
      </w:r>
    </w:p>
    <w:p w14:paraId="5A360FD9" w14:textId="77777777" w:rsidR="00785722" w:rsidRPr="00275456" w:rsidRDefault="00785722" w:rsidP="005C6DFE">
      <w:pPr>
        <w:jc w:val="both"/>
        <w:rPr>
          <w:sz w:val="22"/>
          <w:szCs w:val="22"/>
          <w:lang w:val="sr-Latn-ME"/>
        </w:rPr>
      </w:pPr>
      <w:r w:rsidRPr="00275456">
        <w:rPr>
          <w:sz w:val="22"/>
          <w:szCs w:val="22"/>
          <w:lang w:val="sr-Latn-ME"/>
        </w:rPr>
        <w:t>Infekcije gornjeg respiratornog trakta su najčešće neželjene reakcije prijavljene tokom kontrolisanih faza pivotalnih studija kod 12,6%  pacijenata sa RA, PsA, AS, nr-Axial SpA i UC liječenih golimumabom, u poređenju sa 11,0% kontrolnih pacijenata. Najozbiljnije neželjene reakcije prijavljene na golimumab uključuju ozbiljne infekcije (uključujući sepsu, pneumoniju, TB, invazivne gljivične i oportunističke infekcije), poremećaj demijelinizacije, HBV reaktivaciju, hroničnu srčanu insuficijenciju, autoimune procese (sindrom sličan lupusu), hematološke reakcije, ozbiljnu sistemsku preosjetljivost (uključujući anafilaktičku reakciju), vaskulitis, limfom i leukemiju (vidjeti dio 4.4).</w:t>
      </w:r>
    </w:p>
    <w:p w14:paraId="670AEA9F" w14:textId="77777777" w:rsidR="00785722" w:rsidRPr="00275456" w:rsidRDefault="00785722" w:rsidP="005C6DFE">
      <w:pPr>
        <w:tabs>
          <w:tab w:val="left" w:pos="284"/>
        </w:tabs>
        <w:jc w:val="both"/>
        <w:rPr>
          <w:sz w:val="22"/>
          <w:szCs w:val="22"/>
          <w:lang w:val="sr-Latn-ME"/>
        </w:rPr>
      </w:pPr>
    </w:p>
    <w:p w14:paraId="28D7BA18"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Tabelarni prikaz neželjenih dejstava</w:t>
      </w:r>
    </w:p>
    <w:p w14:paraId="770AE682"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Neželjena dejstva zabilježena u kliničkim ispitivanjima i prijavljena globalno nakon stavljanja u promet golimumaba prikazana su u Tabeli 1. Unutar svakog organskog sistema neželjena dejstva su razvrstana prema učestalosti pojavljivanja prema sljedećoj konvenciji: veoma česta (≥ 1/10), česta (od ≥ 1/100 do &lt; 1/10), povremena (od ≥1/1.000 do &lt; 1/100), rijetka (od ≥1/10.000 do &lt;1/1.000), veoma rijetka (&lt;1/10.000), nepoznate učestalosti (ne može se procijentiti na osnovu dostupnih podataka). U okviru svake grupe učestalosti, neželjene reakcije su prikazane prema opadajućem stepenu ozbiljnosti. </w:t>
      </w:r>
    </w:p>
    <w:p w14:paraId="783A077A" w14:textId="77777777" w:rsidR="00785722" w:rsidRPr="00275456" w:rsidRDefault="00785722" w:rsidP="00785722">
      <w:pPr>
        <w:tabs>
          <w:tab w:val="left" w:pos="284"/>
        </w:tabs>
        <w:jc w:val="center"/>
        <w:rPr>
          <w:b/>
          <w:sz w:val="22"/>
          <w:szCs w:val="22"/>
          <w:lang w:val="sr-Latn-ME"/>
        </w:rPr>
      </w:pPr>
    </w:p>
    <w:p w14:paraId="653DD611" w14:textId="77777777" w:rsidR="00785722" w:rsidRPr="00275456" w:rsidRDefault="00785722">
      <w:pPr>
        <w:tabs>
          <w:tab w:val="left" w:pos="284"/>
        </w:tabs>
        <w:jc w:val="center"/>
        <w:rPr>
          <w:b/>
          <w:sz w:val="22"/>
          <w:szCs w:val="22"/>
          <w:lang w:val="sr-Latn-ME"/>
        </w:rPr>
      </w:pPr>
      <w:r w:rsidRPr="00275456">
        <w:rPr>
          <w:b/>
          <w:sz w:val="22"/>
          <w:szCs w:val="22"/>
          <w:lang w:val="sr-Latn-ME"/>
        </w:rPr>
        <w:t>Tabela 1</w:t>
      </w:r>
    </w:p>
    <w:p w14:paraId="104A4908" w14:textId="77777777" w:rsidR="00785722" w:rsidRPr="00275456" w:rsidRDefault="00785722">
      <w:pPr>
        <w:tabs>
          <w:tab w:val="left" w:pos="284"/>
        </w:tabs>
        <w:jc w:val="center"/>
        <w:rPr>
          <w:b/>
          <w:sz w:val="22"/>
          <w:szCs w:val="22"/>
          <w:lang w:val="sr-Latn-ME"/>
        </w:rPr>
      </w:pPr>
      <w:r w:rsidRPr="00275456">
        <w:rPr>
          <w:b/>
          <w:sz w:val="22"/>
          <w:szCs w:val="22"/>
          <w:lang w:val="sr-Latn-ME"/>
        </w:rPr>
        <w:t>Tabelarni prikaz neželjenih reakcija</w:t>
      </w:r>
    </w:p>
    <w:tbl>
      <w:tblPr>
        <w:tblW w:w="945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62"/>
        <w:gridCol w:w="5889"/>
      </w:tblGrid>
      <w:tr w:rsidR="00785722" w:rsidRPr="00275456" w14:paraId="5051D3D8" w14:textId="77777777" w:rsidTr="00A3401E">
        <w:trPr>
          <w:trHeight w:val="174"/>
          <w:jc w:val="center"/>
        </w:trPr>
        <w:tc>
          <w:tcPr>
            <w:tcW w:w="3562" w:type="dxa"/>
            <w:tcBorders>
              <w:top w:val="single" w:sz="4" w:space="0" w:color="auto"/>
              <w:left w:val="single" w:sz="4" w:space="0" w:color="auto"/>
              <w:bottom w:val="nil"/>
              <w:right w:val="nil"/>
            </w:tcBorders>
          </w:tcPr>
          <w:p w14:paraId="0CE07F3E" w14:textId="77777777" w:rsidR="00785722" w:rsidRPr="00275456" w:rsidRDefault="00785722" w:rsidP="00A3401E">
            <w:pPr>
              <w:keepNext/>
              <w:tabs>
                <w:tab w:val="left" w:pos="284"/>
              </w:tabs>
              <w:rPr>
                <w:sz w:val="22"/>
                <w:szCs w:val="22"/>
                <w:lang w:val="sr-Latn-ME"/>
              </w:rPr>
            </w:pPr>
            <w:r w:rsidRPr="00275456">
              <w:rPr>
                <w:sz w:val="22"/>
                <w:szCs w:val="22"/>
                <w:lang w:val="sr-Latn-ME"/>
              </w:rPr>
              <w:t>Infekcije i infestacije</w:t>
            </w:r>
          </w:p>
        </w:tc>
        <w:tc>
          <w:tcPr>
            <w:tcW w:w="5889" w:type="dxa"/>
            <w:tcBorders>
              <w:top w:val="single" w:sz="4" w:space="0" w:color="auto"/>
              <w:left w:val="nil"/>
              <w:bottom w:val="nil"/>
              <w:right w:val="single" w:sz="4" w:space="0" w:color="auto"/>
            </w:tcBorders>
          </w:tcPr>
          <w:p w14:paraId="1B7E1E01" w14:textId="77777777" w:rsidR="00785722" w:rsidRPr="00275456" w:rsidRDefault="00785722" w:rsidP="00A3401E">
            <w:pPr>
              <w:keepNext/>
              <w:tabs>
                <w:tab w:val="left" w:pos="284"/>
              </w:tabs>
              <w:rPr>
                <w:sz w:val="22"/>
                <w:szCs w:val="22"/>
                <w:lang w:val="sr-Latn-ME"/>
              </w:rPr>
            </w:pPr>
          </w:p>
        </w:tc>
      </w:tr>
      <w:tr w:rsidR="00785722" w:rsidRPr="00275456" w14:paraId="687298F0" w14:textId="77777777" w:rsidTr="00A3401E">
        <w:trPr>
          <w:trHeight w:val="363"/>
          <w:jc w:val="center"/>
        </w:trPr>
        <w:tc>
          <w:tcPr>
            <w:tcW w:w="3562" w:type="dxa"/>
            <w:tcBorders>
              <w:top w:val="nil"/>
              <w:left w:val="single" w:sz="4" w:space="0" w:color="auto"/>
              <w:bottom w:val="nil"/>
              <w:right w:val="nil"/>
            </w:tcBorders>
          </w:tcPr>
          <w:p w14:paraId="6E38EA3F" w14:textId="77777777" w:rsidR="00785722" w:rsidRPr="00EA088A" w:rsidRDefault="00785722" w:rsidP="00A3401E">
            <w:pPr>
              <w:keepNext/>
              <w:tabs>
                <w:tab w:val="left" w:pos="284"/>
              </w:tabs>
              <w:jc w:val="right"/>
              <w:rPr>
                <w:sz w:val="22"/>
                <w:szCs w:val="22"/>
                <w:lang w:val="sr-Latn-ME"/>
              </w:rPr>
            </w:pPr>
            <w:r w:rsidRPr="00EA088A">
              <w:rPr>
                <w:sz w:val="22"/>
                <w:szCs w:val="22"/>
                <w:lang w:val="sr-Latn-ME"/>
              </w:rPr>
              <w:t xml:space="preserve">Veoma često: </w:t>
            </w:r>
          </w:p>
        </w:tc>
        <w:tc>
          <w:tcPr>
            <w:tcW w:w="5889" w:type="dxa"/>
            <w:tcBorders>
              <w:top w:val="nil"/>
              <w:left w:val="nil"/>
              <w:bottom w:val="nil"/>
              <w:right w:val="single" w:sz="4" w:space="0" w:color="auto"/>
            </w:tcBorders>
          </w:tcPr>
          <w:p w14:paraId="187F587E" w14:textId="77777777" w:rsidR="00785722" w:rsidRPr="00EA088A" w:rsidRDefault="00785722" w:rsidP="00A3401E">
            <w:pPr>
              <w:keepNext/>
              <w:tabs>
                <w:tab w:val="left" w:pos="284"/>
              </w:tabs>
              <w:rPr>
                <w:sz w:val="22"/>
                <w:szCs w:val="22"/>
                <w:lang w:val="sr-Latn-ME"/>
              </w:rPr>
            </w:pPr>
            <w:r w:rsidRPr="00EA088A">
              <w:rPr>
                <w:sz w:val="22"/>
                <w:szCs w:val="22"/>
                <w:lang w:val="sr-Latn-ME"/>
              </w:rPr>
              <w:t>Infekcije gornjih respiratornih puteva (nazofaringitis, faringitis, laringitis i rinitis)</w:t>
            </w:r>
          </w:p>
        </w:tc>
      </w:tr>
      <w:tr w:rsidR="00785722" w:rsidRPr="00275456" w14:paraId="0EF47EAA" w14:textId="77777777" w:rsidTr="00A3401E">
        <w:trPr>
          <w:trHeight w:val="205"/>
          <w:jc w:val="center"/>
        </w:trPr>
        <w:tc>
          <w:tcPr>
            <w:tcW w:w="3562" w:type="dxa"/>
            <w:tcBorders>
              <w:top w:val="nil"/>
              <w:left w:val="single" w:sz="4" w:space="0" w:color="auto"/>
              <w:bottom w:val="nil"/>
              <w:right w:val="nil"/>
            </w:tcBorders>
          </w:tcPr>
          <w:p w14:paraId="0F620DC0" w14:textId="77777777" w:rsidR="00785722" w:rsidRPr="00EA088A" w:rsidRDefault="00785722" w:rsidP="00A3401E">
            <w:pPr>
              <w:keepNext/>
              <w:tabs>
                <w:tab w:val="left" w:pos="284"/>
              </w:tabs>
              <w:jc w:val="right"/>
              <w:rPr>
                <w:sz w:val="22"/>
                <w:szCs w:val="22"/>
                <w:lang w:val="sr-Latn-ME"/>
              </w:rPr>
            </w:pPr>
          </w:p>
          <w:p w14:paraId="3FB63B11" w14:textId="77777777" w:rsidR="00785722" w:rsidRPr="00EA088A" w:rsidRDefault="00785722" w:rsidP="00A3401E">
            <w:pPr>
              <w:keepNext/>
              <w:tabs>
                <w:tab w:val="left" w:pos="284"/>
              </w:tabs>
              <w:jc w:val="right"/>
              <w:rPr>
                <w:sz w:val="22"/>
                <w:szCs w:val="22"/>
                <w:lang w:val="sr-Latn-ME"/>
              </w:rPr>
            </w:pPr>
            <w:r w:rsidRPr="00EA088A">
              <w:rPr>
                <w:sz w:val="22"/>
                <w:szCs w:val="22"/>
                <w:lang w:val="sr-Latn-ME"/>
              </w:rPr>
              <w:t>Često:</w:t>
            </w:r>
          </w:p>
        </w:tc>
        <w:tc>
          <w:tcPr>
            <w:tcW w:w="5889" w:type="dxa"/>
            <w:tcBorders>
              <w:top w:val="nil"/>
              <w:left w:val="nil"/>
              <w:bottom w:val="nil"/>
              <w:right w:val="single" w:sz="4" w:space="0" w:color="auto"/>
            </w:tcBorders>
          </w:tcPr>
          <w:p w14:paraId="4D04DD7B" w14:textId="77777777" w:rsidR="00785722" w:rsidRPr="00C9046D" w:rsidRDefault="00785722" w:rsidP="00A3401E">
            <w:pPr>
              <w:keepNext/>
              <w:tabs>
                <w:tab w:val="left" w:pos="284"/>
              </w:tabs>
              <w:rPr>
                <w:sz w:val="22"/>
                <w:szCs w:val="22"/>
                <w:lang w:val="sr-Latn-ME"/>
              </w:rPr>
            </w:pPr>
          </w:p>
          <w:p w14:paraId="4EB19D83" w14:textId="77777777" w:rsidR="00785722" w:rsidRPr="00275456" w:rsidRDefault="00785722" w:rsidP="00A3401E">
            <w:pPr>
              <w:keepNext/>
              <w:tabs>
                <w:tab w:val="left" w:pos="284"/>
              </w:tabs>
              <w:rPr>
                <w:sz w:val="22"/>
                <w:szCs w:val="22"/>
                <w:lang w:val="sr-Latn-ME"/>
              </w:rPr>
            </w:pPr>
            <w:r w:rsidRPr="00275456">
              <w:rPr>
                <w:sz w:val="22"/>
                <w:szCs w:val="22"/>
                <w:lang w:val="sr-Latn-ME"/>
              </w:rPr>
              <w:t>Bakterijske infekcije (npr. celulitis), infekcije donjih respiratornih puteva (npr. pneumonija), virusne infekcije (npr. influenca i herpes), bronhitis, sinuzitis, površinske gljivične infekcije, apsces</w:t>
            </w:r>
          </w:p>
        </w:tc>
      </w:tr>
      <w:tr w:rsidR="00785722" w:rsidRPr="00275456" w14:paraId="791FA222" w14:textId="77777777" w:rsidTr="00A3401E">
        <w:trPr>
          <w:trHeight w:val="205"/>
          <w:jc w:val="center"/>
        </w:trPr>
        <w:tc>
          <w:tcPr>
            <w:tcW w:w="3562" w:type="dxa"/>
            <w:tcBorders>
              <w:top w:val="nil"/>
              <w:left w:val="single" w:sz="4" w:space="0" w:color="auto"/>
              <w:bottom w:val="nil"/>
              <w:right w:val="nil"/>
            </w:tcBorders>
          </w:tcPr>
          <w:p w14:paraId="54ABEB97" w14:textId="77777777" w:rsidR="00785722" w:rsidRPr="00EA088A" w:rsidRDefault="00785722" w:rsidP="00A3401E">
            <w:pPr>
              <w:keepNext/>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nil"/>
              <w:right w:val="single" w:sz="4" w:space="0" w:color="auto"/>
            </w:tcBorders>
          </w:tcPr>
          <w:p w14:paraId="6279E3A8" w14:textId="77777777" w:rsidR="00785722" w:rsidRPr="00EA088A" w:rsidRDefault="00785722" w:rsidP="00A3401E">
            <w:pPr>
              <w:keepNext/>
              <w:tabs>
                <w:tab w:val="left" w:pos="284"/>
              </w:tabs>
              <w:rPr>
                <w:sz w:val="22"/>
                <w:szCs w:val="22"/>
                <w:lang w:val="sr-Latn-ME"/>
              </w:rPr>
            </w:pPr>
            <w:r w:rsidRPr="00EA088A">
              <w:rPr>
                <w:sz w:val="22"/>
                <w:szCs w:val="22"/>
                <w:lang w:val="sr-Latn-ME"/>
              </w:rPr>
              <w:t xml:space="preserve">Sepsa uključujući septički šok, pijelonefritis </w:t>
            </w:r>
          </w:p>
        </w:tc>
      </w:tr>
      <w:tr w:rsidR="00785722" w:rsidRPr="00275456" w14:paraId="3D3B4AD6" w14:textId="77777777" w:rsidTr="00A3401E">
        <w:trPr>
          <w:trHeight w:val="205"/>
          <w:jc w:val="center"/>
        </w:trPr>
        <w:tc>
          <w:tcPr>
            <w:tcW w:w="3562" w:type="dxa"/>
            <w:tcBorders>
              <w:top w:val="nil"/>
              <w:left w:val="single" w:sz="4" w:space="0" w:color="auto"/>
              <w:bottom w:val="single" w:sz="4" w:space="0" w:color="auto"/>
              <w:right w:val="nil"/>
            </w:tcBorders>
          </w:tcPr>
          <w:p w14:paraId="4D9BE717" w14:textId="77777777" w:rsidR="00785722" w:rsidRPr="00EA088A" w:rsidRDefault="00785722" w:rsidP="00A3401E">
            <w:pPr>
              <w:keepNext/>
              <w:tabs>
                <w:tab w:val="left" w:pos="284"/>
              </w:tabs>
              <w:jc w:val="right"/>
              <w:rPr>
                <w:sz w:val="22"/>
                <w:szCs w:val="22"/>
                <w:lang w:val="sr-Latn-ME"/>
              </w:rPr>
            </w:pPr>
            <w:r w:rsidRPr="00EA088A">
              <w:rPr>
                <w:sz w:val="22"/>
                <w:szCs w:val="22"/>
                <w:lang w:val="sr-Latn-ME"/>
              </w:rPr>
              <w:t>Rijetko:</w:t>
            </w:r>
          </w:p>
        </w:tc>
        <w:tc>
          <w:tcPr>
            <w:tcW w:w="5889" w:type="dxa"/>
            <w:tcBorders>
              <w:top w:val="nil"/>
              <w:left w:val="nil"/>
              <w:bottom w:val="single" w:sz="4" w:space="0" w:color="auto"/>
              <w:right w:val="single" w:sz="4" w:space="0" w:color="auto"/>
            </w:tcBorders>
          </w:tcPr>
          <w:p w14:paraId="70FD3731" w14:textId="77777777" w:rsidR="00785722" w:rsidRPr="00275456" w:rsidRDefault="00785722" w:rsidP="00A3401E">
            <w:pPr>
              <w:keepNext/>
              <w:tabs>
                <w:tab w:val="left" w:pos="284"/>
              </w:tabs>
              <w:rPr>
                <w:sz w:val="22"/>
                <w:szCs w:val="22"/>
                <w:lang w:val="sr-Latn-ME"/>
              </w:rPr>
            </w:pPr>
            <w:r w:rsidRPr="00EA088A">
              <w:rPr>
                <w:sz w:val="22"/>
                <w:szCs w:val="22"/>
                <w:lang w:val="sr-Latn-ME"/>
              </w:rPr>
              <w:t>Tuberkuloza,</w:t>
            </w:r>
            <w:r w:rsidRPr="00C9046D">
              <w:rPr>
                <w:sz w:val="22"/>
                <w:szCs w:val="22"/>
                <w:lang w:val="sr-Latn-ME"/>
              </w:rPr>
              <w:t xml:space="preserve"> oportunističke infekcije (npr. invazivne gljivične infekcije [histoplazmoza, kokcidioidomikoza, pneumocitoza], bakterijske, atipične mikobakterijske infekcije kao i infekcije protozoama) reaktivacija hepatitisa B, bakterijski artritis, infektivni burzitis</w:t>
            </w:r>
            <w:r w:rsidRPr="00275456">
              <w:rPr>
                <w:sz w:val="22"/>
                <w:szCs w:val="22"/>
                <w:lang w:val="sr-Latn-ME"/>
              </w:rPr>
              <w:t xml:space="preserve"> </w:t>
            </w:r>
          </w:p>
        </w:tc>
      </w:tr>
      <w:tr w:rsidR="00785722" w:rsidRPr="00275456" w14:paraId="4C10504D" w14:textId="77777777" w:rsidTr="00A3401E">
        <w:trPr>
          <w:trHeight w:val="174"/>
          <w:jc w:val="center"/>
        </w:trPr>
        <w:tc>
          <w:tcPr>
            <w:tcW w:w="3562" w:type="dxa"/>
            <w:tcBorders>
              <w:top w:val="single" w:sz="4" w:space="0" w:color="auto"/>
              <w:left w:val="single" w:sz="4" w:space="0" w:color="auto"/>
              <w:bottom w:val="nil"/>
              <w:right w:val="nil"/>
            </w:tcBorders>
          </w:tcPr>
          <w:p w14:paraId="26B2CD49" w14:textId="77777777" w:rsidR="00785722" w:rsidRPr="00EA088A" w:rsidRDefault="00785722" w:rsidP="00A3401E">
            <w:pPr>
              <w:tabs>
                <w:tab w:val="left" w:pos="284"/>
              </w:tabs>
              <w:rPr>
                <w:sz w:val="22"/>
                <w:szCs w:val="22"/>
                <w:lang w:val="sr-Latn-ME"/>
              </w:rPr>
            </w:pPr>
            <w:r w:rsidRPr="00EA088A">
              <w:rPr>
                <w:sz w:val="22"/>
                <w:szCs w:val="22"/>
                <w:lang w:val="sr-Latn-ME"/>
              </w:rPr>
              <w:t>Benigne, maligne i nespecifične neoplazme</w:t>
            </w:r>
          </w:p>
        </w:tc>
        <w:tc>
          <w:tcPr>
            <w:tcW w:w="5889" w:type="dxa"/>
            <w:tcBorders>
              <w:top w:val="single" w:sz="4" w:space="0" w:color="auto"/>
              <w:left w:val="nil"/>
              <w:bottom w:val="nil"/>
              <w:right w:val="single" w:sz="4" w:space="0" w:color="auto"/>
            </w:tcBorders>
          </w:tcPr>
          <w:p w14:paraId="347A1F52" w14:textId="77777777" w:rsidR="00785722" w:rsidRPr="00EA088A" w:rsidRDefault="00785722" w:rsidP="00A3401E">
            <w:pPr>
              <w:tabs>
                <w:tab w:val="left" w:pos="284"/>
              </w:tabs>
              <w:rPr>
                <w:sz w:val="22"/>
                <w:szCs w:val="22"/>
                <w:lang w:val="sr-Latn-ME"/>
              </w:rPr>
            </w:pPr>
          </w:p>
        </w:tc>
      </w:tr>
      <w:tr w:rsidR="00785722" w:rsidRPr="00275456" w14:paraId="6E8AA851" w14:textId="77777777" w:rsidTr="00A3401E">
        <w:trPr>
          <w:trHeight w:val="174"/>
          <w:jc w:val="center"/>
        </w:trPr>
        <w:tc>
          <w:tcPr>
            <w:tcW w:w="3562" w:type="dxa"/>
            <w:tcBorders>
              <w:top w:val="nil"/>
              <w:left w:val="single" w:sz="4" w:space="0" w:color="auto"/>
              <w:bottom w:val="nil"/>
              <w:right w:val="nil"/>
            </w:tcBorders>
          </w:tcPr>
          <w:p w14:paraId="28E566B3"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nil"/>
              <w:right w:val="single" w:sz="4" w:space="0" w:color="auto"/>
            </w:tcBorders>
          </w:tcPr>
          <w:p w14:paraId="03A1BADF" w14:textId="77777777" w:rsidR="00785722" w:rsidRPr="00EA088A" w:rsidRDefault="00785722" w:rsidP="00A3401E">
            <w:pPr>
              <w:tabs>
                <w:tab w:val="left" w:pos="284"/>
              </w:tabs>
              <w:rPr>
                <w:sz w:val="22"/>
                <w:szCs w:val="22"/>
                <w:lang w:val="sr-Latn-ME"/>
              </w:rPr>
            </w:pPr>
            <w:r w:rsidRPr="00EA088A">
              <w:rPr>
                <w:sz w:val="22"/>
                <w:szCs w:val="22"/>
                <w:lang w:val="sr-Latn-ME"/>
              </w:rPr>
              <w:t>Neoplazme (npr. rak kože, karcinom skvamoznih ćelija i melanocitni nevus)</w:t>
            </w:r>
          </w:p>
        </w:tc>
      </w:tr>
      <w:tr w:rsidR="00785722" w:rsidRPr="00275456" w14:paraId="6F14F820" w14:textId="77777777" w:rsidTr="00A3401E">
        <w:trPr>
          <w:trHeight w:val="174"/>
          <w:jc w:val="center"/>
        </w:trPr>
        <w:tc>
          <w:tcPr>
            <w:tcW w:w="3562" w:type="dxa"/>
            <w:tcBorders>
              <w:top w:val="nil"/>
              <w:left w:val="single" w:sz="4" w:space="0" w:color="auto"/>
              <w:bottom w:val="single" w:sz="4" w:space="0" w:color="auto"/>
              <w:right w:val="nil"/>
            </w:tcBorders>
          </w:tcPr>
          <w:p w14:paraId="58682B2D" w14:textId="77777777" w:rsidR="00785722" w:rsidRPr="00EA088A" w:rsidRDefault="00785722" w:rsidP="00A3401E">
            <w:pPr>
              <w:tabs>
                <w:tab w:val="left" w:pos="284"/>
              </w:tabs>
              <w:jc w:val="right"/>
              <w:rPr>
                <w:sz w:val="22"/>
                <w:szCs w:val="22"/>
                <w:lang w:val="sr-Latn-ME"/>
              </w:rPr>
            </w:pPr>
            <w:r w:rsidRPr="00EA088A">
              <w:rPr>
                <w:sz w:val="22"/>
                <w:szCs w:val="22"/>
                <w:lang w:val="sr-Latn-ME"/>
              </w:rPr>
              <w:t>Rijetko:</w:t>
            </w:r>
          </w:p>
          <w:p w14:paraId="2F4D5203" w14:textId="77777777" w:rsidR="00785722" w:rsidRPr="00EA088A" w:rsidRDefault="00785722" w:rsidP="00A3401E">
            <w:pPr>
              <w:tabs>
                <w:tab w:val="left" w:pos="284"/>
              </w:tabs>
              <w:jc w:val="right"/>
              <w:rPr>
                <w:sz w:val="22"/>
                <w:szCs w:val="22"/>
                <w:lang w:val="sr-Latn-ME"/>
              </w:rPr>
            </w:pPr>
            <w:r w:rsidRPr="00EA088A">
              <w:rPr>
                <w:sz w:val="22"/>
                <w:szCs w:val="22"/>
                <w:lang w:val="sr-Latn-ME"/>
              </w:rPr>
              <w:t>Nepoznata učestalost:</w:t>
            </w:r>
          </w:p>
        </w:tc>
        <w:tc>
          <w:tcPr>
            <w:tcW w:w="5889" w:type="dxa"/>
            <w:tcBorders>
              <w:top w:val="nil"/>
              <w:left w:val="nil"/>
              <w:bottom w:val="single" w:sz="4" w:space="0" w:color="auto"/>
              <w:right w:val="single" w:sz="4" w:space="0" w:color="auto"/>
            </w:tcBorders>
          </w:tcPr>
          <w:p w14:paraId="44500FD0" w14:textId="77777777" w:rsidR="00785722" w:rsidRPr="00C9046D" w:rsidRDefault="00785722" w:rsidP="00A3401E">
            <w:pPr>
              <w:tabs>
                <w:tab w:val="left" w:pos="284"/>
              </w:tabs>
              <w:rPr>
                <w:sz w:val="22"/>
                <w:szCs w:val="22"/>
                <w:lang w:val="sr-Latn-ME"/>
              </w:rPr>
            </w:pPr>
            <w:r w:rsidRPr="00C9046D">
              <w:rPr>
                <w:sz w:val="22"/>
                <w:szCs w:val="22"/>
                <w:lang w:val="sr-Latn-ME"/>
              </w:rPr>
              <w:t>Limfom, leukemija, melanom, karcinom Merkelovih ćelija</w:t>
            </w:r>
          </w:p>
          <w:p w14:paraId="4E7B666B" w14:textId="0661FB88" w:rsidR="00785722" w:rsidRPr="00275456" w:rsidRDefault="00785722" w:rsidP="00A3401E">
            <w:pPr>
              <w:tabs>
                <w:tab w:val="left" w:pos="284"/>
              </w:tabs>
              <w:rPr>
                <w:sz w:val="22"/>
                <w:szCs w:val="22"/>
                <w:lang w:val="sr-Latn-ME"/>
              </w:rPr>
            </w:pPr>
            <w:r w:rsidRPr="00275456">
              <w:rPr>
                <w:sz w:val="22"/>
                <w:szCs w:val="22"/>
                <w:lang w:val="sr-Latn-ME"/>
              </w:rPr>
              <w:t>Hepatosplenični T-ćelijski limfom*</w:t>
            </w:r>
            <w:r w:rsidR="00BB5D84" w:rsidRPr="00275456">
              <w:rPr>
                <w:sz w:val="22"/>
                <w:szCs w:val="22"/>
                <w:lang w:val="sr-Latn-ME"/>
              </w:rPr>
              <w:t>, Kapošijev sarkom</w:t>
            </w:r>
          </w:p>
        </w:tc>
      </w:tr>
      <w:tr w:rsidR="00785722" w:rsidRPr="00275456" w14:paraId="122C031A" w14:textId="77777777" w:rsidTr="00A3401E">
        <w:trPr>
          <w:trHeight w:val="174"/>
          <w:jc w:val="center"/>
        </w:trPr>
        <w:tc>
          <w:tcPr>
            <w:tcW w:w="3562" w:type="dxa"/>
            <w:tcBorders>
              <w:top w:val="single" w:sz="4" w:space="0" w:color="auto"/>
              <w:left w:val="single" w:sz="4" w:space="0" w:color="auto"/>
              <w:bottom w:val="nil"/>
              <w:right w:val="nil"/>
            </w:tcBorders>
          </w:tcPr>
          <w:p w14:paraId="127FDAFD" w14:textId="77777777" w:rsidR="00785722" w:rsidRPr="00EA088A" w:rsidRDefault="00785722" w:rsidP="00A3401E">
            <w:pPr>
              <w:tabs>
                <w:tab w:val="left" w:pos="284"/>
              </w:tabs>
              <w:rPr>
                <w:sz w:val="22"/>
                <w:szCs w:val="22"/>
                <w:lang w:val="sr-Latn-ME"/>
              </w:rPr>
            </w:pPr>
            <w:r w:rsidRPr="00EA088A">
              <w:rPr>
                <w:bCs/>
                <w:sz w:val="22"/>
                <w:szCs w:val="22"/>
                <w:lang w:val="sr-Latn-ME"/>
              </w:rPr>
              <w:t>Poremećaji na nivou krvi i limfnog sistema</w:t>
            </w:r>
          </w:p>
        </w:tc>
        <w:tc>
          <w:tcPr>
            <w:tcW w:w="5889" w:type="dxa"/>
            <w:tcBorders>
              <w:top w:val="single" w:sz="4" w:space="0" w:color="auto"/>
              <w:left w:val="nil"/>
              <w:bottom w:val="nil"/>
              <w:right w:val="single" w:sz="4" w:space="0" w:color="auto"/>
            </w:tcBorders>
          </w:tcPr>
          <w:p w14:paraId="4E00DD06" w14:textId="77777777" w:rsidR="00785722" w:rsidRPr="00C9046D" w:rsidRDefault="00785722" w:rsidP="00A3401E">
            <w:pPr>
              <w:keepNext/>
              <w:tabs>
                <w:tab w:val="left" w:pos="284"/>
              </w:tabs>
              <w:rPr>
                <w:sz w:val="22"/>
                <w:szCs w:val="22"/>
                <w:lang w:val="sr-Latn-ME"/>
              </w:rPr>
            </w:pPr>
          </w:p>
        </w:tc>
      </w:tr>
      <w:tr w:rsidR="00785722" w:rsidRPr="00275456" w14:paraId="3EA790AE" w14:textId="77777777" w:rsidTr="00A3401E">
        <w:trPr>
          <w:trHeight w:val="174"/>
          <w:jc w:val="center"/>
        </w:trPr>
        <w:tc>
          <w:tcPr>
            <w:tcW w:w="3562" w:type="dxa"/>
            <w:tcBorders>
              <w:top w:val="nil"/>
              <w:left w:val="single" w:sz="4" w:space="0" w:color="auto"/>
              <w:bottom w:val="nil"/>
              <w:right w:val="nil"/>
            </w:tcBorders>
            <w:vAlign w:val="center"/>
          </w:tcPr>
          <w:p w14:paraId="3D7FC0B5" w14:textId="77777777" w:rsidR="00785722" w:rsidRPr="00EA088A" w:rsidRDefault="00785722" w:rsidP="00A3401E">
            <w:pPr>
              <w:tabs>
                <w:tab w:val="left" w:pos="284"/>
              </w:tabs>
              <w:jc w:val="right"/>
              <w:rPr>
                <w:sz w:val="22"/>
                <w:szCs w:val="22"/>
                <w:lang w:val="sr-Latn-ME"/>
              </w:rPr>
            </w:pPr>
            <w:r w:rsidRPr="00EA088A">
              <w:rPr>
                <w:sz w:val="22"/>
                <w:szCs w:val="22"/>
                <w:lang w:val="sr-Latn-ME"/>
              </w:rPr>
              <w:lastRenderedPageBreak/>
              <w:t>Često:</w:t>
            </w:r>
          </w:p>
        </w:tc>
        <w:tc>
          <w:tcPr>
            <w:tcW w:w="5889" w:type="dxa"/>
            <w:tcBorders>
              <w:top w:val="nil"/>
              <w:left w:val="nil"/>
              <w:bottom w:val="nil"/>
              <w:right w:val="single" w:sz="4" w:space="0" w:color="auto"/>
            </w:tcBorders>
          </w:tcPr>
          <w:p w14:paraId="6910A56F" w14:textId="77777777" w:rsidR="00785722" w:rsidRPr="00EA088A" w:rsidRDefault="00785722" w:rsidP="00A3401E">
            <w:pPr>
              <w:tabs>
                <w:tab w:val="left" w:pos="284"/>
              </w:tabs>
              <w:rPr>
                <w:sz w:val="22"/>
                <w:szCs w:val="22"/>
                <w:lang w:val="sr-Latn-ME"/>
              </w:rPr>
            </w:pPr>
            <w:r w:rsidRPr="00EA088A">
              <w:rPr>
                <w:sz w:val="22"/>
                <w:szCs w:val="22"/>
                <w:lang w:val="sr-Latn-ME"/>
              </w:rPr>
              <w:t>Leukopenija (uključujući neutropeniju), anemija</w:t>
            </w:r>
          </w:p>
        </w:tc>
      </w:tr>
      <w:tr w:rsidR="00785722" w:rsidRPr="00275456" w14:paraId="69A5AD88" w14:textId="77777777" w:rsidTr="00A3401E">
        <w:trPr>
          <w:trHeight w:val="174"/>
          <w:jc w:val="center"/>
        </w:trPr>
        <w:tc>
          <w:tcPr>
            <w:tcW w:w="3562" w:type="dxa"/>
            <w:tcBorders>
              <w:top w:val="nil"/>
              <w:left w:val="single" w:sz="4" w:space="0" w:color="auto"/>
              <w:bottom w:val="nil"/>
              <w:right w:val="nil"/>
            </w:tcBorders>
          </w:tcPr>
          <w:p w14:paraId="3D6638A1"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nil"/>
              <w:right w:val="single" w:sz="4" w:space="0" w:color="auto"/>
            </w:tcBorders>
          </w:tcPr>
          <w:p w14:paraId="15975507" w14:textId="77777777" w:rsidR="00785722" w:rsidRPr="00EA088A" w:rsidRDefault="00785722" w:rsidP="00A3401E">
            <w:pPr>
              <w:tabs>
                <w:tab w:val="left" w:pos="284"/>
              </w:tabs>
              <w:rPr>
                <w:sz w:val="22"/>
                <w:szCs w:val="22"/>
                <w:lang w:val="sr-Latn-ME"/>
              </w:rPr>
            </w:pPr>
            <w:r w:rsidRPr="00EA088A">
              <w:rPr>
                <w:sz w:val="22"/>
                <w:szCs w:val="22"/>
                <w:lang w:val="sr-Latn-ME"/>
              </w:rPr>
              <w:t>Trombocitopenija, pancitopenija</w:t>
            </w:r>
          </w:p>
        </w:tc>
      </w:tr>
      <w:tr w:rsidR="00785722" w:rsidRPr="00275456" w14:paraId="661C9A8F" w14:textId="77777777" w:rsidTr="00A3401E">
        <w:trPr>
          <w:trHeight w:val="174"/>
          <w:jc w:val="center"/>
        </w:trPr>
        <w:tc>
          <w:tcPr>
            <w:tcW w:w="3562" w:type="dxa"/>
            <w:tcBorders>
              <w:top w:val="nil"/>
              <w:left w:val="single" w:sz="4" w:space="0" w:color="auto"/>
              <w:bottom w:val="nil"/>
              <w:right w:val="nil"/>
            </w:tcBorders>
            <w:vAlign w:val="center"/>
          </w:tcPr>
          <w:p w14:paraId="13FF18E5" w14:textId="77777777" w:rsidR="00785722" w:rsidRPr="00EA088A" w:rsidRDefault="00785722" w:rsidP="00A3401E">
            <w:pPr>
              <w:tabs>
                <w:tab w:val="left" w:pos="284"/>
              </w:tabs>
              <w:jc w:val="right"/>
              <w:rPr>
                <w:sz w:val="22"/>
                <w:szCs w:val="22"/>
                <w:lang w:val="sr-Latn-ME"/>
              </w:rPr>
            </w:pPr>
          </w:p>
        </w:tc>
        <w:tc>
          <w:tcPr>
            <w:tcW w:w="5889" w:type="dxa"/>
            <w:tcBorders>
              <w:top w:val="nil"/>
              <w:left w:val="nil"/>
              <w:bottom w:val="nil"/>
              <w:right w:val="single" w:sz="4" w:space="0" w:color="auto"/>
            </w:tcBorders>
          </w:tcPr>
          <w:p w14:paraId="3C6ABE8A" w14:textId="77777777" w:rsidR="00785722" w:rsidRPr="00EA088A" w:rsidRDefault="00785722" w:rsidP="00A3401E">
            <w:pPr>
              <w:tabs>
                <w:tab w:val="left" w:pos="284"/>
              </w:tabs>
              <w:rPr>
                <w:sz w:val="22"/>
                <w:szCs w:val="22"/>
                <w:lang w:val="sr-Latn-ME"/>
              </w:rPr>
            </w:pPr>
          </w:p>
        </w:tc>
      </w:tr>
      <w:tr w:rsidR="00785722" w:rsidRPr="00275456" w14:paraId="7DF62B9A" w14:textId="77777777" w:rsidTr="00A3401E">
        <w:trPr>
          <w:trHeight w:val="174"/>
          <w:jc w:val="center"/>
        </w:trPr>
        <w:tc>
          <w:tcPr>
            <w:tcW w:w="3562" w:type="dxa"/>
            <w:tcBorders>
              <w:top w:val="nil"/>
              <w:left w:val="single" w:sz="4" w:space="0" w:color="auto"/>
              <w:bottom w:val="single" w:sz="4" w:space="0" w:color="auto"/>
              <w:right w:val="nil"/>
            </w:tcBorders>
            <w:vAlign w:val="center"/>
          </w:tcPr>
          <w:p w14:paraId="72624566" w14:textId="77777777" w:rsidR="00785722" w:rsidRPr="00EA088A" w:rsidRDefault="00785722" w:rsidP="00A3401E">
            <w:pPr>
              <w:tabs>
                <w:tab w:val="left" w:pos="284"/>
              </w:tabs>
              <w:jc w:val="right"/>
              <w:rPr>
                <w:sz w:val="22"/>
                <w:szCs w:val="22"/>
                <w:lang w:val="sr-Latn-ME"/>
              </w:rPr>
            </w:pPr>
            <w:r w:rsidRPr="00EA088A">
              <w:rPr>
                <w:sz w:val="22"/>
                <w:szCs w:val="22"/>
                <w:lang w:val="sr-Latn-ME"/>
              </w:rPr>
              <w:t>Rijetko:</w:t>
            </w:r>
          </w:p>
        </w:tc>
        <w:tc>
          <w:tcPr>
            <w:tcW w:w="5889" w:type="dxa"/>
            <w:tcBorders>
              <w:top w:val="nil"/>
              <w:left w:val="nil"/>
              <w:bottom w:val="single" w:sz="4" w:space="0" w:color="auto"/>
              <w:right w:val="single" w:sz="4" w:space="0" w:color="auto"/>
            </w:tcBorders>
          </w:tcPr>
          <w:p w14:paraId="3F0D5802" w14:textId="77777777" w:rsidR="00785722" w:rsidRPr="00EA088A" w:rsidRDefault="00785722" w:rsidP="00A3401E">
            <w:pPr>
              <w:tabs>
                <w:tab w:val="left" w:pos="284"/>
              </w:tabs>
              <w:rPr>
                <w:sz w:val="22"/>
                <w:szCs w:val="22"/>
                <w:lang w:val="sr-Latn-ME"/>
              </w:rPr>
            </w:pPr>
            <w:r w:rsidRPr="00EA088A">
              <w:rPr>
                <w:sz w:val="22"/>
                <w:szCs w:val="22"/>
                <w:lang w:val="sr-Latn-ME"/>
              </w:rPr>
              <w:t>Aplastična anemija, agranulocitoza</w:t>
            </w:r>
          </w:p>
        </w:tc>
      </w:tr>
      <w:tr w:rsidR="00785722" w:rsidRPr="00275456" w14:paraId="4F3E9FB7" w14:textId="77777777" w:rsidTr="00A3401E">
        <w:trPr>
          <w:trHeight w:val="174"/>
          <w:jc w:val="center"/>
        </w:trPr>
        <w:tc>
          <w:tcPr>
            <w:tcW w:w="3562" w:type="dxa"/>
            <w:tcBorders>
              <w:top w:val="nil"/>
              <w:left w:val="single" w:sz="4" w:space="0" w:color="auto"/>
              <w:bottom w:val="nil"/>
              <w:right w:val="nil"/>
            </w:tcBorders>
          </w:tcPr>
          <w:p w14:paraId="67F39BD8" w14:textId="77777777" w:rsidR="00785722" w:rsidRPr="00EA088A" w:rsidRDefault="00785722" w:rsidP="00A3401E">
            <w:pPr>
              <w:tabs>
                <w:tab w:val="left" w:pos="284"/>
              </w:tabs>
              <w:rPr>
                <w:sz w:val="22"/>
                <w:szCs w:val="22"/>
                <w:lang w:val="sr-Latn-ME"/>
              </w:rPr>
            </w:pPr>
            <w:r w:rsidRPr="00EA088A">
              <w:rPr>
                <w:bCs/>
                <w:sz w:val="22"/>
                <w:szCs w:val="22"/>
                <w:lang w:val="sr-Latn-ME"/>
              </w:rPr>
              <w:t>Imunološki poremećaji</w:t>
            </w:r>
          </w:p>
        </w:tc>
        <w:tc>
          <w:tcPr>
            <w:tcW w:w="5889" w:type="dxa"/>
            <w:tcBorders>
              <w:top w:val="nil"/>
              <w:left w:val="nil"/>
              <w:bottom w:val="nil"/>
              <w:right w:val="single" w:sz="4" w:space="0" w:color="auto"/>
            </w:tcBorders>
          </w:tcPr>
          <w:p w14:paraId="07AE92B3" w14:textId="77777777" w:rsidR="00785722" w:rsidRPr="00C9046D" w:rsidRDefault="00785722" w:rsidP="00A3401E">
            <w:pPr>
              <w:tabs>
                <w:tab w:val="left" w:pos="284"/>
              </w:tabs>
              <w:rPr>
                <w:sz w:val="22"/>
                <w:szCs w:val="22"/>
                <w:lang w:val="sr-Latn-ME"/>
              </w:rPr>
            </w:pPr>
          </w:p>
        </w:tc>
      </w:tr>
      <w:tr w:rsidR="00785722" w:rsidRPr="00275456" w14:paraId="36D15433" w14:textId="77777777" w:rsidTr="00A3401E">
        <w:trPr>
          <w:trHeight w:val="174"/>
          <w:jc w:val="center"/>
        </w:trPr>
        <w:tc>
          <w:tcPr>
            <w:tcW w:w="3562" w:type="dxa"/>
            <w:tcBorders>
              <w:top w:val="nil"/>
              <w:left w:val="single" w:sz="4" w:space="0" w:color="auto"/>
              <w:bottom w:val="single" w:sz="4" w:space="0" w:color="auto"/>
              <w:right w:val="nil"/>
            </w:tcBorders>
          </w:tcPr>
          <w:p w14:paraId="3081FC49" w14:textId="77777777" w:rsidR="00785722" w:rsidRPr="00EA088A" w:rsidRDefault="00785722" w:rsidP="00A3401E">
            <w:pPr>
              <w:tabs>
                <w:tab w:val="left" w:pos="284"/>
              </w:tabs>
              <w:jc w:val="right"/>
              <w:rPr>
                <w:sz w:val="22"/>
                <w:szCs w:val="22"/>
                <w:lang w:val="sr-Latn-ME"/>
              </w:rPr>
            </w:pPr>
            <w:r w:rsidRPr="00EA088A">
              <w:rPr>
                <w:sz w:val="22"/>
                <w:szCs w:val="22"/>
                <w:lang w:val="sr-Latn-ME"/>
              </w:rPr>
              <w:t>Često:</w:t>
            </w:r>
          </w:p>
          <w:p w14:paraId="05B836F8" w14:textId="77777777" w:rsidR="00785722" w:rsidRPr="00EA088A" w:rsidRDefault="00785722" w:rsidP="00A3401E">
            <w:pPr>
              <w:tabs>
                <w:tab w:val="left" w:pos="284"/>
              </w:tabs>
              <w:jc w:val="right"/>
              <w:rPr>
                <w:sz w:val="22"/>
                <w:szCs w:val="22"/>
                <w:lang w:val="sr-Latn-ME"/>
              </w:rPr>
            </w:pPr>
          </w:p>
          <w:p w14:paraId="07216F49" w14:textId="77777777" w:rsidR="00785722" w:rsidRPr="00C9046D" w:rsidRDefault="00785722" w:rsidP="00A3401E">
            <w:pPr>
              <w:tabs>
                <w:tab w:val="left" w:pos="284"/>
              </w:tabs>
              <w:jc w:val="right"/>
              <w:rPr>
                <w:sz w:val="22"/>
                <w:szCs w:val="22"/>
                <w:lang w:val="sr-Latn-ME"/>
              </w:rPr>
            </w:pPr>
            <w:r w:rsidRPr="00C9046D">
              <w:rPr>
                <w:sz w:val="22"/>
                <w:szCs w:val="22"/>
                <w:lang w:val="sr-Latn-ME"/>
              </w:rPr>
              <w:t>Rijetko:</w:t>
            </w:r>
          </w:p>
        </w:tc>
        <w:tc>
          <w:tcPr>
            <w:tcW w:w="5889" w:type="dxa"/>
            <w:tcBorders>
              <w:top w:val="nil"/>
              <w:left w:val="nil"/>
              <w:bottom w:val="single" w:sz="4" w:space="0" w:color="auto"/>
              <w:right w:val="single" w:sz="4" w:space="0" w:color="auto"/>
            </w:tcBorders>
          </w:tcPr>
          <w:p w14:paraId="28B6F6EC" w14:textId="77777777" w:rsidR="00785722" w:rsidRPr="00275456" w:rsidRDefault="00785722" w:rsidP="00A3401E">
            <w:pPr>
              <w:tabs>
                <w:tab w:val="left" w:pos="284"/>
              </w:tabs>
              <w:rPr>
                <w:sz w:val="22"/>
                <w:szCs w:val="22"/>
                <w:lang w:val="sr-Latn-ME"/>
              </w:rPr>
            </w:pPr>
            <w:r w:rsidRPr="00275456">
              <w:rPr>
                <w:sz w:val="22"/>
                <w:szCs w:val="22"/>
                <w:lang w:val="sr-Latn-ME"/>
              </w:rPr>
              <w:t>Alergijske reakcije (bronhospazam, preosjetljivost, urtikarija), auto-antitijela pozitivna</w:t>
            </w:r>
          </w:p>
          <w:p w14:paraId="0E2B8671" w14:textId="77777777" w:rsidR="00785722" w:rsidRPr="00275456" w:rsidRDefault="00785722" w:rsidP="00A3401E">
            <w:pPr>
              <w:tabs>
                <w:tab w:val="left" w:pos="284"/>
              </w:tabs>
              <w:rPr>
                <w:sz w:val="22"/>
                <w:szCs w:val="22"/>
                <w:lang w:val="sr-Latn-ME"/>
              </w:rPr>
            </w:pPr>
            <w:r w:rsidRPr="00275456">
              <w:rPr>
                <w:sz w:val="22"/>
                <w:szCs w:val="22"/>
                <w:lang w:val="sr-Latn-ME"/>
              </w:rPr>
              <w:t>Ozbiljne reakcije sistemske preosjetljivosti (uključujući anafilaktičku reakciju), vaskulitis (sistemski), sarkoidoza</w:t>
            </w:r>
          </w:p>
        </w:tc>
      </w:tr>
      <w:tr w:rsidR="00785722" w:rsidRPr="00275456" w14:paraId="440DA02C" w14:textId="77777777" w:rsidTr="00A3401E">
        <w:trPr>
          <w:trHeight w:val="174"/>
          <w:jc w:val="center"/>
        </w:trPr>
        <w:tc>
          <w:tcPr>
            <w:tcW w:w="3562" w:type="dxa"/>
            <w:tcBorders>
              <w:top w:val="nil"/>
              <w:left w:val="single" w:sz="4" w:space="0" w:color="auto"/>
              <w:bottom w:val="nil"/>
              <w:right w:val="nil"/>
            </w:tcBorders>
          </w:tcPr>
          <w:p w14:paraId="1797F661" w14:textId="77777777" w:rsidR="00785722" w:rsidRPr="00EA088A" w:rsidRDefault="00785722" w:rsidP="00A3401E">
            <w:pPr>
              <w:tabs>
                <w:tab w:val="left" w:pos="284"/>
              </w:tabs>
              <w:rPr>
                <w:sz w:val="22"/>
                <w:szCs w:val="22"/>
                <w:lang w:val="sr-Latn-ME"/>
              </w:rPr>
            </w:pPr>
            <w:r w:rsidRPr="00EA088A">
              <w:rPr>
                <w:sz w:val="22"/>
                <w:szCs w:val="22"/>
                <w:lang w:val="sr-Latn-ME"/>
              </w:rPr>
              <w:t>Endokrinološki poremećaji</w:t>
            </w:r>
          </w:p>
        </w:tc>
        <w:tc>
          <w:tcPr>
            <w:tcW w:w="5889" w:type="dxa"/>
            <w:tcBorders>
              <w:top w:val="nil"/>
              <w:left w:val="nil"/>
              <w:bottom w:val="nil"/>
              <w:right w:val="single" w:sz="4" w:space="0" w:color="auto"/>
            </w:tcBorders>
          </w:tcPr>
          <w:p w14:paraId="3BD3B683" w14:textId="77777777" w:rsidR="00785722" w:rsidRPr="00EA088A" w:rsidRDefault="00785722" w:rsidP="00A3401E">
            <w:pPr>
              <w:tabs>
                <w:tab w:val="left" w:pos="284"/>
              </w:tabs>
              <w:rPr>
                <w:sz w:val="22"/>
                <w:szCs w:val="22"/>
                <w:lang w:val="sr-Latn-ME"/>
              </w:rPr>
            </w:pPr>
          </w:p>
        </w:tc>
      </w:tr>
      <w:tr w:rsidR="00785722" w:rsidRPr="00275456" w14:paraId="10CD5D00" w14:textId="77777777" w:rsidTr="00A3401E">
        <w:trPr>
          <w:trHeight w:val="174"/>
          <w:jc w:val="center"/>
        </w:trPr>
        <w:tc>
          <w:tcPr>
            <w:tcW w:w="3562" w:type="dxa"/>
            <w:tcBorders>
              <w:top w:val="nil"/>
              <w:left w:val="single" w:sz="4" w:space="0" w:color="auto"/>
              <w:bottom w:val="single" w:sz="4" w:space="0" w:color="auto"/>
              <w:right w:val="nil"/>
            </w:tcBorders>
          </w:tcPr>
          <w:p w14:paraId="59C696FE"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single" w:sz="4" w:space="0" w:color="auto"/>
              <w:right w:val="single" w:sz="4" w:space="0" w:color="auto"/>
            </w:tcBorders>
          </w:tcPr>
          <w:p w14:paraId="329B7467" w14:textId="77777777" w:rsidR="00785722" w:rsidRPr="00C9046D" w:rsidRDefault="00785722" w:rsidP="00A3401E">
            <w:pPr>
              <w:tabs>
                <w:tab w:val="left" w:pos="284"/>
              </w:tabs>
              <w:rPr>
                <w:sz w:val="22"/>
                <w:szCs w:val="22"/>
                <w:lang w:val="sr-Latn-ME"/>
              </w:rPr>
            </w:pPr>
            <w:r w:rsidRPr="00EA088A">
              <w:rPr>
                <w:sz w:val="22"/>
                <w:szCs w:val="22"/>
                <w:lang w:val="sr-Latn-ME"/>
              </w:rPr>
              <w:t>Poremećaj št</w:t>
            </w:r>
            <w:r w:rsidRPr="00C9046D">
              <w:rPr>
                <w:sz w:val="22"/>
                <w:szCs w:val="22"/>
                <w:lang w:val="sr-Latn-ME"/>
              </w:rPr>
              <w:t>itne žlijezde (npr. hipotireoza, hipertireoza i guša)</w:t>
            </w:r>
          </w:p>
        </w:tc>
      </w:tr>
      <w:tr w:rsidR="00785722" w:rsidRPr="00275456" w14:paraId="0141F1E5" w14:textId="77777777" w:rsidTr="00A3401E">
        <w:trPr>
          <w:trHeight w:val="174"/>
          <w:jc w:val="center"/>
        </w:trPr>
        <w:tc>
          <w:tcPr>
            <w:tcW w:w="3562" w:type="dxa"/>
            <w:tcBorders>
              <w:top w:val="nil"/>
              <w:left w:val="single" w:sz="4" w:space="0" w:color="auto"/>
              <w:bottom w:val="nil"/>
              <w:right w:val="nil"/>
            </w:tcBorders>
          </w:tcPr>
          <w:p w14:paraId="31758AB7" w14:textId="77777777" w:rsidR="00785722" w:rsidRPr="00EA088A" w:rsidRDefault="00785722" w:rsidP="00A3401E">
            <w:pPr>
              <w:tabs>
                <w:tab w:val="left" w:pos="284"/>
              </w:tabs>
              <w:rPr>
                <w:sz w:val="22"/>
                <w:szCs w:val="22"/>
                <w:lang w:val="sr-Latn-ME"/>
              </w:rPr>
            </w:pPr>
            <w:r w:rsidRPr="00EA088A">
              <w:rPr>
                <w:sz w:val="22"/>
                <w:szCs w:val="22"/>
                <w:lang w:val="sr-Latn-ME"/>
              </w:rPr>
              <w:t>Poremećaji metabolizma i ishrane</w:t>
            </w:r>
          </w:p>
        </w:tc>
        <w:tc>
          <w:tcPr>
            <w:tcW w:w="5889" w:type="dxa"/>
            <w:tcBorders>
              <w:top w:val="nil"/>
              <w:left w:val="nil"/>
              <w:bottom w:val="nil"/>
              <w:right w:val="single" w:sz="4" w:space="0" w:color="auto"/>
            </w:tcBorders>
          </w:tcPr>
          <w:p w14:paraId="05574D6D" w14:textId="77777777" w:rsidR="00785722" w:rsidRPr="00EA088A" w:rsidRDefault="00785722" w:rsidP="00A3401E">
            <w:pPr>
              <w:tabs>
                <w:tab w:val="left" w:pos="284"/>
              </w:tabs>
              <w:rPr>
                <w:sz w:val="22"/>
                <w:szCs w:val="22"/>
                <w:lang w:val="sr-Latn-ME"/>
              </w:rPr>
            </w:pPr>
          </w:p>
        </w:tc>
      </w:tr>
      <w:tr w:rsidR="00785722" w:rsidRPr="00275456" w14:paraId="3F5B7DA3" w14:textId="77777777" w:rsidTr="00A3401E">
        <w:trPr>
          <w:trHeight w:val="174"/>
          <w:jc w:val="center"/>
        </w:trPr>
        <w:tc>
          <w:tcPr>
            <w:tcW w:w="3562" w:type="dxa"/>
            <w:tcBorders>
              <w:top w:val="nil"/>
              <w:left w:val="single" w:sz="4" w:space="0" w:color="auto"/>
              <w:bottom w:val="single" w:sz="4" w:space="0" w:color="auto"/>
              <w:right w:val="nil"/>
            </w:tcBorders>
          </w:tcPr>
          <w:p w14:paraId="59E98082"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single" w:sz="4" w:space="0" w:color="auto"/>
              <w:right w:val="single" w:sz="4" w:space="0" w:color="auto"/>
            </w:tcBorders>
          </w:tcPr>
          <w:p w14:paraId="6DF3DC68" w14:textId="77777777" w:rsidR="00785722" w:rsidRPr="00EA088A" w:rsidRDefault="00785722" w:rsidP="00A3401E">
            <w:pPr>
              <w:tabs>
                <w:tab w:val="left" w:pos="284"/>
              </w:tabs>
              <w:rPr>
                <w:sz w:val="22"/>
                <w:szCs w:val="22"/>
                <w:lang w:val="sr-Latn-ME"/>
              </w:rPr>
            </w:pPr>
            <w:r w:rsidRPr="00EA088A">
              <w:rPr>
                <w:sz w:val="22"/>
                <w:szCs w:val="22"/>
                <w:lang w:val="sr-Latn-ME"/>
              </w:rPr>
              <w:t>Povišen nivo glukoze u krvi, povišen nivo lipida</w:t>
            </w:r>
          </w:p>
        </w:tc>
      </w:tr>
      <w:tr w:rsidR="00785722" w:rsidRPr="00275456" w14:paraId="3233E3A7" w14:textId="77777777" w:rsidTr="00A3401E">
        <w:trPr>
          <w:trHeight w:val="174"/>
          <w:jc w:val="center"/>
        </w:trPr>
        <w:tc>
          <w:tcPr>
            <w:tcW w:w="3562" w:type="dxa"/>
            <w:tcBorders>
              <w:top w:val="nil"/>
              <w:left w:val="single" w:sz="4" w:space="0" w:color="auto"/>
              <w:bottom w:val="nil"/>
              <w:right w:val="nil"/>
            </w:tcBorders>
          </w:tcPr>
          <w:p w14:paraId="33EFB9CC" w14:textId="77777777" w:rsidR="00785722" w:rsidRPr="00EA088A" w:rsidRDefault="00785722" w:rsidP="00A3401E">
            <w:pPr>
              <w:tabs>
                <w:tab w:val="left" w:pos="284"/>
              </w:tabs>
              <w:rPr>
                <w:sz w:val="22"/>
                <w:szCs w:val="22"/>
                <w:lang w:val="sr-Latn-ME"/>
              </w:rPr>
            </w:pPr>
            <w:r w:rsidRPr="00EA088A">
              <w:rPr>
                <w:bCs/>
                <w:sz w:val="22"/>
                <w:szCs w:val="22"/>
                <w:lang w:val="sr-Latn-ME"/>
              </w:rPr>
              <w:t>Psihijatrijski poremećaji</w:t>
            </w:r>
          </w:p>
        </w:tc>
        <w:tc>
          <w:tcPr>
            <w:tcW w:w="5889" w:type="dxa"/>
            <w:tcBorders>
              <w:top w:val="nil"/>
              <w:left w:val="nil"/>
              <w:bottom w:val="nil"/>
              <w:right w:val="single" w:sz="4" w:space="0" w:color="auto"/>
            </w:tcBorders>
          </w:tcPr>
          <w:p w14:paraId="0EB789F3" w14:textId="77777777" w:rsidR="00785722" w:rsidRPr="00C9046D" w:rsidRDefault="00785722" w:rsidP="00A3401E">
            <w:pPr>
              <w:tabs>
                <w:tab w:val="left" w:pos="284"/>
              </w:tabs>
              <w:rPr>
                <w:sz w:val="22"/>
                <w:szCs w:val="22"/>
                <w:lang w:val="sr-Latn-ME"/>
              </w:rPr>
            </w:pPr>
          </w:p>
        </w:tc>
      </w:tr>
      <w:tr w:rsidR="00785722" w:rsidRPr="00275456" w14:paraId="72FE33CD" w14:textId="77777777" w:rsidTr="00A3401E">
        <w:trPr>
          <w:trHeight w:val="174"/>
          <w:jc w:val="center"/>
        </w:trPr>
        <w:tc>
          <w:tcPr>
            <w:tcW w:w="3562" w:type="dxa"/>
            <w:tcBorders>
              <w:top w:val="nil"/>
              <w:left w:val="single" w:sz="4" w:space="0" w:color="auto"/>
              <w:bottom w:val="single" w:sz="4" w:space="0" w:color="auto"/>
              <w:right w:val="nil"/>
            </w:tcBorders>
          </w:tcPr>
          <w:p w14:paraId="0BB1563D" w14:textId="77777777" w:rsidR="00785722" w:rsidRPr="00EA088A" w:rsidRDefault="00785722" w:rsidP="00A3401E">
            <w:pPr>
              <w:tabs>
                <w:tab w:val="left" w:pos="284"/>
              </w:tabs>
              <w:jc w:val="right"/>
              <w:rPr>
                <w:sz w:val="22"/>
                <w:szCs w:val="22"/>
                <w:lang w:val="sr-Latn-ME"/>
              </w:rPr>
            </w:pPr>
            <w:r w:rsidRPr="00EA088A">
              <w:rPr>
                <w:sz w:val="22"/>
                <w:szCs w:val="22"/>
                <w:lang w:val="sr-Latn-ME"/>
              </w:rPr>
              <w:t>Često:</w:t>
            </w:r>
          </w:p>
        </w:tc>
        <w:tc>
          <w:tcPr>
            <w:tcW w:w="5889" w:type="dxa"/>
            <w:tcBorders>
              <w:top w:val="nil"/>
              <w:left w:val="nil"/>
              <w:bottom w:val="single" w:sz="4" w:space="0" w:color="auto"/>
              <w:right w:val="single" w:sz="4" w:space="0" w:color="auto"/>
            </w:tcBorders>
          </w:tcPr>
          <w:p w14:paraId="2D460A19" w14:textId="77777777" w:rsidR="00785722" w:rsidRPr="00EA088A" w:rsidRDefault="00785722" w:rsidP="00A3401E">
            <w:pPr>
              <w:tabs>
                <w:tab w:val="left" w:pos="284"/>
              </w:tabs>
              <w:rPr>
                <w:sz w:val="22"/>
                <w:szCs w:val="22"/>
                <w:lang w:val="sr-Latn-ME"/>
              </w:rPr>
            </w:pPr>
            <w:r w:rsidRPr="00EA088A">
              <w:rPr>
                <w:sz w:val="22"/>
                <w:szCs w:val="22"/>
                <w:lang w:val="sr-Latn-ME"/>
              </w:rPr>
              <w:t>Depresija, nesanica</w:t>
            </w:r>
          </w:p>
        </w:tc>
      </w:tr>
      <w:tr w:rsidR="00785722" w:rsidRPr="00275456" w14:paraId="1A61DED2" w14:textId="77777777" w:rsidTr="00A3401E">
        <w:trPr>
          <w:trHeight w:val="174"/>
          <w:jc w:val="center"/>
        </w:trPr>
        <w:tc>
          <w:tcPr>
            <w:tcW w:w="3562" w:type="dxa"/>
            <w:tcBorders>
              <w:top w:val="single" w:sz="4" w:space="0" w:color="auto"/>
              <w:left w:val="single" w:sz="4" w:space="0" w:color="auto"/>
              <w:bottom w:val="nil"/>
              <w:right w:val="nil"/>
            </w:tcBorders>
          </w:tcPr>
          <w:p w14:paraId="1D162DB2" w14:textId="77777777" w:rsidR="00785722" w:rsidRPr="00EA088A" w:rsidRDefault="00785722" w:rsidP="00A3401E">
            <w:pPr>
              <w:tabs>
                <w:tab w:val="left" w:pos="284"/>
              </w:tabs>
              <w:rPr>
                <w:sz w:val="22"/>
                <w:szCs w:val="22"/>
                <w:lang w:val="sr-Latn-ME"/>
              </w:rPr>
            </w:pPr>
            <w:r w:rsidRPr="00EA088A">
              <w:rPr>
                <w:bCs/>
                <w:sz w:val="22"/>
                <w:szCs w:val="22"/>
                <w:lang w:val="sr-Latn-ME"/>
              </w:rPr>
              <w:t>Poremećaji nervnog sistema</w:t>
            </w:r>
          </w:p>
        </w:tc>
        <w:tc>
          <w:tcPr>
            <w:tcW w:w="5889" w:type="dxa"/>
            <w:tcBorders>
              <w:top w:val="single" w:sz="4" w:space="0" w:color="auto"/>
              <w:left w:val="nil"/>
              <w:bottom w:val="nil"/>
              <w:right w:val="single" w:sz="4" w:space="0" w:color="auto"/>
            </w:tcBorders>
          </w:tcPr>
          <w:p w14:paraId="76E3C0A1" w14:textId="77777777" w:rsidR="00785722" w:rsidRPr="00C9046D" w:rsidRDefault="00785722" w:rsidP="00A3401E">
            <w:pPr>
              <w:tabs>
                <w:tab w:val="left" w:pos="284"/>
              </w:tabs>
              <w:rPr>
                <w:sz w:val="22"/>
                <w:szCs w:val="22"/>
                <w:lang w:val="sr-Latn-ME"/>
              </w:rPr>
            </w:pPr>
          </w:p>
        </w:tc>
      </w:tr>
      <w:tr w:rsidR="00785722" w:rsidRPr="00275456" w14:paraId="599CE5C5" w14:textId="77777777" w:rsidTr="00A3401E">
        <w:trPr>
          <w:trHeight w:val="174"/>
          <w:jc w:val="center"/>
        </w:trPr>
        <w:tc>
          <w:tcPr>
            <w:tcW w:w="3562" w:type="dxa"/>
            <w:tcBorders>
              <w:top w:val="nil"/>
              <w:left w:val="single" w:sz="4" w:space="0" w:color="auto"/>
              <w:bottom w:val="nil"/>
              <w:right w:val="nil"/>
            </w:tcBorders>
          </w:tcPr>
          <w:p w14:paraId="37ADDB5B" w14:textId="77777777" w:rsidR="00785722" w:rsidRPr="00EA088A" w:rsidRDefault="00785722" w:rsidP="00A3401E">
            <w:pPr>
              <w:tabs>
                <w:tab w:val="left" w:pos="284"/>
              </w:tabs>
              <w:jc w:val="right"/>
              <w:rPr>
                <w:sz w:val="22"/>
                <w:szCs w:val="22"/>
                <w:lang w:val="sr-Latn-ME"/>
              </w:rPr>
            </w:pPr>
            <w:r w:rsidRPr="00EA088A">
              <w:rPr>
                <w:sz w:val="22"/>
                <w:szCs w:val="22"/>
                <w:lang w:val="sr-Latn-ME"/>
              </w:rPr>
              <w:t>Često:</w:t>
            </w:r>
          </w:p>
        </w:tc>
        <w:tc>
          <w:tcPr>
            <w:tcW w:w="5889" w:type="dxa"/>
            <w:tcBorders>
              <w:top w:val="nil"/>
              <w:left w:val="nil"/>
              <w:bottom w:val="nil"/>
              <w:right w:val="single" w:sz="4" w:space="0" w:color="auto"/>
            </w:tcBorders>
          </w:tcPr>
          <w:p w14:paraId="23C50D53" w14:textId="77777777" w:rsidR="00785722" w:rsidRPr="00C9046D" w:rsidRDefault="00785722" w:rsidP="00A3401E">
            <w:pPr>
              <w:tabs>
                <w:tab w:val="left" w:pos="284"/>
              </w:tabs>
              <w:rPr>
                <w:sz w:val="22"/>
                <w:szCs w:val="22"/>
                <w:lang w:val="sr-Latn-ME"/>
              </w:rPr>
            </w:pPr>
            <w:r w:rsidRPr="00EA088A">
              <w:rPr>
                <w:sz w:val="22"/>
                <w:szCs w:val="22"/>
                <w:lang w:val="sr-Latn-ME"/>
              </w:rPr>
              <w:t xml:space="preserve">Nesvjestica, </w:t>
            </w:r>
            <w:r w:rsidRPr="00C9046D">
              <w:rPr>
                <w:sz w:val="22"/>
                <w:szCs w:val="22"/>
                <w:lang w:val="sr-Latn-ME"/>
              </w:rPr>
              <w:t>glavobolja, parestezija</w:t>
            </w:r>
          </w:p>
        </w:tc>
      </w:tr>
      <w:tr w:rsidR="00785722" w:rsidRPr="00275456" w14:paraId="4B0ABE88" w14:textId="77777777" w:rsidTr="00A3401E">
        <w:trPr>
          <w:trHeight w:val="174"/>
          <w:jc w:val="center"/>
        </w:trPr>
        <w:tc>
          <w:tcPr>
            <w:tcW w:w="3562" w:type="dxa"/>
            <w:tcBorders>
              <w:top w:val="nil"/>
              <w:left w:val="single" w:sz="4" w:space="0" w:color="auto"/>
              <w:bottom w:val="single" w:sz="4" w:space="0" w:color="auto"/>
              <w:right w:val="nil"/>
            </w:tcBorders>
          </w:tcPr>
          <w:p w14:paraId="73278E61"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p w14:paraId="4F8E1AF2" w14:textId="77777777" w:rsidR="00785722" w:rsidRPr="00EA088A" w:rsidRDefault="00785722" w:rsidP="00A3401E">
            <w:pPr>
              <w:tabs>
                <w:tab w:val="left" w:pos="284"/>
              </w:tabs>
              <w:jc w:val="right"/>
              <w:rPr>
                <w:sz w:val="22"/>
                <w:szCs w:val="22"/>
                <w:lang w:val="sr-Latn-ME"/>
              </w:rPr>
            </w:pPr>
            <w:r w:rsidRPr="00EA088A">
              <w:rPr>
                <w:sz w:val="22"/>
                <w:szCs w:val="22"/>
                <w:lang w:val="sr-Latn-ME"/>
              </w:rPr>
              <w:t>Rijetko:</w:t>
            </w:r>
          </w:p>
        </w:tc>
        <w:tc>
          <w:tcPr>
            <w:tcW w:w="5889" w:type="dxa"/>
            <w:tcBorders>
              <w:top w:val="nil"/>
              <w:left w:val="nil"/>
              <w:bottom w:val="single" w:sz="4" w:space="0" w:color="auto"/>
              <w:right w:val="single" w:sz="4" w:space="0" w:color="auto"/>
            </w:tcBorders>
          </w:tcPr>
          <w:p w14:paraId="19AC8B8F" w14:textId="77777777" w:rsidR="00785722" w:rsidRPr="00275456" w:rsidRDefault="00785722" w:rsidP="00A3401E">
            <w:pPr>
              <w:tabs>
                <w:tab w:val="left" w:pos="284"/>
              </w:tabs>
              <w:rPr>
                <w:sz w:val="22"/>
                <w:szCs w:val="22"/>
                <w:lang w:val="sr-Latn-ME"/>
              </w:rPr>
            </w:pPr>
            <w:r w:rsidRPr="00C9046D">
              <w:rPr>
                <w:sz w:val="22"/>
                <w:szCs w:val="22"/>
                <w:lang w:val="sr-Latn-ME"/>
              </w:rPr>
              <w:t>Poremećaji ravnoteže</w:t>
            </w:r>
            <w:r w:rsidRPr="00275456" w:rsidDel="006E1AB3">
              <w:rPr>
                <w:sz w:val="22"/>
                <w:szCs w:val="22"/>
                <w:lang w:val="sr-Latn-ME"/>
              </w:rPr>
              <w:t xml:space="preserve"> </w:t>
            </w:r>
          </w:p>
          <w:p w14:paraId="0B72B808" w14:textId="77777777" w:rsidR="00785722" w:rsidRPr="00275456" w:rsidRDefault="00785722" w:rsidP="00A3401E">
            <w:pPr>
              <w:tabs>
                <w:tab w:val="left" w:pos="284"/>
              </w:tabs>
              <w:rPr>
                <w:sz w:val="22"/>
                <w:szCs w:val="22"/>
                <w:lang w:val="sr-Latn-ME"/>
              </w:rPr>
            </w:pPr>
            <w:r w:rsidRPr="00275456">
              <w:rPr>
                <w:sz w:val="22"/>
                <w:szCs w:val="22"/>
                <w:lang w:val="sr-Latn-ME"/>
              </w:rPr>
              <w:t>Demijelinizirajući poremećaji (centralni i periferni), disgezija</w:t>
            </w:r>
          </w:p>
        </w:tc>
      </w:tr>
      <w:tr w:rsidR="00785722" w:rsidRPr="00275456" w14:paraId="3B7E23FF" w14:textId="77777777" w:rsidTr="00A3401E">
        <w:trPr>
          <w:trHeight w:val="174"/>
          <w:jc w:val="center"/>
        </w:trPr>
        <w:tc>
          <w:tcPr>
            <w:tcW w:w="3562" w:type="dxa"/>
            <w:tcBorders>
              <w:top w:val="nil"/>
              <w:left w:val="single" w:sz="4" w:space="0" w:color="auto"/>
              <w:bottom w:val="nil"/>
              <w:right w:val="nil"/>
            </w:tcBorders>
          </w:tcPr>
          <w:p w14:paraId="763C4703" w14:textId="77777777" w:rsidR="00785722" w:rsidRPr="00EA088A" w:rsidRDefault="00785722" w:rsidP="00A3401E">
            <w:pPr>
              <w:tabs>
                <w:tab w:val="left" w:pos="284"/>
              </w:tabs>
              <w:rPr>
                <w:sz w:val="22"/>
                <w:szCs w:val="22"/>
                <w:lang w:val="sr-Latn-ME"/>
              </w:rPr>
            </w:pPr>
            <w:r w:rsidRPr="00EA088A">
              <w:rPr>
                <w:bCs/>
                <w:sz w:val="22"/>
                <w:szCs w:val="22"/>
                <w:lang w:val="sr-Latn-ME"/>
              </w:rPr>
              <w:t>Poremećaji na nivou oka</w:t>
            </w:r>
          </w:p>
        </w:tc>
        <w:tc>
          <w:tcPr>
            <w:tcW w:w="5889" w:type="dxa"/>
            <w:tcBorders>
              <w:top w:val="nil"/>
              <w:left w:val="nil"/>
              <w:bottom w:val="nil"/>
              <w:right w:val="single" w:sz="4" w:space="0" w:color="auto"/>
            </w:tcBorders>
          </w:tcPr>
          <w:p w14:paraId="017D359B" w14:textId="77777777" w:rsidR="00785722" w:rsidRPr="00C9046D" w:rsidRDefault="00785722" w:rsidP="00A3401E">
            <w:pPr>
              <w:tabs>
                <w:tab w:val="left" w:pos="284"/>
              </w:tabs>
              <w:rPr>
                <w:sz w:val="22"/>
                <w:szCs w:val="22"/>
                <w:lang w:val="sr-Latn-ME"/>
              </w:rPr>
            </w:pPr>
          </w:p>
        </w:tc>
      </w:tr>
      <w:tr w:rsidR="00785722" w:rsidRPr="00275456" w14:paraId="36A6DCB1" w14:textId="77777777" w:rsidTr="00A3401E">
        <w:trPr>
          <w:trHeight w:val="174"/>
          <w:jc w:val="center"/>
        </w:trPr>
        <w:tc>
          <w:tcPr>
            <w:tcW w:w="3562" w:type="dxa"/>
            <w:tcBorders>
              <w:top w:val="nil"/>
              <w:left w:val="single" w:sz="4" w:space="0" w:color="auto"/>
              <w:bottom w:val="single" w:sz="4" w:space="0" w:color="auto"/>
              <w:right w:val="nil"/>
            </w:tcBorders>
          </w:tcPr>
          <w:p w14:paraId="7137B950"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single" w:sz="4" w:space="0" w:color="auto"/>
              <w:right w:val="single" w:sz="4" w:space="0" w:color="auto"/>
            </w:tcBorders>
          </w:tcPr>
          <w:p w14:paraId="01CD28E7" w14:textId="77777777" w:rsidR="00785722" w:rsidRPr="00C9046D" w:rsidRDefault="00785722" w:rsidP="00A3401E">
            <w:pPr>
              <w:tabs>
                <w:tab w:val="left" w:pos="284"/>
              </w:tabs>
              <w:rPr>
                <w:sz w:val="22"/>
                <w:szCs w:val="22"/>
                <w:lang w:val="sr-Latn-ME"/>
              </w:rPr>
            </w:pPr>
            <w:r w:rsidRPr="00EA088A">
              <w:rPr>
                <w:sz w:val="22"/>
                <w:szCs w:val="22"/>
                <w:lang w:val="sr-Latn-ME"/>
              </w:rPr>
              <w:t>Poremećaji vida (npr. zamućen vid i smanjena oštrina vida), konjunktivitis, alergija o</w:t>
            </w:r>
            <w:r w:rsidRPr="00C9046D">
              <w:rPr>
                <w:sz w:val="22"/>
                <w:szCs w:val="22"/>
                <w:lang w:val="sr-Latn-ME"/>
              </w:rPr>
              <w:t>ka (npr. pruritus i iritacija)</w:t>
            </w:r>
          </w:p>
        </w:tc>
      </w:tr>
      <w:tr w:rsidR="00785722" w:rsidRPr="00275456" w14:paraId="4015A3CB" w14:textId="77777777" w:rsidTr="00A3401E">
        <w:trPr>
          <w:trHeight w:val="174"/>
          <w:jc w:val="center"/>
        </w:trPr>
        <w:tc>
          <w:tcPr>
            <w:tcW w:w="3562" w:type="dxa"/>
            <w:tcBorders>
              <w:top w:val="nil"/>
              <w:left w:val="single" w:sz="4" w:space="0" w:color="auto"/>
              <w:bottom w:val="nil"/>
              <w:right w:val="nil"/>
            </w:tcBorders>
          </w:tcPr>
          <w:p w14:paraId="3A6D43AD" w14:textId="77777777" w:rsidR="00785722" w:rsidRPr="00EA088A" w:rsidRDefault="00785722" w:rsidP="00A3401E">
            <w:pPr>
              <w:tabs>
                <w:tab w:val="left" w:pos="284"/>
              </w:tabs>
              <w:rPr>
                <w:bCs/>
                <w:sz w:val="22"/>
                <w:szCs w:val="22"/>
                <w:lang w:val="sr-Latn-ME"/>
              </w:rPr>
            </w:pPr>
            <w:r w:rsidRPr="00EA088A">
              <w:rPr>
                <w:bCs/>
                <w:sz w:val="22"/>
                <w:szCs w:val="22"/>
                <w:lang w:val="sr-Latn-ME"/>
              </w:rPr>
              <w:t xml:space="preserve">Kardiološki poremećaji </w:t>
            </w:r>
          </w:p>
        </w:tc>
        <w:tc>
          <w:tcPr>
            <w:tcW w:w="5889" w:type="dxa"/>
            <w:tcBorders>
              <w:top w:val="nil"/>
              <w:left w:val="nil"/>
              <w:bottom w:val="nil"/>
              <w:right w:val="single" w:sz="4" w:space="0" w:color="auto"/>
            </w:tcBorders>
          </w:tcPr>
          <w:p w14:paraId="0CCA185F" w14:textId="77777777" w:rsidR="00785722" w:rsidRPr="00EA088A" w:rsidRDefault="00785722" w:rsidP="00A3401E">
            <w:pPr>
              <w:tabs>
                <w:tab w:val="left" w:pos="284"/>
              </w:tabs>
              <w:rPr>
                <w:sz w:val="22"/>
                <w:szCs w:val="22"/>
                <w:lang w:val="sr-Latn-ME"/>
              </w:rPr>
            </w:pPr>
          </w:p>
        </w:tc>
      </w:tr>
      <w:tr w:rsidR="00785722" w:rsidRPr="00275456" w14:paraId="1AACA030" w14:textId="77777777" w:rsidTr="00A3401E">
        <w:trPr>
          <w:trHeight w:val="241"/>
          <w:jc w:val="center"/>
        </w:trPr>
        <w:tc>
          <w:tcPr>
            <w:tcW w:w="3562" w:type="dxa"/>
            <w:tcBorders>
              <w:top w:val="nil"/>
              <w:left w:val="single" w:sz="4" w:space="0" w:color="auto"/>
              <w:bottom w:val="nil"/>
              <w:right w:val="nil"/>
            </w:tcBorders>
          </w:tcPr>
          <w:p w14:paraId="19396DD4"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nil"/>
              <w:right w:val="single" w:sz="4" w:space="0" w:color="auto"/>
            </w:tcBorders>
          </w:tcPr>
          <w:p w14:paraId="4B3711A4" w14:textId="77777777" w:rsidR="00785722" w:rsidRPr="00EA088A" w:rsidRDefault="00785722" w:rsidP="00A3401E">
            <w:pPr>
              <w:tabs>
                <w:tab w:val="left" w:pos="284"/>
              </w:tabs>
              <w:rPr>
                <w:sz w:val="22"/>
                <w:szCs w:val="22"/>
                <w:lang w:val="sr-Latn-ME"/>
              </w:rPr>
            </w:pPr>
            <w:r w:rsidRPr="00EA088A">
              <w:rPr>
                <w:sz w:val="22"/>
                <w:szCs w:val="22"/>
                <w:lang w:val="sr-Latn-ME"/>
              </w:rPr>
              <w:t>Aritmija, ishemijski poremećaji koronarnih arterija</w:t>
            </w:r>
          </w:p>
        </w:tc>
      </w:tr>
      <w:tr w:rsidR="00785722" w:rsidRPr="00275456" w14:paraId="7C54F773" w14:textId="77777777" w:rsidTr="00A3401E">
        <w:trPr>
          <w:trHeight w:val="507"/>
          <w:jc w:val="center"/>
        </w:trPr>
        <w:tc>
          <w:tcPr>
            <w:tcW w:w="3562" w:type="dxa"/>
            <w:tcBorders>
              <w:top w:val="nil"/>
              <w:left w:val="single" w:sz="4" w:space="0" w:color="auto"/>
              <w:bottom w:val="single" w:sz="4" w:space="0" w:color="auto"/>
              <w:right w:val="nil"/>
            </w:tcBorders>
          </w:tcPr>
          <w:p w14:paraId="6B8A2295" w14:textId="77777777" w:rsidR="00785722" w:rsidRPr="00EA088A" w:rsidRDefault="00785722" w:rsidP="00A3401E">
            <w:pPr>
              <w:tabs>
                <w:tab w:val="left" w:pos="284"/>
              </w:tabs>
              <w:jc w:val="right"/>
              <w:rPr>
                <w:sz w:val="22"/>
                <w:szCs w:val="22"/>
                <w:lang w:val="sr-Latn-ME"/>
              </w:rPr>
            </w:pPr>
            <w:r w:rsidRPr="00EA088A">
              <w:rPr>
                <w:sz w:val="22"/>
                <w:szCs w:val="22"/>
                <w:lang w:val="sr-Latn-ME"/>
              </w:rPr>
              <w:t>Rijetko:</w:t>
            </w:r>
          </w:p>
        </w:tc>
        <w:tc>
          <w:tcPr>
            <w:tcW w:w="5889" w:type="dxa"/>
            <w:tcBorders>
              <w:top w:val="nil"/>
              <w:left w:val="nil"/>
              <w:bottom w:val="single" w:sz="4" w:space="0" w:color="auto"/>
              <w:right w:val="single" w:sz="4" w:space="0" w:color="auto"/>
            </w:tcBorders>
          </w:tcPr>
          <w:p w14:paraId="2D5DA378" w14:textId="77777777" w:rsidR="00785722" w:rsidRPr="00EA088A" w:rsidRDefault="00785722" w:rsidP="00A3401E">
            <w:pPr>
              <w:tabs>
                <w:tab w:val="left" w:pos="284"/>
              </w:tabs>
              <w:rPr>
                <w:sz w:val="22"/>
                <w:szCs w:val="22"/>
                <w:lang w:val="sr-Latn-ME"/>
              </w:rPr>
            </w:pPr>
            <w:r w:rsidRPr="00EA088A">
              <w:rPr>
                <w:sz w:val="22"/>
                <w:szCs w:val="22"/>
                <w:lang w:val="sr-Latn-ME"/>
              </w:rPr>
              <w:t>Kongestivna srčana insuficijencija (novonastala ili pogoršanje postojeće)</w:t>
            </w:r>
          </w:p>
        </w:tc>
      </w:tr>
      <w:tr w:rsidR="00785722" w:rsidRPr="00275456" w14:paraId="0D9838BD" w14:textId="77777777" w:rsidTr="00A3401E">
        <w:trPr>
          <w:trHeight w:val="174"/>
          <w:jc w:val="center"/>
        </w:trPr>
        <w:tc>
          <w:tcPr>
            <w:tcW w:w="3562" w:type="dxa"/>
            <w:tcBorders>
              <w:top w:val="single" w:sz="4" w:space="0" w:color="auto"/>
              <w:left w:val="single" w:sz="4" w:space="0" w:color="auto"/>
              <w:bottom w:val="nil"/>
              <w:right w:val="nil"/>
            </w:tcBorders>
          </w:tcPr>
          <w:p w14:paraId="62A5F435" w14:textId="77777777" w:rsidR="00785722" w:rsidRPr="00EA088A" w:rsidRDefault="00785722" w:rsidP="00A3401E">
            <w:pPr>
              <w:tabs>
                <w:tab w:val="left" w:pos="284"/>
              </w:tabs>
              <w:rPr>
                <w:bCs/>
                <w:sz w:val="22"/>
                <w:szCs w:val="22"/>
                <w:lang w:val="sr-Latn-ME"/>
              </w:rPr>
            </w:pPr>
            <w:r w:rsidRPr="00EA088A">
              <w:rPr>
                <w:bCs/>
                <w:sz w:val="22"/>
                <w:szCs w:val="22"/>
                <w:lang w:val="sr-Latn-ME"/>
              </w:rPr>
              <w:t>Vaskularni poremećaji</w:t>
            </w:r>
          </w:p>
        </w:tc>
        <w:tc>
          <w:tcPr>
            <w:tcW w:w="5889" w:type="dxa"/>
            <w:tcBorders>
              <w:top w:val="single" w:sz="4" w:space="0" w:color="auto"/>
              <w:left w:val="nil"/>
              <w:bottom w:val="nil"/>
              <w:right w:val="single" w:sz="4" w:space="0" w:color="auto"/>
            </w:tcBorders>
          </w:tcPr>
          <w:p w14:paraId="139671CB" w14:textId="77777777" w:rsidR="00785722" w:rsidRPr="00EA088A" w:rsidRDefault="00785722" w:rsidP="00A3401E">
            <w:pPr>
              <w:tabs>
                <w:tab w:val="left" w:pos="284"/>
              </w:tabs>
              <w:rPr>
                <w:sz w:val="22"/>
                <w:szCs w:val="22"/>
                <w:lang w:val="sr-Latn-ME"/>
              </w:rPr>
            </w:pPr>
          </w:p>
        </w:tc>
      </w:tr>
      <w:tr w:rsidR="00785722" w:rsidRPr="00275456" w14:paraId="4275F293" w14:textId="77777777" w:rsidTr="00A3401E">
        <w:trPr>
          <w:trHeight w:val="174"/>
          <w:jc w:val="center"/>
        </w:trPr>
        <w:tc>
          <w:tcPr>
            <w:tcW w:w="3562" w:type="dxa"/>
            <w:tcBorders>
              <w:top w:val="nil"/>
              <w:left w:val="single" w:sz="4" w:space="0" w:color="auto"/>
              <w:bottom w:val="nil"/>
              <w:right w:val="nil"/>
            </w:tcBorders>
          </w:tcPr>
          <w:p w14:paraId="23C562C9" w14:textId="77777777" w:rsidR="00785722" w:rsidRPr="00EA088A" w:rsidRDefault="00785722" w:rsidP="00A3401E">
            <w:pPr>
              <w:tabs>
                <w:tab w:val="left" w:pos="284"/>
              </w:tabs>
              <w:jc w:val="right"/>
              <w:rPr>
                <w:sz w:val="22"/>
                <w:szCs w:val="22"/>
                <w:lang w:val="sr-Latn-ME"/>
              </w:rPr>
            </w:pPr>
            <w:r w:rsidRPr="00EA088A">
              <w:rPr>
                <w:sz w:val="22"/>
                <w:szCs w:val="22"/>
                <w:lang w:val="sr-Latn-ME"/>
              </w:rPr>
              <w:t>Često:</w:t>
            </w:r>
          </w:p>
        </w:tc>
        <w:tc>
          <w:tcPr>
            <w:tcW w:w="5889" w:type="dxa"/>
            <w:tcBorders>
              <w:top w:val="nil"/>
              <w:left w:val="nil"/>
              <w:bottom w:val="nil"/>
              <w:right w:val="single" w:sz="4" w:space="0" w:color="auto"/>
            </w:tcBorders>
          </w:tcPr>
          <w:p w14:paraId="666B6E5E" w14:textId="77777777" w:rsidR="00785722" w:rsidRPr="00EA088A" w:rsidRDefault="00785722" w:rsidP="00A3401E">
            <w:pPr>
              <w:tabs>
                <w:tab w:val="left" w:pos="284"/>
              </w:tabs>
              <w:rPr>
                <w:sz w:val="22"/>
                <w:szCs w:val="22"/>
                <w:lang w:val="sr-Latn-ME"/>
              </w:rPr>
            </w:pPr>
            <w:r w:rsidRPr="00EA088A">
              <w:rPr>
                <w:sz w:val="22"/>
                <w:szCs w:val="22"/>
                <w:lang w:val="sr-Latn-ME"/>
              </w:rPr>
              <w:t>Hipertenzija</w:t>
            </w:r>
          </w:p>
        </w:tc>
      </w:tr>
      <w:tr w:rsidR="00785722" w:rsidRPr="00275456" w14:paraId="53C4039B" w14:textId="77777777" w:rsidTr="00A3401E">
        <w:trPr>
          <w:trHeight w:val="242"/>
          <w:jc w:val="center"/>
        </w:trPr>
        <w:tc>
          <w:tcPr>
            <w:tcW w:w="3562" w:type="dxa"/>
            <w:tcBorders>
              <w:top w:val="nil"/>
              <w:left w:val="single" w:sz="4" w:space="0" w:color="auto"/>
              <w:bottom w:val="nil"/>
              <w:right w:val="nil"/>
            </w:tcBorders>
          </w:tcPr>
          <w:p w14:paraId="41E7D6DB"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nil"/>
              <w:right w:val="single" w:sz="4" w:space="0" w:color="auto"/>
            </w:tcBorders>
          </w:tcPr>
          <w:p w14:paraId="762A6726" w14:textId="77777777" w:rsidR="00785722" w:rsidRPr="00C9046D" w:rsidRDefault="00785722" w:rsidP="00A3401E">
            <w:pPr>
              <w:tabs>
                <w:tab w:val="left" w:pos="284"/>
              </w:tabs>
              <w:rPr>
                <w:sz w:val="22"/>
                <w:szCs w:val="22"/>
                <w:lang w:val="sr-Latn-ME"/>
              </w:rPr>
            </w:pPr>
            <w:r w:rsidRPr="00C9046D">
              <w:rPr>
                <w:sz w:val="22"/>
                <w:szCs w:val="22"/>
                <w:lang w:val="sr-Latn-ME"/>
              </w:rPr>
              <w:t>Tromboza (npr. dubokih vena i aorte), crvenilo</w:t>
            </w:r>
          </w:p>
        </w:tc>
      </w:tr>
      <w:tr w:rsidR="00785722" w:rsidRPr="00275456" w14:paraId="524327E7" w14:textId="77777777" w:rsidTr="00A3401E">
        <w:trPr>
          <w:trHeight w:val="265"/>
          <w:jc w:val="center"/>
        </w:trPr>
        <w:tc>
          <w:tcPr>
            <w:tcW w:w="3562" w:type="dxa"/>
            <w:tcBorders>
              <w:top w:val="nil"/>
              <w:left w:val="single" w:sz="4" w:space="0" w:color="auto"/>
              <w:bottom w:val="single" w:sz="4" w:space="0" w:color="auto"/>
              <w:right w:val="nil"/>
            </w:tcBorders>
          </w:tcPr>
          <w:p w14:paraId="21CB333E" w14:textId="77777777" w:rsidR="00785722" w:rsidRPr="00EA088A" w:rsidRDefault="00785722" w:rsidP="00A3401E">
            <w:pPr>
              <w:tabs>
                <w:tab w:val="left" w:pos="284"/>
              </w:tabs>
              <w:jc w:val="right"/>
              <w:rPr>
                <w:sz w:val="22"/>
                <w:szCs w:val="22"/>
                <w:lang w:val="sr-Latn-ME"/>
              </w:rPr>
            </w:pPr>
            <w:r w:rsidRPr="00EA088A">
              <w:rPr>
                <w:sz w:val="22"/>
                <w:szCs w:val="22"/>
                <w:lang w:val="sr-Latn-ME"/>
              </w:rPr>
              <w:t>Rijetko:</w:t>
            </w:r>
          </w:p>
        </w:tc>
        <w:tc>
          <w:tcPr>
            <w:tcW w:w="5889" w:type="dxa"/>
            <w:tcBorders>
              <w:top w:val="nil"/>
              <w:left w:val="nil"/>
              <w:bottom w:val="single" w:sz="4" w:space="0" w:color="auto"/>
              <w:right w:val="single" w:sz="4" w:space="0" w:color="auto"/>
            </w:tcBorders>
          </w:tcPr>
          <w:p w14:paraId="0B799483" w14:textId="77777777" w:rsidR="00785722" w:rsidRPr="00EA088A" w:rsidRDefault="00785722" w:rsidP="00A3401E">
            <w:pPr>
              <w:tabs>
                <w:tab w:val="left" w:pos="284"/>
              </w:tabs>
              <w:rPr>
                <w:sz w:val="22"/>
                <w:szCs w:val="22"/>
                <w:lang w:val="sr-Latn-ME"/>
              </w:rPr>
            </w:pPr>
            <w:r w:rsidRPr="00EA088A">
              <w:rPr>
                <w:sz w:val="22"/>
                <w:szCs w:val="22"/>
                <w:lang w:val="sr-Latn-ME"/>
              </w:rPr>
              <w:t>Raynaud-ov fenomen</w:t>
            </w:r>
          </w:p>
        </w:tc>
      </w:tr>
      <w:tr w:rsidR="00785722" w:rsidRPr="00275456" w14:paraId="5F1B0927" w14:textId="77777777" w:rsidTr="00A3401E">
        <w:trPr>
          <w:trHeight w:val="174"/>
          <w:jc w:val="center"/>
        </w:trPr>
        <w:tc>
          <w:tcPr>
            <w:tcW w:w="3562" w:type="dxa"/>
            <w:tcBorders>
              <w:top w:val="single" w:sz="4" w:space="0" w:color="auto"/>
              <w:left w:val="single" w:sz="4" w:space="0" w:color="auto"/>
              <w:bottom w:val="nil"/>
              <w:right w:val="nil"/>
            </w:tcBorders>
          </w:tcPr>
          <w:p w14:paraId="755E993D" w14:textId="77777777" w:rsidR="00785722" w:rsidRPr="00EA088A" w:rsidRDefault="00785722" w:rsidP="00A3401E">
            <w:pPr>
              <w:tabs>
                <w:tab w:val="left" w:pos="284"/>
              </w:tabs>
              <w:rPr>
                <w:sz w:val="22"/>
                <w:szCs w:val="22"/>
                <w:lang w:val="sr-Latn-ME"/>
              </w:rPr>
            </w:pPr>
            <w:r w:rsidRPr="00EA088A">
              <w:rPr>
                <w:bCs/>
                <w:sz w:val="22"/>
                <w:szCs w:val="22"/>
                <w:lang w:val="sr-Latn-ME"/>
              </w:rPr>
              <w:t>Respiratorni, torakalni i medijastinalni poremećaji</w:t>
            </w:r>
          </w:p>
        </w:tc>
        <w:tc>
          <w:tcPr>
            <w:tcW w:w="5889" w:type="dxa"/>
            <w:tcBorders>
              <w:top w:val="single" w:sz="4" w:space="0" w:color="auto"/>
              <w:left w:val="nil"/>
              <w:bottom w:val="nil"/>
              <w:right w:val="single" w:sz="4" w:space="0" w:color="auto"/>
            </w:tcBorders>
          </w:tcPr>
          <w:p w14:paraId="4929AE93" w14:textId="77777777" w:rsidR="00785722" w:rsidRPr="00C9046D" w:rsidRDefault="00785722" w:rsidP="00A3401E">
            <w:pPr>
              <w:tabs>
                <w:tab w:val="left" w:pos="284"/>
              </w:tabs>
              <w:rPr>
                <w:sz w:val="22"/>
                <w:szCs w:val="22"/>
                <w:lang w:val="sr-Latn-ME"/>
              </w:rPr>
            </w:pPr>
          </w:p>
        </w:tc>
      </w:tr>
      <w:tr w:rsidR="00785722" w:rsidRPr="00275456" w14:paraId="7FEC39B0" w14:textId="77777777" w:rsidTr="00A3401E">
        <w:trPr>
          <w:trHeight w:val="449"/>
          <w:jc w:val="center"/>
        </w:trPr>
        <w:tc>
          <w:tcPr>
            <w:tcW w:w="3562" w:type="dxa"/>
            <w:tcBorders>
              <w:top w:val="nil"/>
              <w:left w:val="single" w:sz="4" w:space="0" w:color="auto"/>
              <w:bottom w:val="nil"/>
              <w:right w:val="nil"/>
            </w:tcBorders>
          </w:tcPr>
          <w:p w14:paraId="2B3B0F83" w14:textId="77777777" w:rsidR="00785722" w:rsidRPr="00EA088A" w:rsidRDefault="00785722" w:rsidP="00A3401E">
            <w:pPr>
              <w:tabs>
                <w:tab w:val="left" w:pos="284"/>
              </w:tabs>
              <w:jc w:val="right"/>
              <w:rPr>
                <w:sz w:val="22"/>
                <w:szCs w:val="22"/>
                <w:lang w:val="sr-Latn-ME"/>
              </w:rPr>
            </w:pPr>
            <w:r w:rsidRPr="00EA088A">
              <w:rPr>
                <w:sz w:val="22"/>
                <w:szCs w:val="22"/>
                <w:lang w:val="sr-Latn-ME"/>
              </w:rPr>
              <w:t>Često:</w:t>
            </w:r>
          </w:p>
        </w:tc>
        <w:tc>
          <w:tcPr>
            <w:tcW w:w="5889" w:type="dxa"/>
            <w:tcBorders>
              <w:top w:val="nil"/>
              <w:left w:val="nil"/>
              <w:bottom w:val="nil"/>
              <w:right w:val="single" w:sz="4" w:space="0" w:color="auto"/>
            </w:tcBorders>
          </w:tcPr>
          <w:p w14:paraId="13CECF1D" w14:textId="77777777" w:rsidR="00785722" w:rsidRPr="00EA088A" w:rsidRDefault="00785722" w:rsidP="00A3401E">
            <w:pPr>
              <w:tabs>
                <w:tab w:val="left" w:pos="284"/>
              </w:tabs>
              <w:rPr>
                <w:sz w:val="22"/>
                <w:szCs w:val="22"/>
                <w:lang w:val="sr-Latn-ME"/>
              </w:rPr>
            </w:pPr>
            <w:r w:rsidRPr="00EA088A">
              <w:rPr>
                <w:sz w:val="22"/>
                <w:szCs w:val="22"/>
                <w:lang w:val="sr-Latn-ME"/>
              </w:rPr>
              <w:t xml:space="preserve">Astma i povezani simptomi (npr. zviždanje u plućima i bronhijalna hiperaktivnost), </w:t>
            </w:r>
          </w:p>
        </w:tc>
      </w:tr>
      <w:tr w:rsidR="00785722" w:rsidRPr="00275456" w14:paraId="10567023" w14:textId="77777777" w:rsidTr="00A3401E">
        <w:trPr>
          <w:trHeight w:val="311"/>
          <w:jc w:val="center"/>
        </w:trPr>
        <w:tc>
          <w:tcPr>
            <w:tcW w:w="3562" w:type="dxa"/>
            <w:tcBorders>
              <w:top w:val="nil"/>
              <w:left w:val="single" w:sz="4" w:space="0" w:color="auto"/>
              <w:bottom w:val="nil"/>
              <w:right w:val="nil"/>
            </w:tcBorders>
          </w:tcPr>
          <w:p w14:paraId="246E10F2" w14:textId="77777777" w:rsidR="00785722" w:rsidRPr="00EA088A" w:rsidDel="00372FEF"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nil"/>
              <w:right w:val="single" w:sz="4" w:space="0" w:color="auto"/>
            </w:tcBorders>
          </w:tcPr>
          <w:p w14:paraId="2D8CDF12" w14:textId="77777777" w:rsidR="00785722" w:rsidRPr="00C9046D" w:rsidRDefault="00785722" w:rsidP="00A3401E">
            <w:pPr>
              <w:tabs>
                <w:tab w:val="left" w:pos="284"/>
              </w:tabs>
              <w:rPr>
                <w:sz w:val="22"/>
                <w:szCs w:val="22"/>
                <w:lang w:val="sr-Latn-ME"/>
              </w:rPr>
            </w:pPr>
            <w:r w:rsidRPr="00EA088A">
              <w:rPr>
                <w:sz w:val="22"/>
                <w:szCs w:val="22"/>
                <w:lang w:val="sr-Latn-ME"/>
              </w:rPr>
              <w:t>intersticijumska</w:t>
            </w:r>
            <w:r w:rsidRPr="00C9046D">
              <w:rPr>
                <w:sz w:val="22"/>
                <w:szCs w:val="22"/>
                <w:lang w:val="sr-Latn-ME"/>
              </w:rPr>
              <w:t xml:space="preserve"> bolest pluća</w:t>
            </w:r>
          </w:p>
        </w:tc>
      </w:tr>
      <w:tr w:rsidR="00785722" w:rsidRPr="00275456" w14:paraId="21862BF1" w14:textId="77777777" w:rsidTr="00A3401E">
        <w:trPr>
          <w:trHeight w:val="174"/>
          <w:jc w:val="center"/>
        </w:trPr>
        <w:tc>
          <w:tcPr>
            <w:tcW w:w="3562" w:type="dxa"/>
            <w:tcBorders>
              <w:top w:val="nil"/>
              <w:left w:val="single" w:sz="4" w:space="0" w:color="auto"/>
              <w:bottom w:val="single" w:sz="4" w:space="0" w:color="auto"/>
              <w:right w:val="nil"/>
            </w:tcBorders>
          </w:tcPr>
          <w:p w14:paraId="5F18A3D6" w14:textId="77777777" w:rsidR="00785722" w:rsidRPr="00EA088A" w:rsidRDefault="00785722" w:rsidP="00A3401E">
            <w:pPr>
              <w:tabs>
                <w:tab w:val="left" w:pos="284"/>
              </w:tabs>
              <w:jc w:val="right"/>
              <w:rPr>
                <w:sz w:val="22"/>
                <w:szCs w:val="22"/>
                <w:lang w:val="sr-Latn-ME"/>
              </w:rPr>
            </w:pPr>
          </w:p>
        </w:tc>
        <w:tc>
          <w:tcPr>
            <w:tcW w:w="5889" w:type="dxa"/>
            <w:tcBorders>
              <w:top w:val="nil"/>
              <w:left w:val="nil"/>
              <w:bottom w:val="single" w:sz="4" w:space="0" w:color="auto"/>
              <w:right w:val="single" w:sz="4" w:space="0" w:color="auto"/>
            </w:tcBorders>
          </w:tcPr>
          <w:p w14:paraId="4F5240A0" w14:textId="77777777" w:rsidR="00785722" w:rsidRPr="00EA088A" w:rsidRDefault="00785722" w:rsidP="00A3401E">
            <w:pPr>
              <w:tabs>
                <w:tab w:val="left" w:pos="284"/>
              </w:tabs>
              <w:rPr>
                <w:sz w:val="22"/>
                <w:szCs w:val="22"/>
                <w:lang w:val="sr-Latn-ME"/>
              </w:rPr>
            </w:pPr>
          </w:p>
        </w:tc>
      </w:tr>
      <w:tr w:rsidR="00785722" w:rsidRPr="00275456" w14:paraId="655DD84F" w14:textId="77777777" w:rsidTr="00A3401E">
        <w:trPr>
          <w:trHeight w:val="174"/>
          <w:jc w:val="center"/>
        </w:trPr>
        <w:tc>
          <w:tcPr>
            <w:tcW w:w="3562" w:type="dxa"/>
            <w:tcBorders>
              <w:top w:val="single" w:sz="4" w:space="0" w:color="auto"/>
              <w:left w:val="single" w:sz="4" w:space="0" w:color="auto"/>
              <w:bottom w:val="nil"/>
              <w:right w:val="nil"/>
            </w:tcBorders>
          </w:tcPr>
          <w:p w14:paraId="33509305" w14:textId="77777777" w:rsidR="00785722" w:rsidRPr="00EA088A" w:rsidRDefault="00785722" w:rsidP="00A3401E">
            <w:pPr>
              <w:tabs>
                <w:tab w:val="left" w:pos="284"/>
              </w:tabs>
              <w:rPr>
                <w:sz w:val="22"/>
                <w:szCs w:val="22"/>
                <w:lang w:val="sr-Latn-ME"/>
              </w:rPr>
            </w:pPr>
            <w:r w:rsidRPr="00EA088A">
              <w:rPr>
                <w:bCs/>
                <w:sz w:val="22"/>
                <w:szCs w:val="22"/>
                <w:lang w:val="sr-Latn-ME"/>
              </w:rPr>
              <w:t>Gastrointestinalni poremećaji</w:t>
            </w:r>
          </w:p>
        </w:tc>
        <w:tc>
          <w:tcPr>
            <w:tcW w:w="5889" w:type="dxa"/>
            <w:tcBorders>
              <w:top w:val="single" w:sz="4" w:space="0" w:color="auto"/>
              <w:left w:val="nil"/>
              <w:bottom w:val="nil"/>
              <w:right w:val="single" w:sz="4" w:space="0" w:color="auto"/>
            </w:tcBorders>
          </w:tcPr>
          <w:p w14:paraId="3524F1D2" w14:textId="77777777" w:rsidR="00785722" w:rsidRPr="00EA088A" w:rsidRDefault="00785722" w:rsidP="00A3401E">
            <w:pPr>
              <w:tabs>
                <w:tab w:val="left" w:pos="284"/>
              </w:tabs>
              <w:rPr>
                <w:sz w:val="22"/>
                <w:szCs w:val="22"/>
                <w:lang w:val="sr-Latn-ME"/>
              </w:rPr>
            </w:pPr>
          </w:p>
        </w:tc>
      </w:tr>
      <w:tr w:rsidR="00785722" w:rsidRPr="00275456" w14:paraId="6F66DCCA" w14:textId="77777777" w:rsidTr="00A3401E">
        <w:trPr>
          <w:trHeight w:val="174"/>
          <w:jc w:val="center"/>
        </w:trPr>
        <w:tc>
          <w:tcPr>
            <w:tcW w:w="3562" w:type="dxa"/>
            <w:tcBorders>
              <w:top w:val="nil"/>
              <w:left w:val="single" w:sz="4" w:space="0" w:color="auto"/>
              <w:bottom w:val="nil"/>
              <w:right w:val="nil"/>
            </w:tcBorders>
          </w:tcPr>
          <w:p w14:paraId="5C40326D" w14:textId="77777777" w:rsidR="00785722" w:rsidRPr="00EA088A" w:rsidRDefault="00785722" w:rsidP="00A3401E">
            <w:pPr>
              <w:tabs>
                <w:tab w:val="left" w:pos="284"/>
              </w:tabs>
              <w:jc w:val="right"/>
              <w:rPr>
                <w:sz w:val="22"/>
                <w:szCs w:val="22"/>
                <w:lang w:val="sr-Latn-ME"/>
              </w:rPr>
            </w:pPr>
            <w:r w:rsidRPr="00EA088A">
              <w:rPr>
                <w:sz w:val="22"/>
                <w:szCs w:val="22"/>
                <w:lang w:val="sr-Latn-ME"/>
              </w:rPr>
              <w:t>Često:</w:t>
            </w:r>
          </w:p>
        </w:tc>
        <w:tc>
          <w:tcPr>
            <w:tcW w:w="5889" w:type="dxa"/>
            <w:tcBorders>
              <w:top w:val="nil"/>
              <w:left w:val="nil"/>
              <w:bottom w:val="nil"/>
              <w:right w:val="single" w:sz="4" w:space="0" w:color="auto"/>
            </w:tcBorders>
          </w:tcPr>
          <w:p w14:paraId="25DB76BC" w14:textId="77777777" w:rsidR="00785722" w:rsidRPr="00EA088A" w:rsidRDefault="00785722" w:rsidP="00A3401E">
            <w:pPr>
              <w:tabs>
                <w:tab w:val="left" w:pos="284"/>
              </w:tabs>
              <w:rPr>
                <w:sz w:val="22"/>
                <w:szCs w:val="22"/>
                <w:lang w:val="sr-Latn-ME"/>
              </w:rPr>
            </w:pPr>
            <w:r w:rsidRPr="00EA088A">
              <w:rPr>
                <w:sz w:val="22"/>
                <w:szCs w:val="22"/>
                <w:lang w:val="sr-Latn-ME"/>
              </w:rPr>
              <w:t>Dispepsija, gastrointestinalni i abdominalni bol, nauzeja, gastrointestinalni zapaljenski poremećaji (npr. gastritis i kolitis), stomatitis</w:t>
            </w:r>
          </w:p>
        </w:tc>
      </w:tr>
      <w:tr w:rsidR="00785722" w:rsidRPr="00275456" w14:paraId="4F0D5469" w14:textId="77777777" w:rsidTr="00A3401E">
        <w:trPr>
          <w:trHeight w:val="174"/>
          <w:jc w:val="center"/>
        </w:trPr>
        <w:tc>
          <w:tcPr>
            <w:tcW w:w="3562" w:type="dxa"/>
            <w:tcBorders>
              <w:top w:val="nil"/>
              <w:left w:val="single" w:sz="4" w:space="0" w:color="auto"/>
              <w:bottom w:val="single" w:sz="4" w:space="0" w:color="auto"/>
              <w:right w:val="nil"/>
            </w:tcBorders>
          </w:tcPr>
          <w:p w14:paraId="5831310F"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single" w:sz="4" w:space="0" w:color="auto"/>
              <w:right w:val="single" w:sz="4" w:space="0" w:color="auto"/>
            </w:tcBorders>
          </w:tcPr>
          <w:p w14:paraId="7233FA11" w14:textId="77777777" w:rsidR="00785722" w:rsidRPr="00C9046D" w:rsidRDefault="00785722" w:rsidP="00A3401E">
            <w:pPr>
              <w:tabs>
                <w:tab w:val="left" w:pos="284"/>
              </w:tabs>
              <w:rPr>
                <w:sz w:val="22"/>
                <w:szCs w:val="22"/>
                <w:lang w:val="sr-Latn-ME"/>
              </w:rPr>
            </w:pPr>
            <w:r w:rsidRPr="00EA088A">
              <w:rPr>
                <w:sz w:val="22"/>
                <w:szCs w:val="22"/>
                <w:lang w:val="sr-Latn-ME"/>
              </w:rPr>
              <w:t>Konstipacija,  bolest gastroezofagusnog refluks</w:t>
            </w:r>
            <w:r w:rsidRPr="00C9046D">
              <w:rPr>
                <w:sz w:val="22"/>
                <w:szCs w:val="22"/>
                <w:lang w:val="sr-Latn-ME"/>
              </w:rPr>
              <w:t>a</w:t>
            </w:r>
          </w:p>
        </w:tc>
      </w:tr>
      <w:tr w:rsidR="00785722" w:rsidRPr="00275456" w14:paraId="4F06044F" w14:textId="77777777" w:rsidTr="00A3401E">
        <w:trPr>
          <w:trHeight w:val="174"/>
          <w:jc w:val="center"/>
        </w:trPr>
        <w:tc>
          <w:tcPr>
            <w:tcW w:w="3562" w:type="dxa"/>
            <w:tcBorders>
              <w:top w:val="single" w:sz="4" w:space="0" w:color="auto"/>
              <w:left w:val="single" w:sz="4" w:space="0" w:color="auto"/>
              <w:bottom w:val="nil"/>
              <w:right w:val="nil"/>
            </w:tcBorders>
          </w:tcPr>
          <w:p w14:paraId="4D6C3243" w14:textId="77777777" w:rsidR="00785722" w:rsidRPr="00EA088A" w:rsidRDefault="00785722" w:rsidP="00A3401E">
            <w:pPr>
              <w:tabs>
                <w:tab w:val="left" w:pos="284"/>
              </w:tabs>
              <w:rPr>
                <w:sz w:val="22"/>
                <w:szCs w:val="22"/>
                <w:lang w:val="sr-Latn-ME"/>
              </w:rPr>
            </w:pPr>
            <w:r w:rsidRPr="00EA088A">
              <w:rPr>
                <w:bCs/>
                <w:sz w:val="22"/>
                <w:szCs w:val="22"/>
                <w:lang w:val="sr-Latn-ME"/>
              </w:rPr>
              <w:t>Hepatobilijarni poremećaji</w:t>
            </w:r>
          </w:p>
        </w:tc>
        <w:tc>
          <w:tcPr>
            <w:tcW w:w="5889" w:type="dxa"/>
            <w:tcBorders>
              <w:top w:val="single" w:sz="4" w:space="0" w:color="auto"/>
              <w:left w:val="nil"/>
              <w:bottom w:val="nil"/>
              <w:right w:val="single" w:sz="4" w:space="0" w:color="auto"/>
            </w:tcBorders>
          </w:tcPr>
          <w:p w14:paraId="4AD10051" w14:textId="77777777" w:rsidR="00785722" w:rsidRPr="00EA088A" w:rsidRDefault="00785722" w:rsidP="00A3401E">
            <w:pPr>
              <w:tabs>
                <w:tab w:val="left" w:pos="284"/>
              </w:tabs>
              <w:rPr>
                <w:sz w:val="22"/>
                <w:szCs w:val="22"/>
                <w:lang w:val="sr-Latn-ME"/>
              </w:rPr>
            </w:pPr>
          </w:p>
        </w:tc>
      </w:tr>
      <w:tr w:rsidR="00785722" w:rsidRPr="00275456" w14:paraId="3439C0FD" w14:textId="77777777" w:rsidTr="00A3401E">
        <w:trPr>
          <w:trHeight w:val="174"/>
          <w:jc w:val="center"/>
        </w:trPr>
        <w:tc>
          <w:tcPr>
            <w:tcW w:w="3562" w:type="dxa"/>
            <w:tcBorders>
              <w:top w:val="nil"/>
              <w:left w:val="single" w:sz="4" w:space="0" w:color="auto"/>
              <w:bottom w:val="nil"/>
              <w:right w:val="nil"/>
            </w:tcBorders>
          </w:tcPr>
          <w:p w14:paraId="34E01F38" w14:textId="77777777" w:rsidR="00785722" w:rsidRPr="00EA088A" w:rsidRDefault="00785722" w:rsidP="00A3401E">
            <w:pPr>
              <w:tabs>
                <w:tab w:val="left" w:pos="284"/>
              </w:tabs>
              <w:jc w:val="right"/>
              <w:rPr>
                <w:sz w:val="22"/>
                <w:szCs w:val="22"/>
                <w:lang w:val="sr-Latn-ME"/>
              </w:rPr>
            </w:pPr>
            <w:r w:rsidRPr="00EA088A">
              <w:rPr>
                <w:sz w:val="22"/>
                <w:szCs w:val="22"/>
                <w:lang w:val="sr-Latn-ME"/>
              </w:rPr>
              <w:t>Često:</w:t>
            </w:r>
          </w:p>
        </w:tc>
        <w:tc>
          <w:tcPr>
            <w:tcW w:w="5889" w:type="dxa"/>
            <w:tcBorders>
              <w:top w:val="nil"/>
              <w:left w:val="nil"/>
              <w:bottom w:val="nil"/>
              <w:right w:val="single" w:sz="4" w:space="0" w:color="auto"/>
            </w:tcBorders>
          </w:tcPr>
          <w:p w14:paraId="151A7CFD" w14:textId="77777777" w:rsidR="00785722" w:rsidRPr="00EA088A" w:rsidRDefault="00785722" w:rsidP="00A3401E">
            <w:pPr>
              <w:tabs>
                <w:tab w:val="left" w:pos="284"/>
              </w:tabs>
              <w:rPr>
                <w:sz w:val="22"/>
                <w:szCs w:val="22"/>
                <w:lang w:val="sr-Latn-ME"/>
              </w:rPr>
            </w:pPr>
            <w:r w:rsidRPr="00EA088A">
              <w:rPr>
                <w:sz w:val="22"/>
                <w:szCs w:val="22"/>
                <w:lang w:val="sr-Latn-ME"/>
              </w:rPr>
              <w:t xml:space="preserve">Povišen nivo alanin-aminotransferaze, povišen nivo aspartat-aminotransferaze </w:t>
            </w:r>
          </w:p>
        </w:tc>
      </w:tr>
      <w:tr w:rsidR="00785722" w:rsidRPr="00275456" w14:paraId="37229268" w14:textId="77777777" w:rsidTr="00A3401E">
        <w:trPr>
          <w:trHeight w:val="174"/>
          <w:jc w:val="center"/>
        </w:trPr>
        <w:tc>
          <w:tcPr>
            <w:tcW w:w="3562" w:type="dxa"/>
            <w:tcBorders>
              <w:top w:val="nil"/>
              <w:left w:val="single" w:sz="4" w:space="0" w:color="auto"/>
              <w:bottom w:val="single" w:sz="4" w:space="0" w:color="auto"/>
              <w:right w:val="nil"/>
            </w:tcBorders>
          </w:tcPr>
          <w:p w14:paraId="26AD83E7"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single" w:sz="4" w:space="0" w:color="auto"/>
              <w:right w:val="single" w:sz="4" w:space="0" w:color="auto"/>
            </w:tcBorders>
          </w:tcPr>
          <w:p w14:paraId="69A9EE29" w14:textId="77777777" w:rsidR="00785722" w:rsidRPr="00EA088A" w:rsidRDefault="00785722" w:rsidP="00A3401E">
            <w:pPr>
              <w:tabs>
                <w:tab w:val="left" w:pos="284"/>
              </w:tabs>
              <w:rPr>
                <w:sz w:val="22"/>
                <w:szCs w:val="22"/>
                <w:lang w:val="sr-Latn-ME"/>
              </w:rPr>
            </w:pPr>
            <w:r w:rsidRPr="00EA088A">
              <w:rPr>
                <w:sz w:val="22"/>
                <w:szCs w:val="22"/>
                <w:lang w:val="sr-Latn-ME"/>
              </w:rPr>
              <w:t>Holelitijaza, jetreni poremećaji</w:t>
            </w:r>
          </w:p>
        </w:tc>
      </w:tr>
      <w:tr w:rsidR="00785722" w:rsidRPr="00275456" w14:paraId="760C7391" w14:textId="77777777" w:rsidTr="00A3401E">
        <w:trPr>
          <w:trHeight w:val="174"/>
          <w:jc w:val="center"/>
        </w:trPr>
        <w:tc>
          <w:tcPr>
            <w:tcW w:w="3562" w:type="dxa"/>
            <w:tcBorders>
              <w:top w:val="single" w:sz="4" w:space="0" w:color="auto"/>
              <w:left w:val="single" w:sz="4" w:space="0" w:color="auto"/>
              <w:bottom w:val="nil"/>
              <w:right w:val="nil"/>
            </w:tcBorders>
          </w:tcPr>
          <w:p w14:paraId="44576EC1" w14:textId="77777777" w:rsidR="00785722" w:rsidRPr="00EA088A" w:rsidRDefault="00785722" w:rsidP="00A3401E">
            <w:pPr>
              <w:tabs>
                <w:tab w:val="left" w:pos="284"/>
              </w:tabs>
              <w:rPr>
                <w:sz w:val="22"/>
                <w:szCs w:val="22"/>
                <w:lang w:val="sr-Latn-ME"/>
              </w:rPr>
            </w:pPr>
            <w:r w:rsidRPr="00EA088A">
              <w:rPr>
                <w:bCs/>
                <w:sz w:val="22"/>
                <w:szCs w:val="22"/>
                <w:lang w:val="sr-Latn-ME"/>
              </w:rPr>
              <w:t>Poremećaji na nivou kože i potkožnog tkiva</w:t>
            </w:r>
          </w:p>
        </w:tc>
        <w:tc>
          <w:tcPr>
            <w:tcW w:w="5889" w:type="dxa"/>
            <w:tcBorders>
              <w:top w:val="single" w:sz="4" w:space="0" w:color="auto"/>
              <w:left w:val="nil"/>
              <w:bottom w:val="nil"/>
              <w:right w:val="single" w:sz="4" w:space="0" w:color="auto"/>
            </w:tcBorders>
          </w:tcPr>
          <w:p w14:paraId="6940CD2F" w14:textId="77777777" w:rsidR="00785722" w:rsidRPr="00EA088A" w:rsidRDefault="00785722" w:rsidP="00A3401E">
            <w:pPr>
              <w:tabs>
                <w:tab w:val="left" w:pos="284"/>
              </w:tabs>
              <w:rPr>
                <w:sz w:val="22"/>
                <w:szCs w:val="22"/>
                <w:lang w:val="sr-Latn-ME"/>
              </w:rPr>
            </w:pPr>
          </w:p>
        </w:tc>
      </w:tr>
      <w:tr w:rsidR="00785722" w:rsidRPr="00275456" w14:paraId="66D14BA3" w14:textId="77777777" w:rsidTr="00A3401E">
        <w:trPr>
          <w:trHeight w:val="174"/>
          <w:jc w:val="center"/>
        </w:trPr>
        <w:tc>
          <w:tcPr>
            <w:tcW w:w="3562" w:type="dxa"/>
            <w:tcBorders>
              <w:top w:val="nil"/>
              <w:left w:val="single" w:sz="4" w:space="0" w:color="auto"/>
              <w:bottom w:val="nil"/>
              <w:right w:val="nil"/>
            </w:tcBorders>
          </w:tcPr>
          <w:p w14:paraId="56BA664E" w14:textId="77777777" w:rsidR="00785722" w:rsidRPr="00EA088A" w:rsidRDefault="00785722" w:rsidP="00A3401E">
            <w:pPr>
              <w:tabs>
                <w:tab w:val="left" w:pos="284"/>
              </w:tabs>
              <w:jc w:val="right"/>
              <w:rPr>
                <w:sz w:val="22"/>
                <w:szCs w:val="22"/>
                <w:lang w:val="sr-Latn-ME"/>
              </w:rPr>
            </w:pPr>
            <w:r w:rsidRPr="00EA088A">
              <w:rPr>
                <w:sz w:val="22"/>
                <w:szCs w:val="22"/>
                <w:lang w:val="sr-Latn-ME"/>
              </w:rPr>
              <w:t>Često:</w:t>
            </w:r>
          </w:p>
        </w:tc>
        <w:tc>
          <w:tcPr>
            <w:tcW w:w="5889" w:type="dxa"/>
            <w:tcBorders>
              <w:top w:val="nil"/>
              <w:left w:val="nil"/>
              <w:bottom w:val="nil"/>
              <w:right w:val="single" w:sz="4" w:space="0" w:color="auto"/>
            </w:tcBorders>
          </w:tcPr>
          <w:p w14:paraId="47F39614" w14:textId="77777777" w:rsidR="00785722" w:rsidRPr="00EA088A" w:rsidRDefault="00785722" w:rsidP="00A3401E">
            <w:pPr>
              <w:tabs>
                <w:tab w:val="left" w:pos="284"/>
              </w:tabs>
              <w:rPr>
                <w:sz w:val="22"/>
                <w:szCs w:val="22"/>
                <w:lang w:val="sr-Latn-ME"/>
              </w:rPr>
            </w:pPr>
            <w:r w:rsidRPr="00EA088A">
              <w:rPr>
                <w:sz w:val="22"/>
                <w:szCs w:val="22"/>
                <w:lang w:val="sr-Latn-ME"/>
              </w:rPr>
              <w:t>Pruritus, osip, alopecija, dermatitis</w:t>
            </w:r>
          </w:p>
        </w:tc>
      </w:tr>
      <w:tr w:rsidR="00785722" w:rsidRPr="00275456" w14:paraId="135D7078" w14:textId="77777777" w:rsidTr="00A3401E">
        <w:trPr>
          <w:trHeight w:val="691"/>
          <w:jc w:val="center"/>
        </w:trPr>
        <w:tc>
          <w:tcPr>
            <w:tcW w:w="3562" w:type="dxa"/>
            <w:tcBorders>
              <w:top w:val="nil"/>
              <w:left w:val="single" w:sz="4" w:space="0" w:color="auto"/>
              <w:bottom w:val="nil"/>
              <w:right w:val="nil"/>
            </w:tcBorders>
          </w:tcPr>
          <w:p w14:paraId="064FAC45"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p w14:paraId="399096CD" w14:textId="77777777" w:rsidR="00785722" w:rsidRPr="00EA088A" w:rsidRDefault="00785722" w:rsidP="00A3401E">
            <w:pPr>
              <w:tabs>
                <w:tab w:val="left" w:pos="284"/>
              </w:tabs>
              <w:jc w:val="right"/>
              <w:rPr>
                <w:sz w:val="22"/>
                <w:szCs w:val="22"/>
                <w:lang w:val="sr-Latn-ME"/>
              </w:rPr>
            </w:pPr>
          </w:p>
          <w:p w14:paraId="7AF6181A" w14:textId="77777777" w:rsidR="00785722" w:rsidRPr="00C9046D" w:rsidRDefault="00785722" w:rsidP="00A3401E">
            <w:pPr>
              <w:tabs>
                <w:tab w:val="left" w:pos="284"/>
              </w:tabs>
              <w:jc w:val="right"/>
              <w:rPr>
                <w:sz w:val="22"/>
                <w:szCs w:val="22"/>
                <w:lang w:val="sr-Latn-ME"/>
              </w:rPr>
            </w:pPr>
          </w:p>
        </w:tc>
        <w:tc>
          <w:tcPr>
            <w:tcW w:w="5889" w:type="dxa"/>
            <w:tcBorders>
              <w:top w:val="nil"/>
              <w:left w:val="nil"/>
              <w:bottom w:val="nil"/>
              <w:right w:val="single" w:sz="4" w:space="0" w:color="auto"/>
            </w:tcBorders>
          </w:tcPr>
          <w:p w14:paraId="4E079149" w14:textId="77777777" w:rsidR="00785722" w:rsidRPr="00275456" w:rsidRDefault="00785722" w:rsidP="00A3401E">
            <w:pPr>
              <w:tabs>
                <w:tab w:val="left" w:pos="284"/>
              </w:tabs>
              <w:rPr>
                <w:sz w:val="22"/>
                <w:szCs w:val="22"/>
                <w:lang w:val="sr-Latn-ME"/>
              </w:rPr>
            </w:pPr>
            <w:r w:rsidRPr="00275456">
              <w:rPr>
                <w:sz w:val="22"/>
                <w:szCs w:val="22"/>
                <w:lang w:val="sr-Latn-ME"/>
              </w:rPr>
              <w:t xml:space="preserve">Bulozne reakcije na koži, psorijaza (novonastala ili pogoršanje postojeće, palmar/plantarna i pustularna), urtikarija, </w:t>
            </w:r>
          </w:p>
        </w:tc>
      </w:tr>
      <w:tr w:rsidR="00785722" w:rsidRPr="00275456" w14:paraId="69C57214" w14:textId="77777777" w:rsidTr="00A3401E">
        <w:trPr>
          <w:trHeight w:val="323"/>
          <w:jc w:val="center"/>
        </w:trPr>
        <w:tc>
          <w:tcPr>
            <w:tcW w:w="3562" w:type="dxa"/>
            <w:tcBorders>
              <w:top w:val="nil"/>
              <w:left w:val="single" w:sz="4" w:space="0" w:color="auto"/>
              <w:bottom w:val="single" w:sz="4" w:space="0" w:color="auto"/>
              <w:right w:val="nil"/>
            </w:tcBorders>
          </w:tcPr>
          <w:p w14:paraId="02B061FF" w14:textId="77777777" w:rsidR="00785722" w:rsidRPr="00EA088A" w:rsidRDefault="00785722" w:rsidP="00A3401E">
            <w:pPr>
              <w:tabs>
                <w:tab w:val="left" w:pos="284"/>
              </w:tabs>
              <w:jc w:val="right"/>
              <w:rPr>
                <w:sz w:val="22"/>
                <w:szCs w:val="22"/>
                <w:lang w:val="sr-Latn-ME"/>
              </w:rPr>
            </w:pPr>
            <w:r w:rsidRPr="00EA088A">
              <w:rPr>
                <w:sz w:val="22"/>
                <w:szCs w:val="22"/>
                <w:lang w:val="sr-Latn-ME"/>
              </w:rPr>
              <w:t>Rijetko:</w:t>
            </w:r>
          </w:p>
          <w:p w14:paraId="43AC222B" w14:textId="77777777" w:rsidR="00785722" w:rsidRPr="00EA088A" w:rsidRDefault="00785722" w:rsidP="00A3401E">
            <w:pPr>
              <w:tabs>
                <w:tab w:val="left" w:pos="284"/>
              </w:tabs>
              <w:jc w:val="right"/>
              <w:rPr>
                <w:sz w:val="22"/>
                <w:szCs w:val="22"/>
                <w:lang w:val="sr-Latn-ME"/>
              </w:rPr>
            </w:pPr>
            <w:r w:rsidRPr="00EA088A">
              <w:rPr>
                <w:sz w:val="22"/>
                <w:szCs w:val="22"/>
                <w:lang w:val="sr-Latn-ME"/>
              </w:rPr>
              <w:t>Nepoznato:</w:t>
            </w:r>
          </w:p>
        </w:tc>
        <w:tc>
          <w:tcPr>
            <w:tcW w:w="5889" w:type="dxa"/>
            <w:tcBorders>
              <w:top w:val="nil"/>
              <w:left w:val="nil"/>
              <w:bottom w:val="single" w:sz="4" w:space="0" w:color="auto"/>
              <w:right w:val="single" w:sz="4" w:space="0" w:color="auto"/>
            </w:tcBorders>
          </w:tcPr>
          <w:p w14:paraId="3DA79DBF" w14:textId="77777777" w:rsidR="00785722" w:rsidRPr="00C9046D" w:rsidRDefault="00785722" w:rsidP="00A3401E">
            <w:pPr>
              <w:tabs>
                <w:tab w:val="left" w:pos="284"/>
              </w:tabs>
              <w:rPr>
                <w:sz w:val="22"/>
                <w:szCs w:val="22"/>
                <w:lang w:val="sr-Latn-ME"/>
              </w:rPr>
            </w:pPr>
            <w:r w:rsidRPr="00C9046D">
              <w:rPr>
                <w:sz w:val="22"/>
                <w:szCs w:val="22"/>
                <w:lang w:val="sr-Latn-ME"/>
              </w:rPr>
              <w:t>Lihenoidne reakcije, eksfolijacija kože, vaskulitis (kožni)</w:t>
            </w:r>
          </w:p>
          <w:p w14:paraId="625B75DC" w14:textId="77777777" w:rsidR="00785722" w:rsidRPr="00275456" w:rsidRDefault="00785722" w:rsidP="00A3401E">
            <w:pPr>
              <w:tabs>
                <w:tab w:val="left" w:pos="284"/>
              </w:tabs>
              <w:rPr>
                <w:sz w:val="22"/>
                <w:szCs w:val="22"/>
                <w:lang w:val="sr-Latn-ME"/>
              </w:rPr>
            </w:pPr>
            <w:r w:rsidRPr="00275456">
              <w:rPr>
                <w:sz w:val="22"/>
                <w:szCs w:val="22"/>
                <w:lang w:val="sr-Latn-ME"/>
              </w:rPr>
              <w:t>Pogoršanje simptoma dermatomiozitisa</w:t>
            </w:r>
          </w:p>
        </w:tc>
      </w:tr>
      <w:tr w:rsidR="00785722" w:rsidRPr="00275456" w14:paraId="4D04262A" w14:textId="77777777" w:rsidTr="00A3401E">
        <w:trPr>
          <w:trHeight w:val="174"/>
          <w:jc w:val="center"/>
        </w:trPr>
        <w:tc>
          <w:tcPr>
            <w:tcW w:w="3562" w:type="dxa"/>
            <w:tcBorders>
              <w:top w:val="nil"/>
              <w:left w:val="single" w:sz="4" w:space="0" w:color="auto"/>
              <w:bottom w:val="nil"/>
              <w:right w:val="nil"/>
            </w:tcBorders>
          </w:tcPr>
          <w:p w14:paraId="56B65E74" w14:textId="77777777" w:rsidR="00785722" w:rsidRPr="00EA088A" w:rsidRDefault="00785722" w:rsidP="00A3401E">
            <w:pPr>
              <w:tabs>
                <w:tab w:val="left" w:pos="284"/>
              </w:tabs>
              <w:rPr>
                <w:bCs/>
                <w:sz w:val="22"/>
                <w:szCs w:val="22"/>
                <w:lang w:val="sr-Latn-ME"/>
              </w:rPr>
            </w:pPr>
            <w:r w:rsidRPr="00EA088A">
              <w:rPr>
                <w:bCs/>
                <w:sz w:val="22"/>
                <w:szCs w:val="22"/>
                <w:lang w:val="sr-Latn-ME"/>
              </w:rPr>
              <w:t>Poremećaji mišićno-skeletnog, vezivnog i koštanog tkiva</w:t>
            </w:r>
          </w:p>
        </w:tc>
        <w:tc>
          <w:tcPr>
            <w:tcW w:w="5889" w:type="dxa"/>
            <w:tcBorders>
              <w:top w:val="nil"/>
              <w:left w:val="nil"/>
              <w:bottom w:val="nil"/>
              <w:right w:val="single" w:sz="4" w:space="0" w:color="auto"/>
            </w:tcBorders>
          </w:tcPr>
          <w:p w14:paraId="2D526547" w14:textId="77777777" w:rsidR="00785722" w:rsidRPr="00EA088A" w:rsidRDefault="00785722" w:rsidP="00A3401E">
            <w:pPr>
              <w:tabs>
                <w:tab w:val="left" w:pos="284"/>
              </w:tabs>
              <w:rPr>
                <w:sz w:val="22"/>
                <w:szCs w:val="22"/>
                <w:lang w:val="sr-Latn-ME"/>
              </w:rPr>
            </w:pPr>
          </w:p>
        </w:tc>
      </w:tr>
      <w:tr w:rsidR="00785722" w:rsidRPr="00275456" w14:paraId="2E874DDA" w14:textId="77777777" w:rsidTr="00A3401E">
        <w:trPr>
          <w:trHeight w:val="174"/>
          <w:jc w:val="center"/>
        </w:trPr>
        <w:tc>
          <w:tcPr>
            <w:tcW w:w="3562" w:type="dxa"/>
            <w:tcBorders>
              <w:top w:val="nil"/>
              <w:left w:val="single" w:sz="4" w:space="0" w:color="auto"/>
              <w:bottom w:val="single" w:sz="4" w:space="0" w:color="auto"/>
              <w:right w:val="nil"/>
            </w:tcBorders>
          </w:tcPr>
          <w:p w14:paraId="3338FD23" w14:textId="77777777" w:rsidR="00785722" w:rsidRPr="00EA088A" w:rsidRDefault="00785722" w:rsidP="00A3401E">
            <w:pPr>
              <w:tabs>
                <w:tab w:val="left" w:pos="284"/>
              </w:tabs>
              <w:jc w:val="right"/>
              <w:rPr>
                <w:sz w:val="22"/>
                <w:szCs w:val="22"/>
                <w:lang w:val="sr-Latn-ME"/>
              </w:rPr>
            </w:pPr>
            <w:r w:rsidRPr="00EA088A">
              <w:rPr>
                <w:sz w:val="22"/>
                <w:szCs w:val="22"/>
                <w:lang w:val="sr-Latn-ME"/>
              </w:rPr>
              <w:t>Rijetko:</w:t>
            </w:r>
          </w:p>
        </w:tc>
        <w:tc>
          <w:tcPr>
            <w:tcW w:w="5889" w:type="dxa"/>
            <w:tcBorders>
              <w:top w:val="nil"/>
              <w:left w:val="nil"/>
              <w:bottom w:val="single" w:sz="4" w:space="0" w:color="auto"/>
              <w:right w:val="single" w:sz="4" w:space="0" w:color="auto"/>
            </w:tcBorders>
          </w:tcPr>
          <w:p w14:paraId="2C54066D" w14:textId="77777777" w:rsidR="00785722" w:rsidRPr="00EA088A" w:rsidRDefault="00785722" w:rsidP="00A3401E">
            <w:pPr>
              <w:tabs>
                <w:tab w:val="left" w:pos="284"/>
              </w:tabs>
              <w:rPr>
                <w:sz w:val="22"/>
                <w:szCs w:val="22"/>
                <w:lang w:val="sr-Latn-ME"/>
              </w:rPr>
            </w:pPr>
            <w:r w:rsidRPr="00EA088A">
              <w:rPr>
                <w:sz w:val="22"/>
                <w:szCs w:val="22"/>
                <w:lang w:val="sr-Latn-ME"/>
              </w:rPr>
              <w:t xml:space="preserve">Sindrom sličan lupusu </w:t>
            </w:r>
          </w:p>
        </w:tc>
      </w:tr>
      <w:tr w:rsidR="00785722" w:rsidRPr="00275456" w14:paraId="1520649D" w14:textId="77777777" w:rsidTr="00A3401E">
        <w:trPr>
          <w:trHeight w:val="174"/>
          <w:jc w:val="center"/>
        </w:trPr>
        <w:tc>
          <w:tcPr>
            <w:tcW w:w="3562" w:type="dxa"/>
            <w:tcBorders>
              <w:top w:val="nil"/>
              <w:left w:val="single" w:sz="4" w:space="0" w:color="auto"/>
              <w:bottom w:val="nil"/>
              <w:right w:val="nil"/>
            </w:tcBorders>
          </w:tcPr>
          <w:p w14:paraId="17C27E43" w14:textId="77777777" w:rsidR="00785722" w:rsidRPr="00EA088A" w:rsidRDefault="00785722" w:rsidP="00A3401E">
            <w:pPr>
              <w:tabs>
                <w:tab w:val="left" w:pos="284"/>
              </w:tabs>
              <w:rPr>
                <w:bCs/>
                <w:sz w:val="22"/>
                <w:szCs w:val="22"/>
                <w:lang w:val="sr-Latn-ME"/>
              </w:rPr>
            </w:pPr>
            <w:r w:rsidRPr="00EA088A">
              <w:rPr>
                <w:bCs/>
                <w:sz w:val="22"/>
                <w:szCs w:val="22"/>
                <w:lang w:val="sr-Latn-ME"/>
              </w:rPr>
              <w:lastRenderedPageBreak/>
              <w:t>Poremećaji na nivou bubrega i urinarnog sistema</w:t>
            </w:r>
          </w:p>
        </w:tc>
        <w:tc>
          <w:tcPr>
            <w:tcW w:w="5889" w:type="dxa"/>
            <w:tcBorders>
              <w:top w:val="nil"/>
              <w:left w:val="nil"/>
              <w:bottom w:val="nil"/>
              <w:right w:val="single" w:sz="4" w:space="0" w:color="auto"/>
            </w:tcBorders>
          </w:tcPr>
          <w:p w14:paraId="1B72908E" w14:textId="77777777" w:rsidR="00785722" w:rsidRPr="00EA088A" w:rsidRDefault="00785722" w:rsidP="00A3401E">
            <w:pPr>
              <w:tabs>
                <w:tab w:val="left" w:pos="284"/>
              </w:tabs>
              <w:rPr>
                <w:sz w:val="22"/>
                <w:szCs w:val="22"/>
                <w:lang w:val="sr-Latn-ME"/>
              </w:rPr>
            </w:pPr>
          </w:p>
        </w:tc>
      </w:tr>
      <w:tr w:rsidR="00785722" w:rsidRPr="00275456" w14:paraId="7D4A080D" w14:textId="77777777" w:rsidTr="00A3401E">
        <w:trPr>
          <w:trHeight w:val="174"/>
          <w:jc w:val="center"/>
        </w:trPr>
        <w:tc>
          <w:tcPr>
            <w:tcW w:w="3562" w:type="dxa"/>
            <w:tcBorders>
              <w:top w:val="nil"/>
              <w:left w:val="single" w:sz="4" w:space="0" w:color="auto"/>
              <w:bottom w:val="nil"/>
              <w:right w:val="nil"/>
            </w:tcBorders>
          </w:tcPr>
          <w:p w14:paraId="16C0AA63" w14:textId="77777777" w:rsidR="00785722" w:rsidRPr="00EA088A" w:rsidRDefault="00785722" w:rsidP="00A3401E">
            <w:pPr>
              <w:tabs>
                <w:tab w:val="left" w:pos="284"/>
              </w:tabs>
              <w:jc w:val="right"/>
              <w:rPr>
                <w:sz w:val="22"/>
                <w:szCs w:val="22"/>
                <w:lang w:val="sr-Latn-ME"/>
              </w:rPr>
            </w:pPr>
            <w:r w:rsidRPr="00EA088A">
              <w:rPr>
                <w:sz w:val="22"/>
                <w:szCs w:val="22"/>
                <w:lang w:val="sr-Latn-ME"/>
              </w:rPr>
              <w:t>Rijetko:</w:t>
            </w:r>
          </w:p>
        </w:tc>
        <w:tc>
          <w:tcPr>
            <w:tcW w:w="5889" w:type="dxa"/>
            <w:tcBorders>
              <w:top w:val="nil"/>
              <w:left w:val="nil"/>
              <w:bottom w:val="nil"/>
              <w:right w:val="single" w:sz="4" w:space="0" w:color="auto"/>
            </w:tcBorders>
          </w:tcPr>
          <w:p w14:paraId="78555926" w14:textId="77777777" w:rsidR="00785722" w:rsidRPr="00EA088A" w:rsidRDefault="00785722" w:rsidP="00A3401E">
            <w:pPr>
              <w:tabs>
                <w:tab w:val="left" w:pos="284"/>
              </w:tabs>
              <w:rPr>
                <w:sz w:val="22"/>
                <w:szCs w:val="22"/>
                <w:lang w:val="sr-Latn-ME"/>
              </w:rPr>
            </w:pPr>
            <w:r w:rsidRPr="00EA088A">
              <w:rPr>
                <w:sz w:val="22"/>
                <w:szCs w:val="22"/>
                <w:lang w:val="sr-Latn-ME"/>
              </w:rPr>
              <w:t>Poremećaji bešike, bubrežni poremećaji</w:t>
            </w:r>
          </w:p>
        </w:tc>
      </w:tr>
      <w:tr w:rsidR="00785722" w:rsidRPr="00275456" w14:paraId="19349B3E" w14:textId="77777777" w:rsidTr="00A3401E">
        <w:trPr>
          <w:trHeight w:val="174"/>
          <w:jc w:val="center"/>
        </w:trPr>
        <w:tc>
          <w:tcPr>
            <w:tcW w:w="3562" w:type="dxa"/>
            <w:tcBorders>
              <w:top w:val="nil"/>
              <w:left w:val="single" w:sz="4" w:space="0" w:color="auto"/>
              <w:bottom w:val="single" w:sz="4" w:space="0" w:color="auto"/>
              <w:right w:val="nil"/>
            </w:tcBorders>
          </w:tcPr>
          <w:p w14:paraId="1C23E7AA" w14:textId="77777777" w:rsidR="00785722" w:rsidRPr="00EA088A" w:rsidRDefault="00785722" w:rsidP="00A3401E">
            <w:pPr>
              <w:tabs>
                <w:tab w:val="left" w:pos="284"/>
              </w:tabs>
              <w:jc w:val="right"/>
              <w:rPr>
                <w:sz w:val="22"/>
                <w:szCs w:val="22"/>
                <w:lang w:val="sr-Latn-ME"/>
              </w:rPr>
            </w:pPr>
          </w:p>
        </w:tc>
        <w:tc>
          <w:tcPr>
            <w:tcW w:w="5889" w:type="dxa"/>
            <w:tcBorders>
              <w:top w:val="nil"/>
              <w:left w:val="nil"/>
              <w:bottom w:val="single" w:sz="4" w:space="0" w:color="auto"/>
              <w:right w:val="single" w:sz="4" w:space="0" w:color="auto"/>
            </w:tcBorders>
          </w:tcPr>
          <w:p w14:paraId="287B31DC" w14:textId="77777777" w:rsidR="00785722" w:rsidRPr="00EA088A" w:rsidRDefault="00785722" w:rsidP="00A3401E">
            <w:pPr>
              <w:tabs>
                <w:tab w:val="left" w:pos="284"/>
              </w:tabs>
              <w:rPr>
                <w:sz w:val="22"/>
                <w:szCs w:val="22"/>
                <w:lang w:val="sr-Latn-ME"/>
              </w:rPr>
            </w:pPr>
          </w:p>
        </w:tc>
      </w:tr>
      <w:tr w:rsidR="00785722" w:rsidRPr="00275456" w14:paraId="53F2F3E1" w14:textId="77777777" w:rsidTr="00A3401E">
        <w:trPr>
          <w:trHeight w:val="174"/>
          <w:jc w:val="center"/>
        </w:trPr>
        <w:tc>
          <w:tcPr>
            <w:tcW w:w="3562" w:type="dxa"/>
            <w:tcBorders>
              <w:top w:val="nil"/>
              <w:left w:val="single" w:sz="4" w:space="0" w:color="auto"/>
              <w:bottom w:val="nil"/>
              <w:right w:val="nil"/>
            </w:tcBorders>
          </w:tcPr>
          <w:p w14:paraId="12345698" w14:textId="77777777" w:rsidR="00785722" w:rsidRPr="00EA088A" w:rsidRDefault="00785722" w:rsidP="00A3401E">
            <w:pPr>
              <w:tabs>
                <w:tab w:val="left" w:pos="284"/>
              </w:tabs>
              <w:rPr>
                <w:bCs/>
                <w:sz w:val="22"/>
                <w:szCs w:val="22"/>
                <w:lang w:val="sr-Latn-ME"/>
              </w:rPr>
            </w:pPr>
            <w:r w:rsidRPr="00EA088A">
              <w:rPr>
                <w:bCs/>
                <w:sz w:val="22"/>
                <w:szCs w:val="22"/>
                <w:lang w:val="sr-Latn-ME"/>
              </w:rPr>
              <w:t>Poremećaji reproduktivnog sistema i na nivou dojki</w:t>
            </w:r>
          </w:p>
        </w:tc>
        <w:tc>
          <w:tcPr>
            <w:tcW w:w="5889" w:type="dxa"/>
            <w:tcBorders>
              <w:top w:val="nil"/>
              <w:left w:val="nil"/>
              <w:bottom w:val="nil"/>
              <w:right w:val="single" w:sz="4" w:space="0" w:color="auto"/>
            </w:tcBorders>
          </w:tcPr>
          <w:p w14:paraId="7CEABA1D" w14:textId="77777777" w:rsidR="00785722" w:rsidRPr="00EA088A" w:rsidRDefault="00785722" w:rsidP="00A3401E">
            <w:pPr>
              <w:tabs>
                <w:tab w:val="left" w:pos="284"/>
              </w:tabs>
              <w:rPr>
                <w:sz w:val="22"/>
                <w:szCs w:val="22"/>
                <w:lang w:val="sr-Latn-ME"/>
              </w:rPr>
            </w:pPr>
          </w:p>
        </w:tc>
      </w:tr>
      <w:tr w:rsidR="00785722" w:rsidRPr="00275456" w14:paraId="17BB1BEC" w14:textId="77777777" w:rsidTr="00A3401E">
        <w:trPr>
          <w:trHeight w:val="174"/>
          <w:jc w:val="center"/>
        </w:trPr>
        <w:tc>
          <w:tcPr>
            <w:tcW w:w="3562" w:type="dxa"/>
            <w:tcBorders>
              <w:top w:val="nil"/>
              <w:left w:val="single" w:sz="4" w:space="0" w:color="auto"/>
              <w:bottom w:val="single" w:sz="4" w:space="0" w:color="auto"/>
              <w:right w:val="nil"/>
            </w:tcBorders>
          </w:tcPr>
          <w:p w14:paraId="2A82D6A1" w14:textId="77777777" w:rsidR="00785722" w:rsidRPr="00EA088A" w:rsidRDefault="00785722" w:rsidP="00A3401E">
            <w:pPr>
              <w:tabs>
                <w:tab w:val="left" w:pos="284"/>
              </w:tabs>
              <w:jc w:val="right"/>
              <w:rPr>
                <w:sz w:val="22"/>
                <w:szCs w:val="22"/>
                <w:lang w:val="sr-Latn-ME"/>
              </w:rPr>
            </w:pPr>
            <w:r w:rsidRPr="00EA088A">
              <w:rPr>
                <w:sz w:val="22"/>
                <w:szCs w:val="22"/>
                <w:lang w:val="sr-Latn-ME"/>
              </w:rPr>
              <w:t>Povremeno:</w:t>
            </w:r>
          </w:p>
        </w:tc>
        <w:tc>
          <w:tcPr>
            <w:tcW w:w="5889" w:type="dxa"/>
            <w:tcBorders>
              <w:top w:val="nil"/>
              <w:left w:val="nil"/>
              <w:bottom w:val="single" w:sz="4" w:space="0" w:color="auto"/>
              <w:right w:val="single" w:sz="4" w:space="0" w:color="auto"/>
            </w:tcBorders>
          </w:tcPr>
          <w:p w14:paraId="7870BACC" w14:textId="77777777" w:rsidR="00785722" w:rsidRPr="00C9046D" w:rsidRDefault="00785722" w:rsidP="00A3401E">
            <w:pPr>
              <w:tabs>
                <w:tab w:val="left" w:pos="284"/>
              </w:tabs>
              <w:rPr>
                <w:sz w:val="22"/>
                <w:szCs w:val="22"/>
                <w:lang w:val="sr-Latn-ME"/>
              </w:rPr>
            </w:pPr>
            <w:r w:rsidRPr="00EA088A">
              <w:rPr>
                <w:sz w:val="22"/>
                <w:szCs w:val="22"/>
                <w:lang w:val="sr-Latn-ME"/>
              </w:rPr>
              <w:t>Porem</w:t>
            </w:r>
            <w:r w:rsidRPr="00C9046D">
              <w:rPr>
                <w:sz w:val="22"/>
                <w:szCs w:val="22"/>
                <w:lang w:val="sr-Latn-ME"/>
              </w:rPr>
              <w:t>ećaji dojki, menstruacioni poremećaji</w:t>
            </w:r>
          </w:p>
        </w:tc>
      </w:tr>
      <w:tr w:rsidR="00785722" w:rsidRPr="00275456" w14:paraId="2C06C459" w14:textId="77777777" w:rsidTr="00A3401E">
        <w:trPr>
          <w:trHeight w:val="174"/>
          <w:jc w:val="center"/>
        </w:trPr>
        <w:tc>
          <w:tcPr>
            <w:tcW w:w="3562" w:type="dxa"/>
            <w:tcBorders>
              <w:top w:val="single" w:sz="4" w:space="0" w:color="auto"/>
              <w:left w:val="single" w:sz="4" w:space="0" w:color="auto"/>
              <w:bottom w:val="nil"/>
              <w:right w:val="nil"/>
            </w:tcBorders>
          </w:tcPr>
          <w:p w14:paraId="002AF14C" w14:textId="77777777" w:rsidR="00785722" w:rsidRPr="00EA088A" w:rsidRDefault="00785722" w:rsidP="00A3401E">
            <w:pPr>
              <w:tabs>
                <w:tab w:val="left" w:pos="284"/>
              </w:tabs>
              <w:rPr>
                <w:bCs/>
                <w:sz w:val="22"/>
                <w:szCs w:val="22"/>
                <w:lang w:val="sr-Latn-ME"/>
              </w:rPr>
            </w:pPr>
            <w:r w:rsidRPr="00EA088A">
              <w:rPr>
                <w:bCs/>
                <w:sz w:val="22"/>
                <w:szCs w:val="22"/>
                <w:lang w:val="sr-Latn-ME"/>
              </w:rPr>
              <w:t>Opšti poremećaji i reakcije na mjestu primjene</w:t>
            </w:r>
          </w:p>
        </w:tc>
        <w:tc>
          <w:tcPr>
            <w:tcW w:w="5889" w:type="dxa"/>
            <w:tcBorders>
              <w:top w:val="single" w:sz="4" w:space="0" w:color="auto"/>
              <w:left w:val="nil"/>
              <w:bottom w:val="nil"/>
              <w:right w:val="single" w:sz="4" w:space="0" w:color="auto"/>
            </w:tcBorders>
          </w:tcPr>
          <w:p w14:paraId="0A77ABCE" w14:textId="77777777" w:rsidR="00785722" w:rsidRPr="00EA088A" w:rsidRDefault="00785722" w:rsidP="00A3401E">
            <w:pPr>
              <w:tabs>
                <w:tab w:val="left" w:pos="284"/>
              </w:tabs>
              <w:rPr>
                <w:sz w:val="22"/>
                <w:szCs w:val="22"/>
                <w:lang w:val="sr-Latn-ME"/>
              </w:rPr>
            </w:pPr>
          </w:p>
        </w:tc>
      </w:tr>
      <w:tr w:rsidR="00785722" w:rsidRPr="00275456" w14:paraId="3E83BF6C" w14:textId="77777777" w:rsidTr="00A3401E">
        <w:trPr>
          <w:trHeight w:val="864"/>
          <w:jc w:val="center"/>
        </w:trPr>
        <w:tc>
          <w:tcPr>
            <w:tcW w:w="3562" w:type="dxa"/>
            <w:tcBorders>
              <w:top w:val="nil"/>
              <w:left w:val="single" w:sz="4" w:space="0" w:color="auto"/>
              <w:bottom w:val="nil"/>
              <w:right w:val="nil"/>
            </w:tcBorders>
          </w:tcPr>
          <w:p w14:paraId="1AA74944" w14:textId="77777777" w:rsidR="00785722" w:rsidRPr="00EA088A" w:rsidRDefault="00785722" w:rsidP="00A3401E">
            <w:pPr>
              <w:tabs>
                <w:tab w:val="left" w:pos="284"/>
              </w:tabs>
              <w:jc w:val="right"/>
              <w:rPr>
                <w:sz w:val="22"/>
                <w:szCs w:val="22"/>
                <w:lang w:val="sr-Latn-ME"/>
              </w:rPr>
            </w:pPr>
            <w:r w:rsidRPr="00EA088A">
              <w:rPr>
                <w:sz w:val="22"/>
                <w:szCs w:val="22"/>
                <w:lang w:val="sr-Latn-ME"/>
              </w:rPr>
              <w:t>Često:</w:t>
            </w:r>
          </w:p>
        </w:tc>
        <w:tc>
          <w:tcPr>
            <w:tcW w:w="5889" w:type="dxa"/>
            <w:tcBorders>
              <w:top w:val="nil"/>
              <w:left w:val="nil"/>
              <w:bottom w:val="nil"/>
              <w:right w:val="single" w:sz="4" w:space="0" w:color="auto"/>
            </w:tcBorders>
          </w:tcPr>
          <w:p w14:paraId="1EB2701D" w14:textId="77777777" w:rsidR="00785722" w:rsidRPr="00C9046D" w:rsidRDefault="00785722" w:rsidP="00A3401E">
            <w:pPr>
              <w:tabs>
                <w:tab w:val="left" w:pos="284"/>
              </w:tabs>
              <w:rPr>
                <w:sz w:val="22"/>
                <w:szCs w:val="22"/>
                <w:lang w:val="sr-Latn-ME"/>
              </w:rPr>
            </w:pPr>
            <w:r w:rsidRPr="00EA088A">
              <w:rPr>
                <w:sz w:val="22"/>
                <w:szCs w:val="22"/>
                <w:lang w:val="sr-Latn-ME"/>
              </w:rPr>
              <w:t>Pireksija, astenija, reakcije na mjestu injekcije (npr. eritem, urtikarija, induracija, bol, modrica, pruritus, iritacija i parestezija na mjestu davanja injekci</w:t>
            </w:r>
            <w:r w:rsidRPr="00C9046D">
              <w:rPr>
                <w:sz w:val="22"/>
                <w:szCs w:val="22"/>
                <w:lang w:val="sr-Latn-ME"/>
              </w:rPr>
              <w:t>je), nelagodnost u grudima</w:t>
            </w:r>
          </w:p>
        </w:tc>
      </w:tr>
      <w:tr w:rsidR="00785722" w:rsidRPr="00275456" w14:paraId="6A2A10F2" w14:textId="77777777" w:rsidTr="00A3401E">
        <w:trPr>
          <w:trHeight w:val="242"/>
          <w:jc w:val="center"/>
        </w:trPr>
        <w:tc>
          <w:tcPr>
            <w:tcW w:w="3562" w:type="dxa"/>
            <w:tcBorders>
              <w:top w:val="nil"/>
              <w:left w:val="single" w:sz="4" w:space="0" w:color="auto"/>
              <w:bottom w:val="single" w:sz="4" w:space="0" w:color="auto"/>
              <w:right w:val="nil"/>
            </w:tcBorders>
          </w:tcPr>
          <w:p w14:paraId="5F535AE0" w14:textId="77777777" w:rsidR="00785722" w:rsidRPr="00EA088A" w:rsidRDefault="00785722" w:rsidP="00A3401E">
            <w:pPr>
              <w:tabs>
                <w:tab w:val="left" w:pos="284"/>
              </w:tabs>
              <w:jc w:val="right"/>
              <w:rPr>
                <w:sz w:val="22"/>
                <w:szCs w:val="22"/>
                <w:lang w:val="sr-Latn-ME"/>
              </w:rPr>
            </w:pPr>
            <w:r w:rsidRPr="00EA088A">
              <w:rPr>
                <w:sz w:val="22"/>
                <w:szCs w:val="22"/>
                <w:lang w:val="sr-Latn-ME"/>
              </w:rPr>
              <w:t>Rijetko:</w:t>
            </w:r>
          </w:p>
        </w:tc>
        <w:tc>
          <w:tcPr>
            <w:tcW w:w="5889" w:type="dxa"/>
            <w:tcBorders>
              <w:top w:val="nil"/>
              <w:left w:val="nil"/>
              <w:bottom w:val="single" w:sz="4" w:space="0" w:color="auto"/>
              <w:right w:val="single" w:sz="4" w:space="0" w:color="auto"/>
            </w:tcBorders>
          </w:tcPr>
          <w:p w14:paraId="1BD23438" w14:textId="77777777" w:rsidR="00785722" w:rsidRPr="00EA088A" w:rsidRDefault="00785722" w:rsidP="00A3401E">
            <w:pPr>
              <w:tabs>
                <w:tab w:val="left" w:pos="284"/>
              </w:tabs>
              <w:rPr>
                <w:sz w:val="22"/>
                <w:szCs w:val="22"/>
                <w:lang w:val="sr-Latn-ME"/>
              </w:rPr>
            </w:pPr>
            <w:r w:rsidRPr="00EA088A">
              <w:rPr>
                <w:sz w:val="22"/>
                <w:szCs w:val="22"/>
                <w:lang w:val="sr-Latn-ME"/>
              </w:rPr>
              <w:t>Otežano zarastanje</w:t>
            </w:r>
          </w:p>
        </w:tc>
      </w:tr>
      <w:tr w:rsidR="00785722" w:rsidRPr="00275456" w14:paraId="3DE18FF5" w14:textId="77777777" w:rsidTr="00A3401E">
        <w:trPr>
          <w:trHeight w:val="174"/>
          <w:jc w:val="center"/>
        </w:trPr>
        <w:tc>
          <w:tcPr>
            <w:tcW w:w="3562" w:type="dxa"/>
            <w:tcBorders>
              <w:top w:val="single" w:sz="4" w:space="0" w:color="auto"/>
              <w:left w:val="single" w:sz="4" w:space="0" w:color="auto"/>
              <w:bottom w:val="nil"/>
              <w:right w:val="nil"/>
            </w:tcBorders>
          </w:tcPr>
          <w:p w14:paraId="6AD9147D" w14:textId="77777777" w:rsidR="00785722" w:rsidRPr="00EA088A" w:rsidRDefault="00785722" w:rsidP="00A3401E">
            <w:pPr>
              <w:tabs>
                <w:tab w:val="left" w:pos="284"/>
              </w:tabs>
              <w:rPr>
                <w:sz w:val="22"/>
                <w:szCs w:val="22"/>
                <w:lang w:val="sr-Latn-ME"/>
              </w:rPr>
            </w:pPr>
            <w:r w:rsidRPr="00EA088A">
              <w:rPr>
                <w:sz w:val="22"/>
                <w:szCs w:val="22"/>
                <w:lang w:val="sr-Latn-ME"/>
              </w:rPr>
              <w:t>Povrede, trovanja i proceduralne komplikacije</w:t>
            </w:r>
          </w:p>
        </w:tc>
        <w:tc>
          <w:tcPr>
            <w:tcW w:w="5889" w:type="dxa"/>
            <w:tcBorders>
              <w:top w:val="single" w:sz="4" w:space="0" w:color="auto"/>
              <w:left w:val="nil"/>
              <w:bottom w:val="nil"/>
              <w:right w:val="single" w:sz="4" w:space="0" w:color="auto"/>
            </w:tcBorders>
          </w:tcPr>
          <w:p w14:paraId="24F3F3ED" w14:textId="77777777" w:rsidR="00785722" w:rsidRPr="00EA088A" w:rsidRDefault="00785722" w:rsidP="00A3401E">
            <w:pPr>
              <w:tabs>
                <w:tab w:val="left" w:pos="284"/>
              </w:tabs>
              <w:rPr>
                <w:sz w:val="22"/>
                <w:szCs w:val="22"/>
                <w:lang w:val="sr-Latn-ME"/>
              </w:rPr>
            </w:pPr>
          </w:p>
        </w:tc>
      </w:tr>
      <w:tr w:rsidR="00785722" w:rsidRPr="00275456" w14:paraId="6AC93B83" w14:textId="77777777" w:rsidTr="00A3401E">
        <w:trPr>
          <w:trHeight w:val="174"/>
          <w:jc w:val="center"/>
        </w:trPr>
        <w:tc>
          <w:tcPr>
            <w:tcW w:w="3562" w:type="dxa"/>
            <w:tcBorders>
              <w:top w:val="nil"/>
              <w:left w:val="single" w:sz="4" w:space="0" w:color="auto"/>
              <w:bottom w:val="single" w:sz="4" w:space="0" w:color="auto"/>
              <w:right w:val="nil"/>
            </w:tcBorders>
          </w:tcPr>
          <w:p w14:paraId="115C8113" w14:textId="77777777" w:rsidR="00785722" w:rsidRPr="00EA088A" w:rsidRDefault="00785722" w:rsidP="00A3401E">
            <w:pPr>
              <w:tabs>
                <w:tab w:val="left" w:pos="284"/>
              </w:tabs>
              <w:jc w:val="right"/>
              <w:rPr>
                <w:sz w:val="22"/>
                <w:szCs w:val="22"/>
                <w:lang w:val="sr-Latn-ME"/>
              </w:rPr>
            </w:pPr>
            <w:r w:rsidRPr="00EA088A">
              <w:rPr>
                <w:sz w:val="22"/>
                <w:szCs w:val="22"/>
                <w:lang w:val="sr-Latn-ME"/>
              </w:rPr>
              <w:t>Često:</w:t>
            </w:r>
          </w:p>
        </w:tc>
        <w:tc>
          <w:tcPr>
            <w:tcW w:w="5889" w:type="dxa"/>
            <w:tcBorders>
              <w:top w:val="nil"/>
              <w:left w:val="nil"/>
              <w:bottom w:val="single" w:sz="4" w:space="0" w:color="auto"/>
              <w:right w:val="single" w:sz="4" w:space="0" w:color="auto"/>
            </w:tcBorders>
          </w:tcPr>
          <w:p w14:paraId="24D06BED" w14:textId="77777777" w:rsidR="00785722" w:rsidRPr="00EA088A" w:rsidRDefault="00785722" w:rsidP="00A3401E">
            <w:pPr>
              <w:tabs>
                <w:tab w:val="left" w:pos="284"/>
              </w:tabs>
              <w:rPr>
                <w:sz w:val="22"/>
                <w:szCs w:val="22"/>
                <w:lang w:val="sr-Latn-ME"/>
              </w:rPr>
            </w:pPr>
            <w:r w:rsidRPr="00EA088A">
              <w:rPr>
                <w:sz w:val="22"/>
                <w:szCs w:val="22"/>
                <w:lang w:val="sr-Latn-ME"/>
              </w:rPr>
              <w:t>Frakture kostiju</w:t>
            </w:r>
          </w:p>
        </w:tc>
      </w:tr>
      <w:tr w:rsidR="00785722" w:rsidRPr="00275456" w14:paraId="37A8B977" w14:textId="77777777" w:rsidTr="00A3401E">
        <w:trPr>
          <w:trHeight w:val="174"/>
          <w:jc w:val="center"/>
        </w:trPr>
        <w:tc>
          <w:tcPr>
            <w:tcW w:w="9451" w:type="dxa"/>
            <w:gridSpan w:val="2"/>
            <w:tcBorders>
              <w:top w:val="single" w:sz="4" w:space="0" w:color="auto"/>
              <w:left w:val="nil"/>
              <w:bottom w:val="nil"/>
              <w:right w:val="nil"/>
            </w:tcBorders>
          </w:tcPr>
          <w:p w14:paraId="44FCF751" w14:textId="77777777" w:rsidR="00785722" w:rsidRPr="00EA088A" w:rsidRDefault="00785722" w:rsidP="005C6DFE">
            <w:pPr>
              <w:tabs>
                <w:tab w:val="left" w:pos="284"/>
              </w:tabs>
              <w:jc w:val="both"/>
              <w:rPr>
                <w:sz w:val="22"/>
                <w:szCs w:val="22"/>
                <w:lang w:val="sr-Latn-ME"/>
              </w:rPr>
            </w:pPr>
            <w:r w:rsidRPr="00EA088A">
              <w:rPr>
                <w:sz w:val="22"/>
                <w:szCs w:val="22"/>
                <w:lang w:val="sr-Latn-ME"/>
              </w:rPr>
              <w:t>*:</w:t>
            </w:r>
            <w:r w:rsidRPr="00EA088A">
              <w:rPr>
                <w:sz w:val="22"/>
                <w:szCs w:val="22"/>
                <w:lang w:val="sr-Latn-ME"/>
              </w:rPr>
              <w:tab/>
              <w:t>zabilježeno s drugim TNF blokatorima</w:t>
            </w:r>
          </w:p>
        </w:tc>
      </w:tr>
    </w:tbl>
    <w:p w14:paraId="5EDFD84E" w14:textId="77777777" w:rsidR="00785722" w:rsidRPr="00EA088A" w:rsidRDefault="00785722" w:rsidP="005C6DFE">
      <w:pPr>
        <w:tabs>
          <w:tab w:val="left" w:pos="540"/>
          <w:tab w:val="left" w:pos="569"/>
        </w:tabs>
        <w:jc w:val="both"/>
        <w:rPr>
          <w:b/>
          <w:bCs/>
          <w:sz w:val="22"/>
          <w:szCs w:val="22"/>
          <w:lang w:val="sr-Latn-ME"/>
        </w:rPr>
      </w:pPr>
    </w:p>
    <w:p w14:paraId="4C7A0C84" w14:textId="77777777" w:rsidR="00785722" w:rsidRPr="00275456" w:rsidRDefault="00785722" w:rsidP="005C6DFE">
      <w:pPr>
        <w:tabs>
          <w:tab w:val="left" w:pos="540"/>
          <w:tab w:val="left" w:pos="569"/>
        </w:tabs>
        <w:jc w:val="both"/>
        <w:rPr>
          <w:bCs/>
          <w:sz w:val="22"/>
          <w:szCs w:val="22"/>
          <w:lang w:val="sr-Latn-ME"/>
        </w:rPr>
      </w:pPr>
      <w:r w:rsidRPr="00EA088A">
        <w:rPr>
          <w:bCs/>
          <w:sz w:val="22"/>
          <w:szCs w:val="22"/>
          <w:lang w:val="sr-Latn-ME"/>
        </w:rPr>
        <w:t>Kroz ovaj odjeljak, srednji period praćenja (približno 4 godine) je uopšteno predsta</w:t>
      </w:r>
      <w:r w:rsidRPr="00C9046D">
        <w:rPr>
          <w:bCs/>
          <w:sz w:val="22"/>
          <w:szCs w:val="22"/>
          <w:lang w:val="sr-Latn-ME"/>
        </w:rPr>
        <w:t>vljen za sveukupnu upotrebu golumamaba. Kada je upotreba golumimaba opisana po dozi, srednji period praćenja varira (približno</w:t>
      </w:r>
      <w:r w:rsidRPr="00275456" w:rsidDel="00F9789E">
        <w:rPr>
          <w:rStyle w:val="CommentReference"/>
          <w:bCs/>
          <w:sz w:val="22"/>
          <w:szCs w:val="22"/>
          <w:lang w:val="sr-Latn-ME"/>
        </w:rPr>
        <w:t xml:space="preserve"> </w:t>
      </w:r>
      <w:r w:rsidRPr="00275456">
        <w:rPr>
          <w:bCs/>
          <w:sz w:val="22"/>
          <w:szCs w:val="22"/>
          <w:lang w:val="sr-Latn-ME"/>
        </w:rPr>
        <w:t>2 godine za dozu od 50 mg, približno</w:t>
      </w:r>
      <w:r w:rsidRPr="00275456" w:rsidDel="00F9789E">
        <w:rPr>
          <w:rStyle w:val="CommentReference"/>
          <w:bCs/>
          <w:sz w:val="22"/>
          <w:szCs w:val="22"/>
          <w:lang w:val="sr-Latn-ME"/>
        </w:rPr>
        <w:t xml:space="preserve"> </w:t>
      </w:r>
      <w:r w:rsidRPr="00275456">
        <w:rPr>
          <w:bCs/>
          <w:sz w:val="22"/>
          <w:szCs w:val="22"/>
          <w:lang w:val="sr-Latn-ME"/>
        </w:rPr>
        <w:t>3 godine za dozu od 100 mg), zbog mogućnosti da su pacijenti prelazili sa jedne na drugu dozu.</w:t>
      </w:r>
    </w:p>
    <w:p w14:paraId="013EF82D" w14:textId="77777777" w:rsidR="00785722" w:rsidRPr="00275456" w:rsidRDefault="00785722" w:rsidP="005C6DFE">
      <w:pPr>
        <w:tabs>
          <w:tab w:val="left" w:pos="540"/>
          <w:tab w:val="left" w:pos="569"/>
        </w:tabs>
        <w:jc w:val="both"/>
        <w:rPr>
          <w:b/>
          <w:bCs/>
          <w:sz w:val="22"/>
          <w:szCs w:val="22"/>
          <w:lang w:val="sr-Latn-ME"/>
        </w:rPr>
      </w:pPr>
    </w:p>
    <w:p w14:paraId="67C3901E" w14:textId="77777777" w:rsidR="00785722" w:rsidRPr="00275456" w:rsidRDefault="00785722" w:rsidP="005C6DFE">
      <w:pPr>
        <w:tabs>
          <w:tab w:val="left" w:pos="284"/>
        </w:tabs>
        <w:jc w:val="both"/>
        <w:rPr>
          <w:sz w:val="22"/>
          <w:szCs w:val="22"/>
          <w:u w:val="single"/>
          <w:lang w:val="sr-Latn-ME"/>
        </w:rPr>
      </w:pPr>
      <w:r w:rsidRPr="00275456">
        <w:rPr>
          <w:sz w:val="22"/>
          <w:szCs w:val="22"/>
          <w:u w:val="single"/>
          <w:lang w:val="sr-Latn-ME"/>
        </w:rPr>
        <w:t>Opis odabranih neželjenih reakcija</w:t>
      </w:r>
    </w:p>
    <w:p w14:paraId="547CAA76" w14:textId="77777777" w:rsidR="00785722" w:rsidRPr="00275456" w:rsidRDefault="00785722" w:rsidP="005C6DFE">
      <w:pPr>
        <w:tabs>
          <w:tab w:val="left" w:pos="284"/>
        </w:tabs>
        <w:jc w:val="both"/>
        <w:rPr>
          <w:sz w:val="22"/>
          <w:szCs w:val="22"/>
          <w:lang w:val="sr-Latn-ME"/>
        </w:rPr>
      </w:pPr>
    </w:p>
    <w:p w14:paraId="4DA454D2" w14:textId="77777777" w:rsidR="00785722" w:rsidRPr="00275456" w:rsidRDefault="00785722" w:rsidP="005C6DFE">
      <w:pPr>
        <w:tabs>
          <w:tab w:val="left" w:pos="284"/>
        </w:tabs>
        <w:jc w:val="both"/>
        <w:rPr>
          <w:bCs/>
          <w:i/>
          <w:sz w:val="22"/>
          <w:szCs w:val="22"/>
          <w:lang w:val="sr-Latn-ME"/>
        </w:rPr>
      </w:pPr>
      <w:r w:rsidRPr="00275456">
        <w:rPr>
          <w:i/>
          <w:sz w:val="22"/>
          <w:szCs w:val="22"/>
          <w:lang w:val="sr-Latn-ME"/>
        </w:rPr>
        <w:t xml:space="preserve">Infekcije </w:t>
      </w:r>
    </w:p>
    <w:p w14:paraId="3456E1F8"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Infekcije gornjih disajnih puteva bile su najčešća neželjena dejstva zabilježena u kontrolisanim periodima pivotalnih studija kod 12,6% pacijenata liječenih golimumabom (incidenca za 100 ispitanik-godina: 60,8; 95% CI: 55,0, 67,1), u poređenju sa 11,0% pacijenata iz kontrolne grupe (incidenca za 100 ispitanik-godina: 54,5; 95% CI: 46,1, 64,0). </w:t>
      </w:r>
      <w:bookmarkStart w:id="8" w:name="OLE_LINK6"/>
      <w:bookmarkStart w:id="9" w:name="OLE_LINK9"/>
      <w:r w:rsidRPr="00275456">
        <w:rPr>
          <w:sz w:val="22"/>
          <w:szCs w:val="22"/>
          <w:lang w:val="sr-Latn-ME"/>
        </w:rPr>
        <w:t>U kontrolisanim i nekontrolisanim djelovima ispitivanja sa srednjim periodom praćenja od aproksimativno 4 godine, incidenca infekcija gornjeg respiratornog trakta za 100 pacijent-godina bila je 34,9 događaja; 95%CI: 33,8, 36,0 za pacijente liječene golimumabom.</w:t>
      </w:r>
    </w:p>
    <w:bookmarkEnd w:id="8"/>
    <w:bookmarkEnd w:id="9"/>
    <w:p w14:paraId="0427AD3B" w14:textId="77777777" w:rsidR="00785722" w:rsidRPr="00275456" w:rsidRDefault="00785722" w:rsidP="005C6DFE">
      <w:pPr>
        <w:tabs>
          <w:tab w:val="left" w:pos="284"/>
        </w:tabs>
        <w:jc w:val="both"/>
        <w:rPr>
          <w:sz w:val="22"/>
          <w:szCs w:val="22"/>
          <w:lang w:val="sr-Latn-ME"/>
        </w:rPr>
      </w:pPr>
    </w:p>
    <w:p w14:paraId="012D6483" w14:textId="77777777" w:rsidR="00785722" w:rsidRPr="00275456" w:rsidRDefault="00785722" w:rsidP="005C6DFE">
      <w:pPr>
        <w:tabs>
          <w:tab w:val="left" w:pos="284"/>
        </w:tabs>
        <w:jc w:val="both"/>
        <w:rPr>
          <w:sz w:val="22"/>
          <w:szCs w:val="22"/>
          <w:lang w:val="sr-Latn-ME"/>
        </w:rPr>
      </w:pPr>
      <w:r w:rsidRPr="00275456">
        <w:rPr>
          <w:sz w:val="22"/>
          <w:szCs w:val="22"/>
          <w:lang w:val="sr-Latn-ME"/>
        </w:rPr>
        <w:t>U kontrolisanim periodima pivotalnih studija, infekcije su zabilježene u 23,0% pacijenata liječenih golimumabom (incidenca za 100 pacijent-godina: 132,0; 95% CI: 123,3, 141,1), u poređenju sa 20,2% pacijenata iz kontrolne grupe (incidenca za 100 pacijent-godina: 122,3; 95% CI: 109,5, 136,2). U kontrolisanim i nekontrolisanim djelovima ispitivanja sa srednjim periodom praćenja od aproksimativno 4 godine, incidenca infekcija gornjeg respiratornog trakta za 100 pacijent-godina bila je 81,1događaja; 95%CI: 79,5, 82,8 za pacijente liječene golimumabom.</w:t>
      </w:r>
    </w:p>
    <w:p w14:paraId="4575B248" w14:textId="77777777" w:rsidR="00785722" w:rsidRPr="00275456" w:rsidRDefault="00785722" w:rsidP="005C6DFE">
      <w:pPr>
        <w:tabs>
          <w:tab w:val="left" w:pos="284"/>
        </w:tabs>
        <w:jc w:val="both"/>
        <w:rPr>
          <w:sz w:val="22"/>
          <w:szCs w:val="22"/>
          <w:lang w:val="sr-Latn-ME"/>
        </w:rPr>
      </w:pPr>
    </w:p>
    <w:p w14:paraId="59F42616" w14:textId="2DCAABE5" w:rsidR="00785722" w:rsidRPr="00275456" w:rsidRDefault="00785722" w:rsidP="005C6DFE">
      <w:pPr>
        <w:tabs>
          <w:tab w:val="left" w:pos="284"/>
        </w:tabs>
        <w:jc w:val="both"/>
        <w:rPr>
          <w:sz w:val="22"/>
          <w:szCs w:val="22"/>
          <w:lang w:val="sr-Latn-ME"/>
        </w:rPr>
      </w:pPr>
      <w:r w:rsidRPr="00275456">
        <w:rPr>
          <w:sz w:val="22"/>
          <w:szCs w:val="22"/>
          <w:lang w:val="sr-Latn-ME"/>
        </w:rPr>
        <w:t>U kontrolisanom periodu ispitivanja kod pacijenata sa RA, PsA, AS i nr-Axial SpA, ozbiljne infekcije su zabilježene kod 1,2% pacijenata liječenih golimumabom i kod 1,2% pacijenata iz kontrolne grupe. Incidenca ozbiljnih infekcija po 100 pacijent-godina praćenja u kontrolisanom periodu ispitivanja kod pacijenata sa RA, PsA, AS i nr-Axial SpA bila je 7,3; 95% CI: 4,6, 11,1 za golimumab 100 mg grupu, 2,9; 95%CI: 1,2, 6,0 za golimumab 50 mg grupu i 3,6; 95% CI: 1,5, 7,0 za placebo grupu. U kontrolisanom periodu ispitivanja uvodne terapije golimumabom kod pacijenata sa UC, ozbiljne infekcije su zabiljeležene kod 0,8% pacijenata liječenih golimumabom u poređenju sa 1,5% pacijenata iz kontrolne grupe.</w:t>
      </w:r>
      <w:r w:rsidR="00D2550E" w:rsidRPr="00275456">
        <w:rPr>
          <w:sz w:val="22"/>
          <w:szCs w:val="22"/>
          <w:lang w:val="sr-Latn-ME"/>
        </w:rPr>
        <w:t xml:space="preserve"> </w:t>
      </w:r>
      <w:r w:rsidRPr="00275456">
        <w:rPr>
          <w:sz w:val="22"/>
          <w:szCs w:val="22"/>
          <w:lang w:val="sr-Latn-ME"/>
        </w:rPr>
        <w:t xml:space="preserve">Ozbiljne infekcije zabilježene kod pacijenata liječenih golimumabom obuhvataju tuberkulozu, bakterijske infekcije, uključujući sepsu i pneumoniju, invazivne gljivične infekcije i druge oportunističke infekcije. Neke od tih infekcija imale su smrtni ishod. U kontrolisanim i nekontrolisanim djelovima pivotalnih ispitivanja sa srednjim vremenom praćenja do 3 godine, postojala je veća incidenca ozbiljnih infekcija, uključujući oportunističke infekcije i TB kod pacijenata koji su primali golimumab od 100 mg u poređenju sa pacijentima na terapiji golimumabom od 50 mg. Incidenca za 100 pacijent-godina bila je 4,1 događaja; 95% CI: 3,6, 4,5 kod pacijenata na terapiji golimumabom od 100 mg, i 2,5; 95% CI:2,0, 3,1kod pacijenata na terapiji golimumabom od 50 mg. </w:t>
      </w:r>
    </w:p>
    <w:p w14:paraId="0665F03D" w14:textId="77777777" w:rsidR="00785722" w:rsidRPr="00275456" w:rsidRDefault="00785722" w:rsidP="005C6DFE">
      <w:pPr>
        <w:tabs>
          <w:tab w:val="left" w:pos="284"/>
        </w:tabs>
        <w:jc w:val="both"/>
        <w:rPr>
          <w:b/>
          <w:bCs/>
          <w:i/>
          <w:iCs/>
          <w:sz w:val="22"/>
          <w:szCs w:val="22"/>
          <w:u w:val="single"/>
          <w:lang w:val="sr-Latn-ME"/>
        </w:rPr>
      </w:pPr>
    </w:p>
    <w:p w14:paraId="0FBE0A43" w14:textId="77777777" w:rsidR="00785722" w:rsidRPr="00275456" w:rsidRDefault="00785722" w:rsidP="005C6DFE">
      <w:pPr>
        <w:tabs>
          <w:tab w:val="left" w:pos="284"/>
        </w:tabs>
        <w:jc w:val="both"/>
        <w:rPr>
          <w:i/>
          <w:sz w:val="22"/>
          <w:szCs w:val="22"/>
          <w:lang w:val="sr-Latn-ME"/>
        </w:rPr>
      </w:pPr>
      <w:r w:rsidRPr="00275456">
        <w:rPr>
          <w:i/>
          <w:sz w:val="22"/>
          <w:szCs w:val="22"/>
          <w:lang w:val="sr-Latn-ME"/>
        </w:rPr>
        <w:lastRenderedPageBreak/>
        <w:t>Maligne bolesti</w:t>
      </w:r>
    </w:p>
    <w:p w14:paraId="089C655D" w14:textId="77777777" w:rsidR="00785722" w:rsidRPr="00275456" w:rsidRDefault="00785722" w:rsidP="005C6DFE">
      <w:pPr>
        <w:tabs>
          <w:tab w:val="left" w:pos="284"/>
        </w:tabs>
        <w:jc w:val="both"/>
        <w:rPr>
          <w:sz w:val="22"/>
          <w:szCs w:val="22"/>
          <w:lang w:val="sr-Latn-ME"/>
        </w:rPr>
      </w:pPr>
    </w:p>
    <w:p w14:paraId="72E95D06" w14:textId="77777777" w:rsidR="00785722" w:rsidRPr="00275456" w:rsidRDefault="00785722" w:rsidP="005C6DFE">
      <w:pPr>
        <w:tabs>
          <w:tab w:val="left" w:pos="284"/>
        </w:tabs>
        <w:jc w:val="both"/>
        <w:rPr>
          <w:i/>
          <w:iCs/>
          <w:sz w:val="22"/>
          <w:szCs w:val="22"/>
          <w:u w:val="single"/>
          <w:lang w:val="sr-Latn-ME"/>
        </w:rPr>
      </w:pPr>
      <w:r w:rsidRPr="00275456">
        <w:rPr>
          <w:bCs/>
          <w:i/>
          <w:sz w:val="22"/>
          <w:szCs w:val="22"/>
          <w:u w:val="single"/>
          <w:lang w:val="sr-Latn-ME"/>
        </w:rPr>
        <w:t>Limfomi</w:t>
      </w:r>
    </w:p>
    <w:p w14:paraId="7DA2B0E1" w14:textId="77777777" w:rsidR="00785722" w:rsidRPr="00275456" w:rsidRDefault="00785722" w:rsidP="005C6DFE">
      <w:pPr>
        <w:tabs>
          <w:tab w:val="left" w:pos="284"/>
        </w:tabs>
        <w:jc w:val="both"/>
        <w:rPr>
          <w:sz w:val="22"/>
          <w:szCs w:val="22"/>
          <w:lang w:val="sr-Latn-ME"/>
        </w:rPr>
      </w:pPr>
      <w:r w:rsidRPr="00275456">
        <w:rPr>
          <w:sz w:val="22"/>
          <w:szCs w:val="22"/>
          <w:lang w:val="sr-Latn-ME"/>
        </w:rPr>
        <w:t>Incidenca limfoma kod pacijenata liječenih golimumabom tokom pivotalnih ispitivanja bila je viša nego što se očekuje u opštoj populaciji. U kontrolisanim i nekontrolisanim djelovima ovih ispitivanja sa srednjim periodom praćenja do 3 godine, veća incidenca limfoma zabilježena je kod pacijenata koji su primali golimumab 100 mg u poređenju sa pacijentima koji su primali golimumab od 50 mg. Limfom je dijagnostikovan u 11 ispitanika (1 u grupi koja je primala golimumab od 50 mg i 10 u grupi koja je primala dozu od 100 mg golimumaba), s incidencom (95% CI) na 100 ispitanik-godina praćenja od 0,03 (0,00, 0,15) i 0,13 (0,06, 0,24) događaja za golimumab 50 mg i 100 mg respektivno, a 0,00 (0,00, 0,57) događaja za placebo. Većina limfoma pojavila se u GO-AFTER studiji, koja je uključivala pacijente koji su prethodno bili izloženi anti-TNF agensima i kod kojih je bolest duže trajala, i kod kojih je bolest bila više refraktornog karaktera (vidjeti dio 4.4).</w:t>
      </w:r>
    </w:p>
    <w:p w14:paraId="656891C3" w14:textId="77777777" w:rsidR="00785722" w:rsidRPr="00275456" w:rsidRDefault="00785722" w:rsidP="005C6DFE">
      <w:pPr>
        <w:tabs>
          <w:tab w:val="left" w:pos="284"/>
        </w:tabs>
        <w:jc w:val="both"/>
        <w:rPr>
          <w:i/>
          <w:iCs/>
          <w:sz w:val="22"/>
          <w:szCs w:val="22"/>
          <w:lang w:val="sr-Latn-ME"/>
        </w:rPr>
      </w:pPr>
    </w:p>
    <w:p w14:paraId="77ACC093" w14:textId="77777777" w:rsidR="00785722" w:rsidRPr="00275456" w:rsidRDefault="00785722" w:rsidP="005C6DFE">
      <w:pPr>
        <w:tabs>
          <w:tab w:val="left" w:pos="284"/>
        </w:tabs>
        <w:spacing w:line="260" w:lineRule="exact"/>
        <w:jc w:val="both"/>
        <w:rPr>
          <w:bCs/>
          <w:i/>
          <w:sz w:val="22"/>
          <w:szCs w:val="22"/>
          <w:u w:val="single"/>
          <w:lang w:val="sr-Latn-ME"/>
        </w:rPr>
      </w:pPr>
      <w:r w:rsidRPr="00275456">
        <w:rPr>
          <w:bCs/>
          <w:i/>
          <w:sz w:val="22"/>
          <w:szCs w:val="22"/>
          <w:u w:val="single"/>
          <w:lang w:val="sr-Latn-ME"/>
        </w:rPr>
        <w:t>Druge maligne bolesti osim limfoma</w:t>
      </w:r>
    </w:p>
    <w:p w14:paraId="3964C655" w14:textId="77777777" w:rsidR="00785722" w:rsidRPr="00275456" w:rsidRDefault="00785722" w:rsidP="005C6DFE">
      <w:pPr>
        <w:tabs>
          <w:tab w:val="left" w:pos="284"/>
        </w:tabs>
        <w:spacing w:line="260" w:lineRule="exact"/>
        <w:jc w:val="both"/>
        <w:rPr>
          <w:bCs/>
          <w:sz w:val="22"/>
          <w:szCs w:val="22"/>
          <w:lang w:val="sr-Latn-ME"/>
        </w:rPr>
      </w:pPr>
      <w:r w:rsidRPr="00275456">
        <w:rPr>
          <w:sz w:val="22"/>
          <w:szCs w:val="22"/>
          <w:lang w:val="sr-Latn-ME"/>
        </w:rPr>
        <w:t>U kontrolisanim djelovima pivotalnih ispitivanja i tokom približno četvorogodišnjeg perioda praćenja, incidenca malignih bolesti</w:t>
      </w:r>
      <w:r w:rsidRPr="00275456">
        <w:rPr>
          <w:bCs/>
          <w:sz w:val="22"/>
          <w:szCs w:val="22"/>
          <w:lang w:val="sr-Latn-ME"/>
        </w:rPr>
        <w:t xml:space="preserve"> koje nijesu limfomi (osim nemelanomskog raka kože), bila je slična u grupi koja je primala golimumabi u kontrolnim grupama. Tokom približno četvorogodišnjeg perioda praćenja, incidenca malignih bolesti koje nijesu limfomi (isključujući nemelanomski rak kože) bila je slična onoj u opštoj populaciji.</w:t>
      </w:r>
    </w:p>
    <w:p w14:paraId="6A197954" w14:textId="77777777" w:rsidR="00785722" w:rsidRPr="00275456" w:rsidRDefault="00785722" w:rsidP="005C6DFE">
      <w:pPr>
        <w:tabs>
          <w:tab w:val="left" w:pos="284"/>
        </w:tabs>
        <w:jc w:val="both"/>
        <w:rPr>
          <w:i/>
          <w:iCs/>
          <w:sz w:val="22"/>
          <w:szCs w:val="22"/>
          <w:lang w:val="sr-Latn-ME"/>
        </w:rPr>
      </w:pPr>
    </w:p>
    <w:p w14:paraId="6E506C2C"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 xml:space="preserve">U kontrolisanim i nekontrolisanim periodima pivotalnih studija sa srednjim vremenom praćenja do 3 godine, </w:t>
      </w:r>
      <w:r w:rsidRPr="00275456">
        <w:rPr>
          <w:bCs/>
          <w:sz w:val="22"/>
          <w:szCs w:val="22"/>
          <w:lang w:val="sr-Latn-ME"/>
        </w:rPr>
        <w:t>nemelanomski rak kože dijagnostikovan je kod 5 ispitanika u grupi koja je primala placebo, 10 u grupi koja je primala</w:t>
      </w:r>
      <w:r w:rsidRPr="00275456">
        <w:rPr>
          <w:sz w:val="22"/>
          <w:szCs w:val="22"/>
          <w:lang w:val="sr-Latn-ME"/>
        </w:rPr>
        <w:t xml:space="preserve"> golimumab u dozi od 50 mg i 31 </w:t>
      </w:r>
      <w:r w:rsidRPr="00275456">
        <w:rPr>
          <w:bCs/>
          <w:sz w:val="22"/>
          <w:szCs w:val="22"/>
          <w:lang w:val="sr-Latn-ME"/>
        </w:rPr>
        <w:t>u grupi koja je primala</w:t>
      </w:r>
      <w:r w:rsidRPr="00275456">
        <w:rPr>
          <w:sz w:val="22"/>
          <w:szCs w:val="22"/>
          <w:lang w:val="sr-Latn-ME"/>
        </w:rPr>
        <w:t xml:space="preserve"> golimumab u dozi od 100 mg, s incidencom (95% CI) na 100 ispitanik-godina praćenja od 0,36 (0,26, 0,49) događaja za golimumab, i 0,87 (0,28, 2,04) događaja za placebo. </w:t>
      </w:r>
    </w:p>
    <w:p w14:paraId="1E52B9F7" w14:textId="77777777" w:rsidR="00785722" w:rsidRPr="00275456" w:rsidRDefault="00785722" w:rsidP="005C6DFE">
      <w:pPr>
        <w:tabs>
          <w:tab w:val="left" w:pos="284"/>
        </w:tabs>
        <w:jc w:val="both"/>
        <w:rPr>
          <w:sz w:val="22"/>
          <w:szCs w:val="22"/>
          <w:lang w:val="sr-Latn-ME"/>
        </w:rPr>
      </w:pPr>
    </w:p>
    <w:p w14:paraId="66B4F472"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U kontrlolisanim i nekontrolisanim periodima pivotalnih studija sa srednjim vremenom praćenja do 3 godine druge maligne bolesti osim melanoma, </w:t>
      </w:r>
      <w:r w:rsidRPr="00275456">
        <w:rPr>
          <w:bCs/>
          <w:sz w:val="22"/>
          <w:szCs w:val="22"/>
          <w:lang w:val="sr-Latn-ME"/>
        </w:rPr>
        <w:t>nemelanomskog raka kože i limfoma dijagnostikovane su kod 5 ispitanika u grupi koja je primala placebo, 21 u grupi koja je primala</w:t>
      </w:r>
      <w:r w:rsidRPr="00275456">
        <w:rPr>
          <w:sz w:val="22"/>
          <w:szCs w:val="22"/>
          <w:lang w:val="sr-Latn-ME"/>
        </w:rPr>
        <w:t xml:space="preserve"> golimumab u dozi od 50 mg i 34 </w:t>
      </w:r>
      <w:r w:rsidRPr="00275456">
        <w:rPr>
          <w:bCs/>
          <w:sz w:val="22"/>
          <w:szCs w:val="22"/>
          <w:lang w:val="sr-Latn-ME"/>
        </w:rPr>
        <w:t>u grupi koja je primala</w:t>
      </w:r>
      <w:r w:rsidRPr="00275456">
        <w:rPr>
          <w:sz w:val="22"/>
          <w:szCs w:val="22"/>
          <w:lang w:val="sr-Latn-ME"/>
        </w:rPr>
        <w:t xml:space="preserve"> golimumab u dozi od 100 mg), s incidencom (95%, CI) na 100 ispitanik-godina praćenja od 0,48 (0,36, 0,62) događaja za golimumab, i 0,87(0,28, 2,04) događaja za placebo (vidi dio 4.4).</w:t>
      </w:r>
    </w:p>
    <w:p w14:paraId="4712B0B3" w14:textId="77777777" w:rsidR="00785722" w:rsidRPr="00275456" w:rsidRDefault="00785722" w:rsidP="005C6DFE">
      <w:pPr>
        <w:tabs>
          <w:tab w:val="left" w:pos="284"/>
        </w:tabs>
        <w:jc w:val="both"/>
        <w:rPr>
          <w:sz w:val="22"/>
          <w:szCs w:val="22"/>
          <w:u w:val="single"/>
          <w:lang w:val="sr-Latn-ME"/>
        </w:rPr>
      </w:pPr>
    </w:p>
    <w:p w14:paraId="3311A376" w14:textId="77777777" w:rsidR="00785722" w:rsidRPr="00275456" w:rsidRDefault="00785722" w:rsidP="005C6DFE">
      <w:pPr>
        <w:tabs>
          <w:tab w:val="left" w:pos="284"/>
        </w:tabs>
        <w:jc w:val="both"/>
        <w:rPr>
          <w:i/>
          <w:sz w:val="22"/>
          <w:szCs w:val="22"/>
          <w:u w:val="single"/>
          <w:lang w:val="sr-Latn-ME"/>
        </w:rPr>
      </w:pPr>
      <w:r w:rsidRPr="00275456">
        <w:rPr>
          <w:i/>
          <w:sz w:val="22"/>
          <w:szCs w:val="22"/>
          <w:u w:val="single"/>
          <w:lang w:val="sr-Latn-ME"/>
        </w:rPr>
        <w:t xml:space="preserve">Slučajevi zabilježeni u kliničkim ispitivanjima u pacijenata s astmom </w:t>
      </w:r>
    </w:p>
    <w:p w14:paraId="46B8B6F1" w14:textId="533144A2" w:rsidR="00785722" w:rsidRPr="00275456" w:rsidRDefault="00785722" w:rsidP="005C6DFE">
      <w:pPr>
        <w:tabs>
          <w:tab w:val="left" w:pos="284"/>
        </w:tabs>
        <w:jc w:val="both"/>
        <w:rPr>
          <w:sz w:val="22"/>
          <w:szCs w:val="22"/>
          <w:lang w:val="sr-Latn-ME"/>
        </w:rPr>
      </w:pPr>
      <w:r w:rsidRPr="00275456">
        <w:rPr>
          <w:sz w:val="22"/>
          <w:szCs w:val="22"/>
          <w:lang w:val="sr-Latn-ME"/>
        </w:rPr>
        <w:t xml:space="preserve">U jednom eksplorativnom kliničkom ispitivanju pacijenti s teškom perzistentnom astmom supkutano su primili udarnu dozu golimumaba (150% predviđene terapijske doze) u nultoj nedjelji, a zatim doze od 200 mg golimumaba, 100 mg golimumaba, ili 50 mg golimumaba supkutano svake 4 nedjelje, do 52. nedjelje. Zabilježeno je 8 maligniteta u kombinovanoj grupi pacijenata koji su se liječili golimumabom (n=230), a ni jedan nije prijavljen u grupi koja je primala placebo (n=79). Limfom je zabilježen kod </w:t>
      </w:r>
      <w:r w:rsidR="00D2550E" w:rsidRPr="00275456">
        <w:rPr>
          <w:sz w:val="22"/>
          <w:szCs w:val="22"/>
          <w:lang w:val="sr-Latn-ME"/>
        </w:rPr>
        <w:t xml:space="preserve">1 </w:t>
      </w:r>
      <w:r w:rsidRPr="00275456">
        <w:rPr>
          <w:sz w:val="22"/>
          <w:szCs w:val="22"/>
          <w:lang w:val="sr-Latn-ME"/>
        </w:rPr>
        <w:t>pacijenta, nemelanomski rak kože kod 2, a druge maligne bolesti kod njih 5. Nije zapaženo nikakvo posebno grupisanje bilo koje vrste maligniteta.</w:t>
      </w:r>
    </w:p>
    <w:p w14:paraId="374F038F" w14:textId="77777777" w:rsidR="00785722" w:rsidRPr="00275456" w:rsidRDefault="00785722" w:rsidP="005C6DFE">
      <w:pPr>
        <w:tabs>
          <w:tab w:val="left" w:pos="284"/>
        </w:tabs>
        <w:jc w:val="both"/>
        <w:rPr>
          <w:sz w:val="22"/>
          <w:szCs w:val="22"/>
          <w:lang w:val="sr-Latn-ME"/>
        </w:rPr>
      </w:pPr>
    </w:p>
    <w:p w14:paraId="09DCBA6A" w14:textId="43911BBF" w:rsidR="00785722" w:rsidRPr="00275456" w:rsidRDefault="00785722" w:rsidP="005C6DFE">
      <w:pPr>
        <w:tabs>
          <w:tab w:val="left" w:pos="284"/>
        </w:tabs>
        <w:jc w:val="both"/>
        <w:rPr>
          <w:sz w:val="22"/>
          <w:szCs w:val="22"/>
          <w:lang w:val="sr-Latn-ME"/>
        </w:rPr>
      </w:pPr>
      <w:r w:rsidRPr="00275456">
        <w:rPr>
          <w:sz w:val="22"/>
          <w:szCs w:val="22"/>
          <w:lang w:val="sr-Latn-ME"/>
        </w:rPr>
        <w:t>Tokom dijela ispitivanja s kontrolom placeba incidenca svih malignoma (95% CI) na 100 ispitanik-godina praćenja iznosila je u grupi liječenoj golimumabom 3,19 (1,38, 6,28). U tom ispitivanju, incidenca (95% CI) limfoma na 100 ispitanik-godina praćenja kod pacijenata liječenih golimumabom iznosila je 0,40 (0,01, 2,20), incidenca nemelanomskog raka kože 0,79 (0,10, 2,86), a incidenca drugih malignih tumora 1,99 (0,64, 4,63). Među ispitanicima koji su primali placebo, incidenca tih maligniteta (95% CI) na 100 ispitanik-godina praćenja bila je 0,00 (0,00, 2,94). Značaj tih nalaza nije poznat.</w:t>
      </w:r>
    </w:p>
    <w:p w14:paraId="73E8365E" w14:textId="77777777" w:rsidR="00785722" w:rsidRPr="00275456" w:rsidRDefault="00785722" w:rsidP="005C6DFE">
      <w:pPr>
        <w:tabs>
          <w:tab w:val="left" w:pos="284"/>
        </w:tabs>
        <w:jc w:val="both"/>
        <w:rPr>
          <w:i/>
          <w:sz w:val="22"/>
          <w:szCs w:val="22"/>
          <w:lang w:val="sr-Latn-ME"/>
        </w:rPr>
      </w:pPr>
      <w:r w:rsidRPr="00275456">
        <w:rPr>
          <w:i/>
          <w:sz w:val="22"/>
          <w:szCs w:val="22"/>
          <w:lang w:val="sr-Latn-ME"/>
        </w:rPr>
        <w:t>Neurološki događaji</w:t>
      </w:r>
    </w:p>
    <w:p w14:paraId="2E7AA764" w14:textId="77777777" w:rsidR="00785722" w:rsidRPr="00275456" w:rsidRDefault="00785722" w:rsidP="005C6DFE">
      <w:pPr>
        <w:tabs>
          <w:tab w:val="left" w:pos="284"/>
        </w:tabs>
        <w:jc w:val="both"/>
        <w:rPr>
          <w:sz w:val="22"/>
          <w:szCs w:val="22"/>
          <w:lang w:val="sr-Latn-ME"/>
        </w:rPr>
      </w:pPr>
      <w:r w:rsidRPr="00275456">
        <w:rPr>
          <w:sz w:val="22"/>
          <w:szCs w:val="22"/>
          <w:lang w:val="sr-Latn-ME"/>
        </w:rPr>
        <w:t>U kontrolisanim i nekontrolisanim periodima pivotalnih ispitivanja sa srednjim vremenom praćenja do 3 godine, veća incidenca demijelinizacije bila je primijećena kod pacijenata koji su primali golimumab od 100 mg u poređenju sa pacijentima koji su primali golimumab od 50 mg (vidjeti dio 4.4).</w:t>
      </w:r>
    </w:p>
    <w:p w14:paraId="327468E4" w14:textId="77777777" w:rsidR="00785722" w:rsidRPr="00275456" w:rsidRDefault="00785722" w:rsidP="005C6DFE">
      <w:pPr>
        <w:tabs>
          <w:tab w:val="left" w:pos="284"/>
        </w:tabs>
        <w:jc w:val="both"/>
        <w:rPr>
          <w:sz w:val="22"/>
          <w:szCs w:val="22"/>
          <w:lang w:val="sr-Latn-ME"/>
        </w:rPr>
      </w:pPr>
    </w:p>
    <w:p w14:paraId="36E8CA32" w14:textId="77777777" w:rsidR="00785722" w:rsidRPr="00275456" w:rsidRDefault="00785722" w:rsidP="005C6DFE">
      <w:pPr>
        <w:tabs>
          <w:tab w:val="left" w:pos="284"/>
        </w:tabs>
        <w:jc w:val="both"/>
        <w:rPr>
          <w:i/>
          <w:snapToGrid w:val="0"/>
          <w:sz w:val="22"/>
          <w:szCs w:val="22"/>
          <w:lang w:val="sr-Latn-ME"/>
        </w:rPr>
      </w:pPr>
      <w:r w:rsidRPr="00275456">
        <w:rPr>
          <w:i/>
          <w:snapToGrid w:val="0"/>
          <w:sz w:val="22"/>
          <w:szCs w:val="22"/>
          <w:lang w:val="sr-Latn-ME"/>
        </w:rPr>
        <w:t xml:space="preserve">Povišeni nivoi enzima jetre </w:t>
      </w:r>
    </w:p>
    <w:p w14:paraId="1BA1B210" w14:textId="2422EFE4" w:rsidR="00785722" w:rsidRPr="00C9046D" w:rsidRDefault="00785722" w:rsidP="005C6DFE">
      <w:pPr>
        <w:tabs>
          <w:tab w:val="left" w:pos="284"/>
        </w:tabs>
        <w:jc w:val="both"/>
        <w:rPr>
          <w:sz w:val="22"/>
          <w:szCs w:val="22"/>
          <w:lang w:val="sr-Latn-ME"/>
        </w:rPr>
      </w:pPr>
      <w:r w:rsidRPr="00275456">
        <w:rPr>
          <w:sz w:val="22"/>
          <w:szCs w:val="22"/>
          <w:lang w:val="sr-Latn-ME"/>
        </w:rPr>
        <w:t xml:space="preserve">U kontrolisanim periodima pivotalnih ispitivanja kod pacijenata sa reumatoidnim artritisom, psorijatičnim artritisom, blago povećanje nivoa ALT (&gt; 1 i &lt; 3 x iznad gornje granice normale) nastupilo </w:t>
      </w:r>
      <w:r w:rsidRPr="00275456">
        <w:rPr>
          <w:sz w:val="22"/>
          <w:szCs w:val="22"/>
          <w:lang w:val="sr-Latn-ME"/>
        </w:rPr>
        <w:lastRenderedPageBreak/>
        <w:t xml:space="preserve">je u sličnom odnosu kod pacijenata koji su primali golimumab i kod pacijenata u kontrolnoj grupi </w:t>
      </w:r>
      <w:r w:rsidR="00D2550E" w:rsidRPr="00275456">
        <w:rPr>
          <w:sz w:val="22"/>
          <w:szCs w:val="22"/>
          <w:lang w:val="sr-Latn-ME"/>
        </w:rPr>
        <w:t xml:space="preserve">RA i PsA ispitivanja </w:t>
      </w:r>
      <w:r w:rsidRPr="00275456">
        <w:rPr>
          <w:sz w:val="22"/>
          <w:szCs w:val="22"/>
          <w:lang w:val="sr-Latn-ME"/>
        </w:rPr>
        <w:t>(22,1%  prema 27,4% pacijenata); u ispitivanju u ankilozirajućem spondilitisu i aksijalnom spondiloartritisu</w:t>
      </w:r>
      <w:r w:rsidR="00D2550E" w:rsidRPr="005C6DFE">
        <w:rPr>
          <w:sz w:val="22"/>
          <w:szCs w:val="22"/>
          <w:lang w:val="sr-Latn-ME"/>
        </w:rPr>
        <w:t xml:space="preserve"> </w:t>
      </w:r>
      <w:r w:rsidR="00D2550E" w:rsidRPr="00EA088A">
        <w:rPr>
          <w:sz w:val="22"/>
          <w:szCs w:val="22"/>
          <w:lang w:val="sr-Latn-ME"/>
        </w:rPr>
        <w:t>bez radiografskog dokaza</w:t>
      </w:r>
      <w:r w:rsidRPr="00EA088A">
        <w:rPr>
          <w:sz w:val="22"/>
          <w:szCs w:val="22"/>
          <w:lang w:val="sr-Latn-ME"/>
        </w:rPr>
        <w:t>, blago povećanje nivoa ALT primijećeno je kod više pacijenata koji su primali golimumab (26,9%), nego onih u kontrolnoj grupi (10,6 %). Tokom, u prosjeku petogodišnjeg praćenja incidenca blagog porasta nivoa ALT-a bila je slična u pacijenata koji su primali golimumab i kod pacijenata u kontrolnoj grupi u kontrolisanim i nekontrolisanim periodima pivotalnih ispitivanja u reumatoidnom i psorijatičnom artritisu. Kod pacijenata s ankilozirajućim spondilitisom incidenca blagog porasta nivoa ALT bila je veća kod pacijenata koji su primali golimumab nego u kontrolnoj grupi. U kontrolisanom periodu pivotalnih studija uvodne terapije golimumabom kod pacijenata sa ulceroznim kolitisom, blag porast nivoa ALT (˃ 1 i ˂ 3 x iznad gornje</w:t>
      </w:r>
      <w:r w:rsidRPr="00C9046D">
        <w:rPr>
          <w:sz w:val="22"/>
          <w:szCs w:val="22"/>
          <w:lang w:val="sr-Latn-ME"/>
        </w:rPr>
        <w:t xml:space="preserve"> granice normale) nastupio je u sličnom odnosu kod pacijenata koji su primali golimumab i kod pacijenata u kontrolnoj grupi (8,0%  prema 6,9%). U kontrolisanim i nekontrolisanim periodima pivotalnih ispitivanja kod pacijenata sa ulceroznim kolitisom sa srednjim vremenom praćenja približno 2 godine, procenat pacijenta sa blagim porastom nivoa ALT bila je 24,7% kod pacijenata koji su primali golimumab u toku terapije održavanja u okviru studije kod pacijenata sa UC.</w:t>
      </w:r>
    </w:p>
    <w:p w14:paraId="2538D7BF" w14:textId="77777777" w:rsidR="00785722" w:rsidRPr="00275456" w:rsidRDefault="00785722" w:rsidP="005C6DFE">
      <w:pPr>
        <w:tabs>
          <w:tab w:val="left" w:pos="284"/>
        </w:tabs>
        <w:jc w:val="both"/>
        <w:rPr>
          <w:b/>
          <w:bCs/>
          <w:i/>
          <w:iCs/>
          <w:sz w:val="22"/>
          <w:szCs w:val="22"/>
          <w:lang w:val="sr-Latn-ME"/>
        </w:rPr>
      </w:pPr>
    </w:p>
    <w:p w14:paraId="10B97C40"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 xml:space="preserve">U kontrolisanom periodu pivotalnih ispitivanja kod pacijenata sa reumatoidnim artritisom i ankilozirajućim spondilitisom, povećanje nivoa ALT </w:t>
      </w:r>
      <w:r w:rsidRPr="00EA088A">
        <w:rPr>
          <w:sz w:val="22"/>
          <w:szCs w:val="22"/>
          <w:lang w:val="sr-Latn-ME"/>
        </w:rPr>
        <w:sym w:font="Symbol" w:char="F0B3"/>
      </w:r>
      <w:r w:rsidRPr="00EA088A">
        <w:rPr>
          <w:sz w:val="22"/>
          <w:szCs w:val="22"/>
          <w:lang w:val="sr-Latn-ME"/>
        </w:rPr>
        <w:t xml:space="preserve"> 5 x iznad gornje granice normale nije bilo često i zabilježeno je kod više pacijenata koji su primali golimumab (0,4% prema 0,9% pacijenata) nego u kontrolnoj grupi (0,0%). Taj trend nije primijećen kod pacijenata s psorijatičnim artritisom. Incidenca porasta nivoa ALT-a </w:t>
      </w:r>
      <w:r w:rsidRPr="00EA088A">
        <w:rPr>
          <w:sz w:val="22"/>
          <w:szCs w:val="22"/>
          <w:lang w:val="sr-Latn-ME"/>
        </w:rPr>
        <w:sym w:font="Symbol" w:char="F0B3"/>
      </w:r>
      <w:r w:rsidRPr="00EA088A">
        <w:rPr>
          <w:sz w:val="22"/>
          <w:szCs w:val="22"/>
          <w:lang w:val="sr-Latn-ME"/>
        </w:rPr>
        <w:t xml:space="preserve"> 5 x iznad gornje granice normale bila je slična kod pacijenata koji su primali golimumab i kod pacijenata u kontrolnoj grupi u kontrolisanim i nekontrolisanim periodima ispitivanja u reumatoidnom artritisu, psorijatičnom artritisu i ankilozirajućem spondilitisu sa srednjim vremenom praćenja od 5 godina. Opšte uzevši ta su povišenja bila asimptomatična, a nenormalne vrijednosti su se smanjile ili vratile na normalu bilo nastavkom ili prekidom liječenja golimumabom, ili promjenom istovremeno propisanih ljekova. Nije bilo prijavljenih slučajeva u kontrolisanim i nekontrolisanim periodima nr-Axial SpA studije (do godinu dana). U kontrolisanom periodu pivotalnih studija uvodne terapije golimumabom kod pacijenata sa ulceroznim kolitisom, povećanje nivoa ALT ≥ 5 x iznad gornje granice normale nastupilo je u sličnom odnosu kod pacijenata koji su primali golimumab i kod pacijenata u kontrolnoj grupi </w:t>
      </w:r>
      <w:r w:rsidRPr="00C9046D">
        <w:rPr>
          <w:sz w:val="22"/>
          <w:szCs w:val="22"/>
          <w:lang w:val="sr-Latn-ME"/>
        </w:rPr>
        <w:t xml:space="preserve">(0,3%  prema 1,0%). U kontrolisanim i nekontrolisanim periodima pivotalnih ispitivanja kod pacijenata sa ulceroznim kolitisom sa srednjim vremenom praćenja </w:t>
      </w:r>
      <w:r w:rsidRPr="00C9046D">
        <w:rPr>
          <w:b/>
          <w:bCs/>
          <w:sz w:val="22"/>
          <w:szCs w:val="22"/>
          <w:lang w:val="sr-Latn-ME"/>
        </w:rPr>
        <w:t xml:space="preserve"> </w:t>
      </w:r>
      <w:r w:rsidRPr="0014796E">
        <w:rPr>
          <w:bCs/>
          <w:sz w:val="22"/>
          <w:szCs w:val="22"/>
          <w:lang w:val="sr-Latn-ME"/>
        </w:rPr>
        <w:t>približno</w:t>
      </w:r>
      <w:r w:rsidRPr="00275456">
        <w:rPr>
          <w:sz w:val="22"/>
          <w:szCs w:val="22"/>
          <w:lang w:val="sr-Latn-ME"/>
        </w:rPr>
        <w:t xml:space="preserve"> 2 godine, procenat pacijenta sa porastom nivoa ALT-a ≥5 x iznad gornje granice normale bila je 0,8% kod pacijenata koji su primali golimumab u toku terapije održavanja u okviru studije kod pacijenata sa UC.</w:t>
      </w:r>
    </w:p>
    <w:p w14:paraId="36E07021" w14:textId="77777777" w:rsidR="00785722" w:rsidRPr="00275456" w:rsidRDefault="00785722" w:rsidP="005C6DFE">
      <w:pPr>
        <w:tabs>
          <w:tab w:val="left" w:pos="284"/>
        </w:tabs>
        <w:autoSpaceDE w:val="0"/>
        <w:autoSpaceDN w:val="0"/>
        <w:adjustRightInd w:val="0"/>
        <w:jc w:val="both"/>
        <w:rPr>
          <w:sz w:val="22"/>
          <w:szCs w:val="22"/>
          <w:lang w:val="sr-Latn-ME"/>
        </w:rPr>
      </w:pPr>
    </w:p>
    <w:p w14:paraId="5B3A6366" w14:textId="6B59CD06" w:rsidR="00785722" w:rsidRPr="00EA088A" w:rsidRDefault="00785722" w:rsidP="005C6DFE">
      <w:pPr>
        <w:tabs>
          <w:tab w:val="left" w:pos="284"/>
        </w:tabs>
        <w:autoSpaceDE w:val="0"/>
        <w:autoSpaceDN w:val="0"/>
        <w:adjustRightInd w:val="0"/>
        <w:jc w:val="both"/>
        <w:rPr>
          <w:iCs/>
          <w:sz w:val="22"/>
          <w:szCs w:val="22"/>
          <w:lang w:val="sr-Latn-ME"/>
        </w:rPr>
      </w:pPr>
      <w:r w:rsidRPr="00275456">
        <w:rPr>
          <w:iCs/>
          <w:sz w:val="22"/>
          <w:szCs w:val="22"/>
          <w:lang w:val="sr-Latn-ME"/>
        </w:rPr>
        <w:t xml:space="preserve">U pivotalnim studijama kod pacijenata sa </w:t>
      </w:r>
      <w:r w:rsidRPr="00275456">
        <w:rPr>
          <w:sz w:val="22"/>
          <w:szCs w:val="22"/>
          <w:lang w:val="sr-Latn-ME"/>
        </w:rPr>
        <w:t>reumatoidnim artritisom, psorijatičnim artritisom, ankilozirajućim spondilitisom i aksijalnim spondiloartritisom</w:t>
      </w:r>
      <w:r w:rsidR="00511AE6" w:rsidRPr="005C6DFE">
        <w:rPr>
          <w:sz w:val="22"/>
          <w:szCs w:val="22"/>
          <w:lang w:val="sr-Latn-ME"/>
        </w:rPr>
        <w:t xml:space="preserve"> </w:t>
      </w:r>
      <w:r w:rsidR="00511AE6" w:rsidRPr="00EA088A">
        <w:rPr>
          <w:sz w:val="22"/>
          <w:szCs w:val="22"/>
          <w:lang w:val="sr-Latn-ME"/>
        </w:rPr>
        <w:t>bez radiografskog dokaza</w:t>
      </w:r>
      <w:r w:rsidRPr="00EA088A">
        <w:rPr>
          <w:sz w:val="22"/>
          <w:szCs w:val="22"/>
          <w:lang w:val="sr-Latn-ME"/>
        </w:rPr>
        <w:t xml:space="preserve">, u jednoj studiji reumatoidnog artritisa </w:t>
      </w:r>
      <w:r w:rsidRPr="00EA088A">
        <w:rPr>
          <w:iCs/>
          <w:sz w:val="22"/>
          <w:szCs w:val="22"/>
          <w:lang w:val="sr-Latn-ME"/>
        </w:rPr>
        <w:t xml:space="preserve"> kod jednog pacijenta s postojećim oštećenjem jetrene funkcije, koji je uz golimumab primao i druge ljekove koji su mogli tome doprinijeti, razvio se neinfektivni hepatitis uz žuticu, sa smrtnim ishodom. Ne može se isključiti da je golimumab doprinio ili pogoršao stanje. </w:t>
      </w:r>
    </w:p>
    <w:p w14:paraId="6A042FD8" w14:textId="77777777" w:rsidR="00785722" w:rsidRPr="00C9046D" w:rsidRDefault="00785722" w:rsidP="005C6DFE">
      <w:pPr>
        <w:tabs>
          <w:tab w:val="left" w:pos="284"/>
        </w:tabs>
        <w:autoSpaceDE w:val="0"/>
        <w:autoSpaceDN w:val="0"/>
        <w:adjustRightInd w:val="0"/>
        <w:jc w:val="both"/>
        <w:rPr>
          <w:sz w:val="22"/>
          <w:szCs w:val="22"/>
          <w:lang w:val="sr-Latn-ME"/>
        </w:rPr>
      </w:pPr>
    </w:p>
    <w:p w14:paraId="3DAC71F9" w14:textId="77777777" w:rsidR="00785722" w:rsidRPr="00275456" w:rsidRDefault="00785722" w:rsidP="005C6DFE">
      <w:pPr>
        <w:tabs>
          <w:tab w:val="left" w:pos="284"/>
        </w:tabs>
        <w:jc w:val="both"/>
        <w:rPr>
          <w:i/>
          <w:sz w:val="22"/>
          <w:szCs w:val="22"/>
          <w:lang w:val="sr-Latn-ME"/>
        </w:rPr>
      </w:pPr>
      <w:r w:rsidRPr="00275456">
        <w:rPr>
          <w:i/>
          <w:sz w:val="22"/>
          <w:szCs w:val="22"/>
          <w:lang w:val="sr-Latn-ME"/>
        </w:rPr>
        <w:t xml:space="preserve">Reakcije na mjestu injekcije </w:t>
      </w:r>
    </w:p>
    <w:p w14:paraId="1B9D24A4" w14:textId="77777777" w:rsidR="00785722" w:rsidRPr="00275456" w:rsidRDefault="00785722" w:rsidP="005C6DFE">
      <w:pPr>
        <w:tabs>
          <w:tab w:val="left" w:pos="284"/>
        </w:tabs>
        <w:jc w:val="both"/>
        <w:rPr>
          <w:sz w:val="22"/>
          <w:szCs w:val="22"/>
          <w:lang w:val="sr-Latn-ME"/>
        </w:rPr>
      </w:pPr>
      <w:r w:rsidRPr="00275456">
        <w:rPr>
          <w:sz w:val="22"/>
          <w:szCs w:val="22"/>
          <w:lang w:val="sr-Latn-ME"/>
        </w:rPr>
        <w:t>U kontrolisanim periodima pivotalnih studija</w:t>
      </w:r>
      <w:r w:rsidRPr="00275456">
        <w:rPr>
          <w:iCs/>
          <w:sz w:val="22"/>
          <w:szCs w:val="22"/>
          <w:lang w:val="sr-Latn-ME"/>
        </w:rPr>
        <w:t xml:space="preserve">, reakcije na mjestu injekcije imalo je </w:t>
      </w:r>
      <w:r w:rsidRPr="00275456">
        <w:rPr>
          <w:sz w:val="22"/>
          <w:szCs w:val="22"/>
          <w:lang w:val="sr-Latn-ME"/>
        </w:rPr>
        <w:t xml:space="preserve">5,4% pacijenata liječenih golimumabom, u poređenju sa 2,0%  pacijenata u kontrolnoj grupi. Prisustvo antitijela na golimumab može povećati rizik za </w:t>
      </w:r>
      <w:r w:rsidRPr="00275456">
        <w:rPr>
          <w:iCs/>
          <w:sz w:val="22"/>
          <w:szCs w:val="22"/>
          <w:lang w:val="sr-Latn-ME"/>
        </w:rPr>
        <w:t>reakcije na mjestu injekcije</w:t>
      </w:r>
      <w:r w:rsidRPr="00275456">
        <w:rPr>
          <w:sz w:val="22"/>
          <w:szCs w:val="22"/>
          <w:lang w:val="sr-Latn-ME"/>
        </w:rPr>
        <w:t xml:space="preserve">. Većina </w:t>
      </w:r>
      <w:r w:rsidRPr="00275456">
        <w:rPr>
          <w:iCs/>
          <w:sz w:val="22"/>
          <w:szCs w:val="22"/>
          <w:lang w:val="sr-Latn-ME"/>
        </w:rPr>
        <w:t xml:space="preserve">reakcija na mjestu injekcije bila je blaga ili umjerena, a najčešće su se manifestovale kao crvenilo na mjestu uboda. Reakcije na mjestu injekcije obično nijesu zahtijevale prekid liječenja. </w:t>
      </w:r>
    </w:p>
    <w:p w14:paraId="7693707B" w14:textId="77777777" w:rsidR="00785722" w:rsidRPr="00275456" w:rsidRDefault="00785722" w:rsidP="005C6DFE">
      <w:pPr>
        <w:tabs>
          <w:tab w:val="left" w:pos="284"/>
        </w:tabs>
        <w:jc w:val="both"/>
        <w:rPr>
          <w:sz w:val="22"/>
          <w:szCs w:val="22"/>
          <w:lang w:val="sr-Latn-ME"/>
        </w:rPr>
      </w:pPr>
    </w:p>
    <w:p w14:paraId="114F14C6" w14:textId="30E23DA9" w:rsidR="00785722" w:rsidRPr="00275456" w:rsidRDefault="00785722" w:rsidP="005C6DFE">
      <w:pPr>
        <w:tabs>
          <w:tab w:val="left" w:pos="284"/>
        </w:tabs>
        <w:jc w:val="both"/>
        <w:rPr>
          <w:sz w:val="22"/>
          <w:szCs w:val="22"/>
          <w:lang w:val="sr-Latn-ME"/>
        </w:rPr>
      </w:pPr>
      <w:r w:rsidRPr="00275456">
        <w:rPr>
          <w:sz w:val="22"/>
          <w:szCs w:val="22"/>
          <w:lang w:val="sr-Latn-ME"/>
        </w:rPr>
        <w:t xml:space="preserve">U kontrolisanim ispitivanjima faze IIb i/ili faze III u reumatoidnom artritisu, psorijatičnom artritisu, ankilozirajućem spondilitisu, aksijalnom spondiloartritisu </w:t>
      </w:r>
      <w:r w:rsidR="003C685D" w:rsidRPr="00275456">
        <w:rPr>
          <w:sz w:val="22"/>
          <w:szCs w:val="22"/>
          <w:lang w:val="sr-Latn-ME"/>
        </w:rPr>
        <w:t xml:space="preserve">bez radiografskog dokaza </w:t>
      </w:r>
      <w:r w:rsidRPr="00275456">
        <w:rPr>
          <w:sz w:val="22"/>
          <w:szCs w:val="22"/>
          <w:lang w:val="sr-Latn-ME"/>
        </w:rPr>
        <w:t>i teškoj perzistentnoj astmi i fazi II/III u ulceroznom kolitisu</w:t>
      </w:r>
      <w:r w:rsidRPr="00275456">
        <w:rPr>
          <w:iCs/>
          <w:sz w:val="22"/>
          <w:szCs w:val="22"/>
          <w:lang w:val="sr-Latn-ME"/>
        </w:rPr>
        <w:t>,</w:t>
      </w:r>
      <w:r w:rsidRPr="00275456">
        <w:rPr>
          <w:sz w:val="22"/>
          <w:szCs w:val="22"/>
          <w:lang w:val="sr-Latn-ME"/>
        </w:rPr>
        <w:t xml:space="preserve"> ni kod jednog pacijenta liječenog golimumabom nije se pojavila anafilaktička reakcija.  </w:t>
      </w:r>
    </w:p>
    <w:p w14:paraId="21DCAD99" w14:textId="77777777" w:rsidR="00785722" w:rsidRPr="00275456" w:rsidRDefault="00785722" w:rsidP="005C6DFE">
      <w:pPr>
        <w:tabs>
          <w:tab w:val="left" w:pos="284"/>
        </w:tabs>
        <w:jc w:val="both"/>
        <w:rPr>
          <w:sz w:val="22"/>
          <w:szCs w:val="22"/>
          <w:lang w:val="sr-Latn-ME"/>
        </w:rPr>
      </w:pPr>
    </w:p>
    <w:p w14:paraId="29FC8CDE" w14:textId="77777777" w:rsidR="00785722" w:rsidRPr="00275456" w:rsidRDefault="00785722" w:rsidP="005C6DFE">
      <w:pPr>
        <w:tabs>
          <w:tab w:val="left" w:pos="284"/>
        </w:tabs>
        <w:jc w:val="both"/>
        <w:rPr>
          <w:i/>
          <w:sz w:val="22"/>
          <w:szCs w:val="22"/>
          <w:lang w:val="sr-Latn-ME"/>
        </w:rPr>
      </w:pPr>
      <w:r w:rsidRPr="00275456">
        <w:rPr>
          <w:i/>
          <w:sz w:val="22"/>
          <w:szCs w:val="22"/>
          <w:lang w:val="sr-Latn-ME"/>
        </w:rPr>
        <w:t>Autoimuna antitijela</w:t>
      </w:r>
    </w:p>
    <w:p w14:paraId="58B4E2A9" w14:textId="77777777" w:rsidR="00785722" w:rsidRPr="00275456" w:rsidRDefault="00785722" w:rsidP="005C6DFE">
      <w:pPr>
        <w:autoSpaceDE w:val="0"/>
        <w:autoSpaceDN w:val="0"/>
        <w:adjustRightInd w:val="0"/>
        <w:ind w:right="878"/>
        <w:jc w:val="both"/>
        <w:rPr>
          <w:sz w:val="22"/>
          <w:szCs w:val="22"/>
          <w:lang w:val="sr-Latn-ME"/>
        </w:rPr>
      </w:pPr>
      <w:r w:rsidRPr="00275456">
        <w:rPr>
          <w:sz w:val="22"/>
          <w:szCs w:val="22"/>
          <w:lang w:val="sr-Latn-ME"/>
        </w:rPr>
        <w:t>U kontrolisanim i nekontrolisanim periodima pivotalnih studija</w:t>
      </w:r>
      <w:r w:rsidRPr="00275456">
        <w:rPr>
          <w:iCs/>
          <w:sz w:val="22"/>
          <w:szCs w:val="22"/>
          <w:lang w:val="sr-Latn-ME"/>
        </w:rPr>
        <w:t>, tokom jednogodišnjeg praćenja je</w:t>
      </w:r>
      <w:r w:rsidRPr="00275456">
        <w:rPr>
          <w:sz w:val="22"/>
          <w:szCs w:val="22"/>
          <w:lang w:val="sr-Latn-ME"/>
        </w:rPr>
        <w:t xml:space="preserve"> 3,5% pacijenata liječenih golimumabom i 2,3% pacijenata u kontrolnoj grupi postalo po prvi put pozitivno na antinuklearna antitijela (ANA) (s titrom od najmanje 1:160). </w:t>
      </w:r>
      <w:r w:rsidRPr="00275456">
        <w:rPr>
          <w:sz w:val="22"/>
          <w:szCs w:val="22"/>
          <w:lang w:val="sr-Latn-ME"/>
        </w:rPr>
        <w:lastRenderedPageBreak/>
        <w:t>Kod pacijenata koji su na početku bili negativni na dsDNK, nakon godinu dana praćenja 1,1% su zabilježeli pozitivni nalazi na anti-dsDNK antitijela.</w:t>
      </w:r>
    </w:p>
    <w:p w14:paraId="2E684836" w14:textId="77777777" w:rsidR="00785722" w:rsidRPr="00275456" w:rsidRDefault="00785722" w:rsidP="005C6DFE">
      <w:pPr>
        <w:keepNext/>
        <w:tabs>
          <w:tab w:val="left" w:pos="567"/>
        </w:tabs>
        <w:jc w:val="both"/>
        <w:rPr>
          <w:i/>
          <w:sz w:val="22"/>
          <w:szCs w:val="22"/>
          <w:lang w:val="sr-Latn-ME"/>
        </w:rPr>
      </w:pPr>
    </w:p>
    <w:p w14:paraId="71A6F8C9" w14:textId="77777777" w:rsidR="00785722" w:rsidRPr="00275456" w:rsidRDefault="00785722" w:rsidP="005C6DFE">
      <w:pPr>
        <w:autoSpaceDE w:val="0"/>
        <w:autoSpaceDN w:val="0"/>
        <w:adjustRightInd w:val="0"/>
        <w:jc w:val="both"/>
        <w:rPr>
          <w:i/>
          <w:sz w:val="22"/>
          <w:szCs w:val="22"/>
          <w:lang w:val="sr-Latn-ME"/>
        </w:rPr>
      </w:pPr>
      <w:r w:rsidRPr="00275456">
        <w:rPr>
          <w:i/>
          <w:sz w:val="22"/>
          <w:szCs w:val="22"/>
          <w:lang w:val="sr-Latn-ME"/>
        </w:rPr>
        <w:t>Pedijatrijska populacija</w:t>
      </w:r>
    </w:p>
    <w:p w14:paraId="2DA32790" w14:textId="77777777" w:rsidR="00785722" w:rsidRPr="00275456" w:rsidRDefault="00785722" w:rsidP="005C6DFE">
      <w:pPr>
        <w:autoSpaceDE w:val="0"/>
        <w:autoSpaceDN w:val="0"/>
        <w:adjustRightInd w:val="0"/>
        <w:jc w:val="both"/>
        <w:rPr>
          <w:i/>
          <w:sz w:val="22"/>
          <w:szCs w:val="22"/>
          <w:lang w:val="sr-Latn-ME"/>
        </w:rPr>
      </w:pPr>
      <w:r w:rsidRPr="00275456">
        <w:rPr>
          <w:i/>
          <w:sz w:val="22"/>
          <w:szCs w:val="22"/>
          <w:lang w:val="sr-Latn-ME"/>
        </w:rPr>
        <w:t>Poliartikularni juvenilni idiopatski artritis</w:t>
      </w:r>
    </w:p>
    <w:p w14:paraId="6731928E" w14:textId="77777777" w:rsidR="00785722" w:rsidRPr="00352F6E" w:rsidRDefault="00785722" w:rsidP="005C6DFE">
      <w:pPr>
        <w:autoSpaceDE w:val="0"/>
        <w:autoSpaceDN w:val="0"/>
        <w:adjustRightInd w:val="0"/>
        <w:jc w:val="both"/>
        <w:rPr>
          <w:sz w:val="22"/>
          <w:szCs w:val="22"/>
          <w:lang w:val="sr-Latn-ME"/>
        </w:rPr>
      </w:pPr>
      <w:r w:rsidRPr="00352F6E">
        <w:rPr>
          <w:sz w:val="22"/>
          <w:szCs w:val="22"/>
          <w:lang w:val="sr-Latn-ME"/>
        </w:rPr>
        <w:t>Bezbjednost golimumaba ispitivana je u studiji faze III koja je uključivala 173 pacijenta sa pJIA uzrasta od 2 do 17 godina. Prosječno vrijeme praćenja iznosilo je približno dvije godine. U ovom ispitivanju su vrsta i učestalost prijavljenih neželjenih događaja bile slične onima primijećenim u ispitivanjima sprovedenim kod odraslih pacijenata sa RA.</w:t>
      </w:r>
    </w:p>
    <w:p w14:paraId="66003C47" w14:textId="77777777" w:rsidR="00785722" w:rsidRPr="00275456" w:rsidRDefault="00785722" w:rsidP="005C6DFE">
      <w:pPr>
        <w:tabs>
          <w:tab w:val="left" w:pos="540"/>
          <w:tab w:val="left" w:pos="569"/>
        </w:tabs>
        <w:jc w:val="both"/>
        <w:rPr>
          <w:b/>
          <w:bCs/>
          <w:sz w:val="22"/>
          <w:szCs w:val="22"/>
          <w:lang w:val="sr-Latn-ME"/>
        </w:rPr>
      </w:pPr>
    </w:p>
    <w:p w14:paraId="4EF58E49" w14:textId="77777777" w:rsidR="005A23D2" w:rsidRPr="00275456" w:rsidRDefault="005A23D2" w:rsidP="005C6DFE">
      <w:pPr>
        <w:spacing w:after="200" w:line="276" w:lineRule="auto"/>
        <w:jc w:val="both"/>
        <w:rPr>
          <w:rFonts w:eastAsia="Calibri"/>
          <w:sz w:val="22"/>
          <w:szCs w:val="22"/>
          <w:u w:val="single"/>
          <w:lang w:val="sr-Latn-ME"/>
        </w:rPr>
      </w:pPr>
      <w:r w:rsidRPr="00275456">
        <w:rPr>
          <w:rFonts w:eastAsia="Calibri"/>
          <w:sz w:val="22"/>
          <w:szCs w:val="22"/>
          <w:u w:val="single"/>
          <w:lang w:val="sr-Latn-ME"/>
        </w:rPr>
        <w:t>Prijavljivanje sumnji na neželjena dejstva</w:t>
      </w:r>
    </w:p>
    <w:p w14:paraId="3D6065E7" w14:textId="77777777" w:rsidR="005A23D2" w:rsidRPr="00275456" w:rsidRDefault="005A23D2" w:rsidP="00EA088A">
      <w:pPr>
        <w:spacing w:after="200"/>
        <w:jc w:val="both"/>
        <w:rPr>
          <w:rFonts w:eastAsia="Calibri"/>
          <w:sz w:val="22"/>
          <w:szCs w:val="22"/>
          <w:lang w:val="sr-Latn-ME"/>
        </w:rPr>
      </w:pPr>
      <w:r w:rsidRPr="00275456">
        <w:rPr>
          <w:rFonts w:eastAsia="Calibri"/>
          <w:sz w:val="22"/>
          <w:szCs w:val="22"/>
          <w:lang w:val="sr-Latn-ME"/>
        </w:rPr>
        <w:t>Prijavljivanje neželjenih dejstava nakon dobijanja dozvole je od velikog značaja jer obezbjeđuje kont</w:t>
      </w:r>
      <w:r w:rsidR="00EA5765" w:rsidRPr="00275456">
        <w:rPr>
          <w:rFonts w:eastAsia="Calibri"/>
          <w:sz w:val="22"/>
          <w:szCs w:val="22"/>
          <w:lang w:val="sr-Latn-ME"/>
        </w:rPr>
        <w:t>inuirano praćenje odnosa korist</w:t>
      </w:r>
      <w:r w:rsidRPr="00275456">
        <w:rPr>
          <w:rFonts w:eastAsia="Calibri"/>
          <w:sz w:val="22"/>
          <w:szCs w:val="22"/>
          <w:lang w:val="sr-Latn-ME"/>
        </w:rPr>
        <w:t>/rizik primjene lijeka. Zdravstveni radnici treba da prijave svaku sumnju na neželjeno</w:t>
      </w:r>
      <w:r w:rsidR="009B062A" w:rsidRPr="00275456">
        <w:rPr>
          <w:rFonts w:eastAsia="Calibri"/>
          <w:sz w:val="22"/>
          <w:szCs w:val="22"/>
          <w:lang w:val="sr-Latn-ME"/>
        </w:rPr>
        <w:t xml:space="preserve"> </w:t>
      </w:r>
      <w:r w:rsidRPr="00275456">
        <w:rPr>
          <w:rFonts w:eastAsia="Calibri"/>
          <w:sz w:val="22"/>
          <w:szCs w:val="22"/>
          <w:lang w:val="sr-Latn-ME"/>
        </w:rPr>
        <w:t xml:space="preserve">dejstvo ovog lijeka </w:t>
      </w:r>
      <w:r w:rsidR="004E70AD" w:rsidRPr="00275456">
        <w:rPr>
          <w:rFonts w:eastAsia="Calibri"/>
          <w:sz w:val="22"/>
          <w:szCs w:val="22"/>
          <w:lang w:val="sr-Latn-ME"/>
        </w:rPr>
        <w:t>Institutu</w:t>
      </w:r>
      <w:r w:rsidRPr="00275456">
        <w:rPr>
          <w:rFonts w:eastAsia="Calibri"/>
          <w:sz w:val="22"/>
          <w:szCs w:val="22"/>
          <w:lang w:val="sr-Latn-ME"/>
        </w:rPr>
        <w:t xml:space="preserve"> za ljekove i medicinska sredstva</w:t>
      </w:r>
      <w:r w:rsidR="004E70AD" w:rsidRPr="00275456">
        <w:rPr>
          <w:rFonts w:eastAsia="Calibri"/>
          <w:sz w:val="22"/>
          <w:szCs w:val="22"/>
          <w:lang w:val="sr-Latn-ME"/>
        </w:rPr>
        <w:t xml:space="preserve"> </w:t>
      </w:r>
      <w:r w:rsidRPr="00275456">
        <w:rPr>
          <w:rFonts w:eastAsia="Calibri"/>
          <w:sz w:val="22"/>
          <w:szCs w:val="22"/>
          <w:lang w:val="sr-Latn-ME"/>
        </w:rPr>
        <w:t>(</w:t>
      </w:r>
      <w:r w:rsidR="004E70AD" w:rsidRPr="00275456">
        <w:rPr>
          <w:rFonts w:eastAsia="Calibri"/>
          <w:sz w:val="22"/>
          <w:szCs w:val="22"/>
          <w:lang w:val="sr-Latn-ME"/>
        </w:rPr>
        <w:t>CInMED</w:t>
      </w:r>
      <w:r w:rsidRPr="00275456">
        <w:rPr>
          <w:rFonts w:eastAsia="Calibri"/>
          <w:sz w:val="22"/>
          <w:szCs w:val="22"/>
          <w:lang w:val="sr-Latn-ME"/>
        </w:rPr>
        <w:t>):</w:t>
      </w:r>
    </w:p>
    <w:p w14:paraId="36323186" w14:textId="77777777" w:rsidR="005A23D2" w:rsidRPr="00275456" w:rsidRDefault="004E70AD" w:rsidP="00EA088A">
      <w:pPr>
        <w:pStyle w:val="NoSpacing"/>
        <w:jc w:val="both"/>
        <w:rPr>
          <w:rFonts w:eastAsia="Calibri"/>
          <w:sz w:val="22"/>
          <w:szCs w:val="22"/>
          <w:lang w:val="sr-Latn-ME"/>
        </w:rPr>
      </w:pPr>
      <w:r w:rsidRPr="00275456">
        <w:rPr>
          <w:rFonts w:eastAsia="Calibri"/>
          <w:sz w:val="22"/>
          <w:szCs w:val="22"/>
          <w:lang w:val="sr-Latn-ME"/>
        </w:rPr>
        <w:t xml:space="preserve">Institut </w:t>
      </w:r>
      <w:r w:rsidR="005A23D2" w:rsidRPr="00275456">
        <w:rPr>
          <w:rFonts w:eastAsia="Calibri"/>
          <w:sz w:val="22"/>
          <w:szCs w:val="22"/>
          <w:lang w:val="sr-Latn-ME"/>
        </w:rPr>
        <w:t xml:space="preserve">za ljekove i medicinska sredstva </w:t>
      </w:r>
    </w:p>
    <w:p w14:paraId="3EA2BD05" w14:textId="77777777" w:rsidR="005A23D2" w:rsidRPr="00275456" w:rsidRDefault="005A23D2" w:rsidP="00C9046D">
      <w:pPr>
        <w:pStyle w:val="NoSpacing"/>
        <w:jc w:val="both"/>
        <w:rPr>
          <w:rFonts w:eastAsia="Calibri"/>
          <w:sz w:val="22"/>
          <w:szCs w:val="22"/>
          <w:lang w:val="sr-Latn-ME"/>
        </w:rPr>
      </w:pPr>
      <w:r w:rsidRPr="00275456">
        <w:rPr>
          <w:rFonts w:eastAsia="Calibri"/>
          <w:sz w:val="22"/>
          <w:szCs w:val="22"/>
          <w:lang w:val="sr-Latn-ME"/>
        </w:rPr>
        <w:t>Odjeljenje za farmakovigilancu</w:t>
      </w:r>
    </w:p>
    <w:p w14:paraId="043A2C68" w14:textId="77777777" w:rsidR="00EA5765" w:rsidRPr="00275456" w:rsidRDefault="005A23D2">
      <w:pPr>
        <w:pStyle w:val="NoSpacing"/>
        <w:jc w:val="both"/>
        <w:rPr>
          <w:rFonts w:eastAsia="Calibri"/>
          <w:sz w:val="22"/>
          <w:szCs w:val="22"/>
          <w:lang w:val="sr-Latn-ME"/>
        </w:rPr>
      </w:pPr>
      <w:r w:rsidRPr="00275456">
        <w:rPr>
          <w:rFonts w:eastAsia="Calibri"/>
          <w:sz w:val="22"/>
          <w:szCs w:val="22"/>
          <w:lang w:val="sr-Latn-ME"/>
        </w:rPr>
        <w:t>Bulevar Ivana Crnojevića 64a, 81000 Podgorica</w:t>
      </w:r>
    </w:p>
    <w:p w14:paraId="46C63F1D" w14:textId="77777777" w:rsidR="00EA5765" w:rsidRPr="00275456" w:rsidRDefault="00EA5765" w:rsidP="005C6DFE">
      <w:pPr>
        <w:pStyle w:val="NoSpacing"/>
        <w:jc w:val="both"/>
        <w:rPr>
          <w:rFonts w:eastAsia="Calibri"/>
          <w:sz w:val="22"/>
          <w:szCs w:val="22"/>
          <w:lang w:val="sr-Latn-ME"/>
        </w:rPr>
      </w:pPr>
    </w:p>
    <w:p w14:paraId="3E701141" w14:textId="77777777" w:rsidR="005A23D2" w:rsidRPr="00275456" w:rsidRDefault="005A23D2" w:rsidP="00EA088A">
      <w:pPr>
        <w:pStyle w:val="NoSpacing"/>
        <w:jc w:val="both"/>
        <w:rPr>
          <w:rFonts w:eastAsia="Calibri"/>
          <w:sz w:val="22"/>
          <w:szCs w:val="22"/>
          <w:lang w:val="sr-Latn-ME"/>
        </w:rPr>
      </w:pPr>
      <w:r w:rsidRPr="00275456">
        <w:rPr>
          <w:rFonts w:eastAsia="Calibri"/>
          <w:sz w:val="22"/>
          <w:szCs w:val="22"/>
          <w:lang w:val="sr-Latn-ME"/>
        </w:rPr>
        <w:t>tel: +382 (0) 20 310 280</w:t>
      </w:r>
    </w:p>
    <w:p w14:paraId="6C52BCA8" w14:textId="77777777" w:rsidR="00EA5765" w:rsidRPr="00275456" w:rsidRDefault="005A23D2" w:rsidP="00EA088A">
      <w:pPr>
        <w:pStyle w:val="NoSpacing"/>
        <w:jc w:val="both"/>
        <w:rPr>
          <w:rFonts w:eastAsia="Calibri"/>
          <w:sz w:val="22"/>
          <w:szCs w:val="22"/>
          <w:lang w:val="sr-Latn-ME"/>
        </w:rPr>
      </w:pPr>
      <w:r w:rsidRPr="00275456">
        <w:rPr>
          <w:rFonts w:eastAsia="Calibri"/>
          <w:sz w:val="22"/>
          <w:szCs w:val="22"/>
          <w:lang w:val="sr-Latn-ME"/>
        </w:rPr>
        <w:t>fax:</w:t>
      </w:r>
      <w:r w:rsidR="00EA5765" w:rsidRPr="00275456">
        <w:rPr>
          <w:rFonts w:eastAsia="Calibri"/>
          <w:sz w:val="22"/>
          <w:szCs w:val="22"/>
          <w:lang w:val="sr-Latn-ME"/>
        </w:rPr>
        <w:t xml:space="preserve"> </w:t>
      </w:r>
      <w:r w:rsidRPr="00275456">
        <w:rPr>
          <w:rFonts w:eastAsia="Calibri"/>
          <w:sz w:val="22"/>
          <w:szCs w:val="22"/>
          <w:lang w:val="sr-Latn-ME"/>
        </w:rPr>
        <w:t>+382 (0) 20 310 581</w:t>
      </w:r>
    </w:p>
    <w:p w14:paraId="3D1C7543" w14:textId="77777777" w:rsidR="005A23D2" w:rsidRPr="00EA088A" w:rsidRDefault="00884212" w:rsidP="00EA088A">
      <w:pPr>
        <w:pStyle w:val="NoSpacing"/>
        <w:jc w:val="both"/>
        <w:rPr>
          <w:rFonts w:eastAsia="Calibri"/>
          <w:sz w:val="22"/>
          <w:szCs w:val="22"/>
          <w:lang w:val="sr-Latn-ME"/>
        </w:rPr>
      </w:pPr>
      <w:hyperlink r:id="rId9" w:history="1">
        <w:r w:rsidR="004E70AD" w:rsidRPr="00275456">
          <w:rPr>
            <w:rStyle w:val="Hyperlink"/>
            <w:rFonts w:eastAsia="Calibri"/>
            <w:sz w:val="22"/>
            <w:szCs w:val="22"/>
            <w:lang w:val="sr-Latn-ME"/>
          </w:rPr>
          <w:t>www.cinmed.me</w:t>
        </w:r>
      </w:hyperlink>
    </w:p>
    <w:p w14:paraId="07CB6B7A" w14:textId="77777777" w:rsidR="00EA5765" w:rsidRPr="00EA088A" w:rsidRDefault="00884212" w:rsidP="00C9046D">
      <w:pPr>
        <w:pStyle w:val="NoSpacing"/>
        <w:jc w:val="both"/>
        <w:rPr>
          <w:rFonts w:eastAsia="Calibri"/>
          <w:color w:val="0000FF"/>
          <w:sz w:val="22"/>
          <w:szCs w:val="22"/>
          <w:u w:val="single"/>
          <w:lang w:val="sr-Latn-ME"/>
        </w:rPr>
      </w:pPr>
      <w:hyperlink r:id="rId10" w:history="1">
        <w:r w:rsidR="004E70AD" w:rsidRPr="00275456">
          <w:rPr>
            <w:rStyle w:val="Hyperlink"/>
            <w:rFonts w:eastAsia="Calibri"/>
            <w:sz w:val="22"/>
            <w:szCs w:val="22"/>
            <w:lang w:val="sr-Latn-ME"/>
          </w:rPr>
          <w:t>nezeljenadejstva@cinmed.me</w:t>
        </w:r>
      </w:hyperlink>
    </w:p>
    <w:p w14:paraId="21E6DC86" w14:textId="0D2B43CD" w:rsidR="005A23D2" w:rsidRPr="00EA088A" w:rsidRDefault="005A23D2" w:rsidP="00C9046D">
      <w:pPr>
        <w:pStyle w:val="NoSpacing"/>
        <w:jc w:val="both"/>
        <w:rPr>
          <w:rFonts w:eastAsia="Calibri"/>
          <w:sz w:val="22"/>
          <w:szCs w:val="22"/>
          <w:lang w:val="sr-Latn-ME"/>
        </w:rPr>
      </w:pPr>
      <w:r w:rsidRPr="00EA088A">
        <w:rPr>
          <w:rFonts w:eastAsia="Calibri"/>
          <w:sz w:val="22"/>
          <w:szCs w:val="22"/>
          <w:lang w:val="sr-Latn-ME"/>
        </w:rPr>
        <w:t>putem IS zdravstvene zaštite</w:t>
      </w:r>
    </w:p>
    <w:p w14:paraId="4D35F16B" w14:textId="77777777" w:rsidR="00B41524" w:rsidRPr="00EA088A" w:rsidRDefault="00B41524" w:rsidP="005C6DFE">
      <w:pPr>
        <w:pStyle w:val="NoSpacing"/>
        <w:jc w:val="both"/>
        <w:rPr>
          <w:rFonts w:eastAsia="Calibri"/>
          <w:sz w:val="22"/>
          <w:szCs w:val="22"/>
          <w:lang w:val="sr-Latn-ME"/>
        </w:rPr>
      </w:pPr>
      <w:r w:rsidRPr="00EA088A">
        <w:rPr>
          <w:rFonts w:eastAsia="Calibri"/>
          <w:sz w:val="22"/>
          <w:szCs w:val="22"/>
          <w:lang w:val="sr-Latn-ME"/>
        </w:rPr>
        <w:t>QR kod za online prijavu sumnje na neželjeno dejstvo lijeka:</w:t>
      </w:r>
    </w:p>
    <w:p w14:paraId="297B70E9" w14:textId="77777777" w:rsidR="00B41524" w:rsidRPr="00C9046D" w:rsidRDefault="00B41524" w:rsidP="005C6DFE">
      <w:pPr>
        <w:pStyle w:val="NoSpacing"/>
        <w:jc w:val="both"/>
        <w:rPr>
          <w:rFonts w:eastAsia="Calibri"/>
          <w:sz w:val="22"/>
          <w:szCs w:val="22"/>
          <w:lang w:val="sr-Latn-ME"/>
        </w:rPr>
      </w:pPr>
    </w:p>
    <w:p w14:paraId="7FA768B7" w14:textId="77777777" w:rsidR="00B41524" w:rsidRPr="00EA088A" w:rsidRDefault="00B41524" w:rsidP="00EA088A">
      <w:pPr>
        <w:pStyle w:val="NoSpacing"/>
        <w:jc w:val="both"/>
        <w:rPr>
          <w:rFonts w:eastAsia="Calibri"/>
          <w:sz w:val="22"/>
          <w:szCs w:val="22"/>
          <w:lang w:val="sr-Latn-ME"/>
        </w:rPr>
      </w:pPr>
      <w:r w:rsidRPr="00EA088A">
        <w:rPr>
          <w:rFonts w:eastAsia="Calibri"/>
          <w:noProof/>
          <w:sz w:val="22"/>
          <w:szCs w:val="22"/>
        </w:rPr>
        <w:drawing>
          <wp:inline distT="0" distB="0" distL="0" distR="0" wp14:anchorId="54693F06" wp14:editId="64A39D79">
            <wp:extent cx="971550" cy="971550"/>
            <wp:effectExtent l="0" t="0" r="0" b="0"/>
            <wp:docPr id="1912395413"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0A6B2CF" w14:textId="417377C5" w:rsidR="00836B35" w:rsidRPr="00EA088A" w:rsidRDefault="00836B35" w:rsidP="005C6DFE">
      <w:pPr>
        <w:tabs>
          <w:tab w:val="left" w:pos="540"/>
          <w:tab w:val="left" w:pos="569"/>
        </w:tabs>
        <w:jc w:val="both"/>
        <w:rPr>
          <w:b/>
          <w:bCs/>
          <w:sz w:val="22"/>
          <w:szCs w:val="22"/>
          <w:lang w:val="sr-Latn-ME"/>
        </w:rPr>
      </w:pPr>
    </w:p>
    <w:p w14:paraId="06267689" w14:textId="77777777" w:rsidR="00CD6F02" w:rsidRPr="00275456" w:rsidRDefault="0072020E" w:rsidP="005C6DFE">
      <w:pPr>
        <w:tabs>
          <w:tab w:val="left" w:pos="540"/>
          <w:tab w:val="left" w:pos="569"/>
        </w:tabs>
        <w:jc w:val="both"/>
        <w:rPr>
          <w:b/>
          <w:bCs/>
          <w:sz w:val="22"/>
          <w:szCs w:val="22"/>
          <w:lang w:val="sr-Latn-ME"/>
        </w:rPr>
      </w:pPr>
      <w:r w:rsidRPr="00C9046D">
        <w:rPr>
          <w:b/>
          <w:bCs/>
          <w:sz w:val="22"/>
          <w:szCs w:val="22"/>
          <w:lang w:val="sr-Latn-ME"/>
        </w:rPr>
        <w:t xml:space="preserve">4.9. </w:t>
      </w:r>
      <w:r w:rsidR="00480FB1" w:rsidRPr="00275456">
        <w:rPr>
          <w:b/>
          <w:bCs/>
          <w:sz w:val="22"/>
          <w:szCs w:val="22"/>
          <w:lang w:val="sr-Latn-ME"/>
        </w:rPr>
        <w:tab/>
      </w:r>
      <w:r w:rsidRPr="00275456">
        <w:rPr>
          <w:b/>
          <w:bCs/>
          <w:sz w:val="22"/>
          <w:szCs w:val="22"/>
          <w:lang w:val="sr-Latn-ME"/>
        </w:rPr>
        <w:t>Predoziranje</w:t>
      </w:r>
      <w:r w:rsidR="002846DB" w:rsidRPr="00275456">
        <w:rPr>
          <w:b/>
          <w:bCs/>
          <w:sz w:val="22"/>
          <w:szCs w:val="22"/>
          <w:lang w:val="sr-Latn-ME"/>
        </w:rPr>
        <w:t xml:space="preserve"> </w:t>
      </w:r>
    </w:p>
    <w:p w14:paraId="0C9E1640" w14:textId="77777777" w:rsidR="00CD6F02" w:rsidRPr="00275456" w:rsidRDefault="00CD6F02" w:rsidP="005C6DFE">
      <w:pPr>
        <w:tabs>
          <w:tab w:val="left" w:pos="540"/>
          <w:tab w:val="left" w:pos="569"/>
        </w:tabs>
        <w:jc w:val="both"/>
        <w:rPr>
          <w:b/>
          <w:bCs/>
          <w:sz w:val="22"/>
          <w:szCs w:val="22"/>
          <w:lang w:val="sr-Latn-ME"/>
        </w:rPr>
      </w:pPr>
    </w:p>
    <w:p w14:paraId="7A289FC5"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U kliničkom ispitivanju su primijenjene pojedinačne intravenske doze do 10 mg/kg i nije došlo do toksičnosti koja bi ograničavala dozu. U slučaju predoziranja preporučuje se praćenje pacijenta kako bi se uočili eventualni znakovi ili simptomi neželjenih dejstava te odmah započelo odgovarajuće simptomatsko liječenje. </w:t>
      </w:r>
    </w:p>
    <w:p w14:paraId="27C85CBC" w14:textId="6678459D" w:rsidR="00227BDB" w:rsidRDefault="00227BDB" w:rsidP="005C6DFE">
      <w:pPr>
        <w:tabs>
          <w:tab w:val="left" w:pos="540"/>
          <w:tab w:val="left" w:pos="569"/>
        </w:tabs>
        <w:jc w:val="both"/>
        <w:rPr>
          <w:b/>
          <w:bCs/>
          <w:sz w:val="22"/>
          <w:szCs w:val="22"/>
          <w:lang w:val="sr-Latn-ME"/>
        </w:rPr>
      </w:pPr>
    </w:p>
    <w:p w14:paraId="2F13929F" w14:textId="77777777" w:rsidR="00EA0ADE" w:rsidRPr="00275456" w:rsidRDefault="00EA0ADE" w:rsidP="005C6DFE">
      <w:pPr>
        <w:tabs>
          <w:tab w:val="left" w:pos="540"/>
          <w:tab w:val="left" w:pos="569"/>
        </w:tabs>
        <w:jc w:val="both"/>
        <w:rPr>
          <w:b/>
          <w:bCs/>
          <w:sz w:val="22"/>
          <w:szCs w:val="22"/>
          <w:lang w:val="sr-Latn-ME"/>
        </w:rPr>
      </w:pPr>
    </w:p>
    <w:p w14:paraId="4C9A56B6" w14:textId="77777777"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5. </w:t>
      </w:r>
      <w:r w:rsidR="00480FB1" w:rsidRPr="00275456">
        <w:rPr>
          <w:b/>
          <w:bCs/>
          <w:sz w:val="22"/>
          <w:szCs w:val="22"/>
          <w:lang w:val="sr-Latn-ME"/>
        </w:rPr>
        <w:tab/>
      </w:r>
      <w:r w:rsidRPr="00275456">
        <w:rPr>
          <w:b/>
          <w:bCs/>
          <w:sz w:val="22"/>
          <w:szCs w:val="22"/>
          <w:lang w:val="sr-Latn-ME"/>
        </w:rPr>
        <w:t>FARMAKOLOŠK</w:t>
      </w:r>
      <w:r w:rsidR="000D425A" w:rsidRPr="00275456">
        <w:rPr>
          <w:b/>
          <w:bCs/>
          <w:sz w:val="22"/>
          <w:szCs w:val="22"/>
          <w:lang w:val="sr-Latn-ME"/>
        </w:rPr>
        <w:t>I</w:t>
      </w:r>
      <w:r w:rsidRPr="00275456">
        <w:rPr>
          <w:b/>
          <w:bCs/>
          <w:sz w:val="22"/>
          <w:szCs w:val="22"/>
          <w:lang w:val="sr-Latn-ME"/>
        </w:rPr>
        <w:t xml:space="preserve"> PODACI</w:t>
      </w:r>
    </w:p>
    <w:p w14:paraId="57FD69B8" w14:textId="77777777" w:rsidR="0072020E" w:rsidRPr="00275456" w:rsidRDefault="0072020E" w:rsidP="005C6DFE">
      <w:pPr>
        <w:tabs>
          <w:tab w:val="left" w:pos="540"/>
          <w:tab w:val="left" w:pos="569"/>
        </w:tabs>
        <w:jc w:val="both"/>
        <w:rPr>
          <w:b/>
          <w:bCs/>
          <w:sz w:val="22"/>
          <w:szCs w:val="22"/>
          <w:lang w:val="sr-Latn-ME"/>
        </w:rPr>
      </w:pPr>
    </w:p>
    <w:p w14:paraId="2FCD9D5F" w14:textId="77777777"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5.1. </w:t>
      </w:r>
      <w:r w:rsidR="00480FB1" w:rsidRPr="00275456">
        <w:rPr>
          <w:b/>
          <w:bCs/>
          <w:sz w:val="22"/>
          <w:szCs w:val="22"/>
          <w:lang w:val="sr-Latn-ME"/>
        </w:rPr>
        <w:tab/>
      </w:r>
      <w:r w:rsidRPr="00275456">
        <w:rPr>
          <w:b/>
          <w:bCs/>
          <w:sz w:val="22"/>
          <w:szCs w:val="22"/>
          <w:lang w:val="sr-Latn-ME"/>
        </w:rPr>
        <w:t>Farmakodinamski podaci</w:t>
      </w:r>
      <w:r w:rsidR="003A7059" w:rsidRPr="00275456">
        <w:rPr>
          <w:b/>
          <w:bCs/>
          <w:sz w:val="22"/>
          <w:szCs w:val="22"/>
          <w:lang w:val="sr-Latn-ME"/>
        </w:rPr>
        <w:t xml:space="preserve"> </w:t>
      </w:r>
    </w:p>
    <w:p w14:paraId="7E1B2411" w14:textId="77777777" w:rsidR="00F45F77" w:rsidRPr="00275456" w:rsidRDefault="00F45F77" w:rsidP="005C6DFE">
      <w:pPr>
        <w:tabs>
          <w:tab w:val="left" w:pos="540"/>
          <w:tab w:val="left" w:pos="569"/>
        </w:tabs>
        <w:jc w:val="both"/>
        <w:rPr>
          <w:b/>
          <w:bCs/>
          <w:sz w:val="22"/>
          <w:szCs w:val="22"/>
          <w:lang w:val="sr-Latn-ME"/>
        </w:rPr>
      </w:pPr>
    </w:p>
    <w:p w14:paraId="61835A01"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Farmakoterapijska grupa:</w:t>
      </w:r>
      <w:r w:rsidRPr="00275456">
        <w:rPr>
          <w:sz w:val="22"/>
          <w:szCs w:val="22"/>
          <w:lang w:val="sr-Latn-ME"/>
        </w:rPr>
        <w:t xml:space="preserve"> </w:t>
      </w:r>
      <w:r w:rsidRPr="00275456">
        <w:rPr>
          <w:bCs/>
          <w:sz w:val="22"/>
          <w:szCs w:val="22"/>
          <w:lang w:val="sr-Latn-ME"/>
        </w:rPr>
        <w:t>Imunosupresivi, inhibitori faktora nekroze tumora alfa (TNF α)</w:t>
      </w:r>
    </w:p>
    <w:p w14:paraId="0720D2BA" w14:textId="77777777" w:rsidR="00785722" w:rsidRPr="00275456" w:rsidRDefault="00785722" w:rsidP="005C6DFE">
      <w:pPr>
        <w:tabs>
          <w:tab w:val="left" w:pos="540"/>
          <w:tab w:val="left" w:pos="569"/>
        </w:tabs>
        <w:jc w:val="both"/>
        <w:rPr>
          <w:bCs/>
          <w:sz w:val="22"/>
          <w:szCs w:val="22"/>
          <w:lang w:val="sr-Latn-ME"/>
        </w:rPr>
      </w:pPr>
    </w:p>
    <w:p w14:paraId="1140CE70" w14:textId="3EFE01B5" w:rsidR="00785722" w:rsidRPr="00EA088A" w:rsidRDefault="00785722" w:rsidP="005C6DFE">
      <w:pPr>
        <w:tabs>
          <w:tab w:val="left" w:pos="540"/>
          <w:tab w:val="left" w:pos="569"/>
        </w:tabs>
        <w:jc w:val="both"/>
        <w:rPr>
          <w:bCs/>
          <w:sz w:val="22"/>
          <w:szCs w:val="22"/>
          <w:lang w:val="sr-Latn-ME"/>
        </w:rPr>
      </w:pPr>
      <w:r w:rsidRPr="00275456">
        <w:rPr>
          <w:bCs/>
          <w:sz w:val="22"/>
          <w:szCs w:val="22"/>
          <w:lang w:val="sr-Latn-ME"/>
        </w:rPr>
        <w:t>ATC kod:</w:t>
      </w:r>
      <w:r w:rsidRPr="005C6DFE">
        <w:rPr>
          <w:sz w:val="22"/>
          <w:szCs w:val="22"/>
          <w:lang w:val="sr-Latn-ME"/>
        </w:rPr>
        <w:t xml:space="preserve"> </w:t>
      </w:r>
      <w:r w:rsidRPr="00EA088A">
        <w:rPr>
          <w:bCs/>
          <w:sz w:val="22"/>
          <w:szCs w:val="22"/>
          <w:lang w:val="sr-Latn-ME"/>
        </w:rPr>
        <w:t>L04AB06</w:t>
      </w:r>
    </w:p>
    <w:p w14:paraId="31945492" w14:textId="77777777" w:rsidR="00785722" w:rsidRPr="00EA088A" w:rsidRDefault="00785722" w:rsidP="005C6DFE">
      <w:pPr>
        <w:tabs>
          <w:tab w:val="left" w:pos="540"/>
          <w:tab w:val="left" w:pos="569"/>
        </w:tabs>
        <w:jc w:val="both"/>
        <w:rPr>
          <w:bCs/>
          <w:sz w:val="22"/>
          <w:szCs w:val="22"/>
          <w:lang w:val="sr-Latn-ME"/>
        </w:rPr>
      </w:pPr>
    </w:p>
    <w:p w14:paraId="54B7E901" w14:textId="77777777" w:rsidR="00785722" w:rsidRPr="00C9046D" w:rsidRDefault="00785722" w:rsidP="005C6DFE">
      <w:pPr>
        <w:tabs>
          <w:tab w:val="left" w:pos="284"/>
        </w:tabs>
        <w:jc w:val="both"/>
        <w:rPr>
          <w:sz w:val="22"/>
          <w:szCs w:val="22"/>
          <w:u w:val="single"/>
          <w:lang w:val="sr-Latn-ME"/>
        </w:rPr>
      </w:pPr>
      <w:r w:rsidRPr="00C9046D">
        <w:rPr>
          <w:sz w:val="22"/>
          <w:szCs w:val="22"/>
          <w:u w:val="single"/>
          <w:lang w:val="sr-Latn-ME"/>
        </w:rPr>
        <w:t>Mehanizam dejstva</w:t>
      </w:r>
    </w:p>
    <w:p w14:paraId="2E729C10" w14:textId="77777777" w:rsidR="00785722" w:rsidRPr="00EA088A" w:rsidRDefault="00785722" w:rsidP="005C6DFE">
      <w:pPr>
        <w:tabs>
          <w:tab w:val="left" w:pos="284"/>
        </w:tabs>
        <w:jc w:val="both"/>
        <w:rPr>
          <w:sz w:val="22"/>
          <w:szCs w:val="22"/>
          <w:lang w:val="sr-Latn-ME"/>
        </w:rPr>
      </w:pPr>
      <w:r w:rsidRPr="00275456">
        <w:rPr>
          <w:sz w:val="22"/>
          <w:szCs w:val="22"/>
          <w:lang w:val="sr-Latn-ME"/>
        </w:rPr>
        <w:t>Golimumab je humano monoklonsko antitijelo koje s velikim afinitetom gradi stabilne komplekse kako s rastvorljivim tako i s transmembranskim bioaktivnim oblicima humanog faktora nekroze tumora alfa (TNF</w:t>
      </w:r>
      <w:r w:rsidRPr="00EA088A">
        <w:rPr>
          <w:sz w:val="22"/>
          <w:szCs w:val="22"/>
          <w:vertAlign w:val="subscript"/>
          <w:lang w:val="sr-Latn-ME"/>
        </w:rPr>
        <w:sym w:font="Symbol" w:char="F061"/>
      </w:r>
      <w:r w:rsidRPr="00EA088A">
        <w:rPr>
          <w:sz w:val="22"/>
          <w:szCs w:val="22"/>
          <w:lang w:val="sr-Latn-ME"/>
        </w:rPr>
        <w:t>), što sprječava vezivanje TNF</w:t>
      </w:r>
      <w:r w:rsidRPr="00EA088A">
        <w:rPr>
          <w:sz w:val="22"/>
          <w:szCs w:val="22"/>
          <w:vertAlign w:val="subscript"/>
          <w:lang w:val="sr-Latn-ME"/>
        </w:rPr>
        <w:sym w:font="Symbol" w:char="F061"/>
      </w:r>
      <w:r w:rsidRPr="00EA088A">
        <w:rPr>
          <w:sz w:val="22"/>
          <w:szCs w:val="22"/>
          <w:lang w:val="sr-Latn-ME"/>
        </w:rPr>
        <w:t xml:space="preserve">  za njegove receptore.</w:t>
      </w:r>
    </w:p>
    <w:p w14:paraId="7DD9DD56" w14:textId="256ED2AF" w:rsidR="00785722" w:rsidRDefault="00785722" w:rsidP="005C6DFE">
      <w:pPr>
        <w:tabs>
          <w:tab w:val="left" w:pos="284"/>
        </w:tabs>
        <w:jc w:val="both"/>
        <w:rPr>
          <w:sz w:val="22"/>
          <w:szCs w:val="22"/>
          <w:lang w:val="sr-Latn-ME"/>
        </w:rPr>
      </w:pPr>
    </w:p>
    <w:p w14:paraId="27953C99" w14:textId="1527B944" w:rsidR="00EA0ADE" w:rsidRDefault="00EA0ADE" w:rsidP="005C6DFE">
      <w:pPr>
        <w:tabs>
          <w:tab w:val="left" w:pos="284"/>
        </w:tabs>
        <w:jc w:val="both"/>
        <w:rPr>
          <w:sz w:val="22"/>
          <w:szCs w:val="22"/>
          <w:lang w:val="sr-Latn-ME"/>
        </w:rPr>
      </w:pPr>
    </w:p>
    <w:p w14:paraId="2FFB2791" w14:textId="77777777" w:rsidR="00EA0ADE" w:rsidRPr="00EA088A" w:rsidRDefault="00EA0ADE" w:rsidP="005C6DFE">
      <w:pPr>
        <w:tabs>
          <w:tab w:val="left" w:pos="284"/>
        </w:tabs>
        <w:jc w:val="both"/>
        <w:rPr>
          <w:sz w:val="22"/>
          <w:szCs w:val="22"/>
          <w:lang w:val="sr-Latn-ME"/>
        </w:rPr>
      </w:pPr>
    </w:p>
    <w:p w14:paraId="2A0D300B" w14:textId="77777777" w:rsidR="00785722" w:rsidRPr="00C9046D" w:rsidRDefault="00785722" w:rsidP="005C6DFE">
      <w:pPr>
        <w:tabs>
          <w:tab w:val="left" w:pos="284"/>
        </w:tabs>
        <w:jc w:val="both"/>
        <w:rPr>
          <w:sz w:val="22"/>
          <w:szCs w:val="22"/>
          <w:u w:val="single"/>
          <w:lang w:val="sr-Latn-ME"/>
        </w:rPr>
      </w:pPr>
      <w:r w:rsidRPr="00C9046D">
        <w:rPr>
          <w:sz w:val="22"/>
          <w:szCs w:val="22"/>
          <w:u w:val="single"/>
          <w:lang w:val="sr-Latn-ME"/>
        </w:rPr>
        <w:lastRenderedPageBreak/>
        <w:t>Farmakodinamički efekti</w:t>
      </w:r>
    </w:p>
    <w:p w14:paraId="56F8DCF4" w14:textId="77777777" w:rsidR="00785722" w:rsidRPr="00275456" w:rsidRDefault="00785722" w:rsidP="005C6DFE">
      <w:pPr>
        <w:tabs>
          <w:tab w:val="left" w:pos="284"/>
        </w:tabs>
        <w:jc w:val="both"/>
        <w:rPr>
          <w:sz w:val="22"/>
          <w:szCs w:val="22"/>
          <w:lang w:val="sr-Latn-ME"/>
        </w:rPr>
      </w:pPr>
      <w:r w:rsidRPr="00275456">
        <w:rPr>
          <w:sz w:val="22"/>
          <w:szCs w:val="22"/>
          <w:lang w:val="sr-Latn-ME"/>
        </w:rPr>
        <w:t>Istraživanja su pokazala da vezivanje humanog TNF-a golimumabom neutrališe ekspresiju adhezivnih molekula E-selektina, adhezivne molekule ćelija krvnih sudova (VCAM)</w:t>
      </w:r>
      <w:r w:rsidRPr="00275456">
        <w:rPr>
          <w:sz w:val="22"/>
          <w:szCs w:val="22"/>
          <w:lang w:val="sr-Latn-ME"/>
        </w:rPr>
        <w:noBreakHyphen/>
        <w:t>1 i međućelijske adhezivne molekule (ICAM)</w:t>
      </w:r>
      <w:r w:rsidRPr="00275456">
        <w:rPr>
          <w:sz w:val="22"/>
          <w:szCs w:val="22"/>
          <w:lang w:val="sr-Latn-ME"/>
        </w:rPr>
        <w:noBreakHyphen/>
        <w:t>1 na ćelijskoj površini ljudskih endotelnih ćelija, koju izaziva TNF</w:t>
      </w:r>
      <w:r w:rsidRPr="00275456">
        <w:rPr>
          <w:sz w:val="22"/>
          <w:szCs w:val="22"/>
          <w:lang w:val="sr-Latn-ME"/>
        </w:rPr>
        <w:noBreakHyphen/>
        <w:t>α. Golimumab takođe</w:t>
      </w:r>
      <w:r w:rsidRPr="00275456">
        <w:rPr>
          <w:i/>
          <w:iCs/>
          <w:sz w:val="22"/>
          <w:szCs w:val="22"/>
          <w:lang w:val="sr-Latn-ME"/>
        </w:rPr>
        <w:t xml:space="preserve"> in vitro</w:t>
      </w:r>
      <w:r w:rsidRPr="00275456">
        <w:rPr>
          <w:sz w:val="22"/>
          <w:szCs w:val="22"/>
          <w:lang w:val="sr-Latn-ME"/>
        </w:rPr>
        <w:t xml:space="preserve"> inhibiše TNF-om podstaknuto izlučivanje interleukina (IL)</w:t>
      </w:r>
      <w:r w:rsidRPr="00275456">
        <w:rPr>
          <w:sz w:val="22"/>
          <w:szCs w:val="22"/>
          <w:lang w:val="sr-Latn-ME"/>
        </w:rPr>
        <w:noBreakHyphen/>
        <w:t>6, IL</w:t>
      </w:r>
      <w:r w:rsidRPr="00275456">
        <w:rPr>
          <w:sz w:val="22"/>
          <w:szCs w:val="22"/>
          <w:lang w:val="sr-Latn-ME"/>
        </w:rPr>
        <w:noBreakHyphen/>
        <w:t>8 kao i faktora stimulacije kolonije granulocita i makrofaga (GM</w:t>
      </w:r>
      <w:r w:rsidRPr="00275456">
        <w:rPr>
          <w:sz w:val="22"/>
          <w:szCs w:val="22"/>
          <w:lang w:val="sr-Latn-ME"/>
        </w:rPr>
        <w:noBreakHyphen/>
        <w:t>CSF) iz ljudskih endotelnih ćelija.</w:t>
      </w:r>
    </w:p>
    <w:p w14:paraId="24415702" w14:textId="77777777" w:rsidR="00785722" w:rsidRPr="00275456" w:rsidRDefault="00785722" w:rsidP="005C6DFE">
      <w:pPr>
        <w:tabs>
          <w:tab w:val="left" w:pos="284"/>
        </w:tabs>
        <w:jc w:val="both"/>
        <w:rPr>
          <w:sz w:val="22"/>
          <w:szCs w:val="22"/>
          <w:lang w:val="sr-Latn-ME"/>
        </w:rPr>
      </w:pPr>
    </w:p>
    <w:p w14:paraId="79B39D72" w14:textId="77777777" w:rsidR="00785722" w:rsidRPr="00EA088A" w:rsidRDefault="00785722" w:rsidP="005C6DFE">
      <w:pPr>
        <w:tabs>
          <w:tab w:val="left" w:pos="284"/>
        </w:tabs>
        <w:jc w:val="both"/>
        <w:rPr>
          <w:sz w:val="22"/>
          <w:szCs w:val="22"/>
          <w:lang w:val="sr-Latn-ME"/>
        </w:rPr>
      </w:pPr>
      <w:r w:rsidRPr="00275456">
        <w:rPr>
          <w:sz w:val="22"/>
          <w:szCs w:val="22"/>
          <w:lang w:val="sr-Latn-ME"/>
        </w:rPr>
        <w:t>Zabilježeno je sniženje nivoa C reaktivnog proteina (CRP) u odnosu na grupe koje su primale placebo, a liječenje lijekom Simponi dovelo je do značajnog smanjenja serumskih nivoa IL</w:t>
      </w:r>
      <w:r w:rsidRPr="00275456">
        <w:rPr>
          <w:sz w:val="22"/>
          <w:szCs w:val="22"/>
          <w:lang w:val="sr-Latn-ME"/>
        </w:rPr>
        <w:noBreakHyphen/>
        <w:t>6, ICAM</w:t>
      </w:r>
      <w:r w:rsidRPr="00275456">
        <w:rPr>
          <w:sz w:val="22"/>
          <w:szCs w:val="22"/>
          <w:lang w:val="sr-Latn-ME"/>
        </w:rPr>
        <w:noBreakHyphen/>
        <w:t>1, matriksne metaloproteinaze (MMP)</w:t>
      </w:r>
      <w:r w:rsidRPr="00275456">
        <w:rPr>
          <w:sz w:val="22"/>
          <w:szCs w:val="22"/>
          <w:lang w:val="sr-Latn-ME"/>
        </w:rPr>
        <w:noBreakHyphen/>
        <w:t xml:space="preserve">3 i </w:t>
      </w:r>
      <w:r w:rsidRPr="00275456">
        <w:rPr>
          <w:bCs/>
          <w:sz w:val="22"/>
          <w:szCs w:val="22"/>
          <w:lang w:val="sr-Latn-ME"/>
        </w:rPr>
        <w:t>faktora rasta vaskularnog endotela</w:t>
      </w:r>
      <w:r w:rsidRPr="00275456">
        <w:rPr>
          <w:sz w:val="22"/>
          <w:szCs w:val="22"/>
          <w:lang w:val="sr-Latn-ME"/>
        </w:rPr>
        <w:t xml:space="preserve"> (VEGF) u odnosu na početne vrijednosti, u poređenju sa kontrolnom grupom. Zatim, nivoi TNF-</w:t>
      </w:r>
      <w:r w:rsidRPr="00EA088A">
        <w:rPr>
          <w:sz w:val="22"/>
          <w:szCs w:val="22"/>
          <w:lang w:val="sr-Latn-ME"/>
        </w:rPr>
        <w:sym w:font="Symbol" w:char="F061"/>
      </w:r>
      <w:r w:rsidRPr="00EA088A">
        <w:rPr>
          <w:sz w:val="22"/>
          <w:szCs w:val="22"/>
          <w:lang w:val="sr-Latn-ME"/>
        </w:rPr>
        <w:t xml:space="preserve"> smanjeni su kod pacijenata s reumatoidnim artritisom i ankilozirajućim spondilitisom, a nivoi IL</w:t>
      </w:r>
      <w:r w:rsidRPr="00EA088A">
        <w:rPr>
          <w:sz w:val="22"/>
          <w:szCs w:val="22"/>
          <w:lang w:val="sr-Latn-ME"/>
        </w:rPr>
        <w:noBreakHyphen/>
        <w:t xml:space="preserve">8 kod pacijenata s psorijatičnim artritisom. Ove su promjene zabilježene na prvoj kontroli (u 4. nedjelji) nakon početne primjene lijeka Simponi i uopšteno gledajući održale su se do 24. nedjelje.  </w:t>
      </w:r>
    </w:p>
    <w:p w14:paraId="7AAC27AE" w14:textId="77777777" w:rsidR="00785722" w:rsidRPr="00EA088A" w:rsidRDefault="00785722" w:rsidP="005C6DFE">
      <w:pPr>
        <w:tabs>
          <w:tab w:val="left" w:pos="284"/>
        </w:tabs>
        <w:jc w:val="both"/>
        <w:rPr>
          <w:sz w:val="22"/>
          <w:szCs w:val="22"/>
          <w:lang w:val="sr-Latn-ME"/>
        </w:rPr>
      </w:pPr>
    </w:p>
    <w:p w14:paraId="397B356C" w14:textId="77777777" w:rsidR="00785722" w:rsidRPr="00C9046D" w:rsidRDefault="00785722" w:rsidP="005C6DFE">
      <w:pPr>
        <w:numPr>
          <w:ilvl w:val="12"/>
          <w:numId w:val="0"/>
        </w:numPr>
        <w:tabs>
          <w:tab w:val="left" w:pos="284"/>
        </w:tabs>
        <w:ind w:right="-2"/>
        <w:jc w:val="both"/>
        <w:rPr>
          <w:iCs/>
          <w:sz w:val="22"/>
          <w:szCs w:val="22"/>
          <w:u w:val="single"/>
          <w:lang w:val="sr-Latn-ME"/>
        </w:rPr>
      </w:pPr>
      <w:r w:rsidRPr="00C9046D">
        <w:rPr>
          <w:iCs/>
          <w:sz w:val="22"/>
          <w:szCs w:val="22"/>
          <w:u w:val="single"/>
          <w:lang w:val="sr-Latn-ME"/>
        </w:rPr>
        <w:t>Klinička efikasnost</w:t>
      </w:r>
    </w:p>
    <w:p w14:paraId="46BD49C6" w14:textId="77777777" w:rsidR="00785722" w:rsidRPr="00275456" w:rsidRDefault="00785722" w:rsidP="005C6DFE">
      <w:pPr>
        <w:tabs>
          <w:tab w:val="left" w:pos="284"/>
        </w:tabs>
        <w:jc w:val="both"/>
        <w:rPr>
          <w:sz w:val="22"/>
          <w:szCs w:val="22"/>
          <w:u w:val="single"/>
          <w:lang w:val="sr-Latn-ME"/>
        </w:rPr>
      </w:pPr>
    </w:p>
    <w:p w14:paraId="66C40D17" w14:textId="77777777" w:rsidR="00785722" w:rsidRPr="00275456" w:rsidRDefault="00785722" w:rsidP="005C6DFE">
      <w:pPr>
        <w:tabs>
          <w:tab w:val="left" w:pos="284"/>
        </w:tabs>
        <w:jc w:val="both"/>
        <w:rPr>
          <w:i/>
          <w:iCs/>
          <w:sz w:val="22"/>
          <w:szCs w:val="22"/>
          <w:lang w:val="sr-Latn-ME"/>
        </w:rPr>
      </w:pPr>
      <w:r w:rsidRPr="00275456">
        <w:rPr>
          <w:i/>
          <w:iCs/>
          <w:sz w:val="22"/>
          <w:szCs w:val="22"/>
          <w:lang w:val="sr-Latn-ME"/>
        </w:rPr>
        <w:t>Reumatoidni artritis</w:t>
      </w:r>
    </w:p>
    <w:p w14:paraId="0A37153C" w14:textId="77777777" w:rsidR="00785722" w:rsidRPr="00EA088A"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 xml:space="preserve">Efikasnost lijeka Simponi dokazana je u tri multicentrična, randomizovana, dvostruko slijepa, placebom kontrolisana ispitivanja s više od 1500 pacijenata u dobi od </w:t>
      </w:r>
      <w:r w:rsidRPr="00EA088A">
        <w:rPr>
          <w:sz w:val="22"/>
          <w:szCs w:val="22"/>
          <w:lang w:val="sr-Latn-ME"/>
        </w:rPr>
        <w:sym w:font="Symbol" w:char="F0B3"/>
      </w:r>
      <w:r w:rsidRPr="00EA088A">
        <w:rPr>
          <w:sz w:val="22"/>
          <w:szCs w:val="22"/>
          <w:lang w:val="sr-Latn-ME"/>
        </w:rPr>
        <w:t xml:space="preserve"> 18 godina, kojima je dijagnostikovan umjereno do vrlo aktivan reumatoidni artritis prema kriterijumima </w:t>
      </w:r>
      <w:r w:rsidRPr="00EA088A">
        <w:rPr>
          <w:i/>
          <w:iCs/>
          <w:sz w:val="22"/>
          <w:szCs w:val="22"/>
          <w:lang w:val="sr-Latn-ME"/>
        </w:rPr>
        <w:t>American College of Rheumatology</w:t>
      </w:r>
      <w:r w:rsidRPr="00EA088A">
        <w:rPr>
          <w:sz w:val="22"/>
          <w:szCs w:val="22"/>
          <w:lang w:val="sr-Latn-ME"/>
        </w:rPr>
        <w:t xml:space="preserve"> (ACR) najmanje 3 mjeseca prije odabira za ispitivanje. Ovi pacijenti su imali najmanje 4 otečena i 4 bolna zgloba. Simponi ili placebo primijenjeni su subkutano svake 4 nedjelje. </w:t>
      </w:r>
    </w:p>
    <w:p w14:paraId="7E364528" w14:textId="77777777" w:rsidR="00785722" w:rsidRPr="00C9046D" w:rsidRDefault="00785722" w:rsidP="005C6DFE">
      <w:pPr>
        <w:tabs>
          <w:tab w:val="left" w:pos="284"/>
        </w:tabs>
        <w:jc w:val="both"/>
        <w:rPr>
          <w:sz w:val="22"/>
          <w:szCs w:val="22"/>
          <w:lang w:val="sr-Latn-ME"/>
        </w:rPr>
      </w:pPr>
    </w:p>
    <w:p w14:paraId="03080FBD" w14:textId="3474C237" w:rsidR="00785722" w:rsidRPr="00275456" w:rsidRDefault="00785722" w:rsidP="005C6DFE">
      <w:pPr>
        <w:tabs>
          <w:tab w:val="left" w:pos="284"/>
        </w:tabs>
        <w:jc w:val="both"/>
        <w:rPr>
          <w:sz w:val="22"/>
          <w:szCs w:val="22"/>
          <w:lang w:val="sr-Latn-ME"/>
        </w:rPr>
      </w:pPr>
      <w:r w:rsidRPr="00275456">
        <w:rPr>
          <w:sz w:val="22"/>
          <w:szCs w:val="22"/>
          <w:lang w:val="sr-Latn-ME"/>
        </w:rPr>
        <w:t>U ispitivanju GO</w:t>
      </w:r>
      <w:r w:rsidRPr="00275456">
        <w:rPr>
          <w:sz w:val="22"/>
          <w:szCs w:val="22"/>
          <w:lang w:val="sr-Latn-ME"/>
        </w:rPr>
        <w:noBreakHyphen/>
        <w:t xml:space="preserve">FORWARD ocijenjeno je 444 pacijenata s aktivnim reumatoidnim artritisom uprkos stabilnoj dozi metotreksata (MTX) od najmanje 15 mg nedjeljno, koji prethodno nisu liječeni TNF blokatorom. </w:t>
      </w:r>
      <w:r w:rsidR="00511AE6" w:rsidRPr="00275456">
        <w:rPr>
          <w:sz w:val="22"/>
          <w:szCs w:val="22"/>
          <w:lang w:val="sr-Latn-ME"/>
        </w:rPr>
        <w:t xml:space="preserve">Pacijenti </w:t>
      </w:r>
      <w:r w:rsidRPr="00275456">
        <w:rPr>
          <w:sz w:val="22"/>
          <w:szCs w:val="22"/>
          <w:lang w:val="sr-Latn-ME"/>
        </w:rPr>
        <w:t>su randomizovani u grupe koje su primale placebo i MTX, Simponi 50 mg i MTX, Simponi 100 mg i MTX ili Simponi 100 mg i placebo. Pacijenti koji su primali placebo i MTX prebačeni na terapiju lijekom Simponi 50 mg i MTX nakon 24. nedjelje. U 52. nedjelji pacijenti su uključeni u  otvoren, dugotrajan nastavak ispitivanja.</w:t>
      </w:r>
    </w:p>
    <w:p w14:paraId="6750710B" w14:textId="77777777" w:rsidR="00785722" w:rsidRPr="00275456" w:rsidRDefault="00785722" w:rsidP="005C6DFE">
      <w:pPr>
        <w:tabs>
          <w:tab w:val="left" w:pos="284"/>
        </w:tabs>
        <w:jc w:val="both"/>
        <w:rPr>
          <w:sz w:val="22"/>
          <w:szCs w:val="22"/>
          <w:lang w:val="sr-Latn-ME"/>
        </w:rPr>
      </w:pPr>
    </w:p>
    <w:p w14:paraId="140D935C"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U ispitivanju GO</w:t>
      </w:r>
      <w:r w:rsidRPr="00275456">
        <w:rPr>
          <w:sz w:val="22"/>
          <w:szCs w:val="22"/>
          <w:lang w:val="sr-Latn-ME"/>
        </w:rPr>
        <w:noBreakHyphen/>
        <w:t>AFTER ocijenjeno je 445 pacijenata koji su prethodno liječeni jednim ili više TNF blokatora - adalimumabom, etanerceptom ili infliksimabom. Pacijenti su randomizovani u grupe koje su primale placebo, Simponi 50 mg ili Simponi 100 mg. Pacijenti su tokom ispitivanja mogli nastaviti istovremenu DMARD terapiju metotreksatom (MTX), sulfasalazinom (SSZ), i/ili hidroksihlorohinom (HCQ). Kao razlog prekida prethodne terapije TNF blokatorima navedeni su nedovoljna efikasnost (58%),  nepodnošenje lijeka (13%) i/ili razlozi koji se ne odnose na bezbjednost ili efikasnost (29%, uglavnom finansijski razlozi).</w:t>
      </w:r>
    </w:p>
    <w:p w14:paraId="67DAEB2A" w14:textId="77777777" w:rsidR="00785722" w:rsidRPr="00275456" w:rsidRDefault="00785722" w:rsidP="005C6DFE">
      <w:pPr>
        <w:tabs>
          <w:tab w:val="left" w:pos="284"/>
        </w:tabs>
        <w:jc w:val="both"/>
        <w:rPr>
          <w:sz w:val="22"/>
          <w:szCs w:val="22"/>
          <w:u w:val="single"/>
          <w:lang w:val="sr-Latn-ME"/>
        </w:rPr>
      </w:pPr>
    </w:p>
    <w:p w14:paraId="547C93AE" w14:textId="228A4D2E" w:rsidR="00785722" w:rsidRPr="00275456" w:rsidRDefault="00785722" w:rsidP="005C6DFE">
      <w:pPr>
        <w:tabs>
          <w:tab w:val="left" w:pos="284"/>
        </w:tabs>
        <w:jc w:val="both"/>
        <w:rPr>
          <w:sz w:val="22"/>
          <w:szCs w:val="22"/>
          <w:lang w:val="sr-Latn-ME"/>
        </w:rPr>
      </w:pPr>
      <w:r w:rsidRPr="00275456">
        <w:rPr>
          <w:sz w:val="22"/>
          <w:szCs w:val="22"/>
          <w:lang w:val="sr-Latn-ME"/>
        </w:rPr>
        <w:t>U ispitivanju GO</w:t>
      </w:r>
      <w:r w:rsidRPr="00275456">
        <w:rPr>
          <w:sz w:val="22"/>
          <w:szCs w:val="22"/>
          <w:lang w:val="sr-Latn-ME"/>
        </w:rPr>
        <w:noBreakHyphen/>
        <w:t>BEFORE ocijenjeno je 637 pacijenata s aktivnim reumatoidnim artritisom koji prethodno nisu primali MTX niti su prethodno liječeni TNF blokatorima. Pacijenti su randomizovani u grupe koje su primale placebo i MTX, Simponi 50 mg i MTX, Simponi</w:t>
      </w:r>
      <w:r w:rsidRPr="00275456">
        <w:rPr>
          <w:sz w:val="22"/>
          <w:szCs w:val="22"/>
          <w:vertAlign w:val="superscript"/>
          <w:lang w:val="sr-Latn-ME"/>
        </w:rPr>
        <w:t>®</w:t>
      </w:r>
      <w:r w:rsidRPr="00275456">
        <w:rPr>
          <w:sz w:val="22"/>
          <w:szCs w:val="22"/>
          <w:lang w:val="sr-Latn-ME"/>
        </w:rPr>
        <w:t>100 mg i MTX ili Simponi 100 mg i placebo. U 52. nedjelji pacijenti su uključeni  u  otvoren, dugotrajan, nastavak ispitivanja u kojem su pacijenti, koji su primali placebo i MTX i koji su imali  najmanje 1 bolan ili otečen zglob, prebačeni na terapiju lijekom Simponi 50 mg i MTX.</w:t>
      </w:r>
    </w:p>
    <w:p w14:paraId="4A3A69DB" w14:textId="77777777" w:rsidR="00785722" w:rsidRPr="00275456" w:rsidRDefault="00785722" w:rsidP="005C6DFE">
      <w:pPr>
        <w:tabs>
          <w:tab w:val="left" w:pos="284"/>
        </w:tabs>
        <w:jc w:val="both"/>
        <w:rPr>
          <w:sz w:val="22"/>
          <w:szCs w:val="22"/>
          <w:u w:val="single"/>
          <w:lang w:val="sr-Latn-ME"/>
        </w:rPr>
      </w:pPr>
    </w:p>
    <w:p w14:paraId="3DFBC2C3" w14:textId="01C9FD06"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U ispitivanju GO</w:t>
      </w:r>
      <w:r w:rsidRPr="00275456">
        <w:rPr>
          <w:sz w:val="22"/>
          <w:szCs w:val="22"/>
          <w:lang w:val="sr-Latn-ME"/>
        </w:rPr>
        <w:noBreakHyphen/>
        <w:t xml:space="preserve">FORWARD jedan od dva primarna </w:t>
      </w:r>
      <w:r w:rsidR="003C685D" w:rsidRPr="00275456">
        <w:rPr>
          <w:sz w:val="22"/>
          <w:szCs w:val="22"/>
          <w:lang w:val="sr-Latn-ME"/>
        </w:rPr>
        <w:t xml:space="preserve">parametra praćenja efikasnosti </w:t>
      </w:r>
      <w:r w:rsidRPr="00275456">
        <w:rPr>
          <w:sz w:val="22"/>
          <w:szCs w:val="22"/>
          <w:lang w:val="sr-Latn-ME"/>
        </w:rPr>
        <w:t>bio je procenat pacijenata koji su postigli  odgovor ACR 20 u 14. nedjelji i poboljšanje u odnosu na početne rezultate u Upitniku procjene zdravlja (</w:t>
      </w:r>
      <w:r w:rsidRPr="00275456">
        <w:rPr>
          <w:i/>
          <w:iCs/>
          <w:sz w:val="22"/>
          <w:szCs w:val="22"/>
          <w:lang w:val="sr-Latn-ME"/>
        </w:rPr>
        <w:t>Health Assessment Questionnaire</w:t>
      </w:r>
      <w:r w:rsidRPr="00275456">
        <w:rPr>
          <w:sz w:val="22"/>
          <w:szCs w:val="22"/>
          <w:lang w:val="sr-Latn-ME"/>
        </w:rPr>
        <w:t xml:space="preserve"> - HAQ) u 24. nedjelji. U ispitivanju GO</w:t>
      </w:r>
      <w:r w:rsidRPr="00275456">
        <w:rPr>
          <w:sz w:val="22"/>
          <w:szCs w:val="22"/>
          <w:lang w:val="sr-Latn-ME"/>
        </w:rPr>
        <w:noBreakHyphen/>
        <w:t xml:space="preserve">AFTER primarni </w:t>
      </w:r>
      <w:r w:rsidR="003C685D" w:rsidRPr="00275456">
        <w:rPr>
          <w:sz w:val="22"/>
          <w:szCs w:val="22"/>
          <w:lang w:val="sr-Latn-ME"/>
        </w:rPr>
        <w:t xml:space="preserve">parametar praćenja efikasnosti </w:t>
      </w:r>
      <w:r w:rsidRPr="00275456">
        <w:rPr>
          <w:sz w:val="22"/>
          <w:szCs w:val="22"/>
          <w:lang w:val="sr-Latn-ME"/>
        </w:rPr>
        <w:t>bio je procenat pacijenata koji su postigli  odgovor ACR 20 u 14. nedjelji. U ispitivanju GO</w:t>
      </w:r>
      <w:r w:rsidRPr="00275456">
        <w:rPr>
          <w:sz w:val="22"/>
          <w:szCs w:val="22"/>
          <w:lang w:val="sr-Latn-ME"/>
        </w:rPr>
        <w:noBreakHyphen/>
        <w:t xml:space="preserve">BEFORE  jedan od dva primarna </w:t>
      </w:r>
      <w:r w:rsidR="003C685D" w:rsidRPr="00275456">
        <w:rPr>
          <w:sz w:val="22"/>
          <w:szCs w:val="22"/>
          <w:lang w:val="sr-Latn-ME"/>
        </w:rPr>
        <w:t xml:space="preserve">parametra praćenja efikasnosti </w:t>
      </w:r>
      <w:r w:rsidRPr="00275456">
        <w:rPr>
          <w:sz w:val="22"/>
          <w:szCs w:val="22"/>
          <w:lang w:val="sr-Latn-ME"/>
        </w:rPr>
        <w:t>bio je procenat pacijenata koji su postigli  odgovor ACR 50 u 24. nedjelji i promjenu u odnosu na početni rezultat na</w:t>
      </w:r>
      <w:r w:rsidRPr="00275456">
        <w:rPr>
          <w:i/>
          <w:iCs/>
          <w:sz w:val="22"/>
          <w:szCs w:val="22"/>
          <w:lang w:val="sr-Latn-ME"/>
        </w:rPr>
        <w:t xml:space="preserve"> Sharp</w:t>
      </w:r>
      <w:r w:rsidRPr="00275456">
        <w:rPr>
          <w:sz w:val="22"/>
          <w:szCs w:val="22"/>
          <w:lang w:val="sr-Latn-ME"/>
        </w:rPr>
        <w:t>-ovoj skali modifikovanoj po</w:t>
      </w:r>
      <w:r w:rsidRPr="00275456">
        <w:rPr>
          <w:i/>
          <w:iCs/>
          <w:sz w:val="22"/>
          <w:szCs w:val="22"/>
          <w:lang w:val="sr-Latn-ME"/>
        </w:rPr>
        <w:t xml:space="preserve"> van der Heijde</w:t>
      </w:r>
      <w:r w:rsidRPr="00275456">
        <w:rPr>
          <w:sz w:val="22"/>
          <w:szCs w:val="22"/>
          <w:lang w:val="sr-Latn-ME"/>
        </w:rPr>
        <w:t xml:space="preserve">-u (vdH-S) u 52. nedjelji. Uz primarne </w:t>
      </w:r>
      <w:r w:rsidR="003C685D" w:rsidRPr="00275456">
        <w:rPr>
          <w:sz w:val="22"/>
          <w:szCs w:val="22"/>
          <w:lang w:val="sr-Latn-ME"/>
        </w:rPr>
        <w:t>parametre praćenja efikasnosti</w:t>
      </w:r>
      <w:r w:rsidRPr="00275456">
        <w:rPr>
          <w:sz w:val="22"/>
          <w:szCs w:val="22"/>
          <w:lang w:val="sr-Latn-ME"/>
        </w:rPr>
        <w:t xml:space="preserve">, obavljene su i dodatne procjene uticaja liječenja lijekom Simponi na znakove i simptome artritisa, radiografskog odgovora, fizičku funkciju i zdravstveni aspekt kvaliteta života. </w:t>
      </w:r>
    </w:p>
    <w:p w14:paraId="7E6B8243" w14:textId="77777777" w:rsidR="00785722" w:rsidRPr="00275456" w:rsidRDefault="00785722" w:rsidP="005C6DFE">
      <w:pPr>
        <w:tabs>
          <w:tab w:val="left" w:pos="284"/>
        </w:tabs>
        <w:jc w:val="both"/>
        <w:rPr>
          <w:sz w:val="22"/>
          <w:szCs w:val="22"/>
          <w:lang w:val="sr-Latn-ME"/>
        </w:rPr>
      </w:pPr>
    </w:p>
    <w:p w14:paraId="7D7132DB" w14:textId="497945A7" w:rsidR="00785722" w:rsidRPr="00275456" w:rsidRDefault="00785722" w:rsidP="005C6DFE">
      <w:pPr>
        <w:tabs>
          <w:tab w:val="left" w:pos="284"/>
        </w:tabs>
        <w:jc w:val="both"/>
        <w:rPr>
          <w:sz w:val="22"/>
          <w:szCs w:val="22"/>
          <w:lang w:val="sr-Latn-ME"/>
        </w:rPr>
      </w:pPr>
      <w:r w:rsidRPr="00275456">
        <w:rPr>
          <w:sz w:val="22"/>
          <w:szCs w:val="22"/>
          <w:lang w:val="sr-Latn-ME"/>
        </w:rPr>
        <w:lastRenderedPageBreak/>
        <w:t>Uopšte gledano nisu zabilježene klinički značajne razlike u mjerilima efikasnosti između režima doziranja lijeka Simponi od 50 mg i 100 mg, uz istovremeno primijenjeni MTX do kraja 104. nedelje u GO-FORWARD i GO-BEFORE ispitivanju kao i do kraja 24. nedelje u GO-AFTER ispitivanju. U svakoj od studija koje su ispitivale RA, prema dizajnu studije, pacijenti uključeni u dugoročnu ekstenziju su mogli biti prebačeni s</w:t>
      </w:r>
      <w:r w:rsidR="00597BCD" w:rsidRPr="00275456">
        <w:rPr>
          <w:sz w:val="22"/>
          <w:szCs w:val="22"/>
          <w:lang w:val="sr-Latn-ME"/>
        </w:rPr>
        <w:t xml:space="preserve"> </w:t>
      </w:r>
      <w:r w:rsidRPr="00275456">
        <w:rPr>
          <w:sz w:val="22"/>
          <w:szCs w:val="22"/>
          <w:lang w:val="sr-Latn-ME"/>
        </w:rPr>
        <w:t>a doze 50 mg na dozu 100 mg lijeka Simponi na osnovu odluke studijskog ljekara.</w:t>
      </w:r>
    </w:p>
    <w:p w14:paraId="7AB8F8C3" w14:textId="77777777" w:rsidR="00785722" w:rsidRPr="00275456" w:rsidRDefault="00785722" w:rsidP="005C6DFE">
      <w:pPr>
        <w:tabs>
          <w:tab w:val="left" w:pos="284"/>
        </w:tabs>
        <w:autoSpaceDE w:val="0"/>
        <w:autoSpaceDN w:val="0"/>
        <w:adjustRightInd w:val="0"/>
        <w:jc w:val="both"/>
        <w:rPr>
          <w:sz w:val="22"/>
          <w:szCs w:val="22"/>
          <w:lang w:val="sr-Latn-ME"/>
        </w:rPr>
      </w:pPr>
    </w:p>
    <w:p w14:paraId="252C3EC3" w14:textId="77777777" w:rsidR="00785722" w:rsidRPr="00275456" w:rsidRDefault="00785722" w:rsidP="005C6DFE">
      <w:pPr>
        <w:tabs>
          <w:tab w:val="left" w:pos="284"/>
        </w:tabs>
        <w:autoSpaceDE w:val="0"/>
        <w:autoSpaceDN w:val="0"/>
        <w:adjustRightInd w:val="0"/>
        <w:jc w:val="both"/>
        <w:rPr>
          <w:i/>
          <w:iCs/>
          <w:sz w:val="22"/>
          <w:szCs w:val="22"/>
          <w:u w:val="single"/>
          <w:lang w:val="sr-Latn-ME"/>
        </w:rPr>
      </w:pPr>
      <w:r w:rsidRPr="00275456">
        <w:rPr>
          <w:i/>
          <w:iCs/>
          <w:sz w:val="22"/>
          <w:szCs w:val="22"/>
          <w:u w:val="single"/>
          <w:lang w:val="sr-Latn-ME"/>
        </w:rPr>
        <w:t>Znaci i simptomi</w:t>
      </w:r>
    </w:p>
    <w:p w14:paraId="2D70844D"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Ključni rezultati prema ACR kriterijumima za dozu od 50 mg u 14., 24., i 52. nedjelji za ispitivanja GO</w:t>
      </w:r>
      <w:r w:rsidRPr="00275456">
        <w:rPr>
          <w:sz w:val="22"/>
          <w:szCs w:val="22"/>
          <w:lang w:val="sr-Latn-ME"/>
        </w:rPr>
        <w:noBreakHyphen/>
        <w:t xml:space="preserve">FORWARD,  GO-AFTER i  GO-BEFORE prikazani su Tabeli 2 i opisani u nastavku. Odgovori na liječenje primijećeni su već pri prvoj kontroli (u 4. nedjelji) nakon početne primjene lijeka Simponi. </w:t>
      </w:r>
    </w:p>
    <w:p w14:paraId="5090400F" w14:textId="77777777" w:rsidR="00785722" w:rsidRPr="00275456" w:rsidRDefault="00785722" w:rsidP="005C6DFE">
      <w:pPr>
        <w:tabs>
          <w:tab w:val="left" w:pos="284"/>
        </w:tabs>
        <w:autoSpaceDE w:val="0"/>
        <w:autoSpaceDN w:val="0"/>
        <w:adjustRightInd w:val="0"/>
        <w:jc w:val="both"/>
        <w:rPr>
          <w:sz w:val="22"/>
          <w:szCs w:val="22"/>
          <w:lang w:val="sr-Latn-ME"/>
        </w:rPr>
      </w:pPr>
    </w:p>
    <w:p w14:paraId="48F6613B" w14:textId="6CEE8446"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 xml:space="preserve">U  ispitivanju GO-FORWARD od 89 ispitanika koji su randomizovani u grupu koja je primala Simponi 50 mg i MTX, njih 48 su još uvijek primali ovu terapiju u 104. nedjelji. Od ovih pacijenata, </w:t>
      </w:r>
      <w:r w:rsidR="00597BCD" w:rsidRPr="00275456">
        <w:rPr>
          <w:sz w:val="22"/>
          <w:szCs w:val="22"/>
          <w:lang w:val="sr-Latn-ME"/>
        </w:rPr>
        <w:t>u 104. ned</w:t>
      </w:r>
      <w:r w:rsidR="008D646E" w:rsidRPr="00275456">
        <w:rPr>
          <w:sz w:val="22"/>
          <w:szCs w:val="22"/>
          <w:lang w:val="sr-Latn-ME"/>
        </w:rPr>
        <w:t>j</w:t>
      </w:r>
      <w:r w:rsidR="00597BCD" w:rsidRPr="00275456">
        <w:rPr>
          <w:sz w:val="22"/>
          <w:szCs w:val="22"/>
          <w:lang w:val="sr-Latn-ME"/>
        </w:rPr>
        <w:t>elji 40 pacijenata imalo odgovor ACR 20, 33 je imalo odgovor ACR 50 i 24 je imalo odgovor ACR 70</w:t>
      </w:r>
      <w:r w:rsidRPr="00275456">
        <w:rPr>
          <w:sz w:val="22"/>
          <w:szCs w:val="22"/>
          <w:lang w:val="sr-Latn-ME"/>
        </w:rPr>
        <w:t xml:space="preserve">. Među pacijentima koji su ostali uključeni u studiju i liječeni lijekom Simponi, slične stope odgovora ACR </w:t>
      </w:r>
      <w:r w:rsidR="00597BCD" w:rsidRPr="00275456">
        <w:rPr>
          <w:sz w:val="22"/>
          <w:szCs w:val="22"/>
          <w:lang w:val="sr-Latn-ME"/>
        </w:rPr>
        <w:t xml:space="preserve">20/50/70 </w:t>
      </w:r>
      <w:r w:rsidRPr="00275456">
        <w:rPr>
          <w:sz w:val="22"/>
          <w:szCs w:val="22"/>
          <w:lang w:val="sr-Latn-ME"/>
        </w:rPr>
        <w:t>su zabilježene od 104. nedelje do kraja 256. nedjelje.</w:t>
      </w:r>
    </w:p>
    <w:p w14:paraId="2EFCEFD9" w14:textId="77777777" w:rsidR="00785722" w:rsidRPr="00275456" w:rsidRDefault="00785722" w:rsidP="005C6DFE">
      <w:pPr>
        <w:tabs>
          <w:tab w:val="left" w:pos="284"/>
        </w:tabs>
        <w:jc w:val="both"/>
        <w:rPr>
          <w:sz w:val="22"/>
          <w:szCs w:val="22"/>
          <w:lang w:val="sr-Latn-ME"/>
        </w:rPr>
      </w:pPr>
    </w:p>
    <w:p w14:paraId="388A2263" w14:textId="77777777" w:rsidR="00785722" w:rsidRPr="00275456" w:rsidRDefault="00785722" w:rsidP="005C6DFE">
      <w:pPr>
        <w:tabs>
          <w:tab w:val="left" w:pos="284"/>
        </w:tabs>
        <w:jc w:val="both"/>
        <w:rPr>
          <w:i/>
          <w:sz w:val="22"/>
          <w:szCs w:val="22"/>
          <w:lang w:val="sr-Latn-ME"/>
        </w:rPr>
      </w:pPr>
      <w:r w:rsidRPr="00275456">
        <w:rPr>
          <w:sz w:val="22"/>
          <w:szCs w:val="22"/>
          <w:lang w:val="sr-Latn-ME"/>
        </w:rPr>
        <w:t>U studiji GO</w:t>
      </w:r>
      <w:r w:rsidRPr="00275456">
        <w:rPr>
          <w:sz w:val="22"/>
          <w:szCs w:val="22"/>
          <w:lang w:val="sr-Latn-ME"/>
        </w:rPr>
        <w:noBreakHyphen/>
        <w:t xml:space="preserve">AFTER, procenat pacijenata koji su postigli odgovor ACR 20 bio je veći u grupi koja je primala Simponi nego u grupi koja je primala placebo, bez obzira na navedeni razlog za prekid liječenja prethodnim TNF blokatorom ili blokatorima. </w:t>
      </w:r>
    </w:p>
    <w:p w14:paraId="2655FF8A" w14:textId="77777777" w:rsidR="00785722" w:rsidRPr="00275456" w:rsidRDefault="00785722" w:rsidP="00EA088A">
      <w:pPr>
        <w:tabs>
          <w:tab w:val="left" w:pos="284"/>
        </w:tabs>
        <w:jc w:val="center"/>
        <w:rPr>
          <w:b/>
          <w:sz w:val="22"/>
          <w:szCs w:val="22"/>
          <w:lang w:val="sr-Latn-ME"/>
        </w:rPr>
      </w:pPr>
      <w:r w:rsidRPr="00275456">
        <w:rPr>
          <w:b/>
          <w:sz w:val="22"/>
          <w:szCs w:val="22"/>
          <w:lang w:val="sr-Latn-ME"/>
        </w:rPr>
        <w:t>Tabela 2</w:t>
      </w:r>
    </w:p>
    <w:p w14:paraId="4C39273A" w14:textId="77777777" w:rsidR="00785722" w:rsidRPr="00275456" w:rsidRDefault="00785722" w:rsidP="00EA088A">
      <w:pPr>
        <w:tabs>
          <w:tab w:val="left" w:pos="284"/>
        </w:tabs>
        <w:jc w:val="center"/>
        <w:rPr>
          <w:b/>
          <w:sz w:val="22"/>
          <w:szCs w:val="22"/>
          <w:lang w:val="sr-Latn-ME"/>
        </w:rPr>
      </w:pPr>
      <w:r w:rsidRPr="00275456">
        <w:rPr>
          <w:b/>
          <w:sz w:val="22"/>
          <w:szCs w:val="22"/>
          <w:lang w:val="sr-Latn-ME"/>
        </w:rPr>
        <w:t>Ključni rezultati efikasnosti iz ispitivanja GO</w:t>
      </w:r>
      <w:r w:rsidRPr="00275456">
        <w:rPr>
          <w:b/>
          <w:sz w:val="22"/>
          <w:szCs w:val="22"/>
          <w:lang w:val="sr-Latn-ME"/>
        </w:rPr>
        <w:noBreakHyphen/>
        <w:t>FORWARD i GO</w:t>
      </w:r>
      <w:r w:rsidRPr="00275456">
        <w:rPr>
          <w:b/>
          <w:sz w:val="22"/>
          <w:szCs w:val="22"/>
          <w:lang w:val="sr-Latn-ME"/>
        </w:rPr>
        <w:noBreakHyphen/>
        <w:t>AFTER i GO-BEFORE.</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
        <w:gridCol w:w="1090"/>
        <w:gridCol w:w="1118"/>
        <w:gridCol w:w="1080"/>
        <w:gridCol w:w="1118"/>
        <w:gridCol w:w="927"/>
        <w:gridCol w:w="1118"/>
      </w:tblGrid>
      <w:tr w:rsidR="00785722" w:rsidRPr="00275456" w14:paraId="72F95155" w14:textId="77777777" w:rsidTr="00A3401E">
        <w:trPr>
          <w:cantSplit/>
          <w:jc w:val="center"/>
        </w:trPr>
        <w:tc>
          <w:tcPr>
            <w:tcW w:w="1061" w:type="dxa"/>
            <w:vMerge w:val="restart"/>
            <w:tcBorders>
              <w:top w:val="single" w:sz="4" w:space="0" w:color="auto"/>
              <w:left w:val="single" w:sz="4" w:space="0" w:color="auto"/>
              <w:right w:val="single" w:sz="4" w:space="0" w:color="auto"/>
            </w:tcBorders>
          </w:tcPr>
          <w:p w14:paraId="47A2AA98" w14:textId="77777777" w:rsidR="00785722" w:rsidRPr="00275456" w:rsidRDefault="00785722" w:rsidP="00A3401E">
            <w:pPr>
              <w:tabs>
                <w:tab w:val="left" w:pos="284"/>
              </w:tabs>
              <w:rPr>
                <w:sz w:val="22"/>
                <w:szCs w:val="22"/>
                <w:lang w:val="sr-Latn-ME"/>
              </w:rPr>
            </w:pPr>
          </w:p>
        </w:tc>
        <w:tc>
          <w:tcPr>
            <w:tcW w:w="2208" w:type="dxa"/>
            <w:gridSpan w:val="2"/>
            <w:tcBorders>
              <w:top w:val="single" w:sz="4" w:space="0" w:color="auto"/>
              <w:left w:val="single" w:sz="4" w:space="0" w:color="auto"/>
              <w:bottom w:val="single" w:sz="4" w:space="0" w:color="auto"/>
              <w:right w:val="single" w:sz="4" w:space="0" w:color="auto"/>
            </w:tcBorders>
          </w:tcPr>
          <w:p w14:paraId="467770D8" w14:textId="77777777" w:rsidR="00785722" w:rsidRPr="00275456" w:rsidRDefault="00785722" w:rsidP="00A3401E">
            <w:pPr>
              <w:tabs>
                <w:tab w:val="left" w:pos="284"/>
              </w:tabs>
              <w:rPr>
                <w:sz w:val="22"/>
                <w:szCs w:val="22"/>
                <w:lang w:val="sr-Latn-ME"/>
              </w:rPr>
            </w:pPr>
            <w:r w:rsidRPr="00275456">
              <w:rPr>
                <w:sz w:val="22"/>
                <w:szCs w:val="22"/>
                <w:lang w:val="sr-Latn-ME"/>
              </w:rPr>
              <w:t>GO</w:t>
            </w:r>
            <w:r w:rsidRPr="00275456">
              <w:rPr>
                <w:sz w:val="22"/>
                <w:szCs w:val="22"/>
                <w:lang w:val="sr-Latn-ME"/>
              </w:rPr>
              <w:noBreakHyphen/>
              <w:t>FORWARD</w:t>
            </w:r>
          </w:p>
          <w:p w14:paraId="6F30F053" w14:textId="77777777" w:rsidR="00785722" w:rsidRPr="00275456" w:rsidRDefault="00785722" w:rsidP="00A3401E">
            <w:pPr>
              <w:tabs>
                <w:tab w:val="left" w:pos="284"/>
              </w:tabs>
              <w:rPr>
                <w:sz w:val="22"/>
                <w:szCs w:val="22"/>
                <w:lang w:val="sr-Latn-ME"/>
              </w:rPr>
            </w:pPr>
            <w:r w:rsidRPr="00275456">
              <w:rPr>
                <w:sz w:val="22"/>
                <w:szCs w:val="22"/>
                <w:lang w:val="sr-Latn-ME"/>
              </w:rPr>
              <w:t>Aktivni RA uprkos uzimanju MTX</w:t>
            </w:r>
          </w:p>
        </w:tc>
        <w:tc>
          <w:tcPr>
            <w:tcW w:w="2198" w:type="dxa"/>
            <w:gridSpan w:val="2"/>
            <w:tcBorders>
              <w:top w:val="single" w:sz="4" w:space="0" w:color="auto"/>
              <w:left w:val="single" w:sz="4" w:space="0" w:color="auto"/>
              <w:bottom w:val="single" w:sz="4" w:space="0" w:color="auto"/>
              <w:right w:val="single" w:sz="4" w:space="0" w:color="auto"/>
            </w:tcBorders>
          </w:tcPr>
          <w:p w14:paraId="43808289" w14:textId="77777777" w:rsidR="00785722" w:rsidRPr="00275456" w:rsidRDefault="00785722" w:rsidP="00A3401E">
            <w:pPr>
              <w:tabs>
                <w:tab w:val="left" w:pos="284"/>
              </w:tabs>
              <w:rPr>
                <w:sz w:val="22"/>
                <w:szCs w:val="22"/>
                <w:lang w:val="sr-Latn-ME"/>
              </w:rPr>
            </w:pPr>
            <w:r w:rsidRPr="00275456">
              <w:rPr>
                <w:sz w:val="22"/>
                <w:szCs w:val="22"/>
                <w:lang w:val="sr-Latn-ME"/>
              </w:rPr>
              <w:t>GO</w:t>
            </w:r>
            <w:r w:rsidRPr="00275456">
              <w:rPr>
                <w:sz w:val="22"/>
                <w:szCs w:val="22"/>
                <w:lang w:val="sr-Latn-ME"/>
              </w:rPr>
              <w:noBreakHyphen/>
              <w:t>AFTER</w:t>
            </w:r>
          </w:p>
          <w:p w14:paraId="341C8847" w14:textId="77777777" w:rsidR="00785722" w:rsidRPr="00275456" w:rsidRDefault="00785722" w:rsidP="00A3401E">
            <w:pPr>
              <w:tabs>
                <w:tab w:val="left" w:pos="284"/>
              </w:tabs>
              <w:rPr>
                <w:sz w:val="22"/>
                <w:szCs w:val="22"/>
                <w:lang w:val="sr-Latn-ME"/>
              </w:rPr>
            </w:pPr>
            <w:r w:rsidRPr="00275456">
              <w:rPr>
                <w:sz w:val="22"/>
                <w:szCs w:val="22"/>
                <w:lang w:val="sr-Latn-ME"/>
              </w:rPr>
              <w:t>Aktivni RA, prethodno liječen jednim ili više TNF blokatora</w:t>
            </w:r>
          </w:p>
        </w:tc>
        <w:tc>
          <w:tcPr>
            <w:tcW w:w="2045" w:type="dxa"/>
            <w:gridSpan w:val="2"/>
            <w:shd w:val="clear" w:color="auto" w:fill="auto"/>
          </w:tcPr>
          <w:p w14:paraId="45A4E2B6" w14:textId="77777777" w:rsidR="00785722" w:rsidRPr="00275456" w:rsidRDefault="00785722" w:rsidP="00A3401E">
            <w:pPr>
              <w:tabs>
                <w:tab w:val="left" w:pos="284"/>
              </w:tabs>
              <w:rPr>
                <w:sz w:val="22"/>
                <w:szCs w:val="22"/>
                <w:lang w:val="sr-Latn-ME"/>
              </w:rPr>
            </w:pPr>
            <w:r w:rsidRPr="00275456">
              <w:rPr>
                <w:sz w:val="22"/>
                <w:szCs w:val="22"/>
                <w:lang w:val="sr-Latn-ME"/>
              </w:rPr>
              <w:t>GO</w:t>
            </w:r>
            <w:r w:rsidRPr="00275456">
              <w:rPr>
                <w:sz w:val="22"/>
                <w:szCs w:val="22"/>
                <w:lang w:val="sr-Latn-ME"/>
              </w:rPr>
              <w:noBreakHyphen/>
              <w:t>BEFORE</w:t>
            </w:r>
          </w:p>
          <w:p w14:paraId="619A2E91" w14:textId="77777777" w:rsidR="00785722" w:rsidRPr="00275456" w:rsidRDefault="00785722" w:rsidP="00A3401E">
            <w:pPr>
              <w:rPr>
                <w:sz w:val="22"/>
                <w:szCs w:val="22"/>
                <w:lang w:val="sr-Latn-ME"/>
              </w:rPr>
            </w:pPr>
            <w:r w:rsidRPr="00275456">
              <w:rPr>
                <w:sz w:val="22"/>
                <w:szCs w:val="22"/>
                <w:lang w:val="sr-Latn-ME"/>
              </w:rPr>
              <w:t>Aktivni RA, koji prethodno nije liječen MTX</w:t>
            </w:r>
          </w:p>
        </w:tc>
      </w:tr>
      <w:tr w:rsidR="00785722" w:rsidRPr="00275456" w14:paraId="28DFEACA" w14:textId="77777777" w:rsidTr="00A3401E">
        <w:trPr>
          <w:cantSplit/>
          <w:jc w:val="center"/>
        </w:trPr>
        <w:tc>
          <w:tcPr>
            <w:tcW w:w="1061" w:type="dxa"/>
            <w:vMerge/>
            <w:tcBorders>
              <w:left w:val="single" w:sz="4" w:space="0" w:color="auto"/>
              <w:bottom w:val="single" w:sz="4" w:space="0" w:color="auto"/>
              <w:right w:val="single" w:sz="4" w:space="0" w:color="auto"/>
            </w:tcBorders>
            <w:vAlign w:val="bottom"/>
          </w:tcPr>
          <w:p w14:paraId="61B20FDB" w14:textId="77777777" w:rsidR="00785722" w:rsidRPr="00275456" w:rsidRDefault="00785722" w:rsidP="00A3401E">
            <w:pPr>
              <w:tabs>
                <w:tab w:val="left" w:pos="284"/>
              </w:tabs>
              <w:rPr>
                <w:sz w:val="22"/>
                <w:szCs w:val="22"/>
                <w:lang w:val="sr-Latn-ME"/>
              </w:rPr>
            </w:pPr>
          </w:p>
        </w:tc>
        <w:tc>
          <w:tcPr>
            <w:tcW w:w="1090" w:type="dxa"/>
            <w:tcBorders>
              <w:top w:val="single" w:sz="4" w:space="0" w:color="auto"/>
              <w:left w:val="single" w:sz="4" w:space="0" w:color="auto"/>
              <w:bottom w:val="single" w:sz="4" w:space="0" w:color="auto"/>
              <w:right w:val="single" w:sz="4" w:space="0" w:color="auto"/>
            </w:tcBorders>
            <w:vAlign w:val="bottom"/>
          </w:tcPr>
          <w:p w14:paraId="071726A5" w14:textId="77777777" w:rsidR="00785722" w:rsidRPr="00275456" w:rsidRDefault="00785722" w:rsidP="00A3401E">
            <w:pPr>
              <w:tabs>
                <w:tab w:val="left" w:pos="284"/>
              </w:tabs>
              <w:rPr>
                <w:sz w:val="22"/>
                <w:szCs w:val="22"/>
                <w:lang w:val="sr-Latn-ME"/>
              </w:rPr>
            </w:pPr>
            <w:r w:rsidRPr="00275456">
              <w:rPr>
                <w:sz w:val="22"/>
                <w:szCs w:val="22"/>
                <w:lang w:val="sr-Latn-ME"/>
              </w:rPr>
              <w:t>Placebo</w:t>
            </w:r>
          </w:p>
          <w:p w14:paraId="1E323281" w14:textId="77777777" w:rsidR="00785722" w:rsidRPr="00275456" w:rsidRDefault="00785722" w:rsidP="00A3401E">
            <w:pPr>
              <w:tabs>
                <w:tab w:val="left" w:pos="284"/>
              </w:tabs>
              <w:rPr>
                <w:sz w:val="22"/>
                <w:szCs w:val="22"/>
                <w:lang w:val="sr-Latn-ME"/>
              </w:rPr>
            </w:pPr>
            <w:r w:rsidRPr="00275456">
              <w:rPr>
                <w:sz w:val="22"/>
                <w:szCs w:val="22"/>
                <w:lang w:val="sr-Latn-ME"/>
              </w:rPr>
              <w:t>+</w:t>
            </w:r>
          </w:p>
          <w:p w14:paraId="06C838F0" w14:textId="77777777" w:rsidR="00785722" w:rsidRPr="00275456" w:rsidRDefault="00785722" w:rsidP="00A3401E">
            <w:pPr>
              <w:tabs>
                <w:tab w:val="left" w:pos="284"/>
              </w:tabs>
              <w:rPr>
                <w:sz w:val="22"/>
                <w:szCs w:val="22"/>
                <w:lang w:val="sr-Latn-ME"/>
              </w:rPr>
            </w:pPr>
            <w:r w:rsidRPr="00275456">
              <w:rPr>
                <w:sz w:val="22"/>
                <w:szCs w:val="22"/>
                <w:lang w:val="sr-Latn-ME"/>
              </w:rPr>
              <w:t>MTX</w:t>
            </w:r>
          </w:p>
        </w:tc>
        <w:tc>
          <w:tcPr>
            <w:tcW w:w="1118" w:type="dxa"/>
            <w:tcBorders>
              <w:top w:val="single" w:sz="4" w:space="0" w:color="auto"/>
              <w:left w:val="single" w:sz="4" w:space="0" w:color="auto"/>
              <w:bottom w:val="single" w:sz="4" w:space="0" w:color="auto"/>
              <w:right w:val="single" w:sz="4" w:space="0" w:color="auto"/>
            </w:tcBorders>
            <w:vAlign w:val="bottom"/>
          </w:tcPr>
          <w:p w14:paraId="4A3CF9E5" w14:textId="77777777" w:rsidR="00785722" w:rsidRPr="00275456" w:rsidRDefault="00785722" w:rsidP="00A3401E">
            <w:pPr>
              <w:tabs>
                <w:tab w:val="left" w:pos="284"/>
              </w:tabs>
              <w:rPr>
                <w:bCs/>
                <w:sz w:val="22"/>
                <w:szCs w:val="22"/>
                <w:lang w:val="sr-Latn-ME"/>
              </w:rPr>
            </w:pPr>
            <w:r w:rsidRPr="00275456">
              <w:rPr>
                <w:bCs/>
                <w:sz w:val="22"/>
                <w:szCs w:val="22"/>
                <w:lang w:val="sr-Latn-ME"/>
              </w:rPr>
              <w:t>Simponi</w:t>
            </w:r>
          </w:p>
          <w:p w14:paraId="204BB490" w14:textId="77777777" w:rsidR="00785722" w:rsidRPr="00275456" w:rsidRDefault="00785722" w:rsidP="00A3401E">
            <w:pPr>
              <w:tabs>
                <w:tab w:val="left" w:pos="284"/>
              </w:tabs>
              <w:rPr>
                <w:sz w:val="22"/>
                <w:szCs w:val="22"/>
                <w:lang w:val="sr-Latn-ME"/>
              </w:rPr>
            </w:pPr>
            <w:r w:rsidRPr="00275456">
              <w:rPr>
                <w:sz w:val="22"/>
                <w:szCs w:val="22"/>
                <w:lang w:val="sr-Latn-ME"/>
              </w:rPr>
              <w:t>50 mg</w:t>
            </w:r>
          </w:p>
          <w:p w14:paraId="135AC125" w14:textId="77777777" w:rsidR="00785722" w:rsidRPr="00275456" w:rsidRDefault="00785722" w:rsidP="00A3401E">
            <w:pPr>
              <w:tabs>
                <w:tab w:val="left" w:pos="284"/>
              </w:tabs>
              <w:rPr>
                <w:sz w:val="22"/>
                <w:szCs w:val="22"/>
                <w:lang w:val="sr-Latn-ME"/>
              </w:rPr>
            </w:pPr>
            <w:r w:rsidRPr="00275456">
              <w:rPr>
                <w:sz w:val="22"/>
                <w:szCs w:val="22"/>
                <w:lang w:val="sr-Latn-ME"/>
              </w:rPr>
              <w:t>+</w:t>
            </w:r>
          </w:p>
          <w:p w14:paraId="1BB07133" w14:textId="77777777" w:rsidR="00785722" w:rsidRPr="00275456" w:rsidRDefault="00785722" w:rsidP="00A3401E">
            <w:pPr>
              <w:tabs>
                <w:tab w:val="left" w:pos="284"/>
              </w:tabs>
              <w:rPr>
                <w:sz w:val="22"/>
                <w:szCs w:val="22"/>
                <w:lang w:val="sr-Latn-ME"/>
              </w:rPr>
            </w:pPr>
            <w:r w:rsidRPr="00275456">
              <w:rPr>
                <w:sz w:val="22"/>
                <w:szCs w:val="22"/>
                <w:lang w:val="sr-Latn-ME"/>
              </w:rPr>
              <w:t>MTX</w:t>
            </w:r>
          </w:p>
        </w:tc>
        <w:tc>
          <w:tcPr>
            <w:tcW w:w="1080" w:type="dxa"/>
            <w:tcBorders>
              <w:top w:val="single" w:sz="4" w:space="0" w:color="auto"/>
              <w:left w:val="single" w:sz="4" w:space="0" w:color="auto"/>
              <w:bottom w:val="single" w:sz="4" w:space="0" w:color="auto"/>
              <w:right w:val="single" w:sz="4" w:space="0" w:color="auto"/>
            </w:tcBorders>
            <w:vAlign w:val="bottom"/>
          </w:tcPr>
          <w:p w14:paraId="5AF37350" w14:textId="77777777" w:rsidR="00785722" w:rsidRPr="00275456" w:rsidRDefault="00785722" w:rsidP="00A3401E">
            <w:pPr>
              <w:tabs>
                <w:tab w:val="left" w:pos="284"/>
              </w:tabs>
              <w:rPr>
                <w:sz w:val="22"/>
                <w:szCs w:val="22"/>
                <w:lang w:val="sr-Latn-ME"/>
              </w:rPr>
            </w:pPr>
            <w:r w:rsidRPr="00275456">
              <w:rPr>
                <w:sz w:val="22"/>
                <w:szCs w:val="22"/>
                <w:lang w:val="sr-Latn-ME"/>
              </w:rPr>
              <w:t>Placebo</w:t>
            </w:r>
          </w:p>
        </w:tc>
        <w:tc>
          <w:tcPr>
            <w:tcW w:w="1118" w:type="dxa"/>
            <w:tcBorders>
              <w:top w:val="single" w:sz="4" w:space="0" w:color="auto"/>
              <w:left w:val="single" w:sz="4" w:space="0" w:color="auto"/>
              <w:bottom w:val="single" w:sz="4" w:space="0" w:color="auto"/>
              <w:right w:val="single" w:sz="4" w:space="0" w:color="auto"/>
            </w:tcBorders>
            <w:vAlign w:val="bottom"/>
          </w:tcPr>
          <w:p w14:paraId="489BB055" w14:textId="77777777" w:rsidR="00785722" w:rsidRPr="00275456" w:rsidRDefault="00785722" w:rsidP="00A3401E">
            <w:pPr>
              <w:tabs>
                <w:tab w:val="left" w:pos="284"/>
              </w:tabs>
              <w:rPr>
                <w:bCs/>
                <w:sz w:val="22"/>
                <w:szCs w:val="22"/>
                <w:lang w:val="sr-Latn-ME"/>
              </w:rPr>
            </w:pPr>
            <w:r w:rsidRPr="00275456">
              <w:rPr>
                <w:bCs/>
                <w:sz w:val="22"/>
                <w:szCs w:val="22"/>
                <w:lang w:val="sr-Latn-ME"/>
              </w:rPr>
              <w:t>Simponi</w:t>
            </w:r>
          </w:p>
          <w:p w14:paraId="17C898C7" w14:textId="77777777" w:rsidR="00785722" w:rsidRPr="00275456" w:rsidRDefault="00785722" w:rsidP="00A3401E">
            <w:pPr>
              <w:tabs>
                <w:tab w:val="left" w:pos="284"/>
              </w:tabs>
              <w:rPr>
                <w:sz w:val="22"/>
                <w:szCs w:val="22"/>
                <w:lang w:val="sr-Latn-ME"/>
              </w:rPr>
            </w:pPr>
            <w:r w:rsidRPr="00275456">
              <w:rPr>
                <w:sz w:val="22"/>
                <w:szCs w:val="22"/>
                <w:lang w:val="sr-Latn-ME"/>
              </w:rPr>
              <w:t>50 mg</w:t>
            </w:r>
          </w:p>
        </w:tc>
        <w:tc>
          <w:tcPr>
            <w:tcW w:w="927" w:type="dxa"/>
            <w:shd w:val="clear" w:color="auto" w:fill="auto"/>
            <w:vAlign w:val="bottom"/>
          </w:tcPr>
          <w:p w14:paraId="0599D35A" w14:textId="77777777" w:rsidR="00785722" w:rsidRPr="00275456" w:rsidRDefault="00785722" w:rsidP="00A3401E">
            <w:pPr>
              <w:tabs>
                <w:tab w:val="left" w:pos="284"/>
              </w:tabs>
              <w:rPr>
                <w:sz w:val="22"/>
                <w:szCs w:val="22"/>
                <w:lang w:val="sr-Latn-ME"/>
              </w:rPr>
            </w:pPr>
            <w:r w:rsidRPr="00275456">
              <w:rPr>
                <w:sz w:val="22"/>
                <w:szCs w:val="22"/>
                <w:lang w:val="sr-Latn-ME"/>
              </w:rPr>
              <w:t>Placebo</w:t>
            </w:r>
          </w:p>
          <w:p w14:paraId="794DDAFD" w14:textId="77777777" w:rsidR="00785722" w:rsidRPr="00275456" w:rsidRDefault="00785722" w:rsidP="00A3401E">
            <w:pPr>
              <w:tabs>
                <w:tab w:val="left" w:pos="284"/>
              </w:tabs>
              <w:rPr>
                <w:sz w:val="22"/>
                <w:szCs w:val="22"/>
                <w:lang w:val="sr-Latn-ME"/>
              </w:rPr>
            </w:pPr>
            <w:r w:rsidRPr="00275456">
              <w:rPr>
                <w:sz w:val="22"/>
                <w:szCs w:val="22"/>
                <w:lang w:val="sr-Latn-ME"/>
              </w:rPr>
              <w:t>+</w:t>
            </w:r>
          </w:p>
          <w:p w14:paraId="3AD71E10" w14:textId="77777777" w:rsidR="00785722" w:rsidRPr="00275456" w:rsidRDefault="00785722" w:rsidP="00A3401E">
            <w:pPr>
              <w:rPr>
                <w:sz w:val="22"/>
                <w:szCs w:val="22"/>
                <w:lang w:val="sr-Latn-ME"/>
              </w:rPr>
            </w:pPr>
            <w:r w:rsidRPr="00275456">
              <w:rPr>
                <w:sz w:val="22"/>
                <w:szCs w:val="22"/>
                <w:lang w:val="sr-Latn-ME"/>
              </w:rPr>
              <w:t>MTX</w:t>
            </w:r>
          </w:p>
        </w:tc>
        <w:tc>
          <w:tcPr>
            <w:tcW w:w="1118" w:type="dxa"/>
            <w:shd w:val="clear" w:color="auto" w:fill="auto"/>
            <w:vAlign w:val="bottom"/>
          </w:tcPr>
          <w:p w14:paraId="69A912EB" w14:textId="77777777" w:rsidR="00785722" w:rsidRPr="00275456" w:rsidRDefault="00785722" w:rsidP="00A3401E">
            <w:pPr>
              <w:tabs>
                <w:tab w:val="left" w:pos="284"/>
              </w:tabs>
              <w:rPr>
                <w:bCs/>
                <w:sz w:val="22"/>
                <w:szCs w:val="22"/>
                <w:lang w:val="sr-Latn-ME"/>
              </w:rPr>
            </w:pPr>
            <w:r w:rsidRPr="00275456">
              <w:rPr>
                <w:bCs/>
                <w:sz w:val="22"/>
                <w:szCs w:val="22"/>
                <w:lang w:val="sr-Latn-ME"/>
              </w:rPr>
              <w:t>Simponi</w:t>
            </w:r>
          </w:p>
          <w:p w14:paraId="1647A9AD" w14:textId="77777777" w:rsidR="00785722" w:rsidRPr="00275456" w:rsidRDefault="00785722" w:rsidP="00A3401E">
            <w:pPr>
              <w:tabs>
                <w:tab w:val="left" w:pos="284"/>
              </w:tabs>
              <w:rPr>
                <w:sz w:val="22"/>
                <w:szCs w:val="22"/>
                <w:lang w:val="sr-Latn-ME"/>
              </w:rPr>
            </w:pPr>
            <w:r w:rsidRPr="00275456">
              <w:rPr>
                <w:sz w:val="22"/>
                <w:szCs w:val="22"/>
                <w:lang w:val="sr-Latn-ME"/>
              </w:rPr>
              <w:t>50 mg</w:t>
            </w:r>
          </w:p>
          <w:p w14:paraId="5644FF54" w14:textId="77777777" w:rsidR="00785722" w:rsidRPr="00275456" w:rsidRDefault="00785722" w:rsidP="00A3401E">
            <w:pPr>
              <w:tabs>
                <w:tab w:val="left" w:pos="284"/>
              </w:tabs>
              <w:rPr>
                <w:sz w:val="22"/>
                <w:szCs w:val="22"/>
                <w:lang w:val="sr-Latn-ME"/>
              </w:rPr>
            </w:pPr>
            <w:r w:rsidRPr="00275456">
              <w:rPr>
                <w:sz w:val="22"/>
                <w:szCs w:val="22"/>
                <w:lang w:val="sr-Latn-ME"/>
              </w:rPr>
              <w:t>+</w:t>
            </w:r>
          </w:p>
          <w:p w14:paraId="30041D2C" w14:textId="77777777" w:rsidR="00785722" w:rsidRPr="00275456" w:rsidRDefault="00785722" w:rsidP="00A3401E">
            <w:pPr>
              <w:rPr>
                <w:sz w:val="22"/>
                <w:szCs w:val="22"/>
                <w:lang w:val="sr-Latn-ME"/>
              </w:rPr>
            </w:pPr>
            <w:r w:rsidRPr="00275456">
              <w:rPr>
                <w:sz w:val="22"/>
                <w:szCs w:val="22"/>
                <w:lang w:val="sr-Latn-ME"/>
              </w:rPr>
              <w:t>MTX</w:t>
            </w:r>
          </w:p>
        </w:tc>
      </w:tr>
      <w:tr w:rsidR="00785722" w:rsidRPr="00275456" w14:paraId="0488C298" w14:textId="77777777" w:rsidTr="00A3401E">
        <w:trPr>
          <w:cantSplit/>
          <w:jc w:val="center"/>
        </w:trPr>
        <w:tc>
          <w:tcPr>
            <w:tcW w:w="1061" w:type="dxa"/>
            <w:tcBorders>
              <w:top w:val="single" w:sz="4" w:space="0" w:color="auto"/>
              <w:left w:val="single" w:sz="4" w:space="0" w:color="auto"/>
              <w:bottom w:val="single" w:sz="4" w:space="0" w:color="auto"/>
              <w:right w:val="single" w:sz="4" w:space="0" w:color="auto"/>
            </w:tcBorders>
          </w:tcPr>
          <w:p w14:paraId="313F1E00" w14:textId="78256B40" w:rsidR="00785722" w:rsidRPr="00EA088A" w:rsidRDefault="00597BCD" w:rsidP="00A3401E">
            <w:pPr>
              <w:tabs>
                <w:tab w:val="left" w:pos="284"/>
              </w:tabs>
              <w:rPr>
                <w:sz w:val="22"/>
                <w:szCs w:val="22"/>
                <w:lang w:val="sr-Latn-ME"/>
              </w:rPr>
            </w:pPr>
            <w:r w:rsidRPr="00EA088A">
              <w:rPr>
                <w:sz w:val="22"/>
                <w:szCs w:val="22"/>
                <w:lang w:val="sr-Latn-ME"/>
              </w:rPr>
              <w:t>n</w:t>
            </w:r>
            <w:r w:rsidR="00785722" w:rsidRPr="00EA088A">
              <w:rPr>
                <w:sz w:val="22"/>
                <w:szCs w:val="22"/>
                <w:vertAlign w:val="superscript"/>
                <w:lang w:val="sr-Latn-ME"/>
              </w:rPr>
              <w:t>a</w:t>
            </w:r>
          </w:p>
        </w:tc>
        <w:tc>
          <w:tcPr>
            <w:tcW w:w="1090" w:type="dxa"/>
            <w:tcBorders>
              <w:top w:val="single" w:sz="4" w:space="0" w:color="auto"/>
              <w:left w:val="single" w:sz="4" w:space="0" w:color="auto"/>
              <w:bottom w:val="single" w:sz="4" w:space="0" w:color="auto"/>
              <w:right w:val="single" w:sz="4" w:space="0" w:color="auto"/>
            </w:tcBorders>
          </w:tcPr>
          <w:p w14:paraId="5D6EBEF0" w14:textId="77777777" w:rsidR="00785722" w:rsidRPr="00C9046D" w:rsidRDefault="00785722" w:rsidP="00A3401E">
            <w:pPr>
              <w:tabs>
                <w:tab w:val="left" w:pos="284"/>
              </w:tabs>
              <w:rPr>
                <w:sz w:val="22"/>
                <w:szCs w:val="22"/>
                <w:lang w:val="sr-Latn-ME"/>
              </w:rPr>
            </w:pPr>
            <w:r w:rsidRPr="00C9046D">
              <w:rPr>
                <w:sz w:val="22"/>
                <w:szCs w:val="22"/>
                <w:lang w:val="sr-Latn-ME"/>
              </w:rPr>
              <w:t>133</w:t>
            </w:r>
          </w:p>
        </w:tc>
        <w:tc>
          <w:tcPr>
            <w:tcW w:w="1118" w:type="dxa"/>
            <w:tcBorders>
              <w:top w:val="single" w:sz="4" w:space="0" w:color="auto"/>
              <w:left w:val="single" w:sz="4" w:space="0" w:color="auto"/>
              <w:bottom w:val="single" w:sz="4" w:space="0" w:color="auto"/>
              <w:right w:val="single" w:sz="4" w:space="0" w:color="auto"/>
            </w:tcBorders>
          </w:tcPr>
          <w:p w14:paraId="7C9FEE53" w14:textId="77777777" w:rsidR="00785722" w:rsidRPr="00275456" w:rsidRDefault="00785722" w:rsidP="00A3401E">
            <w:pPr>
              <w:tabs>
                <w:tab w:val="left" w:pos="284"/>
              </w:tabs>
              <w:rPr>
                <w:sz w:val="22"/>
                <w:szCs w:val="22"/>
                <w:lang w:val="sr-Latn-ME"/>
              </w:rPr>
            </w:pPr>
            <w:r w:rsidRPr="00275456">
              <w:rPr>
                <w:sz w:val="22"/>
                <w:szCs w:val="22"/>
                <w:lang w:val="sr-Latn-ME"/>
              </w:rPr>
              <w:t>89</w:t>
            </w:r>
          </w:p>
        </w:tc>
        <w:tc>
          <w:tcPr>
            <w:tcW w:w="1080" w:type="dxa"/>
            <w:tcBorders>
              <w:top w:val="single" w:sz="4" w:space="0" w:color="auto"/>
              <w:left w:val="single" w:sz="4" w:space="0" w:color="auto"/>
              <w:bottom w:val="single" w:sz="4" w:space="0" w:color="auto"/>
              <w:right w:val="single" w:sz="4" w:space="0" w:color="auto"/>
            </w:tcBorders>
          </w:tcPr>
          <w:p w14:paraId="1E86F0FF" w14:textId="77777777" w:rsidR="00785722" w:rsidRPr="00275456" w:rsidRDefault="00785722" w:rsidP="00A3401E">
            <w:pPr>
              <w:tabs>
                <w:tab w:val="left" w:pos="284"/>
              </w:tabs>
              <w:rPr>
                <w:sz w:val="22"/>
                <w:szCs w:val="22"/>
                <w:lang w:val="sr-Latn-ME"/>
              </w:rPr>
            </w:pPr>
            <w:r w:rsidRPr="00275456">
              <w:rPr>
                <w:sz w:val="22"/>
                <w:szCs w:val="22"/>
                <w:lang w:val="sr-Latn-ME"/>
              </w:rPr>
              <w:t>150</w:t>
            </w:r>
          </w:p>
        </w:tc>
        <w:tc>
          <w:tcPr>
            <w:tcW w:w="1118" w:type="dxa"/>
            <w:tcBorders>
              <w:top w:val="single" w:sz="4" w:space="0" w:color="auto"/>
              <w:left w:val="single" w:sz="4" w:space="0" w:color="auto"/>
              <w:bottom w:val="single" w:sz="4" w:space="0" w:color="auto"/>
              <w:right w:val="single" w:sz="4" w:space="0" w:color="auto"/>
            </w:tcBorders>
          </w:tcPr>
          <w:p w14:paraId="39D83071" w14:textId="77777777" w:rsidR="00785722" w:rsidRPr="00275456" w:rsidRDefault="00785722" w:rsidP="00A3401E">
            <w:pPr>
              <w:tabs>
                <w:tab w:val="left" w:pos="284"/>
              </w:tabs>
              <w:rPr>
                <w:sz w:val="22"/>
                <w:szCs w:val="22"/>
                <w:lang w:val="sr-Latn-ME"/>
              </w:rPr>
            </w:pPr>
            <w:r w:rsidRPr="00275456">
              <w:rPr>
                <w:sz w:val="22"/>
                <w:szCs w:val="22"/>
                <w:lang w:val="sr-Latn-ME"/>
              </w:rPr>
              <w:t>147</w:t>
            </w:r>
          </w:p>
        </w:tc>
        <w:tc>
          <w:tcPr>
            <w:tcW w:w="927" w:type="dxa"/>
            <w:shd w:val="clear" w:color="auto" w:fill="auto"/>
          </w:tcPr>
          <w:p w14:paraId="35C735AB" w14:textId="77777777" w:rsidR="00785722" w:rsidRPr="00275456" w:rsidRDefault="00785722" w:rsidP="00A3401E">
            <w:pPr>
              <w:rPr>
                <w:bCs/>
                <w:sz w:val="22"/>
                <w:szCs w:val="22"/>
                <w:lang w:val="sr-Latn-ME"/>
              </w:rPr>
            </w:pPr>
            <w:r w:rsidRPr="00275456">
              <w:rPr>
                <w:bCs/>
                <w:sz w:val="22"/>
                <w:szCs w:val="22"/>
                <w:lang w:val="sr-Latn-ME"/>
              </w:rPr>
              <w:t>160</w:t>
            </w:r>
          </w:p>
        </w:tc>
        <w:tc>
          <w:tcPr>
            <w:tcW w:w="1118" w:type="dxa"/>
            <w:shd w:val="clear" w:color="auto" w:fill="auto"/>
          </w:tcPr>
          <w:p w14:paraId="3662BA10" w14:textId="77777777" w:rsidR="00785722" w:rsidRPr="00275456" w:rsidRDefault="00785722" w:rsidP="00A3401E">
            <w:pPr>
              <w:rPr>
                <w:bCs/>
                <w:sz w:val="22"/>
                <w:szCs w:val="22"/>
                <w:lang w:val="sr-Latn-ME"/>
              </w:rPr>
            </w:pPr>
            <w:r w:rsidRPr="00275456">
              <w:rPr>
                <w:bCs/>
                <w:sz w:val="22"/>
                <w:szCs w:val="22"/>
                <w:lang w:val="sr-Latn-ME"/>
              </w:rPr>
              <w:t>159</w:t>
            </w:r>
          </w:p>
        </w:tc>
      </w:tr>
      <w:tr w:rsidR="00785722" w:rsidRPr="00275456" w14:paraId="01594FFA" w14:textId="77777777" w:rsidTr="00A3401E">
        <w:trPr>
          <w:cantSplit/>
          <w:jc w:val="center"/>
        </w:trPr>
        <w:tc>
          <w:tcPr>
            <w:tcW w:w="7512" w:type="dxa"/>
            <w:gridSpan w:val="7"/>
            <w:tcBorders>
              <w:top w:val="single" w:sz="4" w:space="0" w:color="auto"/>
              <w:left w:val="single" w:sz="4" w:space="0" w:color="auto"/>
              <w:bottom w:val="single" w:sz="4" w:space="0" w:color="auto"/>
            </w:tcBorders>
            <w:vAlign w:val="center"/>
          </w:tcPr>
          <w:p w14:paraId="0D9DFF56" w14:textId="77777777" w:rsidR="00785722" w:rsidRPr="00EA088A" w:rsidRDefault="00785722" w:rsidP="00A3401E">
            <w:pPr>
              <w:rPr>
                <w:sz w:val="22"/>
                <w:szCs w:val="22"/>
                <w:lang w:val="sr-Latn-ME"/>
              </w:rPr>
            </w:pPr>
            <w:r w:rsidRPr="00EA088A">
              <w:rPr>
                <w:b/>
                <w:bCs/>
                <w:sz w:val="22"/>
                <w:szCs w:val="22"/>
                <w:lang w:val="sr-Latn-ME"/>
              </w:rPr>
              <w:t>Pacijenti koji su odgovorili na liječenje, % pacijenata</w:t>
            </w:r>
          </w:p>
        </w:tc>
      </w:tr>
      <w:tr w:rsidR="00785722" w:rsidRPr="00275456" w14:paraId="5C788FDF" w14:textId="77777777" w:rsidTr="00A3401E">
        <w:trPr>
          <w:cantSplit/>
          <w:jc w:val="center"/>
        </w:trPr>
        <w:tc>
          <w:tcPr>
            <w:tcW w:w="7512" w:type="dxa"/>
            <w:gridSpan w:val="7"/>
            <w:tcBorders>
              <w:top w:val="single" w:sz="4" w:space="0" w:color="auto"/>
              <w:left w:val="single" w:sz="4" w:space="0" w:color="auto"/>
              <w:bottom w:val="single" w:sz="4" w:space="0" w:color="auto"/>
            </w:tcBorders>
            <w:vAlign w:val="center"/>
          </w:tcPr>
          <w:p w14:paraId="5A5DD31B" w14:textId="77777777" w:rsidR="00785722" w:rsidRPr="00EA088A" w:rsidRDefault="00785722" w:rsidP="00A3401E">
            <w:pPr>
              <w:rPr>
                <w:sz w:val="22"/>
                <w:szCs w:val="22"/>
                <w:lang w:val="sr-Latn-ME"/>
              </w:rPr>
            </w:pPr>
            <w:r w:rsidRPr="00EA088A">
              <w:rPr>
                <w:b/>
                <w:bCs/>
                <w:sz w:val="22"/>
                <w:szCs w:val="22"/>
                <w:lang w:val="sr-Latn-ME"/>
              </w:rPr>
              <w:t>ACR 20</w:t>
            </w:r>
          </w:p>
        </w:tc>
      </w:tr>
      <w:tr w:rsidR="00785722" w:rsidRPr="00275456" w14:paraId="43828BA4" w14:textId="77777777" w:rsidTr="00A3401E">
        <w:trPr>
          <w:cantSplit/>
          <w:jc w:val="center"/>
        </w:trPr>
        <w:tc>
          <w:tcPr>
            <w:tcW w:w="1061" w:type="dxa"/>
            <w:tcBorders>
              <w:top w:val="single" w:sz="4" w:space="0" w:color="auto"/>
              <w:left w:val="single" w:sz="4" w:space="0" w:color="auto"/>
              <w:bottom w:val="single" w:sz="4" w:space="0" w:color="auto"/>
              <w:right w:val="single" w:sz="4" w:space="0" w:color="auto"/>
            </w:tcBorders>
          </w:tcPr>
          <w:p w14:paraId="183433E2" w14:textId="77777777" w:rsidR="00785722" w:rsidRPr="00EA088A" w:rsidRDefault="00785722" w:rsidP="00A3401E">
            <w:pPr>
              <w:tabs>
                <w:tab w:val="left" w:pos="284"/>
              </w:tabs>
              <w:rPr>
                <w:sz w:val="22"/>
                <w:szCs w:val="22"/>
                <w:lang w:val="sr-Latn-ME"/>
              </w:rPr>
            </w:pPr>
            <w:r w:rsidRPr="00EA088A">
              <w:rPr>
                <w:sz w:val="22"/>
                <w:szCs w:val="22"/>
                <w:lang w:val="sr-Latn-ME"/>
              </w:rPr>
              <w:t> 14. nedjelja</w:t>
            </w:r>
          </w:p>
        </w:tc>
        <w:tc>
          <w:tcPr>
            <w:tcW w:w="1090" w:type="dxa"/>
            <w:tcBorders>
              <w:top w:val="single" w:sz="4" w:space="0" w:color="auto"/>
              <w:left w:val="single" w:sz="4" w:space="0" w:color="auto"/>
              <w:bottom w:val="single" w:sz="4" w:space="0" w:color="auto"/>
              <w:right w:val="single" w:sz="4" w:space="0" w:color="auto"/>
            </w:tcBorders>
          </w:tcPr>
          <w:p w14:paraId="25B71EB9" w14:textId="77777777" w:rsidR="00785722" w:rsidRPr="00C9046D" w:rsidRDefault="00785722" w:rsidP="00A3401E">
            <w:pPr>
              <w:tabs>
                <w:tab w:val="left" w:pos="284"/>
              </w:tabs>
              <w:rPr>
                <w:b/>
                <w:bCs/>
                <w:sz w:val="22"/>
                <w:szCs w:val="22"/>
                <w:lang w:val="sr-Latn-ME"/>
              </w:rPr>
            </w:pPr>
            <w:r w:rsidRPr="00C9046D">
              <w:rPr>
                <w:b/>
                <w:bCs/>
                <w:sz w:val="22"/>
                <w:szCs w:val="22"/>
                <w:lang w:val="sr-Latn-ME"/>
              </w:rPr>
              <w:t>33%</w:t>
            </w:r>
          </w:p>
        </w:tc>
        <w:tc>
          <w:tcPr>
            <w:tcW w:w="1118" w:type="dxa"/>
            <w:tcBorders>
              <w:top w:val="single" w:sz="4" w:space="0" w:color="auto"/>
              <w:left w:val="single" w:sz="4" w:space="0" w:color="auto"/>
              <w:bottom w:val="single" w:sz="4" w:space="0" w:color="auto"/>
              <w:right w:val="single" w:sz="4" w:space="0" w:color="auto"/>
            </w:tcBorders>
          </w:tcPr>
          <w:p w14:paraId="7D226CD4" w14:textId="77777777" w:rsidR="00785722" w:rsidRPr="00275456" w:rsidRDefault="00785722" w:rsidP="00A3401E">
            <w:pPr>
              <w:tabs>
                <w:tab w:val="left" w:pos="284"/>
              </w:tabs>
              <w:rPr>
                <w:b/>
                <w:bCs/>
                <w:sz w:val="22"/>
                <w:szCs w:val="22"/>
                <w:lang w:val="sr-Latn-ME"/>
              </w:rPr>
            </w:pPr>
            <w:r w:rsidRPr="00275456">
              <w:rPr>
                <w:b/>
                <w:bCs/>
                <w:sz w:val="22"/>
                <w:szCs w:val="22"/>
                <w:lang w:val="sr-Latn-ME"/>
              </w:rPr>
              <w:t xml:space="preserve"> 55%*</w:t>
            </w:r>
          </w:p>
        </w:tc>
        <w:tc>
          <w:tcPr>
            <w:tcW w:w="1080" w:type="dxa"/>
            <w:tcBorders>
              <w:top w:val="single" w:sz="4" w:space="0" w:color="auto"/>
              <w:left w:val="single" w:sz="4" w:space="0" w:color="auto"/>
              <w:bottom w:val="single" w:sz="4" w:space="0" w:color="auto"/>
              <w:right w:val="single" w:sz="4" w:space="0" w:color="auto"/>
            </w:tcBorders>
          </w:tcPr>
          <w:p w14:paraId="2CB6081D" w14:textId="77777777" w:rsidR="00785722" w:rsidRPr="00275456" w:rsidRDefault="00785722" w:rsidP="00A3401E">
            <w:pPr>
              <w:tabs>
                <w:tab w:val="left" w:pos="284"/>
              </w:tabs>
              <w:rPr>
                <w:b/>
                <w:bCs/>
                <w:sz w:val="22"/>
                <w:szCs w:val="22"/>
                <w:lang w:val="sr-Latn-ME"/>
              </w:rPr>
            </w:pPr>
            <w:r w:rsidRPr="00275456">
              <w:rPr>
                <w:b/>
                <w:bCs/>
                <w:sz w:val="22"/>
                <w:szCs w:val="22"/>
                <w:lang w:val="sr-Latn-ME"/>
              </w:rPr>
              <w:t>18%</w:t>
            </w:r>
          </w:p>
        </w:tc>
        <w:tc>
          <w:tcPr>
            <w:tcW w:w="1118" w:type="dxa"/>
            <w:tcBorders>
              <w:top w:val="single" w:sz="4" w:space="0" w:color="auto"/>
              <w:left w:val="single" w:sz="4" w:space="0" w:color="auto"/>
              <w:bottom w:val="single" w:sz="4" w:space="0" w:color="auto"/>
              <w:right w:val="single" w:sz="4" w:space="0" w:color="auto"/>
            </w:tcBorders>
          </w:tcPr>
          <w:p w14:paraId="5E620731" w14:textId="77777777" w:rsidR="00785722" w:rsidRPr="00275456" w:rsidRDefault="00785722" w:rsidP="00A3401E">
            <w:pPr>
              <w:tabs>
                <w:tab w:val="left" w:pos="284"/>
              </w:tabs>
              <w:rPr>
                <w:b/>
                <w:bCs/>
                <w:sz w:val="22"/>
                <w:szCs w:val="22"/>
                <w:lang w:val="sr-Latn-ME"/>
              </w:rPr>
            </w:pPr>
            <w:r w:rsidRPr="00275456">
              <w:rPr>
                <w:b/>
                <w:bCs/>
                <w:sz w:val="22"/>
                <w:szCs w:val="22"/>
                <w:lang w:val="sr-Latn-ME"/>
              </w:rPr>
              <w:t>35%*</w:t>
            </w:r>
          </w:p>
        </w:tc>
        <w:tc>
          <w:tcPr>
            <w:tcW w:w="927" w:type="dxa"/>
            <w:tcBorders>
              <w:top w:val="single" w:sz="4" w:space="0" w:color="auto"/>
              <w:bottom w:val="single" w:sz="4" w:space="0" w:color="auto"/>
            </w:tcBorders>
            <w:shd w:val="clear" w:color="auto" w:fill="auto"/>
          </w:tcPr>
          <w:p w14:paraId="71BAC7A7" w14:textId="77777777" w:rsidR="00785722" w:rsidRPr="00275456" w:rsidRDefault="00785722" w:rsidP="00A3401E">
            <w:pPr>
              <w:rPr>
                <w:sz w:val="22"/>
                <w:szCs w:val="22"/>
                <w:lang w:val="sr-Latn-ME"/>
              </w:rPr>
            </w:pPr>
            <w:r w:rsidRPr="00275456">
              <w:rPr>
                <w:sz w:val="22"/>
                <w:szCs w:val="22"/>
                <w:lang w:val="sr-Latn-ME"/>
              </w:rPr>
              <w:t>NP</w:t>
            </w:r>
          </w:p>
        </w:tc>
        <w:tc>
          <w:tcPr>
            <w:tcW w:w="1118" w:type="dxa"/>
            <w:shd w:val="clear" w:color="auto" w:fill="auto"/>
          </w:tcPr>
          <w:p w14:paraId="258A3E3E" w14:textId="77777777" w:rsidR="00785722" w:rsidRPr="00275456" w:rsidRDefault="00785722" w:rsidP="00A3401E">
            <w:pPr>
              <w:rPr>
                <w:sz w:val="22"/>
                <w:szCs w:val="22"/>
                <w:lang w:val="sr-Latn-ME"/>
              </w:rPr>
            </w:pPr>
            <w:r w:rsidRPr="00275456">
              <w:rPr>
                <w:sz w:val="22"/>
                <w:szCs w:val="22"/>
                <w:lang w:val="sr-Latn-ME"/>
              </w:rPr>
              <w:t>NP</w:t>
            </w:r>
          </w:p>
        </w:tc>
      </w:tr>
      <w:tr w:rsidR="00785722" w:rsidRPr="00275456" w14:paraId="0E659E16" w14:textId="77777777" w:rsidTr="00A3401E">
        <w:trPr>
          <w:cantSplit/>
          <w:jc w:val="center"/>
        </w:trPr>
        <w:tc>
          <w:tcPr>
            <w:tcW w:w="1061" w:type="dxa"/>
            <w:tcBorders>
              <w:top w:val="single" w:sz="4" w:space="0" w:color="auto"/>
              <w:left w:val="single" w:sz="4" w:space="0" w:color="auto"/>
              <w:bottom w:val="single" w:sz="4" w:space="0" w:color="auto"/>
              <w:right w:val="single" w:sz="4" w:space="0" w:color="auto"/>
            </w:tcBorders>
          </w:tcPr>
          <w:p w14:paraId="0233F87C" w14:textId="77777777" w:rsidR="00785722" w:rsidRPr="00EA088A" w:rsidRDefault="00785722" w:rsidP="00A3401E">
            <w:pPr>
              <w:tabs>
                <w:tab w:val="left" w:pos="284"/>
              </w:tabs>
              <w:rPr>
                <w:sz w:val="22"/>
                <w:szCs w:val="22"/>
                <w:lang w:val="sr-Latn-ME"/>
              </w:rPr>
            </w:pPr>
            <w:r w:rsidRPr="00EA088A">
              <w:rPr>
                <w:sz w:val="22"/>
                <w:szCs w:val="22"/>
                <w:lang w:val="sr-Latn-ME"/>
              </w:rPr>
              <w:t> 24. nedjelja</w:t>
            </w:r>
          </w:p>
        </w:tc>
        <w:tc>
          <w:tcPr>
            <w:tcW w:w="1090" w:type="dxa"/>
            <w:tcBorders>
              <w:top w:val="single" w:sz="4" w:space="0" w:color="auto"/>
              <w:left w:val="single" w:sz="4" w:space="0" w:color="auto"/>
              <w:bottom w:val="single" w:sz="4" w:space="0" w:color="auto"/>
              <w:right w:val="single" w:sz="4" w:space="0" w:color="auto"/>
            </w:tcBorders>
          </w:tcPr>
          <w:p w14:paraId="1ED061B9" w14:textId="77777777" w:rsidR="00785722" w:rsidRPr="00EA088A" w:rsidRDefault="00785722" w:rsidP="00A3401E">
            <w:pPr>
              <w:tabs>
                <w:tab w:val="left" w:pos="284"/>
              </w:tabs>
              <w:rPr>
                <w:sz w:val="22"/>
                <w:szCs w:val="22"/>
                <w:lang w:val="sr-Latn-ME"/>
              </w:rPr>
            </w:pPr>
            <w:r w:rsidRPr="00EA088A">
              <w:rPr>
                <w:sz w:val="22"/>
                <w:szCs w:val="22"/>
                <w:lang w:val="sr-Latn-ME"/>
              </w:rPr>
              <w:t>28%</w:t>
            </w:r>
          </w:p>
        </w:tc>
        <w:tc>
          <w:tcPr>
            <w:tcW w:w="1118" w:type="dxa"/>
            <w:tcBorders>
              <w:top w:val="single" w:sz="4" w:space="0" w:color="auto"/>
              <w:left w:val="single" w:sz="4" w:space="0" w:color="auto"/>
              <w:bottom w:val="single" w:sz="4" w:space="0" w:color="auto"/>
              <w:right w:val="single" w:sz="4" w:space="0" w:color="auto"/>
            </w:tcBorders>
          </w:tcPr>
          <w:p w14:paraId="3B41C449" w14:textId="77777777" w:rsidR="00785722" w:rsidRPr="00C9046D" w:rsidRDefault="00785722" w:rsidP="00A3401E">
            <w:pPr>
              <w:tabs>
                <w:tab w:val="left" w:pos="284"/>
              </w:tabs>
              <w:rPr>
                <w:sz w:val="22"/>
                <w:szCs w:val="22"/>
                <w:lang w:val="sr-Latn-ME"/>
              </w:rPr>
            </w:pPr>
            <w:r w:rsidRPr="00C9046D">
              <w:rPr>
                <w:sz w:val="22"/>
                <w:szCs w:val="22"/>
                <w:lang w:val="sr-Latn-ME"/>
              </w:rPr>
              <w:t>60%*</w:t>
            </w:r>
          </w:p>
        </w:tc>
        <w:tc>
          <w:tcPr>
            <w:tcW w:w="1080" w:type="dxa"/>
            <w:tcBorders>
              <w:top w:val="single" w:sz="4" w:space="0" w:color="auto"/>
              <w:left w:val="single" w:sz="4" w:space="0" w:color="auto"/>
              <w:bottom w:val="single" w:sz="4" w:space="0" w:color="auto"/>
              <w:right w:val="single" w:sz="4" w:space="0" w:color="auto"/>
            </w:tcBorders>
          </w:tcPr>
          <w:p w14:paraId="6513F956" w14:textId="77777777" w:rsidR="00785722" w:rsidRPr="00275456" w:rsidRDefault="00785722" w:rsidP="00A3401E">
            <w:pPr>
              <w:tabs>
                <w:tab w:val="left" w:pos="284"/>
              </w:tabs>
              <w:rPr>
                <w:sz w:val="22"/>
                <w:szCs w:val="22"/>
                <w:lang w:val="sr-Latn-ME"/>
              </w:rPr>
            </w:pPr>
            <w:r w:rsidRPr="00275456">
              <w:rPr>
                <w:sz w:val="22"/>
                <w:szCs w:val="22"/>
                <w:lang w:val="sr-Latn-ME"/>
              </w:rPr>
              <w:t>16%</w:t>
            </w:r>
          </w:p>
        </w:tc>
        <w:tc>
          <w:tcPr>
            <w:tcW w:w="1118" w:type="dxa"/>
            <w:tcBorders>
              <w:top w:val="single" w:sz="4" w:space="0" w:color="auto"/>
              <w:left w:val="single" w:sz="4" w:space="0" w:color="auto"/>
              <w:bottom w:val="single" w:sz="4" w:space="0" w:color="auto"/>
              <w:right w:val="single" w:sz="4" w:space="0" w:color="auto"/>
            </w:tcBorders>
          </w:tcPr>
          <w:p w14:paraId="4A5149C2" w14:textId="77777777" w:rsidR="00785722" w:rsidRPr="00275456" w:rsidRDefault="00785722" w:rsidP="00A3401E">
            <w:pPr>
              <w:tabs>
                <w:tab w:val="left" w:pos="284"/>
              </w:tabs>
              <w:rPr>
                <w:sz w:val="22"/>
                <w:szCs w:val="22"/>
                <w:lang w:val="sr-Latn-ME"/>
              </w:rPr>
            </w:pPr>
            <w:r w:rsidRPr="00275456">
              <w:rPr>
                <w:sz w:val="22"/>
                <w:szCs w:val="22"/>
                <w:lang w:val="sr-Latn-ME"/>
              </w:rPr>
              <w:t>31% p=0,002</w:t>
            </w:r>
          </w:p>
        </w:tc>
        <w:tc>
          <w:tcPr>
            <w:tcW w:w="927" w:type="dxa"/>
            <w:tcBorders>
              <w:top w:val="single" w:sz="4" w:space="0" w:color="auto"/>
              <w:bottom w:val="single" w:sz="4" w:space="0" w:color="auto"/>
            </w:tcBorders>
            <w:shd w:val="clear" w:color="auto" w:fill="auto"/>
          </w:tcPr>
          <w:p w14:paraId="2B87786F" w14:textId="77777777" w:rsidR="00785722" w:rsidRPr="00275456" w:rsidRDefault="00785722" w:rsidP="00A3401E">
            <w:pPr>
              <w:rPr>
                <w:sz w:val="22"/>
                <w:szCs w:val="22"/>
                <w:lang w:val="sr-Latn-ME"/>
              </w:rPr>
            </w:pPr>
            <w:r w:rsidRPr="00275456">
              <w:rPr>
                <w:sz w:val="22"/>
                <w:szCs w:val="22"/>
                <w:lang w:val="sr-Latn-ME"/>
              </w:rPr>
              <w:t>49%</w:t>
            </w:r>
          </w:p>
        </w:tc>
        <w:tc>
          <w:tcPr>
            <w:tcW w:w="1118" w:type="dxa"/>
            <w:shd w:val="clear" w:color="auto" w:fill="auto"/>
          </w:tcPr>
          <w:p w14:paraId="072415D1" w14:textId="77777777" w:rsidR="00785722" w:rsidRPr="00275456" w:rsidRDefault="00785722" w:rsidP="00A3401E">
            <w:pPr>
              <w:rPr>
                <w:sz w:val="22"/>
                <w:szCs w:val="22"/>
                <w:lang w:val="sr-Latn-ME"/>
              </w:rPr>
            </w:pPr>
            <w:r w:rsidRPr="00275456">
              <w:rPr>
                <w:sz w:val="22"/>
                <w:szCs w:val="22"/>
                <w:lang w:val="sr-Latn-ME"/>
              </w:rPr>
              <w:t>62%</w:t>
            </w:r>
          </w:p>
        </w:tc>
      </w:tr>
      <w:tr w:rsidR="00785722" w:rsidRPr="00275456" w14:paraId="13B33575" w14:textId="77777777" w:rsidTr="00A3401E">
        <w:trPr>
          <w:cantSplit/>
          <w:jc w:val="center"/>
        </w:trPr>
        <w:tc>
          <w:tcPr>
            <w:tcW w:w="1061" w:type="dxa"/>
            <w:tcBorders>
              <w:top w:val="single" w:sz="4" w:space="0" w:color="auto"/>
              <w:left w:val="single" w:sz="4" w:space="0" w:color="auto"/>
              <w:bottom w:val="single" w:sz="4" w:space="0" w:color="auto"/>
              <w:right w:val="single" w:sz="4" w:space="0" w:color="auto"/>
            </w:tcBorders>
          </w:tcPr>
          <w:p w14:paraId="6B6E7D71" w14:textId="77777777" w:rsidR="00785722" w:rsidRPr="00EA088A" w:rsidRDefault="00785722" w:rsidP="00A3401E">
            <w:pPr>
              <w:tabs>
                <w:tab w:val="left" w:pos="284"/>
              </w:tabs>
              <w:rPr>
                <w:sz w:val="22"/>
                <w:szCs w:val="22"/>
                <w:lang w:val="sr-Latn-ME"/>
              </w:rPr>
            </w:pPr>
            <w:r w:rsidRPr="00EA088A">
              <w:rPr>
                <w:sz w:val="22"/>
                <w:szCs w:val="22"/>
                <w:lang w:val="sr-Latn-ME"/>
              </w:rPr>
              <w:t>52. nedjelja</w:t>
            </w:r>
          </w:p>
        </w:tc>
        <w:tc>
          <w:tcPr>
            <w:tcW w:w="1090" w:type="dxa"/>
            <w:tcBorders>
              <w:top w:val="single" w:sz="4" w:space="0" w:color="auto"/>
              <w:left w:val="single" w:sz="4" w:space="0" w:color="auto"/>
              <w:bottom w:val="single" w:sz="4" w:space="0" w:color="auto"/>
              <w:right w:val="single" w:sz="4" w:space="0" w:color="auto"/>
            </w:tcBorders>
          </w:tcPr>
          <w:p w14:paraId="08CF54E3" w14:textId="77777777" w:rsidR="00785722" w:rsidRPr="00EA088A" w:rsidRDefault="00785722" w:rsidP="00A3401E">
            <w:pPr>
              <w:tabs>
                <w:tab w:val="left" w:pos="284"/>
              </w:tabs>
              <w:rPr>
                <w:sz w:val="22"/>
                <w:szCs w:val="22"/>
                <w:lang w:val="sr-Latn-ME"/>
              </w:rPr>
            </w:pPr>
            <w:r w:rsidRPr="00EA088A">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14F82D42" w14:textId="77777777" w:rsidR="00785722" w:rsidRPr="00C9046D" w:rsidRDefault="00785722" w:rsidP="00A3401E">
            <w:pPr>
              <w:tabs>
                <w:tab w:val="left" w:pos="284"/>
              </w:tabs>
              <w:rPr>
                <w:sz w:val="22"/>
                <w:szCs w:val="22"/>
                <w:lang w:val="sr-Latn-ME"/>
              </w:rPr>
            </w:pPr>
            <w:r w:rsidRPr="00C9046D">
              <w:rPr>
                <w:sz w:val="22"/>
                <w:szCs w:val="22"/>
                <w:lang w:val="sr-Latn-ME"/>
              </w:rPr>
              <w:t>NP</w:t>
            </w:r>
          </w:p>
        </w:tc>
        <w:tc>
          <w:tcPr>
            <w:tcW w:w="1080" w:type="dxa"/>
            <w:tcBorders>
              <w:top w:val="single" w:sz="4" w:space="0" w:color="auto"/>
              <w:left w:val="single" w:sz="4" w:space="0" w:color="auto"/>
              <w:bottom w:val="single" w:sz="4" w:space="0" w:color="auto"/>
              <w:right w:val="single" w:sz="4" w:space="0" w:color="auto"/>
            </w:tcBorders>
          </w:tcPr>
          <w:p w14:paraId="0FECF793" w14:textId="77777777" w:rsidR="00785722" w:rsidRPr="00275456" w:rsidRDefault="00785722" w:rsidP="00A3401E">
            <w:pPr>
              <w:tabs>
                <w:tab w:val="left" w:pos="284"/>
              </w:tabs>
              <w:rPr>
                <w:sz w:val="22"/>
                <w:szCs w:val="22"/>
                <w:lang w:val="sr-Latn-ME"/>
              </w:rPr>
            </w:pPr>
            <w:r w:rsidRPr="00275456">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10E27788" w14:textId="77777777" w:rsidR="00785722" w:rsidRPr="00275456" w:rsidRDefault="00785722" w:rsidP="00A3401E">
            <w:pPr>
              <w:tabs>
                <w:tab w:val="left" w:pos="284"/>
              </w:tabs>
              <w:rPr>
                <w:sz w:val="22"/>
                <w:szCs w:val="22"/>
                <w:lang w:val="sr-Latn-ME"/>
              </w:rPr>
            </w:pPr>
            <w:r w:rsidRPr="00275456">
              <w:rPr>
                <w:sz w:val="22"/>
                <w:szCs w:val="22"/>
                <w:lang w:val="sr-Latn-ME"/>
              </w:rPr>
              <w:t>NP</w:t>
            </w:r>
          </w:p>
        </w:tc>
        <w:tc>
          <w:tcPr>
            <w:tcW w:w="927" w:type="dxa"/>
            <w:tcBorders>
              <w:top w:val="single" w:sz="4" w:space="0" w:color="auto"/>
            </w:tcBorders>
            <w:shd w:val="clear" w:color="auto" w:fill="auto"/>
          </w:tcPr>
          <w:p w14:paraId="5B104790" w14:textId="77777777" w:rsidR="00785722" w:rsidRPr="00275456" w:rsidRDefault="00785722" w:rsidP="00A3401E">
            <w:pPr>
              <w:rPr>
                <w:sz w:val="22"/>
                <w:szCs w:val="22"/>
                <w:lang w:val="sr-Latn-ME"/>
              </w:rPr>
            </w:pPr>
            <w:r w:rsidRPr="00275456">
              <w:rPr>
                <w:sz w:val="22"/>
                <w:szCs w:val="22"/>
                <w:lang w:val="sr-Latn-ME"/>
              </w:rPr>
              <w:t>52%</w:t>
            </w:r>
          </w:p>
        </w:tc>
        <w:tc>
          <w:tcPr>
            <w:tcW w:w="1118" w:type="dxa"/>
            <w:shd w:val="clear" w:color="auto" w:fill="auto"/>
          </w:tcPr>
          <w:p w14:paraId="1A965122" w14:textId="77777777" w:rsidR="00785722" w:rsidRPr="00275456" w:rsidRDefault="00785722" w:rsidP="00A3401E">
            <w:pPr>
              <w:rPr>
                <w:sz w:val="22"/>
                <w:szCs w:val="22"/>
                <w:lang w:val="sr-Latn-ME"/>
              </w:rPr>
            </w:pPr>
            <w:r w:rsidRPr="00275456">
              <w:rPr>
                <w:sz w:val="22"/>
                <w:szCs w:val="22"/>
                <w:lang w:val="sr-Latn-ME"/>
              </w:rPr>
              <w:t>60%</w:t>
            </w:r>
          </w:p>
        </w:tc>
      </w:tr>
      <w:tr w:rsidR="00785722" w:rsidRPr="00275456" w14:paraId="464C123F" w14:textId="77777777" w:rsidTr="00A3401E">
        <w:trPr>
          <w:cantSplit/>
          <w:jc w:val="center"/>
        </w:trPr>
        <w:tc>
          <w:tcPr>
            <w:tcW w:w="7512" w:type="dxa"/>
            <w:gridSpan w:val="7"/>
            <w:tcBorders>
              <w:top w:val="single" w:sz="4" w:space="0" w:color="auto"/>
              <w:left w:val="single" w:sz="4" w:space="0" w:color="auto"/>
              <w:bottom w:val="single" w:sz="4" w:space="0" w:color="auto"/>
            </w:tcBorders>
            <w:vAlign w:val="center"/>
          </w:tcPr>
          <w:p w14:paraId="5D169481" w14:textId="77777777" w:rsidR="00785722" w:rsidRPr="00EA088A" w:rsidRDefault="00785722" w:rsidP="00A3401E">
            <w:pPr>
              <w:rPr>
                <w:sz w:val="22"/>
                <w:szCs w:val="22"/>
                <w:lang w:val="sr-Latn-ME"/>
              </w:rPr>
            </w:pPr>
            <w:r w:rsidRPr="00EA088A">
              <w:rPr>
                <w:b/>
                <w:bCs/>
                <w:sz w:val="22"/>
                <w:szCs w:val="22"/>
                <w:lang w:val="sr-Latn-ME"/>
              </w:rPr>
              <w:t>ACR 50</w:t>
            </w:r>
          </w:p>
        </w:tc>
      </w:tr>
      <w:tr w:rsidR="00785722" w:rsidRPr="00275456" w14:paraId="0D5556BC" w14:textId="77777777" w:rsidTr="00A3401E">
        <w:trPr>
          <w:cantSplit/>
          <w:jc w:val="center"/>
        </w:trPr>
        <w:tc>
          <w:tcPr>
            <w:tcW w:w="1061" w:type="dxa"/>
            <w:tcBorders>
              <w:top w:val="single" w:sz="4" w:space="0" w:color="auto"/>
              <w:left w:val="single" w:sz="4" w:space="0" w:color="auto"/>
              <w:bottom w:val="single" w:sz="4" w:space="0" w:color="auto"/>
              <w:right w:val="single" w:sz="4" w:space="0" w:color="auto"/>
            </w:tcBorders>
          </w:tcPr>
          <w:p w14:paraId="6F64DE9D" w14:textId="77777777" w:rsidR="00785722" w:rsidRPr="00EA088A" w:rsidRDefault="00785722" w:rsidP="00A3401E">
            <w:pPr>
              <w:tabs>
                <w:tab w:val="left" w:pos="284"/>
              </w:tabs>
              <w:rPr>
                <w:sz w:val="22"/>
                <w:szCs w:val="22"/>
                <w:lang w:val="sr-Latn-ME"/>
              </w:rPr>
            </w:pPr>
            <w:r w:rsidRPr="00EA088A">
              <w:rPr>
                <w:sz w:val="22"/>
                <w:szCs w:val="22"/>
                <w:lang w:val="sr-Latn-ME"/>
              </w:rPr>
              <w:t> 14. nedjelja</w:t>
            </w:r>
          </w:p>
        </w:tc>
        <w:tc>
          <w:tcPr>
            <w:tcW w:w="1090" w:type="dxa"/>
            <w:tcBorders>
              <w:top w:val="single" w:sz="4" w:space="0" w:color="auto"/>
              <w:left w:val="single" w:sz="4" w:space="0" w:color="auto"/>
              <w:bottom w:val="single" w:sz="4" w:space="0" w:color="auto"/>
              <w:right w:val="single" w:sz="4" w:space="0" w:color="auto"/>
            </w:tcBorders>
          </w:tcPr>
          <w:p w14:paraId="0BBD242D" w14:textId="77777777" w:rsidR="00785722" w:rsidRPr="00EA088A" w:rsidRDefault="00785722" w:rsidP="00A3401E">
            <w:pPr>
              <w:tabs>
                <w:tab w:val="left" w:pos="284"/>
              </w:tabs>
              <w:rPr>
                <w:sz w:val="22"/>
                <w:szCs w:val="22"/>
                <w:lang w:val="sr-Latn-ME"/>
              </w:rPr>
            </w:pPr>
            <w:r w:rsidRPr="00EA088A">
              <w:rPr>
                <w:sz w:val="22"/>
                <w:szCs w:val="22"/>
                <w:lang w:val="sr-Latn-ME"/>
              </w:rPr>
              <w:t>10%</w:t>
            </w:r>
          </w:p>
        </w:tc>
        <w:tc>
          <w:tcPr>
            <w:tcW w:w="1118" w:type="dxa"/>
            <w:tcBorders>
              <w:top w:val="single" w:sz="4" w:space="0" w:color="auto"/>
              <w:left w:val="single" w:sz="4" w:space="0" w:color="auto"/>
              <w:bottom w:val="single" w:sz="4" w:space="0" w:color="auto"/>
              <w:right w:val="single" w:sz="4" w:space="0" w:color="auto"/>
            </w:tcBorders>
          </w:tcPr>
          <w:p w14:paraId="72217EA1" w14:textId="77777777" w:rsidR="00785722" w:rsidRPr="00C9046D" w:rsidRDefault="00785722" w:rsidP="00A3401E">
            <w:pPr>
              <w:tabs>
                <w:tab w:val="left" w:pos="284"/>
              </w:tabs>
              <w:rPr>
                <w:sz w:val="22"/>
                <w:szCs w:val="22"/>
                <w:lang w:val="sr-Latn-ME"/>
              </w:rPr>
            </w:pPr>
            <w:r w:rsidRPr="00C9046D">
              <w:rPr>
                <w:sz w:val="22"/>
                <w:szCs w:val="22"/>
                <w:lang w:val="sr-Latn-ME"/>
              </w:rPr>
              <w:t>35%*</w:t>
            </w:r>
          </w:p>
        </w:tc>
        <w:tc>
          <w:tcPr>
            <w:tcW w:w="1080" w:type="dxa"/>
            <w:tcBorders>
              <w:top w:val="single" w:sz="4" w:space="0" w:color="auto"/>
              <w:left w:val="single" w:sz="4" w:space="0" w:color="auto"/>
              <w:bottom w:val="single" w:sz="4" w:space="0" w:color="auto"/>
              <w:right w:val="single" w:sz="4" w:space="0" w:color="auto"/>
            </w:tcBorders>
          </w:tcPr>
          <w:p w14:paraId="0A03CDBE" w14:textId="77777777" w:rsidR="00785722" w:rsidRPr="00275456" w:rsidRDefault="00785722" w:rsidP="00A3401E">
            <w:pPr>
              <w:tabs>
                <w:tab w:val="left" w:pos="284"/>
              </w:tabs>
              <w:rPr>
                <w:sz w:val="22"/>
                <w:szCs w:val="22"/>
                <w:lang w:val="sr-Latn-ME"/>
              </w:rPr>
            </w:pPr>
            <w:r w:rsidRPr="00275456">
              <w:rPr>
                <w:sz w:val="22"/>
                <w:szCs w:val="22"/>
                <w:lang w:val="sr-Latn-ME"/>
              </w:rPr>
              <w:t>7%</w:t>
            </w:r>
          </w:p>
        </w:tc>
        <w:tc>
          <w:tcPr>
            <w:tcW w:w="1118" w:type="dxa"/>
            <w:tcBorders>
              <w:top w:val="single" w:sz="4" w:space="0" w:color="auto"/>
              <w:left w:val="single" w:sz="4" w:space="0" w:color="auto"/>
              <w:bottom w:val="single" w:sz="4" w:space="0" w:color="auto"/>
              <w:right w:val="single" w:sz="4" w:space="0" w:color="auto"/>
            </w:tcBorders>
          </w:tcPr>
          <w:p w14:paraId="4EF8B130" w14:textId="77777777" w:rsidR="00785722" w:rsidRPr="00275456" w:rsidRDefault="00785722" w:rsidP="00A3401E">
            <w:pPr>
              <w:tabs>
                <w:tab w:val="left" w:pos="284"/>
              </w:tabs>
              <w:rPr>
                <w:sz w:val="22"/>
                <w:szCs w:val="22"/>
                <w:lang w:val="sr-Latn-ME"/>
              </w:rPr>
            </w:pPr>
            <w:r w:rsidRPr="00275456">
              <w:rPr>
                <w:sz w:val="22"/>
                <w:szCs w:val="22"/>
                <w:lang w:val="sr-Latn-ME"/>
              </w:rPr>
              <w:t>15% p=0,021</w:t>
            </w:r>
          </w:p>
        </w:tc>
        <w:tc>
          <w:tcPr>
            <w:tcW w:w="927" w:type="dxa"/>
            <w:shd w:val="clear" w:color="auto" w:fill="auto"/>
          </w:tcPr>
          <w:p w14:paraId="35B25CFF" w14:textId="77777777" w:rsidR="00785722" w:rsidRPr="00275456" w:rsidRDefault="00785722" w:rsidP="00A3401E">
            <w:pPr>
              <w:rPr>
                <w:sz w:val="22"/>
                <w:szCs w:val="22"/>
                <w:lang w:val="sr-Latn-ME"/>
              </w:rPr>
            </w:pPr>
            <w:r w:rsidRPr="00275456">
              <w:rPr>
                <w:sz w:val="22"/>
                <w:szCs w:val="22"/>
                <w:lang w:val="sr-Latn-ME"/>
              </w:rPr>
              <w:t>NP</w:t>
            </w:r>
          </w:p>
        </w:tc>
        <w:tc>
          <w:tcPr>
            <w:tcW w:w="1118" w:type="dxa"/>
            <w:shd w:val="clear" w:color="auto" w:fill="auto"/>
          </w:tcPr>
          <w:p w14:paraId="16A68552" w14:textId="77777777" w:rsidR="00785722" w:rsidRPr="00275456" w:rsidRDefault="00785722" w:rsidP="00A3401E">
            <w:pPr>
              <w:rPr>
                <w:sz w:val="22"/>
                <w:szCs w:val="22"/>
                <w:lang w:val="sr-Latn-ME"/>
              </w:rPr>
            </w:pPr>
            <w:r w:rsidRPr="00275456">
              <w:rPr>
                <w:sz w:val="22"/>
                <w:szCs w:val="22"/>
                <w:lang w:val="sr-Latn-ME"/>
              </w:rPr>
              <w:t>NP</w:t>
            </w:r>
          </w:p>
        </w:tc>
      </w:tr>
      <w:tr w:rsidR="00785722" w:rsidRPr="00275456" w14:paraId="7D5FCC6B" w14:textId="77777777" w:rsidTr="00A3401E">
        <w:trPr>
          <w:cantSplit/>
          <w:jc w:val="center"/>
        </w:trPr>
        <w:tc>
          <w:tcPr>
            <w:tcW w:w="1061" w:type="dxa"/>
            <w:tcBorders>
              <w:top w:val="single" w:sz="4" w:space="0" w:color="auto"/>
              <w:left w:val="single" w:sz="4" w:space="0" w:color="auto"/>
              <w:bottom w:val="single" w:sz="4" w:space="0" w:color="auto"/>
              <w:right w:val="single" w:sz="4" w:space="0" w:color="auto"/>
            </w:tcBorders>
          </w:tcPr>
          <w:p w14:paraId="1DED29C3" w14:textId="77777777" w:rsidR="00785722" w:rsidRPr="00EA088A" w:rsidRDefault="00785722" w:rsidP="00A3401E">
            <w:pPr>
              <w:tabs>
                <w:tab w:val="left" w:pos="284"/>
              </w:tabs>
              <w:rPr>
                <w:sz w:val="22"/>
                <w:szCs w:val="22"/>
                <w:lang w:val="sr-Latn-ME"/>
              </w:rPr>
            </w:pPr>
            <w:r w:rsidRPr="00EA088A">
              <w:rPr>
                <w:sz w:val="22"/>
                <w:szCs w:val="22"/>
                <w:lang w:val="sr-Latn-ME"/>
              </w:rPr>
              <w:t> 24. nedjelja</w:t>
            </w:r>
          </w:p>
        </w:tc>
        <w:tc>
          <w:tcPr>
            <w:tcW w:w="1090" w:type="dxa"/>
            <w:tcBorders>
              <w:top w:val="single" w:sz="4" w:space="0" w:color="auto"/>
              <w:left w:val="single" w:sz="4" w:space="0" w:color="auto"/>
              <w:bottom w:val="single" w:sz="4" w:space="0" w:color="auto"/>
              <w:right w:val="single" w:sz="4" w:space="0" w:color="auto"/>
            </w:tcBorders>
          </w:tcPr>
          <w:p w14:paraId="2E67F1E9" w14:textId="77777777" w:rsidR="00785722" w:rsidRPr="00EA088A" w:rsidRDefault="00785722" w:rsidP="00A3401E">
            <w:pPr>
              <w:tabs>
                <w:tab w:val="left" w:pos="284"/>
              </w:tabs>
              <w:rPr>
                <w:sz w:val="22"/>
                <w:szCs w:val="22"/>
                <w:lang w:val="sr-Latn-ME"/>
              </w:rPr>
            </w:pPr>
            <w:r w:rsidRPr="00EA088A">
              <w:rPr>
                <w:sz w:val="22"/>
                <w:szCs w:val="22"/>
                <w:lang w:val="sr-Latn-ME"/>
              </w:rPr>
              <w:t>14%</w:t>
            </w:r>
          </w:p>
        </w:tc>
        <w:tc>
          <w:tcPr>
            <w:tcW w:w="1118" w:type="dxa"/>
            <w:tcBorders>
              <w:top w:val="single" w:sz="4" w:space="0" w:color="auto"/>
              <w:left w:val="single" w:sz="4" w:space="0" w:color="auto"/>
              <w:bottom w:val="single" w:sz="4" w:space="0" w:color="auto"/>
              <w:right w:val="single" w:sz="4" w:space="0" w:color="auto"/>
            </w:tcBorders>
          </w:tcPr>
          <w:p w14:paraId="64B849D7" w14:textId="77777777" w:rsidR="00785722" w:rsidRPr="00C9046D" w:rsidRDefault="00785722" w:rsidP="00A3401E">
            <w:pPr>
              <w:tabs>
                <w:tab w:val="left" w:pos="284"/>
              </w:tabs>
              <w:rPr>
                <w:sz w:val="22"/>
                <w:szCs w:val="22"/>
                <w:lang w:val="sr-Latn-ME"/>
              </w:rPr>
            </w:pPr>
            <w:r w:rsidRPr="00C9046D">
              <w:rPr>
                <w:sz w:val="22"/>
                <w:szCs w:val="22"/>
                <w:lang w:val="sr-Latn-ME"/>
              </w:rPr>
              <w:t>37%*</w:t>
            </w:r>
          </w:p>
        </w:tc>
        <w:tc>
          <w:tcPr>
            <w:tcW w:w="1080" w:type="dxa"/>
            <w:tcBorders>
              <w:top w:val="single" w:sz="4" w:space="0" w:color="auto"/>
              <w:left w:val="single" w:sz="4" w:space="0" w:color="auto"/>
              <w:bottom w:val="single" w:sz="4" w:space="0" w:color="auto"/>
              <w:right w:val="single" w:sz="4" w:space="0" w:color="auto"/>
            </w:tcBorders>
          </w:tcPr>
          <w:p w14:paraId="0CF5A0EA" w14:textId="77777777" w:rsidR="00785722" w:rsidRPr="00275456" w:rsidRDefault="00785722" w:rsidP="00A3401E">
            <w:pPr>
              <w:tabs>
                <w:tab w:val="left" w:pos="284"/>
              </w:tabs>
              <w:rPr>
                <w:sz w:val="22"/>
                <w:szCs w:val="22"/>
                <w:lang w:val="sr-Latn-ME"/>
              </w:rPr>
            </w:pPr>
            <w:r w:rsidRPr="00275456">
              <w:rPr>
                <w:sz w:val="22"/>
                <w:szCs w:val="22"/>
                <w:lang w:val="sr-Latn-ME"/>
              </w:rPr>
              <w:t>4%</w:t>
            </w:r>
          </w:p>
        </w:tc>
        <w:tc>
          <w:tcPr>
            <w:tcW w:w="1118" w:type="dxa"/>
            <w:tcBorders>
              <w:top w:val="single" w:sz="4" w:space="0" w:color="auto"/>
              <w:left w:val="single" w:sz="4" w:space="0" w:color="auto"/>
              <w:bottom w:val="single" w:sz="4" w:space="0" w:color="auto"/>
              <w:right w:val="single" w:sz="4" w:space="0" w:color="auto"/>
            </w:tcBorders>
          </w:tcPr>
          <w:p w14:paraId="462AE263" w14:textId="77777777" w:rsidR="00785722" w:rsidRPr="00275456" w:rsidRDefault="00785722" w:rsidP="00A3401E">
            <w:pPr>
              <w:tabs>
                <w:tab w:val="left" w:pos="284"/>
              </w:tabs>
              <w:rPr>
                <w:sz w:val="22"/>
                <w:szCs w:val="22"/>
                <w:lang w:val="sr-Latn-ME"/>
              </w:rPr>
            </w:pPr>
            <w:r w:rsidRPr="00275456">
              <w:rPr>
                <w:sz w:val="22"/>
                <w:szCs w:val="22"/>
                <w:lang w:val="sr-Latn-ME"/>
              </w:rPr>
              <w:t>16%*</w:t>
            </w:r>
          </w:p>
        </w:tc>
        <w:tc>
          <w:tcPr>
            <w:tcW w:w="927" w:type="dxa"/>
            <w:shd w:val="clear" w:color="auto" w:fill="auto"/>
          </w:tcPr>
          <w:p w14:paraId="763BBE56" w14:textId="77777777" w:rsidR="00785722" w:rsidRPr="00275456" w:rsidRDefault="00785722" w:rsidP="00A3401E">
            <w:pPr>
              <w:rPr>
                <w:b/>
                <w:sz w:val="22"/>
                <w:szCs w:val="22"/>
                <w:lang w:val="sr-Latn-ME"/>
              </w:rPr>
            </w:pPr>
            <w:r w:rsidRPr="00275456">
              <w:rPr>
                <w:b/>
                <w:sz w:val="22"/>
                <w:szCs w:val="22"/>
                <w:lang w:val="sr-Latn-ME"/>
              </w:rPr>
              <w:t>29%</w:t>
            </w:r>
          </w:p>
        </w:tc>
        <w:tc>
          <w:tcPr>
            <w:tcW w:w="1118" w:type="dxa"/>
            <w:shd w:val="clear" w:color="auto" w:fill="auto"/>
          </w:tcPr>
          <w:p w14:paraId="6D01E94B" w14:textId="77777777" w:rsidR="00785722" w:rsidRPr="00275456" w:rsidRDefault="00785722" w:rsidP="00A3401E">
            <w:pPr>
              <w:rPr>
                <w:b/>
                <w:sz w:val="22"/>
                <w:szCs w:val="22"/>
                <w:lang w:val="sr-Latn-ME"/>
              </w:rPr>
            </w:pPr>
            <w:r w:rsidRPr="00275456">
              <w:rPr>
                <w:b/>
                <w:sz w:val="22"/>
                <w:szCs w:val="22"/>
                <w:lang w:val="sr-Latn-ME"/>
              </w:rPr>
              <w:t>40%</w:t>
            </w:r>
          </w:p>
        </w:tc>
      </w:tr>
      <w:tr w:rsidR="00785722" w:rsidRPr="00275456" w14:paraId="20D8BB44" w14:textId="77777777" w:rsidTr="00A3401E">
        <w:trPr>
          <w:cantSplit/>
          <w:jc w:val="center"/>
        </w:trPr>
        <w:tc>
          <w:tcPr>
            <w:tcW w:w="1061" w:type="dxa"/>
            <w:tcBorders>
              <w:top w:val="single" w:sz="4" w:space="0" w:color="auto"/>
              <w:left w:val="single" w:sz="4" w:space="0" w:color="auto"/>
              <w:bottom w:val="single" w:sz="4" w:space="0" w:color="auto"/>
              <w:right w:val="single" w:sz="4" w:space="0" w:color="auto"/>
            </w:tcBorders>
          </w:tcPr>
          <w:p w14:paraId="5F320D8B" w14:textId="77777777" w:rsidR="00785722" w:rsidRPr="00EA088A" w:rsidRDefault="00785722" w:rsidP="00A3401E">
            <w:pPr>
              <w:tabs>
                <w:tab w:val="left" w:pos="284"/>
              </w:tabs>
              <w:rPr>
                <w:sz w:val="22"/>
                <w:szCs w:val="22"/>
                <w:lang w:val="sr-Latn-ME"/>
              </w:rPr>
            </w:pPr>
            <w:r w:rsidRPr="00EA088A">
              <w:rPr>
                <w:sz w:val="22"/>
                <w:szCs w:val="22"/>
                <w:lang w:val="sr-Latn-ME"/>
              </w:rPr>
              <w:t>52. nedjelja</w:t>
            </w:r>
          </w:p>
        </w:tc>
        <w:tc>
          <w:tcPr>
            <w:tcW w:w="1090" w:type="dxa"/>
            <w:tcBorders>
              <w:top w:val="single" w:sz="4" w:space="0" w:color="auto"/>
              <w:left w:val="single" w:sz="4" w:space="0" w:color="auto"/>
              <w:bottom w:val="single" w:sz="4" w:space="0" w:color="auto"/>
              <w:right w:val="single" w:sz="4" w:space="0" w:color="auto"/>
            </w:tcBorders>
          </w:tcPr>
          <w:p w14:paraId="1E3E8443" w14:textId="77777777" w:rsidR="00785722" w:rsidRPr="00EA088A" w:rsidRDefault="00785722" w:rsidP="00A3401E">
            <w:pPr>
              <w:tabs>
                <w:tab w:val="left" w:pos="284"/>
              </w:tabs>
              <w:rPr>
                <w:sz w:val="22"/>
                <w:szCs w:val="22"/>
                <w:lang w:val="sr-Latn-ME"/>
              </w:rPr>
            </w:pPr>
            <w:r w:rsidRPr="00EA088A">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5F64ADFE" w14:textId="77777777" w:rsidR="00785722" w:rsidRPr="00C9046D" w:rsidRDefault="00785722" w:rsidP="00A3401E">
            <w:pPr>
              <w:tabs>
                <w:tab w:val="left" w:pos="284"/>
              </w:tabs>
              <w:rPr>
                <w:sz w:val="22"/>
                <w:szCs w:val="22"/>
                <w:lang w:val="sr-Latn-ME"/>
              </w:rPr>
            </w:pPr>
            <w:r w:rsidRPr="00C9046D">
              <w:rPr>
                <w:sz w:val="22"/>
                <w:szCs w:val="22"/>
                <w:lang w:val="sr-Latn-ME"/>
              </w:rPr>
              <w:t>NP</w:t>
            </w:r>
          </w:p>
        </w:tc>
        <w:tc>
          <w:tcPr>
            <w:tcW w:w="1080" w:type="dxa"/>
            <w:tcBorders>
              <w:top w:val="single" w:sz="4" w:space="0" w:color="auto"/>
              <w:left w:val="single" w:sz="4" w:space="0" w:color="auto"/>
              <w:bottom w:val="single" w:sz="4" w:space="0" w:color="auto"/>
              <w:right w:val="single" w:sz="4" w:space="0" w:color="auto"/>
            </w:tcBorders>
          </w:tcPr>
          <w:p w14:paraId="3473D732" w14:textId="77777777" w:rsidR="00785722" w:rsidRPr="00275456" w:rsidDel="0059000A" w:rsidRDefault="00785722" w:rsidP="00A3401E">
            <w:pPr>
              <w:tabs>
                <w:tab w:val="left" w:pos="284"/>
              </w:tabs>
              <w:rPr>
                <w:sz w:val="22"/>
                <w:szCs w:val="22"/>
                <w:lang w:val="sr-Latn-ME"/>
              </w:rPr>
            </w:pPr>
            <w:r w:rsidRPr="00275456">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5B135E8C" w14:textId="77777777" w:rsidR="00785722" w:rsidRPr="00275456" w:rsidRDefault="00785722" w:rsidP="00A3401E">
            <w:pPr>
              <w:tabs>
                <w:tab w:val="left" w:pos="284"/>
              </w:tabs>
              <w:rPr>
                <w:sz w:val="22"/>
                <w:szCs w:val="22"/>
                <w:lang w:val="sr-Latn-ME"/>
              </w:rPr>
            </w:pPr>
            <w:r w:rsidRPr="00275456">
              <w:rPr>
                <w:sz w:val="22"/>
                <w:szCs w:val="22"/>
                <w:lang w:val="sr-Latn-ME"/>
              </w:rPr>
              <w:t>NP</w:t>
            </w:r>
          </w:p>
        </w:tc>
        <w:tc>
          <w:tcPr>
            <w:tcW w:w="927" w:type="dxa"/>
            <w:shd w:val="clear" w:color="auto" w:fill="auto"/>
          </w:tcPr>
          <w:p w14:paraId="111F0258" w14:textId="77777777" w:rsidR="00785722" w:rsidRPr="00275456" w:rsidRDefault="00785722" w:rsidP="00A3401E">
            <w:pPr>
              <w:rPr>
                <w:sz w:val="22"/>
                <w:szCs w:val="22"/>
                <w:lang w:val="sr-Latn-ME"/>
              </w:rPr>
            </w:pPr>
            <w:r w:rsidRPr="00275456">
              <w:rPr>
                <w:sz w:val="22"/>
                <w:szCs w:val="22"/>
                <w:lang w:val="sr-Latn-ME"/>
              </w:rPr>
              <w:t>36%</w:t>
            </w:r>
          </w:p>
        </w:tc>
        <w:tc>
          <w:tcPr>
            <w:tcW w:w="1118" w:type="dxa"/>
            <w:shd w:val="clear" w:color="auto" w:fill="auto"/>
          </w:tcPr>
          <w:p w14:paraId="6DA9A981" w14:textId="77777777" w:rsidR="00785722" w:rsidRPr="00275456" w:rsidRDefault="00785722" w:rsidP="00A3401E">
            <w:pPr>
              <w:rPr>
                <w:sz w:val="22"/>
                <w:szCs w:val="22"/>
                <w:lang w:val="sr-Latn-ME"/>
              </w:rPr>
            </w:pPr>
            <w:r w:rsidRPr="00275456">
              <w:rPr>
                <w:sz w:val="22"/>
                <w:szCs w:val="22"/>
                <w:lang w:val="sr-Latn-ME"/>
              </w:rPr>
              <w:t>42%</w:t>
            </w:r>
          </w:p>
        </w:tc>
      </w:tr>
      <w:tr w:rsidR="00785722" w:rsidRPr="00275456" w14:paraId="2D75AF58" w14:textId="77777777" w:rsidTr="00A3401E">
        <w:trPr>
          <w:cantSplit/>
          <w:jc w:val="center"/>
        </w:trPr>
        <w:tc>
          <w:tcPr>
            <w:tcW w:w="7512" w:type="dxa"/>
            <w:gridSpan w:val="7"/>
            <w:tcBorders>
              <w:top w:val="single" w:sz="4" w:space="0" w:color="auto"/>
              <w:left w:val="single" w:sz="4" w:space="0" w:color="auto"/>
              <w:bottom w:val="single" w:sz="4" w:space="0" w:color="auto"/>
            </w:tcBorders>
            <w:vAlign w:val="center"/>
          </w:tcPr>
          <w:p w14:paraId="3594EDDB" w14:textId="77777777" w:rsidR="00785722" w:rsidRPr="00EA088A" w:rsidRDefault="00785722" w:rsidP="00A3401E">
            <w:pPr>
              <w:rPr>
                <w:sz w:val="22"/>
                <w:szCs w:val="22"/>
                <w:lang w:val="sr-Latn-ME"/>
              </w:rPr>
            </w:pPr>
            <w:r w:rsidRPr="00EA088A">
              <w:rPr>
                <w:b/>
                <w:bCs/>
                <w:sz w:val="22"/>
                <w:szCs w:val="22"/>
                <w:lang w:val="sr-Latn-ME"/>
              </w:rPr>
              <w:t>ACR 70</w:t>
            </w:r>
          </w:p>
        </w:tc>
      </w:tr>
      <w:tr w:rsidR="00785722" w:rsidRPr="00275456" w14:paraId="4CEFF2C0" w14:textId="77777777" w:rsidTr="00A3401E">
        <w:trPr>
          <w:cantSplit/>
          <w:jc w:val="center"/>
        </w:trPr>
        <w:tc>
          <w:tcPr>
            <w:tcW w:w="1061" w:type="dxa"/>
            <w:tcBorders>
              <w:top w:val="single" w:sz="4" w:space="0" w:color="auto"/>
              <w:left w:val="single" w:sz="4" w:space="0" w:color="auto"/>
              <w:bottom w:val="single" w:sz="4" w:space="0" w:color="auto"/>
              <w:right w:val="single" w:sz="4" w:space="0" w:color="auto"/>
            </w:tcBorders>
          </w:tcPr>
          <w:p w14:paraId="16D49312" w14:textId="77777777" w:rsidR="00785722" w:rsidRPr="00EA088A" w:rsidRDefault="00785722" w:rsidP="00A3401E">
            <w:pPr>
              <w:tabs>
                <w:tab w:val="left" w:pos="284"/>
              </w:tabs>
              <w:rPr>
                <w:sz w:val="22"/>
                <w:szCs w:val="22"/>
                <w:lang w:val="sr-Latn-ME"/>
              </w:rPr>
            </w:pPr>
            <w:r w:rsidRPr="00EA088A">
              <w:rPr>
                <w:sz w:val="22"/>
                <w:szCs w:val="22"/>
                <w:lang w:val="sr-Latn-ME"/>
              </w:rPr>
              <w:t> 14. nedjelja</w:t>
            </w:r>
          </w:p>
        </w:tc>
        <w:tc>
          <w:tcPr>
            <w:tcW w:w="1090" w:type="dxa"/>
            <w:tcBorders>
              <w:top w:val="single" w:sz="4" w:space="0" w:color="auto"/>
              <w:left w:val="single" w:sz="4" w:space="0" w:color="auto"/>
              <w:bottom w:val="single" w:sz="4" w:space="0" w:color="auto"/>
              <w:right w:val="single" w:sz="4" w:space="0" w:color="auto"/>
            </w:tcBorders>
          </w:tcPr>
          <w:p w14:paraId="741AD3AE" w14:textId="77777777" w:rsidR="00785722" w:rsidRPr="00EA088A" w:rsidRDefault="00785722" w:rsidP="00A3401E">
            <w:pPr>
              <w:tabs>
                <w:tab w:val="left" w:pos="284"/>
              </w:tabs>
              <w:rPr>
                <w:sz w:val="22"/>
                <w:szCs w:val="22"/>
                <w:lang w:val="sr-Latn-ME"/>
              </w:rPr>
            </w:pPr>
            <w:r w:rsidRPr="00EA088A">
              <w:rPr>
                <w:sz w:val="22"/>
                <w:szCs w:val="22"/>
                <w:lang w:val="sr-Latn-ME"/>
              </w:rPr>
              <w:t>4%</w:t>
            </w:r>
          </w:p>
        </w:tc>
        <w:tc>
          <w:tcPr>
            <w:tcW w:w="1118" w:type="dxa"/>
            <w:tcBorders>
              <w:top w:val="single" w:sz="4" w:space="0" w:color="auto"/>
              <w:left w:val="single" w:sz="4" w:space="0" w:color="auto"/>
              <w:bottom w:val="single" w:sz="4" w:space="0" w:color="auto"/>
              <w:right w:val="single" w:sz="4" w:space="0" w:color="auto"/>
            </w:tcBorders>
          </w:tcPr>
          <w:p w14:paraId="4437B89D" w14:textId="77777777" w:rsidR="00785722" w:rsidRPr="00C9046D" w:rsidRDefault="00785722" w:rsidP="00A3401E">
            <w:pPr>
              <w:tabs>
                <w:tab w:val="left" w:pos="284"/>
              </w:tabs>
              <w:rPr>
                <w:sz w:val="22"/>
                <w:szCs w:val="22"/>
                <w:lang w:val="sr-Latn-ME"/>
              </w:rPr>
            </w:pPr>
            <w:r w:rsidRPr="00C9046D">
              <w:rPr>
                <w:sz w:val="22"/>
                <w:szCs w:val="22"/>
                <w:lang w:val="sr-Latn-ME"/>
              </w:rPr>
              <w:t>14% p=0,008</w:t>
            </w:r>
          </w:p>
        </w:tc>
        <w:tc>
          <w:tcPr>
            <w:tcW w:w="1080" w:type="dxa"/>
            <w:tcBorders>
              <w:top w:val="single" w:sz="4" w:space="0" w:color="auto"/>
              <w:left w:val="single" w:sz="4" w:space="0" w:color="auto"/>
              <w:bottom w:val="single" w:sz="4" w:space="0" w:color="auto"/>
              <w:right w:val="single" w:sz="4" w:space="0" w:color="auto"/>
            </w:tcBorders>
          </w:tcPr>
          <w:p w14:paraId="28B2495C" w14:textId="77777777" w:rsidR="00785722" w:rsidRPr="00275456" w:rsidRDefault="00785722" w:rsidP="00A3401E">
            <w:pPr>
              <w:tabs>
                <w:tab w:val="left" w:pos="284"/>
              </w:tabs>
              <w:rPr>
                <w:sz w:val="22"/>
                <w:szCs w:val="22"/>
                <w:lang w:val="sr-Latn-ME"/>
              </w:rPr>
            </w:pPr>
            <w:r w:rsidRPr="00275456">
              <w:rPr>
                <w:sz w:val="22"/>
                <w:szCs w:val="22"/>
                <w:lang w:val="sr-Latn-ME"/>
              </w:rPr>
              <w:t>2%</w:t>
            </w:r>
          </w:p>
        </w:tc>
        <w:tc>
          <w:tcPr>
            <w:tcW w:w="1118" w:type="dxa"/>
            <w:tcBorders>
              <w:top w:val="single" w:sz="4" w:space="0" w:color="auto"/>
              <w:left w:val="single" w:sz="4" w:space="0" w:color="auto"/>
              <w:bottom w:val="single" w:sz="4" w:space="0" w:color="auto"/>
              <w:right w:val="single" w:sz="4" w:space="0" w:color="auto"/>
            </w:tcBorders>
          </w:tcPr>
          <w:p w14:paraId="5AB51E98" w14:textId="77777777" w:rsidR="00785722" w:rsidRPr="00275456" w:rsidRDefault="00785722" w:rsidP="00A3401E">
            <w:pPr>
              <w:tabs>
                <w:tab w:val="left" w:pos="284"/>
              </w:tabs>
              <w:rPr>
                <w:sz w:val="22"/>
                <w:szCs w:val="22"/>
                <w:lang w:val="sr-Latn-ME"/>
              </w:rPr>
            </w:pPr>
            <w:r w:rsidRPr="00275456">
              <w:rPr>
                <w:sz w:val="22"/>
                <w:szCs w:val="22"/>
                <w:lang w:val="sr-Latn-ME"/>
              </w:rPr>
              <w:t>10% p=0,005</w:t>
            </w:r>
          </w:p>
        </w:tc>
        <w:tc>
          <w:tcPr>
            <w:tcW w:w="927" w:type="dxa"/>
            <w:tcBorders>
              <w:bottom w:val="single" w:sz="4" w:space="0" w:color="auto"/>
            </w:tcBorders>
            <w:shd w:val="clear" w:color="auto" w:fill="auto"/>
          </w:tcPr>
          <w:p w14:paraId="716394B1" w14:textId="77777777" w:rsidR="00785722" w:rsidRPr="00275456" w:rsidRDefault="00785722" w:rsidP="00A3401E">
            <w:pPr>
              <w:rPr>
                <w:sz w:val="22"/>
                <w:szCs w:val="22"/>
                <w:lang w:val="sr-Latn-ME"/>
              </w:rPr>
            </w:pPr>
            <w:r w:rsidRPr="00275456">
              <w:rPr>
                <w:sz w:val="22"/>
                <w:szCs w:val="22"/>
                <w:lang w:val="sr-Latn-ME"/>
              </w:rPr>
              <w:t>NP</w:t>
            </w:r>
          </w:p>
        </w:tc>
        <w:tc>
          <w:tcPr>
            <w:tcW w:w="1118" w:type="dxa"/>
            <w:shd w:val="clear" w:color="auto" w:fill="auto"/>
          </w:tcPr>
          <w:p w14:paraId="144C4496" w14:textId="77777777" w:rsidR="00785722" w:rsidRPr="00275456" w:rsidRDefault="00785722" w:rsidP="00A3401E">
            <w:pPr>
              <w:rPr>
                <w:sz w:val="22"/>
                <w:szCs w:val="22"/>
                <w:lang w:val="sr-Latn-ME"/>
              </w:rPr>
            </w:pPr>
            <w:r w:rsidRPr="00275456">
              <w:rPr>
                <w:sz w:val="22"/>
                <w:szCs w:val="22"/>
                <w:lang w:val="sr-Latn-ME"/>
              </w:rPr>
              <w:t>NP</w:t>
            </w:r>
          </w:p>
        </w:tc>
      </w:tr>
      <w:tr w:rsidR="00785722" w:rsidRPr="00275456" w14:paraId="08277D62" w14:textId="77777777" w:rsidTr="00A3401E">
        <w:trPr>
          <w:cantSplit/>
          <w:jc w:val="center"/>
        </w:trPr>
        <w:tc>
          <w:tcPr>
            <w:tcW w:w="1061" w:type="dxa"/>
            <w:tcBorders>
              <w:top w:val="single" w:sz="4" w:space="0" w:color="auto"/>
              <w:left w:val="single" w:sz="4" w:space="0" w:color="auto"/>
              <w:bottom w:val="single" w:sz="4" w:space="0" w:color="auto"/>
              <w:right w:val="single" w:sz="4" w:space="0" w:color="auto"/>
            </w:tcBorders>
          </w:tcPr>
          <w:p w14:paraId="2C409BCC" w14:textId="77777777" w:rsidR="00785722" w:rsidRPr="00EA088A" w:rsidRDefault="00785722" w:rsidP="00A3401E">
            <w:pPr>
              <w:tabs>
                <w:tab w:val="left" w:pos="284"/>
              </w:tabs>
              <w:rPr>
                <w:sz w:val="22"/>
                <w:szCs w:val="22"/>
                <w:lang w:val="sr-Latn-ME"/>
              </w:rPr>
            </w:pPr>
            <w:r w:rsidRPr="00EA088A">
              <w:rPr>
                <w:sz w:val="22"/>
                <w:szCs w:val="22"/>
                <w:lang w:val="sr-Latn-ME"/>
              </w:rPr>
              <w:t> 24. nedjelja</w:t>
            </w:r>
          </w:p>
        </w:tc>
        <w:tc>
          <w:tcPr>
            <w:tcW w:w="1090" w:type="dxa"/>
            <w:tcBorders>
              <w:top w:val="single" w:sz="4" w:space="0" w:color="auto"/>
              <w:left w:val="single" w:sz="4" w:space="0" w:color="auto"/>
              <w:bottom w:val="single" w:sz="4" w:space="0" w:color="auto"/>
              <w:right w:val="single" w:sz="4" w:space="0" w:color="auto"/>
            </w:tcBorders>
          </w:tcPr>
          <w:p w14:paraId="45A5B81A" w14:textId="77777777" w:rsidR="00785722" w:rsidRPr="00EA088A" w:rsidRDefault="00785722" w:rsidP="00A3401E">
            <w:pPr>
              <w:tabs>
                <w:tab w:val="left" w:pos="284"/>
              </w:tabs>
              <w:rPr>
                <w:sz w:val="22"/>
                <w:szCs w:val="22"/>
                <w:lang w:val="sr-Latn-ME"/>
              </w:rPr>
            </w:pPr>
            <w:r w:rsidRPr="00EA088A">
              <w:rPr>
                <w:sz w:val="22"/>
                <w:szCs w:val="22"/>
                <w:lang w:val="sr-Latn-ME"/>
              </w:rPr>
              <w:t>5%</w:t>
            </w:r>
          </w:p>
        </w:tc>
        <w:tc>
          <w:tcPr>
            <w:tcW w:w="1118" w:type="dxa"/>
            <w:tcBorders>
              <w:top w:val="single" w:sz="4" w:space="0" w:color="auto"/>
              <w:left w:val="single" w:sz="4" w:space="0" w:color="auto"/>
              <w:bottom w:val="single" w:sz="4" w:space="0" w:color="auto"/>
              <w:right w:val="single" w:sz="4" w:space="0" w:color="auto"/>
            </w:tcBorders>
          </w:tcPr>
          <w:p w14:paraId="019492DE" w14:textId="77777777" w:rsidR="00785722" w:rsidRPr="00C9046D" w:rsidRDefault="00785722" w:rsidP="00A3401E">
            <w:pPr>
              <w:tabs>
                <w:tab w:val="left" w:pos="284"/>
              </w:tabs>
              <w:rPr>
                <w:sz w:val="22"/>
                <w:szCs w:val="22"/>
                <w:lang w:val="sr-Latn-ME"/>
              </w:rPr>
            </w:pPr>
            <w:r w:rsidRPr="00C9046D">
              <w:rPr>
                <w:sz w:val="22"/>
                <w:szCs w:val="22"/>
                <w:lang w:val="sr-Latn-ME"/>
              </w:rPr>
              <w:t>20%*</w:t>
            </w:r>
          </w:p>
        </w:tc>
        <w:tc>
          <w:tcPr>
            <w:tcW w:w="1080" w:type="dxa"/>
            <w:tcBorders>
              <w:top w:val="single" w:sz="4" w:space="0" w:color="auto"/>
              <w:left w:val="single" w:sz="4" w:space="0" w:color="auto"/>
              <w:bottom w:val="single" w:sz="4" w:space="0" w:color="auto"/>
              <w:right w:val="single" w:sz="4" w:space="0" w:color="auto"/>
            </w:tcBorders>
          </w:tcPr>
          <w:p w14:paraId="3BD304D2" w14:textId="77777777" w:rsidR="00785722" w:rsidRPr="00275456" w:rsidRDefault="00785722" w:rsidP="00A3401E">
            <w:pPr>
              <w:tabs>
                <w:tab w:val="left" w:pos="284"/>
              </w:tabs>
              <w:rPr>
                <w:sz w:val="22"/>
                <w:szCs w:val="22"/>
                <w:lang w:val="sr-Latn-ME"/>
              </w:rPr>
            </w:pPr>
            <w:r w:rsidRPr="00275456">
              <w:rPr>
                <w:sz w:val="22"/>
                <w:szCs w:val="22"/>
                <w:lang w:val="sr-Latn-ME"/>
              </w:rPr>
              <w:t>2%</w:t>
            </w:r>
          </w:p>
        </w:tc>
        <w:tc>
          <w:tcPr>
            <w:tcW w:w="1118" w:type="dxa"/>
            <w:tcBorders>
              <w:top w:val="single" w:sz="4" w:space="0" w:color="auto"/>
              <w:left w:val="single" w:sz="4" w:space="0" w:color="auto"/>
              <w:bottom w:val="single" w:sz="4" w:space="0" w:color="auto"/>
              <w:right w:val="single" w:sz="4" w:space="0" w:color="auto"/>
            </w:tcBorders>
          </w:tcPr>
          <w:p w14:paraId="296CD2A5" w14:textId="77777777" w:rsidR="00785722" w:rsidRPr="00275456" w:rsidRDefault="00785722" w:rsidP="00A3401E">
            <w:pPr>
              <w:tabs>
                <w:tab w:val="left" w:pos="284"/>
              </w:tabs>
              <w:rPr>
                <w:sz w:val="22"/>
                <w:szCs w:val="22"/>
                <w:lang w:val="sr-Latn-ME"/>
              </w:rPr>
            </w:pPr>
            <w:r w:rsidRPr="00275456">
              <w:rPr>
                <w:sz w:val="22"/>
                <w:szCs w:val="22"/>
                <w:lang w:val="sr-Latn-ME"/>
              </w:rPr>
              <w:t xml:space="preserve">  9% p=0,009</w:t>
            </w:r>
          </w:p>
        </w:tc>
        <w:tc>
          <w:tcPr>
            <w:tcW w:w="927" w:type="dxa"/>
            <w:tcBorders>
              <w:top w:val="single" w:sz="4" w:space="0" w:color="auto"/>
              <w:bottom w:val="single" w:sz="4" w:space="0" w:color="auto"/>
            </w:tcBorders>
            <w:shd w:val="clear" w:color="auto" w:fill="auto"/>
          </w:tcPr>
          <w:p w14:paraId="4ED9C787" w14:textId="77777777" w:rsidR="00785722" w:rsidRPr="00275456" w:rsidRDefault="00785722" w:rsidP="00A3401E">
            <w:pPr>
              <w:rPr>
                <w:sz w:val="22"/>
                <w:szCs w:val="22"/>
                <w:lang w:val="sr-Latn-ME"/>
              </w:rPr>
            </w:pPr>
            <w:r w:rsidRPr="00275456">
              <w:rPr>
                <w:sz w:val="22"/>
                <w:szCs w:val="22"/>
                <w:lang w:val="sr-Latn-ME"/>
              </w:rPr>
              <w:t>16%</w:t>
            </w:r>
          </w:p>
        </w:tc>
        <w:tc>
          <w:tcPr>
            <w:tcW w:w="1118" w:type="dxa"/>
            <w:shd w:val="clear" w:color="auto" w:fill="auto"/>
          </w:tcPr>
          <w:p w14:paraId="13C859BE" w14:textId="77777777" w:rsidR="00785722" w:rsidRPr="00275456" w:rsidRDefault="00785722" w:rsidP="00A3401E">
            <w:pPr>
              <w:rPr>
                <w:sz w:val="22"/>
                <w:szCs w:val="22"/>
                <w:lang w:val="sr-Latn-ME"/>
              </w:rPr>
            </w:pPr>
            <w:r w:rsidRPr="00275456">
              <w:rPr>
                <w:sz w:val="22"/>
                <w:szCs w:val="22"/>
                <w:lang w:val="sr-Latn-ME"/>
              </w:rPr>
              <w:t>24%</w:t>
            </w:r>
          </w:p>
        </w:tc>
      </w:tr>
      <w:tr w:rsidR="00785722" w:rsidRPr="00275456" w14:paraId="3E7E5CEF" w14:textId="77777777" w:rsidTr="00A3401E">
        <w:trPr>
          <w:cantSplit/>
          <w:jc w:val="center"/>
        </w:trPr>
        <w:tc>
          <w:tcPr>
            <w:tcW w:w="1061" w:type="dxa"/>
            <w:tcBorders>
              <w:top w:val="single" w:sz="4" w:space="0" w:color="auto"/>
              <w:left w:val="single" w:sz="4" w:space="0" w:color="auto"/>
              <w:bottom w:val="single" w:sz="4" w:space="0" w:color="auto"/>
              <w:right w:val="single" w:sz="4" w:space="0" w:color="auto"/>
            </w:tcBorders>
          </w:tcPr>
          <w:p w14:paraId="6E01C448" w14:textId="77777777" w:rsidR="00785722" w:rsidRPr="00EA088A" w:rsidRDefault="00785722" w:rsidP="00A3401E">
            <w:pPr>
              <w:tabs>
                <w:tab w:val="left" w:pos="284"/>
              </w:tabs>
              <w:rPr>
                <w:sz w:val="22"/>
                <w:szCs w:val="22"/>
                <w:lang w:val="sr-Latn-ME"/>
              </w:rPr>
            </w:pPr>
            <w:r w:rsidRPr="00EA088A">
              <w:rPr>
                <w:sz w:val="22"/>
                <w:szCs w:val="22"/>
                <w:lang w:val="sr-Latn-ME"/>
              </w:rPr>
              <w:t>52. nedjelja</w:t>
            </w:r>
          </w:p>
        </w:tc>
        <w:tc>
          <w:tcPr>
            <w:tcW w:w="1090" w:type="dxa"/>
            <w:tcBorders>
              <w:top w:val="single" w:sz="4" w:space="0" w:color="auto"/>
              <w:left w:val="single" w:sz="4" w:space="0" w:color="auto"/>
              <w:bottom w:val="single" w:sz="4" w:space="0" w:color="auto"/>
              <w:right w:val="single" w:sz="4" w:space="0" w:color="auto"/>
            </w:tcBorders>
          </w:tcPr>
          <w:p w14:paraId="54D3FA63" w14:textId="77777777" w:rsidR="00785722" w:rsidRPr="00EA088A" w:rsidRDefault="00785722" w:rsidP="00A3401E">
            <w:pPr>
              <w:tabs>
                <w:tab w:val="left" w:pos="284"/>
              </w:tabs>
              <w:rPr>
                <w:sz w:val="22"/>
                <w:szCs w:val="22"/>
                <w:lang w:val="sr-Latn-ME"/>
              </w:rPr>
            </w:pPr>
            <w:r w:rsidRPr="00EA088A">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63398819" w14:textId="77777777" w:rsidR="00785722" w:rsidRPr="00C9046D" w:rsidRDefault="00785722" w:rsidP="00A3401E">
            <w:pPr>
              <w:tabs>
                <w:tab w:val="left" w:pos="284"/>
              </w:tabs>
              <w:rPr>
                <w:sz w:val="22"/>
                <w:szCs w:val="22"/>
                <w:lang w:val="sr-Latn-ME"/>
              </w:rPr>
            </w:pPr>
            <w:r w:rsidRPr="00C9046D">
              <w:rPr>
                <w:sz w:val="22"/>
                <w:szCs w:val="22"/>
                <w:lang w:val="sr-Latn-ME"/>
              </w:rPr>
              <w:t>NP</w:t>
            </w:r>
          </w:p>
        </w:tc>
        <w:tc>
          <w:tcPr>
            <w:tcW w:w="1080" w:type="dxa"/>
            <w:tcBorders>
              <w:top w:val="single" w:sz="4" w:space="0" w:color="auto"/>
              <w:left w:val="single" w:sz="4" w:space="0" w:color="auto"/>
              <w:bottom w:val="single" w:sz="4" w:space="0" w:color="auto"/>
              <w:right w:val="single" w:sz="4" w:space="0" w:color="auto"/>
            </w:tcBorders>
          </w:tcPr>
          <w:p w14:paraId="312702A5" w14:textId="77777777" w:rsidR="00785722" w:rsidRPr="00275456" w:rsidDel="00436999" w:rsidRDefault="00785722" w:rsidP="00A3401E">
            <w:pPr>
              <w:tabs>
                <w:tab w:val="left" w:pos="284"/>
              </w:tabs>
              <w:rPr>
                <w:sz w:val="22"/>
                <w:szCs w:val="22"/>
                <w:lang w:val="sr-Latn-ME"/>
              </w:rPr>
            </w:pPr>
            <w:r w:rsidRPr="00275456">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409D4C6F" w14:textId="77777777" w:rsidR="00785722" w:rsidRPr="00275456" w:rsidRDefault="00785722" w:rsidP="00A3401E">
            <w:pPr>
              <w:tabs>
                <w:tab w:val="left" w:pos="284"/>
              </w:tabs>
              <w:rPr>
                <w:sz w:val="22"/>
                <w:szCs w:val="22"/>
                <w:lang w:val="sr-Latn-ME"/>
              </w:rPr>
            </w:pPr>
            <w:r w:rsidRPr="00275456">
              <w:rPr>
                <w:sz w:val="22"/>
                <w:szCs w:val="22"/>
                <w:lang w:val="sr-Latn-ME"/>
              </w:rPr>
              <w:t>NP</w:t>
            </w:r>
          </w:p>
        </w:tc>
        <w:tc>
          <w:tcPr>
            <w:tcW w:w="927" w:type="dxa"/>
            <w:tcBorders>
              <w:top w:val="single" w:sz="4" w:space="0" w:color="auto"/>
              <w:bottom w:val="single" w:sz="4" w:space="0" w:color="auto"/>
            </w:tcBorders>
            <w:shd w:val="clear" w:color="auto" w:fill="auto"/>
          </w:tcPr>
          <w:p w14:paraId="6D8A05A7" w14:textId="77777777" w:rsidR="00785722" w:rsidRPr="00275456" w:rsidRDefault="00785722" w:rsidP="00A3401E">
            <w:pPr>
              <w:rPr>
                <w:sz w:val="22"/>
                <w:szCs w:val="22"/>
                <w:lang w:val="sr-Latn-ME"/>
              </w:rPr>
            </w:pPr>
            <w:r w:rsidRPr="00275456">
              <w:rPr>
                <w:sz w:val="22"/>
                <w:szCs w:val="22"/>
                <w:lang w:val="sr-Latn-ME"/>
              </w:rPr>
              <w:t>22%</w:t>
            </w:r>
          </w:p>
        </w:tc>
        <w:tc>
          <w:tcPr>
            <w:tcW w:w="1118" w:type="dxa"/>
            <w:tcBorders>
              <w:bottom w:val="single" w:sz="4" w:space="0" w:color="auto"/>
            </w:tcBorders>
            <w:shd w:val="clear" w:color="auto" w:fill="auto"/>
          </w:tcPr>
          <w:p w14:paraId="6307D4DF" w14:textId="77777777" w:rsidR="00785722" w:rsidRPr="00275456" w:rsidRDefault="00785722" w:rsidP="00A3401E">
            <w:pPr>
              <w:rPr>
                <w:sz w:val="22"/>
                <w:szCs w:val="22"/>
                <w:lang w:val="sr-Latn-ME"/>
              </w:rPr>
            </w:pPr>
            <w:r w:rsidRPr="00275456">
              <w:rPr>
                <w:sz w:val="22"/>
                <w:szCs w:val="22"/>
                <w:lang w:val="sr-Latn-ME"/>
              </w:rPr>
              <w:t>28%</w:t>
            </w:r>
          </w:p>
        </w:tc>
      </w:tr>
      <w:tr w:rsidR="00785722" w:rsidRPr="00275456" w14:paraId="5D5EF590" w14:textId="77777777" w:rsidTr="00A3401E">
        <w:trPr>
          <w:cantSplit/>
          <w:jc w:val="center"/>
        </w:trPr>
        <w:tc>
          <w:tcPr>
            <w:tcW w:w="7512" w:type="dxa"/>
            <w:gridSpan w:val="7"/>
            <w:tcBorders>
              <w:top w:val="single" w:sz="4" w:space="0" w:color="auto"/>
              <w:left w:val="nil"/>
              <w:bottom w:val="nil"/>
              <w:right w:val="nil"/>
            </w:tcBorders>
          </w:tcPr>
          <w:p w14:paraId="10C00236" w14:textId="3CFC90E5" w:rsidR="00785722" w:rsidRPr="005C6DFE" w:rsidRDefault="00785722" w:rsidP="00A3401E">
            <w:pPr>
              <w:tabs>
                <w:tab w:val="left" w:pos="284"/>
              </w:tabs>
              <w:ind w:left="450" w:hanging="450"/>
              <w:rPr>
                <w:sz w:val="22"/>
                <w:szCs w:val="22"/>
                <w:lang w:val="sr-Latn-ME"/>
              </w:rPr>
            </w:pPr>
            <w:r w:rsidRPr="005C6DFE">
              <w:rPr>
                <w:sz w:val="22"/>
                <w:szCs w:val="22"/>
                <w:lang w:val="sr-Latn-ME"/>
              </w:rPr>
              <w:lastRenderedPageBreak/>
              <w:t>a</w:t>
            </w:r>
            <w:r w:rsidRPr="005C6DFE">
              <w:rPr>
                <w:sz w:val="22"/>
                <w:szCs w:val="22"/>
                <w:lang w:val="sr-Latn-ME"/>
              </w:rPr>
              <w:tab/>
            </w:r>
            <w:r w:rsidR="00597BCD" w:rsidRPr="005C6DFE">
              <w:rPr>
                <w:sz w:val="22"/>
                <w:szCs w:val="22"/>
                <w:lang w:val="sr-Latn-ME"/>
              </w:rPr>
              <w:t>n</w:t>
            </w:r>
            <w:r w:rsidRPr="005C6DFE">
              <w:rPr>
                <w:sz w:val="22"/>
                <w:szCs w:val="22"/>
                <w:lang w:val="sr-Latn-ME"/>
              </w:rPr>
              <w:t xml:space="preserve"> se odnosi na randomizovane pacijente; stvarni broj pacijenata koji je bilo moguće ocijeniti za pojedini </w:t>
            </w:r>
            <w:r w:rsidR="003C685D" w:rsidRPr="005C6DFE">
              <w:rPr>
                <w:sz w:val="22"/>
                <w:szCs w:val="22"/>
                <w:lang w:val="sr-Latn-ME"/>
              </w:rPr>
              <w:t xml:space="preserve">parametar praćenja </w:t>
            </w:r>
            <w:r w:rsidRPr="005C6DFE">
              <w:rPr>
                <w:sz w:val="22"/>
                <w:szCs w:val="22"/>
                <w:lang w:val="sr-Latn-ME"/>
              </w:rPr>
              <w:t>može se razlikovati po vremenskim tačkama procjene.</w:t>
            </w:r>
          </w:p>
          <w:p w14:paraId="31218CBD" w14:textId="77777777" w:rsidR="00785722" w:rsidRPr="005C6DFE" w:rsidRDefault="00785722" w:rsidP="00A3401E">
            <w:pPr>
              <w:tabs>
                <w:tab w:val="left" w:pos="284"/>
              </w:tabs>
              <w:rPr>
                <w:sz w:val="22"/>
                <w:szCs w:val="22"/>
                <w:lang w:val="sr-Latn-ME"/>
              </w:rPr>
            </w:pPr>
            <w:r w:rsidRPr="005C6DFE">
              <w:rPr>
                <w:sz w:val="22"/>
                <w:szCs w:val="22"/>
                <w:lang w:val="sr-Latn-ME"/>
              </w:rPr>
              <w:t xml:space="preserve">*       p </w:t>
            </w:r>
            <w:r w:rsidRPr="005C6DFE">
              <w:rPr>
                <w:sz w:val="22"/>
                <w:szCs w:val="22"/>
                <w:lang w:val="sr-Latn-ME"/>
              </w:rPr>
              <w:sym w:font="Symbol" w:char="F0A3"/>
            </w:r>
            <w:r w:rsidRPr="005C6DFE">
              <w:rPr>
                <w:sz w:val="22"/>
                <w:szCs w:val="22"/>
                <w:lang w:val="sr-Latn-ME"/>
              </w:rPr>
              <w:t xml:space="preserve"> 0,001</w:t>
            </w:r>
          </w:p>
          <w:p w14:paraId="6F20EE32" w14:textId="77777777" w:rsidR="00785722" w:rsidRPr="00EA088A" w:rsidRDefault="00785722" w:rsidP="00A3401E">
            <w:pPr>
              <w:rPr>
                <w:sz w:val="22"/>
                <w:szCs w:val="22"/>
                <w:lang w:val="sr-Latn-ME"/>
              </w:rPr>
            </w:pPr>
            <w:r w:rsidRPr="005C6DFE">
              <w:rPr>
                <w:sz w:val="22"/>
                <w:szCs w:val="22"/>
                <w:lang w:val="sr-Latn-ME"/>
              </w:rPr>
              <w:t>NP: nije primjenjivo</w:t>
            </w:r>
          </w:p>
        </w:tc>
      </w:tr>
    </w:tbl>
    <w:p w14:paraId="1EFF89D4" w14:textId="77777777" w:rsidR="00785722" w:rsidRPr="00EA088A" w:rsidRDefault="00785722" w:rsidP="00785722">
      <w:pPr>
        <w:tabs>
          <w:tab w:val="left" w:pos="540"/>
          <w:tab w:val="left" w:pos="569"/>
        </w:tabs>
        <w:rPr>
          <w:b/>
          <w:bCs/>
          <w:sz w:val="22"/>
          <w:szCs w:val="22"/>
          <w:lang w:val="sr-Latn-ME"/>
        </w:rPr>
      </w:pPr>
    </w:p>
    <w:p w14:paraId="4C574ECD" w14:textId="13E416EF" w:rsidR="00785722" w:rsidRPr="00275456" w:rsidRDefault="00785722" w:rsidP="005C6DFE">
      <w:pPr>
        <w:tabs>
          <w:tab w:val="center" w:pos="4536"/>
          <w:tab w:val="right" w:pos="9072"/>
        </w:tabs>
        <w:autoSpaceDE w:val="0"/>
        <w:autoSpaceDN w:val="0"/>
        <w:adjustRightInd w:val="0"/>
        <w:jc w:val="both"/>
        <w:rPr>
          <w:sz w:val="22"/>
          <w:szCs w:val="22"/>
          <w:lang w:val="sr-Latn-ME"/>
        </w:rPr>
      </w:pPr>
      <w:r w:rsidRPr="00EA088A">
        <w:rPr>
          <w:sz w:val="22"/>
          <w:szCs w:val="22"/>
          <w:lang w:val="sr-Latn-ME"/>
        </w:rPr>
        <w:t>U ispitivanju GO-BEFORE primarna analiza kod pacijenata sa umjerenim do teškim oblikom reumatoidnog artritisa (grupe koje su primale kombinaciju Simponi 50 mg i Simponi 100 mg sa MTX u poređenju sa grupom koja je primala samo MTX za ACR 50) nije bila statistički značajna u 24. nedjelji (p=0,053). U 52. nedjelji u cjelokupnoj populaciji, procenat pacijenata u grupi koja je primala Simponi</w:t>
      </w:r>
      <w:r w:rsidRPr="00EA088A">
        <w:rPr>
          <w:sz w:val="22"/>
          <w:szCs w:val="22"/>
          <w:vertAlign w:val="superscript"/>
          <w:lang w:val="sr-Latn-ME"/>
        </w:rPr>
        <w:t xml:space="preserve"> </w:t>
      </w:r>
      <w:r w:rsidRPr="00C9046D">
        <w:rPr>
          <w:sz w:val="22"/>
          <w:szCs w:val="22"/>
          <w:lang w:val="sr-Latn-ME"/>
        </w:rPr>
        <w:t>50 mg i MTX koji su postigli ACR odgovor bio je uopšteno veći, ali ne i značajno različit u poređenju sa grupom koja je primala samo MTX (vidjeti Tabelu 2). Sprovedene su dodatne analize u podgrupama koje reprezentuju navedene populacije pacijenata sa teškim, aktivnim i progresi</w:t>
      </w:r>
      <w:r w:rsidRPr="00275456">
        <w:rPr>
          <w:sz w:val="22"/>
          <w:szCs w:val="22"/>
          <w:lang w:val="sr-Latn-ME"/>
        </w:rPr>
        <w:t>vnim reumatoidnim artritisom. Uopšteno veći efekat Simponi 50 mg i MTX u odnosu na sam MTX pokazan je u navedenoj populaciji u poređenju sa cjelokupnom populacijom.</w:t>
      </w:r>
    </w:p>
    <w:p w14:paraId="47FFCC50" w14:textId="77777777" w:rsidR="00597BCD" w:rsidRPr="00275456" w:rsidRDefault="00597BCD" w:rsidP="005C6DFE">
      <w:pPr>
        <w:tabs>
          <w:tab w:val="center" w:pos="4536"/>
          <w:tab w:val="right" w:pos="9072"/>
        </w:tabs>
        <w:autoSpaceDE w:val="0"/>
        <w:autoSpaceDN w:val="0"/>
        <w:adjustRightInd w:val="0"/>
        <w:jc w:val="both"/>
        <w:rPr>
          <w:sz w:val="22"/>
          <w:szCs w:val="22"/>
          <w:lang w:val="sr-Latn-ME"/>
        </w:rPr>
      </w:pPr>
    </w:p>
    <w:p w14:paraId="4C76DE92" w14:textId="30507B55" w:rsidR="00785722" w:rsidRPr="00C9046D" w:rsidRDefault="00785722" w:rsidP="005C6DFE">
      <w:pPr>
        <w:tabs>
          <w:tab w:val="center" w:pos="4536"/>
          <w:tab w:val="right" w:pos="9072"/>
        </w:tabs>
        <w:autoSpaceDE w:val="0"/>
        <w:autoSpaceDN w:val="0"/>
        <w:adjustRightInd w:val="0"/>
        <w:jc w:val="both"/>
        <w:rPr>
          <w:sz w:val="22"/>
          <w:szCs w:val="22"/>
          <w:lang w:val="sr-Latn-ME"/>
        </w:rPr>
      </w:pPr>
      <w:r w:rsidRPr="00275456">
        <w:rPr>
          <w:sz w:val="22"/>
          <w:szCs w:val="22"/>
          <w:lang w:val="sr-Latn-ME"/>
        </w:rPr>
        <w:t>U studijama GO</w:t>
      </w:r>
      <w:r w:rsidRPr="00275456">
        <w:rPr>
          <w:sz w:val="22"/>
          <w:szCs w:val="22"/>
          <w:lang w:val="sr-Latn-ME"/>
        </w:rPr>
        <w:noBreakHyphen/>
        <w:t>FORWARD i GO</w:t>
      </w:r>
      <w:r w:rsidRPr="00275456">
        <w:rPr>
          <w:sz w:val="22"/>
          <w:szCs w:val="22"/>
          <w:lang w:val="sr-Latn-ME"/>
        </w:rPr>
        <w:noBreakHyphen/>
        <w:t>AFTER, klinički važni i statistički značajni odgovori na ljestvici aktivnosti bolesti (</w:t>
      </w:r>
      <w:r w:rsidRPr="00275456">
        <w:rPr>
          <w:i/>
          <w:iCs/>
          <w:sz w:val="22"/>
          <w:szCs w:val="22"/>
          <w:lang w:val="sr-Latn-ME"/>
        </w:rPr>
        <w:t xml:space="preserve">Disease Activity Scale </w:t>
      </w:r>
      <w:r w:rsidRPr="00275456">
        <w:rPr>
          <w:sz w:val="22"/>
          <w:szCs w:val="22"/>
          <w:lang w:val="sr-Latn-ME"/>
        </w:rPr>
        <w:t xml:space="preserve">- DAS28) zapaženi su u svakoj prethodno određenoj vremenskoj tački, u 14. i 24. nedjelji ( p </w:t>
      </w:r>
      <w:r w:rsidRPr="00EA088A">
        <w:rPr>
          <w:sz w:val="22"/>
          <w:szCs w:val="22"/>
          <w:lang w:val="sr-Latn-ME"/>
        </w:rPr>
        <w:sym w:font="Symbol" w:char="F0A3"/>
      </w:r>
      <w:r w:rsidRPr="00EA088A">
        <w:rPr>
          <w:sz w:val="22"/>
          <w:szCs w:val="22"/>
          <w:lang w:val="sr-Latn-ME"/>
        </w:rPr>
        <w:t xml:space="preserve"> 0,001). Među pacijentima koji su ostali na terapiji lijekom Simponi</w:t>
      </w:r>
      <w:r w:rsidRPr="00EA088A">
        <w:rPr>
          <w:sz w:val="22"/>
          <w:szCs w:val="22"/>
          <w:vertAlign w:val="superscript"/>
          <w:lang w:val="sr-Latn-ME"/>
        </w:rPr>
        <w:t xml:space="preserve"> </w:t>
      </w:r>
      <w:r w:rsidRPr="00EA088A">
        <w:rPr>
          <w:sz w:val="22"/>
          <w:szCs w:val="22"/>
          <w:lang w:val="sr-Latn-ME"/>
        </w:rPr>
        <w:t>na koju su randomizovani na početku ispitivan</w:t>
      </w:r>
      <w:r w:rsidRPr="00C9046D">
        <w:rPr>
          <w:sz w:val="22"/>
          <w:szCs w:val="22"/>
          <w:lang w:val="sr-Latn-ME"/>
        </w:rPr>
        <w:t>ja, odgovori DAS28 su održavani do 104. nedjelje. Među pacijentima koji su ostali uključeni u studiju i liječeni lijekom Simponi, odgovori DAS28 su bili slični od 104. nedjelje do kraja 256. nedjelje.</w:t>
      </w:r>
    </w:p>
    <w:p w14:paraId="0745678D" w14:textId="77777777" w:rsidR="00785722" w:rsidRPr="00275456" w:rsidRDefault="00785722" w:rsidP="005C6DFE">
      <w:pPr>
        <w:tabs>
          <w:tab w:val="center" w:pos="4536"/>
          <w:tab w:val="right" w:pos="9072"/>
        </w:tabs>
        <w:autoSpaceDE w:val="0"/>
        <w:autoSpaceDN w:val="0"/>
        <w:adjustRightInd w:val="0"/>
        <w:jc w:val="both"/>
        <w:rPr>
          <w:sz w:val="22"/>
          <w:szCs w:val="22"/>
          <w:lang w:val="sr-Latn-ME"/>
        </w:rPr>
      </w:pPr>
    </w:p>
    <w:p w14:paraId="0CA23DE7" w14:textId="07C4D425" w:rsidR="00785722" w:rsidRPr="00275456" w:rsidRDefault="00785722" w:rsidP="005C6DFE">
      <w:pPr>
        <w:tabs>
          <w:tab w:val="center" w:pos="4536"/>
          <w:tab w:val="right" w:pos="9072"/>
        </w:tabs>
        <w:autoSpaceDE w:val="0"/>
        <w:autoSpaceDN w:val="0"/>
        <w:adjustRightInd w:val="0"/>
        <w:jc w:val="both"/>
        <w:rPr>
          <w:sz w:val="22"/>
          <w:szCs w:val="22"/>
          <w:lang w:val="sr-Latn-ME"/>
        </w:rPr>
      </w:pPr>
      <w:r w:rsidRPr="00275456">
        <w:rPr>
          <w:sz w:val="22"/>
          <w:szCs w:val="22"/>
          <w:lang w:val="sr-Latn-ME"/>
        </w:rPr>
        <w:t>U ispitivanju GO-BEFORE, izmjeren je značajan klinički odgovor, definisan kao održavanje odgovora ACR 70 tokom kontinuiranog šestomjesečnog perioda.</w:t>
      </w:r>
      <w:r w:rsidR="00597BCD" w:rsidRPr="00275456">
        <w:rPr>
          <w:sz w:val="22"/>
          <w:szCs w:val="22"/>
          <w:lang w:val="sr-Latn-ME"/>
        </w:rPr>
        <w:t xml:space="preserve"> </w:t>
      </w:r>
      <w:r w:rsidRPr="00275456">
        <w:rPr>
          <w:sz w:val="22"/>
          <w:szCs w:val="22"/>
          <w:lang w:val="sr-Latn-ME"/>
        </w:rPr>
        <w:t xml:space="preserve">U 52. nedjelji, 15% pacijenata u grupi koja je primala Simponi 50 mg </w:t>
      </w:r>
      <w:r w:rsidR="00597BCD" w:rsidRPr="00275456">
        <w:rPr>
          <w:sz w:val="22"/>
          <w:szCs w:val="22"/>
          <w:lang w:val="sr-Latn-ME"/>
        </w:rPr>
        <w:t>+</w:t>
      </w:r>
      <w:r w:rsidRPr="00275456">
        <w:rPr>
          <w:sz w:val="22"/>
          <w:szCs w:val="22"/>
          <w:lang w:val="sr-Latn-ME"/>
        </w:rPr>
        <w:t xml:space="preserve"> MTX postigli su značajan klinički odgovor u poređenju sa 7% pacijenata u grupi koja je primala placebo </w:t>
      </w:r>
      <w:r w:rsidR="00597BCD" w:rsidRPr="00275456">
        <w:rPr>
          <w:sz w:val="22"/>
          <w:szCs w:val="22"/>
          <w:lang w:val="sr-Latn-ME"/>
        </w:rPr>
        <w:t>+</w:t>
      </w:r>
      <w:r w:rsidRPr="00275456">
        <w:rPr>
          <w:sz w:val="22"/>
          <w:szCs w:val="22"/>
          <w:lang w:val="sr-Latn-ME"/>
        </w:rPr>
        <w:t xml:space="preserve"> MTX (p= 0,018).Od 159 ispitanika koji su randomizovani u grupu koja je primala Simponi</w:t>
      </w:r>
      <w:r w:rsidRPr="00275456">
        <w:rPr>
          <w:sz w:val="22"/>
          <w:szCs w:val="22"/>
          <w:vertAlign w:val="superscript"/>
          <w:lang w:val="sr-Latn-ME"/>
        </w:rPr>
        <w:t xml:space="preserve"> </w:t>
      </w:r>
      <w:r w:rsidRPr="00275456">
        <w:rPr>
          <w:sz w:val="22"/>
          <w:szCs w:val="22"/>
          <w:lang w:val="sr-Latn-ME"/>
        </w:rPr>
        <w:t xml:space="preserve">50 mg </w:t>
      </w:r>
      <w:r w:rsidR="00597BCD" w:rsidRPr="00275456">
        <w:rPr>
          <w:sz w:val="22"/>
          <w:szCs w:val="22"/>
          <w:lang w:val="sr-Latn-ME"/>
        </w:rPr>
        <w:t>+</w:t>
      </w:r>
      <w:r w:rsidRPr="00275456">
        <w:rPr>
          <w:sz w:val="22"/>
          <w:szCs w:val="22"/>
          <w:lang w:val="sr-Latn-ME"/>
        </w:rPr>
        <w:t xml:space="preserve"> MTX, njih 96 su još uvijek primali ovu terapiju u 104. nedjelji. Od ovih pacijenata,</w:t>
      </w:r>
      <w:r w:rsidR="008E062A" w:rsidRPr="00275456">
        <w:rPr>
          <w:sz w:val="22"/>
          <w:szCs w:val="22"/>
          <w:lang w:val="sr-Latn-ME"/>
        </w:rPr>
        <w:t>u 104. ned</w:t>
      </w:r>
      <w:r w:rsidR="008D646E" w:rsidRPr="00275456">
        <w:rPr>
          <w:sz w:val="22"/>
          <w:szCs w:val="22"/>
          <w:lang w:val="sr-Latn-ME"/>
        </w:rPr>
        <w:t>j</w:t>
      </w:r>
      <w:r w:rsidR="008E062A" w:rsidRPr="00275456">
        <w:rPr>
          <w:sz w:val="22"/>
          <w:szCs w:val="22"/>
          <w:lang w:val="sr-Latn-ME"/>
        </w:rPr>
        <w:t>elji 85 pacijenata imalo odgovor ACR 20, 66 je imalo odgovor ACR 50 i 53 je imalo odgovor ACR 70</w:t>
      </w:r>
      <w:r w:rsidRPr="00275456">
        <w:rPr>
          <w:sz w:val="22"/>
          <w:szCs w:val="22"/>
          <w:lang w:val="sr-Latn-ME"/>
        </w:rPr>
        <w:t>. Među pacijentima koji su ostali uključeni u studiju i liječeni lijekom Simponi, slične stope odgovora ACR 20/50/70 su zabilježene od 104. do kraja 256. nedjelje.</w:t>
      </w:r>
    </w:p>
    <w:p w14:paraId="472D8ACE" w14:textId="77777777" w:rsidR="00785722" w:rsidRPr="00275456" w:rsidRDefault="00785722" w:rsidP="005C6DFE">
      <w:pPr>
        <w:tabs>
          <w:tab w:val="center" w:pos="4536"/>
          <w:tab w:val="right" w:pos="9072"/>
        </w:tabs>
        <w:autoSpaceDE w:val="0"/>
        <w:autoSpaceDN w:val="0"/>
        <w:adjustRightInd w:val="0"/>
        <w:jc w:val="both"/>
        <w:rPr>
          <w:sz w:val="22"/>
          <w:szCs w:val="22"/>
          <w:lang w:val="sr-Latn-ME"/>
        </w:rPr>
      </w:pPr>
    </w:p>
    <w:p w14:paraId="3932CA0B" w14:textId="77777777" w:rsidR="00785722" w:rsidRPr="00275456" w:rsidRDefault="00785722" w:rsidP="005C6DFE">
      <w:pPr>
        <w:tabs>
          <w:tab w:val="center" w:pos="4536"/>
          <w:tab w:val="right" w:pos="9072"/>
        </w:tabs>
        <w:autoSpaceDE w:val="0"/>
        <w:autoSpaceDN w:val="0"/>
        <w:adjustRightInd w:val="0"/>
        <w:jc w:val="both"/>
        <w:rPr>
          <w:i/>
          <w:sz w:val="22"/>
          <w:szCs w:val="22"/>
          <w:u w:val="single"/>
          <w:lang w:val="sr-Latn-ME"/>
        </w:rPr>
      </w:pPr>
      <w:r w:rsidRPr="00275456">
        <w:rPr>
          <w:i/>
          <w:sz w:val="22"/>
          <w:szCs w:val="22"/>
          <w:u w:val="single"/>
          <w:lang w:val="sr-Latn-ME"/>
        </w:rPr>
        <w:t>Radiografski odgovor:</w:t>
      </w:r>
    </w:p>
    <w:p w14:paraId="6C7DCD3A"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U ispitivanju GO-BEFORE za procjenu stepena strukturnih oštećenja korišćena je</w:t>
      </w:r>
      <w:r w:rsidRPr="00275456" w:rsidDel="000C3DBC">
        <w:rPr>
          <w:sz w:val="22"/>
          <w:szCs w:val="22"/>
          <w:lang w:val="sr-Latn-ME"/>
        </w:rPr>
        <w:t xml:space="preserve"> </w:t>
      </w:r>
      <w:r w:rsidRPr="00275456">
        <w:rPr>
          <w:sz w:val="22"/>
          <w:szCs w:val="22"/>
          <w:lang w:val="sr-Latn-ME"/>
        </w:rPr>
        <w:t xml:space="preserve"> promjena u odnosu na početni rezultat  na vdH-S skali, kompozitna skala strukturnih oštećenja koja rendgenski mjeri broj i veličinu erozija, i stepen sužavanja zglobnih prostora u šakama/ručnim zglobovima i stopalima. Ključni rezultati za dozu lijeka Simponi</w:t>
      </w:r>
      <w:r w:rsidRPr="00275456">
        <w:rPr>
          <w:sz w:val="22"/>
          <w:szCs w:val="22"/>
          <w:vertAlign w:val="superscript"/>
          <w:lang w:val="sr-Latn-ME"/>
        </w:rPr>
        <w:t xml:space="preserve"> </w:t>
      </w:r>
      <w:r w:rsidRPr="00275456">
        <w:rPr>
          <w:sz w:val="22"/>
          <w:szCs w:val="22"/>
          <w:lang w:val="sr-Latn-ME"/>
        </w:rPr>
        <w:t>od 50 mg u 52. nedjelji prikazani su u Tabeli 3.</w:t>
      </w:r>
    </w:p>
    <w:p w14:paraId="313723FB" w14:textId="77777777" w:rsidR="00785722" w:rsidRPr="00275456" w:rsidRDefault="00785722" w:rsidP="005C6DFE">
      <w:pPr>
        <w:tabs>
          <w:tab w:val="left" w:pos="284"/>
        </w:tabs>
        <w:autoSpaceDE w:val="0"/>
        <w:autoSpaceDN w:val="0"/>
        <w:adjustRightInd w:val="0"/>
        <w:jc w:val="both"/>
        <w:rPr>
          <w:sz w:val="22"/>
          <w:szCs w:val="22"/>
          <w:lang w:val="sr-Latn-ME"/>
        </w:rPr>
      </w:pPr>
    </w:p>
    <w:p w14:paraId="2B6C1C0B" w14:textId="250B4325"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Broj pacijenata bez novih erozija ili sa promjenom od početnih rezultata na cijeloj vdH-S skali ≤ 0 bio je značajno veći u grupi koja je primala lijek Simponi</w:t>
      </w:r>
      <w:r w:rsidRPr="00275456">
        <w:rPr>
          <w:sz w:val="22"/>
          <w:szCs w:val="22"/>
          <w:vertAlign w:val="superscript"/>
          <w:lang w:val="sr-Latn-ME"/>
        </w:rPr>
        <w:t xml:space="preserve"> </w:t>
      </w:r>
      <w:r w:rsidRPr="00275456">
        <w:rPr>
          <w:sz w:val="22"/>
          <w:szCs w:val="22"/>
          <w:lang w:val="sr-Latn-ME"/>
        </w:rPr>
        <w:t xml:space="preserve">nego u kontrolnoj grupi (p=0,003). </w:t>
      </w:r>
      <w:r w:rsidR="008E062A" w:rsidRPr="00275456">
        <w:rPr>
          <w:sz w:val="22"/>
          <w:szCs w:val="22"/>
          <w:lang w:val="sr-Latn-ME"/>
        </w:rPr>
        <w:t xml:space="preserve">Radiografski </w:t>
      </w:r>
      <w:r w:rsidRPr="00275456">
        <w:rPr>
          <w:sz w:val="22"/>
          <w:szCs w:val="22"/>
          <w:lang w:val="sr-Latn-ME"/>
        </w:rPr>
        <w:t>efekti zabilježeni u 52. nedjelji održali su se do 104. nedjelje. Među pacijentima koji su ostali uključeni u studiju i liječeni lijekom Simponi, radiografski odgovori su bili slični od 104. nedjelje do kraja 256. nedjelje.</w:t>
      </w:r>
    </w:p>
    <w:p w14:paraId="6D7C8CE3" w14:textId="77777777" w:rsidR="00785722" w:rsidRPr="00275456" w:rsidRDefault="00785722" w:rsidP="00785722">
      <w:pPr>
        <w:tabs>
          <w:tab w:val="left" w:pos="284"/>
        </w:tabs>
        <w:autoSpaceDE w:val="0"/>
        <w:autoSpaceDN w:val="0"/>
        <w:adjustRightInd w:val="0"/>
        <w:rPr>
          <w:sz w:val="22"/>
          <w:szCs w:val="22"/>
          <w:lang w:val="sr-Latn-ME"/>
        </w:rPr>
      </w:pPr>
    </w:p>
    <w:p w14:paraId="5E35D7D3" w14:textId="77777777" w:rsidR="00785722" w:rsidRPr="00275456" w:rsidRDefault="00785722" w:rsidP="00785722">
      <w:pPr>
        <w:tabs>
          <w:tab w:val="left" w:pos="284"/>
        </w:tabs>
        <w:autoSpaceDE w:val="0"/>
        <w:autoSpaceDN w:val="0"/>
        <w:adjustRightInd w:val="0"/>
        <w:jc w:val="center"/>
        <w:rPr>
          <w:b/>
          <w:sz w:val="22"/>
          <w:szCs w:val="22"/>
          <w:lang w:val="sr-Latn-ME"/>
        </w:rPr>
      </w:pPr>
      <w:r w:rsidRPr="00275456">
        <w:rPr>
          <w:b/>
          <w:sz w:val="22"/>
          <w:szCs w:val="22"/>
          <w:lang w:val="sr-Latn-ME"/>
        </w:rPr>
        <w:t>Tabela 3</w:t>
      </w:r>
    </w:p>
    <w:p w14:paraId="52A5A121" w14:textId="3C1BA2A8" w:rsidR="00785722" w:rsidRPr="00275456" w:rsidRDefault="008E062A" w:rsidP="00785722">
      <w:pPr>
        <w:tabs>
          <w:tab w:val="left" w:pos="284"/>
        </w:tabs>
        <w:autoSpaceDE w:val="0"/>
        <w:autoSpaceDN w:val="0"/>
        <w:adjustRightInd w:val="0"/>
        <w:jc w:val="center"/>
        <w:rPr>
          <w:b/>
          <w:sz w:val="22"/>
          <w:szCs w:val="22"/>
          <w:lang w:val="sr-Latn-ME"/>
        </w:rPr>
      </w:pPr>
      <w:r w:rsidRPr="00275456">
        <w:rPr>
          <w:b/>
          <w:sz w:val="22"/>
          <w:szCs w:val="22"/>
          <w:lang w:val="sr-Latn-ME"/>
        </w:rPr>
        <w:t xml:space="preserve">Radiografski </w:t>
      </w:r>
      <w:r w:rsidR="00785722" w:rsidRPr="00275456">
        <w:rPr>
          <w:b/>
          <w:sz w:val="22"/>
          <w:szCs w:val="22"/>
          <w:lang w:val="sr-Latn-ME"/>
        </w:rPr>
        <w:t>srednja standardna devijacija promjena od početnog rezultata na cijeloj vdH-S skali u 52. nedjelji u cjelokupnoj populaciji GO-BEFORE ispitivanja</w:t>
      </w:r>
    </w:p>
    <w:p w14:paraId="372342E9" w14:textId="77777777" w:rsidR="00785722" w:rsidRPr="00275456" w:rsidRDefault="00785722" w:rsidP="00785722">
      <w:pPr>
        <w:tabs>
          <w:tab w:val="left" w:pos="284"/>
        </w:tabs>
        <w:autoSpaceDE w:val="0"/>
        <w:autoSpaceDN w:val="0"/>
        <w:adjustRightInd w:val="0"/>
        <w:rPr>
          <w:sz w:val="22"/>
          <w:szCs w:val="22"/>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0"/>
        <w:gridCol w:w="3012"/>
        <w:gridCol w:w="3021"/>
      </w:tblGrid>
      <w:tr w:rsidR="00785722" w:rsidRPr="00275456" w14:paraId="2F4D99A0" w14:textId="77777777" w:rsidTr="00A3401E">
        <w:tc>
          <w:tcPr>
            <w:tcW w:w="3431" w:type="dxa"/>
            <w:shd w:val="clear" w:color="auto" w:fill="auto"/>
          </w:tcPr>
          <w:p w14:paraId="5ECAA8E7" w14:textId="77777777" w:rsidR="00785722" w:rsidRPr="00275456" w:rsidRDefault="00785722" w:rsidP="00A3401E">
            <w:pPr>
              <w:tabs>
                <w:tab w:val="left" w:pos="284"/>
              </w:tabs>
              <w:autoSpaceDE w:val="0"/>
              <w:autoSpaceDN w:val="0"/>
              <w:adjustRightInd w:val="0"/>
              <w:rPr>
                <w:sz w:val="22"/>
                <w:szCs w:val="22"/>
                <w:lang w:val="sr-Latn-ME"/>
              </w:rPr>
            </w:pPr>
          </w:p>
        </w:tc>
        <w:tc>
          <w:tcPr>
            <w:tcW w:w="3432" w:type="dxa"/>
            <w:shd w:val="clear" w:color="auto" w:fill="auto"/>
            <w:vAlign w:val="bottom"/>
          </w:tcPr>
          <w:p w14:paraId="1FBE91F8" w14:textId="77777777" w:rsidR="00785722" w:rsidRPr="00275456" w:rsidRDefault="00785722" w:rsidP="00A3401E">
            <w:pPr>
              <w:tabs>
                <w:tab w:val="left" w:pos="284"/>
              </w:tabs>
              <w:rPr>
                <w:b/>
                <w:bCs/>
                <w:sz w:val="22"/>
                <w:szCs w:val="22"/>
                <w:lang w:val="sr-Latn-ME"/>
              </w:rPr>
            </w:pPr>
            <w:r w:rsidRPr="00275456">
              <w:rPr>
                <w:b/>
                <w:bCs/>
                <w:sz w:val="22"/>
                <w:szCs w:val="22"/>
                <w:lang w:val="sr-Latn-ME"/>
              </w:rPr>
              <w:t>Placebo + MTX</w:t>
            </w:r>
          </w:p>
        </w:tc>
        <w:tc>
          <w:tcPr>
            <w:tcW w:w="3432" w:type="dxa"/>
            <w:shd w:val="clear" w:color="auto" w:fill="auto"/>
            <w:vAlign w:val="bottom"/>
          </w:tcPr>
          <w:p w14:paraId="6CF287B8" w14:textId="77777777" w:rsidR="00785722" w:rsidRPr="00275456" w:rsidRDefault="00785722" w:rsidP="00A3401E">
            <w:pPr>
              <w:tabs>
                <w:tab w:val="left" w:pos="284"/>
              </w:tabs>
              <w:rPr>
                <w:b/>
                <w:sz w:val="22"/>
                <w:szCs w:val="22"/>
                <w:lang w:val="sr-Latn-ME"/>
              </w:rPr>
            </w:pPr>
            <w:r w:rsidRPr="00275456">
              <w:rPr>
                <w:b/>
                <w:sz w:val="22"/>
                <w:szCs w:val="22"/>
                <w:lang w:val="sr-Latn-ME"/>
              </w:rPr>
              <w:t>Simponi 50 mg + MTX</w:t>
            </w:r>
          </w:p>
        </w:tc>
      </w:tr>
      <w:tr w:rsidR="00785722" w:rsidRPr="00275456" w14:paraId="59B787B9" w14:textId="77777777" w:rsidTr="00A3401E">
        <w:tc>
          <w:tcPr>
            <w:tcW w:w="3431" w:type="dxa"/>
            <w:shd w:val="clear" w:color="auto" w:fill="auto"/>
          </w:tcPr>
          <w:p w14:paraId="4F0B6BA9"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n</w:t>
            </w:r>
            <w:r w:rsidRPr="00EA088A">
              <w:rPr>
                <w:sz w:val="22"/>
                <w:szCs w:val="22"/>
                <w:vertAlign w:val="superscript"/>
                <w:lang w:val="sr-Latn-ME"/>
              </w:rPr>
              <w:t>a</w:t>
            </w:r>
          </w:p>
        </w:tc>
        <w:tc>
          <w:tcPr>
            <w:tcW w:w="3432" w:type="dxa"/>
            <w:shd w:val="clear" w:color="auto" w:fill="auto"/>
          </w:tcPr>
          <w:p w14:paraId="042E18C0" w14:textId="77777777" w:rsidR="00785722" w:rsidRPr="00C9046D" w:rsidRDefault="00785722" w:rsidP="00A3401E">
            <w:pPr>
              <w:tabs>
                <w:tab w:val="left" w:pos="284"/>
              </w:tabs>
              <w:autoSpaceDE w:val="0"/>
              <w:autoSpaceDN w:val="0"/>
              <w:adjustRightInd w:val="0"/>
              <w:rPr>
                <w:b/>
                <w:sz w:val="22"/>
                <w:szCs w:val="22"/>
                <w:lang w:val="sr-Latn-ME"/>
              </w:rPr>
            </w:pPr>
            <w:r w:rsidRPr="00C9046D">
              <w:rPr>
                <w:b/>
                <w:sz w:val="22"/>
                <w:szCs w:val="22"/>
                <w:lang w:val="sr-Latn-ME"/>
              </w:rPr>
              <w:t>160</w:t>
            </w:r>
          </w:p>
        </w:tc>
        <w:tc>
          <w:tcPr>
            <w:tcW w:w="3432" w:type="dxa"/>
            <w:shd w:val="clear" w:color="auto" w:fill="auto"/>
          </w:tcPr>
          <w:p w14:paraId="777835DE" w14:textId="77777777" w:rsidR="00785722" w:rsidRPr="00275456" w:rsidRDefault="00785722" w:rsidP="00A3401E">
            <w:pPr>
              <w:tabs>
                <w:tab w:val="left" w:pos="284"/>
              </w:tabs>
              <w:autoSpaceDE w:val="0"/>
              <w:autoSpaceDN w:val="0"/>
              <w:adjustRightInd w:val="0"/>
              <w:rPr>
                <w:b/>
                <w:sz w:val="22"/>
                <w:szCs w:val="22"/>
                <w:lang w:val="sr-Latn-ME"/>
              </w:rPr>
            </w:pPr>
            <w:r w:rsidRPr="00275456">
              <w:rPr>
                <w:b/>
                <w:sz w:val="22"/>
                <w:szCs w:val="22"/>
                <w:lang w:val="sr-Latn-ME"/>
              </w:rPr>
              <w:t>159</w:t>
            </w:r>
          </w:p>
        </w:tc>
      </w:tr>
      <w:tr w:rsidR="00785722" w:rsidRPr="00275456" w14:paraId="2944EE4E" w14:textId="77777777" w:rsidTr="00A3401E">
        <w:tc>
          <w:tcPr>
            <w:tcW w:w="10295" w:type="dxa"/>
            <w:gridSpan w:val="3"/>
            <w:shd w:val="clear" w:color="auto" w:fill="auto"/>
          </w:tcPr>
          <w:p w14:paraId="70DEAAA2" w14:textId="77777777" w:rsidR="00785722" w:rsidRPr="00EA088A" w:rsidRDefault="00785722" w:rsidP="00A3401E">
            <w:pPr>
              <w:tabs>
                <w:tab w:val="left" w:pos="284"/>
              </w:tabs>
              <w:autoSpaceDE w:val="0"/>
              <w:autoSpaceDN w:val="0"/>
              <w:adjustRightInd w:val="0"/>
              <w:rPr>
                <w:sz w:val="22"/>
                <w:szCs w:val="22"/>
                <w:lang w:val="sr-Latn-ME"/>
              </w:rPr>
            </w:pPr>
            <w:r w:rsidRPr="00EA088A">
              <w:rPr>
                <w:b/>
                <w:sz w:val="22"/>
                <w:szCs w:val="22"/>
                <w:lang w:val="sr-Latn-ME"/>
              </w:rPr>
              <w:t>Ukupan rezultat</w:t>
            </w:r>
          </w:p>
        </w:tc>
      </w:tr>
      <w:tr w:rsidR="00785722" w:rsidRPr="00275456" w14:paraId="59619EE0" w14:textId="77777777" w:rsidTr="00A3401E">
        <w:tc>
          <w:tcPr>
            <w:tcW w:w="3431" w:type="dxa"/>
            <w:shd w:val="clear" w:color="auto" w:fill="auto"/>
          </w:tcPr>
          <w:p w14:paraId="5476FE13"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Početni rezultat</w:t>
            </w:r>
          </w:p>
        </w:tc>
        <w:tc>
          <w:tcPr>
            <w:tcW w:w="3432" w:type="dxa"/>
            <w:shd w:val="clear" w:color="auto" w:fill="auto"/>
          </w:tcPr>
          <w:p w14:paraId="73FE13A3"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19,7 (35,4)</w:t>
            </w:r>
          </w:p>
        </w:tc>
        <w:tc>
          <w:tcPr>
            <w:tcW w:w="3432" w:type="dxa"/>
            <w:shd w:val="clear" w:color="auto" w:fill="auto"/>
          </w:tcPr>
          <w:p w14:paraId="75445444" w14:textId="77777777" w:rsidR="00785722" w:rsidRPr="00C9046D" w:rsidRDefault="00785722" w:rsidP="00A3401E">
            <w:pPr>
              <w:tabs>
                <w:tab w:val="left" w:pos="284"/>
              </w:tabs>
              <w:autoSpaceDE w:val="0"/>
              <w:autoSpaceDN w:val="0"/>
              <w:adjustRightInd w:val="0"/>
              <w:rPr>
                <w:sz w:val="22"/>
                <w:szCs w:val="22"/>
                <w:lang w:val="sr-Latn-ME"/>
              </w:rPr>
            </w:pPr>
            <w:r w:rsidRPr="00C9046D">
              <w:rPr>
                <w:sz w:val="22"/>
                <w:szCs w:val="22"/>
                <w:lang w:val="sr-Latn-ME"/>
              </w:rPr>
              <w:t>18,7 (32,4)</w:t>
            </w:r>
          </w:p>
        </w:tc>
      </w:tr>
      <w:tr w:rsidR="00785722" w:rsidRPr="00275456" w14:paraId="207751D4" w14:textId="77777777" w:rsidTr="00A3401E">
        <w:tc>
          <w:tcPr>
            <w:tcW w:w="3431" w:type="dxa"/>
            <w:shd w:val="clear" w:color="auto" w:fill="auto"/>
          </w:tcPr>
          <w:p w14:paraId="1118E00E"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Promena u odnosu na početni rezultat</w:t>
            </w:r>
          </w:p>
        </w:tc>
        <w:tc>
          <w:tcPr>
            <w:tcW w:w="3432" w:type="dxa"/>
            <w:shd w:val="clear" w:color="auto" w:fill="auto"/>
          </w:tcPr>
          <w:p w14:paraId="0258230D"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1,4 (4,6)</w:t>
            </w:r>
          </w:p>
        </w:tc>
        <w:tc>
          <w:tcPr>
            <w:tcW w:w="3432" w:type="dxa"/>
            <w:shd w:val="clear" w:color="auto" w:fill="auto"/>
          </w:tcPr>
          <w:p w14:paraId="0A45526A" w14:textId="77777777" w:rsidR="00785722" w:rsidRPr="00C9046D" w:rsidRDefault="00785722" w:rsidP="00A3401E">
            <w:pPr>
              <w:tabs>
                <w:tab w:val="left" w:pos="284"/>
              </w:tabs>
              <w:autoSpaceDE w:val="0"/>
              <w:autoSpaceDN w:val="0"/>
              <w:adjustRightInd w:val="0"/>
              <w:rPr>
                <w:sz w:val="22"/>
                <w:szCs w:val="22"/>
                <w:lang w:val="sr-Latn-ME"/>
              </w:rPr>
            </w:pPr>
            <w:r w:rsidRPr="00C9046D">
              <w:rPr>
                <w:sz w:val="22"/>
                <w:szCs w:val="22"/>
                <w:lang w:val="sr-Latn-ME"/>
              </w:rPr>
              <w:t>0,7 (5,2) *</w:t>
            </w:r>
          </w:p>
        </w:tc>
      </w:tr>
      <w:tr w:rsidR="00785722" w:rsidRPr="00275456" w14:paraId="17E5E4B9" w14:textId="77777777" w:rsidTr="00A3401E">
        <w:tc>
          <w:tcPr>
            <w:tcW w:w="10295" w:type="dxa"/>
            <w:gridSpan w:val="3"/>
            <w:shd w:val="clear" w:color="auto" w:fill="auto"/>
          </w:tcPr>
          <w:p w14:paraId="1C8AE7A8" w14:textId="77777777" w:rsidR="00785722" w:rsidRPr="00EA088A" w:rsidRDefault="00785722" w:rsidP="00A3401E">
            <w:pPr>
              <w:tabs>
                <w:tab w:val="left" w:pos="284"/>
              </w:tabs>
              <w:autoSpaceDE w:val="0"/>
              <w:autoSpaceDN w:val="0"/>
              <w:adjustRightInd w:val="0"/>
              <w:rPr>
                <w:sz w:val="22"/>
                <w:szCs w:val="22"/>
                <w:lang w:val="sr-Latn-ME"/>
              </w:rPr>
            </w:pPr>
            <w:r w:rsidRPr="00EA088A">
              <w:rPr>
                <w:b/>
                <w:sz w:val="22"/>
                <w:szCs w:val="22"/>
                <w:lang w:val="sr-Latn-ME"/>
              </w:rPr>
              <w:t>Rezultat erozija</w:t>
            </w:r>
          </w:p>
        </w:tc>
      </w:tr>
      <w:tr w:rsidR="00785722" w:rsidRPr="00275456" w14:paraId="2F7A6990" w14:textId="77777777" w:rsidTr="00A3401E">
        <w:tc>
          <w:tcPr>
            <w:tcW w:w="3431" w:type="dxa"/>
            <w:shd w:val="clear" w:color="auto" w:fill="auto"/>
          </w:tcPr>
          <w:p w14:paraId="69845061"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Početni rezultat</w:t>
            </w:r>
          </w:p>
        </w:tc>
        <w:tc>
          <w:tcPr>
            <w:tcW w:w="3432" w:type="dxa"/>
            <w:shd w:val="clear" w:color="auto" w:fill="auto"/>
          </w:tcPr>
          <w:p w14:paraId="140C8028"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11,3 (18,6)</w:t>
            </w:r>
          </w:p>
        </w:tc>
        <w:tc>
          <w:tcPr>
            <w:tcW w:w="3432" w:type="dxa"/>
            <w:shd w:val="clear" w:color="auto" w:fill="auto"/>
          </w:tcPr>
          <w:p w14:paraId="3E9D3155" w14:textId="77777777" w:rsidR="00785722" w:rsidRPr="00C9046D" w:rsidRDefault="00785722" w:rsidP="00A3401E">
            <w:pPr>
              <w:tabs>
                <w:tab w:val="left" w:pos="284"/>
              </w:tabs>
              <w:autoSpaceDE w:val="0"/>
              <w:autoSpaceDN w:val="0"/>
              <w:adjustRightInd w:val="0"/>
              <w:rPr>
                <w:sz w:val="22"/>
                <w:szCs w:val="22"/>
                <w:lang w:val="sr-Latn-ME"/>
              </w:rPr>
            </w:pPr>
            <w:r w:rsidRPr="00C9046D">
              <w:rPr>
                <w:sz w:val="22"/>
                <w:szCs w:val="22"/>
                <w:lang w:val="sr-Latn-ME"/>
              </w:rPr>
              <w:t>10,8 (17,4)</w:t>
            </w:r>
          </w:p>
        </w:tc>
      </w:tr>
      <w:tr w:rsidR="00785722" w:rsidRPr="00275456" w14:paraId="39605EB3" w14:textId="77777777" w:rsidTr="00A3401E">
        <w:tc>
          <w:tcPr>
            <w:tcW w:w="3431" w:type="dxa"/>
            <w:shd w:val="clear" w:color="auto" w:fill="auto"/>
          </w:tcPr>
          <w:p w14:paraId="0630916F"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lastRenderedPageBreak/>
              <w:t>Promjena u odnosu na početni rezultat</w:t>
            </w:r>
          </w:p>
        </w:tc>
        <w:tc>
          <w:tcPr>
            <w:tcW w:w="3432" w:type="dxa"/>
            <w:shd w:val="clear" w:color="auto" w:fill="auto"/>
          </w:tcPr>
          <w:p w14:paraId="1047F3D1"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0,7 (2,8)</w:t>
            </w:r>
          </w:p>
        </w:tc>
        <w:tc>
          <w:tcPr>
            <w:tcW w:w="3432" w:type="dxa"/>
            <w:shd w:val="clear" w:color="auto" w:fill="auto"/>
          </w:tcPr>
          <w:p w14:paraId="33615E03" w14:textId="77777777" w:rsidR="00785722" w:rsidRPr="00C9046D" w:rsidRDefault="00785722" w:rsidP="00A3401E">
            <w:pPr>
              <w:tabs>
                <w:tab w:val="left" w:pos="284"/>
              </w:tabs>
              <w:autoSpaceDE w:val="0"/>
              <w:autoSpaceDN w:val="0"/>
              <w:adjustRightInd w:val="0"/>
              <w:rPr>
                <w:sz w:val="22"/>
                <w:szCs w:val="22"/>
                <w:lang w:val="sr-Latn-ME"/>
              </w:rPr>
            </w:pPr>
            <w:r w:rsidRPr="00C9046D">
              <w:rPr>
                <w:sz w:val="22"/>
                <w:szCs w:val="22"/>
                <w:lang w:val="sr-Latn-ME"/>
              </w:rPr>
              <w:t>0,5 (2,1)</w:t>
            </w:r>
          </w:p>
        </w:tc>
      </w:tr>
      <w:tr w:rsidR="00785722" w:rsidRPr="00275456" w14:paraId="2EB6D143" w14:textId="77777777" w:rsidTr="00A3401E">
        <w:tc>
          <w:tcPr>
            <w:tcW w:w="10295" w:type="dxa"/>
            <w:gridSpan w:val="3"/>
            <w:shd w:val="clear" w:color="auto" w:fill="auto"/>
          </w:tcPr>
          <w:p w14:paraId="411DC90D" w14:textId="77777777" w:rsidR="00785722" w:rsidRPr="00EA088A" w:rsidRDefault="00785722" w:rsidP="00A3401E">
            <w:pPr>
              <w:tabs>
                <w:tab w:val="left" w:pos="284"/>
              </w:tabs>
              <w:autoSpaceDE w:val="0"/>
              <w:autoSpaceDN w:val="0"/>
              <w:adjustRightInd w:val="0"/>
              <w:rPr>
                <w:b/>
                <w:sz w:val="22"/>
                <w:szCs w:val="22"/>
                <w:lang w:val="sr-Latn-ME"/>
              </w:rPr>
            </w:pPr>
            <w:r w:rsidRPr="00EA088A">
              <w:rPr>
                <w:b/>
                <w:sz w:val="22"/>
                <w:szCs w:val="22"/>
                <w:lang w:val="sr-Latn-ME"/>
              </w:rPr>
              <w:t>Rezultat sužavanja zglobnih prostora</w:t>
            </w:r>
          </w:p>
        </w:tc>
      </w:tr>
      <w:tr w:rsidR="00785722" w:rsidRPr="00275456" w14:paraId="3162F7C9" w14:textId="77777777" w:rsidTr="00A3401E">
        <w:tc>
          <w:tcPr>
            <w:tcW w:w="3431" w:type="dxa"/>
            <w:tcBorders>
              <w:bottom w:val="single" w:sz="4" w:space="0" w:color="auto"/>
            </w:tcBorders>
            <w:shd w:val="clear" w:color="auto" w:fill="auto"/>
          </w:tcPr>
          <w:p w14:paraId="3686D381"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Početni rezultat</w:t>
            </w:r>
          </w:p>
        </w:tc>
        <w:tc>
          <w:tcPr>
            <w:tcW w:w="3432" w:type="dxa"/>
            <w:tcBorders>
              <w:bottom w:val="single" w:sz="4" w:space="0" w:color="auto"/>
            </w:tcBorders>
            <w:shd w:val="clear" w:color="auto" w:fill="auto"/>
          </w:tcPr>
          <w:p w14:paraId="6D6CBF5F"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8,4 (17,8)</w:t>
            </w:r>
          </w:p>
        </w:tc>
        <w:tc>
          <w:tcPr>
            <w:tcW w:w="3432" w:type="dxa"/>
            <w:tcBorders>
              <w:bottom w:val="single" w:sz="4" w:space="0" w:color="auto"/>
            </w:tcBorders>
            <w:shd w:val="clear" w:color="auto" w:fill="auto"/>
          </w:tcPr>
          <w:p w14:paraId="7FF69299" w14:textId="77777777" w:rsidR="00785722" w:rsidRPr="00C9046D" w:rsidRDefault="00785722" w:rsidP="00A3401E">
            <w:pPr>
              <w:tabs>
                <w:tab w:val="left" w:pos="284"/>
              </w:tabs>
              <w:autoSpaceDE w:val="0"/>
              <w:autoSpaceDN w:val="0"/>
              <w:adjustRightInd w:val="0"/>
              <w:rPr>
                <w:sz w:val="22"/>
                <w:szCs w:val="22"/>
                <w:lang w:val="sr-Latn-ME"/>
              </w:rPr>
            </w:pPr>
            <w:r w:rsidRPr="00C9046D">
              <w:rPr>
                <w:sz w:val="22"/>
                <w:szCs w:val="22"/>
                <w:lang w:val="sr-Latn-ME"/>
              </w:rPr>
              <w:t>7,9 (16,1)</w:t>
            </w:r>
          </w:p>
        </w:tc>
      </w:tr>
      <w:tr w:rsidR="00785722" w:rsidRPr="00275456" w14:paraId="7CBEC912" w14:textId="77777777" w:rsidTr="00A3401E">
        <w:tc>
          <w:tcPr>
            <w:tcW w:w="3431" w:type="dxa"/>
            <w:tcBorders>
              <w:top w:val="single" w:sz="4" w:space="0" w:color="auto"/>
              <w:left w:val="single" w:sz="4" w:space="0" w:color="auto"/>
              <w:bottom w:val="single" w:sz="4" w:space="0" w:color="auto"/>
              <w:right w:val="single" w:sz="4" w:space="0" w:color="auto"/>
            </w:tcBorders>
            <w:shd w:val="clear" w:color="auto" w:fill="auto"/>
          </w:tcPr>
          <w:p w14:paraId="3CC8ABC4"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Promjena u odnosu na početni rezultat</w:t>
            </w:r>
          </w:p>
        </w:tc>
        <w:tc>
          <w:tcPr>
            <w:tcW w:w="3432" w:type="dxa"/>
            <w:tcBorders>
              <w:top w:val="single" w:sz="4" w:space="0" w:color="auto"/>
              <w:left w:val="single" w:sz="4" w:space="0" w:color="auto"/>
              <w:bottom w:val="single" w:sz="4" w:space="0" w:color="auto"/>
              <w:right w:val="single" w:sz="4" w:space="0" w:color="auto"/>
            </w:tcBorders>
            <w:shd w:val="clear" w:color="auto" w:fill="auto"/>
          </w:tcPr>
          <w:p w14:paraId="79725E8F" w14:textId="77777777" w:rsidR="00785722" w:rsidRPr="00EA088A" w:rsidRDefault="00785722" w:rsidP="00A3401E">
            <w:pPr>
              <w:tabs>
                <w:tab w:val="left" w:pos="284"/>
              </w:tabs>
              <w:autoSpaceDE w:val="0"/>
              <w:autoSpaceDN w:val="0"/>
              <w:adjustRightInd w:val="0"/>
              <w:rPr>
                <w:sz w:val="22"/>
                <w:szCs w:val="22"/>
                <w:lang w:val="sr-Latn-ME"/>
              </w:rPr>
            </w:pPr>
            <w:r w:rsidRPr="00EA088A">
              <w:rPr>
                <w:sz w:val="22"/>
                <w:szCs w:val="22"/>
                <w:lang w:val="sr-Latn-ME"/>
              </w:rPr>
              <w:t>0,6 (2,3)</w:t>
            </w:r>
          </w:p>
        </w:tc>
        <w:tc>
          <w:tcPr>
            <w:tcW w:w="3432" w:type="dxa"/>
            <w:tcBorders>
              <w:top w:val="single" w:sz="4" w:space="0" w:color="auto"/>
              <w:left w:val="single" w:sz="4" w:space="0" w:color="auto"/>
              <w:bottom w:val="single" w:sz="4" w:space="0" w:color="auto"/>
              <w:right w:val="single" w:sz="4" w:space="0" w:color="auto"/>
            </w:tcBorders>
            <w:shd w:val="clear" w:color="auto" w:fill="auto"/>
          </w:tcPr>
          <w:p w14:paraId="33A2846B" w14:textId="77777777" w:rsidR="00785722" w:rsidRPr="00C9046D" w:rsidRDefault="00785722" w:rsidP="00A3401E">
            <w:pPr>
              <w:tabs>
                <w:tab w:val="left" w:pos="284"/>
              </w:tabs>
              <w:autoSpaceDE w:val="0"/>
              <w:autoSpaceDN w:val="0"/>
              <w:adjustRightInd w:val="0"/>
              <w:rPr>
                <w:sz w:val="22"/>
                <w:szCs w:val="22"/>
                <w:lang w:val="sr-Latn-ME"/>
              </w:rPr>
            </w:pPr>
            <w:r w:rsidRPr="00C9046D">
              <w:rPr>
                <w:sz w:val="22"/>
                <w:szCs w:val="22"/>
                <w:lang w:val="sr-Latn-ME"/>
              </w:rPr>
              <w:t>0,2 (2,0)**</w:t>
            </w:r>
          </w:p>
        </w:tc>
      </w:tr>
      <w:tr w:rsidR="00785722" w:rsidRPr="00275456" w14:paraId="4BEBB620" w14:textId="77777777" w:rsidTr="00A3401E">
        <w:tc>
          <w:tcPr>
            <w:tcW w:w="10295" w:type="dxa"/>
            <w:gridSpan w:val="3"/>
            <w:tcBorders>
              <w:top w:val="single" w:sz="4" w:space="0" w:color="auto"/>
              <w:left w:val="nil"/>
              <w:bottom w:val="nil"/>
              <w:right w:val="nil"/>
            </w:tcBorders>
            <w:shd w:val="clear" w:color="auto" w:fill="auto"/>
          </w:tcPr>
          <w:p w14:paraId="3E34AD54" w14:textId="77777777" w:rsidR="00785722" w:rsidRPr="005C6DFE" w:rsidRDefault="00785722" w:rsidP="00A3401E">
            <w:pPr>
              <w:tabs>
                <w:tab w:val="left" w:pos="284"/>
              </w:tabs>
              <w:autoSpaceDE w:val="0"/>
              <w:autoSpaceDN w:val="0"/>
              <w:adjustRightInd w:val="0"/>
              <w:rPr>
                <w:sz w:val="22"/>
                <w:szCs w:val="22"/>
                <w:vertAlign w:val="superscript"/>
                <w:lang w:val="sr-Latn-ME"/>
              </w:rPr>
            </w:pPr>
            <w:r w:rsidRPr="005C6DFE">
              <w:rPr>
                <w:sz w:val="22"/>
                <w:szCs w:val="22"/>
                <w:vertAlign w:val="superscript"/>
                <w:lang w:val="sr-Latn-ME"/>
              </w:rPr>
              <w:t>a</w:t>
            </w:r>
            <w:r w:rsidRPr="005C6DFE">
              <w:rPr>
                <w:sz w:val="22"/>
                <w:szCs w:val="22"/>
                <w:lang w:val="sr-Latn-ME"/>
              </w:rPr>
              <w:t xml:space="preserve"> n ukazuje na broj pacijenata</w:t>
            </w:r>
          </w:p>
          <w:p w14:paraId="05EA37AD" w14:textId="77777777" w:rsidR="00785722" w:rsidRPr="005C6DFE" w:rsidRDefault="00785722" w:rsidP="00A3401E">
            <w:pPr>
              <w:tabs>
                <w:tab w:val="left" w:pos="284"/>
              </w:tabs>
              <w:autoSpaceDE w:val="0"/>
              <w:autoSpaceDN w:val="0"/>
              <w:adjustRightInd w:val="0"/>
              <w:rPr>
                <w:sz w:val="22"/>
                <w:szCs w:val="22"/>
                <w:lang w:val="sr-Latn-ME"/>
              </w:rPr>
            </w:pPr>
            <w:r w:rsidRPr="005C6DFE">
              <w:rPr>
                <w:sz w:val="22"/>
                <w:szCs w:val="22"/>
                <w:lang w:val="sr-Latn-ME"/>
              </w:rPr>
              <w:t>*</w:t>
            </w:r>
            <w:r w:rsidRPr="005C6DFE">
              <w:rPr>
                <w:sz w:val="22"/>
                <w:szCs w:val="22"/>
                <w:vertAlign w:val="superscript"/>
                <w:lang w:val="sr-Latn-ME"/>
              </w:rPr>
              <w:t xml:space="preserve">  </w:t>
            </w:r>
            <w:r w:rsidRPr="005C6DFE">
              <w:rPr>
                <w:sz w:val="22"/>
                <w:szCs w:val="22"/>
                <w:lang w:val="sr-Latn-ME"/>
              </w:rPr>
              <w:t>p=0,015</w:t>
            </w:r>
          </w:p>
          <w:p w14:paraId="05669841" w14:textId="77777777" w:rsidR="00785722" w:rsidRPr="00EA088A" w:rsidRDefault="00785722" w:rsidP="00A3401E">
            <w:pPr>
              <w:tabs>
                <w:tab w:val="left" w:pos="284"/>
              </w:tabs>
              <w:autoSpaceDE w:val="0"/>
              <w:autoSpaceDN w:val="0"/>
              <w:adjustRightInd w:val="0"/>
              <w:rPr>
                <w:sz w:val="22"/>
                <w:szCs w:val="22"/>
                <w:vertAlign w:val="superscript"/>
                <w:lang w:val="sr-Latn-ME"/>
              </w:rPr>
            </w:pPr>
            <w:r w:rsidRPr="005C6DFE">
              <w:rPr>
                <w:sz w:val="22"/>
                <w:szCs w:val="22"/>
                <w:lang w:val="sr-Latn-ME"/>
              </w:rPr>
              <w:t>**</w:t>
            </w:r>
            <w:r w:rsidRPr="005C6DFE">
              <w:rPr>
                <w:sz w:val="22"/>
                <w:szCs w:val="22"/>
                <w:vertAlign w:val="superscript"/>
                <w:lang w:val="sr-Latn-ME"/>
              </w:rPr>
              <w:t xml:space="preserve"> </w:t>
            </w:r>
            <w:r w:rsidRPr="005C6DFE">
              <w:rPr>
                <w:sz w:val="22"/>
                <w:szCs w:val="22"/>
                <w:lang w:val="sr-Latn-ME"/>
              </w:rPr>
              <w:t>p=0,044</w:t>
            </w:r>
          </w:p>
        </w:tc>
      </w:tr>
    </w:tbl>
    <w:p w14:paraId="7CB743E8" w14:textId="77777777" w:rsidR="00785722" w:rsidRPr="00EA088A" w:rsidRDefault="00785722" w:rsidP="00785722">
      <w:pPr>
        <w:tabs>
          <w:tab w:val="left" w:pos="284"/>
        </w:tabs>
        <w:autoSpaceDE w:val="0"/>
        <w:autoSpaceDN w:val="0"/>
        <w:adjustRightInd w:val="0"/>
        <w:rPr>
          <w:sz w:val="22"/>
          <w:szCs w:val="22"/>
          <w:lang w:val="sr-Latn-ME"/>
        </w:rPr>
      </w:pPr>
    </w:p>
    <w:p w14:paraId="1DB50455" w14:textId="77777777" w:rsidR="00785722" w:rsidRPr="00EA088A" w:rsidRDefault="00785722" w:rsidP="005C6DFE">
      <w:pPr>
        <w:tabs>
          <w:tab w:val="left" w:pos="284"/>
        </w:tabs>
        <w:jc w:val="both"/>
        <w:rPr>
          <w:i/>
          <w:iCs/>
          <w:sz w:val="22"/>
          <w:szCs w:val="22"/>
          <w:u w:val="single"/>
          <w:lang w:val="sr-Latn-ME"/>
        </w:rPr>
      </w:pPr>
      <w:r w:rsidRPr="00EA088A">
        <w:rPr>
          <w:i/>
          <w:iCs/>
          <w:sz w:val="22"/>
          <w:szCs w:val="22"/>
          <w:u w:val="single"/>
          <w:lang w:val="sr-Latn-ME"/>
        </w:rPr>
        <w:t>Fizička funkcija i zdravstveni aspekt kvaliteta života</w:t>
      </w:r>
    </w:p>
    <w:p w14:paraId="4473FDD5" w14:textId="404F7721" w:rsidR="00785722" w:rsidRPr="00275456" w:rsidRDefault="00785722" w:rsidP="005C6DFE">
      <w:pPr>
        <w:tabs>
          <w:tab w:val="left" w:pos="284"/>
        </w:tabs>
        <w:autoSpaceDE w:val="0"/>
        <w:autoSpaceDN w:val="0"/>
        <w:adjustRightInd w:val="0"/>
        <w:jc w:val="both"/>
        <w:rPr>
          <w:rFonts w:eastAsia="MS Mincho"/>
          <w:sz w:val="22"/>
          <w:szCs w:val="22"/>
          <w:lang w:val="sr-Latn-ME" w:eastAsia="ja-JP" w:bidi="gu-IN"/>
        </w:rPr>
      </w:pPr>
      <w:r w:rsidRPr="00C9046D">
        <w:rPr>
          <w:rFonts w:eastAsia="MS Mincho"/>
          <w:sz w:val="22"/>
          <w:szCs w:val="22"/>
          <w:lang w:val="sr-Latn-ME" w:eastAsia="ja-JP" w:bidi="gu-IN"/>
        </w:rPr>
        <w:t xml:space="preserve">Fizička funkcija i stepen invalidnosti procijenjeni su kao poseban </w:t>
      </w:r>
      <w:r w:rsidR="003C685D" w:rsidRPr="00275456">
        <w:rPr>
          <w:rFonts w:eastAsia="MS Mincho"/>
          <w:sz w:val="22"/>
          <w:szCs w:val="22"/>
          <w:lang w:val="sr-Latn-ME" w:eastAsia="ja-JP" w:bidi="gu-IN"/>
        </w:rPr>
        <w:t xml:space="preserve">parametar praćenja </w:t>
      </w:r>
      <w:r w:rsidRPr="00275456">
        <w:rPr>
          <w:rFonts w:eastAsia="MS Mincho"/>
          <w:sz w:val="22"/>
          <w:szCs w:val="22"/>
          <w:lang w:val="sr-Latn-ME" w:eastAsia="ja-JP" w:bidi="gu-IN"/>
        </w:rPr>
        <w:t>ispitivanja u studijama GO</w:t>
      </w:r>
      <w:r w:rsidRPr="00275456">
        <w:rPr>
          <w:rFonts w:eastAsia="MS Mincho"/>
          <w:sz w:val="22"/>
          <w:szCs w:val="22"/>
          <w:lang w:val="sr-Latn-ME" w:eastAsia="ja-JP" w:bidi="gu-IN"/>
        </w:rPr>
        <w:noBreakHyphen/>
        <w:t>FORWARD i GO</w:t>
      </w:r>
      <w:r w:rsidRPr="00275456">
        <w:rPr>
          <w:rFonts w:eastAsia="MS Mincho"/>
          <w:sz w:val="22"/>
          <w:szCs w:val="22"/>
          <w:lang w:val="sr-Latn-ME" w:eastAsia="ja-JP" w:bidi="gu-IN"/>
        </w:rPr>
        <w:noBreakHyphen/>
        <w:t xml:space="preserve">AFTER, pomoću indeksa invalidnosti iz upitnika HAQ DI. U tim ispitivanjima je sa lijekom Simponi postignuto klinički relevantno i statistički značajno poboljšanje rezultata HAQ DI u 24. nedjelji u odnosu na početne vrijednosti, u poređenju s kontrolnom grupom. </w:t>
      </w:r>
      <w:r w:rsidRPr="00275456">
        <w:rPr>
          <w:sz w:val="22"/>
          <w:szCs w:val="22"/>
          <w:lang w:val="sr-Latn-ME"/>
        </w:rPr>
        <w:t>Među pacijentima koji su ostali na terapiji lijekom Simponi</w:t>
      </w:r>
      <w:r w:rsidRPr="00275456">
        <w:rPr>
          <w:sz w:val="22"/>
          <w:szCs w:val="22"/>
          <w:vertAlign w:val="superscript"/>
          <w:lang w:val="sr-Latn-ME"/>
        </w:rPr>
        <w:t xml:space="preserve">  </w:t>
      </w:r>
      <w:r w:rsidRPr="00275456">
        <w:rPr>
          <w:sz w:val="22"/>
          <w:szCs w:val="22"/>
          <w:lang w:val="sr-Latn-ME"/>
        </w:rPr>
        <w:t xml:space="preserve">na koju su randomizovani na početku ispitivanja, </w:t>
      </w:r>
      <w:r w:rsidRPr="00275456">
        <w:rPr>
          <w:rFonts w:eastAsia="MS Mincho"/>
          <w:sz w:val="22"/>
          <w:szCs w:val="22"/>
          <w:lang w:val="sr-Latn-ME" w:eastAsia="ja-JP" w:bidi="gu-IN"/>
        </w:rPr>
        <w:t>poboljšanje rezultata u upitniku HAQ</w:t>
      </w:r>
      <w:r w:rsidRPr="00275456">
        <w:rPr>
          <w:sz w:val="22"/>
          <w:szCs w:val="22"/>
          <w:lang w:val="sr-Latn-ME"/>
        </w:rPr>
        <w:t xml:space="preserve"> DI održavano je do 104. nedjelje. Među pacijentima koji su ostali uključeni u studiju i lječeni lijekom Simponi, poboljšanje rezultata HAQ DI je bilo slično od 104. nedjelje do kraja 256. nedjelje</w:t>
      </w:r>
    </w:p>
    <w:p w14:paraId="30DD9CC3" w14:textId="77777777" w:rsidR="00785722" w:rsidRPr="00275456" w:rsidRDefault="00785722" w:rsidP="005C6DFE">
      <w:pPr>
        <w:tabs>
          <w:tab w:val="left" w:pos="284"/>
        </w:tabs>
        <w:autoSpaceDE w:val="0"/>
        <w:autoSpaceDN w:val="0"/>
        <w:adjustRightInd w:val="0"/>
        <w:jc w:val="both"/>
        <w:rPr>
          <w:rFonts w:eastAsia="MS Mincho"/>
          <w:sz w:val="22"/>
          <w:szCs w:val="22"/>
          <w:lang w:val="sr-Latn-ME" w:eastAsia="ja-JP" w:bidi="gu-IN"/>
        </w:rPr>
      </w:pPr>
    </w:p>
    <w:p w14:paraId="40D3AA26" w14:textId="77777777" w:rsidR="00785722" w:rsidRPr="00275456" w:rsidRDefault="00785722" w:rsidP="005C6DFE">
      <w:pPr>
        <w:tabs>
          <w:tab w:val="left" w:pos="284"/>
        </w:tabs>
        <w:jc w:val="both"/>
        <w:rPr>
          <w:rFonts w:eastAsia="MS Mincho"/>
          <w:sz w:val="22"/>
          <w:szCs w:val="22"/>
          <w:lang w:val="sr-Latn-ME" w:eastAsia="ja-JP" w:bidi="gu-IN"/>
        </w:rPr>
      </w:pPr>
      <w:r w:rsidRPr="00275456">
        <w:rPr>
          <w:sz w:val="22"/>
          <w:szCs w:val="22"/>
          <w:lang w:val="sr-Latn-ME"/>
        </w:rPr>
        <w:t>U studiji GO</w:t>
      </w:r>
      <w:r w:rsidRPr="00275456">
        <w:rPr>
          <w:sz w:val="22"/>
          <w:szCs w:val="22"/>
          <w:lang w:val="sr-Latn-ME"/>
        </w:rPr>
        <w:noBreakHyphen/>
        <w:t xml:space="preserve">FORWARD pokazano je </w:t>
      </w:r>
      <w:r w:rsidRPr="00275456">
        <w:rPr>
          <w:rFonts w:eastAsia="MS Mincho"/>
          <w:sz w:val="22"/>
          <w:szCs w:val="22"/>
          <w:lang w:val="sr-Latn-ME" w:eastAsia="ja-JP" w:bidi="gu-IN"/>
        </w:rPr>
        <w:t xml:space="preserve">klinički relevantno i statistički značajno poboljšanje zdravstvenog aspekta kvaliteta života, mjereno rezultatom fizičke komponente upitnika SF-36 kod pacijenata liječenih lijekom Simponi i onih koji su primali placebo u 24. nedjelji. </w:t>
      </w:r>
      <w:r w:rsidRPr="00275456">
        <w:rPr>
          <w:sz w:val="22"/>
          <w:szCs w:val="22"/>
          <w:lang w:val="sr-Latn-ME"/>
        </w:rPr>
        <w:t>Među pacijentima koji su ostali na terapiji lijekom Simponi</w:t>
      </w:r>
      <w:r w:rsidRPr="00275456">
        <w:rPr>
          <w:sz w:val="22"/>
          <w:szCs w:val="22"/>
          <w:vertAlign w:val="superscript"/>
          <w:lang w:val="sr-Latn-ME"/>
        </w:rPr>
        <w:t xml:space="preserve">  </w:t>
      </w:r>
      <w:r w:rsidRPr="00275456">
        <w:rPr>
          <w:sz w:val="22"/>
          <w:szCs w:val="22"/>
          <w:lang w:val="sr-Latn-ME"/>
        </w:rPr>
        <w:t xml:space="preserve">na koju su randomizovani na početku ispitivanja, </w:t>
      </w:r>
      <w:r w:rsidRPr="00275456">
        <w:rPr>
          <w:rFonts w:eastAsia="MS Mincho"/>
          <w:sz w:val="22"/>
          <w:szCs w:val="22"/>
          <w:lang w:val="sr-Latn-ME" w:eastAsia="ja-JP" w:bidi="gu-IN"/>
        </w:rPr>
        <w:t xml:space="preserve">poboljšanje rezultata u upitniku SF-36 </w:t>
      </w:r>
      <w:r w:rsidRPr="00275456">
        <w:rPr>
          <w:sz w:val="22"/>
          <w:szCs w:val="22"/>
          <w:lang w:val="sr-Latn-ME"/>
        </w:rPr>
        <w:t xml:space="preserve">održavano je do 104. nedjelje. Među pacijentima koji su ostali uključeni u studiju i lječeni lijekom Simponi, poboljšanje rezultata fizičke komponente </w:t>
      </w:r>
      <w:r w:rsidRPr="00275456">
        <w:rPr>
          <w:rFonts w:eastAsia="MS Mincho"/>
          <w:sz w:val="22"/>
          <w:szCs w:val="22"/>
          <w:lang w:val="sr-Latn-ME" w:eastAsia="ja-JP" w:bidi="gu-IN"/>
        </w:rPr>
        <w:t>SF-36</w:t>
      </w:r>
      <w:r w:rsidRPr="00275456">
        <w:rPr>
          <w:sz w:val="22"/>
          <w:szCs w:val="22"/>
          <w:lang w:val="sr-Latn-ME"/>
        </w:rPr>
        <w:t xml:space="preserve"> je bilo slično od 104. nedjelje do kraja 256. nedjelje.</w:t>
      </w:r>
      <w:r w:rsidRPr="00275456">
        <w:rPr>
          <w:rFonts w:eastAsia="MS Mincho"/>
          <w:sz w:val="22"/>
          <w:szCs w:val="22"/>
          <w:lang w:val="sr-Latn-ME" w:eastAsia="ja-JP" w:bidi="gu-IN"/>
        </w:rPr>
        <w:t xml:space="preserve"> U studijama GO</w:t>
      </w:r>
      <w:r w:rsidRPr="00275456">
        <w:rPr>
          <w:rFonts w:eastAsia="MS Mincho"/>
          <w:sz w:val="22"/>
          <w:szCs w:val="22"/>
          <w:lang w:val="sr-Latn-ME" w:eastAsia="ja-JP" w:bidi="gu-IN"/>
        </w:rPr>
        <w:noBreakHyphen/>
        <w:t>FORWARD i GO</w:t>
      </w:r>
      <w:r w:rsidRPr="00275456">
        <w:rPr>
          <w:rFonts w:eastAsia="MS Mincho"/>
          <w:sz w:val="22"/>
          <w:szCs w:val="22"/>
          <w:lang w:val="sr-Latn-ME" w:eastAsia="ja-JP" w:bidi="gu-IN"/>
        </w:rPr>
        <w:noBreakHyphen/>
        <w:t>AFTER zabilježeno je statistički značajno poboljšanje parametra umora, mjereno ljestvicom umora sistema upitnika Funkcionalne procjene terapije hroničnih bolesti (FACIT-F).</w:t>
      </w:r>
    </w:p>
    <w:p w14:paraId="13334E52" w14:textId="77777777" w:rsidR="00785722" w:rsidRPr="00275456" w:rsidRDefault="00785722" w:rsidP="005C6DFE">
      <w:pPr>
        <w:tabs>
          <w:tab w:val="left" w:pos="284"/>
        </w:tabs>
        <w:jc w:val="both"/>
        <w:rPr>
          <w:i/>
          <w:iCs/>
          <w:sz w:val="22"/>
          <w:szCs w:val="22"/>
          <w:lang w:val="sr-Latn-ME"/>
        </w:rPr>
      </w:pPr>
    </w:p>
    <w:p w14:paraId="32506373" w14:textId="77777777" w:rsidR="00785722" w:rsidRPr="00275456" w:rsidRDefault="00785722" w:rsidP="005C6DFE">
      <w:pPr>
        <w:tabs>
          <w:tab w:val="left" w:pos="284"/>
        </w:tabs>
        <w:jc w:val="both"/>
        <w:rPr>
          <w:i/>
          <w:iCs/>
          <w:sz w:val="22"/>
          <w:szCs w:val="22"/>
          <w:lang w:val="sr-Latn-ME"/>
        </w:rPr>
      </w:pPr>
      <w:r w:rsidRPr="00275456">
        <w:rPr>
          <w:i/>
          <w:iCs/>
          <w:sz w:val="22"/>
          <w:szCs w:val="22"/>
          <w:lang w:val="sr-Latn-ME"/>
        </w:rPr>
        <w:t>Psorijatični artritis</w:t>
      </w:r>
    </w:p>
    <w:p w14:paraId="51040D71" w14:textId="439A0C4C"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Bezbjednost i efikasnost lijeka Simponi procijenjeni su u multicentričnom, randomizovanom, dvostruko slijepom, placebom kontrolisanom ispitivanju (GO</w:t>
      </w:r>
      <w:r w:rsidRPr="00275456">
        <w:rPr>
          <w:sz w:val="22"/>
          <w:szCs w:val="22"/>
          <w:lang w:val="sr-Latn-ME"/>
        </w:rPr>
        <w:noBreakHyphen/>
        <w:t>REVEAL) na 405 odraslih pacijenata s aktivnim psorijatičnim artritisom (</w:t>
      </w:r>
      <w:r w:rsidRPr="00EA088A">
        <w:rPr>
          <w:sz w:val="22"/>
          <w:szCs w:val="22"/>
          <w:lang w:val="sr-Latn-ME"/>
        </w:rPr>
        <w:sym w:font="Symbol" w:char="F0B3"/>
      </w:r>
      <w:r w:rsidRPr="00EA088A">
        <w:rPr>
          <w:sz w:val="22"/>
          <w:szCs w:val="22"/>
          <w:lang w:val="sr-Latn-ME"/>
        </w:rPr>
        <w:t xml:space="preserve"> 3 otečena i </w:t>
      </w:r>
      <w:r w:rsidRPr="00EA088A">
        <w:rPr>
          <w:sz w:val="22"/>
          <w:szCs w:val="22"/>
          <w:lang w:val="sr-Latn-ME"/>
        </w:rPr>
        <w:sym w:font="Symbol" w:char="F0B3"/>
      </w:r>
      <w:r w:rsidRPr="00EA088A">
        <w:rPr>
          <w:sz w:val="22"/>
          <w:szCs w:val="22"/>
          <w:lang w:val="sr-Latn-ME"/>
        </w:rPr>
        <w:t xml:space="preserve"> 3 bolna zgloba) uprkos liječenju nesteroidnim antireumaticima (NSAIL) ili DMARD terapiji. Bolesnici u toj studiji imali su dijagnozu psorijatičnog artritisa najmanje 6 mjeseci i najmanje blagi stepen bolesti. Uključeni su bolesnici sa svakim podtipom psorijatičnog artritisa, uključujući poliartikularni artritis bez reumatoidnih čvorića (43%), asimetrični periferni artritis (30%), distalni artritis interfalangealnih zglobova (15%), spondilitis s perifernim artritisom (11%) i artritis mutilans (1%). Nije bilo dozvoljeno prethodno liječenje TNF blokatorima. Lijek Simponi ili placebo primijenjeni su subkutano svake 4 nedjelje. Pacijenti su nasumice podijeljeni u grupe koje su primale placebo, lijek Simponi 50 mg ili lijek Simponi 100 mg. Pacijenti koji su primali placebo prebačeni su da primaju Simponi 50 mg nakon 24. nedjelje. Pacijenti su uključeni u otvoren, dugotrajni nastavak ispitivanja u 52. nedjelji. Otprilike 48% pacijenata nastavilo je da prima stabilne doze metotreksata (≤ 25 mg/nedjeljno). Primarn</w:t>
      </w:r>
      <w:r w:rsidRPr="00C9046D">
        <w:rPr>
          <w:sz w:val="22"/>
          <w:szCs w:val="22"/>
          <w:lang w:val="sr-Latn-ME"/>
        </w:rPr>
        <w:t xml:space="preserve">i </w:t>
      </w:r>
      <w:r w:rsidR="003C685D" w:rsidRPr="00C9046D">
        <w:rPr>
          <w:sz w:val="22"/>
          <w:szCs w:val="22"/>
          <w:lang w:val="sr-Latn-ME"/>
        </w:rPr>
        <w:t xml:space="preserve">parametri praćenja efikasnosti </w:t>
      </w:r>
      <w:r w:rsidRPr="00275456">
        <w:rPr>
          <w:sz w:val="22"/>
          <w:szCs w:val="22"/>
          <w:lang w:val="sr-Latn-ME"/>
        </w:rPr>
        <w:t xml:space="preserve">bili su procenat pacijenata koji su postigli odgovor ACR 20 u 14. nedjelji i promjena u odnosu na početni rezultat na cjelokupnoj vhH-S skali modifikovanoj za PsA u 24. nedjelji. </w:t>
      </w:r>
    </w:p>
    <w:p w14:paraId="238479A6" w14:textId="77777777" w:rsidR="00785722" w:rsidRPr="00275456" w:rsidRDefault="00785722" w:rsidP="005C6DFE">
      <w:pPr>
        <w:tabs>
          <w:tab w:val="left" w:pos="284"/>
        </w:tabs>
        <w:jc w:val="both"/>
        <w:rPr>
          <w:sz w:val="22"/>
          <w:szCs w:val="22"/>
          <w:lang w:val="sr-Latn-ME"/>
        </w:rPr>
      </w:pPr>
    </w:p>
    <w:p w14:paraId="2C3BA7BA" w14:textId="77777777" w:rsidR="00785722" w:rsidRPr="00275456" w:rsidRDefault="00785722" w:rsidP="005C6DFE">
      <w:pPr>
        <w:tabs>
          <w:tab w:val="left" w:pos="284"/>
        </w:tabs>
        <w:jc w:val="both"/>
        <w:rPr>
          <w:sz w:val="22"/>
          <w:szCs w:val="22"/>
          <w:lang w:val="sr-Latn-ME"/>
        </w:rPr>
      </w:pPr>
      <w:r w:rsidRPr="00275456">
        <w:rPr>
          <w:sz w:val="22"/>
          <w:szCs w:val="22"/>
          <w:lang w:val="sr-Latn-ME"/>
        </w:rPr>
        <w:t>U cjelini, nisu zabilježene klinički značajne razlike u pogledu efikasnosti između režima doziranja od 50 mg i 100 mg za lijek Simponi do kraja 104. nedjelje. Prema dizajnu studije, pacijenti uključeni u dugoročnu ekstenziju mogli su biti prebačeni sa doze 50 mg na dozu 100 mg lijeka Simponi na osnovu odluke studijskog ljekara.</w:t>
      </w:r>
    </w:p>
    <w:p w14:paraId="079E5CEC" w14:textId="77777777" w:rsidR="00785722" w:rsidRPr="00275456" w:rsidRDefault="00785722" w:rsidP="005C6DFE">
      <w:pPr>
        <w:tabs>
          <w:tab w:val="left" w:pos="284"/>
        </w:tabs>
        <w:jc w:val="both"/>
        <w:rPr>
          <w:sz w:val="22"/>
          <w:szCs w:val="22"/>
          <w:lang w:val="sr-Latn-ME"/>
        </w:rPr>
      </w:pPr>
    </w:p>
    <w:p w14:paraId="615F6EBF" w14:textId="77777777" w:rsidR="00785722" w:rsidRPr="00275456" w:rsidRDefault="00785722" w:rsidP="005C6DFE">
      <w:pPr>
        <w:tabs>
          <w:tab w:val="left" w:pos="284"/>
        </w:tabs>
        <w:jc w:val="both"/>
        <w:rPr>
          <w:sz w:val="22"/>
          <w:szCs w:val="22"/>
          <w:lang w:val="sr-Latn-ME"/>
        </w:rPr>
      </w:pPr>
      <w:r w:rsidRPr="00275456">
        <w:rPr>
          <w:i/>
          <w:sz w:val="22"/>
          <w:szCs w:val="22"/>
          <w:u w:val="single"/>
          <w:lang w:val="sr-Latn-ME"/>
        </w:rPr>
        <w:t>Znaci i simptomi</w:t>
      </w:r>
    </w:p>
    <w:p w14:paraId="25288B40" w14:textId="77777777" w:rsidR="00785722" w:rsidRPr="00275456" w:rsidRDefault="00785722" w:rsidP="00785722">
      <w:pPr>
        <w:tabs>
          <w:tab w:val="left" w:pos="284"/>
        </w:tabs>
        <w:rPr>
          <w:sz w:val="22"/>
          <w:szCs w:val="22"/>
          <w:lang w:val="sr-Latn-ME"/>
        </w:rPr>
      </w:pPr>
      <w:r w:rsidRPr="00275456">
        <w:rPr>
          <w:sz w:val="22"/>
          <w:szCs w:val="22"/>
          <w:lang w:val="sr-Latn-ME"/>
        </w:rPr>
        <w:t xml:space="preserve">Najvažniji rezultati za dozu od 50 mg u 14. i 24. nedjelji prikazani su u Tabeli 4 i opisani u daljem tekstu. </w:t>
      </w:r>
    </w:p>
    <w:p w14:paraId="1F72E560" w14:textId="7BD24614" w:rsidR="00785722" w:rsidRDefault="00785722" w:rsidP="00785722">
      <w:pPr>
        <w:tabs>
          <w:tab w:val="left" w:pos="284"/>
        </w:tabs>
        <w:autoSpaceDE w:val="0"/>
        <w:autoSpaceDN w:val="0"/>
        <w:adjustRightInd w:val="0"/>
        <w:rPr>
          <w:sz w:val="22"/>
          <w:szCs w:val="22"/>
          <w:lang w:val="sr-Latn-ME"/>
        </w:rPr>
      </w:pPr>
    </w:p>
    <w:p w14:paraId="4CD75C02" w14:textId="77777777" w:rsidR="00EA0ADE" w:rsidRPr="00275456" w:rsidRDefault="00EA0ADE" w:rsidP="00785722">
      <w:pPr>
        <w:tabs>
          <w:tab w:val="left" w:pos="284"/>
        </w:tabs>
        <w:autoSpaceDE w:val="0"/>
        <w:autoSpaceDN w:val="0"/>
        <w:adjustRightInd w:val="0"/>
        <w:rPr>
          <w:sz w:val="22"/>
          <w:szCs w:val="22"/>
          <w:lang w:val="sr-Latn-ME"/>
        </w:rPr>
      </w:pPr>
    </w:p>
    <w:p w14:paraId="15D66686" w14:textId="77777777" w:rsidR="00785722" w:rsidRPr="00275456" w:rsidRDefault="00785722" w:rsidP="00785722">
      <w:pPr>
        <w:tabs>
          <w:tab w:val="left" w:pos="284"/>
        </w:tabs>
        <w:autoSpaceDE w:val="0"/>
        <w:autoSpaceDN w:val="0"/>
        <w:adjustRightInd w:val="0"/>
        <w:jc w:val="center"/>
        <w:rPr>
          <w:b/>
          <w:sz w:val="22"/>
          <w:szCs w:val="22"/>
          <w:lang w:val="sr-Latn-ME"/>
        </w:rPr>
      </w:pPr>
      <w:r w:rsidRPr="00275456">
        <w:rPr>
          <w:b/>
          <w:sz w:val="22"/>
          <w:szCs w:val="22"/>
          <w:lang w:val="sr-Latn-ME"/>
        </w:rPr>
        <w:lastRenderedPageBreak/>
        <w:t>Tabela 4</w:t>
      </w:r>
    </w:p>
    <w:p w14:paraId="5D27E391" w14:textId="77777777" w:rsidR="00785722" w:rsidRPr="00275456" w:rsidRDefault="00785722" w:rsidP="00785722">
      <w:pPr>
        <w:tabs>
          <w:tab w:val="left" w:pos="284"/>
        </w:tabs>
        <w:autoSpaceDE w:val="0"/>
        <w:autoSpaceDN w:val="0"/>
        <w:adjustRightInd w:val="0"/>
        <w:jc w:val="center"/>
        <w:rPr>
          <w:b/>
          <w:sz w:val="22"/>
          <w:szCs w:val="22"/>
          <w:lang w:val="sr-Latn-ME"/>
        </w:rPr>
      </w:pPr>
      <w:r w:rsidRPr="00275456">
        <w:rPr>
          <w:b/>
          <w:sz w:val="22"/>
          <w:szCs w:val="22"/>
          <w:lang w:val="sr-Latn-ME"/>
        </w:rPr>
        <w:t>Ključni rezultati efikasnosti iz studije GO</w:t>
      </w:r>
      <w:r w:rsidRPr="00275456">
        <w:rPr>
          <w:b/>
          <w:sz w:val="22"/>
          <w:szCs w:val="22"/>
          <w:lang w:val="sr-Latn-ME"/>
        </w:rPr>
        <w:noBreakHyphen/>
        <w:t>REVEAL</w:t>
      </w:r>
    </w:p>
    <w:tbl>
      <w:tblPr>
        <w:tblW w:w="731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83"/>
        <w:gridCol w:w="2734"/>
        <w:gridCol w:w="2198"/>
      </w:tblGrid>
      <w:tr w:rsidR="00785722" w:rsidRPr="00275456" w14:paraId="33336071" w14:textId="77777777" w:rsidTr="00A3401E">
        <w:trPr>
          <w:cantSplit/>
          <w:tblHeader/>
          <w:jc w:val="center"/>
        </w:trPr>
        <w:tc>
          <w:tcPr>
            <w:tcW w:w="2383" w:type="dxa"/>
            <w:tcBorders>
              <w:top w:val="single" w:sz="4" w:space="0" w:color="auto"/>
              <w:left w:val="single" w:sz="4" w:space="0" w:color="auto"/>
              <w:bottom w:val="single" w:sz="4" w:space="0" w:color="auto"/>
              <w:right w:val="single" w:sz="4" w:space="0" w:color="auto"/>
            </w:tcBorders>
            <w:vAlign w:val="center"/>
          </w:tcPr>
          <w:p w14:paraId="5E52170D" w14:textId="77777777" w:rsidR="00785722" w:rsidRPr="00275456" w:rsidRDefault="00785722" w:rsidP="00A3401E">
            <w:pPr>
              <w:tabs>
                <w:tab w:val="left" w:pos="284"/>
              </w:tabs>
              <w:rPr>
                <w:sz w:val="22"/>
                <w:szCs w:val="22"/>
                <w:lang w:val="sr-Latn-ME"/>
              </w:rPr>
            </w:pPr>
          </w:p>
        </w:tc>
        <w:tc>
          <w:tcPr>
            <w:tcW w:w="2734" w:type="dxa"/>
            <w:tcBorders>
              <w:top w:val="single" w:sz="4" w:space="0" w:color="auto"/>
              <w:left w:val="single" w:sz="4" w:space="0" w:color="auto"/>
              <w:bottom w:val="single" w:sz="4" w:space="0" w:color="auto"/>
              <w:right w:val="single" w:sz="4" w:space="0" w:color="auto"/>
            </w:tcBorders>
            <w:vAlign w:val="bottom"/>
          </w:tcPr>
          <w:p w14:paraId="0E4B44B6" w14:textId="77777777" w:rsidR="00785722" w:rsidRPr="00275456" w:rsidRDefault="00785722" w:rsidP="00A3401E">
            <w:pPr>
              <w:tabs>
                <w:tab w:val="left" w:pos="284"/>
              </w:tabs>
              <w:rPr>
                <w:sz w:val="22"/>
                <w:szCs w:val="22"/>
                <w:lang w:val="sr-Latn-ME"/>
              </w:rPr>
            </w:pPr>
            <w:r w:rsidRPr="00275456">
              <w:rPr>
                <w:sz w:val="22"/>
                <w:szCs w:val="22"/>
                <w:lang w:val="sr-Latn-ME"/>
              </w:rPr>
              <w:t>Placebo</w:t>
            </w:r>
          </w:p>
        </w:tc>
        <w:tc>
          <w:tcPr>
            <w:tcW w:w="2198" w:type="dxa"/>
            <w:tcBorders>
              <w:top w:val="single" w:sz="4" w:space="0" w:color="auto"/>
              <w:left w:val="single" w:sz="4" w:space="0" w:color="auto"/>
              <w:bottom w:val="single" w:sz="4" w:space="0" w:color="auto"/>
              <w:right w:val="single" w:sz="4" w:space="0" w:color="auto"/>
            </w:tcBorders>
            <w:vAlign w:val="bottom"/>
          </w:tcPr>
          <w:p w14:paraId="7897BEAC" w14:textId="77777777" w:rsidR="00785722" w:rsidRPr="00275456" w:rsidRDefault="00785722" w:rsidP="00A3401E">
            <w:pPr>
              <w:tabs>
                <w:tab w:val="left" w:pos="284"/>
              </w:tabs>
              <w:rPr>
                <w:sz w:val="22"/>
                <w:szCs w:val="22"/>
                <w:lang w:val="sr-Latn-ME"/>
              </w:rPr>
            </w:pPr>
            <w:r w:rsidRPr="00275456">
              <w:rPr>
                <w:sz w:val="22"/>
                <w:szCs w:val="22"/>
                <w:lang w:val="sr-Latn-ME"/>
              </w:rPr>
              <w:t>Lijek Simponi</w:t>
            </w:r>
          </w:p>
          <w:p w14:paraId="707AD467" w14:textId="77777777" w:rsidR="00785722" w:rsidRPr="00275456" w:rsidRDefault="00785722" w:rsidP="00A3401E">
            <w:pPr>
              <w:tabs>
                <w:tab w:val="left" w:pos="284"/>
              </w:tabs>
              <w:rPr>
                <w:sz w:val="22"/>
                <w:szCs w:val="22"/>
                <w:lang w:val="sr-Latn-ME"/>
              </w:rPr>
            </w:pPr>
            <w:r w:rsidRPr="00275456">
              <w:rPr>
                <w:sz w:val="22"/>
                <w:szCs w:val="22"/>
                <w:lang w:val="sr-Latn-ME"/>
              </w:rPr>
              <w:t>50 mg*</w:t>
            </w:r>
          </w:p>
        </w:tc>
      </w:tr>
      <w:tr w:rsidR="00785722" w:rsidRPr="00275456" w14:paraId="2EAF9E3F"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55078D9D" w14:textId="0B3BD410" w:rsidR="00785722" w:rsidRPr="00EA088A" w:rsidRDefault="00233DFC" w:rsidP="00A3401E">
            <w:pPr>
              <w:tabs>
                <w:tab w:val="left" w:pos="284"/>
              </w:tabs>
              <w:rPr>
                <w:b/>
                <w:bCs/>
                <w:sz w:val="22"/>
                <w:szCs w:val="22"/>
                <w:lang w:val="sr-Latn-ME"/>
              </w:rPr>
            </w:pPr>
            <w:r w:rsidRPr="00EA088A">
              <w:rPr>
                <w:sz w:val="22"/>
                <w:szCs w:val="22"/>
                <w:lang w:val="sr-Latn-ME"/>
              </w:rPr>
              <w:t>n</w:t>
            </w:r>
            <w:r w:rsidR="00785722" w:rsidRPr="00EA088A">
              <w:rPr>
                <w:sz w:val="22"/>
                <w:szCs w:val="22"/>
                <w:vertAlign w:val="superscript"/>
                <w:lang w:val="sr-Latn-ME"/>
              </w:rPr>
              <w:t>a</w:t>
            </w:r>
          </w:p>
        </w:tc>
        <w:tc>
          <w:tcPr>
            <w:tcW w:w="2734" w:type="dxa"/>
            <w:tcBorders>
              <w:top w:val="single" w:sz="4" w:space="0" w:color="auto"/>
              <w:left w:val="single" w:sz="4" w:space="0" w:color="auto"/>
              <w:bottom w:val="single" w:sz="4" w:space="0" w:color="auto"/>
              <w:right w:val="single" w:sz="4" w:space="0" w:color="auto"/>
            </w:tcBorders>
            <w:vAlign w:val="center"/>
          </w:tcPr>
          <w:p w14:paraId="1DD0B394" w14:textId="77777777" w:rsidR="00785722" w:rsidRPr="00C9046D" w:rsidRDefault="00785722" w:rsidP="00A3401E">
            <w:pPr>
              <w:tabs>
                <w:tab w:val="left" w:pos="284"/>
              </w:tabs>
              <w:rPr>
                <w:sz w:val="22"/>
                <w:szCs w:val="22"/>
                <w:lang w:val="sr-Latn-ME"/>
              </w:rPr>
            </w:pPr>
            <w:r w:rsidRPr="00C9046D">
              <w:rPr>
                <w:sz w:val="22"/>
                <w:szCs w:val="22"/>
                <w:lang w:val="sr-Latn-ME"/>
              </w:rPr>
              <w:t>113</w:t>
            </w:r>
          </w:p>
        </w:tc>
        <w:tc>
          <w:tcPr>
            <w:tcW w:w="2198" w:type="dxa"/>
            <w:tcBorders>
              <w:top w:val="single" w:sz="4" w:space="0" w:color="auto"/>
              <w:left w:val="single" w:sz="4" w:space="0" w:color="auto"/>
              <w:bottom w:val="single" w:sz="4" w:space="0" w:color="auto"/>
              <w:right w:val="single" w:sz="4" w:space="0" w:color="auto"/>
            </w:tcBorders>
            <w:vAlign w:val="center"/>
          </w:tcPr>
          <w:p w14:paraId="6A85EBB0" w14:textId="77777777" w:rsidR="00785722" w:rsidRPr="00275456" w:rsidRDefault="00785722" w:rsidP="00A3401E">
            <w:pPr>
              <w:tabs>
                <w:tab w:val="left" w:pos="284"/>
              </w:tabs>
              <w:rPr>
                <w:sz w:val="22"/>
                <w:szCs w:val="22"/>
                <w:lang w:val="sr-Latn-ME"/>
              </w:rPr>
            </w:pPr>
            <w:r w:rsidRPr="00275456">
              <w:rPr>
                <w:sz w:val="22"/>
                <w:szCs w:val="22"/>
                <w:lang w:val="sr-Latn-ME"/>
              </w:rPr>
              <w:t>146</w:t>
            </w:r>
          </w:p>
        </w:tc>
      </w:tr>
      <w:tr w:rsidR="00785722" w:rsidRPr="00275456" w14:paraId="730B9E23" w14:textId="77777777" w:rsidTr="00A3401E">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14:paraId="2256B287" w14:textId="77777777" w:rsidR="00785722" w:rsidRPr="00EA088A" w:rsidRDefault="00785722" w:rsidP="00A3401E">
            <w:pPr>
              <w:tabs>
                <w:tab w:val="left" w:pos="284"/>
              </w:tabs>
              <w:rPr>
                <w:sz w:val="22"/>
                <w:szCs w:val="22"/>
                <w:lang w:val="sr-Latn-ME"/>
              </w:rPr>
            </w:pPr>
            <w:r w:rsidRPr="00EA088A">
              <w:rPr>
                <w:b/>
                <w:bCs/>
                <w:sz w:val="22"/>
                <w:szCs w:val="22"/>
                <w:lang w:val="sr-Latn-ME"/>
              </w:rPr>
              <w:t>Pacijenti koji su odgovorili na liječenje, % pacijenata</w:t>
            </w:r>
          </w:p>
        </w:tc>
      </w:tr>
      <w:tr w:rsidR="00785722" w:rsidRPr="00275456" w14:paraId="61AED8D8"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1FBE8E4B" w14:textId="77777777" w:rsidR="00785722" w:rsidRPr="00EA088A" w:rsidRDefault="00785722" w:rsidP="00A3401E">
            <w:pPr>
              <w:tabs>
                <w:tab w:val="left" w:pos="284"/>
              </w:tabs>
              <w:rPr>
                <w:b/>
                <w:bCs/>
                <w:sz w:val="22"/>
                <w:szCs w:val="22"/>
                <w:lang w:val="sr-Latn-ME"/>
              </w:rPr>
            </w:pPr>
            <w:r w:rsidRPr="00EA088A">
              <w:rPr>
                <w:b/>
                <w:bCs/>
                <w:sz w:val="22"/>
                <w:szCs w:val="22"/>
                <w:lang w:val="sr-Latn-ME"/>
              </w:rPr>
              <w:t>ACR 20</w:t>
            </w:r>
          </w:p>
        </w:tc>
        <w:tc>
          <w:tcPr>
            <w:tcW w:w="2734" w:type="dxa"/>
            <w:tcBorders>
              <w:top w:val="single" w:sz="4" w:space="0" w:color="auto"/>
              <w:left w:val="single" w:sz="4" w:space="0" w:color="auto"/>
              <w:bottom w:val="single" w:sz="4" w:space="0" w:color="auto"/>
              <w:right w:val="single" w:sz="4" w:space="0" w:color="auto"/>
            </w:tcBorders>
            <w:vAlign w:val="center"/>
          </w:tcPr>
          <w:p w14:paraId="6C65842C" w14:textId="77777777" w:rsidR="00785722" w:rsidRPr="00EA088A" w:rsidRDefault="00785722" w:rsidP="00A3401E">
            <w:pPr>
              <w:tabs>
                <w:tab w:val="left" w:pos="284"/>
              </w:tabs>
              <w:rPr>
                <w:b/>
                <w:bCs/>
                <w:sz w:val="22"/>
                <w:szCs w:val="22"/>
                <w:lang w:val="sr-Latn-ME"/>
              </w:rPr>
            </w:pPr>
          </w:p>
        </w:tc>
        <w:tc>
          <w:tcPr>
            <w:tcW w:w="2198" w:type="dxa"/>
            <w:tcBorders>
              <w:top w:val="single" w:sz="4" w:space="0" w:color="auto"/>
              <w:left w:val="single" w:sz="4" w:space="0" w:color="auto"/>
              <w:bottom w:val="single" w:sz="4" w:space="0" w:color="auto"/>
              <w:right w:val="single" w:sz="4" w:space="0" w:color="auto"/>
            </w:tcBorders>
            <w:vAlign w:val="center"/>
          </w:tcPr>
          <w:p w14:paraId="0D8C7D48" w14:textId="77777777" w:rsidR="00785722" w:rsidRPr="00C9046D" w:rsidRDefault="00785722" w:rsidP="00A3401E">
            <w:pPr>
              <w:tabs>
                <w:tab w:val="left" w:pos="284"/>
              </w:tabs>
              <w:rPr>
                <w:b/>
                <w:bCs/>
                <w:sz w:val="22"/>
                <w:szCs w:val="22"/>
                <w:lang w:val="sr-Latn-ME"/>
              </w:rPr>
            </w:pPr>
          </w:p>
        </w:tc>
      </w:tr>
      <w:tr w:rsidR="00785722" w:rsidRPr="00275456" w14:paraId="508EFB0F"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0BC1BE53" w14:textId="77777777" w:rsidR="00785722" w:rsidRPr="00EA088A" w:rsidRDefault="00785722" w:rsidP="00A3401E">
            <w:pPr>
              <w:tabs>
                <w:tab w:val="left" w:pos="284"/>
              </w:tabs>
              <w:rPr>
                <w:sz w:val="22"/>
                <w:szCs w:val="22"/>
                <w:lang w:val="sr-Latn-ME"/>
              </w:rPr>
            </w:pPr>
            <w:r w:rsidRPr="00EA088A">
              <w:rPr>
                <w:sz w:val="22"/>
                <w:szCs w:val="22"/>
                <w:lang w:val="sr-Latn-ME"/>
              </w:rPr>
              <w:t>14. nedjelja</w:t>
            </w:r>
          </w:p>
        </w:tc>
        <w:tc>
          <w:tcPr>
            <w:tcW w:w="2734" w:type="dxa"/>
            <w:tcBorders>
              <w:top w:val="single" w:sz="4" w:space="0" w:color="auto"/>
              <w:left w:val="single" w:sz="4" w:space="0" w:color="auto"/>
              <w:bottom w:val="single" w:sz="4" w:space="0" w:color="auto"/>
              <w:right w:val="single" w:sz="4" w:space="0" w:color="auto"/>
            </w:tcBorders>
            <w:vAlign w:val="center"/>
          </w:tcPr>
          <w:p w14:paraId="22AF2030" w14:textId="77777777" w:rsidR="00785722" w:rsidRPr="00EA088A" w:rsidRDefault="00785722" w:rsidP="00A3401E">
            <w:pPr>
              <w:tabs>
                <w:tab w:val="left" w:pos="284"/>
              </w:tabs>
              <w:rPr>
                <w:b/>
                <w:bCs/>
                <w:sz w:val="22"/>
                <w:szCs w:val="22"/>
                <w:lang w:val="sr-Latn-ME"/>
              </w:rPr>
            </w:pPr>
            <w:r w:rsidRPr="00EA088A">
              <w:rPr>
                <w:b/>
                <w:bCs/>
                <w:sz w:val="22"/>
                <w:szCs w:val="22"/>
                <w:lang w:val="sr-Latn-ME"/>
              </w:rPr>
              <w:t>9 %</w:t>
            </w:r>
          </w:p>
        </w:tc>
        <w:tc>
          <w:tcPr>
            <w:tcW w:w="2198" w:type="dxa"/>
            <w:tcBorders>
              <w:top w:val="single" w:sz="4" w:space="0" w:color="auto"/>
              <w:left w:val="single" w:sz="4" w:space="0" w:color="auto"/>
              <w:bottom w:val="single" w:sz="4" w:space="0" w:color="auto"/>
              <w:right w:val="single" w:sz="4" w:space="0" w:color="auto"/>
            </w:tcBorders>
            <w:vAlign w:val="center"/>
          </w:tcPr>
          <w:p w14:paraId="3372A775" w14:textId="77777777" w:rsidR="00785722" w:rsidRPr="00C9046D" w:rsidRDefault="00785722" w:rsidP="00A3401E">
            <w:pPr>
              <w:tabs>
                <w:tab w:val="left" w:pos="284"/>
              </w:tabs>
              <w:rPr>
                <w:b/>
                <w:bCs/>
                <w:sz w:val="22"/>
                <w:szCs w:val="22"/>
                <w:lang w:val="sr-Latn-ME"/>
              </w:rPr>
            </w:pPr>
            <w:r w:rsidRPr="00C9046D">
              <w:rPr>
                <w:b/>
                <w:bCs/>
                <w:sz w:val="22"/>
                <w:szCs w:val="22"/>
                <w:lang w:val="sr-Latn-ME"/>
              </w:rPr>
              <w:t>51 %</w:t>
            </w:r>
          </w:p>
        </w:tc>
      </w:tr>
      <w:tr w:rsidR="00785722" w:rsidRPr="00275456" w14:paraId="392F5582"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18425A33" w14:textId="77777777" w:rsidR="00785722" w:rsidRPr="00EA088A" w:rsidRDefault="00785722" w:rsidP="00A3401E">
            <w:pPr>
              <w:tabs>
                <w:tab w:val="left" w:pos="284"/>
              </w:tabs>
              <w:rPr>
                <w:sz w:val="22"/>
                <w:szCs w:val="22"/>
                <w:lang w:val="sr-Latn-ME"/>
              </w:rPr>
            </w:pPr>
            <w:r w:rsidRPr="00EA088A">
              <w:rPr>
                <w:sz w:val="22"/>
                <w:szCs w:val="22"/>
                <w:lang w:val="sr-Latn-ME"/>
              </w:rPr>
              <w:t>24. nedjelja</w:t>
            </w:r>
          </w:p>
        </w:tc>
        <w:tc>
          <w:tcPr>
            <w:tcW w:w="2734" w:type="dxa"/>
            <w:tcBorders>
              <w:top w:val="single" w:sz="4" w:space="0" w:color="auto"/>
              <w:left w:val="single" w:sz="4" w:space="0" w:color="auto"/>
              <w:bottom w:val="single" w:sz="4" w:space="0" w:color="auto"/>
              <w:right w:val="single" w:sz="4" w:space="0" w:color="auto"/>
            </w:tcBorders>
            <w:vAlign w:val="center"/>
          </w:tcPr>
          <w:p w14:paraId="448B11A5" w14:textId="77777777" w:rsidR="00785722" w:rsidRPr="00EA088A" w:rsidRDefault="00785722" w:rsidP="00A3401E">
            <w:pPr>
              <w:tabs>
                <w:tab w:val="left" w:pos="284"/>
              </w:tabs>
              <w:rPr>
                <w:sz w:val="22"/>
                <w:szCs w:val="22"/>
                <w:lang w:val="sr-Latn-ME"/>
              </w:rPr>
            </w:pPr>
            <w:r w:rsidRPr="00EA088A">
              <w:rPr>
                <w:sz w:val="22"/>
                <w:szCs w:val="22"/>
                <w:lang w:val="sr-Latn-ME"/>
              </w:rPr>
              <w:t>12 %</w:t>
            </w:r>
          </w:p>
        </w:tc>
        <w:tc>
          <w:tcPr>
            <w:tcW w:w="2198" w:type="dxa"/>
            <w:tcBorders>
              <w:top w:val="single" w:sz="4" w:space="0" w:color="auto"/>
              <w:left w:val="single" w:sz="4" w:space="0" w:color="auto"/>
              <w:bottom w:val="single" w:sz="4" w:space="0" w:color="auto"/>
              <w:right w:val="single" w:sz="4" w:space="0" w:color="auto"/>
            </w:tcBorders>
            <w:vAlign w:val="center"/>
          </w:tcPr>
          <w:p w14:paraId="2630CCD9" w14:textId="77777777" w:rsidR="00785722" w:rsidRPr="00C9046D" w:rsidRDefault="00785722" w:rsidP="00A3401E">
            <w:pPr>
              <w:tabs>
                <w:tab w:val="left" w:pos="284"/>
              </w:tabs>
              <w:rPr>
                <w:sz w:val="22"/>
                <w:szCs w:val="22"/>
                <w:lang w:val="sr-Latn-ME"/>
              </w:rPr>
            </w:pPr>
            <w:r w:rsidRPr="00C9046D">
              <w:rPr>
                <w:sz w:val="22"/>
                <w:szCs w:val="22"/>
                <w:lang w:val="sr-Latn-ME"/>
              </w:rPr>
              <w:t>52 %</w:t>
            </w:r>
          </w:p>
        </w:tc>
      </w:tr>
      <w:tr w:rsidR="00785722" w:rsidRPr="00275456" w14:paraId="5E516219"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67F02A4D" w14:textId="77777777" w:rsidR="00785722" w:rsidRPr="00EA088A" w:rsidRDefault="00785722" w:rsidP="00A3401E">
            <w:pPr>
              <w:tabs>
                <w:tab w:val="left" w:pos="284"/>
              </w:tabs>
              <w:rPr>
                <w:b/>
                <w:bCs/>
                <w:sz w:val="22"/>
                <w:szCs w:val="22"/>
                <w:lang w:val="sr-Latn-ME"/>
              </w:rPr>
            </w:pPr>
            <w:r w:rsidRPr="00EA088A">
              <w:rPr>
                <w:b/>
                <w:bCs/>
                <w:sz w:val="22"/>
                <w:szCs w:val="22"/>
                <w:lang w:val="sr-Latn-ME"/>
              </w:rPr>
              <w:t>ACR 50</w:t>
            </w:r>
          </w:p>
        </w:tc>
        <w:tc>
          <w:tcPr>
            <w:tcW w:w="2734" w:type="dxa"/>
            <w:tcBorders>
              <w:top w:val="single" w:sz="4" w:space="0" w:color="auto"/>
              <w:left w:val="single" w:sz="4" w:space="0" w:color="auto"/>
              <w:bottom w:val="single" w:sz="4" w:space="0" w:color="auto"/>
              <w:right w:val="single" w:sz="4" w:space="0" w:color="auto"/>
            </w:tcBorders>
            <w:vAlign w:val="center"/>
          </w:tcPr>
          <w:p w14:paraId="0393B028" w14:textId="77777777" w:rsidR="00785722" w:rsidRPr="00EA088A" w:rsidRDefault="00785722" w:rsidP="00A3401E">
            <w:pPr>
              <w:tabs>
                <w:tab w:val="left" w:pos="284"/>
              </w:tabs>
              <w:rPr>
                <w:b/>
                <w:bCs/>
                <w:sz w:val="22"/>
                <w:szCs w:val="22"/>
                <w:lang w:val="sr-Latn-ME"/>
              </w:rPr>
            </w:pPr>
          </w:p>
        </w:tc>
        <w:tc>
          <w:tcPr>
            <w:tcW w:w="2198" w:type="dxa"/>
            <w:tcBorders>
              <w:top w:val="single" w:sz="4" w:space="0" w:color="auto"/>
              <w:left w:val="single" w:sz="4" w:space="0" w:color="auto"/>
              <w:bottom w:val="single" w:sz="4" w:space="0" w:color="auto"/>
              <w:right w:val="single" w:sz="4" w:space="0" w:color="auto"/>
            </w:tcBorders>
            <w:vAlign w:val="center"/>
          </w:tcPr>
          <w:p w14:paraId="53D99C63" w14:textId="77777777" w:rsidR="00785722" w:rsidRPr="00C9046D" w:rsidRDefault="00785722" w:rsidP="00A3401E">
            <w:pPr>
              <w:tabs>
                <w:tab w:val="left" w:pos="284"/>
              </w:tabs>
              <w:rPr>
                <w:b/>
                <w:bCs/>
                <w:sz w:val="22"/>
                <w:szCs w:val="22"/>
                <w:lang w:val="sr-Latn-ME"/>
              </w:rPr>
            </w:pPr>
          </w:p>
        </w:tc>
      </w:tr>
      <w:tr w:rsidR="00785722" w:rsidRPr="00275456" w14:paraId="3A39AEBF"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732D34A4" w14:textId="77777777" w:rsidR="00785722" w:rsidRPr="00EA088A" w:rsidRDefault="00785722" w:rsidP="00A3401E">
            <w:pPr>
              <w:tabs>
                <w:tab w:val="left" w:pos="284"/>
              </w:tabs>
              <w:rPr>
                <w:sz w:val="22"/>
                <w:szCs w:val="22"/>
                <w:lang w:val="sr-Latn-ME"/>
              </w:rPr>
            </w:pPr>
            <w:r w:rsidRPr="00EA088A">
              <w:rPr>
                <w:sz w:val="22"/>
                <w:szCs w:val="22"/>
                <w:lang w:val="sr-Latn-ME"/>
              </w:rPr>
              <w:t>14. nedjelja</w:t>
            </w:r>
          </w:p>
        </w:tc>
        <w:tc>
          <w:tcPr>
            <w:tcW w:w="2734" w:type="dxa"/>
            <w:tcBorders>
              <w:top w:val="single" w:sz="4" w:space="0" w:color="auto"/>
              <w:left w:val="single" w:sz="4" w:space="0" w:color="auto"/>
              <w:bottom w:val="single" w:sz="4" w:space="0" w:color="auto"/>
              <w:right w:val="single" w:sz="4" w:space="0" w:color="auto"/>
            </w:tcBorders>
            <w:vAlign w:val="center"/>
          </w:tcPr>
          <w:p w14:paraId="2849766F" w14:textId="77777777" w:rsidR="00785722" w:rsidRPr="00EA088A" w:rsidRDefault="00785722" w:rsidP="00A3401E">
            <w:pPr>
              <w:tabs>
                <w:tab w:val="left" w:pos="284"/>
              </w:tabs>
              <w:rPr>
                <w:sz w:val="22"/>
                <w:szCs w:val="22"/>
                <w:lang w:val="sr-Latn-ME"/>
              </w:rPr>
            </w:pPr>
            <w:r w:rsidRPr="00EA088A">
              <w:rPr>
                <w:sz w:val="22"/>
                <w:szCs w:val="22"/>
                <w:lang w:val="sr-Latn-ME"/>
              </w:rPr>
              <w:t xml:space="preserve">2 % </w:t>
            </w:r>
          </w:p>
        </w:tc>
        <w:tc>
          <w:tcPr>
            <w:tcW w:w="2198" w:type="dxa"/>
            <w:tcBorders>
              <w:top w:val="single" w:sz="4" w:space="0" w:color="auto"/>
              <w:left w:val="single" w:sz="4" w:space="0" w:color="auto"/>
              <w:bottom w:val="single" w:sz="4" w:space="0" w:color="auto"/>
              <w:right w:val="single" w:sz="4" w:space="0" w:color="auto"/>
            </w:tcBorders>
            <w:vAlign w:val="center"/>
          </w:tcPr>
          <w:p w14:paraId="255147BC" w14:textId="77777777" w:rsidR="00785722" w:rsidRPr="00C9046D" w:rsidRDefault="00785722" w:rsidP="00A3401E">
            <w:pPr>
              <w:tabs>
                <w:tab w:val="left" w:pos="284"/>
              </w:tabs>
              <w:rPr>
                <w:sz w:val="22"/>
                <w:szCs w:val="22"/>
                <w:lang w:val="sr-Latn-ME"/>
              </w:rPr>
            </w:pPr>
            <w:r w:rsidRPr="00C9046D">
              <w:rPr>
                <w:sz w:val="22"/>
                <w:szCs w:val="22"/>
                <w:lang w:val="sr-Latn-ME"/>
              </w:rPr>
              <w:t>30 %</w:t>
            </w:r>
          </w:p>
        </w:tc>
      </w:tr>
      <w:tr w:rsidR="00785722" w:rsidRPr="00275456" w14:paraId="082AFAE8"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51F198BF" w14:textId="77777777" w:rsidR="00785722" w:rsidRPr="00EA088A" w:rsidRDefault="00785722" w:rsidP="00A3401E">
            <w:pPr>
              <w:tabs>
                <w:tab w:val="left" w:pos="284"/>
              </w:tabs>
              <w:rPr>
                <w:sz w:val="22"/>
                <w:szCs w:val="22"/>
                <w:lang w:val="sr-Latn-ME"/>
              </w:rPr>
            </w:pPr>
            <w:r w:rsidRPr="00EA088A">
              <w:rPr>
                <w:sz w:val="22"/>
                <w:szCs w:val="22"/>
                <w:lang w:val="sr-Latn-ME"/>
              </w:rPr>
              <w:t>24. nedjelja</w:t>
            </w:r>
          </w:p>
        </w:tc>
        <w:tc>
          <w:tcPr>
            <w:tcW w:w="2734" w:type="dxa"/>
            <w:tcBorders>
              <w:top w:val="single" w:sz="4" w:space="0" w:color="auto"/>
              <w:left w:val="single" w:sz="4" w:space="0" w:color="auto"/>
              <w:bottom w:val="single" w:sz="4" w:space="0" w:color="auto"/>
              <w:right w:val="single" w:sz="4" w:space="0" w:color="auto"/>
            </w:tcBorders>
            <w:vAlign w:val="center"/>
          </w:tcPr>
          <w:p w14:paraId="3C7DBC8A" w14:textId="77777777" w:rsidR="00785722" w:rsidRPr="00EA088A" w:rsidRDefault="00785722" w:rsidP="00A3401E">
            <w:pPr>
              <w:tabs>
                <w:tab w:val="left" w:pos="284"/>
              </w:tabs>
              <w:rPr>
                <w:sz w:val="22"/>
                <w:szCs w:val="22"/>
                <w:lang w:val="sr-Latn-ME"/>
              </w:rPr>
            </w:pPr>
            <w:r w:rsidRPr="00EA088A">
              <w:rPr>
                <w:sz w:val="22"/>
                <w:szCs w:val="22"/>
                <w:lang w:val="sr-Latn-ME"/>
              </w:rPr>
              <w:t xml:space="preserve">4 % </w:t>
            </w:r>
          </w:p>
        </w:tc>
        <w:tc>
          <w:tcPr>
            <w:tcW w:w="2198" w:type="dxa"/>
            <w:tcBorders>
              <w:top w:val="single" w:sz="4" w:space="0" w:color="auto"/>
              <w:left w:val="single" w:sz="4" w:space="0" w:color="auto"/>
              <w:bottom w:val="single" w:sz="4" w:space="0" w:color="auto"/>
              <w:right w:val="single" w:sz="4" w:space="0" w:color="auto"/>
            </w:tcBorders>
            <w:vAlign w:val="center"/>
          </w:tcPr>
          <w:p w14:paraId="3EB6DC37" w14:textId="77777777" w:rsidR="00785722" w:rsidRPr="00C9046D" w:rsidRDefault="00785722" w:rsidP="00A3401E">
            <w:pPr>
              <w:tabs>
                <w:tab w:val="left" w:pos="284"/>
              </w:tabs>
              <w:rPr>
                <w:sz w:val="22"/>
                <w:szCs w:val="22"/>
                <w:lang w:val="sr-Latn-ME"/>
              </w:rPr>
            </w:pPr>
            <w:r w:rsidRPr="00C9046D">
              <w:rPr>
                <w:sz w:val="22"/>
                <w:szCs w:val="22"/>
                <w:lang w:val="sr-Latn-ME"/>
              </w:rPr>
              <w:t>32 %</w:t>
            </w:r>
          </w:p>
        </w:tc>
      </w:tr>
      <w:tr w:rsidR="00785722" w:rsidRPr="00275456" w14:paraId="187D8DFA"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73E85059" w14:textId="77777777" w:rsidR="00785722" w:rsidRPr="00EA088A" w:rsidRDefault="00785722" w:rsidP="00A3401E">
            <w:pPr>
              <w:tabs>
                <w:tab w:val="left" w:pos="284"/>
              </w:tabs>
              <w:rPr>
                <w:b/>
                <w:bCs/>
                <w:sz w:val="22"/>
                <w:szCs w:val="22"/>
                <w:lang w:val="sr-Latn-ME"/>
              </w:rPr>
            </w:pPr>
            <w:r w:rsidRPr="00EA088A">
              <w:rPr>
                <w:b/>
                <w:bCs/>
                <w:sz w:val="22"/>
                <w:szCs w:val="22"/>
                <w:lang w:val="sr-Latn-ME"/>
              </w:rPr>
              <w:t>ACR 70</w:t>
            </w:r>
          </w:p>
        </w:tc>
        <w:tc>
          <w:tcPr>
            <w:tcW w:w="2734" w:type="dxa"/>
            <w:tcBorders>
              <w:top w:val="single" w:sz="4" w:space="0" w:color="auto"/>
              <w:left w:val="single" w:sz="4" w:space="0" w:color="auto"/>
              <w:bottom w:val="single" w:sz="4" w:space="0" w:color="auto"/>
              <w:right w:val="single" w:sz="4" w:space="0" w:color="auto"/>
            </w:tcBorders>
            <w:vAlign w:val="center"/>
          </w:tcPr>
          <w:p w14:paraId="325F5DC5" w14:textId="77777777" w:rsidR="00785722" w:rsidRPr="00EA088A" w:rsidRDefault="00785722" w:rsidP="00A3401E">
            <w:pPr>
              <w:tabs>
                <w:tab w:val="left" w:pos="284"/>
              </w:tabs>
              <w:rPr>
                <w:b/>
                <w:bCs/>
                <w:sz w:val="22"/>
                <w:szCs w:val="22"/>
                <w:lang w:val="sr-Latn-ME"/>
              </w:rPr>
            </w:pPr>
          </w:p>
        </w:tc>
        <w:tc>
          <w:tcPr>
            <w:tcW w:w="2198" w:type="dxa"/>
            <w:tcBorders>
              <w:top w:val="single" w:sz="4" w:space="0" w:color="auto"/>
              <w:left w:val="single" w:sz="4" w:space="0" w:color="auto"/>
              <w:bottom w:val="single" w:sz="4" w:space="0" w:color="auto"/>
              <w:right w:val="single" w:sz="4" w:space="0" w:color="auto"/>
            </w:tcBorders>
            <w:vAlign w:val="center"/>
          </w:tcPr>
          <w:p w14:paraId="0F9D16BA" w14:textId="77777777" w:rsidR="00785722" w:rsidRPr="00C9046D" w:rsidRDefault="00785722" w:rsidP="00A3401E">
            <w:pPr>
              <w:tabs>
                <w:tab w:val="left" w:pos="284"/>
              </w:tabs>
              <w:rPr>
                <w:b/>
                <w:bCs/>
                <w:sz w:val="22"/>
                <w:szCs w:val="22"/>
                <w:lang w:val="sr-Latn-ME"/>
              </w:rPr>
            </w:pPr>
          </w:p>
        </w:tc>
      </w:tr>
      <w:tr w:rsidR="00785722" w:rsidRPr="00275456" w14:paraId="5BF10F5D"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23BC7056" w14:textId="77777777" w:rsidR="00785722" w:rsidRPr="00EA088A" w:rsidRDefault="00785722" w:rsidP="00A3401E">
            <w:pPr>
              <w:tabs>
                <w:tab w:val="left" w:pos="284"/>
              </w:tabs>
              <w:rPr>
                <w:sz w:val="22"/>
                <w:szCs w:val="22"/>
                <w:lang w:val="sr-Latn-ME"/>
              </w:rPr>
            </w:pPr>
            <w:r w:rsidRPr="00EA088A">
              <w:rPr>
                <w:sz w:val="22"/>
                <w:szCs w:val="22"/>
                <w:lang w:val="sr-Latn-ME"/>
              </w:rPr>
              <w:t>14. nedjelja</w:t>
            </w:r>
          </w:p>
        </w:tc>
        <w:tc>
          <w:tcPr>
            <w:tcW w:w="2734" w:type="dxa"/>
            <w:tcBorders>
              <w:top w:val="single" w:sz="4" w:space="0" w:color="auto"/>
              <w:left w:val="single" w:sz="4" w:space="0" w:color="auto"/>
              <w:bottom w:val="single" w:sz="4" w:space="0" w:color="auto"/>
              <w:right w:val="single" w:sz="4" w:space="0" w:color="auto"/>
            </w:tcBorders>
            <w:vAlign w:val="center"/>
          </w:tcPr>
          <w:p w14:paraId="0F2E55C8" w14:textId="77777777" w:rsidR="00785722" w:rsidRPr="00EA088A" w:rsidRDefault="00785722" w:rsidP="00A3401E">
            <w:pPr>
              <w:tabs>
                <w:tab w:val="left" w:pos="284"/>
              </w:tabs>
              <w:rPr>
                <w:sz w:val="22"/>
                <w:szCs w:val="22"/>
                <w:lang w:val="sr-Latn-ME"/>
              </w:rPr>
            </w:pPr>
            <w:r w:rsidRPr="00EA088A">
              <w:rPr>
                <w:sz w:val="22"/>
                <w:szCs w:val="22"/>
                <w:lang w:val="sr-Latn-ME"/>
              </w:rPr>
              <w:t xml:space="preserve">1 % </w:t>
            </w:r>
          </w:p>
        </w:tc>
        <w:tc>
          <w:tcPr>
            <w:tcW w:w="2198" w:type="dxa"/>
            <w:tcBorders>
              <w:top w:val="single" w:sz="4" w:space="0" w:color="auto"/>
              <w:left w:val="single" w:sz="4" w:space="0" w:color="auto"/>
              <w:bottom w:val="single" w:sz="4" w:space="0" w:color="auto"/>
              <w:right w:val="single" w:sz="4" w:space="0" w:color="auto"/>
            </w:tcBorders>
            <w:vAlign w:val="center"/>
          </w:tcPr>
          <w:p w14:paraId="7F9D9884" w14:textId="77777777" w:rsidR="00785722" w:rsidRPr="00C9046D" w:rsidRDefault="00785722" w:rsidP="00A3401E">
            <w:pPr>
              <w:tabs>
                <w:tab w:val="left" w:pos="284"/>
              </w:tabs>
              <w:rPr>
                <w:sz w:val="22"/>
                <w:szCs w:val="22"/>
                <w:lang w:val="sr-Latn-ME"/>
              </w:rPr>
            </w:pPr>
            <w:r w:rsidRPr="00C9046D">
              <w:rPr>
                <w:sz w:val="22"/>
                <w:szCs w:val="22"/>
                <w:lang w:val="sr-Latn-ME"/>
              </w:rPr>
              <w:t>12 %</w:t>
            </w:r>
          </w:p>
        </w:tc>
      </w:tr>
      <w:tr w:rsidR="00785722" w:rsidRPr="00275456" w14:paraId="4848EFAA"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49E75619" w14:textId="77777777" w:rsidR="00785722" w:rsidRPr="00EA088A" w:rsidRDefault="00785722" w:rsidP="00A3401E">
            <w:pPr>
              <w:tabs>
                <w:tab w:val="left" w:pos="284"/>
              </w:tabs>
              <w:rPr>
                <w:sz w:val="22"/>
                <w:szCs w:val="22"/>
                <w:lang w:val="sr-Latn-ME"/>
              </w:rPr>
            </w:pPr>
            <w:r w:rsidRPr="00EA088A">
              <w:rPr>
                <w:sz w:val="22"/>
                <w:szCs w:val="22"/>
                <w:lang w:val="sr-Latn-ME"/>
              </w:rPr>
              <w:t>24. nedjelja</w:t>
            </w:r>
          </w:p>
        </w:tc>
        <w:tc>
          <w:tcPr>
            <w:tcW w:w="2734" w:type="dxa"/>
            <w:tcBorders>
              <w:top w:val="single" w:sz="4" w:space="0" w:color="auto"/>
              <w:left w:val="single" w:sz="4" w:space="0" w:color="auto"/>
              <w:bottom w:val="single" w:sz="4" w:space="0" w:color="auto"/>
              <w:right w:val="single" w:sz="4" w:space="0" w:color="auto"/>
            </w:tcBorders>
            <w:vAlign w:val="center"/>
          </w:tcPr>
          <w:p w14:paraId="4ADEEBD3" w14:textId="77777777" w:rsidR="00785722" w:rsidRPr="00EA088A" w:rsidRDefault="00785722" w:rsidP="00A3401E">
            <w:pPr>
              <w:tabs>
                <w:tab w:val="left" w:pos="284"/>
              </w:tabs>
              <w:rPr>
                <w:sz w:val="22"/>
                <w:szCs w:val="22"/>
                <w:lang w:val="sr-Latn-ME"/>
              </w:rPr>
            </w:pPr>
            <w:r w:rsidRPr="00EA088A">
              <w:rPr>
                <w:sz w:val="22"/>
                <w:szCs w:val="22"/>
                <w:lang w:val="sr-Latn-ME"/>
              </w:rPr>
              <w:t xml:space="preserve">1 % </w:t>
            </w:r>
          </w:p>
        </w:tc>
        <w:tc>
          <w:tcPr>
            <w:tcW w:w="2198" w:type="dxa"/>
            <w:tcBorders>
              <w:top w:val="single" w:sz="4" w:space="0" w:color="auto"/>
              <w:left w:val="single" w:sz="4" w:space="0" w:color="auto"/>
              <w:bottom w:val="single" w:sz="4" w:space="0" w:color="auto"/>
              <w:right w:val="single" w:sz="4" w:space="0" w:color="auto"/>
            </w:tcBorders>
            <w:vAlign w:val="center"/>
          </w:tcPr>
          <w:p w14:paraId="6509E953" w14:textId="77777777" w:rsidR="00785722" w:rsidRPr="00C9046D" w:rsidRDefault="00785722" w:rsidP="00A3401E">
            <w:pPr>
              <w:tabs>
                <w:tab w:val="left" w:pos="284"/>
              </w:tabs>
              <w:rPr>
                <w:sz w:val="22"/>
                <w:szCs w:val="22"/>
                <w:lang w:val="sr-Latn-ME"/>
              </w:rPr>
            </w:pPr>
            <w:r w:rsidRPr="00C9046D">
              <w:rPr>
                <w:sz w:val="22"/>
                <w:szCs w:val="22"/>
                <w:lang w:val="sr-Latn-ME"/>
              </w:rPr>
              <w:t>19 %</w:t>
            </w:r>
          </w:p>
        </w:tc>
      </w:tr>
      <w:tr w:rsidR="00785722" w:rsidRPr="00275456" w14:paraId="666F3062"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311F36C8" w14:textId="77777777" w:rsidR="00785722" w:rsidRPr="00C9046D" w:rsidRDefault="00785722" w:rsidP="00A3401E">
            <w:pPr>
              <w:tabs>
                <w:tab w:val="left" w:pos="284"/>
              </w:tabs>
              <w:rPr>
                <w:b/>
                <w:bCs/>
                <w:sz w:val="22"/>
                <w:szCs w:val="22"/>
                <w:lang w:val="sr-Latn-ME"/>
              </w:rPr>
            </w:pPr>
            <w:r w:rsidRPr="00EA088A">
              <w:rPr>
                <w:b/>
                <w:bCs/>
                <w:sz w:val="22"/>
                <w:szCs w:val="22"/>
                <w:lang w:val="sr-Latn-ME"/>
              </w:rPr>
              <w:t>PASI</w:t>
            </w:r>
            <w:r w:rsidRPr="00EA088A">
              <w:rPr>
                <w:b/>
                <w:bCs/>
                <w:sz w:val="22"/>
                <w:szCs w:val="22"/>
                <w:vertAlign w:val="superscript"/>
                <w:lang w:val="sr-Latn-ME"/>
              </w:rPr>
              <w:t>b</w:t>
            </w:r>
            <w:r w:rsidRPr="00EA088A">
              <w:rPr>
                <w:b/>
                <w:bCs/>
                <w:sz w:val="22"/>
                <w:szCs w:val="22"/>
                <w:lang w:val="sr-Latn-ME"/>
              </w:rPr>
              <w:t xml:space="preserve"> 75</w:t>
            </w:r>
            <w:r w:rsidRPr="00EA088A">
              <w:rPr>
                <w:b/>
                <w:bCs/>
                <w:sz w:val="22"/>
                <w:szCs w:val="22"/>
                <w:vertAlign w:val="superscript"/>
                <w:lang w:val="sr-Latn-ME"/>
              </w:rPr>
              <w:t>c</w:t>
            </w:r>
          </w:p>
        </w:tc>
        <w:tc>
          <w:tcPr>
            <w:tcW w:w="2734" w:type="dxa"/>
            <w:tcBorders>
              <w:top w:val="single" w:sz="4" w:space="0" w:color="auto"/>
              <w:left w:val="single" w:sz="4" w:space="0" w:color="auto"/>
              <w:bottom w:val="single" w:sz="4" w:space="0" w:color="auto"/>
              <w:right w:val="single" w:sz="4" w:space="0" w:color="auto"/>
            </w:tcBorders>
            <w:vAlign w:val="center"/>
          </w:tcPr>
          <w:p w14:paraId="15857153" w14:textId="77777777" w:rsidR="00785722" w:rsidRPr="00275456" w:rsidRDefault="00785722" w:rsidP="00A3401E">
            <w:pPr>
              <w:tabs>
                <w:tab w:val="left" w:pos="284"/>
              </w:tabs>
              <w:rPr>
                <w:b/>
                <w:bCs/>
                <w:sz w:val="22"/>
                <w:szCs w:val="22"/>
                <w:lang w:val="sr-Latn-ME"/>
              </w:rPr>
            </w:pPr>
          </w:p>
        </w:tc>
        <w:tc>
          <w:tcPr>
            <w:tcW w:w="2198" w:type="dxa"/>
            <w:tcBorders>
              <w:top w:val="single" w:sz="4" w:space="0" w:color="auto"/>
              <w:left w:val="single" w:sz="4" w:space="0" w:color="auto"/>
              <w:bottom w:val="single" w:sz="4" w:space="0" w:color="auto"/>
              <w:right w:val="single" w:sz="4" w:space="0" w:color="auto"/>
            </w:tcBorders>
            <w:vAlign w:val="center"/>
          </w:tcPr>
          <w:p w14:paraId="3B592863" w14:textId="77777777" w:rsidR="00785722" w:rsidRPr="00275456" w:rsidRDefault="00785722" w:rsidP="00A3401E">
            <w:pPr>
              <w:tabs>
                <w:tab w:val="left" w:pos="284"/>
              </w:tabs>
              <w:rPr>
                <w:b/>
                <w:bCs/>
                <w:sz w:val="22"/>
                <w:szCs w:val="22"/>
                <w:lang w:val="sr-Latn-ME"/>
              </w:rPr>
            </w:pPr>
          </w:p>
        </w:tc>
      </w:tr>
      <w:tr w:rsidR="00785722" w:rsidRPr="00275456" w14:paraId="21217659"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52A0184F" w14:textId="77777777" w:rsidR="00785722" w:rsidRPr="00EA088A" w:rsidRDefault="00785722" w:rsidP="00A3401E">
            <w:pPr>
              <w:tabs>
                <w:tab w:val="left" w:pos="284"/>
              </w:tabs>
              <w:rPr>
                <w:sz w:val="22"/>
                <w:szCs w:val="22"/>
                <w:lang w:val="sr-Latn-ME"/>
              </w:rPr>
            </w:pPr>
            <w:r w:rsidRPr="00EA088A">
              <w:rPr>
                <w:sz w:val="22"/>
                <w:szCs w:val="22"/>
                <w:lang w:val="sr-Latn-ME"/>
              </w:rPr>
              <w:t>14. nedjelja</w:t>
            </w:r>
          </w:p>
        </w:tc>
        <w:tc>
          <w:tcPr>
            <w:tcW w:w="2734" w:type="dxa"/>
            <w:tcBorders>
              <w:top w:val="single" w:sz="4" w:space="0" w:color="auto"/>
              <w:left w:val="single" w:sz="4" w:space="0" w:color="auto"/>
              <w:bottom w:val="single" w:sz="4" w:space="0" w:color="auto"/>
              <w:right w:val="single" w:sz="4" w:space="0" w:color="auto"/>
            </w:tcBorders>
            <w:vAlign w:val="center"/>
          </w:tcPr>
          <w:p w14:paraId="62D18070" w14:textId="77777777" w:rsidR="00785722" w:rsidRPr="00EA088A" w:rsidRDefault="00785722" w:rsidP="00A3401E">
            <w:pPr>
              <w:tabs>
                <w:tab w:val="left" w:pos="284"/>
              </w:tabs>
              <w:rPr>
                <w:b/>
                <w:bCs/>
                <w:sz w:val="22"/>
                <w:szCs w:val="22"/>
                <w:lang w:val="sr-Latn-ME"/>
              </w:rPr>
            </w:pPr>
            <w:r w:rsidRPr="00EA088A">
              <w:rPr>
                <w:sz w:val="22"/>
                <w:szCs w:val="22"/>
                <w:lang w:val="sr-Latn-ME"/>
              </w:rPr>
              <w:t>3 %</w:t>
            </w:r>
          </w:p>
        </w:tc>
        <w:tc>
          <w:tcPr>
            <w:tcW w:w="2198" w:type="dxa"/>
            <w:tcBorders>
              <w:top w:val="single" w:sz="4" w:space="0" w:color="auto"/>
              <w:left w:val="single" w:sz="4" w:space="0" w:color="auto"/>
              <w:bottom w:val="single" w:sz="4" w:space="0" w:color="auto"/>
              <w:right w:val="single" w:sz="4" w:space="0" w:color="auto"/>
            </w:tcBorders>
            <w:vAlign w:val="bottom"/>
          </w:tcPr>
          <w:p w14:paraId="1A393E8D" w14:textId="77777777" w:rsidR="00785722" w:rsidRPr="00C9046D" w:rsidRDefault="00785722" w:rsidP="00A3401E">
            <w:pPr>
              <w:tabs>
                <w:tab w:val="left" w:pos="284"/>
              </w:tabs>
              <w:rPr>
                <w:b/>
                <w:bCs/>
                <w:sz w:val="22"/>
                <w:szCs w:val="22"/>
                <w:lang w:val="sr-Latn-ME"/>
              </w:rPr>
            </w:pPr>
            <w:r w:rsidRPr="00C9046D">
              <w:rPr>
                <w:sz w:val="22"/>
                <w:szCs w:val="22"/>
                <w:lang w:val="sr-Latn-ME"/>
              </w:rPr>
              <w:t>40 %</w:t>
            </w:r>
          </w:p>
        </w:tc>
      </w:tr>
      <w:tr w:rsidR="00785722" w:rsidRPr="00275456" w14:paraId="1DC3CEFF" w14:textId="77777777" w:rsidTr="00A3401E">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1BC606FB" w14:textId="77777777" w:rsidR="00785722" w:rsidRPr="00EA088A" w:rsidRDefault="00785722" w:rsidP="00A3401E">
            <w:pPr>
              <w:tabs>
                <w:tab w:val="left" w:pos="284"/>
              </w:tabs>
              <w:rPr>
                <w:sz w:val="22"/>
                <w:szCs w:val="22"/>
                <w:lang w:val="sr-Latn-ME"/>
              </w:rPr>
            </w:pPr>
            <w:r w:rsidRPr="00EA088A">
              <w:rPr>
                <w:sz w:val="22"/>
                <w:szCs w:val="22"/>
                <w:lang w:val="sr-Latn-ME"/>
              </w:rPr>
              <w:t>24. nedjelja</w:t>
            </w:r>
          </w:p>
        </w:tc>
        <w:tc>
          <w:tcPr>
            <w:tcW w:w="2734" w:type="dxa"/>
            <w:tcBorders>
              <w:top w:val="single" w:sz="4" w:space="0" w:color="auto"/>
              <w:left w:val="single" w:sz="4" w:space="0" w:color="auto"/>
              <w:bottom w:val="single" w:sz="4" w:space="0" w:color="auto"/>
              <w:right w:val="single" w:sz="4" w:space="0" w:color="auto"/>
            </w:tcBorders>
            <w:vAlign w:val="center"/>
          </w:tcPr>
          <w:p w14:paraId="17068C13" w14:textId="77777777" w:rsidR="00785722" w:rsidRPr="00EA088A" w:rsidRDefault="00785722" w:rsidP="00A3401E">
            <w:pPr>
              <w:tabs>
                <w:tab w:val="left" w:pos="284"/>
              </w:tabs>
              <w:rPr>
                <w:b/>
                <w:bCs/>
                <w:sz w:val="22"/>
                <w:szCs w:val="22"/>
                <w:lang w:val="sr-Latn-ME"/>
              </w:rPr>
            </w:pPr>
            <w:r w:rsidRPr="00EA088A">
              <w:rPr>
                <w:sz w:val="22"/>
                <w:szCs w:val="22"/>
                <w:lang w:val="sr-Latn-ME"/>
              </w:rPr>
              <w:t>1 %</w:t>
            </w:r>
          </w:p>
        </w:tc>
        <w:tc>
          <w:tcPr>
            <w:tcW w:w="2198" w:type="dxa"/>
            <w:tcBorders>
              <w:top w:val="single" w:sz="4" w:space="0" w:color="auto"/>
              <w:left w:val="single" w:sz="4" w:space="0" w:color="auto"/>
              <w:bottom w:val="single" w:sz="4" w:space="0" w:color="auto"/>
              <w:right w:val="single" w:sz="4" w:space="0" w:color="auto"/>
            </w:tcBorders>
            <w:vAlign w:val="bottom"/>
          </w:tcPr>
          <w:p w14:paraId="713873EA" w14:textId="77777777" w:rsidR="00785722" w:rsidRPr="00C9046D" w:rsidRDefault="00785722" w:rsidP="00A3401E">
            <w:pPr>
              <w:tabs>
                <w:tab w:val="left" w:pos="284"/>
              </w:tabs>
              <w:rPr>
                <w:b/>
                <w:bCs/>
                <w:sz w:val="22"/>
                <w:szCs w:val="22"/>
                <w:lang w:val="sr-Latn-ME"/>
              </w:rPr>
            </w:pPr>
            <w:r w:rsidRPr="00C9046D">
              <w:rPr>
                <w:sz w:val="22"/>
                <w:szCs w:val="22"/>
                <w:lang w:val="sr-Latn-ME"/>
              </w:rPr>
              <w:t>56 %</w:t>
            </w:r>
          </w:p>
        </w:tc>
      </w:tr>
      <w:tr w:rsidR="00785722" w:rsidRPr="00275456" w14:paraId="7C917548" w14:textId="77777777" w:rsidTr="00A3401E">
        <w:trPr>
          <w:trHeight w:val="233"/>
          <w:jc w:val="center"/>
        </w:trPr>
        <w:tc>
          <w:tcPr>
            <w:tcW w:w="7315" w:type="dxa"/>
            <w:gridSpan w:val="3"/>
            <w:tcBorders>
              <w:top w:val="single" w:sz="4" w:space="0" w:color="auto"/>
              <w:left w:val="nil"/>
              <w:bottom w:val="nil"/>
              <w:right w:val="nil"/>
            </w:tcBorders>
            <w:vAlign w:val="center"/>
          </w:tcPr>
          <w:p w14:paraId="7BE8D131" w14:textId="77777777" w:rsidR="00785722" w:rsidRPr="005C6DFE" w:rsidRDefault="00785722" w:rsidP="00A3401E">
            <w:pPr>
              <w:tabs>
                <w:tab w:val="left" w:pos="284"/>
              </w:tabs>
              <w:ind w:left="292" w:hanging="270"/>
              <w:rPr>
                <w:sz w:val="22"/>
                <w:szCs w:val="22"/>
                <w:lang w:val="sr-Latn-ME"/>
              </w:rPr>
            </w:pPr>
            <w:r w:rsidRPr="005C6DFE">
              <w:rPr>
                <w:sz w:val="22"/>
                <w:szCs w:val="22"/>
                <w:lang w:val="sr-Latn-ME"/>
              </w:rPr>
              <w:t>*</w:t>
            </w:r>
            <w:r w:rsidRPr="005C6DFE">
              <w:rPr>
                <w:sz w:val="22"/>
                <w:szCs w:val="22"/>
                <w:lang w:val="sr-Latn-ME"/>
              </w:rPr>
              <w:tab/>
              <w:t xml:space="preserve">p &lt; 0,05 za sva poređenja; </w:t>
            </w:r>
          </w:p>
          <w:p w14:paraId="2DAE4CB9" w14:textId="07D69B40" w:rsidR="00785722" w:rsidRPr="005C6DFE" w:rsidRDefault="00785722" w:rsidP="00A3401E">
            <w:pPr>
              <w:tabs>
                <w:tab w:val="left" w:pos="284"/>
              </w:tabs>
              <w:ind w:left="292" w:hanging="270"/>
              <w:rPr>
                <w:sz w:val="22"/>
                <w:szCs w:val="22"/>
                <w:lang w:val="sr-Latn-ME"/>
              </w:rPr>
            </w:pPr>
            <w:r w:rsidRPr="005C6DFE">
              <w:rPr>
                <w:i/>
                <w:iCs/>
                <w:sz w:val="22"/>
                <w:szCs w:val="22"/>
                <w:lang w:val="sr-Latn-ME"/>
              </w:rPr>
              <w:t>a</w:t>
            </w:r>
            <w:r w:rsidRPr="005C6DFE">
              <w:rPr>
                <w:sz w:val="22"/>
                <w:szCs w:val="22"/>
                <w:lang w:val="sr-Latn-ME"/>
              </w:rPr>
              <w:tab/>
            </w:r>
            <w:r w:rsidR="00233DFC" w:rsidRPr="005C6DFE">
              <w:rPr>
                <w:sz w:val="22"/>
                <w:szCs w:val="22"/>
                <w:lang w:val="sr-Latn-ME"/>
              </w:rPr>
              <w:t>n</w:t>
            </w:r>
            <w:r w:rsidRPr="005C6DFE">
              <w:rPr>
                <w:sz w:val="22"/>
                <w:szCs w:val="22"/>
                <w:lang w:val="sr-Latn-ME"/>
              </w:rPr>
              <w:t xml:space="preserve"> se odnosi na randomizovane pacijente; stvarni broj pacijenata koji je bilo moguće ocijeniti za svaki pojedini </w:t>
            </w:r>
            <w:r w:rsidR="003C685D" w:rsidRPr="005C6DFE">
              <w:rPr>
                <w:sz w:val="22"/>
                <w:szCs w:val="22"/>
                <w:lang w:val="sr-Latn-ME"/>
              </w:rPr>
              <w:t xml:space="preserve">parametar praćenja efikasnosti </w:t>
            </w:r>
            <w:r w:rsidRPr="005C6DFE">
              <w:rPr>
                <w:sz w:val="22"/>
                <w:szCs w:val="22"/>
                <w:lang w:val="sr-Latn-ME"/>
              </w:rPr>
              <w:t>može se razlikovati po vremenskim tačkama procjene.</w:t>
            </w:r>
          </w:p>
          <w:p w14:paraId="12C21BDE" w14:textId="77777777" w:rsidR="00785722" w:rsidRPr="005C6DFE" w:rsidRDefault="00785722" w:rsidP="00A3401E">
            <w:pPr>
              <w:tabs>
                <w:tab w:val="left" w:pos="284"/>
              </w:tabs>
              <w:ind w:left="292" w:hanging="270"/>
              <w:rPr>
                <w:sz w:val="22"/>
                <w:szCs w:val="22"/>
                <w:lang w:val="sr-Latn-ME"/>
              </w:rPr>
            </w:pPr>
            <w:r w:rsidRPr="005C6DFE">
              <w:rPr>
                <w:i/>
                <w:iCs/>
                <w:sz w:val="22"/>
                <w:szCs w:val="22"/>
                <w:lang w:val="sr-Latn-ME"/>
              </w:rPr>
              <w:t>b</w:t>
            </w:r>
            <w:r w:rsidRPr="005C6DFE">
              <w:rPr>
                <w:i/>
                <w:iCs/>
                <w:sz w:val="22"/>
                <w:szCs w:val="22"/>
                <w:lang w:val="sr-Latn-ME"/>
              </w:rPr>
              <w:tab/>
              <w:t>Psoriasis Area and Severity Index</w:t>
            </w:r>
          </w:p>
          <w:p w14:paraId="3BB3D224" w14:textId="77777777" w:rsidR="00785722" w:rsidRPr="00EA088A" w:rsidRDefault="00785722" w:rsidP="00A3401E">
            <w:pPr>
              <w:tabs>
                <w:tab w:val="left" w:pos="284"/>
              </w:tabs>
              <w:ind w:left="292" w:hanging="270"/>
              <w:rPr>
                <w:sz w:val="22"/>
                <w:szCs w:val="22"/>
                <w:lang w:val="sr-Latn-ME"/>
              </w:rPr>
            </w:pPr>
            <w:r w:rsidRPr="005C6DFE">
              <w:rPr>
                <w:i/>
                <w:iCs/>
                <w:sz w:val="22"/>
                <w:szCs w:val="22"/>
                <w:lang w:val="sr-Latn-ME"/>
              </w:rPr>
              <w:t>c</w:t>
            </w:r>
            <w:r w:rsidRPr="005C6DFE">
              <w:rPr>
                <w:i/>
                <w:iCs/>
                <w:sz w:val="22"/>
                <w:szCs w:val="22"/>
                <w:lang w:val="sr-Latn-ME"/>
              </w:rPr>
              <w:tab/>
            </w:r>
            <w:r w:rsidRPr="005C6DFE">
              <w:rPr>
                <w:sz w:val="22"/>
                <w:szCs w:val="22"/>
                <w:lang w:val="sr-Latn-ME"/>
              </w:rPr>
              <w:t xml:space="preserve">na temelju podgrupe pacijenata s površinom tijela zahvaćenom psorijazom (BSA) </w:t>
            </w:r>
            <w:r w:rsidRPr="005C6DFE">
              <w:rPr>
                <w:sz w:val="22"/>
                <w:szCs w:val="22"/>
                <w:lang w:val="sr-Latn-ME"/>
              </w:rPr>
              <w:sym w:font="Symbol" w:char="F0B3"/>
            </w:r>
            <w:r w:rsidRPr="005C6DFE">
              <w:rPr>
                <w:sz w:val="22"/>
                <w:szCs w:val="22"/>
                <w:lang w:val="sr-Latn-ME"/>
              </w:rPr>
              <w:t xml:space="preserve"> 3% na početku ispitivanja, 79 pacijenata (69,9%) u grupi koja je primala placebo i 109 (74,3%) u grupi koja je primala Simponi 50 mg.</w:t>
            </w:r>
          </w:p>
        </w:tc>
      </w:tr>
    </w:tbl>
    <w:p w14:paraId="734D52EC" w14:textId="77777777" w:rsidR="00785722" w:rsidRPr="00EA088A" w:rsidRDefault="00785722" w:rsidP="00785722">
      <w:pPr>
        <w:tabs>
          <w:tab w:val="center" w:pos="4536"/>
          <w:tab w:val="right" w:pos="9072"/>
        </w:tabs>
        <w:autoSpaceDE w:val="0"/>
        <w:autoSpaceDN w:val="0"/>
        <w:adjustRightInd w:val="0"/>
        <w:rPr>
          <w:sz w:val="22"/>
          <w:szCs w:val="22"/>
          <w:lang w:val="sr-Latn-ME"/>
        </w:rPr>
      </w:pPr>
    </w:p>
    <w:p w14:paraId="78732D07" w14:textId="69A0C1A8" w:rsidR="00785722" w:rsidRPr="00275456" w:rsidRDefault="00785722" w:rsidP="005C6DFE">
      <w:pPr>
        <w:tabs>
          <w:tab w:val="left" w:pos="284"/>
        </w:tabs>
        <w:autoSpaceDE w:val="0"/>
        <w:autoSpaceDN w:val="0"/>
        <w:adjustRightInd w:val="0"/>
        <w:jc w:val="both"/>
        <w:rPr>
          <w:sz w:val="22"/>
          <w:szCs w:val="22"/>
          <w:lang w:val="sr-Latn-ME"/>
        </w:rPr>
      </w:pPr>
      <w:r w:rsidRPr="00EA088A">
        <w:rPr>
          <w:sz w:val="22"/>
          <w:szCs w:val="22"/>
          <w:lang w:val="sr-Latn-ME"/>
        </w:rPr>
        <w:t xml:space="preserve">Odgovori su zabilježeni na prvom kontrolnom pregledu nakon početne primjene lijeka Simponi (4. nedjelja). Slični odgovori ACR 20 u 14. nedjelji zapaženi su kod pacijenata sa poliartikularnim artritisom bez reumatoidnih čvorića i s asimetričnim perifernim artritisom. Broj pacijenata sa drugim podtipovima psorijatičnog artritisa bio je premalen da bi omogućio racionalnu procjenu. Zabilježeni odgovori u grupama liječenim lijekom Simponi bili su slični kod pacijenata koji su istovremeno primali MTX i u onih koji ga nisu uzimali. Od 146 pacijenata koji su randomizovani u grupu koja je primala Simponi 50 mg, njih 70 su još uvijek primali ovu terapiju u 104. nedjelji. Od ovih 70 pacijenata, </w:t>
      </w:r>
      <w:r w:rsidR="00233DFC" w:rsidRPr="00C9046D">
        <w:rPr>
          <w:sz w:val="22"/>
          <w:szCs w:val="22"/>
          <w:lang w:val="sr-Latn-ME"/>
        </w:rPr>
        <w:t>64 pacijenta je imalo odgovor ACR 20, 46 je imalo odgovor ACR 50 i 31 pacijent je imao odgovor ACR 70</w:t>
      </w:r>
      <w:r w:rsidRPr="00275456">
        <w:rPr>
          <w:sz w:val="22"/>
          <w:szCs w:val="22"/>
          <w:lang w:val="sr-Latn-ME"/>
        </w:rPr>
        <w:t>. Među pacijentima koji su ostali uključeni u studiju i liječenih lijekom Simponi, slične stope odgovora ACR 20/50/70 su zabilježene od 104. nedjelje do kraja 256. nedjelje.</w:t>
      </w:r>
    </w:p>
    <w:p w14:paraId="75936B23" w14:textId="77777777" w:rsidR="00785722" w:rsidRPr="00275456" w:rsidRDefault="00785722" w:rsidP="005C6DFE">
      <w:pPr>
        <w:tabs>
          <w:tab w:val="left" w:pos="284"/>
        </w:tabs>
        <w:autoSpaceDE w:val="0"/>
        <w:autoSpaceDN w:val="0"/>
        <w:adjustRightInd w:val="0"/>
        <w:jc w:val="both"/>
        <w:rPr>
          <w:sz w:val="22"/>
          <w:szCs w:val="22"/>
          <w:lang w:val="sr-Latn-ME"/>
        </w:rPr>
      </w:pPr>
    </w:p>
    <w:p w14:paraId="338218D3"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Statistički značajni odgovori na DAS28 takođe su zabilježeni u 14. i 24. nedjelji (p &lt; 0,05).</w:t>
      </w:r>
    </w:p>
    <w:p w14:paraId="20FF1AEA" w14:textId="77777777" w:rsidR="00785722" w:rsidRPr="00275456" w:rsidRDefault="00785722" w:rsidP="005C6DFE">
      <w:pPr>
        <w:tabs>
          <w:tab w:val="left" w:pos="284"/>
        </w:tabs>
        <w:autoSpaceDE w:val="0"/>
        <w:autoSpaceDN w:val="0"/>
        <w:adjustRightInd w:val="0"/>
        <w:jc w:val="both"/>
        <w:rPr>
          <w:sz w:val="22"/>
          <w:szCs w:val="22"/>
          <w:lang w:val="sr-Latn-ME"/>
        </w:rPr>
      </w:pPr>
    </w:p>
    <w:p w14:paraId="75B848B0"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Kod pacijenata liječenih lijekom Simponi zapažena su poboljšanja parametara periferne aktivnosti psorijatičnog artritisa </w:t>
      </w:r>
      <w:r w:rsidRPr="00275456">
        <w:rPr>
          <w:iCs/>
          <w:sz w:val="22"/>
          <w:szCs w:val="22"/>
          <w:lang w:val="sr-Latn-ME"/>
        </w:rPr>
        <w:t xml:space="preserve">(npr. broja otečenih zglobova, broja bolnih/osjetljivih zglobova, daktilitisa i entezitisa) u 24. nedjelji. </w:t>
      </w:r>
      <w:r w:rsidRPr="00275456">
        <w:rPr>
          <w:sz w:val="22"/>
          <w:szCs w:val="22"/>
          <w:lang w:val="sr-Latn-ME"/>
        </w:rPr>
        <w:t>Liječenje lijekom Simponi dovelo je do značajnog poboljšanja fizičke funkcije, procijenjene upitnikom HAQ DI, kao i do značajnog poboljšanja zdravstvenog aspekta kvaliteta života, mjereno sabiranjem bodova za fizičku i psihičku komponentu upitnika SF-36. Od  pacijenata koji su ostali na terapiji lijekom Simponi, a na koju su  randomizovani na početku ispitivanja, DAS28 i HAQ odgovori su održani do 104. nedjelje. Među pacijentima koji su ostali uključeni u studiju i liječeni lijekom Simponi, odgovori DAS28 i HAQ DI su bili slični od 104. nedjelje do kraja 256. nedjelje.</w:t>
      </w:r>
    </w:p>
    <w:p w14:paraId="2D597272" w14:textId="5995FF53" w:rsidR="005339F2" w:rsidRPr="00275456" w:rsidRDefault="005339F2" w:rsidP="005C6DFE">
      <w:pPr>
        <w:tabs>
          <w:tab w:val="left" w:pos="284"/>
        </w:tabs>
        <w:jc w:val="both"/>
        <w:outlineLvl w:val="0"/>
        <w:rPr>
          <w:sz w:val="22"/>
          <w:szCs w:val="22"/>
          <w:u w:val="single"/>
          <w:lang w:val="sr-Latn-ME"/>
        </w:rPr>
      </w:pPr>
    </w:p>
    <w:p w14:paraId="030B63BE" w14:textId="77777777" w:rsidR="00785722" w:rsidRPr="00275456" w:rsidRDefault="00785722" w:rsidP="005C6DFE">
      <w:pPr>
        <w:tabs>
          <w:tab w:val="left" w:pos="284"/>
        </w:tabs>
        <w:jc w:val="both"/>
        <w:outlineLvl w:val="0"/>
        <w:rPr>
          <w:i/>
          <w:iCs/>
          <w:sz w:val="22"/>
          <w:szCs w:val="22"/>
          <w:u w:val="single"/>
          <w:lang w:val="sr-Latn-ME"/>
        </w:rPr>
      </w:pPr>
      <w:r w:rsidRPr="00275456">
        <w:rPr>
          <w:i/>
          <w:iCs/>
          <w:sz w:val="22"/>
          <w:szCs w:val="22"/>
          <w:u w:val="single"/>
          <w:lang w:val="sr-Latn-ME"/>
        </w:rPr>
        <w:t>Radiografski odgovor</w:t>
      </w:r>
    </w:p>
    <w:p w14:paraId="4017867E" w14:textId="4F0E9F58" w:rsidR="00785722" w:rsidRPr="00275456" w:rsidRDefault="00785722" w:rsidP="005C6DFE">
      <w:pPr>
        <w:tabs>
          <w:tab w:val="left" w:pos="284"/>
        </w:tabs>
        <w:jc w:val="both"/>
        <w:outlineLvl w:val="0"/>
        <w:rPr>
          <w:sz w:val="22"/>
          <w:szCs w:val="22"/>
          <w:lang w:val="sr-Latn-ME"/>
        </w:rPr>
      </w:pPr>
      <w:r w:rsidRPr="00275456">
        <w:rPr>
          <w:sz w:val="22"/>
          <w:szCs w:val="22"/>
          <w:lang w:val="sr-Latn-ME"/>
        </w:rPr>
        <w:t>Strukturalno oštećenje obje šake i stopala procjenjivano je radiografski na osnovu promjene u odnosu na početnu vrijednost vdH-S skora, koji je modifikovan za PsA dodavanjem i distalnih interfalangealnih zglobova šake (DIP).</w:t>
      </w:r>
    </w:p>
    <w:p w14:paraId="5446CF8E" w14:textId="7F03DC8A" w:rsidR="00785722" w:rsidRPr="00275456" w:rsidRDefault="00785722" w:rsidP="005C6DFE">
      <w:pPr>
        <w:tabs>
          <w:tab w:val="left" w:pos="284"/>
        </w:tabs>
        <w:jc w:val="both"/>
        <w:outlineLvl w:val="0"/>
        <w:rPr>
          <w:i/>
          <w:iCs/>
          <w:sz w:val="22"/>
          <w:szCs w:val="22"/>
          <w:lang w:val="sr-Latn-ME"/>
        </w:rPr>
      </w:pPr>
      <w:r w:rsidRPr="00275456">
        <w:rPr>
          <w:sz w:val="22"/>
          <w:szCs w:val="22"/>
          <w:lang w:val="sr-Latn-ME"/>
        </w:rPr>
        <w:t xml:space="preserve">Liječenje lijekom Simponi u dozi od 50 mg smanjilo je stopu progresije perifernog oštećenja zglobova u poređenju sa placebo tretmanom u 24. nedjelji, kao mjera promjene od početnih rezultata u ukupnoj modifikovanoj vdH-S ocjeni (srednja vrijednost ± SD rezultat je 0,27 ± 1,3 u placebo grupi u poređenju </w:t>
      </w:r>
      <w:r w:rsidRPr="00275456">
        <w:rPr>
          <w:sz w:val="22"/>
          <w:szCs w:val="22"/>
          <w:lang w:val="sr-Latn-ME"/>
        </w:rPr>
        <w:lastRenderedPageBreak/>
        <w:t>sa -0.16 ± 1.3 u Simponi grupi; p = 0,011). Od 146 pacijenata koji su randomizovani na lijek Simponi 50 mg, u 52. nedjelji su radiografski podaci bili dostupni za 126 pacijenata, od kojih 77 % nije pokazalo nikakav napredak u odnosu na početnu vrijednost. U 104. nedjelji, radiografski podaci su bili dostupni za 114 pacijenata, i 77 % nije pokazalo napredak u odnosu na početnu vrijednost. Među pacijentima koji su ostali uključeni u studiju i liječeni lijekom Simponi, slični procenti pacijenata nijesu pokazali radiografsku progresiju u odnosu na početni nivo od 104. nedjelje do kraja 256. nedjelje.</w:t>
      </w:r>
    </w:p>
    <w:p w14:paraId="3B954D3C" w14:textId="77777777" w:rsidR="00785722" w:rsidRPr="00275456" w:rsidRDefault="00785722" w:rsidP="005C6DFE">
      <w:pPr>
        <w:tabs>
          <w:tab w:val="left" w:pos="284"/>
        </w:tabs>
        <w:jc w:val="both"/>
        <w:rPr>
          <w:i/>
          <w:iCs/>
          <w:sz w:val="22"/>
          <w:szCs w:val="22"/>
          <w:lang w:val="sr-Latn-ME"/>
        </w:rPr>
      </w:pPr>
    </w:p>
    <w:p w14:paraId="69C0B7AF" w14:textId="77777777" w:rsidR="00785722" w:rsidRPr="00275456" w:rsidRDefault="00785722" w:rsidP="005C6DFE">
      <w:pPr>
        <w:tabs>
          <w:tab w:val="left" w:pos="284"/>
        </w:tabs>
        <w:jc w:val="both"/>
        <w:rPr>
          <w:i/>
          <w:iCs/>
          <w:sz w:val="22"/>
          <w:szCs w:val="22"/>
          <w:u w:val="single"/>
          <w:lang w:val="sr-Latn-ME"/>
        </w:rPr>
      </w:pPr>
      <w:r w:rsidRPr="00275456">
        <w:rPr>
          <w:i/>
          <w:iCs/>
          <w:sz w:val="22"/>
          <w:szCs w:val="22"/>
          <w:u w:val="single"/>
          <w:lang w:val="sr-Latn-ME"/>
        </w:rPr>
        <w:t>Aksijalni spondiloartritis</w:t>
      </w:r>
    </w:p>
    <w:p w14:paraId="215399F4" w14:textId="5F37522E" w:rsidR="00785722" w:rsidRPr="00275456" w:rsidRDefault="00785722" w:rsidP="005C6DFE">
      <w:pPr>
        <w:tabs>
          <w:tab w:val="left" w:pos="284"/>
        </w:tabs>
        <w:jc w:val="both"/>
        <w:rPr>
          <w:i/>
          <w:iCs/>
          <w:sz w:val="22"/>
          <w:szCs w:val="22"/>
          <w:lang w:val="sr-Latn-ME"/>
        </w:rPr>
      </w:pPr>
      <w:r w:rsidRPr="00275456">
        <w:rPr>
          <w:i/>
          <w:iCs/>
          <w:sz w:val="22"/>
          <w:szCs w:val="22"/>
          <w:lang w:val="sr-Latn-ME"/>
        </w:rPr>
        <w:t>Ankilozirajući spondilitis</w:t>
      </w:r>
    </w:p>
    <w:p w14:paraId="6858A6AB" w14:textId="77777777" w:rsidR="00233DFC" w:rsidRPr="00275456" w:rsidRDefault="00233DFC" w:rsidP="005C6DFE">
      <w:pPr>
        <w:tabs>
          <w:tab w:val="left" w:pos="284"/>
        </w:tabs>
        <w:jc w:val="both"/>
        <w:rPr>
          <w:i/>
          <w:iCs/>
          <w:sz w:val="22"/>
          <w:szCs w:val="22"/>
          <w:lang w:val="sr-Latn-ME"/>
        </w:rPr>
      </w:pPr>
    </w:p>
    <w:p w14:paraId="1F45F644" w14:textId="523097B6" w:rsidR="00785722" w:rsidRPr="00275456" w:rsidRDefault="00785722" w:rsidP="005C6DFE">
      <w:pPr>
        <w:tabs>
          <w:tab w:val="left" w:pos="567"/>
        </w:tabs>
        <w:jc w:val="both"/>
        <w:rPr>
          <w:bCs/>
          <w:sz w:val="22"/>
          <w:szCs w:val="22"/>
          <w:lang w:val="sr-Latn-ME"/>
        </w:rPr>
      </w:pPr>
      <w:r w:rsidRPr="00275456">
        <w:rPr>
          <w:bCs/>
          <w:sz w:val="22"/>
          <w:szCs w:val="22"/>
          <w:lang w:val="sr-Latn-ME"/>
        </w:rPr>
        <w:t>Bezbjednost i efikasnost lijeka Simponi procijenjeni su u multicentričnom, randomizovanom, dvostruko slijepom, placebo-kontroliranom ispitivanju (GO</w:t>
      </w:r>
      <w:r w:rsidRPr="00275456">
        <w:rPr>
          <w:bCs/>
          <w:sz w:val="22"/>
          <w:szCs w:val="22"/>
          <w:lang w:val="sr-Latn-ME"/>
        </w:rPr>
        <w:noBreakHyphen/>
        <w:t xml:space="preserve">RAISE) na 356 odraslih pacijenata s aktivnim </w:t>
      </w:r>
      <w:r w:rsidRPr="00275456">
        <w:rPr>
          <w:bCs/>
          <w:iCs/>
          <w:sz w:val="22"/>
          <w:szCs w:val="22"/>
          <w:lang w:val="sr-Latn-ME"/>
        </w:rPr>
        <w:t>ankilozirajućim spondilitisom (definisanim rezultatom</w:t>
      </w:r>
      <w:r w:rsidRPr="00275456">
        <w:rPr>
          <w:bCs/>
          <w:sz w:val="22"/>
          <w:szCs w:val="22"/>
          <w:lang w:val="sr-Latn-ME"/>
        </w:rPr>
        <w:t xml:space="preserve"> ≥ 4 prema </w:t>
      </w:r>
      <w:r w:rsidRPr="00275456">
        <w:rPr>
          <w:bCs/>
          <w:i/>
          <w:iCs/>
          <w:sz w:val="22"/>
          <w:szCs w:val="22"/>
          <w:lang w:val="sr-Latn-ME"/>
        </w:rPr>
        <w:t>Bath</w:t>
      </w:r>
      <w:r w:rsidRPr="00275456">
        <w:rPr>
          <w:bCs/>
          <w:sz w:val="22"/>
          <w:szCs w:val="22"/>
          <w:lang w:val="sr-Latn-ME"/>
        </w:rPr>
        <w:t xml:space="preserve"> indeksu aktivnosti ankilozirajućeg spondilitisa [BASDAI</w:t>
      </w:r>
      <w:r w:rsidRPr="00EA088A">
        <w:rPr>
          <w:bCs/>
          <w:sz w:val="22"/>
          <w:szCs w:val="22"/>
          <w:lang w:val="sr-Latn-ME"/>
        </w:rPr>
        <w:sym w:font="Symbol" w:char="F05D"/>
      </w:r>
      <w:r w:rsidRPr="00EA088A">
        <w:rPr>
          <w:bCs/>
          <w:sz w:val="22"/>
          <w:szCs w:val="22"/>
          <w:lang w:val="sr-Latn-ME"/>
        </w:rPr>
        <w:t xml:space="preserve"> i rezultatom ≥ 4 na vizuelnoj analognoj skali (VAS) za ukupnu jačinu bola u kičmi od 0-10 cm). Pacijenti uključeni u ovu studiju imali su aktivni oblik bolesti uprkos postojećem ili prethodnom liječenju nesteroidnim antireumaticima ili terapiji DMARD i nisu nikada prije liječeni TNF blokatorima. Lijek Simponi ili placebo primijenjeni su subkutano svake 4 nedjelje. Pacijenti su nasumice podijeljeni u grupe koje su primale placebo, lijek Simponi 50 mg ili lijek Simponi 100 mg i mogli su nastaviti s istovremenom DMARD terapijom (MTX, SSZ i/ili HCQ). Primarni </w:t>
      </w:r>
      <w:r w:rsidR="003C685D" w:rsidRPr="00C9046D">
        <w:rPr>
          <w:bCs/>
          <w:sz w:val="22"/>
          <w:szCs w:val="22"/>
          <w:lang w:val="sr-Latn-ME"/>
        </w:rPr>
        <w:t xml:space="preserve">parametar praćenja efikasnosti </w:t>
      </w:r>
      <w:r w:rsidRPr="0014796E">
        <w:rPr>
          <w:bCs/>
          <w:sz w:val="22"/>
          <w:szCs w:val="22"/>
          <w:lang w:val="sr-Latn-ME"/>
        </w:rPr>
        <w:t>bio je procenat pacijenata koji su postigli odgovor ASAS 20 na ljestvic</w:t>
      </w:r>
      <w:r w:rsidRPr="00275456">
        <w:rPr>
          <w:bCs/>
          <w:sz w:val="22"/>
          <w:szCs w:val="22"/>
          <w:lang w:val="sr-Latn-ME"/>
        </w:rPr>
        <w:t xml:space="preserve">i studijske grupe za ocjenu ankilozirajućeg spondilitisa (ASAS) u 14. nedjelji. Prikupljeni su i analizirani podaci o djelotvornosti s kontrolom placeba do 24. nedjelje. </w:t>
      </w:r>
    </w:p>
    <w:p w14:paraId="5A055343" w14:textId="77777777" w:rsidR="00785722" w:rsidRPr="00275456" w:rsidRDefault="00785722" w:rsidP="005C6DFE">
      <w:pPr>
        <w:tabs>
          <w:tab w:val="left" w:pos="567"/>
        </w:tabs>
        <w:jc w:val="both"/>
        <w:rPr>
          <w:bCs/>
          <w:sz w:val="22"/>
          <w:szCs w:val="22"/>
          <w:lang w:val="sr-Latn-ME"/>
        </w:rPr>
      </w:pPr>
    </w:p>
    <w:p w14:paraId="195812E6"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Najvažniji rezultati za dozu od 50 mg prikazani su u Tabeli 5 i opisani u daljem tekstu. Opšte uzevši, nisu zapažene klinički značajne razlike u mjerilima efikasnosti između režima doziranja lijeka </w:t>
      </w:r>
      <w:r w:rsidRPr="00275456">
        <w:rPr>
          <w:bCs/>
          <w:sz w:val="22"/>
          <w:szCs w:val="22"/>
          <w:lang w:val="sr-Latn-ME"/>
        </w:rPr>
        <w:t>Simponi</w:t>
      </w:r>
      <w:r w:rsidRPr="00275456">
        <w:rPr>
          <w:sz w:val="22"/>
          <w:szCs w:val="22"/>
          <w:lang w:val="sr-Latn-ME"/>
        </w:rPr>
        <w:t xml:space="preserve"> od 50 mg i 100 mg do kraja 24. nedjelje. Prema dizajnu studije, pacijenti uključeni u dugoročnu ekstenziju studije su mogli biti prebačeni sa doze 50 mg na dozu 100 mg lijeka Simponi na osnovu odluke studijskog lijekara.</w:t>
      </w:r>
    </w:p>
    <w:p w14:paraId="62D9C80F" w14:textId="77777777" w:rsidR="00785722" w:rsidRPr="00275456" w:rsidRDefault="00785722" w:rsidP="00785722">
      <w:pPr>
        <w:tabs>
          <w:tab w:val="left" w:pos="284"/>
        </w:tabs>
        <w:ind w:right="231"/>
        <w:rPr>
          <w:sz w:val="22"/>
          <w:szCs w:val="22"/>
          <w:lang w:val="sr-Latn-ME"/>
        </w:rPr>
      </w:pPr>
    </w:p>
    <w:p w14:paraId="57DCE4BA" w14:textId="77777777" w:rsidR="00785722" w:rsidRPr="00275456" w:rsidRDefault="00785722" w:rsidP="00785722">
      <w:pPr>
        <w:tabs>
          <w:tab w:val="left" w:pos="284"/>
        </w:tabs>
        <w:jc w:val="center"/>
        <w:rPr>
          <w:b/>
          <w:sz w:val="22"/>
          <w:szCs w:val="22"/>
          <w:lang w:val="sr-Latn-ME"/>
        </w:rPr>
      </w:pPr>
      <w:r w:rsidRPr="00275456">
        <w:rPr>
          <w:b/>
          <w:sz w:val="22"/>
          <w:szCs w:val="22"/>
          <w:lang w:val="sr-Latn-ME"/>
        </w:rPr>
        <w:t>Tabela 5</w:t>
      </w:r>
    </w:p>
    <w:p w14:paraId="503FA862" w14:textId="77777777" w:rsidR="00785722" w:rsidRPr="00275456" w:rsidRDefault="00785722" w:rsidP="00785722">
      <w:pPr>
        <w:tabs>
          <w:tab w:val="left" w:pos="284"/>
        </w:tabs>
        <w:jc w:val="center"/>
        <w:rPr>
          <w:b/>
          <w:sz w:val="22"/>
          <w:szCs w:val="22"/>
          <w:lang w:val="sr-Latn-ME"/>
        </w:rPr>
      </w:pPr>
      <w:r w:rsidRPr="00275456">
        <w:rPr>
          <w:b/>
          <w:sz w:val="22"/>
          <w:szCs w:val="22"/>
          <w:lang w:val="sr-Latn-ME"/>
        </w:rPr>
        <w:t>Ključni rezultati efikasnosti iz studije GO</w:t>
      </w:r>
      <w:r w:rsidRPr="00275456">
        <w:rPr>
          <w:b/>
          <w:sz w:val="22"/>
          <w:szCs w:val="22"/>
          <w:lang w:val="sr-Latn-ME"/>
        </w:rPr>
        <w:noBreakHyphen/>
        <w:t>RAISE.</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3246"/>
        <w:gridCol w:w="2322"/>
      </w:tblGrid>
      <w:tr w:rsidR="00785722" w:rsidRPr="00275456" w14:paraId="6A371187" w14:textId="77777777" w:rsidTr="00A3401E">
        <w:trPr>
          <w:cantSplit/>
          <w:tblHeader/>
          <w:jc w:val="center"/>
        </w:trPr>
        <w:tc>
          <w:tcPr>
            <w:tcW w:w="2451" w:type="dxa"/>
            <w:vAlign w:val="center"/>
          </w:tcPr>
          <w:p w14:paraId="352B9843" w14:textId="77777777" w:rsidR="00785722" w:rsidRPr="00275456" w:rsidRDefault="00785722" w:rsidP="00A3401E">
            <w:pPr>
              <w:tabs>
                <w:tab w:val="left" w:pos="284"/>
              </w:tabs>
              <w:rPr>
                <w:sz w:val="22"/>
                <w:szCs w:val="22"/>
                <w:lang w:val="sr-Latn-ME"/>
              </w:rPr>
            </w:pPr>
          </w:p>
        </w:tc>
        <w:tc>
          <w:tcPr>
            <w:tcW w:w="3246" w:type="dxa"/>
            <w:vAlign w:val="bottom"/>
          </w:tcPr>
          <w:p w14:paraId="647D01F4" w14:textId="77777777" w:rsidR="00785722" w:rsidRPr="00275456" w:rsidRDefault="00785722" w:rsidP="00A3401E">
            <w:pPr>
              <w:tabs>
                <w:tab w:val="left" w:pos="284"/>
              </w:tabs>
              <w:spacing w:before="60" w:after="60"/>
              <w:rPr>
                <w:sz w:val="22"/>
                <w:szCs w:val="22"/>
                <w:lang w:val="sr-Latn-ME"/>
              </w:rPr>
            </w:pPr>
            <w:r w:rsidRPr="00275456">
              <w:rPr>
                <w:sz w:val="22"/>
                <w:szCs w:val="22"/>
                <w:lang w:val="sr-Latn-ME"/>
              </w:rPr>
              <w:t>Placebo</w:t>
            </w:r>
          </w:p>
        </w:tc>
        <w:tc>
          <w:tcPr>
            <w:tcW w:w="2322" w:type="dxa"/>
            <w:vAlign w:val="bottom"/>
          </w:tcPr>
          <w:p w14:paraId="2AC0CFA6" w14:textId="77777777" w:rsidR="00785722" w:rsidRPr="00275456" w:rsidRDefault="00785722" w:rsidP="00A3401E">
            <w:pPr>
              <w:tabs>
                <w:tab w:val="left" w:pos="284"/>
              </w:tabs>
              <w:rPr>
                <w:sz w:val="22"/>
                <w:szCs w:val="22"/>
                <w:lang w:val="sr-Latn-ME"/>
              </w:rPr>
            </w:pPr>
            <w:r w:rsidRPr="00275456">
              <w:rPr>
                <w:sz w:val="22"/>
                <w:szCs w:val="22"/>
                <w:lang w:val="sr-Latn-ME"/>
              </w:rPr>
              <w:t>Lijek Simponi</w:t>
            </w:r>
          </w:p>
          <w:p w14:paraId="41EADD42" w14:textId="77777777" w:rsidR="00785722" w:rsidRPr="00275456" w:rsidRDefault="00785722" w:rsidP="00A3401E">
            <w:pPr>
              <w:tabs>
                <w:tab w:val="left" w:pos="284"/>
              </w:tabs>
              <w:rPr>
                <w:sz w:val="22"/>
                <w:szCs w:val="22"/>
                <w:lang w:val="sr-Latn-ME"/>
              </w:rPr>
            </w:pPr>
            <w:r w:rsidRPr="00275456">
              <w:rPr>
                <w:sz w:val="22"/>
                <w:szCs w:val="22"/>
                <w:lang w:val="sr-Latn-ME"/>
              </w:rPr>
              <w:t>50 mg*</w:t>
            </w:r>
          </w:p>
        </w:tc>
      </w:tr>
      <w:tr w:rsidR="00785722" w:rsidRPr="00275456" w14:paraId="09774419" w14:textId="77777777" w:rsidTr="00A3401E">
        <w:trPr>
          <w:jc w:val="center"/>
        </w:trPr>
        <w:tc>
          <w:tcPr>
            <w:tcW w:w="2451" w:type="dxa"/>
            <w:vAlign w:val="center"/>
          </w:tcPr>
          <w:p w14:paraId="5DA85F1A" w14:textId="77777777" w:rsidR="00785722" w:rsidRPr="00EA088A" w:rsidRDefault="00785722" w:rsidP="00A3401E">
            <w:pPr>
              <w:tabs>
                <w:tab w:val="left" w:pos="284"/>
              </w:tabs>
              <w:rPr>
                <w:sz w:val="22"/>
                <w:szCs w:val="22"/>
                <w:lang w:val="sr-Latn-ME"/>
              </w:rPr>
            </w:pPr>
            <w:r w:rsidRPr="00EA088A">
              <w:rPr>
                <w:sz w:val="22"/>
                <w:szCs w:val="22"/>
                <w:lang w:val="sr-Latn-ME"/>
              </w:rPr>
              <w:t>n</w:t>
            </w:r>
            <w:r w:rsidRPr="00EA088A">
              <w:rPr>
                <w:sz w:val="22"/>
                <w:szCs w:val="22"/>
                <w:vertAlign w:val="superscript"/>
                <w:lang w:val="sr-Latn-ME"/>
              </w:rPr>
              <w:t>a</w:t>
            </w:r>
          </w:p>
        </w:tc>
        <w:tc>
          <w:tcPr>
            <w:tcW w:w="3246" w:type="dxa"/>
            <w:vAlign w:val="center"/>
          </w:tcPr>
          <w:p w14:paraId="1F555A57" w14:textId="77777777" w:rsidR="00785722" w:rsidRPr="00C9046D" w:rsidRDefault="00785722" w:rsidP="00A3401E">
            <w:pPr>
              <w:tabs>
                <w:tab w:val="left" w:pos="284"/>
              </w:tabs>
              <w:rPr>
                <w:sz w:val="22"/>
                <w:szCs w:val="22"/>
                <w:lang w:val="sr-Latn-ME"/>
              </w:rPr>
            </w:pPr>
            <w:r w:rsidRPr="00C9046D">
              <w:rPr>
                <w:sz w:val="22"/>
                <w:szCs w:val="22"/>
                <w:lang w:val="sr-Latn-ME"/>
              </w:rPr>
              <w:t>78</w:t>
            </w:r>
          </w:p>
        </w:tc>
        <w:tc>
          <w:tcPr>
            <w:tcW w:w="2322" w:type="dxa"/>
            <w:vAlign w:val="center"/>
          </w:tcPr>
          <w:p w14:paraId="287772AE" w14:textId="77777777" w:rsidR="00785722" w:rsidRPr="00275456" w:rsidRDefault="00785722" w:rsidP="00A3401E">
            <w:pPr>
              <w:tabs>
                <w:tab w:val="left" w:pos="284"/>
              </w:tabs>
              <w:rPr>
                <w:sz w:val="22"/>
                <w:szCs w:val="22"/>
                <w:lang w:val="sr-Latn-ME"/>
              </w:rPr>
            </w:pPr>
            <w:r w:rsidRPr="00275456">
              <w:rPr>
                <w:sz w:val="22"/>
                <w:szCs w:val="22"/>
                <w:lang w:val="sr-Latn-ME"/>
              </w:rPr>
              <w:t>138</w:t>
            </w:r>
          </w:p>
        </w:tc>
      </w:tr>
      <w:tr w:rsidR="00785722" w:rsidRPr="00275456" w14:paraId="17E8D8BF" w14:textId="77777777" w:rsidTr="00A3401E">
        <w:trPr>
          <w:cantSplit/>
          <w:jc w:val="center"/>
        </w:trPr>
        <w:tc>
          <w:tcPr>
            <w:tcW w:w="8019" w:type="dxa"/>
            <w:gridSpan w:val="3"/>
            <w:vAlign w:val="center"/>
          </w:tcPr>
          <w:p w14:paraId="3F7C201D" w14:textId="77777777" w:rsidR="00785722" w:rsidRPr="00EA088A" w:rsidRDefault="00785722" w:rsidP="00A3401E">
            <w:pPr>
              <w:tabs>
                <w:tab w:val="left" w:pos="284"/>
              </w:tabs>
              <w:rPr>
                <w:sz w:val="22"/>
                <w:szCs w:val="22"/>
                <w:lang w:val="sr-Latn-ME"/>
              </w:rPr>
            </w:pPr>
            <w:r w:rsidRPr="00EA088A">
              <w:rPr>
                <w:b/>
                <w:bCs/>
                <w:sz w:val="22"/>
                <w:szCs w:val="22"/>
                <w:lang w:val="sr-Latn-ME"/>
              </w:rPr>
              <w:t>Pacijenti koji su odgovorili na liječenje, % pacijenata</w:t>
            </w:r>
          </w:p>
        </w:tc>
      </w:tr>
      <w:tr w:rsidR="00785722" w:rsidRPr="00275456" w14:paraId="71F3C2F4" w14:textId="77777777" w:rsidTr="00A3401E">
        <w:trPr>
          <w:cantSplit/>
          <w:jc w:val="center"/>
        </w:trPr>
        <w:tc>
          <w:tcPr>
            <w:tcW w:w="8019" w:type="dxa"/>
            <w:gridSpan w:val="3"/>
            <w:vAlign w:val="center"/>
          </w:tcPr>
          <w:p w14:paraId="5ACFD38E" w14:textId="77777777" w:rsidR="00785722" w:rsidRPr="00EA088A" w:rsidRDefault="00785722" w:rsidP="00A3401E">
            <w:pPr>
              <w:tabs>
                <w:tab w:val="left" w:pos="284"/>
              </w:tabs>
              <w:rPr>
                <w:sz w:val="22"/>
                <w:szCs w:val="22"/>
                <w:lang w:val="sr-Latn-ME"/>
              </w:rPr>
            </w:pPr>
            <w:r w:rsidRPr="00EA088A">
              <w:rPr>
                <w:b/>
                <w:bCs/>
                <w:sz w:val="22"/>
                <w:szCs w:val="22"/>
                <w:lang w:val="sr-Latn-ME"/>
              </w:rPr>
              <w:t>ASAS 20</w:t>
            </w:r>
          </w:p>
        </w:tc>
      </w:tr>
      <w:tr w:rsidR="00785722" w:rsidRPr="00275456" w14:paraId="4487CAA4" w14:textId="77777777" w:rsidTr="00A3401E">
        <w:trPr>
          <w:jc w:val="center"/>
        </w:trPr>
        <w:tc>
          <w:tcPr>
            <w:tcW w:w="2451" w:type="dxa"/>
            <w:vAlign w:val="center"/>
          </w:tcPr>
          <w:p w14:paraId="2F8AF8B6" w14:textId="77777777" w:rsidR="00785722" w:rsidRPr="00EA088A" w:rsidRDefault="00785722" w:rsidP="00A3401E">
            <w:pPr>
              <w:tabs>
                <w:tab w:val="left" w:pos="284"/>
              </w:tabs>
              <w:rPr>
                <w:sz w:val="22"/>
                <w:szCs w:val="22"/>
                <w:lang w:val="sr-Latn-ME"/>
              </w:rPr>
            </w:pPr>
            <w:r w:rsidRPr="00EA088A">
              <w:rPr>
                <w:sz w:val="22"/>
                <w:szCs w:val="22"/>
                <w:lang w:val="sr-Latn-ME"/>
              </w:rPr>
              <w:t>14. nedjelja</w:t>
            </w:r>
          </w:p>
        </w:tc>
        <w:tc>
          <w:tcPr>
            <w:tcW w:w="3246" w:type="dxa"/>
            <w:vAlign w:val="center"/>
          </w:tcPr>
          <w:p w14:paraId="01743184" w14:textId="77777777" w:rsidR="00785722" w:rsidRPr="00EA088A" w:rsidRDefault="00785722" w:rsidP="00A3401E">
            <w:pPr>
              <w:tabs>
                <w:tab w:val="left" w:pos="284"/>
              </w:tabs>
              <w:rPr>
                <w:b/>
                <w:bCs/>
                <w:sz w:val="22"/>
                <w:szCs w:val="22"/>
                <w:lang w:val="sr-Latn-ME"/>
              </w:rPr>
            </w:pPr>
            <w:r w:rsidRPr="00EA088A">
              <w:rPr>
                <w:b/>
                <w:bCs/>
                <w:sz w:val="22"/>
                <w:szCs w:val="22"/>
                <w:lang w:val="sr-Latn-ME"/>
              </w:rPr>
              <w:t xml:space="preserve">22% </w:t>
            </w:r>
          </w:p>
        </w:tc>
        <w:tc>
          <w:tcPr>
            <w:tcW w:w="2322" w:type="dxa"/>
            <w:vAlign w:val="center"/>
          </w:tcPr>
          <w:p w14:paraId="619C4ECC" w14:textId="77777777" w:rsidR="00785722" w:rsidRPr="00C9046D" w:rsidRDefault="00785722" w:rsidP="00A3401E">
            <w:pPr>
              <w:tabs>
                <w:tab w:val="left" w:pos="284"/>
              </w:tabs>
              <w:rPr>
                <w:b/>
                <w:bCs/>
                <w:sz w:val="22"/>
                <w:szCs w:val="22"/>
                <w:lang w:val="sr-Latn-ME"/>
              </w:rPr>
            </w:pPr>
            <w:r w:rsidRPr="00C9046D">
              <w:rPr>
                <w:b/>
                <w:bCs/>
                <w:sz w:val="22"/>
                <w:szCs w:val="22"/>
                <w:lang w:val="sr-Latn-ME"/>
              </w:rPr>
              <w:t xml:space="preserve">59% </w:t>
            </w:r>
          </w:p>
        </w:tc>
      </w:tr>
      <w:tr w:rsidR="00785722" w:rsidRPr="00275456" w14:paraId="2B8FF0EA" w14:textId="77777777" w:rsidTr="00A3401E">
        <w:trPr>
          <w:jc w:val="center"/>
        </w:trPr>
        <w:tc>
          <w:tcPr>
            <w:tcW w:w="2451" w:type="dxa"/>
            <w:vAlign w:val="center"/>
          </w:tcPr>
          <w:p w14:paraId="2875D56A" w14:textId="77777777" w:rsidR="00785722" w:rsidRPr="00EA088A" w:rsidRDefault="00785722" w:rsidP="00A3401E">
            <w:pPr>
              <w:tabs>
                <w:tab w:val="left" w:pos="284"/>
              </w:tabs>
              <w:rPr>
                <w:sz w:val="22"/>
                <w:szCs w:val="22"/>
                <w:lang w:val="sr-Latn-ME"/>
              </w:rPr>
            </w:pPr>
            <w:r w:rsidRPr="00EA088A">
              <w:rPr>
                <w:sz w:val="22"/>
                <w:szCs w:val="22"/>
                <w:lang w:val="sr-Latn-ME"/>
              </w:rPr>
              <w:t>24. nedjelja</w:t>
            </w:r>
          </w:p>
        </w:tc>
        <w:tc>
          <w:tcPr>
            <w:tcW w:w="3246" w:type="dxa"/>
            <w:vAlign w:val="center"/>
          </w:tcPr>
          <w:p w14:paraId="4B890332" w14:textId="77777777" w:rsidR="00785722" w:rsidRPr="00EA088A" w:rsidRDefault="00785722" w:rsidP="00A3401E">
            <w:pPr>
              <w:tabs>
                <w:tab w:val="left" w:pos="284"/>
              </w:tabs>
              <w:rPr>
                <w:sz w:val="22"/>
                <w:szCs w:val="22"/>
                <w:lang w:val="sr-Latn-ME"/>
              </w:rPr>
            </w:pPr>
            <w:r w:rsidRPr="00EA088A">
              <w:rPr>
                <w:sz w:val="22"/>
                <w:szCs w:val="22"/>
                <w:lang w:val="sr-Latn-ME"/>
              </w:rPr>
              <w:t>23%</w:t>
            </w:r>
          </w:p>
        </w:tc>
        <w:tc>
          <w:tcPr>
            <w:tcW w:w="2322" w:type="dxa"/>
            <w:vAlign w:val="center"/>
          </w:tcPr>
          <w:p w14:paraId="624C7E23" w14:textId="77777777" w:rsidR="00785722" w:rsidRPr="00C9046D" w:rsidRDefault="00785722" w:rsidP="00A3401E">
            <w:pPr>
              <w:tabs>
                <w:tab w:val="left" w:pos="284"/>
              </w:tabs>
              <w:rPr>
                <w:sz w:val="22"/>
                <w:szCs w:val="22"/>
                <w:lang w:val="sr-Latn-ME"/>
              </w:rPr>
            </w:pPr>
            <w:r w:rsidRPr="00C9046D">
              <w:rPr>
                <w:sz w:val="22"/>
                <w:szCs w:val="22"/>
                <w:lang w:val="sr-Latn-ME"/>
              </w:rPr>
              <w:t xml:space="preserve">56% </w:t>
            </w:r>
          </w:p>
        </w:tc>
      </w:tr>
      <w:tr w:rsidR="00785722" w:rsidRPr="00275456" w14:paraId="1C6E7795" w14:textId="77777777" w:rsidTr="00A3401E">
        <w:trPr>
          <w:jc w:val="center"/>
        </w:trPr>
        <w:tc>
          <w:tcPr>
            <w:tcW w:w="8019" w:type="dxa"/>
            <w:gridSpan w:val="3"/>
            <w:vAlign w:val="center"/>
          </w:tcPr>
          <w:p w14:paraId="4C19FF93" w14:textId="77777777" w:rsidR="00785722" w:rsidRPr="00EA088A" w:rsidRDefault="00785722" w:rsidP="00A3401E">
            <w:pPr>
              <w:tabs>
                <w:tab w:val="left" w:pos="284"/>
              </w:tabs>
              <w:rPr>
                <w:b/>
                <w:bCs/>
                <w:sz w:val="22"/>
                <w:szCs w:val="22"/>
                <w:lang w:val="sr-Latn-ME"/>
              </w:rPr>
            </w:pPr>
            <w:r w:rsidRPr="00EA088A">
              <w:rPr>
                <w:b/>
                <w:bCs/>
                <w:sz w:val="22"/>
                <w:szCs w:val="22"/>
                <w:lang w:val="sr-Latn-ME"/>
              </w:rPr>
              <w:t xml:space="preserve">ASAS 40 </w:t>
            </w:r>
          </w:p>
        </w:tc>
      </w:tr>
      <w:tr w:rsidR="00785722" w:rsidRPr="00275456" w14:paraId="645509F4" w14:textId="77777777" w:rsidTr="00A3401E">
        <w:trPr>
          <w:jc w:val="center"/>
        </w:trPr>
        <w:tc>
          <w:tcPr>
            <w:tcW w:w="2451" w:type="dxa"/>
            <w:vAlign w:val="center"/>
          </w:tcPr>
          <w:p w14:paraId="54EE460D" w14:textId="77777777" w:rsidR="00785722" w:rsidRPr="00EA088A" w:rsidRDefault="00785722" w:rsidP="00A3401E">
            <w:pPr>
              <w:tabs>
                <w:tab w:val="left" w:pos="284"/>
              </w:tabs>
              <w:rPr>
                <w:sz w:val="22"/>
                <w:szCs w:val="22"/>
                <w:lang w:val="sr-Latn-ME"/>
              </w:rPr>
            </w:pPr>
            <w:r w:rsidRPr="00EA088A">
              <w:rPr>
                <w:sz w:val="22"/>
                <w:szCs w:val="22"/>
                <w:lang w:val="sr-Latn-ME"/>
              </w:rPr>
              <w:t>14. nedjelja</w:t>
            </w:r>
          </w:p>
        </w:tc>
        <w:tc>
          <w:tcPr>
            <w:tcW w:w="3246" w:type="dxa"/>
            <w:vAlign w:val="center"/>
          </w:tcPr>
          <w:p w14:paraId="54024008" w14:textId="77777777" w:rsidR="00785722" w:rsidRPr="00EA088A" w:rsidRDefault="00785722" w:rsidP="00A3401E">
            <w:pPr>
              <w:tabs>
                <w:tab w:val="left" w:pos="284"/>
              </w:tabs>
              <w:rPr>
                <w:sz w:val="22"/>
                <w:szCs w:val="22"/>
                <w:lang w:val="sr-Latn-ME"/>
              </w:rPr>
            </w:pPr>
            <w:r w:rsidRPr="00EA088A">
              <w:rPr>
                <w:sz w:val="22"/>
                <w:szCs w:val="22"/>
                <w:lang w:val="sr-Latn-ME"/>
              </w:rPr>
              <w:t>15%</w:t>
            </w:r>
          </w:p>
        </w:tc>
        <w:tc>
          <w:tcPr>
            <w:tcW w:w="2322" w:type="dxa"/>
            <w:vAlign w:val="center"/>
          </w:tcPr>
          <w:p w14:paraId="755F4E8A" w14:textId="77777777" w:rsidR="00785722" w:rsidRPr="00C9046D" w:rsidRDefault="00785722" w:rsidP="00A3401E">
            <w:pPr>
              <w:tabs>
                <w:tab w:val="left" w:pos="284"/>
              </w:tabs>
              <w:rPr>
                <w:sz w:val="22"/>
                <w:szCs w:val="22"/>
                <w:lang w:val="sr-Latn-ME"/>
              </w:rPr>
            </w:pPr>
            <w:r w:rsidRPr="00C9046D">
              <w:rPr>
                <w:sz w:val="22"/>
                <w:szCs w:val="22"/>
                <w:lang w:val="sr-Latn-ME"/>
              </w:rPr>
              <w:t>45%</w:t>
            </w:r>
          </w:p>
        </w:tc>
      </w:tr>
      <w:tr w:rsidR="00785722" w:rsidRPr="00275456" w14:paraId="7BF32BFC" w14:textId="77777777" w:rsidTr="00A3401E">
        <w:trPr>
          <w:jc w:val="center"/>
        </w:trPr>
        <w:tc>
          <w:tcPr>
            <w:tcW w:w="2451" w:type="dxa"/>
            <w:vAlign w:val="center"/>
          </w:tcPr>
          <w:p w14:paraId="2D6BBF5E" w14:textId="77777777" w:rsidR="00785722" w:rsidRPr="00EA088A" w:rsidRDefault="00785722" w:rsidP="00A3401E">
            <w:pPr>
              <w:tabs>
                <w:tab w:val="left" w:pos="284"/>
              </w:tabs>
              <w:rPr>
                <w:sz w:val="22"/>
                <w:szCs w:val="22"/>
                <w:lang w:val="sr-Latn-ME"/>
              </w:rPr>
            </w:pPr>
            <w:r w:rsidRPr="00EA088A">
              <w:rPr>
                <w:sz w:val="22"/>
                <w:szCs w:val="22"/>
                <w:lang w:val="sr-Latn-ME"/>
              </w:rPr>
              <w:t>24. nedjelja</w:t>
            </w:r>
          </w:p>
        </w:tc>
        <w:tc>
          <w:tcPr>
            <w:tcW w:w="3246" w:type="dxa"/>
            <w:vAlign w:val="center"/>
          </w:tcPr>
          <w:p w14:paraId="199937F1" w14:textId="77777777" w:rsidR="00785722" w:rsidRPr="00EA088A" w:rsidRDefault="00785722" w:rsidP="00A3401E">
            <w:pPr>
              <w:tabs>
                <w:tab w:val="left" w:pos="284"/>
              </w:tabs>
              <w:rPr>
                <w:sz w:val="22"/>
                <w:szCs w:val="22"/>
                <w:lang w:val="sr-Latn-ME"/>
              </w:rPr>
            </w:pPr>
            <w:r w:rsidRPr="00EA088A">
              <w:rPr>
                <w:sz w:val="22"/>
                <w:szCs w:val="22"/>
                <w:lang w:val="sr-Latn-ME"/>
              </w:rPr>
              <w:t>15%</w:t>
            </w:r>
          </w:p>
        </w:tc>
        <w:tc>
          <w:tcPr>
            <w:tcW w:w="2322" w:type="dxa"/>
            <w:vAlign w:val="center"/>
          </w:tcPr>
          <w:p w14:paraId="2603D445" w14:textId="77777777" w:rsidR="00785722" w:rsidRPr="00C9046D" w:rsidRDefault="00785722" w:rsidP="00A3401E">
            <w:pPr>
              <w:tabs>
                <w:tab w:val="left" w:pos="284"/>
              </w:tabs>
              <w:rPr>
                <w:sz w:val="22"/>
                <w:szCs w:val="22"/>
                <w:lang w:val="sr-Latn-ME"/>
              </w:rPr>
            </w:pPr>
            <w:r w:rsidRPr="00C9046D">
              <w:rPr>
                <w:sz w:val="22"/>
                <w:szCs w:val="22"/>
                <w:lang w:val="sr-Latn-ME"/>
              </w:rPr>
              <w:t>44%</w:t>
            </w:r>
          </w:p>
        </w:tc>
      </w:tr>
      <w:tr w:rsidR="00785722" w:rsidRPr="00275456" w14:paraId="7435261D" w14:textId="77777777" w:rsidTr="00A3401E">
        <w:trPr>
          <w:jc w:val="center"/>
        </w:trPr>
        <w:tc>
          <w:tcPr>
            <w:tcW w:w="8019" w:type="dxa"/>
            <w:gridSpan w:val="3"/>
            <w:vAlign w:val="center"/>
          </w:tcPr>
          <w:p w14:paraId="3AEB6958" w14:textId="77777777" w:rsidR="00785722" w:rsidRPr="00EA088A" w:rsidRDefault="00785722" w:rsidP="00A3401E">
            <w:pPr>
              <w:tabs>
                <w:tab w:val="left" w:pos="284"/>
              </w:tabs>
              <w:rPr>
                <w:b/>
                <w:bCs/>
                <w:sz w:val="22"/>
                <w:szCs w:val="22"/>
                <w:lang w:val="sr-Latn-ME"/>
              </w:rPr>
            </w:pPr>
            <w:r w:rsidRPr="00EA088A">
              <w:rPr>
                <w:b/>
                <w:bCs/>
                <w:sz w:val="22"/>
                <w:szCs w:val="22"/>
                <w:lang w:val="sr-Latn-ME"/>
              </w:rPr>
              <w:t>ASAS 5/6</w:t>
            </w:r>
          </w:p>
        </w:tc>
      </w:tr>
      <w:tr w:rsidR="00785722" w:rsidRPr="00275456" w14:paraId="6AA00BAB" w14:textId="77777777" w:rsidTr="00A3401E">
        <w:trPr>
          <w:jc w:val="center"/>
        </w:trPr>
        <w:tc>
          <w:tcPr>
            <w:tcW w:w="2451" w:type="dxa"/>
            <w:tcBorders>
              <w:bottom w:val="single" w:sz="4" w:space="0" w:color="auto"/>
            </w:tcBorders>
            <w:vAlign w:val="center"/>
          </w:tcPr>
          <w:p w14:paraId="36041BE0" w14:textId="77777777" w:rsidR="00785722" w:rsidRPr="00EA088A" w:rsidRDefault="00785722" w:rsidP="00A3401E">
            <w:pPr>
              <w:tabs>
                <w:tab w:val="left" w:pos="284"/>
              </w:tabs>
              <w:rPr>
                <w:sz w:val="22"/>
                <w:szCs w:val="22"/>
                <w:lang w:val="sr-Latn-ME"/>
              </w:rPr>
            </w:pPr>
            <w:r w:rsidRPr="00EA088A">
              <w:rPr>
                <w:sz w:val="22"/>
                <w:szCs w:val="22"/>
                <w:lang w:val="sr-Latn-ME"/>
              </w:rPr>
              <w:t>14. nedjelja</w:t>
            </w:r>
          </w:p>
        </w:tc>
        <w:tc>
          <w:tcPr>
            <w:tcW w:w="3246" w:type="dxa"/>
            <w:tcBorders>
              <w:bottom w:val="single" w:sz="4" w:space="0" w:color="auto"/>
            </w:tcBorders>
            <w:vAlign w:val="center"/>
          </w:tcPr>
          <w:p w14:paraId="56AE253C" w14:textId="77777777" w:rsidR="00785722" w:rsidRPr="00EA088A" w:rsidRDefault="00785722" w:rsidP="00A3401E">
            <w:pPr>
              <w:tabs>
                <w:tab w:val="left" w:pos="284"/>
              </w:tabs>
              <w:rPr>
                <w:sz w:val="22"/>
                <w:szCs w:val="22"/>
                <w:lang w:val="sr-Latn-ME"/>
              </w:rPr>
            </w:pPr>
            <w:r w:rsidRPr="00EA088A">
              <w:rPr>
                <w:sz w:val="22"/>
                <w:szCs w:val="22"/>
                <w:lang w:val="sr-Latn-ME"/>
              </w:rPr>
              <w:t>8%</w:t>
            </w:r>
          </w:p>
        </w:tc>
        <w:tc>
          <w:tcPr>
            <w:tcW w:w="2322" w:type="dxa"/>
            <w:tcBorders>
              <w:bottom w:val="single" w:sz="4" w:space="0" w:color="auto"/>
            </w:tcBorders>
            <w:vAlign w:val="center"/>
          </w:tcPr>
          <w:p w14:paraId="71D745DC" w14:textId="77777777" w:rsidR="00785722" w:rsidRPr="00C9046D" w:rsidRDefault="00785722" w:rsidP="00A3401E">
            <w:pPr>
              <w:tabs>
                <w:tab w:val="left" w:pos="284"/>
              </w:tabs>
              <w:rPr>
                <w:sz w:val="22"/>
                <w:szCs w:val="22"/>
                <w:lang w:val="sr-Latn-ME"/>
              </w:rPr>
            </w:pPr>
            <w:r w:rsidRPr="00C9046D">
              <w:rPr>
                <w:sz w:val="22"/>
                <w:szCs w:val="22"/>
                <w:lang w:val="sr-Latn-ME"/>
              </w:rPr>
              <w:t>50%</w:t>
            </w:r>
          </w:p>
        </w:tc>
      </w:tr>
      <w:tr w:rsidR="00785722" w:rsidRPr="00275456" w14:paraId="29508C93" w14:textId="77777777" w:rsidTr="00A3401E">
        <w:trPr>
          <w:jc w:val="center"/>
        </w:trPr>
        <w:tc>
          <w:tcPr>
            <w:tcW w:w="2451" w:type="dxa"/>
            <w:tcBorders>
              <w:bottom w:val="single" w:sz="4" w:space="0" w:color="auto"/>
            </w:tcBorders>
            <w:vAlign w:val="center"/>
          </w:tcPr>
          <w:p w14:paraId="18EC9DFA" w14:textId="77777777" w:rsidR="00785722" w:rsidRPr="00EA088A" w:rsidRDefault="00785722" w:rsidP="00A3401E">
            <w:pPr>
              <w:tabs>
                <w:tab w:val="left" w:pos="284"/>
              </w:tabs>
              <w:rPr>
                <w:sz w:val="22"/>
                <w:szCs w:val="22"/>
                <w:lang w:val="sr-Latn-ME"/>
              </w:rPr>
            </w:pPr>
            <w:r w:rsidRPr="00EA088A">
              <w:rPr>
                <w:sz w:val="22"/>
                <w:szCs w:val="22"/>
                <w:lang w:val="sr-Latn-ME"/>
              </w:rPr>
              <w:t>24. nedjelja</w:t>
            </w:r>
          </w:p>
        </w:tc>
        <w:tc>
          <w:tcPr>
            <w:tcW w:w="3246" w:type="dxa"/>
            <w:tcBorders>
              <w:bottom w:val="single" w:sz="4" w:space="0" w:color="auto"/>
            </w:tcBorders>
            <w:vAlign w:val="center"/>
          </w:tcPr>
          <w:p w14:paraId="48754727" w14:textId="77777777" w:rsidR="00785722" w:rsidRPr="00EA088A" w:rsidRDefault="00785722" w:rsidP="00A3401E">
            <w:pPr>
              <w:tabs>
                <w:tab w:val="left" w:pos="284"/>
              </w:tabs>
              <w:rPr>
                <w:sz w:val="22"/>
                <w:szCs w:val="22"/>
                <w:lang w:val="sr-Latn-ME"/>
              </w:rPr>
            </w:pPr>
            <w:r w:rsidRPr="00EA088A">
              <w:rPr>
                <w:sz w:val="22"/>
                <w:szCs w:val="22"/>
                <w:lang w:val="sr-Latn-ME"/>
              </w:rPr>
              <w:t>13%</w:t>
            </w:r>
          </w:p>
        </w:tc>
        <w:tc>
          <w:tcPr>
            <w:tcW w:w="2322" w:type="dxa"/>
            <w:tcBorders>
              <w:bottom w:val="single" w:sz="4" w:space="0" w:color="auto"/>
            </w:tcBorders>
            <w:vAlign w:val="center"/>
          </w:tcPr>
          <w:p w14:paraId="56377A02" w14:textId="77777777" w:rsidR="00785722" w:rsidRPr="00C9046D" w:rsidRDefault="00785722" w:rsidP="00A3401E">
            <w:pPr>
              <w:tabs>
                <w:tab w:val="left" w:pos="284"/>
              </w:tabs>
              <w:rPr>
                <w:sz w:val="22"/>
                <w:szCs w:val="22"/>
                <w:lang w:val="sr-Latn-ME"/>
              </w:rPr>
            </w:pPr>
            <w:r w:rsidRPr="00C9046D">
              <w:rPr>
                <w:sz w:val="22"/>
                <w:szCs w:val="22"/>
                <w:lang w:val="sr-Latn-ME"/>
              </w:rPr>
              <w:t>49%</w:t>
            </w:r>
          </w:p>
        </w:tc>
      </w:tr>
      <w:tr w:rsidR="00785722" w:rsidRPr="00275456" w14:paraId="1F0B8493" w14:textId="77777777" w:rsidTr="00A3401E">
        <w:trPr>
          <w:trHeight w:val="746"/>
          <w:jc w:val="center"/>
        </w:trPr>
        <w:tc>
          <w:tcPr>
            <w:tcW w:w="8019" w:type="dxa"/>
            <w:gridSpan w:val="3"/>
            <w:tcBorders>
              <w:top w:val="single" w:sz="4" w:space="0" w:color="auto"/>
              <w:left w:val="nil"/>
              <w:bottom w:val="nil"/>
              <w:right w:val="nil"/>
            </w:tcBorders>
            <w:vAlign w:val="center"/>
          </w:tcPr>
          <w:p w14:paraId="122DA1D2" w14:textId="77777777" w:rsidR="00785722" w:rsidRPr="005C6DFE" w:rsidRDefault="00785722" w:rsidP="00A3401E">
            <w:pPr>
              <w:tabs>
                <w:tab w:val="left" w:pos="284"/>
              </w:tabs>
              <w:ind w:left="217" w:hanging="217"/>
              <w:rPr>
                <w:sz w:val="22"/>
                <w:szCs w:val="22"/>
                <w:lang w:val="sr-Latn-ME"/>
              </w:rPr>
            </w:pPr>
            <w:r w:rsidRPr="005C6DFE">
              <w:rPr>
                <w:sz w:val="22"/>
                <w:szCs w:val="22"/>
                <w:lang w:val="sr-Latn-ME"/>
              </w:rPr>
              <w:t>*</w:t>
            </w:r>
            <w:r w:rsidRPr="005C6DFE">
              <w:rPr>
                <w:sz w:val="22"/>
                <w:szCs w:val="22"/>
                <w:lang w:val="sr-Latn-ME"/>
              </w:rPr>
              <w:tab/>
              <w:t xml:space="preserve">p </w:t>
            </w:r>
            <w:r w:rsidRPr="005C6DFE">
              <w:rPr>
                <w:sz w:val="22"/>
                <w:szCs w:val="22"/>
                <w:lang w:val="sr-Latn-ME"/>
              </w:rPr>
              <w:sym w:font="Symbol" w:char="F0A3"/>
            </w:r>
            <w:r w:rsidRPr="005C6DFE">
              <w:rPr>
                <w:sz w:val="22"/>
                <w:szCs w:val="22"/>
                <w:lang w:val="sr-Latn-ME"/>
              </w:rPr>
              <w:t xml:space="preserve"> 0,001 za sva poređenja </w:t>
            </w:r>
          </w:p>
          <w:p w14:paraId="7BA5B486" w14:textId="2D390B71" w:rsidR="00785722" w:rsidRPr="00EA088A" w:rsidRDefault="00785722" w:rsidP="00A3401E">
            <w:pPr>
              <w:tabs>
                <w:tab w:val="left" w:pos="284"/>
              </w:tabs>
              <w:ind w:left="288" w:hanging="270"/>
              <w:rPr>
                <w:sz w:val="22"/>
                <w:szCs w:val="22"/>
                <w:lang w:val="sr-Latn-ME"/>
              </w:rPr>
            </w:pPr>
            <w:r w:rsidRPr="005C6DFE">
              <w:rPr>
                <w:i/>
                <w:iCs/>
                <w:sz w:val="22"/>
                <w:szCs w:val="22"/>
                <w:vertAlign w:val="superscript"/>
                <w:lang w:val="sr-Latn-ME"/>
              </w:rPr>
              <w:t>a</w:t>
            </w:r>
            <w:r w:rsidRPr="005C6DFE">
              <w:rPr>
                <w:sz w:val="22"/>
                <w:szCs w:val="22"/>
                <w:lang w:val="sr-Latn-ME"/>
              </w:rPr>
              <w:t xml:space="preserve">  n se odnosi na randomizovane pacijente; stvarni broj pacijenata koje je bilo moguće ocijeniti za pojedinačni </w:t>
            </w:r>
            <w:r w:rsidR="003C685D" w:rsidRPr="005C6DFE">
              <w:rPr>
                <w:sz w:val="22"/>
                <w:szCs w:val="22"/>
                <w:lang w:val="sr-Latn-ME"/>
              </w:rPr>
              <w:t xml:space="preserve">parametar praćenja efikasnosti </w:t>
            </w:r>
            <w:r w:rsidRPr="005C6DFE">
              <w:rPr>
                <w:sz w:val="22"/>
                <w:szCs w:val="22"/>
                <w:lang w:val="sr-Latn-ME"/>
              </w:rPr>
              <w:t>može se razlikovati po vremenskim tačkama procjene.</w:t>
            </w:r>
          </w:p>
        </w:tc>
      </w:tr>
    </w:tbl>
    <w:p w14:paraId="17E9B3AD" w14:textId="77777777" w:rsidR="00785722" w:rsidRPr="00EA088A" w:rsidRDefault="00785722" w:rsidP="00785722">
      <w:pPr>
        <w:tabs>
          <w:tab w:val="left" w:pos="284"/>
        </w:tabs>
        <w:ind w:right="231"/>
        <w:rPr>
          <w:sz w:val="22"/>
          <w:szCs w:val="22"/>
          <w:lang w:val="sr-Latn-ME"/>
        </w:rPr>
      </w:pPr>
    </w:p>
    <w:p w14:paraId="7B9EB721" w14:textId="77777777" w:rsidR="00785722" w:rsidRPr="00EA088A" w:rsidRDefault="00785722" w:rsidP="005C6DFE">
      <w:pPr>
        <w:tabs>
          <w:tab w:val="left" w:pos="284"/>
        </w:tabs>
        <w:ind w:right="231"/>
        <w:jc w:val="both"/>
        <w:rPr>
          <w:sz w:val="22"/>
          <w:szCs w:val="22"/>
          <w:lang w:val="sr-Latn-ME"/>
        </w:rPr>
      </w:pPr>
      <w:r w:rsidRPr="00EA088A">
        <w:rPr>
          <w:sz w:val="22"/>
          <w:szCs w:val="22"/>
          <w:lang w:val="sr-Latn-ME"/>
        </w:rPr>
        <w:t>Među pacijentima koji su ostali uključeni u studiju i liječeni lijekom Simponi , procenti pacijenata sa odgovorima ASAS 20 i ASAS 40 su bili slični od 24. nedjelje do kraja 256. nedjelje.</w:t>
      </w:r>
    </w:p>
    <w:p w14:paraId="12E4718A" w14:textId="77777777" w:rsidR="00785722" w:rsidRPr="00C9046D" w:rsidRDefault="00785722" w:rsidP="005C6DFE">
      <w:pPr>
        <w:tabs>
          <w:tab w:val="left" w:pos="284"/>
        </w:tabs>
        <w:ind w:right="231"/>
        <w:jc w:val="both"/>
        <w:rPr>
          <w:sz w:val="22"/>
          <w:szCs w:val="22"/>
          <w:lang w:val="sr-Latn-ME"/>
        </w:rPr>
      </w:pPr>
    </w:p>
    <w:p w14:paraId="60E47B0C" w14:textId="77777777" w:rsidR="00785722" w:rsidRPr="00EA088A" w:rsidRDefault="00785722" w:rsidP="005C6DFE">
      <w:pPr>
        <w:tabs>
          <w:tab w:val="left" w:pos="284"/>
        </w:tabs>
        <w:ind w:right="231"/>
        <w:jc w:val="both"/>
        <w:rPr>
          <w:sz w:val="22"/>
          <w:szCs w:val="22"/>
          <w:lang w:val="sr-Latn-ME"/>
        </w:rPr>
      </w:pPr>
      <w:r w:rsidRPr="00275456">
        <w:rPr>
          <w:sz w:val="22"/>
          <w:szCs w:val="22"/>
          <w:lang w:val="sr-Latn-ME"/>
        </w:rPr>
        <w:t>U 14. i 24. nedjelji zabilježeni su statistički značajni odgovori i za BASDAI 50, 70 i 90 (p </w:t>
      </w:r>
      <w:r w:rsidRPr="00EA088A">
        <w:rPr>
          <w:sz w:val="22"/>
          <w:szCs w:val="22"/>
          <w:lang w:val="sr-Latn-ME"/>
        </w:rPr>
        <w:sym w:font="Symbol" w:char="F0A3"/>
      </w:r>
      <w:r w:rsidRPr="00EA088A">
        <w:rPr>
          <w:sz w:val="22"/>
          <w:szCs w:val="22"/>
          <w:lang w:val="sr-Latn-ME"/>
        </w:rPr>
        <w:t xml:space="preserve"> 0,017). Poboljšanja u ključnim mjerilima aktivnosti bolesti zabilježena su na prvom kontrolnom pregledu nakon početne primjene lijeka Simponi (4. nedjelje) i održala su se do 24. nedjelje. Među pacijentima koji su ostali uključeni u studiju i liječeni lijekom Simponi, zabilježene su slične stope  promjena u </w:t>
      </w:r>
      <w:r w:rsidRPr="00EA088A">
        <w:rPr>
          <w:sz w:val="22"/>
          <w:szCs w:val="22"/>
          <w:lang w:val="sr-Latn-ME"/>
        </w:rPr>
        <w:lastRenderedPageBreak/>
        <w:t>odnosu na početne vrijednosti BASDAI od 24. nedjelje do kraja 256. nedjelje. Kod pacijenata je zabilježena konzistentna efikasnost bez obzira na DMARD terapiju (MTX, sulfasalazin i/ili hidroksihlorohin), status antigena HLA</w:t>
      </w:r>
      <w:r w:rsidRPr="00EA088A">
        <w:rPr>
          <w:sz w:val="22"/>
          <w:szCs w:val="22"/>
          <w:lang w:val="sr-Latn-ME"/>
        </w:rPr>
        <w:noBreakHyphen/>
        <w:t>B27, ili početnog nivoa CRP, kako je procijenjeno odgovorima ASAS 20 u 14. nedjelji.</w:t>
      </w:r>
    </w:p>
    <w:p w14:paraId="385152E0" w14:textId="77777777" w:rsidR="00785722" w:rsidRPr="00C9046D" w:rsidRDefault="00785722" w:rsidP="005C6DFE">
      <w:pPr>
        <w:tabs>
          <w:tab w:val="left" w:pos="284"/>
        </w:tabs>
        <w:ind w:right="231"/>
        <w:jc w:val="both"/>
        <w:rPr>
          <w:sz w:val="22"/>
          <w:szCs w:val="22"/>
          <w:lang w:val="sr-Latn-ME"/>
        </w:rPr>
      </w:pPr>
    </w:p>
    <w:p w14:paraId="22E53B36"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 xml:space="preserve">Liječenje lijekom Simponi dovelo je do značajnog poboljšanja fizičke funkcije, procijenjene promjenama u odnosu na početne vrijednosti </w:t>
      </w:r>
      <w:r w:rsidRPr="00275456">
        <w:rPr>
          <w:i/>
          <w:iCs/>
          <w:sz w:val="22"/>
          <w:szCs w:val="22"/>
          <w:lang w:val="sr-Latn-ME"/>
        </w:rPr>
        <w:t>Bath</w:t>
      </w:r>
      <w:r w:rsidRPr="00275456">
        <w:rPr>
          <w:sz w:val="22"/>
          <w:szCs w:val="22"/>
          <w:lang w:val="sr-Latn-ME"/>
        </w:rPr>
        <w:t xml:space="preserve"> indeksa funkcije u ankilozirajućem spondilitisu</w:t>
      </w:r>
      <w:r w:rsidRPr="00275456">
        <w:rPr>
          <w:bCs/>
          <w:sz w:val="22"/>
          <w:szCs w:val="22"/>
          <w:lang w:val="sr-Latn-ME"/>
        </w:rPr>
        <w:t xml:space="preserve"> (BASFI) u 14. i 24. nedjelji. </w:t>
      </w:r>
      <w:r w:rsidRPr="00275456">
        <w:rPr>
          <w:sz w:val="22"/>
          <w:szCs w:val="22"/>
          <w:lang w:val="sr-Latn-ME"/>
        </w:rPr>
        <w:t>Zdravstveni aspekt kvaliteta života, mjereno sabiranjem bodova za fizičku komponentu upitnika SF-36, takođe je bio značajno poboljšan u 14. i 24. nedjelji. Među pacijentima koji su ostali uključeni u studiju i liječeni lijekom Simponi, poboljšanja fizičke komponente i zdravstvenog aspekta kvaliteta života su bili slični od 24. do kraja 256. nedjelje.</w:t>
      </w:r>
    </w:p>
    <w:p w14:paraId="4F1D464E" w14:textId="77777777" w:rsidR="00785722" w:rsidRPr="00275456" w:rsidRDefault="00785722" w:rsidP="005C6DFE">
      <w:pPr>
        <w:tabs>
          <w:tab w:val="left" w:pos="284"/>
        </w:tabs>
        <w:autoSpaceDE w:val="0"/>
        <w:autoSpaceDN w:val="0"/>
        <w:adjustRightInd w:val="0"/>
        <w:jc w:val="both"/>
        <w:rPr>
          <w:sz w:val="22"/>
          <w:szCs w:val="22"/>
          <w:lang w:val="sr-Latn-ME"/>
        </w:rPr>
      </w:pPr>
    </w:p>
    <w:p w14:paraId="311F0750" w14:textId="3C5FD39C" w:rsidR="00785722" w:rsidRPr="00EA088A" w:rsidRDefault="00FA15F2" w:rsidP="005C6DFE">
      <w:pPr>
        <w:autoSpaceDE w:val="0"/>
        <w:autoSpaceDN w:val="0"/>
        <w:adjustRightInd w:val="0"/>
        <w:jc w:val="both"/>
        <w:rPr>
          <w:i/>
          <w:sz w:val="22"/>
          <w:szCs w:val="22"/>
          <w:lang w:val="sr-Latn-ME"/>
        </w:rPr>
      </w:pPr>
      <w:r w:rsidRPr="00275456">
        <w:rPr>
          <w:i/>
          <w:sz w:val="22"/>
          <w:szCs w:val="22"/>
          <w:lang w:val="sr-Latn-ME"/>
        </w:rPr>
        <w:t>A</w:t>
      </w:r>
      <w:r w:rsidR="00785722" w:rsidRPr="00275456">
        <w:rPr>
          <w:i/>
          <w:sz w:val="22"/>
          <w:szCs w:val="22"/>
          <w:lang w:val="sr-Latn-ME"/>
        </w:rPr>
        <w:t>ksijalni spondiloartritis</w:t>
      </w:r>
      <w:r w:rsidR="00233DFC" w:rsidRPr="005C6DFE">
        <w:rPr>
          <w:sz w:val="22"/>
          <w:szCs w:val="22"/>
          <w:lang w:val="sr-Latn-ME"/>
        </w:rPr>
        <w:t xml:space="preserve"> </w:t>
      </w:r>
      <w:r w:rsidR="00233DFC" w:rsidRPr="00EA088A">
        <w:rPr>
          <w:i/>
          <w:sz w:val="22"/>
          <w:szCs w:val="22"/>
          <w:lang w:val="sr-Latn-ME"/>
        </w:rPr>
        <w:t>bez radiografskog dokaza</w:t>
      </w:r>
    </w:p>
    <w:p w14:paraId="38096629" w14:textId="2F3E0759" w:rsidR="00FA15F2" w:rsidRPr="00EA088A" w:rsidRDefault="00FA15F2" w:rsidP="005C6DFE">
      <w:pPr>
        <w:autoSpaceDE w:val="0"/>
        <w:autoSpaceDN w:val="0"/>
        <w:adjustRightInd w:val="0"/>
        <w:jc w:val="both"/>
        <w:rPr>
          <w:i/>
          <w:sz w:val="22"/>
          <w:szCs w:val="22"/>
          <w:lang w:val="sr-Latn-ME"/>
        </w:rPr>
      </w:pPr>
    </w:p>
    <w:p w14:paraId="029FCCDB" w14:textId="77777777" w:rsidR="00FA15F2" w:rsidRPr="00C9046D" w:rsidRDefault="00FA15F2" w:rsidP="00EA088A">
      <w:pPr>
        <w:keepNext/>
        <w:tabs>
          <w:tab w:val="left" w:pos="284"/>
        </w:tabs>
        <w:autoSpaceDE w:val="0"/>
        <w:autoSpaceDN w:val="0"/>
        <w:adjustRightInd w:val="0"/>
        <w:jc w:val="both"/>
        <w:rPr>
          <w:sz w:val="22"/>
          <w:szCs w:val="22"/>
          <w:lang w:val="sr-Latn-ME"/>
        </w:rPr>
      </w:pPr>
      <w:r w:rsidRPr="00C9046D">
        <w:rPr>
          <w:sz w:val="22"/>
          <w:szCs w:val="22"/>
          <w:lang w:val="sr-Latn-ME"/>
        </w:rPr>
        <w:t>GO</w:t>
      </w:r>
      <w:r w:rsidRPr="00C9046D">
        <w:rPr>
          <w:sz w:val="22"/>
          <w:szCs w:val="22"/>
          <w:lang w:val="sr-Latn-ME"/>
        </w:rPr>
        <w:noBreakHyphen/>
        <w:t>AHEAD</w:t>
      </w:r>
    </w:p>
    <w:p w14:paraId="79ACBADE" w14:textId="77777777" w:rsidR="00FA15F2" w:rsidRPr="00C9046D" w:rsidRDefault="00FA15F2" w:rsidP="005C6DFE">
      <w:pPr>
        <w:autoSpaceDE w:val="0"/>
        <w:autoSpaceDN w:val="0"/>
        <w:adjustRightInd w:val="0"/>
        <w:jc w:val="both"/>
        <w:rPr>
          <w:i/>
          <w:sz w:val="22"/>
          <w:szCs w:val="22"/>
          <w:lang w:val="sr-Latn-ME"/>
        </w:rPr>
      </w:pPr>
    </w:p>
    <w:p w14:paraId="0E684DE6" w14:textId="0078BE3A" w:rsidR="00785722" w:rsidRPr="00275456" w:rsidRDefault="00785722" w:rsidP="005C6DFE">
      <w:pPr>
        <w:autoSpaceDE w:val="0"/>
        <w:autoSpaceDN w:val="0"/>
        <w:adjustRightInd w:val="0"/>
        <w:jc w:val="both"/>
        <w:rPr>
          <w:sz w:val="22"/>
          <w:szCs w:val="22"/>
          <w:lang w:val="sr-Latn-ME"/>
        </w:rPr>
      </w:pPr>
      <w:r w:rsidRPr="00275456">
        <w:rPr>
          <w:sz w:val="22"/>
          <w:szCs w:val="22"/>
          <w:lang w:val="sr-Latn-ME"/>
        </w:rPr>
        <w:t xml:space="preserve">Bezbjednost i efikasnost lijeka Simponi ispitana je u multicentričnoj, randomizovanoj, dvostruko-slijepoj, placebo kontrolisanoj studiji (GO-AHEAD) kod 197 odraslih pacijenata sa teškim aktivnim nr-Axial SpA (definisano kao oni pacijenti koji zadovoljavaju kriterijum za aksijalni spondiloartritis u ASAS klasifikaciji ali ne zadovoljavaju </w:t>
      </w:r>
      <w:r w:rsidRPr="00275456">
        <w:rPr>
          <w:i/>
          <w:iCs/>
          <w:sz w:val="22"/>
          <w:szCs w:val="22"/>
          <w:lang w:val="sr-Latn-ME"/>
        </w:rPr>
        <w:t xml:space="preserve">New York </w:t>
      </w:r>
      <w:r w:rsidRPr="00275456">
        <w:rPr>
          <w:sz w:val="22"/>
          <w:szCs w:val="22"/>
          <w:lang w:val="sr-Latn-ME"/>
        </w:rPr>
        <w:t xml:space="preserve">kriterijum za ankilozirajući spondiloartritis). Pacijenti uključeni u ovu studiju imali su aktivnu bolest (definisao kao BASDAI ≥ 4 i VAS (Visual Analogue Scale) za ukupni bol u leđima ≥ 4, svaki na skali do 0-10 cm), uprkos trenutnoj ili prethodnoj terapiji NSAIL, i koji prethodno nijesu bili na terapiji biološkim ljekovima uključujuči anti-TNF terapiju. Pacijenti su randomizovani da primaju placebo ili Simponi 50 mg subkutano svake 4 nedjelje. U 16-toj nedjelji, pacijenti su uključeni u otvoreni period studije u kome su svi pacijenti primali 50 mg lijeka Simponi subkutano svake 4 nedjelje do 48. nedjelje sa procjenom efikasnosti izvršenoj tokom 52. nedjelje i praćenjem bezbjednosnog profila tokom 60. nedjelje.  </w:t>
      </w:r>
      <w:r w:rsidRPr="00275456">
        <w:rPr>
          <w:bCs/>
          <w:sz w:val="22"/>
          <w:szCs w:val="22"/>
          <w:lang w:val="sr-Latn-ME"/>
        </w:rPr>
        <w:t>Približno</w:t>
      </w:r>
      <w:r w:rsidRPr="005C6DFE" w:rsidDel="00E11570">
        <w:rPr>
          <w:rStyle w:val="CommentReference"/>
          <w:sz w:val="22"/>
          <w:szCs w:val="22"/>
          <w:lang w:val="sr-Latn-ME"/>
        </w:rPr>
        <w:t xml:space="preserve"> </w:t>
      </w:r>
      <w:r w:rsidRPr="00EA088A">
        <w:rPr>
          <w:sz w:val="22"/>
          <w:szCs w:val="22"/>
          <w:lang w:val="sr-Latn-ME"/>
        </w:rPr>
        <w:t xml:space="preserve"> 93% pacijenta koji su primali lijek Simponi na početku ekstenzije otvorene studije (16. nedjelja) su ostali na terapiji do kraja ispitivanja (52. nedjelja)</w:t>
      </w:r>
      <w:r w:rsidR="00C5265A" w:rsidRPr="00EA088A">
        <w:rPr>
          <w:sz w:val="22"/>
          <w:szCs w:val="22"/>
          <w:lang w:val="sr-Latn-ME"/>
        </w:rPr>
        <w:t>.</w:t>
      </w:r>
      <w:r w:rsidRPr="00EA088A">
        <w:rPr>
          <w:sz w:val="22"/>
          <w:szCs w:val="22"/>
          <w:lang w:val="sr-Latn-ME"/>
        </w:rPr>
        <w:t xml:space="preserve"> Analize su izvršene za sve liječene pacijente (</w:t>
      </w:r>
      <w:r w:rsidRPr="00C9046D">
        <w:rPr>
          <w:i/>
          <w:iCs/>
          <w:sz w:val="22"/>
          <w:szCs w:val="22"/>
          <w:lang w:val="sr-Latn-ME"/>
        </w:rPr>
        <w:t>All Treated</w:t>
      </w:r>
      <w:r w:rsidRPr="00C9046D">
        <w:rPr>
          <w:sz w:val="22"/>
          <w:szCs w:val="22"/>
          <w:lang w:val="sr-Latn-ME"/>
        </w:rPr>
        <w:t xml:space="preserve">, AT, N=197) i pacijente sa objektivnim znacima inflamacije (OSI, </w:t>
      </w:r>
      <w:r w:rsidRPr="00275456">
        <w:rPr>
          <w:i/>
          <w:iCs/>
          <w:sz w:val="22"/>
          <w:szCs w:val="22"/>
          <w:lang w:val="sr-Latn-ME"/>
        </w:rPr>
        <w:t>Objective Signs of Inflammation</w:t>
      </w:r>
      <w:r w:rsidRPr="00275456">
        <w:rPr>
          <w:sz w:val="22"/>
          <w:szCs w:val="22"/>
          <w:lang w:val="sr-Latn-ME"/>
        </w:rPr>
        <w:t xml:space="preserve">, N=158, definisano preko povišenih vrijednosti CRP i/ili potvrđenim sakroilitisom na MRI). Placebo kontrolisani podaci o efikasnosti su sakljupljani i analizirani do 16. nedjelje. Primarni </w:t>
      </w:r>
      <w:r w:rsidR="003C685D" w:rsidRPr="00275456">
        <w:rPr>
          <w:sz w:val="22"/>
          <w:szCs w:val="22"/>
          <w:lang w:val="sr-Latn-ME"/>
        </w:rPr>
        <w:t xml:space="preserve">parametar praćenja efikasnosti </w:t>
      </w:r>
      <w:r w:rsidRPr="00275456">
        <w:rPr>
          <w:sz w:val="22"/>
          <w:szCs w:val="22"/>
          <w:lang w:val="sr-Latn-ME"/>
        </w:rPr>
        <w:t>studije bio je procent pacijenata koji su postigli ASAS 20 odgovor u 16. nedjelji. Ključni rezultati su prikazani u tabeli 6 i opisani niže u tekstu.</w:t>
      </w:r>
    </w:p>
    <w:p w14:paraId="52812F1E" w14:textId="77777777" w:rsidR="00785722" w:rsidRPr="00275456" w:rsidRDefault="00785722" w:rsidP="00785722">
      <w:pPr>
        <w:keepNext/>
        <w:autoSpaceDE w:val="0"/>
        <w:autoSpaceDN w:val="0"/>
        <w:adjustRightInd w:val="0"/>
        <w:jc w:val="center"/>
        <w:rPr>
          <w:b/>
          <w:sz w:val="22"/>
          <w:szCs w:val="22"/>
          <w:lang w:val="sr-Latn-ME"/>
        </w:rPr>
      </w:pPr>
      <w:r w:rsidRPr="00275456">
        <w:rPr>
          <w:b/>
          <w:sz w:val="22"/>
          <w:szCs w:val="22"/>
          <w:lang w:val="sr-Latn-ME"/>
        </w:rPr>
        <w:t>Tabela 6</w:t>
      </w:r>
    </w:p>
    <w:p w14:paraId="40F98570" w14:textId="77777777" w:rsidR="00785722" w:rsidRPr="00275456" w:rsidRDefault="00785722" w:rsidP="00785722">
      <w:pPr>
        <w:keepNext/>
        <w:autoSpaceDE w:val="0"/>
        <w:autoSpaceDN w:val="0"/>
        <w:adjustRightInd w:val="0"/>
        <w:jc w:val="center"/>
        <w:rPr>
          <w:b/>
          <w:sz w:val="22"/>
          <w:szCs w:val="22"/>
          <w:lang w:val="sr-Latn-ME"/>
        </w:rPr>
      </w:pPr>
      <w:r w:rsidRPr="00275456">
        <w:rPr>
          <w:b/>
          <w:sz w:val="22"/>
          <w:szCs w:val="22"/>
          <w:lang w:val="sr-Latn-ME"/>
        </w:rPr>
        <w:t>Ključni rezultati efikasnosti iz studije GO-AHEAD u 16. nedjelji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1570"/>
        <w:gridCol w:w="1703"/>
        <w:gridCol w:w="1524"/>
        <w:gridCol w:w="1792"/>
      </w:tblGrid>
      <w:tr w:rsidR="00785722" w:rsidRPr="00275456" w14:paraId="518F8DC4" w14:textId="77777777" w:rsidTr="00A3401E">
        <w:trPr>
          <w:cantSplit/>
          <w:jc w:val="center"/>
        </w:trPr>
        <w:tc>
          <w:tcPr>
            <w:tcW w:w="9107" w:type="dxa"/>
            <w:gridSpan w:val="5"/>
            <w:tcBorders>
              <w:top w:val="single" w:sz="4" w:space="0" w:color="auto"/>
              <w:left w:val="single" w:sz="4" w:space="0" w:color="auto"/>
              <w:bottom w:val="single" w:sz="4" w:space="0" w:color="auto"/>
              <w:right w:val="single" w:sz="4" w:space="0" w:color="auto"/>
            </w:tcBorders>
            <w:hideMark/>
          </w:tcPr>
          <w:p w14:paraId="3F80F6F9" w14:textId="77777777" w:rsidR="00785722" w:rsidRPr="00275456" w:rsidRDefault="00785722" w:rsidP="00A3401E">
            <w:pPr>
              <w:keepNext/>
              <w:tabs>
                <w:tab w:val="left" w:pos="284"/>
              </w:tabs>
              <w:autoSpaceDE w:val="0"/>
              <w:autoSpaceDN w:val="0"/>
              <w:adjustRightInd w:val="0"/>
              <w:jc w:val="center"/>
              <w:rPr>
                <w:b/>
                <w:sz w:val="22"/>
                <w:szCs w:val="22"/>
                <w:lang w:val="sr-Latn-ME"/>
              </w:rPr>
            </w:pPr>
            <w:r w:rsidRPr="00275456">
              <w:rPr>
                <w:b/>
                <w:sz w:val="22"/>
                <w:szCs w:val="22"/>
                <w:lang w:val="sr-Latn-ME"/>
              </w:rPr>
              <w:t>Poboljšanje u znacima i simptomima</w:t>
            </w:r>
          </w:p>
        </w:tc>
      </w:tr>
      <w:tr w:rsidR="00785722" w:rsidRPr="00275456" w14:paraId="29B692C2" w14:textId="77777777" w:rsidTr="00A3401E">
        <w:trPr>
          <w:cantSplit/>
          <w:jc w:val="center"/>
        </w:trPr>
        <w:tc>
          <w:tcPr>
            <w:tcW w:w="2491" w:type="dxa"/>
            <w:vMerge w:val="restart"/>
            <w:tcBorders>
              <w:top w:val="single" w:sz="4" w:space="0" w:color="auto"/>
              <w:left w:val="single" w:sz="4" w:space="0" w:color="auto"/>
              <w:bottom w:val="single" w:sz="4" w:space="0" w:color="auto"/>
              <w:right w:val="single" w:sz="4" w:space="0" w:color="auto"/>
            </w:tcBorders>
          </w:tcPr>
          <w:p w14:paraId="0B3E73D8" w14:textId="77777777" w:rsidR="00785722" w:rsidRPr="00EA088A" w:rsidRDefault="00785722" w:rsidP="00A3401E">
            <w:pPr>
              <w:keepNext/>
              <w:tabs>
                <w:tab w:val="left" w:pos="284"/>
              </w:tabs>
              <w:autoSpaceDE w:val="0"/>
              <w:autoSpaceDN w:val="0"/>
              <w:adjustRightInd w:val="0"/>
              <w:jc w:val="center"/>
              <w:rPr>
                <w:sz w:val="22"/>
                <w:szCs w:val="22"/>
                <w:lang w:val="sr-Latn-ME"/>
              </w:rPr>
            </w:pPr>
          </w:p>
        </w:tc>
        <w:tc>
          <w:tcPr>
            <w:tcW w:w="3286" w:type="dxa"/>
            <w:gridSpan w:val="2"/>
            <w:tcBorders>
              <w:top w:val="single" w:sz="4" w:space="0" w:color="auto"/>
              <w:left w:val="single" w:sz="4" w:space="0" w:color="auto"/>
              <w:bottom w:val="single" w:sz="4" w:space="0" w:color="auto"/>
              <w:right w:val="single" w:sz="4" w:space="0" w:color="auto"/>
            </w:tcBorders>
            <w:vAlign w:val="bottom"/>
            <w:hideMark/>
          </w:tcPr>
          <w:p w14:paraId="75EEDE90" w14:textId="77777777" w:rsidR="00785722" w:rsidRPr="00C9046D" w:rsidRDefault="00785722" w:rsidP="00A3401E">
            <w:pPr>
              <w:keepNext/>
              <w:tabs>
                <w:tab w:val="left" w:pos="284"/>
              </w:tabs>
              <w:autoSpaceDE w:val="0"/>
              <w:autoSpaceDN w:val="0"/>
              <w:adjustRightInd w:val="0"/>
              <w:jc w:val="center"/>
              <w:rPr>
                <w:sz w:val="22"/>
                <w:szCs w:val="22"/>
                <w:lang w:val="sr-Latn-ME"/>
              </w:rPr>
            </w:pPr>
            <w:r w:rsidRPr="00EA088A">
              <w:rPr>
                <w:sz w:val="22"/>
                <w:szCs w:val="22"/>
                <w:lang w:val="sr-Latn-ME"/>
              </w:rPr>
              <w:t>Populacija svih liječenih pacije</w:t>
            </w:r>
            <w:r w:rsidRPr="00C9046D">
              <w:rPr>
                <w:sz w:val="22"/>
                <w:szCs w:val="22"/>
                <w:lang w:val="sr-Latn-ME"/>
              </w:rPr>
              <w:t>nata (AT)</w:t>
            </w:r>
          </w:p>
        </w:tc>
        <w:tc>
          <w:tcPr>
            <w:tcW w:w="3330" w:type="dxa"/>
            <w:gridSpan w:val="2"/>
            <w:tcBorders>
              <w:top w:val="single" w:sz="4" w:space="0" w:color="auto"/>
              <w:left w:val="single" w:sz="4" w:space="0" w:color="auto"/>
              <w:bottom w:val="single" w:sz="4" w:space="0" w:color="auto"/>
              <w:right w:val="single" w:sz="4" w:space="0" w:color="auto"/>
            </w:tcBorders>
            <w:vAlign w:val="bottom"/>
            <w:hideMark/>
          </w:tcPr>
          <w:p w14:paraId="67DD23E2" w14:textId="77777777" w:rsidR="00785722" w:rsidRPr="00275456" w:rsidRDefault="00785722" w:rsidP="00A3401E">
            <w:pPr>
              <w:keepNext/>
              <w:tabs>
                <w:tab w:val="left" w:pos="284"/>
              </w:tabs>
              <w:autoSpaceDE w:val="0"/>
              <w:autoSpaceDN w:val="0"/>
              <w:adjustRightInd w:val="0"/>
              <w:jc w:val="center"/>
              <w:rPr>
                <w:sz w:val="22"/>
                <w:szCs w:val="22"/>
                <w:lang w:val="sr-Latn-ME"/>
              </w:rPr>
            </w:pPr>
            <w:r w:rsidRPr="00275456">
              <w:rPr>
                <w:sz w:val="22"/>
                <w:szCs w:val="22"/>
                <w:lang w:val="sr-Latn-ME"/>
              </w:rPr>
              <w:t>Populacija sa objektivnim znacima inflamacije (OSI)</w:t>
            </w:r>
          </w:p>
        </w:tc>
      </w:tr>
      <w:tr w:rsidR="00785722" w:rsidRPr="00275456" w14:paraId="78BB779C" w14:textId="77777777" w:rsidTr="00A3401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8E767" w14:textId="77777777" w:rsidR="00785722" w:rsidRPr="00275456" w:rsidRDefault="00785722" w:rsidP="00A3401E">
            <w:pPr>
              <w:rPr>
                <w:sz w:val="22"/>
                <w:szCs w:val="22"/>
                <w:lang w:val="sr-Latn-ME"/>
              </w:rPr>
            </w:pPr>
          </w:p>
        </w:tc>
        <w:tc>
          <w:tcPr>
            <w:tcW w:w="1576" w:type="dxa"/>
            <w:tcBorders>
              <w:top w:val="single" w:sz="4" w:space="0" w:color="auto"/>
              <w:left w:val="single" w:sz="4" w:space="0" w:color="auto"/>
              <w:bottom w:val="single" w:sz="4" w:space="0" w:color="auto"/>
              <w:right w:val="single" w:sz="4" w:space="0" w:color="auto"/>
            </w:tcBorders>
            <w:hideMark/>
          </w:tcPr>
          <w:p w14:paraId="28424CD6" w14:textId="77777777" w:rsidR="00785722" w:rsidRPr="00275456" w:rsidRDefault="00785722" w:rsidP="00A3401E">
            <w:pPr>
              <w:keepNext/>
              <w:tabs>
                <w:tab w:val="left" w:pos="284"/>
              </w:tabs>
              <w:autoSpaceDE w:val="0"/>
              <w:autoSpaceDN w:val="0"/>
              <w:adjustRightInd w:val="0"/>
              <w:jc w:val="center"/>
              <w:rPr>
                <w:sz w:val="22"/>
                <w:szCs w:val="22"/>
                <w:lang w:val="sr-Latn-ME"/>
              </w:rPr>
            </w:pPr>
            <w:r w:rsidRPr="00275456">
              <w:rPr>
                <w:sz w:val="22"/>
                <w:szCs w:val="22"/>
                <w:lang w:val="sr-Latn-ME"/>
              </w:rPr>
              <w:t>Placebo</w:t>
            </w:r>
          </w:p>
        </w:tc>
        <w:tc>
          <w:tcPr>
            <w:tcW w:w="1710" w:type="dxa"/>
            <w:tcBorders>
              <w:top w:val="single" w:sz="4" w:space="0" w:color="auto"/>
              <w:left w:val="single" w:sz="4" w:space="0" w:color="auto"/>
              <w:bottom w:val="single" w:sz="4" w:space="0" w:color="auto"/>
              <w:right w:val="single" w:sz="4" w:space="0" w:color="auto"/>
            </w:tcBorders>
            <w:hideMark/>
          </w:tcPr>
          <w:p w14:paraId="128A6F3C" w14:textId="77777777" w:rsidR="00785722" w:rsidRPr="00275456" w:rsidRDefault="00785722" w:rsidP="00A3401E">
            <w:pPr>
              <w:keepNext/>
              <w:tabs>
                <w:tab w:val="left" w:pos="284"/>
              </w:tabs>
              <w:autoSpaceDE w:val="0"/>
              <w:autoSpaceDN w:val="0"/>
              <w:adjustRightInd w:val="0"/>
              <w:jc w:val="center"/>
              <w:rPr>
                <w:sz w:val="22"/>
                <w:szCs w:val="22"/>
                <w:lang w:val="sr-Latn-ME"/>
              </w:rPr>
            </w:pPr>
            <w:r w:rsidRPr="00275456">
              <w:rPr>
                <w:sz w:val="22"/>
                <w:szCs w:val="22"/>
                <w:lang w:val="sr-Latn-ME"/>
              </w:rPr>
              <w:t>Simponi 50 mg</w:t>
            </w:r>
          </w:p>
        </w:tc>
        <w:tc>
          <w:tcPr>
            <w:tcW w:w="1530" w:type="dxa"/>
            <w:tcBorders>
              <w:top w:val="single" w:sz="4" w:space="0" w:color="auto"/>
              <w:left w:val="single" w:sz="4" w:space="0" w:color="auto"/>
              <w:bottom w:val="single" w:sz="4" w:space="0" w:color="auto"/>
              <w:right w:val="single" w:sz="4" w:space="0" w:color="auto"/>
            </w:tcBorders>
            <w:hideMark/>
          </w:tcPr>
          <w:p w14:paraId="63D9FAD4" w14:textId="77777777" w:rsidR="00785722" w:rsidRPr="00275456" w:rsidRDefault="00785722" w:rsidP="00A3401E">
            <w:pPr>
              <w:keepNext/>
              <w:tabs>
                <w:tab w:val="left" w:pos="284"/>
              </w:tabs>
              <w:autoSpaceDE w:val="0"/>
              <w:autoSpaceDN w:val="0"/>
              <w:adjustRightInd w:val="0"/>
              <w:jc w:val="center"/>
              <w:rPr>
                <w:sz w:val="22"/>
                <w:szCs w:val="22"/>
                <w:lang w:val="sr-Latn-ME"/>
              </w:rPr>
            </w:pPr>
            <w:r w:rsidRPr="00275456">
              <w:rPr>
                <w:sz w:val="22"/>
                <w:szCs w:val="22"/>
                <w:lang w:val="sr-Latn-ME"/>
              </w:rPr>
              <w:t>Placebo</w:t>
            </w:r>
          </w:p>
        </w:tc>
        <w:tc>
          <w:tcPr>
            <w:tcW w:w="1800" w:type="dxa"/>
            <w:tcBorders>
              <w:top w:val="single" w:sz="4" w:space="0" w:color="auto"/>
              <w:left w:val="single" w:sz="4" w:space="0" w:color="auto"/>
              <w:bottom w:val="single" w:sz="4" w:space="0" w:color="auto"/>
              <w:right w:val="single" w:sz="4" w:space="0" w:color="auto"/>
            </w:tcBorders>
            <w:hideMark/>
          </w:tcPr>
          <w:p w14:paraId="3C789366" w14:textId="77777777" w:rsidR="00785722" w:rsidRPr="00275456" w:rsidRDefault="00785722" w:rsidP="00A3401E">
            <w:pPr>
              <w:keepNext/>
              <w:tabs>
                <w:tab w:val="left" w:pos="284"/>
              </w:tabs>
              <w:autoSpaceDE w:val="0"/>
              <w:autoSpaceDN w:val="0"/>
              <w:adjustRightInd w:val="0"/>
              <w:jc w:val="center"/>
              <w:rPr>
                <w:sz w:val="22"/>
                <w:szCs w:val="22"/>
                <w:vertAlign w:val="superscript"/>
                <w:lang w:val="sr-Latn-ME"/>
              </w:rPr>
            </w:pPr>
            <w:r w:rsidRPr="00275456">
              <w:rPr>
                <w:sz w:val="22"/>
                <w:szCs w:val="22"/>
                <w:lang w:val="sr-Latn-ME"/>
              </w:rPr>
              <w:t>Simponi 50 mg</w:t>
            </w:r>
          </w:p>
        </w:tc>
      </w:tr>
      <w:tr w:rsidR="00785722" w:rsidRPr="00275456" w14:paraId="33A3F888" w14:textId="77777777" w:rsidTr="00A3401E">
        <w:trPr>
          <w:cantSplit/>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4AE8876B" w14:textId="77777777" w:rsidR="00785722" w:rsidRPr="00EA088A" w:rsidRDefault="00785722" w:rsidP="00A3401E">
            <w:pPr>
              <w:keepNext/>
              <w:tabs>
                <w:tab w:val="left" w:pos="284"/>
              </w:tabs>
              <w:autoSpaceDE w:val="0"/>
              <w:autoSpaceDN w:val="0"/>
              <w:adjustRightInd w:val="0"/>
              <w:jc w:val="right"/>
              <w:rPr>
                <w:sz w:val="22"/>
                <w:szCs w:val="22"/>
                <w:vertAlign w:val="superscript"/>
                <w:lang w:val="sr-Latn-ME"/>
              </w:rPr>
            </w:pPr>
            <w:r w:rsidRPr="00EA088A">
              <w:rPr>
                <w:sz w:val="22"/>
                <w:szCs w:val="22"/>
                <w:lang w:val="sr-Latn-ME"/>
              </w:rPr>
              <w:t>n</w:t>
            </w:r>
            <w:r w:rsidRPr="00EA088A">
              <w:rPr>
                <w:sz w:val="22"/>
                <w:szCs w:val="22"/>
                <w:vertAlign w:val="superscript"/>
                <w:lang w:val="sr-Latn-ME"/>
              </w:rPr>
              <w:t>a</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59FF580" w14:textId="77777777" w:rsidR="00785722" w:rsidRPr="00EA088A" w:rsidRDefault="00785722" w:rsidP="00A3401E">
            <w:pPr>
              <w:keepNext/>
              <w:tabs>
                <w:tab w:val="left" w:pos="284"/>
              </w:tabs>
              <w:autoSpaceDE w:val="0"/>
              <w:autoSpaceDN w:val="0"/>
              <w:adjustRightInd w:val="0"/>
              <w:jc w:val="center"/>
              <w:rPr>
                <w:sz w:val="22"/>
                <w:szCs w:val="22"/>
                <w:lang w:val="sr-Latn-ME"/>
              </w:rPr>
            </w:pPr>
            <w:r w:rsidRPr="00EA088A">
              <w:rPr>
                <w:sz w:val="22"/>
                <w:szCs w:val="22"/>
                <w:lang w:val="sr-Latn-ME"/>
              </w:rPr>
              <w:t>100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49A2356" w14:textId="77777777" w:rsidR="00785722" w:rsidRPr="00C9046D" w:rsidRDefault="00785722" w:rsidP="00A3401E">
            <w:pPr>
              <w:keepNext/>
              <w:tabs>
                <w:tab w:val="left" w:pos="284"/>
              </w:tabs>
              <w:autoSpaceDE w:val="0"/>
              <w:autoSpaceDN w:val="0"/>
              <w:adjustRightInd w:val="0"/>
              <w:jc w:val="center"/>
              <w:rPr>
                <w:sz w:val="22"/>
                <w:szCs w:val="22"/>
                <w:lang w:val="sr-Latn-ME"/>
              </w:rPr>
            </w:pPr>
            <w:r w:rsidRPr="00C9046D">
              <w:rPr>
                <w:sz w:val="22"/>
                <w:szCs w:val="22"/>
                <w:lang w:val="sr-Latn-ME"/>
              </w:rPr>
              <w:t>97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4A9366" w14:textId="77777777" w:rsidR="00785722" w:rsidRPr="00275456" w:rsidRDefault="00785722" w:rsidP="00A3401E">
            <w:pPr>
              <w:keepNext/>
              <w:tabs>
                <w:tab w:val="left" w:pos="284"/>
              </w:tabs>
              <w:autoSpaceDE w:val="0"/>
              <w:autoSpaceDN w:val="0"/>
              <w:adjustRightInd w:val="0"/>
              <w:jc w:val="center"/>
              <w:rPr>
                <w:sz w:val="22"/>
                <w:szCs w:val="22"/>
                <w:lang w:val="sr-Latn-ME"/>
              </w:rPr>
            </w:pPr>
            <w:r w:rsidRPr="00275456">
              <w:rPr>
                <w:sz w:val="22"/>
                <w:szCs w:val="22"/>
                <w:lang w:val="sr-Latn-ME"/>
              </w:rPr>
              <w:t>80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005A551" w14:textId="77777777" w:rsidR="00785722" w:rsidRPr="00275456" w:rsidRDefault="00785722" w:rsidP="00A3401E">
            <w:pPr>
              <w:keepNext/>
              <w:tabs>
                <w:tab w:val="left" w:pos="284"/>
              </w:tabs>
              <w:autoSpaceDE w:val="0"/>
              <w:autoSpaceDN w:val="0"/>
              <w:adjustRightInd w:val="0"/>
              <w:jc w:val="center"/>
              <w:rPr>
                <w:sz w:val="22"/>
                <w:szCs w:val="22"/>
                <w:lang w:val="sr-Latn-ME"/>
              </w:rPr>
            </w:pPr>
            <w:r w:rsidRPr="00275456">
              <w:rPr>
                <w:sz w:val="22"/>
                <w:szCs w:val="22"/>
                <w:lang w:val="sr-Latn-ME"/>
              </w:rPr>
              <w:t>78</w:t>
            </w:r>
          </w:p>
        </w:tc>
      </w:tr>
      <w:tr w:rsidR="00785722" w:rsidRPr="00275456" w14:paraId="04DD7F4A" w14:textId="77777777" w:rsidTr="00A3401E">
        <w:trPr>
          <w:cantSplit/>
          <w:jc w:val="center"/>
        </w:trPr>
        <w:tc>
          <w:tcPr>
            <w:tcW w:w="9107" w:type="dxa"/>
            <w:gridSpan w:val="5"/>
            <w:tcBorders>
              <w:top w:val="single" w:sz="4" w:space="0" w:color="auto"/>
              <w:left w:val="single" w:sz="4" w:space="0" w:color="auto"/>
              <w:bottom w:val="single" w:sz="4" w:space="0" w:color="auto"/>
              <w:right w:val="single" w:sz="4" w:space="0" w:color="auto"/>
            </w:tcBorders>
            <w:vAlign w:val="center"/>
            <w:hideMark/>
          </w:tcPr>
          <w:p w14:paraId="348246A9" w14:textId="77777777" w:rsidR="00785722" w:rsidRPr="00EA088A" w:rsidRDefault="00785722" w:rsidP="00A3401E">
            <w:pPr>
              <w:keepNext/>
              <w:tabs>
                <w:tab w:val="left" w:pos="284"/>
              </w:tabs>
              <w:autoSpaceDE w:val="0"/>
              <w:autoSpaceDN w:val="0"/>
              <w:adjustRightInd w:val="0"/>
              <w:jc w:val="both"/>
              <w:rPr>
                <w:b/>
                <w:sz w:val="22"/>
                <w:szCs w:val="22"/>
                <w:lang w:val="sr-Latn-ME"/>
              </w:rPr>
            </w:pPr>
            <w:r w:rsidRPr="00EA088A">
              <w:rPr>
                <w:b/>
                <w:bCs/>
                <w:sz w:val="22"/>
                <w:szCs w:val="22"/>
                <w:lang w:val="sr-Latn-ME"/>
              </w:rPr>
              <w:t>Pacijenti koji su odgovorili na liječenje, % pacijenata</w:t>
            </w:r>
          </w:p>
        </w:tc>
      </w:tr>
      <w:tr w:rsidR="00785722" w:rsidRPr="00275456" w14:paraId="5487F77E" w14:textId="77777777" w:rsidTr="00A3401E">
        <w:trPr>
          <w:cantSplit/>
          <w:jc w:val="center"/>
        </w:trPr>
        <w:tc>
          <w:tcPr>
            <w:tcW w:w="2491" w:type="dxa"/>
            <w:tcBorders>
              <w:top w:val="single" w:sz="4" w:space="0" w:color="auto"/>
              <w:left w:val="single" w:sz="4" w:space="0" w:color="auto"/>
              <w:bottom w:val="single" w:sz="4" w:space="0" w:color="auto"/>
              <w:right w:val="single" w:sz="4" w:space="0" w:color="auto"/>
            </w:tcBorders>
            <w:vAlign w:val="bottom"/>
            <w:hideMark/>
          </w:tcPr>
          <w:p w14:paraId="4068EEB5" w14:textId="77777777" w:rsidR="00785722" w:rsidRPr="00EA088A" w:rsidRDefault="00785722" w:rsidP="00A3401E">
            <w:pPr>
              <w:tabs>
                <w:tab w:val="left" w:pos="284"/>
              </w:tabs>
              <w:autoSpaceDE w:val="0"/>
              <w:autoSpaceDN w:val="0"/>
              <w:adjustRightInd w:val="0"/>
              <w:jc w:val="both"/>
              <w:rPr>
                <w:sz w:val="22"/>
                <w:szCs w:val="22"/>
                <w:lang w:val="sr-Latn-ME"/>
              </w:rPr>
            </w:pPr>
            <w:r w:rsidRPr="00EA088A">
              <w:rPr>
                <w:sz w:val="22"/>
                <w:szCs w:val="22"/>
                <w:lang w:val="sr-Latn-ME"/>
              </w:rPr>
              <w:t>ASAS 20</w:t>
            </w:r>
          </w:p>
        </w:tc>
        <w:tc>
          <w:tcPr>
            <w:tcW w:w="1576" w:type="dxa"/>
            <w:tcBorders>
              <w:top w:val="single" w:sz="4" w:space="0" w:color="auto"/>
              <w:left w:val="single" w:sz="4" w:space="0" w:color="auto"/>
              <w:bottom w:val="single" w:sz="4" w:space="0" w:color="auto"/>
              <w:right w:val="single" w:sz="4" w:space="0" w:color="auto"/>
            </w:tcBorders>
            <w:vAlign w:val="bottom"/>
            <w:hideMark/>
          </w:tcPr>
          <w:p w14:paraId="149A71C5" w14:textId="77777777" w:rsidR="00785722" w:rsidRPr="00EA088A" w:rsidRDefault="00785722" w:rsidP="00A3401E">
            <w:pPr>
              <w:tabs>
                <w:tab w:val="left" w:pos="284"/>
              </w:tabs>
              <w:autoSpaceDE w:val="0"/>
              <w:autoSpaceDN w:val="0"/>
              <w:adjustRightInd w:val="0"/>
              <w:jc w:val="center"/>
              <w:rPr>
                <w:sz w:val="22"/>
                <w:szCs w:val="22"/>
                <w:lang w:val="sr-Latn-ME"/>
              </w:rPr>
            </w:pPr>
            <w:r w:rsidRPr="00EA088A">
              <w:rPr>
                <w:sz w:val="22"/>
                <w:szCs w:val="22"/>
                <w:lang w:val="sr-Latn-ME"/>
              </w:rPr>
              <w:t>40%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40B4825" w14:textId="77777777" w:rsidR="00785722" w:rsidRPr="00C9046D" w:rsidRDefault="00785722" w:rsidP="00A3401E">
            <w:pPr>
              <w:tabs>
                <w:tab w:val="left" w:pos="284"/>
              </w:tabs>
              <w:autoSpaceDE w:val="0"/>
              <w:autoSpaceDN w:val="0"/>
              <w:adjustRightInd w:val="0"/>
              <w:jc w:val="center"/>
              <w:rPr>
                <w:sz w:val="22"/>
                <w:szCs w:val="22"/>
                <w:lang w:val="sr-Latn-ME"/>
              </w:rPr>
            </w:pPr>
            <w:r w:rsidRPr="00C9046D">
              <w:rPr>
                <w:sz w:val="22"/>
                <w:szCs w:val="22"/>
                <w:lang w:val="sr-Latn-ME"/>
              </w:rPr>
              <w:t>71%**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3FDB620C"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38%</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E4D3F73"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77%**</w:t>
            </w:r>
          </w:p>
        </w:tc>
      </w:tr>
      <w:tr w:rsidR="00785722" w:rsidRPr="00275456" w14:paraId="49920DC3" w14:textId="77777777" w:rsidTr="00A3401E">
        <w:trPr>
          <w:cantSplit/>
          <w:jc w:val="center"/>
        </w:trPr>
        <w:tc>
          <w:tcPr>
            <w:tcW w:w="2491" w:type="dxa"/>
            <w:tcBorders>
              <w:top w:val="single" w:sz="4" w:space="0" w:color="auto"/>
              <w:left w:val="single" w:sz="4" w:space="0" w:color="auto"/>
              <w:bottom w:val="single" w:sz="4" w:space="0" w:color="auto"/>
              <w:right w:val="single" w:sz="4" w:space="0" w:color="auto"/>
            </w:tcBorders>
            <w:vAlign w:val="bottom"/>
            <w:hideMark/>
          </w:tcPr>
          <w:p w14:paraId="7F2E7902" w14:textId="77777777" w:rsidR="00785722" w:rsidRPr="00EA088A" w:rsidRDefault="00785722" w:rsidP="00A3401E">
            <w:pPr>
              <w:tabs>
                <w:tab w:val="left" w:pos="284"/>
              </w:tabs>
              <w:autoSpaceDE w:val="0"/>
              <w:autoSpaceDN w:val="0"/>
              <w:adjustRightInd w:val="0"/>
              <w:jc w:val="both"/>
              <w:rPr>
                <w:sz w:val="22"/>
                <w:szCs w:val="22"/>
                <w:lang w:val="sr-Latn-ME"/>
              </w:rPr>
            </w:pPr>
            <w:r w:rsidRPr="00EA088A">
              <w:rPr>
                <w:sz w:val="22"/>
                <w:szCs w:val="22"/>
                <w:lang w:val="sr-Latn-ME"/>
              </w:rPr>
              <w:t>ASAS 40</w:t>
            </w:r>
          </w:p>
        </w:tc>
        <w:tc>
          <w:tcPr>
            <w:tcW w:w="1576" w:type="dxa"/>
            <w:tcBorders>
              <w:top w:val="single" w:sz="4" w:space="0" w:color="auto"/>
              <w:left w:val="single" w:sz="4" w:space="0" w:color="auto"/>
              <w:bottom w:val="single" w:sz="4" w:space="0" w:color="auto"/>
              <w:right w:val="single" w:sz="4" w:space="0" w:color="auto"/>
            </w:tcBorders>
            <w:vAlign w:val="bottom"/>
            <w:hideMark/>
          </w:tcPr>
          <w:p w14:paraId="34E53292" w14:textId="77777777" w:rsidR="00785722" w:rsidRPr="00EA088A" w:rsidRDefault="00785722" w:rsidP="00A3401E">
            <w:pPr>
              <w:tabs>
                <w:tab w:val="left" w:pos="284"/>
              </w:tabs>
              <w:autoSpaceDE w:val="0"/>
              <w:autoSpaceDN w:val="0"/>
              <w:adjustRightInd w:val="0"/>
              <w:jc w:val="center"/>
              <w:rPr>
                <w:sz w:val="22"/>
                <w:szCs w:val="22"/>
                <w:lang w:val="sr-Latn-ME"/>
              </w:rPr>
            </w:pPr>
            <w:r w:rsidRPr="00EA088A">
              <w:rPr>
                <w:sz w:val="22"/>
                <w:szCs w:val="22"/>
                <w:lang w:val="sr-Latn-ME"/>
              </w:rPr>
              <w:t>23%</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7D1D3CB" w14:textId="77777777" w:rsidR="00785722" w:rsidRPr="00C9046D" w:rsidRDefault="00785722" w:rsidP="00A3401E">
            <w:pPr>
              <w:tabs>
                <w:tab w:val="left" w:pos="284"/>
              </w:tabs>
              <w:autoSpaceDE w:val="0"/>
              <w:autoSpaceDN w:val="0"/>
              <w:adjustRightInd w:val="0"/>
              <w:jc w:val="center"/>
              <w:rPr>
                <w:sz w:val="22"/>
                <w:szCs w:val="22"/>
                <w:lang w:val="sr-Latn-ME"/>
              </w:rPr>
            </w:pPr>
            <w:r w:rsidRPr="00C9046D">
              <w:rPr>
                <w:sz w:val="22"/>
                <w:szCs w:val="22"/>
                <w:lang w:val="sr-Latn-ME"/>
              </w:rPr>
              <w:t>57%**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7B6FAE6"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23%</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1C40F77"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60%**</w:t>
            </w:r>
          </w:p>
        </w:tc>
      </w:tr>
      <w:tr w:rsidR="00785722" w:rsidRPr="00275456" w14:paraId="07D0AD8B" w14:textId="77777777" w:rsidTr="00A3401E">
        <w:trPr>
          <w:cantSplit/>
          <w:jc w:val="center"/>
        </w:trPr>
        <w:tc>
          <w:tcPr>
            <w:tcW w:w="2491" w:type="dxa"/>
            <w:tcBorders>
              <w:top w:val="single" w:sz="4" w:space="0" w:color="auto"/>
              <w:left w:val="single" w:sz="4" w:space="0" w:color="auto"/>
              <w:bottom w:val="single" w:sz="4" w:space="0" w:color="auto"/>
              <w:right w:val="single" w:sz="4" w:space="0" w:color="auto"/>
            </w:tcBorders>
            <w:vAlign w:val="bottom"/>
            <w:hideMark/>
          </w:tcPr>
          <w:p w14:paraId="0326E143" w14:textId="77777777" w:rsidR="00785722" w:rsidRPr="00EA088A" w:rsidRDefault="00785722" w:rsidP="00A3401E">
            <w:pPr>
              <w:tabs>
                <w:tab w:val="left" w:pos="284"/>
              </w:tabs>
              <w:autoSpaceDE w:val="0"/>
              <w:autoSpaceDN w:val="0"/>
              <w:adjustRightInd w:val="0"/>
              <w:jc w:val="both"/>
              <w:rPr>
                <w:sz w:val="22"/>
                <w:szCs w:val="22"/>
                <w:vertAlign w:val="superscript"/>
                <w:lang w:val="sr-Latn-ME"/>
              </w:rPr>
            </w:pPr>
            <w:r w:rsidRPr="00EA088A">
              <w:rPr>
                <w:sz w:val="22"/>
                <w:szCs w:val="22"/>
                <w:lang w:val="sr-Latn-ME"/>
              </w:rPr>
              <w:t>ASAS 5/6</w:t>
            </w:r>
            <w:r w:rsidRPr="00EA088A">
              <w:rPr>
                <w:sz w:val="22"/>
                <w:szCs w:val="22"/>
                <w:vertAlign w:val="superscript"/>
                <w:lang w:val="sr-Latn-ME"/>
              </w:rPr>
              <w:t xml:space="preserve"> </w:t>
            </w:r>
          </w:p>
        </w:tc>
        <w:tc>
          <w:tcPr>
            <w:tcW w:w="1576" w:type="dxa"/>
            <w:tcBorders>
              <w:top w:val="single" w:sz="4" w:space="0" w:color="auto"/>
              <w:left w:val="single" w:sz="4" w:space="0" w:color="auto"/>
              <w:bottom w:val="single" w:sz="4" w:space="0" w:color="auto"/>
              <w:right w:val="single" w:sz="4" w:space="0" w:color="auto"/>
            </w:tcBorders>
            <w:vAlign w:val="bottom"/>
            <w:hideMark/>
          </w:tcPr>
          <w:p w14:paraId="059C7EA4" w14:textId="77777777" w:rsidR="00785722" w:rsidRPr="00EA088A" w:rsidRDefault="00785722" w:rsidP="00A3401E">
            <w:pPr>
              <w:tabs>
                <w:tab w:val="left" w:pos="284"/>
              </w:tabs>
              <w:autoSpaceDE w:val="0"/>
              <w:autoSpaceDN w:val="0"/>
              <w:adjustRightInd w:val="0"/>
              <w:jc w:val="center"/>
              <w:rPr>
                <w:sz w:val="22"/>
                <w:szCs w:val="22"/>
                <w:lang w:val="sr-Latn-ME"/>
              </w:rPr>
            </w:pPr>
            <w:r w:rsidRPr="00EA088A">
              <w:rPr>
                <w:sz w:val="22"/>
                <w:szCs w:val="22"/>
                <w:lang w:val="sr-Latn-ME"/>
              </w:rPr>
              <w:t>23%</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FB30F01" w14:textId="77777777" w:rsidR="00785722" w:rsidRPr="00C9046D" w:rsidRDefault="00785722" w:rsidP="00A3401E">
            <w:pPr>
              <w:tabs>
                <w:tab w:val="left" w:pos="284"/>
              </w:tabs>
              <w:autoSpaceDE w:val="0"/>
              <w:autoSpaceDN w:val="0"/>
              <w:adjustRightInd w:val="0"/>
              <w:jc w:val="center"/>
              <w:rPr>
                <w:sz w:val="22"/>
                <w:szCs w:val="22"/>
                <w:lang w:val="sr-Latn-ME"/>
              </w:rPr>
            </w:pPr>
            <w:r w:rsidRPr="00C9046D">
              <w:rPr>
                <w:sz w:val="22"/>
                <w:szCs w:val="22"/>
                <w:lang w:val="sr-Latn-ME"/>
              </w:rPr>
              <w:t>54%**</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3537763"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23%</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418004E"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63%**</w:t>
            </w:r>
          </w:p>
        </w:tc>
      </w:tr>
      <w:tr w:rsidR="00785722" w:rsidRPr="00275456" w14:paraId="7664AFBE" w14:textId="77777777" w:rsidTr="00A3401E">
        <w:trPr>
          <w:cantSplit/>
          <w:jc w:val="center"/>
        </w:trPr>
        <w:tc>
          <w:tcPr>
            <w:tcW w:w="2491" w:type="dxa"/>
            <w:tcBorders>
              <w:top w:val="single" w:sz="4" w:space="0" w:color="auto"/>
              <w:left w:val="single" w:sz="4" w:space="0" w:color="auto"/>
              <w:bottom w:val="single" w:sz="4" w:space="0" w:color="auto"/>
              <w:right w:val="single" w:sz="4" w:space="0" w:color="auto"/>
            </w:tcBorders>
            <w:vAlign w:val="bottom"/>
            <w:hideMark/>
          </w:tcPr>
          <w:p w14:paraId="6B9E74FA" w14:textId="77777777" w:rsidR="00785722" w:rsidRPr="00EA088A" w:rsidRDefault="00785722" w:rsidP="00A3401E">
            <w:pPr>
              <w:tabs>
                <w:tab w:val="left" w:pos="284"/>
              </w:tabs>
              <w:autoSpaceDE w:val="0"/>
              <w:autoSpaceDN w:val="0"/>
              <w:adjustRightInd w:val="0"/>
              <w:jc w:val="both"/>
              <w:rPr>
                <w:sz w:val="22"/>
                <w:szCs w:val="22"/>
                <w:lang w:val="sr-Latn-ME"/>
              </w:rPr>
            </w:pPr>
            <w:r w:rsidRPr="00EA088A">
              <w:rPr>
                <w:sz w:val="22"/>
                <w:szCs w:val="22"/>
                <w:lang w:val="sr-Latn-ME"/>
              </w:rPr>
              <w:t>ASAS parcijalna remisija</w:t>
            </w:r>
          </w:p>
        </w:tc>
        <w:tc>
          <w:tcPr>
            <w:tcW w:w="1576" w:type="dxa"/>
            <w:tcBorders>
              <w:top w:val="single" w:sz="4" w:space="0" w:color="auto"/>
              <w:left w:val="single" w:sz="4" w:space="0" w:color="auto"/>
              <w:bottom w:val="single" w:sz="4" w:space="0" w:color="auto"/>
              <w:right w:val="single" w:sz="4" w:space="0" w:color="auto"/>
            </w:tcBorders>
            <w:vAlign w:val="bottom"/>
            <w:hideMark/>
          </w:tcPr>
          <w:p w14:paraId="38FA7F9A" w14:textId="77777777" w:rsidR="00785722" w:rsidRPr="00EA088A" w:rsidRDefault="00785722" w:rsidP="00A3401E">
            <w:pPr>
              <w:tabs>
                <w:tab w:val="left" w:pos="284"/>
              </w:tabs>
              <w:autoSpaceDE w:val="0"/>
              <w:autoSpaceDN w:val="0"/>
              <w:adjustRightInd w:val="0"/>
              <w:jc w:val="center"/>
              <w:rPr>
                <w:sz w:val="22"/>
                <w:szCs w:val="22"/>
                <w:lang w:val="sr-Latn-ME"/>
              </w:rPr>
            </w:pPr>
            <w:r w:rsidRPr="00EA088A">
              <w:rPr>
                <w:sz w:val="22"/>
                <w:szCs w:val="22"/>
                <w:lang w:val="sr-Latn-ME"/>
              </w:rPr>
              <w:t>18%</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CFDF642" w14:textId="77777777" w:rsidR="00785722" w:rsidRPr="00C9046D" w:rsidRDefault="00785722" w:rsidP="00A3401E">
            <w:pPr>
              <w:tabs>
                <w:tab w:val="left" w:pos="284"/>
              </w:tabs>
              <w:autoSpaceDE w:val="0"/>
              <w:autoSpaceDN w:val="0"/>
              <w:adjustRightInd w:val="0"/>
              <w:jc w:val="center"/>
              <w:rPr>
                <w:sz w:val="22"/>
                <w:szCs w:val="22"/>
                <w:lang w:val="sr-Latn-ME"/>
              </w:rPr>
            </w:pPr>
            <w:r w:rsidRPr="00C9046D">
              <w:rPr>
                <w:sz w:val="22"/>
                <w:szCs w:val="22"/>
                <w:lang w:val="sr-Latn-ME"/>
              </w:rPr>
              <w:t>33%*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35DD2E79"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19%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14CB266"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35%*</w:t>
            </w:r>
          </w:p>
        </w:tc>
      </w:tr>
      <w:tr w:rsidR="00785722" w:rsidRPr="00275456" w14:paraId="6A856F80" w14:textId="77777777" w:rsidTr="00A3401E">
        <w:trPr>
          <w:cantSplit/>
          <w:jc w:val="center"/>
        </w:trPr>
        <w:tc>
          <w:tcPr>
            <w:tcW w:w="2491" w:type="dxa"/>
            <w:tcBorders>
              <w:top w:val="single" w:sz="4" w:space="0" w:color="auto"/>
              <w:left w:val="single" w:sz="4" w:space="0" w:color="auto"/>
              <w:bottom w:val="single" w:sz="4" w:space="0" w:color="auto"/>
              <w:right w:val="single" w:sz="4" w:space="0" w:color="auto"/>
            </w:tcBorders>
            <w:vAlign w:val="bottom"/>
            <w:hideMark/>
          </w:tcPr>
          <w:p w14:paraId="0FB7112D" w14:textId="77777777" w:rsidR="00785722" w:rsidRPr="00C9046D" w:rsidRDefault="00785722" w:rsidP="00A3401E">
            <w:pPr>
              <w:tabs>
                <w:tab w:val="left" w:pos="284"/>
              </w:tabs>
              <w:autoSpaceDE w:val="0"/>
              <w:autoSpaceDN w:val="0"/>
              <w:adjustRightInd w:val="0"/>
              <w:jc w:val="both"/>
              <w:rPr>
                <w:sz w:val="22"/>
                <w:szCs w:val="22"/>
                <w:lang w:val="sr-Latn-ME"/>
              </w:rPr>
            </w:pPr>
            <w:r w:rsidRPr="00EA088A">
              <w:rPr>
                <w:sz w:val="22"/>
                <w:szCs w:val="22"/>
                <w:lang w:val="sr-Latn-ME"/>
              </w:rPr>
              <w:t>ASDAS-C</w:t>
            </w:r>
            <w:r w:rsidRPr="00EA088A">
              <w:rPr>
                <w:sz w:val="22"/>
                <w:szCs w:val="22"/>
                <w:vertAlign w:val="superscript"/>
                <w:lang w:val="sr-Latn-ME"/>
              </w:rPr>
              <w:t xml:space="preserve"> b</w:t>
            </w:r>
            <w:r w:rsidRPr="00EA088A">
              <w:rPr>
                <w:sz w:val="22"/>
                <w:szCs w:val="22"/>
                <w:lang w:val="sr-Latn-ME"/>
              </w:rPr>
              <w:t xml:space="preserve"> &lt; 1.3</w:t>
            </w:r>
            <w:r w:rsidRPr="00EA088A">
              <w:rPr>
                <w:sz w:val="22"/>
                <w:szCs w:val="22"/>
                <w:vertAlign w:val="superscript"/>
                <w:lang w:val="sr-Latn-ME"/>
              </w:rPr>
              <w:t xml:space="preserve"> </w:t>
            </w:r>
          </w:p>
        </w:tc>
        <w:tc>
          <w:tcPr>
            <w:tcW w:w="1576" w:type="dxa"/>
            <w:tcBorders>
              <w:top w:val="single" w:sz="4" w:space="0" w:color="auto"/>
              <w:left w:val="single" w:sz="4" w:space="0" w:color="auto"/>
              <w:bottom w:val="single" w:sz="4" w:space="0" w:color="auto"/>
              <w:right w:val="single" w:sz="4" w:space="0" w:color="auto"/>
            </w:tcBorders>
            <w:vAlign w:val="bottom"/>
            <w:hideMark/>
          </w:tcPr>
          <w:p w14:paraId="7D1AA1D1"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13%</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1BED128"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33%*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06A9352"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16%</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3A27593"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35%*</w:t>
            </w:r>
          </w:p>
        </w:tc>
      </w:tr>
      <w:tr w:rsidR="00785722" w:rsidRPr="00275456" w14:paraId="7E3ADBA3" w14:textId="77777777" w:rsidTr="00A3401E">
        <w:trPr>
          <w:cantSplit/>
          <w:jc w:val="center"/>
        </w:trPr>
        <w:tc>
          <w:tcPr>
            <w:tcW w:w="2491" w:type="dxa"/>
            <w:tcBorders>
              <w:top w:val="single" w:sz="4" w:space="0" w:color="auto"/>
              <w:left w:val="single" w:sz="4" w:space="0" w:color="auto"/>
              <w:bottom w:val="single" w:sz="4" w:space="0" w:color="auto"/>
              <w:right w:val="single" w:sz="4" w:space="0" w:color="auto"/>
            </w:tcBorders>
            <w:vAlign w:val="bottom"/>
            <w:hideMark/>
          </w:tcPr>
          <w:p w14:paraId="1C137F4F" w14:textId="77777777" w:rsidR="00785722" w:rsidRPr="00EA088A" w:rsidRDefault="00785722" w:rsidP="00A3401E">
            <w:pPr>
              <w:tabs>
                <w:tab w:val="left" w:pos="284"/>
              </w:tabs>
              <w:autoSpaceDE w:val="0"/>
              <w:autoSpaceDN w:val="0"/>
              <w:adjustRightInd w:val="0"/>
              <w:jc w:val="both"/>
              <w:rPr>
                <w:sz w:val="22"/>
                <w:szCs w:val="22"/>
                <w:lang w:val="sr-Latn-ME"/>
              </w:rPr>
            </w:pPr>
            <w:r w:rsidRPr="00EA088A">
              <w:rPr>
                <w:sz w:val="22"/>
                <w:szCs w:val="22"/>
                <w:lang w:val="sr-Latn-ME"/>
              </w:rPr>
              <w:t>BASDAI 50</w:t>
            </w:r>
          </w:p>
        </w:tc>
        <w:tc>
          <w:tcPr>
            <w:tcW w:w="1576" w:type="dxa"/>
            <w:tcBorders>
              <w:top w:val="single" w:sz="4" w:space="0" w:color="auto"/>
              <w:left w:val="single" w:sz="4" w:space="0" w:color="auto"/>
              <w:bottom w:val="single" w:sz="4" w:space="0" w:color="auto"/>
              <w:right w:val="single" w:sz="4" w:space="0" w:color="auto"/>
            </w:tcBorders>
            <w:vAlign w:val="bottom"/>
            <w:hideMark/>
          </w:tcPr>
          <w:p w14:paraId="3307AC34" w14:textId="77777777" w:rsidR="00785722" w:rsidRPr="00EA088A" w:rsidRDefault="00785722" w:rsidP="00A3401E">
            <w:pPr>
              <w:tabs>
                <w:tab w:val="left" w:pos="284"/>
              </w:tabs>
              <w:autoSpaceDE w:val="0"/>
              <w:autoSpaceDN w:val="0"/>
              <w:adjustRightInd w:val="0"/>
              <w:jc w:val="center"/>
              <w:rPr>
                <w:sz w:val="22"/>
                <w:szCs w:val="22"/>
                <w:lang w:val="sr-Latn-ME"/>
              </w:rPr>
            </w:pPr>
            <w:r w:rsidRPr="00EA088A">
              <w:rPr>
                <w:sz w:val="22"/>
                <w:szCs w:val="22"/>
                <w:lang w:val="sr-Latn-ME"/>
              </w:rPr>
              <w:t>30%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8660AB3" w14:textId="77777777" w:rsidR="00785722" w:rsidRPr="00C9046D" w:rsidRDefault="00785722" w:rsidP="00A3401E">
            <w:pPr>
              <w:tabs>
                <w:tab w:val="left" w:pos="284"/>
              </w:tabs>
              <w:autoSpaceDE w:val="0"/>
              <w:autoSpaceDN w:val="0"/>
              <w:adjustRightInd w:val="0"/>
              <w:jc w:val="center"/>
              <w:rPr>
                <w:sz w:val="22"/>
                <w:szCs w:val="22"/>
                <w:lang w:val="sr-Latn-ME"/>
              </w:rPr>
            </w:pPr>
            <w:r w:rsidRPr="00C9046D">
              <w:rPr>
                <w:sz w:val="22"/>
                <w:szCs w:val="22"/>
                <w:lang w:val="sr-Latn-ME"/>
              </w:rPr>
              <w:t>58%**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DB55DA1"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29%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1D5B2D9"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t>59%**</w:t>
            </w:r>
          </w:p>
        </w:tc>
      </w:tr>
      <w:tr w:rsidR="00785722" w:rsidRPr="00275456" w14:paraId="789AD6A2" w14:textId="77777777" w:rsidTr="00A3401E">
        <w:trPr>
          <w:cantSplit/>
          <w:jc w:val="center"/>
        </w:trPr>
        <w:tc>
          <w:tcPr>
            <w:tcW w:w="9107" w:type="dxa"/>
            <w:gridSpan w:val="5"/>
            <w:tcBorders>
              <w:top w:val="single" w:sz="4" w:space="0" w:color="auto"/>
              <w:left w:val="single" w:sz="4" w:space="0" w:color="auto"/>
              <w:bottom w:val="single" w:sz="4" w:space="0" w:color="auto"/>
              <w:right w:val="single" w:sz="4" w:space="0" w:color="auto"/>
            </w:tcBorders>
            <w:vAlign w:val="bottom"/>
            <w:hideMark/>
          </w:tcPr>
          <w:p w14:paraId="3308EDE2" w14:textId="77777777" w:rsidR="00785722" w:rsidRPr="00EA088A" w:rsidRDefault="00785722" w:rsidP="00A3401E">
            <w:pPr>
              <w:keepNext/>
              <w:tabs>
                <w:tab w:val="left" w:pos="284"/>
              </w:tabs>
              <w:autoSpaceDE w:val="0"/>
              <w:autoSpaceDN w:val="0"/>
              <w:adjustRightInd w:val="0"/>
              <w:jc w:val="center"/>
              <w:rPr>
                <w:b/>
                <w:sz w:val="22"/>
                <w:szCs w:val="22"/>
                <w:lang w:val="sr-Latn-ME"/>
              </w:rPr>
            </w:pPr>
            <w:r w:rsidRPr="00EA088A">
              <w:rPr>
                <w:b/>
                <w:sz w:val="22"/>
                <w:szCs w:val="22"/>
                <w:lang w:val="sr-Latn-ME"/>
              </w:rPr>
              <w:t>Inhibicija inflamacije u sakroilijačnim zglobovima mjereno preko MRI</w:t>
            </w:r>
          </w:p>
        </w:tc>
      </w:tr>
      <w:tr w:rsidR="00785722" w:rsidRPr="00275456" w14:paraId="6D54FA41" w14:textId="77777777" w:rsidTr="00A3401E">
        <w:trPr>
          <w:cantSplit/>
          <w:jc w:val="center"/>
        </w:trPr>
        <w:tc>
          <w:tcPr>
            <w:tcW w:w="2491" w:type="dxa"/>
            <w:tcBorders>
              <w:top w:val="single" w:sz="4" w:space="0" w:color="auto"/>
              <w:left w:val="single" w:sz="4" w:space="0" w:color="auto"/>
              <w:bottom w:val="single" w:sz="4" w:space="0" w:color="auto"/>
              <w:right w:val="single" w:sz="4" w:space="0" w:color="auto"/>
            </w:tcBorders>
            <w:vAlign w:val="bottom"/>
          </w:tcPr>
          <w:p w14:paraId="6728F564" w14:textId="77777777" w:rsidR="00785722" w:rsidRPr="00EA088A" w:rsidRDefault="00785722" w:rsidP="00A3401E">
            <w:pPr>
              <w:keepNext/>
              <w:tabs>
                <w:tab w:val="left" w:pos="284"/>
              </w:tabs>
              <w:autoSpaceDE w:val="0"/>
              <w:autoSpaceDN w:val="0"/>
              <w:adjustRightInd w:val="0"/>
              <w:jc w:val="center"/>
              <w:rPr>
                <w:sz w:val="22"/>
                <w:szCs w:val="22"/>
                <w:lang w:val="sr-Latn-ME"/>
              </w:rPr>
            </w:pPr>
          </w:p>
        </w:tc>
        <w:tc>
          <w:tcPr>
            <w:tcW w:w="1576" w:type="dxa"/>
            <w:tcBorders>
              <w:top w:val="single" w:sz="4" w:space="0" w:color="auto"/>
              <w:left w:val="single" w:sz="4" w:space="0" w:color="auto"/>
              <w:bottom w:val="single" w:sz="4" w:space="0" w:color="auto"/>
              <w:right w:val="single" w:sz="4" w:space="0" w:color="auto"/>
            </w:tcBorders>
            <w:vAlign w:val="bottom"/>
            <w:hideMark/>
          </w:tcPr>
          <w:p w14:paraId="295AF6F0" w14:textId="77777777" w:rsidR="00785722" w:rsidRPr="00EA088A" w:rsidRDefault="00785722" w:rsidP="00A3401E">
            <w:pPr>
              <w:keepNext/>
              <w:tabs>
                <w:tab w:val="left" w:pos="284"/>
              </w:tabs>
              <w:autoSpaceDE w:val="0"/>
              <w:autoSpaceDN w:val="0"/>
              <w:adjustRightInd w:val="0"/>
              <w:jc w:val="center"/>
              <w:rPr>
                <w:sz w:val="22"/>
                <w:szCs w:val="22"/>
                <w:lang w:val="sr-Latn-ME"/>
              </w:rPr>
            </w:pPr>
            <w:r w:rsidRPr="00EA088A">
              <w:rPr>
                <w:sz w:val="22"/>
                <w:szCs w:val="22"/>
                <w:lang w:val="sr-Latn-ME"/>
              </w:rPr>
              <w:t>Placebo</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1C02776" w14:textId="77777777" w:rsidR="00785722" w:rsidRPr="00C9046D" w:rsidRDefault="00785722" w:rsidP="00A3401E">
            <w:pPr>
              <w:keepNext/>
              <w:tabs>
                <w:tab w:val="left" w:pos="284"/>
              </w:tabs>
              <w:autoSpaceDE w:val="0"/>
              <w:autoSpaceDN w:val="0"/>
              <w:adjustRightInd w:val="0"/>
              <w:jc w:val="center"/>
              <w:rPr>
                <w:sz w:val="22"/>
                <w:szCs w:val="22"/>
                <w:lang w:val="sr-Latn-ME"/>
              </w:rPr>
            </w:pPr>
            <w:r w:rsidRPr="00C9046D">
              <w:rPr>
                <w:sz w:val="22"/>
                <w:szCs w:val="22"/>
                <w:lang w:val="sr-Latn-ME"/>
              </w:rPr>
              <w:t>Simponi 50 mg</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3B69E46" w14:textId="77777777" w:rsidR="00785722" w:rsidRPr="00275456" w:rsidRDefault="00785722" w:rsidP="00A3401E">
            <w:pPr>
              <w:keepNext/>
              <w:tabs>
                <w:tab w:val="left" w:pos="284"/>
              </w:tabs>
              <w:autoSpaceDE w:val="0"/>
              <w:autoSpaceDN w:val="0"/>
              <w:adjustRightInd w:val="0"/>
              <w:jc w:val="center"/>
              <w:rPr>
                <w:sz w:val="22"/>
                <w:szCs w:val="22"/>
                <w:lang w:val="sr-Latn-ME"/>
              </w:rPr>
            </w:pPr>
            <w:r w:rsidRPr="00275456">
              <w:rPr>
                <w:sz w:val="22"/>
                <w:szCs w:val="22"/>
                <w:lang w:val="sr-Latn-ME"/>
              </w:rPr>
              <w:t>Placebo</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FE2DD69" w14:textId="77777777" w:rsidR="00785722" w:rsidRPr="00275456" w:rsidRDefault="00785722" w:rsidP="00A3401E">
            <w:pPr>
              <w:keepNext/>
              <w:tabs>
                <w:tab w:val="left" w:pos="284"/>
              </w:tabs>
              <w:autoSpaceDE w:val="0"/>
              <w:autoSpaceDN w:val="0"/>
              <w:adjustRightInd w:val="0"/>
              <w:jc w:val="center"/>
              <w:rPr>
                <w:sz w:val="22"/>
                <w:szCs w:val="22"/>
                <w:lang w:val="sr-Latn-ME"/>
              </w:rPr>
            </w:pPr>
            <w:r w:rsidRPr="00275456">
              <w:rPr>
                <w:sz w:val="22"/>
                <w:szCs w:val="22"/>
                <w:lang w:val="sr-Latn-ME"/>
              </w:rPr>
              <w:t>Simponi 50 mg</w:t>
            </w:r>
          </w:p>
        </w:tc>
      </w:tr>
      <w:tr w:rsidR="00785722" w:rsidRPr="00275456" w14:paraId="39537B51" w14:textId="77777777" w:rsidTr="00A3401E">
        <w:trPr>
          <w:cantSplit/>
          <w:jc w:val="center"/>
        </w:trPr>
        <w:tc>
          <w:tcPr>
            <w:tcW w:w="2491" w:type="dxa"/>
            <w:tcBorders>
              <w:top w:val="single" w:sz="4" w:space="0" w:color="auto"/>
              <w:left w:val="single" w:sz="4" w:space="0" w:color="auto"/>
              <w:bottom w:val="single" w:sz="4" w:space="0" w:color="auto"/>
              <w:right w:val="single" w:sz="4" w:space="0" w:color="auto"/>
            </w:tcBorders>
            <w:vAlign w:val="bottom"/>
            <w:hideMark/>
          </w:tcPr>
          <w:p w14:paraId="70118C37" w14:textId="77777777" w:rsidR="00785722" w:rsidRPr="00EA088A" w:rsidRDefault="00785722" w:rsidP="00A3401E">
            <w:pPr>
              <w:keepNext/>
              <w:tabs>
                <w:tab w:val="left" w:pos="284"/>
              </w:tabs>
              <w:autoSpaceDE w:val="0"/>
              <w:autoSpaceDN w:val="0"/>
              <w:adjustRightInd w:val="0"/>
              <w:jc w:val="right"/>
              <w:rPr>
                <w:sz w:val="22"/>
                <w:szCs w:val="22"/>
                <w:vertAlign w:val="superscript"/>
                <w:lang w:val="sr-Latn-ME"/>
              </w:rPr>
            </w:pPr>
            <w:r w:rsidRPr="00EA088A">
              <w:rPr>
                <w:sz w:val="22"/>
                <w:szCs w:val="22"/>
                <w:lang w:val="sr-Latn-ME"/>
              </w:rPr>
              <w:t xml:space="preserve">n </w:t>
            </w:r>
            <w:r w:rsidRPr="00EA088A">
              <w:rPr>
                <w:sz w:val="22"/>
                <w:szCs w:val="22"/>
                <w:vertAlign w:val="superscript"/>
                <w:lang w:val="sr-Latn-ME"/>
              </w:rPr>
              <w:t>C</w:t>
            </w:r>
          </w:p>
        </w:tc>
        <w:tc>
          <w:tcPr>
            <w:tcW w:w="1576" w:type="dxa"/>
            <w:tcBorders>
              <w:top w:val="single" w:sz="4" w:space="0" w:color="auto"/>
              <w:left w:val="single" w:sz="4" w:space="0" w:color="auto"/>
              <w:bottom w:val="single" w:sz="4" w:space="0" w:color="auto"/>
              <w:right w:val="single" w:sz="4" w:space="0" w:color="auto"/>
            </w:tcBorders>
            <w:vAlign w:val="bottom"/>
            <w:hideMark/>
          </w:tcPr>
          <w:p w14:paraId="6C3D1CE1" w14:textId="77777777" w:rsidR="00785722" w:rsidRPr="00EA088A" w:rsidRDefault="00785722" w:rsidP="00A3401E">
            <w:pPr>
              <w:keepNext/>
              <w:tabs>
                <w:tab w:val="left" w:pos="284"/>
              </w:tabs>
              <w:autoSpaceDE w:val="0"/>
              <w:autoSpaceDN w:val="0"/>
              <w:adjustRightInd w:val="0"/>
              <w:jc w:val="center"/>
              <w:rPr>
                <w:sz w:val="22"/>
                <w:szCs w:val="22"/>
                <w:lang w:val="sr-Latn-ME"/>
              </w:rPr>
            </w:pPr>
            <w:r w:rsidRPr="00EA088A">
              <w:rPr>
                <w:sz w:val="22"/>
                <w:szCs w:val="22"/>
                <w:lang w:val="sr-Latn-ME"/>
              </w:rPr>
              <w:t>87</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F89CA29" w14:textId="77777777" w:rsidR="00785722" w:rsidRPr="00C9046D" w:rsidRDefault="00785722" w:rsidP="00A3401E">
            <w:pPr>
              <w:keepNext/>
              <w:tabs>
                <w:tab w:val="left" w:pos="284"/>
              </w:tabs>
              <w:autoSpaceDE w:val="0"/>
              <w:autoSpaceDN w:val="0"/>
              <w:adjustRightInd w:val="0"/>
              <w:jc w:val="center"/>
              <w:rPr>
                <w:sz w:val="22"/>
                <w:szCs w:val="22"/>
                <w:lang w:val="sr-Latn-ME"/>
              </w:rPr>
            </w:pPr>
            <w:r w:rsidRPr="00C9046D">
              <w:rPr>
                <w:sz w:val="22"/>
                <w:szCs w:val="22"/>
                <w:lang w:val="sr-Latn-ME"/>
              </w:rPr>
              <w:t>74</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41D92C9" w14:textId="77777777" w:rsidR="00785722" w:rsidRPr="00275456" w:rsidRDefault="00785722" w:rsidP="00A3401E">
            <w:pPr>
              <w:keepNext/>
              <w:tabs>
                <w:tab w:val="left" w:pos="284"/>
              </w:tabs>
              <w:autoSpaceDE w:val="0"/>
              <w:autoSpaceDN w:val="0"/>
              <w:adjustRightInd w:val="0"/>
              <w:jc w:val="center"/>
              <w:rPr>
                <w:sz w:val="22"/>
                <w:szCs w:val="22"/>
                <w:lang w:val="sr-Latn-ME"/>
              </w:rPr>
            </w:pPr>
            <w:r w:rsidRPr="00275456">
              <w:rPr>
                <w:sz w:val="22"/>
                <w:szCs w:val="22"/>
                <w:lang w:val="sr-Latn-ME"/>
              </w:rPr>
              <w:t>69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D9507A7" w14:textId="77777777" w:rsidR="00785722" w:rsidRPr="00275456" w:rsidRDefault="00785722" w:rsidP="00A3401E">
            <w:pPr>
              <w:keepNext/>
              <w:tabs>
                <w:tab w:val="left" w:pos="284"/>
              </w:tabs>
              <w:autoSpaceDE w:val="0"/>
              <w:autoSpaceDN w:val="0"/>
              <w:adjustRightInd w:val="0"/>
              <w:jc w:val="center"/>
              <w:rPr>
                <w:sz w:val="22"/>
                <w:szCs w:val="22"/>
                <w:lang w:val="sr-Latn-ME"/>
              </w:rPr>
            </w:pPr>
            <w:r w:rsidRPr="00275456">
              <w:rPr>
                <w:sz w:val="22"/>
                <w:szCs w:val="22"/>
                <w:lang w:val="sr-Latn-ME"/>
              </w:rPr>
              <w:t>61</w:t>
            </w:r>
          </w:p>
        </w:tc>
      </w:tr>
      <w:tr w:rsidR="00785722" w:rsidRPr="00275456" w14:paraId="3CE0A3D8" w14:textId="77777777" w:rsidTr="00A3401E">
        <w:trPr>
          <w:cantSplit/>
          <w:jc w:val="center"/>
        </w:trPr>
        <w:tc>
          <w:tcPr>
            <w:tcW w:w="2491" w:type="dxa"/>
            <w:tcBorders>
              <w:top w:val="single" w:sz="4" w:space="0" w:color="auto"/>
              <w:left w:val="single" w:sz="4" w:space="0" w:color="auto"/>
              <w:bottom w:val="single" w:sz="4" w:space="0" w:color="auto"/>
              <w:right w:val="single" w:sz="4" w:space="0" w:color="auto"/>
            </w:tcBorders>
            <w:vAlign w:val="bottom"/>
            <w:hideMark/>
          </w:tcPr>
          <w:p w14:paraId="52AEB09C" w14:textId="77777777" w:rsidR="00785722" w:rsidRPr="00EA088A" w:rsidRDefault="00785722" w:rsidP="00A3401E">
            <w:pPr>
              <w:autoSpaceDE w:val="0"/>
              <w:autoSpaceDN w:val="0"/>
              <w:adjustRightInd w:val="0"/>
              <w:rPr>
                <w:sz w:val="22"/>
                <w:szCs w:val="22"/>
                <w:lang w:val="sr-Latn-ME"/>
              </w:rPr>
            </w:pPr>
            <w:r w:rsidRPr="00EA088A">
              <w:rPr>
                <w:sz w:val="22"/>
                <w:szCs w:val="22"/>
                <w:lang w:val="sr-Latn-ME"/>
              </w:rPr>
              <w:t>Srednja promjena u SPARCC</w:t>
            </w:r>
            <w:r w:rsidRPr="00EA088A">
              <w:rPr>
                <w:sz w:val="22"/>
                <w:szCs w:val="22"/>
                <w:vertAlign w:val="superscript"/>
                <w:lang w:val="sr-Latn-ME"/>
              </w:rPr>
              <w:t xml:space="preserve">d </w:t>
            </w:r>
            <w:r w:rsidRPr="00EA088A">
              <w:rPr>
                <w:sz w:val="22"/>
                <w:szCs w:val="22"/>
                <w:lang w:val="sr-Latn-ME"/>
              </w:rPr>
              <w:t>MRI</w:t>
            </w:r>
          </w:p>
          <w:p w14:paraId="12BA36E1" w14:textId="77777777" w:rsidR="00785722" w:rsidRPr="00C9046D" w:rsidRDefault="00785722" w:rsidP="00A3401E">
            <w:pPr>
              <w:tabs>
                <w:tab w:val="left" w:pos="284"/>
              </w:tabs>
              <w:autoSpaceDE w:val="0"/>
              <w:autoSpaceDN w:val="0"/>
              <w:adjustRightInd w:val="0"/>
              <w:rPr>
                <w:sz w:val="22"/>
                <w:szCs w:val="22"/>
                <w:vertAlign w:val="superscript"/>
                <w:lang w:val="sr-Latn-ME"/>
              </w:rPr>
            </w:pPr>
            <w:r w:rsidRPr="00C9046D">
              <w:rPr>
                <w:sz w:val="22"/>
                <w:szCs w:val="22"/>
                <w:lang w:val="sr-Latn-ME"/>
              </w:rPr>
              <w:t>rezultatu za sakroilijačne zglobove</w:t>
            </w:r>
          </w:p>
        </w:tc>
        <w:tc>
          <w:tcPr>
            <w:tcW w:w="1576" w:type="dxa"/>
            <w:tcBorders>
              <w:top w:val="single" w:sz="4" w:space="0" w:color="auto"/>
              <w:left w:val="single" w:sz="4" w:space="0" w:color="auto"/>
              <w:bottom w:val="single" w:sz="4" w:space="0" w:color="auto"/>
              <w:right w:val="single" w:sz="4" w:space="0" w:color="auto"/>
            </w:tcBorders>
            <w:vAlign w:val="bottom"/>
            <w:hideMark/>
          </w:tcPr>
          <w:p w14:paraId="0CD7FFED"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noBreakHyphen/>
              <w:t>0.9</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581E4B0"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noBreakHyphen/>
              <w:t>5.3**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32F199D"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noBreakHyphen/>
              <w:t>1.2</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0F68887" w14:textId="77777777" w:rsidR="00785722" w:rsidRPr="00275456" w:rsidRDefault="00785722" w:rsidP="00A3401E">
            <w:pPr>
              <w:tabs>
                <w:tab w:val="left" w:pos="284"/>
              </w:tabs>
              <w:autoSpaceDE w:val="0"/>
              <w:autoSpaceDN w:val="0"/>
              <w:adjustRightInd w:val="0"/>
              <w:jc w:val="center"/>
              <w:rPr>
                <w:sz w:val="22"/>
                <w:szCs w:val="22"/>
                <w:lang w:val="sr-Latn-ME"/>
              </w:rPr>
            </w:pPr>
            <w:r w:rsidRPr="00275456">
              <w:rPr>
                <w:sz w:val="22"/>
                <w:szCs w:val="22"/>
                <w:lang w:val="sr-Latn-ME"/>
              </w:rPr>
              <w:noBreakHyphen/>
              <w:t>6.4**</w:t>
            </w:r>
          </w:p>
        </w:tc>
      </w:tr>
      <w:tr w:rsidR="00785722" w:rsidRPr="00275456" w14:paraId="381C7A64" w14:textId="77777777" w:rsidTr="00A3401E">
        <w:trPr>
          <w:cantSplit/>
          <w:jc w:val="center"/>
        </w:trPr>
        <w:tc>
          <w:tcPr>
            <w:tcW w:w="9107" w:type="dxa"/>
            <w:gridSpan w:val="5"/>
            <w:tcBorders>
              <w:top w:val="single" w:sz="4" w:space="0" w:color="auto"/>
              <w:left w:val="nil"/>
              <w:bottom w:val="nil"/>
              <w:right w:val="nil"/>
            </w:tcBorders>
            <w:vAlign w:val="bottom"/>
            <w:hideMark/>
          </w:tcPr>
          <w:p w14:paraId="10FA789A" w14:textId="77777777" w:rsidR="00785722" w:rsidRPr="005C6DFE" w:rsidRDefault="00785722" w:rsidP="00A3401E">
            <w:pPr>
              <w:autoSpaceDE w:val="0"/>
              <w:autoSpaceDN w:val="0"/>
              <w:adjustRightInd w:val="0"/>
              <w:ind w:left="284" w:hanging="284"/>
              <w:rPr>
                <w:sz w:val="22"/>
                <w:szCs w:val="22"/>
                <w:lang w:val="sr-Latn-ME"/>
              </w:rPr>
            </w:pPr>
            <w:r w:rsidRPr="005C6DFE">
              <w:rPr>
                <w:sz w:val="22"/>
                <w:szCs w:val="22"/>
                <w:vertAlign w:val="superscript"/>
                <w:lang w:val="sr-Latn-ME"/>
              </w:rPr>
              <w:lastRenderedPageBreak/>
              <w:t>a</w:t>
            </w:r>
            <w:r w:rsidRPr="005C6DFE">
              <w:rPr>
                <w:sz w:val="22"/>
                <w:szCs w:val="22"/>
                <w:vertAlign w:val="superscript"/>
                <w:lang w:val="sr-Latn-ME"/>
              </w:rPr>
              <w:tab/>
            </w:r>
            <w:r w:rsidRPr="005C6DFE">
              <w:rPr>
                <w:sz w:val="22"/>
                <w:szCs w:val="22"/>
                <w:lang w:val="sr-Latn-ME"/>
              </w:rPr>
              <w:t>n reflektuje randomizovane i liječene pacijente</w:t>
            </w:r>
          </w:p>
          <w:p w14:paraId="73F16B55" w14:textId="77777777" w:rsidR="00785722" w:rsidRPr="005C6DFE" w:rsidRDefault="00785722" w:rsidP="00A3401E">
            <w:pPr>
              <w:autoSpaceDE w:val="0"/>
              <w:autoSpaceDN w:val="0"/>
              <w:adjustRightInd w:val="0"/>
              <w:ind w:left="284" w:hanging="284"/>
              <w:rPr>
                <w:sz w:val="22"/>
                <w:szCs w:val="22"/>
                <w:lang w:val="sr-Latn-ME"/>
              </w:rPr>
            </w:pPr>
            <w:r w:rsidRPr="005C6DFE">
              <w:rPr>
                <w:sz w:val="22"/>
                <w:szCs w:val="22"/>
                <w:vertAlign w:val="superscript"/>
                <w:lang w:val="sr-Latn-ME"/>
              </w:rPr>
              <w:t>b</w:t>
            </w:r>
            <w:r w:rsidRPr="005C6DFE">
              <w:rPr>
                <w:sz w:val="22"/>
                <w:szCs w:val="22"/>
                <w:vertAlign w:val="superscript"/>
                <w:lang w:val="sr-Latn-ME"/>
              </w:rPr>
              <w:tab/>
            </w:r>
            <w:r w:rsidRPr="005C6DFE">
              <w:rPr>
                <w:i/>
                <w:iCs/>
                <w:sz w:val="22"/>
                <w:szCs w:val="22"/>
                <w:lang w:val="sr-Latn-ME"/>
              </w:rPr>
              <w:t>Ankylosing Spondylitis Disease Activity Score C-Reactive Protein</w:t>
            </w:r>
            <w:r w:rsidRPr="005C6DFE">
              <w:rPr>
                <w:sz w:val="22"/>
                <w:szCs w:val="22"/>
                <w:lang w:val="sr-Latn-ME"/>
              </w:rPr>
              <w:t xml:space="preserve"> (AT</w:t>
            </w:r>
            <w:r w:rsidRPr="005C6DFE">
              <w:rPr>
                <w:sz w:val="22"/>
                <w:szCs w:val="22"/>
                <w:lang w:val="sr-Latn-ME"/>
              </w:rPr>
              <w:noBreakHyphen/>
              <w:t>Placebo, N = 90; AT</w:t>
            </w:r>
            <w:r w:rsidRPr="005C6DFE">
              <w:rPr>
                <w:sz w:val="22"/>
                <w:szCs w:val="22"/>
                <w:lang w:val="sr-Latn-ME"/>
              </w:rPr>
              <w:noBreakHyphen/>
              <w:t>Simponi 50 mg, N = 88; OSI</w:t>
            </w:r>
            <w:r w:rsidRPr="005C6DFE">
              <w:rPr>
                <w:sz w:val="22"/>
                <w:szCs w:val="22"/>
                <w:lang w:val="sr-Latn-ME"/>
              </w:rPr>
              <w:noBreakHyphen/>
              <w:t>Placebo, N = 71; OSI</w:t>
            </w:r>
            <w:r w:rsidRPr="005C6DFE">
              <w:rPr>
                <w:sz w:val="22"/>
                <w:szCs w:val="22"/>
                <w:lang w:val="sr-Latn-ME"/>
              </w:rPr>
              <w:noBreakHyphen/>
              <w:t>Simponi 50 mg, N = 71)</w:t>
            </w:r>
          </w:p>
          <w:p w14:paraId="0FAF8F59" w14:textId="4345EED9" w:rsidR="00785722" w:rsidRPr="005C6DFE" w:rsidRDefault="00785722" w:rsidP="00A3401E">
            <w:pPr>
              <w:autoSpaceDE w:val="0"/>
              <w:autoSpaceDN w:val="0"/>
              <w:adjustRightInd w:val="0"/>
              <w:ind w:left="284" w:hanging="284"/>
              <w:rPr>
                <w:sz w:val="22"/>
                <w:szCs w:val="22"/>
                <w:lang w:val="sr-Latn-ME"/>
              </w:rPr>
            </w:pPr>
            <w:r w:rsidRPr="005C6DFE">
              <w:rPr>
                <w:sz w:val="22"/>
                <w:szCs w:val="22"/>
                <w:vertAlign w:val="superscript"/>
                <w:lang w:val="sr-Latn-ME"/>
              </w:rPr>
              <w:t>c</w:t>
            </w:r>
            <w:r w:rsidRPr="005C6DFE">
              <w:rPr>
                <w:sz w:val="22"/>
                <w:szCs w:val="22"/>
                <w:vertAlign w:val="superscript"/>
                <w:lang w:val="sr-Latn-ME"/>
              </w:rPr>
              <w:tab/>
            </w:r>
            <w:r w:rsidRPr="005C6DFE">
              <w:rPr>
                <w:sz w:val="22"/>
                <w:szCs w:val="22"/>
                <w:lang w:val="sr-Latn-ME"/>
              </w:rPr>
              <w:t xml:space="preserve">n reflektuje broj pacijenata sa nalazima MRI na početku studije </w:t>
            </w:r>
            <w:r w:rsidR="00C5265A" w:rsidRPr="005C6DFE">
              <w:rPr>
                <w:sz w:val="22"/>
                <w:szCs w:val="22"/>
                <w:lang w:val="sr-Latn-ME"/>
              </w:rPr>
              <w:t>i</w:t>
            </w:r>
            <w:r w:rsidRPr="005C6DFE">
              <w:rPr>
                <w:sz w:val="22"/>
                <w:szCs w:val="22"/>
                <w:lang w:val="sr-Latn-ME"/>
              </w:rPr>
              <w:t xml:space="preserve"> u 16. nedjelji</w:t>
            </w:r>
          </w:p>
          <w:p w14:paraId="5D1AF95C" w14:textId="77777777" w:rsidR="00785722" w:rsidRPr="005C6DFE" w:rsidRDefault="00785722" w:rsidP="00A3401E">
            <w:pPr>
              <w:autoSpaceDE w:val="0"/>
              <w:autoSpaceDN w:val="0"/>
              <w:adjustRightInd w:val="0"/>
              <w:ind w:left="284" w:hanging="284"/>
              <w:rPr>
                <w:sz w:val="22"/>
                <w:szCs w:val="22"/>
                <w:lang w:val="sr-Latn-ME"/>
              </w:rPr>
            </w:pPr>
            <w:r w:rsidRPr="005C6DFE">
              <w:rPr>
                <w:sz w:val="22"/>
                <w:szCs w:val="22"/>
                <w:vertAlign w:val="superscript"/>
                <w:lang w:val="sr-Latn-ME"/>
              </w:rPr>
              <w:t>d</w:t>
            </w:r>
            <w:r w:rsidRPr="005C6DFE">
              <w:rPr>
                <w:sz w:val="22"/>
                <w:szCs w:val="22"/>
                <w:vertAlign w:val="superscript"/>
                <w:lang w:val="sr-Latn-ME"/>
              </w:rPr>
              <w:tab/>
            </w:r>
            <w:r w:rsidRPr="005C6DFE">
              <w:rPr>
                <w:sz w:val="22"/>
                <w:szCs w:val="22"/>
                <w:lang w:val="sr-Latn-ME"/>
              </w:rPr>
              <w:t>SPARCC (</w:t>
            </w:r>
            <w:r w:rsidRPr="005C6DFE">
              <w:rPr>
                <w:i/>
                <w:iCs/>
                <w:sz w:val="22"/>
                <w:szCs w:val="22"/>
                <w:lang w:val="sr-Latn-ME"/>
              </w:rPr>
              <w:t>Spondyloarthritis Research Consortium of Canada</w:t>
            </w:r>
            <w:r w:rsidRPr="005C6DFE">
              <w:rPr>
                <w:sz w:val="22"/>
                <w:szCs w:val="22"/>
                <w:lang w:val="sr-Latn-ME"/>
              </w:rPr>
              <w:t>)</w:t>
            </w:r>
          </w:p>
          <w:p w14:paraId="6EDD28D1" w14:textId="77777777" w:rsidR="00785722" w:rsidRPr="005C6DFE" w:rsidRDefault="00785722" w:rsidP="00A3401E">
            <w:pPr>
              <w:autoSpaceDE w:val="0"/>
              <w:autoSpaceDN w:val="0"/>
              <w:adjustRightInd w:val="0"/>
              <w:ind w:left="284" w:hanging="284"/>
              <w:rPr>
                <w:sz w:val="22"/>
                <w:szCs w:val="22"/>
                <w:lang w:val="sr-Latn-ME"/>
              </w:rPr>
            </w:pPr>
            <w:r w:rsidRPr="005C6DFE">
              <w:rPr>
                <w:sz w:val="22"/>
                <w:szCs w:val="22"/>
                <w:lang w:val="sr-Latn-ME"/>
              </w:rPr>
              <w:t>**</w:t>
            </w:r>
            <w:r w:rsidRPr="005C6DFE">
              <w:rPr>
                <w:sz w:val="22"/>
                <w:szCs w:val="22"/>
                <w:lang w:val="sr-Latn-ME"/>
              </w:rPr>
              <w:tab/>
              <w:t xml:space="preserve">p &lt; 0.0001 za Simponi </w:t>
            </w:r>
            <w:r w:rsidRPr="005C6DFE">
              <w:rPr>
                <w:i/>
                <w:sz w:val="22"/>
                <w:szCs w:val="22"/>
                <w:lang w:val="sr-Latn-ME"/>
              </w:rPr>
              <w:t>vs</w:t>
            </w:r>
            <w:r w:rsidRPr="005C6DFE">
              <w:rPr>
                <w:sz w:val="22"/>
                <w:szCs w:val="22"/>
                <w:lang w:val="sr-Latn-ME"/>
              </w:rPr>
              <w:t xml:space="preserve"> placebo poređenje </w:t>
            </w:r>
          </w:p>
          <w:p w14:paraId="3573D76F" w14:textId="77777777" w:rsidR="00785722" w:rsidRPr="005C6DFE" w:rsidRDefault="00785722" w:rsidP="00A3401E">
            <w:pPr>
              <w:tabs>
                <w:tab w:val="left" w:pos="284"/>
              </w:tabs>
              <w:autoSpaceDE w:val="0"/>
              <w:autoSpaceDN w:val="0"/>
              <w:adjustRightInd w:val="0"/>
              <w:ind w:left="284" w:hanging="284"/>
              <w:jc w:val="both"/>
              <w:rPr>
                <w:sz w:val="22"/>
                <w:szCs w:val="22"/>
                <w:lang w:val="sr-Latn-ME"/>
              </w:rPr>
            </w:pPr>
            <w:r w:rsidRPr="005C6DFE">
              <w:rPr>
                <w:sz w:val="22"/>
                <w:szCs w:val="22"/>
                <w:lang w:val="sr-Latn-ME"/>
              </w:rPr>
              <w:t>*</w:t>
            </w:r>
            <w:r w:rsidRPr="005C6DFE">
              <w:rPr>
                <w:sz w:val="22"/>
                <w:szCs w:val="22"/>
                <w:lang w:val="sr-Latn-ME"/>
              </w:rPr>
              <w:tab/>
              <w:t xml:space="preserve">p &lt; 0.05 za Simponi </w:t>
            </w:r>
            <w:r w:rsidRPr="005C6DFE">
              <w:rPr>
                <w:i/>
                <w:sz w:val="22"/>
                <w:szCs w:val="22"/>
                <w:lang w:val="sr-Latn-ME"/>
              </w:rPr>
              <w:t>vs</w:t>
            </w:r>
            <w:r w:rsidRPr="005C6DFE">
              <w:rPr>
                <w:sz w:val="22"/>
                <w:szCs w:val="22"/>
                <w:lang w:val="sr-Latn-ME"/>
              </w:rPr>
              <w:t xml:space="preserve"> placebo poređenje</w:t>
            </w:r>
          </w:p>
        </w:tc>
      </w:tr>
    </w:tbl>
    <w:p w14:paraId="37902997" w14:textId="77777777" w:rsidR="00785722" w:rsidRPr="00EA088A" w:rsidRDefault="00785722" w:rsidP="00785722">
      <w:pPr>
        <w:autoSpaceDE w:val="0"/>
        <w:autoSpaceDN w:val="0"/>
        <w:adjustRightInd w:val="0"/>
        <w:rPr>
          <w:sz w:val="22"/>
          <w:szCs w:val="22"/>
          <w:lang w:val="sr-Latn-ME"/>
        </w:rPr>
      </w:pPr>
    </w:p>
    <w:p w14:paraId="309868D6" w14:textId="3BE2F445" w:rsidR="00785722" w:rsidRPr="00275456" w:rsidRDefault="00785722" w:rsidP="005C6DFE">
      <w:pPr>
        <w:autoSpaceDE w:val="0"/>
        <w:autoSpaceDN w:val="0"/>
        <w:adjustRightInd w:val="0"/>
        <w:jc w:val="both"/>
        <w:rPr>
          <w:sz w:val="22"/>
          <w:szCs w:val="22"/>
          <w:lang w:val="sr-Latn-ME"/>
        </w:rPr>
      </w:pPr>
      <w:r w:rsidRPr="00EA088A">
        <w:rPr>
          <w:sz w:val="22"/>
          <w:szCs w:val="22"/>
          <w:lang w:val="sr-Latn-ME"/>
        </w:rPr>
        <w:t xml:space="preserve">Statistički značajno poboljšanje u znacima i simptomima teškog aktivnog aksijalnog spondiloartritisa </w:t>
      </w:r>
      <w:r w:rsidR="00C5265A" w:rsidRPr="00EA088A">
        <w:rPr>
          <w:sz w:val="22"/>
          <w:szCs w:val="22"/>
          <w:lang w:val="sr-Latn-ME"/>
        </w:rPr>
        <w:t xml:space="preserve">bez radiografskog dokaza </w:t>
      </w:r>
      <w:r w:rsidRPr="00EA088A">
        <w:rPr>
          <w:sz w:val="22"/>
          <w:szCs w:val="22"/>
          <w:lang w:val="sr-Latn-ME"/>
        </w:rPr>
        <w:t>pokazano je kod pacijenata liječenih lijekom Simponi u dozi od 50 mg u poređenju sa placebom u 16. n</w:t>
      </w:r>
      <w:r w:rsidRPr="00C9046D">
        <w:rPr>
          <w:sz w:val="22"/>
          <w:szCs w:val="22"/>
          <w:lang w:val="sr-Latn-ME"/>
        </w:rPr>
        <w:t>edjelji (tabela 6). Poboljšanje je primijećeno pri prvoj procjeni (u 4. nedjelji) nakon inicijalne primjene lijeka Simponi. SPARCC rezultat mjeren preko magnetne rezonance pokazao je statistički značajno smanjenje inflamacije u sakroilijačnim zglobovima u 16. nedjelji kod pacijenata liječenih lijekom Simponi u dozi od 50 mg u poređenju sa placebom (tabela 6). Bol procijenjen ukupnim bolom u leđima (</w:t>
      </w:r>
      <w:r w:rsidRPr="00275456">
        <w:rPr>
          <w:i/>
          <w:iCs/>
          <w:sz w:val="22"/>
          <w:szCs w:val="22"/>
          <w:lang w:val="sr-Latn-ME"/>
        </w:rPr>
        <w:t>Total Back Pain</w:t>
      </w:r>
      <w:r w:rsidRPr="00275456">
        <w:rPr>
          <w:sz w:val="22"/>
          <w:szCs w:val="22"/>
          <w:lang w:val="sr-Latn-ME"/>
        </w:rPr>
        <w:t>) i noćnim bolom u leđima (Nocturnal Back Pain) VAS, i aktivnošću bolesti mjereno preko ASDAS-C takođe je pokazao statistički značajno poboljšanje u odnosu na početni nivo u 16. nedjelji kod pacijenata koji su primali lijek Simponi u poređenju sa placebom (p &lt; 0.0001).</w:t>
      </w:r>
    </w:p>
    <w:p w14:paraId="61FAB18E" w14:textId="77777777" w:rsidR="00785722" w:rsidRPr="00275456" w:rsidRDefault="00785722" w:rsidP="005C6DFE">
      <w:pPr>
        <w:autoSpaceDE w:val="0"/>
        <w:autoSpaceDN w:val="0"/>
        <w:adjustRightInd w:val="0"/>
        <w:jc w:val="both"/>
        <w:rPr>
          <w:sz w:val="22"/>
          <w:szCs w:val="22"/>
          <w:u w:val="single"/>
          <w:lang w:val="sr-Latn-ME"/>
        </w:rPr>
      </w:pPr>
    </w:p>
    <w:p w14:paraId="697A904A" w14:textId="56C7DD93" w:rsidR="00785722" w:rsidRPr="00EA088A" w:rsidRDefault="00785722" w:rsidP="005C6DFE">
      <w:pPr>
        <w:autoSpaceDE w:val="0"/>
        <w:autoSpaceDN w:val="0"/>
        <w:adjustRightInd w:val="0"/>
        <w:jc w:val="both"/>
        <w:rPr>
          <w:sz w:val="22"/>
          <w:szCs w:val="22"/>
          <w:lang w:val="sr-Latn-ME"/>
        </w:rPr>
      </w:pPr>
      <w:r w:rsidRPr="00275456">
        <w:rPr>
          <w:sz w:val="22"/>
          <w:szCs w:val="22"/>
          <w:lang w:val="sr-Latn-ME"/>
        </w:rPr>
        <w:t>Statistički značajno poboljšanje u pokretljivosti kičme procijenjeno preko BASMI (</w:t>
      </w:r>
      <w:r w:rsidRPr="00275456">
        <w:rPr>
          <w:i/>
          <w:iCs/>
          <w:sz w:val="22"/>
          <w:szCs w:val="22"/>
          <w:lang w:val="sr-Latn-ME"/>
        </w:rPr>
        <w:t>Bath Ankylosing Spondylitis Metrology Index</w:t>
      </w:r>
      <w:r w:rsidRPr="00275456">
        <w:rPr>
          <w:sz w:val="22"/>
          <w:szCs w:val="22"/>
          <w:lang w:val="sr-Latn-ME"/>
        </w:rPr>
        <w:t>) i fizičkim funkcijama procijenjeno preko BASFI pokazano je kod pacijenata liječenih lijekom Simponi u dozi od 50 mg u poređenju sa placebom (p &lt; 0.0001). Pacijenti liječeni lijekom Simponi imali su značajno veće poboljšanje u kvalitetu života vezanom za zdravlje precijenjeno preko ASQoL, EQ-5D kao i fizičkim i mentalnim komponentama SF-36</w:t>
      </w:r>
      <w:r w:rsidR="00C5265A" w:rsidRPr="005C6DFE">
        <w:rPr>
          <w:sz w:val="22"/>
          <w:szCs w:val="22"/>
          <w:lang w:val="sr-Latn-ME"/>
        </w:rPr>
        <w:t xml:space="preserve"> </w:t>
      </w:r>
      <w:r w:rsidR="00C5265A" w:rsidRPr="00EA088A">
        <w:rPr>
          <w:sz w:val="22"/>
          <w:szCs w:val="22"/>
          <w:lang w:val="sr-Latn-ME"/>
        </w:rPr>
        <w:t>upitnika</w:t>
      </w:r>
      <w:r w:rsidRPr="00EA088A">
        <w:rPr>
          <w:sz w:val="22"/>
          <w:szCs w:val="22"/>
          <w:lang w:val="sr-Latn-ME"/>
        </w:rPr>
        <w:t>, i imali su značajno veće poboljšanje u produktivnosti, procijenjeno većim smanjenjem sveukupnog radnog oštećenja i oštećenja aktivnosti procijenjeno preko WPAI upitnika u poređenju sa pacijentima koji su primali placebo.</w:t>
      </w:r>
    </w:p>
    <w:p w14:paraId="1DFE62D1" w14:textId="77777777" w:rsidR="00785722" w:rsidRPr="00C9046D" w:rsidRDefault="00785722" w:rsidP="005C6DFE">
      <w:pPr>
        <w:autoSpaceDE w:val="0"/>
        <w:autoSpaceDN w:val="0"/>
        <w:adjustRightInd w:val="0"/>
        <w:jc w:val="both"/>
        <w:rPr>
          <w:sz w:val="22"/>
          <w:szCs w:val="22"/>
          <w:u w:val="single"/>
          <w:lang w:val="sr-Latn-ME"/>
        </w:rPr>
      </w:pPr>
    </w:p>
    <w:p w14:paraId="4321B009" w14:textId="77777777" w:rsidR="00785722" w:rsidRPr="005C6DFE" w:rsidRDefault="00785722" w:rsidP="005C6DFE">
      <w:pPr>
        <w:jc w:val="both"/>
        <w:rPr>
          <w:sz w:val="22"/>
          <w:szCs w:val="22"/>
          <w:lang w:val="sr-Latn-ME"/>
        </w:rPr>
      </w:pPr>
      <w:r w:rsidRPr="00C9046D">
        <w:rPr>
          <w:sz w:val="22"/>
          <w:szCs w:val="22"/>
          <w:lang w:val="sr-Latn-ME"/>
        </w:rPr>
        <w:t>Za sve primarne ciljeve opisane u tekstu iznad, statistički značajni rezultati pokazani su i u populaciji sa objektivnim znacima inflamacije (OSI) u 16. nedjelji.</w:t>
      </w:r>
    </w:p>
    <w:p w14:paraId="7E6B2760" w14:textId="77777777" w:rsidR="00785722" w:rsidRPr="00EA088A" w:rsidRDefault="00785722" w:rsidP="005C6DFE">
      <w:pPr>
        <w:tabs>
          <w:tab w:val="left" w:pos="284"/>
        </w:tabs>
        <w:autoSpaceDE w:val="0"/>
        <w:autoSpaceDN w:val="0"/>
        <w:adjustRightInd w:val="0"/>
        <w:jc w:val="both"/>
        <w:rPr>
          <w:sz w:val="22"/>
          <w:szCs w:val="22"/>
          <w:lang w:val="sr-Latn-ME"/>
        </w:rPr>
      </w:pPr>
    </w:p>
    <w:p w14:paraId="6FD29378" w14:textId="2EE12FF9" w:rsidR="00785722" w:rsidRPr="00EA088A" w:rsidRDefault="00785722" w:rsidP="005C6DFE">
      <w:pPr>
        <w:tabs>
          <w:tab w:val="left" w:pos="284"/>
        </w:tabs>
        <w:autoSpaceDE w:val="0"/>
        <w:autoSpaceDN w:val="0"/>
        <w:adjustRightInd w:val="0"/>
        <w:jc w:val="both"/>
        <w:rPr>
          <w:sz w:val="22"/>
          <w:szCs w:val="22"/>
          <w:lang w:val="sr-Latn-ME"/>
        </w:rPr>
      </w:pPr>
      <w:r w:rsidRPr="00EA088A">
        <w:rPr>
          <w:sz w:val="22"/>
          <w:szCs w:val="22"/>
          <w:lang w:val="sr-Latn-ME"/>
        </w:rPr>
        <w:t>Kod populacija svih liječenih pacijenata (AT)</w:t>
      </w:r>
      <w:r w:rsidRPr="005C6DFE">
        <w:rPr>
          <w:sz w:val="22"/>
          <w:szCs w:val="22"/>
          <w:lang w:val="sr-Latn-ME"/>
        </w:rPr>
        <w:t xml:space="preserve"> i </w:t>
      </w:r>
      <w:r w:rsidRPr="00EA088A">
        <w:rPr>
          <w:sz w:val="22"/>
          <w:szCs w:val="22"/>
          <w:lang w:val="sr-Latn-ME"/>
        </w:rPr>
        <w:t xml:space="preserve">populacije sa objektivnim znacima inflamacije (OSI), poboljšanje u znacima i simptomima, spinalna pokrenost, fizička funkcija, kvaliteta života i produktivnost koji su primijećeni u 16. nedjelji kod  pacijenata koji su na terapiji lijeka Simponi 50mg se nastavilo i kod onih koji su ostali u studiji u 52. nedjelji. </w:t>
      </w:r>
    </w:p>
    <w:p w14:paraId="0FFA39ED" w14:textId="2654D6D8" w:rsidR="00FA15F2" w:rsidRPr="00EA088A" w:rsidRDefault="00FA15F2" w:rsidP="005C6DFE">
      <w:pPr>
        <w:tabs>
          <w:tab w:val="left" w:pos="284"/>
        </w:tabs>
        <w:autoSpaceDE w:val="0"/>
        <w:autoSpaceDN w:val="0"/>
        <w:adjustRightInd w:val="0"/>
        <w:jc w:val="both"/>
        <w:rPr>
          <w:sz w:val="22"/>
          <w:szCs w:val="22"/>
          <w:lang w:val="sr-Latn-ME"/>
        </w:rPr>
      </w:pPr>
    </w:p>
    <w:p w14:paraId="4265FE63" w14:textId="77777777" w:rsidR="00FA15F2" w:rsidRPr="00C9046D" w:rsidRDefault="00FA15F2" w:rsidP="005C6DFE">
      <w:pPr>
        <w:tabs>
          <w:tab w:val="left" w:pos="284"/>
        </w:tabs>
        <w:autoSpaceDE w:val="0"/>
        <w:autoSpaceDN w:val="0"/>
        <w:adjustRightInd w:val="0"/>
        <w:jc w:val="both"/>
        <w:rPr>
          <w:iCs/>
          <w:sz w:val="22"/>
          <w:szCs w:val="22"/>
          <w:lang w:val="sr-Latn-ME"/>
        </w:rPr>
      </w:pPr>
      <w:r w:rsidRPr="00C9046D">
        <w:rPr>
          <w:iCs/>
          <w:sz w:val="22"/>
          <w:szCs w:val="22"/>
          <w:lang w:val="sr-Latn-ME"/>
        </w:rPr>
        <w:t>GO</w:t>
      </w:r>
      <w:r w:rsidRPr="00C9046D">
        <w:rPr>
          <w:iCs/>
          <w:sz w:val="22"/>
          <w:szCs w:val="22"/>
          <w:lang w:val="sr-Latn-ME"/>
        </w:rPr>
        <w:noBreakHyphen/>
        <w:t>BACK</w:t>
      </w:r>
    </w:p>
    <w:p w14:paraId="5DDCE0D3" w14:textId="77777777" w:rsidR="00FA15F2" w:rsidRPr="00275456" w:rsidRDefault="00FA15F2" w:rsidP="005C6DFE">
      <w:pPr>
        <w:tabs>
          <w:tab w:val="left" w:pos="284"/>
        </w:tabs>
        <w:autoSpaceDE w:val="0"/>
        <w:autoSpaceDN w:val="0"/>
        <w:adjustRightInd w:val="0"/>
        <w:jc w:val="both"/>
        <w:rPr>
          <w:i/>
          <w:iCs/>
          <w:sz w:val="22"/>
          <w:szCs w:val="22"/>
          <w:lang w:val="sr-Latn-ME"/>
        </w:rPr>
      </w:pPr>
    </w:p>
    <w:p w14:paraId="7DA9D5B7" w14:textId="2E63EEA6" w:rsidR="00FA15F2" w:rsidRPr="00275456" w:rsidRDefault="00FA15F2" w:rsidP="005C6DFE">
      <w:pPr>
        <w:tabs>
          <w:tab w:val="left" w:pos="284"/>
        </w:tabs>
        <w:autoSpaceDE w:val="0"/>
        <w:autoSpaceDN w:val="0"/>
        <w:adjustRightInd w:val="0"/>
        <w:jc w:val="both"/>
        <w:rPr>
          <w:iCs/>
          <w:sz w:val="22"/>
          <w:szCs w:val="22"/>
          <w:lang w:val="sr-Latn-ME"/>
        </w:rPr>
      </w:pPr>
      <w:r w:rsidRPr="00275456">
        <w:rPr>
          <w:iCs/>
          <w:sz w:val="22"/>
          <w:szCs w:val="22"/>
          <w:lang w:val="sr-Latn-ME"/>
        </w:rPr>
        <w:t>Efikasnost i bezbjednost nastavka liječenja golimumabom (uz punu ili smanjenu učestalost doziranja) u odnosu na prekid liječenja procijenjene su kod odraslih pacijenata (starosti od 18-45 godina) sa aktivnim nr-Axial SpA koji su postigli održanu remisiju tokom 10 mjeseci otvorenog liječenja sa lijekom Simponi primijenjenog jednom mjesečno (GO-BACK ispitivanje</w:t>
      </w:r>
      <w:bookmarkStart w:id="10" w:name="_Hlk133236767"/>
      <w:r w:rsidRPr="00275456">
        <w:rPr>
          <w:iCs/>
          <w:sz w:val="22"/>
          <w:szCs w:val="22"/>
          <w:lang w:val="sr-Latn-ME"/>
        </w:rPr>
        <w:t>)</w:t>
      </w:r>
      <w:bookmarkEnd w:id="10"/>
      <w:r w:rsidRPr="00275456">
        <w:rPr>
          <w:iCs/>
          <w:sz w:val="22"/>
          <w:szCs w:val="22"/>
          <w:lang w:val="sr-Latn-ME"/>
        </w:rPr>
        <w:t>. Pogodni pacijenti (oni koji su postigli klinički odgovor do 4. mjeseca i imali status neaktivne bolesti (ASDAS rezultat &lt; 1,3) i u 7. i u 10. mjesecu) koji su ušli u fazu dvostruko slijepog prekida liječenja randomizovani su za nastavak liječenja lijekom Simponi jednom mjesečno (puni režim liječenja, N = 63), jednom svaka 2 mjeseca (redukovani režim liječenja, N = 63) ili za primjenu placeba jednom mjesečno (prekid liječenja, N = 62) tokom približno 12 mjeseci.</w:t>
      </w:r>
    </w:p>
    <w:p w14:paraId="7778D03A" w14:textId="77777777" w:rsidR="00FA15F2" w:rsidRPr="00275456" w:rsidRDefault="00FA15F2" w:rsidP="005C6DFE">
      <w:pPr>
        <w:tabs>
          <w:tab w:val="left" w:pos="284"/>
        </w:tabs>
        <w:autoSpaceDE w:val="0"/>
        <w:autoSpaceDN w:val="0"/>
        <w:adjustRightInd w:val="0"/>
        <w:jc w:val="both"/>
        <w:rPr>
          <w:iCs/>
          <w:sz w:val="22"/>
          <w:szCs w:val="22"/>
          <w:lang w:val="sr-Latn-ME"/>
        </w:rPr>
      </w:pPr>
    </w:p>
    <w:p w14:paraId="70D93FEC" w14:textId="65DD76FE" w:rsidR="00FA15F2" w:rsidRPr="00275456" w:rsidRDefault="00FA15F2" w:rsidP="005C6DFE">
      <w:pPr>
        <w:tabs>
          <w:tab w:val="left" w:pos="284"/>
        </w:tabs>
        <w:autoSpaceDE w:val="0"/>
        <w:autoSpaceDN w:val="0"/>
        <w:adjustRightInd w:val="0"/>
        <w:jc w:val="both"/>
        <w:rPr>
          <w:iCs/>
          <w:sz w:val="22"/>
          <w:szCs w:val="22"/>
          <w:lang w:val="sr-Latn-ME"/>
        </w:rPr>
      </w:pPr>
      <w:r w:rsidRPr="00275456">
        <w:rPr>
          <w:iCs/>
          <w:sz w:val="22"/>
          <w:szCs w:val="22"/>
          <w:lang w:val="sr-Latn-ME"/>
        </w:rPr>
        <w:t xml:space="preserve">Primarni parametar praćenja </w:t>
      </w:r>
      <w:r w:rsidR="003C685D" w:rsidRPr="00275456">
        <w:rPr>
          <w:iCs/>
          <w:sz w:val="22"/>
          <w:szCs w:val="22"/>
          <w:lang w:val="sr-Latn-ME"/>
        </w:rPr>
        <w:t xml:space="preserve">efikasnosti </w:t>
      </w:r>
      <w:r w:rsidRPr="00275456">
        <w:rPr>
          <w:iCs/>
          <w:sz w:val="22"/>
          <w:szCs w:val="22"/>
          <w:lang w:val="sr-Latn-ME"/>
        </w:rPr>
        <w:t>bio je udio pacijenata bez pogoršanja aktivnosti bolesti. Pacijenti kod kojih je došlo do pogoršanja bolesti, tj. oni kojima je pri 2 uzastopne procjene izmjeren ili apsolutni ASDAS rezultat ≥ 2,1 ili povećanje ASDAS rezultata nakon prekida liječenja za ≥ 1,1 bod u odnosu na rezultat iz 10. mjeseca (završetak perioda otvorenog liječenja), ponovno su počeli da primaju lijek Simponi jednom mjesečno u fazi otvorenog ponovnog liječenja da bi se okarakterisao klinički odgovor.</w:t>
      </w:r>
    </w:p>
    <w:p w14:paraId="59762E81" w14:textId="77777777" w:rsidR="00FA15F2" w:rsidRPr="00275456" w:rsidRDefault="00FA15F2" w:rsidP="005C6DFE">
      <w:pPr>
        <w:tabs>
          <w:tab w:val="left" w:pos="284"/>
        </w:tabs>
        <w:autoSpaceDE w:val="0"/>
        <w:autoSpaceDN w:val="0"/>
        <w:adjustRightInd w:val="0"/>
        <w:jc w:val="both"/>
        <w:rPr>
          <w:sz w:val="22"/>
          <w:szCs w:val="22"/>
          <w:highlight w:val="yellow"/>
          <w:u w:val="single"/>
          <w:lang w:val="sr-Latn-ME"/>
        </w:rPr>
      </w:pPr>
    </w:p>
    <w:p w14:paraId="25E2E8C0" w14:textId="5BD93F76" w:rsidR="00FA15F2" w:rsidRPr="00275456" w:rsidRDefault="00FA15F2" w:rsidP="00EA088A">
      <w:pPr>
        <w:keepNext/>
        <w:tabs>
          <w:tab w:val="left" w:pos="284"/>
        </w:tabs>
        <w:autoSpaceDE w:val="0"/>
        <w:autoSpaceDN w:val="0"/>
        <w:adjustRightInd w:val="0"/>
        <w:jc w:val="both"/>
        <w:rPr>
          <w:i/>
          <w:iCs/>
          <w:sz w:val="22"/>
          <w:szCs w:val="22"/>
          <w:lang w:val="sr-Latn-ME"/>
        </w:rPr>
      </w:pPr>
      <w:r w:rsidRPr="00275456">
        <w:rPr>
          <w:i/>
          <w:iCs/>
          <w:sz w:val="22"/>
          <w:szCs w:val="22"/>
          <w:lang w:val="sr-Latn-ME"/>
        </w:rPr>
        <w:lastRenderedPageBreak/>
        <w:t>Klinički odgovor nakon dvostruko slijepog prekida liječenja</w:t>
      </w:r>
    </w:p>
    <w:p w14:paraId="0D07D815" w14:textId="7DFFD1B7" w:rsidR="00FA15F2" w:rsidRPr="00275456" w:rsidRDefault="00FA15F2" w:rsidP="00EA088A">
      <w:pPr>
        <w:tabs>
          <w:tab w:val="left" w:pos="284"/>
        </w:tabs>
        <w:autoSpaceDE w:val="0"/>
        <w:autoSpaceDN w:val="0"/>
        <w:adjustRightInd w:val="0"/>
        <w:jc w:val="both"/>
        <w:rPr>
          <w:sz w:val="22"/>
          <w:szCs w:val="22"/>
          <w:lang w:val="sr-Latn-ME"/>
        </w:rPr>
      </w:pPr>
      <w:r w:rsidRPr="00275456">
        <w:rPr>
          <w:sz w:val="22"/>
          <w:szCs w:val="22"/>
          <w:lang w:val="sr-Latn-ME"/>
        </w:rPr>
        <w:t>Među 188 pacijenata sa neaktivnom bolešću koji su primili najmanje jednu dozu u sklopu dvostruko slijepog liječenja, značajno (p &lt; 0,001) veći udeo pacijenata nije doživio pogoršanje bolesti uz nastavak liječenja lijekom Simponi, bilo u punom (84,1%) ili redukovanom (68,3%) režimu liječenja, u poređenju sa prekidom liječenja (33,9%) (</w:t>
      </w:r>
      <w:bookmarkStart w:id="11" w:name="_Hlk132895487"/>
      <w:r w:rsidRPr="00275456">
        <w:rPr>
          <w:sz w:val="22"/>
          <w:szCs w:val="22"/>
          <w:lang w:val="sr-Latn-ME"/>
        </w:rPr>
        <w:t>Tabela</w:t>
      </w:r>
      <w:bookmarkEnd w:id="11"/>
      <w:r w:rsidRPr="00275456">
        <w:rPr>
          <w:sz w:val="22"/>
          <w:szCs w:val="22"/>
          <w:lang w:val="sr-Latn-ME"/>
        </w:rPr>
        <w:t xml:space="preserve"> 7).</w:t>
      </w:r>
    </w:p>
    <w:p w14:paraId="00F9584D" w14:textId="77777777" w:rsidR="00FA15F2" w:rsidRPr="00275456" w:rsidRDefault="00FA15F2" w:rsidP="00FA15F2">
      <w:pPr>
        <w:tabs>
          <w:tab w:val="left" w:pos="284"/>
        </w:tabs>
        <w:autoSpaceDE w:val="0"/>
        <w:autoSpaceDN w:val="0"/>
        <w:adjustRightInd w:val="0"/>
        <w:jc w:val="both"/>
        <w:rPr>
          <w:sz w:val="22"/>
          <w:szCs w:val="22"/>
          <w:lang w:val="sr-Latn-ME"/>
        </w:rPr>
      </w:pPr>
    </w:p>
    <w:p w14:paraId="78BD3E10" w14:textId="77777777" w:rsidR="00FA15F2" w:rsidRPr="00352F6E" w:rsidRDefault="00FA15F2" w:rsidP="00FA15F2">
      <w:pPr>
        <w:keepNext/>
        <w:tabs>
          <w:tab w:val="left" w:pos="284"/>
        </w:tabs>
        <w:autoSpaceDE w:val="0"/>
        <w:autoSpaceDN w:val="0"/>
        <w:adjustRightInd w:val="0"/>
        <w:jc w:val="center"/>
        <w:rPr>
          <w:b/>
          <w:bCs/>
          <w:sz w:val="22"/>
          <w:szCs w:val="22"/>
          <w:lang w:val="sr-Latn-ME"/>
        </w:rPr>
      </w:pPr>
      <w:r w:rsidRPr="00352F6E">
        <w:rPr>
          <w:b/>
          <w:bCs/>
          <w:sz w:val="22"/>
          <w:szCs w:val="22"/>
          <w:lang w:val="sr-Latn-ME"/>
        </w:rPr>
        <w:t>Tabela 7</w:t>
      </w:r>
    </w:p>
    <w:p w14:paraId="0F02DF95" w14:textId="6828E533" w:rsidR="00FA15F2" w:rsidRPr="00275456" w:rsidRDefault="00FA15F2" w:rsidP="00FA15F2">
      <w:pPr>
        <w:keepNext/>
        <w:tabs>
          <w:tab w:val="left" w:pos="284"/>
        </w:tabs>
        <w:autoSpaceDE w:val="0"/>
        <w:autoSpaceDN w:val="0"/>
        <w:adjustRightInd w:val="0"/>
        <w:jc w:val="center"/>
        <w:rPr>
          <w:b/>
          <w:bCs/>
          <w:sz w:val="22"/>
          <w:szCs w:val="22"/>
          <w:vertAlign w:val="superscript"/>
          <w:lang w:val="sr-Latn-ME"/>
        </w:rPr>
      </w:pPr>
      <w:r w:rsidRPr="00275456">
        <w:rPr>
          <w:b/>
          <w:bCs/>
          <w:sz w:val="22"/>
          <w:szCs w:val="22"/>
          <w:lang w:val="sr-Latn-ME"/>
        </w:rPr>
        <w:t>Analiza udjela učesnika bez pogoršanja bolesti</w:t>
      </w:r>
      <w:r w:rsidRPr="00275456">
        <w:rPr>
          <w:b/>
          <w:bCs/>
          <w:sz w:val="22"/>
          <w:szCs w:val="22"/>
          <w:vertAlign w:val="superscript"/>
          <w:lang w:val="sr-Latn-ME"/>
        </w:rPr>
        <w:t>a</w:t>
      </w:r>
    </w:p>
    <w:p w14:paraId="7C480834" w14:textId="607CF029" w:rsidR="00FA15F2" w:rsidRPr="00275456" w:rsidRDefault="00FA15F2" w:rsidP="00FA15F2">
      <w:pPr>
        <w:keepNext/>
        <w:tabs>
          <w:tab w:val="left" w:pos="284"/>
        </w:tabs>
        <w:autoSpaceDE w:val="0"/>
        <w:autoSpaceDN w:val="0"/>
        <w:adjustRightInd w:val="0"/>
        <w:jc w:val="center"/>
        <w:rPr>
          <w:sz w:val="22"/>
          <w:szCs w:val="22"/>
          <w:lang w:val="sr-Latn-ME"/>
        </w:rPr>
      </w:pPr>
      <w:bookmarkStart w:id="12" w:name="_Hlk132900934"/>
      <w:r w:rsidRPr="00275456">
        <w:rPr>
          <w:b/>
          <w:bCs/>
          <w:sz w:val="22"/>
          <w:szCs w:val="22"/>
          <w:lang w:val="sr-Latn-ME"/>
        </w:rPr>
        <w:t xml:space="preserve">Potpuni skup podataka za analizu </w:t>
      </w:r>
      <w:bookmarkEnd w:id="12"/>
      <w:r w:rsidRPr="00275456">
        <w:rPr>
          <w:b/>
          <w:bCs/>
          <w:sz w:val="22"/>
          <w:szCs w:val="22"/>
          <w:lang w:val="sr-Latn-ME"/>
        </w:rPr>
        <w:t>(2. period – dvostruko slijepo)</w:t>
      </w:r>
    </w:p>
    <w:tbl>
      <w:tblPr>
        <w:tblW w:w="9072" w:type="dxa"/>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2672"/>
        <w:gridCol w:w="1098"/>
        <w:gridCol w:w="1178"/>
        <w:gridCol w:w="2356"/>
        <w:gridCol w:w="1768"/>
      </w:tblGrid>
      <w:tr w:rsidR="00FA15F2" w:rsidRPr="00275456" w14:paraId="4C4847CA" w14:textId="77777777" w:rsidTr="0055474E">
        <w:trPr>
          <w:jc w:val="center"/>
        </w:trPr>
        <w:tc>
          <w:tcPr>
            <w:tcW w:w="2544" w:type="dxa"/>
            <w:tcBorders>
              <w:top w:val="single" w:sz="4" w:space="0" w:color="auto"/>
              <w:bottom w:val="nil"/>
              <w:right w:val="single" w:sz="2" w:space="0" w:color="auto"/>
            </w:tcBorders>
            <w:vAlign w:val="center"/>
          </w:tcPr>
          <w:p w14:paraId="726FB21E" w14:textId="77777777" w:rsidR="00FA15F2" w:rsidRPr="00275456" w:rsidRDefault="00FA15F2" w:rsidP="00FA15F2">
            <w:pPr>
              <w:keepNext/>
              <w:widowControl w:val="0"/>
              <w:tabs>
                <w:tab w:val="left" w:pos="284"/>
              </w:tabs>
              <w:autoSpaceDE w:val="0"/>
              <w:autoSpaceDN w:val="0"/>
              <w:adjustRightInd w:val="0"/>
              <w:jc w:val="both"/>
              <w:rPr>
                <w:b/>
                <w:bCs/>
                <w:sz w:val="22"/>
                <w:szCs w:val="22"/>
                <w:lang w:val="sr-Latn-ME"/>
              </w:rPr>
            </w:pPr>
          </w:p>
        </w:tc>
        <w:tc>
          <w:tcPr>
            <w:tcW w:w="1046" w:type="dxa"/>
            <w:tcBorders>
              <w:top w:val="single" w:sz="4" w:space="0" w:color="auto"/>
              <w:left w:val="nil"/>
              <w:bottom w:val="nil"/>
              <w:right w:val="single" w:sz="2" w:space="0" w:color="auto"/>
            </w:tcBorders>
            <w:vAlign w:val="center"/>
          </w:tcPr>
          <w:p w14:paraId="42111339" w14:textId="77777777" w:rsidR="00FA15F2" w:rsidRPr="00275456" w:rsidRDefault="00FA15F2" w:rsidP="00FA15F2">
            <w:pPr>
              <w:keepNext/>
              <w:widowControl w:val="0"/>
              <w:tabs>
                <w:tab w:val="left" w:pos="284"/>
              </w:tabs>
              <w:autoSpaceDE w:val="0"/>
              <w:autoSpaceDN w:val="0"/>
              <w:adjustRightInd w:val="0"/>
              <w:jc w:val="center"/>
              <w:rPr>
                <w:b/>
                <w:bCs/>
                <w:sz w:val="22"/>
                <w:szCs w:val="22"/>
                <w:lang w:val="sr-Latn-ME"/>
              </w:rPr>
            </w:pPr>
          </w:p>
        </w:tc>
        <w:tc>
          <w:tcPr>
            <w:tcW w:w="1122" w:type="dxa"/>
            <w:tcBorders>
              <w:top w:val="single" w:sz="4" w:space="0" w:color="auto"/>
              <w:left w:val="nil"/>
              <w:bottom w:val="nil"/>
              <w:right w:val="single" w:sz="2" w:space="0" w:color="auto"/>
            </w:tcBorders>
            <w:vAlign w:val="center"/>
          </w:tcPr>
          <w:p w14:paraId="241B41F5" w14:textId="77777777" w:rsidR="00FA15F2" w:rsidRPr="00275456" w:rsidRDefault="00FA15F2" w:rsidP="00FA15F2">
            <w:pPr>
              <w:keepNext/>
              <w:widowControl w:val="0"/>
              <w:tabs>
                <w:tab w:val="left" w:pos="284"/>
              </w:tabs>
              <w:autoSpaceDE w:val="0"/>
              <w:autoSpaceDN w:val="0"/>
              <w:adjustRightInd w:val="0"/>
              <w:jc w:val="center"/>
              <w:rPr>
                <w:b/>
                <w:bCs/>
                <w:sz w:val="22"/>
                <w:szCs w:val="22"/>
                <w:lang w:val="sr-Latn-ME"/>
              </w:rPr>
            </w:pPr>
          </w:p>
        </w:tc>
        <w:tc>
          <w:tcPr>
            <w:tcW w:w="3928" w:type="dxa"/>
            <w:gridSpan w:val="2"/>
            <w:tcBorders>
              <w:top w:val="single" w:sz="4" w:space="0" w:color="auto"/>
              <w:left w:val="nil"/>
              <w:bottom w:val="single" w:sz="4" w:space="0" w:color="auto"/>
            </w:tcBorders>
            <w:vAlign w:val="center"/>
          </w:tcPr>
          <w:p w14:paraId="44BE1C16" w14:textId="77777777" w:rsidR="00FA15F2" w:rsidRPr="00275456" w:rsidRDefault="00FA15F2" w:rsidP="00FA15F2">
            <w:pPr>
              <w:keepNext/>
              <w:widowControl w:val="0"/>
              <w:tabs>
                <w:tab w:val="left" w:pos="284"/>
              </w:tabs>
              <w:autoSpaceDE w:val="0"/>
              <w:autoSpaceDN w:val="0"/>
              <w:adjustRightInd w:val="0"/>
              <w:jc w:val="center"/>
              <w:rPr>
                <w:b/>
                <w:bCs/>
                <w:sz w:val="22"/>
                <w:szCs w:val="22"/>
                <w:lang w:val="sr-Latn-ME"/>
              </w:rPr>
            </w:pPr>
            <w:r w:rsidRPr="00275456">
              <w:rPr>
                <w:b/>
                <w:bCs/>
                <w:sz w:val="22"/>
                <w:szCs w:val="22"/>
                <w:lang w:val="sr-Latn-ME"/>
              </w:rPr>
              <w:t>Razlika u odnosu na placebo (%)</w:t>
            </w:r>
          </w:p>
        </w:tc>
      </w:tr>
      <w:tr w:rsidR="00FA15F2" w:rsidRPr="00275456" w14:paraId="342C815A" w14:textId="77777777" w:rsidTr="0055474E">
        <w:tblPrEx>
          <w:tblBorders>
            <w:top w:val="single" w:sz="6" w:space="0" w:color="auto"/>
            <w:bottom w:val="single" w:sz="6" w:space="0" w:color="auto"/>
          </w:tblBorders>
        </w:tblPrEx>
        <w:trPr>
          <w:jc w:val="center"/>
        </w:trPr>
        <w:tc>
          <w:tcPr>
            <w:tcW w:w="2544" w:type="dxa"/>
            <w:tcBorders>
              <w:top w:val="nil"/>
              <w:bottom w:val="single" w:sz="2" w:space="0" w:color="auto"/>
              <w:right w:val="single" w:sz="2" w:space="0" w:color="auto"/>
            </w:tcBorders>
            <w:vAlign w:val="center"/>
          </w:tcPr>
          <w:p w14:paraId="0BF6FB62" w14:textId="6253EA57" w:rsidR="00FA15F2" w:rsidRPr="00EA088A" w:rsidRDefault="00FA15F2" w:rsidP="00FA15F2">
            <w:pPr>
              <w:keepNext/>
              <w:widowControl w:val="0"/>
              <w:tabs>
                <w:tab w:val="left" w:pos="284"/>
              </w:tabs>
              <w:autoSpaceDE w:val="0"/>
              <w:autoSpaceDN w:val="0"/>
              <w:adjustRightInd w:val="0"/>
              <w:jc w:val="both"/>
              <w:rPr>
                <w:b/>
                <w:bCs/>
                <w:sz w:val="22"/>
                <w:szCs w:val="22"/>
                <w:lang w:val="sr-Latn-ME"/>
              </w:rPr>
            </w:pPr>
            <w:r w:rsidRPr="00EA088A">
              <w:rPr>
                <w:b/>
                <w:bCs/>
                <w:sz w:val="22"/>
                <w:szCs w:val="22"/>
                <w:lang w:val="sr-Latn-ME"/>
              </w:rPr>
              <w:t>Liječenje</w:t>
            </w:r>
          </w:p>
        </w:tc>
        <w:tc>
          <w:tcPr>
            <w:tcW w:w="1046" w:type="dxa"/>
            <w:tcBorders>
              <w:top w:val="nil"/>
              <w:left w:val="nil"/>
              <w:bottom w:val="single" w:sz="2" w:space="0" w:color="auto"/>
              <w:right w:val="single" w:sz="2" w:space="0" w:color="auto"/>
            </w:tcBorders>
            <w:vAlign w:val="center"/>
          </w:tcPr>
          <w:p w14:paraId="1D16A0C4" w14:textId="77777777" w:rsidR="00FA15F2" w:rsidRPr="00EA088A" w:rsidRDefault="00FA15F2" w:rsidP="00FA15F2">
            <w:pPr>
              <w:keepNext/>
              <w:widowControl w:val="0"/>
              <w:tabs>
                <w:tab w:val="left" w:pos="284"/>
              </w:tabs>
              <w:autoSpaceDE w:val="0"/>
              <w:autoSpaceDN w:val="0"/>
              <w:adjustRightInd w:val="0"/>
              <w:jc w:val="center"/>
              <w:rPr>
                <w:b/>
                <w:bCs/>
                <w:sz w:val="22"/>
                <w:szCs w:val="22"/>
                <w:lang w:val="sr-Latn-ME"/>
              </w:rPr>
            </w:pPr>
            <w:r w:rsidRPr="00EA088A">
              <w:rPr>
                <w:b/>
                <w:bCs/>
                <w:sz w:val="22"/>
                <w:szCs w:val="22"/>
                <w:lang w:val="sr-Latn-ME"/>
              </w:rPr>
              <w:t>n/N</w:t>
            </w:r>
          </w:p>
        </w:tc>
        <w:tc>
          <w:tcPr>
            <w:tcW w:w="1122" w:type="dxa"/>
            <w:tcBorders>
              <w:top w:val="nil"/>
              <w:left w:val="nil"/>
              <w:bottom w:val="single" w:sz="2" w:space="0" w:color="auto"/>
              <w:right w:val="single" w:sz="2" w:space="0" w:color="auto"/>
            </w:tcBorders>
            <w:vAlign w:val="center"/>
          </w:tcPr>
          <w:p w14:paraId="08224198" w14:textId="77777777" w:rsidR="00FA15F2" w:rsidRPr="00C9046D" w:rsidRDefault="00FA15F2" w:rsidP="00FA15F2">
            <w:pPr>
              <w:keepNext/>
              <w:widowControl w:val="0"/>
              <w:tabs>
                <w:tab w:val="left" w:pos="284"/>
              </w:tabs>
              <w:autoSpaceDE w:val="0"/>
              <w:autoSpaceDN w:val="0"/>
              <w:adjustRightInd w:val="0"/>
              <w:jc w:val="center"/>
              <w:rPr>
                <w:b/>
                <w:bCs/>
                <w:sz w:val="22"/>
                <w:szCs w:val="22"/>
                <w:lang w:val="sr-Latn-ME"/>
              </w:rPr>
            </w:pPr>
            <w:r w:rsidRPr="00C9046D">
              <w:rPr>
                <w:b/>
                <w:bCs/>
                <w:sz w:val="22"/>
                <w:szCs w:val="22"/>
                <w:lang w:val="sr-Latn-ME"/>
              </w:rPr>
              <w:t>%</w:t>
            </w:r>
          </w:p>
        </w:tc>
        <w:tc>
          <w:tcPr>
            <w:tcW w:w="2244" w:type="dxa"/>
            <w:tcBorders>
              <w:top w:val="single" w:sz="4" w:space="0" w:color="auto"/>
              <w:left w:val="nil"/>
              <w:bottom w:val="single" w:sz="2" w:space="0" w:color="auto"/>
              <w:right w:val="single" w:sz="2" w:space="0" w:color="auto"/>
            </w:tcBorders>
            <w:vAlign w:val="center"/>
          </w:tcPr>
          <w:p w14:paraId="253B1526" w14:textId="05F2C600" w:rsidR="00FA15F2" w:rsidRPr="00275456" w:rsidRDefault="00FA15F2" w:rsidP="00FA15F2">
            <w:pPr>
              <w:keepNext/>
              <w:widowControl w:val="0"/>
              <w:tabs>
                <w:tab w:val="left" w:pos="284"/>
              </w:tabs>
              <w:autoSpaceDE w:val="0"/>
              <w:autoSpaceDN w:val="0"/>
              <w:adjustRightInd w:val="0"/>
              <w:jc w:val="center"/>
              <w:rPr>
                <w:b/>
                <w:bCs/>
                <w:sz w:val="22"/>
                <w:szCs w:val="22"/>
                <w:lang w:val="sr-Latn-ME"/>
              </w:rPr>
            </w:pPr>
            <w:r w:rsidRPr="00275456">
              <w:rPr>
                <w:b/>
                <w:bCs/>
                <w:sz w:val="22"/>
                <w:szCs w:val="22"/>
                <w:lang w:val="sr-Latn-ME"/>
              </w:rPr>
              <w:t>Procjena (95% CI)</w:t>
            </w:r>
            <w:r w:rsidRPr="00275456">
              <w:rPr>
                <w:b/>
                <w:bCs/>
                <w:sz w:val="22"/>
                <w:szCs w:val="22"/>
                <w:vertAlign w:val="superscript"/>
                <w:lang w:val="sr-Latn-ME"/>
              </w:rPr>
              <w:t>b</w:t>
            </w:r>
          </w:p>
        </w:tc>
        <w:tc>
          <w:tcPr>
            <w:tcW w:w="1684" w:type="dxa"/>
            <w:tcBorders>
              <w:top w:val="single" w:sz="4" w:space="0" w:color="auto"/>
              <w:left w:val="nil"/>
              <w:bottom w:val="single" w:sz="2" w:space="0" w:color="auto"/>
            </w:tcBorders>
            <w:vAlign w:val="center"/>
          </w:tcPr>
          <w:p w14:paraId="66A71DBB" w14:textId="4AB8119A" w:rsidR="00FA15F2" w:rsidRPr="00275456" w:rsidRDefault="00FA15F2" w:rsidP="00FA15F2">
            <w:pPr>
              <w:keepNext/>
              <w:widowControl w:val="0"/>
              <w:tabs>
                <w:tab w:val="left" w:pos="284"/>
              </w:tabs>
              <w:autoSpaceDE w:val="0"/>
              <w:autoSpaceDN w:val="0"/>
              <w:adjustRightInd w:val="0"/>
              <w:jc w:val="center"/>
              <w:rPr>
                <w:b/>
                <w:bCs/>
                <w:sz w:val="22"/>
                <w:szCs w:val="22"/>
                <w:lang w:val="sr-Latn-ME"/>
              </w:rPr>
            </w:pPr>
            <w:r w:rsidRPr="00275456">
              <w:rPr>
                <w:b/>
                <w:bCs/>
                <w:sz w:val="22"/>
                <w:szCs w:val="22"/>
                <w:lang w:val="sr-Latn-ME"/>
              </w:rPr>
              <w:t>p</w:t>
            </w:r>
            <w:r w:rsidRPr="00275456">
              <w:rPr>
                <w:b/>
                <w:bCs/>
                <w:sz w:val="22"/>
                <w:szCs w:val="22"/>
                <w:lang w:val="sr-Latn-ME"/>
              </w:rPr>
              <w:noBreakHyphen/>
              <w:t>vrijednost</w:t>
            </w:r>
            <w:r w:rsidRPr="00275456">
              <w:rPr>
                <w:b/>
                <w:bCs/>
                <w:sz w:val="22"/>
                <w:szCs w:val="22"/>
                <w:vertAlign w:val="superscript"/>
                <w:lang w:val="sr-Latn-ME"/>
              </w:rPr>
              <w:t>b</w:t>
            </w:r>
          </w:p>
        </w:tc>
      </w:tr>
      <w:tr w:rsidR="00FA15F2" w:rsidRPr="00275456" w14:paraId="42BE563E" w14:textId="77777777" w:rsidTr="0055474E">
        <w:tblPrEx>
          <w:tblBorders>
            <w:top w:val="single" w:sz="6" w:space="0" w:color="auto"/>
            <w:bottom w:val="single" w:sz="6" w:space="0" w:color="auto"/>
          </w:tblBorders>
        </w:tblPrEx>
        <w:trPr>
          <w:jc w:val="center"/>
        </w:trPr>
        <w:tc>
          <w:tcPr>
            <w:tcW w:w="2544" w:type="dxa"/>
            <w:tcBorders>
              <w:top w:val="single" w:sz="2" w:space="0" w:color="auto"/>
              <w:bottom w:val="nil"/>
              <w:right w:val="single" w:sz="2" w:space="0" w:color="auto"/>
            </w:tcBorders>
          </w:tcPr>
          <w:p w14:paraId="2A6B1B2F" w14:textId="10994901" w:rsidR="00FA15F2" w:rsidRPr="00EA088A" w:rsidRDefault="00FA15F2" w:rsidP="00FA15F2">
            <w:pPr>
              <w:tabs>
                <w:tab w:val="left" w:pos="284"/>
              </w:tabs>
              <w:jc w:val="both"/>
              <w:rPr>
                <w:sz w:val="22"/>
                <w:szCs w:val="22"/>
                <w:lang w:val="sr-Latn-ME"/>
              </w:rPr>
            </w:pPr>
            <w:r w:rsidRPr="00EA088A">
              <w:rPr>
                <w:sz w:val="22"/>
                <w:szCs w:val="22"/>
                <w:lang w:val="sr-Latn-ME"/>
              </w:rPr>
              <w:t>GLM s.c. 1 x mjesečno</w:t>
            </w:r>
          </w:p>
        </w:tc>
        <w:tc>
          <w:tcPr>
            <w:tcW w:w="1046" w:type="dxa"/>
            <w:tcBorders>
              <w:top w:val="single" w:sz="2" w:space="0" w:color="auto"/>
              <w:left w:val="nil"/>
              <w:bottom w:val="nil"/>
              <w:right w:val="single" w:sz="2" w:space="0" w:color="auto"/>
            </w:tcBorders>
            <w:vAlign w:val="center"/>
          </w:tcPr>
          <w:p w14:paraId="69FEAA78" w14:textId="77777777" w:rsidR="00FA15F2" w:rsidRPr="00EA088A" w:rsidRDefault="00FA15F2" w:rsidP="00FA15F2">
            <w:pPr>
              <w:widowControl w:val="0"/>
              <w:tabs>
                <w:tab w:val="left" w:pos="284"/>
              </w:tabs>
              <w:autoSpaceDE w:val="0"/>
              <w:autoSpaceDN w:val="0"/>
              <w:adjustRightInd w:val="0"/>
              <w:jc w:val="center"/>
              <w:rPr>
                <w:sz w:val="22"/>
                <w:szCs w:val="22"/>
                <w:lang w:val="sr-Latn-ME"/>
              </w:rPr>
            </w:pPr>
            <w:r w:rsidRPr="00EA088A">
              <w:rPr>
                <w:sz w:val="22"/>
                <w:szCs w:val="22"/>
                <w:lang w:val="sr-Latn-ME"/>
              </w:rPr>
              <w:t>53/63</w:t>
            </w:r>
          </w:p>
        </w:tc>
        <w:tc>
          <w:tcPr>
            <w:tcW w:w="1122" w:type="dxa"/>
            <w:tcBorders>
              <w:top w:val="single" w:sz="2" w:space="0" w:color="auto"/>
              <w:left w:val="nil"/>
              <w:bottom w:val="nil"/>
              <w:right w:val="single" w:sz="2" w:space="0" w:color="auto"/>
            </w:tcBorders>
            <w:vAlign w:val="center"/>
          </w:tcPr>
          <w:p w14:paraId="69DEB9F9" w14:textId="77777777" w:rsidR="00FA15F2" w:rsidRPr="00C9046D" w:rsidRDefault="00FA15F2" w:rsidP="00FA15F2">
            <w:pPr>
              <w:widowControl w:val="0"/>
              <w:tabs>
                <w:tab w:val="left" w:pos="284"/>
              </w:tabs>
              <w:autoSpaceDE w:val="0"/>
              <w:autoSpaceDN w:val="0"/>
              <w:adjustRightInd w:val="0"/>
              <w:jc w:val="center"/>
              <w:rPr>
                <w:sz w:val="22"/>
                <w:szCs w:val="22"/>
                <w:lang w:val="sr-Latn-ME"/>
              </w:rPr>
            </w:pPr>
            <w:r w:rsidRPr="00C9046D">
              <w:rPr>
                <w:sz w:val="22"/>
                <w:szCs w:val="22"/>
                <w:lang w:val="sr-Latn-ME"/>
              </w:rPr>
              <w:t>84,1</w:t>
            </w:r>
          </w:p>
        </w:tc>
        <w:tc>
          <w:tcPr>
            <w:tcW w:w="2244" w:type="dxa"/>
            <w:tcBorders>
              <w:top w:val="single" w:sz="2" w:space="0" w:color="auto"/>
              <w:left w:val="nil"/>
              <w:bottom w:val="nil"/>
              <w:right w:val="single" w:sz="2" w:space="0" w:color="auto"/>
            </w:tcBorders>
            <w:vAlign w:val="center"/>
          </w:tcPr>
          <w:p w14:paraId="20917361" w14:textId="77777777" w:rsidR="00FA15F2" w:rsidRPr="00275456" w:rsidRDefault="00FA15F2" w:rsidP="00FA15F2">
            <w:pPr>
              <w:widowControl w:val="0"/>
              <w:tabs>
                <w:tab w:val="left" w:pos="284"/>
              </w:tabs>
              <w:autoSpaceDE w:val="0"/>
              <w:autoSpaceDN w:val="0"/>
              <w:adjustRightInd w:val="0"/>
              <w:jc w:val="center"/>
              <w:rPr>
                <w:sz w:val="22"/>
                <w:szCs w:val="22"/>
                <w:lang w:val="sr-Latn-ME"/>
              </w:rPr>
            </w:pPr>
            <w:r w:rsidRPr="00275456">
              <w:rPr>
                <w:sz w:val="22"/>
                <w:szCs w:val="22"/>
                <w:lang w:val="sr-Latn-ME"/>
              </w:rPr>
              <w:t>50,2 (34,1; 63,6)</w:t>
            </w:r>
          </w:p>
        </w:tc>
        <w:tc>
          <w:tcPr>
            <w:tcW w:w="1684" w:type="dxa"/>
            <w:tcBorders>
              <w:top w:val="single" w:sz="2" w:space="0" w:color="auto"/>
              <w:left w:val="nil"/>
              <w:bottom w:val="nil"/>
            </w:tcBorders>
            <w:vAlign w:val="center"/>
          </w:tcPr>
          <w:p w14:paraId="070415A0" w14:textId="77777777" w:rsidR="00FA15F2" w:rsidRPr="00275456" w:rsidRDefault="00FA15F2" w:rsidP="00FA15F2">
            <w:pPr>
              <w:widowControl w:val="0"/>
              <w:tabs>
                <w:tab w:val="left" w:pos="284"/>
              </w:tabs>
              <w:autoSpaceDE w:val="0"/>
              <w:autoSpaceDN w:val="0"/>
              <w:adjustRightInd w:val="0"/>
              <w:jc w:val="center"/>
              <w:rPr>
                <w:sz w:val="22"/>
                <w:szCs w:val="22"/>
                <w:lang w:val="sr-Latn-ME"/>
              </w:rPr>
            </w:pPr>
            <w:r w:rsidRPr="00275456">
              <w:rPr>
                <w:sz w:val="22"/>
                <w:szCs w:val="22"/>
                <w:lang w:val="sr-Latn-ME"/>
              </w:rPr>
              <w:t>&lt; 0,001</w:t>
            </w:r>
          </w:p>
        </w:tc>
      </w:tr>
      <w:tr w:rsidR="00FA15F2" w:rsidRPr="00275456" w14:paraId="688C6509" w14:textId="77777777" w:rsidTr="0055474E">
        <w:tblPrEx>
          <w:tblBorders>
            <w:top w:val="single" w:sz="6" w:space="0" w:color="auto"/>
            <w:bottom w:val="single" w:sz="6" w:space="0" w:color="auto"/>
          </w:tblBorders>
        </w:tblPrEx>
        <w:trPr>
          <w:jc w:val="center"/>
        </w:trPr>
        <w:tc>
          <w:tcPr>
            <w:tcW w:w="2544" w:type="dxa"/>
            <w:tcBorders>
              <w:top w:val="nil"/>
              <w:bottom w:val="nil"/>
              <w:right w:val="single" w:sz="2" w:space="0" w:color="auto"/>
            </w:tcBorders>
          </w:tcPr>
          <w:p w14:paraId="1AFF6E6E" w14:textId="150AB215" w:rsidR="00FA15F2" w:rsidRPr="00EA088A" w:rsidRDefault="00FA15F2" w:rsidP="00FA15F2">
            <w:pPr>
              <w:tabs>
                <w:tab w:val="left" w:pos="284"/>
              </w:tabs>
              <w:jc w:val="both"/>
              <w:rPr>
                <w:sz w:val="22"/>
                <w:szCs w:val="22"/>
                <w:lang w:val="sr-Latn-ME"/>
              </w:rPr>
            </w:pPr>
            <w:r w:rsidRPr="00EA088A">
              <w:rPr>
                <w:sz w:val="22"/>
                <w:szCs w:val="22"/>
                <w:lang w:val="sr-Latn-ME"/>
              </w:rPr>
              <w:t>GLM s.c. svaka 2 mjeseca</w:t>
            </w:r>
          </w:p>
        </w:tc>
        <w:tc>
          <w:tcPr>
            <w:tcW w:w="1046" w:type="dxa"/>
            <w:tcBorders>
              <w:top w:val="nil"/>
              <w:left w:val="nil"/>
              <w:bottom w:val="nil"/>
              <w:right w:val="single" w:sz="2" w:space="0" w:color="auto"/>
            </w:tcBorders>
            <w:vAlign w:val="center"/>
          </w:tcPr>
          <w:p w14:paraId="543C26A2" w14:textId="77777777" w:rsidR="00FA15F2" w:rsidRPr="00EA088A" w:rsidRDefault="00FA15F2" w:rsidP="00FA15F2">
            <w:pPr>
              <w:widowControl w:val="0"/>
              <w:tabs>
                <w:tab w:val="left" w:pos="284"/>
              </w:tabs>
              <w:autoSpaceDE w:val="0"/>
              <w:autoSpaceDN w:val="0"/>
              <w:adjustRightInd w:val="0"/>
              <w:jc w:val="center"/>
              <w:rPr>
                <w:sz w:val="22"/>
                <w:szCs w:val="22"/>
                <w:lang w:val="sr-Latn-ME"/>
              </w:rPr>
            </w:pPr>
            <w:r w:rsidRPr="00EA088A">
              <w:rPr>
                <w:sz w:val="22"/>
                <w:szCs w:val="22"/>
                <w:lang w:val="sr-Latn-ME"/>
              </w:rPr>
              <w:t>43/63</w:t>
            </w:r>
          </w:p>
        </w:tc>
        <w:tc>
          <w:tcPr>
            <w:tcW w:w="1122" w:type="dxa"/>
            <w:tcBorders>
              <w:top w:val="nil"/>
              <w:left w:val="nil"/>
              <w:bottom w:val="nil"/>
              <w:right w:val="single" w:sz="2" w:space="0" w:color="auto"/>
            </w:tcBorders>
            <w:vAlign w:val="center"/>
          </w:tcPr>
          <w:p w14:paraId="22A3094B" w14:textId="77777777" w:rsidR="00FA15F2" w:rsidRPr="00C9046D" w:rsidRDefault="00FA15F2" w:rsidP="00FA15F2">
            <w:pPr>
              <w:widowControl w:val="0"/>
              <w:tabs>
                <w:tab w:val="left" w:pos="284"/>
              </w:tabs>
              <w:autoSpaceDE w:val="0"/>
              <w:autoSpaceDN w:val="0"/>
              <w:adjustRightInd w:val="0"/>
              <w:jc w:val="center"/>
              <w:rPr>
                <w:sz w:val="22"/>
                <w:szCs w:val="22"/>
                <w:lang w:val="sr-Latn-ME"/>
              </w:rPr>
            </w:pPr>
            <w:r w:rsidRPr="00C9046D">
              <w:rPr>
                <w:sz w:val="22"/>
                <w:szCs w:val="22"/>
                <w:lang w:val="sr-Latn-ME"/>
              </w:rPr>
              <w:t>68,3</w:t>
            </w:r>
          </w:p>
        </w:tc>
        <w:tc>
          <w:tcPr>
            <w:tcW w:w="2244" w:type="dxa"/>
            <w:tcBorders>
              <w:top w:val="nil"/>
              <w:left w:val="nil"/>
              <w:bottom w:val="nil"/>
              <w:right w:val="single" w:sz="2" w:space="0" w:color="auto"/>
            </w:tcBorders>
            <w:vAlign w:val="center"/>
          </w:tcPr>
          <w:p w14:paraId="63A8400F" w14:textId="77777777" w:rsidR="00FA15F2" w:rsidRPr="00275456" w:rsidRDefault="00FA15F2" w:rsidP="00FA15F2">
            <w:pPr>
              <w:widowControl w:val="0"/>
              <w:tabs>
                <w:tab w:val="left" w:pos="284"/>
              </w:tabs>
              <w:autoSpaceDE w:val="0"/>
              <w:autoSpaceDN w:val="0"/>
              <w:adjustRightInd w:val="0"/>
              <w:jc w:val="center"/>
              <w:rPr>
                <w:sz w:val="22"/>
                <w:szCs w:val="22"/>
                <w:lang w:val="sr-Latn-ME"/>
              </w:rPr>
            </w:pPr>
            <w:r w:rsidRPr="00275456">
              <w:rPr>
                <w:sz w:val="22"/>
                <w:szCs w:val="22"/>
                <w:lang w:val="sr-Latn-ME"/>
              </w:rPr>
              <w:t>34,4 (17,0; 49,7)</w:t>
            </w:r>
          </w:p>
        </w:tc>
        <w:tc>
          <w:tcPr>
            <w:tcW w:w="1684" w:type="dxa"/>
            <w:tcBorders>
              <w:top w:val="nil"/>
              <w:left w:val="nil"/>
              <w:bottom w:val="nil"/>
            </w:tcBorders>
            <w:vAlign w:val="center"/>
          </w:tcPr>
          <w:p w14:paraId="48AE7A08" w14:textId="77777777" w:rsidR="00FA15F2" w:rsidRPr="00275456" w:rsidRDefault="00FA15F2" w:rsidP="00FA15F2">
            <w:pPr>
              <w:widowControl w:val="0"/>
              <w:tabs>
                <w:tab w:val="left" w:pos="284"/>
              </w:tabs>
              <w:autoSpaceDE w:val="0"/>
              <w:autoSpaceDN w:val="0"/>
              <w:adjustRightInd w:val="0"/>
              <w:jc w:val="center"/>
              <w:rPr>
                <w:sz w:val="22"/>
                <w:szCs w:val="22"/>
                <w:lang w:val="sr-Latn-ME"/>
              </w:rPr>
            </w:pPr>
            <w:r w:rsidRPr="00275456">
              <w:rPr>
                <w:sz w:val="22"/>
                <w:szCs w:val="22"/>
                <w:lang w:val="sr-Latn-ME"/>
              </w:rPr>
              <w:t>&lt; 0,001</w:t>
            </w:r>
          </w:p>
        </w:tc>
      </w:tr>
      <w:tr w:rsidR="00FA15F2" w:rsidRPr="00275456" w14:paraId="41D9D613" w14:textId="77777777" w:rsidTr="0055474E">
        <w:tblPrEx>
          <w:tblBorders>
            <w:top w:val="single" w:sz="6" w:space="0" w:color="auto"/>
            <w:bottom w:val="single" w:sz="6" w:space="0" w:color="auto"/>
          </w:tblBorders>
        </w:tblPrEx>
        <w:trPr>
          <w:jc w:val="center"/>
        </w:trPr>
        <w:tc>
          <w:tcPr>
            <w:tcW w:w="2544" w:type="dxa"/>
            <w:tcBorders>
              <w:top w:val="nil"/>
              <w:bottom w:val="single" w:sz="4" w:space="0" w:color="auto"/>
              <w:right w:val="single" w:sz="2" w:space="0" w:color="auto"/>
            </w:tcBorders>
          </w:tcPr>
          <w:p w14:paraId="6D0D0C31" w14:textId="77777777" w:rsidR="00FA15F2" w:rsidRPr="00EA088A" w:rsidRDefault="00FA15F2" w:rsidP="00FA15F2">
            <w:pPr>
              <w:tabs>
                <w:tab w:val="left" w:pos="284"/>
              </w:tabs>
              <w:jc w:val="both"/>
              <w:rPr>
                <w:sz w:val="22"/>
                <w:szCs w:val="22"/>
                <w:lang w:val="sr-Latn-ME"/>
              </w:rPr>
            </w:pPr>
            <w:r w:rsidRPr="00EA088A">
              <w:rPr>
                <w:sz w:val="22"/>
                <w:szCs w:val="22"/>
                <w:lang w:val="sr-Latn-ME"/>
              </w:rPr>
              <w:t>Placebo</w:t>
            </w:r>
          </w:p>
        </w:tc>
        <w:tc>
          <w:tcPr>
            <w:tcW w:w="1046" w:type="dxa"/>
            <w:tcBorders>
              <w:top w:val="nil"/>
              <w:left w:val="nil"/>
              <w:bottom w:val="single" w:sz="4" w:space="0" w:color="auto"/>
              <w:right w:val="single" w:sz="2" w:space="0" w:color="auto"/>
            </w:tcBorders>
            <w:vAlign w:val="center"/>
          </w:tcPr>
          <w:p w14:paraId="2899B2A8" w14:textId="77777777" w:rsidR="00FA15F2" w:rsidRPr="00EA088A" w:rsidRDefault="00FA15F2" w:rsidP="00FA15F2">
            <w:pPr>
              <w:widowControl w:val="0"/>
              <w:tabs>
                <w:tab w:val="left" w:pos="284"/>
              </w:tabs>
              <w:autoSpaceDE w:val="0"/>
              <w:autoSpaceDN w:val="0"/>
              <w:adjustRightInd w:val="0"/>
              <w:jc w:val="center"/>
              <w:rPr>
                <w:sz w:val="22"/>
                <w:szCs w:val="22"/>
                <w:lang w:val="sr-Latn-ME"/>
              </w:rPr>
            </w:pPr>
            <w:r w:rsidRPr="00EA088A">
              <w:rPr>
                <w:sz w:val="22"/>
                <w:szCs w:val="22"/>
                <w:lang w:val="sr-Latn-ME"/>
              </w:rPr>
              <w:t>21/62</w:t>
            </w:r>
          </w:p>
        </w:tc>
        <w:tc>
          <w:tcPr>
            <w:tcW w:w="1122" w:type="dxa"/>
            <w:tcBorders>
              <w:top w:val="nil"/>
              <w:left w:val="nil"/>
              <w:bottom w:val="single" w:sz="4" w:space="0" w:color="auto"/>
              <w:right w:val="single" w:sz="2" w:space="0" w:color="auto"/>
            </w:tcBorders>
            <w:vAlign w:val="center"/>
          </w:tcPr>
          <w:p w14:paraId="2B679E71" w14:textId="77777777" w:rsidR="00FA15F2" w:rsidRPr="00C9046D" w:rsidRDefault="00FA15F2" w:rsidP="00FA15F2">
            <w:pPr>
              <w:widowControl w:val="0"/>
              <w:tabs>
                <w:tab w:val="left" w:pos="284"/>
              </w:tabs>
              <w:autoSpaceDE w:val="0"/>
              <w:autoSpaceDN w:val="0"/>
              <w:adjustRightInd w:val="0"/>
              <w:jc w:val="center"/>
              <w:rPr>
                <w:sz w:val="22"/>
                <w:szCs w:val="22"/>
                <w:lang w:val="sr-Latn-ME"/>
              </w:rPr>
            </w:pPr>
            <w:r w:rsidRPr="00C9046D">
              <w:rPr>
                <w:sz w:val="22"/>
                <w:szCs w:val="22"/>
                <w:lang w:val="sr-Latn-ME"/>
              </w:rPr>
              <w:t>33,9</w:t>
            </w:r>
          </w:p>
        </w:tc>
        <w:tc>
          <w:tcPr>
            <w:tcW w:w="2244" w:type="dxa"/>
            <w:tcBorders>
              <w:top w:val="nil"/>
              <w:left w:val="nil"/>
              <w:bottom w:val="single" w:sz="4" w:space="0" w:color="auto"/>
              <w:right w:val="single" w:sz="2" w:space="0" w:color="auto"/>
            </w:tcBorders>
            <w:vAlign w:val="center"/>
          </w:tcPr>
          <w:p w14:paraId="41360C7F" w14:textId="77777777" w:rsidR="00FA15F2" w:rsidRPr="00275456" w:rsidRDefault="00FA15F2" w:rsidP="00FA15F2">
            <w:pPr>
              <w:widowControl w:val="0"/>
              <w:tabs>
                <w:tab w:val="left" w:pos="284"/>
              </w:tabs>
              <w:autoSpaceDE w:val="0"/>
              <w:autoSpaceDN w:val="0"/>
              <w:adjustRightInd w:val="0"/>
              <w:jc w:val="center"/>
              <w:rPr>
                <w:sz w:val="22"/>
                <w:szCs w:val="22"/>
                <w:lang w:val="sr-Latn-ME"/>
              </w:rPr>
            </w:pPr>
          </w:p>
        </w:tc>
        <w:tc>
          <w:tcPr>
            <w:tcW w:w="1684" w:type="dxa"/>
            <w:tcBorders>
              <w:top w:val="nil"/>
              <w:left w:val="nil"/>
              <w:bottom w:val="single" w:sz="4" w:space="0" w:color="auto"/>
            </w:tcBorders>
            <w:vAlign w:val="center"/>
          </w:tcPr>
          <w:p w14:paraId="518A4DDC" w14:textId="77777777" w:rsidR="00FA15F2" w:rsidRPr="00275456" w:rsidRDefault="00FA15F2" w:rsidP="00FA15F2">
            <w:pPr>
              <w:widowControl w:val="0"/>
              <w:tabs>
                <w:tab w:val="left" w:pos="284"/>
              </w:tabs>
              <w:autoSpaceDE w:val="0"/>
              <w:autoSpaceDN w:val="0"/>
              <w:adjustRightInd w:val="0"/>
              <w:jc w:val="center"/>
              <w:rPr>
                <w:sz w:val="22"/>
                <w:szCs w:val="22"/>
                <w:lang w:val="sr-Latn-ME"/>
              </w:rPr>
            </w:pPr>
          </w:p>
        </w:tc>
      </w:tr>
      <w:tr w:rsidR="00FA15F2" w:rsidRPr="00275456" w14:paraId="51ABE672" w14:textId="77777777" w:rsidTr="0055474E">
        <w:tblPrEx>
          <w:tblBorders>
            <w:top w:val="single" w:sz="6" w:space="0" w:color="auto"/>
            <w:bottom w:val="single" w:sz="6" w:space="0" w:color="auto"/>
          </w:tblBorders>
        </w:tblPrEx>
        <w:trPr>
          <w:trHeight w:val="2200"/>
          <w:jc w:val="center"/>
        </w:trPr>
        <w:tc>
          <w:tcPr>
            <w:tcW w:w="8640" w:type="dxa"/>
            <w:gridSpan w:val="5"/>
            <w:tcBorders>
              <w:top w:val="single" w:sz="4" w:space="0" w:color="auto"/>
              <w:left w:val="nil"/>
              <w:bottom w:val="nil"/>
              <w:right w:val="nil"/>
            </w:tcBorders>
          </w:tcPr>
          <w:p w14:paraId="5CF678FB" w14:textId="2DD90348" w:rsidR="00FA15F2" w:rsidRPr="005C6DFE" w:rsidRDefault="00FA15F2" w:rsidP="00EA088A">
            <w:pPr>
              <w:widowControl w:val="0"/>
              <w:tabs>
                <w:tab w:val="left" w:pos="284"/>
              </w:tabs>
              <w:autoSpaceDE w:val="0"/>
              <w:autoSpaceDN w:val="0"/>
              <w:adjustRightInd w:val="0"/>
              <w:jc w:val="both"/>
              <w:rPr>
                <w:sz w:val="22"/>
                <w:szCs w:val="22"/>
                <w:lang w:val="sr-Latn-ME"/>
              </w:rPr>
            </w:pPr>
            <w:r w:rsidRPr="005C6DFE">
              <w:rPr>
                <w:sz w:val="22"/>
                <w:szCs w:val="22"/>
                <w:lang w:val="sr-Latn-ME"/>
              </w:rPr>
              <w:t>Potpuni skup podataka za analizu uključuje sve randomizovane učesnike koji su postigli status neaktivne bolesti u 1. periodu i primili najmanje jednu dozu u sklopu dvostruko slijepog, ispitivanog liječenja.</w:t>
            </w:r>
          </w:p>
          <w:p w14:paraId="768C2C77" w14:textId="37E1B88D" w:rsidR="00FA15F2" w:rsidRPr="005C6DFE" w:rsidRDefault="00FA15F2" w:rsidP="00EA088A">
            <w:pPr>
              <w:widowControl w:val="0"/>
              <w:tabs>
                <w:tab w:val="left" w:pos="284"/>
              </w:tabs>
              <w:autoSpaceDE w:val="0"/>
              <w:autoSpaceDN w:val="0"/>
              <w:adjustRightInd w:val="0"/>
              <w:ind w:left="284" w:hanging="284"/>
              <w:jc w:val="both"/>
              <w:rPr>
                <w:sz w:val="22"/>
                <w:szCs w:val="22"/>
                <w:lang w:val="sr-Latn-ME"/>
              </w:rPr>
            </w:pPr>
            <w:r w:rsidRPr="00EA088A">
              <w:rPr>
                <w:sz w:val="22"/>
                <w:szCs w:val="22"/>
                <w:vertAlign w:val="superscript"/>
                <w:lang w:val="sr-Latn-ME"/>
              </w:rPr>
              <w:t>a</w:t>
            </w:r>
            <w:r w:rsidRPr="00EA088A">
              <w:rPr>
                <w:sz w:val="22"/>
                <w:szCs w:val="22"/>
                <w:lang w:val="sr-Latn-ME"/>
              </w:rPr>
              <w:tab/>
            </w:r>
            <w:bookmarkStart w:id="13" w:name="_Hlk132900619"/>
            <w:r w:rsidRPr="005C6DFE">
              <w:rPr>
                <w:sz w:val="22"/>
                <w:szCs w:val="22"/>
                <w:lang w:val="sr-Latn-ME"/>
              </w:rPr>
              <w:t>Definisano kao apsolutni ASDAS rezultat ≥ 2,1 ili povećanje ASDAS rezultata nakon prekida liječenja za ≥ 1,1 bod u odnosu na rezultat iz 10. mjeseca (posjeta br. 23) pri 2 uzastopne posjete.</w:t>
            </w:r>
          </w:p>
          <w:bookmarkEnd w:id="13"/>
          <w:p w14:paraId="7A92D806" w14:textId="3E514252" w:rsidR="00FA15F2" w:rsidRPr="005C6DFE" w:rsidRDefault="00FA15F2" w:rsidP="00EA088A">
            <w:pPr>
              <w:widowControl w:val="0"/>
              <w:tabs>
                <w:tab w:val="left" w:pos="284"/>
              </w:tabs>
              <w:autoSpaceDE w:val="0"/>
              <w:autoSpaceDN w:val="0"/>
              <w:adjustRightInd w:val="0"/>
              <w:ind w:left="284" w:hanging="284"/>
              <w:jc w:val="both"/>
              <w:rPr>
                <w:sz w:val="22"/>
                <w:szCs w:val="22"/>
                <w:lang w:val="sr-Latn-ME"/>
              </w:rPr>
            </w:pPr>
            <w:r w:rsidRPr="00EA088A">
              <w:rPr>
                <w:sz w:val="22"/>
                <w:szCs w:val="22"/>
                <w:vertAlign w:val="superscript"/>
                <w:lang w:val="sr-Latn-ME"/>
              </w:rPr>
              <w:t>b</w:t>
            </w:r>
            <w:r w:rsidRPr="00EA088A">
              <w:rPr>
                <w:sz w:val="22"/>
                <w:szCs w:val="22"/>
                <w:vertAlign w:val="subscript"/>
                <w:lang w:val="sr-Latn-ME"/>
              </w:rPr>
              <w:tab/>
            </w:r>
            <w:r w:rsidRPr="005C6DFE">
              <w:rPr>
                <w:sz w:val="22"/>
                <w:szCs w:val="22"/>
                <w:lang w:val="sr-Latn-ME"/>
              </w:rPr>
              <w:t xml:space="preserve">Stopa greške tipa I u višestrukim poređenjima terapija (GLM s.c. 1 x mjesečno naspram placeba i GLM s.c. jedanput svaka 2 mjeseca naspram placeba) kontrolisana je primjenom sekvencijalnog (eng. </w:t>
            </w:r>
            <w:r w:rsidRPr="005C6DFE">
              <w:rPr>
                <w:i/>
                <w:iCs/>
                <w:sz w:val="22"/>
                <w:szCs w:val="22"/>
                <w:lang w:val="sr-Latn-ME"/>
              </w:rPr>
              <w:t>step-down</w:t>
            </w:r>
            <w:r w:rsidRPr="005C6DFE">
              <w:rPr>
                <w:sz w:val="22"/>
                <w:szCs w:val="22"/>
                <w:lang w:val="sr-Latn-ME"/>
              </w:rPr>
              <w:t xml:space="preserve">) postupka testiranja. Dobijena je na osnovu stratifikovane </w:t>
            </w:r>
            <w:r w:rsidRPr="005C6DFE">
              <w:rPr>
                <w:i/>
                <w:iCs/>
                <w:sz w:val="22"/>
                <w:szCs w:val="22"/>
                <w:lang w:val="sr-Latn-ME"/>
              </w:rPr>
              <w:t>Miettinen</w:t>
            </w:r>
            <w:r w:rsidRPr="005C6DFE">
              <w:rPr>
                <w:sz w:val="22"/>
                <w:szCs w:val="22"/>
                <w:lang w:val="sr-Latn-ME"/>
              </w:rPr>
              <w:t xml:space="preserve">-ove i </w:t>
            </w:r>
            <w:r w:rsidRPr="005C6DFE">
              <w:rPr>
                <w:i/>
                <w:iCs/>
                <w:sz w:val="22"/>
                <w:szCs w:val="22"/>
                <w:lang w:val="sr-Latn-ME"/>
              </w:rPr>
              <w:t>Nurminen</w:t>
            </w:r>
            <w:r w:rsidRPr="005C6DFE">
              <w:rPr>
                <w:sz w:val="22"/>
                <w:szCs w:val="22"/>
                <w:lang w:val="sr-Latn-ME"/>
              </w:rPr>
              <w:t xml:space="preserve">-ove metode, pri čemu je </w:t>
            </w:r>
            <w:bookmarkStart w:id="14" w:name="_Hlk132900519"/>
            <w:r w:rsidRPr="005C6DFE">
              <w:rPr>
                <w:sz w:val="22"/>
                <w:szCs w:val="22"/>
                <w:lang w:val="sr-Latn-ME"/>
              </w:rPr>
              <w:t>faktor stratifikacije bio nivo CRP</w:t>
            </w:r>
            <w:r w:rsidRPr="005C6DFE">
              <w:rPr>
                <w:sz w:val="22"/>
                <w:szCs w:val="22"/>
                <w:lang w:val="sr-Latn-ME"/>
              </w:rPr>
              <w:noBreakHyphen/>
              <w:t>a (&gt; 6 mg/L ili ≤ 6 mg/L).</w:t>
            </w:r>
            <w:bookmarkEnd w:id="14"/>
          </w:p>
          <w:p w14:paraId="6E7655B0" w14:textId="0770DC5A" w:rsidR="00FA15F2" w:rsidRPr="005C6DFE" w:rsidRDefault="00FA15F2" w:rsidP="00C9046D">
            <w:pPr>
              <w:tabs>
                <w:tab w:val="left" w:pos="284"/>
              </w:tabs>
              <w:jc w:val="both"/>
              <w:rPr>
                <w:sz w:val="22"/>
                <w:szCs w:val="22"/>
                <w:lang w:val="sr-Latn-ME"/>
              </w:rPr>
            </w:pPr>
            <w:r w:rsidRPr="005C6DFE">
              <w:rPr>
                <w:sz w:val="22"/>
                <w:szCs w:val="22"/>
                <w:lang w:val="sr-Latn-ME"/>
              </w:rPr>
              <w:t>Za učesnike koji su učešće u 2. periodu prekinuli prevremeno i prije pogoršanja smatra se da su imali pogoršanje.</w:t>
            </w:r>
          </w:p>
          <w:p w14:paraId="4CC2365A" w14:textId="77777777" w:rsidR="00FA15F2" w:rsidRPr="005C6DFE" w:rsidRDefault="00FA15F2">
            <w:pPr>
              <w:tabs>
                <w:tab w:val="left" w:pos="284"/>
              </w:tabs>
              <w:jc w:val="both"/>
              <w:rPr>
                <w:sz w:val="22"/>
                <w:szCs w:val="22"/>
                <w:lang w:val="sr-Latn-ME"/>
              </w:rPr>
            </w:pPr>
            <w:r w:rsidRPr="005C6DFE">
              <w:rPr>
                <w:sz w:val="22"/>
                <w:szCs w:val="22"/>
                <w:lang w:val="sr-Latn-ME"/>
              </w:rPr>
              <w:t>N = ukupan broj učesnika; n = broj učesnika bez pogoršanja; GLM = golimumab; s.c. = supkutano.</w:t>
            </w:r>
          </w:p>
        </w:tc>
      </w:tr>
    </w:tbl>
    <w:p w14:paraId="4AB495C1" w14:textId="77777777" w:rsidR="00FA15F2" w:rsidRPr="00EA088A" w:rsidRDefault="00FA15F2" w:rsidP="00EA088A">
      <w:pPr>
        <w:tabs>
          <w:tab w:val="left" w:pos="284"/>
        </w:tabs>
        <w:autoSpaceDE w:val="0"/>
        <w:autoSpaceDN w:val="0"/>
        <w:adjustRightInd w:val="0"/>
        <w:jc w:val="both"/>
        <w:rPr>
          <w:sz w:val="22"/>
          <w:szCs w:val="22"/>
          <w:lang w:val="sr-Latn-ME"/>
        </w:rPr>
      </w:pPr>
    </w:p>
    <w:p w14:paraId="0CE1EE00" w14:textId="27ED91D8" w:rsidR="00FA15F2" w:rsidRPr="00275456" w:rsidRDefault="00FA15F2" w:rsidP="00EA088A">
      <w:pPr>
        <w:tabs>
          <w:tab w:val="left" w:pos="284"/>
        </w:tabs>
        <w:autoSpaceDE w:val="0"/>
        <w:autoSpaceDN w:val="0"/>
        <w:adjustRightInd w:val="0"/>
        <w:jc w:val="both"/>
        <w:rPr>
          <w:sz w:val="22"/>
          <w:szCs w:val="22"/>
          <w:lang w:val="sr-Latn-ME"/>
        </w:rPr>
      </w:pPr>
      <w:r w:rsidRPr="00EA088A">
        <w:rPr>
          <w:sz w:val="22"/>
          <w:szCs w:val="22"/>
          <w:lang w:val="sr-Latn-ME"/>
        </w:rPr>
        <w:t>Razlika u vremenu do prvog pogoršanja bolesti između grupe koja je prekinula liječenje i svake od grupa koje su nastavile liječenje lijekom Simponi prikazana je na Slici 1 (log</w:t>
      </w:r>
      <w:r w:rsidRPr="00EA088A">
        <w:rPr>
          <w:sz w:val="22"/>
          <w:szCs w:val="22"/>
          <w:lang w:val="sr-Latn-ME"/>
        </w:rPr>
        <w:noBreakHyphen/>
        <w:t>rang p &lt; 0,0001 za svako poređenje). U grupi koja je primala placebo, pogoršanja su započela približno 2 mjeseca poslije prestanka liječenja lijekom Simpo</w:t>
      </w:r>
      <w:r w:rsidRPr="00C9046D">
        <w:rPr>
          <w:sz w:val="22"/>
          <w:szCs w:val="22"/>
          <w:lang w:val="sr-Latn-ME"/>
        </w:rPr>
        <w:t>ni, a većina pogoršanja se javila unutar 4 mjeseca od prekida liječenja (Slika 1).</w:t>
      </w:r>
    </w:p>
    <w:p w14:paraId="52742428" w14:textId="77777777" w:rsidR="00FA15F2" w:rsidRPr="00275456" w:rsidRDefault="00FA15F2" w:rsidP="005C6DFE">
      <w:pPr>
        <w:tabs>
          <w:tab w:val="left" w:pos="284"/>
        </w:tabs>
        <w:autoSpaceDE w:val="0"/>
        <w:autoSpaceDN w:val="0"/>
        <w:adjustRightInd w:val="0"/>
        <w:jc w:val="both"/>
        <w:rPr>
          <w:sz w:val="22"/>
          <w:szCs w:val="22"/>
          <w:highlight w:val="yellow"/>
          <w:u w:val="single"/>
          <w:lang w:val="sr-Latn-ME"/>
        </w:rPr>
      </w:pPr>
    </w:p>
    <w:p w14:paraId="4C9BE82D" w14:textId="77777777" w:rsidR="00FA15F2" w:rsidRPr="00352F6E" w:rsidRDefault="00FA15F2" w:rsidP="00FA15F2">
      <w:pPr>
        <w:keepNext/>
        <w:tabs>
          <w:tab w:val="left" w:pos="567"/>
        </w:tabs>
        <w:jc w:val="center"/>
        <w:rPr>
          <w:sz w:val="22"/>
          <w:szCs w:val="22"/>
          <w:lang w:val="sr-Latn-ME"/>
        </w:rPr>
      </w:pPr>
      <w:r w:rsidRPr="00352F6E">
        <w:rPr>
          <w:b/>
          <w:bCs/>
          <w:sz w:val="22"/>
          <w:szCs w:val="22"/>
          <w:lang w:val="sr-Latn-ME"/>
        </w:rPr>
        <w:lastRenderedPageBreak/>
        <w:t>Slika 1:</w:t>
      </w:r>
      <w:r w:rsidRPr="00352F6E">
        <w:rPr>
          <w:b/>
          <w:bCs/>
          <w:sz w:val="22"/>
          <w:szCs w:val="22"/>
          <w:lang w:val="sr-Latn-ME"/>
        </w:rPr>
        <w:tab/>
      </w:r>
      <w:r w:rsidRPr="00352F6E">
        <w:rPr>
          <w:b/>
          <w:bCs/>
          <w:i/>
          <w:iCs/>
          <w:sz w:val="22"/>
          <w:szCs w:val="22"/>
          <w:lang w:val="sr-Latn-ME"/>
        </w:rPr>
        <w:t>Kaplan-Meier</w:t>
      </w:r>
      <w:r w:rsidRPr="00352F6E">
        <w:rPr>
          <w:b/>
          <w:bCs/>
          <w:sz w:val="22"/>
          <w:szCs w:val="22"/>
          <w:lang w:val="sr-Latn-ME"/>
        </w:rPr>
        <w:t>-ova analiza vremena do prvog pogoršanja bolesti</w:t>
      </w:r>
    </w:p>
    <w:p w14:paraId="1426D16E" w14:textId="77777777" w:rsidR="00FA15F2" w:rsidRPr="00275456" w:rsidRDefault="00FA15F2" w:rsidP="00FA15F2">
      <w:pPr>
        <w:keepNext/>
        <w:tabs>
          <w:tab w:val="left" w:pos="567"/>
        </w:tabs>
        <w:rPr>
          <w:sz w:val="22"/>
          <w:szCs w:val="22"/>
          <w:lang w:val="sr-Latn-ME"/>
        </w:rPr>
      </w:pPr>
    </w:p>
    <w:p w14:paraId="303D1C96" w14:textId="77777777" w:rsidR="00FA15F2" w:rsidRPr="00EA088A" w:rsidRDefault="00FA15F2" w:rsidP="00FA15F2">
      <w:pPr>
        <w:tabs>
          <w:tab w:val="left" w:pos="567"/>
        </w:tabs>
        <w:rPr>
          <w:sz w:val="22"/>
          <w:szCs w:val="22"/>
          <w:lang w:val="sr-Latn-ME"/>
        </w:rPr>
      </w:pPr>
      <w:r w:rsidRPr="005C6DFE">
        <w:rPr>
          <w:noProof/>
          <w:sz w:val="22"/>
          <w:szCs w:val="22"/>
        </w:rPr>
        <w:drawing>
          <wp:inline distT="0" distB="0" distL="0" distR="0" wp14:anchorId="6BEB44DF" wp14:editId="3BBE0E81">
            <wp:extent cx="6120765" cy="4518660"/>
            <wp:effectExtent l="0" t="0" r="0" b="0"/>
            <wp:docPr id="3" name="Picture 1" descr="A picture containing text,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diagram, li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20765" cy="4518660"/>
                    </a:xfrm>
                    <a:prstGeom prst="rect">
                      <a:avLst/>
                    </a:prstGeom>
                  </pic:spPr>
                </pic:pic>
              </a:graphicData>
            </a:graphic>
          </wp:inline>
        </w:drawing>
      </w:r>
    </w:p>
    <w:p w14:paraId="337E861A" w14:textId="77777777" w:rsidR="00FA15F2" w:rsidRPr="00EA088A" w:rsidRDefault="00FA15F2" w:rsidP="00FA15F2">
      <w:pPr>
        <w:tabs>
          <w:tab w:val="left" w:pos="567"/>
        </w:tabs>
        <w:rPr>
          <w:sz w:val="22"/>
          <w:szCs w:val="22"/>
          <w:lang w:val="sr-Latn-ME"/>
        </w:rPr>
      </w:pPr>
    </w:p>
    <w:p w14:paraId="17EB6498" w14:textId="2C383965" w:rsidR="00FA15F2" w:rsidRPr="00EA088A" w:rsidRDefault="00FA15F2" w:rsidP="005C6DFE">
      <w:pPr>
        <w:keepNext/>
        <w:tabs>
          <w:tab w:val="left" w:pos="567"/>
        </w:tabs>
        <w:jc w:val="both"/>
        <w:textAlignment w:val="baseline"/>
        <w:rPr>
          <w:sz w:val="22"/>
          <w:szCs w:val="22"/>
          <w:lang w:val="sr-Latn-ME"/>
        </w:rPr>
      </w:pPr>
      <w:r w:rsidRPr="00EA088A">
        <w:rPr>
          <w:i/>
          <w:iCs/>
          <w:sz w:val="22"/>
          <w:szCs w:val="22"/>
          <w:lang w:val="sr-Latn-ME"/>
        </w:rPr>
        <w:t>Klinički odgovor na ponovno liječenje zbog pogoršanja bolesti</w:t>
      </w:r>
    </w:p>
    <w:p w14:paraId="3C7EEA32" w14:textId="6B6878E0" w:rsidR="00FA15F2" w:rsidRPr="00275456" w:rsidRDefault="00FA15F2" w:rsidP="005C6DFE">
      <w:pPr>
        <w:tabs>
          <w:tab w:val="left" w:pos="567"/>
        </w:tabs>
        <w:jc w:val="both"/>
        <w:rPr>
          <w:sz w:val="22"/>
          <w:szCs w:val="22"/>
          <w:lang w:val="sr-Latn-ME"/>
        </w:rPr>
      </w:pPr>
      <w:r w:rsidRPr="00C9046D">
        <w:rPr>
          <w:sz w:val="22"/>
          <w:szCs w:val="22"/>
          <w:lang w:val="sr-Latn-ME"/>
        </w:rPr>
        <w:t>Klinički odgovor je definisan kao poboljšanje BASDAI rezultata za ≥ 2 boda ili ≥ 50% u odnosu na srednju vrijednost 2 uzastopna BASDAI rezultata koja se pripisuju pogoršanju bolesti. Od 53 učesnika koja su primala redukovan režim liječenja ili prekinula liječenje i imala potvrđeno pogoršanje</w:t>
      </w:r>
      <w:r w:rsidRPr="00275456">
        <w:rPr>
          <w:sz w:val="22"/>
          <w:szCs w:val="22"/>
          <w:lang w:val="sr-Latn-ME"/>
        </w:rPr>
        <w:t xml:space="preserve"> bolesti, 51 (96,2%) je ostvarilo klinički odgovor na lijek Simponi unutar prva 3 mjeseca od ponovnog uvođenja liječenja, premda je manji broj njih (71,7%) uspio da održi odgovor tokom sva 3 mjeseca.</w:t>
      </w:r>
    </w:p>
    <w:p w14:paraId="7C705DB3" w14:textId="77777777" w:rsidR="00785722" w:rsidRPr="00275456" w:rsidRDefault="00785722" w:rsidP="005C6DFE">
      <w:pPr>
        <w:tabs>
          <w:tab w:val="left" w:pos="284"/>
        </w:tabs>
        <w:autoSpaceDE w:val="0"/>
        <w:autoSpaceDN w:val="0"/>
        <w:adjustRightInd w:val="0"/>
        <w:jc w:val="both"/>
        <w:rPr>
          <w:sz w:val="22"/>
          <w:szCs w:val="22"/>
          <w:lang w:val="sr-Latn-ME"/>
        </w:rPr>
      </w:pPr>
    </w:p>
    <w:p w14:paraId="7DC786A6" w14:textId="77777777" w:rsidR="00785722" w:rsidRPr="00275456" w:rsidRDefault="00785722" w:rsidP="005C6DFE">
      <w:pPr>
        <w:autoSpaceDE w:val="0"/>
        <w:autoSpaceDN w:val="0"/>
        <w:adjustRightInd w:val="0"/>
        <w:jc w:val="both"/>
        <w:rPr>
          <w:i/>
          <w:sz w:val="22"/>
          <w:szCs w:val="22"/>
          <w:lang w:val="sr-Latn-ME"/>
        </w:rPr>
      </w:pPr>
      <w:r w:rsidRPr="00275456">
        <w:rPr>
          <w:i/>
          <w:sz w:val="22"/>
          <w:szCs w:val="22"/>
          <w:lang w:val="sr-Latn-ME"/>
        </w:rPr>
        <w:t>Ulcerozni kolitis</w:t>
      </w:r>
    </w:p>
    <w:p w14:paraId="6A857A6D" w14:textId="4C8C2692" w:rsidR="00785722" w:rsidRPr="00275456" w:rsidRDefault="00785722" w:rsidP="005C6DFE">
      <w:pPr>
        <w:autoSpaceDE w:val="0"/>
        <w:autoSpaceDN w:val="0"/>
        <w:adjustRightInd w:val="0"/>
        <w:jc w:val="both"/>
        <w:rPr>
          <w:sz w:val="22"/>
          <w:szCs w:val="22"/>
          <w:lang w:val="sr-Latn-ME"/>
        </w:rPr>
      </w:pPr>
      <w:r w:rsidRPr="00275456">
        <w:rPr>
          <w:sz w:val="22"/>
          <w:szCs w:val="22"/>
          <w:lang w:val="sr-Latn-ME"/>
        </w:rPr>
        <w:t>Efikasnost lijeka Simponi ispitana je u dvije randomizirane, dvostruko slijepe, placebo kontrolisane kliničke studije kod odraslih pacijenata.</w:t>
      </w:r>
    </w:p>
    <w:p w14:paraId="37B08488" w14:textId="77777777" w:rsidR="00C5265A" w:rsidRPr="00275456" w:rsidRDefault="00C5265A" w:rsidP="005C6DFE">
      <w:pPr>
        <w:autoSpaceDE w:val="0"/>
        <w:autoSpaceDN w:val="0"/>
        <w:adjustRightInd w:val="0"/>
        <w:jc w:val="both"/>
        <w:rPr>
          <w:sz w:val="22"/>
          <w:szCs w:val="22"/>
          <w:lang w:val="sr-Latn-ME"/>
        </w:rPr>
      </w:pPr>
    </w:p>
    <w:p w14:paraId="1DB685A3" w14:textId="77777777" w:rsidR="00785722" w:rsidRPr="00275456" w:rsidRDefault="00785722" w:rsidP="005C6DFE">
      <w:pPr>
        <w:autoSpaceDE w:val="0"/>
        <w:autoSpaceDN w:val="0"/>
        <w:adjustRightInd w:val="0"/>
        <w:jc w:val="both"/>
        <w:rPr>
          <w:sz w:val="22"/>
          <w:szCs w:val="22"/>
          <w:lang w:val="sr-Latn-ME"/>
        </w:rPr>
      </w:pPr>
      <w:r w:rsidRPr="00275456">
        <w:rPr>
          <w:sz w:val="22"/>
          <w:szCs w:val="22"/>
          <w:lang w:val="sr-Latn-ME"/>
        </w:rPr>
        <w:t>U ispitivanju uvodne terapije (</w:t>
      </w:r>
      <w:r w:rsidRPr="00275456">
        <w:rPr>
          <w:i/>
          <w:iCs/>
          <w:sz w:val="22"/>
          <w:szCs w:val="22"/>
          <w:lang w:val="sr-Latn-ME"/>
        </w:rPr>
        <w:t>PURSUIT-Induction</w:t>
      </w:r>
      <w:r w:rsidRPr="00275456">
        <w:rPr>
          <w:sz w:val="22"/>
          <w:szCs w:val="22"/>
          <w:lang w:val="sr-Latn-ME"/>
        </w:rPr>
        <w:t>) procjenjivani su pacijenti sa umjerenim do teškim oblikom aktivnog ulceroznog kolitisa (</w:t>
      </w:r>
      <w:r w:rsidRPr="00275456">
        <w:rPr>
          <w:i/>
          <w:iCs/>
          <w:sz w:val="22"/>
          <w:szCs w:val="22"/>
          <w:lang w:val="sr-Latn-ME"/>
        </w:rPr>
        <w:t>Mayo</w:t>
      </w:r>
      <w:r w:rsidRPr="00275456">
        <w:rPr>
          <w:sz w:val="22"/>
          <w:szCs w:val="22"/>
          <w:lang w:val="sr-Latn-ME"/>
        </w:rPr>
        <w:t xml:space="preserve"> skor 6 do 12; endoskopski podskor ≥ 2) koji nijesu na odgovarajući način odgovorili ili nijesu podnosili konvencionalnu terapiju, ili su bili zavisni od kortikosteroida. U dijelu ispitivanja namijenjenom potvrđivanju doze, 761 pacijent randomiziran je u grupu koja je u 0. nedjelji primila Simponi u subkutanoj dozi od 400 mg, a zatim u 2. nedjelji dozu od 200 mg, ili u grupu koja je u 0. nedjelji primila Simponi u subkutanoj dozi od 200 mg, a zatim u 2. nedjelji dozu od 100 mg ili u grupu koja je i u 0. i u 2.nedjelji primila subkutanu dozu placeba. Bila je dozvoljena istovremena primjena stabilnih doza peroralnih aminosalicilata, kortikosteroida i/ili imunomodulatora. U tom ispitivanju je ocjenjena efikasnost lijeka Simponi do 6 nedjelje terapije. </w:t>
      </w:r>
    </w:p>
    <w:p w14:paraId="7E31701D" w14:textId="77777777" w:rsidR="00785722" w:rsidRPr="00275456" w:rsidRDefault="00785722" w:rsidP="005C6DFE">
      <w:pPr>
        <w:autoSpaceDE w:val="0"/>
        <w:autoSpaceDN w:val="0"/>
        <w:adjustRightInd w:val="0"/>
        <w:jc w:val="both"/>
        <w:rPr>
          <w:sz w:val="22"/>
          <w:szCs w:val="22"/>
          <w:lang w:val="sr-Latn-ME"/>
        </w:rPr>
      </w:pPr>
    </w:p>
    <w:p w14:paraId="3EF02E9D" w14:textId="77777777" w:rsidR="00EA088A" w:rsidRPr="00275456" w:rsidRDefault="00785722" w:rsidP="00275456">
      <w:pPr>
        <w:pStyle w:val="Default"/>
        <w:jc w:val="both"/>
        <w:rPr>
          <w:i/>
          <w:iCs/>
          <w:sz w:val="22"/>
          <w:szCs w:val="22"/>
          <w:lang w:val="sr-Latn-ME"/>
        </w:rPr>
      </w:pPr>
      <w:r w:rsidRPr="00275456">
        <w:rPr>
          <w:sz w:val="22"/>
          <w:szCs w:val="22"/>
          <w:lang w:val="sr-Latn-ME"/>
        </w:rPr>
        <w:t>Rezultati ispitivanja terapije održavanja (</w:t>
      </w:r>
      <w:r w:rsidRPr="00275456">
        <w:rPr>
          <w:i/>
          <w:iCs/>
          <w:sz w:val="22"/>
          <w:szCs w:val="22"/>
          <w:lang w:val="sr-Latn-ME"/>
        </w:rPr>
        <w:t>PURSUIT-Maintenance</w:t>
      </w:r>
      <w:r w:rsidRPr="00275456">
        <w:rPr>
          <w:sz w:val="22"/>
          <w:szCs w:val="22"/>
          <w:lang w:val="sr-Latn-ME"/>
        </w:rPr>
        <w:t xml:space="preserve">) temeljili su se na procjeni 456 pacijenata koji su ostvarili klinički odgovor na prethodnu uvodnu terapiju lijekom Simponi. Pacijenti su randomizirani u grupu koja je svake 4 nedelje primala subkutanu dozu lijeka Simponi od 50 mg, 100 mg ili placebo. Bila je dozvoljena istovremena primjena stabilnih doza peroralnih aminosalicilata i/ili imunomodulatora. Primjena kortikosteroida morala se postupno smanjivati na početku ispitivanja </w:t>
      </w:r>
      <w:r w:rsidRPr="00275456">
        <w:rPr>
          <w:sz w:val="22"/>
          <w:szCs w:val="22"/>
          <w:lang w:val="sr-Latn-ME"/>
        </w:rPr>
        <w:lastRenderedPageBreak/>
        <w:t>terapije održavanja. U tom ispitivanju je ocijenjena efikasnost lijeka Simponi do 54. nedjelje terapije.</w:t>
      </w:r>
      <w:r w:rsidR="00C5265A" w:rsidRPr="00275456">
        <w:rPr>
          <w:sz w:val="22"/>
          <w:szCs w:val="22"/>
          <w:lang w:val="sr-Latn-ME"/>
        </w:rPr>
        <w:t xml:space="preserve"> </w:t>
      </w:r>
      <w:r w:rsidRPr="00275456">
        <w:rPr>
          <w:sz w:val="22"/>
          <w:szCs w:val="22"/>
          <w:lang w:val="sr-Latn-ME"/>
        </w:rPr>
        <w:t>Pacijenti koji su završili studiju održavanja tokom 54. nedjelje su nastavili sa terapijom u produžetku studije, sa procjenom efikasnosti tokom nedjelje 216. Procjena efikasnosti u produžetku studije se zasnivala na promjenama u upotrebi koritkosteroida,po globalnoj procjeni ljekara (</w:t>
      </w:r>
      <w:r w:rsidRPr="00275456">
        <w:rPr>
          <w:i/>
          <w:iCs/>
          <w:sz w:val="22"/>
          <w:szCs w:val="22"/>
          <w:lang w:val="sr-Latn-ME"/>
        </w:rPr>
        <w:t xml:space="preserve">Physician’s Global </w:t>
      </w:r>
    </w:p>
    <w:tbl>
      <w:tblPr>
        <w:tblpPr w:leftFromText="180" w:rightFromText="180" w:vertAnchor="text" w:horzAnchor="margin" w:tblpY="14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4"/>
        <w:gridCol w:w="2257"/>
        <w:gridCol w:w="2251"/>
        <w:gridCol w:w="2251"/>
      </w:tblGrid>
      <w:tr w:rsidR="00EA088A" w:rsidRPr="0060206F" w14:paraId="6C8E3CC7" w14:textId="77777777" w:rsidTr="005C6DFE">
        <w:tc>
          <w:tcPr>
            <w:tcW w:w="9063" w:type="dxa"/>
            <w:gridSpan w:val="4"/>
            <w:shd w:val="clear" w:color="auto" w:fill="auto"/>
          </w:tcPr>
          <w:p w14:paraId="1F391959" w14:textId="77777777" w:rsidR="00EA088A" w:rsidRPr="0060206F" w:rsidRDefault="00EA088A" w:rsidP="00C9046D">
            <w:pPr>
              <w:autoSpaceDE w:val="0"/>
              <w:autoSpaceDN w:val="0"/>
              <w:adjustRightInd w:val="0"/>
              <w:jc w:val="center"/>
              <w:rPr>
                <w:b/>
                <w:sz w:val="22"/>
                <w:szCs w:val="22"/>
                <w:lang w:val="sr-Latn-ME"/>
              </w:rPr>
            </w:pPr>
            <w:r w:rsidRPr="0060206F">
              <w:rPr>
                <w:b/>
                <w:sz w:val="22"/>
                <w:szCs w:val="22"/>
                <w:lang w:val="sr-Latn-ME"/>
              </w:rPr>
              <w:t>PURSUIT – Induction</w:t>
            </w:r>
          </w:p>
        </w:tc>
      </w:tr>
      <w:tr w:rsidR="00EA088A" w:rsidRPr="0060206F" w14:paraId="04E54C72" w14:textId="77777777" w:rsidTr="005C6DFE">
        <w:tc>
          <w:tcPr>
            <w:tcW w:w="2304" w:type="dxa"/>
            <w:shd w:val="clear" w:color="auto" w:fill="auto"/>
          </w:tcPr>
          <w:p w14:paraId="27BE8924" w14:textId="77777777" w:rsidR="00EA088A" w:rsidRPr="0060206F" w:rsidRDefault="00EA088A" w:rsidP="00C9046D">
            <w:pPr>
              <w:autoSpaceDE w:val="0"/>
              <w:autoSpaceDN w:val="0"/>
              <w:adjustRightInd w:val="0"/>
              <w:rPr>
                <w:sz w:val="22"/>
                <w:szCs w:val="22"/>
                <w:lang w:val="sr-Latn-ME"/>
              </w:rPr>
            </w:pPr>
          </w:p>
        </w:tc>
        <w:tc>
          <w:tcPr>
            <w:tcW w:w="2257" w:type="dxa"/>
            <w:shd w:val="clear" w:color="auto" w:fill="auto"/>
            <w:vAlign w:val="center"/>
          </w:tcPr>
          <w:p w14:paraId="53A004D1" w14:textId="77777777" w:rsidR="00EA088A" w:rsidRPr="0060206F" w:rsidRDefault="00EA088A" w:rsidP="00C9046D">
            <w:pPr>
              <w:autoSpaceDE w:val="0"/>
              <w:autoSpaceDN w:val="0"/>
              <w:adjustRightInd w:val="0"/>
              <w:jc w:val="center"/>
              <w:rPr>
                <w:b/>
                <w:bCs/>
                <w:sz w:val="22"/>
                <w:szCs w:val="22"/>
                <w:lang w:val="sr-Latn-ME"/>
              </w:rPr>
            </w:pPr>
            <w:r w:rsidRPr="0060206F">
              <w:rPr>
                <w:b/>
                <w:bCs/>
                <w:sz w:val="22"/>
                <w:szCs w:val="22"/>
                <w:lang w:val="sr-Latn-ME"/>
              </w:rPr>
              <w:t>Placebo</w:t>
            </w:r>
          </w:p>
          <w:p w14:paraId="3CE59E7E"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N=251</w:t>
            </w:r>
          </w:p>
        </w:tc>
        <w:tc>
          <w:tcPr>
            <w:tcW w:w="4502" w:type="dxa"/>
            <w:gridSpan w:val="2"/>
            <w:shd w:val="clear" w:color="auto" w:fill="auto"/>
            <w:vAlign w:val="center"/>
          </w:tcPr>
          <w:p w14:paraId="4FFE1613" w14:textId="77777777" w:rsidR="00EA088A" w:rsidRPr="0060206F" w:rsidRDefault="00EA088A" w:rsidP="00C9046D">
            <w:pPr>
              <w:autoSpaceDE w:val="0"/>
              <w:autoSpaceDN w:val="0"/>
              <w:adjustRightInd w:val="0"/>
              <w:jc w:val="center"/>
              <w:rPr>
                <w:b/>
                <w:bCs/>
                <w:sz w:val="22"/>
                <w:szCs w:val="22"/>
                <w:lang w:val="sr-Latn-ME"/>
              </w:rPr>
            </w:pPr>
            <w:r w:rsidRPr="0060206F">
              <w:rPr>
                <w:b/>
                <w:bCs/>
                <w:sz w:val="22"/>
                <w:szCs w:val="22"/>
                <w:lang w:val="sr-Latn-ME"/>
              </w:rPr>
              <w:t>Simponi</w:t>
            </w:r>
          </w:p>
          <w:p w14:paraId="61A1A99F" w14:textId="77777777" w:rsidR="00EA088A" w:rsidRPr="0060206F" w:rsidRDefault="00EA088A" w:rsidP="00C9046D">
            <w:pPr>
              <w:autoSpaceDE w:val="0"/>
              <w:autoSpaceDN w:val="0"/>
              <w:adjustRightInd w:val="0"/>
              <w:jc w:val="center"/>
              <w:rPr>
                <w:b/>
                <w:bCs/>
                <w:sz w:val="22"/>
                <w:szCs w:val="22"/>
                <w:lang w:val="sr-Latn-ME"/>
              </w:rPr>
            </w:pPr>
            <w:r w:rsidRPr="0060206F">
              <w:rPr>
                <w:b/>
                <w:bCs/>
                <w:sz w:val="22"/>
                <w:szCs w:val="22"/>
                <w:lang w:val="sr-Latn-ME"/>
              </w:rPr>
              <w:t>200/100 mg</w:t>
            </w:r>
          </w:p>
          <w:p w14:paraId="11F526FC"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N=253</w:t>
            </w:r>
          </w:p>
        </w:tc>
      </w:tr>
      <w:tr w:rsidR="00EA088A" w:rsidRPr="0060206F" w14:paraId="34821FC3" w14:textId="77777777" w:rsidTr="005C6DFE">
        <w:tc>
          <w:tcPr>
            <w:tcW w:w="9063" w:type="dxa"/>
            <w:gridSpan w:val="4"/>
            <w:shd w:val="clear" w:color="auto" w:fill="auto"/>
          </w:tcPr>
          <w:p w14:paraId="6BB25C0C" w14:textId="77777777" w:rsidR="00EA088A" w:rsidRPr="0060206F" w:rsidRDefault="00EA088A" w:rsidP="00C9046D">
            <w:pPr>
              <w:autoSpaceDE w:val="0"/>
              <w:autoSpaceDN w:val="0"/>
              <w:adjustRightInd w:val="0"/>
              <w:rPr>
                <w:sz w:val="22"/>
                <w:szCs w:val="22"/>
                <w:lang w:val="sr-Latn-ME"/>
              </w:rPr>
            </w:pPr>
            <w:r w:rsidRPr="0060206F">
              <w:rPr>
                <w:sz w:val="22"/>
                <w:szCs w:val="22"/>
                <w:lang w:val="sr-Latn-ME"/>
              </w:rPr>
              <w:t>% Pacijenata</w:t>
            </w:r>
          </w:p>
        </w:tc>
      </w:tr>
      <w:tr w:rsidR="00EA088A" w:rsidRPr="0060206F" w14:paraId="2B75B4DE" w14:textId="77777777" w:rsidTr="005C6DFE">
        <w:tc>
          <w:tcPr>
            <w:tcW w:w="2304" w:type="dxa"/>
            <w:shd w:val="clear" w:color="auto" w:fill="auto"/>
          </w:tcPr>
          <w:p w14:paraId="7F0948CA" w14:textId="77777777" w:rsidR="00EA088A" w:rsidRPr="0060206F" w:rsidRDefault="00EA088A" w:rsidP="00C9046D">
            <w:pPr>
              <w:autoSpaceDE w:val="0"/>
              <w:autoSpaceDN w:val="0"/>
              <w:adjustRightInd w:val="0"/>
              <w:rPr>
                <w:sz w:val="22"/>
                <w:szCs w:val="22"/>
                <w:lang w:val="sr-Latn-ME"/>
              </w:rPr>
            </w:pPr>
            <w:r w:rsidRPr="0060206F">
              <w:rPr>
                <w:sz w:val="22"/>
                <w:szCs w:val="22"/>
                <w:lang w:val="sr-Latn-ME"/>
              </w:rPr>
              <w:t>Pacijenti sa kliničkim odgovorom u 6. nedjelji</w:t>
            </w:r>
            <w:r w:rsidRPr="0060206F">
              <w:rPr>
                <w:sz w:val="22"/>
                <w:szCs w:val="22"/>
                <w:vertAlign w:val="superscript"/>
                <w:lang w:val="sr-Latn-ME"/>
              </w:rPr>
              <w:t>a</w:t>
            </w:r>
          </w:p>
        </w:tc>
        <w:tc>
          <w:tcPr>
            <w:tcW w:w="2257" w:type="dxa"/>
            <w:shd w:val="clear" w:color="auto" w:fill="auto"/>
            <w:vAlign w:val="center"/>
          </w:tcPr>
          <w:p w14:paraId="223A5C21"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30%</w:t>
            </w:r>
          </w:p>
        </w:tc>
        <w:tc>
          <w:tcPr>
            <w:tcW w:w="4502" w:type="dxa"/>
            <w:gridSpan w:val="2"/>
            <w:shd w:val="clear" w:color="auto" w:fill="auto"/>
            <w:vAlign w:val="center"/>
          </w:tcPr>
          <w:p w14:paraId="33ED2373"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51%**</w:t>
            </w:r>
          </w:p>
        </w:tc>
      </w:tr>
      <w:tr w:rsidR="00EA088A" w:rsidRPr="0060206F" w14:paraId="7E693DB7" w14:textId="77777777" w:rsidTr="005C6DFE">
        <w:tc>
          <w:tcPr>
            <w:tcW w:w="2304" w:type="dxa"/>
            <w:shd w:val="clear" w:color="auto" w:fill="auto"/>
          </w:tcPr>
          <w:p w14:paraId="5DA86411" w14:textId="77777777" w:rsidR="00EA088A" w:rsidRPr="0060206F" w:rsidRDefault="00EA088A" w:rsidP="00C9046D">
            <w:pPr>
              <w:autoSpaceDE w:val="0"/>
              <w:autoSpaceDN w:val="0"/>
              <w:adjustRightInd w:val="0"/>
              <w:rPr>
                <w:sz w:val="22"/>
                <w:szCs w:val="22"/>
                <w:lang w:val="sr-Latn-ME"/>
              </w:rPr>
            </w:pPr>
            <w:r w:rsidRPr="0060206F">
              <w:rPr>
                <w:sz w:val="22"/>
                <w:szCs w:val="22"/>
                <w:lang w:val="sr-Latn-ME"/>
              </w:rPr>
              <w:t>Pacijenti sa kliničkom remisijom u 6. nedjelji</w:t>
            </w:r>
            <w:r w:rsidRPr="0060206F">
              <w:rPr>
                <w:sz w:val="22"/>
                <w:szCs w:val="22"/>
                <w:vertAlign w:val="superscript"/>
                <w:lang w:val="sr-Latn-ME"/>
              </w:rPr>
              <w:t>b</w:t>
            </w:r>
          </w:p>
        </w:tc>
        <w:tc>
          <w:tcPr>
            <w:tcW w:w="2257" w:type="dxa"/>
            <w:shd w:val="clear" w:color="auto" w:fill="auto"/>
            <w:vAlign w:val="center"/>
          </w:tcPr>
          <w:p w14:paraId="2013BB97"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6%</w:t>
            </w:r>
          </w:p>
        </w:tc>
        <w:tc>
          <w:tcPr>
            <w:tcW w:w="4502" w:type="dxa"/>
            <w:gridSpan w:val="2"/>
            <w:shd w:val="clear" w:color="auto" w:fill="auto"/>
            <w:vAlign w:val="center"/>
          </w:tcPr>
          <w:p w14:paraId="30105A69"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18%**</w:t>
            </w:r>
          </w:p>
        </w:tc>
      </w:tr>
      <w:tr w:rsidR="00EA088A" w:rsidRPr="0060206F" w14:paraId="2FF19FC6" w14:textId="77777777" w:rsidTr="005C6DFE">
        <w:tc>
          <w:tcPr>
            <w:tcW w:w="2304" w:type="dxa"/>
            <w:shd w:val="clear" w:color="auto" w:fill="auto"/>
          </w:tcPr>
          <w:p w14:paraId="267191F0" w14:textId="77777777" w:rsidR="00EA088A" w:rsidRPr="0060206F" w:rsidRDefault="00EA088A" w:rsidP="00C9046D">
            <w:pPr>
              <w:autoSpaceDE w:val="0"/>
              <w:autoSpaceDN w:val="0"/>
              <w:adjustRightInd w:val="0"/>
              <w:rPr>
                <w:sz w:val="22"/>
                <w:szCs w:val="22"/>
                <w:lang w:val="sr-Latn-ME"/>
              </w:rPr>
            </w:pPr>
            <w:r w:rsidRPr="0060206F">
              <w:rPr>
                <w:sz w:val="22"/>
                <w:szCs w:val="22"/>
                <w:lang w:val="sr-Latn-ME"/>
              </w:rPr>
              <w:t>Pacijenti sa zaceljenjem sluznice u 6. nedjelji</w:t>
            </w:r>
            <w:r w:rsidRPr="0060206F">
              <w:rPr>
                <w:sz w:val="22"/>
                <w:szCs w:val="22"/>
                <w:vertAlign w:val="superscript"/>
                <w:lang w:val="sr-Latn-ME"/>
              </w:rPr>
              <w:t>c</w:t>
            </w:r>
          </w:p>
        </w:tc>
        <w:tc>
          <w:tcPr>
            <w:tcW w:w="2257" w:type="dxa"/>
            <w:shd w:val="clear" w:color="auto" w:fill="auto"/>
            <w:vAlign w:val="center"/>
          </w:tcPr>
          <w:p w14:paraId="6DF872C9"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29%</w:t>
            </w:r>
          </w:p>
        </w:tc>
        <w:tc>
          <w:tcPr>
            <w:tcW w:w="4502" w:type="dxa"/>
            <w:gridSpan w:val="2"/>
            <w:shd w:val="clear" w:color="auto" w:fill="auto"/>
            <w:vAlign w:val="center"/>
          </w:tcPr>
          <w:p w14:paraId="6F58779C"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42%**</w:t>
            </w:r>
          </w:p>
        </w:tc>
      </w:tr>
      <w:tr w:rsidR="00EA088A" w:rsidRPr="0060206F" w14:paraId="6D0CB1EE" w14:textId="77777777" w:rsidTr="005C6DFE">
        <w:tc>
          <w:tcPr>
            <w:tcW w:w="9063" w:type="dxa"/>
            <w:gridSpan w:val="4"/>
            <w:shd w:val="clear" w:color="auto" w:fill="auto"/>
            <w:vAlign w:val="center"/>
          </w:tcPr>
          <w:p w14:paraId="638B2B65" w14:textId="77777777" w:rsidR="00EA088A" w:rsidRPr="0060206F" w:rsidRDefault="00EA088A" w:rsidP="00C9046D">
            <w:pPr>
              <w:autoSpaceDE w:val="0"/>
              <w:autoSpaceDN w:val="0"/>
              <w:adjustRightInd w:val="0"/>
              <w:jc w:val="center"/>
              <w:rPr>
                <w:b/>
                <w:sz w:val="22"/>
                <w:szCs w:val="22"/>
                <w:lang w:val="sr-Latn-ME"/>
              </w:rPr>
            </w:pPr>
            <w:r w:rsidRPr="0060206F">
              <w:rPr>
                <w:b/>
                <w:sz w:val="22"/>
                <w:szCs w:val="22"/>
                <w:lang w:val="sr-Latn-ME"/>
              </w:rPr>
              <w:t>PURSUIT – Maintenance</w:t>
            </w:r>
          </w:p>
        </w:tc>
      </w:tr>
      <w:tr w:rsidR="00EA088A" w:rsidRPr="0060206F" w14:paraId="00870842" w14:textId="77777777" w:rsidTr="005C6DFE">
        <w:tc>
          <w:tcPr>
            <w:tcW w:w="2304" w:type="dxa"/>
            <w:shd w:val="clear" w:color="auto" w:fill="auto"/>
          </w:tcPr>
          <w:p w14:paraId="1B12FB6A" w14:textId="77777777" w:rsidR="00EA088A" w:rsidRPr="0060206F" w:rsidRDefault="00EA088A" w:rsidP="00C9046D">
            <w:pPr>
              <w:autoSpaceDE w:val="0"/>
              <w:autoSpaceDN w:val="0"/>
              <w:adjustRightInd w:val="0"/>
              <w:rPr>
                <w:sz w:val="22"/>
                <w:szCs w:val="22"/>
                <w:lang w:val="sr-Latn-ME"/>
              </w:rPr>
            </w:pPr>
          </w:p>
        </w:tc>
        <w:tc>
          <w:tcPr>
            <w:tcW w:w="2257" w:type="dxa"/>
            <w:shd w:val="clear" w:color="auto" w:fill="auto"/>
            <w:vAlign w:val="center"/>
          </w:tcPr>
          <w:p w14:paraId="4243C00A" w14:textId="77777777" w:rsidR="00EA088A" w:rsidRPr="0060206F" w:rsidRDefault="00EA088A" w:rsidP="00C9046D">
            <w:pPr>
              <w:autoSpaceDE w:val="0"/>
              <w:autoSpaceDN w:val="0"/>
              <w:adjustRightInd w:val="0"/>
              <w:jc w:val="center"/>
              <w:rPr>
                <w:b/>
                <w:bCs/>
                <w:sz w:val="22"/>
                <w:szCs w:val="22"/>
                <w:lang w:val="sr-Latn-ME"/>
              </w:rPr>
            </w:pPr>
            <w:r w:rsidRPr="0060206F">
              <w:rPr>
                <w:b/>
                <w:bCs/>
                <w:sz w:val="22"/>
                <w:szCs w:val="22"/>
                <w:lang w:val="sr-Latn-ME"/>
              </w:rPr>
              <w:t>Placebo</w:t>
            </w:r>
            <w:r w:rsidRPr="0060206F">
              <w:rPr>
                <w:b/>
                <w:bCs/>
                <w:sz w:val="22"/>
                <w:szCs w:val="22"/>
                <w:vertAlign w:val="superscript"/>
                <w:lang w:val="sr-Latn-ME"/>
              </w:rPr>
              <w:t>d</w:t>
            </w:r>
          </w:p>
          <w:p w14:paraId="3C2B11C1"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N=154</w:t>
            </w:r>
          </w:p>
        </w:tc>
        <w:tc>
          <w:tcPr>
            <w:tcW w:w="2251" w:type="dxa"/>
            <w:shd w:val="clear" w:color="auto" w:fill="auto"/>
            <w:vAlign w:val="center"/>
          </w:tcPr>
          <w:p w14:paraId="5B54F5F3" w14:textId="77777777" w:rsidR="00EA088A" w:rsidRPr="0060206F" w:rsidRDefault="00EA088A" w:rsidP="00C9046D">
            <w:pPr>
              <w:autoSpaceDE w:val="0"/>
              <w:autoSpaceDN w:val="0"/>
              <w:adjustRightInd w:val="0"/>
              <w:jc w:val="center"/>
              <w:rPr>
                <w:b/>
                <w:bCs/>
                <w:sz w:val="22"/>
                <w:szCs w:val="22"/>
                <w:lang w:val="sr-Latn-ME"/>
              </w:rPr>
            </w:pPr>
            <w:r w:rsidRPr="0060206F">
              <w:rPr>
                <w:b/>
                <w:bCs/>
                <w:sz w:val="22"/>
                <w:szCs w:val="22"/>
                <w:lang w:val="sr-Latn-ME"/>
              </w:rPr>
              <w:t>Simponi</w:t>
            </w:r>
          </w:p>
          <w:p w14:paraId="656C4723" w14:textId="77777777" w:rsidR="00EA088A" w:rsidRPr="0060206F" w:rsidRDefault="00EA088A" w:rsidP="00C9046D">
            <w:pPr>
              <w:autoSpaceDE w:val="0"/>
              <w:autoSpaceDN w:val="0"/>
              <w:adjustRightInd w:val="0"/>
              <w:jc w:val="center"/>
              <w:rPr>
                <w:b/>
                <w:bCs/>
                <w:sz w:val="22"/>
                <w:szCs w:val="22"/>
                <w:lang w:val="sr-Latn-ME"/>
              </w:rPr>
            </w:pPr>
            <w:r w:rsidRPr="0060206F">
              <w:rPr>
                <w:b/>
                <w:bCs/>
                <w:sz w:val="22"/>
                <w:szCs w:val="22"/>
                <w:lang w:val="sr-Latn-ME"/>
              </w:rPr>
              <w:t>50 mg</w:t>
            </w:r>
          </w:p>
          <w:p w14:paraId="05F1FE15"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N=151</w:t>
            </w:r>
          </w:p>
        </w:tc>
        <w:tc>
          <w:tcPr>
            <w:tcW w:w="2251" w:type="dxa"/>
            <w:shd w:val="clear" w:color="auto" w:fill="auto"/>
            <w:vAlign w:val="center"/>
          </w:tcPr>
          <w:p w14:paraId="2FAD227A" w14:textId="77777777" w:rsidR="00EA088A" w:rsidRPr="0060206F" w:rsidRDefault="00EA088A" w:rsidP="00C9046D">
            <w:pPr>
              <w:autoSpaceDE w:val="0"/>
              <w:autoSpaceDN w:val="0"/>
              <w:adjustRightInd w:val="0"/>
              <w:jc w:val="center"/>
              <w:rPr>
                <w:b/>
                <w:bCs/>
                <w:sz w:val="22"/>
                <w:szCs w:val="22"/>
                <w:lang w:val="sr-Latn-ME"/>
              </w:rPr>
            </w:pPr>
            <w:r w:rsidRPr="0060206F">
              <w:rPr>
                <w:b/>
                <w:bCs/>
                <w:sz w:val="22"/>
                <w:szCs w:val="22"/>
                <w:lang w:val="sr-Latn-ME"/>
              </w:rPr>
              <w:t>Simponi</w:t>
            </w:r>
          </w:p>
          <w:p w14:paraId="20107AAA" w14:textId="77777777" w:rsidR="00EA088A" w:rsidRPr="0060206F" w:rsidRDefault="00EA088A" w:rsidP="00C9046D">
            <w:pPr>
              <w:autoSpaceDE w:val="0"/>
              <w:autoSpaceDN w:val="0"/>
              <w:adjustRightInd w:val="0"/>
              <w:jc w:val="center"/>
              <w:rPr>
                <w:b/>
                <w:bCs/>
                <w:sz w:val="22"/>
                <w:szCs w:val="22"/>
                <w:lang w:val="sr-Latn-ME"/>
              </w:rPr>
            </w:pPr>
            <w:r w:rsidRPr="0060206F">
              <w:rPr>
                <w:b/>
                <w:bCs/>
                <w:sz w:val="22"/>
                <w:szCs w:val="22"/>
                <w:lang w:val="sr-Latn-ME"/>
              </w:rPr>
              <w:t>100 mg</w:t>
            </w:r>
          </w:p>
          <w:p w14:paraId="333E8527"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N=151</w:t>
            </w:r>
          </w:p>
        </w:tc>
      </w:tr>
      <w:tr w:rsidR="00EA088A" w:rsidRPr="0060206F" w14:paraId="41F6CA94" w14:textId="77777777" w:rsidTr="005C6DFE">
        <w:tc>
          <w:tcPr>
            <w:tcW w:w="2304" w:type="dxa"/>
            <w:shd w:val="clear" w:color="auto" w:fill="auto"/>
          </w:tcPr>
          <w:p w14:paraId="57546C58" w14:textId="77777777" w:rsidR="00EA088A" w:rsidRPr="0060206F" w:rsidRDefault="00EA088A" w:rsidP="00C9046D">
            <w:pPr>
              <w:autoSpaceDE w:val="0"/>
              <w:autoSpaceDN w:val="0"/>
              <w:adjustRightInd w:val="0"/>
              <w:rPr>
                <w:sz w:val="22"/>
                <w:szCs w:val="22"/>
                <w:lang w:val="sr-Latn-ME"/>
              </w:rPr>
            </w:pPr>
            <w:r w:rsidRPr="0060206F">
              <w:rPr>
                <w:sz w:val="22"/>
                <w:szCs w:val="22"/>
                <w:lang w:val="sr-Latn-ME"/>
              </w:rPr>
              <w:t>% Pacijenata</w:t>
            </w:r>
          </w:p>
        </w:tc>
        <w:tc>
          <w:tcPr>
            <w:tcW w:w="2257" w:type="dxa"/>
            <w:shd w:val="clear" w:color="auto" w:fill="auto"/>
          </w:tcPr>
          <w:p w14:paraId="5CCD57CA" w14:textId="77777777" w:rsidR="00EA088A" w:rsidRPr="0060206F" w:rsidRDefault="00EA088A" w:rsidP="00C9046D">
            <w:pPr>
              <w:autoSpaceDE w:val="0"/>
              <w:autoSpaceDN w:val="0"/>
              <w:adjustRightInd w:val="0"/>
              <w:rPr>
                <w:sz w:val="22"/>
                <w:szCs w:val="22"/>
                <w:lang w:val="sr-Latn-ME"/>
              </w:rPr>
            </w:pPr>
          </w:p>
        </w:tc>
        <w:tc>
          <w:tcPr>
            <w:tcW w:w="2251" w:type="dxa"/>
            <w:shd w:val="clear" w:color="auto" w:fill="auto"/>
          </w:tcPr>
          <w:p w14:paraId="4CADD44C" w14:textId="77777777" w:rsidR="00EA088A" w:rsidRPr="0060206F" w:rsidRDefault="00EA088A" w:rsidP="00C9046D">
            <w:pPr>
              <w:autoSpaceDE w:val="0"/>
              <w:autoSpaceDN w:val="0"/>
              <w:adjustRightInd w:val="0"/>
              <w:rPr>
                <w:sz w:val="22"/>
                <w:szCs w:val="22"/>
                <w:lang w:val="sr-Latn-ME"/>
              </w:rPr>
            </w:pPr>
          </w:p>
        </w:tc>
        <w:tc>
          <w:tcPr>
            <w:tcW w:w="2251" w:type="dxa"/>
            <w:shd w:val="clear" w:color="auto" w:fill="auto"/>
          </w:tcPr>
          <w:p w14:paraId="43B64160" w14:textId="77777777" w:rsidR="00EA088A" w:rsidRPr="0060206F" w:rsidRDefault="00EA088A" w:rsidP="00C9046D">
            <w:pPr>
              <w:autoSpaceDE w:val="0"/>
              <w:autoSpaceDN w:val="0"/>
              <w:adjustRightInd w:val="0"/>
              <w:rPr>
                <w:sz w:val="22"/>
                <w:szCs w:val="22"/>
                <w:lang w:val="sr-Latn-ME"/>
              </w:rPr>
            </w:pPr>
          </w:p>
        </w:tc>
      </w:tr>
      <w:tr w:rsidR="00EA088A" w:rsidRPr="0060206F" w14:paraId="07771C53" w14:textId="77777777" w:rsidTr="005C6DFE">
        <w:tc>
          <w:tcPr>
            <w:tcW w:w="2304" w:type="dxa"/>
            <w:tcBorders>
              <w:bottom w:val="single" w:sz="4" w:space="0" w:color="000000"/>
            </w:tcBorders>
            <w:shd w:val="clear" w:color="auto" w:fill="auto"/>
          </w:tcPr>
          <w:p w14:paraId="33C66D47" w14:textId="77777777" w:rsidR="00EA088A" w:rsidRPr="0060206F" w:rsidRDefault="00EA088A" w:rsidP="00C9046D">
            <w:pPr>
              <w:autoSpaceDE w:val="0"/>
              <w:autoSpaceDN w:val="0"/>
              <w:adjustRightInd w:val="0"/>
              <w:rPr>
                <w:sz w:val="22"/>
                <w:szCs w:val="22"/>
                <w:lang w:val="sr-Latn-ME"/>
              </w:rPr>
            </w:pPr>
            <w:r w:rsidRPr="0060206F">
              <w:rPr>
                <w:sz w:val="22"/>
                <w:szCs w:val="22"/>
                <w:lang w:val="sr-Latn-ME"/>
              </w:rPr>
              <w:t>Održavanje odgovora (Pacijenti sa kliničkim odgovorom do 54 nedjelje)</w:t>
            </w:r>
            <w:r w:rsidRPr="0060206F">
              <w:rPr>
                <w:sz w:val="22"/>
                <w:szCs w:val="22"/>
                <w:vertAlign w:val="superscript"/>
                <w:lang w:val="sr-Latn-ME"/>
              </w:rPr>
              <w:t>e</w:t>
            </w:r>
          </w:p>
        </w:tc>
        <w:tc>
          <w:tcPr>
            <w:tcW w:w="2257" w:type="dxa"/>
            <w:tcBorders>
              <w:bottom w:val="single" w:sz="4" w:space="0" w:color="000000"/>
            </w:tcBorders>
            <w:shd w:val="clear" w:color="auto" w:fill="auto"/>
            <w:vAlign w:val="center"/>
          </w:tcPr>
          <w:p w14:paraId="5E5B0AA4"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31%</w:t>
            </w:r>
          </w:p>
        </w:tc>
        <w:tc>
          <w:tcPr>
            <w:tcW w:w="2251" w:type="dxa"/>
            <w:tcBorders>
              <w:bottom w:val="single" w:sz="4" w:space="0" w:color="000000"/>
            </w:tcBorders>
            <w:shd w:val="clear" w:color="auto" w:fill="auto"/>
            <w:vAlign w:val="center"/>
          </w:tcPr>
          <w:p w14:paraId="65B42B37"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47%*</w:t>
            </w:r>
          </w:p>
        </w:tc>
        <w:tc>
          <w:tcPr>
            <w:tcW w:w="2251" w:type="dxa"/>
            <w:tcBorders>
              <w:bottom w:val="single" w:sz="4" w:space="0" w:color="000000"/>
            </w:tcBorders>
            <w:shd w:val="clear" w:color="auto" w:fill="auto"/>
            <w:vAlign w:val="center"/>
          </w:tcPr>
          <w:p w14:paraId="4BEABD90"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50%**</w:t>
            </w:r>
          </w:p>
        </w:tc>
      </w:tr>
      <w:tr w:rsidR="00EA088A" w:rsidRPr="0060206F" w14:paraId="3F3BE470" w14:textId="77777777" w:rsidTr="005C6DFE">
        <w:tc>
          <w:tcPr>
            <w:tcW w:w="2304" w:type="dxa"/>
            <w:tcBorders>
              <w:bottom w:val="single" w:sz="4" w:space="0" w:color="auto"/>
            </w:tcBorders>
            <w:shd w:val="clear" w:color="auto" w:fill="auto"/>
          </w:tcPr>
          <w:p w14:paraId="7F865BEA" w14:textId="77777777" w:rsidR="00EA088A" w:rsidRPr="0060206F" w:rsidRDefault="00EA088A" w:rsidP="00C9046D">
            <w:pPr>
              <w:autoSpaceDE w:val="0"/>
              <w:autoSpaceDN w:val="0"/>
              <w:adjustRightInd w:val="0"/>
              <w:rPr>
                <w:sz w:val="22"/>
                <w:szCs w:val="22"/>
                <w:lang w:val="sr-Latn-ME"/>
              </w:rPr>
            </w:pPr>
            <w:r w:rsidRPr="0060206F">
              <w:rPr>
                <w:sz w:val="22"/>
                <w:szCs w:val="22"/>
                <w:lang w:val="sr-Latn-ME"/>
              </w:rPr>
              <w:t>Održana remisija (pacijenti sa kliničkom remisijom u 30. i 54. nedjelji)</w:t>
            </w:r>
            <w:r w:rsidRPr="0060206F">
              <w:rPr>
                <w:sz w:val="22"/>
                <w:szCs w:val="22"/>
                <w:vertAlign w:val="superscript"/>
                <w:lang w:val="sr-Latn-ME"/>
              </w:rPr>
              <w:t>f</w:t>
            </w:r>
          </w:p>
        </w:tc>
        <w:tc>
          <w:tcPr>
            <w:tcW w:w="2257" w:type="dxa"/>
            <w:tcBorders>
              <w:bottom w:val="single" w:sz="4" w:space="0" w:color="auto"/>
            </w:tcBorders>
            <w:shd w:val="clear" w:color="auto" w:fill="auto"/>
            <w:vAlign w:val="center"/>
          </w:tcPr>
          <w:p w14:paraId="60810FF3"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16%</w:t>
            </w:r>
          </w:p>
        </w:tc>
        <w:tc>
          <w:tcPr>
            <w:tcW w:w="2251" w:type="dxa"/>
            <w:tcBorders>
              <w:bottom w:val="single" w:sz="4" w:space="0" w:color="auto"/>
            </w:tcBorders>
            <w:shd w:val="clear" w:color="auto" w:fill="auto"/>
            <w:vAlign w:val="center"/>
          </w:tcPr>
          <w:p w14:paraId="524DC580"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23%</w:t>
            </w:r>
            <w:r w:rsidRPr="0060206F">
              <w:rPr>
                <w:sz w:val="22"/>
                <w:szCs w:val="22"/>
                <w:vertAlign w:val="superscript"/>
                <w:lang w:val="sr-Latn-ME"/>
              </w:rPr>
              <w:t>g</w:t>
            </w:r>
          </w:p>
        </w:tc>
        <w:tc>
          <w:tcPr>
            <w:tcW w:w="2251" w:type="dxa"/>
            <w:tcBorders>
              <w:bottom w:val="single" w:sz="4" w:space="0" w:color="auto"/>
            </w:tcBorders>
            <w:shd w:val="clear" w:color="auto" w:fill="auto"/>
            <w:vAlign w:val="center"/>
          </w:tcPr>
          <w:p w14:paraId="0C9EB2BE" w14:textId="77777777" w:rsidR="00EA088A" w:rsidRPr="0060206F" w:rsidRDefault="00EA088A" w:rsidP="00C9046D">
            <w:pPr>
              <w:autoSpaceDE w:val="0"/>
              <w:autoSpaceDN w:val="0"/>
              <w:adjustRightInd w:val="0"/>
              <w:jc w:val="center"/>
              <w:rPr>
                <w:sz w:val="22"/>
                <w:szCs w:val="22"/>
                <w:lang w:val="sr-Latn-ME"/>
              </w:rPr>
            </w:pPr>
            <w:r w:rsidRPr="0060206F">
              <w:rPr>
                <w:sz w:val="22"/>
                <w:szCs w:val="22"/>
                <w:lang w:val="sr-Latn-ME"/>
              </w:rPr>
              <w:t>28%*</w:t>
            </w:r>
          </w:p>
        </w:tc>
      </w:tr>
      <w:tr w:rsidR="00EA088A" w:rsidRPr="0060206F" w14:paraId="2F66E156" w14:textId="77777777" w:rsidTr="005C6DFE">
        <w:tc>
          <w:tcPr>
            <w:tcW w:w="9063" w:type="dxa"/>
            <w:gridSpan w:val="4"/>
            <w:tcBorders>
              <w:top w:val="single" w:sz="4" w:space="0" w:color="auto"/>
              <w:left w:val="nil"/>
              <w:bottom w:val="nil"/>
              <w:right w:val="nil"/>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847"/>
            </w:tblGrid>
            <w:tr w:rsidR="00EA088A" w:rsidRPr="0060206F" w14:paraId="5F9F0AF0" w14:textId="77777777" w:rsidTr="00507256">
              <w:trPr>
                <w:trHeight w:val="991"/>
              </w:trPr>
              <w:tc>
                <w:tcPr>
                  <w:tcW w:w="0" w:type="auto"/>
                </w:tcPr>
                <w:p w14:paraId="77B7661D" w14:textId="77777777" w:rsidR="00EA088A" w:rsidRPr="0060206F" w:rsidRDefault="00EA088A" w:rsidP="00C9046D">
                  <w:pPr>
                    <w:framePr w:hSpace="180" w:wrap="around" w:vAnchor="text" w:hAnchor="margin" w:y="1413"/>
                    <w:autoSpaceDE w:val="0"/>
                    <w:autoSpaceDN w:val="0"/>
                    <w:adjustRightInd w:val="0"/>
                    <w:rPr>
                      <w:sz w:val="22"/>
                      <w:szCs w:val="22"/>
                      <w:lang w:val="sr-Latn-ME"/>
                    </w:rPr>
                  </w:pPr>
                  <w:r w:rsidRPr="0060206F">
                    <w:rPr>
                      <w:sz w:val="22"/>
                      <w:szCs w:val="22"/>
                      <w:lang w:val="sr-Latn-ME"/>
                    </w:rPr>
                    <w:t xml:space="preserve">N = broj pacijenata </w:t>
                  </w:r>
                </w:p>
                <w:p w14:paraId="51D56709" w14:textId="77777777" w:rsidR="00EA088A" w:rsidRPr="0060206F" w:rsidRDefault="00EA088A" w:rsidP="00C9046D">
                  <w:pPr>
                    <w:framePr w:hSpace="180" w:wrap="around" w:vAnchor="text" w:hAnchor="margin" w:y="1413"/>
                    <w:autoSpaceDE w:val="0"/>
                    <w:autoSpaceDN w:val="0"/>
                    <w:adjustRightInd w:val="0"/>
                    <w:rPr>
                      <w:sz w:val="22"/>
                      <w:szCs w:val="22"/>
                      <w:lang w:val="sr-Latn-ME"/>
                    </w:rPr>
                  </w:pPr>
                  <w:r w:rsidRPr="0060206F">
                    <w:rPr>
                      <w:sz w:val="22"/>
                      <w:szCs w:val="22"/>
                      <w:lang w:val="sr-Latn-ME"/>
                    </w:rPr>
                    <w:t xml:space="preserve">** p ≤ 0,001 </w:t>
                  </w:r>
                </w:p>
                <w:p w14:paraId="02DEB1E5" w14:textId="77777777" w:rsidR="00EA088A" w:rsidRPr="0060206F" w:rsidRDefault="00EA088A" w:rsidP="00C9046D">
                  <w:pPr>
                    <w:framePr w:hSpace="180" w:wrap="around" w:vAnchor="text" w:hAnchor="margin" w:y="1413"/>
                    <w:autoSpaceDE w:val="0"/>
                    <w:autoSpaceDN w:val="0"/>
                    <w:adjustRightInd w:val="0"/>
                    <w:rPr>
                      <w:sz w:val="22"/>
                      <w:szCs w:val="22"/>
                      <w:lang w:val="sr-Latn-ME"/>
                    </w:rPr>
                  </w:pPr>
                  <w:r w:rsidRPr="0060206F">
                    <w:rPr>
                      <w:sz w:val="22"/>
                      <w:szCs w:val="22"/>
                      <w:lang w:val="sr-Latn-ME"/>
                    </w:rPr>
                    <w:t xml:space="preserve">* p ≤ 0,01 </w:t>
                  </w:r>
                </w:p>
                <w:p w14:paraId="345B47B4" w14:textId="77777777" w:rsidR="00EA088A" w:rsidRPr="0060206F" w:rsidRDefault="00EA088A" w:rsidP="00C9046D">
                  <w:pPr>
                    <w:framePr w:hSpace="180" w:wrap="around" w:vAnchor="text" w:hAnchor="margin" w:y="1413"/>
                    <w:autoSpaceDE w:val="0"/>
                    <w:autoSpaceDN w:val="0"/>
                    <w:adjustRightInd w:val="0"/>
                    <w:rPr>
                      <w:sz w:val="22"/>
                      <w:szCs w:val="22"/>
                      <w:lang w:val="sr-Latn-ME"/>
                    </w:rPr>
                  </w:pPr>
                  <w:r w:rsidRPr="0060206F">
                    <w:rPr>
                      <w:sz w:val="22"/>
                      <w:szCs w:val="22"/>
                      <w:vertAlign w:val="superscript"/>
                      <w:lang w:val="sr-Latn-ME"/>
                    </w:rPr>
                    <w:t>a</w:t>
                  </w:r>
                  <w:r w:rsidRPr="0060206F">
                    <w:rPr>
                      <w:sz w:val="22"/>
                      <w:szCs w:val="22"/>
                      <w:lang w:val="sr-Latn-ME"/>
                    </w:rPr>
                    <w:t xml:space="preserve"> Definisano kao smanjenje </w:t>
                  </w:r>
                  <w:r w:rsidRPr="0060206F">
                    <w:rPr>
                      <w:b/>
                      <w:bCs/>
                      <w:sz w:val="22"/>
                      <w:szCs w:val="22"/>
                      <w:lang w:val="sr-Latn-ME"/>
                    </w:rPr>
                    <w:t>Mayo</w:t>
                  </w:r>
                  <w:r w:rsidRPr="0060206F">
                    <w:rPr>
                      <w:sz w:val="22"/>
                      <w:szCs w:val="22"/>
                      <w:lang w:val="sr-Latn-ME"/>
                    </w:rPr>
                    <w:t xml:space="preserve"> skora za ≥ 30% i ≥ 3 boda u odnosu na početnu vrijednost, uz smanjenje podskora rektalnog krvarenja za ≥ 1 ili podskor rektalnog krvarenja 0 ili 1. </w:t>
                  </w:r>
                </w:p>
                <w:p w14:paraId="2CDA8FFF" w14:textId="77777777" w:rsidR="00EA088A" w:rsidRPr="0060206F" w:rsidRDefault="00EA088A" w:rsidP="00C9046D">
                  <w:pPr>
                    <w:framePr w:hSpace="180" w:wrap="around" w:vAnchor="text" w:hAnchor="margin" w:y="1413"/>
                    <w:autoSpaceDE w:val="0"/>
                    <w:autoSpaceDN w:val="0"/>
                    <w:adjustRightInd w:val="0"/>
                    <w:rPr>
                      <w:sz w:val="22"/>
                      <w:szCs w:val="22"/>
                      <w:lang w:val="sr-Latn-ME"/>
                    </w:rPr>
                  </w:pPr>
                  <w:r w:rsidRPr="0060206F">
                    <w:rPr>
                      <w:sz w:val="22"/>
                      <w:szCs w:val="22"/>
                      <w:vertAlign w:val="superscript"/>
                      <w:lang w:val="sr-Latn-ME"/>
                    </w:rPr>
                    <w:t>b</w:t>
                  </w:r>
                  <w:r w:rsidRPr="0060206F">
                    <w:rPr>
                      <w:sz w:val="22"/>
                      <w:szCs w:val="22"/>
                      <w:lang w:val="sr-Latn-ME"/>
                    </w:rPr>
                    <w:t xml:space="preserve"> Definisano kao </w:t>
                  </w:r>
                  <w:r w:rsidRPr="0060206F">
                    <w:rPr>
                      <w:i/>
                      <w:iCs/>
                      <w:sz w:val="22"/>
                      <w:szCs w:val="22"/>
                      <w:lang w:val="sr-Latn-ME"/>
                    </w:rPr>
                    <w:t>Mayo</w:t>
                  </w:r>
                  <w:r w:rsidRPr="0060206F">
                    <w:rPr>
                      <w:sz w:val="22"/>
                      <w:szCs w:val="22"/>
                      <w:lang w:val="sr-Latn-ME"/>
                    </w:rPr>
                    <w:t xml:space="preserve"> skor  ≤ 2 boda, pri čemu nijedan podskor nije &gt; 1 </w:t>
                  </w:r>
                </w:p>
                <w:p w14:paraId="57D2FEAE" w14:textId="77777777" w:rsidR="00EA088A" w:rsidRPr="0060206F" w:rsidRDefault="00EA088A" w:rsidP="00C9046D">
                  <w:pPr>
                    <w:framePr w:hSpace="180" w:wrap="around" w:vAnchor="text" w:hAnchor="margin" w:y="1413"/>
                    <w:autoSpaceDE w:val="0"/>
                    <w:autoSpaceDN w:val="0"/>
                    <w:adjustRightInd w:val="0"/>
                    <w:rPr>
                      <w:sz w:val="22"/>
                      <w:szCs w:val="22"/>
                      <w:lang w:val="sr-Latn-ME"/>
                    </w:rPr>
                  </w:pPr>
                  <w:r w:rsidRPr="0060206F">
                    <w:rPr>
                      <w:sz w:val="22"/>
                      <w:szCs w:val="22"/>
                      <w:vertAlign w:val="superscript"/>
                      <w:lang w:val="sr-Latn-ME"/>
                    </w:rPr>
                    <w:t>c</w:t>
                  </w:r>
                  <w:r w:rsidRPr="0060206F">
                    <w:rPr>
                      <w:sz w:val="22"/>
                      <w:szCs w:val="22"/>
                      <w:lang w:val="sr-Latn-ME"/>
                    </w:rPr>
                    <w:t xml:space="preserve"> Definisano kao endoskopski podskor 0 ili 1 u sklopu </w:t>
                  </w:r>
                  <w:r w:rsidRPr="0060206F">
                    <w:rPr>
                      <w:i/>
                      <w:iCs/>
                      <w:sz w:val="22"/>
                      <w:szCs w:val="22"/>
                      <w:lang w:val="sr-Latn-ME"/>
                    </w:rPr>
                    <w:t>Mayo</w:t>
                  </w:r>
                  <w:r w:rsidRPr="0060206F">
                    <w:rPr>
                      <w:sz w:val="22"/>
                      <w:szCs w:val="22"/>
                      <w:lang w:val="sr-Latn-ME"/>
                    </w:rPr>
                    <w:t xml:space="preserve"> skora. </w:t>
                  </w:r>
                </w:p>
                <w:p w14:paraId="54813945" w14:textId="77777777" w:rsidR="00EA088A" w:rsidRPr="0060206F" w:rsidRDefault="00EA088A" w:rsidP="00C9046D">
                  <w:pPr>
                    <w:framePr w:hSpace="180" w:wrap="around" w:vAnchor="text" w:hAnchor="margin" w:y="1413"/>
                    <w:autoSpaceDE w:val="0"/>
                    <w:autoSpaceDN w:val="0"/>
                    <w:adjustRightInd w:val="0"/>
                    <w:rPr>
                      <w:sz w:val="22"/>
                      <w:szCs w:val="22"/>
                      <w:lang w:val="sr-Latn-ME"/>
                    </w:rPr>
                  </w:pPr>
                  <w:r w:rsidRPr="0060206F">
                    <w:rPr>
                      <w:sz w:val="22"/>
                      <w:szCs w:val="22"/>
                      <w:vertAlign w:val="superscript"/>
                      <w:lang w:val="sr-Latn-ME"/>
                    </w:rPr>
                    <w:t>d</w:t>
                  </w:r>
                  <w:r w:rsidRPr="0060206F">
                    <w:rPr>
                      <w:sz w:val="22"/>
                      <w:szCs w:val="22"/>
                      <w:lang w:val="sr-Latn-ME"/>
                    </w:rPr>
                    <w:t xml:space="preserve"> Samo uvodna terapija lijekom Simponi. </w:t>
                  </w:r>
                </w:p>
                <w:p w14:paraId="7C7EE0A8" w14:textId="77777777" w:rsidR="00EA088A" w:rsidRPr="0060206F" w:rsidRDefault="00EA088A" w:rsidP="00C9046D">
                  <w:pPr>
                    <w:framePr w:hSpace="180" w:wrap="around" w:vAnchor="text" w:hAnchor="margin" w:y="1413"/>
                    <w:autoSpaceDE w:val="0"/>
                    <w:autoSpaceDN w:val="0"/>
                    <w:adjustRightInd w:val="0"/>
                    <w:rPr>
                      <w:sz w:val="22"/>
                      <w:szCs w:val="22"/>
                      <w:lang w:val="sr-Latn-ME"/>
                    </w:rPr>
                  </w:pPr>
                  <w:r w:rsidRPr="0060206F">
                    <w:rPr>
                      <w:sz w:val="22"/>
                      <w:szCs w:val="22"/>
                      <w:vertAlign w:val="superscript"/>
                      <w:lang w:val="sr-Latn-ME"/>
                    </w:rPr>
                    <w:t>e</w:t>
                  </w:r>
                  <w:r w:rsidRPr="0060206F">
                    <w:rPr>
                      <w:sz w:val="22"/>
                      <w:szCs w:val="22"/>
                      <w:lang w:val="sr-Latn-ME"/>
                    </w:rPr>
                    <w:t xml:space="preserve"> Kod pacijenata se aktivnost ulceroznog kolitisa ocjenjivala svake 4 nedjelje djelimičnim </w:t>
                  </w:r>
                  <w:r w:rsidRPr="0060206F">
                    <w:rPr>
                      <w:i/>
                      <w:iCs/>
                      <w:sz w:val="22"/>
                      <w:szCs w:val="22"/>
                      <w:lang w:val="sr-Latn-ME"/>
                    </w:rPr>
                    <w:t>Mayo</w:t>
                  </w:r>
                  <w:r w:rsidRPr="0060206F">
                    <w:rPr>
                      <w:sz w:val="22"/>
                      <w:szCs w:val="22"/>
                      <w:lang w:val="sr-Latn-ME"/>
                    </w:rPr>
                    <w:t xml:space="preserve"> skorom (gubitak odgovora potvrđen je endoskopijom). Dakle, pacijent s održanim odgovorom imao je kontinuiran klinički odgovor pri svakoj procjeni do 54. nedjelje liječenja. </w:t>
                  </w:r>
                </w:p>
                <w:p w14:paraId="2A7D9002" w14:textId="77777777" w:rsidR="00EA088A" w:rsidRPr="0060206F" w:rsidRDefault="00EA088A" w:rsidP="00C9046D">
                  <w:pPr>
                    <w:framePr w:hSpace="180" w:wrap="around" w:vAnchor="text" w:hAnchor="margin" w:y="1413"/>
                    <w:autoSpaceDE w:val="0"/>
                    <w:autoSpaceDN w:val="0"/>
                    <w:adjustRightInd w:val="0"/>
                    <w:rPr>
                      <w:sz w:val="22"/>
                      <w:szCs w:val="22"/>
                      <w:lang w:val="sr-Latn-ME"/>
                    </w:rPr>
                  </w:pPr>
                  <w:r w:rsidRPr="0060206F">
                    <w:rPr>
                      <w:sz w:val="22"/>
                      <w:szCs w:val="22"/>
                      <w:vertAlign w:val="superscript"/>
                      <w:lang w:val="sr-Latn-ME"/>
                    </w:rPr>
                    <w:t>f</w:t>
                  </w:r>
                  <w:r w:rsidRPr="0060206F">
                    <w:rPr>
                      <w:sz w:val="22"/>
                      <w:szCs w:val="22"/>
                      <w:lang w:val="sr-Latn-ME"/>
                    </w:rPr>
                    <w:t xml:space="preserve"> Pacijent je morao biti u remisiji i u 30. i u 54. nedjelji (bez znakova gubitka odgovora u bilo kojem trenutku do 54. nedjelje liječenja) kako bi postigao trajnu remisiju. </w:t>
                  </w:r>
                </w:p>
                <w:p w14:paraId="2E0A63AF" w14:textId="77777777" w:rsidR="00EA088A" w:rsidRPr="0060206F" w:rsidRDefault="00EA088A" w:rsidP="00C9046D">
                  <w:pPr>
                    <w:framePr w:hSpace="180" w:wrap="around" w:vAnchor="text" w:hAnchor="margin" w:y="1413"/>
                    <w:autoSpaceDE w:val="0"/>
                    <w:autoSpaceDN w:val="0"/>
                    <w:adjustRightInd w:val="0"/>
                    <w:rPr>
                      <w:sz w:val="22"/>
                      <w:szCs w:val="22"/>
                      <w:lang w:val="sr-Latn-ME"/>
                    </w:rPr>
                  </w:pPr>
                  <w:r w:rsidRPr="0060206F">
                    <w:rPr>
                      <w:sz w:val="22"/>
                      <w:szCs w:val="22"/>
                      <w:vertAlign w:val="superscript"/>
                      <w:lang w:val="sr-Latn-ME"/>
                    </w:rPr>
                    <w:t>g</w:t>
                  </w:r>
                  <w:r w:rsidRPr="0060206F">
                    <w:rPr>
                      <w:sz w:val="22"/>
                      <w:szCs w:val="22"/>
                      <w:lang w:val="sr-Latn-ME"/>
                    </w:rPr>
                    <w:t xml:space="preserve"> Među pacijentima tjelesne težine manje od 80 kg, održana klinička remisija primijećena je u većem udjelu kod pacijenata koji su primali terapiju održavanja u dozi od 50 mg nego kod pacijenata koji su primali placebo.</w:t>
                  </w:r>
                </w:p>
              </w:tc>
            </w:tr>
          </w:tbl>
          <w:p w14:paraId="73737546" w14:textId="77777777" w:rsidR="00EA088A" w:rsidRPr="0060206F" w:rsidRDefault="00EA088A" w:rsidP="00C9046D">
            <w:pPr>
              <w:autoSpaceDE w:val="0"/>
              <w:autoSpaceDN w:val="0"/>
              <w:adjustRightInd w:val="0"/>
              <w:jc w:val="center"/>
              <w:rPr>
                <w:sz w:val="22"/>
                <w:szCs w:val="22"/>
                <w:lang w:val="sr-Latn-ME"/>
              </w:rPr>
            </w:pPr>
          </w:p>
        </w:tc>
      </w:tr>
    </w:tbl>
    <w:p w14:paraId="78894AEC" w14:textId="4E08B40D" w:rsidR="00EA088A" w:rsidRPr="00EA088A" w:rsidRDefault="00785722" w:rsidP="00275456">
      <w:pPr>
        <w:pStyle w:val="Default"/>
        <w:jc w:val="both"/>
        <w:rPr>
          <w:sz w:val="22"/>
          <w:szCs w:val="22"/>
          <w:lang w:val="sr-Latn-ME"/>
        </w:rPr>
      </w:pPr>
      <w:r w:rsidRPr="00EA088A">
        <w:rPr>
          <w:i/>
          <w:iCs/>
          <w:sz w:val="22"/>
          <w:szCs w:val="22"/>
          <w:lang w:val="sr-Latn-ME"/>
        </w:rPr>
        <w:t>Assessment</w:t>
      </w:r>
      <w:r w:rsidRPr="00EA088A">
        <w:rPr>
          <w:sz w:val="22"/>
          <w:szCs w:val="22"/>
          <w:lang w:val="sr-Latn-ME"/>
        </w:rPr>
        <w:t xml:space="preserve"> (PGA)) o aktivnosti bolesti i poboljšanju u kvalitetu života merenoj na osnovu Upitnika o </w:t>
      </w:r>
    </w:p>
    <w:p w14:paraId="49A707B0" w14:textId="59288A2C" w:rsidR="00785722" w:rsidRDefault="00785722" w:rsidP="005C6DFE">
      <w:pPr>
        <w:pStyle w:val="Default"/>
        <w:jc w:val="both"/>
        <w:rPr>
          <w:sz w:val="22"/>
          <w:szCs w:val="22"/>
          <w:lang w:val="sr-Latn-ME"/>
        </w:rPr>
      </w:pPr>
      <w:r w:rsidRPr="00C9046D">
        <w:rPr>
          <w:sz w:val="22"/>
          <w:szCs w:val="22"/>
          <w:lang w:val="sr-Latn-ME"/>
        </w:rPr>
        <w:t>inflamatornom oboljenju crijeva (</w:t>
      </w:r>
      <w:r w:rsidRPr="00C9046D">
        <w:rPr>
          <w:i/>
          <w:iCs/>
          <w:sz w:val="22"/>
          <w:szCs w:val="22"/>
          <w:lang w:val="sr-Latn-ME"/>
        </w:rPr>
        <w:t>Inflammatory Bowel Disease Questionnaire</w:t>
      </w:r>
      <w:r w:rsidRPr="0014796E">
        <w:rPr>
          <w:sz w:val="22"/>
          <w:szCs w:val="22"/>
          <w:lang w:val="sr-Latn-ME"/>
        </w:rPr>
        <w:t xml:space="preserve"> (IBDQ).</w:t>
      </w:r>
    </w:p>
    <w:p w14:paraId="0349A19D" w14:textId="77777777" w:rsidR="00C9046D" w:rsidRDefault="00C9046D" w:rsidP="005C6DFE">
      <w:pPr>
        <w:pStyle w:val="Default"/>
        <w:jc w:val="both"/>
        <w:rPr>
          <w:sz w:val="22"/>
          <w:szCs w:val="22"/>
          <w:lang w:val="sr-Latn-ME"/>
        </w:rPr>
      </w:pPr>
    </w:p>
    <w:p w14:paraId="1BA44C3D" w14:textId="6A09F845" w:rsidR="00EA088A" w:rsidRPr="005C6DFE" w:rsidRDefault="00EA088A" w:rsidP="005C6DFE">
      <w:pPr>
        <w:pStyle w:val="Default"/>
        <w:jc w:val="center"/>
        <w:rPr>
          <w:b/>
          <w:sz w:val="22"/>
          <w:szCs w:val="22"/>
          <w:lang w:val="sr-Latn-ME"/>
        </w:rPr>
      </w:pPr>
      <w:r w:rsidRPr="005C6DFE">
        <w:rPr>
          <w:b/>
          <w:sz w:val="22"/>
          <w:szCs w:val="22"/>
          <w:lang w:val="sr-Latn-ME"/>
        </w:rPr>
        <w:t>Tabela 8</w:t>
      </w:r>
    </w:p>
    <w:p w14:paraId="42B0ECC9" w14:textId="0FD8C581" w:rsidR="00EA088A" w:rsidRPr="005C6DFE" w:rsidRDefault="00C9046D" w:rsidP="005C6DFE">
      <w:pPr>
        <w:pStyle w:val="Default"/>
        <w:jc w:val="center"/>
        <w:rPr>
          <w:b/>
          <w:sz w:val="22"/>
          <w:szCs w:val="22"/>
          <w:lang w:val="sr-Latn-ME"/>
        </w:rPr>
      </w:pPr>
      <w:r w:rsidRPr="005C6DFE">
        <w:rPr>
          <w:b/>
          <w:sz w:val="22"/>
          <w:szCs w:val="22"/>
          <w:lang w:val="sr-Latn-ME"/>
        </w:rPr>
        <w:t>Ključni rezultati efikasnosti iz ispitivanja PURSUIT – Induction i PURSUIT – Maintenance</w:t>
      </w:r>
    </w:p>
    <w:p w14:paraId="0A922592" w14:textId="77777777" w:rsidR="00EA088A" w:rsidRPr="00C9046D" w:rsidRDefault="00EA088A" w:rsidP="005C6DFE">
      <w:pPr>
        <w:pStyle w:val="Default"/>
        <w:jc w:val="both"/>
        <w:rPr>
          <w:sz w:val="22"/>
          <w:szCs w:val="22"/>
          <w:lang w:val="sr-Latn-ME"/>
        </w:rPr>
      </w:pPr>
    </w:p>
    <w:p w14:paraId="15251659" w14:textId="5523AC09" w:rsidR="00785722" w:rsidRPr="00EA088A" w:rsidRDefault="00785722" w:rsidP="005C6DFE">
      <w:pPr>
        <w:pStyle w:val="Default"/>
        <w:pageBreakBefore/>
        <w:jc w:val="both"/>
        <w:rPr>
          <w:b/>
          <w:sz w:val="22"/>
          <w:szCs w:val="22"/>
          <w:lang w:val="sr-Latn-ME"/>
        </w:rPr>
      </w:pPr>
    </w:p>
    <w:p w14:paraId="572AEFCD" w14:textId="77777777" w:rsidR="00785722" w:rsidRPr="00EA088A" w:rsidRDefault="00785722" w:rsidP="005C6DFE">
      <w:pPr>
        <w:autoSpaceDE w:val="0"/>
        <w:autoSpaceDN w:val="0"/>
        <w:adjustRightInd w:val="0"/>
        <w:jc w:val="both"/>
        <w:rPr>
          <w:sz w:val="22"/>
          <w:szCs w:val="22"/>
          <w:lang w:val="sr-Latn-ME"/>
        </w:rPr>
      </w:pPr>
      <w:r w:rsidRPr="00EA088A">
        <w:rPr>
          <w:sz w:val="22"/>
          <w:szCs w:val="22"/>
          <w:lang w:val="sr-Latn-ME"/>
        </w:rPr>
        <w:t>Veći broj pacijenata liječenih lijekom Simponi pokazao je održivo zaceljenja sluznice (pacijenti sa zaceljenjem sluznice i u 30. i u 54. nedelji) u dozi od 50 mg (42%, nominalna p-vrednost &lt; 0,05) i 100 mg (42%, p &lt; 0,005) nego kod pacijenata koji su primali placebo (27%).</w:t>
      </w:r>
    </w:p>
    <w:p w14:paraId="253E66F6" w14:textId="77777777" w:rsidR="00785722" w:rsidRPr="00EA088A" w:rsidRDefault="00785722" w:rsidP="005C6DFE">
      <w:pPr>
        <w:autoSpaceDE w:val="0"/>
        <w:autoSpaceDN w:val="0"/>
        <w:adjustRightInd w:val="0"/>
        <w:jc w:val="both"/>
        <w:rPr>
          <w:sz w:val="22"/>
          <w:szCs w:val="22"/>
          <w:lang w:val="sr-Latn-ME"/>
        </w:rPr>
      </w:pPr>
    </w:p>
    <w:p w14:paraId="455B4248" w14:textId="4614DE85" w:rsidR="00785722" w:rsidRPr="00275456" w:rsidRDefault="00785722" w:rsidP="005C6DFE">
      <w:pPr>
        <w:autoSpaceDE w:val="0"/>
        <w:autoSpaceDN w:val="0"/>
        <w:adjustRightInd w:val="0"/>
        <w:jc w:val="both"/>
        <w:rPr>
          <w:sz w:val="22"/>
          <w:szCs w:val="22"/>
          <w:lang w:val="sr-Latn-ME"/>
        </w:rPr>
      </w:pPr>
      <w:r w:rsidRPr="00C9046D">
        <w:rPr>
          <w:sz w:val="22"/>
          <w:szCs w:val="22"/>
          <w:lang w:val="sr-Latn-ME"/>
        </w:rPr>
        <w:t xml:space="preserve">Među 54% pacijenata (247/456) koji su na početku ispitivanja </w:t>
      </w:r>
      <w:r w:rsidRPr="00C9046D">
        <w:rPr>
          <w:i/>
          <w:iCs/>
          <w:sz w:val="22"/>
          <w:szCs w:val="22"/>
          <w:lang w:val="sr-Latn-ME"/>
        </w:rPr>
        <w:t xml:space="preserve">PURSUIT-Maintenance </w:t>
      </w:r>
      <w:r w:rsidRPr="0014796E">
        <w:rPr>
          <w:sz w:val="22"/>
          <w:szCs w:val="22"/>
          <w:lang w:val="sr-Latn-ME"/>
        </w:rPr>
        <w:t>istovremeno primali kortikosteroide, održiv klinički odgovor do 54. nedjelje bez istovremene primjene kortikosteroida u 54. nedjelji zabilježen je u većem odnosu kod pacijenata koji su primali lijek u dozi od 50 mg (38%, 30/78) i 100 mg (30%, 25/82) u odnosu na pacijente koji su primali placebo (21%, 18/87). Udio pacijenata koji su prestali sa primjenom kortikosteroida do 54. nedjelje terapije bio je veći u grupama koje su primale lijek u dozi od</w:t>
      </w:r>
      <w:r w:rsidRPr="00275456">
        <w:rPr>
          <w:sz w:val="22"/>
          <w:szCs w:val="22"/>
          <w:lang w:val="sr-Latn-ME"/>
        </w:rPr>
        <w:t xml:space="preserve"> 50 mg (41%, 32/78) i 100 mg (33%, 27/82) u odnosu na grupu koja je primala placebo (22%, 19/87).</w:t>
      </w:r>
      <w:r w:rsidR="006F208E" w:rsidRPr="00275456">
        <w:rPr>
          <w:sz w:val="22"/>
          <w:szCs w:val="22"/>
          <w:lang w:val="sr-Latn-ME"/>
        </w:rPr>
        <w:t xml:space="preserve"> </w:t>
      </w:r>
      <w:r w:rsidRPr="00275456">
        <w:rPr>
          <w:sz w:val="22"/>
          <w:szCs w:val="22"/>
          <w:lang w:val="sr-Latn-ME"/>
        </w:rPr>
        <w:t>Među pacijentima koji su uključeni u produžetak studije, udeo pacijenata koji je ostao na terapiji bez kortikosteroida je generalno održavan tokom 216. nedjelje.</w:t>
      </w:r>
    </w:p>
    <w:p w14:paraId="590A9A9F" w14:textId="77777777" w:rsidR="00785722" w:rsidRPr="00275456" w:rsidRDefault="00785722" w:rsidP="005C6DFE">
      <w:pPr>
        <w:tabs>
          <w:tab w:val="left" w:pos="284"/>
        </w:tabs>
        <w:autoSpaceDE w:val="0"/>
        <w:autoSpaceDN w:val="0"/>
        <w:adjustRightInd w:val="0"/>
        <w:jc w:val="both"/>
        <w:rPr>
          <w:sz w:val="22"/>
          <w:szCs w:val="22"/>
          <w:lang w:val="sr-Latn-ME"/>
        </w:rPr>
      </w:pPr>
    </w:p>
    <w:p w14:paraId="06DAB722"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Pacijenti koji nijesu postigli klinički odgovor u 6. nedjelji u studiji</w:t>
      </w:r>
      <w:r w:rsidRPr="00275456">
        <w:rPr>
          <w:i/>
          <w:iCs/>
          <w:sz w:val="22"/>
          <w:szCs w:val="22"/>
          <w:lang w:val="sr-Latn-ME"/>
        </w:rPr>
        <w:t xml:space="preserve"> PURSUIT-Induction</w:t>
      </w:r>
      <w:r w:rsidRPr="00275456">
        <w:rPr>
          <w:sz w:val="22"/>
          <w:szCs w:val="22"/>
          <w:lang w:val="sr-Latn-ME"/>
        </w:rPr>
        <w:t xml:space="preserve"> su u studiji </w:t>
      </w:r>
      <w:r w:rsidRPr="00275456">
        <w:rPr>
          <w:i/>
          <w:iCs/>
          <w:sz w:val="22"/>
          <w:szCs w:val="22"/>
          <w:lang w:val="sr-Latn-ME"/>
        </w:rPr>
        <w:t>PURSUIT-maintenance</w:t>
      </w:r>
      <w:r w:rsidRPr="00275456">
        <w:rPr>
          <w:sz w:val="22"/>
          <w:szCs w:val="22"/>
          <w:lang w:val="sr-Latn-ME"/>
        </w:rPr>
        <w:t xml:space="preserve"> primali Simponi u dozi od 100 mg svake 4 nedjelje. U 14. nedjelji ispitivanja, 28% pacijenata je dostigao odgovor definisan parcijalnim </w:t>
      </w:r>
      <w:r w:rsidRPr="00275456">
        <w:rPr>
          <w:i/>
          <w:iCs/>
          <w:sz w:val="22"/>
          <w:szCs w:val="22"/>
          <w:lang w:val="sr-Latn-ME"/>
        </w:rPr>
        <w:t>Mayo</w:t>
      </w:r>
      <w:r w:rsidRPr="00275456">
        <w:rPr>
          <w:sz w:val="22"/>
          <w:szCs w:val="22"/>
          <w:lang w:val="sr-Latn-ME"/>
        </w:rPr>
        <w:t xml:space="preserve"> skorom (smanjenjem za ≥ 3 boda u odnosu na rezultat na početku uvodne terapije). Klinički ishodi zapaženi kod ovih pacijenata u 54. nedjelji su bili slični kliničkim ishodima prijavljenim kod pacijenata koji su postigli klinički odgovor u 6. nedjelji. </w:t>
      </w:r>
    </w:p>
    <w:p w14:paraId="0FB04003" w14:textId="77777777" w:rsidR="00785722" w:rsidRPr="00275456" w:rsidRDefault="00785722" w:rsidP="005C6DFE">
      <w:pPr>
        <w:autoSpaceDE w:val="0"/>
        <w:autoSpaceDN w:val="0"/>
        <w:adjustRightInd w:val="0"/>
        <w:jc w:val="both"/>
        <w:rPr>
          <w:sz w:val="22"/>
          <w:szCs w:val="22"/>
          <w:lang w:val="sr-Latn-ME"/>
        </w:rPr>
      </w:pPr>
    </w:p>
    <w:p w14:paraId="77947074"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Simponi je u 6. nedjelji značajno poboljšao kvalitet života, mjereno promjenom u odnosu na početnu vrijednost mjere specifične za bolest, upitniku IBDQ (upitnik za zapaljenske bolesti crijeva). Među pacijentima koji su primali terapiju održavanja lijekom Simponi poboljšanje kvaliteta života mjereno upitnikom IBDQ održalo se do 54. nedjelje.</w:t>
      </w:r>
    </w:p>
    <w:p w14:paraId="14AB0948" w14:textId="77777777" w:rsidR="00785722" w:rsidRPr="00275456" w:rsidRDefault="00785722" w:rsidP="005C6DFE">
      <w:pPr>
        <w:tabs>
          <w:tab w:val="left" w:pos="284"/>
        </w:tabs>
        <w:autoSpaceDE w:val="0"/>
        <w:autoSpaceDN w:val="0"/>
        <w:adjustRightInd w:val="0"/>
        <w:jc w:val="both"/>
        <w:rPr>
          <w:sz w:val="22"/>
          <w:szCs w:val="22"/>
          <w:u w:val="single"/>
          <w:lang w:val="sr-Latn-ME"/>
        </w:rPr>
      </w:pPr>
    </w:p>
    <w:p w14:paraId="25169EF1"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Približno 63% pacijenata koji su primali lijek Simponi na početku ekstenzije studije (56. nedjelja) su ostali na terapiji do kraja studije (posljednja primjena golimumaba je bila u 212. nedjelji).</w:t>
      </w:r>
    </w:p>
    <w:p w14:paraId="6FDC4290" w14:textId="77777777" w:rsidR="00785722" w:rsidRPr="00275456" w:rsidRDefault="00785722" w:rsidP="005C6DFE">
      <w:pPr>
        <w:tabs>
          <w:tab w:val="left" w:pos="284"/>
        </w:tabs>
        <w:autoSpaceDE w:val="0"/>
        <w:autoSpaceDN w:val="0"/>
        <w:adjustRightInd w:val="0"/>
        <w:jc w:val="both"/>
        <w:rPr>
          <w:sz w:val="22"/>
          <w:szCs w:val="22"/>
          <w:u w:val="single"/>
          <w:lang w:val="sr-Latn-ME"/>
        </w:rPr>
      </w:pPr>
    </w:p>
    <w:p w14:paraId="6FF290CC" w14:textId="77777777" w:rsidR="00785722" w:rsidRPr="00275456" w:rsidRDefault="00785722" w:rsidP="005C6DFE">
      <w:pPr>
        <w:tabs>
          <w:tab w:val="left" w:pos="284"/>
        </w:tabs>
        <w:autoSpaceDE w:val="0"/>
        <w:autoSpaceDN w:val="0"/>
        <w:adjustRightInd w:val="0"/>
        <w:jc w:val="both"/>
        <w:rPr>
          <w:sz w:val="22"/>
          <w:szCs w:val="22"/>
          <w:u w:val="single"/>
          <w:lang w:val="sr-Latn-ME"/>
        </w:rPr>
      </w:pPr>
      <w:r w:rsidRPr="00275456">
        <w:rPr>
          <w:sz w:val="22"/>
          <w:szCs w:val="22"/>
          <w:u w:val="single"/>
          <w:lang w:val="sr-Latn-ME"/>
        </w:rPr>
        <w:t xml:space="preserve">Imunogenost </w:t>
      </w:r>
    </w:p>
    <w:p w14:paraId="47A9DBB8" w14:textId="7777777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 xml:space="preserve">U studijama faze III u reumatoidnom artritisu, psorijatičnom artritisu i ankilozirajućem spondilitisu do 52. nedjelje, antitijela na golimumab, od kojih su gotovo sva djelovala neutralizirajuće </w:t>
      </w:r>
      <w:r w:rsidRPr="00275456">
        <w:rPr>
          <w:i/>
          <w:iCs/>
          <w:sz w:val="22"/>
          <w:szCs w:val="22"/>
          <w:lang w:val="sr-Latn-ME"/>
        </w:rPr>
        <w:t>in vitro</w:t>
      </w:r>
      <w:r w:rsidRPr="00275456">
        <w:rPr>
          <w:sz w:val="22"/>
          <w:szCs w:val="22"/>
          <w:lang w:val="sr-Latn-ME"/>
        </w:rPr>
        <w:t>, otkrivena su enzimskim imunoodređivanjem (engl.</w:t>
      </w:r>
      <w:r w:rsidRPr="00275456">
        <w:rPr>
          <w:i/>
          <w:iCs/>
          <w:sz w:val="22"/>
          <w:szCs w:val="22"/>
          <w:lang w:val="sr-Latn-ME"/>
        </w:rPr>
        <w:t xml:space="preserve"> enzyme immunoassay</w:t>
      </w:r>
      <w:r w:rsidRPr="00275456">
        <w:rPr>
          <w:sz w:val="22"/>
          <w:szCs w:val="22"/>
          <w:lang w:val="sr-Latn-ME"/>
        </w:rPr>
        <w:t xml:space="preserve">, EIA)  kod 5% pacijenata (105/2062) liječenih golimumabom. Slične stope dobijene su u svim reumatološkim indikacijama. Istovremeno liječenje metotreksatom rezultiralo je manjim udjelom pacijenata s antitijelima na golimumab (oko 3% [41/1235]), u poređenju s pacijentima koji uz golimumab nisu primali MTX (8% [64/827]). </w:t>
      </w:r>
    </w:p>
    <w:p w14:paraId="5A5EF430" w14:textId="77777777" w:rsidR="00785722" w:rsidRPr="00275456" w:rsidRDefault="00785722" w:rsidP="005C6DFE">
      <w:pPr>
        <w:tabs>
          <w:tab w:val="left" w:pos="284"/>
        </w:tabs>
        <w:autoSpaceDE w:val="0"/>
        <w:autoSpaceDN w:val="0"/>
        <w:adjustRightInd w:val="0"/>
        <w:jc w:val="both"/>
        <w:rPr>
          <w:sz w:val="22"/>
          <w:szCs w:val="22"/>
          <w:lang w:val="sr-Latn-ME"/>
        </w:rPr>
      </w:pPr>
    </w:p>
    <w:p w14:paraId="07CAC72F" w14:textId="29A969D0" w:rsidR="00785722" w:rsidRPr="00EA088A"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Kod aksijalnog spondiloartritisa</w:t>
      </w:r>
      <w:r w:rsidR="00A36EA3" w:rsidRPr="005C6DFE">
        <w:rPr>
          <w:sz w:val="22"/>
          <w:szCs w:val="22"/>
          <w:lang w:val="sr-Latn-ME"/>
        </w:rPr>
        <w:t xml:space="preserve"> </w:t>
      </w:r>
      <w:r w:rsidR="00A36EA3" w:rsidRPr="00EA088A">
        <w:rPr>
          <w:sz w:val="22"/>
          <w:szCs w:val="22"/>
          <w:lang w:val="sr-Latn-ME"/>
        </w:rPr>
        <w:t>bez radiografskog dokaza</w:t>
      </w:r>
      <w:r w:rsidRPr="00EA088A">
        <w:rPr>
          <w:sz w:val="22"/>
          <w:szCs w:val="22"/>
          <w:lang w:val="sr-Latn-ME"/>
        </w:rPr>
        <w:t>, antitijela na golimumab su detektovana</w:t>
      </w:r>
      <w:r w:rsidRPr="005C6DFE">
        <w:rPr>
          <w:sz w:val="22"/>
          <w:szCs w:val="22"/>
          <w:lang w:val="sr-Latn-ME"/>
        </w:rPr>
        <w:t xml:space="preserve"> </w:t>
      </w:r>
      <w:r w:rsidRPr="00EA088A">
        <w:rPr>
          <w:sz w:val="22"/>
          <w:szCs w:val="22"/>
          <w:lang w:val="sr-Latn-ME"/>
        </w:rPr>
        <w:t>EIA metodom kod 7% (14/193) pacijenata liječenih golimumabom do 52. nedjelje.</w:t>
      </w:r>
    </w:p>
    <w:p w14:paraId="0947FF37" w14:textId="77777777" w:rsidR="00785722" w:rsidRPr="00EA088A" w:rsidRDefault="00785722" w:rsidP="005C6DFE">
      <w:pPr>
        <w:tabs>
          <w:tab w:val="left" w:pos="284"/>
        </w:tabs>
        <w:autoSpaceDE w:val="0"/>
        <w:autoSpaceDN w:val="0"/>
        <w:adjustRightInd w:val="0"/>
        <w:jc w:val="both"/>
        <w:rPr>
          <w:sz w:val="22"/>
          <w:szCs w:val="22"/>
          <w:lang w:val="sr-Latn-ME"/>
        </w:rPr>
      </w:pPr>
    </w:p>
    <w:p w14:paraId="2A1689BE" w14:textId="634D0DB4" w:rsidR="00785722" w:rsidRPr="00275456" w:rsidRDefault="00785722" w:rsidP="005C6DFE">
      <w:pPr>
        <w:tabs>
          <w:tab w:val="left" w:pos="284"/>
        </w:tabs>
        <w:autoSpaceDE w:val="0"/>
        <w:autoSpaceDN w:val="0"/>
        <w:adjustRightInd w:val="0"/>
        <w:jc w:val="both"/>
        <w:rPr>
          <w:sz w:val="22"/>
          <w:szCs w:val="22"/>
          <w:lang w:val="sr-Latn-ME"/>
        </w:rPr>
      </w:pPr>
      <w:r w:rsidRPr="00C9046D">
        <w:rPr>
          <w:sz w:val="22"/>
          <w:szCs w:val="22"/>
          <w:lang w:val="sr-Latn-ME"/>
        </w:rPr>
        <w:t xml:space="preserve">U studijama faze II i III kod ulceroznog kolitisa do 54. nedjelje, antitijela na golimumab su identifikovana EIA metodom kod 3% (26/946) pacijenata na terapiji golimumabom. 68% (21/31) pacijenata pozitivnih na antitijela su imali neutrališuća antitijela </w:t>
      </w:r>
      <w:r w:rsidRPr="00C9046D">
        <w:rPr>
          <w:i/>
          <w:sz w:val="22"/>
          <w:szCs w:val="22"/>
          <w:lang w:val="sr-Latn-ME"/>
        </w:rPr>
        <w:t>in vitro</w:t>
      </w:r>
      <w:r w:rsidRPr="0014796E">
        <w:rPr>
          <w:sz w:val="22"/>
          <w:szCs w:val="22"/>
          <w:lang w:val="sr-Latn-ME"/>
        </w:rPr>
        <w:t>. Terapija sa istovremenom primjenom imunomodulatora (azatioprin, 6-merkaptopurin i metotreksat) rezultirala je u manjem procentu pacijenata sa antitjielima na golimumab u poređenju sa rezultatom kod pacijenata koji su primali golimumab bez imunomodulatora (1% (4/308) naspram 3% (22/638)).</w:t>
      </w:r>
      <w:r w:rsidRPr="00275456" w:rsidDel="004C6A43">
        <w:rPr>
          <w:sz w:val="22"/>
          <w:szCs w:val="22"/>
          <w:lang w:val="sr-Latn-ME"/>
        </w:rPr>
        <w:t xml:space="preserve"> </w:t>
      </w:r>
      <w:r w:rsidRPr="00275456">
        <w:rPr>
          <w:sz w:val="22"/>
          <w:szCs w:val="22"/>
          <w:lang w:val="sr-Latn-ME"/>
        </w:rPr>
        <w:t>Pacijenti koji su učestvovali u ekstenziji studije i čiji su se uzorci mogli procijeniti tokom 228. nedjelje, antitijela na golimumab su detektovana kod 4% (23̸604) pacijenata na terapiji golimumabom. 82% (18</w:t>
      </w:r>
      <w:r w:rsidR="00A36EA3" w:rsidRPr="00275456">
        <w:rPr>
          <w:sz w:val="22"/>
          <w:szCs w:val="22"/>
          <w:lang w:val="sr-Latn-ME"/>
        </w:rPr>
        <w:t>/</w:t>
      </w:r>
      <w:r w:rsidRPr="00275456">
        <w:rPr>
          <w:sz w:val="22"/>
          <w:szCs w:val="22"/>
          <w:lang w:val="sr-Latn-ME"/>
        </w:rPr>
        <w:t xml:space="preserve">22) od pacijenata koji su imali pozitivna antitijela imali su neutrališuća antitijela </w:t>
      </w:r>
      <w:r w:rsidRPr="00275456">
        <w:rPr>
          <w:i/>
          <w:sz w:val="22"/>
          <w:szCs w:val="22"/>
          <w:lang w:val="sr-Latn-ME"/>
        </w:rPr>
        <w:t>in vitro.</w:t>
      </w:r>
    </w:p>
    <w:p w14:paraId="3DAF10AB" w14:textId="77777777" w:rsidR="00785722" w:rsidRPr="00275456" w:rsidRDefault="00785722" w:rsidP="005C6DFE">
      <w:pPr>
        <w:tabs>
          <w:tab w:val="left" w:pos="284"/>
        </w:tabs>
        <w:autoSpaceDE w:val="0"/>
        <w:autoSpaceDN w:val="0"/>
        <w:adjustRightInd w:val="0"/>
        <w:jc w:val="both"/>
        <w:rPr>
          <w:sz w:val="22"/>
          <w:szCs w:val="22"/>
          <w:lang w:val="sr-Latn-ME"/>
        </w:rPr>
      </w:pPr>
    </w:p>
    <w:p w14:paraId="001F5760" w14:textId="77777777" w:rsidR="00785722" w:rsidRPr="00EA088A" w:rsidRDefault="00785722" w:rsidP="005C6DFE">
      <w:pPr>
        <w:tabs>
          <w:tab w:val="left" w:pos="567"/>
        </w:tabs>
        <w:autoSpaceDE w:val="0"/>
        <w:autoSpaceDN w:val="0"/>
        <w:jc w:val="both"/>
        <w:rPr>
          <w:sz w:val="22"/>
          <w:szCs w:val="22"/>
          <w:lang w:val="sr-Latn-ME"/>
        </w:rPr>
      </w:pPr>
      <w:r w:rsidRPr="00352F6E">
        <w:rPr>
          <w:sz w:val="22"/>
          <w:szCs w:val="22"/>
          <w:lang w:val="sr-Latn-ME"/>
        </w:rPr>
        <w:t>Za otkrivanje antitijela na golimumab u studiji sprovedenoj kod pacijenata sa pJIA koristila se EIA metoda otporna na lijek. Zbog veće osjetljivosti i poboljšane otpornosti na lijek, očekivalo se da će se EIA metodom otpornom na lijek utvrditi veća incidenca antitijela na golimumab nego EIA metodom. U studiji faze</w:t>
      </w:r>
      <w:r w:rsidRPr="00950194">
        <w:rPr>
          <w:sz w:val="22"/>
          <w:szCs w:val="22"/>
          <w:lang w:val="sr-Latn-ME"/>
        </w:rPr>
        <w:t xml:space="preserve"> III kod pacijenata sa pJIA, do 48. nedelje su EIA metodom otpornom na lijek otkrivena su antitijela na golimumab kod 40% (69/172) djece liječene golimumabom, od kojih je većina imala titar niži od 1:1000. Uticaj na koncentracije golimumaba u serumu primijećen je pri titrima &gt; 1:100, dok uticaj na efikasnost nije primijećen do titara &gt; 1:1000, iako je broj djece sa titrima</w:t>
      </w:r>
      <w:r w:rsidRPr="005C6DFE">
        <w:rPr>
          <w:sz w:val="22"/>
          <w:szCs w:val="22"/>
          <w:lang w:val="sr-Latn-ME"/>
        </w:rPr>
        <w:t xml:space="preserve"> </w:t>
      </w:r>
      <w:r w:rsidRPr="00EA088A">
        <w:rPr>
          <w:sz w:val="22"/>
          <w:szCs w:val="22"/>
          <w:lang w:val="sr-Latn-ME"/>
        </w:rPr>
        <w:t xml:space="preserve">&gt; 1:1000 bio nizak </w:t>
      </w:r>
      <w:r w:rsidRPr="00EA088A">
        <w:rPr>
          <w:sz w:val="22"/>
          <w:szCs w:val="22"/>
          <w:lang w:val="sr-Latn-ME"/>
        </w:rPr>
        <w:lastRenderedPageBreak/>
        <w:t>(N = 8). Među djecom koja su bila pozitivna na antitijela na golimumab, njih 39% (25/65) imalo je neutralizujuća antitijela. Budući da se uglavnom radilo o niskim titrima antitijela, veća incidenca antitijela otkrivena EIA metodom otpornom na lijek nije imala vidljivog uticaja na nivoe lijeka, efikasnost i bezbjednost pa stoga ne predstavlja nikakav novi bezbjednosni signal.</w:t>
      </w:r>
    </w:p>
    <w:p w14:paraId="4D67BCE4" w14:textId="77777777" w:rsidR="00785722" w:rsidRPr="00EA088A" w:rsidRDefault="00785722" w:rsidP="005C6DFE">
      <w:pPr>
        <w:tabs>
          <w:tab w:val="left" w:pos="284"/>
        </w:tabs>
        <w:autoSpaceDE w:val="0"/>
        <w:autoSpaceDN w:val="0"/>
        <w:adjustRightInd w:val="0"/>
        <w:jc w:val="both"/>
        <w:rPr>
          <w:sz w:val="22"/>
          <w:szCs w:val="22"/>
          <w:lang w:val="sr-Latn-ME"/>
        </w:rPr>
      </w:pPr>
    </w:p>
    <w:p w14:paraId="1FC64774" w14:textId="77777777" w:rsidR="00785722" w:rsidRPr="0014796E" w:rsidRDefault="00785722" w:rsidP="005C6DFE">
      <w:pPr>
        <w:tabs>
          <w:tab w:val="left" w:pos="284"/>
        </w:tabs>
        <w:autoSpaceDE w:val="0"/>
        <w:autoSpaceDN w:val="0"/>
        <w:adjustRightInd w:val="0"/>
        <w:jc w:val="both"/>
        <w:rPr>
          <w:sz w:val="22"/>
          <w:szCs w:val="22"/>
          <w:lang w:val="sr-Latn-ME"/>
        </w:rPr>
      </w:pPr>
      <w:r w:rsidRPr="00C9046D">
        <w:rPr>
          <w:sz w:val="22"/>
          <w:szCs w:val="22"/>
          <w:lang w:val="sr-Latn-ME"/>
        </w:rPr>
        <w:t>Prisustvo antitijela na golimumab može povećati rizik od reakcija na mjestu injekcije (vidi poglavlje 4.4); međutim, mali broj pacijenata s pozitivnim nalazom antitijela na golimumab ograničava mogućnost donošenja konačnih zaključaka o povezanosti nastanka antitijela na golimumab i kliničke efikasno</w:t>
      </w:r>
      <w:r w:rsidRPr="0014796E">
        <w:rPr>
          <w:sz w:val="22"/>
          <w:szCs w:val="22"/>
          <w:lang w:val="sr-Latn-ME"/>
        </w:rPr>
        <w:t xml:space="preserve">sti, odnosno mjera bezbjednosti. </w:t>
      </w:r>
    </w:p>
    <w:p w14:paraId="14B00017" w14:textId="77777777" w:rsidR="00785722" w:rsidRPr="00275456" w:rsidRDefault="00785722" w:rsidP="005C6DFE">
      <w:pPr>
        <w:tabs>
          <w:tab w:val="left" w:pos="284"/>
        </w:tabs>
        <w:autoSpaceDE w:val="0"/>
        <w:autoSpaceDN w:val="0"/>
        <w:adjustRightInd w:val="0"/>
        <w:jc w:val="both"/>
        <w:rPr>
          <w:sz w:val="22"/>
          <w:szCs w:val="22"/>
          <w:lang w:val="sr-Latn-ME"/>
        </w:rPr>
      </w:pPr>
    </w:p>
    <w:p w14:paraId="3F0028C1" w14:textId="77777777" w:rsidR="00785722" w:rsidRPr="00275456" w:rsidRDefault="00785722" w:rsidP="005C6DFE">
      <w:pPr>
        <w:tabs>
          <w:tab w:val="left" w:pos="284"/>
        </w:tabs>
        <w:jc w:val="both"/>
        <w:outlineLvl w:val="0"/>
        <w:rPr>
          <w:sz w:val="22"/>
          <w:szCs w:val="22"/>
          <w:lang w:val="sr-Latn-ME"/>
        </w:rPr>
      </w:pPr>
      <w:r w:rsidRPr="00275456">
        <w:rPr>
          <w:sz w:val="22"/>
          <w:szCs w:val="22"/>
          <w:lang w:val="sr-Latn-ME"/>
        </w:rPr>
        <w:t>Budući da su analize imunogenosti specifične za pojedini proizvod i pojedine testove, nije primjereno upoređivati incidencu antitijela s incidencom pri upotrebi drugih ljekova.</w:t>
      </w:r>
    </w:p>
    <w:p w14:paraId="04284903" w14:textId="77777777" w:rsidR="00785722" w:rsidRPr="00275456" w:rsidRDefault="00785722" w:rsidP="005C6DFE">
      <w:pPr>
        <w:tabs>
          <w:tab w:val="left" w:pos="284"/>
        </w:tabs>
        <w:jc w:val="both"/>
        <w:outlineLvl w:val="0"/>
        <w:rPr>
          <w:sz w:val="22"/>
          <w:szCs w:val="22"/>
          <w:lang w:val="sr-Latn-ME"/>
        </w:rPr>
      </w:pPr>
    </w:p>
    <w:p w14:paraId="1885A3DA" w14:textId="77777777" w:rsidR="00785722" w:rsidRPr="00275456" w:rsidRDefault="00785722" w:rsidP="005C6DFE">
      <w:pPr>
        <w:tabs>
          <w:tab w:val="left" w:pos="284"/>
        </w:tabs>
        <w:jc w:val="both"/>
        <w:outlineLvl w:val="0"/>
        <w:rPr>
          <w:sz w:val="22"/>
          <w:szCs w:val="22"/>
          <w:u w:val="single"/>
          <w:lang w:val="sr-Latn-ME"/>
        </w:rPr>
      </w:pPr>
      <w:r w:rsidRPr="00275456">
        <w:rPr>
          <w:sz w:val="22"/>
          <w:szCs w:val="22"/>
          <w:u w:val="single"/>
          <w:lang w:val="sr-Latn-ME"/>
        </w:rPr>
        <w:t>Pedijatrijska populacija</w:t>
      </w:r>
    </w:p>
    <w:p w14:paraId="59EB98AB" w14:textId="77777777" w:rsidR="00785722" w:rsidRPr="00275456" w:rsidRDefault="00785722" w:rsidP="005C6DFE">
      <w:pPr>
        <w:tabs>
          <w:tab w:val="left" w:pos="567"/>
        </w:tabs>
        <w:jc w:val="both"/>
        <w:rPr>
          <w:i/>
          <w:sz w:val="22"/>
          <w:szCs w:val="22"/>
          <w:lang w:val="sr-Latn-ME"/>
        </w:rPr>
      </w:pPr>
    </w:p>
    <w:p w14:paraId="3E4CB3FC" w14:textId="77777777" w:rsidR="00785722" w:rsidRPr="00275456" w:rsidRDefault="00785722" w:rsidP="005C6DFE">
      <w:pPr>
        <w:tabs>
          <w:tab w:val="left" w:pos="567"/>
        </w:tabs>
        <w:jc w:val="both"/>
        <w:rPr>
          <w:i/>
          <w:sz w:val="22"/>
          <w:szCs w:val="22"/>
          <w:lang w:val="sr-Latn-ME"/>
        </w:rPr>
      </w:pPr>
      <w:r w:rsidRPr="00275456">
        <w:rPr>
          <w:i/>
          <w:sz w:val="22"/>
          <w:szCs w:val="22"/>
          <w:lang w:val="sr-Latn-ME"/>
        </w:rPr>
        <w:t xml:space="preserve">Poliartikularni juvenilini idiopatski artritis </w:t>
      </w:r>
    </w:p>
    <w:p w14:paraId="1FA1988D" w14:textId="77777777" w:rsidR="00785722" w:rsidRPr="00352F6E" w:rsidRDefault="00785722" w:rsidP="005C6DFE">
      <w:pPr>
        <w:tabs>
          <w:tab w:val="left" w:pos="567"/>
        </w:tabs>
        <w:jc w:val="both"/>
        <w:rPr>
          <w:iCs/>
          <w:sz w:val="22"/>
          <w:szCs w:val="22"/>
          <w:lang w:val="sr-Latn-ME"/>
        </w:rPr>
      </w:pPr>
      <w:r w:rsidRPr="00275456">
        <w:rPr>
          <w:sz w:val="22"/>
          <w:szCs w:val="22"/>
          <w:lang w:val="sr-Latn-ME"/>
        </w:rPr>
        <w:t xml:space="preserve">Bezbjednost i efikasnost lijeka Simponi procijenjene su u randomizovanoj, dvostruko slijepoj, placebom kontrolisanoj studiji koja je uključivala fazu ukidanja aktivne terapije (engl. </w:t>
      </w:r>
      <w:r w:rsidRPr="00275456">
        <w:rPr>
          <w:i/>
          <w:sz w:val="22"/>
          <w:szCs w:val="22"/>
          <w:lang w:val="sr-Latn-ME"/>
        </w:rPr>
        <w:t>withdrawal study</w:t>
      </w:r>
      <w:r w:rsidRPr="00275456">
        <w:rPr>
          <w:sz w:val="22"/>
          <w:szCs w:val="22"/>
          <w:lang w:val="sr-Latn-ME"/>
        </w:rPr>
        <w:t xml:space="preserve">) (GO-KIDS), sprovedenom kod 173 djece (uzrasta od 2 do 17 godina) sa aktivnim pJIA i najmanje 5 aktivnih zglobova koji nijesu ostvarili odgovarajući odgovor na MTX. U studiju su bila uključena djeca sa JIA poliartikularnog toka (poliartritis pozitivan ili negativan na reumatoidni faktor , prošireni oligoartritis, juvenilni psorijatični artritis ili sistemski JIA bez trenutnih sistemskih simptoma). Medijana broja aktivnih zglobova na početku studije iznosila je 12, a medijana CRP-a 0,17 mg/dL. </w:t>
      </w:r>
    </w:p>
    <w:p w14:paraId="15661013" w14:textId="77777777" w:rsidR="00785722" w:rsidRPr="00352F6E" w:rsidRDefault="00785722" w:rsidP="005C6DFE">
      <w:pPr>
        <w:tabs>
          <w:tab w:val="left" w:pos="567"/>
        </w:tabs>
        <w:jc w:val="both"/>
        <w:rPr>
          <w:sz w:val="22"/>
          <w:szCs w:val="22"/>
          <w:lang w:val="sr-Latn-ME"/>
        </w:rPr>
      </w:pPr>
    </w:p>
    <w:p w14:paraId="07835AE2" w14:textId="77777777" w:rsidR="00785722" w:rsidRPr="00F415C0" w:rsidRDefault="00785722" w:rsidP="005C6DFE">
      <w:pPr>
        <w:tabs>
          <w:tab w:val="left" w:pos="567"/>
        </w:tabs>
        <w:jc w:val="both"/>
        <w:rPr>
          <w:sz w:val="22"/>
          <w:szCs w:val="22"/>
          <w:lang w:val="sr-Latn-ME"/>
        </w:rPr>
      </w:pPr>
      <w:r w:rsidRPr="00950194">
        <w:rPr>
          <w:sz w:val="22"/>
          <w:szCs w:val="22"/>
          <w:lang w:val="sr-Latn-ME"/>
        </w:rPr>
        <w:t>Prvi dio studije sastojao se od 16-nedjeljne otvorene faze u kojoj je 173 uključene djece primalo lijek Simponi u dozi od 30 mg/m</w:t>
      </w:r>
      <w:r w:rsidRPr="00926FA7">
        <w:rPr>
          <w:sz w:val="22"/>
          <w:szCs w:val="22"/>
          <w:vertAlign w:val="superscript"/>
          <w:lang w:val="sr-Latn-ME"/>
        </w:rPr>
        <w:t>2</w:t>
      </w:r>
      <w:r w:rsidRPr="00926FA7">
        <w:rPr>
          <w:sz w:val="22"/>
          <w:szCs w:val="22"/>
          <w:lang w:val="sr-Latn-ME"/>
        </w:rPr>
        <w:t xml:space="preserve"> (maksimalno 50 mg), primijenjenoj supkutano svake 4 nedjelje, i MTX. 154 djece koja su postigla odgovor ACR Ped (ACR pediatric) 30 u 16. nedjelji ušlo je u drugi dio studije, fazu randomizovano</w:t>
      </w:r>
      <w:r w:rsidRPr="00F415C0">
        <w:rPr>
          <w:sz w:val="22"/>
          <w:szCs w:val="22"/>
          <w:lang w:val="sr-Latn-ME"/>
        </w:rPr>
        <w:t>g ukidanja aktivne terapije, u kojoj se primjenjivao lijek Simponi u dozi od 30 mg/m</w:t>
      </w:r>
      <w:r w:rsidRPr="00F415C0">
        <w:rPr>
          <w:sz w:val="22"/>
          <w:szCs w:val="22"/>
          <w:vertAlign w:val="superscript"/>
          <w:lang w:val="sr-Latn-ME"/>
        </w:rPr>
        <w:t>2</w:t>
      </w:r>
      <w:r w:rsidRPr="00F415C0">
        <w:rPr>
          <w:sz w:val="22"/>
          <w:szCs w:val="22"/>
          <w:lang w:val="sr-Latn-ME"/>
        </w:rPr>
        <w:t xml:space="preserve"> (maksimalno 50 mg) + MTX ili placebo + MTX svake 4 nedjelje. Nakon pogoršanja bolesti djeca su primala lijek Simponi u dozi od 30 mg/m</w:t>
      </w:r>
      <w:r w:rsidRPr="00F415C0">
        <w:rPr>
          <w:sz w:val="22"/>
          <w:szCs w:val="22"/>
          <w:vertAlign w:val="superscript"/>
          <w:lang w:val="sr-Latn-ME"/>
        </w:rPr>
        <w:t>2</w:t>
      </w:r>
      <w:r w:rsidRPr="00F415C0">
        <w:rPr>
          <w:sz w:val="22"/>
          <w:szCs w:val="22"/>
          <w:lang w:val="sr-Latn-ME"/>
        </w:rPr>
        <w:t xml:space="preserve"> (maksimalno 50 mg) + MTX. U 48. nedjelji, djeca su ušla u dugotrajan produžetak studije. </w:t>
      </w:r>
    </w:p>
    <w:p w14:paraId="5542497F" w14:textId="77777777" w:rsidR="00785722" w:rsidRPr="00F415C0" w:rsidRDefault="00785722" w:rsidP="005C6DFE">
      <w:pPr>
        <w:tabs>
          <w:tab w:val="left" w:pos="567"/>
        </w:tabs>
        <w:jc w:val="both"/>
        <w:rPr>
          <w:sz w:val="22"/>
          <w:szCs w:val="22"/>
          <w:lang w:val="sr-Latn-ME"/>
        </w:rPr>
      </w:pPr>
    </w:p>
    <w:p w14:paraId="6B0A6C38" w14:textId="77777777" w:rsidR="00785722" w:rsidRPr="00F415C0" w:rsidRDefault="00785722" w:rsidP="005C6DFE">
      <w:pPr>
        <w:tabs>
          <w:tab w:val="left" w:pos="567"/>
        </w:tabs>
        <w:autoSpaceDE w:val="0"/>
        <w:autoSpaceDN w:val="0"/>
        <w:jc w:val="both"/>
        <w:rPr>
          <w:sz w:val="22"/>
          <w:szCs w:val="22"/>
          <w:lang w:val="sr-Latn-ME"/>
        </w:rPr>
      </w:pPr>
      <w:r w:rsidRPr="00F415C0">
        <w:rPr>
          <w:sz w:val="22"/>
          <w:szCs w:val="22"/>
          <w:lang w:val="sr-Latn-ME"/>
        </w:rPr>
        <w:t xml:space="preserve">Djeca uključena u ovu studiju postigla su odgovore ACR Ped 30, 50, 70 i 90 već u 4. nedjelji. </w:t>
      </w:r>
    </w:p>
    <w:p w14:paraId="09E68D71" w14:textId="77777777" w:rsidR="00785722" w:rsidRPr="00F415C0" w:rsidRDefault="00785722" w:rsidP="005C6DFE">
      <w:pPr>
        <w:tabs>
          <w:tab w:val="left" w:pos="567"/>
        </w:tabs>
        <w:autoSpaceDE w:val="0"/>
        <w:autoSpaceDN w:val="0"/>
        <w:jc w:val="both"/>
        <w:rPr>
          <w:sz w:val="22"/>
          <w:szCs w:val="22"/>
          <w:lang w:val="sr-Latn-ME"/>
        </w:rPr>
      </w:pPr>
    </w:p>
    <w:p w14:paraId="6CCCED82" w14:textId="77777777" w:rsidR="00785722" w:rsidRPr="00F415C0" w:rsidRDefault="00785722" w:rsidP="005C6DFE">
      <w:pPr>
        <w:tabs>
          <w:tab w:val="left" w:pos="567"/>
        </w:tabs>
        <w:autoSpaceDE w:val="0"/>
        <w:autoSpaceDN w:val="0"/>
        <w:jc w:val="both"/>
        <w:rPr>
          <w:sz w:val="22"/>
          <w:szCs w:val="22"/>
          <w:lang w:val="sr-Latn-ME"/>
        </w:rPr>
      </w:pPr>
      <w:r w:rsidRPr="00F415C0">
        <w:rPr>
          <w:sz w:val="22"/>
          <w:szCs w:val="22"/>
          <w:lang w:val="sr-Latn-ME"/>
        </w:rPr>
        <w:t>U 16. nedjelji 87% djece je postiglo odgovor ACR Ped 30, njih 79% odgovor ACR Ped 50, 66% odgovor ACR Ped 70, a 36% odgovor ACR Ped 90. U 16. nedelji, 34% djece imalo je neaktivnu bolest, koja se definisala kao prisutnost svih sljedećih elemenata: nijedan zglob zahvaćen aktivnim artritisom; bez povišene temperature, osipa, serozitisa, splenomegalije, hepatomegalije ili generalizovne limfadenopatije koja bi mogla da se pripiše JIA; bez aktivnog uveitisa; normalna brzina sedimentacije eritrocita (engl.</w:t>
      </w:r>
      <w:r w:rsidRPr="00F415C0">
        <w:rPr>
          <w:i/>
          <w:iCs/>
          <w:sz w:val="22"/>
          <w:szCs w:val="22"/>
          <w:lang w:val="sr-Latn-ME"/>
        </w:rPr>
        <w:t xml:space="preserve"> erythrocyte sedimentation rate</w:t>
      </w:r>
      <w:r w:rsidRPr="00F415C0">
        <w:rPr>
          <w:sz w:val="22"/>
          <w:szCs w:val="22"/>
          <w:lang w:val="sr-Latn-ME"/>
        </w:rPr>
        <w:t>, ESR) (&lt; 20 mm/sat) ili normalna vrednost CRP-a (&lt; 1,0 mg/dL); ljekareva opšta ocjena aktivnosti bolesti (VAS ≤ 5 mm); trajanje jutarnje ukočenosti &lt; 15 minuta.</w:t>
      </w:r>
    </w:p>
    <w:p w14:paraId="0CC07CAE" w14:textId="77777777" w:rsidR="00785722" w:rsidRPr="00F415C0" w:rsidRDefault="00785722" w:rsidP="005C6DFE">
      <w:pPr>
        <w:tabs>
          <w:tab w:val="left" w:pos="567"/>
        </w:tabs>
        <w:jc w:val="both"/>
        <w:rPr>
          <w:sz w:val="22"/>
          <w:szCs w:val="22"/>
          <w:lang w:val="sr-Latn-ME"/>
        </w:rPr>
      </w:pPr>
    </w:p>
    <w:p w14:paraId="4F7BDAC7" w14:textId="1E1394A0" w:rsidR="00785722" w:rsidRPr="00F415C0" w:rsidRDefault="00785722" w:rsidP="005C6DFE">
      <w:pPr>
        <w:tabs>
          <w:tab w:val="left" w:pos="567"/>
        </w:tabs>
        <w:jc w:val="both"/>
        <w:rPr>
          <w:sz w:val="22"/>
          <w:szCs w:val="22"/>
          <w:lang w:val="sr-Latn-ME"/>
        </w:rPr>
      </w:pPr>
      <w:r w:rsidRPr="00F415C0">
        <w:rPr>
          <w:sz w:val="22"/>
          <w:szCs w:val="22"/>
          <w:lang w:val="sr-Latn-ME"/>
        </w:rPr>
        <w:t>U 16. nedjelji, sve komponente odgovora ACR Ped su pokazivale klinički značajno poboljšanje u odnosu na početnu vrijednost (vid</w:t>
      </w:r>
      <w:r w:rsidR="008D185B" w:rsidRPr="00F415C0">
        <w:rPr>
          <w:sz w:val="22"/>
          <w:szCs w:val="22"/>
          <w:lang w:val="sr-Latn-ME"/>
        </w:rPr>
        <w:t>j</w:t>
      </w:r>
      <w:r w:rsidRPr="00F415C0">
        <w:rPr>
          <w:sz w:val="22"/>
          <w:szCs w:val="22"/>
          <w:lang w:val="sr-Latn-ME"/>
        </w:rPr>
        <w:t xml:space="preserve">eti Tabelu </w:t>
      </w:r>
      <w:r w:rsidR="008D185B" w:rsidRPr="00F415C0">
        <w:rPr>
          <w:sz w:val="22"/>
          <w:szCs w:val="22"/>
          <w:lang w:val="sr-Latn-ME"/>
        </w:rPr>
        <w:t>9</w:t>
      </w:r>
      <w:r w:rsidRPr="00F415C0">
        <w:rPr>
          <w:sz w:val="22"/>
          <w:szCs w:val="22"/>
          <w:lang w:val="sr-Latn-ME"/>
        </w:rPr>
        <w:t>).</w:t>
      </w:r>
    </w:p>
    <w:p w14:paraId="5D84EDA4" w14:textId="77777777" w:rsidR="00785722" w:rsidRPr="00F415C0" w:rsidRDefault="00785722" w:rsidP="00785722">
      <w:pPr>
        <w:tabs>
          <w:tab w:val="left" w:pos="567"/>
        </w:tabs>
        <w:rPr>
          <w:sz w:val="22"/>
          <w:szCs w:val="22"/>
          <w:lang w:val="sr-Latn-ME"/>
        </w:rPr>
      </w:pPr>
    </w:p>
    <w:p w14:paraId="4F9D9541" w14:textId="7039769E" w:rsidR="00785722" w:rsidRPr="00F415C0" w:rsidRDefault="00785722" w:rsidP="00785722">
      <w:pPr>
        <w:keepNext/>
        <w:tabs>
          <w:tab w:val="left" w:pos="567"/>
        </w:tabs>
        <w:jc w:val="center"/>
        <w:rPr>
          <w:b/>
          <w:sz w:val="22"/>
          <w:szCs w:val="22"/>
          <w:lang w:val="sr-Latn-ME"/>
        </w:rPr>
      </w:pPr>
      <w:r w:rsidRPr="00F415C0">
        <w:rPr>
          <w:b/>
          <w:sz w:val="22"/>
          <w:szCs w:val="22"/>
          <w:lang w:val="sr-Latn-ME"/>
        </w:rPr>
        <w:t>Tabela </w:t>
      </w:r>
      <w:r w:rsidR="008D185B" w:rsidRPr="00F415C0">
        <w:rPr>
          <w:b/>
          <w:sz w:val="22"/>
          <w:szCs w:val="22"/>
          <w:lang w:val="sr-Latn-ME"/>
        </w:rPr>
        <w:t>9</w:t>
      </w:r>
    </w:p>
    <w:p w14:paraId="6B73AEEF" w14:textId="77777777" w:rsidR="00785722" w:rsidRPr="00F415C0" w:rsidRDefault="00785722" w:rsidP="00785722">
      <w:pPr>
        <w:tabs>
          <w:tab w:val="left" w:pos="567"/>
        </w:tabs>
        <w:jc w:val="center"/>
        <w:rPr>
          <w:b/>
          <w:sz w:val="22"/>
          <w:szCs w:val="22"/>
          <w:vertAlign w:val="superscript"/>
          <w:lang w:val="sr-Latn-ME"/>
        </w:rPr>
      </w:pPr>
      <w:r w:rsidRPr="00F415C0">
        <w:rPr>
          <w:b/>
          <w:sz w:val="22"/>
          <w:szCs w:val="22"/>
          <w:lang w:val="sr-Latn-ME"/>
        </w:rPr>
        <w:t>Poboljšanje komponenata odgovora ACR Ped od početka ispitivanja do 16. nedelje</w:t>
      </w:r>
      <w:r w:rsidRPr="00F415C0">
        <w:rPr>
          <w:b/>
          <w:sz w:val="22"/>
          <w:szCs w:val="22"/>
          <w:vertAlign w:val="superscript"/>
          <w:lang w:val="sr-Latn-ME"/>
        </w:rPr>
        <w:t>a</w:t>
      </w:r>
    </w:p>
    <w:tbl>
      <w:tblPr>
        <w:tblW w:w="675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2430"/>
      </w:tblGrid>
      <w:tr w:rsidR="00785722" w:rsidRPr="00275456" w14:paraId="2C4D8BFD" w14:textId="77777777" w:rsidTr="00A3401E">
        <w:trPr>
          <w:cantSplit/>
        </w:trPr>
        <w:tc>
          <w:tcPr>
            <w:tcW w:w="4320" w:type="dxa"/>
            <w:shd w:val="clear" w:color="auto" w:fill="auto"/>
          </w:tcPr>
          <w:p w14:paraId="500AFC3C" w14:textId="77777777" w:rsidR="00785722" w:rsidRPr="00F415C0" w:rsidRDefault="00785722" w:rsidP="00A3401E">
            <w:pPr>
              <w:tabs>
                <w:tab w:val="left" w:pos="567"/>
              </w:tabs>
              <w:autoSpaceDE w:val="0"/>
              <w:autoSpaceDN w:val="0"/>
              <w:adjustRightInd w:val="0"/>
              <w:rPr>
                <w:sz w:val="22"/>
                <w:szCs w:val="22"/>
                <w:lang w:val="sr-Latn-ME"/>
              </w:rPr>
            </w:pPr>
          </w:p>
        </w:tc>
        <w:tc>
          <w:tcPr>
            <w:tcW w:w="2430" w:type="dxa"/>
            <w:shd w:val="clear" w:color="auto" w:fill="auto"/>
          </w:tcPr>
          <w:p w14:paraId="507B7BE9" w14:textId="77777777" w:rsidR="00785722" w:rsidRPr="00F415C0" w:rsidRDefault="00785722" w:rsidP="00A3401E">
            <w:pPr>
              <w:tabs>
                <w:tab w:val="left" w:pos="567"/>
              </w:tabs>
              <w:jc w:val="center"/>
              <w:rPr>
                <w:b/>
                <w:bCs/>
                <w:sz w:val="22"/>
                <w:szCs w:val="22"/>
                <w:lang w:val="sr-Latn-ME"/>
              </w:rPr>
            </w:pPr>
            <w:r w:rsidRPr="00F415C0">
              <w:rPr>
                <w:b/>
                <w:bCs/>
                <w:sz w:val="22"/>
                <w:szCs w:val="22"/>
                <w:lang w:val="sr-Latn-ME"/>
              </w:rPr>
              <w:t>Medijana procenta poboljšanja</w:t>
            </w:r>
          </w:p>
        </w:tc>
      </w:tr>
      <w:tr w:rsidR="00785722" w:rsidRPr="00275456" w14:paraId="39F99498" w14:textId="77777777" w:rsidTr="00A3401E">
        <w:trPr>
          <w:cantSplit/>
        </w:trPr>
        <w:tc>
          <w:tcPr>
            <w:tcW w:w="4320" w:type="dxa"/>
            <w:shd w:val="clear" w:color="auto" w:fill="auto"/>
          </w:tcPr>
          <w:p w14:paraId="3600236E" w14:textId="77777777" w:rsidR="00785722" w:rsidRPr="00EA088A" w:rsidRDefault="00785722" w:rsidP="00A3401E">
            <w:pPr>
              <w:tabs>
                <w:tab w:val="left" w:pos="567"/>
              </w:tabs>
              <w:autoSpaceDE w:val="0"/>
              <w:autoSpaceDN w:val="0"/>
              <w:adjustRightInd w:val="0"/>
              <w:rPr>
                <w:sz w:val="22"/>
                <w:szCs w:val="22"/>
                <w:lang w:val="sr-Latn-ME"/>
              </w:rPr>
            </w:pPr>
          </w:p>
        </w:tc>
        <w:tc>
          <w:tcPr>
            <w:tcW w:w="2430" w:type="dxa"/>
            <w:shd w:val="clear" w:color="auto" w:fill="auto"/>
          </w:tcPr>
          <w:p w14:paraId="3E5C077B" w14:textId="77777777" w:rsidR="00785722" w:rsidRPr="00C9046D" w:rsidRDefault="00785722" w:rsidP="00A3401E">
            <w:pPr>
              <w:tabs>
                <w:tab w:val="left" w:pos="567"/>
              </w:tabs>
              <w:autoSpaceDE w:val="0"/>
              <w:autoSpaceDN w:val="0"/>
              <w:jc w:val="center"/>
              <w:rPr>
                <w:sz w:val="22"/>
                <w:szCs w:val="22"/>
                <w:lang w:val="sr-Latn-ME"/>
              </w:rPr>
            </w:pPr>
            <w:r w:rsidRPr="00EA088A">
              <w:rPr>
                <w:sz w:val="22"/>
                <w:szCs w:val="22"/>
                <w:lang w:val="sr-Latn-ME"/>
              </w:rPr>
              <w:t>Simponi 30 mg/m</w:t>
            </w:r>
            <w:r w:rsidRPr="00C9046D">
              <w:rPr>
                <w:sz w:val="22"/>
                <w:szCs w:val="22"/>
                <w:vertAlign w:val="superscript"/>
                <w:lang w:val="sr-Latn-ME"/>
              </w:rPr>
              <w:t>2</w:t>
            </w:r>
          </w:p>
          <w:p w14:paraId="6B97CF53" w14:textId="77777777" w:rsidR="00785722" w:rsidRPr="00950194" w:rsidRDefault="00785722" w:rsidP="00A3401E">
            <w:pPr>
              <w:tabs>
                <w:tab w:val="left" w:pos="567"/>
              </w:tabs>
              <w:autoSpaceDE w:val="0"/>
              <w:autoSpaceDN w:val="0"/>
              <w:jc w:val="center"/>
              <w:rPr>
                <w:sz w:val="22"/>
                <w:szCs w:val="22"/>
                <w:lang w:val="sr-Latn-ME"/>
              </w:rPr>
            </w:pPr>
            <w:r w:rsidRPr="00352F6E">
              <w:rPr>
                <w:sz w:val="22"/>
                <w:szCs w:val="22"/>
                <w:lang w:val="sr-Latn-ME"/>
              </w:rPr>
              <w:t>n</w:t>
            </w:r>
            <w:r w:rsidRPr="00352F6E">
              <w:rPr>
                <w:sz w:val="22"/>
                <w:szCs w:val="22"/>
                <w:vertAlign w:val="superscript"/>
                <w:lang w:val="sr-Latn-ME"/>
              </w:rPr>
              <w:t>b</w:t>
            </w:r>
            <w:r w:rsidRPr="00352F6E">
              <w:rPr>
                <w:sz w:val="22"/>
                <w:szCs w:val="22"/>
                <w:lang w:val="sr-Latn-ME"/>
              </w:rPr>
              <w:t> = 173</w:t>
            </w:r>
          </w:p>
        </w:tc>
      </w:tr>
      <w:tr w:rsidR="00785722" w:rsidRPr="00275456" w14:paraId="3A80A037" w14:textId="77777777" w:rsidTr="00A3401E">
        <w:trPr>
          <w:cantSplit/>
        </w:trPr>
        <w:tc>
          <w:tcPr>
            <w:tcW w:w="4320" w:type="dxa"/>
            <w:shd w:val="clear" w:color="auto" w:fill="auto"/>
          </w:tcPr>
          <w:p w14:paraId="36C6655C" w14:textId="77777777" w:rsidR="00785722" w:rsidRPr="00EA088A" w:rsidRDefault="00785722" w:rsidP="00A3401E">
            <w:pPr>
              <w:tabs>
                <w:tab w:val="left" w:pos="567"/>
              </w:tabs>
              <w:autoSpaceDE w:val="0"/>
              <w:autoSpaceDN w:val="0"/>
              <w:adjustRightInd w:val="0"/>
              <w:rPr>
                <w:sz w:val="22"/>
                <w:szCs w:val="22"/>
                <w:lang w:val="sr-Latn-ME"/>
              </w:rPr>
            </w:pPr>
            <w:r w:rsidRPr="00EA088A">
              <w:rPr>
                <w:sz w:val="22"/>
                <w:szCs w:val="22"/>
                <w:lang w:val="sr-Latn-ME"/>
              </w:rPr>
              <w:t>Ljekareva opšta ocena bolesti  (VAS</w:t>
            </w:r>
            <w:r w:rsidRPr="00EA088A">
              <w:rPr>
                <w:sz w:val="22"/>
                <w:szCs w:val="22"/>
                <w:vertAlign w:val="superscript"/>
                <w:lang w:val="sr-Latn-ME"/>
              </w:rPr>
              <w:t>c</w:t>
            </w:r>
            <w:r w:rsidRPr="00EA088A">
              <w:rPr>
                <w:sz w:val="22"/>
                <w:szCs w:val="22"/>
                <w:lang w:val="sr-Latn-ME"/>
              </w:rPr>
              <w:t> 0-10 cm)</w:t>
            </w:r>
          </w:p>
        </w:tc>
        <w:tc>
          <w:tcPr>
            <w:tcW w:w="2430" w:type="dxa"/>
            <w:shd w:val="clear" w:color="auto" w:fill="auto"/>
          </w:tcPr>
          <w:p w14:paraId="742B419A" w14:textId="77777777" w:rsidR="00785722" w:rsidRPr="00C9046D" w:rsidRDefault="00785722" w:rsidP="00A3401E">
            <w:pPr>
              <w:tabs>
                <w:tab w:val="left" w:pos="567"/>
              </w:tabs>
              <w:autoSpaceDE w:val="0"/>
              <w:autoSpaceDN w:val="0"/>
              <w:adjustRightInd w:val="0"/>
              <w:jc w:val="center"/>
              <w:rPr>
                <w:sz w:val="22"/>
                <w:szCs w:val="22"/>
                <w:lang w:val="sr-Latn-ME"/>
              </w:rPr>
            </w:pPr>
            <w:r w:rsidRPr="00C9046D">
              <w:rPr>
                <w:sz w:val="22"/>
                <w:szCs w:val="22"/>
                <w:lang w:val="sr-Latn-ME"/>
              </w:rPr>
              <w:t>88%</w:t>
            </w:r>
          </w:p>
        </w:tc>
      </w:tr>
      <w:tr w:rsidR="00785722" w:rsidRPr="00275456" w14:paraId="544FFD68" w14:textId="77777777" w:rsidTr="00A3401E">
        <w:trPr>
          <w:cantSplit/>
        </w:trPr>
        <w:tc>
          <w:tcPr>
            <w:tcW w:w="4320" w:type="dxa"/>
            <w:shd w:val="clear" w:color="auto" w:fill="auto"/>
          </w:tcPr>
          <w:p w14:paraId="738F2DC7" w14:textId="77777777" w:rsidR="00785722" w:rsidRPr="00EA088A" w:rsidRDefault="00785722" w:rsidP="00A3401E">
            <w:pPr>
              <w:tabs>
                <w:tab w:val="left" w:pos="567"/>
              </w:tabs>
              <w:autoSpaceDE w:val="0"/>
              <w:autoSpaceDN w:val="0"/>
              <w:adjustRightInd w:val="0"/>
              <w:rPr>
                <w:sz w:val="22"/>
                <w:szCs w:val="22"/>
                <w:lang w:val="sr-Latn-ME"/>
              </w:rPr>
            </w:pPr>
            <w:r w:rsidRPr="00EA088A">
              <w:rPr>
                <w:sz w:val="22"/>
                <w:szCs w:val="22"/>
                <w:lang w:val="sr-Latn-ME"/>
              </w:rPr>
              <w:t>Ukupno blagostanje prema opštoj ocjeni ispitanika/roditelja (VAS 0-10cm)</w:t>
            </w:r>
          </w:p>
        </w:tc>
        <w:tc>
          <w:tcPr>
            <w:tcW w:w="2430" w:type="dxa"/>
            <w:shd w:val="clear" w:color="auto" w:fill="auto"/>
          </w:tcPr>
          <w:p w14:paraId="56DC164A" w14:textId="77777777" w:rsidR="00785722" w:rsidRPr="00EA088A" w:rsidRDefault="00785722" w:rsidP="00A3401E">
            <w:pPr>
              <w:tabs>
                <w:tab w:val="left" w:pos="567"/>
              </w:tabs>
              <w:autoSpaceDE w:val="0"/>
              <w:autoSpaceDN w:val="0"/>
              <w:adjustRightInd w:val="0"/>
              <w:jc w:val="center"/>
              <w:rPr>
                <w:sz w:val="22"/>
                <w:szCs w:val="22"/>
                <w:lang w:val="sr-Latn-ME"/>
              </w:rPr>
            </w:pPr>
            <w:r w:rsidRPr="00EA088A">
              <w:rPr>
                <w:sz w:val="22"/>
                <w:szCs w:val="22"/>
                <w:lang w:val="sr-Latn-ME"/>
              </w:rPr>
              <w:t>67%</w:t>
            </w:r>
          </w:p>
        </w:tc>
      </w:tr>
      <w:tr w:rsidR="00785722" w:rsidRPr="00275456" w14:paraId="6325D4F4" w14:textId="77777777" w:rsidTr="00A3401E">
        <w:trPr>
          <w:cantSplit/>
        </w:trPr>
        <w:tc>
          <w:tcPr>
            <w:tcW w:w="4320" w:type="dxa"/>
            <w:shd w:val="clear" w:color="auto" w:fill="auto"/>
          </w:tcPr>
          <w:p w14:paraId="1BB96789" w14:textId="77777777" w:rsidR="00785722" w:rsidRPr="00EA088A" w:rsidRDefault="00785722" w:rsidP="00A3401E">
            <w:pPr>
              <w:tabs>
                <w:tab w:val="left" w:pos="567"/>
              </w:tabs>
              <w:autoSpaceDE w:val="0"/>
              <w:autoSpaceDN w:val="0"/>
              <w:adjustRightInd w:val="0"/>
              <w:rPr>
                <w:sz w:val="22"/>
                <w:szCs w:val="22"/>
                <w:lang w:val="sr-Latn-ME"/>
              </w:rPr>
            </w:pPr>
            <w:r w:rsidRPr="00EA088A">
              <w:rPr>
                <w:sz w:val="22"/>
                <w:szCs w:val="22"/>
                <w:lang w:val="sr-Latn-ME"/>
              </w:rPr>
              <w:t>Broj aktivnih zglobova</w:t>
            </w:r>
          </w:p>
        </w:tc>
        <w:tc>
          <w:tcPr>
            <w:tcW w:w="2430" w:type="dxa"/>
            <w:shd w:val="clear" w:color="auto" w:fill="auto"/>
          </w:tcPr>
          <w:p w14:paraId="32C5A3B3" w14:textId="77777777" w:rsidR="00785722" w:rsidRPr="00EA088A" w:rsidRDefault="00785722" w:rsidP="00A3401E">
            <w:pPr>
              <w:tabs>
                <w:tab w:val="left" w:pos="567"/>
              </w:tabs>
              <w:autoSpaceDE w:val="0"/>
              <w:autoSpaceDN w:val="0"/>
              <w:adjustRightInd w:val="0"/>
              <w:jc w:val="center"/>
              <w:rPr>
                <w:sz w:val="22"/>
                <w:szCs w:val="22"/>
                <w:lang w:val="sr-Latn-ME"/>
              </w:rPr>
            </w:pPr>
            <w:r w:rsidRPr="00EA088A">
              <w:rPr>
                <w:sz w:val="22"/>
                <w:szCs w:val="22"/>
                <w:lang w:val="sr-Latn-ME"/>
              </w:rPr>
              <w:t>92%</w:t>
            </w:r>
          </w:p>
        </w:tc>
      </w:tr>
      <w:tr w:rsidR="00785722" w:rsidRPr="00275456" w14:paraId="0797C697" w14:textId="77777777" w:rsidTr="00A3401E">
        <w:trPr>
          <w:cantSplit/>
        </w:trPr>
        <w:tc>
          <w:tcPr>
            <w:tcW w:w="4320" w:type="dxa"/>
            <w:shd w:val="clear" w:color="auto" w:fill="auto"/>
          </w:tcPr>
          <w:p w14:paraId="3D67870E" w14:textId="77777777" w:rsidR="00785722" w:rsidRPr="00EA088A" w:rsidRDefault="00785722" w:rsidP="00A3401E">
            <w:pPr>
              <w:tabs>
                <w:tab w:val="left" w:pos="567"/>
              </w:tabs>
              <w:autoSpaceDE w:val="0"/>
              <w:autoSpaceDN w:val="0"/>
              <w:adjustRightInd w:val="0"/>
              <w:rPr>
                <w:sz w:val="22"/>
                <w:szCs w:val="22"/>
                <w:lang w:val="sr-Latn-ME"/>
              </w:rPr>
            </w:pPr>
            <w:r w:rsidRPr="00EA088A">
              <w:rPr>
                <w:sz w:val="22"/>
                <w:szCs w:val="22"/>
                <w:lang w:val="sr-Latn-ME"/>
              </w:rPr>
              <w:lastRenderedPageBreak/>
              <w:t>Broj zglobova s ograničenom pokretljivošću</w:t>
            </w:r>
          </w:p>
        </w:tc>
        <w:tc>
          <w:tcPr>
            <w:tcW w:w="2430" w:type="dxa"/>
            <w:shd w:val="clear" w:color="auto" w:fill="auto"/>
          </w:tcPr>
          <w:p w14:paraId="47B50BF0" w14:textId="77777777" w:rsidR="00785722" w:rsidRPr="00EA088A" w:rsidRDefault="00785722" w:rsidP="00A3401E">
            <w:pPr>
              <w:tabs>
                <w:tab w:val="left" w:pos="567"/>
              </w:tabs>
              <w:autoSpaceDE w:val="0"/>
              <w:autoSpaceDN w:val="0"/>
              <w:adjustRightInd w:val="0"/>
              <w:jc w:val="center"/>
              <w:rPr>
                <w:sz w:val="22"/>
                <w:szCs w:val="22"/>
                <w:lang w:val="sr-Latn-ME"/>
              </w:rPr>
            </w:pPr>
            <w:r w:rsidRPr="00EA088A">
              <w:rPr>
                <w:sz w:val="22"/>
                <w:szCs w:val="22"/>
                <w:lang w:val="sr-Latn-ME"/>
              </w:rPr>
              <w:t>80%</w:t>
            </w:r>
          </w:p>
        </w:tc>
      </w:tr>
      <w:tr w:rsidR="00785722" w:rsidRPr="00275456" w14:paraId="40DF4A30" w14:textId="77777777" w:rsidTr="00A3401E">
        <w:trPr>
          <w:cantSplit/>
        </w:trPr>
        <w:tc>
          <w:tcPr>
            <w:tcW w:w="4320" w:type="dxa"/>
            <w:shd w:val="clear" w:color="auto" w:fill="auto"/>
          </w:tcPr>
          <w:p w14:paraId="64AA3E82" w14:textId="77777777" w:rsidR="00785722" w:rsidRPr="00EA088A" w:rsidRDefault="00785722" w:rsidP="00A3401E">
            <w:pPr>
              <w:tabs>
                <w:tab w:val="left" w:pos="567"/>
              </w:tabs>
              <w:autoSpaceDE w:val="0"/>
              <w:autoSpaceDN w:val="0"/>
              <w:adjustRightInd w:val="0"/>
              <w:rPr>
                <w:sz w:val="22"/>
                <w:szCs w:val="22"/>
                <w:lang w:val="sr-Latn-ME"/>
              </w:rPr>
            </w:pPr>
            <w:r w:rsidRPr="00EA088A">
              <w:rPr>
                <w:sz w:val="22"/>
                <w:szCs w:val="22"/>
                <w:lang w:val="sr-Latn-ME"/>
              </w:rPr>
              <w:t>Fizička funkcija prema CHAQ rezultatu</w:t>
            </w:r>
            <w:r w:rsidRPr="00EA088A">
              <w:rPr>
                <w:sz w:val="22"/>
                <w:szCs w:val="22"/>
                <w:vertAlign w:val="superscript"/>
                <w:lang w:val="sr-Latn-ME"/>
              </w:rPr>
              <w:t>d</w:t>
            </w:r>
          </w:p>
        </w:tc>
        <w:tc>
          <w:tcPr>
            <w:tcW w:w="2430" w:type="dxa"/>
            <w:shd w:val="clear" w:color="auto" w:fill="auto"/>
          </w:tcPr>
          <w:p w14:paraId="722CEF25" w14:textId="77777777" w:rsidR="00785722" w:rsidRPr="00C9046D" w:rsidRDefault="00785722" w:rsidP="00A3401E">
            <w:pPr>
              <w:tabs>
                <w:tab w:val="left" w:pos="567"/>
              </w:tabs>
              <w:autoSpaceDE w:val="0"/>
              <w:autoSpaceDN w:val="0"/>
              <w:adjustRightInd w:val="0"/>
              <w:jc w:val="center"/>
              <w:rPr>
                <w:sz w:val="22"/>
                <w:szCs w:val="22"/>
                <w:lang w:val="sr-Latn-ME"/>
              </w:rPr>
            </w:pPr>
            <w:r w:rsidRPr="00C9046D">
              <w:rPr>
                <w:sz w:val="22"/>
                <w:szCs w:val="22"/>
                <w:lang w:val="sr-Latn-ME"/>
              </w:rPr>
              <w:t>50%</w:t>
            </w:r>
          </w:p>
        </w:tc>
      </w:tr>
      <w:tr w:rsidR="00785722" w:rsidRPr="00275456" w14:paraId="32A54940" w14:textId="77777777" w:rsidTr="00A3401E">
        <w:trPr>
          <w:cantSplit/>
        </w:trPr>
        <w:tc>
          <w:tcPr>
            <w:tcW w:w="4320" w:type="dxa"/>
            <w:tcBorders>
              <w:bottom w:val="single" w:sz="4" w:space="0" w:color="auto"/>
            </w:tcBorders>
            <w:shd w:val="clear" w:color="auto" w:fill="auto"/>
          </w:tcPr>
          <w:p w14:paraId="512DF511" w14:textId="77777777" w:rsidR="00785722" w:rsidRPr="00EA088A" w:rsidRDefault="00785722" w:rsidP="00A3401E">
            <w:pPr>
              <w:tabs>
                <w:tab w:val="left" w:pos="567"/>
              </w:tabs>
              <w:autoSpaceDE w:val="0"/>
              <w:autoSpaceDN w:val="0"/>
              <w:adjustRightInd w:val="0"/>
              <w:rPr>
                <w:sz w:val="22"/>
                <w:szCs w:val="22"/>
                <w:lang w:val="sr-Latn-ME"/>
              </w:rPr>
            </w:pPr>
            <w:r w:rsidRPr="00EA088A">
              <w:rPr>
                <w:sz w:val="22"/>
                <w:szCs w:val="22"/>
                <w:lang w:val="sr-Latn-ME"/>
              </w:rPr>
              <w:t>ESR (mm/h)</w:t>
            </w:r>
            <w:r w:rsidRPr="00EA088A">
              <w:rPr>
                <w:sz w:val="22"/>
                <w:szCs w:val="22"/>
                <w:vertAlign w:val="superscript"/>
                <w:lang w:val="sr-Latn-ME"/>
              </w:rPr>
              <w:t>e</w:t>
            </w:r>
          </w:p>
        </w:tc>
        <w:tc>
          <w:tcPr>
            <w:tcW w:w="2430" w:type="dxa"/>
            <w:tcBorders>
              <w:bottom w:val="single" w:sz="4" w:space="0" w:color="auto"/>
            </w:tcBorders>
            <w:shd w:val="clear" w:color="auto" w:fill="auto"/>
          </w:tcPr>
          <w:p w14:paraId="6B1F8103" w14:textId="77777777" w:rsidR="00785722" w:rsidRPr="00C9046D" w:rsidRDefault="00785722" w:rsidP="00A3401E">
            <w:pPr>
              <w:tabs>
                <w:tab w:val="left" w:pos="567"/>
              </w:tabs>
              <w:autoSpaceDE w:val="0"/>
              <w:autoSpaceDN w:val="0"/>
              <w:adjustRightInd w:val="0"/>
              <w:jc w:val="center"/>
              <w:rPr>
                <w:sz w:val="22"/>
                <w:szCs w:val="22"/>
                <w:lang w:val="sr-Latn-ME"/>
              </w:rPr>
            </w:pPr>
            <w:r w:rsidRPr="00C9046D">
              <w:rPr>
                <w:sz w:val="22"/>
                <w:szCs w:val="22"/>
                <w:lang w:val="sr-Latn-ME"/>
              </w:rPr>
              <w:t>33%</w:t>
            </w:r>
          </w:p>
        </w:tc>
      </w:tr>
      <w:tr w:rsidR="00785722" w:rsidRPr="00275456" w14:paraId="00F383F6" w14:textId="77777777" w:rsidTr="00A3401E">
        <w:trPr>
          <w:cantSplit/>
        </w:trPr>
        <w:tc>
          <w:tcPr>
            <w:tcW w:w="6750" w:type="dxa"/>
            <w:gridSpan w:val="2"/>
            <w:tcBorders>
              <w:left w:val="nil"/>
              <w:bottom w:val="nil"/>
              <w:right w:val="nil"/>
            </w:tcBorders>
            <w:shd w:val="clear" w:color="auto" w:fill="auto"/>
          </w:tcPr>
          <w:p w14:paraId="09F7EB27" w14:textId="77777777" w:rsidR="00785722" w:rsidRPr="005C6DFE" w:rsidRDefault="00785722" w:rsidP="00A3401E">
            <w:pPr>
              <w:tabs>
                <w:tab w:val="left" w:pos="284"/>
              </w:tabs>
              <w:ind w:left="284" w:hanging="284"/>
              <w:rPr>
                <w:sz w:val="22"/>
                <w:szCs w:val="22"/>
                <w:lang w:val="sr-Latn-ME"/>
              </w:rPr>
            </w:pPr>
            <w:r w:rsidRPr="00EA088A">
              <w:rPr>
                <w:sz w:val="22"/>
                <w:szCs w:val="22"/>
                <w:vertAlign w:val="superscript"/>
                <w:lang w:val="sr-Latn-ME"/>
              </w:rPr>
              <w:t>a</w:t>
            </w:r>
            <w:r w:rsidRPr="00EA088A">
              <w:rPr>
                <w:sz w:val="22"/>
                <w:szCs w:val="22"/>
                <w:vertAlign w:val="superscript"/>
                <w:lang w:val="sr-Latn-ME"/>
              </w:rPr>
              <w:tab/>
            </w:r>
            <w:r w:rsidRPr="005C6DFE">
              <w:rPr>
                <w:sz w:val="22"/>
                <w:szCs w:val="22"/>
                <w:lang w:val="sr-Latn-ME"/>
              </w:rPr>
              <w:t>početak ispitivanja = 0. nedelja</w:t>
            </w:r>
          </w:p>
          <w:p w14:paraId="0704F4EA" w14:textId="77777777" w:rsidR="00785722" w:rsidRPr="005C6DFE" w:rsidRDefault="00785722" w:rsidP="00A3401E">
            <w:pPr>
              <w:tabs>
                <w:tab w:val="left" w:pos="284"/>
              </w:tabs>
              <w:ind w:left="284" w:hanging="284"/>
              <w:rPr>
                <w:sz w:val="22"/>
                <w:szCs w:val="22"/>
                <w:lang w:val="sr-Latn-ME"/>
              </w:rPr>
            </w:pPr>
            <w:r w:rsidRPr="00EA088A">
              <w:rPr>
                <w:sz w:val="22"/>
                <w:szCs w:val="22"/>
                <w:vertAlign w:val="superscript"/>
                <w:lang w:val="sr-Latn-ME"/>
              </w:rPr>
              <w:t>b</w:t>
            </w:r>
            <w:r w:rsidRPr="00EA088A">
              <w:rPr>
                <w:sz w:val="22"/>
                <w:szCs w:val="22"/>
                <w:vertAlign w:val="superscript"/>
                <w:lang w:val="sr-Latn-ME"/>
              </w:rPr>
              <w:tab/>
            </w:r>
            <w:r w:rsidRPr="005C6DFE">
              <w:rPr>
                <w:sz w:val="22"/>
                <w:szCs w:val="22"/>
                <w:lang w:val="sr-Latn-ME"/>
              </w:rPr>
              <w:t>“n” označava broj uključenih pacijenata</w:t>
            </w:r>
          </w:p>
          <w:p w14:paraId="64345BE5" w14:textId="77777777" w:rsidR="00785722" w:rsidRPr="005C6DFE" w:rsidRDefault="00785722" w:rsidP="00A3401E">
            <w:pPr>
              <w:tabs>
                <w:tab w:val="left" w:pos="284"/>
              </w:tabs>
              <w:ind w:left="284" w:hanging="284"/>
              <w:rPr>
                <w:sz w:val="22"/>
                <w:szCs w:val="22"/>
                <w:lang w:val="sr-Latn-ME"/>
              </w:rPr>
            </w:pPr>
            <w:r w:rsidRPr="00EA088A">
              <w:rPr>
                <w:sz w:val="22"/>
                <w:szCs w:val="22"/>
                <w:vertAlign w:val="superscript"/>
                <w:lang w:val="sr-Latn-ME"/>
              </w:rPr>
              <w:t>c</w:t>
            </w:r>
            <w:r w:rsidRPr="00EA088A">
              <w:rPr>
                <w:sz w:val="22"/>
                <w:szCs w:val="22"/>
                <w:vertAlign w:val="superscript"/>
                <w:lang w:val="sr-Latn-ME"/>
              </w:rPr>
              <w:tab/>
            </w:r>
            <w:r w:rsidRPr="005C6DFE">
              <w:rPr>
                <w:sz w:val="22"/>
                <w:szCs w:val="22"/>
                <w:lang w:val="sr-Latn-ME"/>
              </w:rPr>
              <w:t>VAS: vizualna analogna skala</w:t>
            </w:r>
          </w:p>
          <w:p w14:paraId="47B64472" w14:textId="77777777" w:rsidR="00785722" w:rsidRPr="005C6DFE" w:rsidRDefault="00785722" w:rsidP="00A3401E">
            <w:pPr>
              <w:tabs>
                <w:tab w:val="left" w:pos="284"/>
              </w:tabs>
              <w:ind w:left="284" w:hanging="284"/>
              <w:rPr>
                <w:sz w:val="22"/>
                <w:szCs w:val="22"/>
                <w:lang w:val="sr-Latn-ME"/>
              </w:rPr>
            </w:pPr>
            <w:r w:rsidRPr="00EA088A">
              <w:rPr>
                <w:sz w:val="22"/>
                <w:szCs w:val="22"/>
                <w:vertAlign w:val="superscript"/>
                <w:lang w:val="sr-Latn-ME"/>
              </w:rPr>
              <w:t>d</w:t>
            </w:r>
            <w:r w:rsidRPr="00EA088A">
              <w:rPr>
                <w:sz w:val="22"/>
                <w:szCs w:val="22"/>
                <w:vertAlign w:val="superscript"/>
                <w:lang w:val="sr-Latn-ME"/>
              </w:rPr>
              <w:tab/>
            </w:r>
            <w:r w:rsidRPr="005C6DFE">
              <w:rPr>
                <w:sz w:val="22"/>
                <w:szCs w:val="22"/>
                <w:lang w:val="sr-Latn-ME"/>
              </w:rPr>
              <w:t>CHAQ (</w:t>
            </w:r>
            <w:r w:rsidRPr="005C6DFE">
              <w:rPr>
                <w:i/>
                <w:iCs/>
                <w:sz w:val="22"/>
                <w:szCs w:val="22"/>
                <w:lang w:val="sr-Latn-ME"/>
              </w:rPr>
              <w:t>Child Health Assessment Questionaire</w:t>
            </w:r>
            <w:r w:rsidRPr="005C6DFE">
              <w:rPr>
                <w:sz w:val="22"/>
                <w:szCs w:val="22"/>
                <w:lang w:val="sr-Latn-ME"/>
              </w:rPr>
              <w:t>) = upitnik za ocenu zdravlja dece</w:t>
            </w:r>
          </w:p>
          <w:p w14:paraId="366CA49A" w14:textId="77777777" w:rsidR="00785722" w:rsidRPr="00EA088A" w:rsidRDefault="00785722" w:rsidP="00A3401E">
            <w:pPr>
              <w:tabs>
                <w:tab w:val="left" w:pos="284"/>
              </w:tabs>
              <w:ind w:left="284" w:hanging="284"/>
              <w:rPr>
                <w:rFonts w:eastAsia="TimesNewRoman"/>
                <w:sz w:val="22"/>
                <w:szCs w:val="22"/>
                <w:lang w:val="sr-Latn-ME"/>
              </w:rPr>
            </w:pPr>
            <w:r w:rsidRPr="00EA088A">
              <w:rPr>
                <w:sz w:val="22"/>
                <w:szCs w:val="22"/>
                <w:vertAlign w:val="superscript"/>
                <w:lang w:val="sr-Latn-ME"/>
              </w:rPr>
              <w:t>e</w:t>
            </w:r>
            <w:r w:rsidRPr="00EA088A">
              <w:rPr>
                <w:sz w:val="22"/>
                <w:szCs w:val="22"/>
                <w:vertAlign w:val="superscript"/>
                <w:lang w:val="sr-Latn-ME"/>
              </w:rPr>
              <w:tab/>
            </w:r>
            <w:r w:rsidRPr="005C6DFE">
              <w:rPr>
                <w:sz w:val="22"/>
                <w:szCs w:val="22"/>
                <w:lang w:val="sr-Latn-ME"/>
              </w:rPr>
              <w:t>ESR (mm/h): brzina sedimentacije eritrocita (milimetara na sat)</w:t>
            </w:r>
          </w:p>
        </w:tc>
      </w:tr>
    </w:tbl>
    <w:p w14:paraId="191A29F2" w14:textId="77777777" w:rsidR="00785722" w:rsidRPr="00EA088A" w:rsidRDefault="00785722" w:rsidP="005C6DFE">
      <w:pPr>
        <w:tabs>
          <w:tab w:val="left" w:pos="284"/>
        </w:tabs>
        <w:jc w:val="both"/>
        <w:outlineLvl w:val="0"/>
        <w:rPr>
          <w:sz w:val="22"/>
          <w:szCs w:val="22"/>
          <w:u w:val="single"/>
          <w:lang w:val="sr-Latn-ME"/>
        </w:rPr>
      </w:pPr>
    </w:p>
    <w:p w14:paraId="1BC7D786" w14:textId="7C212789" w:rsidR="00785722" w:rsidRPr="00352F6E" w:rsidRDefault="00785722" w:rsidP="005C6DFE">
      <w:pPr>
        <w:tabs>
          <w:tab w:val="left" w:pos="567"/>
        </w:tabs>
        <w:jc w:val="both"/>
        <w:rPr>
          <w:sz w:val="22"/>
          <w:szCs w:val="22"/>
          <w:lang w:val="sr-Latn-ME"/>
        </w:rPr>
      </w:pPr>
      <w:r w:rsidRPr="00EA088A">
        <w:rPr>
          <w:sz w:val="22"/>
          <w:szCs w:val="22"/>
          <w:lang w:val="sr-Latn-ME"/>
        </w:rPr>
        <w:t>Primarni cilj studije, udio djece koja su postigla odgovor ACR Ped 30 u 16. nedjelji i koja nij</w:t>
      </w:r>
      <w:r w:rsidRPr="00C9046D">
        <w:rPr>
          <w:sz w:val="22"/>
          <w:szCs w:val="22"/>
          <w:lang w:val="sr-Latn-ME"/>
        </w:rPr>
        <w:t xml:space="preserve">esu doživjela pogoršanje bolesti između 16. i 48. nedjelje, nije postignut. Većina djece nije doživela pogoršanje bolesti između 16. i 48. nedjelje (59% u grupi koja je primala Simponi </w:t>
      </w:r>
      <w:r w:rsidR="00A36EA3" w:rsidRPr="00C9046D">
        <w:rPr>
          <w:sz w:val="22"/>
          <w:szCs w:val="22"/>
          <w:lang w:val="sr-Latn-ME"/>
        </w:rPr>
        <w:t>i</w:t>
      </w:r>
      <w:r w:rsidRPr="0014796E">
        <w:rPr>
          <w:sz w:val="22"/>
          <w:szCs w:val="22"/>
          <w:lang w:val="sr-Latn-ME"/>
        </w:rPr>
        <w:t xml:space="preserve"> MTX i 53% u grupi koja je primala placebo </w:t>
      </w:r>
      <w:r w:rsidR="00A36EA3" w:rsidRPr="0014796E">
        <w:rPr>
          <w:sz w:val="22"/>
          <w:szCs w:val="22"/>
          <w:lang w:val="sr-Latn-ME"/>
        </w:rPr>
        <w:t>i</w:t>
      </w:r>
      <w:r w:rsidRPr="00352F6E">
        <w:rPr>
          <w:sz w:val="22"/>
          <w:szCs w:val="22"/>
          <w:lang w:val="sr-Latn-ME"/>
        </w:rPr>
        <w:t xml:space="preserve"> MTX; p-vrijednost = 0,41). </w:t>
      </w:r>
    </w:p>
    <w:p w14:paraId="5CA3EDE8" w14:textId="77777777" w:rsidR="00785722" w:rsidRPr="00950194" w:rsidRDefault="00785722" w:rsidP="005C6DFE">
      <w:pPr>
        <w:tabs>
          <w:tab w:val="left" w:pos="567"/>
        </w:tabs>
        <w:jc w:val="both"/>
        <w:rPr>
          <w:sz w:val="22"/>
          <w:szCs w:val="22"/>
          <w:lang w:val="sr-Latn-ME"/>
        </w:rPr>
      </w:pPr>
    </w:p>
    <w:p w14:paraId="17EAC4A6" w14:textId="768DCB09" w:rsidR="00785722" w:rsidRPr="00F415C0" w:rsidRDefault="00785722" w:rsidP="005C6DFE">
      <w:pPr>
        <w:tabs>
          <w:tab w:val="left" w:pos="567"/>
        </w:tabs>
        <w:autoSpaceDE w:val="0"/>
        <w:autoSpaceDN w:val="0"/>
        <w:jc w:val="both"/>
        <w:rPr>
          <w:sz w:val="22"/>
          <w:szCs w:val="22"/>
          <w:lang w:val="sr-Latn-ME"/>
        </w:rPr>
      </w:pPr>
      <w:r w:rsidRPr="00926FA7">
        <w:rPr>
          <w:sz w:val="22"/>
          <w:szCs w:val="22"/>
          <w:lang w:val="sr-Latn-ME"/>
        </w:rPr>
        <w:t xml:space="preserve">U prethodno definisanoj podgrupi za analizu primarnog cilja studija, a prema početnim vrijednostima CRP-a (≥ 1 mg/dL naspram &lt; 1 mg/dL) pokazale su više stope pogoršanja bolesti u grupi ispitanika koja je primala placebo </w:t>
      </w:r>
      <w:r w:rsidR="00A36EA3" w:rsidRPr="00926FA7">
        <w:rPr>
          <w:sz w:val="22"/>
          <w:szCs w:val="22"/>
          <w:lang w:val="sr-Latn-ME"/>
        </w:rPr>
        <w:t>i</w:t>
      </w:r>
      <w:r w:rsidRPr="00926FA7">
        <w:rPr>
          <w:sz w:val="22"/>
          <w:szCs w:val="22"/>
          <w:lang w:val="sr-Latn-ME"/>
        </w:rPr>
        <w:t xml:space="preserve"> MTX nego u onoj koja je prima</w:t>
      </w:r>
      <w:r w:rsidRPr="00F415C0">
        <w:rPr>
          <w:sz w:val="22"/>
          <w:szCs w:val="22"/>
          <w:lang w:val="sr-Latn-ME"/>
        </w:rPr>
        <w:t>la Simponi</w:t>
      </w:r>
      <w:r w:rsidR="00A36EA3" w:rsidRPr="00F415C0">
        <w:rPr>
          <w:sz w:val="22"/>
          <w:szCs w:val="22"/>
          <w:lang w:val="sr-Latn-ME"/>
        </w:rPr>
        <w:t xml:space="preserve"> i</w:t>
      </w:r>
      <w:r w:rsidRPr="00F415C0">
        <w:rPr>
          <w:sz w:val="22"/>
          <w:szCs w:val="22"/>
          <w:lang w:val="sr-Latn-ME"/>
        </w:rPr>
        <w:t xml:space="preserve"> MTX među ispitanicima sa početnim vrijednostima CRP-a ≥ 1 mg/dL (87% naspram 40%, p=0,0068).</w:t>
      </w:r>
    </w:p>
    <w:p w14:paraId="2486CA8E" w14:textId="77777777" w:rsidR="00785722" w:rsidRPr="00F415C0" w:rsidRDefault="00785722" w:rsidP="005C6DFE">
      <w:pPr>
        <w:tabs>
          <w:tab w:val="left" w:pos="567"/>
        </w:tabs>
        <w:autoSpaceDE w:val="0"/>
        <w:autoSpaceDN w:val="0"/>
        <w:jc w:val="both"/>
        <w:rPr>
          <w:sz w:val="22"/>
          <w:szCs w:val="22"/>
          <w:lang w:val="sr-Latn-ME"/>
        </w:rPr>
      </w:pPr>
    </w:p>
    <w:p w14:paraId="6215708B" w14:textId="2D3B4989" w:rsidR="00785722" w:rsidRPr="00F415C0" w:rsidRDefault="00785722" w:rsidP="005C6DFE">
      <w:pPr>
        <w:tabs>
          <w:tab w:val="left" w:pos="567"/>
        </w:tabs>
        <w:autoSpaceDE w:val="0"/>
        <w:autoSpaceDN w:val="0"/>
        <w:jc w:val="both"/>
        <w:rPr>
          <w:sz w:val="22"/>
          <w:szCs w:val="22"/>
          <w:lang w:val="sr-Latn-ME"/>
        </w:rPr>
      </w:pPr>
      <w:r w:rsidRPr="00F415C0">
        <w:rPr>
          <w:sz w:val="22"/>
          <w:szCs w:val="22"/>
          <w:lang w:val="sr-Latn-ME"/>
        </w:rPr>
        <w:t xml:space="preserve">U 48. nedjelji, 53% djece u grupi koja je primala Simponi </w:t>
      </w:r>
      <w:r w:rsidR="00A36EA3" w:rsidRPr="00F415C0">
        <w:rPr>
          <w:sz w:val="22"/>
          <w:szCs w:val="22"/>
          <w:lang w:val="sr-Latn-ME"/>
        </w:rPr>
        <w:t>i</w:t>
      </w:r>
      <w:r w:rsidRPr="00F415C0">
        <w:rPr>
          <w:sz w:val="22"/>
          <w:szCs w:val="22"/>
          <w:lang w:val="sr-Latn-ME"/>
        </w:rPr>
        <w:t xml:space="preserve"> MTX i 55% djece u grupi koja je primala placebo </w:t>
      </w:r>
      <w:r w:rsidR="00A36EA3" w:rsidRPr="00F415C0">
        <w:rPr>
          <w:sz w:val="22"/>
          <w:szCs w:val="22"/>
          <w:lang w:val="sr-Latn-ME"/>
        </w:rPr>
        <w:t>i</w:t>
      </w:r>
      <w:r w:rsidRPr="00F415C0">
        <w:rPr>
          <w:sz w:val="22"/>
          <w:szCs w:val="22"/>
          <w:lang w:val="sr-Latn-ME"/>
        </w:rPr>
        <w:t xml:space="preserve"> MTX ostvarilo je odgovor ACR Ped 30, dok je 40% djece koja su primala Simponi </w:t>
      </w:r>
      <w:r w:rsidR="00A36EA3" w:rsidRPr="00F415C0">
        <w:rPr>
          <w:sz w:val="22"/>
          <w:szCs w:val="22"/>
          <w:lang w:val="sr-Latn-ME"/>
        </w:rPr>
        <w:t>i</w:t>
      </w:r>
      <w:r w:rsidRPr="00F415C0">
        <w:rPr>
          <w:sz w:val="22"/>
          <w:szCs w:val="22"/>
          <w:lang w:val="sr-Latn-ME"/>
        </w:rPr>
        <w:t xml:space="preserve"> MTX i 28% djece koja su primala placebo + MTX postiglo neaktivnu bolest. </w:t>
      </w:r>
    </w:p>
    <w:p w14:paraId="5822987C" w14:textId="4240B100" w:rsidR="00A36EA3" w:rsidRPr="00F415C0" w:rsidRDefault="00A36EA3" w:rsidP="005C6DFE">
      <w:pPr>
        <w:tabs>
          <w:tab w:val="left" w:pos="567"/>
        </w:tabs>
        <w:autoSpaceDE w:val="0"/>
        <w:autoSpaceDN w:val="0"/>
        <w:jc w:val="both"/>
        <w:rPr>
          <w:sz w:val="22"/>
          <w:szCs w:val="22"/>
          <w:lang w:val="sr-Latn-ME"/>
        </w:rPr>
      </w:pPr>
    </w:p>
    <w:p w14:paraId="46D332AD" w14:textId="4F94ABEE" w:rsidR="00A36EA3" w:rsidRPr="00F415C0" w:rsidRDefault="00A36EA3" w:rsidP="005C6DFE">
      <w:pPr>
        <w:tabs>
          <w:tab w:val="left" w:pos="567"/>
        </w:tabs>
        <w:autoSpaceDE w:val="0"/>
        <w:autoSpaceDN w:val="0"/>
        <w:jc w:val="both"/>
        <w:rPr>
          <w:sz w:val="22"/>
          <w:szCs w:val="22"/>
          <w:lang w:val="sr-Latn-ME"/>
        </w:rPr>
      </w:pPr>
      <w:r w:rsidRPr="00F415C0">
        <w:rPr>
          <w:sz w:val="22"/>
          <w:szCs w:val="22"/>
          <w:lang w:val="sr-Latn-ME"/>
        </w:rPr>
        <w:t>Pedijatrijska populacija</w:t>
      </w:r>
    </w:p>
    <w:p w14:paraId="6B8B5EDB" w14:textId="77777777" w:rsidR="00785722" w:rsidRPr="00275456" w:rsidRDefault="00785722" w:rsidP="005C6DFE">
      <w:pPr>
        <w:tabs>
          <w:tab w:val="left" w:pos="284"/>
        </w:tabs>
        <w:jc w:val="both"/>
        <w:outlineLvl w:val="0"/>
        <w:rPr>
          <w:sz w:val="22"/>
          <w:szCs w:val="22"/>
          <w:lang w:val="sr-Latn-ME"/>
        </w:rPr>
      </w:pPr>
    </w:p>
    <w:p w14:paraId="5CC2FA02" w14:textId="77777777" w:rsidR="00785722" w:rsidRPr="00275456" w:rsidRDefault="00785722" w:rsidP="005C6DFE">
      <w:pPr>
        <w:tabs>
          <w:tab w:val="left" w:pos="284"/>
        </w:tabs>
        <w:jc w:val="both"/>
        <w:outlineLvl w:val="0"/>
        <w:rPr>
          <w:sz w:val="22"/>
          <w:szCs w:val="22"/>
          <w:lang w:val="sr-Latn-ME"/>
        </w:rPr>
      </w:pPr>
      <w:r w:rsidRPr="00275456">
        <w:rPr>
          <w:sz w:val="22"/>
          <w:szCs w:val="22"/>
          <w:lang w:val="sr-Latn-ME"/>
        </w:rPr>
        <w:t>Evropska Agencija za ljekove je odložila zahtjev da se dostave rezultati studija sa lijekom Simponi kod jedne ili više tipova pedijatrijskih populacija sa ulcerozni kolitis (vidjeti dio 4.2 za dodatne informacije o pedijatrijskoj primjeni).</w:t>
      </w:r>
    </w:p>
    <w:p w14:paraId="1634672F" w14:textId="77777777" w:rsidR="002E37A5" w:rsidRPr="00275456" w:rsidRDefault="002E37A5" w:rsidP="00480FB1">
      <w:pPr>
        <w:tabs>
          <w:tab w:val="left" w:pos="540"/>
          <w:tab w:val="left" w:pos="569"/>
        </w:tabs>
        <w:rPr>
          <w:b/>
          <w:bCs/>
          <w:sz w:val="22"/>
          <w:szCs w:val="22"/>
          <w:lang w:val="sr-Latn-ME"/>
        </w:rPr>
      </w:pPr>
    </w:p>
    <w:p w14:paraId="73674485" w14:textId="77777777"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5.2. </w:t>
      </w:r>
      <w:r w:rsidR="00480FB1" w:rsidRPr="00275456">
        <w:rPr>
          <w:b/>
          <w:bCs/>
          <w:sz w:val="22"/>
          <w:szCs w:val="22"/>
          <w:lang w:val="sr-Latn-ME"/>
        </w:rPr>
        <w:tab/>
      </w:r>
      <w:r w:rsidRPr="00275456">
        <w:rPr>
          <w:b/>
          <w:bCs/>
          <w:sz w:val="22"/>
          <w:szCs w:val="22"/>
          <w:lang w:val="sr-Latn-ME"/>
        </w:rPr>
        <w:t>Farmakokinetički podaci</w:t>
      </w:r>
      <w:r w:rsidR="003A7059" w:rsidRPr="00275456">
        <w:rPr>
          <w:b/>
          <w:bCs/>
          <w:sz w:val="22"/>
          <w:szCs w:val="22"/>
          <w:lang w:val="sr-Latn-ME"/>
        </w:rPr>
        <w:t xml:space="preserve"> </w:t>
      </w:r>
    </w:p>
    <w:p w14:paraId="5BBCA956" w14:textId="2C2E9B0C" w:rsidR="0072020E" w:rsidRPr="00275456" w:rsidRDefault="0072020E" w:rsidP="005C6DFE">
      <w:pPr>
        <w:tabs>
          <w:tab w:val="left" w:pos="540"/>
          <w:tab w:val="left" w:pos="569"/>
        </w:tabs>
        <w:jc w:val="both"/>
        <w:rPr>
          <w:bCs/>
          <w:sz w:val="22"/>
          <w:szCs w:val="22"/>
          <w:lang w:val="sr-Latn-ME"/>
        </w:rPr>
      </w:pPr>
    </w:p>
    <w:p w14:paraId="55A20A48" w14:textId="77777777" w:rsidR="00785722" w:rsidRPr="00275456" w:rsidRDefault="00785722" w:rsidP="005C6DFE">
      <w:pPr>
        <w:tabs>
          <w:tab w:val="left" w:pos="284"/>
        </w:tabs>
        <w:jc w:val="both"/>
        <w:rPr>
          <w:sz w:val="22"/>
          <w:szCs w:val="22"/>
          <w:lang w:val="sr-Latn-ME"/>
        </w:rPr>
      </w:pPr>
      <w:r w:rsidRPr="00275456">
        <w:rPr>
          <w:i/>
          <w:sz w:val="22"/>
          <w:szCs w:val="22"/>
          <w:lang w:val="sr-Latn-ME"/>
        </w:rPr>
        <w:t>Apsorpcija</w:t>
      </w:r>
    </w:p>
    <w:p w14:paraId="4471561B" w14:textId="548BC702" w:rsidR="00785722" w:rsidRPr="00EA088A" w:rsidRDefault="00785722" w:rsidP="005C6DFE">
      <w:pPr>
        <w:tabs>
          <w:tab w:val="left" w:pos="284"/>
        </w:tabs>
        <w:jc w:val="both"/>
        <w:rPr>
          <w:sz w:val="22"/>
          <w:szCs w:val="22"/>
          <w:lang w:val="sr-Latn-ME"/>
        </w:rPr>
      </w:pPr>
      <w:r w:rsidRPr="00275456">
        <w:rPr>
          <w:sz w:val="22"/>
          <w:szCs w:val="22"/>
          <w:lang w:val="sr-Latn-ME"/>
        </w:rPr>
        <w:t>Nakon jednokratne subkutane primjene golimumaba</w:t>
      </w:r>
      <w:r w:rsidRPr="00275456">
        <w:rPr>
          <w:b/>
          <w:sz w:val="22"/>
          <w:szCs w:val="22"/>
          <w:lang w:val="sr-Latn-ME"/>
        </w:rPr>
        <w:t xml:space="preserve"> </w:t>
      </w:r>
      <w:r w:rsidRPr="00275456">
        <w:rPr>
          <w:sz w:val="22"/>
          <w:szCs w:val="22"/>
          <w:lang w:val="sr-Latn-ME"/>
        </w:rPr>
        <w:t>kod zdravih dobrovoljaca ili pacijenata s reumatoidnim artritisom, srednje vrijeme postizanja maksimalne serumske koncentracije (T</w:t>
      </w:r>
      <w:r w:rsidRPr="00275456">
        <w:rPr>
          <w:sz w:val="22"/>
          <w:szCs w:val="22"/>
          <w:vertAlign w:val="subscript"/>
          <w:lang w:val="sr-Latn-ME"/>
        </w:rPr>
        <w:t>max</w:t>
      </w:r>
      <w:r w:rsidRPr="00275456">
        <w:rPr>
          <w:sz w:val="22"/>
          <w:szCs w:val="22"/>
          <w:lang w:val="sr-Latn-ME"/>
        </w:rPr>
        <w:t>)  iznosilo je 2 do 6 dana. Jednom subkutanom injekcijom 50 mg golimumaba zdravim dobrovoljcima postignuta je prosječna maksimalna serumska koncentracija (C</w:t>
      </w:r>
      <w:r w:rsidRPr="00275456">
        <w:rPr>
          <w:sz w:val="22"/>
          <w:szCs w:val="22"/>
          <w:vertAlign w:val="subscript"/>
          <w:lang w:val="sr-Latn-ME"/>
        </w:rPr>
        <w:t>max</w:t>
      </w:r>
      <w:r w:rsidRPr="00275456">
        <w:rPr>
          <w:sz w:val="22"/>
          <w:szCs w:val="22"/>
          <w:lang w:val="sr-Latn-ME"/>
        </w:rPr>
        <w:t xml:space="preserve">) od 3,1 </w:t>
      </w:r>
      <w:r w:rsidRPr="00EA088A">
        <w:rPr>
          <w:sz w:val="22"/>
          <w:szCs w:val="22"/>
          <w:lang w:val="sr-Latn-ME"/>
        </w:rPr>
        <w:sym w:font="Symbol" w:char="F0B1"/>
      </w:r>
      <w:r w:rsidRPr="00EA088A">
        <w:rPr>
          <w:sz w:val="22"/>
          <w:szCs w:val="22"/>
          <w:lang w:val="sr-Latn-ME"/>
        </w:rPr>
        <w:t xml:space="preserve"> 1,4 </w:t>
      </w:r>
      <w:r w:rsidRPr="00EA088A">
        <w:rPr>
          <w:sz w:val="22"/>
          <w:szCs w:val="22"/>
          <w:lang w:val="sr-Latn-ME"/>
        </w:rPr>
        <w:sym w:font="Symbol" w:char="F06D"/>
      </w:r>
      <w:r w:rsidRPr="00EA088A">
        <w:rPr>
          <w:sz w:val="22"/>
          <w:szCs w:val="22"/>
          <w:lang w:val="sr-Latn-ME"/>
        </w:rPr>
        <w:t>g/</w:t>
      </w:r>
      <w:r w:rsidR="00F81F67">
        <w:rPr>
          <w:sz w:val="22"/>
          <w:szCs w:val="22"/>
          <w:lang w:val="sr-Latn-ME"/>
        </w:rPr>
        <w:t>ml</w:t>
      </w:r>
      <w:r w:rsidRPr="00EA088A">
        <w:rPr>
          <w:sz w:val="22"/>
          <w:szCs w:val="22"/>
          <w:lang w:val="sr-Latn-ME"/>
        </w:rPr>
        <w:t xml:space="preserve"> (</w:t>
      </w:r>
      <w:r w:rsidRPr="00EA088A">
        <w:rPr>
          <w:sz w:val="22"/>
          <w:szCs w:val="22"/>
          <w:lang w:val="sr-Latn-ME"/>
        </w:rPr>
        <w:sym w:font="Symbol" w:char="F0B1"/>
      </w:r>
      <w:r w:rsidRPr="00EA088A">
        <w:rPr>
          <w:sz w:val="22"/>
          <w:szCs w:val="22"/>
          <w:lang w:val="sr-Latn-ME"/>
        </w:rPr>
        <w:t xml:space="preserve"> standardna devijacija).</w:t>
      </w:r>
    </w:p>
    <w:p w14:paraId="4B011D81" w14:textId="77777777" w:rsidR="00785722" w:rsidRPr="00EA088A" w:rsidRDefault="00785722" w:rsidP="005C6DFE">
      <w:pPr>
        <w:tabs>
          <w:tab w:val="left" w:pos="284"/>
        </w:tabs>
        <w:jc w:val="both"/>
        <w:rPr>
          <w:sz w:val="22"/>
          <w:szCs w:val="22"/>
          <w:lang w:val="sr-Latn-ME"/>
        </w:rPr>
      </w:pPr>
    </w:p>
    <w:p w14:paraId="04D5B396" w14:textId="77777777" w:rsidR="00785722" w:rsidRPr="00C9046D" w:rsidRDefault="00785722" w:rsidP="005C6DFE">
      <w:pPr>
        <w:tabs>
          <w:tab w:val="left" w:pos="284"/>
        </w:tabs>
        <w:jc w:val="both"/>
        <w:rPr>
          <w:sz w:val="22"/>
          <w:szCs w:val="22"/>
          <w:lang w:val="sr-Latn-ME"/>
        </w:rPr>
      </w:pPr>
      <w:r w:rsidRPr="00C9046D">
        <w:rPr>
          <w:sz w:val="22"/>
          <w:szCs w:val="22"/>
          <w:lang w:val="sr-Latn-ME"/>
        </w:rPr>
        <w:t>Nakon jednokratne subkutane injekcije 100 mg golimumaba, resorpcija golimumaba bila je slična na nadlaktici, abdomenu i bedru, a prosječna apsolutna bioraspoloživost iznosila je 51%. Budući da golimumab nakon subkutane primjene pokazuje farmakokinetiku otprilike proporcionalnu dozi, očekuje se da je slična apsolutna bioraspoloživost doze od 50 mg ili 200 mg.</w:t>
      </w:r>
    </w:p>
    <w:p w14:paraId="15572D2E" w14:textId="77777777" w:rsidR="00785722" w:rsidRPr="0014796E" w:rsidRDefault="00785722" w:rsidP="005C6DFE">
      <w:pPr>
        <w:tabs>
          <w:tab w:val="left" w:pos="284"/>
        </w:tabs>
        <w:jc w:val="both"/>
        <w:rPr>
          <w:sz w:val="22"/>
          <w:szCs w:val="22"/>
          <w:lang w:val="sr-Latn-ME"/>
        </w:rPr>
      </w:pPr>
    </w:p>
    <w:p w14:paraId="4C6CED37" w14:textId="77777777" w:rsidR="00785722" w:rsidRPr="00275456" w:rsidRDefault="00785722" w:rsidP="005C6DFE">
      <w:pPr>
        <w:tabs>
          <w:tab w:val="left" w:pos="284"/>
        </w:tabs>
        <w:jc w:val="both"/>
        <w:rPr>
          <w:i/>
          <w:sz w:val="22"/>
          <w:szCs w:val="22"/>
          <w:lang w:val="sr-Latn-ME"/>
        </w:rPr>
      </w:pPr>
      <w:r w:rsidRPr="00275456">
        <w:rPr>
          <w:i/>
          <w:sz w:val="22"/>
          <w:szCs w:val="22"/>
          <w:lang w:val="sr-Latn-ME"/>
        </w:rPr>
        <w:t>Distribucija</w:t>
      </w:r>
    </w:p>
    <w:p w14:paraId="09D536F8" w14:textId="115E8D98" w:rsidR="00785722" w:rsidRPr="00EA088A" w:rsidRDefault="00785722" w:rsidP="005C6DFE">
      <w:pPr>
        <w:tabs>
          <w:tab w:val="left" w:pos="284"/>
        </w:tabs>
        <w:jc w:val="both"/>
        <w:rPr>
          <w:sz w:val="22"/>
          <w:szCs w:val="22"/>
          <w:lang w:val="sr-Latn-ME"/>
        </w:rPr>
      </w:pPr>
      <w:r w:rsidRPr="00275456">
        <w:rPr>
          <w:sz w:val="22"/>
          <w:szCs w:val="22"/>
          <w:lang w:val="sr-Latn-ME"/>
        </w:rPr>
        <w:t xml:space="preserve">Nakon pojedinačne intravenske doze, srednji volumen distribucije iznosio je 115 </w:t>
      </w:r>
      <w:r w:rsidRPr="00EA088A">
        <w:rPr>
          <w:sz w:val="22"/>
          <w:szCs w:val="22"/>
          <w:lang w:val="sr-Latn-ME"/>
        </w:rPr>
        <w:sym w:font="Symbol" w:char="F0B1"/>
      </w:r>
      <w:r w:rsidRPr="00EA088A">
        <w:rPr>
          <w:sz w:val="22"/>
          <w:szCs w:val="22"/>
          <w:lang w:val="sr-Latn-ME"/>
        </w:rPr>
        <w:t xml:space="preserve"> 19 </w:t>
      </w:r>
      <w:r w:rsidR="00F81F67">
        <w:rPr>
          <w:sz w:val="22"/>
          <w:szCs w:val="22"/>
          <w:lang w:val="sr-Latn-ME"/>
        </w:rPr>
        <w:t>ml</w:t>
      </w:r>
      <w:r w:rsidRPr="00EA088A">
        <w:rPr>
          <w:sz w:val="22"/>
          <w:szCs w:val="22"/>
          <w:lang w:val="sr-Latn-ME"/>
        </w:rPr>
        <w:t>/kg.</w:t>
      </w:r>
    </w:p>
    <w:p w14:paraId="53AA6F5B" w14:textId="77777777" w:rsidR="00785722" w:rsidRPr="00EA088A" w:rsidRDefault="00785722" w:rsidP="005C6DFE">
      <w:pPr>
        <w:tabs>
          <w:tab w:val="left" w:pos="284"/>
        </w:tabs>
        <w:jc w:val="both"/>
        <w:rPr>
          <w:sz w:val="22"/>
          <w:szCs w:val="22"/>
          <w:lang w:val="sr-Latn-ME"/>
        </w:rPr>
      </w:pPr>
    </w:p>
    <w:p w14:paraId="4C7ED6CA" w14:textId="77777777" w:rsidR="00785722" w:rsidRPr="00C9046D" w:rsidRDefault="00785722" w:rsidP="005C6DFE">
      <w:pPr>
        <w:tabs>
          <w:tab w:val="left" w:pos="284"/>
        </w:tabs>
        <w:jc w:val="both"/>
        <w:rPr>
          <w:i/>
          <w:sz w:val="22"/>
          <w:szCs w:val="22"/>
          <w:lang w:val="sr-Latn-ME"/>
        </w:rPr>
      </w:pPr>
      <w:r w:rsidRPr="00C9046D">
        <w:rPr>
          <w:i/>
          <w:sz w:val="22"/>
          <w:szCs w:val="22"/>
          <w:lang w:val="sr-Latn-ME"/>
        </w:rPr>
        <w:t>Eliminacija</w:t>
      </w:r>
    </w:p>
    <w:p w14:paraId="3902F054" w14:textId="736AA8FA" w:rsidR="00785722" w:rsidRPr="00EA088A" w:rsidRDefault="00785722" w:rsidP="005C6DFE">
      <w:pPr>
        <w:tabs>
          <w:tab w:val="left" w:pos="284"/>
        </w:tabs>
        <w:jc w:val="both"/>
        <w:rPr>
          <w:sz w:val="22"/>
          <w:szCs w:val="22"/>
          <w:lang w:val="sr-Latn-ME"/>
        </w:rPr>
      </w:pPr>
      <w:r w:rsidRPr="0014796E">
        <w:rPr>
          <w:sz w:val="22"/>
          <w:szCs w:val="22"/>
          <w:lang w:val="sr-Latn-ME"/>
        </w:rPr>
        <w:t>Procijenjeno je da je sistemski klirens golimumaba 6</w:t>
      </w:r>
      <w:r w:rsidR="00ED18BD" w:rsidRPr="0014796E">
        <w:rPr>
          <w:sz w:val="22"/>
          <w:szCs w:val="22"/>
          <w:lang w:val="sr-Latn-ME"/>
        </w:rPr>
        <w:t>,</w:t>
      </w:r>
      <w:r w:rsidRPr="00275456">
        <w:rPr>
          <w:sz w:val="22"/>
          <w:szCs w:val="22"/>
          <w:lang w:val="sr-Latn-ME"/>
        </w:rPr>
        <w:t xml:space="preserve">9 </w:t>
      </w:r>
      <w:r w:rsidRPr="00EA088A">
        <w:rPr>
          <w:sz w:val="22"/>
          <w:szCs w:val="22"/>
          <w:lang w:val="sr-Latn-ME"/>
        </w:rPr>
        <w:sym w:font="Symbol" w:char="F0B1"/>
      </w:r>
      <w:r w:rsidRPr="00EA088A">
        <w:rPr>
          <w:sz w:val="22"/>
          <w:szCs w:val="22"/>
          <w:lang w:val="sr-Latn-ME"/>
        </w:rPr>
        <w:t xml:space="preserve"> 2</w:t>
      </w:r>
      <w:r w:rsidR="00ED18BD" w:rsidRPr="00EA088A">
        <w:rPr>
          <w:sz w:val="22"/>
          <w:szCs w:val="22"/>
          <w:lang w:val="sr-Latn-ME"/>
        </w:rPr>
        <w:t>,</w:t>
      </w:r>
      <w:r w:rsidRPr="00EA088A">
        <w:rPr>
          <w:sz w:val="22"/>
          <w:szCs w:val="22"/>
          <w:lang w:val="sr-Latn-ME"/>
        </w:rPr>
        <w:t xml:space="preserve">0 </w:t>
      </w:r>
      <w:r w:rsidR="00F81F67">
        <w:rPr>
          <w:sz w:val="22"/>
          <w:szCs w:val="22"/>
          <w:lang w:val="sr-Latn-ME"/>
        </w:rPr>
        <w:t>ml</w:t>
      </w:r>
      <w:r w:rsidRPr="00EA088A">
        <w:rPr>
          <w:sz w:val="22"/>
          <w:szCs w:val="22"/>
          <w:lang w:val="sr-Latn-ME"/>
        </w:rPr>
        <w:t xml:space="preserve">/dan/kg. Poluvrijeme eliminacije procijenjeno je na oko 12 </w:t>
      </w:r>
      <w:r w:rsidRPr="00EA088A">
        <w:rPr>
          <w:sz w:val="22"/>
          <w:szCs w:val="22"/>
          <w:lang w:val="sr-Latn-ME"/>
        </w:rPr>
        <w:sym w:font="Symbol" w:char="F0B1"/>
      </w:r>
      <w:r w:rsidRPr="00EA088A">
        <w:rPr>
          <w:sz w:val="22"/>
          <w:szCs w:val="22"/>
          <w:lang w:val="sr-Latn-ME"/>
        </w:rPr>
        <w:t xml:space="preserve"> 3 dana kod zdravih dobrovoljaca, a slične vrijednosti su zabilježene kod pacijenata sa reumatoidnim artritisom, psorijatičnim artritisom, ankilozirajućim spondilitisom i ulceroznim kolitisom.</w:t>
      </w:r>
    </w:p>
    <w:p w14:paraId="40CAA467" w14:textId="77777777" w:rsidR="00785722" w:rsidRPr="00EA088A" w:rsidRDefault="00785722" w:rsidP="005C6DFE">
      <w:pPr>
        <w:tabs>
          <w:tab w:val="left" w:pos="284"/>
        </w:tabs>
        <w:jc w:val="both"/>
        <w:rPr>
          <w:sz w:val="22"/>
          <w:szCs w:val="22"/>
          <w:lang w:val="sr-Latn-ME"/>
        </w:rPr>
      </w:pPr>
    </w:p>
    <w:p w14:paraId="3911CDBF" w14:textId="0FBDE0F4" w:rsidR="00785722" w:rsidRPr="00EA088A" w:rsidRDefault="00785722" w:rsidP="005C6DFE">
      <w:pPr>
        <w:tabs>
          <w:tab w:val="left" w:pos="284"/>
        </w:tabs>
        <w:jc w:val="both"/>
        <w:rPr>
          <w:sz w:val="22"/>
          <w:szCs w:val="22"/>
          <w:lang w:val="sr-Latn-ME"/>
        </w:rPr>
      </w:pPr>
      <w:r w:rsidRPr="00C9046D">
        <w:rPr>
          <w:sz w:val="22"/>
          <w:szCs w:val="22"/>
          <w:lang w:val="sr-Latn-ME"/>
        </w:rPr>
        <w:t>Kad je golimumab u dozi od 50 mg primijenjen subkutano kod pacijenata s reumatoidnim artritisom, psorijatičnim artritisom i ankilozirajućim spondilitisom svake 4 nedjelje, njegove serumske koncentracije dostigle su stanje dinamičke ravnoteže do 12.nedjelje. Uz istovremenu primjenu metotreksata, liječenje golimumabom primijenjenim subkutano u dozi od 50 mg svake 4 nedjelje dovelo je do prosječne (</w:t>
      </w:r>
      <w:r w:rsidRPr="00EA088A">
        <w:rPr>
          <w:sz w:val="22"/>
          <w:szCs w:val="22"/>
          <w:lang w:val="sr-Latn-ME"/>
        </w:rPr>
        <w:sym w:font="Symbol" w:char="F0B1"/>
      </w:r>
      <w:r w:rsidRPr="00EA088A">
        <w:rPr>
          <w:sz w:val="22"/>
          <w:szCs w:val="22"/>
          <w:lang w:val="sr-Latn-ME"/>
        </w:rPr>
        <w:t xml:space="preserve"> standardna devijacija) koncentracije u stanju dinamičke ravnoteže od približno 0,6 </w:t>
      </w:r>
      <w:r w:rsidRPr="00EA088A">
        <w:rPr>
          <w:sz w:val="22"/>
          <w:szCs w:val="22"/>
          <w:lang w:val="sr-Latn-ME"/>
        </w:rPr>
        <w:sym w:font="Symbol" w:char="F0B1"/>
      </w:r>
      <w:r w:rsidRPr="00EA088A">
        <w:rPr>
          <w:sz w:val="22"/>
          <w:szCs w:val="22"/>
          <w:lang w:val="sr-Latn-ME"/>
        </w:rPr>
        <w:t xml:space="preserve"> </w:t>
      </w:r>
      <w:r w:rsidRPr="00EA088A">
        <w:rPr>
          <w:sz w:val="22"/>
          <w:szCs w:val="22"/>
          <w:lang w:val="sr-Latn-ME"/>
        </w:rPr>
        <w:lastRenderedPageBreak/>
        <w:t xml:space="preserve">0,4 </w:t>
      </w:r>
      <w:r w:rsidRPr="00EA088A">
        <w:rPr>
          <w:sz w:val="22"/>
          <w:szCs w:val="22"/>
          <w:lang w:val="sr-Latn-ME"/>
        </w:rPr>
        <w:sym w:font="Symbol" w:char="F06D"/>
      </w:r>
      <w:r w:rsidRPr="00EA088A">
        <w:rPr>
          <w:sz w:val="22"/>
          <w:szCs w:val="22"/>
          <w:lang w:val="sr-Latn-ME"/>
        </w:rPr>
        <w:t>g/</w:t>
      </w:r>
      <w:r w:rsidR="00F81F67">
        <w:rPr>
          <w:sz w:val="22"/>
          <w:szCs w:val="22"/>
          <w:lang w:val="sr-Latn-ME"/>
        </w:rPr>
        <w:t>ml</w:t>
      </w:r>
      <w:r w:rsidRPr="00EA088A">
        <w:rPr>
          <w:sz w:val="22"/>
          <w:szCs w:val="22"/>
          <w:lang w:val="sr-Latn-ME"/>
        </w:rPr>
        <w:t xml:space="preserve"> kod pacijenata s reumatoidnim artritisom aktivnim nasuprot liječenju metotreksatom, približno 0,5 </w:t>
      </w:r>
      <w:r w:rsidRPr="00EA088A">
        <w:rPr>
          <w:sz w:val="22"/>
          <w:szCs w:val="22"/>
          <w:lang w:val="sr-Latn-ME"/>
        </w:rPr>
        <w:sym w:font="Symbol" w:char="F0B1"/>
      </w:r>
      <w:r w:rsidRPr="00EA088A">
        <w:rPr>
          <w:sz w:val="22"/>
          <w:szCs w:val="22"/>
          <w:lang w:val="sr-Latn-ME"/>
        </w:rPr>
        <w:t xml:space="preserve"> 0,4 </w:t>
      </w:r>
      <w:r w:rsidRPr="00EA088A">
        <w:rPr>
          <w:sz w:val="22"/>
          <w:szCs w:val="22"/>
          <w:lang w:val="sr-Latn-ME"/>
        </w:rPr>
        <w:sym w:font="Symbol" w:char="F06D"/>
      </w:r>
      <w:r w:rsidRPr="00EA088A">
        <w:rPr>
          <w:sz w:val="22"/>
          <w:szCs w:val="22"/>
          <w:lang w:val="sr-Latn-ME"/>
        </w:rPr>
        <w:t>g/</w:t>
      </w:r>
      <w:r w:rsidR="00F81F67">
        <w:rPr>
          <w:sz w:val="22"/>
          <w:szCs w:val="22"/>
          <w:lang w:val="sr-Latn-ME"/>
        </w:rPr>
        <w:t>ml</w:t>
      </w:r>
      <w:r w:rsidRPr="00EA088A">
        <w:rPr>
          <w:sz w:val="22"/>
          <w:szCs w:val="22"/>
          <w:lang w:val="sr-Latn-ME"/>
        </w:rPr>
        <w:t xml:space="preserve"> kod pacijenata s aktivnim psorijatičnim artritisom i približno 0,8 </w:t>
      </w:r>
      <w:r w:rsidRPr="00EA088A">
        <w:rPr>
          <w:sz w:val="22"/>
          <w:szCs w:val="22"/>
          <w:lang w:val="sr-Latn-ME"/>
        </w:rPr>
        <w:sym w:font="Symbol" w:char="F0B1"/>
      </w:r>
      <w:r w:rsidRPr="00EA088A">
        <w:rPr>
          <w:sz w:val="22"/>
          <w:szCs w:val="22"/>
          <w:lang w:val="sr-Latn-ME"/>
        </w:rPr>
        <w:t xml:space="preserve"> 0,4 </w:t>
      </w:r>
      <w:r w:rsidRPr="00EA088A">
        <w:rPr>
          <w:sz w:val="22"/>
          <w:szCs w:val="22"/>
          <w:lang w:val="sr-Latn-ME"/>
        </w:rPr>
        <w:sym w:font="Symbol" w:char="F06D"/>
      </w:r>
      <w:r w:rsidRPr="00EA088A">
        <w:rPr>
          <w:sz w:val="22"/>
          <w:szCs w:val="22"/>
          <w:lang w:val="sr-Latn-ME"/>
        </w:rPr>
        <w:t>g/</w:t>
      </w:r>
      <w:r w:rsidR="00F81F67">
        <w:rPr>
          <w:sz w:val="22"/>
          <w:szCs w:val="22"/>
          <w:lang w:val="sr-Latn-ME"/>
        </w:rPr>
        <w:t>ml</w:t>
      </w:r>
      <w:r w:rsidRPr="00EA088A">
        <w:rPr>
          <w:sz w:val="22"/>
          <w:szCs w:val="22"/>
          <w:lang w:val="sr-Latn-ME"/>
        </w:rPr>
        <w:t xml:space="preserve"> kod pacijenata s ankilozirajućim spondilitisom. Prosječne koncentracije golimumaba u stanju dinamičke ravnoteže kod pacijenta sa nr-Axial SpA bile su slične onima kod pacijenata sa AS nakon subkutane primjene 50 mg golimumaba svake 4 nedjelje.</w:t>
      </w:r>
    </w:p>
    <w:p w14:paraId="7B0EF96A" w14:textId="77777777" w:rsidR="00785722" w:rsidRPr="00EA088A" w:rsidRDefault="00785722" w:rsidP="005C6DFE">
      <w:pPr>
        <w:tabs>
          <w:tab w:val="left" w:pos="284"/>
        </w:tabs>
        <w:jc w:val="both"/>
        <w:rPr>
          <w:sz w:val="22"/>
          <w:szCs w:val="22"/>
          <w:lang w:val="sr-Latn-ME"/>
        </w:rPr>
      </w:pPr>
    </w:p>
    <w:p w14:paraId="08836055" w14:textId="5C86F0F2" w:rsidR="00785722" w:rsidRPr="0014796E" w:rsidRDefault="00B138AB" w:rsidP="005C6DFE">
      <w:pPr>
        <w:tabs>
          <w:tab w:val="left" w:pos="284"/>
        </w:tabs>
        <w:jc w:val="both"/>
        <w:rPr>
          <w:sz w:val="22"/>
          <w:szCs w:val="22"/>
          <w:lang w:val="sr-Latn-ME"/>
        </w:rPr>
      </w:pPr>
      <w:r w:rsidRPr="00C9046D">
        <w:rPr>
          <w:sz w:val="22"/>
          <w:szCs w:val="22"/>
          <w:lang w:val="sr-Latn-ME"/>
        </w:rPr>
        <w:t xml:space="preserve">Pacijenti </w:t>
      </w:r>
      <w:r w:rsidR="00785722" w:rsidRPr="00C9046D">
        <w:rPr>
          <w:sz w:val="22"/>
          <w:szCs w:val="22"/>
          <w:lang w:val="sr-Latn-ME"/>
        </w:rPr>
        <w:t>s reuma</w:t>
      </w:r>
      <w:r w:rsidR="00785722" w:rsidRPr="0014796E">
        <w:rPr>
          <w:sz w:val="22"/>
          <w:szCs w:val="22"/>
          <w:lang w:val="sr-Latn-ME"/>
        </w:rPr>
        <w:t>toidnim artritisom, psorijatičnim artritisom i ankilozirajućim spondilitisom koji istovremeno nisu primali MTX imali su oko 30% niže koncentracije golimumaba u stanju dinamičke ravnoteže od onih koji su uz golimumab primali i MTX. Kod malog broja pacijenata oboljelih od reumatoidnog artritisa liječenih subkutano primijenjenim golimumabom tokom perioda od 6 mjeseci, istovremena primjena sa MTX smanjila je prividni klirens golimumaba za oko 36%.</w:t>
      </w:r>
    </w:p>
    <w:p w14:paraId="33134411" w14:textId="77777777" w:rsidR="00785722" w:rsidRPr="00275456" w:rsidRDefault="00785722" w:rsidP="005C6DFE">
      <w:pPr>
        <w:tabs>
          <w:tab w:val="left" w:pos="284"/>
        </w:tabs>
        <w:jc w:val="both"/>
        <w:rPr>
          <w:sz w:val="22"/>
          <w:szCs w:val="22"/>
          <w:lang w:val="sr-Latn-ME"/>
        </w:rPr>
      </w:pPr>
      <w:r w:rsidRPr="00275456">
        <w:rPr>
          <w:sz w:val="22"/>
          <w:szCs w:val="22"/>
          <w:lang w:val="sr-Latn-ME"/>
        </w:rPr>
        <w:t>Međutim, analiza populacijske farmakokinetike ukazuje i da istovremena primjena NSAIL, oralnih kortikosteroida ili sulfasalazina nije uticala na prividni klirens golimumaba.</w:t>
      </w:r>
    </w:p>
    <w:p w14:paraId="052719F2" w14:textId="77777777" w:rsidR="00785722" w:rsidRPr="00275456" w:rsidRDefault="00785722" w:rsidP="005C6DFE">
      <w:pPr>
        <w:tabs>
          <w:tab w:val="left" w:pos="284"/>
        </w:tabs>
        <w:jc w:val="both"/>
        <w:rPr>
          <w:sz w:val="22"/>
          <w:szCs w:val="22"/>
          <w:lang w:val="sr-Latn-ME"/>
        </w:rPr>
      </w:pPr>
    </w:p>
    <w:p w14:paraId="481AFD41" w14:textId="7A43F95F" w:rsidR="00785722" w:rsidRPr="00275456" w:rsidRDefault="00785722" w:rsidP="005C6DFE">
      <w:pPr>
        <w:tabs>
          <w:tab w:val="left" w:pos="284"/>
        </w:tabs>
        <w:jc w:val="both"/>
        <w:rPr>
          <w:sz w:val="22"/>
          <w:szCs w:val="22"/>
          <w:lang w:val="sr-Latn-ME"/>
        </w:rPr>
      </w:pPr>
      <w:r w:rsidRPr="00275456">
        <w:rPr>
          <w:sz w:val="22"/>
          <w:szCs w:val="22"/>
          <w:lang w:val="sr-Latn-ME"/>
        </w:rPr>
        <w:t>Nakon uvodnih doza uvođenja od 200 mg i 100 mg golimumaba u 0. i 2. nedjelji, i doza održavanja od 50 mg ili 100 mg golimumaba subkutano svake 4 nedjelje nakon toga, kod pacijenata sa ulceroznim kolitisom serumske koncentracije golimumaba su dostigle stanje ravnoteže približno 14 nedjelja nakon početka terapije. Terapija golimumabom u subkutanoj dozi od 50 mg odnosno100 mg svake 4 nedjelje u toku terapije održavanja dovela je do srednjih vrijednosti najnižih serumskih koncentracija u stanju ravnoteže od približno 0,9 ± 0,5 μg</w:t>
      </w:r>
      <w:r w:rsidRPr="00275456" w:rsidDel="0032444F">
        <w:rPr>
          <w:sz w:val="22"/>
          <w:szCs w:val="22"/>
          <w:lang w:val="sr-Latn-ME"/>
        </w:rPr>
        <w:t xml:space="preserve"> </w:t>
      </w:r>
      <w:r w:rsidRPr="00275456">
        <w:rPr>
          <w:sz w:val="22"/>
          <w:szCs w:val="22"/>
          <w:lang w:val="sr-Latn-ME"/>
        </w:rPr>
        <w:t>/</w:t>
      </w:r>
      <w:r w:rsidR="00F81F67">
        <w:rPr>
          <w:sz w:val="22"/>
          <w:szCs w:val="22"/>
          <w:lang w:val="sr-Latn-ME"/>
        </w:rPr>
        <w:t>ml</w:t>
      </w:r>
      <w:r w:rsidRPr="00275456">
        <w:rPr>
          <w:sz w:val="22"/>
          <w:szCs w:val="22"/>
          <w:lang w:val="sr-Latn-ME"/>
        </w:rPr>
        <w:t>, odnosno 1,8 ± 1,1 μg/</w:t>
      </w:r>
      <w:r w:rsidR="00F81F67">
        <w:rPr>
          <w:sz w:val="22"/>
          <w:szCs w:val="22"/>
          <w:lang w:val="sr-Latn-ME"/>
        </w:rPr>
        <w:t>ml</w:t>
      </w:r>
      <w:r w:rsidRPr="00275456">
        <w:rPr>
          <w:sz w:val="22"/>
          <w:szCs w:val="22"/>
          <w:lang w:val="sr-Latn-ME"/>
        </w:rPr>
        <w:t>.</w:t>
      </w:r>
    </w:p>
    <w:p w14:paraId="4E728420" w14:textId="77777777" w:rsidR="00785722" w:rsidRPr="00275456" w:rsidRDefault="00785722" w:rsidP="005C6DFE">
      <w:pPr>
        <w:tabs>
          <w:tab w:val="left" w:pos="284"/>
        </w:tabs>
        <w:jc w:val="both"/>
        <w:rPr>
          <w:sz w:val="22"/>
          <w:szCs w:val="22"/>
          <w:lang w:val="sr-Latn-ME"/>
        </w:rPr>
      </w:pPr>
    </w:p>
    <w:p w14:paraId="1A438D7A" w14:textId="77777777" w:rsidR="00785722" w:rsidRPr="00275456" w:rsidRDefault="00785722" w:rsidP="005C6DFE">
      <w:pPr>
        <w:tabs>
          <w:tab w:val="left" w:pos="284"/>
        </w:tabs>
        <w:jc w:val="both"/>
        <w:rPr>
          <w:sz w:val="22"/>
          <w:szCs w:val="22"/>
          <w:lang w:val="sr-Latn-ME"/>
        </w:rPr>
      </w:pPr>
      <w:r w:rsidRPr="00275456">
        <w:rPr>
          <w:sz w:val="22"/>
          <w:szCs w:val="22"/>
          <w:lang w:val="sr-Latn-ME"/>
        </w:rPr>
        <w:t>Kod pacijenata sa ulceroznim kolitisom na terapiji golimumabom u subkutanoj dozi od 50 mg odnosno 100 mg svake 4 nedjelje i istovremenom primjenom imunomodulatora nije imala značajan efekat na najniže nivoe golimumaba u stanju ravnoteže.</w:t>
      </w:r>
    </w:p>
    <w:p w14:paraId="2C975099" w14:textId="77777777" w:rsidR="00785722" w:rsidRPr="00275456" w:rsidRDefault="00785722" w:rsidP="005C6DFE">
      <w:pPr>
        <w:tabs>
          <w:tab w:val="left" w:pos="284"/>
        </w:tabs>
        <w:jc w:val="both"/>
        <w:rPr>
          <w:sz w:val="22"/>
          <w:szCs w:val="22"/>
          <w:lang w:val="sr-Latn-ME"/>
        </w:rPr>
      </w:pPr>
    </w:p>
    <w:p w14:paraId="43FBB7CD" w14:textId="77777777" w:rsidR="00785722" w:rsidRPr="00275456" w:rsidRDefault="00785722" w:rsidP="005C6DFE">
      <w:pPr>
        <w:numPr>
          <w:ilvl w:val="12"/>
          <w:numId w:val="0"/>
        </w:numPr>
        <w:tabs>
          <w:tab w:val="left" w:pos="284"/>
        </w:tabs>
        <w:ind w:right="-2"/>
        <w:jc w:val="both"/>
        <w:rPr>
          <w:sz w:val="22"/>
          <w:szCs w:val="22"/>
          <w:lang w:val="sr-Latn-ME"/>
        </w:rPr>
      </w:pPr>
      <w:r w:rsidRPr="00275456">
        <w:rPr>
          <w:sz w:val="22"/>
          <w:szCs w:val="22"/>
          <w:lang w:val="sr-Latn-ME"/>
        </w:rPr>
        <w:t>Pacijenti kod kojih su se razvila antitijela na golimumab uopšteno su imali niske najmanje serumske koncentracije golimumaba u stanju dinamičke ravnoteže (vidi poglavlje 5.1).</w:t>
      </w:r>
    </w:p>
    <w:p w14:paraId="2AC7127C" w14:textId="77777777" w:rsidR="00785722" w:rsidRPr="00275456" w:rsidRDefault="00785722" w:rsidP="005C6DFE">
      <w:pPr>
        <w:numPr>
          <w:ilvl w:val="12"/>
          <w:numId w:val="0"/>
        </w:numPr>
        <w:tabs>
          <w:tab w:val="left" w:pos="284"/>
        </w:tabs>
        <w:ind w:right="-2"/>
        <w:jc w:val="both"/>
        <w:rPr>
          <w:sz w:val="22"/>
          <w:szCs w:val="22"/>
          <w:lang w:val="sr-Latn-ME"/>
        </w:rPr>
      </w:pPr>
    </w:p>
    <w:p w14:paraId="321CDED0" w14:textId="77777777" w:rsidR="00785722" w:rsidRPr="00275456" w:rsidRDefault="00785722" w:rsidP="005C6DFE">
      <w:pPr>
        <w:numPr>
          <w:ilvl w:val="12"/>
          <w:numId w:val="0"/>
        </w:numPr>
        <w:tabs>
          <w:tab w:val="left" w:pos="284"/>
        </w:tabs>
        <w:ind w:right="-2"/>
        <w:jc w:val="both"/>
        <w:rPr>
          <w:i/>
          <w:sz w:val="22"/>
          <w:szCs w:val="22"/>
          <w:lang w:val="sr-Latn-ME"/>
        </w:rPr>
      </w:pPr>
      <w:r w:rsidRPr="00275456">
        <w:rPr>
          <w:i/>
          <w:sz w:val="22"/>
          <w:szCs w:val="22"/>
          <w:lang w:val="sr-Latn-ME"/>
        </w:rPr>
        <w:t>Linearnost</w:t>
      </w:r>
    </w:p>
    <w:p w14:paraId="189C9B25" w14:textId="1F402AF2" w:rsidR="00785722" w:rsidRPr="00275456" w:rsidRDefault="00785722" w:rsidP="005C6DFE">
      <w:pPr>
        <w:numPr>
          <w:ilvl w:val="12"/>
          <w:numId w:val="0"/>
        </w:numPr>
        <w:tabs>
          <w:tab w:val="left" w:pos="284"/>
        </w:tabs>
        <w:ind w:right="-2"/>
        <w:jc w:val="both"/>
        <w:rPr>
          <w:sz w:val="22"/>
          <w:szCs w:val="22"/>
          <w:lang w:val="sr-Latn-ME"/>
        </w:rPr>
      </w:pPr>
      <w:r w:rsidRPr="00275456">
        <w:rPr>
          <w:sz w:val="22"/>
          <w:szCs w:val="22"/>
          <w:lang w:val="sr-Latn-ME"/>
        </w:rPr>
        <w:t>Nakon pojedinačne intravenske doze kod pacijenata sa reumatoidnim artritisom, farmakokinetika golimumaba je, u opsegu doza od 0</w:t>
      </w:r>
      <w:r w:rsidR="00B138AB" w:rsidRPr="00275456">
        <w:rPr>
          <w:sz w:val="22"/>
          <w:szCs w:val="22"/>
          <w:lang w:val="sr-Latn-ME"/>
        </w:rPr>
        <w:t>,</w:t>
      </w:r>
      <w:r w:rsidRPr="00275456">
        <w:rPr>
          <w:sz w:val="22"/>
          <w:szCs w:val="22"/>
          <w:lang w:val="sr-Latn-ME"/>
        </w:rPr>
        <w:t>1 do 10</w:t>
      </w:r>
      <w:r w:rsidR="00B138AB" w:rsidRPr="00275456">
        <w:rPr>
          <w:sz w:val="22"/>
          <w:szCs w:val="22"/>
          <w:lang w:val="sr-Latn-ME"/>
        </w:rPr>
        <w:t>,</w:t>
      </w:r>
      <w:r w:rsidRPr="00275456">
        <w:rPr>
          <w:sz w:val="22"/>
          <w:szCs w:val="22"/>
          <w:lang w:val="sr-Latn-ME"/>
        </w:rPr>
        <w:t>0 mg/kg, bila približno dozno zavisna. Nakon pojedinačne subkutane doze kod zdravih ispitanika takođe je primećena dozno zavisna farmakokinetika u rasponu doza od 50 mg do 400 mg.</w:t>
      </w:r>
    </w:p>
    <w:p w14:paraId="4AF89C27" w14:textId="77777777" w:rsidR="00785722" w:rsidRPr="00275456" w:rsidRDefault="00785722" w:rsidP="005C6DFE">
      <w:pPr>
        <w:numPr>
          <w:ilvl w:val="12"/>
          <w:numId w:val="0"/>
        </w:numPr>
        <w:tabs>
          <w:tab w:val="left" w:pos="284"/>
        </w:tabs>
        <w:ind w:right="-2"/>
        <w:jc w:val="both"/>
        <w:rPr>
          <w:sz w:val="22"/>
          <w:szCs w:val="22"/>
          <w:lang w:val="sr-Latn-ME"/>
        </w:rPr>
      </w:pPr>
    </w:p>
    <w:p w14:paraId="3E8B6979" w14:textId="77777777" w:rsidR="00785722" w:rsidRPr="00275456" w:rsidRDefault="00785722" w:rsidP="005C6DFE">
      <w:pPr>
        <w:numPr>
          <w:ilvl w:val="12"/>
          <w:numId w:val="0"/>
        </w:numPr>
        <w:tabs>
          <w:tab w:val="left" w:pos="284"/>
        </w:tabs>
        <w:ind w:right="-2"/>
        <w:jc w:val="both"/>
        <w:rPr>
          <w:i/>
          <w:sz w:val="22"/>
          <w:szCs w:val="22"/>
          <w:lang w:val="sr-Latn-ME"/>
        </w:rPr>
      </w:pPr>
      <w:r w:rsidRPr="00275456">
        <w:rPr>
          <w:i/>
          <w:sz w:val="22"/>
          <w:szCs w:val="22"/>
          <w:lang w:val="sr-Latn-ME"/>
        </w:rPr>
        <w:t>Uticaj tjelesne mase na farmakokinetiku lijeka</w:t>
      </w:r>
    </w:p>
    <w:p w14:paraId="055A109E" w14:textId="77777777" w:rsidR="00785722" w:rsidRPr="00275456" w:rsidRDefault="00785722" w:rsidP="005C6DFE">
      <w:pPr>
        <w:tabs>
          <w:tab w:val="left" w:pos="284"/>
        </w:tabs>
        <w:jc w:val="both"/>
        <w:rPr>
          <w:sz w:val="22"/>
          <w:szCs w:val="22"/>
          <w:lang w:val="sr-Latn-ME"/>
        </w:rPr>
      </w:pPr>
      <w:r w:rsidRPr="00275456">
        <w:rPr>
          <w:sz w:val="22"/>
          <w:szCs w:val="22"/>
          <w:lang w:val="sr-Latn-ME"/>
        </w:rPr>
        <w:t xml:space="preserve">Analize populacijske farmakokinetike ukazale su na trend povećanja prividnog klirensa golimumaba s povećanjem tjelesne mase (vidi poglavlje 4.2). </w:t>
      </w:r>
    </w:p>
    <w:p w14:paraId="6B3C1FB7" w14:textId="77777777" w:rsidR="00785722" w:rsidRPr="00352F6E" w:rsidRDefault="00785722" w:rsidP="005C6DFE">
      <w:pPr>
        <w:keepNext/>
        <w:tabs>
          <w:tab w:val="left" w:pos="567"/>
        </w:tabs>
        <w:jc w:val="both"/>
        <w:rPr>
          <w:i/>
          <w:sz w:val="22"/>
          <w:szCs w:val="22"/>
          <w:lang w:val="sr-Latn-ME"/>
        </w:rPr>
      </w:pPr>
    </w:p>
    <w:p w14:paraId="7C9990A9" w14:textId="77777777" w:rsidR="00785722" w:rsidRPr="00352F6E" w:rsidRDefault="00785722" w:rsidP="005C6DFE">
      <w:pPr>
        <w:keepNext/>
        <w:tabs>
          <w:tab w:val="left" w:pos="567"/>
        </w:tabs>
        <w:jc w:val="both"/>
        <w:rPr>
          <w:i/>
          <w:sz w:val="22"/>
          <w:szCs w:val="22"/>
          <w:u w:val="single"/>
          <w:lang w:val="sr-Latn-ME"/>
        </w:rPr>
      </w:pPr>
      <w:r w:rsidRPr="00352F6E">
        <w:rPr>
          <w:i/>
          <w:sz w:val="22"/>
          <w:szCs w:val="22"/>
          <w:lang w:val="sr-Latn-ME"/>
        </w:rPr>
        <w:t>Pedijatrijska populacija</w:t>
      </w:r>
    </w:p>
    <w:p w14:paraId="2A4F93DD" w14:textId="77777777" w:rsidR="00785722" w:rsidRPr="00F415C0" w:rsidRDefault="00785722" w:rsidP="005C6DFE">
      <w:pPr>
        <w:tabs>
          <w:tab w:val="left" w:pos="567"/>
        </w:tabs>
        <w:autoSpaceDE w:val="0"/>
        <w:autoSpaceDN w:val="0"/>
        <w:jc w:val="both"/>
        <w:rPr>
          <w:sz w:val="22"/>
          <w:szCs w:val="22"/>
          <w:lang w:val="sr-Latn-ME"/>
        </w:rPr>
      </w:pPr>
      <w:r w:rsidRPr="00950194">
        <w:rPr>
          <w:sz w:val="22"/>
          <w:szCs w:val="22"/>
          <w:lang w:val="sr-Latn-ME"/>
        </w:rPr>
        <w:t xml:space="preserve">Farmakokinetika golimumaba se utvrđivala kod 173 djece sa pJIA uzrasta od 2 do 17 godina. U ispitivanju pJIA, medijana najnižih koncentracija golimumaba u stanju dinamičke ravnoteže kod djece koja su </w:t>
      </w:r>
      <w:r w:rsidRPr="00926FA7">
        <w:rPr>
          <w:sz w:val="22"/>
          <w:szCs w:val="22"/>
          <w:lang w:val="sr-Latn-ME"/>
        </w:rPr>
        <w:t>primala golimumab supkutano u dozi od 30 mg/m</w:t>
      </w:r>
      <w:r w:rsidRPr="00926FA7">
        <w:rPr>
          <w:sz w:val="22"/>
          <w:szCs w:val="22"/>
          <w:vertAlign w:val="superscript"/>
          <w:lang w:val="sr-Latn-ME"/>
        </w:rPr>
        <w:t>2</w:t>
      </w:r>
      <w:r w:rsidRPr="00926FA7">
        <w:rPr>
          <w:sz w:val="22"/>
          <w:szCs w:val="22"/>
          <w:lang w:val="sr-Latn-ME"/>
        </w:rPr>
        <w:t xml:space="preserve"> (maksimalno 50 mg) svake 4 nedjelje bila je slična u svim uzrastnim grupama pa je bila slična ili nešto viša od one primećene kod odraslih pacijenata sa RA koji su primali 50 mg golimumaba svake 4 nedelje.</w:t>
      </w:r>
    </w:p>
    <w:p w14:paraId="49E8517D" w14:textId="77777777" w:rsidR="00785722" w:rsidRPr="00F415C0" w:rsidRDefault="00785722" w:rsidP="005C6DFE">
      <w:pPr>
        <w:tabs>
          <w:tab w:val="left" w:pos="567"/>
        </w:tabs>
        <w:autoSpaceDE w:val="0"/>
        <w:autoSpaceDN w:val="0"/>
        <w:jc w:val="both"/>
        <w:rPr>
          <w:sz w:val="22"/>
          <w:szCs w:val="22"/>
          <w:lang w:val="sr-Latn-ME"/>
        </w:rPr>
      </w:pPr>
    </w:p>
    <w:p w14:paraId="708AF7D5" w14:textId="77777777" w:rsidR="00785722" w:rsidRPr="00F415C0" w:rsidRDefault="00785722" w:rsidP="005C6DFE">
      <w:pPr>
        <w:tabs>
          <w:tab w:val="left" w:pos="567"/>
        </w:tabs>
        <w:autoSpaceDE w:val="0"/>
        <w:autoSpaceDN w:val="0"/>
        <w:jc w:val="both"/>
        <w:rPr>
          <w:sz w:val="22"/>
          <w:szCs w:val="22"/>
          <w:lang w:val="sr-Latn-ME"/>
        </w:rPr>
      </w:pPr>
      <w:r w:rsidRPr="00F415C0">
        <w:rPr>
          <w:sz w:val="22"/>
          <w:szCs w:val="22"/>
          <w:lang w:val="sr-Latn-ME"/>
        </w:rPr>
        <w:t>Populacijsko farmakokinetičko/farmakodinamičko modeliranje i simulacija kod djece sa pJIA potvrdili su povezanost između izloženosti golimumabu u serumu i kliničke efikasnosti i podupiru nalaz da se režimom doziranja golimumaba u dozi od 50 mg svake 4 nedelje kod djece sa pJIA i telesnom masom od najmanje 40 kg postižu nivoi izloženosti sličnionima koje su se pokazale efikasne kod odraslih.</w:t>
      </w:r>
    </w:p>
    <w:p w14:paraId="12FED79B" w14:textId="77777777" w:rsidR="00785722" w:rsidRPr="00275456" w:rsidRDefault="00785722" w:rsidP="005C6DFE">
      <w:pPr>
        <w:tabs>
          <w:tab w:val="left" w:pos="540"/>
          <w:tab w:val="left" w:pos="569"/>
        </w:tabs>
        <w:jc w:val="both"/>
        <w:rPr>
          <w:bCs/>
          <w:sz w:val="22"/>
          <w:szCs w:val="22"/>
          <w:lang w:val="sr-Latn-ME"/>
        </w:rPr>
      </w:pPr>
    </w:p>
    <w:p w14:paraId="6FB92E5E" w14:textId="77777777"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5.3. </w:t>
      </w:r>
      <w:r w:rsidR="00480FB1" w:rsidRPr="00275456">
        <w:rPr>
          <w:b/>
          <w:bCs/>
          <w:sz w:val="22"/>
          <w:szCs w:val="22"/>
          <w:lang w:val="sr-Latn-ME"/>
        </w:rPr>
        <w:tab/>
      </w:r>
      <w:r w:rsidRPr="00275456">
        <w:rPr>
          <w:b/>
          <w:bCs/>
          <w:sz w:val="22"/>
          <w:szCs w:val="22"/>
          <w:lang w:val="sr-Latn-ME"/>
        </w:rPr>
        <w:t xml:space="preserve">Pretklinički podaci o bezbjednosti </w:t>
      </w:r>
    </w:p>
    <w:p w14:paraId="2E34BC18" w14:textId="77777777" w:rsidR="00836B35" w:rsidRPr="00275456" w:rsidRDefault="00836B35" w:rsidP="005C6DFE">
      <w:pPr>
        <w:tabs>
          <w:tab w:val="left" w:pos="540"/>
          <w:tab w:val="left" w:pos="569"/>
        </w:tabs>
        <w:jc w:val="both"/>
        <w:rPr>
          <w:bCs/>
          <w:sz w:val="22"/>
          <w:szCs w:val="22"/>
          <w:lang w:val="sr-Latn-ME"/>
        </w:rPr>
      </w:pPr>
    </w:p>
    <w:p w14:paraId="55EEED07" w14:textId="77777777" w:rsidR="00785722" w:rsidRPr="00275456" w:rsidRDefault="00785722" w:rsidP="005C6DFE">
      <w:pPr>
        <w:tabs>
          <w:tab w:val="left" w:pos="284"/>
        </w:tabs>
        <w:jc w:val="both"/>
        <w:rPr>
          <w:sz w:val="22"/>
          <w:szCs w:val="22"/>
          <w:lang w:val="sr-Latn-ME"/>
        </w:rPr>
      </w:pPr>
      <w:r w:rsidRPr="00275456">
        <w:rPr>
          <w:sz w:val="22"/>
          <w:szCs w:val="22"/>
          <w:lang w:val="sr-Latn-ME"/>
        </w:rPr>
        <w:t>Pretklinički podaci dobijeni iz konvencionalnih istraživanja farmakološke bezbjednosti, toksičnosti ponovljenih doza i reproduktivne i razvojne toksičnosti ne ukazuju na poseban rizik za ljude.</w:t>
      </w:r>
    </w:p>
    <w:p w14:paraId="4A07F711" w14:textId="77777777" w:rsidR="00785722" w:rsidRPr="00275456" w:rsidRDefault="00785722" w:rsidP="005C6DFE">
      <w:pPr>
        <w:tabs>
          <w:tab w:val="left" w:pos="284"/>
        </w:tabs>
        <w:jc w:val="both"/>
        <w:rPr>
          <w:sz w:val="22"/>
          <w:szCs w:val="22"/>
          <w:lang w:val="sr-Latn-ME"/>
        </w:rPr>
      </w:pPr>
    </w:p>
    <w:p w14:paraId="013D80F6" w14:textId="74E80B5F" w:rsidR="00785722" w:rsidRPr="00275456" w:rsidRDefault="00785722" w:rsidP="005C6DFE">
      <w:pPr>
        <w:tabs>
          <w:tab w:val="left" w:pos="284"/>
        </w:tabs>
        <w:jc w:val="both"/>
        <w:outlineLvl w:val="0"/>
        <w:rPr>
          <w:sz w:val="22"/>
          <w:szCs w:val="22"/>
          <w:lang w:val="sr-Latn-ME"/>
        </w:rPr>
      </w:pPr>
      <w:r w:rsidRPr="00275456">
        <w:rPr>
          <w:sz w:val="22"/>
          <w:szCs w:val="22"/>
          <w:lang w:val="sr-Latn-ME"/>
        </w:rPr>
        <w:t>Nijesu sprovedena istraživanja mutagenosti, istraživanja plodnosti na životinjama, niti dugoročna istraživanja kancerogenog potencijala golimumaba.</w:t>
      </w:r>
    </w:p>
    <w:p w14:paraId="2F890202" w14:textId="77777777" w:rsidR="00785722" w:rsidRPr="00275456" w:rsidRDefault="00785722" w:rsidP="005C6DFE">
      <w:pPr>
        <w:tabs>
          <w:tab w:val="left" w:pos="284"/>
        </w:tabs>
        <w:autoSpaceDE w:val="0"/>
        <w:autoSpaceDN w:val="0"/>
        <w:adjustRightInd w:val="0"/>
        <w:jc w:val="both"/>
        <w:rPr>
          <w:bCs/>
          <w:iCs/>
          <w:sz w:val="22"/>
          <w:szCs w:val="22"/>
          <w:lang w:val="sr-Latn-ME"/>
        </w:rPr>
      </w:pPr>
      <w:r w:rsidRPr="00275456">
        <w:rPr>
          <w:bCs/>
          <w:iCs/>
          <w:sz w:val="22"/>
          <w:szCs w:val="22"/>
          <w:lang w:val="sr-Latn-ME"/>
        </w:rPr>
        <w:lastRenderedPageBreak/>
        <w:t>U istraživanju plodnosti i opšte reproduktivne funkcije na miševima, pri upotrebi analognog antitijela koje selektivno inhibira funkcionalnu aktivnost mišijeg TNFα, smanjio se broj skotnih ženki miševa. Nije poznato da li je uzrok tog nalaza uticaj na mužjake ili/i ženke. U istraživanju razvojne toksičnosti na miševima nakon primjene istog analognog antitijela, kao ni u Cynomolgus majmuna nakon primjene golimumaba, nije bilo znakova maternalne toksičnosti, embriotoksičnosti niti teratogenosti.</w:t>
      </w:r>
    </w:p>
    <w:p w14:paraId="3820A695" w14:textId="10B5CC76" w:rsidR="00396DFD" w:rsidRDefault="00396DFD" w:rsidP="005C6DFE">
      <w:pPr>
        <w:tabs>
          <w:tab w:val="left" w:pos="540"/>
          <w:tab w:val="left" w:pos="569"/>
        </w:tabs>
        <w:jc w:val="both"/>
        <w:rPr>
          <w:b/>
          <w:bCs/>
          <w:sz w:val="22"/>
          <w:szCs w:val="22"/>
          <w:lang w:val="sr-Latn-ME"/>
        </w:rPr>
      </w:pPr>
    </w:p>
    <w:p w14:paraId="2971858A" w14:textId="77777777" w:rsidR="00C9046D" w:rsidRPr="0014796E" w:rsidRDefault="00C9046D" w:rsidP="005C6DFE">
      <w:pPr>
        <w:tabs>
          <w:tab w:val="left" w:pos="540"/>
          <w:tab w:val="left" w:pos="569"/>
        </w:tabs>
        <w:jc w:val="both"/>
        <w:rPr>
          <w:b/>
          <w:bCs/>
          <w:sz w:val="22"/>
          <w:szCs w:val="22"/>
          <w:lang w:val="sr-Latn-ME"/>
        </w:rPr>
      </w:pPr>
    </w:p>
    <w:p w14:paraId="57A36F01" w14:textId="77777777"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6. </w:t>
      </w:r>
      <w:r w:rsidR="00480FB1" w:rsidRPr="00275456">
        <w:rPr>
          <w:b/>
          <w:bCs/>
          <w:sz w:val="22"/>
          <w:szCs w:val="22"/>
          <w:lang w:val="sr-Latn-ME"/>
        </w:rPr>
        <w:tab/>
      </w:r>
      <w:r w:rsidRPr="00275456">
        <w:rPr>
          <w:b/>
          <w:bCs/>
          <w:sz w:val="22"/>
          <w:szCs w:val="22"/>
          <w:lang w:val="sr-Latn-ME"/>
        </w:rPr>
        <w:t>FARMACEUTSKI PODACI</w:t>
      </w:r>
    </w:p>
    <w:p w14:paraId="33E66124" w14:textId="77777777" w:rsidR="00836B35" w:rsidRPr="00275456" w:rsidRDefault="00836B35" w:rsidP="005C6DFE">
      <w:pPr>
        <w:tabs>
          <w:tab w:val="left" w:pos="540"/>
          <w:tab w:val="left" w:pos="569"/>
        </w:tabs>
        <w:jc w:val="both"/>
        <w:rPr>
          <w:bCs/>
          <w:sz w:val="22"/>
          <w:szCs w:val="22"/>
          <w:lang w:val="sr-Latn-ME"/>
        </w:rPr>
      </w:pPr>
    </w:p>
    <w:p w14:paraId="28296B82" w14:textId="002297B4"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6.1. </w:t>
      </w:r>
      <w:r w:rsidR="00480FB1" w:rsidRPr="00275456">
        <w:rPr>
          <w:b/>
          <w:bCs/>
          <w:sz w:val="22"/>
          <w:szCs w:val="22"/>
          <w:lang w:val="sr-Latn-ME"/>
        </w:rPr>
        <w:tab/>
      </w:r>
      <w:r w:rsidRPr="00275456">
        <w:rPr>
          <w:b/>
          <w:bCs/>
          <w:sz w:val="22"/>
          <w:szCs w:val="22"/>
          <w:lang w:val="sr-Latn-ME"/>
        </w:rPr>
        <w:t>Lista pomoćnih supstanci</w:t>
      </w:r>
      <w:r w:rsidR="002E0135" w:rsidRPr="00275456">
        <w:rPr>
          <w:b/>
          <w:bCs/>
          <w:sz w:val="22"/>
          <w:szCs w:val="22"/>
          <w:lang w:val="sr-Latn-ME"/>
        </w:rPr>
        <w:t xml:space="preserve"> (ekscipijenasa)</w:t>
      </w:r>
    </w:p>
    <w:p w14:paraId="4A227249" w14:textId="77777777" w:rsidR="00785722" w:rsidRPr="00275456" w:rsidRDefault="00785722" w:rsidP="005C6DFE">
      <w:pPr>
        <w:tabs>
          <w:tab w:val="left" w:pos="540"/>
          <w:tab w:val="left" w:pos="569"/>
        </w:tabs>
        <w:jc w:val="both"/>
        <w:rPr>
          <w:b/>
          <w:bCs/>
          <w:sz w:val="22"/>
          <w:szCs w:val="22"/>
          <w:lang w:val="sr-Latn-ME"/>
        </w:rPr>
      </w:pPr>
    </w:p>
    <w:p w14:paraId="53379EF1" w14:textId="74C99AE9" w:rsidR="00785722" w:rsidRPr="00275456" w:rsidRDefault="0014796E" w:rsidP="005C6DFE">
      <w:pPr>
        <w:tabs>
          <w:tab w:val="left" w:pos="284"/>
        </w:tabs>
        <w:jc w:val="both"/>
        <w:rPr>
          <w:sz w:val="22"/>
          <w:szCs w:val="22"/>
          <w:lang w:val="sr-Latn-ME"/>
        </w:rPr>
      </w:pPr>
      <w:r>
        <w:rPr>
          <w:sz w:val="22"/>
          <w:szCs w:val="22"/>
          <w:lang w:val="sr-Latn-ME"/>
        </w:rPr>
        <w:t>S</w:t>
      </w:r>
      <w:r w:rsidR="00785722" w:rsidRPr="00275456">
        <w:rPr>
          <w:sz w:val="22"/>
          <w:szCs w:val="22"/>
          <w:lang w:val="sr-Latn-ME"/>
        </w:rPr>
        <w:t>orbitol (E420)</w:t>
      </w:r>
    </w:p>
    <w:p w14:paraId="17D972D2" w14:textId="7548D2BB" w:rsidR="00785722" w:rsidRPr="00275456" w:rsidRDefault="0014796E" w:rsidP="005C6DFE">
      <w:pPr>
        <w:tabs>
          <w:tab w:val="left" w:pos="284"/>
        </w:tabs>
        <w:jc w:val="both"/>
        <w:rPr>
          <w:sz w:val="22"/>
          <w:szCs w:val="22"/>
          <w:lang w:val="sr-Latn-ME"/>
        </w:rPr>
      </w:pPr>
      <w:r>
        <w:rPr>
          <w:sz w:val="22"/>
          <w:szCs w:val="22"/>
          <w:lang w:val="sr-Latn-ME"/>
        </w:rPr>
        <w:t>L-</w:t>
      </w:r>
      <w:r w:rsidR="00785722" w:rsidRPr="00275456">
        <w:rPr>
          <w:sz w:val="22"/>
          <w:szCs w:val="22"/>
          <w:lang w:val="sr-Latn-ME"/>
        </w:rPr>
        <w:t>histidin</w:t>
      </w:r>
    </w:p>
    <w:p w14:paraId="0C16B204" w14:textId="12DB5117" w:rsidR="00785722" w:rsidRPr="00275456" w:rsidRDefault="0014796E" w:rsidP="005C6DFE">
      <w:pPr>
        <w:tabs>
          <w:tab w:val="left" w:pos="284"/>
        </w:tabs>
        <w:jc w:val="both"/>
        <w:rPr>
          <w:sz w:val="22"/>
          <w:szCs w:val="22"/>
          <w:lang w:val="sr-Latn-ME"/>
        </w:rPr>
      </w:pPr>
      <w:r>
        <w:rPr>
          <w:sz w:val="22"/>
          <w:szCs w:val="22"/>
          <w:lang w:val="sr-Latn-ME"/>
        </w:rPr>
        <w:t>L-</w:t>
      </w:r>
      <w:r w:rsidR="00785722" w:rsidRPr="00275456">
        <w:rPr>
          <w:sz w:val="22"/>
          <w:szCs w:val="22"/>
          <w:lang w:val="sr-Latn-ME"/>
        </w:rPr>
        <w:t>histidin hidrohlorid monohidrat</w:t>
      </w:r>
    </w:p>
    <w:p w14:paraId="5DB8011E" w14:textId="00C0C1F0" w:rsidR="00785722" w:rsidRPr="00275456" w:rsidRDefault="0014796E" w:rsidP="005C6DFE">
      <w:pPr>
        <w:jc w:val="both"/>
        <w:rPr>
          <w:sz w:val="22"/>
          <w:szCs w:val="22"/>
          <w:lang w:val="sr-Latn-ME"/>
        </w:rPr>
      </w:pPr>
      <w:r>
        <w:rPr>
          <w:sz w:val="22"/>
          <w:szCs w:val="22"/>
          <w:lang w:val="sr-Latn-ME"/>
        </w:rPr>
        <w:t>P</w:t>
      </w:r>
      <w:r w:rsidR="00785722" w:rsidRPr="00275456">
        <w:rPr>
          <w:sz w:val="22"/>
          <w:szCs w:val="22"/>
          <w:lang w:val="sr-Latn-ME"/>
        </w:rPr>
        <w:t>olisorbat 80</w:t>
      </w:r>
    </w:p>
    <w:p w14:paraId="770FC88B" w14:textId="1ACD82F4" w:rsidR="00785722" w:rsidRPr="00275456" w:rsidRDefault="0014796E" w:rsidP="005C6DFE">
      <w:pPr>
        <w:tabs>
          <w:tab w:val="left" w:pos="284"/>
        </w:tabs>
        <w:jc w:val="both"/>
        <w:rPr>
          <w:sz w:val="22"/>
          <w:szCs w:val="22"/>
          <w:lang w:val="sr-Latn-ME"/>
        </w:rPr>
      </w:pPr>
      <w:r>
        <w:rPr>
          <w:sz w:val="22"/>
          <w:szCs w:val="22"/>
          <w:lang w:val="sr-Latn-ME"/>
        </w:rPr>
        <w:t>V</w:t>
      </w:r>
      <w:r w:rsidR="00785722" w:rsidRPr="00275456">
        <w:rPr>
          <w:sz w:val="22"/>
          <w:szCs w:val="22"/>
          <w:lang w:val="sr-Latn-ME"/>
        </w:rPr>
        <w:t>oda za injekcije</w:t>
      </w:r>
    </w:p>
    <w:p w14:paraId="580E345D" w14:textId="77777777" w:rsidR="0072020E" w:rsidRPr="00275456" w:rsidRDefault="0072020E" w:rsidP="005C6DFE">
      <w:pPr>
        <w:tabs>
          <w:tab w:val="left" w:pos="540"/>
          <w:tab w:val="left" w:pos="569"/>
        </w:tabs>
        <w:jc w:val="both"/>
        <w:rPr>
          <w:bCs/>
          <w:sz w:val="22"/>
          <w:szCs w:val="22"/>
          <w:lang w:val="sr-Latn-ME"/>
        </w:rPr>
      </w:pPr>
    </w:p>
    <w:p w14:paraId="33FBC155" w14:textId="77777777"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6.2. </w:t>
      </w:r>
      <w:r w:rsidR="00480FB1" w:rsidRPr="00275456">
        <w:rPr>
          <w:b/>
          <w:bCs/>
          <w:sz w:val="22"/>
          <w:szCs w:val="22"/>
          <w:lang w:val="sr-Latn-ME"/>
        </w:rPr>
        <w:tab/>
      </w:r>
      <w:r w:rsidRPr="00275456">
        <w:rPr>
          <w:b/>
          <w:bCs/>
          <w:sz w:val="22"/>
          <w:szCs w:val="22"/>
          <w:lang w:val="sr-Latn-ME"/>
        </w:rPr>
        <w:t>Inkompatibilnost</w:t>
      </w:r>
      <w:r w:rsidR="002846DB" w:rsidRPr="00275456">
        <w:rPr>
          <w:b/>
          <w:bCs/>
          <w:sz w:val="22"/>
          <w:szCs w:val="22"/>
          <w:lang w:val="sr-Latn-ME"/>
        </w:rPr>
        <w:t>i</w:t>
      </w:r>
    </w:p>
    <w:p w14:paraId="5C34A2C8" w14:textId="2EAB0E0E" w:rsidR="0072020E" w:rsidRPr="00275456" w:rsidRDefault="0072020E" w:rsidP="005C6DFE">
      <w:pPr>
        <w:tabs>
          <w:tab w:val="left" w:pos="540"/>
          <w:tab w:val="left" w:pos="569"/>
        </w:tabs>
        <w:jc w:val="both"/>
        <w:rPr>
          <w:bCs/>
          <w:sz w:val="22"/>
          <w:szCs w:val="22"/>
          <w:lang w:val="sr-Latn-ME"/>
        </w:rPr>
      </w:pPr>
    </w:p>
    <w:p w14:paraId="05CCADAE" w14:textId="77777777"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U nedostatku studija kompatibilnosti, ovaj lijek se ne smije miješati s drugim ljekovima. </w:t>
      </w:r>
    </w:p>
    <w:p w14:paraId="7346FFB5" w14:textId="77777777" w:rsidR="00785722" w:rsidRPr="00275456" w:rsidRDefault="00785722" w:rsidP="005C6DFE">
      <w:pPr>
        <w:tabs>
          <w:tab w:val="left" w:pos="540"/>
          <w:tab w:val="left" w:pos="569"/>
        </w:tabs>
        <w:jc w:val="both"/>
        <w:rPr>
          <w:bCs/>
          <w:sz w:val="22"/>
          <w:szCs w:val="22"/>
          <w:lang w:val="sr-Latn-ME"/>
        </w:rPr>
      </w:pPr>
    </w:p>
    <w:p w14:paraId="6A55C8BE" w14:textId="5497D36E"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6.3.</w:t>
      </w:r>
      <w:r w:rsidR="00C05DF8" w:rsidRPr="00275456">
        <w:rPr>
          <w:b/>
          <w:bCs/>
          <w:sz w:val="22"/>
          <w:szCs w:val="22"/>
          <w:lang w:val="sr-Latn-ME"/>
        </w:rPr>
        <w:t xml:space="preserve"> </w:t>
      </w:r>
      <w:r w:rsidR="00480FB1" w:rsidRPr="00275456">
        <w:rPr>
          <w:b/>
          <w:bCs/>
          <w:sz w:val="22"/>
          <w:szCs w:val="22"/>
          <w:lang w:val="sr-Latn-ME"/>
        </w:rPr>
        <w:tab/>
      </w:r>
      <w:r w:rsidRPr="00275456">
        <w:rPr>
          <w:b/>
          <w:bCs/>
          <w:sz w:val="22"/>
          <w:szCs w:val="22"/>
          <w:lang w:val="sr-Latn-ME"/>
        </w:rPr>
        <w:t>Rok upotrebe</w:t>
      </w:r>
    </w:p>
    <w:p w14:paraId="5F96FA7A" w14:textId="77777777" w:rsidR="00785722" w:rsidRPr="00275456" w:rsidRDefault="00785722" w:rsidP="005C6DFE">
      <w:pPr>
        <w:tabs>
          <w:tab w:val="left" w:pos="540"/>
          <w:tab w:val="left" w:pos="569"/>
        </w:tabs>
        <w:jc w:val="both"/>
        <w:rPr>
          <w:b/>
          <w:bCs/>
          <w:sz w:val="22"/>
          <w:szCs w:val="22"/>
          <w:lang w:val="sr-Latn-ME"/>
        </w:rPr>
      </w:pPr>
    </w:p>
    <w:p w14:paraId="550E5011" w14:textId="22F3656D" w:rsidR="00785722" w:rsidRPr="00275456" w:rsidRDefault="00DF2922" w:rsidP="005C6DFE">
      <w:pPr>
        <w:tabs>
          <w:tab w:val="left" w:pos="540"/>
          <w:tab w:val="left" w:pos="569"/>
        </w:tabs>
        <w:jc w:val="both"/>
        <w:rPr>
          <w:b/>
          <w:bCs/>
          <w:sz w:val="22"/>
          <w:szCs w:val="22"/>
          <w:lang w:val="sr-Latn-ME"/>
        </w:rPr>
      </w:pPr>
      <w:r w:rsidRPr="00275456">
        <w:rPr>
          <w:sz w:val="22"/>
          <w:szCs w:val="22"/>
          <w:lang w:val="sr-Latn-ME" w:eastAsia="sr-Latn-CS"/>
        </w:rPr>
        <w:t>2 godine</w:t>
      </w:r>
      <w:r w:rsidR="00785722" w:rsidRPr="00275456">
        <w:rPr>
          <w:sz w:val="22"/>
          <w:szCs w:val="22"/>
          <w:lang w:val="sr-Latn-ME" w:eastAsia="sr-Latn-CS"/>
        </w:rPr>
        <w:t>.</w:t>
      </w:r>
    </w:p>
    <w:p w14:paraId="7803050D" w14:textId="77777777" w:rsidR="0072020E" w:rsidRPr="00275456" w:rsidRDefault="0072020E" w:rsidP="005C6DFE">
      <w:pPr>
        <w:tabs>
          <w:tab w:val="left" w:pos="540"/>
          <w:tab w:val="left" w:pos="569"/>
        </w:tabs>
        <w:jc w:val="both"/>
        <w:rPr>
          <w:bCs/>
          <w:sz w:val="22"/>
          <w:szCs w:val="22"/>
          <w:lang w:val="sr-Latn-ME"/>
        </w:rPr>
      </w:pPr>
    </w:p>
    <w:p w14:paraId="26E5B05F" w14:textId="77777777"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6.4. </w:t>
      </w:r>
      <w:r w:rsidR="00480FB1" w:rsidRPr="00275456">
        <w:rPr>
          <w:b/>
          <w:bCs/>
          <w:sz w:val="22"/>
          <w:szCs w:val="22"/>
          <w:lang w:val="sr-Latn-ME"/>
        </w:rPr>
        <w:tab/>
      </w:r>
      <w:r w:rsidRPr="00275456">
        <w:rPr>
          <w:b/>
          <w:bCs/>
          <w:sz w:val="22"/>
          <w:szCs w:val="22"/>
          <w:lang w:val="sr-Latn-ME"/>
        </w:rPr>
        <w:t>Posebne mjere upozorenja pri čuvanju</w:t>
      </w:r>
      <w:r w:rsidR="00F8570A" w:rsidRPr="00275456">
        <w:rPr>
          <w:b/>
          <w:bCs/>
          <w:sz w:val="22"/>
          <w:szCs w:val="22"/>
          <w:lang w:val="sr-Latn-ME"/>
        </w:rPr>
        <w:t xml:space="preserve"> lijeka</w:t>
      </w:r>
    </w:p>
    <w:p w14:paraId="54ABEEAC" w14:textId="54F5189F" w:rsidR="00EC2532" w:rsidRPr="00275456" w:rsidRDefault="00EC2532" w:rsidP="005C6DFE">
      <w:pPr>
        <w:tabs>
          <w:tab w:val="left" w:pos="540"/>
          <w:tab w:val="left" w:pos="569"/>
        </w:tabs>
        <w:jc w:val="both"/>
        <w:rPr>
          <w:bCs/>
          <w:sz w:val="22"/>
          <w:szCs w:val="22"/>
          <w:lang w:val="sr-Latn-ME"/>
        </w:rPr>
      </w:pPr>
    </w:p>
    <w:p w14:paraId="2A65597B" w14:textId="35393715" w:rsidR="00B138AB" w:rsidRPr="00275456" w:rsidRDefault="00785722" w:rsidP="005C6DFE">
      <w:pPr>
        <w:tabs>
          <w:tab w:val="left" w:pos="540"/>
          <w:tab w:val="left" w:pos="569"/>
          <w:tab w:val="right" w:pos="9073"/>
        </w:tabs>
        <w:jc w:val="both"/>
        <w:rPr>
          <w:bCs/>
          <w:sz w:val="22"/>
          <w:szCs w:val="22"/>
          <w:lang w:val="sr-Latn-ME"/>
        </w:rPr>
      </w:pPr>
      <w:r w:rsidRPr="00275456">
        <w:rPr>
          <w:bCs/>
          <w:sz w:val="22"/>
          <w:szCs w:val="22"/>
          <w:lang w:val="sr-Latn-ME"/>
        </w:rPr>
        <w:t xml:space="preserve">Čuvati u frižideru (2-8°C). </w:t>
      </w:r>
      <w:r w:rsidR="00DF2922" w:rsidRPr="00275456">
        <w:rPr>
          <w:bCs/>
          <w:sz w:val="22"/>
          <w:szCs w:val="22"/>
          <w:lang w:val="sr-Latn-ME"/>
        </w:rPr>
        <w:tab/>
      </w:r>
    </w:p>
    <w:p w14:paraId="1A2E951E" w14:textId="77777777" w:rsidR="00B138AB"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Ne zamrzavati. </w:t>
      </w:r>
    </w:p>
    <w:p w14:paraId="1D658403" w14:textId="00BA3176" w:rsidR="00B138AB" w:rsidRPr="00275456" w:rsidRDefault="00785722" w:rsidP="005C6DFE">
      <w:pPr>
        <w:tabs>
          <w:tab w:val="left" w:pos="540"/>
          <w:tab w:val="left" w:pos="569"/>
        </w:tabs>
        <w:jc w:val="both"/>
        <w:rPr>
          <w:bCs/>
          <w:sz w:val="22"/>
          <w:szCs w:val="22"/>
          <w:lang w:val="sr-Latn-ME"/>
        </w:rPr>
      </w:pPr>
      <w:r w:rsidRPr="00275456">
        <w:rPr>
          <w:bCs/>
          <w:sz w:val="22"/>
          <w:szCs w:val="22"/>
          <w:lang w:val="sr-Latn-ME"/>
        </w:rPr>
        <w:t>Čuvati napunjeni injekcioni špric/pen u spoljnjem pakovanju (složiva kartonska kutija) radi zaštite od svjetlosti. Lijek se može čuvati na temperaturi do 25°C, tokom pojedinačnog perioda od maksimalno 30 dana, pri čemu ne smije da se prekorači datum isteka roka upotrebe lijeka.</w:t>
      </w:r>
      <w:r w:rsidR="00114A56" w:rsidRPr="00275456">
        <w:rPr>
          <w:bCs/>
          <w:sz w:val="22"/>
          <w:szCs w:val="22"/>
          <w:lang w:val="sr-Latn-ME"/>
        </w:rPr>
        <w:t xml:space="preserve"> </w:t>
      </w:r>
      <w:r w:rsidRPr="00275456">
        <w:rPr>
          <w:bCs/>
          <w:sz w:val="22"/>
          <w:szCs w:val="22"/>
          <w:lang w:val="sr-Latn-ME"/>
        </w:rPr>
        <w:t xml:space="preserve">Zabilježiti novi datum isteka roka upotrebe lijeka na kartonskoj kutiji (do 30 dana od datuma vađenja iz frižidera). </w:t>
      </w:r>
    </w:p>
    <w:p w14:paraId="6839E160" w14:textId="77777777" w:rsidR="00B138AB" w:rsidRPr="00275456" w:rsidRDefault="00B138AB" w:rsidP="005C6DFE">
      <w:pPr>
        <w:tabs>
          <w:tab w:val="left" w:pos="540"/>
          <w:tab w:val="left" w:pos="569"/>
        </w:tabs>
        <w:jc w:val="both"/>
        <w:rPr>
          <w:bCs/>
          <w:sz w:val="22"/>
          <w:szCs w:val="22"/>
          <w:lang w:val="sr-Latn-ME"/>
        </w:rPr>
      </w:pPr>
    </w:p>
    <w:p w14:paraId="3451E5B1" w14:textId="5A862B59"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Nakon što je lijek čuvan na sobnoj temperaturi ne smije se više vraćati u frižider. Lijek se mora odbaciti ukoliko se ne iskoristi u roku od 30 dana od datuma vađenja iz frižidera.</w:t>
      </w:r>
    </w:p>
    <w:p w14:paraId="59BE70B0" w14:textId="77777777" w:rsidR="00785722" w:rsidRPr="00275456" w:rsidRDefault="00785722" w:rsidP="005C6DFE">
      <w:pPr>
        <w:tabs>
          <w:tab w:val="left" w:pos="540"/>
          <w:tab w:val="left" w:pos="569"/>
        </w:tabs>
        <w:jc w:val="both"/>
        <w:rPr>
          <w:bCs/>
          <w:sz w:val="22"/>
          <w:szCs w:val="22"/>
          <w:lang w:val="sr-Latn-ME"/>
        </w:rPr>
      </w:pPr>
    </w:p>
    <w:p w14:paraId="62F0253B" w14:textId="324B1E41"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6.5. </w:t>
      </w:r>
      <w:r w:rsidR="00480FB1" w:rsidRPr="00275456">
        <w:rPr>
          <w:b/>
          <w:bCs/>
          <w:sz w:val="22"/>
          <w:szCs w:val="22"/>
          <w:lang w:val="sr-Latn-ME"/>
        </w:rPr>
        <w:tab/>
      </w:r>
      <w:r w:rsidR="002846DB" w:rsidRPr="00275456">
        <w:rPr>
          <w:b/>
          <w:bCs/>
          <w:sz w:val="22"/>
          <w:szCs w:val="22"/>
          <w:lang w:val="sr-Latn-ME"/>
        </w:rPr>
        <w:t xml:space="preserve">Vrsta i sadržaj </w:t>
      </w:r>
      <w:r w:rsidR="00F8570A" w:rsidRPr="00275456">
        <w:rPr>
          <w:b/>
          <w:bCs/>
          <w:sz w:val="22"/>
          <w:szCs w:val="22"/>
          <w:lang w:val="sr-Latn-ME"/>
        </w:rPr>
        <w:t>pakovanja</w:t>
      </w:r>
      <w:r w:rsidR="00C06864" w:rsidRPr="00275456">
        <w:rPr>
          <w:b/>
          <w:bCs/>
          <w:sz w:val="22"/>
          <w:szCs w:val="22"/>
          <w:lang w:val="sr-Latn-ME"/>
        </w:rPr>
        <w:t xml:space="preserve"> </w:t>
      </w:r>
    </w:p>
    <w:p w14:paraId="06D47B35" w14:textId="77777777" w:rsidR="00785722" w:rsidRPr="00275456" w:rsidRDefault="00785722" w:rsidP="005C6DFE">
      <w:pPr>
        <w:tabs>
          <w:tab w:val="left" w:pos="540"/>
          <w:tab w:val="left" w:pos="569"/>
        </w:tabs>
        <w:jc w:val="both"/>
        <w:rPr>
          <w:b/>
          <w:bCs/>
          <w:sz w:val="22"/>
          <w:szCs w:val="22"/>
          <w:lang w:val="sr-Latn-ME"/>
        </w:rPr>
      </w:pPr>
    </w:p>
    <w:p w14:paraId="7FB6503D" w14:textId="59259365" w:rsidR="00785722" w:rsidRPr="00275456" w:rsidRDefault="00785722" w:rsidP="005C6DFE">
      <w:pPr>
        <w:tabs>
          <w:tab w:val="left" w:pos="540"/>
          <w:tab w:val="left" w:pos="569"/>
        </w:tabs>
        <w:jc w:val="both"/>
        <w:rPr>
          <w:bCs/>
          <w:i/>
          <w:iCs/>
          <w:sz w:val="22"/>
          <w:szCs w:val="22"/>
          <w:u w:val="single"/>
          <w:lang w:val="sr-Latn-ME"/>
        </w:rPr>
      </w:pPr>
      <w:r w:rsidRPr="00275456">
        <w:rPr>
          <w:bCs/>
          <w:i/>
          <w:iCs/>
          <w:sz w:val="22"/>
          <w:szCs w:val="22"/>
          <w:u w:val="single"/>
          <w:lang w:val="sr-Latn-ME"/>
        </w:rPr>
        <w:t>Simponi, 50 mg, rastvor za injekciju u</w:t>
      </w:r>
      <w:r w:rsidR="00552BB9" w:rsidRPr="00275456">
        <w:rPr>
          <w:bCs/>
          <w:i/>
          <w:iCs/>
          <w:sz w:val="22"/>
          <w:szCs w:val="22"/>
          <w:u w:val="single"/>
          <w:lang w:val="sr-Latn-ME"/>
        </w:rPr>
        <w:t xml:space="preserve"> napunjenom injekcionom</w:t>
      </w:r>
      <w:r w:rsidRPr="00275456">
        <w:rPr>
          <w:bCs/>
          <w:i/>
          <w:iCs/>
          <w:sz w:val="22"/>
          <w:szCs w:val="22"/>
          <w:u w:val="single"/>
          <w:lang w:val="sr-Latn-ME"/>
        </w:rPr>
        <w:t xml:space="preserve"> penu</w:t>
      </w:r>
    </w:p>
    <w:p w14:paraId="10312B00" w14:textId="7ADD43FB" w:rsidR="00785722" w:rsidRPr="00275456" w:rsidRDefault="00785722" w:rsidP="005C6DFE">
      <w:pPr>
        <w:tabs>
          <w:tab w:val="left" w:pos="284"/>
        </w:tabs>
        <w:jc w:val="both"/>
        <w:rPr>
          <w:sz w:val="22"/>
          <w:szCs w:val="22"/>
          <w:lang w:val="sr-Latn-ME"/>
        </w:rPr>
      </w:pPr>
      <w:r w:rsidRPr="00275456">
        <w:rPr>
          <w:sz w:val="22"/>
          <w:szCs w:val="22"/>
          <w:lang w:val="sr-Latn-ME"/>
        </w:rPr>
        <w:t xml:space="preserve">0,5 </w:t>
      </w:r>
      <w:r w:rsidR="00F81F67">
        <w:rPr>
          <w:sz w:val="22"/>
          <w:szCs w:val="22"/>
          <w:lang w:val="sr-Latn-ME"/>
        </w:rPr>
        <w:t>ml</w:t>
      </w:r>
      <w:r w:rsidRPr="00275456">
        <w:rPr>
          <w:sz w:val="22"/>
          <w:szCs w:val="22"/>
          <w:lang w:val="sr-Latn-ME"/>
        </w:rPr>
        <w:t xml:space="preserve"> rastvora u napunjenom injekcionom penu ( staklo tipa 1) s pričvršćenom iglom (od nerđajućeg čelika) i poklopcem za iglu (od gume koja sadrži lateks), u </w:t>
      </w:r>
      <w:r w:rsidR="00552BB9" w:rsidRPr="00275456">
        <w:rPr>
          <w:sz w:val="22"/>
          <w:szCs w:val="22"/>
          <w:lang w:val="sr-Latn-ME"/>
        </w:rPr>
        <w:t>napunjenom injekcionom</w:t>
      </w:r>
      <w:r w:rsidRPr="00275456">
        <w:rPr>
          <w:sz w:val="22"/>
          <w:szCs w:val="22"/>
          <w:lang w:val="sr-Latn-ME"/>
        </w:rPr>
        <w:t xml:space="preserve"> penu. </w:t>
      </w:r>
    </w:p>
    <w:p w14:paraId="494B55C6" w14:textId="1585F836" w:rsidR="00785722" w:rsidRPr="00275456" w:rsidRDefault="00785722" w:rsidP="005C6DFE">
      <w:pPr>
        <w:tabs>
          <w:tab w:val="left" w:pos="284"/>
        </w:tabs>
        <w:jc w:val="both"/>
        <w:rPr>
          <w:sz w:val="22"/>
          <w:szCs w:val="22"/>
          <w:lang w:val="sr-Latn-ME"/>
        </w:rPr>
      </w:pPr>
      <w:r w:rsidRPr="00275456">
        <w:rPr>
          <w:sz w:val="22"/>
          <w:szCs w:val="22"/>
          <w:lang w:val="sr-Latn-ME"/>
        </w:rPr>
        <w:t xml:space="preserve">Lijek Simponi je dostupan u pakovanju od 1 </w:t>
      </w:r>
      <w:r w:rsidR="00552BB9" w:rsidRPr="00275456">
        <w:rPr>
          <w:sz w:val="22"/>
          <w:szCs w:val="22"/>
          <w:lang w:val="sr-Latn-ME"/>
        </w:rPr>
        <w:t>napunjenog injekcionog pena</w:t>
      </w:r>
      <w:r w:rsidRPr="00275456">
        <w:rPr>
          <w:sz w:val="22"/>
          <w:szCs w:val="22"/>
          <w:lang w:val="sr-Latn-ME"/>
        </w:rPr>
        <w:t xml:space="preserve">. </w:t>
      </w:r>
    </w:p>
    <w:p w14:paraId="6A265E4D" w14:textId="77777777" w:rsidR="00785722" w:rsidRPr="00275456" w:rsidRDefault="00785722" w:rsidP="005C6DFE">
      <w:pPr>
        <w:tabs>
          <w:tab w:val="left" w:pos="284"/>
        </w:tabs>
        <w:jc w:val="both"/>
        <w:rPr>
          <w:sz w:val="22"/>
          <w:szCs w:val="22"/>
          <w:lang w:val="sr-Latn-ME"/>
        </w:rPr>
      </w:pPr>
    </w:p>
    <w:p w14:paraId="5CFC93DA" w14:textId="77777777" w:rsidR="00785722" w:rsidRPr="00275456" w:rsidRDefault="00785722" w:rsidP="005C6DFE">
      <w:pPr>
        <w:tabs>
          <w:tab w:val="left" w:pos="284"/>
        </w:tabs>
        <w:jc w:val="both"/>
        <w:rPr>
          <w:i/>
          <w:iCs/>
          <w:sz w:val="22"/>
          <w:szCs w:val="22"/>
          <w:u w:val="single"/>
          <w:lang w:val="sr-Latn-ME"/>
        </w:rPr>
      </w:pPr>
      <w:r w:rsidRPr="00275456">
        <w:rPr>
          <w:i/>
          <w:iCs/>
          <w:sz w:val="22"/>
          <w:szCs w:val="22"/>
          <w:u w:val="single"/>
          <w:lang w:val="sr-Latn-ME"/>
        </w:rPr>
        <w:t>Simponi, 50 mg, rastvor za injekciju u napunjenom injekcionom špricu</w:t>
      </w:r>
    </w:p>
    <w:p w14:paraId="60C0F0E7" w14:textId="7F1227A7" w:rsidR="00785722" w:rsidRPr="00275456" w:rsidRDefault="00785722" w:rsidP="005C6DFE">
      <w:pPr>
        <w:tabs>
          <w:tab w:val="left" w:pos="284"/>
        </w:tabs>
        <w:jc w:val="both"/>
        <w:rPr>
          <w:sz w:val="22"/>
          <w:szCs w:val="22"/>
          <w:lang w:val="sr-Latn-ME"/>
        </w:rPr>
      </w:pPr>
      <w:r w:rsidRPr="00275456">
        <w:rPr>
          <w:sz w:val="22"/>
          <w:szCs w:val="22"/>
          <w:lang w:val="sr-Latn-ME"/>
        </w:rPr>
        <w:t xml:space="preserve">0,5 </w:t>
      </w:r>
      <w:r w:rsidR="00F81F67">
        <w:rPr>
          <w:sz w:val="22"/>
          <w:szCs w:val="22"/>
          <w:lang w:val="sr-Latn-ME"/>
        </w:rPr>
        <w:t>ml</w:t>
      </w:r>
      <w:r w:rsidRPr="00275456">
        <w:rPr>
          <w:sz w:val="22"/>
          <w:szCs w:val="22"/>
          <w:lang w:val="sr-Latn-ME"/>
        </w:rPr>
        <w:t xml:space="preserve"> rastvora u napunjenom injekcionom špricu (staklo tipa 1) s pričvršćenom iglom (od nerđajućeg čelika) i poklopcem za iglu (od gume koja sadrži lateks), u napunjenom injekcionom špricu. </w:t>
      </w:r>
    </w:p>
    <w:p w14:paraId="12A5180B" w14:textId="55DF45BA" w:rsidR="00552BB9" w:rsidRPr="00275456" w:rsidRDefault="00552BB9" w:rsidP="005C6DFE">
      <w:pPr>
        <w:tabs>
          <w:tab w:val="left" w:pos="284"/>
        </w:tabs>
        <w:jc w:val="both"/>
        <w:rPr>
          <w:sz w:val="22"/>
          <w:szCs w:val="22"/>
          <w:lang w:val="sr-Latn-ME"/>
        </w:rPr>
      </w:pPr>
      <w:r w:rsidRPr="00275456">
        <w:rPr>
          <w:sz w:val="22"/>
          <w:szCs w:val="22"/>
          <w:lang w:val="sr-Latn-ME"/>
        </w:rPr>
        <w:t xml:space="preserve">Lijek Simponi je dostupan u pakovanju od 1 napunjenog injekcionog šprica. </w:t>
      </w:r>
    </w:p>
    <w:p w14:paraId="64E6BE89" w14:textId="7688FCC0" w:rsidR="00785722" w:rsidRPr="00275456" w:rsidRDefault="00785722" w:rsidP="005C6DFE">
      <w:pPr>
        <w:tabs>
          <w:tab w:val="left" w:pos="284"/>
        </w:tabs>
        <w:jc w:val="both"/>
        <w:rPr>
          <w:sz w:val="22"/>
          <w:szCs w:val="22"/>
          <w:lang w:val="sr-Latn-ME"/>
        </w:rPr>
      </w:pPr>
    </w:p>
    <w:p w14:paraId="1296AEE6" w14:textId="37E9B8E5" w:rsidR="00C9046D" w:rsidRDefault="00B138AB" w:rsidP="005C6DFE">
      <w:pPr>
        <w:tabs>
          <w:tab w:val="left" w:pos="540"/>
          <w:tab w:val="left" w:pos="569"/>
        </w:tabs>
        <w:jc w:val="both"/>
        <w:rPr>
          <w:bCs/>
          <w:sz w:val="22"/>
          <w:szCs w:val="22"/>
          <w:lang w:val="sr-Latn-ME"/>
        </w:rPr>
      </w:pPr>
      <w:r w:rsidRPr="00E34AE9">
        <w:rPr>
          <w:bCs/>
          <w:sz w:val="22"/>
          <w:szCs w:val="22"/>
          <w:lang w:val="sr-Latn-ME"/>
        </w:rPr>
        <w:t xml:space="preserve">Spoljašnje pakovanje je složiva kartonska kutija u kojoj se nalazi jedan napunjeni injekcioni </w:t>
      </w:r>
      <w:r w:rsidR="00552BB9" w:rsidRPr="00E34AE9">
        <w:rPr>
          <w:bCs/>
          <w:sz w:val="22"/>
          <w:szCs w:val="22"/>
          <w:lang w:val="sr-Latn-ME"/>
        </w:rPr>
        <w:t>pen/</w:t>
      </w:r>
      <w:r w:rsidRPr="00E34AE9">
        <w:rPr>
          <w:bCs/>
          <w:sz w:val="22"/>
          <w:szCs w:val="22"/>
          <w:lang w:val="sr-Latn-ME"/>
        </w:rPr>
        <w:t>špric i Uputstvo za l</w:t>
      </w:r>
      <w:r w:rsidR="008D646E" w:rsidRPr="00E34AE9">
        <w:rPr>
          <w:bCs/>
          <w:sz w:val="22"/>
          <w:szCs w:val="22"/>
          <w:lang w:val="sr-Latn-ME"/>
        </w:rPr>
        <w:t>ij</w:t>
      </w:r>
      <w:r w:rsidRPr="00E34AE9">
        <w:rPr>
          <w:bCs/>
          <w:sz w:val="22"/>
          <w:szCs w:val="22"/>
          <w:lang w:val="sr-Latn-ME"/>
        </w:rPr>
        <w:t>ek.</w:t>
      </w:r>
    </w:p>
    <w:p w14:paraId="0D5F59CA" w14:textId="77777777" w:rsidR="00C9046D" w:rsidRPr="0014796E" w:rsidRDefault="00C9046D" w:rsidP="005C6DFE">
      <w:pPr>
        <w:tabs>
          <w:tab w:val="left" w:pos="540"/>
          <w:tab w:val="left" w:pos="569"/>
        </w:tabs>
        <w:jc w:val="both"/>
        <w:rPr>
          <w:bCs/>
          <w:sz w:val="22"/>
          <w:szCs w:val="22"/>
          <w:lang w:val="sr-Latn-ME"/>
        </w:rPr>
      </w:pPr>
    </w:p>
    <w:p w14:paraId="447AAB49" w14:textId="77777777" w:rsidR="002846DB"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6.6. </w:t>
      </w:r>
      <w:r w:rsidR="00480FB1" w:rsidRPr="00275456">
        <w:rPr>
          <w:b/>
          <w:bCs/>
          <w:sz w:val="22"/>
          <w:szCs w:val="22"/>
          <w:lang w:val="sr-Latn-ME"/>
        </w:rPr>
        <w:tab/>
      </w:r>
      <w:r w:rsidRPr="00275456">
        <w:rPr>
          <w:b/>
          <w:bCs/>
          <w:color w:val="000000"/>
          <w:sz w:val="22"/>
          <w:szCs w:val="22"/>
          <w:lang w:val="sr-Latn-ME"/>
        </w:rPr>
        <w:t>Posebne mjere opreza pri odlaganju materijala koji treba odbaciti nakon primjene lijeka</w:t>
      </w:r>
      <w:r w:rsidRPr="00275456">
        <w:rPr>
          <w:b/>
          <w:bCs/>
          <w:sz w:val="22"/>
          <w:szCs w:val="22"/>
          <w:lang w:val="sr-Latn-ME"/>
        </w:rPr>
        <w:t xml:space="preserve"> </w:t>
      </w:r>
      <w:r w:rsidR="00310F03" w:rsidRPr="00275456">
        <w:rPr>
          <w:b/>
          <w:bCs/>
          <w:sz w:val="22"/>
          <w:szCs w:val="22"/>
          <w:lang w:val="sr-Latn-ME"/>
        </w:rPr>
        <w:t>(i druga uputs</w:t>
      </w:r>
      <w:r w:rsidR="004109FA" w:rsidRPr="00275456">
        <w:rPr>
          <w:b/>
          <w:bCs/>
          <w:sz w:val="22"/>
          <w:szCs w:val="22"/>
          <w:lang w:val="sr-Latn-ME"/>
        </w:rPr>
        <w:t>t</w:t>
      </w:r>
      <w:r w:rsidR="00310F03" w:rsidRPr="00275456">
        <w:rPr>
          <w:b/>
          <w:bCs/>
          <w:sz w:val="22"/>
          <w:szCs w:val="22"/>
          <w:lang w:val="sr-Latn-ME"/>
        </w:rPr>
        <w:t xml:space="preserve">va za rukovanje lijekom) </w:t>
      </w:r>
    </w:p>
    <w:p w14:paraId="3109DB93" w14:textId="77777777" w:rsidR="00B66A70" w:rsidRPr="00275456" w:rsidRDefault="00B66A70" w:rsidP="005C6DFE">
      <w:pPr>
        <w:tabs>
          <w:tab w:val="left" w:pos="540"/>
          <w:tab w:val="left" w:pos="569"/>
        </w:tabs>
        <w:jc w:val="both"/>
        <w:rPr>
          <w:b/>
          <w:bCs/>
          <w:sz w:val="22"/>
          <w:szCs w:val="22"/>
          <w:lang w:val="sr-Latn-ME"/>
        </w:rPr>
      </w:pPr>
    </w:p>
    <w:p w14:paraId="5544ECA5" w14:textId="4FCF8A1D"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 xml:space="preserve">Lijek Simponi se nalazi na tržištu u </w:t>
      </w:r>
      <w:r w:rsidR="00552BB9" w:rsidRPr="00275456">
        <w:rPr>
          <w:sz w:val="22"/>
          <w:szCs w:val="22"/>
          <w:lang w:val="sr-Latn-ME"/>
        </w:rPr>
        <w:t xml:space="preserve">napunjenom injekcionom </w:t>
      </w:r>
      <w:r w:rsidRPr="00275456">
        <w:rPr>
          <w:sz w:val="22"/>
          <w:szCs w:val="22"/>
          <w:lang w:val="sr-Latn-ME"/>
        </w:rPr>
        <w:t>penu</w:t>
      </w:r>
      <w:r w:rsidRPr="00275456" w:rsidDel="007247EF">
        <w:rPr>
          <w:sz w:val="22"/>
          <w:szCs w:val="22"/>
          <w:lang w:val="sr-Latn-ME"/>
        </w:rPr>
        <w:t xml:space="preserve"> </w:t>
      </w:r>
      <w:r w:rsidRPr="00275456">
        <w:rPr>
          <w:sz w:val="22"/>
          <w:szCs w:val="22"/>
          <w:lang w:val="sr-Latn-ME"/>
        </w:rPr>
        <w:t>za jednokratnu upotrebu koji se zove SmartJect ili u napunjenom injekcionom špricu</w:t>
      </w:r>
      <w:r w:rsidRPr="00275456" w:rsidDel="007247EF">
        <w:rPr>
          <w:sz w:val="22"/>
          <w:szCs w:val="22"/>
          <w:lang w:val="sr-Latn-ME"/>
        </w:rPr>
        <w:t xml:space="preserve"> </w:t>
      </w:r>
      <w:r w:rsidRPr="00275456">
        <w:rPr>
          <w:sz w:val="22"/>
          <w:szCs w:val="22"/>
          <w:lang w:val="sr-Latn-ME"/>
        </w:rPr>
        <w:t xml:space="preserve">za jednokratnu upotrebu. U svakom pakovanju lijeka </w:t>
      </w:r>
      <w:r w:rsidRPr="00275456">
        <w:rPr>
          <w:sz w:val="22"/>
          <w:szCs w:val="22"/>
          <w:lang w:val="sr-Latn-ME"/>
        </w:rPr>
        <w:lastRenderedPageBreak/>
        <w:t xml:space="preserve">Simponi nalazi se uputstvo za upotrebu u kome je detaljno opisana upotreba pena ili šprica. Nakon što se </w:t>
      </w:r>
      <w:r w:rsidR="00552BB9" w:rsidRPr="00275456">
        <w:rPr>
          <w:sz w:val="22"/>
          <w:szCs w:val="22"/>
          <w:lang w:val="sr-Latn-ME"/>
        </w:rPr>
        <w:t xml:space="preserve">napunjeni injekcioni </w:t>
      </w:r>
      <w:r w:rsidRPr="00275456">
        <w:rPr>
          <w:sz w:val="22"/>
          <w:szCs w:val="22"/>
          <w:lang w:val="sr-Latn-ME"/>
        </w:rPr>
        <w:t>pen ili napunjeni injekcioni špric izvadi iz frižidera, treba sačekati 30 minuta prije iniciranja da lijek dostigne sobnu temperaturu. Pen ili špric se ne smije tresti.</w:t>
      </w:r>
    </w:p>
    <w:p w14:paraId="50375793" w14:textId="77777777" w:rsidR="00785722" w:rsidRPr="00275456" w:rsidRDefault="00785722" w:rsidP="005C6DFE">
      <w:pPr>
        <w:tabs>
          <w:tab w:val="left" w:pos="284"/>
          <w:tab w:val="left" w:pos="567"/>
        </w:tabs>
        <w:autoSpaceDE w:val="0"/>
        <w:autoSpaceDN w:val="0"/>
        <w:adjustRightInd w:val="0"/>
        <w:spacing w:line="260" w:lineRule="exact"/>
        <w:ind w:right="-2"/>
        <w:jc w:val="both"/>
        <w:rPr>
          <w:sz w:val="22"/>
          <w:szCs w:val="22"/>
          <w:lang w:val="sr-Latn-ME"/>
        </w:rPr>
      </w:pPr>
    </w:p>
    <w:p w14:paraId="76276FE0" w14:textId="77777777" w:rsidR="00785722" w:rsidRPr="00275456" w:rsidRDefault="00785722" w:rsidP="005C6DFE">
      <w:pPr>
        <w:tabs>
          <w:tab w:val="left" w:pos="284"/>
          <w:tab w:val="left" w:pos="567"/>
        </w:tabs>
        <w:autoSpaceDE w:val="0"/>
        <w:autoSpaceDN w:val="0"/>
        <w:adjustRightInd w:val="0"/>
        <w:spacing w:line="260" w:lineRule="exact"/>
        <w:ind w:right="-2"/>
        <w:jc w:val="both"/>
        <w:rPr>
          <w:sz w:val="22"/>
          <w:szCs w:val="22"/>
          <w:lang w:val="sr-Latn-ME"/>
        </w:rPr>
      </w:pPr>
      <w:r w:rsidRPr="00275456">
        <w:rPr>
          <w:sz w:val="22"/>
          <w:szCs w:val="22"/>
          <w:lang w:val="sr-Latn-ME"/>
        </w:rPr>
        <w:t>Rastvor je bistar do blago opalescentan, bezbojan do žućkast i može sadržati nekoliko malih prozirnih ili bijelih čestica proteina. Ovaj izgled nije neuobičajen kod rastvora koji sadrže proteine. Lijek Simponi se ne smije primijeniti ako je rastvor promijenio boju, ako je zamućen ili sadrži vidljive strane čestice.</w:t>
      </w:r>
    </w:p>
    <w:p w14:paraId="61FBDD88" w14:textId="77777777" w:rsidR="00785722" w:rsidRPr="00275456" w:rsidRDefault="00785722" w:rsidP="005C6DFE">
      <w:pPr>
        <w:tabs>
          <w:tab w:val="left" w:pos="284"/>
        </w:tabs>
        <w:autoSpaceDE w:val="0"/>
        <w:autoSpaceDN w:val="0"/>
        <w:adjustRightInd w:val="0"/>
        <w:jc w:val="both"/>
        <w:rPr>
          <w:sz w:val="22"/>
          <w:szCs w:val="22"/>
          <w:lang w:val="sr-Latn-ME"/>
        </w:rPr>
      </w:pPr>
    </w:p>
    <w:p w14:paraId="166E9FAC" w14:textId="11C1A0A7" w:rsidR="00785722" w:rsidRPr="00275456" w:rsidRDefault="00785722" w:rsidP="005C6DFE">
      <w:pPr>
        <w:tabs>
          <w:tab w:val="left" w:pos="284"/>
        </w:tabs>
        <w:autoSpaceDE w:val="0"/>
        <w:autoSpaceDN w:val="0"/>
        <w:adjustRightInd w:val="0"/>
        <w:jc w:val="both"/>
        <w:rPr>
          <w:sz w:val="22"/>
          <w:szCs w:val="22"/>
          <w:lang w:val="sr-Latn-ME"/>
        </w:rPr>
      </w:pPr>
      <w:r w:rsidRPr="00275456">
        <w:rPr>
          <w:sz w:val="22"/>
          <w:szCs w:val="22"/>
          <w:lang w:val="sr-Latn-ME"/>
        </w:rPr>
        <w:t xml:space="preserve">U uputstvu za pacijenta navedena su detaljna uputstva za pripremu i primjenu lijeka Simponi u </w:t>
      </w:r>
      <w:r w:rsidR="00552BB9" w:rsidRPr="00275456">
        <w:rPr>
          <w:sz w:val="22"/>
          <w:szCs w:val="22"/>
          <w:lang w:val="sr-Latn-ME"/>
        </w:rPr>
        <w:t xml:space="preserve">napunjenom injekcionom </w:t>
      </w:r>
      <w:r w:rsidRPr="00275456">
        <w:rPr>
          <w:sz w:val="22"/>
          <w:szCs w:val="22"/>
          <w:lang w:val="sr-Latn-ME"/>
        </w:rPr>
        <w:t>penu ili napunjen</w:t>
      </w:r>
      <w:r w:rsidR="00950194">
        <w:rPr>
          <w:sz w:val="22"/>
          <w:szCs w:val="22"/>
          <w:lang w:val="sr-Latn-ME"/>
        </w:rPr>
        <w:t>o</w:t>
      </w:r>
      <w:r w:rsidRPr="00275456">
        <w:rPr>
          <w:sz w:val="22"/>
          <w:szCs w:val="22"/>
          <w:lang w:val="sr-Latn-ME"/>
        </w:rPr>
        <w:t xml:space="preserve">m injekcionom špricu. </w:t>
      </w:r>
    </w:p>
    <w:p w14:paraId="2CF0473A" w14:textId="77777777" w:rsidR="00785722" w:rsidRPr="00275456" w:rsidRDefault="00785722" w:rsidP="005C6DFE">
      <w:pPr>
        <w:tabs>
          <w:tab w:val="left" w:pos="284"/>
        </w:tabs>
        <w:jc w:val="both"/>
        <w:rPr>
          <w:sz w:val="22"/>
          <w:szCs w:val="22"/>
          <w:lang w:val="sr-Latn-ME"/>
        </w:rPr>
      </w:pPr>
    </w:p>
    <w:p w14:paraId="18E94953" w14:textId="77777777" w:rsidR="00785722" w:rsidRPr="00275456" w:rsidRDefault="00785722" w:rsidP="005C6DFE">
      <w:pPr>
        <w:widowControl w:val="0"/>
        <w:tabs>
          <w:tab w:val="left" w:pos="284"/>
        </w:tabs>
        <w:autoSpaceDE w:val="0"/>
        <w:autoSpaceDN w:val="0"/>
        <w:jc w:val="both"/>
        <w:rPr>
          <w:sz w:val="22"/>
          <w:szCs w:val="22"/>
          <w:lang w:val="sr-Latn-ME"/>
        </w:rPr>
      </w:pPr>
      <w:r w:rsidRPr="00275456">
        <w:rPr>
          <w:sz w:val="22"/>
          <w:szCs w:val="22"/>
          <w:lang w:val="sr-Latn-ME"/>
        </w:rPr>
        <w:t>Neupotrijebljeni lijek ili otpadni materijal se uništava u skladu sa važećim propisima.</w:t>
      </w:r>
    </w:p>
    <w:p w14:paraId="623957E3" w14:textId="144ED537" w:rsidR="0072020E" w:rsidRPr="00275456" w:rsidRDefault="0072020E" w:rsidP="005C6DFE">
      <w:pPr>
        <w:tabs>
          <w:tab w:val="left" w:pos="540"/>
          <w:tab w:val="left" w:pos="569"/>
        </w:tabs>
        <w:jc w:val="both"/>
        <w:rPr>
          <w:bCs/>
          <w:sz w:val="22"/>
          <w:szCs w:val="22"/>
          <w:lang w:val="sr-Latn-ME"/>
        </w:rPr>
      </w:pPr>
    </w:p>
    <w:p w14:paraId="2F5650CF" w14:textId="77777777" w:rsidR="00552BB9" w:rsidRPr="00275456" w:rsidRDefault="00552BB9" w:rsidP="005C6DFE">
      <w:pPr>
        <w:tabs>
          <w:tab w:val="left" w:pos="540"/>
          <w:tab w:val="left" w:pos="569"/>
        </w:tabs>
        <w:jc w:val="both"/>
        <w:rPr>
          <w:bCs/>
          <w:sz w:val="22"/>
          <w:szCs w:val="22"/>
          <w:lang w:val="sr-Latn-ME"/>
        </w:rPr>
      </w:pPr>
    </w:p>
    <w:p w14:paraId="4CED963A" w14:textId="77777777" w:rsidR="00F8570A"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7. </w:t>
      </w:r>
      <w:r w:rsidR="00480FB1" w:rsidRPr="00275456">
        <w:rPr>
          <w:b/>
          <w:bCs/>
          <w:sz w:val="22"/>
          <w:szCs w:val="22"/>
          <w:lang w:val="sr-Latn-ME"/>
        </w:rPr>
        <w:tab/>
      </w:r>
      <w:r w:rsidRPr="00275456">
        <w:rPr>
          <w:b/>
          <w:bCs/>
          <w:sz w:val="22"/>
          <w:szCs w:val="22"/>
          <w:lang w:val="sr-Latn-ME"/>
        </w:rPr>
        <w:t>NOSILAC DOZVOLE</w:t>
      </w:r>
      <w:r w:rsidR="00483928" w:rsidRPr="00275456">
        <w:rPr>
          <w:b/>
          <w:bCs/>
          <w:sz w:val="22"/>
          <w:szCs w:val="22"/>
          <w:lang w:val="sr-Latn-ME"/>
        </w:rPr>
        <w:t xml:space="preserve"> </w:t>
      </w:r>
    </w:p>
    <w:p w14:paraId="3474ED9D" w14:textId="77777777" w:rsidR="00552BB9" w:rsidRPr="00275456" w:rsidRDefault="00552BB9" w:rsidP="005C6DFE">
      <w:pPr>
        <w:tabs>
          <w:tab w:val="left" w:pos="284"/>
        </w:tabs>
        <w:jc w:val="both"/>
        <w:rPr>
          <w:bCs/>
          <w:sz w:val="22"/>
          <w:szCs w:val="22"/>
          <w:lang w:val="sr-Latn-ME"/>
        </w:rPr>
      </w:pPr>
    </w:p>
    <w:p w14:paraId="5C350AE9" w14:textId="3DAB66D1" w:rsidR="00C37FD7" w:rsidRPr="00275456" w:rsidRDefault="002E6BEB" w:rsidP="005C6DFE">
      <w:pPr>
        <w:tabs>
          <w:tab w:val="left" w:pos="540"/>
          <w:tab w:val="left" w:pos="569"/>
        </w:tabs>
        <w:jc w:val="both"/>
        <w:rPr>
          <w:bCs/>
          <w:sz w:val="22"/>
          <w:szCs w:val="22"/>
          <w:lang w:val="sr-Latn-ME"/>
        </w:rPr>
      </w:pPr>
      <w:r w:rsidRPr="002E6BEB">
        <w:rPr>
          <w:bCs/>
          <w:sz w:val="22"/>
          <w:szCs w:val="22"/>
          <w:lang w:val="sr-Latn-ME"/>
        </w:rPr>
        <w:t>Glosarij d.o.o., Vojislavljevića 76, 81 000 Podgorica, Crna Gora</w:t>
      </w:r>
    </w:p>
    <w:p w14:paraId="7C58CC15" w14:textId="40F83CA9" w:rsidR="00552BB9" w:rsidRDefault="00552BB9" w:rsidP="005C6DFE">
      <w:pPr>
        <w:tabs>
          <w:tab w:val="left" w:pos="540"/>
          <w:tab w:val="left" w:pos="569"/>
        </w:tabs>
        <w:jc w:val="both"/>
        <w:rPr>
          <w:bCs/>
          <w:sz w:val="22"/>
          <w:szCs w:val="22"/>
          <w:lang w:val="sr-Latn-ME"/>
        </w:rPr>
      </w:pPr>
    </w:p>
    <w:p w14:paraId="0E3BFC9C" w14:textId="77777777" w:rsidR="002E6BEB" w:rsidRPr="00275456" w:rsidRDefault="002E6BEB" w:rsidP="005C6DFE">
      <w:pPr>
        <w:tabs>
          <w:tab w:val="left" w:pos="540"/>
          <w:tab w:val="left" w:pos="569"/>
        </w:tabs>
        <w:jc w:val="both"/>
        <w:rPr>
          <w:bCs/>
          <w:sz w:val="22"/>
          <w:szCs w:val="22"/>
          <w:lang w:val="sr-Latn-ME"/>
        </w:rPr>
      </w:pPr>
    </w:p>
    <w:p w14:paraId="79F07863" w14:textId="77777777"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8. </w:t>
      </w:r>
      <w:r w:rsidR="00480FB1" w:rsidRPr="00275456">
        <w:rPr>
          <w:b/>
          <w:bCs/>
          <w:sz w:val="22"/>
          <w:szCs w:val="22"/>
          <w:lang w:val="sr-Latn-ME"/>
        </w:rPr>
        <w:tab/>
      </w:r>
      <w:r w:rsidRPr="00275456">
        <w:rPr>
          <w:b/>
          <w:bCs/>
          <w:sz w:val="22"/>
          <w:szCs w:val="22"/>
          <w:lang w:val="sr-Latn-ME"/>
        </w:rPr>
        <w:t>BROJ DOZVOLE</w:t>
      </w:r>
      <w:r w:rsidR="008A6D43" w:rsidRPr="00275456">
        <w:rPr>
          <w:b/>
          <w:bCs/>
          <w:sz w:val="22"/>
          <w:szCs w:val="22"/>
          <w:lang w:val="sr-Latn-ME"/>
        </w:rPr>
        <w:t xml:space="preserve"> ZA STAVLJANJE LIJEKA U PROMET</w:t>
      </w:r>
    </w:p>
    <w:p w14:paraId="194775D0" w14:textId="77777777" w:rsidR="0072020E" w:rsidRPr="00275456" w:rsidRDefault="0072020E" w:rsidP="005C6DFE">
      <w:pPr>
        <w:tabs>
          <w:tab w:val="left" w:pos="540"/>
          <w:tab w:val="left" w:pos="569"/>
        </w:tabs>
        <w:jc w:val="both"/>
        <w:rPr>
          <w:bCs/>
          <w:sz w:val="22"/>
          <w:szCs w:val="22"/>
          <w:lang w:val="sr-Latn-ME"/>
        </w:rPr>
      </w:pPr>
    </w:p>
    <w:p w14:paraId="7322FCE8" w14:textId="53A6F7BD" w:rsidR="00785722"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Simponi, rastvor za injekciju u </w:t>
      </w:r>
      <w:r w:rsidR="00552BB9" w:rsidRPr="00275456">
        <w:rPr>
          <w:bCs/>
          <w:sz w:val="22"/>
          <w:szCs w:val="22"/>
          <w:lang w:val="sr-Latn-ME"/>
        </w:rPr>
        <w:t xml:space="preserve">napunjenom injekcionom </w:t>
      </w:r>
      <w:r w:rsidRPr="00275456">
        <w:rPr>
          <w:bCs/>
          <w:sz w:val="22"/>
          <w:szCs w:val="22"/>
          <w:lang w:val="sr-Latn-ME"/>
        </w:rPr>
        <w:t xml:space="preserve">penu, 50 mg, </w:t>
      </w:r>
      <w:r w:rsidR="00552BB9" w:rsidRPr="00275456">
        <w:rPr>
          <w:bCs/>
          <w:sz w:val="22"/>
          <w:szCs w:val="22"/>
          <w:lang w:val="sr-Latn-ME"/>
        </w:rPr>
        <w:t xml:space="preserve">napunjeni injekcioni </w:t>
      </w:r>
      <w:r w:rsidRPr="00275456">
        <w:rPr>
          <w:bCs/>
          <w:sz w:val="22"/>
          <w:szCs w:val="22"/>
          <w:lang w:val="sr-Latn-ME"/>
        </w:rPr>
        <w:t xml:space="preserve">pen, 1x0,5 </w:t>
      </w:r>
      <w:r w:rsidR="00F81F67">
        <w:rPr>
          <w:bCs/>
          <w:sz w:val="22"/>
          <w:szCs w:val="22"/>
          <w:lang w:val="sr-Latn-ME"/>
        </w:rPr>
        <w:t>ml</w:t>
      </w:r>
      <w:r w:rsidRPr="00275456">
        <w:rPr>
          <w:bCs/>
          <w:sz w:val="22"/>
          <w:szCs w:val="22"/>
          <w:lang w:val="sr-Latn-ME"/>
        </w:rPr>
        <w:t xml:space="preserve">: </w:t>
      </w:r>
      <w:r w:rsidR="002423E5">
        <w:rPr>
          <w:rFonts w:ascii="TimesNewRoman" w:hAnsi="TimesNewRoman" w:cs="TimesNewRoman"/>
          <w:sz w:val="22"/>
          <w:szCs w:val="22"/>
          <w:lang w:eastAsia="sr-Latn-ME"/>
        </w:rPr>
        <w:t>2030/24/5380 - 5484</w:t>
      </w:r>
    </w:p>
    <w:p w14:paraId="657F6C2D" w14:textId="599EE729" w:rsidR="00F45F77" w:rsidRPr="00275456" w:rsidRDefault="00785722" w:rsidP="005C6DFE">
      <w:pPr>
        <w:tabs>
          <w:tab w:val="left" w:pos="540"/>
          <w:tab w:val="left" w:pos="569"/>
        </w:tabs>
        <w:jc w:val="both"/>
        <w:rPr>
          <w:bCs/>
          <w:sz w:val="22"/>
          <w:szCs w:val="22"/>
          <w:lang w:val="sr-Latn-ME"/>
        </w:rPr>
      </w:pPr>
      <w:r w:rsidRPr="00275456">
        <w:rPr>
          <w:bCs/>
          <w:sz w:val="22"/>
          <w:szCs w:val="22"/>
          <w:lang w:val="sr-Latn-ME"/>
        </w:rPr>
        <w:t xml:space="preserve">Simponi, rastvor za injekciju u napunjenom injekcionom špricu, 50 mg, napunjen injekcioni špric, 1x0,5 </w:t>
      </w:r>
      <w:r w:rsidR="00F81F67">
        <w:rPr>
          <w:bCs/>
          <w:sz w:val="22"/>
          <w:szCs w:val="22"/>
          <w:lang w:val="sr-Latn-ME"/>
        </w:rPr>
        <w:t>ml</w:t>
      </w:r>
      <w:r w:rsidRPr="00275456">
        <w:rPr>
          <w:bCs/>
          <w:sz w:val="22"/>
          <w:szCs w:val="22"/>
          <w:lang w:val="sr-Latn-ME"/>
        </w:rPr>
        <w:t xml:space="preserve">: </w:t>
      </w:r>
      <w:r w:rsidR="002423E5">
        <w:rPr>
          <w:rFonts w:ascii="TimesNewRoman" w:hAnsi="TimesNewRoman" w:cs="TimesNewRoman"/>
          <w:sz w:val="22"/>
          <w:szCs w:val="22"/>
          <w:lang w:eastAsia="sr-Latn-ME"/>
        </w:rPr>
        <w:t>2030/24/5379 - 5482</w:t>
      </w:r>
    </w:p>
    <w:p w14:paraId="4484BE6A" w14:textId="62FCF39B" w:rsidR="00785722" w:rsidRDefault="00785722" w:rsidP="005C6DFE">
      <w:pPr>
        <w:tabs>
          <w:tab w:val="left" w:pos="540"/>
          <w:tab w:val="left" w:pos="569"/>
        </w:tabs>
        <w:jc w:val="both"/>
        <w:rPr>
          <w:bCs/>
          <w:sz w:val="22"/>
          <w:szCs w:val="22"/>
          <w:lang w:val="sr-Latn-ME"/>
        </w:rPr>
      </w:pPr>
    </w:p>
    <w:p w14:paraId="1D1A7347" w14:textId="77777777" w:rsidR="002E6BEB" w:rsidRPr="00275456" w:rsidRDefault="002E6BEB" w:rsidP="005C6DFE">
      <w:pPr>
        <w:tabs>
          <w:tab w:val="left" w:pos="540"/>
          <w:tab w:val="left" w:pos="569"/>
        </w:tabs>
        <w:jc w:val="both"/>
        <w:rPr>
          <w:bCs/>
          <w:sz w:val="22"/>
          <w:szCs w:val="22"/>
          <w:lang w:val="sr-Latn-ME"/>
        </w:rPr>
      </w:pPr>
    </w:p>
    <w:p w14:paraId="6465DC5A" w14:textId="77777777" w:rsidR="0072020E" w:rsidRPr="00275456" w:rsidRDefault="0072020E" w:rsidP="005C6DFE">
      <w:pPr>
        <w:tabs>
          <w:tab w:val="left" w:pos="540"/>
          <w:tab w:val="left" w:pos="569"/>
        </w:tabs>
        <w:jc w:val="both"/>
        <w:rPr>
          <w:b/>
          <w:bCs/>
          <w:sz w:val="22"/>
          <w:szCs w:val="22"/>
          <w:lang w:val="sr-Latn-ME"/>
        </w:rPr>
      </w:pPr>
      <w:r w:rsidRPr="00275456">
        <w:rPr>
          <w:b/>
          <w:bCs/>
          <w:sz w:val="22"/>
          <w:szCs w:val="22"/>
          <w:lang w:val="sr-Latn-ME"/>
        </w:rPr>
        <w:t xml:space="preserve">9. </w:t>
      </w:r>
      <w:r w:rsidR="00480FB1" w:rsidRPr="00275456">
        <w:rPr>
          <w:b/>
          <w:bCs/>
          <w:sz w:val="22"/>
          <w:szCs w:val="22"/>
          <w:lang w:val="sr-Latn-ME"/>
        </w:rPr>
        <w:tab/>
      </w:r>
      <w:r w:rsidRPr="00275456">
        <w:rPr>
          <w:b/>
          <w:bCs/>
          <w:sz w:val="22"/>
          <w:szCs w:val="22"/>
          <w:lang w:val="sr-Latn-ME"/>
        </w:rPr>
        <w:t xml:space="preserve">DATUM </w:t>
      </w:r>
      <w:r w:rsidR="00C05DF8" w:rsidRPr="00275456">
        <w:rPr>
          <w:b/>
          <w:bCs/>
          <w:sz w:val="22"/>
          <w:szCs w:val="22"/>
          <w:lang w:val="sr-Latn-ME"/>
        </w:rPr>
        <w:t xml:space="preserve">PRVE </w:t>
      </w:r>
      <w:r w:rsidR="008A6D43" w:rsidRPr="00275456">
        <w:rPr>
          <w:b/>
          <w:bCs/>
          <w:sz w:val="22"/>
          <w:szCs w:val="22"/>
          <w:lang w:val="sr-Latn-ME"/>
        </w:rPr>
        <w:t>DOZVOLE</w:t>
      </w:r>
      <w:r w:rsidR="00C05DF8" w:rsidRPr="00275456">
        <w:rPr>
          <w:b/>
          <w:bCs/>
          <w:sz w:val="22"/>
          <w:szCs w:val="22"/>
          <w:lang w:val="sr-Latn-ME"/>
        </w:rPr>
        <w:t>/OBNOVE DOZVOLE</w:t>
      </w:r>
      <w:r w:rsidR="008A6D43" w:rsidRPr="00275456">
        <w:rPr>
          <w:b/>
          <w:bCs/>
          <w:sz w:val="22"/>
          <w:szCs w:val="22"/>
          <w:lang w:val="sr-Latn-ME"/>
        </w:rPr>
        <w:t xml:space="preserve"> ZA STAVLJANJE LIJEKA U PROMET</w:t>
      </w:r>
    </w:p>
    <w:p w14:paraId="32C35904" w14:textId="77777777" w:rsidR="0072020E" w:rsidRPr="00275456" w:rsidRDefault="0072020E" w:rsidP="005C6DFE">
      <w:pPr>
        <w:tabs>
          <w:tab w:val="left" w:pos="540"/>
          <w:tab w:val="left" w:pos="569"/>
        </w:tabs>
        <w:jc w:val="both"/>
        <w:rPr>
          <w:bCs/>
          <w:sz w:val="22"/>
          <w:szCs w:val="22"/>
          <w:lang w:val="sr-Latn-ME"/>
        </w:rPr>
      </w:pPr>
    </w:p>
    <w:p w14:paraId="4DDA5AED" w14:textId="0977D03A" w:rsidR="00785722" w:rsidRDefault="002E6BEB" w:rsidP="005C6DFE">
      <w:pPr>
        <w:tabs>
          <w:tab w:val="left" w:pos="540"/>
          <w:tab w:val="left" w:pos="569"/>
        </w:tabs>
        <w:jc w:val="both"/>
        <w:rPr>
          <w:bCs/>
          <w:sz w:val="22"/>
          <w:szCs w:val="22"/>
          <w:lang w:val="sr-Latn-ME"/>
        </w:rPr>
      </w:pPr>
      <w:r w:rsidRPr="002E6BEB">
        <w:rPr>
          <w:bCs/>
          <w:sz w:val="22"/>
          <w:szCs w:val="22"/>
          <w:lang w:val="sr-Latn-ME"/>
        </w:rPr>
        <w:t xml:space="preserve">Datum prve dozvole: </w:t>
      </w:r>
      <w:r w:rsidR="00785722" w:rsidRPr="00275456">
        <w:rPr>
          <w:bCs/>
          <w:sz w:val="22"/>
          <w:szCs w:val="22"/>
          <w:lang w:val="sr-Latn-ME"/>
        </w:rPr>
        <w:t>25.02.2013. godine</w:t>
      </w:r>
    </w:p>
    <w:p w14:paraId="74B0BEBC" w14:textId="0EB66569" w:rsidR="002E6BEB" w:rsidRPr="002E6BEB" w:rsidRDefault="002E6BEB" w:rsidP="005C6DFE">
      <w:pPr>
        <w:tabs>
          <w:tab w:val="left" w:pos="540"/>
          <w:tab w:val="left" w:pos="569"/>
        </w:tabs>
        <w:jc w:val="both"/>
        <w:rPr>
          <w:bCs/>
          <w:sz w:val="22"/>
          <w:szCs w:val="22"/>
          <w:lang w:val="sr-Latn-ME"/>
        </w:rPr>
      </w:pPr>
      <w:r w:rsidRPr="002E6BEB">
        <w:rPr>
          <w:bCs/>
          <w:sz w:val="22"/>
          <w:szCs w:val="22"/>
          <w:lang w:val="sr-Latn-ME"/>
        </w:rPr>
        <w:t xml:space="preserve">Datum posljednje obnove dozvole: </w:t>
      </w:r>
      <w:r w:rsidR="006B1B2C">
        <w:rPr>
          <w:bCs/>
          <w:sz w:val="22"/>
          <w:szCs w:val="22"/>
          <w:lang w:val="sr-Latn-ME"/>
        </w:rPr>
        <w:t>07.11</w:t>
      </w:r>
      <w:r w:rsidR="002423E5" w:rsidRPr="002423E5">
        <w:rPr>
          <w:bCs/>
          <w:sz w:val="22"/>
          <w:szCs w:val="22"/>
          <w:lang w:val="sr-Latn-ME"/>
        </w:rPr>
        <w:t>.2024. godine</w:t>
      </w:r>
    </w:p>
    <w:p w14:paraId="0B3AACA6" w14:textId="0B311803" w:rsidR="00836B35" w:rsidRPr="00275456" w:rsidRDefault="00836B35" w:rsidP="005C6DFE">
      <w:pPr>
        <w:tabs>
          <w:tab w:val="left" w:pos="540"/>
          <w:tab w:val="left" w:pos="569"/>
        </w:tabs>
        <w:jc w:val="both"/>
        <w:rPr>
          <w:bCs/>
          <w:sz w:val="22"/>
          <w:szCs w:val="22"/>
          <w:lang w:val="sr-Latn-ME"/>
        </w:rPr>
      </w:pPr>
    </w:p>
    <w:p w14:paraId="7572D1C0" w14:textId="77777777" w:rsidR="00552BB9" w:rsidRPr="00275456" w:rsidRDefault="00552BB9" w:rsidP="005C6DFE">
      <w:pPr>
        <w:tabs>
          <w:tab w:val="left" w:pos="540"/>
          <w:tab w:val="left" w:pos="569"/>
        </w:tabs>
        <w:jc w:val="both"/>
        <w:rPr>
          <w:bCs/>
          <w:sz w:val="22"/>
          <w:szCs w:val="22"/>
          <w:lang w:val="sr-Latn-ME"/>
        </w:rPr>
      </w:pPr>
    </w:p>
    <w:p w14:paraId="64FE06A3" w14:textId="7FB1EF9D" w:rsidR="003F6A59" w:rsidRDefault="0072020E" w:rsidP="005C6DFE">
      <w:pPr>
        <w:tabs>
          <w:tab w:val="left" w:pos="540"/>
          <w:tab w:val="left" w:pos="569"/>
        </w:tabs>
        <w:ind w:left="540" w:hanging="540"/>
        <w:jc w:val="both"/>
        <w:rPr>
          <w:b/>
          <w:bCs/>
          <w:sz w:val="22"/>
          <w:szCs w:val="22"/>
          <w:lang w:val="sr-Latn-ME"/>
        </w:rPr>
      </w:pPr>
      <w:r w:rsidRPr="00275456">
        <w:rPr>
          <w:b/>
          <w:bCs/>
          <w:sz w:val="22"/>
          <w:szCs w:val="22"/>
          <w:lang w:val="sr-Latn-ME"/>
        </w:rPr>
        <w:t xml:space="preserve">10. </w:t>
      </w:r>
      <w:r w:rsidR="00480FB1" w:rsidRPr="00275456">
        <w:rPr>
          <w:b/>
          <w:bCs/>
          <w:sz w:val="22"/>
          <w:szCs w:val="22"/>
          <w:lang w:val="sr-Latn-ME"/>
        </w:rPr>
        <w:tab/>
      </w:r>
      <w:r w:rsidR="002846DB" w:rsidRPr="00275456">
        <w:rPr>
          <w:b/>
          <w:bCs/>
          <w:sz w:val="22"/>
          <w:szCs w:val="22"/>
          <w:lang w:val="sr-Latn-ME"/>
        </w:rPr>
        <w:t>D</w:t>
      </w:r>
      <w:r w:rsidR="00EC2532" w:rsidRPr="00275456">
        <w:rPr>
          <w:b/>
          <w:bCs/>
          <w:sz w:val="22"/>
          <w:szCs w:val="22"/>
          <w:lang w:val="sr-Latn-ME"/>
        </w:rPr>
        <w:t xml:space="preserve">ATUM REVIZIJE TEKSTA </w:t>
      </w:r>
    </w:p>
    <w:p w14:paraId="68424897" w14:textId="6EF37566" w:rsidR="002423E5" w:rsidRDefault="002423E5" w:rsidP="005C6DFE">
      <w:pPr>
        <w:tabs>
          <w:tab w:val="left" w:pos="540"/>
          <w:tab w:val="left" w:pos="569"/>
        </w:tabs>
        <w:ind w:left="540" w:hanging="540"/>
        <w:jc w:val="both"/>
        <w:rPr>
          <w:b/>
          <w:bCs/>
          <w:sz w:val="22"/>
          <w:szCs w:val="22"/>
          <w:lang w:val="sr-Latn-ME"/>
        </w:rPr>
      </w:pPr>
    </w:p>
    <w:p w14:paraId="0CEBBA27" w14:textId="57C4D2B3" w:rsidR="002423E5" w:rsidRPr="002423E5" w:rsidRDefault="006B1B2C" w:rsidP="005C6DFE">
      <w:pPr>
        <w:tabs>
          <w:tab w:val="left" w:pos="540"/>
          <w:tab w:val="left" w:pos="569"/>
        </w:tabs>
        <w:ind w:left="540" w:hanging="540"/>
        <w:jc w:val="both"/>
        <w:rPr>
          <w:bCs/>
          <w:sz w:val="22"/>
          <w:szCs w:val="22"/>
          <w:lang w:val="sr-Latn-ME"/>
        </w:rPr>
      </w:pPr>
      <w:r>
        <w:rPr>
          <w:bCs/>
          <w:sz w:val="22"/>
          <w:szCs w:val="22"/>
          <w:lang w:val="sr-Latn-ME"/>
        </w:rPr>
        <w:t>Novembar</w:t>
      </w:r>
      <w:bookmarkStart w:id="15" w:name="_GoBack"/>
      <w:bookmarkEnd w:id="15"/>
      <w:r w:rsidR="002423E5" w:rsidRPr="002423E5">
        <w:rPr>
          <w:bCs/>
          <w:sz w:val="22"/>
          <w:szCs w:val="22"/>
          <w:lang w:val="sr-Latn-ME"/>
        </w:rPr>
        <w:t>, 2024. godine</w:t>
      </w:r>
    </w:p>
    <w:p w14:paraId="00518D1C" w14:textId="77777777" w:rsidR="003F6A59" w:rsidRPr="00275456" w:rsidRDefault="003F6A59" w:rsidP="005C6DFE">
      <w:pPr>
        <w:tabs>
          <w:tab w:val="left" w:pos="540"/>
          <w:tab w:val="left" w:pos="569"/>
        </w:tabs>
        <w:jc w:val="both"/>
        <w:rPr>
          <w:bCs/>
          <w:sz w:val="22"/>
          <w:szCs w:val="22"/>
          <w:lang w:val="sr-Latn-ME"/>
        </w:rPr>
      </w:pPr>
    </w:p>
    <w:p w14:paraId="075BEF43" w14:textId="33F91137" w:rsidR="003F6A59" w:rsidRPr="00275456" w:rsidRDefault="003F6A59" w:rsidP="005C6DFE">
      <w:pPr>
        <w:jc w:val="both"/>
        <w:rPr>
          <w:sz w:val="22"/>
          <w:szCs w:val="22"/>
          <w:lang w:val="sr-Latn-ME"/>
        </w:rPr>
      </w:pPr>
    </w:p>
    <w:sectPr w:rsidR="003F6A59" w:rsidRPr="00275456"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55229" w14:textId="77777777" w:rsidR="00884212" w:rsidRDefault="00884212">
      <w:r>
        <w:separator/>
      </w:r>
    </w:p>
  </w:endnote>
  <w:endnote w:type="continuationSeparator" w:id="0">
    <w:p w14:paraId="4885F3DD" w14:textId="77777777" w:rsidR="00884212" w:rsidRDefault="0088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50FB2" w14:textId="460A005D" w:rsidR="00275456" w:rsidRPr="00B23F69" w:rsidRDefault="0027545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B1B2C">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B1B2C">
      <w:rPr>
        <w:noProof/>
        <w:sz w:val="22"/>
        <w:szCs w:val="22"/>
      </w:rPr>
      <w:t>32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EAA4A" w14:textId="77777777" w:rsidR="00884212" w:rsidRDefault="00884212">
      <w:r>
        <w:separator/>
      </w:r>
    </w:p>
  </w:footnote>
  <w:footnote w:type="continuationSeparator" w:id="0">
    <w:p w14:paraId="4D2F994B" w14:textId="77777777" w:rsidR="00884212" w:rsidRDefault="00884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3.1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83629"/>
    <w:multiLevelType w:val="hybridMultilevel"/>
    <w:tmpl w:val="1B561530"/>
    <w:lvl w:ilvl="0" w:tplc="80B87A1E">
      <w:start w:val="1"/>
      <w:numFmt w:val="bullet"/>
      <w:pStyle w:val="BulletList-DS-2double-spaced"/>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C65"/>
    <w:rsid w:val="000176CA"/>
    <w:rsid w:val="000213C4"/>
    <w:rsid w:val="00036FA0"/>
    <w:rsid w:val="0003793F"/>
    <w:rsid w:val="00057E35"/>
    <w:rsid w:val="00076726"/>
    <w:rsid w:val="00080303"/>
    <w:rsid w:val="00091427"/>
    <w:rsid w:val="000A3F58"/>
    <w:rsid w:val="000D2343"/>
    <w:rsid w:val="000D3449"/>
    <w:rsid w:val="000D425A"/>
    <w:rsid w:val="000D60CC"/>
    <w:rsid w:val="000E2084"/>
    <w:rsid w:val="000E6F55"/>
    <w:rsid w:val="000F1150"/>
    <w:rsid w:val="000F536E"/>
    <w:rsid w:val="000F77FA"/>
    <w:rsid w:val="00107BF7"/>
    <w:rsid w:val="00114A56"/>
    <w:rsid w:val="00126F53"/>
    <w:rsid w:val="0014766D"/>
    <w:rsid w:val="0014796E"/>
    <w:rsid w:val="001536CC"/>
    <w:rsid w:val="001A12CD"/>
    <w:rsid w:val="001A3FBA"/>
    <w:rsid w:val="001A5518"/>
    <w:rsid w:val="001B1C6A"/>
    <w:rsid w:val="001C1263"/>
    <w:rsid w:val="001C1417"/>
    <w:rsid w:val="001E390B"/>
    <w:rsid w:val="001E54A5"/>
    <w:rsid w:val="001F42FB"/>
    <w:rsid w:val="001F719A"/>
    <w:rsid w:val="002031B3"/>
    <w:rsid w:val="00212D7F"/>
    <w:rsid w:val="00215931"/>
    <w:rsid w:val="00224C91"/>
    <w:rsid w:val="00227BDB"/>
    <w:rsid w:val="00233DFC"/>
    <w:rsid w:val="00234CB1"/>
    <w:rsid w:val="002352F8"/>
    <w:rsid w:val="002423E5"/>
    <w:rsid w:val="00250482"/>
    <w:rsid w:val="002510A5"/>
    <w:rsid w:val="00254A0A"/>
    <w:rsid w:val="00266046"/>
    <w:rsid w:val="00275456"/>
    <w:rsid w:val="002846DB"/>
    <w:rsid w:val="00284CCD"/>
    <w:rsid w:val="002C6637"/>
    <w:rsid w:val="002E0135"/>
    <w:rsid w:val="002E37A5"/>
    <w:rsid w:val="002E6BEB"/>
    <w:rsid w:val="002F6911"/>
    <w:rsid w:val="00310F03"/>
    <w:rsid w:val="003247D2"/>
    <w:rsid w:val="003445C1"/>
    <w:rsid w:val="00352F6E"/>
    <w:rsid w:val="00355B61"/>
    <w:rsid w:val="00362686"/>
    <w:rsid w:val="00371510"/>
    <w:rsid w:val="00396DFD"/>
    <w:rsid w:val="003A7059"/>
    <w:rsid w:val="003B7A36"/>
    <w:rsid w:val="003C17AB"/>
    <w:rsid w:val="003C685D"/>
    <w:rsid w:val="003C7823"/>
    <w:rsid w:val="003D3EC1"/>
    <w:rsid w:val="003E1DCC"/>
    <w:rsid w:val="003F11A1"/>
    <w:rsid w:val="003F6A59"/>
    <w:rsid w:val="004026AC"/>
    <w:rsid w:val="004065C8"/>
    <w:rsid w:val="004109FA"/>
    <w:rsid w:val="00411B4B"/>
    <w:rsid w:val="00415BEE"/>
    <w:rsid w:val="00427F85"/>
    <w:rsid w:val="00431489"/>
    <w:rsid w:val="00436F42"/>
    <w:rsid w:val="004378B4"/>
    <w:rsid w:val="00451314"/>
    <w:rsid w:val="00452AA7"/>
    <w:rsid w:val="00452E9D"/>
    <w:rsid w:val="004534C7"/>
    <w:rsid w:val="00462F8A"/>
    <w:rsid w:val="004671AA"/>
    <w:rsid w:val="00480FB1"/>
    <w:rsid w:val="00483928"/>
    <w:rsid w:val="004C331F"/>
    <w:rsid w:val="004D6103"/>
    <w:rsid w:val="004E3BCE"/>
    <w:rsid w:val="004E70AD"/>
    <w:rsid w:val="004F0E97"/>
    <w:rsid w:val="004F2AC9"/>
    <w:rsid w:val="00501DD1"/>
    <w:rsid w:val="005037EE"/>
    <w:rsid w:val="00511AE6"/>
    <w:rsid w:val="00515C21"/>
    <w:rsid w:val="00530BD7"/>
    <w:rsid w:val="005339F2"/>
    <w:rsid w:val="00545CD2"/>
    <w:rsid w:val="005476F3"/>
    <w:rsid w:val="00552BB9"/>
    <w:rsid w:val="0055474E"/>
    <w:rsid w:val="00563E69"/>
    <w:rsid w:val="00572527"/>
    <w:rsid w:val="00573E40"/>
    <w:rsid w:val="00576348"/>
    <w:rsid w:val="005839EA"/>
    <w:rsid w:val="00597BCD"/>
    <w:rsid w:val="005A0B2E"/>
    <w:rsid w:val="005A23D2"/>
    <w:rsid w:val="005A36CB"/>
    <w:rsid w:val="005B49B8"/>
    <w:rsid w:val="005C0741"/>
    <w:rsid w:val="005C5EF4"/>
    <w:rsid w:val="005C6DFE"/>
    <w:rsid w:val="005E2E0B"/>
    <w:rsid w:val="005E6840"/>
    <w:rsid w:val="005E7A7D"/>
    <w:rsid w:val="006009B3"/>
    <w:rsid w:val="00602457"/>
    <w:rsid w:val="00615C8D"/>
    <w:rsid w:val="006347A6"/>
    <w:rsid w:val="00643C7B"/>
    <w:rsid w:val="00644FC3"/>
    <w:rsid w:val="00646BD1"/>
    <w:rsid w:val="006561C2"/>
    <w:rsid w:val="006708A7"/>
    <w:rsid w:val="00671CB3"/>
    <w:rsid w:val="00674BAF"/>
    <w:rsid w:val="00682200"/>
    <w:rsid w:val="00692BF6"/>
    <w:rsid w:val="006A1497"/>
    <w:rsid w:val="006B0BD1"/>
    <w:rsid w:val="006B1B2C"/>
    <w:rsid w:val="006B5404"/>
    <w:rsid w:val="006D20A5"/>
    <w:rsid w:val="006D37BF"/>
    <w:rsid w:val="006F208E"/>
    <w:rsid w:val="00702E22"/>
    <w:rsid w:val="0072020E"/>
    <w:rsid w:val="00785722"/>
    <w:rsid w:val="00786071"/>
    <w:rsid w:val="007A3ECB"/>
    <w:rsid w:val="007D7BB3"/>
    <w:rsid w:val="007F11C3"/>
    <w:rsid w:val="00824AB9"/>
    <w:rsid w:val="00836B35"/>
    <w:rsid w:val="00843BDE"/>
    <w:rsid w:val="00844A58"/>
    <w:rsid w:val="0087588C"/>
    <w:rsid w:val="00884212"/>
    <w:rsid w:val="0089705C"/>
    <w:rsid w:val="008A6D43"/>
    <w:rsid w:val="008B491E"/>
    <w:rsid w:val="008C1A28"/>
    <w:rsid w:val="008C2E98"/>
    <w:rsid w:val="008D185B"/>
    <w:rsid w:val="008D646E"/>
    <w:rsid w:val="008E062A"/>
    <w:rsid w:val="008E49BD"/>
    <w:rsid w:val="008E53E9"/>
    <w:rsid w:val="008E5771"/>
    <w:rsid w:val="008F4ACF"/>
    <w:rsid w:val="00902838"/>
    <w:rsid w:val="00910A48"/>
    <w:rsid w:val="00924166"/>
    <w:rsid w:val="00926FA7"/>
    <w:rsid w:val="00940B9B"/>
    <w:rsid w:val="00950194"/>
    <w:rsid w:val="0095676E"/>
    <w:rsid w:val="00956983"/>
    <w:rsid w:val="00963CF0"/>
    <w:rsid w:val="00964BB1"/>
    <w:rsid w:val="009775D9"/>
    <w:rsid w:val="00997175"/>
    <w:rsid w:val="009A1847"/>
    <w:rsid w:val="009B062A"/>
    <w:rsid w:val="009C10A0"/>
    <w:rsid w:val="009E7C6F"/>
    <w:rsid w:val="009F1793"/>
    <w:rsid w:val="009F2D23"/>
    <w:rsid w:val="00A01D69"/>
    <w:rsid w:val="00A02335"/>
    <w:rsid w:val="00A17E6E"/>
    <w:rsid w:val="00A3401E"/>
    <w:rsid w:val="00A36EA3"/>
    <w:rsid w:val="00A46C9A"/>
    <w:rsid w:val="00A619F3"/>
    <w:rsid w:val="00A62A73"/>
    <w:rsid w:val="00A87FF6"/>
    <w:rsid w:val="00A9662F"/>
    <w:rsid w:val="00AA0A3B"/>
    <w:rsid w:val="00AA2763"/>
    <w:rsid w:val="00AA33B6"/>
    <w:rsid w:val="00AB50CA"/>
    <w:rsid w:val="00AB6D64"/>
    <w:rsid w:val="00AC53CE"/>
    <w:rsid w:val="00AC7440"/>
    <w:rsid w:val="00AD2193"/>
    <w:rsid w:val="00AF2AC7"/>
    <w:rsid w:val="00AF74CE"/>
    <w:rsid w:val="00B01055"/>
    <w:rsid w:val="00B138AB"/>
    <w:rsid w:val="00B208DB"/>
    <w:rsid w:val="00B23F69"/>
    <w:rsid w:val="00B41524"/>
    <w:rsid w:val="00B44E24"/>
    <w:rsid w:val="00B60619"/>
    <w:rsid w:val="00B66A70"/>
    <w:rsid w:val="00B67366"/>
    <w:rsid w:val="00B80EE1"/>
    <w:rsid w:val="00B84135"/>
    <w:rsid w:val="00BB5D84"/>
    <w:rsid w:val="00C04D34"/>
    <w:rsid w:val="00C05DF8"/>
    <w:rsid w:val="00C06864"/>
    <w:rsid w:val="00C10C39"/>
    <w:rsid w:val="00C10F54"/>
    <w:rsid w:val="00C22BCC"/>
    <w:rsid w:val="00C239A1"/>
    <w:rsid w:val="00C23D8D"/>
    <w:rsid w:val="00C37AA3"/>
    <w:rsid w:val="00C37FD7"/>
    <w:rsid w:val="00C43419"/>
    <w:rsid w:val="00C44CF3"/>
    <w:rsid w:val="00C4676A"/>
    <w:rsid w:val="00C46E39"/>
    <w:rsid w:val="00C5265A"/>
    <w:rsid w:val="00C61BE0"/>
    <w:rsid w:val="00C64D11"/>
    <w:rsid w:val="00C6707E"/>
    <w:rsid w:val="00C70B0E"/>
    <w:rsid w:val="00C773CA"/>
    <w:rsid w:val="00C83785"/>
    <w:rsid w:val="00C9046D"/>
    <w:rsid w:val="00C94C0D"/>
    <w:rsid w:val="00CA1FEB"/>
    <w:rsid w:val="00CA5707"/>
    <w:rsid w:val="00CD4F85"/>
    <w:rsid w:val="00CD6F02"/>
    <w:rsid w:val="00CE246D"/>
    <w:rsid w:val="00CF07A0"/>
    <w:rsid w:val="00CF3E03"/>
    <w:rsid w:val="00D0082A"/>
    <w:rsid w:val="00D21455"/>
    <w:rsid w:val="00D24AAE"/>
    <w:rsid w:val="00D2550E"/>
    <w:rsid w:val="00D42A20"/>
    <w:rsid w:val="00D47634"/>
    <w:rsid w:val="00D672C7"/>
    <w:rsid w:val="00D709B3"/>
    <w:rsid w:val="00D8730A"/>
    <w:rsid w:val="00DA2ED6"/>
    <w:rsid w:val="00DB0CD7"/>
    <w:rsid w:val="00DB76B8"/>
    <w:rsid w:val="00DC2EA1"/>
    <w:rsid w:val="00DC586F"/>
    <w:rsid w:val="00DD6AAF"/>
    <w:rsid w:val="00DE3F5C"/>
    <w:rsid w:val="00DF1D20"/>
    <w:rsid w:val="00DF2922"/>
    <w:rsid w:val="00E21324"/>
    <w:rsid w:val="00E246B9"/>
    <w:rsid w:val="00E31FEA"/>
    <w:rsid w:val="00E32AFB"/>
    <w:rsid w:val="00E34AE9"/>
    <w:rsid w:val="00E40375"/>
    <w:rsid w:val="00E45169"/>
    <w:rsid w:val="00E47787"/>
    <w:rsid w:val="00E51C30"/>
    <w:rsid w:val="00E64180"/>
    <w:rsid w:val="00E6464F"/>
    <w:rsid w:val="00E74AEE"/>
    <w:rsid w:val="00E868E5"/>
    <w:rsid w:val="00E9237A"/>
    <w:rsid w:val="00E9261F"/>
    <w:rsid w:val="00E939FA"/>
    <w:rsid w:val="00EA088A"/>
    <w:rsid w:val="00EA0ADE"/>
    <w:rsid w:val="00EA5765"/>
    <w:rsid w:val="00EC2532"/>
    <w:rsid w:val="00ED18BD"/>
    <w:rsid w:val="00ED7812"/>
    <w:rsid w:val="00EF295B"/>
    <w:rsid w:val="00EF3B86"/>
    <w:rsid w:val="00F25D3D"/>
    <w:rsid w:val="00F317E9"/>
    <w:rsid w:val="00F34554"/>
    <w:rsid w:val="00F415C0"/>
    <w:rsid w:val="00F45F77"/>
    <w:rsid w:val="00F5167F"/>
    <w:rsid w:val="00F52258"/>
    <w:rsid w:val="00F81F67"/>
    <w:rsid w:val="00F8570A"/>
    <w:rsid w:val="00F91C7B"/>
    <w:rsid w:val="00FA15F2"/>
    <w:rsid w:val="00FB0C9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0842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BulletList-DS-2double-spaced">
    <w:name w:val="Bullet List-DS-2 (double-spaced)"/>
    <w:basedOn w:val="Normal"/>
    <w:rsid w:val="00785722"/>
    <w:pPr>
      <w:numPr>
        <w:numId w:val="12"/>
      </w:numPr>
      <w:spacing w:after="240"/>
      <w:jc w:val="both"/>
    </w:pPr>
    <w:rPr>
      <w:szCs w:val="20"/>
    </w:rPr>
  </w:style>
  <w:style w:type="paragraph" w:customStyle="1" w:styleId="Default">
    <w:name w:val="Default"/>
    <w:rsid w:val="00785722"/>
    <w:pPr>
      <w:autoSpaceDE w:val="0"/>
      <w:autoSpaceDN w:val="0"/>
      <w:adjustRightInd w:val="0"/>
    </w:pPr>
    <w:rPr>
      <w:rFonts w:eastAsia="MS Mincho"/>
      <w:color w:val="000000"/>
      <w:sz w:val="24"/>
      <w:szCs w:val="24"/>
      <w:lang w:val="sr-Latn-CS" w:eastAsia="ja-JP"/>
    </w:rPr>
  </w:style>
  <w:style w:type="paragraph" w:styleId="Revision">
    <w:name w:val="Revision"/>
    <w:hidden/>
    <w:uiPriority w:val="99"/>
    <w:semiHidden/>
    <w:rsid w:val="00FA15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536D3-B75B-4F03-AA28-7CB2723DCF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179BF0E-6571-40BB-A68B-21372DA8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15668</Words>
  <Characters>89308</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104767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Marijanović</cp:lastModifiedBy>
  <cp:revision>2</cp:revision>
  <dcterms:created xsi:type="dcterms:W3CDTF">2024-11-07T07:11:00Z</dcterms:created>
  <dcterms:modified xsi:type="dcterms:W3CDTF">2024-11-07T07:11:00Z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77765b99-4821-4f25-8d59-aeb1d632e4c4</vt:lpwstr>
  </property>
  <property fmtid="{D5CDD505-2E9C-101B-9397-08002B2CF9AE}" pid="4" name="bjSaver">
    <vt:lpwstr>gzWf4sEXl22b75FnNEhodrev1D4SSmqp</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ies>
</file>