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BE2AF" w14:textId="77777777" w:rsidR="001A5518" w:rsidRPr="00273F23" w:rsidRDefault="001A5518" w:rsidP="001A5518">
      <w:pPr>
        <w:rPr>
          <w:b/>
          <w:bCs/>
          <w:i/>
          <w:iCs/>
          <w:sz w:val="22"/>
          <w:szCs w:val="22"/>
          <w:u w:val="single"/>
          <w:lang w:val="sr-Latn-ME"/>
        </w:rPr>
      </w:pPr>
    </w:p>
    <w:p w14:paraId="101442C5" w14:textId="77777777" w:rsidR="00F91C7B" w:rsidRPr="00273F23" w:rsidRDefault="00F91C7B" w:rsidP="001A5518">
      <w:pPr>
        <w:rPr>
          <w:b/>
          <w:bCs/>
          <w:i/>
          <w:iCs/>
          <w:sz w:val="22"/>
          <w:szCs w:val="22"/>
          <w:u w:val="single"/>
          <w:lang w:val="sr-Latn-ME"/>
        </w:rPr>
      </w:pPr>
    </w:p>
    <w:p w14:paraId="74524852" w14:textId="77777777" w:rsidR="002510A5" w:rsidRPr="00273F23" w:rsidRDefault="002510A5" w:rsidP="002510A5">
      <w:pPr>
        <w:jc w:val="center"/>
        <w:rPr>
          <w:b/>
          <w:bCs/>
          <w:iCs/>
          <w:sz w:val="22"/>
          <w:szCs w:val="22"/>
          <w:u w:val="single"/>
          <w:lang w:val="sr-Latn-ME"/>
        </w:rPr>
      </w:pPr>
      <w:r w:rsidRPr="00273F23">
        <w:rPr>
          <w:b/>
          <w:bCs/>
          <w:iCs/>
          <w:sz w:val="22"/>
          <w:szCs w:val="22"/>
          <w:u w:val="single"/>
          <w:lang w:val="sr-Latn-ME"/>
        </w:rPr>
        <w:t>SAŽETAK KARAKTERISTIKA LIJEKA</w:t>
      </w:r>
    </w:p>
    <w:p w14:paraId="13AD59F1" w14:textId="77777777" w:rsidR="002510A5" w:rsidRPr="00273F23" w:rsidRDefault="002510A5" w:rsidP="002510A5">
      <w:pPr>
        <w:rPr>
          <w:b/>
          <w:bCs/>
          <w:i/>
          <w:iCs/>
          <w:sz w:val="22"/>
          <w:szCs w:val="22"/>
          <w:u w:val="single"/>
          <w:lang w:val="sr-Latn-ME"/>
        </w:rPr>
      </w:pPr>
    </w:p>
    <w:p w14:paraId="4FD52867" w14:textId="7ED9DF64" w:rsidR="003C17AB" w:rsidRPr="00273F23" w:rsidRDefault="003C17AB" w:rsidP="00F5167F">
      <w:pPr>
        <w:tabs>
          <w:tab w:val="left" w:pos="540"/>
          <w:tab w:val="left" w:pos="569"/>
        </w:tabs>
        <w:rPr>
          <w:sz w:val="22"/>
          <w:szCs w:val="22"/>
          <w:lang w:val="sr-Latn-ME"/>
        </w:rPr>
      </w:pPr>
    </w:p>
    <w:p w14:paraId="075BEF5A" w14:textId="77777777" w:rsidR="00925B7F" w:rsidRPr="00273F23" w:rsidRDefault="00925B7F" w:rsidP="00F5167F">
      <w:pPr>
        <w:tabs>
          <w:tab w:val="left" w:pos="540"/>
          <w:tab w:val="left" w:pos="569"/>
        </w:tabs>
        <w:rPr>
          <w:noProof/>
          <w:sz w:val="22"/>
          <w:szCs w:val="22"/>
          <w:lang w:val="sr-Latn-ME"/>
        </w:rPr>
      </w:pPr>
    </w:p>
    <w:p w14:paraId="3F7BE3C4" w14:textId="77777777" w:rsidR="00C37FD7" w:rsidRPr="00273F23" w:rsidRDefault="00C37FD7" w:rsidP="00F5167F">
      <w:pPr>
        <w:tabs>
          <w:tab w:val="left" w:pos="540"/>
          <w:tab w:val="left" w:pos="569"/>
        </w:tabs>
        <w:rPr>
          <w:bCs/>
          <w:sz w:val="22"/>
          <w:szCs w:val="22"/>
          <w:lang w:val="sr-Latn-ME"/>
        </w:rPr>
      </w:pPr>
    </w:p>
    <w:p w14:paraId="0EDDA2B5" w14:textId="77777777" w:rsidR="00411B4B" w:rsidRPr="00273F23" w:rsidRDefault="00411B4B" w:rsidP="00F5167F">
      <w:pPr>
        <w:tabs>
          <w:tab w:val="left" w:pos="540"/>
          <w:tab w:val="left" w:pos="569"/>
        </w:tabs>
        <w:rPr>
          <w:b/>
          <w:bCs/>
          <w:sz w:val="22"/>
          <w:szCs w:val="22"/>
          <w:lang w:val="sr-Latn-ME"/>
        </w:rPr>
      </w:pPr>
      <w:r w:rsidRPr="00273F23">
        <w:rPr>
          <w:b/>
          <w:bCs/>
          <w:sz w:val="22"/>
          <w:szCs w:val="22"/>
          <w:lang w:val="sr-Latn-ME"/>
        </w:rPr>
        <w:t>1.</w:t>
      </w:r>
      <w:r w:rsidR="00F5167F" w:rsidRPr="00273F23">
        <w:rPr>
          <w:b/>
          <w:bCs/>
          <w:sz w:val="22"/>
          <w:szCs w:val="22"/>
          <w:lang w:val="sr-Latn-ME"/>
        </w:rPr>
        <w:tab/>
      </w:r>
      <w:r w:rsidR="002846DB" w:rsidRPr="00273F23">
        <w:rPr>
          <w:b/>
          <w:bCs/>
          <w:sz w:val="22"/>
          <w:szCs w:val="22"/>
          <w:lang w:val="sr-Latn-ME"/>
        </w:rPr>
        <w:t xml:space="preserve">NAZIV </w:t>
      </w:r>
      <w:r w:rsidRPr="00273F23">
        <w:rPr>
          <w:b/>
          <w:bCs/>
          <w:sz w:val="22"/>
          <w:szCs w:val="22"/>
          <w:lang w:val="sr-Latn-ME"/>
        </w:rPr>
        <w:t>LIJEKA</w:t>
      </w:r>
    </w:p>
    <w:p w14:paraId="67B7BEB0" w14:textId="77777777" w:rsidR="00EC2532" w:rsidRPr="00273F23" w:rsidRDefault="00EC2532">
      <w:pPr>
        <w:rPr>
          <w:sz w:val="22"/>
          <w:szCs w:val="22"/>
          <w:lang w:val="sr-Latn-ME"/>
        </w:rPr>
      </w:pPr>
    </w:p>
    <w:p w14:paraId="1D9C9A2D" w14:textId="2C299EA3" w:rsidR="00C815E2" w:rsidRPr="00273F23" w:rsidRDefault="00C815E2" w:rsidP="00C815E2">
      <w:pPr>
        <w:pStyle w:val="Header"/>
        <w:tabs>
          <w:tab w:val="left" w:pos="284"/>
        </w:tabs>
        <w:jc w:val="both"/>
        <w:rPr>
          <w:bCs/>
          <w:sz w:val="22"/>
          <w:szCs w:val="22"/>
          <w:lang w:val="sr-Latn-ME"/>
        </w:rPr>
      </w:pPr>
      <w:r w:rsidRPr="00273F23">
        <w:rPr>
          <w:sz w:val="22"/>
          <w:szCs w:val="22"/>
          <w:lang w:val="sr-Latn-ME"/>
        </w:rPr>
        <w:t>Fosavance</w:t>
      </w:r>
      <w:r w:rsidRPr="00273F23">
        <w:rPr>
          <w:bCs/>
          <w:sz w:val="22"/>
          <w:szCs w:val="22"/>
          <w:lang w:val="sr-Latn-ME"/>
        </w:rPr>
        <w:t>,</w:t>
      </w:r>
      <w:r w:rsidR="00257AA4" w:rsidRPr="00273F23">
        <w:rPr>
          <w:bCs/>
          <w:sz w:val="22"/>
          <w:szCs w:val="22"/>
          <w:lang w:val="sr-Latn-ME"/>
        </w:rPr>
        <w:t xml:space="preserve"> </w:t>
      </w:r>
      <w:r w:rsidRPr="00273F23">
        <w:rPr>
          <w:bCs/>
          <w:sz w:val="22"/>
          <w:szCs w:val="22"/>
          <w:lang w:val="sr-Latn-ME"/>
        </w:rPr>
        <w:t xml:space="preserve">70 mg </w:t>
      </w:r>
      <w:r w:rsidR="00985A38" w:rsidRPr="00273F23">
        <w:rPr>
          <w:sz w:val="22"/>
          <w:szCs w:val="22"/>
          <w:lang w:val="sr-Latn-ME"/>
        </w:rPr>
        <w:t xml:space="preserve">+ </w:t>
      </w:r>
      <w:r w:rsidRPr="00273F23">
        <w:rPr>
          <w:sz w:val="22"/>
          <w:szCs w:val="22"/>
          <w:lang w:val="sr-Latn-ME"/>
        </w:rPr>
        <w:t>5</w:t>
      </w:r>
      <w:r w:rsidRPr="00273F23">
        <w:rPr>
          <w:bCs/>
          <w:sz w:val="22"/>
          <w:szCs w:val="22"/>
          <w:lang w:val="sr-Latn-ME"/>
        </w:rPr>
        <w:t>600 i.j., tablet</w:t>
      </w:r>
      <w:r w:rsidR="00A34612" w:rsidRPr="00273F23">
        <w:rPr>
          <w:bCs/>
          <w:sz w:val="22"/>
          <w:szCs w:val="22"/>
          <w:lang w:val="sr-Latn-ME"/>
        </w:rPr>
        <w:t>a</w:t>
      </w:r>
    </w:p>
    <w:p w14:paraId="0DB1ECA8" w14:textId="77777777" w:rsidR="001C16AD" w:rsidRPr="00273F23" w:rsidRDefault="001C16AD" w:rsidP="00C815E2">
      <w:pPr>
        <w:jc w:val="both"/>
        <w:rPr>
          <w:sz w:val="22"/>
          <w:szCs w:val="22"/>
          <w:lang w:val="sr-Latn-ME"/>
        </w:rPr>
      </w:pPr>
    </w:p>
    <w:p w14:paraId="682FB4FF" w14:textId="061E3FFA" w:rsidR="006D20A5" w:rsidRPr="00273F23" w:rsidRDefault="006D20A5" w:rsidP="00C815E2">
      <w:pPr>
        <w:jc w:val="both"/>
        <w:rPr>
          <w:sz w:val="22"/>
          <w:szCs w:val="22"/>
          <w:lang w:val="sr-Latn-ME"/>
        </w:rPr>
      </w:pPr>
      <w:r w:rsidRPr="00273F23">
        <w:rPr>
          <w:sz w:val="22"/>
          <w:szCs w:val="22"/>
          <w:lang w:val="sr-Latn-ME"/>
        </w:rPr>
        <w:t>INN:</w:t>
      </w:r>
      <w:r w:rsidR="00C815E2" w:rsidRPr="00273F23">
        <w:rPr>
          <w:sz w:val="22"/>
          <w:szCs w:val="22"/>
          <w:lang w:val="sr-Latn-ME"/>
        </w:rPr>
        <w:t xml:space="preserve"> alendronska kiselina</w:t>
      </w:r>
      <w:r w:rsidR="00985A38" w:rsidRPr="00273F23">
        <w:rPr>
          <w:sz w:val="22"/>
          <w:szCs w:val="22"/>
          <w:lang w:val="sr-Latn-ME"/>
        </w:rPr>
        <w:t xml:space="preserve">, </w:t>
      </w:r>
      <w:r w:rsidR="00C815E2" w:rsidRPr="00273F23">
        <w:rPr>
          <w:sz w:val="22"/>
          <w:szCs w:val="22"/>
          <w:lang w:val="sr-Latn-ME"/>
        </w:rPr>
        <w:t>holekalciferol</w:t>
      </w:r>
    </w:p>
    <w:p w14:paraId="63CB8DD3" w14:textId="630E2B11" w:rsidR="00530BD7" w:rsidRPr="00273F23" w:rsidRDefault="00530BD7">
      <w:pPr>
        <w:rPr>
          <w:bCs/>
          <w:sz w:val="22"/>
          <w:szCs w:val="22"/>
          <w:lang w:val="sr-Latn-ME"/>
        </w:rPr>
      </w:pPr>
    </w:p>
    <w:p w14:paraId="31970876" w14:textId="77777777" w:rsidR="00C37754" w:rsidRPr="00273F23" w:rsidRDefault="00C37754">
      <w:pPr>
        <w:rPr>
          <w:bCs/>
          <w:sz w:val="22"/>
          <w:szCs w:val="22"/>
          <w:lang w:val="sr-Latn-ME"/>
        </w:rPr>
      </w:pPr>
    </w:p>
    <w:p w14:paraId="130CC700" w14:textId="77777777" w:rsidR="00411B4B" w:rsidRPr="00273F23" w:rsidRDefault="00411B4B" w:rsidP="00F5167F">
      <w:pPr>
        <w:tabs>
          <w:tab w:val="left" w:pos="540"/>
          <w:tab w:val="left" w:pos="569"/>
        </w:tabs>
        <w:rPr>
          <w:b/>
          <w:bCs/>
          <w:sz w:val="22"/>
          <w:szCs w:val="22"/>
          <w:lang w:val="sr-Latn-ME"/>
        </w:rPr>
      </w:pPr>
      <w:r w:rsidRPr="00273F23">
        <w:rPr>
          <w:b/>
          <w:bCs/>
          <w:sz w:val="22"/>
          <w:szCs w:val="22"/>
          <w:lang w:val="sr-Latn-ME"/>
        </w:rPr>
        <w:t xml:space="preserve">2. </w:t>
      </w:r>
      <w:r w:rsidR="00F5167F" w:rsidRPr="00273F23">
        <w:rPr>
          <w:b/>
          <w:bCs/>
          <w:sz w:val="22"/>
          <w:szCs w:val="22"/>
          <w:lang w:val="sr-Latn-ME"/>
        </w:rPr>
        <w:tab/>
      </w:r>
      <w:r w:rsidRPr="00273F23">
        <w:rPr>
          <w:b/>
          <w:bCs/>
          <w:sz w:val="22"/>
          <w:szCs w:val="22"/>
          <w:lang w:val="sr-Latn-ME"/>
        </w:rPr>
        <w:t>KVALITATIVNI I KVANTITATIVNI SASTAV</w:t>
      </w:r>
    </w:p>
    <w:p w14:paraId="6C3AFB54" w14:textId="3BA2A038" w:rsidR="005A0B2E" w:rsidRPr="00273F23" w:rsidRDefault="005A0B2E">
      <w:pPr>
        <w:rPr>
          <w:sz w:val="22"/>
          <w:szCs w:val="22"/>
          <w:lang w:val="sr-Latn-ME"/>
        </w:rPr>
      </w:pPr>
    </w:p>
    <w:p w14:paraId="5BA104D0" w14:textId="2B37D155" w:rsidR="00C815E2" w:rsidRPr="00273F23" w:rsidRDefault="00C815E2" w:rsidP="00C815E2">
      <w:pPr>
        <w:pStyle w:val="Header"/>
        <w:tabs>
          <w:tab w:val="left" w:pos="284"/>
        </w:tabs>
        <w:jc w:val="both"/>
        <w:rPr>
          <w:bCs/>
          <w:sz w:val="22"/>
          <w:szCs w:val="22"/>
          <w:lang w:val="sr-Latn-ME"/>
        </w:rPr>
      </w:pPr>
      <w:r w:rsidRPr="00273F23">
        <w:rPr>
          <w:bCs/>
          <w:sz w:val="22"/>
          <w:szCs w:val="22"/>
          <w:lang w:val="sr-Latn-ME"/>
        </w:rPr>
        <w:t xml:space="preserve">Jedna tableta sadrži 70 mg alendronske </w:t>
      </w:r>
      <w:r w:rsidR="00313225" w:rsidRPr="00273F23">
        <w:rPr>
          <w:bCs/>
          <w:sz w:val="22"/>
          <w:szCs w:val="22"/>
          <w:lang w:val="sr-Latn-ME"/>
        </w:rPr>
        <w:t>kise</w:t>
      </w:r>
      <w:r w:rsidRPr="00273F23">
        <w:rPr>
          <w:bCs/>
          <w:sz w:val="22"/>
          <w:szCs w:val="22"/>
          <w:lang w:val="sr-Latn-ME"/>
        </w:rPr>
        <w:t>line (u obliku natrijum</w:t>
      </w:r>
      <w:r w:rsidR="00985A38" w:rsidRPr="00273F23">
        <w:rPr>
          <w:bCs/>
          <w:sz w:val="22"/>
          <w:szCs w:val="22"/>
          <w:lang w:val="sr-Latn-ME"/>
        </w:rPr>
        <w:t xml:space="preserve"> </w:t>
      </w:r>
      <w:r w:rsidRPr="00273F23">
        <w:rPr>
          <w:bCs/>
          <w:sz w:val="22"/>
          <w:szCs w:val="22"/>
          <w:lang w:val="sr-Latn-ME"/>
        </w:rPr>
        <w:t>alendronat, trihidrata) i 140 mikrograma (5600 i.j.) holekalciferola (vitamin D</w:t>
      </w:r>
      <w:r w:rsidRPr="00273F23">
        <w:rPr>
          <w:bCs/>
          <w:sz w:val="22"/>
          <w:szCs w:val="22"/>
          <w:vertAlign w:val="subscript"/>
          <w:lang w:val="sr-Latn-ME"/>
        </w:rPr>
        <w:t>3</w:t>
      </w:r>
      <w:r w:rsidRPr="00273F23">
        <w:rPr>
          <w:bCs/>
          <w:sz w:val="22"/>
          <w:szCs w:val="22"/>
          <w:lang w:val="sr-Latn-ME"/>
        </w:rPr>
        <w:t>).</w:t>
      </w:r>
    </w:p>
    <w:p w14:paraId="4B429486" w14:textId="77777777" w:rsidR="00C815E2" w:rsidRPr="00273F23" w:rsidRDefault="00C815E2" w:rsidP="00C815E2">
      <w:pPr>
        <w:pStyle w:val="Header"/>
        <w:tabs>
          <w:tab w:val="left" w:pos="284"/>
        </w:tabs>
        <w:jc w:val="both"/>
        <w:rPr>
          <w:bCs/>
          <w:sz w:val="22"/>
          <w:szCs w:val="22"/>
          <w:lang w:val="sr-Latn-ME"/>
        </w:rPr>
      </w:pPr>
    </w:p>
    <w:p w14:paraId="5448C746" w14:textId="644B89EA" w:rsidR="00C815E2" w:rsidRPr="00273F23" w:rsidRDefault="00C815E2" w:rsidP="00C815E2">
      <w:pPr>
        <w:pStyle w:val="Header"/>
        <w:tabs>
          <w:tab w:val="left" w:pos="284"/>
        </w:tabs>
        <w:jc w:val="both"/>
        <w:rPr>
          <w:bCs/>
          <w:i/>
          <w:sz w:val="22"/>
          <w:szCs w:val="22"/>
          <w:u w:val="single"/>
          <w:lang w:val="sr-Latn-ME"/>
        </w:rPr>
      </w:pPr>
      <w:r w:rsidRPr="00273F23">
        <w:rPr>
          <w:sz w:val="22"/>
          <w:szCs w:val="22"/>
          <w:u w:val="single"/>
          <w:lang w:val="sr-Latn-ME"/>
        </w:rPr>
        <w:t>Pomoćne supstance sa potvrđenim dejstvom</w:t>
      </w:r>
      <w:r w:rsidRPr="00273F23">
        <w:rPr>
          <w:sz w:val="22"/>
          <w:szCs w:val="22"/>
          <w:lang w:val="sr-Latn-ME"/>
        </w:rPr>
        <w:t>:</w:t>
      </w:r>
      <w:r w:rsidR="00C37754" w:rsidRPr="00273F23">
        <w:rPr>
          <w:sz w:val="22"/>
          <w:szCs w:val="22"/>
          <w:lang w:val="sr-Latn-ME"/>
        </w:rPr>
        <w:t xml:space="preserve"> </w:t>
      </w:r>
    </w:p>
    <w:p w14:paraId="0711A62B" w14:textId="77777777" w:rsidR="00C815E2" w:rsidRPr="00273F23" w:rsidRDefault="00C815E2" w:rsidP="00C815E2">
      <w:pPr>
        <w:jc w:val="both"/>
        <w:rPr>
          <w:bCs/>
          <w:sz w:val="22"/>
          <w:szCs w:val="22"/>
          <w:lang w:val="sr-Latn-ME"/>
        </w:rPr>
      </w:pPr>
      <w:r w:rsidRPr="00273F23">
        <w:rPr>
          <w:bCs/>
          <w:sz w:val="22"/>
          <w:szCs w:val="22"/>
          <w:lang w:val="sr-Latn-ME"/>
        </w:rPr>
        <w:t>Jedna tableta sadrži 63 mg laktoze (u obliku laktoze, bezvodne) i 16 mg saharoze.</w:t>
      </w:r>
    </w:p>
    <w:p w14:paraId="68E95CFB" w14:textId="77777777" w:rsidR="00C815E2" w:rsidRPr="00273F23" w:rsidRDefault="00C815E2">
      <w:pPr>
        <w:rPr>
          <w:sz w:val="22"/>
          <w:szCs w:val="22"/>
          <w:lang w:val="sr-Latn-ME"/>
        </w:rPr>
      </w:pPr>
    </w:p>
    <w:p w14:paraId="2DC8A56D" w14:textId="77777777" w:rsidR="0003793F" w:rsidRPr="00273F23" w:rsidRDefault="0003793F">
      <w:pPr>
        <w:rPr>
          <w:sz w:val="22"/>
          <w:szCs w:val="22"/>
          <w:lang w:val="sr-Latn-ME"/>
        </w:rPr>
      </w:pPr>
      <w:r w:rsidRPr="00273F23">
        <w:rPr>
          <w:sz w:val="22"/>
          <w:szCs w:val="22"/>
          <w:lang w:val="sr-Latn-ME"/>
        </w:rPr>
        <w:t>Za spisak svih ekscipijenasa, pogledati dio 6.1.</w:t>
      </w:r>
    </w:p>
    <w:p w14:paraId="057F0D42" w14:textId="77777777" w:rsidR="0003793F" w:rsidRPr="00273F23" w:rsidRDefault="0003793F">
      <w:pPr>
        <w:rPr>
          <w:sz w:val="22"/>
          <w:szCs w:val="22"/>
          <w:lang w:val="sr-Latn-ME"/>
        </w:rPr>
      </w:pPr>
    </w:p>
    <w:p w14:paraId="762C5B77" w14:textId="77777777" w:rsidR="00C37FD7" w:rsidRPr="00273F23" w:rsidRDefault="00C37FD7">
      <w:pPr>
        <w:rPr>
          <w:sz w:val="22"/>
          <w:szCs w:val="22"/>
          <w:lang w:val="sr-Latn-ME"/>
        </w:rPr>
      </w:pPr>
    </w:p>
    <w:p w14:paraId="1EBDD0CE" w14:textId="77777777" w:rsidR="00411B4B" w:rsidRPr="00273F23" w:rsidRDefault="00411B4B" w:rsidP="00F5167F">
      <w:pPr>
        <w:tabs>
          <w:tab w:val="left" w:pos="540"/>
          <w:tab w:val="left" w:pos="569"/>
        </w:tabs>
        <w:rPr>
          <w:b/>
          <w:bCs/>
          <w:sz w:val="22"/>
          <w:szCs w:val="22"/>
          <w:lang w:val="sr-Latn-ME"/>
        </w:rPr>
      </w:pPr>
      <w:r w:rsidRPr="00273F23">
        <w:rPr>
          <w:b/>
          <w:bCs/>
          <w:sz w:val="22"/>
          <w:szCs w:val="22"/>
          <w:lang w:val="sr-Latn-ME"/>
        </w:rPr>
        <w:t xml:space="preserve">3. </w:t>
      </w:r>
      <w:r w:rsidR="00F5167F" w:rsidRPr="00273F23">
        <w:rPr>
          <w:b/>
          <w:bCs/>
          <w:sz w:val="22"/>
          <w:szCs w:val="22"/>
          <w:lang w:val="sr-Latn-ME"/>
        </w:rPr>
        <w:tab/>
      </w:r>
      <w:r w:rsidRPr="00273F23">
        <w:rPr>
          <w:b/>
          <w:bCs/>
          <w:sz w:val="22"/>
          <w:szCs w:val="22"/>
          <w:lang w:val="sr-Latn-ME"/>
        </w:rPr>
        <w:t>FARMACEUTSKI OBLIK</w:t>
      </w:r>
      <w:r w:rsidR="009F2D23" w:rsidRPr="00273F23">
        <w:rPr>
          <w:b/>
          <w:bCs/>
          <w:sz w:val="22"/>
          <w:szCs w:val="22"/>
          <w:lang w:val="sr-Latn-ME"/>
        </w:rPr>
        <w:t xml:space="preserve"> </w:t>
      </w:r>
    </w:p>
    <w:p w14:paraId="2D192FD0" w14:textId="77777777" w:rsidR="00C815E2" w:rsidRPr="00273F23" w:rsidRDefault="00C815E2" w:rsidP="00C815E2">
      <w:pPr>
        <w:jc w:val="both"/>
        <w:rPr>
          <w:bCs/>
          <w:sz w:val="22"/>
          <w:szCs w:val="22"/>
          <w:lang w:val="sr-Latn-ME"/>
        </w:rPr>
      </w:pPr>
    </w:p>
    <w:p w14:paraId="3740C6D0" w14:textId="0017D37E" w:rsidR="00C815E2" w:rsidRPr="00273F23" w:rsidRDefault="00C815E2" w:rsidP="00C815E2">
      <w:pPr>
        <w:jc w:val="both"/>
        <w:rPr>
          <w:bCs/>
          <w:sz w:val="22"/>
          <w:szCs w:val="22"/>
          <w:lang w:val="sr-Latn-ME"/>
        </w:rPr>
      </w:pPr>
      <w:r w:rsidRPr="00273F23">
        <w:rPr>
          <w:bCs/>
          <w:sz w:val="22"/>
          <w:szCs w:val="22"/>
          <w:lang w:val="sr-Latn-ME"/>
        </w:rPr>
        <w:t>Tableta.</w:t>
      </w:r>
    </w:p>
    <w:p w14:paraId="4B17E8E9" w14:textId="77777777" w:rsidR="00C815E2" w:rsidRPr="00273F23" w:rsidRDefault="00C815E2" w:rsidP="00C815E2">
      <w:pPr>
        <w:jc w:val="both"/>
        <w:rPr>
          <w:bCs/>
          <w:sz w:val="22"/>
          <w:szCs w:val="22"/>
          <w:lang w:val="sr-Latn-ME"/>
        </w:rPr>
      </w:pPr>
    </w:p>
    <w:p w14:paraId="730029F4" w14:textId="53EA1C50" w:rsidR="00411B4B" w:rsidRPr="00273F23" w:rsidRDefault="00BE68FB" w:rsidP="00C815E2">
      <w:pPr>
        <w:jc w:val="both"/>
        <w:rPr>
          <w:bCs/>
          <w:sz w:val="22"/>
          <w:szCs w:val="22"/>
          <w:lang w:val="sr-Latn-ME"/>
        </w:rPr>
      </w:pPr>
      <w:r w:rsidRPr="00273F23">
        <w:rPr>
          <w:bCs/>
          <w:sz w:val="22"/>
          <w:szCs w:val="22"/>
          <w:lang w:val="sr-Latn-ME"/>
        </w:rPr>
        <w:t>Bijele do skoro bijele tablete oblika modifikovanog pravougaonika s oznakom u obliku kosti na jednoj strani i utisnutom oznakom "270" na drugoj strani.</w:t>
      </w:r>
    </w:p>
    <w:p w14:paraId="68565B8A" w14:textId="2F99F16E" w:rsidR="00EC2532" w:rsidRDefault="00EC2532" w:rsidP="00C815E2">
      <w:pPr>
        <w:jc w:val="both"/>
        <w:rPr>
          <w:bCs/>
          <w:sz w:val="22"/>
          <w:szCs w:val="22"/>
          <w:lang w:val="sr-Latn-ME"/>
        </w:rPr>
      </w:pPr>
    </w:p>
    <w:p w14:paraId="3FCFE280" w14:textId="77777777" w:rsidR="00BB1D89" w:rsidRPr="00273F23" w:rsidRDefault="00BB1D89" w:rsidP="00C815E2">
      <w:pPr>
        <w:jc w:val="both"/>
        <w:rPr>
          <w:bCs/>
          <w:sz w:val="22"/>
          <w:szCs w:val="22"/>
          <w:lang w:val="sr-Latn-ME"/>
        </w:rPr>
      </w:pPr>
    </w:p>
    <w:p w14:paraId="5402BE88" w14:textId="77777777" w:rsidR="00411B4B" w:rsidRPr="00273F23" w:rsidRDefault="00411B4B" w:rsidP="00327919">
      <w:pPr>
        <w:tabs>
          <w:tab w:val="left" w:pos="540"/>
          <w:tab w:val="left" w:pos="569"/>
        </w:tabs>
        <w:jc w:val="both"/>
        <w:rPr>
          <w:b/>
          <w:bCs/>
          <w:sz w:val="22"/>
          <w:szCs w:val="22"/>
          <w:lang w:val="sr-Latn-ME"/>
        </w:rPr>
      </w:pPr>
      <w:r w:rsidRPr="00273F23">
        <w:rPr>
          <w:b/>
          <w:bCs/>
          <w:sz w:val="22"/>
          <w:szCs w:val="22"/>
          <w:lang w:val="sr-Latn-ME"/>
        </w:rPr>
        <w:t xml:space="preserve">4. </w:t>
      </w:r>
      <w:r w:rsidR="00480FB1" w:rsidRPr="00273F23">
        <w:rPr>
          <w:b/>
          <w:bCs/>
          <w:sz w:val="22"/>
          <w:szCs w:val="22"/>
          <w:lang w:val="sr-Latn-ME"/>
        </w:rPr>
        <w:tab/>
      </w:r>
      <w:r w:rsidRPr="00273F23">
        <w:rPr>
          <w:b/>
          <w:bCs/>
          <w:sz w:val="22"/>
          <w:szCs w:val="22"/>
          <w:lang w:val="sr-Latn-ME"/>
        </w:rPr>
        <w:t>KLINIČKI PODACI</w:t>
      </w:r>
    </w:p>
    <w:p w14:paraId="08545BD9" w14:textId="77777777" w:rsidR="00CD6F02" w:rsidRPr="00273F23" w:rsidRDefault="00CD6F02" w:rsidP="00327919">
      <w:pPr>
        <w:tabs>
          <w:tab w:val="left" w:pos="540"/>
          <w:tab w:val="left" w:pos="569"/>
        </w:tabs>
        <w:jc w:val="both"/>
        <w:rPr>
          <w:bCs/>
          <w:sz w:val="22"/>
          <w:szCs w:val="22"/>
          <w:lang w:val="sr-Latn-ME"/>
        </w:rPr>
      </w:pPr>
      <w:bookmarkStart w:id="0" w:name="_GoBack"/>
      <w:bookmarkEnd w:id="0"/>
    </w:p>
    <w:p w14:paraId="275451A6" w14:textId="77777777" w:rsidR="00411B4B" w:rsidRPr="00273F23" w:rsidRDefault="00411B4B" w:rsidP="00327919">
      <w:pPr>
        <w:tabs>
          <w:tab w:val="left" w:pos="540"/>
          <w:tab w:val="left" w:pos="569"/>
        </w:tabs>
        <w:jc w:val="both"/>
        <w:rPr>
          <w:b/>
          <w:bCs/>
          <w:sz w:val="22"/>
          <w:szCs w:val="22"/>
          <w:lang w:val="sr-Latn-ME"/>
        </w:rPr>
      </w:pPr>
      <w:r w:rsidRPr="00273F23">
        <w:rPr>
          <w:b/>
          <w:bCs/>
          <w:sz w:val="22"/>
          <w:szCs w:val="22"/>
          <w:lang w:val="sr-Latn-ME"/>
        </w:rPr>
        <w:t xml:space="preserve">4.1. </w:t>
      </w:r>
      <w:r w:rsidR="00480FB1" w:rsidRPr="00273F23">
        <w:rPr>
          <w:b/>
          <w:bCs/>
          <w:sz w:val="22"/>
          <w:szCs w:val="22"/>
          <w:lang w:val="sr-Latn-ME"/>
        </w:rPr>
        <w:tab/>
      </w:r>
      <w:r w:rsidRPr="00273F23">
        <w:rPr>
          <w:b/>
          <w:bCs/>
          <w:sz w:val="22"/>
          <w:szCs w:val="22"/>
          <w:lang w:val="sr-Latn-ME"/>
        </w:rPr>
        <w:t>Terapijske indikacije</w:t>
      </w:r>
    </w:p>
    <w:p w14:paraId="2B15B2DB" w14:textId="77777777" w:rsidR="00C815E2" w:rsidRPr="00273F23" w:rsidRDefault="00C815E2" w:rsidP="00327919">
      <w:pPr>
        <w:tabs>
          <w:tab w:val="left" w:pos="540"/>
          <w:tab w:val="left" w:pos="569"/>
        </w:tabs>
        <w:jc w:val="both"/>
        <w:rPr>
          <w:bCs/>
          <w:sz w:val="22"/>
          <w:szCs w:val="22"/>
          <w:lang w:val="sr-Latn-ME"/>
        </w:rPr>
      </w:pPr>
    </w:p>
    <w:p w14:paraId="68CD2186" w14:textId="4D49F0B1" w:rsidR="00411B4B" w:rsidRPr="00273F23" w:rsidRDefault="00C815E2" w:rsidP="00457283">
      <w:pPr>
        <w:tabs>
          <w:tab w:val="left" w:pos="540"/>
          <w:tab w:val="left" w:pos="569"/>
        </w:tabs>
        <w:jc w:val="both"/>
        <w:rPr>
          <w:bCs/>
          <w:sz w:val="22"/>
          <w:szCs w:val="22"/>
          <w:lang w:val="sr-Latn-ME"/>
        </w:rPr>
      </w:pPr>
      <w:r w:rsidRPr="00273F23">
        <w:rPr>
          <w:bCs/>
          <w:sz w:val="22"/>
          <w:szCs w:val="22"/>
          <w:lang w:val="sr-Latn-ME"/>
        </w:rPr>
        <w:t>Lijek Fosavance je indikovan u terapiji osteoporoze kod žena u postmenopauzi kod kojih postoji rizik od nedostatka vitamina D. Smanjuje rizik od nastanka fraktura kičmenih pršljenova i kuka.</w:t>
      </w:r>
    </w:p>
    <w:p w14:paraId="63C8126E" w14:textId="77777777" w:rsidR="00C815E2" w:rsidRPr="00273F23" w:rsidRDefault="00C815E2" w:rsidP="00327919">
      <w:pPr>
        <w:tabs>
          <w:tab w:val="left" w:pos="540"/>
          <w:tab w:val="left" w:pos="569"/>
        </w:tabs>
        <w:jc w:val="both"/>
        <w:rPr>
          <w:b/>
          <w:bCs/>
          <w:sz w:val="22"/>
          <w:szCs w:val="22"/>
          <w:lang w:val="sr-Latn-ME"/>
        </w:rPr>
      </w:pPr>
    </w:p>
    <w:p w14:paraId="208BF1D1" w14:textId="7A7B35B3" w:rsidR="00411B4B" w:rsidRPr="00273F23" w:rsidRDefault="00411B4B" w:rsidP="00327919">
      <w:pPr>
        <w:tabs>
          <w:tab w:val="left" w:pos="540"/>
          <w:tab w:val="left" w:pos="569"/>
        </w:tabs>
        <w:jc w:val="both"/>
        <w:rPr>
          <w:b/>
          <w:bCs/>
          <w:sz w:val="22"/>
          <w:szCs w:val="22"/>
          <w:lang w:val="sr-Latn-ME"/>
        </w:rPr>
      </w:pPr>
      <w:r w:rsidRPr="00273F23">
        <w:rPr>
          <w:b/>
          <w:bCs/>
          <w:sz w:val="22"/>
          <w:szCs w:val="22"/>
          <w:lang w:val="sr-Latn-ME"/>
        </w:rPr>
        <w:t xml:space="preserve">4.2. </w:t>
      </w:r>
      <w:r w:rsidR="00480FB1" w:rsidRPr="00273F23">
        <w:rPr>
          <w:b/>
          <w:bCs/>
          <w:sz w:val="22"/>
          <w:szCs w:val="22"/>
          <w:lang w:val="sr-Latn-ME"/>
        </w:rPr>
        <w:tab/>
      </w:r>
      <w:r w:rsidRPr="00273F23">
        <w:rPr>
          <w:b/>
          <w:bCs/>
          <w:sz w:val="22"/>
          <w:szCs w:val="22"/>
          <w:lang w:val="sr-Latn-ME"/>
        </w:rPr>
        <w:t>Doziranje i način primjene</w:t>
      </w:r>
    </w:p>
    <w:p w14:paraId="33C89420" w14:textId="77777777" w:rsidR="0072020E" w:rsidRPr="00273F23" w:rsidRDefault="0072020E" w:rsidP="00327919">
      <w:pPr>
        <w:tabs>
          <w:tab w:val="left" w:pos="540"/>
          <w:tab w:val="left" w:pos="569"/>
        </w:tabs>
        <w:jc w:val="both"/>
        <w:rPr>
          <w:bCs/>
          <w:sz w:val="22"/>
          <w:szCs w:val="22"/>
          <w:lang w:val="sr-Latn-ME"/>
        </w:rPr>
      </w:pPr>
    </w:p>
    <w:p w14:paraId="30E7681E" w14:textId="77777777" w:rsidR="00452E9D" w:rsidRPr="00273F23" w:rsidRDefault="00452E9D" w:rsidP="00327919">
      <w:pPr>
        <w:tabs>
          <w:tab w:val="left" w:pos="540"/>
          <w:tab w:val="left" w:pos="569"/>
        </w:tabs>
        <w:jc w:val="both"/>
        <w:rPr>
          <w:bCs/>
          <w:sz w:val="22"/>
          <w:szCs w:val="22"/>
          <w:u w:val="single"/>
          <w:lang w:val="sr-Latn-ME"/>
        </w:rPr>
      </w:pPr>
      <w:r w:rsidRPr="00273F23">
        <w:rPr>
          <w:bCs/>
          <w:sz w:val="22"/>
          <w:szCs w:val="22"/>
          <w:u w:val="single"/>
          <w:lang w:val="sr-Latn-ME"/>
        </w:rPr>
        <w:t>Doziranje</w:t>
      </w:r>
    </w:p>
    <w:p w14:paraId="38920E3B" w14:textId="49B4953F" w:rsidR="00452E9D" w:rsidRPr="00273F23" w:rsidRDefault="00452E9D" w:rsidP="00327919">
      <w:pPr>
        <w:tabs>
          <w:tab w:val="left" w:pos="540"/>
          <w:tab w:val="left" w:pos="569"/>
        </w:tabs>
        <w:jc w:val="both"/>
        <w:rPr>
          <w:bCs/>
          <w:sz w:val="22"/>
          <w:szCs w:val="22"/>
          <w:u w:val="single"/>
          <w:lang w:val="sr-Latn-ME"/>
        </w:rPr>
      </w:pPr>
    </w:p>
    <w:p w14:paraId="1C5DF7E0" w14:textId="2B9AFA36" w:rsidR="00C815E2" w:rsidRPr="00273F23" w:rsidRDefault="00C815E2" w:rsidP="00457283">
      <w:pPr>
        <w:pStyle w:val="Header"/>
        <w:tabs>
          <w:tab w:val="left" w:pos="284"/>
        </w:tabs>
        <w:jc w:val="both"/>
        <w:rPr>
          <w:sz w:val="22"/>
          <w:szCs w:val="22"/>
          <w:lang w:val="sr-Latn-ME"/>
        </w:rPr>
      </w:pPr>
      <w:r w:rsidRPr="00273F23">
        <w:rPr>
          <w:bCs/>
          <w:sz w:val="22"/>
          <w:szCs w:val="22"/>
          <w:lang w:val="sr-Latn-ME"/>
        </w:rPr>
        <w:t xml:space="preserve">Preporučena doza </w:t>
      </w:r>
      <w:r w:rsidRPr="00273F23">
        <w:rPr>
          <w:sz w:val="22"/>
          <w:szCs w:val="22"/>
          <w:lang w:val="sr-Latn-ME"/>
        </w:rPr>
        <w:t>je jedna tableta jednom nedjeljno.</w:t>
      </w:r>
    </w:p>
    <w:p w14:paraId="5BFB0C5D" w14:textId="77777777" w:rsidR="00C815E2" w:rsidRPr="00273F23" w:rsidRDefault="00C815E2" w:rsidP="00457283">
      <w:pPr>
        <w:pStyle w:val="Header"/>
        <w:tabs>
          <w:tab w:val="left" w:pos="284"/>
        </w:tabs>
        <w:jc w:val="both"/>
        <w:rPr>
          <w:sz w:val="22"/>
          <w:szCs w:val="22"/>
          <w:lang w:val="sr-Latn-ME"/>
        </w:rPr>
      </w:pPr>
    </w:p>
    <w:p w14:paraId="2FCE674E" w14:textId="40A32785" w:rsidR="00C815E2" w:rsidRPr="00273F23" w:rsidRDefault="00C815E2" w:rsidP="00457283">
      <w:pPr>
        <w:tabs>
          <w:tab w:val="left" w:pos="540"/>
          <w:tab w:val="left" w:pos="569"/>
        </w:tabs>
        <w:jc w:val="both"/>
        <w:rPr>
          <w:sz w:val="22"/>
          <w:szCs w:val="22"/>
          <w:lang w:val="sr-Latn-ME"/>
        </w:rPr>
      </w:pPr>
      <w:r w:rsidRPr="00273F23">
        <w:rPr>
          <w:sz w:val="22"/>
          <w:szCs w:val="22"/>
          <w:lang w:val="sr-Latn-ME"/>
        </w:rPr>
        <w:t xml:space="preserve">Pacijentkinjama treba reći da, ukoliko propuste da uzmu redovnu dozu lijeka Fosavance, </w:t>
      </w:r>
      <w:r w:rsidR="007F74AC" w:rsidRPr="00273F23">
        <w:rPr>
          <w:sz w:val="22"/>
          <w:szCs w:val="22"/>
          <w:lang w:val="sr-Latn-ME"/>
        </w:rPr>
        <w:t xml:space="preserve">potrebno je da </w:t>
      </w:r>
      <w:r w:rsidR="0058424A" w:rsidRPr="00273F23">
        <w:rPr>
          <w:sz w:val="22"/>
          <w:szCs w:val="22"/>
          <w:lang w:val="sr-Latn-ME"/>
        </w:rPr>
        <w:t>uz</w:t>
      </w:r>
      <w:r w:rsidR="007F74AC" w:rsidRPr="00273F23">
        <w:rPr>
          <w:sz w:val="22"/>
          <w:szCs w:val="22"/>
          <w:lang w:val="sr-Latn-ME"/>
        </w:rPr>
        <w:t>mu</w:t>
      </w:r>
      <w:r w:rsidRPr="00273F23">
        <w:rPr>
          <w:sz w:val="22"/>
          <w:szCs w:val="22"/>
          <w:lang w:val="sr-Latn-ME"/>
        </w:rPr>
        <w:t xml:space="preserve"> jednu tabletu onog jutra nakon što se sjete da su zaboravile da uzmu lijek. Ne smiju uzimati dvije tablete u istom danu, već je potrebno da se vrate na ustaljeni režim doziranja od jedne tablete jednom nedjeljno, na dan koji su same odabrale na početku terapije.</w:t>
      </w:r>
    </w:p>
    <w:p w14:paraId="1737F079" w14:textId="77777777" w:rsidR="00C815E2" w:rsidRPr="00273F23" w:rsidRDefault="00C815E2">
      <w:pPr>
        <w:tabs>
          <w:tab w:val="left" w:pos="540"/>
          <w:tab w:val="left" w:pos="569"/>
        </w:tabs>
        <w:jc w:val="both"/>
        <w:rPr>
          <w:sz w:val="22"/>
          <w:szCs w:val="22"/>
          <w:lang w:val="sr-Latn-ME"/>
        </w:rPr>
      </w:pPr>
    </w:p>
    <w:p w14:paraId="3DF9C041" w14:textId="20E76607" w:rsidR="00C815E2" w:rsidRPr="00273F23" w:rsidRDefault="00C815E2">
      <w:pPr>
        <w:tabs>
          <w:tab w:val="left" w:pos="540"/>
          <w:tab w:val="left" w:pos="569"/>
        </w:tabs>
        <w:jc w:val="both"/>
        <w:rPr>
          <w:sz w:val="22"/>
          <w:szCs w:val="22"/>
          <w:lang w:val="sr-Latn-ME"/>
        </w:rPr>
      </w:pPr>
      <w:r w:rsidRPr="00273F23">
        <w:rPr>
          <w:sz w:val="22"/>
          <w:szCs w:val="22"/>
          <w:lang w:val="sr-Latn-ME"/>
        </w:rPr>
        <w:t xml:space="preserve">Zbog prirode oboljenja tj. razvoja osteoporoze, lijek Fosavance je namijenjen za dugotrajnu primjenu. Optimalno trajanje terapije bisfosfonatima u liječenju osteoporoze nije ustanovljeno. Potreba za kontinuiranom terapijom treba </w:t>
      </w:r>
      <w:r w:rsidR="00457283" w:rsidRPr="00273F23">
        <w:rPr>
          <w:sz w:val="22"/>
          <w:szCs w:val="22"/>
          <w:lang w:val="sr-Latn-ME"/>
        </w:rPr>
        <w:t>da bude</w:t>
      </w:r>
      <w:r w:rsidRPr="00273F23">
        <w:rPr>
          <w:sz w:val="22"/>
          <w:szCs w:val="22"/>
          <w:lang w:val="sr-Latn-ME"/>
        </w:rPr>
        <w:t xml:space="preserve"> procijenjena periodično, na osnovu koristi i potencijalnih rizika lijeka Fosavance na individualnoj osnovi, posebno posl</w:t>
      </w:r>
      <w:r w:rsidR="00927A10" w:rsidRPr="00273F23">
        <w:rPr>
          <w:sz w:val="22"/>
          <w:szCs w:val="22"/>
          <w:lang w:val="sr-Latn-ME"/>
        </w:rPr>
        <w:t>ij</w:t>
      </w:r>
      <w:r w:rsidRPr="00273F23">
        <w:rPr>
          <w:sz w:val="22"/>
          <w:szCs w:val="22"/>
          <w:lang w:val="sr-Latn-ME"/>
        </w:rPr>
        <w:t>e 5 ili više godina primjene.</w:t>
      </w:r>
    </w:p>
    <w:p w14:paraId="4EAE00C7" w14:textId="356EB6A5" w:rsidR="00C815E2" w:rsidRPr="00273F23" w:rsidRDefault="00C815E2">
      <w:pPr>
        <w:pStyle w:val="Header"/>
        <w:tabs>
          <w:tab w:val="left" w:pos="284"/>
        </w:tabs>
        <w:jc w:val="both"/>
        <w:rPr>
          <w:bCs/>
          <w:sz w:val="22"/>
          <w:szCs w:val="22"/>
          <w:lang w:val="sr-Latn-ME"/>
        </w:rPr>
      </w:pPr>
      <w:r w:rsidRPr="00273F23">
        <w:rPr>
          <w:bCs/>
          <w:sz w:val="22"/>
          <w:szCs w:val="22"/>
          <w:lang w:val="sr-Latn-ME"/>
        </w:rPr>
        <w:t>Po</w:t>
      </w:r>
      <w:r w:rsidR="00B56B45" w:rsidRPr="00273F23">
        <w:rPr>
          <w:bCs/>
          <w:sz w:val="22"/>
          <w:szCs w:val="22"/>
          <w:lang w:val="sr-Latn-ME"/>
        </w:rPr>
        <w:t>trebno je</w:t>
      </w:r>
      <w:r w:rsidR="0056379D" w:rsidRPr="00273F23">
        <w:rPr>
          <w:bCs/>
          <w:sz w:val="22"/>
          <w:szCs w:val="22"/>
          <w:lang w:val="sr-Latn-ME"/>
        </w:rPr>
        <w:t xml:space="preserve"> da </w:t>
      </w:r>
      <w:r w:rsidRPr="00273F23">
        <w:rPr>
          <w:bCs/>
          <w:sz w:val="22"/>
          <w:szCs w:val="22"/>
          <w:lang w:val="sr-Latn-ME"/>
        </w:rPr>
        <w:t xml:space="preserve">pacijentkinje uzimaju suplemente kalcijuma ukoliko je unos kalcijuma hranom nedovoljan (vidjeti </w:t>
      </w:r>
      <w:r w:rsidR="00927A10" w:rsidRPr="00273F23">
        <w:rPr>
          <w:bCs/>
          <w:sz w:val="22"/>
          <w:szCs w:val="22"/>
          <w:lang w:val="sr-Latn-ME"/>
        </w:rPr>
        <w:t xml:space="preserve">dio </w:t>
      </w:r>
      <w:r w:rsidRPr="00273F23">
        <w:rPr>
          <w:bCs/>
          <w:sz w:val="22"/>
          <w:szCs w:val="22"/>
          <w:lang w:val="sr-Latn-ME"/>
        </w:rPr>
        <w:t xml:space="preserve">4.4). Dodatna suplementacija vitaminom D treba da bude razmotrena </w:t>
      </w:r>
      <w:r w:rsidRPr="00273F23">
        <w:rPr>
          <w:bCs/>
          <w:sz w:val="22"/>
          <w:szCs w:val="22"/>
          <w:lang w:val="sr-Latn-ME"/>
        </w:rPr>
        <w:lastRenderedPageBreak/>
        <w:t>individualno, uzimajući u obzir količinu vitamina D koju pacijentkinja uzima putem suplemenata vitamina i dodataka ishrani.</w:t>
      </w:r>
    </w:p>
    <w:p w14:paraId="01683D6A" w14:textId="77777777" w:rsidR="00313225" w:rsidRPr="00273F23" w:rsidRDefault="00313225">
      <w:pPr>
        <w:pStyle w:val="Header"/>
        <w:tabs>
          <w:tab w:val="left" w:pos="284"/>
        </w:tabs>
        <w:jc w:val="both"/>
        <w:rPr>
          <w:bCs/>
          <w:sz w:val="22"/>
          <w:szCs w:val="22"/>
          <w:lang w:val="sr-Latn-ME"/>
        </w:rPr>
      </w:pPr>
    </w:p>
    <w:p w14:paraId="0460A52B" w14:textId="74F01503" w:rsidR="00C815E2" w:rsidRPr="00273F23" w:rsidRDefault="00C815E2">
      <w:pPr>
        <w:pStyle w:val="Header"/>
        <w:tabs>
          <w:tab w:val="left" w:pos="284"/>
        </w:tabs>
        <w:jc w:val="both"/>
        <w:rPr>
          <w:sz w:val="22"/>
          <w:szCs w:val="22"/>
          <w:lang w:val="sr-Latn-ME"/>
        </w:rPr>
      </w:pPr>
      <w:r w:rsidRPr="00273F23">
        <w:rPr>
          <w:bCs/>
          <w:sz w:val="22"/>
          <w:szCs w:val="22"/>
          <w:lang w:val="sr-Latn-ME"/>
        </w:rPr>
        <w:t>Ekvivalentnost unijete količine vitamina D</w:t>
      </w:r>
      <w:r w:rsidRPr="00273F23">
        <w:rPr>
          <w:bCs/>
          <w:sz w:val="22"/>
          <w:szCs w:val="22"/>
          <w:vertAlign w:val="subscript"/>
          <w:lang w:val="sr-Latn-ME"/>
        </w:rPr>
        <w:t>3</w:t>
      </w:r>
      <w:r w:rsidRPr="00273F23">
        <w:rPr>
          <w:bCs/>
          <w:sz w:val="22"/>
          <w:szCs w:val="22"/>
          <w:lang w:val="sr-Latn-ME"/>
        </w:rPr>
        <w:t xml:space="preserve"> od 5600 i.j. jednom ned</w:t>
      </w:r>
      <w:r w:rsidR="00F30D89" w:rsidRPr="00273F23">
        <w:rPr>
          <w:bCs/>
          <w:sz w:val="22"/>
          <w:szCs w:val="22"/>
          <w:lang w:val="sr-Latn-ME"/>
        </w:rPr>
        <w:t>j</w:t>
      </w:r>
      <w:r w:rsidRPr="00273F23">
        <w:rPr>
          <w:bCs/>
          <w:sz w:val="22"/>
          <w:szCs w:val="22"/>
          <w:lang w:val="sr-Latn-ME"/>
        </w:rPr>
        <w:t xml:space="preserve">eljno uzimanjem lijeka </w:t>
      </w:r>
      <w:r w:rsidRPr="00273F23">
        <w:rPr>
          <w:sz w:val="22"/>
          <w:szCs w:val="22"/>
          <w:lang w:val="sr-Latn-ME"/>
        </w:rPr>
        <w:t>Fosavance</w:t>
      </w:r>
      <w:r w:rsidRPr="00273F23">
        <w:rPr>
          <w:bCs/>
          <w:sz w:val="22"/>
          <w:szCs w:val="22"/>
          <w:lang w:val="sr-Latn-ME"/>
        </w:rPr>
        <w:t xml:space="preserve"> i dnevne doze vitamina D od 800 i.j. nije ispitivana.</w:t>
      </w:r>
    </w:p>
    <w:p w14:paraId="0AAD120E" w14:textId="77777777" w:rsidR="00C815E2" w:rsidRPr="00273F23" w:rsidRDefault="00C815E2">
      <w:pPr>
        <w:pStyle w:val="Header"/>
        <w:tabs>
          <w:tab w:val="left" w:pos="284"/>
        </w:tabs>
        <w:jc w:val="both"/>
        <w:rPr>
          <w:bCs/>
          <w:i/>
          <w:sz w:val="22"/>
          <w:szCs w:val="22"/>
          <w:lang w:val="sr-Latn-ME"/>
        </w:rPr>
      </w:pPr>
    </w:p>
    <w:p w14:paraId="2C9A55BD" w14:textId="77777777" w:rsidR="00C815E2" w:rsidRPr="00273F23" w:rsidRDefault="00C815E2">
      <w:pPr>
        <w:jc w:val="both"/>
        <w:rPr>
          <w:i/>
          <w:sz w:val="22"/>
          <w:szCs w:val="22"/>
          <w:lang w:val="sr-Latn-ME"/>
        </w:rPr>
      </w:pPr>
      <w:r w:rsidRPr="00273F23">
        <w:rPr>
          <w:i/>
          <w:sz w:val="22"/>
          <w:szCs w:val="22"/>
          <w:lang w:val="sr-Latn-ME"/>
        </w:rPr>
        <w:t>Stariji pacijenti</w:t>
      </w:r>
    </w:p>
    <w:p w14:paraId="37D80568" w14:textId="4E2FFD7F" w:rsidR="00C815E2" w:rsidRPr="00273F23" w:rsidRDefault="00C815E2">
      <w:pPr>
        <w:jc w:val="both"/>
        <w:rPr>
          <w:sz w:val="22"/>
          <w:szCs w:val="22"/>
          <w:lang w:val="sr-Latn-ME"/>
        </w:rPr>
      </w:pPr>
      <w:r w:rsidRPr="00273F23">
        <w:rPr>
          <w:sz w:val="22"/>
          <w:szCs w:val="22"/>
          <w:lang w:val="sr-Latn-ME"/>
        </w:rPr>
        <w:t xml:space="preserve">U kliničkim studijama nije uočena razlika u bezbjednosti ili efikasnosti primjene alendronata </w:t>
      </w:r>
      <w:r w:rsidR="00313225" w:rsidRPr="00273F23">
        <w:rPr>
          <w:sz w:val="22"/>
          <w:szCs w:val="22"/>
          <w:lang w:val="sr-Latn-ME"/>
        </w:rPr>
        <w:t>povezana sa</w:t>
      </w:r>
      <w:r w:rsidRPr="00273F23">
        <w:rPr>
          <w:sz w:val="22"/>
          <w:szCs w:val="22"/>
          <w:lang w:val="sr-Latn-ME"/>
        </w:rPr>
        <w:t xml:space="preserve"> godin</w:t>
      </w:r>
      <w:r w:rsidR="00313225" w:rsidRPr="00273F23">
        <w:rPr>
          <w:sz w:val="22"/>
          <w:szCs w:val="22"/>
          <w:lang w:val="sr-Latn-ME"/>
        </w:rPr>
        <w:t>ama</w:t>
      </w:r>
      <w:r w:rsidRPr="00273F23">
        <w:rPr>
          <w:sz w:val="22"/>
          <w:szCs w:val="22"/>
          <w:lang w:val="sr-Latn-ME"/>
        </w:rPr>
        <w:t xml:space="preserve"> života. Stoga nije potrebno prilagođavanje doze kod starijih pacijentkinja.</w:t>
      </w:r>
    </w:p>
    <w:p w14:paraId="75544723" w14:textId="77777777" w:rsidR="00C815E2" w:rsidRPr="00273F23" w:rsidRDefault="00C815E2">
      <w:pPr>
        <w:pStyle w:val="Header"/>
        <w:tabs>
          <w:tab w:val="left" w:pos="284"/>
        </w:tabs>
        <w:jc w:val="both"/>
        <w:rPr>
          <w:bCs/>
          <w:i/>
          <w:sz w:val="22"/>
          <w:szCs w:val="22"/>
          <w:lang w:val="sr-Latn-ME"/>
        </w:rPr>
      </w:pPr>
    </w:p>
    <w:p w14:paraId="3D39FA2F" w14:textId="77777777" w:rsidR="00C815E2" w:rsidRPr="00273F23" w:rsidRDefault="00C815E2">
      <w:pPr>
        <w:jc w:val="both"/>
        <w:rPr>
          <w:i/>
          <w:sz w:val="22"/>
          <w:szCs w:val="22"/>
          <w:lang w:val="sr-Latn-ME"/>
        </w:rPr>
      </w:pPr>
      <w:r w:rsidRPr="00273F23">
        <w:rPr>
          <w:i/>
          <w:sz w:val="22"/>
          <w:szCs w:val="22"/>
          <w:lang w:val="sr-Latn-ME"/>
        </w:rPr>
        <w:t>Oštećenje funkcije bubrega</w:t>
      </w:r>
    </w:p>
    <w:p w14:paraId="743FA946" w14:textId="77910452" w:rsidR="00C815E2" w:rsidRPr="00273F23" w:rsidRDefault="00C815E2">
      <w:pPr>
        <w:jc w:val="both"/>
        <w:rPr>
          <w:sz w:val="22"/>
          <w:szCs w:val="22"/>
          <w:lang w:val="sr-Latn-ME"/>
        </w:rPr>
      </w:pPr>
      <w:r w:rsidRPr="00273F23">
        <w:rPr>
          <w:sz w:val="22"/>
          <w:szCs w:val="22"/>
          <w:lang w:val="sr-Latn-ME"/>
        </w:rPr>
        <w:t>Usl</w:t>
      </w:r>
      <w:r w:rsidR="00927A10" w:rsidRPr="00273F23">
        <w:rPr>
          <w:sz w:val="22"/>
          <w:szCs w:val="22"/>
          <w:lang w:val="sr-Latn-ME"/>
        </w:rPr>
        <w:t>j</w:t>
      </w:r>
      <w:r w:rsidRPr="00273F23">
        <w:rPr>
          <w:sz w:val="22"/>
          <w:szCs w:val="22"/>
          <w:lang w:val="sr-Latn-ME"/>
        </w:rPr>
        <w:t xml:space="preserve">ed nedostatka iskustva, primjena lijeka Fosavance se ne preporučuje kod pacijentkinja sa oštećenjem funkcije bubrega kod kojih je klirens kreatinina manji od 35 </w:t>
      </w:r>
      <w:r w:rsidR="00313225" w:rsidRPr="00273F23">
        <w:rPr>
          <w:sz w:val="22"/>
          <w:szCs w:val="22"/>
          <w:lang w:val="sr-Latn-ME"/>
        </w:rPr>
        <w:t>ml</w:t>
      </w:r>
      <w:r w:rsidRPr="00273F23">
        <w:rPr>
          <w:sz w:val="22"/>
          <w:szCs w:val="22"/>
          <w:lang w:val="sr-Latn-ME"/>
        </w:rPr>
        <w:t>/min.</w:t>
      </w:r>
      <w:r w:rsidR="00F30D89" w:rsidRPr="00273F23">
        <w:rPr>
          <w:sz w:val="22"/>
          <w:szCs w:val="22"/>
          <w:lang w:val="sr-Latn-ME"/>
        </w:rPr>
        <w:t xml:space="preserve"> </w:t>
      </w:r>
      <w:r w:rsidRPr="00273F23">
        <w:rPr>
          <w:sz w:val="22"/>
          <w:szCs w:val="22"/>
          <w:lang w:val="sr-Latn-ME"/>
        </w:rPr>
        <w:t xml:space="preserve">Nije potrebno prilagođavati dozu kod pacijentkinja kod kojih je klirens kreatinina veći od 35 </w:t>
      </w:r>
      <w:r w:rsidR="00313225" w:rsidRPr="00273F23">
        <w:rPr>
          <w:sz w:val="22"/>
          <w:szCs w:val="22"/>
          <w:lang w:val="sr-Latn-ME"/>
        </w:rPr>
        <w:t>ml</w:t>
      </w:r>
      <w:r w:rsidRPr="00273F23">
        <w:rPr>
          <w:sz w:val="22"/>
          <w:szCs w:val="22"/>
          <w:lang w:val="sr-Latn-ME"/>
        </w:rPr>
        <w:t xml:space="preserve">/min. </w:t>
      </w:r>
    </w:p>
    <w:p w14:paraId="494DD837" w14:textId="77777777" w:rsidR="00C815E2" w:rsidRPr="00273F23" w:rsidRDefault="00C815E2">
      <w:pPr>
        <w:pStyle w:val="Header"/>
        <w:tabs>
          <w:tab w:val="left" w:pos="284"/>
        </w:tabs>
        <w:jc w:val="both"/>
        <w:rPr>
          <w:bCs/>
          <w:i/>
          <w:sz w:val="22"/>
          <w:szCs w:val="22"/>
          <w:lang w:val="sr-Latn-ME"/>
        </w:rPr>
      </w:pPr>
    </w:p>
    <w:p w14:paraId="4A6CA480" w14:textId="77777777" w:rsidR="00C815E2" w:rsidRPr="00273F23" w:rsidRDefault="00C815E2">
      <w:pPr>
        <w:pStyle w:val="Header"/>
        <w:tabs>
          <w:tab w:val="left" w:pos="284"/>
        </w:tabs>
        <w:jc w:val="both"/>
        <w:rPr>
          <w:bCs/>
          <w:i/>
          <w:sz w:val="22"/>
          <w:szCs w:val="22"/>
          <w:lang w:val="sr-Latn-ME"/>
        </w:rPr>
      </w:pPr>
      <w:r w:rsidRPr="00273F23">
        <w:rPr>
          <w:bCs/>
          <w:i/>
          <w:sz w:val="22"/>
          <w:szCs w:val="22"/>
          <w:lang w:val="sr-Latn-ME"/>
        </w:rPr>
        <w:t>Pedijatrijska populacija</w:t>
      </w:r>
    </w:p>
    <w:p w14:paraId="436682A0" w14:textId="54BBEA12" w:rsidR="00C815E2" w:rsidRPr="00273F23" w:rsidRDefault="00C815E2">
      <w:pPr>
        <w:tabs>
          <w:tab w:val="left" w:pos="540"/>
          <w:tab w:val="left" w:pos="569"/>
        </w:tabs>
        <w:jc w:val="both"/>
        <w:rPr>
          <w:sz w:val="22"/>
          <w:szCs w:val="22"/>
          <w:lang w:val="sr-Latn-ME"/>
        </w:rPr>
      </w:pPr>
      <w:r w:rsidRPr="00273F23">
        <w:rPr>
          <w:sz w:val="22"/>
          <w:szCs w:val="22"/>
          <w:lang w:val="sr-Latn-ME"/>
        </w:rPr>
        <w:t xml:space="preserve">Bezbjednost i efikasnost lijeka Fosavance kod djece i adolescenata </w:t>
      </w:r>
      <w:r w:rsidR="00313225" w:rsidRPr="00273F23">
        <w:rPr>
          <w:sz w:val="22"/>
          <w:szCs w:val="22"/>
          <w:lang w:val="sr-Latn-ME"/>
        </w:rPr>
        <w:t>ml</w:t>
      </w:r>
      <w:r w:rsidRPr="00273F23">
        <w:rPr>
          <w:sz w:val="22"/>
          <w:szCs w:val="22"/>
          <w:lang w:val="sr-Latn-ME"/>
        </w:rPr>
        <w:t xml:space="preserve">ađih od 18 godina nije ustanovljena. S obzirom </w:t>
      </w:r>
      <w:r w:rsidR="00313225" w:rsidRPr="00273F23">
        <w:rPr>
          <w:sz w:val="22"/>
          <w:szCs w:val="22"/>
          <w:lang w:val="sr-Latn-ME"/>
        </w:rPr>
        <w:t xml:space="preserve">na to </w:t>
      </w:r>
      <w:r w:rsidRPr="00273F23">
        <w:rPr>
          <w:sz w:val="22"/>
          <w:szCs w:val="22"/>
          <w:lang w:val="sr-Latn-ME"/>
        </w:rPr>
        <w:t xml:space="preserve">da nema dostupnih podataka o primjeni kombinacije alendronska </w:t>
      </w:r>
      <w:r w:rsidR="00313225" w:rsidRPr="00273F23">
        <w:rPr>
          <w:sz w:val="22"/>
          <w:szCs w:val="22"/>
          <w:lang w:val="sr-Latn-ME"/>
        </w:rPr>
        <w:t>kise</w:t>
      </w:r>
      <w:r w:rsidRPr="00273F23">
        <w:rPr>
          <w:sz w:val="22"/>
          <w:szCs w:val="22"/>
          <w:lang w:val="sr-Latn-ME"/>
        </w:rPr>
        <w:t xml:space="preserve">lina/holekalciferol, ovaj lijek </w:t>
      </w:r>
      <w:r w:rsidR="003966ED" w:rsidRPr="00273F23">
        <w:rPr>
          <w:sz w:val="22"/>
          <w:szCs w:val="22"/>
          <w:lang w:val="sr-Latn-ME"/>
        </w:rPr>
        <w:t>se ne smije</w:t>
      </w:r>
      <w:r w:rsidR="0056379D" w:rsidRPr="00273F23">
        <w:rPr>
          <w:sz w:val="22"/>
          <w:szCs w:val="22"/>
          <w:lang w:val="sr-Latn-ME"/>
        </w:rPr>
        <w:t xml:space="preserve"> </w:t>
      </w:r>
      <w:r w:rsidRPr="00273F23">
        <w:rPr>
          <w:sz w:val="22"/>
          <w:szCs w:val="22"/>
          <w:lang w:val="sr-Latn-ME"/>
        </w:rPr>
        <w:t xml:space="preserve">propisivati djeci i adolescentima </w:t>
      </w:r>
      <w:r w:rsidR="00313225" w:rsidRPr="00273F23">
        <w:rPr>
          <w:sz w:val="22"/>
          <w:szCs w:val="22"/>
          <w:lang w:val="sr-Latn-ME"/>
        </w:rPr>
        <w:t>ml</w:t>
      </w:r>
      <w:r w:rsidRPr="00273F23">
        <w:rPr>
          <w:sz w:val="22"/>
          <w:szCs w:val="22"/>
          <w:lang w:val="sr-Latn-ME"/>
        </w:rPr>
        <w:t>ađim od 18 godina. Trenutno dostupni podaci o primjeni alendronske kis</w:t>
      </w:r>
      <w:r w:rsidR="00313225" w:rsidRPr="00273F23">
        <w:rPr>
          <w:sz w:val="22"/>
          <w:szCs w:val="22"/>
          <w:lang w:val="sr-Latn-ME"/>
        </w:rPr>
        <w:t>e</w:t>
      </w:r>
      <w:r w:rsidRPr="00273F23">
        <w:rPr>
          <w:sz w:val="22"/>
          <w:szCs w:val="22"/>
          <w:lang w:val="sr-Latn-ME"/>
        </w:rPr>
        <w:t xml:space="preserve">eline u pedijatrijskoj populaciji opisani su u </w:t>
      </w:r>
      <w:r w:rsidR="00F30D89" w:rsidRPr="00273F23">
        <w:rPr>
          <w:sz w:val="22"/>
          <w:szCs w:val="22"/>
          <w:lang w:val="sr-Latn-ME"/>
        </w:rPr>
        <w:t xml:space="preserve">dijelu </w:t>
      </w:r>
      <w:r w:rsidRPr="00273F23">
        <w:rPr>
          <w:sz w:val="22"/>
          <w:szCs w:val="22"/>
          <w:lang w:val="sr-Latn-ME"/>
        </w:rPr>
        <w:t>5.1</w:t>
      </w:r>
    </w:p>
    <w:p w14:paraId="2CB82B05" w14:textId="6D4BB7E5" w:rsidR="00C815E2" w:rsidRPr="00273F23" w:rsidRDefault="00C815E2">
      <w:pPr>
        <w:tabs>
          <w:tab w:val="left" w:pos="540"/>
          <w:tab w:val="left" w:pos="569"/>
        </w:tabs>
        <w:jc w:val="both"/>
        <w:rPr>
          <w:bCs/>
          <w:sz w:val="22"/>
          <w:szCs w:val="22"/>
          <w:u w:val="single"/>
          <w:lang w:val="sr-Latn-ME"/>
        </w:rPr>
      </w:pPr>
    </w:p>
    <w:p w14:paraId="5638C446" w14:textId="77777777" w:rsidR="00452E9D" w:rsidRPr="00273F23" w:rsidRDefault="00452E9D" w:rsidP="00327919">
      <w:pPr>
        <w:tabs>
          <w:tab w:val="left" w:pos="540"/>
          <w:tab w:val="left" w:pos="569"/>
        </w:tabs>
        <w:jc w:val="both"/>
        <w:rPr>
          <w:bCs/>
          <w:sz w:val="22"/>
          <w:szCs w:val="22"/>
          <w:u w:val="single"/>
          <w:lang w:val="sr-Latn-ME"/>
        </w:rPr>
      </w:pPr>
      <w:r w:rsidRPr="00273F23">
        <w:rPr>
          <w:bCs/>
          <w:sz w:val="22"/>
          <w:szCs w:val="22"/>
          <w:u w:val="single"/>
          <w:lang w:val="sr-Latn-ME"/>
        </w:rPr>
        <w:t>Način primjene</w:t>
      </w:r>
    </w:p>
    <w:p w14:paraId="5ACE9F46" w14:textId="41A6875D" w:rsidR="00452E9D" w:rsidRPr="00273F23" w:rsidRDefault="00452E9D" w:rsidP="00327919">
      <w:pPr>
        <w:tabs>
          <w:tab w:val="left" w:pos="540"/>
          <w:tab w:val="left" w:pos="569"/>
        </w:tabs>
        <w:jc w:val="both"/>
        <w:rPr>
          <w:bCs/>
          <w:sz w:val="22"/>
          <w:szCs w:val="22"/>
          <w:lang w:val="sr-Latn-ME"/>
        </w:rPr>
      </w:pPr>
    </w:p>
    <w:p w14:paraId="2A465A7A" w14:textId="77777777" w:rsidR="00927A10" w:rsidRPr="00273F23" w:rsidRDefault="00927A10" w:rsidP="00457283">
      <w:pPr>
        <w:tabs>
          <w:tab w:val="left" w:pos="540"/>
          <w:tab w:val="left" w:pos="569"/>
        </w:tabs>
        <w:jc w:val="both"/>
        <w:rPr>
          <w:bCs/>
          <w:sz w:val="22"/>
          <w:szCs w:val="22"/>
          <w:lang w:val="sr-Latn-ME"/>
        </w:rPr>
      </w:pPr>
      <w:r w:rsidRPr="00273F23">
        <w:rPr>
          <w:bCs/>
          <w:sz w:val="22"/>
          <w:szCs w:val="22"/>
          <w:lang w:val="sr-Latn-ME"/>
        </w:rPr>
        <w:t>Oralna primjena.</w:t>
      </w:r>
    </w:p>
    <w:p w14:paraId="6809BD87" w14:textId="77777777" w:rsidR="00927A10" w:rsidRPr="00273F23" w:rsidRDefault="00927A10" w:rsidP="00457283">
      <w:pPr>
        <w:tabs>
          <w:tab w:val="left" w:pos="540"/>
          <w:tab w:val="left" w:pos="569"/>
        </w:tabs>
        <w:jc w:val="both"/>
        <w:rPr>
          <w:bCs/>
          <w:i/>
          <w:sz w:val="22"/>
          <w:szCs w:val="22"/>
          <w:lang w:val="sr-Latn-ME"/>
        </w:rPr>
      </w:pPr>
    </w:p>
    <w:p w14:paraId="58B8E19F" w14:textId="77777777" w:rsidR="00927A10" w:rsidRPr="00273F23" w:rsidRDefault="00927A10" w:rsidP="00457283">
      <w:pPr>
        <w:tabs>
          <w:tab w:val="left" w:pos="540"/>
          <w:tab w:val="left" w:pos="569"/>
        </w:tabs>
        <w:jc w:val="both"/>
        <w:rPr>
          <w:bCs/>
          <w:sz w:val="22"/>
          <w:szCs w:val="22"/>
          <w:lang w:val="sr-Latn-ME"/>
        </w:rPr>
      </w:pPr>
      <w:r w:rsidRPr="00273F23">
        <w:rPr>
          <w:bCs/>
          <w:sz w:val="22"/>
          <w:szCs w:val="22"/>
          <w:lang w:val="sr-Latn-ME"/>
        </w:rPr>
        <w:t>Da bi se omogućila adekvatna resorpcija alendronata:</w:t>
      </w:r>
    </w:p>
    <w:p w14:paraId="47B47B16" w14:textId="77777777" w:rsidR="00927A10" w:rsidRPr="00273F23" w:rsidRDefault="00927A10">
      <w:pPr>
        <w:tabs>
          <w:tab w:val="left" w:pos="540"/>
          <w:tab w:val="left" w:pos="569"/>
        </w:tabs>
        <w:jc w:val="both"/>
        <w:rPr>
          <w:bCs/>
          <w:i/>
          <w:sz w:val="22"/>
          <w:szCs w:val="22"/>
          <w:lang w:val="sr-Latn-ME"/>
        </w:rPr>
      </w:pPr>
    </w:p>
    <w:p w14:paraId="71E2CB2A" w14:textId="11AB2D13" w:rsidR="00927A10" w:rsidRPr="00273F23" w:rsidRDefault="00927A10">
      <w:pPr>
        <w:tabs>
          <w:tab w:val="left" w:pos="540"/>
          <w:tab w:val="left" w:pos="569"/>
        </w:tabs>
        <w:jc w:val="both"/>
        <w:rPr>
          <w:bCs/>
          <w:sz w:val="22"/>
          <w:szCs w:val="22"/>
          <w:lang w:val="sr-Latn-ME"/>
        </w:rPr>
      </w:pPr>
      <w:r w:rsidRPr="00273F23">
        <w:rPr>
          <w:bCs/>
          <w:sz w:val="22"/>
          <w:szCs w:val="22"/>
          <w:lang w:val="sr-Latn-ME"/>
        </w:rPr>
        <w:t>Lijek Fosavance mora da se uzima samo sa običnom vodom (nikako sa mineralnom vodom) najmanje 30 minuta prije uzimanja prvog dnevnog obroka, napitka ili nekog drugog lijeka (uključujući antacide, suplemente kalcijuma i vitamine). Ostali napici (uključujući mineralnu vodu), hrana i neki ljekovi mogu da smanje resorpciju alendronata (vidjeti djelove</w:t>
      </w:r>
      <w:r w:rsidR="00313225" w:rsidRPr="00273F23">
        <w:rPr>
          <w:bCs/>
          <w:sz w:val="22"/>
          <w:szCs w:val="22"/>
          <w:lang w:val="sr-Latn-ME"/>
        </w:rPr>
        <w:t xml:space="preserve"> </w:t>
      </w:r>
      <w:r w:rsidRPr="00273F23">
        <w:rPr>
          <w:bCs/>
          <w:sz w:val="22"/>
          <w:szCs w:val="22"/>
          <w:lang w:val="sr-Latn-ME"/>
        </w:rPr>
        <w:t>4.5 i 4.8).</w:t>
      </w:r>
    </w:p>
    <w:p w14:paraId="2498F1BC" w14:textId="77777777" w:rsidR="00927A10" w:rsidRPr="00273F23" w:rsidRDefault="00927A10">
      <w:pPr>
        <w:tabs>
          <w:tab w:val="left" w:pos="540"/>
          <w:tab w:val="left" w:pos="569"/>
        </w:tabs>
        <w:jc w:val="both"/>
        <w:rPr>
          <w:bCs/>
          <w:sz w:val="22"/>
          <w:szCs w:val="22"/>
          <w:lang w:val="sr-Latn-ME"/>
        </w:rPr>
      </w:pPr>
    </w:p>
    <w:p w14:paraId="1A7E8D4B" w14:textId="6EECDFFB" w:rsidR="00927A10" w:rsidRPr="00273F23" w:rsidRDefault="00927A10">
      <w:pPr>
        <w:tabs>
          <w:tab w:val="left" w:pos="540"/>
          <w:tab w:val="left" w:pos="569"/>
        </w:tabs>
        <w:jc w:val="both"/>
        <w:rPr>
          <w:bCs/>
          <w:sz w:val="22"/>
          <w:szCs w:val="22"/>
          <w:lang w:val="sr-Latn-ME"/>
        </w:rPr>
      </w:pPr>
      <w:r w:rsidRPr="00273F23">
        <w:rPr>
          <w:bCs/>
          <w:sz w:val="22"/>
          <w:szCs w:val="22"/>
          <w:lang w:val="sr-Latn-ME"/>
        </w:rPr>
        <w:t xml:space="preserve">Da bi se smanjio rizik od pojave nadražaja sluzokože jednjaka i drugih </w:t>
      </w:r>
      <w:r w:rsidR="00313225" w:rsidRPr="00273F23">
        <w:rPr>
          <w:bCs/>
          <w:sz w:val="22"/>
          <w:szCs w:val="22"/>
          <w:lang w:val="sr-Latn-ME"/>
        </w:rPr>
        <w:t>povezanih</w:t>
      </w:r>
      <w:r w:rsidRPr="00273F23">
        <w:rPr>
          <w:bCs/>
          <w:sz w:val="22"/>
          <w:szCs w:val="22"/>
          <w:lang w:val="sr-Latn-ME"/>
        </w:rPr>
        <w:t xml:space="preserve"> neželjenih reakcija potrebno je strogo poštovati sl</w:t>
      </w:r>
      <w:r w:rsidR="00F30D89" w:rsidRPr="00273F23">
        <w:rPr>
          <w:bCs/>
          <w:sz w:val="22"/>
          <w:szCs w:val="22"/>
          <w:lang w:val="sr-Latn-ME"/>
        </w:rPr>
        <w:t>j</w:t>
      </w:r>
      <w:r w:rsidRPr="00273F23">
        <w:rPr>
          <w:bCs/>
          <w:sz w:val="22"/>
          <w:szCs w:val="22"/>
          <w:lang w:val="sr-Latn-ME"/>
        </w:rPr>
        <w:t>edeća uputstva (vidjeti dio 4.4):</w:t>
      </w:r>
    </w:p>
    <w:p w14:paraId="03FF417A" w14:textId="77777777" w:rsidR="00927A10" w:rsidRPr="00273F23" w:rsidRDefault="00927A10">
      <w:pPr>
        <w:tabs>
          <w:tab w:val="left" w:pos="540"/>
          <w:tab w:val="left" w:pos="569"/>
        </w:tabs>
        <w:jc w:val="both"/>
        <w:rPr>
          <w:bCs/>
          <w:sz w:val="22"/>
          <w:szCs w:val="22"/>
          <w:lang w:val="sr-Latn-ME"/>
        </w:rPr>
      </w:pPr>
    </w:p>
    <w:p w14:paraId="688F8DF5" w14:textId="1059953A" w:rsidR="00927A10" w:rsidRPr="00273F23" w:rsidRDefault="00927A10">
      <w:pPr>
        <w:numPr>
          <w:ilvl w:val="0"/>
          <w:numId w:val="12"/>
        </w:numPr>
        <w:tabs>
          <w:tab w:val="left" w:pos="540"/>
          <w:tab w:val="left" w:pos="569"/>
        </w:tabs>
        <w:jc w:val="both"/>
        <w:rPr>
          <w:bCs/>
          <w:sz w:val="22"/>
          <w:szCs w:val="22"/>
          <w:lang w:val="sr-Latn-ME"/>
        </w:rPr>
      </w:pPr>
      <w:r w:rsidRPr="00273F23">
        <w:rPr>
          <w:bCs/>
          <w:sz w:val="22"/>
          <w:szCs w:val="22"/>
          <w:lang w:val="sr-Latn-ME"/>
        </w:rPr>
        <w:t xml:space="preserve">Lijek Fosavance treba uzeti ujutru nakon ustajanja i popiti ga sa punom čašom obične vode (količina vode ne smije biti manja od 200 </w:t>
      </w:r>
      <w:r w:rsidR="00313225" w:rsidRPr="00273F23">
        <w:rPr>
          <w:bCs/>
          <w:sz w:val="22"/>
          <w:szCs w:val="22"/>
          <w:lang w:val="sr-Latn-ME"/>
        </w:rPr>
        <w:t>ml</w:t>
      </w:r>
      <w:r w:rsidRPr="00273F23">
        <w:rPr>
          <w:bCs/>
          <w:sz w:val="22"/>
          <w:szCs w:val="22"/>
          <w:lang w:val="sr-Latn-ME"/>
        </w:rPr>
        <w:t>).</w:t>
      </w:r>
    </w:p>
    <w:p w14:paraId="6645D694" w14:textId="77777777" w:rsidR="00927A10" w:rsidRPr="00273F23" w:rsidRDefault="00927A10">
      <w:pPr>
        <w:tabs>
          <w:tab w:val="left" w:pos="540"/>
          <w:tab w:val="left" w:pos="569"/>
        </w:tabs>
        <w:jc w:val="both"/>
        <w:rPr>
          <w:bCs/>
          <w:sz w:val="22"/>
          <w:szCs w:val="22"/>
          <w:lang w:val="sr-Latn-ME"/>
        </w:rPr>
      </w:pPr>
    </w:p>
    <w:p w14:paraId="2045DF28" w14:textId="57BE7B0E" w:rsidR="00927A10" w:rsidRPr="00273F23" w:rsidRDefault="00927A10">
      <w:pPr>
        <w:numPr>
          <w:ilvl w:val="0"/>
          <w:numId w:val="12"/>
        </w:numPr>
        <w:tabs>
          <w:tab w:val="left" w:pos="540"/>
          <w:tab w:val="left" w:pos="569"/>
        </w:tabs>
        <w:jc w:val="both"/>
        <w:rPr>
          <w:bCs/>
          <w:sz w:val="22"/>
          <w:szCs w:val="22"/>
          <w:lang w:val="sr-Latn-ME"/>
        </w:rPr>
      </w:pPr>
      <w:r w:rsidRPr="00273F23">
        <w:rPr>
          <w:bCs/>
          <w:sz w:val="22"/>
          <w:szCs w:val="22"/>
          <w:lang w:val="sr-Latn-ME"/>
        </w:rPr>
        <w:t xml:space="preserve">Pacijentkinje treba da progutaju cijelu tabletu lijeka Fosavance. Pacijentkinje ne </w:t>
      </w:r>
      <w:r w:rsidR="00B56B45" w:rsidRPr="00273F23">
        <w:rPr>
          <w:bCs/>
          <w:sz w:val="22"/>
          <w:szCs w:val="22"/>
          <w:lang w:val="sr-Latn-ME"/>
        </w:rPr>
        <w:t>smiju</w:t>
      </w:r>
      <w:r w:rsidRPr="00273F23">
        <w:rPr>
          <w:bCs/>
          <w:sz w:val="22"/>
          <w:szCs w:val="22"/>
          <w:lang w:val="sr-Latn-ME"/>
        </w:rPr>
        <w:t xml:space="preserve"> da drobe ili žvaću tabletu, niti da dozvole da se tableta rastopi u ustima zbog mogućnosti razvoja orofaringealnih ulceracija.</w:t>
      </w:r>
    </w:p>
    <w:p w14:paraId="4E6E8229" w14:textId="77777777" w:rsidR="00927A10" w:rsidRPr="00273F23" w:rsidRDefault="00927A10">
      <w:pPr>
        <w:pStyle w:val="ListParagraph"/>
        <w:jc w:val="both"/>
        <w:rPr>
          <w:bCs/>
          <w:sz w:val="22"/>
          <w:szCs w:val="22"/>
          <w:lang w:val="sr-Latn-ME"/>
        </w:rPr>
      </w:pPr>
    </w:p>
    <w:p w14:paraId="29BE45BD" w14:textId="4183AFA3" w:rsidR="00927A10" w:rsidRPr="00273F23" w:rsidRDefault="00927A10">
      <w:pPr>
        <w:numPr>
          <w:ilvl w:val="0"/>
          <w:numId w:val="12"/>
        </w:numPr>
        <w:tabs>
          <w:tab w:val="left" w:pos="284"/>
        </w:tabs>
        <w:jc w:val="both"/>
        <w:rPr>
          <w:sz w:val="22"/>
          <w:szCs w:val="22"/>
          <w:lang w:val="sr-Latn-ME"/>
        </w:rPr>
      </w:pPr>
      <w:r w:rsidRPr="00273F23">
        <w:rPr>
          <w:sz w:val="22"/>
          <w:szCs w:val="22"/>
          <w:lang w:val="sr-Latn-ME"/>
        </w:rPr>
        <w:t>Pacijentkinje ne smiju da legnu najmanje 30 minuta nakon uzimanja lijeka Fosavance i dok ne</w:t>
      </w:r>
      <w:r w:rsidR="00313225" w:rsidRPr="00273F23">
        <w:rPr>
          <w:sz w:val="22"/>
          <w:szCs w:val="22"/>
          <w:lang w:val="sr-Latn-ME"/>
        </w:rPr>
        <w:t xml:space="preserve"> pojedu</w:t>
      </w:r>
      <w:r w:rsidRPr="00273F23">
        <w:rPr>
          <w:sz w:val="22"/>
          <w:szCs w:val="22"/>
          <w:lang w:val="sr-Latn-ME"/>
        </w:rPr>
        <w:t xml:space="preserve"> svoj prvi dnevni obrok.</w:t>
      </w:r>
    </w:p>
    <w:p w14:paraId="576B5BA3" w14:textId="77777777" w:rsidR="00927A10" w:rsidRPr="00273F23" w:rsidRDefault="00927A10">
      <w:pPr>
        <w:pStyle w:val="ListParagraph"/>
        <w:tabs>
          <w:tab w:val="left" w:pos="284"/>
        </w:tabs>
        <w:ind w:left="360"/>
        <w:jc w:val="both"/>
        <w:rPr>
          <w:sz w:val="22"/>
          <w:szCs w:val="22"/>
          <w:lang w:val="sr-Latn-ME"/>
        </w:rPr>
      </w:pPr>
    </w:p>
    <w:p w14:paraId="72828006" w14:textId="1312E86D" w:rsidR="00927A10" w:rsidRPr="00273F23" w:rsidRDefault="00927A10">
      <w:pPr>
        <w:pStyle w:val="ListParagraph"/>
        <w:numPr>
          <w:ilvl w:val="0"/>
          <w:numId w:val="12"/>
        </w:numPr>
        <w:tabs>
          <w:tab w:val="left" w:pos="284"/>
        </w:tabs>
        <w:jc w:val="both"/>
        <w:rPr>
          <w:sz w:val="22"/>
          <w:szCs w:val="22"/>
          <w:lang w:val="sr-Latn-ME"/>
        </w:rPr>
      </w:pPr>
      <w:r w:rsidRPr="00273F23">
        <w:rPr>
          <w:sz w:val="22"/>
          <w:szCs w:val="22"/>
          <w:lang w:val="sr-Latn-ME"/>
        </w:rPr>
        <w:t>Lijek Fosavance se ne smije uzimati uveče prije spavanja ili ujutru prije ustajanja.</w:t>
      </w:r>
    </w:p>
    <w:p w14:paraId="2CA3DFCB" w14:textId="77777777" w:rsidR="00927A10" w:rsidRPr="00273F23" w:rsidRDefault="00927A10" w:rsidP="00327919">
      <w:pPr>
        <w:tabs>
          <w:tab w:val="left" w:pos="540"/>
          <w:tab w:val="left" w:pos="569"/>
        </w:tabs>
        <w:jc w:val="both"/>
        <w:rPr>
          <w:bCs/>
          <w:sz w:val="22"/>
          <w:szCs w:val="22"/>
          <w:lang w:val="sr-Latn-ME"/>
        </w:rPr>
      </w:pPr>
    </w:p>
    <w:p w14:paraId="43C12535" w14:textId="77777777" w:rsidR="00411B4B" w:rsidRPr="00273F23" w:rsidRDefault="00411B4B" w:rsidP="00327919">
      <w:pPr>
        <w:tabs>
          <w:tab w:val="left" w:pos="540"/>
          <w:tab w:val="left" w:pos="569"/>
        </w:tabs>
        <w:jc w:val="both"/>
        <w:rPr>
          <w:b/>
          <w:bCs/>
          <w:sz w:val="22"/>
          <w:szCs w:val="22"/>
          <w:lang w:val="sr-Latn-ME"/>
        </w:rPr>
      </w:pPr>
      <w:r w:rsidRPr="00273F23">
        <w:rPr>
          <w:b/>
          <w:bCs/>
          <w:sz w:val="22"/>
          <w:szCs w:val="22"/>
          <w:lang w:val="sr-Latn-ME"/>
        </w:rPr>
        <w:t xml:space="preserve">4.3. </w:t>
      </w:r>
      <w:r w:rsidR="00480FB1" w:rsidRPr="00273F23">
        <w:rPr>
          <w:b/>
          <w:bCs/>
          <w:sz w:val="22"/>
          <w:szCs w:val="22"/>
          <w:lang w:val="sr-Latn-ME"/>
        </w:rPr>
        <w:tab/>
      </w:r>
      <w:r w:rsidRPr="00273F23">
        <w:rPr>
          <w:b/>
          <w:bCs/>
          <w:sz w:val="22"/>
          <w:szCs w:val="22"/>
          <w:lang w:val="sr-Latn-ME"/>
        </w:rPr>
        <w:t>Kontraindikacije</w:t>
      </w:r>
    </w:p>
    <w:p w14:paraId="63BD47DB" w14:textId="5C2EBACB" w:rsidR="0072020E" w:rsidRPr="00273F23" w:rsidRDefault="0072020E" w:rsidP="00327919">
      <w:pPr>
        <w:tabs>
          <w:tab w:val="left" w:pos="540"/>
          <w:tab w:val="left" w:pos="569"/>
        </w:tabs>
        <w:jc w:val="both"/>
        <w:rPr>
          <w:bCs/>
          <w:sz w:val="22"/>
          <w:szCs w:val="22"/>
          <w:lang w:val="sr-Latn-ME"/>
        </w:rPr>
      </w:pPr>
    </w:p>
    <w:p w14:paraId="0EFE25EE" w14:textId="6E9B1129" w:rsidR="00927A10" w:rsidRPr="00273F23" w:rsidRDefault="00927A10" w:rsidP="00457283">
      <w:pPr>
        <w:numPr>
          <w:ilvl w:val="0"/>
          <w:numId w:val="13"/>
        </w:numPr>
        <w:tabs>
          <w:tab w:val="left" w:pos="284"/>
        </w:tabs>
        <w:jc w:val="both"/>
        <w:rPr>
          <w:sz w:val="22"/>
          <w:szCs w:val="22"/>
          <w:lang w:val="sr-Latn-ME"/>
        </w:rPr>
      </w:pPr>
      <w:r w:rsidRPr="00273F23">
        <w:rPr>
          <w:bCs/>
          <w:sz w:val="22"/>
          <w:szCs w:val="22"/>
          <w:lang w:val="sr-Latn-ME"/>
        </w:rPr>
        <w:t>Preosjetljivost na aktivnu supstancu ili na bilo koju od pomoćnih supstanci navedenih u dijelu  6.1.</w:t>
      </w:r>
    </w:p>
    <w:p w14:paraId="4701DD8C" w14:textId="77777777" w:rsidR="00927A10" w:rsidRPr="00273F23" w:rsidRDefault="00927A10" w:rsidP="00457283">
      <w:pPr>
        <w:jc w:val="both"/>
        <w:rPr>
          <w:sz w:val="22"/>
          <w:szCs w:val="22"/>
          <w:lang w:val="sr-Latn-ME"/>
        </w:rPr>
      </w:pPr>
    </w:p>
    <w:p w14:paraId="2D9D25A4" w14:textId="73F5DB1A" w:rsidR="00927A10" w:rsidRPr="00273F23" w:rsidRDefault="00927A10" w:rsidP="00457283">
      <w:pPr>
        <w:numPr>
          <w:ilvl w:val="0"/>
          <w:numId w:val="13"/>
        </w:numPr>
        <w:tabs>
          <w:tab w:val="left" w:pos="284"/>
        </w:tabs>
        <w:jc w:val="both"/>
        <w:rPr>
          <w:sz w:val="22"/>
          <w:szCs w:val="22"/>
          <w:lang w:val="sr-Latn-ME"/>
        </w:rPr>
      </w:pPr>
      <w:r w:rsidRPr="00273F23">
        <w:rPr>
          <w:sz w:val="22"/>
          <w:szCs w:val="22"/>
          <w:lang w:val="sr-Latn-ME"/>
        </w:rPr>
        <w:t>Abnormalnosti jednjaka i drugi faktori koji usporavaju pražnjenje jednjaka, kao što su striktura jednjaka ili ahalazija.</w:t>
      </w:r>
    </w:p>
    <w:p w14:paraId="00B9DFFF" w14:textId="77777777" w:rsidR="00927A10" w:rsidRPr="00273F23" w:rsidRDefault="00927A10">
      <w:pPr>
        <w:jc w:val="both"/>
        <w:rPr>
          <w:sz w:val="22"/>
          <w:szCs w:val="22"/>
          <w:lang w:val="sr-Latn-ME"/>
        </w:rPr>
      </w:pPr>
    </w:p>
    <w:p w14:paraId="75D2DDD3" w14:textId="18F75573" w:rsidR="00927A10" w:rsidRPr="00273F23" w:rsidRDefault="00927A10">
      <w:pPr>
        <w:numPr>
          <w:ilvl w:val="0"/>
          <w:numId w:val="13"/>
        </w:numPr>
        <w:tabs>
          <w:tab w:val="left" w:pos="284"/>
        </w:tabs>
        <w:jc w:val="both"/>
        <w:rPr>
          <w:sz w:val="22"/>
          <w:szCs w:val="22"/>
          <w:lang w:val="sr-Latn-ME"/>
        </w:rPr>
      </w:pPr>
      <w:r w:rsidRPr="00273F23">
        <w:rPr>
          <w:sz w:val="22"/>
          <w:szCs w:val="22"/>
          <w:lang w:val="sr-Latn-ME"/>
        </w:rPr>
        <w:t>Nemogućnost stajanja ili uspravnog sjedjenja najmanje 30 minuta.</w:t>
      </w:r>
    </w:p>
    <w:p w14:paraId="3594DD97" w14:textId="77777777" w:rsidR="00927A10" w:rsidRPr="00273F23" w:rsidRDefault="00927A10">
      <w:pPr>
        <w:jc w:val="both"/>
        <w:rPr>
          <w:sz w:val="22"/>
          <w:szCs w:val="22"/>
          <w:lang w:val="sr-Latn-ME"/>
        </w:rPr>
      </w:pPr>
    </w:p>
    <w:p w14:paraId="2B05CB7D" w14:textId="77777777" w:rsidR="00927A10" w:rsidRPr="00273F23" w:rsidRDefault="00927A10">
      <w:pPr>
        <w:pStyle w:val="ListParagraph"/>
        <w:numPr>
          <w:ilvl w:val="0"/>
          <w:numId w:val="13"/>
        </w:numPr>
        <w:tabs>
          <w:tab w:val="left" w:pos="284"/>
        </w:tabs>
        <w:jc w:val="both"/>
        <w:rPr>
          <w:sz w:val="22"/>
          <w:szCs w:val="22"/>
          <w:lang w:val="sr-Latn-ME"/>
        </w:rPr>
      </w:pPr>
      <w:r w:rsidRPr="00273F23">
        <w:rPr>
          <w:sz w:val="22"/>
          <w:szCs w:val="22"/>
          <w:lang w:val="sr-Latn-ME"/>
        </w:rPr>
        <w:lastRenderedPageBreak/>
        <w:t>Hipokalcemija.</w:t>
      </w:r>
    </w:p>
    <w:p w14:paraId="07C0EAD8" w14:textId="77777777" w:rsidR="00927A10" w:rsidRPr="00273F23" w:rsidRDefault="00927A10" w:rsidP="00327919">
      <w:pPr>
        <w:tabs>
          <w:tab w:val="left" w:pos="540"/>
          <w:tab w:val="left" w:pos="569"/>
        </w:tabs>
        <w:jc w:val="both"/>
        <w:rPr>
          <w:bCs/>
          <w:sz w:val="22"/>
          <w:szCs w:val="22"/>
          <w:lang w:val="sr-Latn-ME"/>
        </w:rPr>
      </w:pPr>
    </w:p>
    <w:p w14:paraId="6F7A8215" w14:textId="77777777" w:rsidR="00411B4B" w:rsidRPr="00273F23" w:rsidRDefault="00411B4B" w:rsidP="00327919">
      <w:pPr>
        <w:tabs>
          <w:tab w:val="left" w:pos="540"/>
          <w:tab w:val="left" w:pos="569"/>
        </w:tabs>
        <w:jc w:val="both"/>
        <w:rPr>
          <w:b/>
          <w:bCs/>
          <w:sz w:val="22"/>
          <w:szCs w:val="22"/>
          <w:lang w:val="sr-Latn-ME"/>
        </w:rPr>
      </w:pPr>
      <w:r w:rsidRPr="00273F23">
        <w:rPr>
          <w:b/>
          <w:bCs/>
          <w:sz w:val="22"/>
          <w:szCs w:val="22"/>
          <w:lang w:val="sr-Latn-ME"/>
        </w:rPr>
        <w:t xml:space="preserve">4.4. </w:t>
      </w:r>
      <w:r w:rsidR="00480FB1" w:rsidRPr="00273F23">
        <w:rPr>
          <w:b/>
          <w:bCs/>
          <w:sz w:val="22"/>
          <w:szCs w:val="22"/>
          <w:lang w:val="sr-Latn-ME"/>
        </w:rPr>
        <w:tab/>
      </w:r>
      <w:r w:rsidRPr="00273F23">
        <w:rPr>
          <w:b/>
          <w:bCs/>
          <w:sz w:val="22"/>
          <w:szCs w:val="22"/>
          <w:lang w:val="sr-Latn-ME"/>
        </w:rPr>
        <w:t>Posebna upozorenja i mjere opreza pri upotrebi lijeka</w:t>
      </w:r>
    </w:p>
    <w:p w14:paraId="49DD648D" w14:textId="08D1C0F4" w:rsidR="0072020E" w:rsidRPr="00273F23" w:rsidRDefault="0072020E" w:rsidP="00327919">
      <w:pPr>
        <w:tabs>
          <w:tab w:val="left" w:pos="540"/>
          <w:tab w:val="left" w:pos="569"/>
        </w:tabs>
        <w:jc w:val="both"/>
        <w:rPr>
          <w:bCs/>
          <w:sz w:val="22"/>
          <w:szCs w:val="22"/>
          <w:lang w:val="sr-Latn-ME"/>
        </w:rPr>
      </w:pPr>
    </w:p>
    <w:p w14:paraId="5100A148" w14:textId="77777777" w:rsidR="00927A10" w:rsidRPr="00273F23" w:rsidRDefault="00927A10" w:rsidP="00457283">
      <w:pPr>
        <w:jc w:val="both"/>
        <w:rPr>
          <w:sz w:val="22"/>
          <w:szCs w:val="22"/>
          <w:u w:val="single"/>
          <w:lang w:val="sr-Latn-ME"/>
        </w:rPr>
      </w:pPr>
      <w:r w:rsidRPr="00273F23">
        <w:rPr>
          <w:sz w:val="22"/>
          <w:szCs w:val="22"/>
          <w:u w:val="single"/>
          <w:lang w:val="sr-Latn-ME"/>
        </w:rPr>
        <w:t>Alendronat</w:t>
      </w:r>
    </w:p>
    <w:p w14:paraId="20381AB4" w14:textId="77777777" w:rsidR="00927A10" w:rsidRPr="00273F23" w:rsidRDefault="00927A10" w:rsidP="00457283">
      <w:pPr>
        <w:jc w:val="both"/>
        <w:rPr>
          <w:i/>
          <w:sz w:val="22"/>
          <w:szCs w:val="22"/>
          <w:lang w:val="sr-Latn-ME"/>
        </w:rPr>
      </w:pPr>
    </w:p>
    <w:p w14:paraId="2365332D" w14:textId="77D5AA60" w:rsidR="00927A10" w:rsidRPr="00273F23" w:rsidRDefault="00927A10" w:rsidP="00457283">
      <w:pPr>
        <w:jc w:val="both"/>
        <w:rPr>
          <w:i/>
          <w:sz w:val="22"/>
          <w:szCs w:val="22"/>
          <w:lang w:val="sr-Latn-ME"/>
        </w:rPr>
      </w:pPr>
      <w:r w:rsidRPr="00273F23">
        <w:rPr>
          <w:i/>
          <w:sz w:val="22"/>
          <w:szCs w:val="22"/>
          <w:lang w:val="sr-Latn-ME"/>
        </w:rPr>
        <w:t>Neželjene reakcije gornjeg d</w:t>
      </w:r>
      <w:r w:rsidR="00D2337C" w:rsidRPr="00273F23">
        <w:rPr>
          <w:i/>
          <w:sz w:val="22"/>
          <w:szCs w:val="22"/>
          <w:lang w:val="sr-Latn-ME"/>
        </w:rPr>
        <w:t>ij</w:t>
      </w:r>
      <w:r w:rsidRPr="00273F23">
        <w:rPr>
          <w:i/>
          <w:sz w:val="22"/>
          <w:szCs w:val="22"/>
          <w:lang w:val="sr-Latn-ME"/>
        </w:rPr>
        <w:t>ela gastrointestinalnog trakta</w:t>
      </w:r>
    </w:p>
    <w:p w14:paraId="7C68F945" w14:textId="496ECAA9" w:rsidR="00927A10" w:rsidRPr="00273F23" w:rsidRDefault="00927A10">
      <w:pPr>
        <w:jc w:val="both"/>
        <w:rPr>
          <w:sz w:val="22"/>
          <w:szCs w:val="22"/>
          <w:lang w:val="sr-Latn-ME"/>
        </w:rPr>
      </w:pPr>
      <w:r w:rsidRPr="00273F23">
        <w:rPr>
          <w:sz w:val="22"/>
          <w:szCs w:val="22"/>
          <w:lang w:val="sr-Latn-ME"/>
        </w:rPr>
        <w:t>Alendronat može da izazove lokalnu iritaciju sluzokože gornjeg dijela gastrointestinalnog trakta. S obzirom na to da postoji mogućnost da se pogorša postojeće oboljenje, treba biti obazriv kada se alendronat daje pacijentkinjama koje imaju aktivna oboljenja gornjeg dijela gastrointestinalnog trakta, kao što su disfagija, oboljenje jednjaka, gastritis, duodenitis, ulkusi ili pacijentkinje koje su u skorije vr</w:t>
      </w:r>
      <w:r w:rsidR="00D2337C" w:rsidRPr="00273F23">
        <w:rPr>
          <w:sz w:val="22"/>
          <w:szCs w:val="22"/>
          <w:lang w:val="sr-Latn-ME"/>
        </w:rPr>
        <w:t>ij</w:t>
      </w:r>
      <w:r w:rsidRPr="00273F23">
        <w:rPr>
          <w:sz w:val="22"/>
          <w:szCs w:val="22"/>
          <w:lang w:val="sr-Latn-ME"/>
        </w:rPr>
        <w:t xml:space="preserve">eme (u toku prethodne godine) imale neko veće oboljenje gastrointestinalnog trakta poput peptičkog ulkusa, aktivnog gastrointestinalnog krvarenja, ili hirurškog zahvata u gornjem dijelu gastrointestinalnog trakta, osim piloroplastike (vidjeti </w:t>
      </w:r>
      <w:r w:rsidR="00D2337C" w:rsidRPr="00273F23">
        <w:rPr>
          <w:sz w:val="22"/>
          <w:szCs w:val="22"/>
          <w:lang w:val="sr-Latn-ME"/>
        </w:rPr>
        <w:t xml:space="preserve">dio </w:t>
      </w:r>
      <w:r w:rsidRPr="00273F23">
        <w:rPr>
          <w:sz w:val="22"/>
          <w:szCs w:val="22"/>
          <w:lang w:val="sr-Latn-ME"/>
        </w:rPr>
        <w:t xml:space="preserve">4.3). Kod pacijentkinja sa potvrđenim Baretovim ezofagusom ljekari treba da na individualnom nivou procijene korist i potencijalni rizik od primjene alendronata.  </w:t>
      </w:r>
    </w:p>
    <w:p w14:paraId="622FC78C" w14:textId="77777777" w:rsidR="00927A10" w:rsidRPr="00273F23" w:rsidRDefault="00927A10">
      <w:pPr>
        <w:jc w:val="both"/>
        <w:rPr>
          <w:sz w:val="22"/>
          <w:szCs w:val="22"/>
          <w:lang w:val="sr-Latn-ME"/>
        </w:rPr>
      </w:pPr>
    </w:p>
    <w:p w14:paraId="71E3F37B" w14:textId="3A6196F4" w:rsidR="00927A10" w:rsidRPr="00273F23" w:rsidRDefault="00927A10">
      <w:pPr>
        <w:tabs>
          <w:tab w:val="left" w:pos="540"/>
          <w:tab w:val="left" w:pos="569"/>
        </w:tabs>
        <w:jc w:val="both"/>
        <w:rPr>
          <w:sz w:val="22"/>
          <w:szCs w:val="22"/>
          <w:lang w:val="sr-Latn-ME"/>
        </w:rPr>
      </w:pPr>
      <w:r w:rsidRPr="00273F23">
        <w:rPr>
          <w:sz w:val="22"/>
          <w:szCs w:val="22"/>
          <w:lang w:val="sr-Latn-ME"/>
        </w:rPr>
        <w:t>Neželjene reakcije na jednjaku (koje su ponekad teške i zahtijevaju hospitalizaciju pacijentkinja), poput ezofagitisa, ezofagealnih</w:t>
      </w:r>
      <w:r w:rsidR="00D2337C" w:rsidRPr="00273F23">
        <w:rPr>
          <w:sz w:val="22"/>
          <w:szCs w:val="22"/>
          <w:lang w:val="sr-Latn-ME"/>
        </w:rPr>
        <w:t xml:space="preserve"> </w:t>
      </w:r>
      <w:r w:rsidRPr="00273F23">
        <w:rPr>
          <w:sz w:val="22"/>
          <w:szCs w:val="22"/>
          <w:lang w:val="sr-Latn-ME"/>
        </w:rPr>
        <w:t xml:space="preserve">ulkusa i ezofagealnih erozija, a koje su rijetko praćene strikturom jednjaka, zabijeležene su kod pacijentkinja koje su primale alendronat. Stoga, ljekari moraju da obrate pažnju na pojavu bilo kakvih znakova ili simptoma koji ukazuju na moguće reakcije na jednjaku, a pacijentkinje treba uputiti da prestanu sa uzimanjem alendronata i da potraže pomoć ljekara ukoliko primijete simptome iritacije jednjaka kao što su disfagija, bol prilikom gutanja ili retrosternalni bol ili novonastala gorušica ili pogoršanje postojeće gorušice (vidjeti </w:t>
      </w:r>
      <w:r w:rsidR="00D2337C" w:rsidRPr="00273F23">
        <w:rPr>
          <w:sz w:val="22"/>
          <w:szCs w:val="22"/>
          <w:lang w:val="sr-Latn-ME"/>
        </w:rPr>
        <w:t xml:space="preserve">dio </w:t>
      </w:r>
      <w:r w:rsidRPr="00273F23">
        <w:rPr>
          <w:sz w:val="22"/>
          <w:szCs w:val="22"/>
          <w:lang w:val="sr-Latn-ME"/>
        </w:rPr>
        <w:t>4.8).</w:t>
      </w:r>
    </w:p>
    <w:p w14:paraId="59982606" w14:textId="3CF79EBA" w:rsidR="00D2337C" w:rsidRPr="00273F23" w:rsidRDefault="00D2337C">
      <w:pPr>
        <w:tabs>
          <w:tab w:val="left" w:pos="540"/>
          <w:tab w:val="left" w:pos="569"/>
        </w:tabs>
        <w:jc w:val="both"/>
        <w:rPr>
          <w:sz w:val="22"/>
          <w:szCs w:val="22"/>
          <w:lang w:val="sr-Latn-ME"/>
        </w:rPr>
      </w:pPr>
    </w:p>
    <w:p w14:paraId="59F5E9C1" w14:textId="6224E255" w:rsidR="00D2337C" w:rsidRPr="00273F23" w:rsidRDefault="00B42FB7">
      <w:pPr>
        <w:jc w:val="both"/>
        <w:rPr>
          <w:sz w:val="22"/>
          <w:szCs w:val="22"/>
          <w:lang w:val="sr-Latn-ME"/>
        </w:rPr>
      </w:pPr>
      <w:r w:rsidRPr="00273F23">
        <w:rPr>
          <w:sz w:val="22"/>
          <w:szCs w:val="22"/>
          <w:lang w:val="sr-Latn-ME"/>
        </w:rPr>
        <w:t>Izgleda da je r</w:t>
      </w:r>
      <w:r w:rsidR="00D2337C" w:rsidRPr="00273F23">
        <w:rPr>
          <w:sz w:val="22"/>
          <w:szCs w:val="22"/>
          <w:lang w:val="sr-Latn-ME"/>
        </w:rPr>
        <w:t>izik od pojave teških neželjenih reakcija na jednjaku veći kod pacijentkinja koje ne uzimaju alendronat na pravilan način i/ili koje nastavljaju sa uzimanjem alendronata i nakon pojave simptoma koji ukazuju na to da je došlo do iritacije jednjaka. Veoma je važno da se pacijentkinji daju potpuna i detaljna uputstva o doziranju i primjeni ovog lijeka, koja će pacijentkinja u potpunosti razumjeti (vidjeti dio 4.2). Pacijentkinje treba upozoriti da nepridržavanje ovih uputstava može da poveća rizik od pojave problema sa jednjakom.</w:t>
      </w:r>
    </w:p>
    <w:p w14:paraId="4A157B5C" w14:textId="77777777" w:rsidR="00D2337C" w:rsidRPr="00273F23" w:rsidRDefault="00D2337C">
      <w:pPr>
        <w:jc w:val="both"/>
        <w:rPr>
          <w:sz w:val="22"/>
          <w:szCs w:val="22"/>
          <w:lang w:val="sr-Latn-ME"/>
        </w:rPr>
      </w:pPr>
    </w:p>
    <w:p w14:paraId="352A67FE" w14:textId="2DDEC049" w:rsidR="00D2337C" w:rsidRPr="00273F23" w:rsidRDefault="00D2337C">
      <w:pPr>
        <w:jc w:val="both"/>
        <w:rPr>
          <w:sz w:val="22"/>
          <w:szCs w:val="22"/>
          <w:lang w:val="sr-Latn-ME"/>
        </w:rPr>
      </w:pPr>
      <w:r w:rsidRPr="00273F23">
        <w:rPr>
          <w:sz w:val="22"/>
          <w:szCs w:val="22"/>
          <w:lang w:val="sr-Latn-ME"/>
        </w:rPr>
        <w:t>Iako u opsežnim kliničkim ispitivanjima alendronata nije zabiljeležen povećani rizik, ipak postoje rijetki izvještaji (iz postmarketinškog praćenja) o pojavi gastričkog i duodenalnog ulkusa gdje su neki slučajevi bili teški i sa komplikacijama (vidjeti dio</w:t>
      </w:r>
      <w:r w:rsidR="00B42FB7" w:rsidRPr="00273F23">
        <w:rPr>
          <w:sz w:val="22"/>
          <w:szCs w:val="22"/>
          <w:lang w:val="sr-Latn-ME"/>
        </w:rPr>
        <w:t xml:space="preserve"> </w:t>
      </w:r>
      <w:r w:rsidRPr="00273F23">
        <w:rPr>
          <w:sz w:val="22"/>
          <w:szCs w:val="22"/>
          <w:lang w:val="sr-Latn-ME"/>
        </w:rPr>
        <w:t>4.8).</w:t>
      </w:r>
    </w:p>
    <w:p w14:paraId="36E44082" w14:textId="77777777" w:rsidR="00D2337C" w:rsidRPr="00273F23" w:rsidRDefault="00D2337C">
      <w:pPr>
        <w:jc w:val="both"/>
        <w:rPr>
          <w:sz w:val="22"/>
          <w:szCs w:val="22"/>
          <w:lang w:val="sr-Latn-ME"/>
        </w:rPr>
      </w:pPr>
    </w:p>
    <w:p w14:paraId="6D8B8EC5" w14:textId="77777777" w:rsidR="00D2337C" w:rsidRPr="00273F23" w:rsidRDefault="00D2337C">
      <w:pPr>
        <w:jc w:val="both"/>
        <w:rPr>
          <w:i/>
          <w:sz w:val="22"/>
          <w:szCs w:val="22"/>
          <w:lang w:val="sr-Latn-ME"/>
        </w:rPr>
      </w:pPr>
      <w:r w:rsidRPr="00273F23">
        <w:rPr>
          <w:i/>
          <w:sz w:val="22"/>
          <w:szCs w:val="22"/>
          <w:lang w:val="sr-Latn-ME"/>
        </w:rPr>
        <w:t>Osteonekroza vilice</w:t>
      </w:r>
    </w:p>
    <w:p w14:paraId="1DF109B7" w14:textId="77777777" w:rsidR="00D2337C" w:rsidRPr="00273F23" w:rsidRDefault="00D2337C">
      <w:pPr>
        <w:jc w:val="both"/>
        <w:rPr>
          <w:sz w:val="22"/>
          <w:szCs w:val="22"/>
          <w:lang w:val="sr-Latn-ME"/>
        </w:rPr>
      </w:pPr>
      <w:r w:rsidRPr="00273F23">
        <w:rPr>
          <w:sz w:val="22"/>
          <w:szCs w:val="22"/>
          <w:lang w:val="sr-Latn-ME"/>
        </w:rPr>
        <w:t>Osteonekroza vilice, koja se obično javlja nakon ekstrakcije zuba i/ili lokalne infekcije (uključujući osteomijelitis), zabiljeležena je kod pacijentkinja sa karcinomom koje dobijaju terapiju u kojoj su primarno primijenjeni intravenski bisfosfonati. Mnoge od ovih pacijentkinja su takođe primale hemioterapiju i kortikosteroide. Osteonekroza vilice takođe je zabiljeležena kod pacijentkinja sa osteoporozom koje su primale terapiju oralnim bisfosfonatima.</w:t>
      </w:r>
    </w:p>
    <w:p w14:paraId="2861752D" w14:textId="77777777" w:rsidR="007F74AC" w:rsidRPr="00273F23" w:rsidRDefault="007F74AC">
      <w:pPr>
        <w:jc w:val="both"/>
        <w:rPr>
          <w:sz w:val="22"/>
          <w:szCs w:val="22"/>
          <w:lang w:val="sr-Latn-ME"/>
        </w:rPr>
      </w:pPr>
    </w:p>
    <w:p w14:paraId="238E9932" w14:textId="2AB622CA" w:rsidR="00D2337C" w:rsidRPr="00273F23" w:rsidRDefault="00D2337C">
      <w:pPr>
        <w:jc w:val="both"/>
        <w:rPr>
          <w:sz w:val="22"/>
          <w:szCs w:val="22"/>
          <w:lang w:val="sr-Latn-ME"/>
        </w:rPr>
      </w:pPr>
      <w:r w:rsidRPr="00273F23">
        <w:rPr>
          <w:sz w:val="22"/>
          <w:szCs w:val="22"/>
          <w:lang w:val="sr-Latn-ME"/>
        </w:rPr>
        <w:t>Sljedeće faktore rizika je potrebno uzeti u obzir prilikom procjene individualnog rizika od razvoja osteonekroze vilice:</w:t>
      </w:r>
    </w:p>
    <w:p w14:paraId="3097D879" w14:textId="5F8C7EA0" w:rsidR="00D2337C" w:rsidRPr="00273F23" w:rsidRDefault="00D2337C">
      <w:pPr>
        <w:numPr>
          <w:ilvl w:val="0"/>
          <w:numId w:val="14"/>
        </w:numPr>
        <w:tabs>
          <w:tab w:val="left" w:pos="284"/>
        </w:tabs>
        <w:jc w:val="both"/>
        <w:rPr>
          <w:sz w:val="22"/>
          <w:szCs w:val="22"/>
          <w:lang w:val="sr-Latn-ME"/>
        </w:rPr>
      </w:pPr>
      <w:r w:rsidRPr="00273F23">
        <w:rPr>
          <w:sz w:val="22"/>
          <w:szCs w:val="22"/>
          <w:lang w:val="sr-Latn-ME"/>
        </w:rPr>
        <w:t>Potentnost bisfosfonata (najviše zolendronske kiseline), način primjene (vidjeti gore) i kumulativne doze</w:t>
      </w:r>
      <w:r w:rsidR="005511AA" w:rsidRPr="00273F23">
        <w:rPr>
          <w:sz w:val="22"/>
          <w:szCs w:val="22"/>
          <w:lang w:val="sr-Latn-ME"/>
        </w:rPr>
        <w:t>;</w:t>
      </w:r>
    </w:p>
    <w:p w14:paraId="4C587478" w14:textId="5B70C706" w:rsidR="00D2337C" w:rsidRPr="00273F23" w:rsidRDefault="00D2337C">
      <w:pPr>
        <w:numPr>
          <w:ilvl w:val="0"/>
          <w:numId w:val="14"/>
        </w:numPr>
        <w:tabs>
          <w:tab w:val="left" w:pos="284"/>
        </w:tabs>
        <w:jc w:val="both"/>
        <w:rPr>
          <w:sz w:val="22"/>
          <w:szCs w:val="22"/>
          <w:lang w:val="sr-Latn-ME"/>
        </w:rPr>
      </w:pPr>
      <w:r w:rsidRPr="00273F23">
        <w:rPr>
          <w:sz w:val="22"/>
          <w:szCs w:val="22"/>
          <w:lang w:val="sr-Latn-ME"/>
        </w:rPr>
        <w:t>Maligno oboljenje, hemioterapija, radioterapija, kortikosteroidi, inhibitori angiogeneze, pušenje</w:t>
      </w:r>
      <w:r w:rsidR="005511AA" w:rsidRPr="00273F23">
        <w:rPr>
          <w:sz w:val="22"/>
          <w:szCs w:val="22"/>
          <w:lang w:val="sr-Latn-ME"/>
        </w:rPr>
        <w:t>;</w:t>
      </w:r>
    </w:p>
    <w:p w14:paraId="7879099D" w14:textId="6E8EB2FA" w:rsidR="00D2337C" w:rsidRPr="00273F23" w:rsidRDefault="00D2337C">
      <w:pPr>
        <w:numPr>
          <w:ilvl w:val="0"/>
          <w:numId w:val="14"/>
        </w:numPr>
        <w:tabs>
          <w:tab w:val="left" w:pos="284"/>
        </w:tabs>
        <w:jc w:val="both"/>
        <w:rPr>
          <w:sz w:val="22"/>
          <w:szCs w:val="22"/>
          <w:lang w:val="sr-Latn-ME"/>
        </w:rPr>
      </w:pPr>
      <w:r w:rsidRPr="00273F23">
        <w:rPr>
          <w:sz w:val="22"/>
          <w:szCs w:val="22"/>
          <w:lang w:val="sr-Latn-ME"/>
        </w:rPr>
        <w:t>Dentalno oboljenja u anamnezi, loša oralna higijena, periodontalno oboljenje, invazivne stomatološke procedure i prisustvo proteze koja loše naliježe</w:t>
      </w:r>
      <w:r w:rsidR="005511AA" w:rsidRPr="00273F23">
        <w:rPr>
          <w:sz w:val="22"/>
          <w:szCs w:val="22"/>
          <w:lang w:val="sr-Latn-ME"/>
        </w:rPr>
        <w:t>.</w:t>
      </w:r>
    </w:p>
    <w:p w14:paraId="5672CD10" w14:textId="77777777" w:rsidR="00D2337C" w:rsidRPr="00273F23" w:rsidRDefault="00D2337C">
      <w:pPr>
        <w:jc w:val="both"/>
        <w:rPr>
          <w:sz w:val="22"/>
          <w:szCs w:val="22"/>
          <w:lang w:val="sr-Latn-ME"/>
        </w:rPr>
      </w:pPr>
    </w:p>
    <w:p w14:paraId="0D31B090" w14:textId="25543241" w:rsidR="00D2337C" w:rsidRPr="00273F23" w:rsidRDefault="00D2337C">
      <w:pPr>
        <w:jc w:val="both"/>
        <w:rPr>
          <w:sz w:val="22"/>
          <w:szCs w:val="22"/>
          <w:lang w:val="sr-Latn-ME"/>
        </w:rPr>
      </w:pPr>
      <w:r w:rsidRPr="00273F23">
        <w:rPr>
          <w:sz w:val="22"/>
          <w:szCs w:val="22"/>
          <w:lang w:val="sr-Latn-ME"/>
        </w:rPr>
        <w:t>Prije početka terapije oralnim bisfosfonatima, kod pacijentkinja sa lošim dentalnim statusom, potrebno je razmotriti stomatološki pregled uz primjenu adekvatnih preventivnih stomatoloških mjera.</w:t>
      </w:r>
    </w:p>
    <w:p w14:paraId="464F3E4F" w14:textId="77777777" w:rsidR="00D2337C" w:rsidRPr="00273F23" w:rsidRDefault="00D2337C">
      <w:pPr>
        <w:jc w:val="both"/>
        <w:rPr>
          <w:sz w:val="22"/>
          <w:szCs w:val="22"/>
          <w:lang w:val="sr-Latn-ME"/>
        </w:rPr>
      </w:pPr>
    </w:p>
    <w:p w14:paraId="691626CD" w14:textId="77777777" w:rsidR="00D2337C" w:rsidRPr="00273F23" w:rsidRDefault="00D2337C">
      <w:pPr>
        <w:jc w:val="both"/>
        <w:rPr>
          <w:sz w:val="22"/>
          <w:szCs w:val="22"/>
          <w:lang w:val="sr-Latn-ME"/>
        </w:rPr>
      </w:pPr>
      <w:r w:rsidRPr="00273F23">
        <w:rPr>
          <w:sz w:val="22"/>
          <w:szCs w:val="22"/>
          <w:lang w:val="sr-Latn-ME"/>
        </w:rPr>
        <w:t xml:space="preserve">Dok primaju terapiju, ove pacijentkinje treba da izbjegavaju, ukoliko je to moguće, bilo koje invazivne stomatološke hirurške intervencije. Kod pacijentkinja kod kojih se, u toku terapije bisfosfonatima, pojavi osteonekroza vilice, stomatološka hirurška intervencija može još više da pogorša njihovo stanje. </w:t>
      </w:r>
    </w:p>
    <w:p w14:paraId="11DB78F7" w14:textId="23F85CF8" w:rsidR="00D2337C" w:rsidRPr="00273F23" w:rsidRDefault="00D2337C">
      <w:pPr>
        <w:jc w:val="both"/>
        <w:rPr>
          <w:sz w:val="22"/>
          <w:szCs w:val="22"/>
          <w:lang w:val="sr-Latn-ME"/>
        </w:rPr>
      </w:pPr>
      <w:r w:rsidRPr="00273F23">
        <w:rPr>
          <w:sz w:val="22"/>
          <w:szCs w:val="22"/>
          <w:lang w:val="sr-Latn-ME"/>
        </w:rPr>
        <w:lastRenderedPageBreak/>
        <w:t xml:space="preserve">Za pacijentkinje koje ipak moraju da se podvrgnu stomatološkom hirurškom zahvatu ne postoje raspoloživi podaci </w:t>
      </w:r>
      <w:r w:rsidR="00B42FB7" w:rsidRPr="00273F23">
        <w:rPr>
          <w:sz w:val="22"/>
          <w:szCs w:val="22"/>
          <w:lang w:val="sr-Latn-ME"/>
        </w:rPr>
        <w:t xml:space="preserve">koji bi pokazali </w:t>
      </w:r>
      <w:r w:rsidRPr="00273F23">
        <w:rPr>
          <w:sz w:val="22"/>
          <w:szCs w:val="22"/>
          <w:lang w:val="sr-Latn-ME"/>
        </w:rPr>
        <w:t>da li bi prestanak uzimanja bisfosfonata smanjio rizik za pojavu osteonekroze vilice. Plan liječenja svake pacijentkinje mora da se zasniva na dobroj kliničkoj procjeni l</w:t>
      </w:r>
      <w:r w:rsidR="00B42FB7" w:rsidRPr="00273F23">
        <w:rPr>
          <w:sz w:val="22"/>
          <w:szCs w:val="22"/>
          <w:lang w:val="sr-Latn-ME"/>
        </w:rPr>
        <w:t>j</w:t>
      </w:r>
      <w:r w:rsidRPr="00273F23">
        <w:rPr>
          <w:sz w:val="22"/>
          <w:szCs w:val="22"/>
          <w:lang w:val="sr-Latn-ME"/>
        </w:rPr>
        <w:t>ekara, a na osnovu odnosa koristi i rizika za svaku pacijentkinju posebno.</w:t>
      </w:r>
    </w:p>
    <w:p w14:paraId="2BBC6430" w14:textId="77777777" w:rsidR="00D2337C" w:rsidRPr="00273F23" w:rsidRDefault="00D2337C">
      <w:pPr>
        <w:jc w:val="both"/>
        <w:rPr>
          <w:sz w:val="22"/>
          <w:szCs w:val="22"/>
          <w:lang w:val="sr-Latn-ME"/>
        </w:rPr>
      </w:pPr>
    </w:p>
    <w:p w14:paraId="755C51B6" w14:textId="44CC1431" w:rsidR="00D2337C" w:rsidRPr="00273F23" w:rsidRDefault="00D2337C">
      <w:pPr>
        <w:jc w:val="both"/>
        <w:rPr>
          <w:sz w:val="22"/>
          <w:szCs w:val="22"/>
          <w:lang w:val="sr-Latn-ME"/>
        </w:rPr>
      </w:pPr>
      <w:r w:rsidRPr="00273F23">
        <w:rPr>
          <w:sz w:val="22"/>
          <w:szCs w:val="22"/>
          <w:lang w:val="sr-Latn-ME"/>
        </w:rPr>
        <w:t xml:space="preserve">Tokom terapije bisfosfonatima, sve pacijentkinje je potrebno ohrabriti da održavaju dobru oralnu higijenu, da idu na redovne stomatološke preglede, i da odmah prijave ukoliko primijete bilo koji simptom kao što su </w:t>
      </w:r>
      <w:r w:rsidR="0024558D" w:rsidRPr="00273F23">
        <w:rPr>
          <w:sz w:val="22"/>
          <w:szCs w:val="22"/>
          <w:lang w:val="sr-Latn-ME"/>
        </w:rPr>
        <w:t xml:space="preserve">klaćenje </w:t>
      </w:r>
      <w:r w:rsidRPr="00273F23">
        <w:rPr>
          <w:sz w:val="22"/>
          <w:szCs w:val="22"/>
          <w:lang w:val="sr-Latn-ME"/>
        </w:rPr>
        <w:t>zuba, bol ili otok.</w:t>
      </w:r>
    </w:p>
    <w:p w14:paraId="71B7AFDF" w14:textId="77777777" w:rsidR="00D2337C" w:rsidRPr="00273F23" w:rsidRDefault="00D2337C">
      <w:pPr>
        <w:jc w:val="both"/>
        <w:rPr>
          <w:sz w:val="22"/>
          <w:szCs w:val="22"/>
          <w:lang w:val="sr-Latn-ME"/>
        </w:rPr>
      </w:pPr>
    </w:p>
    <w:p w14:paraId="2EE2E87C" w14:textId="77777777" w:rsidR="00D2337C" w:rsidRPr="00273F23" w:rsidRDefault="00D2337C">
      <w:pPr>
        <w:jc w:val="both"/>
        <w:rPr>
          <w:i/>
          <w:sz w:val="22"/>
          <w:szCs w:val="22"/>
          <w:lang w:val="sr-Latn-ME"/>
        </w:rPr>
      </w:pPr>
      <w:r w:rsidRPr="00273F23">
        <w:rPr>
          <w:i/>
          <w:sz w:val="22"/>
          <w:szCs w:val="22"/>
          <w:lang w:val="sr-Latn-ME"/>
        </w:rPr>
        <w:t>Osteonekroza spoljašnjeg slušnog kanala</w:t>
      </w:r>
    </w:p>
    <w:p w14:paraId="51FDBB3B" w14:textId="6FFB2017" w:rsidR="00D2337C" w:rsidRPr="00273F23" w:rsidRDefault="00D2337C">
      <w:pPr>
        <w:jc w:val="both"/>
        <w:rPr>
          <w:sz w:val="22"/>
          <w:szCs w:val="22"/>
          <w:lang w:val="sr-Latn-ME"/>
        </w:rPr>
      </w:pPr>
      <w:r w:rsidRPr="00273F23">
        <w:rPr>
          <w:sz w:val="22"/>
          <w:szCs w:val="22"/>
          <w:lang w:val="sr-Latn-ME"/>
        </w:rPr>
        <w:t>Osteonekroza spoljašnjeg slušnog kanala prijavljena kod primjene bisfosfonata, uglavnom je povezana sa dugotrajnom terapijom. Mogući faktori rizika za pojavu osteonekroze spoljašnjeg slušnog kanala uključuju primjenu steroida i hemioterapije i/ili lokalnе faktorе rizika poput infekcije ili traume. Mogućnost nastanka osteonekroze spoljašnjeg slušnog kanala treba razmotriti kod pacijentkinja koje primaju bisfosfonate, a imaju simptome koji zahvataju uho, kao što su bol ili iscjedak, ili hronične infekcije uha.</w:t>
      </w:r>
    </w:p>
    <w:p w14:paraId="0111A45B" w14:textId="77777777" w:rsidR="00D2337C" w:rsidRPr="00273F23" w:rsidRDefault="00D2337C">
      <w:pPr>
        <w:tabs>
          <w:tab w:val="left" w:pos="540"/>
          <w:tab w:val="left" w:pos="569"/>
        </w:tabs>
        <w:jc w:val="both"/>
        <w:rPr>
          <w:bCs/>
          <w:i/>
          <w:sz w:val="22"/>
          <w:szCs w:val="22"/>
          <w:lang w:val="sr-Latn-ME"/>
        </w:rPr>
      </w:pPr>
    </w:p>
    <w:p w14:paraId="4A471033" w14:textId="3CA0D4D4" w:rsidR="00D2337C" w:rsidRPr="00273F23" w:rsidRDefault="00D2337C">
      <w:pPr>
        <w:tabs>
          <w:tab w:val="left" w:pos="540"/>
          <w:tab w:val="left" w:pos="569"/>
        </w:tabs>
        <w:jc w:val="both"/>
        <w:rPr>
          <w:bCs/>
          <w:i/>
          <w:sz w:val="22"/>
          <w:szCs w:val="22"/>
          <w:lang w:val="sr-Latn-ME"/>
        </w:rPr>
      </w:pPr>
      <w:r w:rsidRPr="00273F23">
        <w:rPr>
          <w:bCs/>
          <w:i/>
          <w:sz w:val="22"/>
          <w:szCs w:val="22"/>
          <w:lang w:val="sr-Latn-ME"/>
        </w:rPr>
        <w:t>Bol u mišićno-koštanom sistemu</w:t>
      </w:r>
    </w:p>
    <w:p w14:paraId="23454035" w14:textId="2C52BD4C" w:rsidR="00D2337C" w:rsidRPr="00273F23" w:rsidRDefault="00D2337C">
      <w:pPr>
        <w:tabs>
          <w:tab w:val="left" w:pos="540"/>
          <w:tab w:val="left" w:pos="569"/>
        </w:tabs>
        <w:jc w:val="both"/>
        <w:rPr>
          <w:bCs/>
          <w:sz w:val="22"/>
          <w:szCs w:val="22"/>
          <w:lang w:val="sr-Latn-ME"/>
        </w:rPr>
      </w:pPr>
      <w:r w:rsidRPr="00273F23">
        <w:rPr>
          <w:bCs/>
          <w:sz w:val="22"/>
          <w:szCs w:val="22"/>
          <w:lang w:val="sr-Latn-ME"/>
        </w:rPr>
        <w:t xml:space="preserve">Kod pacijentkinja koje su uzimale bisfosfonate zabiljeleženi su slučajevi bola u kostima, zglobovima i/ili mišićima. </w:t>
      </w:r>
      <w:r w:rsidR="00851F1E" w:rsidRPr="00273F23">
        <w:rPr>
          <w:bCs/>
          <w:sz w:val="22"/>
          <w:szCs w:val="22"/>
          <w:lang w:val="sr-Latn-ME"/>
        </w:rPr>
        <w:t>Nakon stavljanja lijeka u promet</w:t>
      </w:r>
      <w:r w:rsidRPr="00273F23">
        <w:rPr>
          <w:bCs/>
          <w:sz w:val="22"/>
          <w:szCs w:val="22"/>
          <w:lang w:val="sr-Latn-ME"/>
        </w:rPr>
        <w:t>, ovi simptomi su rijetko bili teški i/ili su dovodili do onesposobljenosti pacijentkinja (vidjeti dio</w:t>
      </w:r>
      <w:r w:rsidR="00851F1E" w:rsidRPr="00273F23">
        <w:rPr>
          <w:bCs/>
          <w:sz w:val="22"/>
          <w:szCs w:val="22"/>
          <w:lang w:val="sr-Latn-ME"/>
        </w:rPr>
        <w:t xml:space="preserve"> </w:t>
      </w:r>
      <w:r w:rsidRPr="00273F23">
        <w:rPr>
          <w:bCs/>
          <w:sz w:val="22"/>
          <w:szCs w:val="22"/>
          <w:lang w:val="sr-Latn-ME"/>
        </w:rPr>
        <w:t>4.8). Vrijeme koje je proteklo do pojave simptoma varira u opsegu od jednog dana do nekoliko mjeseci nakon početka terapije. Kod većine pacijentkinja došlo je do povlačenja simptoma nakon obustavljanja terapije. Kod drugih je došlo do ponovne pojave simptoma kada im je ponovo dat isti lijek ili neki drugi bisfosfonat.</w:t>
      </w:r>
    </w:p>
    <w:p w14:paraId="32BCF644" w14:textId="77777777" w:rsidR="00D2337C" w:rsidRPr="00273F23" w:rsidRDefault="00D2337C">
      <w:pPr>
        <w:tabs>
          <w:tab w:val="left" w:pos="540"/>
          <w:tab w:val="left" w:pos="569"/>
        </w:tabs>
        <w:jc w:val="both"/>
        <w:rPr>
          <w:bCs/>
          <w:sz w:val="22"/>
          <w:szCs w:val="22"/>
          <w:lang w:val="sr-Latn-ME"/>
        </w:rPr>
      </w:pPr>
    </w:p>
    <w:p w14:paraId="16404D59" w14:textId="77777777" w:rsidR="00D2337C" w:rsidRPr="00273F23" w:rsidRDefault="00D2337C">
      <w:pPr>
        <w:tabs>
          <w:tab w:val="left" w:pos="540"/>
          <w:tab w:val="left" w:pos="569"/>
        </w:tabs>
        <w:jc w:val="both"/>
        <w:rPr>
          <w:bCs/>
          <w:i/>
          <w:sz w:val="22"/>
          <w:szCs w:val="22"/>
          <w:lang w:val="sr-Latn-ME"/>
        </w:rPr>
      </w:pPr>
      <w:r w:rsidRPr="00273F23">
        <w:rPr>
          <w:bCs/>
          <w:i/>
          <w:sz w:val="22"/>
          <w:szCs w:val="22"/>
          <w:lang w:val="sr-Latn-ME"/>
        </w:rPr>
        <w:t>Atipične frakture femura</w:t>
      </w:r>
    </w:p>
    <w:p w14:paraId="3BE3FD1D" w14:textId="1B40D78E" w:rsidR="00D2337C" w:rsidRPr="00273F23" w:rsidRDefault="00D2337C">
      <w:pPr>
        <w:tabs>
          <w:tab w:val="left" w:pos="540"/>
          <w:tab w:val="left" w:pos="569"/>
        </w:tabs>
        <w:jc w:val="both"/>
        <w:rPr>
          <w:bCs/>
          <w:sz w:val="22"/>
          <w:szCs w:val="22"/>
          <w:lang w:val="sr-Latn-ME"/>
        </w:rPr>
      </w:pPr>
      <w:r w:rsidRPr="00273F23">
        <w:rPr>
          <w:bCs/>
          <w:sz w:val="22"/>
          <w:szCs w:val="22"/>
          <w:lang w:val="sr-Latn-ME"/>
        </w:rPr>
        <w:t>Atipične subtrohanterne frakture femura i frakture dijafize femura su prijavljene tokom terapije bisfosfonatima, prvenstveno kod pacijentkinja koje su bile na dugotrajnoj terapiji osteoporoze. Ove poprečne i kratke kose frakture se mogu javiti bilo gd</w:t>
      </w:r>
      <w:r w:rsidR="0000145F" w:rsidRPr="00273F23">
        <w:rPr>
          <w:bCs/>
          <w:sz w:val="22"/>
          <w:szCs w:val="22"/>
          <w:lang w:val="sr-Latn-ME"/>
        </w:rPr>
        <w:t>j</w:t>
      </w:r>
      <w:r w:rsidRPr="00273F23">
        <w:rPr>
          <w:bCs/>
          <w:sz w:val="22"/>
          <w:szCs w:val="22"/>
          <w:lang w:val="sr-Latn-ME"/>
        </w:rPr>
        <w:t>e duž femura, od neposredno ispod manjeg trohantera do neposredno iznad suprakondilarnog ispupčenja. Ove frakture su se dešavale nakon minimalne ili nikakve fizičke traume, a kod nekih pacijentkinja je zabiljeležen bol u butinama ili preponama, koji je često karakterističan za stres frakturu, a taj bol se pojavio više ned</w:t>
      </w:r>
      <w:r w:rsidR="0000145F" w:rsidRPr="00273F23">
        <w:rPr>
          <w:bCs/>
          <w:sz w:val="22"/>
          <w:szCs w:val="22"/>
          <w:lang w:val="sr-Latn-ME"/>
        </w:rPr>
        <w:t>j</w:t>
      </w:r>
      <w:r w:rsidRPr="00273F23">
        <w:rPr>
          <w:bCs/>
          <w:sz w:val="22"/>
          <w:szCs w:val="22"/>
          <w:lang w:val="sr-Latn-ME"/>
        </w:rPr>
        <w:t>elja ili mjeseci prije nego što je došlo do potpune frakture femura. Frakture su često bilateralne i stoga je potrebno da se kod pacijentkinja koje primaju bisfosfonate, a koje su imale frakturu dijafize femura, pregleda i drugi femur. Takođe je zabilježeno da ove frakture teško zarastaju. Potrebno je razmotriti prekid terapije bisfosfonatima kod pacijentkinja kod kojih se posumnja na atipičnu frakturu femura, dok se ne procijeni njihovo stanje, na osnovu odnosa koristi i rizika za svaku pacijentkinju posebno.</w:t>
      </w:r>
    </w:p>
    <w:p w14:paraId="34721AB3" w14:textId="219A2859" w:rsidR="00D2337C" w:rsidRPr="00273F23" w:rsidRDefault="00D2337C">
      <w:pPr>
        <w:tabs>
          <w:tab w:val="left" w:pos="540"/>
          <w:tab w:val="left" w:pos="569"/>
        </w:tabs>
        <w:jc w:val="both"/>
        <w:rPr>
          <w:bCs/>
          <w:sz w:val="22"/>
          <w:szCs w:val="22"/>
          <w:lang w:val="sr-Latn-ME"/>
        </w:rPr>
      </w:pPr>
      <w:r w:rsidRPr="00273F23">
        <w:rPr>
          <w:bCs/>
          <w:sz w:val="22"/>
          <w:szCs w:val="22"/>
          <w:lang w:val="sr-Latn-ME"/>
        </w:rPr>
        <w:t xml:space="preserve">Tokom terapije bisfosfonatima pacijentkinjama </w:t>
      </w:r>
      <w:r w:rsidR="00851F1E" w:rsidRPr="00273F23">
        <w:rPr>
          <w:bCs/>
          <w:sz w:val="22"/>
          <w:szCs w:val="22"/>
          <w:lang w:val="sr-Latn-ME"/>
        </w:rPr>
        <w:t xml:space="preserve">pacijentkinjama </w:t>
      </w:r>
      <w:r w:rsidRPr="00273F23">
        <w:rPr>
          <w:bCs/>
          <w:sz w:val="22"/>
          <w:szCs w:val="22"/>
          <w:lang w:val="sr-Latn-ME"/>
        </w:rPr>
        <w:t xml:space="preserve">se savjetuje da prijave bilo koji bol u butinama, kukovima ili preponama, i svaka pacijentkinja kod koje se manifestuju ovakvi simptomi treba </w:t>
      </w:r>
      <w:r w:rsidR="00851F1E" w:rsidRPr="00273F23">
        <w:rPr>
          <w:bCs/>
          <w:sz w:val="22"/>
          <w:szCs w:val="22"/>
          <w:lang w:val="sr-Latn-ME"/>
        </w:rPr>
        <w:t>da bude</w:t>
      </w:r>
      <w:r w:rsidRPr="00273F23">
        <w:rPr>
          <w:bCs/>
          <w:sz w:val="22"/>
          <w:szCs w:val="22"/>
          <w:lang w:val="sr-Latn-ME"/>
        </w:rPr>
        <w:t xml:space="preserve"> pregledana u cilju dijagnostikovanja nepotpunih fraktura femura.</w:t>
      </w:r>
    </w:p>
    <w:p w14:paraId="5A9B59C7" w14:textId="77777777" w:rsidR="00BE68FB" w:rsidRPr="00273F23" w:rsidRDefault="00BE68FB">
      <w:pPr>
        <w:tabs>
          <w:tab w:val="left" w:pos="540"/>
          <w:tab w:val="left" w:pos="569"/>
        </w:tabs>
        <w:jc w:val="both"/>
        <w:rPr>
          <w:bCs/>
          <w:sz w:val="22"/>
          <w:szCs w:val="22"/>
          <w:lang w:val="sr-Latn-ME"/>
        </w:rPr>
      </w:pPr>
    </w:p>
    <w:p w14:paraId="66493A57" w14:textId="77777777" w:rsidR="00BE68FB" w:rsidRPr="00273F23" w:rsidRDefault="00BE68FB" w:rsidP="00BE68FB">
      <w:pPr>
        <w:tabs>
          <w:tab w:val="left" w:pos="540"/>
          <w:tab w:val="left" w:pos="569"/>
        </w:tabs>
        <w:jc w:val="both"/>
        <w:rPr>
          <w:bCs/>
          <w:i/>
          <w:iCs/>
          <w:sz w:val="22"/>
          <w:szCs w:val="22"/>
          <w:lang w:val="sr-Latn-ME"/>
        </w:rPr>
      </w:pPr>
      <w:r w:rsidRPr="00273F23">
        <w:rPr>
          <w:bCs/>
          <w:i/>
          <w:iCs/>
          <w:sz w:val="22"/>
          <w:szCs w:val="22"/>
          <w:lang w:val="sr-Latn-ME"/>
        </w:rPr>
        <w:t>Atipične frakture drugih kostiju</w:t>
      </w:r>
    </w:p>
    <w:p w14:paraId="437756D3" w14:textId="1C0879DA" w:rsidR="00BE68FB" w:rsidRPr="00273F23" w:rsidRDefault="00BE68FB" w:rsidP="00BE68FB">
      <w:pPr>
        <w:tabs>
          <w:tab w:val="left" w:pos="540"/>
          <w:tab w:val="left" w:pos="569"/>
        </w:tabs>
        <w:jc w:val="both"/>
        <w:rPr>
          <w:bCs/>
          <w:sz w:val="22"/>
          <w:szCs w:val="22"/>
          <w:lang w:val="sr-Latn-ME"/>
        </w:rPr>
      </w:pPr>
      <w:r w:rsidRPr="00273F23">
        <w:rPr>
          <w:bCs/>
          <w:sz w:val="22"/>
          <w:szCs w:val="22"/>
          <w:lang w:val="sr-Latn-ME"/>
        </w:rPr>
        <w:t>Atipične frakture drugih kostiju, kao što su ulna i tibia su takođe prijavljene kod pacijentkinja koje su na dugotrajnoj terapiji. Kao i kod atipičnih fraktura femura, ove frakture nastaju nakon minimalne ili nikakve traume, a kod nekih pacijentkinja se javlja prodromalni bol pr</w:t>
      </w:r>
      <w:r w:rsidR="00E87A3F" w:rsidRPr="00273F23">
        <w:rPr>
          <w:bCs/>
          <w:sz w:val="22"/>
          <w:szCs w:val="22"/>
          <w:lang w:val="sr-Latn-ME"/>
        </w:rPr>
        <w:t>ij</w:t>
      </w:r>
      <w:r w:rsidRPr="00273F23">
        <w:rPr>
          <w:bCs/>
          <w:sz w:val="22"/>
          <w:szCs w:val="22"/>
          <w:lang w:val="sr-Latn-ME"/>
        </w:rPr>
        <w:t>e nego što se razvije klinička slika potpunog preloma. Prelomi ulne mogu biti povezani s repetitivnim stresnim opterećenjem usl</w:t>
      </w:r>
      <w:r w:rsidR="00E87A3F" w:rsidRPr="00273F23">
        <w:rPr>
          <w:bCs/>
          <w:sz w:val="22"/>
          <w:szCs w:val="22"/>
          <w:lang w:val="sr-Latn-ME"/>
        </w:rPr>
        <w:t>j</w:t>
      </w:r>
      <w:r w:rsidRPr="00273F23">
        <w:rPr>
          <w:bCs/>
          <w:sz w:val="22"/>
          <w:szCs w:val="22"/>
          <w:lang w:val="sr-Latn-ME"/>
        </w:rPr>
        <w:t>ed dugotrajne upotrebe pomagala za hodanje.</w:t>
      </w:r>
    </w:p>
    <w:p w14:paraId="187724B7" w14:textId="77777777" w:rsidR="00D2337C" w:rsidRPr="00273F23" w:rsidRDefault="00D2337C">
      <w:pPr>
        <w:tabs>
          <w:tab w:val="left" w:pos="540"/>
          <w:tab w:val="left" w:pos="569"/>
        </w:tabs>
        <w:jc w:val="both"/>
        <w:rPr>
          <w:bCs/>
          <w:sz w:val="22"/>
          <w:szCs w:val="22"/>
          <w:lang w:val="sr-Latn-ME"/>
        </w:rPr>
      </w:pPr>
    </w:p>
    <w:p w14:paraId="2DC8323C" w14:textId="77777777" w:rsidR="00D2337C" w:rsidRPr="00273F23" w:rsidRDefault="00D2337C">
      <w:pPr>
        <w:tabs>
          <w:tab w:val="left" w:pos="540"/>
          <w:tab w:val="left" w:pos="569"/>
        </w:tabs>
        <w:jc w:val="both"/>
        <w:rPr>
          <w:bCs/>
          <w:i/>
          <w:sz w:val="22"/>
          <w:szCs w:val="22"/>
          <w:lang w:val="sr-Latn-ME"/>
        </w:rPr>
      </w:pPr>
      <w:r w:rsidRPr="00273F23">
        <w:rPr>
          <w:bCs/>
          <w:i/>
          <w:sz w:val="22"/>
          <w:szCs w:val="22"/>
          <w:lang w:val="sr-Latn-ME"/>
        </w:rPr>
        <w:t>Oštećenje funkcije bubrega</w:t>
      </w:r>
    </w:p>
    <w:p w14:paraId="743BF2A6" w14:textId="320A95EE" w:rsidR="00D2337C" w:rsidRPr="00273F23" w:rsidRDefault="00D2337C">
      <w:pPr>
        <w:tabs>
          <w:tab w:val="left" w:pos="540"/>
          <w:tab w:val="left" w:pos="569"/>
        </w:tabs>
        <w:jc w:val="both"/>
        <w:rPr>
          <w:bCs/>
          <w:sz w:val="22"/>
          <w:szCs w:val="22"/>
          <w:lang w:val="sr-Latn-ME"/>
        </w:rPr>
      </w:pPr>
      <w:r w:rsidRPr="00273F23">
        <w:rPr>
          <w:bCs/>
          <w:sz w:val="22"/>
          <w:szCs w:val="22"/>
          <w:lang w:val="sr-Latn-ME"/>
        </w:rPr>
        <w:t xml:space="preserve">Primjena lijeka Fosavance se ne preporučuje kod pacijentkinja sa oštećenjem funkcije bubrega kod kojih je klirens kreatinina manji od 35 </w:t>
      </w:r>
      <w:r w:rsidR="00313225" w:rsidRPr="00273F23">
        <w:rPr>
          <w:bCs/>
          <w:sz w:val="22"/>
          <w:szCs w:val="22"/>
          <w:lang w:val="sr-Latn-ME"/>
        </w:rPr>
        <w:t>ml</w:t>
      </w:r>
      <w:r w:rsidRPr="00273F23">
        <w:rPr>
          <w:bCs/>
          <w:sz w:val="22"/>
          <w:szCs w:val="22"/>
          <w:lang w:val="sr-Latn-ME"/>
        </w:rPr>
        <w:t xml:space="preserve">/min (vidjeti </w:t>
      </w:r>
      <w:r w:rsidR="0000145F" w:rsidRPr="00273F23">
        <w:rPr>
          <w:bCs/>
          <w:sz w:val="22"/>
          <w:szCs w:val="22"/>
          <w:lang w:val="sr-Latn-ME"/>
        </w:rPr>
        <w:t xml:space="preserve">dio </w:t>
      </w:r>
      <w:r w:rsidRPr="00273F23">
        <w:rPr>
          <w:bCs/>
          <w:sz w:val="22"/>
          <w:szCs w:val="22"/>
          <w:lang w:val="sr-Latn-ME"/>
        </w:rPr>
        <w:t>4.2).</w:t>
      </w:r>
    </w:p>
    <w:p w14:paraId="3AD8B5C1" w14:textId="77777777" w:rsidR="00D2337C" w:rsidRPr="00273F23" w:rsidRDefault="00D2337C">
      <w:pPr>
        <w:tabs>
          <w:tab w:val="left" w:pos="540"/>
          <w:tab w:val="left" w:pos="569"/>
        </w:tabs>
        <w:jc w:val="both"/>
        <w:rPr>
          <w:bCs/>
          <w:sz w:val="22"/>
          <w:szCs w:val="22"/>
          <w:lang w:val="sr-Latn-ME"/>
        </w:rPr>
      </w:pPr>
    </w:p>
    <w:p w14:paraId="26C172E0" w14:textId="77777777" w:rsidR="00D2337C" w:rsidRPr="00273F23" w:rsidRDefault="00D2337C">
      <w:pPr>
        <w:tabs>
          <w:tab w:val="left" w:pos="540"/>
          <w:tab w:val="left" w:pos="569"/>
        </w:tabs>
        <w:jc w:val="both"/>
        <w:rPr>
          <w:bCs/>
          <w:i/>
          <w:sz w:val="22"/>
          <w:szCs w:val="22"/>
          <w:lang w:val="sr-Latn-ME"/>
        </w:rPr>
      </w:pPr>
      <w:r w:rsidRPr="00273F23">
        <w:rPr>
          <w:bCs/>
          <w:i/>
          <w:sz w:val="22"/>
          <w:szCs w:val="22"/>
          <w:lang w:val="sr-Latn-ME"/>
        </w:rPr>
        <w:t>Metabolizam kosti i minerala</w:t>
      </w:r>
    </w:p>
    <w:p w14:paraId="6660B2F8" w14:textId="77777777" w:rsidR="00D2337C" w:rsidRPr="00273F23" w:rsidRDefault="00D2337C">
      <w:pPr>
        <w:tabs>
          <w:tab w:val="left" w:pos="540"/>
          <w:tab w:val="left" w:pos="569"/>
        </w:tabs>
        <w:jc w:val="both"/>
        <w:rPr>
          <w:bCs/>
          <w:sz w:val="22"/>
          <w:szCs w:val="22"/>
          <w:lang w:val="sr-Latn-ME"/>
        </w:rPr>
      </w:pPr>
      <w:r w:rsidRPr="00273F23">
        <w:rPr>
          <w:bCs/>
          <w:sz w:val="22"/>
          <w:szCs w:val="22"/>
          <w:lang w:val="sr-Latn-ME"/>
        </w:rPr>
        <w:t>Treba uzeti u obzir i druge razloge za pojavu osteoporoze osim deficijencije estrogena i godina života.</w:t>
      </w:r>
    </w:p>
    <w:p w14:paraId="26BECBC2" w14:textId="77777777" w:rsidR="00D2337C" w:rsidRPr="00273F23" w:rsidRDefault="00D2337C">
      <w:pPr>
        <w:tabs>
          <w:tab w:val="left" w:pos="540"/>
          <w:tab w:val="left" w:pos="569"/>
        </w:tabs>
        <w:jc w:val="both"/>
        <w:rPr>
          <w:bCs/>
          <w:sz w:val="22"/>
          <w:szCs w:val="22"/>
          <w:lang w:val="sr-Latn-ME"/>
        </w:rPr>
      </w:pPr>
    </w:p>
    <w:p w14:paraId="009B8807" w14:textId="63401503" w:rsidR="00D2337C" w:rsidRPr="00273F23" w:rsidRDefault="00D2337C">
      <w:pPr>
        <w:tabs>
          <w:tab w:val="left" w:pos="540"/>
          <w:tab w:val="left" w:pos="569"/>
        </w:tabs>
        <w:jc w:val="both"/>
        <w:rPr>
          <w:bCs/>
          <w:sz w:val="22"/>
          <w:szCs w:val="22"/>
          <w:lang w:val="sr-Latn-ME"/>
        </w:rPr>
      </w:pPr>
      <w:r w:rsidRPr="00273F23">
        <w:rPr>
          <w:bCs/>
          <w:sz w:val="22"/>
          <w:szCs w:val="22"/>
          <w:lang w:val="sr-Latn-ME"/>
        </w:rPr>
        <w:t xml:space="preserve">Hipokalcemija mora da se koriguje prije početka terapije lijekom Fosavance (vidjeti </w:t>
      </w:r>
      <w:r w:rsidR="0000145F" w:rsidRPr="00273F23">
        <w:rPr>
          <w:bCs/>
          <w:sz w:val="22"/>
          <w:szCs w:val="22"/>
          <w:lang w:val="sr-Latn-ME"/>
        </w:rPr>
        <w:t>dio</w:t>
      </w:r>
      <w:r w:rsidRPr="00273F23">
        <w:rPr>
          <w:bCs/>
          <w:sz w:val="22"/>
          <w:szCs w:val="22"/>
          <w:lang w:val="sr-Latn-ME"/>
        </w:rPr>
        <w:t xml:space="preserve"> 4.3). Drugi poremećaji koji utiču na metabolizam minerala (poput deficijencije vitamina D i hipoparatireoidizma) </w:t>
      </w:r>
      <w:r w:rsidRPr="00273F23">
        <w:rPr>
          <w:bCs/>
          <w:sz w:val="22"/>
          <w:szCs w:val="22"/>
          <w:lang w:val="sr-Latn-ME"/>
        </w:rPr>
        <w:lastRenderedPageBreak/>
        <w:t>takođe treba da se efektivno regulišu prije početka terapije ovim lijekom. Količina vitamina D koja se nalazi u lijeku Fosavance nije dovoljna za korekciju deficijencije vitamina D. Kod pacijentkinja sa ovakvim stanjima, tokom terapije lijekom Fosavance, treba pratiti koncentraciju kalcijuma u serumu i simptome hipokalcemije.</w:t>
      </w:r>
    </w:p>
    <w:p w14:paraId="69BE3102" w14:textId="77777777" w:rsidR="00D2337C" w:rsidRPr="00273F23" w:rsidRDefault="00D2337C">
      <w:pPr>
        <w:tabs>
          <w:tab w:val="left" w:pos="540"/>
          <w:tab w:val="left" w:pos="569"/>
        </w:tabs>
        <w:jc w:val="both"/>
        <w:rPr>
          <w:bCs/>
          <w:sz w:val="22"/>
          <w:szCs w:val="22"/>
          <w:lang w:val="sr-Latn-ME"/>
        </w:rPr>
      </w:pPr>
    </w:p>
    <w:p w14:paraId="406B09F8" w14:textId="4009C0B7" w:rsidR="00D2337C" w:rsidRPr="00273F23" w:rsidRDefault="00D2337C">
      <w:pPr>
        <w:tabs>
          <w:tab w:val="left" w:pos="540"/>
          <w:tab w:val="left" w:pos="569"/>
        </w:tabs>
        <w:jc w:val="both"/>
        <w:rPr>
          <w:bCs/>
          <w:sz w:val="22"/>
          <w:szCs w:val="22"/>
          <w:lang w:val="sr-Latn-ME"/>
        </w:rPr>
      </w:pPr>
      <w:r w:rsidRPr="00273F23">
        <w:rPr>
          <w:bCs/>
          <w:sz w:val="22"/>
          <w:szCs w:val="22"/>
          <w:lang w:val="sr-Latn-ME"/>
        </w:rPr>
        <w:t xml:space="preserve">Zbog pozitivnih uticaja alendronata na povećanje mineralizacije kostiju, može doći do smanjenja koncentracije kalcijuma i fosfata u serumu, naročito kod pacijentkinja koje su na terapiji glukokortikoidima, a kod kojih resorpcija kalcijuma može biti smanjena. Ova smanjenja su obično mala i asimptomatska. Međutim, postoje rijetki izveštaji o simptomatskoj hipokalcemiji, koja je povremeno bila teška i često se dešavala kod pacijentkinja koje su imale neko od predisponirajućih stanja (npr. hipoparatireoidizam, deficijencija vitamina D i malapsorpcija kalcijuma) (vidjeti </w:t>
      </w:r>
      <w:r w:rsidR="0000145F" w:rsidRPr="00273F23">
        <w:rPr>
          <w:bCs/>
          <w:sz w:val="22"/>
          <w:szCs w:val="22"/>
          <w:lang w:val="sr-Latn-ME"/>
        </w:rPr>
        <w:t>dio</w:t>
      </w:r>
      <w:r w:rsidR="00E1352A" w:rsidRPr="00273F23">
        <w:rPr>
          <w:bCs/>
          <w:sz w:val="22"/>
          <w:szCs w:val="22"/>
          <w:lang w:val="sr-Latn-ME"/>
        </w:rPr>
        <w:t xml:space="preserve"> </w:t>
      </w:r>
      <w:r w:rsidRPr="00273F23">
        <w:rPr>
          <w:bCs/>
          <w:sz w:val="22"/>
          <w:szCs w:val="22"/>
          <w:lang w:val="sr-Latn-ME"/>
        </w:rPr>
        <w:t>4.8).</w:t>
      </w:r>
    </w:p>
    <w:p w14:paraId="30837E96" w14:textId="3F9C1CCE" w:rsidR="00D2337C" w:rsidRPr="00273F23" w:rsidRDefault="00D2337C">
      <w:pPr>
        <w:tabs>
          <w:tab w:val="left" w:pos="540"/>
          <w:tab w:val="left" w:pos="569"/>
        </w:tabs>
        <w:jc w:val="both"/>
        <w:rPr>
          <w:bCs/>
          <w:sz w:val="22"/>
          <w:szCs w:val="22"/>
          <w:lang w:val="sr-Latn-ME"/>
        </w:rPr>
      </w:pPr>
    </w:p>
    <w:p w14:paraId="0C54A102" w14:textId="77777777" w:rsidR="00D2337C" w:rsidRPr="00273F23" w:rsidRDefault="00D2337C">
      <w:pPr>
        <w:jc w:val="both"/>
        <w:rPr>
          <w:sz w:val="22"/>
          <w:szCs w:val="22"/>
          <w:u w:val="single"/>
          <w:lang w:val="sr-Latn-ME"/>
        </w:rPr>
      </w:pPr>
      <w:r w:rsidRPr="00273F23">
        <w:rPr>
          <w:sz w:val="22"/>
          <w:szCs w:val="22"/>
          <w:u w:val="single"/>
          <w:lang w:val="sr-Latn-ME"/>
        </w:rPr>
        <w:t>Holekalciferol</w:t>
      </w:r>
    </w:p>
    <w:p w14:paraId="25B17DF4" w14:textId="77777777" w:rsidR="00D2337C" w:rsidRPr="00273F23" w:rsidRDefault="00D2337C">
      <w:pPr>
        <w:jc w:val="both"/>
        <w:rPr>
          <w:sz w:val="22"/>
          <w:szCs w:val="22"/>
          <w:lang w:val="sr-Latn-ME"/>
        </w:rPr>
      </w:pPr>
      <w:r w:rsidRPr="00273F23">
        <w:rPr>
          <w:sz w:val="22"/>
          <w:szCs w:val="22"/>
          <w:lang w:val="sr-Latn-ME"/>
        </w:rPr>
        <w:t>Vitamin D</w:t>
      </w:r>
      <w:r w:rsidRPr="00273F23">
        <w:rPr>
          <w:sz w:val="22"/>
          <w:szCs w:val="22"/>
          <w:vertAlign w:val="subscript"/>
          <w:lang w:val="sr-Latn-ME"/>
        </w:rPr>
        <w:t>3</w:t>
      </w:r>
      <w:r w:rsidRPr="00273F23">
        <w:rPr>
          <w:sz w:val="22"/>
          <w:szCs w:val="22"/>
          <w:lang w:val="sr-Latn-ME"/>
        </w:rPr>
        <w:t xml:space="preserve"> može da poveća stepen hiperkalcemije i/ili hiperkalciurije kada se daje pacijentkinja koje imaju oboljenja povezana sa neregulisanim prekomjernim stvaranjem kalcitriola (npr. leukemija, limfom, sarkoidoza). Kod ovih pacijentkinja treba pratiti koncentracije kalcijuma u urinu i serumu.</w:t>
      </w:r>
    </w:p>
    <w:p w14:paraId="2539C445" w14:textId="77777777" w:rsidR="00D2337C" w:rsidRPr="00273F23" w:rsidRDefault="00D2337C">
      <w:pPr>
        <w:jc w:val="both"/>
        <w:rPr>
          <w:sz w:val="22"/>
          <w:szCs w:val="22"/>
          <w:lang w:val="sr-Latn-ME"/>
        </w:rPr>
      </w:pPr>
    </w:p>
    <w:p w14:paraId="342B619C" w14:textId="77777777" w:rsidR="00D2337C" w:rsidRPr="00273F23" w:rsidRDefault="00D2337C">
      <w:pPr>
        <w:jc w:val="both"/>
        <w:rPr>
          <w:sz w:val="22"/>
          <w:szCs w:val="22"/>
          <w:lang w:val="sr-Latn-ME"/>
        </w:rPr>
      </w:pPr>
      <w:r w:rsidRPr="00273F23">
        <w:rPr>
          <w:sz w:val="22"/>
          <w:szCs w:val="22"/>
          <w:lang w:val="sr-Latn-ME"/>
        </w:rPr>
        <w:t>Kod pacijentkinja sa malapsorpcijom može doći do neadekvatne resorpcije vitamina D</w:t>
      </w:r>
      <w:r w:rsidRPr="00273F23">
        <w:rPr>
          <w:sz w:val="22"/>
          <w:szCs w:val="22"/>
          <w:vertAlign w:val="subscript"/>
          <w:lang w:val="sr-Latn-ME"/>
        </w:rPr>
        <w:t>3</w:t>
      </w:r>
      <w:r w:rsidRPr="00273F23">
        <w:rPr>
          <w:sz w:val="22"/>
          <w:szCs w:val="22"/>
          <w:lang w:val="sr-Latn-ME"/>
        </w:rPr>
        <w:t>.</w:t>
      </w:r>
    </w:p>
    <w:p w14:paraId="7F4C6FA4" w14:textId="77777777" w:rsidR="00D2337C" w:rsidRPr="00273F23" w:rsidRDefault="00D2337C">
      <w:pPr>
        <w:jc w:val="both"/>
        <w:rPr>
          <w:sz w:val="22"/>
          <w:szCs w:val="22"/>
          <w:lang w:val="sr-Latn-ME"/>
        </w:rPr>
      </w:pPr>
    </w:p>
    <w:p w14:paraId="3263DBD8" w14:textId="70B86FB9" w:rsidR="00D2337C" w:rsidRPr="00273F23" w:rsidRDefault="00D2337C">
      <w:pPr>
        <w:jc w:val="both"/>
        <w:rPr>
          <w:sz w:val="22"/>
          <w:szCs w:val="22"/>
          <w:u w:val="single"/>
          <w:lang w:val="sr-Latn-ME"/>
        </w:rPr>
      </w:pPr>
      <w:r w:rsidRPr="00273F23">
        <w:rPr>
          <w:sz w:val="22"/>
          <w:szCs w:val="22"/>
          <w:u w:val="single"/>
          <w:lang w:val="sr-Latn-ME"/>
        </w:rPr>
        <w:t>Pomoćne supstance sa potvrđenim dejstvom</w:t>
      </w:r>
    </w:p>
    <w:p w14:paraId="6EA302BE" w14:textId="77777777" w:rsidR="002457A0" w:rsidRPr="00273F23" w:rsidRDefault="002457A0">
      <w:pPr>
        <w:jc w:val="both"/>
        <w:rPr>
          <w:sz w:val="22"/>
          <w:szCs w:val="22"/>
          <w:u w:val="single"/>
          <w:lang w:val="sr-Latn-ME"/>
        </w:rPr>
      </w:pPr>
    </w:p>
    <w:p w14:paraId="3BF5AB49" w14:textId="18EBEF0F" w:rsidR="00D2337C" w:rsidRPr="00273F23" w:rsidRDefault="00D2337C">
      <w:pPr>
        <w:jc w:val="both"/>
        <w:rPr>
          <w:sz w:val="22"/>
          <w:szCs w:val="22"/>
          <w:lang w:val="sr-Latn-ME"/>
        </w:rPr>
      </w:pPr>
      <w:r w:rsidRPr="00273F23">
        <w:rPr>
          <w:sz w:val="22"/>
          <w:szCs w:val="22"/>
          <w:lang w:val="sr-Latn-ME"/>
        </w:rPr>
        <w:t>Ovaj lijek sadrži laktozu, bezvodnu i saharozu. Pacijenti sa r</w:t>
      </w:r>
      <w:r w:rsidR="0000145F" w:rsidRPr="00273F23">
        <w:rPr>
          <w:sz w:val="22"/>
          <w:szCs w:val="22"/>
          <w:lang w:val="sr-Latn-ME"/>
        </w:rPr>
        <w:t>ij</w:t>
      </w:r>
      <w:r w:rsidRPr="00273F23">
        <w:rPr>
          <w:sz w:val="22"/>
          <w:szCs w:val="22"/>
          <w:lang w:val="sr-Latn-ME"/>
        </w:rPr>
        <w:t>etkim nasl</w:t>
      </w:r>
      <w:r w:rsidR="0000145F" w:rsidRPr="00273F23">
        <w:rPr>
          <w:sz w:val="22"/>
          <w:szCs w:val="22"/>
          <w:lang w:val="sr-Latn-ME"/>
        </w:rPr>
        <w:t>j</w:t>
      </w:r>
      <w:r w:rsidRPr="00273F23">
        <w:rPr>
          <w:sz w:val="22"/>
          <w:szCs w:val="22"/>
          <w:lang w:val="sr-Latn-ME"/>
        </w:rPr>
        <w:t>ednim oboljenjem intolerancije na galaktozu ili fruktozu, potpunim nedostatkom laktaze, glukozno-galaktoznom malapsorpcijom ili nedostatkom saharaza-izomaltaze, ne smiju koristiti ovaj lijek.</w:t>
      </w:r>
    </w:p>
    <w:p w14:paraId="2E3EC5C7" w14:textId="2C4A7376" w:rsidR="002457A0" w:rsidRPr="00273F23" w:rsidRDefault="002457A0">
      <w:pPr>
        <w:jc w:val="both"/>
        <w:rPr>
          <w:sz w:val="22"/>
          <w:szCs w:val="22"/>
          <w:lang w:val="sr-Latn-ME"/>
        </w:rPr>
      </w:pPr>
    </w:p>
    <w:p w14:paraId="04A8C023" w14:textId="642F775C" w:rsidR="00630B2D" w:rsidRPr="00273F23" w:rsidRDefault="00630B2D">
      <w:pPr>
        <w:jc w:val="both"/>
        <w:rPr>
          <w:sz w:val="22"/>
          <w:szCs w:val="22"/>
          <w:lang w:val="sr-Latn-ME"/>
        </w:rPr>
      </w:pPr>
      <w:r w:rsidRPr="00273F23">
        <w:rPr>
          <w:sz w:val="22"/>
          <w:szCs w:val="22"/>
          <w:lang w:val="sr-Latn-ME"/>
        </w:rPr>
        <w:t>Ovaj lijek sadrži manje od 1 mmol</w:t>
      </w:r>
      <w:r w:rsidR="0024558D" w:rsidRPr="00273F23">
        <w:rPr>
          <w:sz w:val="22"/>
          <w:szCs w:val="22"/>
          <w:lang w:val="sr-Latn-ME"/>
        </w:rPr>
        <w:t xml:space="preserve"> (23 mg)</w:t>
      </w:r>
      <w:r w:rsidRPr="00273F23">
        <w:rPr>
          <w:sz w:val="22"/>
          <w:szCs w:val="22"/>
          <w:lang w:val="sr-Latn-ME"/>
        </w:rPr>
        <w:t xml:space="preserve"> natrijuma po tableti, odnosno suštinski je bez natrijuma.</w:t>
      </w:r>
    </w:p>
    <w:p w14:paraId="10A9DAF8" w14:textId="77777777" w:rsidR="00057E35" w:rsidRPr="00273F23" w:rsidRDefault="00057E35" w:rsidP="00327919">
      <w:pPr>
        <w:tabs>
          <w:tab w:val="left" w:pos="540"/>
          <w:tab w:val="left" w:pos="569"/>
        </w:tabs>
        <w:jc w:val="both"/>
        <w:rPr>
          <w:bCs/>
          <w:sz w:val="22"/>
          <w:szCs w:val="22"/>
          <w:lang w:val="sr-Latn-ME"/>
        </w:rPr>
      </w:pPr>
    </w:p>
    <w:p w14:paraId="5F421350" w14:textId="77777777" w:rsidR="00411B4B" w:rsidRPr="00273F23" w:rsidRDefault="00411B4B" w:rsidP="00327919">
      <w:pPr>
        <w:tabs>
          <w:tab w:val="left" w:pos="540"/>
          <w:tab w:val="left" w:pos="569"/>
        </w:tabs>
        <w:jc w:val="both"/>
        <w:rPr>
          <w:b/>
          <w:bCs/>
          <w:sz w:val="22"/>
          <w:szCs w:val="22"/>
          <w:lang w:val="sr-Latn-ME"/>
        </w:rPr>
      </w:pPr>
      <w:r w:rsidRPr="00273F23">
        <w:rPr>
          <w:b/>
          <w:bCs/>
          <w:sz w:val="22"/>
          <w:szCs w:val="22"/>
          <w:lang w:val="sr-Latn-ME"/>
        </w:rPr>
        <w:t>4.5.</w:t>
      </w:r>
      <w:r w:rsidR="000D60CC" w:rsidRPr="00273F23">
        <w:rPr>
          <w:b/>
          <w:bCs/>
          <w:sz w:val="22"/>
          <w:szCs w:val="22"/>
          <w:lang w:val="sr-Latn-ME"/>
        </w:rPr>
        <w:tab/>
      </w:r>
      <w:r w:rsidRPr="00273F23">
        <w:rPr>
          <w:b/>
          <w:bCs/>
          <w:sz w:val="22"/>
          <w:szCs w:val="22"/>
          <w:lang w:val="sr-Latn-ME"/>
        </w:rPr>
        <w:t>Interakcije sa drugim ljekovima i druge vrste interakcija</w:t>
      </w:r>
    </w:p>
    <w:p w14:paraId="04EBDF40" w14:textId="222920C9" w:rsidR="0072020E" w:rsidRPr="00273F23" w:rsidRDefault="0072020E" w:rsidP="00327919">
      <w:pPr>
        <w:tabs>
          <w:tab w:val="left" w:pos="540"/>
          <w:tab w:val="left" w:pos="569"/>
        </w:tabs>
        <w:jc w:val="both"/>
        <w:rPr>
          <w:bCs/>
          <w:sz w:val="22"/>
          <w:szCs w:val="22"/>
          <w:lang w:val="sr-Latn-ME"/>
        </w:rPr>
      </w:pPr>
    </w:p>
    <w:p w14:paraId="661D08C7" w14:textId="77777777" w:rsidR="0000145F" w:rsidRPr="00273F23" w:rsidRDefault="0000145F" w:rsidP="00457283">
      <w:pPr>
        <w:pStyle w:val="Header"/>
        <w:tabs>
          <w:tab w:val="left" w:pos="284"/>
        </w:tabs>
        <w:jc w:val="both"/>
        <w:rPr>
          <w:sz w:val="22"/>
          <w:szCs w:val="22"/>
          <w:u w:val="single"/>
          <w:lang w:val="sr-Latn-ME"/>
        </w:rPr>
      </w:pPr>
      <w:r w:rsidRPr="00273F23">
        <w:rPr>
          <w:sz w:val="22"/>
          <w:szCs w:val="22"/>
          <w:u w:val="single"/>
          <w:lang w:val="sr-Latn-ME"/>
        </w:rPr>
        <w:t>Alendronat</w:t>
      </w:r>
    </w:p>
    <w:p w14:paraId="02E6A8BE" w14:textId="5B269CC2" w:rsidR="0000145F" w:rsidRPr="00273F23" w:rsidRDefault="0000145F" w:rsidP="00457283">
      <w:pPr>
        <w:pStyle w:val="Header"/>
        <w:tabs>
          <w:tab w:val="left" w:pos="284"/>
        </w:tabs>
        <w:jc w:val="both"/>
        <w:rPr>
          <w:sz w:val="22"/>
          <w:szCs w:val="22"/>
          <w:lang w:val="sr-Latn-ME"/>
        </w:rPr>
      </w:pPr>
      <w:r w:rsidRPr="00273F23">
        <w:rPr>
          <w:sz w:val="22"/>
          <w:szCs w:val="22"/>
          <w:lang w:val="sr-Latn-ME"/>
        </w:rPr>
        <w:t xml:space="preserve">Ako se uzimaju istovremeno, hrana i napici (uključujući i mineralnu vodu), suplementi kalcijuma, antacidi i neki oralni ljekovi, mogu da utiču na resorpciju alendronata. Stoga, pacijentkinje moraju, nakon uzimanja alendronata, da sačekaju najmanje 30 minuta prije nego što oralno uzmu neki drugi lijek (videti </w:t>
      </w:r>
      <w:r w:rsidR="00313225" w:rsidRPr="00273F23">
        <w:rPr>
          <w:sz w:val="22"/>
          <w:szCs w:val="22"/>
          <w:lang w:val="sr-Latn-ME"/>
        </w:rPr>
        <w:t>djelov</w:t>
      </w:r>
      <w:r w:rsidRPr="00273F23">
        <w:rPr>
          <w:sz w:val="22"/>
          <w:szCs w:val="22"/>
          <w:lang w:val="sr-Latn-ME"/>
        </w:rPr>
        <w:t>e  4.2 i 5.2).</w:t>
      </w:r>
    </w:p>
    <w:p w14:paraId="65E42A75" w14:textId="77777777" w:rsidR="0000145F" w:rsidRPr="00273F23" w:rsidRDefault="0000145F" w:rsidP="00457283">
      <w:pPr>
        <w:pStyle w:val="Header"/>
        <w:tabs>
          <w:tab w:val="left" w:pos="284"/>
        </w:tabs>
        <w:jc w:val="both"/>
        <w:rPr>
          <w:sz w:val="22"/>
          <w:szCs w:val="22"/>
          <w:lang w:val="sr-Latn-ME"/>
        </w:rPr>
      </w:pPr>
    </w:p>
    <w:p w14:paraId="7D3DB580" w14:textId="77777777" w:rsidR="0000145F" w:rsidRPr="00273F23" w:rsidRDefault="0000145F">
      <w:pPr>
        <w:pStyle w:val="Header"/>
        <w:tabs>
          <w:tab w:val="left" w:pos="284"/>
        </w:tabs>
        <w:jc w:val="both"/>
        <w:rPr>
          <w:sz w:val="22"/>
          <w:szCs w:val="22"/>
          <w:lang w:val="sr-Latn-ME"/>
        </w:rPr>
      </w:pPr>
      <w:r w:rsidRPr="00273F23">
        <w:rPr>
          <w:sz w:val="22"/>
          <w:szCs w:val="22"/>
          <w:lang w:val="sr-Latn-ME"/>
        </w:rPr>
        <w:t>S obzirom da je primjena NSAIL povezana sa gastrontestinalnom iritacijom, potreban je oprez kod istovremene primjene alendronata sa ovim ljekovima.</w:t>
      </w:r>
    </w:p>
    <w:p w14:paraId="4368EF07" w14:textId="77777777" w:rsidR="0000145F" w:rsidRPr="00273F23" w:rsidRDefault="0000145F">
      <w:pPr>
        <w:pStyle w:val="Header"/>
        <w:tabs>
          <w:tab w:val="left" w:pos="284"/>
        </w:tabs>
        <w:jc w:val="both"/>
        <w:rPr>
          <w:sz w:val="22"/>
          <w:szCs w:val="22"/>
          <w:lang w:val="sr-Latn-ME"/>
        </w:rPr>
      </w:pPr>
    </w:p>
    <w:p w14:paraId="2BA6BF61" w14:textId="77777777" w:rsidR="0000145F" w:rsidRPr="00273F23" w:rsidRDefault="0000145F">
      <w:pPr>
        <w:pStyle w:val="Header"/>
        <w:tabs>
          <w:tab w:val="left" w:pos="284"/>
        </w:tabs>
        <w:jc w:val="both"/>
        <w:rPr>
          <w:sz w:val="22"/>
          <w:szCs w:val="22"/>
          <w:u w:val="single"/>
          <w:lang w:val="sr-Latn-ME"/>
        </w:rPr>
      </w:pPr>
      <w:r w:rsidRPr="00273F23">
        <w:rPr>
          <w:sz w:val="22"/>
          <w:szCs w:val="22"/>
          <w:u w:val="single"/>
          <w:lang w:val="sr-Latn-ME"/>
        </w:rPr>
        <w:t>Holekalciferol</w:t>
      </w:r>
    </w:p>
    <w:p w14:paraId="3708ABEE" w14:textId="1EE5CE15" w:rsidR="0000145F" w:rsidRPr="00273F23" w:rsidRDefault="0000145F">
      <w:pPr>
        <w:jc w:val="both"/>
        <w:rPr>
          <w:sz w:val="22"/>
          <w:szCs w:val="22"/>
          <w:lang w:val="sr-Latn-ME"/>
        </w:rPr>
      </w:pPr>
      <w:r w:rsidRPr="00273F23">
        <w:rPr>
          <w:sz w:val="22"/>
          <w:szCs w:val="22"/>
          <w:lang w:val="sr-Latn-ME"/>
        </w:rPr>
        <w:t>Olestra, mineralna ulja, orlistat i jonoizmenjivačke smole (npr. holestiramin, holestipol) mogu da smanje resorpciju vitamina D. Antikonvulzivi, cimetidin i tiazidi mogu da povećaju katabolizam vitamina D. Može se razmotriti davanje dodatnih suplemenata vitamina D, ali to treba učiniti za svaku pacijentkinju posebno.</w:t>
      </w:r>
    </w:p>
    <w:p w14:paraId="1EDB8228" w14:textId="77777777" w:rsidR="0000145F" w:rsidRPr="00273F23" w:rsidRDefault="0000145F" w:rsidP="00327919">
      <w:pPr>
        <w:tabs>
          <w:tab w:val="left" w:pos="540"/>
          <w:tab w:val="left" w:pos="569"/>
        </w:tabs>
        <w:jc w:val="both"/>
        <w:rPr>
          <w:bCs/>
          <w:sz w:val="22"/>
          <w:szCs w:val="22"/>
          <w:lang w:val="sr-Latn-ME"/>
        </w:rPr>
      </w:pPr>
    </w:p>
    <w:p w14:paraId="67E03F0A" w14:textId="77777777" w:rsidR="0072020E" w:rsidRPr="00273F23" w:rsidRDefault="0072020E" w:rsidP="00327919">
      <w:pPr>
        <w:tabs>
          <w:tab w:val="left" w:pos="540"/>
          <w:tab w:val="left" w:pos="569"/>
        </w:tabs>
        <w:jc w:val="both"/>
        <w:rPr>
          <w:b/>
          <w:sz w:val="22"/>
          <w:szCs w:val="22"/>
          <w:lang w:val="sr-Latn-ME"/>
        </w:rPr>
      </w:pPr>
      <w:r w:rsidRPr="00273F23">
        <w:rPr>
          <w:b/>
          <w:bCs/>
          <w:sz w:val="22"/>
          <w:szCs w:val="22"/>
          <w:lang w:val="sr-Latn-ME"/>
        </w:rPr>
        <w:t xml:space="preserve">4.6. </w:t>
      </w:r>
      <w:r w:rsidR="00480FB1" w:rsidRPr="00273F23">
        <w:rPr>
          <w:b/>
          <w:bCs/>
          <w:sz w:val="22"/>
          <w:szCs w:val="22"/>
          <w:lang w:val="sr-Latn-ME"/>
        </w:rPr>
        <w:tab/>
      </w:r>
      <w:r w:rsidR="006D20A5" w:rsidRPr="00273F23">
        <w:rPr>
          <w:b/>
          <w:sz w:val="22"/>
          <w:szCs w:val="22"/>
          <w:lang w:val="sr-Latn-ME"/>
        </w:rPr>
        <w:t>Plodnost, trudnoća i dojenje</w:t>
      </w:r>
    </w:p>
    <w:p w14:paraId="20DF4398" w14:textId="35204FBC" w:rsidR="002031B3" w:rsidRPr="00273F23" w:rsidRDefault="002031B3" w:rsidP="00327919">
      <w:pPr>
        <w:tabs>
          <w:tab w:val="left" w:pos="540"/>
          <w:tab w:val="left" w:pos="569"/>
        </w:tabs>
        <w:jc w:val="both"/>
        <w:rPr>
          <w:sz w:val="22"/>
          <w:szCs w:val="22"/>
          <w:u w:val="single"/>
          <w:lang w:val="sr-Latn-ME"/>
        </w:rPr>
      </w:pPr>
    </w:p>
    <w:p w14:paraId="7A63B780" w14:textId="6AA1821F" w:rsidR="00AD3682" w:rsidRPr="00273F23" w:rsidRDefault="00AD3682" w:rsidP="00457283">
      <w:pPr>
        <w:pStyle w:val="Header"/>
        <w:tabs>
          <w:tab w:val="left" w:pos="284"/>
        </w:tabs>
        <w:jc w:val="both"/>
        <w:rPr>
          <w:sz w:val="22"/>
          <w:szCs w:val="22"/>
          <w:u w:val="single"/>
          <w:lang w:val="sr-Latn-ME"/>
        </w:rPr>
      </w:pPr>
      <w:r w:rsidRPr="00273F23">
        <w:rPr>
          <w:sz w:val="22"/>
          <w:szCs w:val="22"/>
          <w:lang w:val="sr-Latn-ME"/>
        </w:rPr>
        <w:t xml:space="preserve">Lijek Fosavance je namijenjen samo za primjenu kod žena u postmenopauzi i stoga </w:t>
      </w:r>
      <w:r w:rsidR="003966ED" w:rsidRPr="00273F23">
        <w:rPr>
          <w:sz w:val="22"/>
          <w:szCs w:val="22"/>
          <w:lang w:val="sr-Latn-ME"/>
        </w:rPr>
        <w:t xml:space="preserve">se ne </w:t>
      </w:r>
      <w:r w:rsidR="00231753" w:rsidRPr="00273F23">
        <w:rPr>
          <w:sz w:val="22"/>
          <w:szCs w:val="22"/>
          <w:lang w:val="sr-Latn-ME"/>
        </w:rPr>
        <w:t xml:space="preserve">treba </w:t>
      </w:r>
      <w:r w:rsidRPr="00273F23">
        <w:rPr>
          <w:sz w:val="22"/>
          <w:szCs w:val="22"/>
          <w:lang w:val="sr-Latn-ME"/>
        </w:rPr>
        <w:t>primjenjivati u periodu trudnoće i dojenja.</w:t>
      </w:r>
    </w:p>
    <w:p w14:paraId="339FAA00" w14:textId="77777777" w:rsidR="00AD3682" w:rsidRPr="00273F23" w:rsidRDefault="00AD3682" w:rsidP="00457283">
      <w:pPr>
        <w:tabs>
          <w:tab w:val="left" w:pos="540"/>
          <w:tab w:val="left" w:pos="569"/>
        </w:tabs>
        <w:jc w:val="both"/>
        <w:rPr>
          <w:sz w:val="22"/>
          <w:szCs w:val="22"/>
          <w:u w:val="single"/>
          <w:lang w:val="sr-Latn-ME"/>
        </w:rPr>
      </w:pPr>
    </w:p>
    <w:p w14:paraId="73471523" w14:textId="77777777" w:rsidR="0071630E" w:rsidRPr="00273F23" w:rsidRDefault="0071630E" w:rsidP="0071630E">
      <w:pPr>
        <w:tabs>
          <w:tab w:val="left" w:pos="540"/>
          <w:tab w:val="left" w:pos="569"/>
        </w:tabs>
        <w:jc w:val="both"/>
        <w:rPr>
          <w:sz w:val="22"/>
          <w:szCs w:val="22"/>
          <w:u w:val="single"/>
          <w:lang w:val="sr-Latn-ME"/>
        </w:rPr>
      </w:pPr>
      <w:r w:rsidRPr="00273F23">
        <w:rPr>
          <w:sz w:val="22"/>
          <w:szCs w:val="22"/>
          <w:u w:val="single"/>
          <w:lang w:val="sr-Latn-ME"/>
        </w:rPr>
        <w:t>Trudnoća</w:t>
      </w:r>
    </w:p>
    <w:p w14:paraId="0902CDB7" w14:textId="1B9FA671" w:rsidR="0071630E" w:rsidRPr="00273F23" w:rsidRDefault="0071630E" w:rsidP="0071630E">
      <w:pPr>
        <w:tabs>
          <w:tab w:val="left" w:pos="540"/>
          <w:tab w:val="left" w:pos="569"/>
        </w:tabs>
        <w:jc w:val="both"/>
        <w:rPr>
          <w:sz w:val="22"/>
          <w:szCs w:val="22"/>
          <w:u w:val="single"/>
          <w:lang w:val="sr-Latn-ME"/>
        </w:rPr>
      </w:pPr>
      <w:r w:rsidRPr="00273F23">
        <w:rPr>
          <w:sz w:val="22"/>
          <w:szCs w:val="22"/>
          <w:lang w:val="sr-Latn-ME"/>
        </w:rPr>
        <w:t>Nema podataka</w:t>
      </w:r>
      <w:r w:rsidR="00231753" w:rsidRPr="00273F23">
        <w:rPr>
          <w:sz w:val="22"/>
          <w:szCs w:val="22"/>
          <w:lang w:val="sr-Latn-ME"/>
        </w:rPr>
        <w:t xml:space="preserve"> ili su podaci</w:t>
      </w:r>
      <w:r w:rsidRPr="00273F23">
        <w:rPr>
          <w:sz w:val="22"/>
          <w:szCs w:val="22"/>
          <w:lang w:val="sr-Latn-ME"/>
        </w:rPr>
        <w:t xml:space="preserve"> o primjeni alendronata kod trudnica ograničeni. Ispitivanja na životinjama su pokazala reproduktivnu toksičnost. Kada je alendronat dat ženkama pacova u toku trudnoće, uzrokovao je otežan porođaj koji je povezan sa hipokalcemijom (vidjeti dio 5.3). Ispitivanja na životinjama pokazala su hiperkalcemiju i reproduktivnu toksičnost pri primjeni velikih doza vitamina D (vidjeti dio 5.3). Lijek Fosavance se ne </w:t>
      </w:r>
      <w:r w:rsidR="00231753" w:rsidRPr="00273F23">
        <w:rPr>
          <w:sz w:val="22"/>
          <w:szCs w:val="22"/>
          <w:lang w:val="sr-Latn-ME"/>
        </w:rPr>
        <w:t>treba</w:t>
      </w:r>
      <w:r w:rsidRPr="00273F23">
        <w:rPr>
          <w:sz w:val="22"/>
          <w:szCs w:val="22"/>
          <w:lang w:val="sr-Latn-ME"/>
        </w:rPr>
        <w:t xml:space="preserve"> prim</w:t>
      </w:r>
      <w:r w:rsidR="00E87A3F" w:rsidRPr="00273F23">
        <w:rPr>
          <w:sz w:val="22"/>
          <w:szCs w:val="22"/>
          <w:lang w:val="sr-Latn-ME"/>
        </w:rPr>
        <w:t>j</w:t>
      </w:r>
      <w:r w:rsidRPr="00273F23">
        <w:rPr>
          <w:sz w:val="22"/>
          <w:szCs w:val="22"/>
          <w:lang w:val="sr-Latn-ME"/>
        </w:rPr>
        <w:t>enjivati tokom trudnoće.</w:t>
      </w:r>
    </w:p>
    <w:p w14:paraId="23F8F693" w14:textId="77777777" w:rsidR="0071630E" w:rsidRPr="00273F23" w:rsidRDefault="0071630E" w:rsidP="00457283">
      <w:pPr>
        <w:tabs>
          <w:tab w:val="left" w:pos="540"/>
          <w:tab w:val="left" w:pos="569"/>
        </w:tabs>
        <w:jc w:val="both"/>
        <w:rPr>
          <w:sz w:val="22"/>
          <w:szCs w:val="22"/>
          <w:u w:val="single"/>
          <w:lang w:val="sr-Latn-ME"/>
        </w:rPr>
      </w:pPr>
    </w:p>
    <w:p w14:paraId="56E2408A" w14:textId="77777777" w:rsidR="0071630E" w:rsidRPr="00273F23" w:rsidRDefault="0071630E" w:rsidP="0071630E">
      <w:pPr>
        <w:tabs>
          <w:tab w:val="left" w:pos="540"/>
          <w:tab w:val="left" w:pos="569"/>
        </w:tabs>
        <w:jc w:val="both"/>
        <w:rPr>
          <w:b/>
          <w:bCs/>
          <w:sz w:val="22"/>
          <w:szCs w:val="22"/>
          <w:lang w:val="sr-Latn-ME"/>
        </w:rPr>
      </w:pPr>
      <w:r w:rsidRPr="00273F23">
        <w:rPr>
          <w:sz w:val="22"/>
          <w:szCs w:val="22"/>
          <w:u w:val="single"/>
          <w:lang w:val="sr-Latn-ME"/>
        </w:rPr>
        <w:t xml:space="preserve">Dojenje </w:t>
      </w:r>
    </w:p>
    <w:p w14:paraId="40D2DF6D" w14:textId="77777777" w:rsidR="0071630E" w:rsidRPr="00273F23" w:rsidRDefault="0071630E" w:rsidP="0071630E">
      <w:pPr>
        <w:pStyle w:val="Header"/>
        <w:tabs>
          <w:tab w:val="left" w:pos="284"/>
        </w:tabs>
        <w:jc w:val="both"/>
        <w:rPr>
          <w:sz w:val="22"/>
          <w:szCs w:val="22"/>
          <w:lang w:val="sr-Latn-ME"/>
        </w:rPr>
      </w:pPr>
      <w:r w:rsidRPr="00273F23">
        <w:rPr>
          <w:sz w:val="22"/>
          <w:szCs w:val="22"/>
          <w:lang w:val="sr-Latn-ME"/>
        </w:rPr>
        <w:lastRenderedPageBreak/>
        <w:t>Nije poznato da li se alendronat/metaboliti izlučuju u majčino mlijeko. Ne može se isključiti rizik za novorođenče/odojče. Holekalciferol i neki njegovi aktivni metaboliti prolaze u majčino mlijeko. Lijek Fosavance se ne smije primjenjivati tokom dojenja.</w:t>
      </w:r>
    </w:p>
    <w:p w14:paraId="68E06D6E" w14:textId="77777777" w:rsidR="0071630E" w:rsidRPr="00273F23" w:rsidRDefault="0071630E" w:rsidP="00457283">
      <w:pPr>
        <w:tabs>
          <w:tab w:val="left" w:pos="540"/>
          <w:tab w:val="left" w:pos="569"/>
        </w:tabs>
        <w:jc w:val="both"/>
        <w:rPr>
          <w:sz w:val="22"/>
          <w:szCs w:val="22"/>
          <w:u w:val="single"/>
          <w:lang w:val="sr-Latn-ME"/>
        </w:rPr>
      </w:pPr>
    </w:p>
    <w:p w14:paraId="3030D358" w14:textId="77777777" w:rsidR="002031B3" w:rsidRPr="00273F23" w:rsidRDefault="002031B3" w:rsidP="00457283">
      <w:pPr>
        <w:tabs>
          <w:tab w:val="left" w:pos="540"/>
          <w:tab w:val="left" w:pos="569"/>
        </w:tabs>
        <w:jc w:val="both"/>
        <w:rPr>
          <w:sz w:val="22"/>
          <w:szCs w:val="22"/>
          <w:u w:val="single"/>
          <w:lang w:val="sr-Latn-ME"/>
        </w:rPr>
      </w:pPr>
      <w:r w:rsidRPr="00273F23">
        <w:rPr>
          <w:sz w:val="22"/>
          <w:szCs w:val="22"/>
          <w:u w:val="single"/>
          <w:lang w:val="sr-Latn-ME"/>
        </w:rPr>
        <w:t>Plodnost</w:t>
      </w:r>
    </w:p>
    <w:p w14:paraId="1A1CA81B" w14:textId="1F750F20" w:rsidR="00AD3682" w:rsidRPr="00273F23" w:rsidRDefault="00AD3682" w:rsidP="00273F23">
      <w:pPr>
        <w:jc w:val="both"/>
        <w:rPr>
          <w:sz w:val="22"/>
          <w:szCs w:val="22"/>
          <w:u w:val="single"/>
          <w:lang w:val="sr-Latn-ME"/>
        </w:rPr>
      </w:pPr>
      <w:r w:rsidRPr="00273F23">
        <w:rPr>
          <w:sz w:val="22"/>
          <w:szCs w:val="22"/>
          <w:lang w:val="sr-Latn-ME"/>
        </w:rPr>
        <w:t xml:space="preserve">Bisfosfonati se ugrađuju u koštani matriks, iz koga se postepeno oslobađaju tokom godina. Količina bisfosfonata koja se ugradi u kost odraslih, a samim tim i količina koja se oslobađa ponovo u sistemsku cirkulaciju, direktno je u vezi sa primijenjenom dozom i trajanjem terapije bisfosfonatima (vidjeti dio 5.2). Nema podataka o riziku </w:t>
      </w:r>
      <w:r w:rsidR="00E2024D" w:rsidRPr="00273F23">
        <w:rPr>
          <w:sz w:val="22"/>
          <w:szCs w:val="22"/>
          <w:lang w:val="sr-Latn-ME"/>
        </w:rPr>
        <w:t>za</w:t>
      </w:r>
      <w:r w:rsidRPr="00273F23">
        <w:rPr>
          <w:sz w:val="22"/>
          <w:szCs w:val="22"/>
          <w:lang w:val="sr-Latn-ME"/>
        </w:rPr>
        <w:t xml:space="preserve"> fetus kod ljudi. Međutim, postoji teor</w:t>
      </w:r>
      <w:r w:rsidR="00E2024D" w:rsidRPr="00273F23">
        <w:rPr>
          <w:sz w:val="22"/>
          <w:szCs w:val="22"/>
          <w:lang w:val="sr-Latn-ME"/>
        </w:rPr>
        <w:t>ijski</w:t>
      </w:r>
      <w:r w:rsidRPr="00273F23">
        <w:rPr>
          <w:sz w:val="22"/>
          <w:szCs w:val="22"/>
          <w:lang w:val="sr-Latn-ME"/>
        </w:rPr>
        <w:t xml:space="preserve"> rizik od oštećenja fetusa, prije svega skeleta, ukoliko žena ostane trudna nakon završetka ciklusa terapije bisfosfonatima. Nije ispitivan uticaj varijabli, kao što su vrijeme koje protekne od prekida terapije bisfosfonatima do začeća, koji je tačno bisfosfonat primijenjen, kao i način primjene (intravenski u odnosu na oralni), na rizik.</w:t>
      </w:r>
    </w:p>
    <w:p w14:paraId="46528EBC" w14:textId="77777777" w:rsidR="00227BDB" w:rsidRPr="00273F23" w:rsidRDefault="00227BDB" w:rsidP="00273F23">
      <w:pPr>
        <w:tabs>
          <w:tab w:val="left" w:pos="540"/>
          <w:tab w:val="left" w:pos="569"/>
        </w:tabs>
        <w:jc w:val="both"/>
        <w:rPr>
          <w:b/>
          <w:bCs/>
          <w:sz w:val="22"/>
          <w:szCs w:val="22"/>
          <w:lang w:val="sr-Latn-ME"/>
        </w:rPr>
      </w:pPr>
    </w:p>
    <w:p w14:paraId="683AA606" w14:textId="77777777" w:rsidR="0072020E" w:rsidRPr="00273F23" w:rsidRDefault="0072020E" w:rsidP="00327919">
      <w:pPr>
        <w:tabs>
          <w:tab w:val="left" w:pos="540"/>
          <w:tab w:val="left" w:pos="569"/>
        </w:tabs>
        <w:ind w:left="540" w:hanging="540"/>
        <w:jc w:val="both"/>
        <w:rPr>
          <w:b/>
          <w:bCs/>
          <w:sz w:val="22"/>
          <w:szCs w:val="22"/>
          <w:lang w:val="sr-Latn-ME"/>
        </w:rPr>
      </w:pPr>
      <w:r w:rsidRPr="00273F23">
        <w:rPr>
          <w:b/>
          <w:bCs/>
          <w:sz w:val="22"/>
          <w:szCs w:val="22"/>
          <w:lang w:val="sr-Latn-ME"/>
        </w:rPr>
        <w:t xml:space="preserve">4.7. </w:t>
      </w:r>
      <w:r w:rsidR="00480FB1" w:rsidRPr="00273F23">
        <w:rPr>
          <w:b/>
          <w:bCs/>
          <w:sz w:val="22"/>
          <w:szCs w:val="22"/>
          <w:lang w:val="sr-Latn-ME"/>
        </w:rPr>
        <w:tab/>
      </w:r>
      <w:r w:rsidRPr="00273F23">
        <w:rPr>
          <w:b/>
          <w:bCs/>
          <w:sz w:val="22"/>
          <w:szCs w:val="22"/>
          <w:lang w:val="sr-Latn-ME"/>
        </w:rPr>
        <w:t xml:space="preserve">Uticaj na </w:t>
      </w:r>
      <w:r w:rsidR="002031B3" w:rsidRPr="00273F23">
        <w:rPr>
          <w:b/>
          <w:bCs/>
          <w:sz w:val="22"/>
          <w:szCs w:val="22"/>
          <w:lang w:val="sr-Latn-ME"/>
        </w:rPr>
        <w:t xml:space="preserve">sposobnost </w:t>
      </w:r>
      <w:r w:rsidR="00F34554" w:rsidRPr="00273F23">
        <w:rPr>
          <w:b/>
          <w:bCs/>
          <w:sz w:val="22"/>
          <w:szCs w:val="22"/>
          <w:lang w:val="sr-Latn-ME"/>
        </w:rPr>
        <w:t>upravljanja vozili</w:t>
      </w:r>
      <w:r w:rsidRPr="00273F23">
        <w:rPr>
          <w:b/>
          <w:bCs/>
          <w:sz w:val="22"/>
          <w:szCs w:val="22"/>
          <w:lang w:val="sr-Latn-ME"/>
        </w:rPr>
        <w:t>m</w:t>
      </w:r>
      <w:r w:rsidR="00F34554" w:rsidRPr="00273F23">
        <w:rPr>
          <w:b/>
          <w:bCs/>
          <w:sz w:val="22"/>
          <w:szCs w:val="22"/>
          <w:lang w:val="sr-Latn-ME"/>
        </w:rPr>
        <w:t>a</w:t>
      </w:r>
      <w:r w:rsidRPr="00273F23">
        <w:rPr>
          <w:b/>
          <w:bCs/>
          <w:sz w:val="22"/>
          <w:szCs w:val="22"/>
          <w:lang w:val="sr-Latn-ME"/>
        </w:rPr>
        <w:t xml:space="preserve"> i </w:t>
      </w:r>
      <w:r w:rsidR="000D3449" w:rsidRPr="00273F23">
        <w:rPr>
          <w:b/>
          <w:bCs/>
          <w:sz w:val="22"/>
          <w:szCs w:val="22"/>
          <w:lang w:val="sr-Latn-ME"/>
        </w:rPr>
        <w:t xml:space="preserve">rukovanje </w:t>
      </w:r>
      <w:r w:rsidRPr="00273F23">
        <w:rPr>
          <w:b/>
          <w:bCs/>
          <w:sz w:val="22"/>
          <w:szCs w:val="22"/>
          <w:lang w:val="sr-Latn-ME"/>
        </w:rPr>
        <w:t>mašinama</w:t>
      </w:r>
    </w:p>
    <w:p w14:paraId="2D002B51" w14:textId="46506057" w:rsidR="0072020E" w:rsidRPr="00273F23" w:rsidRDefault="0072020E" w:rsidP="00327919">
      <w:pPr>
        <w:tabs>
          <w:tab w:val="left" w:pos="540"/>
          <w:tab w:val="left" w:pos="569"/>
        </w:tabs>
        <w:jc w:val="both"/>
        <w:rPr>
          <w:b/>
          <w:bCs/>
          <w:sz w:val="22"/>
          <w:szCs w:val="22"/>
          <w:lang w:val="sr-Latn-ME"/>
        </w:rPr>
      </w:pPr>
    </w:p>
    <w:p w14:paraId="7718DF3F" w14:textId="57EAD8DE" w:rsidR="00AD3682" w:rsidRPr="00273F23" w:rsidRDefault="00AD3682" w:rsidP="00457283">
      <w:pPr>
        <w:tabs>
          <w:tab w:val="left" w:pos="540"/>
          <w:tab w:val="left" w:pos="569"/>
        </w:tabs>
        <w:jc w:val="both"/>
        <w:rPr>
          <w:sz w:val="22"/>
          <w:szCs w:val="22"/>
          <w:lang w:val="sr-Latn-ME"/>
        </w:rPr>
      </w:pPr>
      <w:r w:rsidRPr="00273F23">
        <w:rPr>
          <w:sz w:val="22"/>
          <w:szCs w:val="22"/>
          <w:lang w:val="sr-Latn-ME"/>
        </w:rPr>
        <w:t xml:space="preserve">Lijek Fosavance nema ili ima zanemarljiv uticaj na sposobnost upravljanja vozilima i rukovanja mašinama. Mogu se </w:t>
      </w:r>
      <w:r w:rsidR="00231753" w:rsidRPr="00273F23">
        <w:rPr>
          <w:sz w:val="22"/>
          <w:szCs w:val="22"/>
          <w:lang w:val="sr-Latn-ME"/>
        </w:rPr>
        <w:t xml:space="preserve">ispoljiti </w:t>
      </w:r>
      <w:r w:rsidRPr="00273F23">
        <w:rPr>
          <w:sz w:val="22"/>
          <w:szCs w:val="22"/>
          <w:lang w:val="sr-Latn-ME"/>
        </w:rPr>
        <w:t>određene neželjene reakcije, npr. zamagljen vid, vrtoglavica i jak bol u kostima, mišićima ili zglobovima (vidjeti dio 4.8) koje mogu uticati na sposobnost upravljanja vozilima i rukovanja mašinama.</w:t>
      </w:r>
    </w:p>
    <w:p w14:paraId="148CC2C6" w14:textId="77777777" w:rsidR="00AD3682" w:rsidRPr="00273F23" w:rsidRDefault="00AD3682" w:rsidP="00327919">
      <w:pPr>
        <w:tabs>
          <w:tab w:val="left" w:pos="540"/>
          <w:tab w:val="left" w:pos="569"/>
        </w:tabs>
        <w:jc w:val="both"/>
        <w:rPr>
          <w:b/>
          <w:bCs/>
          <w:sz w:val="22"/>
          <w:szCs w:val="22"/>
          <w:lang w:val="sr-Latn-ME"/>
        </w:rPr>
      </w:pPr>
    </w:p>
    <w:p w14:paraId="7A8A94EB"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4.8. </w:t>
      </w:r>
      <w:r w:rsidR="00480FB1" w:rsidRPr="00273F23">
        <w:rPr>
          <w:b/>
          <w:bCs/>
          <w:sz w:val="22"/>
          <w:szCs w:val="22"/>
          <w:lang w:val="sr-Latn-ME"/>
        </w:rPr>
        <w:tab/>
      </w:r>
      <w:r w:rsidRPr="00273F23">
        <w:rPr>
          <w:b/>
          <w:bCs/>
          <w:sz w:val="22"/>
          <w:szCs w:val="22"/>
          <w:lang w:val="sr-Latn-ME"/>
        </w:rPr>
        <w:t>Neželjena dejstva</w:t>
      </w:r>
    </w:p>
    <w:p w14:paraId="317FFB0D" w14:textId="3372A224" w:rsidR="004E70AD" w:rsidRPr="00273F23" w:rsidRDefault="004E70AD" w:rsidP="00327919">
      <w:pPr>
        <w:tabs>
          <w:tab w:val="left" w:pos="540"/>
          <w:tab w:val="left" w:pos="569"/>
        </w:tabs>
        <w:jc w:val="both"/>
        <w:rPr>
          <w:b/>
          <w:bCs/>
          <w:sz w:val="22"/>
          <w:szCs w:val="22"/>
          <w:lang w:val="sr-Latn-ME"/>
        </w:rPr>
      </w:pPr>
    </w:p>
    <w:p w14:paraId="0880797D" w14:textId="77777777" w:rsidR="00AD3682" w:rsidRPr="00273F23" w:rsidRDefault="00AD3682" w:rsidP="00457283">
      <w:pPr>
        <w:tabs>
          <w:tab w:val="left" w:pos="540"/>
          <w:tab w:val="left" w:pos="569"/>
        </w:tabs>
        <w:jc w:val="both"/>
        <w:rPr>
          <w:sz w:val="22"/>
          <w:szCs w:val="22"/>
          <w:u w:val="single"/>
          <w:lang w:val="sr-Latn-ME"/>
        </w:rPr>
      </w:pPr>
      <w:r w:rsidRPr="00273F23">
        <w:rPr>
          <w:sz w:val="22"/>
          <w:szCs w:val="22"/>
          <w:u w:val="single"/>
          <w:lang w:val="sr-Latn-ME"/>
        </w:rPr>
        <w:t>Sažetak bezbjednosnog profila</w:t>
      </w:r>
    </w:p>
    <w:p w14:paraId="43C16F0D" w14:textId="754F38A3" w:rsidR="00AD3682" w:rsidRPr="00273F23" w:rsidRDefault="00AD3682" w:rsidP="00457283">
      <w:pPr>
        <w:tabs>
          <w:tab w:val="left" w:pos="540"/>
          <w:tab w:val="left" w:pos="569"/>
        </w:tabs>
        <w:jc w:val="both"/>
        <w:rPr>
          <w:sz w:val="22"/>
          <w:szCs w:val="22"/>
          <w:lang w:val="sr-Latn-ME"/>
        </w:rPr>
      </w:pPr>
      <w:r w:rsidRPr="00273F23">
        <w:rPr>
          <w:sz w:val="22"/>
          <w:szCs w:val="22"/>
          <w:lang w:val="sr-Latn-ME"/>
        </w:rPr>
        <w:t xml:space="preserve">Najčešće prijavljene neželjene reakcije su neželjene reakcije gornjeg dijela gastrointestinalnog trakta uključujući abdominalni bol, dispepsiju, ezofagealni ulkus, disfagiju, abdominalnu distenziju i regurgitaciju </w:t>
      </w:r>
      <w:r w:rsidR="00313225" w:rsidRPr="00273F23">
        <w:rPr>
          <w:sz w:val="22"/>
          <w:szCs w:val="22"/>
          <w:lang w:val="sr-Latn-ME"/>
        </w:rPr>
        <w:t>kise</w:t>
      </w:r>
      <w:r w:rsidRPr="00273F23">
        <w:rPr>
          <w:sz w:val="22"/>
          <w:szCs w:val="22"/>
          <w:lang w:val="sr-Latn-ME"/>
        </w:rPr>
        <w:t>line (&gt;1%).</w:t>
      </w:r>
    </w:p>
    <w:p w14:paraId="6ECE19DD" w14:textId="77777777" w:rsidR="00AD3682" w:rsidRPr="00273F23" w:rsidRDefault="00AD3682" w:rsidP="00457283">
      <w:pPr>
        <w:tabs>
          <w:tab w:val="left" w:pos="540"/>
          <w:tab w:val="left" w:pos="569"/>
        </w:tabs>
        <w:jc w:val="both"/>
        <w:rPr>
          <w:sz w:val="22"/>
          <w:szCs w:val="22"/>
          <w:u w:val="single"/>
          <w:lang w:val="sr-Latn-ME"/>
        </w:rPr>
      </w:pPr>
    </w:p>
    <w:p w14:paraId="73C332CF" w14:textId="77777777" w:rsidR="00AD3682" w:rsidRPr="00273F23" w:rsidRDefault="00AD3682">
      <w:pPr>
        <w:tabs>
          <w:tab w:val="left" w:pos="540"/>
          <w:tab w:val="left" w:pos="569"/>
        </w:tabs>
        <w:jc w:val="both"/>
        <w:rPr>
          <w:sz w:val="22"/>
          <w:szCs w:val="22"/>
          <w:u w:val="single"/>
          <w:lang w:val="sr-Latn-ME"/>
        </w:rPr>
      </w:pPr>
      <w:r w:rsidRPr="00273F23">
        <w:rPr>
          <w:sz w:val="22"/>
          <w:szCs w:val="22"/>
          <w:u w:val="single"/>
          <w:lang w:val="sr-Latn-ME"/>
        </w:rPr>
        <w:t>Tabelarni prikaz neželjenih reakcija</w:t>
      </w:r>
    </w:p>
    <w:p w14:paraId="22813566" w14:textId="7C5A6DD0" w:rsidR="00AD3682" w:rsidRPr="00273F23" w:rsidRDefault="00AD3682">
      <w:pPr>
        <w:tabs>
          <w:tab w:val="left" w:pos="540"/>
          <w:tab w:val="left" w:pos="569"/>
        </w:tabs>
        <w:jc w:val="both"/>
        <w:rPr>
          <w:sz w:val="22"/>
          <w:szCs w:val="22"/>
          <w:lang w:val="sr-Latn-ME"/>
        </w:rPr>
      </w:pPr>
      <w:r w:rsidRPr="00273F23">
        <w:rPr>
          <w:sz w:val="22"/>
          <w:szCs w:val="22"/>
          <w:lang w:val="sr-Latn-ME"/>
        </w:rPr>
        <w:t>Sl</w:t>
      </w:r>
      <w:r w:rsidR="00603E0E" w:rsidRPr="00273F23">
        <w:rPr>
          <w:sz w:val="22"/>
          <w:szCs w:val="22"/>
          <w:lang w:val="sr-Latn-ME"/>
        </w:rPr>
        <w:t>j</w:t>
      </w:r>
      <w:r w:rsidRPr="00273F23">
        <w:rPr>
          <w:sz w:val="22"/>
          <w:szCs w:val="22"/>
          <w:lang w:val="sr-Latn-ME"/>
        </w:rPr>
        <w:t>edeće neželjene reakcije na alendronat zabijeležene su u kliničkim studijama i/ili nakon stavljanja lijeka u promet.</w:t>
      </w:r>
    </w:p>
    <w:p w14:paraId="5F1C5FAF" w14:textId="5E8FA34D" w:rsidR="00AD3682" w:rsidRPr="00273F23" w:rsidRDefault="00AD3682">
      <w:pPr>
        <w:tabs>
          <w:tab w:val="left" w:pos="540"/>
          <w:tab w:val="left" w:pos="569"/>
        </w:tabs>
        <w:jc w:val="both"/>
        <w:rPr>
          <w:sz w:val="22"/>
          <w:szCs w:val="22"/>
          <w:lang w:val="sr-Latn-ME"/>
        </w:rPr>
      </w:pPr>
    </w:p>
    <w:p w14:paraId="2581010C" w14:textId="7B3CCE1B" w:rsidR="00AD3682" w:rsidRPr="00273F23" w:rsidRDefault="00AD3682">
      <w:pPr>
        <w:tabs>
          <w:tab w:val="left" w:pos="540"/>
          <w:tab w:val="left" w:pos="569"/>
        </w:tabs>
        <w:jc w:val="both"/>
        <w:rPr>
          <w:sz w:val="22"/>
          <w:szCs w:val="22"/>
          <w:lang w:val="sr-Latn-ME"/>
        </w:rPr>
      </w:pPr>
      <w:r w:rsidRPr="00273F23">
        <w:rPr>
          <w:sz w:val="22"/>
          <w:szCs w:val="22"/>
          <w:lang w:val="sr-Latn-ME"/>
        </w:rPr>
        <w:t>Ni</w:t>
      </w:r>
      <w:r w:rsidR="005511AA" w:rsidRPr="00273F23">
        <w:rPr>
          <w:sz w:val="22"/>
          <w:szCs w:val="22"/>
          <w:lang w:val="sr-Latn-ME"/>
        </w:rPr>
        <w:t>je</w:t>
      </w:r>
      <w:r w:rsidRPr="00273F23">
        <w:rPr>
          <w:sz w:val="22"/>
          <w:szCs w:val="22"/>
          <w:lang w:val="sr-Latn-ME"/>
        </w:rPr>
        <w:t>su zabiljeležene nikakve</w:t>
      </w:r>
      <w:r w:rsidR="000239CD" w:rsidRPr="00273F23">
        <w:rPr>
          <w:sz w:val="22"/>
          <w:szCs w:val="22"/>
          <w:lang w:val="sr-Latn-ME"/>
        </w:rPr>
        <w:t xml:space="preserve"> </w:t>
      </w:r>
      <w:r w:rsidRPr="00273F23">
        <w:rPr>
          <w:sz w:val="22"/>
          <w:szCs w:val="22"/>
          <w:lang w:val="sr-Latn-ME"/>
        </w:rPr>
        <w:t>druge dodatne neželjene reakcije na kombinaciju alendronata i holekalciferola.</w:t>
      </w:r>
    </w:p>
    <w:p w14:paraId="6111F350" w14:textId="77777777" w:rsidR="00AD3682" w:rsidRPr="00273F23" w:rsidRDefault="00AD3682">
      <w:pPr>
        <w:tabs>
          <w:tab w:val="left" w:pos="540"/>
          <w:tab w:val="left" w:pos="569"/>
        </w:tabs>
        <w:jc w:val="both"/>
        <w:rPr>
          <w:sz w:val="22"/>
          <w:szCs w:val="22"/>
          <w:lang w:val="sr-Latn-ME"/>
        </w:rPr>
      </w:pPr>
    </w:p>
    <w:p w14:paraId="08B0289F" w14:textId="678EABEA" w:rsidR="00AD3682" w:rsidRPr="00273F23" w:rsidRDefault="00AD3682" w:rsidP="00BE68FB">
      <w:pPr>
        <w:tabs>
          <w:tab w:val="left" w:pos="540"/>
          <w:tab w:val="left" w:pos="569"/>
        </w:tabs>
        <w:jc w:val="both"/>
        <w:rPr>
          <w:sz w:val="22"/>
          <w:szCs w:val="22"/>
          <w:lang w:val="sr-Latn-ME"/>
        </w:rPr>
      </w:pPr>
      <w:r w:rsidRPr="00273F23">
        <w:rPr>
          <w:sz w:val="22"/>
          <w:szCs w:val="22"/>
          <w:lang w:val="sr-Latn-ME"/>
        </w:rPr>
        <w:t>Učestalost je definisana kao:</w:t>
      </w:r>
      <w:r w:rsidR="00603E0E" w:rsidRPr="00273F23">
        <w:rPr>
          <w:sz w:val="22"/>
          <w:szCs w:val="22"/>
          <w:lang w:val="sr-Latn-ME"/>
        </w:rPr>
        <w:t xml:space="preserve"> </w:t>
      </w:r>
      <w:r w:rsidRPr="00273F23">
        <w:rPr>
          <w:sz w:val="22"/>
          <w:szCs w:val="22"/>
          <w:lang w:val="sr-Latn-ME"/>
        </w:rPr>
        <w:t>veoma često (</w:t>
      </w:r>
      <w:r w:rsidRPr="00273F23">
        <w:rPr>
          <w:sz w:val="22"/>
          <w:szCs w:val="22"/>
          <w:lang w:val="sr-Latn-ME"/>
        </w:rPr>
        <w:sym w:font="Symbol" w:char="F0B3"/>
      </w:r>
      <w:r w:rsidRPr="00273F23">
        <w:rPr>
          <w:sz w:val="22"/>
          <w:szCs w:val="22"/>
          <w:lang w:val="sr-Latn-ME"/>
        </w:rPr>
        <w:t>1/10),</w:t>
      </w:r>
      <w:r w:rsidR="00603E0E" w:rsidRPr="00273F23">
        <w:rPr>
          <w:sz w:val="22"/>
          <w:szCs w:val="22"/>
          <w:lang w:val="sr-Latn-ME"/>
        </w:rPr>
        <w:t xml:space="preserve"> </w:t>
      </w:r>
      <w:r w:rsidRPr="00273F23">
        <w:rPr>
          <w:sz w:val="22"/>
          <w:szCs w:val="22"/>
          <w:lang w:val="sr-Latn-ME"/>
        </w:rPr>
        <w:t>često (</w:t>
      </w:r>
      <w:r w:rsidRPr="00273F23">
        <w:rPr>
          <w:sz w:val="22"/>
          <w:szCs w:val="22"/>
          <w:lang w:val="sr-Latn-ME"/>
        </w:rPr>
        <w:sym w:font="Symbol" w:char="F0B3"/>
      </w:r>
      <w:r w:rsidRPr="00273F23">
        <w:rPr>
          <w:sz w:val="22"/>
          <w:szCs w:val="22"/>
          <w:lang w:val="sr-Latn-ME"/>
        </w:rPr>
        <w:t>1/100 do</w:t>
      </w:r>
      <w:r w:rsidRPr="00273F23">
        <w:rPr>
          <w:sz w:val="22"/>
          <w:szCs w:val="22"/>
          <w:lang w:val="sr-Latn-ME"/>
        </w:rPr>
        <w:sym w:font="Symbol" w:char="F03C"/>
      </w:r>
      <w:r w:rsidRPr="00273F23">
        <w:rPr>
          <w:sz w:val="22"/>
          <w:szCs w:val="22"/>
          <w:lang w:val="sr-Latn-ME"/>
        </w:rPr>
        <w:t>1/10), povremeno (</w:t>
      </w:r>
      <w:r w:rsidRPr="00273F23">
        <w:rPr>
          <w:sz w:val="22"/>
          <w:szCs w:val="22"/>
          <w:lang w:val="sr-Latn-ME"/>
        </w:rPr>
        <w:sym w:font="Symbol" w:char="F0B3"/>
      </w:r>
      <w:r w:rsidRPr="00273F23">
        <w:rPr>
          <w:sz w:val="22"/>
          <w:szCs w:val="22"/>
          <w:lang w:val="sr-Latn-ME"/>
        </w:rPr>
        <w:t>1/1000 do</w:t>
      </w:r>
      <w:r w:rsidRPr="00273F23">
        <w:rPr>
          <w:sz w:val="22"/>
          <w:szCs w:val="22"/>
          <w:lang w:val="sr-Latn-ME"/>
        </w:rPr>
        <w:sym w:font="Symbol" w:char="F03C"/>
      </w:r>
      <w:r w:rsidRPr="00273F23">
        <w:rPr>
          <w:sz w:val="22"/>
          <w:szCs w:val="22"/>
          <w:lang w:val="sr-Latn-ME"/>
        </w:rPr>
        <w:t>1/100), r</w:t>
      </w:r>
      <w:r w:rsidR="00603E0E" w:rsidRPr="00273F23">
        <w:rPr>
          <w:sz w:val="22"/>
          <w:szCs w:val="22"/>
          <w:lang w:val="sr-Latn-ME"/>
        </w:rPr>
        <w:t>ij</w:t>
      </w:r>
      <w:r w:rsidRPr="00273F23">
        <w:rPr>
          <w:sz w:val="22"/>
          <w:szCs w:val="22"/>
          <w:lang w:val="sr-Latn-ME"/>
        </w:rPr>
        <w:t>etko (</w:t>
      </w:r>
      <w:r w:rsidRPr="00273F23">
        <w:rPr>
          <w:sz w:val="22"/>
          <w:szCs w:val="22"/>
          <w:lang w:val="sr-Latn-ME"/>
        </w:rPr>
        <w:sym w:font="Symbol" w:char="F0B3"/>
      </w:r>
      <w:r w:rsidRPr="00273F23">
        <w:rPr>
          <w:sz w:val="22"/>
          <w:szCs w:val="22"/>
          <w:lang w:val="sr-Latn-ME"/>
        </w:rPr>
        <w:t>1/10000 do</w:t>
      </w:r>
      <w:r w:rsidRPr="00273F23">
        <w:rPr>
          <w:sz w:val="22"/>
          <w:szCs w:val="22"/>
          <w:lang w:val="sr-Latn-ME"/>
        </w:rPr>
        <w:sym w:font="Symbol" w:char="F03C"/>
      </w:r>
      <w:r w:rsidRPr="00273F23">
        <w:rPr>
          <w:sz w:val="22"/>
          <w:szCs w:val="22"/>
          <w:lang w:val="sr-Latn-ME"/>
        </w:rPr>
        <w:t>1/1000), veoma rijetko (</w:t>
      </w:r>
      <w:r w:rsidRPr="00273F23">
        <w:rPr>
          <w:sz w:val="22"/>
          <w:szCs w:val="22"/>
          <w:lang w:val="sr-Latn-ME"/>
        </w:rPr>
        <w:sym w:font="Symbol" w:char="F03C"/>
      </w:r>
      <w:r w:rsidRPr="00273F23">
        <w:rPr>
          <w:sz w:val="22"/>
          <w:szCs w:val="22"/>
          <w:lang w:val="sr-Latn-ME"/>
        </w:rPr>
        <w:t>1/10000)</w:t>
      </w:r>
      <w:r w:rsidR="00BE68FB" w:rsidRPr="00273F23">
        <w:rPr>
          <w:sz w:val="22"/>
          <w:szCs w:val="22"/>
          <w:lang w:val="sr-Latn-ME"/>
        </w:rPr>
        <w:t>, nepoznata učestalost (ne može se proc</w:t>
      </w:r>
      <w:r w:rsidR="00DD689C" w:rsidRPr="00273F23">
        <w:rPr>
          <w:sz w:val="22"/>
          <w:szCs w:val="22"/>
          <w:lang w:val="sr-Latn-ME"/>
        </w:rPr>
        <w:t>ij</w:t>
      </w:r>
      <w:r w:rsidR="00BE68FB" w:rsidRPr="00273F23">
        <w:rPr>
          <w:sz w:val="22"/>
          <w:szCs w:val="22"/>
          <w:lang w:val="sr-Latn-ME"/>
        </w:rPr>
        <w:t>eniti na osnovu dostupnih podataka)</w:t>
      </w:r>
    </w:p>
    <w:p w14:paraId="47789BEF" w14:textId="51CF5324" w:rsidR="00AD3682" w:rsidRPr="00273F23" w:rsidRDefault="00AD3682">
      <w:pPr>
        <w:tabs>
          <w:tab w:val="left" w:pos="540"/>
          <w:tab w:val="left" w:pos="569"/>
        </w:tabs>
        <w:jc w:val="both"/>
        <w:rPr>
          <w:sz w:val="22"/>
          <w:szCs w:val="22"/>
          <w:lang w:val="sr-Latn-ME"/>
        </w:rPr>
      </w:pPr>
    </w:p>
    <w:tbl>
      <w:tblPr>
        <w:tblW w:w="9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1988"/>
        <w:gridCol w:w="4605"/>
      </w:tblGrid>
      <w:tr w:rsidR="00603E0E" w:rsidRPr="00273F23" w14:paraId="05F73A4B" w14:textId="77777777" w:rsidTr="00273F23">
        <w:tc>
          <w:tcPr>
            <w:tcW w:w="2475" w:type="dxa"/>
            <w:shd w:val="clear" w:color="auto" w:fill="auto"/>
          </w:tcPr>
          <w:p w14:paraId="6BBABA2F" w14:textId="77777777" w:rsidR="00603E0E" w:rsidRPr="00273F23" w:rsidRDefault="00603E0E">
            <w:pPr>
              <w:tabs>
                <w:tab w:val="left" w:pos="540"/>
                <w:tab w:val="left" w:pos="569"/>
              </w:tabs>
              <w:jc w:val="both"/>
              <w:rPr>
                <w:b/>
                <w:bCs/>
                <w:i/>
                <w:sz w:val="22"/>
                <w:szCs w:val="22"/>
                <w:lang w:val="sr-Latn-ME"/>
              </w:rPr>
            </w:pPr>
            <w:r w:rsidRPr="00273F23">
              <w:rPr>
                <w:b/>
                <w:bCs/>
                <w:sz w:val="22"/>
                <w:szCs w:val="22"/>
                <w:lang w:val="sr-Latn-ME"/>
              </w:rPr>
              <w:t>Klasa sistema organa</w:t>
            </w:r>
          </w:p>
        </w:tc>
        <w:tc>
          <w:tcPr>
            <w:tcW w:w="1988" w:type="dxa"/>
          </w:tcPr>
          <w:p w14:paraId="75859269" w14:textId="77777777" w:rsidR="00603E0E" w:rsidRPr="00273F23" w:rsidRDefault="00603E0E">
            <w:pPr>
              <w:tabs>
                <w:tab w:val="left" w:pos="540"/>
                <w:tab w:val="left" w:pos="569"/>
              </w:tabs>
              <w:jc w:val="both"/>
              <w:rPr>
                <w:b/>
                <w:bCs/>
                <w:i/>
                <w:sz w:val="22"/>
                <w:szCs w:val="22"/>
                <w:lang w:val="sr-Latn-ME"/>
              </w:rPr>
            </w:pPr>
            <w:r w:rsidRPr="00273F23">
              <w:rPr>
                <w:b/>
                <w:bCs/>
                <w:sz w:val="22"/>
                <w:szCs w:val="22"/>
                <w:lang w:val="sr-Latn-ME"/>
              </w:rPr>
              <w:t>Učestalost</w:t>
            </w:r>
          </w:p>
        </w:tc>
        <w:tc>
          <w:tcPr>
            <w:tcW w:w="4600" w:type="dxa"/>
            <w:shd w:val="clear" w:color="auto" w:fill="auto"/>
          </w:tcPr>
          <w:p w14:paraId="204EB15F" w14:textId="77777777" w:rsidR="00603E0E" w:rsidRPr="00273F23" w:rsidRDefault="00603E0E">
            <w:pPr>
              <w:tabs>
                <w:tab w:val="left" w:pos="540"/>
                <w:tab w:val="left" w:pos="569"/>
              </w:tabs>
              <w:jc w:val="both"/>
              <w:rPr>
                <w:b/>
                <w:bCs/>
                <w:i/>
                <w:sz w:val="22"/>
                <w:szCs w:val="22"/>
                <w:lang w:val="sr-Latn-ME"/>
              </w:rPr>
            </w:pPr>
            <w:r w:rsidRPr="00273F23">
              <w:rPr>
                <w:b/>
                <w:bCs/>
                <w:sz w:val="22"/>
                <w:szCs w:val="22"/>
                <w:lang w:val="sr-Latn-ME"/>
              </w:rPr>
              <w:t>Neželjena reakcija</w:t>
            </w:r>
          </w:p>
        </w:tc>
      </w:tr>
      <w:tr w:rsidR="00603E0E" w:rsidRPr="00273F23" w14:paraId="603B7AE9" w14:textId="77777777" w:rsidTr="00273F23">
        <w:tc>
          <w:tcPr>
            <w:tcW w:w="2475" w:type="dxa"/>
            <w:shd w:val="clear" w:color="auto" w:fill="auto"/>
          </w:tcPr>
          <w:p w14:paraId="78840C3C" w14:textId="547DBCAC" w:rsidR="00603E0E" w:rsidRPr="00273F23" w:rsidRDefault="00603E0E" w:rsidP="00457283">
            <w:pPr>
              <w:tabs>
                <w:tab w:val="left" w:pos="540"/>
                <w:tab w:val="left" w:pos="569"/>
              </w:tabs>
              <w:jc w:val="both"/>
              <w:rPr>
                <w:b/>
                <w:bCs/>
                <w:sz w:val="22"/>
                <w:szCs w:val="22"/>
                <w:lang w:val="sr-Latn-ME"/>
              </w:rPr>
            </w:pPr>
            <w:r w:rsidRPr="00273F23">
              <w:rPr>
                <w:b/>
                <w:bCs/>
                <w:i/>
                <w:sz w:val="22"/>
                <w:szCs w:val="22"/>
                <w:lang w:val="sr-Latn-ME"/>
              </w:rPr>
              <w:t>Poremećaji imun</w:t>
            </w:r>
            <w:r w:rsidR="006046AA" w:rsidRPr="00273F23">
              <w:rPr>
                <w:b/>
                <w:bCs/>
                <w:i/>
                <w:sz w:val="22"/>
                <w:szCs w:val="22"/>
                <w:lang w:val="sr-Latn-ME"/>
              </w:rPr>
              <w:t>sk</w:t>
            </w:r>
            <w:r w:rsidRPr="00273F23">
              <w:rPr>
                <w:b/>
                <w:bCs/>
                <w:i/>
                <w:sz w:val="22"/>
                <w:szCs w:val="22"/>
                <w:lang w:val="sr-Latn-ME"/>
              </w:rPr>
              <w:t>og sistema</w:t>
            </w:r>
          </w:p>
        </w:tc>
        <w:tc>
          <w:tcPr>
            <w:tcW w:w="1988" w:type="dxa"/>
          </w:tcPr>
          <w:p w14:paraId="7CD65473"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Rijetko</w:t>
            </w:r>
          </w:p>
        </w:tc>
        <w:tc>
          <w:tcPr>
            <w:tcW w:w="4600" w:type="dxa"/>
            <w:shd w:val="clear" w:color="auto" w:fill="auto"/>
          </w:tcPr>
          <w:p w14:paraId="4572CD51" w14:textId="51E42B85" w:rsidR="00603E0E" w:rsidRPr="00273F23" w:rsidRDefault="00603E0E" w:rsidP="00457283">
            <w:pPr>
              <w:tabs>
                <w:tab w:val="left" w:pos="540"/>
                <w:tab w:val="left" w:pos="569"/>
              </w:tabs>
              <w:jc w:val="both"/>
              <w:rPr>
                <w:sz w:val="22"/>
                <w:szCs w:val="22"/>
                <w:lang w:val="sr-Latn-ME"/>
              </w:rPr>
            </w:pPr>
            <w:r w:rsidRPr="00273F23">
              <w:rPr>
                <w:sz w:val="22"/>
                <w:szCs w:val="22"/>
                <w:lang w:val="sr-Latn-ME"/>
              </w:rPr>
              <w:t>reakcije preosjetljivosti uključujući urtikariju i angioedem</w:t>
            </w:r>
          </w:p>
        </w:tc>
      </w:tr>
      <w:tr w:rsidR="00603E0E" w:rsidRPr="00273F23" w14:paraId="02E96118" w14:textId="77777777" w:rsidTr="00273F23">
        <w:tc>
          <w:tcPr>
            <w:tcW w:w="2475" w:type="dxa"/>
            <w:tcBorders>
              <w:bottom w:val="single" w:sz="4" w:space="0" w:color="auto"/>
            </w:tcBorders>
            <w:shd w:val="clear" w:color="auto" w:fill="auto"/>
          </w:tcPr>
          <w:p w14:paraId="64E7185B" w14:textId="77777777" w:rsidR="00603E0E" w:rsidRPr="00273F23" w:rsidRDefault="00603E0E" w:rsidP="00457283">
            <w:pPr>
              <w:tabs>
                <w:tab w:val="left" w:pos="540"/>
                <w:tab w:val="left" w:pos="569"/>
              </w:tabs>
              <w:jc w:val="both"/>
              <w:rPr>
                <w:b/>
                <w:bCs/>
                <w:i/>
                <w:sz w:val="22"/>
                <w:szCs w:val="22"/>
                <w:lang w:val="sr-Latn-ME"/>
              </w:rPr>
            </w:pPr>
            <w:r w:rsidRPr="00273F23">
              <w:rPr>
                <w:b/>
                <w:bCs/>
                <w:i/>
                <w:sz w:val="22"/>
                <w:szCs w:val="22"/>
                <w:lang w:val="sr-Latn-ME"/>
              </w:rPr>
              <w:t>Poremećaji metabolizma i ishrane</w:t>
            </w:r>
          </w:p>
        </w:tc>
        <w:tc>
          <w:tcPr>
            <w:tcW w:w="1988" w:type="dxa"/>
            <w:tcBorders>
              <w:bottom w:val="single" w:sz="4" w:space="0" w:color="auto"/>
            </w:tcBorders>
          </w:tcPr>
          <w:p w14:paraId="109E417D"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Rijetko</w:t>
            </w:r>
          </w:p>
        </w:tc>
        <w:tc>
          <w:tcPr>
            <w:tcW w:w="4600" w:type="dxa"/>
            <w:tcBorders>
              <w:bottom w:val="single" w:sz="4" w:space="0" w:color="auto"/>
            </w:tcBorders>
            <w:shd w:val="clear" w:color="auto" w:fill="auto"/>
          </w:tcPr>
          <w:p w14:paraId="22431780" w14:textId="60A74FF8" w:rsidR="00603E0E" w:rsidRPr="00273F23" w:rsidRDefault="00603E0E" w:rsidP="00457283">
            <w:pPr>
              <w:tabs>
                <w:tab w:val="left" w:pos="540"/>
                <w:tab w:val="left" w:pos="569"/>
              </w:tabs>
              <w:jc w:val="both"/>
              <w:rPr>
                <w:i/>
                <w:sz w:val="22"/>
                <w:szCs w:val="22"/>
                <w:lang w:val="sr-Latn-ME"/>
              </w:rPr>
            </w:pPr>
            <w:r w:rsidRPr="00273F23">
              <w:rPr>
                <w:sz w:val="22"/>
                <w:szCs w:val="22"/>
                <w:lang w:val="sr-Latn-ME"/>
              </w:rPr>
              <w:t xml:space="preserve">simptomatska hipokalcemija, često </w:t>
            </w:r>
            <w:r w:rsidR="007D104D" w:rsidRPr="00273F23">
              <w:rPr>
                <w:sz w:val="22"/>
                <w:szCs w:val="22"/>
                <w:lang w:val="sr-Latn-ME"/>
              </w:rPr>
              <w:t>povezana</w:t>
            </w:r>
            <w:r w:rsidRPr="00273F23">
              <w:rPr>
                <w:sz w:val="22"/>
                <w:szCs w:val="22"/>
                <w:lang w:val="sr-Latn-ME"/>
              </w:rPr>
              <w:t xml:space="preserve"> sa p</w:t>
            </w:r>
            <w:r w:rsidR="007D104D" w:rsidRPr="00273F23">
              <w:rPr>
                <w:sz w:val="22"/>
                <w:szCs w:val="22"/>
                <w:lang w:val="sr-Latn-ME"/>
              </w:rPr>
              <w:t>redisponirajućim</w:t>
            </w:r>
            <w:r w:rsidRPr="00273F23">
              <w:rPr>
                <w:sz w:val="22"/>
                <w:szCs w:val="22"/>
                <w:lang w:val="sr-Latn-ME"/>
              </w:rPr>
              <w:t xml:space="preserve"> stanjima</w:t>
            </w:r>
            <w:r w:rsidRPr="00273F23">
              <w:rPr>
                <w:sz w:val="22"/>
                <w:szCs w:val="22"/>
                <w:vertAlign w:val="superscript"/>
                <w:lang w:val="sr-Latn-ME"/>
              </w:rPr>
              <w:t>§</w:t>
            </w:r>
          </w:p>
        </w:tc>
      </w:tr>
      <w:tr w:rsidR="00603E0E" w:rsidRPr="00273F23" w14:paraId="62CFA4F3" w14:textId="77777777" w:rsidTr="00273F23">
        <w:tc>
          <w:tcPr>
            <w:tcW w:w="2475" w:type="dxa"/>
            <w:tcBorders>
              <w:bottom w:val="nil"/>
            </w:tcBorders>
            <w:shd w:val="clear" w:color="auto" w:fill="auto"/>
          </w:tcPr>
          <w:p w14:paraId="4E3E9628" w14:textId="77777777" w:rsidR="00603E0E" w:rsidRPr="00273F23" w:rsidRDefault="00603E0E" w:rsidP="00457283">
            <w:pPr>
              <w:tabs>
                <w:tab w:val="left" w:pos="540"/>
                <w:tab w:val="left" w:pos="569"/>
              </w:tabs>
              <w:jc w:val="both"/>
              <w:rPr>
                <w:b/>
                <w:bCs/>
                <w:i/>
                <w:sz w:val="22"/>
                <w:szCs w:val="22"/>
                <w:lang w:val="sr-Latn-ME"/>
              </w:rPr>
            </w:pPr>
            <w:r w:rsidRPr="00273F23">
              <w:rPr>
                <w:b/>
                <w:bCs/>
                <w:i/>
                <w:sz w:val="22"/>
                <w:szCs w:val="22"/>
                <w:lang w:val="sr-Latn-ME"/>
              </w:rPr>
              <w:t xml:space="preserve">Poremećaji nervnog sistema </w:t>
            </w:r>
          </w:p>
        </w:tc>
        <w:tc>
          <w:tcPr>
            <w:tcW w:w="1988" w:type="dxa"/>
            <w:tcBorders>
              <w:bottom w:val="single" w:sz="4" w:space="0" w:color="auto"/>
            </w:tcBorders>
          </w:tcPr>
          <w:p w14:paraId="52135E77"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Često</w:t>
            </w:r>
          </w:p>
        </w:tc>
        <w:tc>
          <w:tcPr>
            <w:tcW w:w="4600" w:type="dxa"/>
            <w:tcBorders>
              <w:bottom w:val="single" w:sz="4" w:space="0" w:color="auto"/>
            </w:tcBorders>
            <w:shd w:val="clear" w:color="auto" w:fill="auto"/>
          </w:tcPr>
          <w:p w14:paraId="4C1BD538" w14:textId="77777777" w:rsidR="00603E0E" w:rsidRPr="00273F23" w:rsidRDefault="00603E0E" w:rsidP="00457283">
            <w:pPr>
              <w:tabs>
                <w:tab w:val="left" w:pos="540"/>
                <w:tab w:val="left" w:pos="569"/>
              </w:tabs>
              <w:jc w:val="both"/>
              <w:rPr>
                <w:i/>
                <w:sz w:val="22"/>
                <w:szCs w:val="22"/>
                <w:lang w:val="sr-Latn-ME"/>
              </w:rPr>
            </w:pPr>
            <w:r w:rsidRPr="00273F23">
              <w:rPr>
                <w:sz w:val="22"/>
                <w:szCs w:val="22"/>
                <w:lang w:val="sr-Latn-ME"/>
              </w:rPr>
              <w:t>glavobolja, ošamućenost</w:t>
            </w:r>
            <w:r w:rsidRPr="00273F23">
              <w:rPr>
                <w:sz w:val="22"/>
                <w:szCs w:val="22"/>
                <w:vertAlign w:val="superscript"/>
                <w:lang w:val="sr-Latn-ME"/>
              </w:rPr>
              <w:t>†</w:t>
            </w:r>
          </w:p>
        </w:tc>
      </w:tr>
      <w:tr w:rsidR="00603E0E" w:rsidRPr="00273F23" w:rsidDel="0070204C" w14:paraId="38A1F47B" w14:textId="77777777" w:rsidTr="00273F23">
        <w:tc>
          <w:tcPr>
            <w:tcW w:w="2475" w:type="dxa"/>
            <w:tcBorders>
              <w:top w:val="nil"/>
            </w:tcBorders>
            <w:shd w:val="clear" w:color="auto" w:fill="auto"/>
          </w:tcPr>
          <w:p w14:paraId="52F7F5CA" w14:textId="77777777" w:rsidR="00603E0E" w:rsidRPr="00273F23" w:rsidRDefault="00603E0E" w:rsidP="00457283">
            <w:pPr>
              <w:tabs>
                <w:tab w:val="left" w:pos="540"/>
                <w:tab w:val="left" w:pos="569"/>
              </w:tabs>
              <w:jc w:val="both"/>
              <w:rPr>
                <w:b/>
                <w:bCs/>
                <w:i/>
                <w:sz w:val="22"/>
                <w:szCs w:val="22"/>
                <w:lang w:val="sr-Latn-ME"/>
              </w:rPr>
            </w:pPr>
          </w:p>
        </w:tc>
        <w:tc>
          <w:tcPr>
            <w:tcW w:w="1988" w:type="dxa"/>
            <w:tcBorders>
              <w:top w:val="single" w:sz="4" w:space="0" w:color="auto"/>
            </w:tcBorders>
          </w:tcPr>
          <w:p w14:paraId="0D9D155C"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Povremeno</w:t>
            </w:r>
          </w:p>
        </w:tc>
        <w:tc>
          <w:tcPr>
            <w:tcW w:w="4600" w:type="dxa"/>
            <w:tcBorders>
              <w:top w:val="single" w:sz="4" w:space="0" w:color="auto"/>
            </w:tcBorders>
            <w:shd w:val="clear" w:color="auto" w:fill="auto"/>
          </w:tcPr>
          <w:p w14:paraId="5E492F21" w14:textId="77777777" w:rsidR="00603E0E" w:rsidRPr="00273F23" w:rsidDel="0070204C" w:rsidRDefault="00603E0E" w:rsidP="00457283">
            <w:pPr>
              <w:tabs>
                <w:tab w:val="left" w:pos="540"/>
                <w:tab w:val="left" w:pos="569"/>
              </w:tabs>
              <w:jc w:val="both"/>
              <w:rPr>
                <w:i/>
                <w:sz w:val="22"/>
                <w:szCs w:val="22"/>
                <w:lang w:val="sr-Latn-ME"/>
              </w:rPr>
            </w:pPr>
            <w:r w:rsidRPr="00273F23">
              <w:rPr>
                <w:sz w:val="22"/>
                <w:szCs w:val="22"/>
                <w:lang w:val="sr-Latn-ME"/>
              </w:rPr>
              <w:t>disgeuzija</w:t>
            </w:r>
            <w:r w:rsidRPr="00273F23">
              <w:rPr>
                <w:sz w:val="22"/>
                <w:szCs w:val="22"/>
                <w:vertAlign w:val="superscript"/>
                <w:lang w:val="sr-Latn-ME"/>
              </w:rPr>
              <w:t>†</w:t>
            </w:r>
          </w:p>
        </w:tc>
      </w:tr>
      <w:tr w:rsidR="00603E0E" w:rsidRPr="00273F23" w14:paraId="2E64773C" w14:textId="77777777" w:rsidTr="00273F23">
        <w:trPr>
          <w:trHeight w:val="407"/>
        </w:trPr>
        <w:tc>
          <w:tcPr>
            <w:tcW w:w="2475" w:type="dxa"/>
            <w:shd w:val="clear" w:color="auto" w:fill="auto"/>
          </w:tcPr>
          <w:p w14:paraId="382CF750" w14:textId="77777777" w:rsidR="00603E0E" w:rsidRPr="00273F23" w:rsidRDefault="00603E0E" w:rsidP="00457283">
            <w:pPr>
              <w:tabs>
                <w:tab w:val="left" w:pos="540"/>
                <w:tab w:val="left" w:pos="569"/>
              </w:tabs>
              <w:jc w:val="both"/>
              <w:rPr>
                <w:b/>
                <w:bCs/>
                <w:i/>
                <w:sz w:val="22"/>
                <w:szCs w:val="22"/>
                <w:lang w:val="sr-Latn-ME"/>
              </w:rPr>
            </w:pPr>
            <w:r w:rsidRPr="00273F23">
              <w:rPr>
                <w:b/>
                <w:bCs/>
                <w:i/>
                <w:sz w:val="22"/>
                <w:szCs w:val="22"/>
                <w:lang w:val="sr-Latn-ME"/>
              </w:rPr>
              <w:t>Poremećaji oka</w:t>
            </w:r>
          </w:p>
          <w:p w14:paraId="30188FBB" w14:textId="77777777" w:rsidR="00603E0E" w:rsidRPr="00273F23" w:rsidRDefault="00603E0E" w:rsidP="00457283">
            <w:pPr>
              <w:tabs>
                <w:tab w:val="left" w:pos="540"/>
                <w:tab w:val="left" w:pos="569"/>
              </w:tabs>
              <w:jc w:val="both"/>
              <w:rPr>
                <w:b/>
                <w:bCs/>
                <w:i/>
                <w:sz w:val="22"/>
                <w:szCs w:val="22"/>
                <w:lang w:val="sr-Latn-ME"/>
              </w:rPr>
            </w:pPr>
          </w:p>
        </w:tc>
        <w:tc>
          <w:tcPr>
            <w:tcW w:w="1988" w:type="dxa"/>
          </w:tcPr>
          <w:p w14:paraId="394EC057"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Povremeno</w:t>
            </w:r>
          </w:p>
        </w:tc>
        <w:tc>
          <w:tcPr>
            <w:tcW w:w="4600" w:type="dxa"/>
            <w:shd w:val="clear" w:color="auto" w:fill="auto"/>
          </w:tcPr>
          <w:p w14:paraId="1D35A76B" w14:textId="77777777" w:rsidR="00603E0E" w:rsidRPr="00273F23" w:rsidRDefault="00603E0E">
            <w:pPr>
              <w:tabs>
                <w:tab w:val="left" w:pos="540"/>
                <w:tab w:val="left" w:pos="569"/>
              </w:tabs>
              <w:jc w:val="both"/>
              <w:rPr>
                <w:sz w:val="22"/>
                <w:szCs w:val="22"/>
                <w:lang w:val="sr-Latn-ME"/>
              </w:rPr>
            </w:pPr>
            <w:r w:rsidRPr="00273F23">
              <w:rPr>
                <w:sz w:val="22"/>
                <w:szCs w:val="22"/>
                <w:lang w:val="sr-Latn-ME"/>
              </w:rPr>
              <w:t>inflamacija oka (uveitis, skleritis, episkleritis)</w:t>
            </w:r>
          </w:p>
        </w:tc>
      </w:tr>
      <w:tr w:rsidR="00603E0E" w:rsidRPr="00273F23" w14:paraId="52B3D796" w14:textId="77777777" w:rsidTr="00273F23">
        <w:tc>
          <w:tcPr>
            <w:tcW w:w="2475" w:type="dxa"/>
            <w:vMerge w:val="restart"/>
            <w:shd w:val="clear" w:color="auto" w:fill="auto"/>
          </w:tcPr>
          <w:p w14:paraId="5F3EF796" w14:textId="77777777" w:rsidR="00603E0E" w:rsidRPr="00273F23" w:rsidRDefault="00603E0E" w:rsidP="00457283">
            <w:pPr>
              <w:tabs>
                <w:tab w:val="left" w:pos="540"/>
                <w:tab w:val="left" w:pos="569"/>
              </w:tabs>
              <w:jc w:val="both"/>
              <w:rPr>
                <w:b/>
                <w:bCs/>
                <w:i/>
                <w:sz w:val="22"/>
                <w:szCs w:val="22"/>
                <w:lang w:val="sr-Latn-ME"/>
              </w:rPr>
            </w:pPr>
            <w:r w:rsidRPr="00273F23">
              <w:rPr>
                <w:b/>
                <w:bCs/>
                <w:i/>
                <w:sz w:val="22"/>
                <w:szCs w:val="22"/>
                <w:lang w:val="sr-Latn-ME"/>
              </w:rPr>
              <w:t>Poremećaji uha i labirinta</w:t>
            </w:r>
          </w:p>
        </w:tc>
        <w:tc>
          <w:tcPr>
            <w:tcW w:w="1988" w:type="dxa"/>
            <w:tcBorders>
              <w:bottom w:val="single" w:sz="4" w:space="0" w:color="auto"/>
            </w:tcBorders>
          </w:tcPr>
          <w:p w14:paraId="0DAD1794"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Često</w:t>
            </w:r>
          </w:p>
        </w:tc>
        <w:tc>
          <w:tcPr>
            <w:tcW w:w="4600" w:type="dxa"/>
            <w:tcBorders>
              <w:bottom w:val="single" w:sz="4" w:space="0" w:color="auto"/>
            </w:tcBorders>
            <w:shd w:val="clear" w:color="auto" w:fill="auto"/>
          </w:tcPr>
          <w:p w14:paraId="446E3353" w14:textId="77777777" w:rsidR="00603E0E" w:rsidRPr="00273F23" w:rsidRDefault="00603E0E" w:rsidP="00457283">
            <w:pPr>
              <w:tabs>
                <w:tab w:val="left" w:pos="540"/>
                <w:tab w:val="left" w:pos="569"/>
              </w:tabs>
              <w:jc w:val="both"/>
              <w:rPr>
                <w:i/>
                <w:sz w:val="22"/>
                <w:szCs w:val="22"/>
                <w:lang w:val="sr-Latn-ME"/>
              </w:rPr>
            </w:pPr>
            <w:r w:rsidRPr="00273F23">
              <w:rPr>
                <w:sz w:val="22"/>
                <w:szCs w:val="22"/>
                <w:lang w:val="sr-Latn-ME"/>
              </w:rPr>
              <w:t>vertigo</w:t>
            </w:r>
            <w:r w:rsidRPr="00273F23">
              <w:rPr>
                <w:sz w:val="22"/>
                <w:szCs w:val="22"/>
                <w:vertAlign w:val="superscript"/>
                <w:lang w:val="sr-Latn-ME"/>
              </w:rPr>
              <w:t>†</w:t>
            </w:r>
          </w:p>
        </w:tc>
      </w:tr>
      <w:tr w:rsidR="00603E0E" w:rsidRPr="00273F23" w14:paraId="6919F7EB" w14:textId="77777777" w:rsidTr="00273F23">
        <w:tc>
          <w:tcPr>
            <w:tcW w:w="2475" w:type="dxa"/>
            <w:vMerge/>
            <w:tcBorders>
              <w:bottom w:val="single" w:sz="4" w:space="0" w:color="auto"/>
            </w:tcBorders>
            <w:shd w:val="clear" w:color="auto" w:fill="auto"/>
          </w:tcPr>
          <w:p w14:paraId="58626690" w14:textId="77777777" w:rsidR="00603E0E" w:rsidRPr="00273F23" w:rsidRDefault="00603E0E">
            <w:pPr>
              <w:tabs>
                <w:tab w:val="left" w:pos="540"/>
                <w:tab w:val="left" w:pos="569"/>
              </w:tabs>
              <w:jc w:val="both"/>
              <w:rPr>
                <w:b/>
                <w:bCs/>
                <w:i/>
                <w:sz w:val="22"/>
                <w:szCs w:val="22"/>
                <w:lang w:val="sr-Latn-ME"/>
              </w:rPr>
            </w:pPr>
          </w:p>
        </w:tc>
        <w:tc>
          <w:tcPr>
            <w:tcW w:w="1988" w:type="dxa"/>
            <w:tcBorders>
              <w:bottom w:val="single" w:sz="4" w:space="0" w:color="auto"/>
            </w:tcBorders>
          </w:tcPr>
          <w:p w14:paraId="520590AE" w14:textId="77777777" w:rsidR="00603E0E" w:rsidRPr="00273F23" w:rsidRDefault="00603E0E">
            <w:pPr>
              <w:tabs>
                <w:tab w:val="left" w:pos="540"/>
                <w:tab w:val="left" w:pos="569"/>
              </w:tabs>
              <w:jc w:val="both"/>
              <w:rPr>
                <w:sz w:val="22"/>
                <w:szCs w:val="22"/>
                <w:lang w:val="sr-Latn-ME"/>
              </w:rPr>
            </w:pPr>
            <w:r w:rsidRPr="00273F23">
              <w:rPr>
                <w:sz w:val="22"/>
                <w:szCs w:val="22"/>
                <w:lang w:val="sr-Latn-ME"/>
              </w:rPr>
              <w:t>Veoma rijetko</w:t>
            </w:r>
          </w:p>
        </w:tc>
        <w:tc>
          <w:tcPr>
            <w:tcW w:w="4600" w:type="dxa"/>
            <w:tcBorders>
              <w:bottom w:val="single" w:sz="4" w:space="0" w:color="auto"/>
            </w:tcBorders>
            <w:shd w:val="clear" w:color="auto" w:fill="auto"/>
          </w:tcPr>
          <w:p w14:paraId="3A8C5268" w14:textId="77777777" w:rsidR="00603E0E" w:rsidRPr="00273F23" w:rsidRDefault="00603E0E">
            <w:pPr>
              <w:tabs>
                <w:tab w:val="left" w:pos="540"/>
                <w:tab w:val="left" w:pos="569"/>
              </w:tabs>
              <w:jc w:val="both"/>
              <w:rPr>
                <w:sz w:val="22"/>
                <w:szCs w:val="22"/>
                <w:lang w:val="sr-Latn-ME"/>
              </w:rPr>
            </w:pPr>
            <w:r w:rsidRPr="00273F23">
              <w:rPr>
                <w:sz w:val="22"/>
                <w:szCs w:val="22"/>
                <w:lang w:val="sr-Latn-ME"/>
              </w:rPr>
              <w:t>osteonekroza spoljašnjeg slušnog kanala</w:t>
            </w:r>
          </w:p>
          <w:p w14:paraId="3442288A" w14:textId="100A9E65" w:rsidR="00603E0E" w:rsidRPr="00273F23" w:rsidRDefault="00603E0E">
            <w:pPr>
              <w:tabs>
                <w:tab w:val="left" w:pos="540"/>
                <w:tab w:val="left" w:pos="569"/>
              </w:tabs>
              <w:jc w:val="both"/>
              <w:rPr>
                <w:sz w:val="22"/>
                <w:szCs w:val="22"/>
                <w:lang w:val="sr-Latn-ME"/>
              </w:rPr>
            </w:pPr>
            <w:r w:rsidRPr="00273F23">
              <w:rPr>
                <w:sz w:val="22"/>
                <w:szCs w:val="22"/>
                <w:lang w:val="sr-Latn-ME"/>
              </w:rPr>
              <w:t>(neželjena reakcija ljekova iz grupe bisfosfonata)</w:t>
            </w:r>
          </w:p>
        </w:tc>
      </w:tr>
      <w:tr w:rsidR="00603E0E" w:rsidRPr="00273F23" w14:paraId="6EFA7A88" w14:textId="77777777" w:rsidTr="00273F23">
        <w:tc>
          <w:tcPr>
            <w:tcW w:w="2475" w:type="dxa"/>
            <w:vMerge w:val="restart"/>
            <w:shd w:val="clear" w:color="auto" w:fill="auto"/>
          </w:tcPr>
          <w:p w14:paraId="2448DEA5" w14:textId="77777777" w:rsidR="00603E0E" w:rsidRPr="00273F23" w:rsidRDefault="00603E0E" w:rsidP="00457283">
            <w:pPr>
              <w:tabs>
                <w:tab w:val="left" w:pos="540"/>
                <w:tab w:val="left" w:pos="569"/>
              </w:tabs>
              <w:jc w:val="both"/>
              <w:rPr>
                <w:b/>
                <w:bCs/>
                <w:i/>
                <w:sz w:val="22"/>
                <w:szCs w:val="22"/>
                <w:lang w:val="sr-Latn-ME"/>
              </w:rPr>
            </w:pPr>
            <w:r w:rsidRPr="00273F23">
              <w:rPr>
                <w:b/>
                <w:bCs/>
                <w:i/>
                <w:sz w:val="22"/>
                <w:szCs w:val="22"/>
                <w:lang w:val="sr-Latn-ME"/>
              </w:rPr>
              <w:t>Gastrointestinalni poremećaji</w:t>
            </w:r>
          </w:p>
        </w:tc>
        <w:tc>
          <w:tcPr>
            <w:tcW w:w="1988" w:type="dxa"/>
            <w:tcBorders>
              <w:bottom w:val="single" w:sz="4" w:space="0" w:color="auto"/>
            </w:tcBorders>
          </w:tcPr>
          <w:p w14:paraId="1A92257A"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Često</w:t>
            </w:r>
          </w:p>
        </w:tc>
        <w:tc>
          <w:tcPr>
            <w:tcW w:w="4600" w:type="dxa"/>
            <w:tcBorders>
              <w:bottom w:val="single" w:sz="4" w:space="0" w:color="auto"/>
            </w:tcBorders>
            <w:shd w:val="clear" w:color="auto" w:fill="auto"/>
          </w:tcPr>
          <w:p w14:paraId="73B4825F" w14:textId="0DB3D8F4" w:rsidR="00603E0E" w:rsidRPr="00273F23" w:rsidRDefault="00603E0E" w:rsidP="00457283">
            <w:pPr>
              <w:tabs>
                <w:tab w:val="left" w:pos="540"/>
                <w:tab w:val="left" w:pos="569"/>
              </w:tabs>
              <w:jc w:val="both"/>
              <w:rPr>
                <w:sz w:val="22"/>
                <w:szCs w:val="22"/>
                <w:lang w:val="sr-Latn-ME"/>
              </w:rPr>
            </w:pPr>
            <w:r w:rsidRPr="00273F23">
              <w:rPr>
                <w:sz w:val="22"/>
                <w:szCs w:val="22"/>
                <w:lang w:val="sr-Latn-ME"/>
              </w:rPr>
              <w:t xml:space="preserve">abdominalni bol, dispepsija, konstipacija, dijareja, flatulencija, ezofagealni ulkus*, disfagija*, abdominalna distenzija, regurgitacija </w:t>
            </w:r>
            <w:r w:rsidR="00313225" w:rsidRPr="00273F23">
              <w:rPr>
                <w:sz w:val="22"/>
                <w:szCs w:val="22"/>
                <w:lang w:val="sr-Latn-ME"/>
              </w:rPr>
              <w:t>kise</w:t>
            </w:r>
            <w:r w:rsidRPr="00273F23">
              <w:rPr>
                <w:sz w:val="22"/>
                <w:szCs w:val="22"/>
                <w:lang w:val="sr-Latn-ME"/>
              </w:rPr>
              <w:t xml:space="preserve">line. </w:t>
            </w:r>
          </w:p>
        </w:tc>
      </w:tr>
      <w:tr w:rsidR="00603E0E" w:rsidRPr="00273F23" w:rsidDel="0070204C" w14:paraId="7A3B9DE7" w14:textId="77777777" w:rsidTr="00273F23">
        <w:tc>
          <w:tcPr>
            <w:tcW w:w="2475" w:type="dxa"/>
            <w:vMerge/>
            <w:shd w:val="clear" w:color="auto" w:fill="auto"/>
          </w:tcPr>
          <w:p w14:paraId="7E583E8C" w14:textId="77777777" w:rsidR="00603E0E" w:rsidRPr="00273F23" w:rsidRDefault="00603E0E">
            <w:pPr>
              <w:tabs>
                <w:tab w:val="left" w:pos="540"/>
                <w:tab w:val="left" w:pos="569"/>
              </w:tabs>
              <w:jc w:val="both"/>
              <w:rPr>
                <w:b/>
                <w:bCs/>
                <w:i/>
                <w:sz w:val="22"/>
                <w:szCs w:val="22"/>
                <w:lang w:val="sr-Latn-ME"/>
              </w:rPr>
            </w:pPr>
          </w:p>
        </w:tc>
        <w:tc>
          <w:tcPr>
            <w:tcW w:w="1988" w:type="dxa"/>
            <w:tcBorders>
              <w:top w:val="single" w:sz="4" w:space="0" w:color="auto"/>
              <w:bottom w:val="single" w:sz="4" w:space="0" w:color="auto"/>
              <w:right w:val="single" w:sz="4" w:space="0" w:color="auto"/>
            </w:tcBorders>
          </w:tcPr>
          <w:p w14:paraId="1A648C4E" w14:textId="77777777" w:rsidR="00603E0E" w:rsidRPr="00273F23" w:rsidRDefault="00603E0E">
            <w:pPr>
              <w:tabs>
                <w:tab w:val="left" w:pos="540"/>
                <w:tab w:val="left" w:pos="569"/>
              </w:tabs>
              <w:jc w:val="both"/>
              <w:rPr>
                <w:sz w:val="22"/>
                <w:szCs w:val="22"/>
                <w:lang w:val="sr-Latn-ME"/>
              </w:rPr>
            </w:pPr>
            <w:r w:rsidRPr="00273F23">
              <w:rPr>
                <w:sz w:val="22"/>
                <w:szCs w:val="22"/>
                <w:lang w:val="sr-Latn-ME"/>
              </w:rPr>
              <w:t>Povremeno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1E67412A" w14:textId="77777777" w:rsidR="00603E0E" w:rsidRPr="00273F23" w:rsidDel="0070204C" w:rsidRDefault="00603E0E">
            <w:pPr>
              <w:tabs>
                <w:tab w:val="left" w:pos="540"/>
                <w:tab w:val="left" w:pos="569"/>
              </w:tabs>
              <w:jc w:val="both"/>
              <w:rPr>
                <w:sz w:val="22"/>
                <w:szCs w:val="22"/>
                <w:lang w:val="sr-Latn-ME"/>
              </w:rPr>
            </w:pPr>
            <w:r w:rsidRPr="00273F23">
              <w:rPr>
                <w:sz w:val="22"/>
                <w:szCs w:val="22"/>
                <w:lang w:val="sr-Latn-ME"/>
              </w:rPr>
              <w:t>mučnina, povraćanje, gastritis, ezofagitis*, ezofagealne erozije*, melena†</w:t>
            </w:r>
          </w:p>
        </w:tc>
      </w:tr>
      <w:tr w:rsidR="00603E0E" w:rsidRPr="00273F23" w14:paraId="0AA5E6C7" w14:textId="77777777" w:rsidTr="00273F23">
        <w:tc>
          <w:tcPr>
            <w:tcW w:w="2475" w:type="dxa"/>
            <w:vMerge/>
            <w:tcBorders>
              <w:bottom w:val="nil"/>
            </w:tcBorders>
            <w:shd w:val="clear" w:color="auto" w:fill="auto"/>
          </w:tcPr>
          <w:p w14:paraId="5C25A938" w14:textId="77777777" w:rsidR="00603E0E" w:rsidRPr="00273F23" w:rsidRDefault="00603E0E">
            <w:pPr>
              <w:tabs>
                <w:tab w:val="left" w:pos="540"/>
                <w:tab w:val="left" w:pos="569"/>
              </w:tabs>
              <w:jc w:val="both"/>
              <w:rPr>
                <w:b/>
                <w:bCs/>
                <w:i/>
                <w:sz w:val="22"/>
                <w:szCs w:val="22"/>
                <w:lang w:val="sr-Latn-ME"/>
              </w:rPr>
            </w:pPr>
          </w:p>
        </w:tc>
        <w:tc>
          <w:tcPr>
            <w:tcW w:w="1988" w:type="dxa"/>
            <w:tcBorders>
              <w:top w:val="single" w:sz="4" w:space="0" w:color="auto"/>
              <w:bottom w:val="single" w:sz="4" w:space="0" w:color="auto"/>
              <w:right w:val="single" w:sz="4" w:space="0" w:color="auto"/>
            </w:tcBorders>
          </w:tcPr>
          <w:p w14:paraId="2BD99E64" w14:textId="77777777" w:rsidR="00603E0E" w:rsidRPr="00273F23" w:rsidRDefault="00603E0E">
            <w:pPr>
              <w:tabs>
                <w:tab w:val="left" w:pos="540"/>
                <w:tab w:val="left" w:pos="569"/>
              </w:tabs>
              <w:jc w:val="both"/>
              <w:rPr>
                <w:sz w:val="22"/>
                <w:szCs w:val="22"/>
                <w:lang w:val="sr-Latn-ME"/>
              </w:rPr>
            </w:pPr>
            <w:r w:rsidRPr="00273F23">
              <w:rPr>
                <w:sz w:val="22"/>
                <w:szCs w:val="22"/>
                <w:lang w:val="sr-Latn-ME"/>
              </w:rPr>
              <w:t>Rijetko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569E1C06" w14:textId="2DBD30CE" w:rsidR="00603E0E" w:rsidRPr="00273F23" w:rsidRDefault="00603E0E">
            <w:pPr>
              <w:tabs>
                <w:tab w:val="left" w:pos="540"/>
                <w:tab w:val="left" w:pos="569"/>
              </w:tabs>
              <w:jc w:val="both"/>
              <w:rPr>
                <w:sz w:val="22"/>
                <w:szCs w:val="22"/>
                <w:lang w:val="sr-Latn-ME"/>
              </w:rPr>
            </w:pPr>
            <w:r w:rsidRPr="00273F23">
              <w:rPr>
                <w:sz w:val="22"/>
                <w:szCs w:val="22"/>
                <w:lang w:val="sr-Latn-ME"/>
              </w:rPr>
              <w:t>striktura jednjaka*, orofaringealna ulceracija*, PUK (perforacija, ulkus i krvarenje) u gornjem dijelu gastrointestinalnog trakta  §</w:t>
            </w:r>
          </w:p>
        </w:tc>
      </w:tr>
      <w:tr w:rsidR="00603E0E" w:rsidRPr="00273F23" w14:paraId="76BAD62E" w14:textId="77777777" w:rsidTr="00273F23">
        <w:tc>
          <w:tcPr>
            <w:tcW w:w="2475" w:type="dxa"/>
            <w:vMerge w:val="restart"/>
            <w:tcBorders>
              <w:top w:val="single" w:sz="4" w:space="0" w:color="auto"/>
              <w:left w:val="single" w:sz="4" w:space="0" w:color="auto"/>
              <w:right w:val="single" w:sz="4" w:space="0" w:color="auto"/>
            </w:tcBorders>
            <w:shd w:val="clear" w:color="auto" w:fill="auto"/>
          </w:tcPr>
          <w:p w14:paraId="1993168B" w14:textId="77777777" w:rsidR="00603E0E" w:rsidRPr="00273F23" w:rsidRDefault="00603E0E" w:rsidP="00457283">
            <w:pPr>
              <w:tabs>
                <w:tab w:val="left" w:pos="540"/>
                <w:tab w:val="left" w:pos="569"/>
              </w:tabs>
              <w:jc w:val="both"/>
              <w:rPr>
                <w:b/>
                <w:bCs/>
                <w:i/>
                <w:sz w:val="22"/>
                <w:szCs w:val="22"/>
                <w:lang w:val="sr-Latn-ME"/>
              </w:rPr>
            </w:pPr>
            <w:r w:rsidRPr="00273F23">
              <w:rPr>
                <w:b/>
                <w:bCs/>
                <w:i/>
                <w:sz w:val="22"/>
                <w:szCs w:val="22"/>
                <w:lang w:val="sr-Latn-ME"/>
              </w:rPr>
              <w:t>Poremećaji kože i potkožnog tkiva</w:t>
            </w:r>
          </w:p>
        </w:tc>
        <w:tc>
          <w:tcPr>
            <w:tcW w:w="1988" w:type="dxa"/>
            <w:tcBorders>
              <w:top w:val="single" w:sz="4" w:space="0" w:color="auto"/>
              <w:left w:val="single" w:sz="4" w:space="0" w:color="auto"/>
              <w:bottom w:val="single" w:sz="4" w:space="0" w:color="auto"/>
              <w:right w:val="single" w:sz="4" w:space="0" w:color="auto"/>
            </w:tcBorders>
          </w:tcPr>
          <w:p w14:paraId="3AD49974"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Često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90FD182"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alopecija†, pruritus†</w:t>
            </w:r>
          </w:p>
          <w:p w14:paraId="3EE51DF3" w14:textId="77777777" w:rsidR="00603E0E" w:rsidRPr="00273F23" w:rsidRDefault="00603E0E">
            <w:pPr>
              <w:tabs>
                <w:tab w:val="left" w:pos="540"/>
                <w:tab w:val="left" w:pos="569"/>
              </w:tabs>
              <w:jc w:val="both"/>
              <w:rPr>
                <w:sz w:val="22"/>
                <w:szCs w:val="22"/>
                <w:lang w:val="sr-Latn-ME"/>
              </w:rPr>
            </w:pPr>
          </w:p>
        </w:tc>
      </w:tr>
      <w:tr w:rsidR="00603E0E" w:rsidRPr="00273F23" w:rsidDel="0070204C" w14:paraId="4A6BEB99" w14:textId="77777777" w:rsidTr="00273F23">
        <w:tc>
          <w:tcPr>
            <w:tcW w:w="2475" w:type="dxa"/>
            <w:vMerge/>
            <w:tcBorders>
              <w:left w:val="single" w:sz="4" w:space="0" w:color="auto"/>
              <w:right w:val="single" w:sz="4" w:space="0" w:color="auto"/>
            </w:tcBorders>
            <w:shd w:val="clear" w:color="auto" w:fill="auto"/>
          </w:tcPr>
          <w:p w14:paraId="78B799EB" w14:textId="77777777" w:rsidR="00603E0E" w:rsidRPr="00273F23" w:rsidRDefault="00603E0E">
            <w:pPr>
              <w:tabs>
                <w:tab w:val="left" w:pos="540"/>
                <w:tab w:val="left" w:pos="569"/>
              </w:tabs>
              <w:jc w:val="both"/>
              <w:rPr>
                <w:i/>
                <w:sz w:val="22"/>
                <w:szCs w:val="22"/>
                <w:lang w:val="sr-Latn-ME"/>
              </w:rPr>
            </w:pPr>
          </w:p>
        </w:tc>
        <w:tc>
          <w:tcPr>
            <w:tcW w:w="1988" w:type="dxa"/>
            <w:tcBorders>
              <w:top w:val="single" w:sz="4" w:space="0" w:color="auto"/>
              <w:left w:val="single" w:sz="4" w:space="0" w:color="auto"/>
              <w:bottom w:val="single" w:sz="4" w:space="0" w:color="auto"/>
              <w:right w:val="single" w:sz="4" w:space="0" w:color="auto"/>
            </w:tcBorders>
          </w:tcPr>
          <w:p w14:paraId="3698CC46" w14:textId="77777777" w:rsidR="00603E0E" w:rsidRPr="00273F23" w:rsidRDefault="00603E0E">
            <w:pPr>
              <w:tabs>
                <w:tab w:val="left" w:pos="540"/>
                <w:tab w:val="left" w:pos="569"/>
              </w:tabs>
              <w:jc w:val="both"/>
              <w:rPr>
                <w:sz w:val="22"/>
                <w:szCs w:val="22"/>
                <w:lang w:val="sr-Latn-ME"/>
              </w:rPr>
            </w:pPr>
            <w:r w:rsidRPr="00273F23">
              <w:rPr>
                <w:sz w:val="22"/>
                <w:szCs w:val="22"/>
                <w:lang w:val="sr-Latn-ME"/>
              </w:rPr>
              <w:t>Povremeno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1EE175AB" w14:textId="77777777" w:rsidR="00603E0E" w:rsidRPr="00273F23" w:rsidDel="0070204C" w:rsidRDefault="00603E0E">
            <w:pPr>
              <w:tabs>
                <w:tab w:val="left" w:pos="540"/>
                <w:tab w:val="left" w:pos="569"/>
              </w:tabs>
              <w:jc w:val="both"/>
              <w:rPr>
                <w:sz w:val="22"/>
                <w:szCs w:val="22"/>
                <w:lang w:val="sr-Latn-ME"/>
              </w:rPr>
            </w:pPr>
            <w:r w:rsidRPr="00273F23">
              <w:rPr>
                <w:sz w:val="22"/>
                <w:szCs w:val="22"/>
                <w:lang w:val="sr-Latn-ME"/>
              </w:rPr>
              <w:t>osip, eritem</w:t>
            </w:r>
          </w:p>
        </w:tc>
      </w:tr>
      <w:tr w:rsidR="00603E0E" w:rsidRPr="00273F23" w:rsidDel="0070204C" w14:paraId="6F68B4E3" w14:textId="77777777" w:rsidTr="00273F23">
        <w:tc>
          <w:tcPr>
            <w:tcW w:w="2475" w:type="dxa"/>
            <w:vMerge/>
            <w:tcBorders>
              <w:left w:val="single" w:sz="4" w:space="0" w:color="auto"/>
              <w:bottom w:val="nil"/>
              <w:right w:val="single" w:sz="4" w:space="0" w:color="auto"/>
            </w:tcBorders>
            <w:shd w:val="clear" w:color="auto" w:fill="auto"/>
          </w:tcPr>
          <w:p w14:paraId="293A3B8D" w14:textId="77777777" w:rsidR="00603E0E" w:rsidRPr="00273F23" w:rsidRDefault="00603E0E">
            <w:pPr>
              <w:tabs>
                <w:tab w:val="left" w:pos="540"/>
                <w:tab w:val="left" w:pos="569"/>
              </w:tabs>
              <w:jc w:val="both"/>
              <w:rPr>
                <w:b/>
                <w:bCs/>
                <w:i/>
                <w:sz w:val="22"/>
                <w:szCs w:val="22"/>
                <w:lang w:val="sr-Latn-ME"/>
              </w:rPr>
            </w:pPr>
          </w:p>
        </w:tc>
        <w:tc>
          <w:tcPr>
            <w:tcW w:w="1988" w:type="dxa"/>
            <w:tcBorders>
              <w:top w:val="single" w:sz="4" w:space="0" w:color="auto"/>
              <w:left w:val="single" w:sz="4" w:space="0" w:color="auto"/>
              <w:bottom w:val="single" w:sz="4" w:space="0" w:color="auto"/>
              <w:right w:val="single" w:sz="4" w:space="0" w:color="auto"/>
            </w:tcBorders>
          </w:tcPr>
          <w:p w14:paraId="3A0B6A70" w14:textId="77777777" w:rsidR="00603E0E" w:rsidRPr="00273F23" w:rsidRDefault="00603E0E">
            <w:pPr>
              <w:tabs>
                <w:tab w:val="left" w:pos="540"/>
                <w:tab w:val="left" w:pos="569"/>
              </w:tabs>
              <w:jc w:val="both"/>
              <w:rPr>
                <w:sz w:val="22"/>
                <w:szCs w:val="22"/>
                <w:lang w:val="sr-Latn-ME"/>
              </w:rPr>
            </w:pPr>
            <w:r w:rsidRPr="00273F23">
              <w:rPr>
                <w:sz w:val="22"/>
                <w:szCs w:val="22"/>
                <w:lang w:val="sr-Latn-ME"/>
              </w:rPr>
              <w:t>Rijetko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62FF18D6" w14:textId="77777777" w:rsidR="00603E0E" w:rsidRPr="00273F23" w:rsidDel="0070204C" w:rsidRDefault="00603E0E">
            <w:pPr>
              <w:tabs>
                <w:tab w:val="left" w:pos="540"/>
                <w:tab w:val="left" w:pos="569"/>
              </w:tabs>
              <w:jc w:val="both"/>
              <w:rPr>
                <w:sz w:val="22"/>
                <w:szCs w:val="22"/>
                <w:lang w:val="sr-Latn-ME"/>
              </w:rPr>
            </w:pPr>
            <w:r w:rsidRPr="00273F23">
              <w:rPr>
                <w:sz w:val="22"/>
                <w:szCs w:val="22"/>
                <w:lang w:val="sr-Latn-ME"/>
              </w:rPr>
              <w:t>osip sa reakcijom fotosenzitivnosti, teške reakcije na koži uključujući Stivens-Johnson sindrom i toksičnu epidermalnu nekrolizu‡</w:t>
            </w:r>
          </w:p>
        </w:tc>
      </w:tr>
      <w:tr w:rsidR="00BE68FB" w:rsidRPr="00273F23" w14:paraId="3535818A" w14:textId="77777777" w:rsidTr="00273F23">
        <w:tc>
          <w:tcPr>
            <w:tcW w:w="2475" w:type="dxa"/>
            <w:vMerge w:val="restart"/>
            <w:tcBorders>
              <w:top w:val="single" w:sz="4" w:space="0" w:color="auto"/>
              <w:left w:val="single" w:sz="4" w:space="0" w:color="auto"/>
              <w:right w:val="single" w:sz="4" w:space="0" w:color="auto"/>
            </w:tcBorders>
            <w:shd w:val="clear" w:color="auto" w:fill="auto"/>
          </w:tcPr>
          <w:p w14:paraId="1EF05EEE" w14:textId="77777777" w:rsidR="00BE68FB" w:rsidRPr="00273F23" w:rsidRDefault="00BE68FB" w:rsidP="00457283">
            <w:pPr>
              <w:tabs>
                <w:tab w:val="left" w:pos="540"/>
                <w:tab w:val="left" w:pos="569"/>
              </w:tabs>
              <w:jc w:val="both"/>
              <w:rPr>
                <w:b/>
                <w:bCs/>
                <w:i/>
                <w:sz w:val="22"/>
                <w:szCs w:val="22"/>
                <w:lang w:val="sr-Latn-ME"/>
              </w:rPr>
            </w:pPr>
            <w:r w:rsidRPr="00273F23">
              <w:rPr>
                <w:b/>
                <w:bCs/>
                <w:i/>
                <w:sz w:val="22"/>
                <w:szCs w:val="22"/>
                <w:lang w:val="sr-Latn-ME"/>
              </w:rPr>
              <w:t>Poremećaji mišićno-koštanog sistema i vezivnog tkiva</w:t>
            </w:r>
          </w:p>
        </w:tc>
        <w:tc>
          <w:tcPr>
            <w:tcW w:w="1988" w:type="dxa"/>
            <w:tcBorders>
              <w:top w:val="single" w:sz="4" w:space="0" w:color="auto"/>
              <w:left w:val="single" w:sz="4" w:space="0" w:color="auto"/>
              <w:bottom w:val="single" w:sz="4" w:space="0" w:color="auto"/>
              <w:right w:val="single" w:sz="4" w:space="0" w:color="auto"/>
            </w:tcBorders>
          </w:tcPr>
          <w:p w14:paraId="06768AAF" w14:textId="77777777" w:rsidR="00BE68FB" w:rsidRPr="00273F23" w:rsidRDefault="00BE68FB" w:rsidP="00457283">
            <w:pPr>
              <w:tabs>
                <w:tab w:val="left" w:pos="540"/>
                <w:tab w:val="left" w:pos="569"/>
              </w:tabs>
              <w:jc w:val="both"/>
              <w:rPr>
                <w:sz w:val="22"/>
                <w:szCs w:val="22"/>
                <w:lang w:val="sr-Latn-ME"/>
              </w:rPr>
            </w:pPr>
            <w:r w:rsidRPr="00273F23">
              <w:rPr>
                <w:sz w:val="22"/>
                <w:szCs w:val="22"/>
                <w:lang w:val="sr-Latn-ME"/>
              </w:rPr>
              <w:t>Veoma često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CB31439" w14:textId="77777777" w:rsidR="00BE68FB" w:rsidRPr="00273F23" w:rsidRDefault="00BE68FB" w:rsidP="00457283">
            <w:pPr>
              <w:tabs>
                <w:tab w:val="left" w:pos="540"/>
                <w:tab w:val="left" w:pos="569"/>
              </w:tabs>
              <w:jc w:val="both"/>
              <w:rPr>
                <w:sz w:val="22"/>
                <w:szCs w:val="22"/>
                <w:lang w:val="sr-Latn-ME"/>
              </w:rPr>
            </w:pPr>
            <w:r w:rsidRPr="00273F23">
              <w:rPr>
                <w:sz w:val="22"/>
                <w:szCs w:val="22"/>
                <w:lang w:val="sr-Latn-ME"/>
              </w:rPr>
              <w:t>bol u mišićno-koštanom sistemu (u kostima, mišićima ili zglobovima) koji je ponekad jak†§</w:t>
            </w:r>
          </w:p>
          <w:p w14:paraId="4D1B8E78" w14:textId="77777777" w:rsidR="00BE68FB" w:rsidRPr="00273F23" w:rsidRDefault="00BE68FB">
            <w:pPr>
              <w:tabs>
                <w:tab w:val="left" w:pos="540"/>
                <w:tab w:val="left" w:pos="569"/>
              </w:tabs>
              <w:jc w:val="both"/>
              <w:rPr>
                <w:sz w:val="22"/>
                <w:szCs w:val="22"/>
                <w:lang w:val="sr-Latn-ME"/>
              </w:rPr>
            </w:pPr>
          </w:p>
        </w:tc>
      </w:tr>
      <w:tr w:rsidR="00BE68FB" w:rsidRPr="00273F23" w:rsidDel="00910654" w14:paraId="3FE2DB3F" w14:textId="77777777" w:rsidTr="00273F23">
        <w:tc>
          <w:tcPr>
            <w:tcW w:w="2475" w:type="dxa"/>
            <w:vMerge/>
            <w:tcBorders>
              <w:left w:val="single" w:sz="4" w:space="0" w:color="auto"/>
              <w:right w:val="single" w:sz="4" w:space="0" w:color="auto"/>
            </w:tcBorders>
            <w:shd w:val="clear" w:color="auto" w:fill="auto"/>
          </w:tcPr>
          <w:p w14:paraId="60B74CD8" w14:textId="77777777" w:rsidR="00BE68FB" w:rsidRPr="00273F23" w:rsidRDefault="00BE68FB">
            <w:pPr>
              <w:tabs>
                <w:tab w:val="left" w:pos="540"/>
                <w:tab w:val="left" w:pos="569"/>
              </w:tabs>
              <w:jc w:val="both"/>
              <w:rPr>
                <w:b/>
                <w:bCs/>
                <w:i/>
                <w:sz w:val="22"/>
                <w:szCs w:val="22"/>
                <w:lang w:val="sr-Latn-ME"/>
              </w:rPr>
            </w:pPr>
          </w:p>
        </w:tc>
        <w:tc>
          <w:tcPr>
            <w:tcW w:w="1988" w:type="dxa"/>
            <w:tcBorders>
              <w:top w:val="single" w:sz="4" w:space="0" w:color="auto"/>
              <w:left w:val="single" w:sz="4" w:space="0" w:color="auto"/>
              <w:bottom w:val="single" w:sz="4" w:space="0" w:color="auto"/>
              <w:right w:val="single" w:sz="4" w:space="0" w:color="auto"/>
            </w:tcBorders>
          </w:tcPr>
          <w:p w14:paraId="730BDFC5" w14:textId="77777777" w:rsidR="00BE68FB" w:rsidRPr="00273F23" w:rsidRDefault="00BE68FB">
            <w:pPr>
              <w:tabs>
                <w:tab w:val="left" w:pos="540"/>
                <w:tab w:val="left" w:pos="569"/>
              </w:tabs>
              <w:jc w:val="both"/>
              <w:rPr>
                <w:sz w:val="22"/>
                <w:szCs w:val="22"/>
                <w:lang w:val="sr-Latn-ME"/>
              </w:rPr>
            </w:pPr>
            <w:r w:rsidRPr="00273F23">
              <w:rPr>
                <w:sz w:val="22"/>
                <w:szCs w:val="22"/>
                <w:lang w:val="sr-Latn-ME"/>
              </w:rPr>
              <w:t>Često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29947896" w14:textId="77777777" w:rsidR="00BE68FB" w:rsidRPr="00273F23" w:rsidDel="00910654" w:rsidRDefault="00BE68FB">
            <w:pPr>
              <w:tabs>
                <w:tab w:val="left" w:pos="540"/>
                <w:tab w:val="left" w:pos="569"/>
              </w:tabs>
              <w:jc w:val="both"/>
              <w:rPr>
                <w:sz w:val="22"/>
                <w:szCs w:val="22"/>
                <w:lang w:val="sr-Latn-ME"/>
              </w:rPr>
            </w:pPr>
            <w:r w:rsidRPr="00273F23">
              <w:rPr>
                <w:sz w:val="22"/>
                <w:szCs w:val="22"/>
                <w:lang w:val="sr-Latn-ME"/>
              </w:rPr>
              <w:t>oticanje zglobova†</w:t>
            </w:r>
          </w:p>
        </w:tc>
      </w:tr>
      <w:tr w:rsidR="00BE68FB" w:rsidRPr="00273F23" w:rsidDel="00910654" w14:paraId="5B9082D5" w14:textId="77777777" w:rsidTr="00273F23">
        <w:tc>
          <w:tcPr>
            <w:tcW w:w="2475" w:type="dxa"/>
            <w:vMerge/>
            <w:tcBorders>
              <w:left w:val="single" w:sz="4" w:space="0" w:color="auto"/>
              <w:right w:val="single" w:sz="4" w:space="0" w:color="auto"/>
            </w:tcBorders>
            <w:shd w:val="clear" w:color="auto" w:fill="auto"/>
          </w:tcPr>
          <w:p w14:paraId="7D01E809" w14:textId="77777777" w:rsidR="00BE68FB" w:rsidRPr="00273F23" w:rsidRDefault="00BE68FB">
            <w:pPr>
              <w:tabs>
                <w:tab w:val="left" w:pos="540"/>
                <w:tab w:val="left" w:pos="569"/>
              </w:tabs>
              <w:jc w:val="both"/>
              <w:rPr>
                <w:b/>
                <w:bCs/>
                <w:i/>
                <w:sz w:val="22"/>
                <w:szCs w:val="22"/>
                <w:lang w:val="sr-Latn-ME"/>
              </w:rPr>
            </w:pPr>
          </w:p>
        </w:tc>
        <w:tc>
          <w:tcPr>
            <w:tcW w:w="1988" w:type="dxa"/>
            <w:tcBorders>
              <w:top w:val="single" w:sz="4" w:space="0" w:color="auto"/>
              <w:left w:val="single" w:sz="4" w:space="0" w:color="auto"/>
              <w:bottom w:val="single" w:sz="4" w:space="0" w:color="auto"/>
              <w:right w:val="single" w:sz="4" w:space="0" w:color="auto"/>
            </w:tcBorders>
          </w:tcPr>
          <w:p w14:paraId="4D2F8D8A" w14:textId="77777777" w:rsidR="00BE68FB" w:rsidRPr="00273F23" w:rsidRDefault="00BE68FB">
            <w:pPr>
              <w:tabs>
                <w:tab w:val="left" w:pos="540"/>
                <w:tab w:val="left" w:pos="569"/>
              </w:tabs>
              <w:jc w:val="both"/>
              <w:rPr>
                <w:sz w:val="22"/>
                <w:szCs w:val="22"/>
                <w:lang w:val="sr-Latn-ME"/>
              </w:rPr>
            </w:pPr>
            <w:r w:rsidRPr="00273F23">
              <w:rPr>
                <w:sz w:val="22"/>
                <w:szCs w:val="22"/>
                <w:lang w:val="sr-Latn-ME"/>
              </w:rPr>
              <w:t>Rijetko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3455D31B" w14:textId="1C63CCDF" w:rsidR="00BE68FB" w:rsidRPr="00273F23" w:rsidDel="00910654" w:rsidRDefault="00BE68FB">
            <w:pPr>
              <w:tabs>
                <w:tab w:val="left" w:pos="540"/>
                <w:tab w:val="left" w:pos="569"/>
              </w:tabs>
              <w:jc w:val="both"/>
              <w:rPr>
                <w:sz w:val="22"/>
                <w:szCs w:val="22"/>
                <w:lang w:val="sr-Latn-ME"/>
              </w:rPr>
            </w:pPr>
            <w:r w:rsidRPr="00273F23">
              <w:rPr>
                <w:sz w:val="22"/>
                <w:szCs w:val="22"/>
                <w:lang w:val="sr-Latn-ME"/>
              </w:rPr>
              <w:t>osteonekroza vilice‡§, atipične subtrohanterne frakture femura i frakture dijafize femura (neželjena reakcija ljekova iz grupe bisfosfonata)</w:t>
            </w:r>
          </w:p>
        </w:tc>
      </w:tr>
      <w:tr w:rsidR="00BE68FB" w:rsidRPr="00273F23" w:rsidDel="00910654" w14:paraId="6C409E80" w14:textId="77777777" w:rsidTr="00273F23">
        <w:tc>
          <w:tcPr>
            <w:tcW w:w="2475" w:type="dxa"/>
            <w:vMerge/>
            <w:tcBorders>
              <w:left w:val="single" w:sz="4" w:space="0" w:color="auto"/>
              <w:bottom w:val="nil"/>
              <w:right w:val="single" w:sz="4" w:space="0" w:color="auto"/>
            </w:tcBorders>
            <w:shd w:val="clear" w:color="auto" w:fill="auto"/>
          </w:tcPr>
          <w:p w14:paraId="60D691B9" w14:textId="77777777" w:rsidR="00BE68FB" w:rsidRPr="00273F23" w:rsidRDefault="00BE68FB">
            <w:pPr>
              <w:tabs>
                <w:tab w:val="left" w:pos="540"/>
                <w:tab w:val="left" w:pos="569"/>
              </w:tabs>
              <w:jc w:val="both"/>
              <w:rPr>
                <w:b/>
                <w:bCs/>
                <w:i/>
                <w:sz w:val="22"/>
                <w:szCs w:val="22"/>
                <w:lang w:val="sr-Latn-ME"/>
              </w:rPr>
            </w:pPr>
          </w:p>
        </w:tc>
        <w:tc>
          <w:tcPr>
            <w:tcW w:w="1988" w:type="dxa"/>
            <w:tcBorders>
              <w:top w:val="single" w:sz="4" w:space="0" w:color="auto"/>
              <w:left w:val="single" w:sz="4" w:space="0" w:color="auto"/>
              <w:bottom w:val="single" w:sz="4" w:space="0" w:color="auto"/>
              <w:right w:val="single" w:sz="4" w:space="0" w:color="auto"/>
            </w:tcBorders>
          </w:tcPr>
          <w:p w14:paraId="22A14405" w14:textId="56E47F29" w:rsidR="00BE68FB" w:rsidRPr="00273F23" w:rsidRDefault="00BE68FB">
            <w:pPr>
              <w:tabs>
                <w:tab w:val="left" w:pos="540"/>
                <w:tab w:val="left" w:pos="569"/>
              </w:tabs>
              <w:jc w:val="both"/>
              <w:rPr>
                <w:sz w:val="22"/>
                <w:szCs w:val="22"/>
                <w:lang w:val="sr-Latn-ME"/>
              </w:rPr>
            </w:pPr>
            <w:r w:rsidRPr="00273F23">
              <w:rPr>
                <w:sz w:val="22"/>
                <w:szCs w:val="22"/>
                <w:lang w:val="sr-Latn-ME"/>
              </w:rPr>
              <w:t>Nepoznata učestalost</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1FBB372E" w14:textId="34127FA2" w:rsidR="00BE68FB" w:rsidRPr="00273F23" w:rsidRDefault="00BE68FB">
            <w:pPr>
              <w:tabs>
                <w:tab w:val="left" w:pos="540"/>
                <w:tab w:val="left" w:pos="569"/>
              </w:tabs>
              <w:jc w:val="both"/>
              <w:rPr>
                <w:sz w:val="22"/>
                <w:szCs w:val="22"/>
                <w:lang w:val="sr-Latn-ME"/>
              </w:rPr>
            </w:pPr>
            <w:r w:rsidRPr="00273F23">
              <w:rPr>
                <w:sz w:val="22"/>
                <w:szCs w:val="22"/>
                <w:lang w:val="sr-Latn-ME"/>
              </w:rPr>
              <w:t>atipične frakture drugih kostiju</w:t>
            </w:r>
          </w:p>
        </w:tc>
      </w:tr>
      <w:tr w:rsidR="00603E0E" w:rsidRPr="00273F23" w14:paraId="7BF7D5F0" w14:textId="77777777" w:rsidTr="00273F23">
        <w:tc>
          <w:tcPr>
            <w:tcW w:w="2475" w:type="dxa"/>
            <w:vMerge w:val="restart"/>
            <w:tcBorders>
              <w:top w:val="single" w:sz="4" w:space="0" w:color="auto"/>
              <w:left w:val="single" w:sz="4" w:space="0" w:color="auto"/>
              <w:right w:val="single" w:sz="4" w:space="0" w:color="auto"/>
            </w:tcBorders>
            <w:shd w:val="clear" w:color="auto" w:fill="auto"/>
          </w:tcPr>
          <w:p w14:paraId="51F7FEEB" w14:textId="77777777" w:rsidR="00603E0E" w:rsidRPr="00273F23" w:rsidRDefault="00603E0E" w:rsidP="00457283">
            <w:pPr>
              <w:tabs>
                <w:tab w:val="left" w:pos="540"/>
                <w:tab w:val="left" w:pos="569"/>
              </w:tabs>
              <w:jc w:val="both"/>
              <w:rPr>
                <w:b/>
                <w:bCs/>
                <w:i/>
                <w:sz w:val="22"/>
                <w:szCs w:val="22"/>
                <w:lang w:val="sr-Latn-ME"/>
              </w:rPr>
            </w:pPr>
            <w:r w:rsidRPr="00273F23">
              <w:rPr>
                <w:b/>
                <w:bCs/>
                <w:i/>
                <w:sz w:val="22"/>
                <w:szCs w:val="22"/>
                <w:lang w:val="sr-Latn-ME"/>
              </w:rPr>
              <w:t>Opšti poremećaji i reakcije na mestu primjene</w:t>
            </w:r>
          </w:p>
        </w:tc>
        <w:tc>
          <w:tcPr>
            <w:tcW w:w="1988" w:type="dxa"/>
            <w:tcBorders>
              <w:top w:val="single" w:sz="4" w:space="0" w:color="auto"/>
              <w:left w:val="single" w:sz="4" w:space="0" w:color="auto"/>
              <w:bottom w:val="single" w:sz="4" w:space="0" w:color="auto"/>
              <w:right w:val="single" w:sz="4" w:space="0" w:color="auto"/>
            </w:tcBorders>
          </w:tcPr>
          <w:p w14:paraId="31FB5989"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Često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12A6A048" w14:textId="77777777" w:rsidR="00603E0E" w:rsidRPr="00273F23" w:rsidRDefault="00603E0E" w:rsidP="00457283">
            <w:pPr>
              <w:tabs>
                <w:tab w:val="left" w:pos="540"/>
                <w:tab w:val="left" w:pos="569"/>
              </w:tabs>
              <w:jc w:val="both"/>
              <w:rPr>
                <w:sz w:val="22"/>
                <w:szCs w:val="22"/>
                <w:lang w:val="sr-Latn-ME"/>
              </w:rPr>
            </w:pPr>
            <w:r w:rsidRPr="00273F23">
              <w:rPr>
                <w:sz w:val="22"/>
                <w:szCs w:val="22"/>
                <w:lang w:val="sr-Latn-ME"/>
              </w:rPr>
              <w:t>astenija†, periferni edemi†</w:t>
            </w:r>
          </w:p>
          <w:p w14:paraId="1D5FB6E3" w14:textId="77777777" w:rsidR="00603E0E" w:rsidRPr="00273F23" w:rsidRDefault="00603E0E">
            <w:pPr>
              <w:tabs>
                <w:tab w:val="left" w:pos="540"/>
                <w:tab w:val="left" w:pos="569"/>
              </w:tabs>
              <w:jc w:val="both"/>
              <w:rPr>
                <w:sz w:val="22"/>
                <w:szCs w:val="22"/>
                <w:lang w:val="sr-Latn-ME"/>
              </w:rPr>
            </w:pPr>
          </w:p>
        </w:tc>
      </w:tr>
      <w:tr w:rsidR="00603E0E" w:rsidRPr="00273F23" w:rsidDel="00276F72" w14:paraId="37EDA32E" w14:textId="77777777" w:rsidTr="00273F23">
        <w:tc>
          <w:tcPr>
            <w:tcW w:w="2475" w:type="dxa"/>
            <w:vMerge/>
            <w:tcBorders>
              <w:left w:val="single" w:sz="4" w:space="0" w:color="auto"/>
              <w:bottom w:val="nil"/>
              <w:right w:val="single" w:sz="4" w:space="0" w:color="auto"/>
            </w:tcBorders>
            <w:shd w:val="clear" w:color="auto" w:fill="auto"/>
          </w:tcPr>
          <w:p w14:paraId="6DD75038" w14:textId="77777777" w:rsidR="00603E0E" w:rsidRPr="00273F23" w:rsidRDefault="00603E0E">
            <w:pPr>
              <w:tabs>
                <w:tab w:val="left" w:pos="540"/>
                <w:tab w:val="left" w:pos="569"/>
              </w:tabs>
              <w:jc w:val="both"/>
              <w:rPr>
                <w:i/>
                <w:sz w:val="22"/>
                <w:szCs w:val="22"/>
                <w:lang w:val="sr-Latn-ME"/>
              </w:rPr>
            </w:pPr>
          </w:p>
        </w:tc>
        <w:tc>
          <w:tcPr>
            <w:tcW w:w="1988" w:type="dxa"/>
            <w:tcBorders>
              <w:top w:val="single" w:sz="4" w:space="0" w:color="auto"/>
              <w:left w:val="single" w:sz="4" w:space="0" w:color="auto"/>
              <w:bottom w:val="single" w:sz="4" w:space="0" w:color="auto"/>
              <w:right w:val="single" w:sz="4" w:space="0" w:color="auto"/>
            </w:tcBorders>
          </w:tcPr>
          <w:p w14:paraId="782D743E" w14:textId="77777777" w:rsidR="00603E0E" w:rsidRPr="00273F23" w:rsidRDefault="00603E0E">
            <w:pPr>
              <w:tabs>
                <w:tab w:val="left" w:pos="540"/>
                <w:tab w:val="left" w:pos="569"/>
              </w:tabs>
              <w:jc w:val="both"/>
              <w:rPr>
                <w:sz w:val="22"/>
                <w:szCs w:val="22"/>
                <w:lang w:val="sr-Latn-ME"/>
              </w:rPr>
            </w:pPr>
            <w:r w:rsidRPr="00273F23">
              <w:rPr>
                <w:sz w:val="22"/>
                <w:szCs w:val="22"/>
                <w:lang w:val="sr-Latn-ME"/>
              </w:rPr>
              <w:t>Povremeno</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2D17121" w14:textId="5F8D61B9" w:rsidR="00603E0E" w:rsidRPr="00273F23" w:rsidDel="00276F72" w:rsidRDefault="00603E0E">
            <w:pPr>
              <w:tabs>
                <w:tab w:val="left" w:pos="540"/>
                <w:tab w:val="left" w:pos="569"/>
              </w:tabs>
              <w:jc w:val="both"/>
              <w:rPr>
                <w:sz w:val="22"/>
                <w:szCs w:val="22"/>
                <w:lang w:val="sr-Latn-ME"/>
              </w:rPr>
            </w:pPr>
            <w:r w:rsidRPr="00273F23">
              <w:rPr>
                <w:sz w:val="22"/>
                <w:szCs w:val="22"/>
                <w:lang w:val="sr-Latn-ME"/>
              </w:rPr>
              <w:t>prolazni simptomi kao kod odgovora na akutnu fazu (mijalgija, slabost i rijetko, povišena tjelesna temperatura), karakteristični za početak terapije†</w:t>
            </w:r>
          </w:p>
        </w:tc>
      </w:tr>
      <w:tr w:rsidR="00603E0E" w:rsidRPr="00273F23" w14:paraId="7A626E81" w14:textId="77777777" w:rsidTr="00273F23">
        <w:tc>
          <w:tcPr>
            <w:tcW w:w="9068" w:type="dxa"/>
            <w:gridSpan w:val="3"/>
            <w:tcBorders>
              <w:bottom w:val="single" w:sz="4" w:space="0" w:color="auto"/>
            </w:tcBorders>
          </w:tcPr>
          <w:p w14:paraId="3299EB4A" w14:textId="145DDF0A" w:rsidR="00603E0E" w:rsidRPr="00273F23" w:rsidRDefault="00603E0E" w:rsidP="00457283">
            <w:pPr>
              <w:pStyle w:val="Header"/>
              <w:tabs>
                <w:tab w:val="left" w:pos="284"/>
              </w:tabs>
              <w:jc w:val="both"/>
              <w:rPr>
                <w:i/>
                <w:sz w:val="22"/>
                <w:szCs w:val="22"/>
                <w:lang w:val="sr-Latn-ME"/>
              </w:rPr>
            </w:pPr>
            <w:r w:rsidRPr="00273F23">
              <w:rPr>
                <w:i/>
                <w:sz w:val="22"/>
                <w:szCs w:val="22"/>
                <w:lang w:val="sr-Latn-ME"/>
              </w:rPr>
              <w:t>§ Vidjeti dio 4.4.</w:t>
            </w:r>
          </w:p>
          <w:p w14:paraId="55E43C9D" w14:textId="77777777" w:rsidR="00603E0E" w:rsidRPr="00273F23" w:rsidRDefault="00603E0E" w:rsidP="00457283">
            <w:pPr>
              <w:pStyle w:val="Header"/>
              <w:tabs>
                <w:tab w:val="left" w:pos="284"/>
              </w:tabs>
              <w:jc w:val="both"/>
              <w:rPr>
                <w:i/>
                <w:sz w:val="22"/>
                <w:szCs w:val="22"/>
                <w:lang w:val="sr-Latn-ME"/>
              </w:rPr>
            </w:pPr>
            <w:r w:rsidRPr="00273F23">
              <w:rPr>
                <w:i/>
                <w:sz w:val="22"/>
                <w:szCs w:val="22"/>
                <w:lang w:val="sr-Latn-ME"/>
              </w:rPr>
              <w:t>† Učestalost u kliničkim studijama bila je slična i u grupi koja je uzimala placebo i u grupi koja je uzimala lijek.</w:t>
            </w:r>
          </w:p>
          <w:p w14:paraId="2FF63EDC" w14:textId="4796C5C8" w:rsidR="00603E0E" w:rsidRPr="00273F23" w:rsidRDefault="00603E0E" w:rsidP="00457283">
            <w:pPr>
              <w:pStyle w:val="Header"/>
              <w:tabs>
                <w:tab w:val="left" w:pos="284"/>
              </w:tabs>
              <w:jc w:val="both"/>
              <w:rPr>
                <w:i/>
                <w:sz w:val="22"/>
                <w:szCs w:val="22"/>
                <w:lang w:val="sr-Latn-ME"/>
              </w:rPr>
            </w:pPr>
            <w:r w:rsidRPr="00273F23">
              <w:rPr>
                <w:i/>
                <w:sz w:val="22"/>
                <w:szCs w:val="22"/>
                <w:lang w:val="sr-Latn-ME"/>
              </w:rPr>
              <w:t xml:space="preserve">*Vidjeti </w:t>
            </w:r>
            <w:r w:rsidR="00313225" w:rsidRPr="00273F23">
              <w:rPr>
                <w:i/>
                <w:sz w:val="22"/>
                <w:szCs w:val="22"/>
                <w:lang w:val="sr-Latn-ME"/>
              </w:rPr>
              <w:t>djelov</w:t>
            </w:r>
            <w:r w:rsidRPr="00273F23">
              <w:rPr>
                <w:i/>
                <w:sz w:val="22"/>
                <w:szCs w:val="22"/>
                <w:lang w:val="sr-Latn-ME"/>
              </w:rPr>
              <w:t>e 4.2 i 4.4.</w:t>
            </w:r>
          </w:p>
          <w:p w14:paraId="14D64003" w14:textId="3A1F3F72" w:rsidR="00603E0E" w:rsidRPr="00273F23" w:rsidRDefault="00603E0E">
            <w:pPr>
              <w:pStyle w:val="Header"/>
              <w:tabs>
                <w:tab w:val="left" w:pos="284"/>
              </w:tabs>
              <w:jc w:val="both"/>
              <w:rPr>
                <w:i/>
                <w:sz w:val="22"/>
                <w:szCs w:val="22"/>
                <w:lang w:val="sr-Latn-ME"/>
              </w:rPr>
            </w:pPr>
            <w:r w:rsidRPr="00273F23">
              <w:rPr>
                <w:i/>
                <w:sz w:val="22"/>
                <w:szCs w:val="22"/>
                <w:lang w:val="sr-Latn-ME"/>
              </w:rPr>
              <w:t>‡ Neželjene reakcije uočene tokom postmarketinškog praćenja. Rijetka učestalost je procijenjena na osnovu relevantnih kliničkih ispitivanja.</w:t>
            </w:r>
          </w:p>
        </w:tc>
      </w:tr>
    </w:tbl>
    <w:p w14:paraId="19B56552" w14:textId="77777777" w:rsidR="00603E0E" w:rsidRPr="00273F23" w:rsidRDefault="00603E0E" w:rsidP="00327919">
      <w:pPr>
        <w:tabs>
          <w:tab w:val="left" w:pos="540"/>
          <w:tab w:val="left" w:pos="569"/>
        </w:tabs>
        <w:jc w:val="both"/>
        <w:rPr>
          <w:b/>
          <w:bCs/>
          <w:sz w:val="22"/>
          <w:szCs w:val="22"/>
          <w:lang w:val="sr-Latn-ME"/>
        </w:rPr>
      </w:pPr>
    </w:p>
    <w:p w14:paraId="588124C7" w14:textId="77777777" w:rsidR="00BE68FB" w:rsidRPr="00273F23" w:rsidRDefault="00BE68FB" w:rsidP="00BE68FB">
      <w:pPr>
        <w:tabs>
          <w:tab w:val="left" w:pos="540"/>
          <w:tab w:val="left" w:pos="569"/>
        </w:tabs>
        <w:jc w:val="both"/>
        <w:rPr>
          <w:sz w:val="22"/>
          <w:szCs w:val="22"/>
          <w:u w:val="single"/>
          <w:lang w:val="sr-Latn-ME"/>
        </w:rPr>
      </w:pPr>
      <w:r w:rsidRPr="00273F23">
        <w:rPr>
          <w:sz w:val="22"/>
          <w:szCs w:val="22"/>
          <w:u w:val="single"/>
          <w:lang w:val="sr-Latn-ME"/>
        </w:rPr>
        <w:t>Opis odabranih neželjenih reakcija</w:t>
      </w:r>
    </w:p>
    <w:p w14:paraId="149B0E83" w14:textId="77777777" w:rsidR="00BE68FB" w:rsidRPr="00273F23" w:rsidRDefault="00BE68FB" w:rsidP="00BE68FB">
      <w:pPr>
        <w:tabs>
          <w:tab w:val="left" w:pos="540"/>
          <w:tab w:val="left" w:pos="569"/>
        </w:tabs>
        <w:jc w:val="both"/>
        <w:rPr>
          <w:sz w:val="22"/>
          <w:szCs w:val="22"/>
          <w:u w:val="single"/>
          <w:lang w:val="sr-Latn-ME"/>
        </w:rPr>
      </w:pPr>
    </w:p>
    <w:p w14:paraId="6D6CD99B" w14:textId="77777777" w:rsidR="00BE68FB" w:rsidRPr="00273F23" w:rsidRDefault="00BE68FB" w:rsidP="00BE68FB">
      <w:pPr>
        <w:tabs>
          <w:tab w:val="left" w:pos="540"/>
          <w:tab w:val="left" w:pos="569"/>
        </w:tabs>
        <w:jc w:val="both"/>
        <w:rPr>
          <w:i/>
          <w:iCs/>
          <w:sz w:val="22"/>
          <w:szCs w:val="22"/>
          <w:u w:val="single"/>
          <w:lang w:val="sr-Latn-ME"/>
        </w:rPr>
      </w:pPr>
      <w:r w:rsidRPr="00273F23">
        <w:rPr>
          <w:i/>
          <w:iCs/>
          <w:sz w:val="22"/>
          <w:szCs w:val="22"/>
          <w:u w:val="single"/>
          <w:lang w:val="sr-Latn-ME"/>
        </w:rPr>
        <w:t>Atipične subtrohanterne frakture femura i frakture dijafize femura</w:t>
      </w:r>
    </w:p>
    <w:p w14:paraId="4218DEEA" w14:textId="3BF86DB2" w:rsidR="00BE68FB" w:rsidRPr="00273F23" w:rsidRDefault="00BE68FB" w:rsidP="00BE68FB">
      <w:pPr>
        <w:tabs>
          <w:tab w:val="left" w:pos="540"/>
          <w:tab w:val="left" w:pos="569"/>
        </w:tabs>
        <w:jc w:val="both"/>
        <w:rPr>
          <w:sz w:val="22"/>
          <w:szCs w:val="22"/>
          <w:lang w:val="sr-Latn-ME"/>
        </w:rPr>
      </w:pPr>
      <w:r w:rsidRPr="00273F23">
        <w:rPr>
          <w:sz w:val="22"/>
          <w:szCs w:val="22"/>
          <w:lang w:val="sr-Latn-ME"/>
        </w:rPr>
        <w:t>Iako patofiziologija nije sa sigurnošću utvrđena, dokazi iz epidemioloških ispitivanja dosljedno ukazuju na povećan rizik od atipične subtrohanterne frakture femura i frakture dijafize femura pri dugotrajnom l</w:t>
      </w:r>
      <w:r w:rsidR="00E87A3F" w:rsidRPr="00273F23">
        <w:rPr>
          <w:sz w:val="22"/>
          <w:szCs w:val="22"/>
          <w:lang w:val="sr-Latn-ME"/>
        </w:rPr>
        <w:t>ij</w:t>
      </w:r>
      <w:r w:rsidRPr="00273F23">
        <w:rPr>
          <w:sz w:val="22"/>
          <w:szCs w:val="22"/>
          <w:lang w:val="sr-Latn-ME"/>
        </w:rPr>
        <w:t>ečenju osteoporoze u postmenopauzi bisfosfonatima, naročito ako se oni primjenjuju duže od tri do pet godina. Apsolutan rizik od atipične subtrohanterne frakture i frakture dijafize femura (neželjena reakcija ljekova iz grupe bisfosfonata) još uv</w:t>
      </w:r>
      <w:r w:rsidR="00E87A3F" w:rsidRPr="00273F23">
        <w:rPr>
          <w:sz w:val="22"/>
          <w:szCs w:val="22"/>
          <w:lang w:val="sr-Latn-ME"/>
        </w:rPr>
        <w:t>ij</w:t>
      </w:r>
      <w:r w:rsidRPr="00273F23">
        <w:rPr>
          <w:sz w:val="22"/>
          <w:szCs w:val="22"/>
          <w:lang w:val="sr-Latn-ME"/>
        </w:rPr>
        <w:t>ek spada u „rijedak“.</w:t>
      </w:r>
    </w:p>
    <w:p w14:paraId="4FC30AC1" w14:textId="77777777" w:rsidR="00AD3682" w:rsidRPr="00273F23" w:rsidRDefault="00AD3682" w:rsidP="00327919">
      <w:pPr>
        <w:tabs>
          <w:tab w:val="left" w:pos="540"/>
          <w:tab w:val="left" w:pos="569"/>
        </w:tabs>
        <w:jc w:val="both"/>
        <w:rPr>
          <w:b/>
          <w:bCs/>
          <w:sz w:val="22"/>
          <w:szCs w:val="22"/>
          <w:lang w:val="sr-Latn-ME"/>
        </w:rPr>
      </w:pPr>
    </w:p>
    <w:p w14:paraId="15CEE8FB" w14:textId="77777777" w:rsidR="005A23D2" w:rsidRPr="00273F23" w:rsidRDefault="005A23D2" w:rsidP="00327919">
      <w:pPr>
        <w:spacing w:after="200" w:line="276" w:lineRule="auto"/>
        <w:jc w:val="both"/>
        <w:rPr>
          <w:rFonts w:eastAsia="Calibri"/>
          <w:sz w:val="22"/>
          <w:szCs w:val="22"/>
          <w:u w:val="single"/>
          <w:lang w:val="sr-Latn-ME"/>
        </w:rPr>
      </w:pPr>
      <w:r w:rsidRPr="00273F23">
        <w:rPr>
          <w:rFonts w:eastAsia="Calibri"/>
          <w:sz w:val="22"/>
          <w:szCs w:val="22"/>
          <w:u w:val="single"/>
          <w:lang w:val="sr-Latn-ME"/>
        </w:rPr>
        <w:t>Prijavljivanje sumnji na neželjena dejstva</w:t>
      </w:r>
    </w:p>
    <w:p w14:paraId="3DCCB50F" w14:textId="77777777" w:rsidR="005A23D2" w:rsidRPr="00273F23" w:rsidRDefault="005A23D2" w:rsidP="00457283">
      <w:pPr>
        <w:spacing w:after="200"/>
        <w:jc w:val="both"/>
        <w:rPr>
          <w:rFonts w:eastAsia="Calibri"/>
          <w:sz w:val="22"/>
          <w:szCs w:val="22"/>
          <w:lang w:val="sr-Latn-ME"/>
        </w:rPr>
      </w:pPr>
      <w:r w:rsidRPr="00273F23">
        <w:rPr>
          <w:rFonts w:eastAsia="Calibri"/>
          <w:sz w:val="22"/>
          <w:szCs w:val="22"/>
          <w:lang w:val="sr-Latn-ME"/>
        </w:rPr>
        <w:t>Prijavljivanje neželjenih dejstava nakon dobijanja dozvole je od velikog značaja jer obezbjeđuje kont</w:t>
      </w:r>
      <w:r w:rsidR="00EA5765" w:rsidRPr="00273F23">
        <w:rPr>
          <w:rFonts w:eastAsia="Calibri"/>
          <w:sz w:val="22"/>
          <w:szCs w:val="22"/>
          <w:lang w:val="sr-Latn-ME"/>
        </w:rPr>
        <w:t>inuirano praćenje odnosa korist</w:t>
      </w:r>
      <w:r w:rsidRPr="00273F23">
        <w:rPr>
          <w:rFonts w:eastAsia="Calibri"/>
          <w:sz w:val="22"/>
          <w:szCs w:val="22"/>
          <w:lang w:val="sr-Latn-ME"/>
        </w:rPr>
        <w:t>/rizik primjene lijeka. Zdravstveni radnici treba da prijave svaku sumnju na neželjeno</w:t>
      </w:r>
      <w:r w:rsidR="009B062A" w:rsidRPr="00273F23">
        <w:rPr>
          <w:rFonts w:eastAsia="Calibri"/>
          <w:sz w:val="22"/>
          <w:szCs w:val="22"/>
          <w:lang w:val="sr-Latn-ME"/>
        </w:rPr>
        <w:t xml:space="preserve"> </w:t>
      </w:r>
      <w:r w:rsidRPr="00273F23">
        <w:rPr>
          <w:rFonts w:eastAsia="Calibri"/>
          <w:sz w:val="22"/>
          <w:szCs w:val="22"/>
          <w:lang w:val="sr-Latn-ME"/>
        </w:rPr>
        <w:t xml:space="preserve">dejstvo ovog lijeka </w:t>
      </w:r>
      <w:r w:rsidR="004E70AD" w:rsidRPr="00273F23">
        <w:rPr>
          <w:rFonts w:eastAsia="Calibri"/>
          <w:sz w:val="22"/>
          <w:szCs w:val="22"/>
          <w:lang w:val="sr-Latn-ME"/>
        </w:rPr>
        <w:t>Institutu</w:t>
      </w:r>
      <w:r w:rsidRPr="00273F23">
        <w:rPr>
          <w:rFonts w:eastAsia="Calibri"/>
          <w:sz w:val="22"/>
          <w:szCs w:val="22"/>
          <w:lang w:val="sr-Latn-ME"/>
        </w:rPr>
        <w:t xml:space="preserve"> za ljekove i medicinska sredstva</w:t>
      </w:r>
      <w:r w:rsidR="004E70AD" w:rsidRPr="00273F23">
        <w:rPr>
          <w:rFonts w:eastAsia="Calibri"/>
          <w:sz w:val="22"/>
          <w:szCs w:val="22"/>
          <w:lang w:val="sr-Latn-ME"/>
        </w:rPr>
        <w:t xml:space="preserve"> </w:t>
      </w:r>
      <w:r w:rsidRPr="00273F23">
        <w:rPr>
          <w:rFonts w:eastAsia="Calibri"/>
          <w:sz w:val="22"/>
          <w:szCs w:val="22"/>
          <w:lang w:val="sr-Latn-ME"/>
        </w:rPr>
        <w:t>(</w:t>
      </w:r>
      <w:r w:rsidR="004E70AD" w:rsidRPr="00273F23">
        <w:rPr>
          <w:rFonts w:eastAsia="Calibri"/>
          <w:sz w:val="22"/>
          <w:szCs w:val="22"/>
          <w:lang w:val="sr-Latn-ME"/>
        </w:rPr>
        <w:t>CInMED</w:t>
      </w:r>
      <w:r w:rsidRPr="00273F23">
        <w:rPr>
          <w:rFonts w:eastAsia="Calibri"/>
          <w:sz w:val="22"/>
          <w:szCs w:val="22"/>
          <w:lang w:val="sr-Latn-ME"/>
        </w:rPr>
        <w:t>):</w:t>
      </w:r>
    </w:p>
    <w:p w14:paraId="714ACC0D" w14:textId="77777777" w:rsidR="005A23D2" w:rsidRPr="00273F23" w:rsidRDefault="004E70AD" w:rsidP="00457283">
      <w:pPr>
        <w:pStyle w:val="NoSpacing"/>
        <w:jc w:val="both"/>
        <w:rPr>
          <w:rFonts w:eastAsia="Calibri"/>
          <w:sz w:val="22"/>
          <w:szCs w:val="22"/>
          <w:lang w:val="sr-Latn-ME"/>
        </w:rPr>
      </w:pPr>
      <w:r w:rsidRPr="00273F23">
        <w:rPr>
          <w:rFonts w:eastAsia="Calibri"/>
          <w:sz w:val="22"/>
          <w:szCs w:val="22"/>
          <w:lang w:val="sr-Latn-ME"/>
        </w:rPr>
        <w:t xml:space="preserve">Institut </w:t>
      </w:r>
      <w:r w:rsidR="005A23D2" w:rsidRPr="00273F23">
        <w:rPr>
          <w:rFonts w:eastAsia="Calibri"/>
          <w:sz w:val="22"/>
          <w:szCs w:val="22"/>
          <w:lang w:val="sr-Latn-ME"/>
        </w:rPr>
        <w:t xml:space="preserve">za ljekove i medicinska sredstva </w:t>
      </w:r>
    </w:p>
    <w:p w14:paraId="5D82F320" w14:textId="77777777" w:rsidR="005A23D2" w:rsidRPr="00273F23" w:rsidRDefault="005A23D2" w:rsidP="00457283">
      <w:pPr>
        <w:pStyle w:val="NoSpacing"/>
        <w:jc w:val="both"/>
        <w:rPr>
          <w:rFonts w:eastAsia="Calibri"/>
          <w:sz w:val="22"/>
          <w:szCs w:val="22"/>
          <w:lang w:val="sr-Latn-ME"/>
        </w:rPr>
      </w:pPr>
      <w:r w:rsidRPr="00273F23">
        <w:rPr>
          <w:rFonts w:eastAsia="Calibri"/>
          <w:sz w:val="22"/>
          <w:szCs w:val="22"/>
          <w:lang w:val="sr-Latn-ME"/>
        </w:rPr>
        <w:t>Odjeljenje za farmakovigilancu</w:t>
      </w:r>
    </w:p>
    <w:p w14:paraId="03B5FBC1" w14:textId="77777777" w:rsidR="00EA5765" w:rsidRPr="00273F23" w:rsidRDefault="005A23D2">
      <w:pPr>
        <w:pStyle w:val="NoSpacing"/>
        <w:jc w:val="both"/>
        <w:rPr>
          <w:rFonts w:eastAsia="Calibri"/>
          <w:sz w:val="22"/>
          <w:szCs w:val="22"/>
          <w:lang w:val="sr-Latn-ME"/>
        </w:rPr>
      </w:pPr>
      <w:r w:rsidRPr="00273F23">
        <w:rPr>
          <w:rFonts w:eastAsia="Calibri"/>
          <w:sz w:val="22"/>
          <w:szCs w:val="22"/>
          <w:lang w:val="sr-Latn-ME"/>
        </w:rPr>
        <w:t>Bulevar Ivana Crnojevića 64a, 81000 Podgorica</w:t>
      </w:r>
    </w:p>
    <w:p w14:paraId="7787C884" w14:textId="77777777" w:rsidR="00EA5765" w:rsidRPr="00273F23" w:rsidRDefault="00EA5765" w:rsidP="00327919">
      <w:pPr>
        <w:pStyle w:val="NoSpacing"/>
        <w:jc w:val="both"/>
        <w:rPr>
          <w:rFonts w:eastAsia="Calibri"/>
          <w:sz w:val="22"/>
          <w:szCs w:val="22"/>
          <w:lang w:val="sr-Latn-ME"/>
        </w:rPr>
      </w:pPr>
    </w:p>
    <w:p w14:paraId="2F247301" w14:textId="77777777" w:rsidR="005A23D2" w:rsidRPr="00273F23" w:rsidRDefault="005A23D2" w:rsidP="00457283">
      <w:pPr>
        <w:pStyle w:val="NoSpacing"/>
        <w:jc w:val="both"/>
        <w:rPr>
          <w:rFonts w:eastAsia="Calibri"/>
          <w:sz w:val="22"/>
          <w:szCs w:val="22"/>
          <w:lang w:val="sr-Latn-ME"/>
        </w:rPr>
      </w:pPr>
      <w:r w:rsidRPr="00273F23">
        <w:rPr>
          <w:rFonts w:eastAsia="Calibri"/>
          <w:sz w:val="22"/>
          <w:szCs w:val="22"/>
          <w:lang w:val="sr-Latn-ME"/>
        </w:rPr>
        <w:t>tel: +382 (0) 20 310 280</w:t>
      </w:r>
    </w:p>
    <w:p w14:paraId="245CBB5E" w14:textId="77777777" w:rsidR="00EA5765" w:rsidRPr="00273F23" w:rsidRDefault="005A23D2" w:rsidP="00457283">
      <w:pPr>
        <w:pStyle w:val="NoSpacing"/>
        <w:jc w:val="both"/>
        <w:rPr>
          <w:rFonts w:eastAsia="Calibri"/>
          <w:sz w:val="22"/>
          <w:szCs w:val="22"/>
          <w:lang w:val="sr-Latn-ME"/>
        </w:rPr>
      </w:pPr>
      <w:r w:rsidRPr="00273F23">
        <w:rPr>
          <w:rFonts w:eastAsia="Calibri"/>
          <w:sz w:val="22"/>
          <w:szCs w:val="22"/>
          <w:lang w:val="sr-Latn-ME"/>
        </w:rPr>
        <w:t>fax:</w:t>
      </w:r>
      <w:r w:rsidR="00EA5765" w:rsidRPr="00273F23">
        <w:rPr>
          <w:rFonts w:eastAsia="Calibri"/>
          <w:sz w:val="22"/>
          <w:szCs w:val="22"/>
          <w:lang w:val="sr-Latn-ME"/>
        </w:rPr>
        <w:t xml:space="preserve"> </w:t>
      </w:r>
      <w:r w:rsidRPr="00273F23">
        <w:rPr>
          <w:rFonts w:eastAsia="Calibri"/>
          <w:sz w:val="22"/>
          <w:szCs w:val="22"/>
          <w:lang w:val="sr-Latn-ME"/>
        </w:rPr>
        <w:t>+382 (0) 20 310 581</w:t>
      </w:r>
    </w:p>
    <w:p w14:paraId="148CBC00" w14:textId="77777777" w:rsidR="005A23D2" w:rsidRPr="00273F23" w:rsidRDefault="00F30C1B" w:rsidP="00457283">
      <w:pPr>
        <w:pStyle w:val="NoSpacing"/>
        <w:jc w:val="both"/>
        <w:rPr>
          <w:rFonts w:eastAsia="Calibri"/>
          <w:sz w:val="22"/>
          <w:szCs w:val="22"/>
          <w:lang w:val="sr-Latn-ME"/>
        </w:rPr>
      </w:pPr>
      <w:hyperlink r:id="rId8" w:history="1">
        <w:r w:rsidR="004E70AD" w:rsidRPr="00273F23">
          <w:rPr>
            <w:rStyle w:val="Hyperlink"/>
            <w:rFonts w:eastAsia="Calibri"/>
            <w:sz w:val="22"/>
            <w:szCs w:val="22"/>
            <w:lang w:val="sr-Latn-ME"/>
          </w:rPr>
          <w:t>www.cinmed.me</w:t>
        </w:r>
      </w:hyperlink>
    </w:p>
    <w:p w14:paraId="7614FDF9" w14:textId="77777777" w:rsidR="00EA5765" w:rsidRPr="00273F23" w:rsidRDefault="00F30C1B" w:rsidP="00457283">
      <w:pPr>
        <w:pStyle w:val="NoSpacing"/>
        <w:jc w:val="both"/>
        <w:rPr>
          <w:rFonts w:eastAsia="Calibri"/>
          <w:color w:val="0000FF"/>
          <w:sz w:val="22"/>
          <w:szCs w:val="22"/>
          <w:u w:val="single"/>
          <w:lang w:val="sr-Latn-ME"/>
        </w:rPr>
      </w:pPr>
      <w:hyperlink r:id="rId9" w:history="1">
        <w:r w:rsidR="004E70AD" w:rsidRPr="00273F23">
          <w:rPr>
            <w:rStyle w:val="Hyperlink"/>
            <w:rFonts w:eastAsia="Calibri"/>
            <w:sz w:val="22"/>
            <w:szCs w:val="22"/>
            <w:lang w:val="sr-Latn-ME"/>
          </w:rPr>
          <w:t>nezeljenadejstva@cinmed.me</w:t>
        </w:r>
      </w:hyperlink>
    </w:p>
    <w:p w14:paraId="1E603F95" w14:textId="77777777" w:rsidR="005A23D2" w:rsidRPr="00273F23" w:rsidRDefault="005A23D2">
      <w:pPr>
        <w:pStyle w:val="NoSpacing"/>
        <w:jc w:val="both"/>
        <w:rPr>
          <w:rFonts w:eastAsia="Calibri"/>
          <w:sz w:val="22"/>
          <w:szCs w:val="22"/>
          <w:lang w:val="sr-Latn-ME"/>
        </w:rPr>
      </w:pPr>
      <w:r w:rsidRPr="00273F23">
        <w:rPr>
          <w:rFonts w:eastAsia="Calibri"/>
          <w:sz w:val="22"/>
          <w:szCs w:val="22"/>
          <w:lang w:val="sr-Latn-ME"/>
        </w:rPr>
        <w:t>putem IS zdravstvene zaštite</w:t>
      </w:r>
    </w:p>
    <w:p w14:paraId="20FC1834" w14:textId="77777777" w:rsidR="008052B5" w:rsidRPr="00273F23" w:rsidRDefault="008052B5" w:rsidP="008052B5">
      <w:pPr>
        <w:jc w:val="both"/>
        <w:rPr>
          <w:sz w:val="22"/>
          <w:szCs w:val="22"/>
          <w:lang w:val="sr-Latn-ME"/>
        </w:rPr>
      </w:pPr>
      <w:r w:rsidRPr="00273F23">
        <w:rPr>
          <w:sz w:val="22"/>
          <w:szCs w:val="22"/>
          <w:lang w:val="sr-Latn-ME"/>
        </w:rPr>
        <w:t>QR kod za online prijavu sumnje na neželjeno dejstvo lijeka:</w:t>
      </w:r>
    </w:p>
    <w:p w14:paraId="02394A4D" w14:textId="77777777" w:rsidR="008052B5" w:rsidRPr="00273F23" w:rsidRDefault="008052B5" w:rsidP="008052B5">
      <w:pPr>
        <w:jc w:val="both"/>
        <w:rPr>
          <w:sz w:val="22"/>
          <w:szCs w:val="22"/>
          <w:lang w:val="sr-Latn-ME"/>
        </w:rPr>
      </w:pPr>
    </w:p>
    <w:p w14:paraId="6AE4236B" w14:textId="77777777" w:rsidR="008052B5" w:rsidRPr="00273F23" w:rsidRDefault="008052B5" w:rsidP="008052B5">
      <w:pPr>
        <w:jc w:val="both"/>
        <w:rPr>
          <w:sz w:val="22"/>
          <w:szCs w:val="22"/>
          <w:lang w:val="sr-Latn-ME"/>
        </w:rPr>
      </w:pPr>
      <w:r w:rsidRPr="00273F23">
        <w:rPr>
          <w:noProof/>
          <w:sz w:val="22"/>
          <w:szCs w:val="22"/>
          <w:lang w:val="sr-Latn-ME"/>
        </w:rPr>
        <w:lastRenderedPageBreak/>
        <w:drawing>
          <wp:inline distT="0" distB="0" distL="0" distR="0" wp14:anchorId="388A2860" wp14:editId="273BC3E4">
            <wp:extent cx="971550" cy="971550"/>
            <wp:effectExtent l="0" t="0" r="0" b="0"/>
            <wp:docPr id="17798611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D73EFFF" w14:textId="77777777" w:rsidR="00836B35" w:rsidRPr="00273F23" w:rsidRDefault="00836B35" w:rsidP="00327919">
      <w:pPr>
        <w:tabs>
          <w:tab w:val="left" w:pos="540"/>
          <w:tab w:val="left" w:pos="569"/>
        </w:tabs>
        <w:jc w:val="both"/>
        <w:rPr>
          <w:b/>
          <w:bCs/>
          <w:sz w:val="22"/>
          <w:szCs w:val="22"/>
          <w:lang w:val="sr-Latn-ME"/>
        </w:rPr>
      </w:pPr>
    </w:p>
    <w:p w14:paraId="13CB04AC" w14:textId="77777777" w:rsidR="00CD6F02"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4.9. </w:t>
      </w:r>
      <w:r w:rsidR="00480FB1" w:rsidRPr="00273F23">
        <w:rPr>
          <w:b/>
          <w:bCs/>
          <w:sz w:val="22"/>
          <w:szCs w:val="22"/>
          <w:lang w:val="sr-Latn-ME"/>
        </w:rPr>
        <w:tab/>
      </w:r>
      <w:r w:rsidRPr="00273F23">
        <w:rPr>
          <w:b/>
          <w:bCs/>
          <w:sz w:val="22"/>
          <w:szCs w:val="22"/>
          <w:lang w:val="sr-Latn-ME"/>
        </w:rPr>
        <w:t>Predoziranje</w:t>
      </w:r>
      <w:r w:rsidR="002846DB" w:rsidRPr="00273F23">
        <w:rPr>
          <w:b/>
          <w:bCs/>
          <w:sz w:val="22"/>
          <w:szCs w:val="22"/>
          <w:lang w:val="sr-Latn-ME"/>
        </w:rPr>
        <w:t xml:space="preserve"> </w:t>
      </w:r>
    </w:p>
    <w:p w14:paraId="6E7EF7D9" w14:textId="77777777" w:rsidR="00CD6F02" w:rsidRPr="00273F23" w:rsidRDefault="00CD6F02" w:rsidP="00327919">
      <w:pPr>
        <w:tabs>
          <w:tab w:val="left" w:pos="540"/>
          <w:tab w:val="left" w:pos="569"/>
        </w:tabs>
        <w:jc w:val="both"/>
        <w:rPr>
          <w:b/>
          <w:bCs/>
          <w:sz w:val="22"/>
          <w:szCs w:val="22"/>
          <w:lang w:val="sr-Latn-ME"/>
        </w:rPr>
      </w:pPr>
    </w:p>
    <w:p w14:paraId="19DCCB19" w14:textId="77777777" w:rsidR="00603E0E" w:rsidRPr="00273F23" w:rsidRDefault="00603E0E" w:rsidP="00457283">
      <w:pPr>
        <w:tabs>
          <w:tab w:val="left" w:pos="540"/>
          <w:tab w:val="left" w:pos="569"/>
        </w:tabs>
        <w:jc w:val="both"/>
        <w:rPr>
          <w:sz w:val="22"/>
          <w:szCs w:val="22"/>
          <w:u w:val="single"/>
          <w:lang w:val="sr-Latn-ME"/>
        </w:rPr>
      </w:pPr>
      <w:r w:rsidRPr="00273F23">
        <w:rPr>
          <w:sz w:val="22"/>
          <w:szCs w:val="22"/>
          <w:u w:val="single"/>
          <w:lang w:val="sr-Latn-ME"/>
        </w:rPr>
        <w:t>Alendronat</w:t>
      </w:r>
    </w:p>
    <w:p w14:paraId="46684C9B" w14:textId="77777777" w:rsidR="00603E0E" w:rsidRPr="00273F23" w:rsidRDefault="00603E0E" w:rsidP="00457283">
      <w:pPr>
        <w:tabs>
          <w:tab w:val="left" w:pos="540"/>
          <w:tab w:val="left" w:pos="569"/>
        </w:tabs>
        <w:jc w:val="both"/>
        <w:rPr>
          <w:i/>
          <w:sz w:val="22"/>
          <w:szCs w:val="22"/>
          <w:lang w:val="sr-Latn-ME"/>
        </w:rPr>
      </w:pPr>
      <w:r w:rsidRPr="00273F23">
        <w:rPr>
          <w:i/>
          <w:sz w:val="22"/>
          <w:szCs w:val="22"/>
          <w:lang w:val="sr-Latn-ME"/>
        </w:rPr>
        <w:t>Simptomi</w:t>
      </w:r>
    </w:p>
    <w:p w14:paraId="2A4FBDF0" w14:textId="41B7AFE0" w:rsidR="00603E0E" w:rsidRPr="00273F23" w:rsidRDefault="00603E0E" w:rsidP="00457283">
      <w:pPr>
        <w:tabs>
          <w:tab w:val="left" w:pos="540"/>
          <w:tab w:val="left" w:pos="569"/>
        </w:tabs>
        <w:jc w:val="both"/>
        <w:rPr>
          <w:sz w:val="22"/>
          <w:szCs w:val="22"/>
          <w:lang w:val="sr-Latn-ME"/>
        </w:rPr>
      </w:pPr>
      <w:r w:rsidRPr="00273F23">
        <w:rPr>
          <w:sz w:val="22"/>
          <w:szCs w:val="22"/>
          <w:lang w:val="sr-Latn-ME"/>
        </w:rPr>
        <w:t>Usljed oralnog predoziranja može doći do pojave hipokalcemije, hipofosfatemije i neželjenih reakcija u gornjem dijelu gastrointestinalnog trakta poput nadražaja želuca, gorušice, ezofagitisa, gastritisa ili ulkusa.</w:t>
      </w:r>
    </w:p>
    <w:p w14:paraId="3EE2EE68" w14:textId="77777777" w:rsidR="007D104D" w:rsidRPr="00273F23" w:rsidRDefault="007D104D" w:rsidP="00457283">
      <w:pPr>
        <w:tabs>
          <w:tab w:val="left" w:pos="540"/>
          <w:tab w:val="left" w:pos="569"/>
        </w:tabs>
        <w:jc w:val="both"/>
        <w:rPr>
          <w:sz w:val="22"/>
          <w:szCs w:val="22"/>
          <w:lang w:val="sr-Latn-ME"/>
        </w:rPr>
      </w:pPr>
    </w:p>
    <w:p w14:paraId="50365BAE" w14:textId="77777777" w:rsidR="00603E0E" w:rsidRPr="00273F23" w:rsidRDefault="00603E0E">
      <w:pPr>
        <w:tabs>
          <w:tab w:val="left" w:pos="540"/>
          <w:tab w:val="left" w:pos="569"/>
        </w:tabs>
        <w:jc w:val="both"/>
        <w:rPr>
          <w:i/>
          <w:sz w:val="22"/>
          <w:szCs w:val="22"/>
          <w:lang w:val="sr-Latn-ME"/>
        </w:rPr>
      </w:pPr>
      <w:r w:rsidRPr="00273F23">
        <w:rPr>
          <w:i/>
          <w:sz w:val="22"/>
          <w:szCs w:val="22"/>
          <w:lang w:val="sr-Latn-ME"/>
        </w:rPr>
        <w:t>Terapija</w:t>
      </w:r>
    </w:p>
    <w:p w14:paraId="50680497" w14:textId="7E2E6BE2" w:rsidR="00603E0E" w:rsidRPr="00273F23" w:rsidRDefault="00603E0E">
      <w:pPr>
        <w:tabs>
          <w:tab w:val="left" w:pos="540"/>
          <w:tab w:val="left" w:pos="569"/>
        </w:tabs>
        <w:jc w:val="both"/>
        <w:rPr>
          <w:sz w:val="22"/>
          <w:szCs w:val="22"/>
          <w:lang w:val="sr-Latn-ME"/>
        </w:rPr>
      </w:pPr>
      <w:r w:rsidRPr="00273F23">
        <w:rPr>
          <w:sz w:val="22"/>
          <w:szCs w:val="22"/>
          <w:lang w:val="sr-Latn-ME"/>
        </w:rPr>
        <w:t xml:space="preserve">Nema dostupnih specifičnih podataka o terapiji predoziranja alendronatom. U slučaju predoziranja lijekom Fosavance, pacijentu treba dati </w:t>
      </w:r>
      <w:r w:rsidR="00313225" w:rsidRPr="00273F23">
        <w:rPr>
          <w:sz w:val="22"/>
          <w:szCs w:val="22"/>
          <w:lang w:val="sr-Latn-ME"/>
        </w:rPr>
        <w:t>ml</w:t>
      </w:r>
      <w:r w:rsidRPr="00273F23">
        <w:rPr>
          <w:sz w:val="22"/>
          <w:szCs w:val="22"/>
          <w:lang w:val="sr-Latn-ME"/>
        </w:rPr>
        <w:t>ijeko ili antacide da bi se vezao alendronat. Zbog rizika od nadražaja sluznice jednjaka, ne smije da se izaziva povraćanje, a pacijenta treba držati u potpuno uspravnom položaju.</w:t>
      </w:r>
    </w:p>
    <w:p w14:paraId="418501A7" w14:textId="77777777" w:rsidR="00603E0E" w:rsidRPr="00273F23" w:rsidRDefault="00603E0E">
      <w:pPr>
        <w:tabs>
          <w:tab w:val="left" w:pos="540"/>
          <w:tab w:val="left" w:pos="569"/>
        </w:tabs>
        <w:jc w:val="both"/>
        <w:rPr>
          <w:sz w:val="22"/>
          <w:szCs w:val="22"/>
          <w:lang w:val="sr-Latn-ME"/>
        </w:rPr>
      </w:pPr>
    </w:p>
    <w:p w14:paraId="269D339E" w14:textId="77777777" w:rsidR="00603E0E" w:rsidRPr="00273F23" w:rsidRDefault="00603E0E">
      <w:pPr>
        <w:tabs>
          <w:tab w:val="left" w:pos="540"/>
          <w:tab w:val="left" w:pos="569"/>
        </w:tabs>
        <w:jc w:val="both"/>
        <w:rPr>
          <w:sz w:val="22"/>
          <w:szCs w:val="22"/>
          <w:u w:val="single"/>
          <w:lang w:val="sr-Latn-ME"/>
        </w:rPr>
      </w:pPr>
      <w:r w:rsidRPr="00273F23">
        <w:rPr>
          <w:sz w:val="22"/>
          <w:szCs w:val="22"/>
          <w:u w:val="single"/>
          <w:lang w:val="sr-Latn-ME"/>
        </w:rPr>
        <w:t>Holekalciferol</w:t>
      </w:r>
    </w:p>
    <w:p w14:paraId="77D206F7" w14:textId="7DD0AE90" w:rsidR="00603E0E" w:rsidRPr="00273F23" w:rsidRDefault="00603E0E">
      <w:pPr>
        <w:tabs>
          <w:tab w:val="left" w:pos="540"/>
          <w:tab w:val="left" w:pos="569"/>
        </w:tabs>
        <w:jc w:val="both"/>
        <w:rPr>
          <w:sz w:val="22"/>
          <w:szCs w:val="22"/>
          <w:lang w:val="sr-Latn-ME"/>
        </w:rPr>
      </w:pPr>
      <w:r w:rsidRPr="00273F23">
        <w:rPr>
          <w:sz w:val="22"/>
          <w:szCs w:val="22"/>
          <w:lang w:val="sr-Latn-ME"/>
        </w:rPr>
        <w:t>Tokom dugotrajne terapije nije zabiljeležena pojava toksičnosti izazvane vitaminom D kod generalno zdravih odraslih osoba, pri dozama manjim od 10000 i.j. dnevno. U jednom kliničkom ispitivanju kod zdravih odraslih osoba, primjena vitamina D</w:t>
      </w:r>
      <w:r w:rsidRPr="00273F23">
        <w:rPr>
          <w:sz w:val="22"/>
          <w:szCs w:val="22"/>
          <w:vertAlign w:val="subscript"/>
          <w:lang w:val="sr-Latn-ME"/>
        </w:rPr>
        <w:t>3</w:t>
      </w:r>
      <w:r w:rsidRPr="00273F23">
        <w:rPr>
          <w:sz w:val="22"/>
          <w:szCs w:val="22"/>
          <w:lang w:val="sr-Latn-ME"/>
        </w:rPr>
        <w:t xml:space="preserve"> u dozi od 4000 i.j. dnevno, u trajanju do pet mjeseci, nije bila povezana sa hiperkalciurijom ili hiperkalcemijom.</w:t>
      </w:r>
    </w:p>
    <w:p w14:paraId="49C5B9BB" w14:textId="417318AB" w:rsidR="001C16AD" w:rsidRPr="00273F23" w:rsidRDefault="001C16AD">
      <w:pPr>
        <w:tabs>
          <w:tab w:val="left" w:pos="540"/>
          <w:tab w:val="left" w:pos="569"/>
        </w:tabs>
        <w:jc w:val="both"/>
        <w:rPr>
          <w:sz w:val="22"/>
          <w:szCs w:val="22"/>
          <w:lang w:val="sr-Latn-ME"/>
        </w:rPr>
      </w:pPr>
    </w:p>
    <w:p w14:paraId="17F736F9" w14:textId="77777777" w:rsidR="00227BDB" w:rsidRPr="00273F23" w:rsidRDefault="00227BDB" w:rsidP="00327919">
      <w:pPr>
        <w:tabs>
          <w:tab w:val="left" w:pos="540"/>
          <w:tab w:val="left" w:pos="569"/>
        </w:tabs>
        <w:jc w:val="both"/>
        <w:rPr>
          <w:b/>
          <w:bCs/>
          <w:sz w:val="22"/>
          <w:szCs w:val="22"/>
          <w:lang w:val="sr-Latn-ME"/>
        </w:rPr>
      </w:pPr>
    </w:p>
    <w:p w14:paraId="02049ABE"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5. </w:t>
      </w:r>
      <w:r w:rsidR="00480FB1" w:rsidRPr="00273F23">
        <w:rPr>
          <w:b/>
          <w:bCs/>
          <w:sz w:val="22"/>
          <w:szCs w:val="22"/>
          <w:lang w:val="sr-Latn-ME"/>
        </w:rPr>
        <w:tab/>
      </w:r>
      <w:r w:rsidRPr="00273F23">
        <w:rPr>
          <w:b/>
          <w:bCs/>
          <w:sz w:val="22"/>
          <w:szCs w:val="22"/>
          <w:lang w:val="sr-Latn-ME"/>
        </w:rPr>
        <w:t>FARMAKOLOŠK</w:t>
      </w:r>
      <w:r w:rsidR="000D425A" w:rsidRPr="00273F23">
        <w:rPr>
          <w:b/>
          <w:bCs/>
          <w:sz w:val="22"/>
          <w:szCs w:val="22"/>
          <w:lang w:val="sr-Latn-ME"/>
        </w:rPr>
        <w:t>I</w:t>
      </w:r>
      <w:r w:rsidRPr="00273F23">
        <w:rPr>
          <w:b/>
          <w:bCs/>
          <w:sz w:val="22"/>
          <w:szCs w:val="22"/>
          <w:lang w:val="sr-Latn-ME"/>
        </w:rPr>
        <w:t xml:space="preserve"> PODACI</w:t>
      </w:r>
    </w:p>
    <w:p w14:paraId="05B12BEA" w14:textId="77777777" w:rsidR="0072020E" w:rsidRPr="00273F23" w:rsidRDefault="0072020E" w:rsidP="00327919">
      <w:pPr>
        <w:tabs>
          <w:tab w:val="left" w:pos="540"/>
          <w:tab w:val="left" w:pos="569"/>
        </w:tabs>
        <w:jc w:val="both"/>
        <w:rPr>
          <w:b/>
          <w:bCs/>
          <w:sz w:val="22"/>
          <w:szCs w:val="22"/>
          <w:lang w:val="sr-Latn-ME"/>
        </w:rPr>
      </w:pPr>
    </w:p>
    <w:p w14:paraId="78EE6F06"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5.1. </w:t>
      </w:r>
      <w:r w:rsidR="00480FB1" w:rsidRPr="00273F23">
        <w:rPr>
          <w:b/>
          <w:bCs/>
          <w:sz w:val="22"/>
          <w:szCs w:val="22"/>
          <w:lang w:val="sr-Latn-ME"/>
        </w:rPr>
        <w:tab/>
      </w:r>
      <w:r w:rsidRPr="00273F23">
        <w:rPr>
          <w:b/>
          <w:bCs/>
          <w:sz w:val="22"/>
          <w:szCs w:val="22"/>
          <w:lang w:val="sr-Latn-ME"/>
        </w:rPr>
        <w:t>Farmakodinamski podaci</w:t>
      </w:r>
      <w:r w:rsidR="003A7059" w:rsidRPr="00273F23">
        <w:rPr>
          <w:b/>
          <w:bCs/>
          <w:sz w:val="22"/>
          <w:szCs w:val="22"/>
          <w:lang w:val="sr-Latn-ME"/>
        </w:rPr>
        <w:t xml:space="preserve"> </w:t>
      </w:r>
    </w:p>
    <w:p w14:paraId="6E2620CB" w14:textId="77777777" w:rsidR="00F45F77" w:rsidRPr="00273F23" w:rsidRDefault="00F45F77" w:rsidP="00327919">
      <w:pPr>
        <w:tabs>
          <w:tab w:val="left" w:pos="540"/>
          <w:tab w:val="left" w:pos="569"/>
        </w:tabs>
        <w:jc w:val="both"/>
        <w:rPr>
          <w:b/>
          <w:bCs/>
          <w:sz w:val="22"/>
          <w:szCs w:val="22"/>
          <w:lang w:val="sr-Latn-ME"/>
        </w:rPr>
      </w:pPr>
    </w:p>
    <w:p w14:paraId="47C504C1" w14:textId="221FC56F" w:rsidR="0072020E" w:rsidRPr="00273F23" w:rsidRDefault="0072020E" w:rsidP="00327919">
      <w:pPr>
        <w:tabs>
          <w:tab w:val="left" w:pos="540"/>
          <w:tab w:val="left" w:pos="569"/>
        </w:tabs>
        <w:jc w:val="both"/>
        <w:rPr>
          <w:bCs/>
          <w:sz w:val="22"/>
          <w:szCs w:val="22"/>
          <w:lang w:val="sr-Latn-ME"/>
        </w:rPr>
      </w:pPr>
      <w:r w:rsidRPr="00273F23">
        <w:rPr>
          <w:bCs/>
          <w:sz w:val="22"/>
          <w:szCs w:val="22"/>
          <w:lang w:val="sr-Latn-ME"/>
        </w:rPr>
        <w:t>Farmakoterapijska grupa:</w:t>
      </w:r>
      <w:r w:rsidR="00603E0E" w:rsidRPr="00273F23">
        <w:rPr>
          <w:bCs/>
          <w:sz w:val="22"/>
          <w:szCs w:val="22"/>
          <w:lang w:val="sr-Latn-ME"/>
        </w:rPr>
        <w:t xml:space="preserve"> Ljekovi u terapiji oboljenja kostiju; bisfosfonati, kombinacije</w:t>
      </w:r>
    </w:p>
    <w:p w14:paraId="6C544770" w14:textId="77777777" w:rsidR="0072020E" w:rsidRPr="00273F23" w:rsidRDefault="0072020E" w:rsidP="00327919">
      <w:pPr>
        <w:tabs>
          <w:tab w:val="left" w:pos="540"/>
          <w:tab w:val="left" w:pos="569"/>
        </w:tabs>
        <w:jc w:val="both"/>
        <w:rPr>
          <w:bCs/>
          <w:sz w:val="22"/>
          <w:szCs w:val="22"/>
          <w:lang w:val="sr-Latn-ME"/>
        </w:rPr>
      </w:pPr>
    </w:p>
    <w:p w14:paraId="1F370674" w14:textId="25A2528E" w:rsidR="00603E0E" w:rsidRPr="00273F23" w:rsidRDefault="0072020E" w:rsidP="00327919">
      <w:pPr>
        <w:tabs>
          <w:tab w:val="left" w:pos="540"/>
          <w:tab w:val="left" w:pos="569"/>
        </w:tabs>
        <w:jc w:val="both"/>
        <w:rPr>
          <w:bCs/>
          <w:sz w:val="22"/>
          <w:szCs w:val="22"/>
          <w:lang w:val="sr-Latn-ME"/>
        </w:rPr>
      </w:pPr>
      <w:r w:rsidRPr="00273F23">
        <w:rPr>
          <w:bCs/>
          <w:sz w:val="22"/>
          <w:szCs w:val="22"/>
          <w:lang w:val="sr-Latn-ME"/>
        </w:rPr>
        <w:t>ATC kod:</w:t>
      </w:r>
      <w:r w:rsidR="00603E0E" w:rsidRPr="00273F23">
        <w:rPr>
          <w:bCs/>
          <w:sz w:val="22"/>
          <w:szCs w:val="22"/>
          <w:lang w:val="sr-Latn-ME"/>
        </w:rPr>
        <w:t xml:space="preserve"> M05BB03</w:t>
      </w:r>
    </w:p>
    <w:p w14:paraId="242AEDAE" w14:textId="77777777" w:rsidR="00603E0E" w:rsidRPr="00273F23" w:rsidRDefault="00603E0E" w:rsidP="00327919">
      <w:pPr>
        <w:tabs>
          <w:tab w:val="left" w:pos="540"/>
          <w:tab w:val="left" w:pos="569"/>
        </w:tabs>
        <w:jc w:val="both"/>
        <w:rPr>
          <w:bCs/>
          <w:sz w:val="22"/>
          <w:szCs w:val="22"/>
          <w:lang w:val="sr-Latn-ME"/>
        </w:rPr>
      </w:pPr>
    </w:p>
    <w:p w14:paraId="7B67B5F5" w14:textId="77777777" w:rsidR="008F06C0" w:rsidRPr="00273F23" w:rsidRDefault="008F06C0" w:rsidP="00457283">
      <w:pPr>
        <w:tabs>
          <w:tab w:val="left" w:pos="540"/>
          <w:tab w:val="left" w:pos="569"/>
        </w:tabs>
        <w:jc w:val="both"/>
        <w:rPr>
          <w:sz w:val="22"/>
          <w:szCs w:val="22"/>
          <w:u w:val="single"/>
          <w:lang w:val="sr-Latn-ME"/>
        </w:rPr>
      </w:pPr>
      <w:r w:rsidRPr="00273F23">
        <w:rPr>
          <w:sz w:val="22"/>
          <w:szCs w:val="22"/>
          <w:u w:val="single"/>
          <w:lang w:val="sr-Latn-ME"/>
        </w:rPr>
        <w:t>Mehanizam dejstva</w:t>
      </w:r>
    </w:p>
    <w:p w14:paraId="54BC7941" w14:textId="77777777" w:rsidR="008F06C0" w:rsidRPr="00273F23" w:rsidRDefault="008F06C0" w:rsidP="00457283">
      <w:pPr>
        <w:tabs>
          <w:tab w:val="left" w:pos="540"/>
          <w:tab w:val="left" w:pos="569"/>
        </w:tabs>
        <w:jc w:val="both"/>
        <w:rPr>
          <w:sz w:val="22"/>
          <w:szCs w:val="22"/>
          <w:lang w:val="sr-Latn-ME"/>
        </w:rPr>
      </w:pPr>
    </w:p>
    <w:p w14:paraId="5D849930" w14:textId="77777777" w:rsidR="008F06C0" w:rsidRPr="00273F23" w:rsidRDefault="008F06C0" w:rsidP="00457283">
      <w:pPr>
        <w:tabs>
          <w:tab w:val="left" w:pos="540"/>
          <w:tab w:val="left" w:pos="569"/>
        </w:tabs>
        <w:jc w:val="both"/>
        <w:rPr>
          <w:i/>
          <w:sz w:val="22"/>
          <w:szCs w:val="22"/>
          <w:lang w:val="sr-Latn-ME"/>
        </w:rPr>
      </w:pPr>
      <w:r w:rsidRPr="00273F23">
        <w:rPr>
          <w:i/>
          <w:sz w:val="22"/>
          <w:szCs w:val="22"/>
          <w:lang w:val="sr-Latn-ME"/>
        </w:rPr>
        <w:t>Alendronat</w:t>
      </w:r>
    </w:p>
    <w:p w14:paraId="42F5B9D4" w14:textId="375FDBDE" w:rsidR="008F06C0" w:rsidRPr="00273F23" w:rsidRDefault="008F06C0">
      <w:pPr>
        <w:tabs>
          <w:tab w:val="left" w:pos="540"/>
          <w:tab w:val="left" w:pos="569"/>
        </w:tabs>
        <w:jc w:val="both"/>
        <w:rPr>
          <w:sz w:val="22"/>
          <w:szCs w:val="22"/>
          <w:lang w:val="sr-Latn-ME"/>
        </w:rPr>
      </w:pPr>
      <w:r w:rsidRPr="00273F23">
        <w:rPr>
          <w:sz w:val="22"/>
          <w:szCs w:val="22"/>
          <w:lang w:val="sr-Latn-ME"/>
        </w:rPr>
        <w:t>Natrijum-alendronat je bisfosfonat koji inhibira resorpciju kostiju posredovanu osteoklastima bez direktnog uticaja na formiranje kostiju. Pretklinička ispitivanja su pokazala da se alendronat prevashodno vezuje na mjestima aktivne resorpcije. Time inhibira aktivnost osteoklasta bez uticaja na nakupljanje osteoklasta ili njihovo vezivanje za kost. Kost formirana u toku terapije alendronatom je normalnog kvaliteta.</w:t>
      </w:r>
    </w:p>
    <w:p w14:paraId="67E6C95D" w14:textId="77777777" w:rsidR="008F06C0" w:rsidRPr="00273F23" w:rsidRDefault="008F06C0">
      <w:pPr>
        <w:tabs>
          <w:tab w:val="left" w:pos="540"/>
          <w:tab w:val="left" w:pos="569"/>
        </w:tabs>
        <w:jc w:val="both"/>
        <w:rPr>
          <w:sz w:val="22"/>
          <w:szCs w:val="22"/>
          <w:lang w:val="sr-Latn-ME"/>
        </w:rPr>
      </w:pPr>
    </w:p>
    <w:p w14:paraId="1BC7DC57" w14:textId="77777777" w:rsidR="008F06C0" w:rsidRPr="00273F23" w:rsidRDefault="008F06C0">
      <w:pPr>
        <w:tabs>
          <w:tab w:val="left" w:pos="540"/>
          <w:tab w:val="left" w:pos="569"/>
        </w:tabs>
        <w:jc w:val="both"/>
        <w:rPr>
          <w:i/>
          <w:sz w:val="22"/>
          <w:szCs w:val="22"/>
          <w:lang w:val="sr-Latn-ME"/>
        </w:rPr>
      </w:pPr>
      <w:r w:rsidRPr="00273F23">
        <w:rPr>
          <w:i/>
          <w:sz w:val="22"/>
          <w:szCs w:val="22"/>
          <w:lang w:val="sr-Latn-ME"/>
        </w:rPr>
        <w:t>Holekalciferol (vitamin D</w:t>
      </w:r>
      <w:r w:rsidRPr="00273F23">
        <w:rPr>
          <w:i/>
          <w:sz w:val="22"/>
          <w:szCs w:val="22"/>
          <w:vertAlign w:val="subscript"/>
          <w:lang w:val="sr-Latn-ME"/>
        </w:rPr>
        <w:t>3</w:t>
      </w:r>
      <w:r w:rsidRPr="00273F23">
        <w:rPr>
          <w:i/>
          <w:sz w:val="22"/>
          <w:szCs w:val="22"/>
          <w:lang w:val="sr-Latn-ME"/>
        </w:rPr>
        <w:t>)</w:t>
      </w:r>
    </w:p>
    <w:p w14:paraId="5D5CAA21" w14:textId="3410673B" w:rsidR="008F06C0" w:rsidRPr="00273F23" w:rsidRDefault="008F06C0">
      <w:pPr>
        <w:tabs>
          <w:tab w:val="left" w:pos="540"/>
          <w:tab w:val="left" w:pos="569"/>
        </w:tabs>
        <w:jc w:val="both"/>
        <w:rPr>
          <w:sz w:val="22"/>
          <w:szCs w:val="22"/>
          <w:lang w:val="sr-Latn-ME"/>
        </w:rPr>
      </w:pPr>
      <w:r w:rsidRPr="00273F23">
        <w:rPr>
          <w:sz w:val="22"/>
          <w:szCs w:val="22"/>
          <w:lang w:val="sr-Latn-ME"/>
        </w:rPr>
        <w:t>Vitamin D</w:t>
      </w:r>
      <w:r w:rsidRPr="00273F23">
        <w:rPr>
          <w:sz w:val="22"/>
          <w:szCs w:val="22"/>
          <w:vertAlign w:val="subscript"/>
          <w:lang w:val="sr-Latn-ME"/>
        </w:rPr>
        <w:t>3</w:t>
      </w:r>
      <w:r w:rsidRPr="00273F23">
        <w:rPr>
          <w:sz w:val="22"/>
          <w:szCs w:val="22"/>
          <w:lang w:val="sr-Latn-ME"/>
        </w:rPr>
        <w:t xml:space="preserve"> se stvara u koži konverzijom 7-dehidroholesterola u vitamin D</w:t>
      </w:r>
      <w:r w:rsidRPr="00273F23">
        <w:rPr>
          <w:sz w:val="22"/>
          <w:szCs w:val="22"/>
          <w:vertAlign w:val="subscript"/>
          <w:lang w:val="sr-Latn-ME"/>
        </w:rPr>
        <w:t>3</w:t>
      </w:r>
      <w:r w:rsidRPr="00273F23">
        <w:rPr>
          <w:sz w:val="22"/>
          <w:szCs w:val="22"/>
          <w:lang w:val="sr-Latn-ME"/>
        </w:rPr>
        <w:t xml:space="preserve"> pod dejstvom ultraljubičastih zraka. Ukoliko ne postoji adekvatna izloženost sunčevoj svjetlosti, vitamin D</w:t>
      </w:r>
      <w:r w:rsidRPr="00273F23">
        <w:rPr>
          <w:sz w:val="22"/>
          <w:szCs w:val="22"/>
          <w:vertAlign w:val="subscript"/>
          <w:lang w:val="sr-Latn-ME"/>
        </w:rPr>
        <w:t>3</w:t>
      </w:r>
      <w:r w:rsidRPr="00273F23">
        <w:rPr>
          <w:sz w:val="22"/>
          <w:szCs w:val="22"/>
          <w:lang w:val="sr-Latn-ME"/>
        </w:rPr>
        <w:t xml:space="preserve"> se mora unositi hranom. Vitamin D</w:t>
      </w:r>
      <w:r w:rsidRPr="00273F23">
        <w:rPr>
          <w:sz w:val="22"/>
          <w:szCs w:val="22"/>
          <w:vertAlign w:val="subscript"/>
          <w:lang w:val="sr-Latn-ME"/>
        </w:rPr>
        <w:t>3</w:t>
      </w:r>
      <w:r w:rsidRPr="00273F23">
        <w:rPr>
          <w:sz w:val="22"/>
          <w:szCs w:val="22"/>
          <w:lang w:val="sr-Latn-ME"/>
        </w:rPr>
        <w:t xml:space="preserve"> se pretvara u 25-hidroksivitamin D</w:t>
      </w:r>
      <w:r w:rsidRPr="00273F23">
        <w:rPr>
          <w:sz w:val="22"/>
          <w:szCs w:val="22"/>
          <w:vertAlign w:val="subscript"/>
          <w:lang w:val="sr-Latn-ME"/>
        </w:rPr>
        <w:t>3</w:t>
      </w:r>
      <w:r w:rsidRPr="00273F23">
        <w:rPr>
          <w:sz w:val="22"/>
          <w:szCs w:val="22"/>
          <w:lang w:val="sr-Latn-ME"/>
        </w:rPr>
        <w:t xml:space="preserve"> u jetri i tu se deponuje do trenutka kada je potreban organizmu. Konverzija u bubrezima u 1,25-dihidroksivitamin D</w:t>
      </w:r>
      <w:r w:rsidRPr="00273F23">
        <w:rPr>
          <w:sz w:val="22"/>
          <w:szCs w:val="22"/>
          <w:vertAlign w:val="subscript"/>
          <w:lang w:val="sr-Latn-ME"/>
        </w:rPr>
        <w:t>3</w:t>
      </w:r>
      <w:r w:rsidRPr="00273F23">
        <w:rPr>
          <w:sz w:val="22"/>
          <w:szCs w:val="22"/>
          <w:lang w:val="sr-Latn-ME"/>
        </w:rPr>
        <w:t xml:space="preserve"> (kalcitriol), aktivni hormon koji vrši mobilizaciju kalcijuma, je precizno regulisana. Glavno dejstvo 1,25-dihidroksivitamina D</w:t>
      </w:r>
      <w:r w:rsidRPr="00273F23">
        <w:rPr>
          <w:sz w:val="22"/>
          <w:szCs w:val="22"/>
          <w:vertAlign w:val="subscript"/>
          <w:lang w:val="sr-Latn-ME"/>
        </w:rPr>
        <w:t>3</w:t>
      </w:r>
      <w:r w:rsidRPr="00273F23">
        <w:rPr>
          <w:sz w:val="22"/>
          <w:szCs w:val="22"/>
          <w:lang w:val="sr-Latn-ME"/>
        </w:rPr>
        <w:t xml:space="preserve"> jeste da poveća resorpciju kalcijuma i fosfata iz crijeva, kao i da reguliše koncentraciju kalcijuma u serumu, izlučivanje kalcijuma i fosfata preko bubrega, formiranje i resorpciju kostiju.</w:t>
      </w:r>
    </w:p>
    <w:p w14:paraId="38B4A6CE" w14:textId="77777777" w:rsidR="008F06C0" w:rsidRPr="00273F23" w:rsidRDefault="008F06C0">
      <w:pPr>
        <w:tabs>
          <w:tab w:val="left" w:pos="540"/>
          <w:tab w:val="left" w:pos="569"/>
        </w:tabs>
        <w:jc w:val="both"/>
        <w:rPr>
          <w:sz w:val="22"/>
          <w:szCs w:val="22"/>
          <w:lang w:val="sr-Latn-ME"/>
        </w:rPr>
      </w:pPr>
    </w:p>
    <w:p w14:paraId="7A340EBA" w14:textId="53A33F55" w:rsidR="008F06C0" w:rsidRPr="00273F23" w:rsidRDefault="008F06C0">
      <w:pPr>
        <w:tabs>
          <w:tab w:val="left" w:pos="540"/>
          <w:tab w:val="left" w:pos="569"/>
        </w:tabs>
        <w:jc w:val="both"/>
        <w:rPr>
          <w:sz w:val="22"/>
          <w:szCs w:val="22"/>
          <w:lang w:val="sr-Latn-ME"/>
        </w:rPr>
      </w:pPr>
      <w:r w:rsidRPr="00273F23">
        <w:rPr>
          <w:sz w:val="22"/>
          <w:szCs w:val="22"/>
          <w:lang w:val="sr-Latn-ME"/>
        </w:rPr>
        <w:t>Vitamin D</w:t>
      </w:r>
      <w:r w:rsidRPr="00273F23">
        <w:rPr>
          <w:sz w:val="22"/>
          <w:szCs w:val="22"/>
          <w:vertAlign w:val="subscript"/>
          <w:lang w:val="sr-Latn-ME"/>
        </w:rPr>
        <w:t>3</w:t>
      </w:r>
      <w:r w:rsidRPr="00273F23">
        <w:rPr>
          <w:sz w:val="22"/>
          <w:szCs w:val="22"/>
          <w:lang w:val="sr-Latn-ME"/>
        </w:rPr>
        <w:t xml:space="preserve"> je potreban za normalno formiranje kostiju. Do insuficijencije vitamina D dolazi kada su i izloženost sunčevoj svjetlosti i unošenje kroz hranu nedovoljni. Insuficijencija je povezana sa negativnim balansom kalcijuma, gubitkom koštane mase i povećanim rizikom za nastanak preloma </w:t>
      </w:r>
      <w:r w:rsidRPr="00273F23">
        <w:rPr>
          <w:sz w:val="22"/>
          <w:szCs w:val="22"/>
          <w:lang w:val="sr-Latn-ME"/>
        </w:rPr>
        <w:lastRenderedPageBreak/>
        <w:t>kostiju. U teškim slučajevima, deficijencija može da dovede do sekundarnog hiperparatireoidizma, hipofosfatemije, slabosti proksimalnih mišića i osteomalacije, što još više povećava rizik od padova i preloma kostiju kod osoba sa osteoporozom. Dodatni unos vitamina D smanjuje ove rizike, kao i njihove posljedice.</w:t>
      </w:r>
    </w:p>
    <w:p w14:paraId="3A25EAD5" w14:textId="77777777" w:rsidR="008F06C0" w:rsidRPr="00273F23" w:rsidRDefault="008F06C0">
      <w:pPr>
        <w:tabs>
          <w:tab w:val="left" w:pos="540"/>
          <w:tab w:val="left" w:pos="569"/>
        </w:tabs>
        <w:jc w:val="both"/>
        <w:rPr>
          <w:sz w:val="22"/>
          <w:szCs w:val="22"/>
          <w:lang w:val="sr-Latn-ME"/>
        </w:rPr>
      </w:pPr>
    </w:p>
    <w:p w14:paraId="5BAED18F" w14:textId="55EDC253" w:rsidR="008F06C0" w:rsidRPr="00273F23" w:rsidRDefault="008F06C0" w:rsidP="0020105D">
      <w:pPr>
        <w:tabs>
          <w:tab w:val="left" w:pos="540"/>
          <w:tab w:val="left" w:pos="569"/>
        </w:tabs>
        <w:jc w:val="both"/>
        <w:rPr>
          <w:sz w:val="22"/>
          <w:szCs w:val="22"/>
          <w:lang w:val="sr-Latn-ME"/>
        </w:rPr>
      </w:pPr>
      <w:r w:rsidRPr="00273F23">
        <w:rPr>
          <w:sz w:val="22"/>
          <w:szCs w:val="22"/>
          <w:lang w:val="sr-Latn-ME"/>
        </w:rPr>
        <w:t>Osteoporoza se definiše kao mineralna gustina kostiju (</w:t>
      </w:r>
      <w:r w:rsidR="0020105D" w:rsidRPr="00273F23">
        <w:rPr>
          <w:sz w:val="22"/>
          <w:szCs w:val="22"/>
          <w:lang w:val="sr-Latn-ME"/>
        </w:rPr>
        <w:t xml:space="preserve">engl. </w:t>
      </w:r>
      <w:r w:rsidR="0020105D" w:rsidRPr="00273F23">
        <w:rPr>
          <w:i/>
          <w:sz w:val="22"/>
          <w:szCs w:val="22"/>
          <w:lang w:val="sr-Latn-ME"/>
        </w:rPr>
        <w:t>bone mineral density</w:t>
      </w:r>
      <w:r w:rsidR="0020105D" w:rsidRPr="00273F23">
        <w:rPr>
          <w:sz w:val="22"/>
          <w:szCs w:val="22"/>
          <w:lang w:val="sr-Latn-ME"/>
        </w:rPr>
        <w:t xml:space="preserve">, </w:t>
      </w:r>
      <w:r w:rsidRPr="00273F23">
        <w:rPr>
          <w:sz w:val="22"/>
          <w:szCs w:val="22"/>
          <w:lang w:val="sr-Latn-ME"/>
        </w:rPr>
        <w:t xml:space="preserve">BMD) kičme ili kuka, koja je za 2,5 standardne devijacije (SD) manja od srednje normalne vrijednosti za zdravu </w:t>
      </w:r>
      <w:r w:rsidR="00313225" w:rsidRPr="00273F23">
        <w:rPr>
          <w:sz w:val="22"/>
          <w:szCs w:val="22"/>
          <w:lang w:val="sr-Latn-ME"/>
        </w:rPr>
        <w:t>ml</w:t>
      </w:r>
      <w:r w:rsidRPr="00273F23">
        <w:rPr>
          <w:sz w:val="22"/>
          <w:szCs w:val="22"/>
          <w:lang w:val="sr-Latn-ME"/>
        </w:rPr>
        <w:t>adu populaciju ili kao prethodna fraktura nastala zbog krhkosti kostiju, bez obzira na vrednosti BMD.</w:t>
      </w:r>
    </w:p>
    <w:p w14:paraId="4D8FA5FE" w14:textId="1ADFD712" w:rsidR="008F06C0" w:rsidRPr="00273F23" w:rsidRDefault="008F06C0">
      <w:pPr>
        <w:tabs>
          <w:tab w:val="left" w:pos="540"/>
          <w:tab w:val="left" w:pos="569"/>
        </w:tabs>
        <w:jc w:val="both"/>
        <w:rPr>
          <w:sz w:val="22"/>
          <w:szCs w:val="22"/>
          <w:lang w:val="sr-Latn-ME"/>
        </w:rPr>
      </w:pPr>
    </w:p>
    <w:p w14:paraId="7D24A98B" w14:textId="77777777" w:rsidR="008F06C0" w:rsidRPr="00273F23" w:rsidRDefault="008F06C0">
      <w:pPr>
        <w:tabs>
          <w:tab w:val="left" w:pos="540"/>
          <w:tab w:val="left" w:pos="569"/>
        </w:tabs>
        <w:jc w:val="both"/>
        <w:rPr>
          <w:sz w:val="22"/>
          <w:szCs w:val="22"/>
          <w:u w:val="single"/>
          <w:lang w:val="sr-Latn-ME"/>
        </w:rPr>
      </w:pPr>
      <w:r w:rsidRPr="00273F23">
        <w:rPr>
          <w:sz w:val="22"/>
          <w:szCs w:val="22"/>
          <w:u w:val="single"/>
          <w:lang w:val="sr-Latn-ME"/>
        </w:rPr>
        <w:t>Klinička efikasnost i bezbjednost</w:t>
      </w:r>
    </w:p>
    <w:p w14:paraId="02894039" w14:textId="77777777" w:rsidR="008F06C0" w:rsidRPr="00273F23" w:rsidRDefault="008F06C0">
      <w:pPr>
        <w:tabs>
          <w:tab w:val="left" w:pos="540"/>
          <w:tab w:val="left" w:pos="569"/>
        </w:tabs>
        <w:jc w:val="both"/>
        <w:rPr>
          <w:sz w:val="22"/>
          <w:szCs w:val="22"/>
          <w:lang w:val="sr-Latn-ME"/>
        </w:rPr>
      </w:pPr>
    </w:p>
    <w:p w14:paraId="66716E98" w14:textId="77777777" w:rsidR="008F06C0" w:rsidRPr="00273F23" w:rsidRDefault="008F06C0">
      <w:pPr>
        <w:tabs>
          <w:tab w:val="left" w:pos="540"/>
          <w:tab w:val="left" w:pos="569"/>
        </w:tabs>
        <w:jc w:val="both"/>
        <w:rPr>
          <w:i/>
          <w:sz w:val="22"/>
          <w:szCs w:val="22"/>
          <w:lang w:val="sr-Latn-ME"/>
        </w:rPr>
      </w:pPr>
      <w:r w:rsidRPr="00273F23">
        <w:rPr>
          <w:i/>
          <w:sz w:val="22"/>
          <w:szCs w:val="22"/>
          <w:lang w:val="sr-Latn-ME"/>
        </w:rPr>
        <w:t>Klinička ispitivanja lijeka Fosavance</w:t>
      </w:r>
    </w:p>
    <w:p w14:paraId="28ACBDA6" w14:textId="5013C18E" w:rsidR="008F06C0" w:rsidRPr="00273F23" w:rsidRDefault="008F06C0">
      <w:pPr>
        <w:tabs>
          <w:tab w:val="left" w:pos="540"/>
          <w:tab w:val="left" w:pos="569"/>
        </w:tabs>
        <w:jc w:val="both"/>
        <w:rPr>
          <w:sz w:val="22"/>
          <w:szCs w:val="22"/>
          <w:lang w:val="sr-Latn-ME"/>
        </w:rPr>
      </w:pPr>
      <w:r w:rsidRPr="00273F23">
        <w:rPr>
          <w:sz w:val="22"/>
          <w:szCs w:val="22"/>
          <w:lang w:val="sr-Latn-ME"/>
        </w:rPr>
        <w:t>Dejstvo manje doze lijeka Fosavance (alendronat 70 mg/vitamin D</w:t>
      </w:r>
      <w:r w:rsidRPr="00273F23">
        <w:rPr>
          <w:sz w:val="22"/>
          <w:szCs w:val="22"/>
          <w:vertAlign w:val="subscript"/>
          <w:lang w:val="sr-Latn-ME"/>
        </w:rPr>
        <w:t>3</w:t>
      </w:r>
      <w:r w:rsidRPr="00273F23">
        <w:rPr>
          <w:sz w:val="22"/>
          <w:szCs w:val="22"/>
          <w:lang w:val="sr-Latn-ME"/>
        </w:rPr>
        <w:t xml:space="preserve"> 2800 i.j.) na status vitamina D dokazano je u 15-nedjeljnoj multinacionalnoj studiji, koja je uključivala 682 pacijentkinje u postmenopauzi sa osteoporozom (vrijednosti 25-hidroksivitamina D u serumu na početku ispitivanja bile su: srednja vrijednost, 56 nanomol</w:t>
      </w:r>
      <w:r w:rsidR="0020105D" w:rsidRPr="00273F23">
        <w:rPr>
          <w:sz w:val="22"/>
          <w:szCs w:val="22"/>
          <w:lang w:val="sr-Latn-ME"/>
        </w:rPr>
        <w:t>/l</w:t>
      </w:r>
      <w:r w:rsidRPr="00273F23">
        <w:rPr>
          <w:sz w:val="22"/>
          <w:szCs w:val="22"/>
          <w:lang w:val="sr-Latn-ME"/>
        </w:rPr>
        <w:sym w:font="Symbol" w:char="F05B"/>
      </w:r>
      <w:r w:rsidRPr="00273F23">
        <w:rPr>
          <w:sz w:val="22"/>
          <w:szCs w:val="22"/>
          <w:lang w:val="sr-Latn-ME"/>
        </w:rPr>
        <w:t>22,3 nanogram/</w:t>
      </w:r>
      <w:r w:rsidR="00313225" w:rsidRPr="00273F23">
        <w:rPr>
          <w:sz w:val="22"/>
          <w:szCs w:val="22"/>
          <w:lang w:val="sr-Latn-ME"/>
        </w:rPr>
        <w:t>ml</w:t>
      </w:r>
      <w:r w:rsidRPr="00273F23">
        <w:rPr>
          <w:sz w:val="22"/>
          <w:szCs w:val="22"/>
          <w:lang w:val="sr-Latn-ME"/>
        </w:rPr>
        <w:sym w:font="Symbol" w:char="F05D"/>
      </w:r>
      <w:r w:rsidRPr="00273F23">
        <w:rPr>
          <w:sz w:val="22"/>
          <w:szCs w:val="22"/>
          <w:lang w:val="sr-Latn-ME"/>
        </w:rPr>
        <w:t>, opseg, 22,5 – 225 nanomol</w:t>
      </w:r>
      <w:r w:rsidR="0020105D" w:rsidRPr="00273F23">
        <w:rPr>
          <w:sz w:val="22"/>
          <w:szCs w:val="22"/>
          <w:lang w:val="sr-Latn-ME"/>
        </w:rPr>
        <w:t>/l</w:t>
      </w:r>
      <w:r w:rsidRPr="00273F23">
        <w:rPr>
          <w:sz w:val="22"/>
          <w:szCs w:val="22"/>
          <w:lang w:val="sr-Latn-ME"/>
        </w:rPr>
        <w:sym w:font="Symbol" w:char="F05B"/>
      </w:r>
      <w:r w:rsidRPr="00273F23">
        <w:rPr>
          <w:sz w:val="22"/>
          <w:szCs w:val="22"/>
          <w:lang w:val="sr-Latn-ME"/>
        </w:rPr>
        <w:t>9-90 nanogram/</w:t>
      </w:r>
      <w:r w:rsidR="00313225" w:rsidRPr="00273F23">
        <w:rPr>
          <w:sz w:val="22"/>
          <w:szCs w:val="22"/>
          <w:lang w:val="sr-Latn-ME"/>
        </w:rPr>
        <w:t>ml</w:t>
      </w:r>
      <w:r w:rsidRPr="00273F23">
        <w:rPr>
          <w:sz w:val="22"/>
          <w:szCs w:val="22"/>
          <w:lang w:val="sr-Latn-ME"/>
        </w:rPr>
        <w:sym w:font="Symbol" w:char="F05D"/>
      </w:r>
      <w:r w:rsidRPr="00273F23">
        <w:rPr>
          <w:sz w:val="22"/>
          <w:szCs w:val="22"/>
          <w:lang w:val="sr-Latn-ME"/>
        </w:rPr>
        <w:t>). Pacijentkinje su primile manju dozu (70 mg/2800 i.j.) lijeka Fosavance (n=350) ili su primale lijek Fosamax (alendronat) u dozi od 70 mg (n=332) jednom ned</w:t>
      </w:r>
      <w:r w:rsidR="00ED4BCE" w:rsidRPr="00273F23">
        <w:rPr>
          <w:sz w:val="22"/>
          <w:szCs w:val="22"/>
          <w:lang w:val="sr-Latn-ME"/>
        </w:rPr>
        <w:t>j</w:t>
      </w:r>
      <w:r w:rsidRPr="00273F23">
        <w:rPr>
          <w:sz w:val="22"/>
          <w:szCs w:val="22"/>
          <w:lang w:val="sr-Latn-ME"/>
        </w:rPr>
        <w:t>eljno; bilo je zabranjeno dodavanje suplemenata vitamina D. Nakon 15 nedjelja terapije, srednje vrijednosti 25-hidroksivitamina D u serumu bile su značajno veće (26%) u grupi koja je primala lijek Fosavance u dozi od 70 mg/2800 i.j. (56 nanomol</w:t>
      </w:r>
      <w:r w:rsidR="0020105D" w:rsidRPr="00273F23">
        <w:rPr>
          <w:sz w:val="22"/>
          <w:szCs w:val="22"/>
          <w:lang w:val="sr-Latn-ME"/>
        </w:rPr>
        <w:t>/l</w:t>
      </w:r>
      <w:r w:rsidRPr="00273F23">
        <w:rPr>
          <w:sz w:val="22"/>
          <w:szCs w:val="22"/>
          <w:lang w:val="sr-Latn-ME"/>
        </w:rPr>
        <w:sym w:font="Symbol" w:char="F05B"/>
      </w:r>
      <w:r w:rsidRPr="00273F23">
        <w:rPr>
          <w:sz w:val="22"/>
          <w:szCs w:val="22"/>
          <w:lang w:val="sr-Latn-ME"/>
        </w:rPr>
        <w:t>23 nanogram/</w:t>
      </w:r>
      <w:r w:rsidR="00313225" w:rsidRPr="00273F23">
        <w:rPr>
          <w:sz w:val="22"/>
          <w:szCs w:val="22"/>
          <w:lang w:val="sr-Latn-ME"/>
        </w:rPr>
        <w:t>ml</w:t>
      </w:r>
      <w:r w:rsidRPr="00273F23">
        <w:rPr>
          <w:sz w:val="22"/>
          <w:szCs w:val="22"/>
          <w:lang w:val="sr-Latn-ME"/>
        </w:rPr>
        <w:sym w:font="Symbol" w:char="F05D"/>
      </w:r>
      <w:r w:rsidRPr="00273F23">
        <w:rPr>
          <w:sz w:val="22"/>
          <w:szCs w:val="22"/>
          <w:lang w:val="sr-Latn-ME"/>
        </w:rPr>
        <w:t>), nego u grupi koja je primala samo alendronat (46 nanomol</w:t>
      </w:r>
      <w:r w:rsidR="0020105D" w:rsidRPr="00273F23">
        <w:rPr>
          <w:sz w:val="22"/>
          <w:szCs w:val="22"/>
          <w:lang w:val="sr-Latn-ME"/>
        </w:rPr>
        <w:t>/l</w:t>
      </w:r>
      <w:r w:rsidRPr="00273F23">
        <w:rPr>
          <w:sz w:val="22"/>
          <w:szCs w:val="22"/>
          <w:lang w:val="sr-Latn-ME"/>
        </w:rPr>
        <w:sym w:font="Symbol" w:char="F05B"/>
      </w:r>
      <w:r w:rsidRPr="00273F23">
        <w:rPr>
          <w:sz w:val="22"/>
          <w:szCs w:val="22"/>
          <w:lang w:val="sr-Latn-ME"/>
        </w:rPr>
        <w:t>18,2 nanogram/</w:t>
      </w:r>
      <w:r w:rsidR="00313225" w:rsidRPr="00273F23">
        <w:rPr>
          <w:sz w:val="22"/>
          <w:szCs w:val="22"/>
          <w:lang w:val="sr-Latn-ME"/>
        </w:rPr>
        <w:t>ml</w:t>
      </w:r>
      <w:r w:rsidRPr="00273F23">
        <w:rPr>
          <w:sz w:val="22"/>
          <w:szCs w:val="22"/>
          <w:lang w:val="sr-Latn-ME"/>
        </w:rPr>
        <w:sym w:font="Symbol" w:char="F05D"/>
      </w:r>
      <w:r w:rsidRPr="00273F23">
        <w:rPr>
          <w:sz w:val="22"/>
          <w:szCs w:val="22"/>
          <w:lang w:val="sr-Latn-ME"/>
        </w:rPr>
        <w:t xml:space="preserve">). Procenat pacijenata sa insuficijencijom vitamina D (25-hidroksivitamin D u serumu </w:t>
      </w:r>
      <w:r w:rsidRPr="00273F23">
        <w:rPr>
          <w:sz w:val="22"/>
          <w:szCs w:val="22"/>
          <w:lang w:val="sr-Latn-ME"/>
        </w:rPr>
        <w:sym w:font="Symbol" w:char="F03C"/>
      </w:r>
      <w:r w:rsidRPr="00273F23">
        <w:rPr>
          <w:sz w:val="22"/>
          <w:szCs w:val="22"/>
          <w:lang w:val="sr-Latn-ME"/>
        </w:rPr>
        <w:t xml:space="preserve"> 37,5 nanomol</w:t>
      </w:r>
      <w:r w:rsidR="0020105D" w:rsidRPr="00273F23">
        <w:rPr>
          <w:sz w:val="22"/>
          <w:szCs w:val="22"/>
          <w:lang w:val="sr-Latn-ME"/>
        </w:rPr>
        <w:t>/l</w:t>
      </w:r>
      <w:r w:rsidRPr="00273F23">
        <w:rPr>
          <w:sz w:val="22"/>
          <w:szCs w:val="22"/>
          <w:lang w:val="sr-Latn-ME"/>
        </w:rPr>
        <w:sym w:font="Symbol" w:char="F05B"/>
      </w:r>
      <w:r w:rsidRPr="00273F23">
        <w:rPr>
          <w:sz w:val="22"/>
          <w:szCs w:val="22"/>
          <w:lang w:val="sr-Latn-ME"/>
        </w:rPr>
        <w:sym w:font="Symbol" w:char="F03C"/>
      </w:r>
      <w:r w:rsidRPr="00273F23">
        <w:rPr>
          <w:sz w:val="22"/>
          <w:szCs w:val="22"/>
          <w:lang w:val="sr-Latn-ME"/>
        </w:rPr>
        <w:t xml:space="preserve"> 15 nanogram/</w:t>
      </w:r>
      <w:r w:rsidR="00313225" w:rsidRPr="00273F23">
        <w:rPr>
          <w:sz w:val="22"/>
          <w:szCs w:val="22"/>
          <w:lang w:val="sr-Latn-ME"/>
        </w:rPr>
        <w:t>ml</w:t>
      </w:r>
      <w:r w:rsidRPr="00273F23">
        <w:rPr>
          <w:sz w:val="22"/>
          <w:szCs w:val="22"/>
          <w:lang w:val="sr-Latn-ME"/>
        </w:rPr>
        <w:sym w:font="Symbol" w:char="F05D"/>
      </w:r>
      <w:r w:rsidRPr="00273F23">
        <w:rPr>
          <w:sz w:val="22"/>
          <w:szCs w:val="22"/>
          <w:lang w:val="sr-Latn-ME"/>
        </w:rPr>
        <w:t xml:space="preserve">), bio je značajno smanjen za 62,5% u grupi koja je primala lijek Fosavance (u dozi od 70 mg/2800 i.j.) u odnosu na grupu koja je dobijala samo alendronat (12% nasuprot 32%) u toku 15 nedjelja. Procenat pacijenata sa deficijencijom vitamina D (25-hidroksivitamin D u serumu </w:t>
      </w:r>
      <w:r w:rsidRPr="00273F23">
        <w:rPr>
          <w:sz w:val="22"/>
          <w:szCs w:val="22"/>
          <w:lang w:val="sr-Latn-ME"/>
        </w:rPr>
        <w:sym w:font="Symbol" w:char="F03C"/>
      </w:r>
      <w:r w:rsidRPr="00273F23">
        <w:rPr>
          <w:sz w:val="22"/>
          <w:szCs w:val="22"/>
          <w:lang w:val="sr-Latn-ME"/>
        </w:rPr>
        <w:t xml:space="preserve"> 22,5 nanomol</w:t>
      </w:r>
      <w:r w:rsidR="0020105D" w:rsidRPr="00273F23">
        <w:rPr>
          <w:sz w:val="22"/>
          <w:szCs w:val="22"/>
          <w:lang w:val="sr-Latn-ME"/>
        </w:rPr>
        <w:t>/l</w:t>
      </w:r>
      <w:r w:rsidRPr="00273F23">
        <w:rPr>
          <w:sz w:val="22"/>
          <w:szCs w:val="22"/>
          <w:lang w:val="sr-Latn-ME"/>
        </w:rPr>
        <w:sym w:font="Symbol" w:char="F05B"/>
      </w:r>
      <w:r w:rsidRPr="00273F23">
        <w:rPr>
          <w:sz w:val="22"/>
          <w:szCs w:val="22"/>
          <w:lang w:val="sr-Latn-ME"/>
        </w:rPr>
        <w:sym w:font="Symbol" w:char="F03C"/>
      </w:r>
      <w:r w:rsidRPr="00273F23">
        <w:rPr>
          <w:sz w:val="22"/>
          <w:szCs w:val="22"/>
          <w:lang w:val="sr-Latn-ME"/>
        </w:rPr>
        <w:t xml:space="preserve"> 9 nanogram/</w:t>
      </w:r>
      <w:r w:rsidR="00313225" w:rsidRPr="00273F23">
        <w:rPr>
          <w:sz w:val="22"/>
          <w:szCs w:val="22"/>
          <w:lang w:val="sr-Latn-ME"/>
        </w:rPr>
        <w:t>ml</w:t>
      </w:r>
      <w:r w:rsidRPr="00273F23">
        <w:rPr>
          <w:sz w:val="22"/>
          <w:szCs w:val="22"/>
          <w:lang w:val="sr-Latn-ME"/>
        </w:rPr>
        <w:sym w:font="Symbol" w:char="F05D"/>
      </w:r>
      <w:r w:rsidRPr="00273F23">
        <w:rPr>
          <w:sz w:val="22"/>
          <w:szCs w:val="22"/>
          <w:lang w:val="sr-Latn-ME"/>
        </w:rPr>
        <w:t>), bio je značajno smanjen za 92% u grupi koja je primala lijek Fosavance (u dozi od 70 mg/2800 i.j.) u odnosu na grupu koja je dobijala samo alendronat (1% nasuprot 13%). U ovoj studiji, srednje vrijednosti 25-hidroksivitamina D u serumu kod pacijentkinja sa insuficijencijom vitamina D na početku ispitivanja (vrijednost 25-hidroksivitamina D, 22,5 do 37,5 nanomol</w:t>
      </w:r>
      <w:r w:rsidR="0020105D" w:rsidRPr="00273F23">
        <w:rPr>
          <w:sz w:val="22"/>
          <w:szCs w:val="22"/>
          <w:lang w:val="sr-Latn-ME"/>
        </w:rPr>
        <w:t>/l</w:t>
      </w:r>
      <w:r w:rsidRPr="00273F23">
        <w:rPr>
          <w:sz w:val="22"/>
          <w:szCs w:val="22"/>
          <w:lang w:val="sr-Latn-ME"/>
        </w:rPr>
        <w:sym w:font="Symbol" w:char="F05B"/>
      </w:r>
      <w:r w:rsidRPr="00273F23">
        <w:rPr>
          <w:sz w:val="22"/>
          <w:szCs w:val="22"/>
          <w:lang w:val="sr-Latn-ME"/>
        </w:rPr>
        <w:t xml:space="preserve">9 do </w:t>
      </w:r>
      <w:r w:rsidRPr="00273F23">
        <w:rPr>
          <w:sz w:val="22"/>
          <w:szCs w:val="22"/>
          <w:lang w:val="sr-Latn-ME"/>
        </w:rPr>
        <w:sym w:font="Symbol" w:char="F03C"/>
      </w:r>
      <w:r w:rsidRPr="00273F23">
        <w:rPr>
          <w:sz w:val="22"/>
          <w:szCs w:val="22"/>
          <w:lang w:val="sr-Latn-ME"/>
        </w:rPr>
        <w:t xml:space="preserve"> 15 nanograma/</w:t>
      </w:r>
      <w:r w:rsidR="00313225" w:rsidRPr="00273F23">
        <w:rPr>
          <w:sz w:val="22"/>
          <w:szCs w:val="22"/>
          <w:lang w:val="sr-Latn-ME"/>
        </w:rPr>
        <w:t>ml</w:t>
      </w:r>
      <w:r w:rsidRPr="00273F23">
        <w:rPr>
          <w:sz w:val="22"/>
          <w:szCs w:val="22"/>
          <w:lang w:val="sr-Latn-ME"/>
        </w:rPr>
        <w:sym w:font="Symbol" w:char="F05D"/>
      </w:r>
      <w:r w:rsidRPr="00273F23">
        <w:rPr>
          <w:sz w:val="22"/>
          <w:szCs w:val="22"/>
          <w:lang w:val="sr-Latn-ME"/>
        </w:rPr>
        <w:t>), povećale su se sa 30 nanomol</w:t>
      </w:r>
      <w:r w:rsidR="0020105D" w:rsidRPr="00273F23">
        <w:rPr>
          <w:sz w:val="22"/>
          <w:szCs w:val="22"/>
          <w:lang w:val="sr-Latn-ME"/>
        </w:rPr>
        <w:t>/l</w:t>
      </w:r>
      <w:r w:rsidRPr="00273F23">
        <w:rPr>
          <w:sz w:val="22"/>
          <w:szCs w:val="22"/>
          <w:lang w:val="sr-Latn-ME"/>
        </w:rPr>
        <w:t xml:space="preserve"> (12,1 nanogram/</w:t>
      </w:r>
      <w:r w:rsidR="00313225" w:rsidRPr="00273F23">
        <w:rPr>
          <w:sz w:val="22"/>
          <w:szCs w:val="22"/>
          <w:lang w:val="sr-Latn-ME"/>
        </w:rPr>
        <w:t>ml</w:t>
      </w:r>
      <w:r w:rsidRPr="00273F23">
        <w:rPr>
          <w:sz w:val="22"/>
          <w:szCs w:val="22"/>
          <w:lang w:val="sr-Latn-ME"/>
        </w:rPr>
        <w:t>) na 40 nanomol</w:t>
      </w:r>
      <w:r w:rsidR="0020105D" w:rsidRPr="00273F23">
        <w:rPr>
          <w:sz w:val="22"/>
          <w:szCs w:val="22"/>
          <w:lang w:val="sr-Latn-ME"/>
        </w:rPr>
        <w:t>/l</w:t>
      </w:r>
      <w:r w:rsidRPr="00273F23">
        <w:rPr>
          <w:sz w:val="22"/>
          <w:szCs w:val="22"/>
          <w:lang w:val="sr-Latn-ME"/>
        </w:rPr>
        <w:t xml:space="preserve"> (15,9 nanogram/</w:t>
      </w:r>
      <w:r w:rsidR="00313225" w:rsidRPr="00273F23">
        <w:rPr>
          <w:sz w:val="22"/>
          <w:szCs w:val="22"/>
          <w:lang w:val="sr-Latn-ME"/>
        </w:rPr>
        <w:t>ml</w:t>
      </w:r>
      <w:r w:rsidRPr="00273F23">
        <w:rPr>
          <w:sz w:val="22"/>
          <w:szCs w:val="22"/>
          <w:lang w:val="sr-Latn-ME"/>
        </w:rPr>
        <w:t>) u 15-oj nedjelji u grupi koja je primala lijek Fosavance (u dozi od 70 mg/2800 i.j.) (n=75), a smanjile sa 30 nanomol</w:t>
      </w:r>
      <w:r w:rsidR="0020105D" w:rsidRPr="00273F23">
        <w:rPr>
          <w:sz w:val="22"/>
          <w:szCs w:val="22"/>
          <w:lang w:val="sr-Latn-ME"/>
        </w:rPr>
        <w:t>/l</w:t>
      </w:r>
      <w:r w:rsidRPr="00273F23">
        <w:rPr>
          <w:sz w:val="22"/>
          <w:szCs w:val="22"/>
          <w:lang w:val="sr-Latn-ME"/>
        </w:rPr>
        <w:t xml:space="preserve"> (12,0 nanogram/</w:t>
      </w:r>
      <w:r w:rsidR="00313225" w:rsidRPr="00273F23">
        <w:rPr>
          <w:sz w:val="22"/>
          <w:szCs w:val="22"/>
          <w:lang w:val="sr-Latn-ME"/>
        </w:rPr>
        <w:t>ml</w:t>
      </w:r>
      <w:r w:rsidRPr="00273F23">
        <w:rPr>
          <w:sz w:val="22"/>
          <w:szCs w:val="22"/>
          <w:lang w:val="sr-Latn-ME"/>
        </w:rPr>
        <w:t>) na početku ispitivanja na 26 nanomol</w:t>
      </w:r>
      <w:r w:rsidR="0020105D" w:rsidRPr="00273F23">
        <w:rPr>
          <w:sz w:val="22"/>
          <w:szCs w:val="22"/>
          <w:lang w:val="sr-Latn-ME"/>
        </w:rPr>
        <w:t>/l</w:t>
      </w:r>
      <w:r w:rsidRPr="00273F23">
        <w:rPr>
          <w:sz w:val="22"/>
          <w:szCs w:val="22"/>
          <w:lang w:val="sr-Latn-ME"/>
        </w:rPr>
        <w:t xml:space="preserve"> (10,4 nanogram/</w:t>
      </w:r>
      <w:r w:rsidR="00313225" w:rsidRPr="00273F23">
        <w:rPr>
          <w:sz w:val="22"/>
          <w:szCs w:val="22"/>
          <w:lang w:val="sr-Latn-ME"/>
        </w:rPr>
        <w:t>ml</w:t>
      </w:r>
      <w:r w:rsidRPr="00273F23">
        <w:rPr>
          <w:sz w:val="22"/>
          <w:szCs w:val="22"/>
          <w:lang w:val="sr-Latn-ME"/>
        </w:rPr>
        <w:t xml:space="preserve">) u 15-oj nedjelji u grupi koja je primala samo alendronat (n=70). </w:t>
      </w:r>
    </w:p>
    <w:p w14:paraId="05F46086" w14:textId="77777777" w:rsidR="008F06C0" w:rsidRPr="00273F23" w:rsidRDefault="008F06C0">
      <w:pPr>
        <w:tabs>
          <w:tab w:val="left" w:pos="540"/>
          <w:tab w:val="left" w:pos="569"/>
        </w:tabs>
        <w:jc w:val="both"/>
        <w:rPr>
          <w:sz w:val="22"/>
          <w:szCs w:val="22"/>
          <w:lang w:val="sr-Latn-ME"/>
        </w:rPr>
      </w:pPr>
      <w:r w:rsidRPr="00273F23">
        <w:rPr>
          <w:sz w:val="22"/>
          <w:szCs w:val="22"/>
          <w:lang w:val="sr-Latn-ME"/>
        </w:rPr>
        <w:t>Nije bilo razlika između dvije ispitivane grupe u srednjim vrijednostima kalcijuma u serumu, fosfata u serumu ili kalcijuma u 24-satnom uzorku urina.</w:t>
      </w:r>
    </w:p>
    <w:p w14:paraId="0B27B8A5" w14:textId="77777777" w:rsidR="008F06C0" w:rsidRPr="00273F23" w:rsidRDefault="008F06C0">
      <w:pPr>
        <w:tabs>
          <w:tab w:val="left" w:pos="540"/>
          <w:tab w:val="left" w:pos="569"/>
        </w:tabs>
        <w:jc w:val="both"/>
        <w:rPr>
          <w:sz w:val="22"/>
          <w:szCs w:val="22"/>
          <w:lang w:val="sr-Latn-ME"/>
        </w:rPr>
      </w:pPr>
    </w:p>
    <w:p w14:paraId="5113D8D0" w14:textId="6F24F6A0" w:rsidR="008F06C0" w:rsidRPr="00273F23" w:rsidRDefault="008F06C0">
      <w:pPr>
        <w:tabs>
          <w:tab w:val="left" w:pos="540"/>
          <w:tab w:val="left" w:pos="569"/>
        </w:tabs>
        <w:jc w:val="both"/>
        <w:rPr>
          <w:sz w:val="22"/>
          <w:szCs w:val="22"/>
          <w:lang w:val="sr-Latn-ME"/>
        </w:rPr>
      </w:pPr>
      <w:r w:rsidRPr="00273F23">
        <w:rPr>
          <w:sz w:val="22"/>
          <w:szCs w:val="22"/>
          <w:lang w:val="sr-Latn-ME"/>
        </w:rPr>
        <w:t>Dejstvo manje doze lijeka Fosavance (alendronat 70 mg/vitamin D</w:t>
      </w:r>
      <w:r w:rsidRPr="00273F23">
        <w:rPr>
          <w:sz w:val="22"/>
          <w:szCs w:val="22"/>
          <w:vertAlign w:val="subscript"/>
          <w:lang w:val="sr-Latn-ME"/>
        </w:rPr>
        <w:t>3</w:t>
      </w:r>
      <w:r w:rsidRPr="00273F23">
        <w:rPr>
          <w:sz w:val="22"/>
          <w:szCs w:val="22"/>
          <w:lang w:val="sr-Latn-ME"/>
        </w:rPr>
        <w:t xml:space="preserve"> 2800 i.j.), uz dodatak 2800 i.j. vitamina D</w:t>
      </w:r>
      <w:r w:rsidRPr="00273F23">
        <w:rPr>
          <w:sz w:val="22"/>
          <w:szCs w:val="22"/>
          <w:vertAlign w:val="subscript"/>
          <w:lang w:val="sr-Latn-ME"/>
        </w:rPr>
        <w:t>3</w:t>
      </w:r>
      <w:r w:rsidRPr="00273F23">
        <w:rPr>
          <w:sz w:val="22"/>
          <w:szCs w:val="22"/>
          <w:lang w:val="sr-Latn-ME"/>
        </w:rPr>
        <w:t xml:space="preserve"> do ukupno 5600 i.j (količina vitamina D</w:t>
      </w:r>
      <w:r w:rsidRPr="00273F23">
        <w:rPr>
          <w:sz w:val="22"/>
          <w:szCs w:val="22"/>
          <w:vertAlign w:val="subscript"/>
          <w:lang w:val="sr-Latn-ME"/>
        </w:rPr>
        <w:t>3</w:t>
      </w:r>
      <w:r w:rsidRPr="00273F23">
        <w:rPr>
          <w:sz w:val="22"/>
          <w:szCs w:val="22"/>
          <w:lang w:val="sr-Latn-ME"/>
        </w:rPr>
        <w:t xml:space="preserve"> u većoj dozi lijeka Fosavance), primijenjeno jednom nedjeljno,</w:t>
      </w:r>
      <w:r w:rsidR="00E65665" w:rsidRPr="00273F23">
        <w:rPr>
          <w:sz w:val="22"/>
          <w:szCs w:val="22"/>
          <w:lang w:val="sr-Latn-ME"/>
        </w:rPr>
        <w:t xml:space="preserve"> </w:t>
      </w:r>
      <w:r w:rsidRPr="00273F23">
        <w:rPr>
          <w:sz w:val="22"/>
          <w:szCs w:val="22"/>
          <w:lang w:val="sr-Latn-ME"/>
        </w:rPr>
        <w:t>dokazano je u 24-nedjeljnom nastavku studije, koja je uključivala 619 pacijentkinja u postmenopauzi sa osteoporozom. Pacijentkinje u grupi vitamin D</w:t>
      </w:r>
      <w:r w:rsidRPr="00273F23">
        <w:rPr>
          <w:sz w:val="22"/>
          <w:szCs w:val="22"/>
          <w:vertAlign w:val="subscript"/>
          <w:lang w:val="sr-Latn-ME"/>
        </w:rPr>
        <w:t>3</w:t>
      </w:r>
      <w:r w:rsidRPr="00273F23">
        <w:rPr>
          <w:sz w:val="22"/>
          <w:szCs w:val="22"/>
          <w:lang w:val="sr-Latn-ME"/>
        </w:rPr>
        <w:t xml:space="preserve"> 2800 primale su lijek Fosavance (u dozi od 70 mg/2800 i.j.) (n=299), a pacijentkinje u grupi vitamin D</w:t>
      </w:r>
      <w:r w:rsidRPr="00273F23">
        <w:rPr>
          <w:sz w:val="22"/>
          <w:szCs w:val="22"/>
          <w:vertAlign w:val="subscript"/>
          <w:lang w:val="sr-Latn-ME"/>
        </w:rPr>
        <w:t>3</w:t>
      </w:r>
      <w:r w:rsidRPr="00273F23">
        <w:rPr>
          <w:sz w:val="22"/>
          <w:szCs w:val="22"/>
          <w:lang w:val="sr-Latn-ME"/>
        </w:rPr>
        <w:t xml:space="preserve"> 5600 primale su lijek Fosavance (u dozi od 70 mg/2800 i.j.) uz dodatak 2800 i.j. vitamina D</w:t>
      </w:r>
      <w:r w:rsidRPr="00273F23">
        <w:rPr>
          <w:sz w:val="22"/>
          <w:szCs w:val="22"/>
          <w:vertAlign w:val="subscript"/>
          <w:lang w:val="sr-Latn-ME"/>
        </w:rPr>
        <w:t>3</w:t>
      </w:r>
      <w:r w:rsidRPr="00273F23">
        <w:rPr>
          <w:sz w:val="22"/>
          <w:szCs w:val="22"/>
          <w:lang w:val="sr-Latn-ME"/>
        </w:rPr>
        <w:t xml:space="preserve"> (n=309), jednom nedjeljno. Bilo je dozvoljeno dodavanje suplemenata vitamina D. Nakon 24 nedjelje terapije, srednje vrijednosti 25-hidroksi vitamina D u serumu bile su značajno veće u grupi vitamin D</w:t>
      </w:r>
      <w:r w:rsidRPr="00273F23">
        <w:rPr>
          <w:sz w:val="22"/>
          <w:szCs w:val="22"/>
          <w:vertAlign w:val="subscript"/>
          <w:lang w:val="sr-Latn-ME"/>
        </w:rPr>
        <w:t>3</w:t>
      </w:r>
      <w:r w:rsidRPr="00273F23">
        <w:rPr>
          <w:sz w:val="22"/>
          <w:szCs w:val="22"/>
          <w:lang w:val="sr-Latn-ME"/>
        </w:rPr>
        <w:t xml:space="preserve"> 5600 (69 nanomol</w:t>
      </w:r>
      <w:r w:rsidR="0020105D" w:rsidRPr="00273F23">
        <w:rPr>
          <w:sz w:val="22"/>
          <w:szCs w:val="22"/>
          <w:lang w:val="sr-Latn-ME"/>
        </w:rPr>
        <w:t>/l</w:t>
      </w:r>
      <w:r w:rsidRPr="00273F23">
        <w:rPr>
          <w:sz w:val="22"/>
          <w:szCs w:val="22"/>
          <w:lang w:val="sr-Latn-ME"/>
        </w:rPr>
        <w:sym w:font="Symbol" w:char="F05B"/>
      </w:r>
      <w:r w:rsidRPr="00273F23">
        <w:rPr>
          <w:sz w:val="22"/>
          <w:szCs w:val="22"/>
          <w:lang w:val="sr-Latn-ME"/>
        </w:rPr>
        <w:t>27,6 nanogram/</w:t>
      </w:r>
      <w:r w:rsidR="00313225" w:rsidRPr="00273F23">
        <w:rPr>
          <w:sz w:val="22"/>
          <w:szCs w:val="22"/>
          <w:lang w:val="sr-Latn-ME"/>
        </w:rPr>
        <w:t>ml</w:t>
      </w:r>
      <w:r w:rsidRPr="00273F23">
        <w:rPr>
          <w:sz w:val="22"/>
          <w:szCs w:val="22"/>
          <w:lang w:val="sr-Latn-ME"/>
        </w:rPr>
        <w:sym w:font="Symbol" w:char="F05D"/>
      </w:r>
      <w:r w:rsidRPr="00273F23">
        <w:rPr>
          <w:sz w:val="22"/>
          <w:szCs w:val="22"/>
          <w:lang w:val="sr-Latn-ME"/>
        </w:rPr>
        <w:t>) nego u grupi vitamin D</w:t>
      </w:r>
      <w:r w:rsidRPr="00273F23">
        <w:rPr>
          <w:sz w:val="22"/>
          <w:szCs w:val="22"/>
          <w:vertAlign w:val="subscript"/>
          <w:lang w:val="sr-Latn-ME"/>
        </w:rPr>
        <w:t>3</w:t>
      </w:r>
      <w:r w:rsidRPr="00273F23">
        <w:rPr>
          <w:sz w:val="22"/>
          <w:szCs w:val="22"/>
          <w:lang w:val="sr-Latn-ME"/>
        </w:rPr>
        <w:t xml:space="preserve"> 2800 (64 nanomol</w:t>
      </w:r>
      <w:r w:rsidR="0020105D" w:rsidRPr="00273F23">
        <w:rPr>
          <w:sz w:val="22"/>
          <w:szCs w:val="22"/>
          <w:lang w:val="sr-Latn-ME"/>
        </w:rPr>
        <w:t>/l</w:t>
      </w:r>
      <w:r w:rsidRPr="00273F23">
        <w:rPr>
          <w:sz w:val="22"/>
          <w:szCs w:val="22"/>
          <w:lang w:val="sr-Latn-ME"/>
        </w:rPr>
        <w:sym w:font="Symbol" w:char="F05B"/>
      </w:r>
      <w:r w:rsidRPr="00273F23">
        <w:rPr>
          <w:sz w:val="22"/>
          <w:szCs w:val="22"/>
          <w:lang w:val="sr-Latn-ME"/>
        </w:rPr>
        <w:t>25,5 nanogram/</w:t>
      </w:r>
      <w:r w:rsidR="00313225" w:rsidRPr="00273F23">
        <w:rPr>
          <w:sz w:val="22"/>
          <w:szCs w:val="22"/>
          <w:lang w:val="sr-Latn-ME"/>
        </w:rPr>
        <w:t>ml</w:t>
      </w:r>
      <w:r w:rsidRPr="00273F23">
        <w:rPr>
          <w:sz w:val="22"/>
          <w:szCs w:val="22"/>
          <w:lang w:val="sr-Latn-ME"/>
        </w:rPr>
        <w:sym w:font="Symbol" w:char="F05D"/>
      </w:r>
      <w:r w:rsidRPr="00273F23">
        <w:rPr>
          <w:sz w:val="22"/>
          <w:szCs w:val="22"/>
          <w:lang w:val="sr-Latn-ME"/>
        </w:rPr>
        <w:t xml:space="preserve">). Procenat pacijentkinja sa </w:t>
      </w:r>
      <w:r w:rsidR="002159A5" w:rsidRPr="00273F23">
        <w:rPr>
          <w:sz w:val="22"/>
          <w:szCs w:val="22"/>
          <w:lang w:val="sr-Latn-ME"/>
        </w:rPr>
        <w:t xml:space="preserve">deficijencijom </w:t>
      </w:r>
      <w:r w:rsidRPr="00273F23">
        <w:rPr>
          <w:sz w:val="22"/>
          <w:szCs w:val="22"/>
          <w:lang w:val="sr-Latn-ME"/>
        </w:rPr>
        <w:t>vitamina D bio je 5,4% u grupi Vitamin D</w:t>
      </w:r>
      <w:r w:rsidRPr="00273F23">
        <w:rPr>
          <w:sz w:val="22"/>
          <w:szCs w:val="22"/>
          <w:vertAlign w:val="subscript"/>
          <w:lang w:val="sr-Latn-ME"/>
        </w:rPr>
        <w:t>3</w:t>
      </w:r>
      <w:r w:rsidRPr="00273F23">
        <w:rPr>
          <w:sz w:val="22"/>
          <w:szCs w:val="22"/>
          <w:lang w:val="sr-Latn-ME"/>
        </w:rPr>
        <w:t xml:space="preserve"> 2800 nasuprot 3,2% u grupi vitamin D</w:t>
      </w:r>
      <w:r w:rsidRPr="00273F23">
        <w:rPr>
          <w:sz w:val="22"/>
          <w:szCs w:val="22"/>
          <w:vertAlign w:val="subscript"/>
          <w:lang w:val="sr-Latn-ME"/>
        </w:rPr>
        <w:t>3</w:t>
      </w:r>
      <w:r w:rsidRPr="00273F23">
        <w:rPr>
          <w:sz w:val="22"/>
          <w:szCs w:val="22"/>
          <w:lang w:val="sr-Latn-ME"/>
        </w:rPr>
        <w:t xml:space="preserve"> 5600,tokom 24-nedjeljnog nastavka studije. Procenat pacijentkinja sa deficijencijom vitamina D bio je 0,3% u grupi vitamin D</w:t>
      </w:r>
      <w:r w:rsidRPr="00273F23">
        <w:rPr>
          <w:sz w:val="22"/>
          <w:szCs w:val="22"/>
          <w:vertAlign w:val="subscript"/>
          <w:lang w:val="sr-Latn-ME"/>
        </w:rPr>
        <w:t>3</w:t>
      </w:r>
      <w:r w:rsidRPr="00273F23">
        <w:rPr>
          <w:sz w:val="22"/>
          <w:szCs w:val="22"/>
          <w:lang w:val="sr-Latn-ME"/>
        </w:rPr>
        <w:t xml:space="preserve"> 2800 nasuprot 0% u grupi vitamin D</w:t>
      </w:r>
      <w:r w:rsidRPr="00273F23">
        <w:rPr>
          <w:sz w:val="22"/>
          <w:szCs w:val="22"/>
          <w:vertAlign w:val="subscript"/>
          <w:lang w:val="sr-Latn-ME"/>
        </w:rPr>
        <w:t>3</w:t>
      </w:r>
      <w:r w:rsidRPr="00273F23">
        <w:rPr>
          <w:sz w:val="22"/>
          <w:szCs w:val="22"/>
          <w:lang w:val="sr-Latn-ME"/>
        </w:rPr>
        <w:t xml:space="preserve"> 5600. Nije bilo razlika između dvije ispitivane grupe u srednjim vrijednostima kalcijuma u serumu, fosfata u serumu ili kalcijuma u 24-satnom uzorku urina. Na kraju 24-nedjeljnog nastavka studije, procenat pacijentkinja sa hiperkalciurijom nije bio statistički značajno različit između dvije ispitivane grupe.</w:t>
      </w:r>
    </w:p>
    <w:p w14:paraId="01717144" w14:textId="77777777" w:rsidR="008F06C0" w:rsidRPr="00273F23" w:rsidRDefault="008F06C0">
      <w:pPr>
        <w:tabs>
          <w:tab w:val="left" w:pos="540"/>
          <w:tab w:val="left" w:pos="569"/>
        </w:tabs>
        <w:jc w:val="both"/>
        <w:rPr>
          <w:sz w:val="22"/>
          <w:szCs w:val="22"/>
          <w:lang w:val="sr-Latn-ME"/>
        </w:rPr>
      </w:pPr>
    </w:p>
    <w:p w14:paraId="7812FF0A" w14:textId="77777777" w:rsidR="008F06C0" w:rsidRPr="00273F23" w:rsidRDefault="008F06C0">
      <w:pPr>
        <w:tabs>
          <w:tab w:val="left" w:pos="540"/>
          <w:tab w:val="left" w:pos="569"/>
        </w:tabs>
        <w:jc w:val="both"/>
        <w:rPr>
          <w:i/>
          <w:sz w:val="22"/>
          <w:szCs w:val="22"/>
          <w:lang w:val="sr-Latn-ME"/>
        </w:rPr>
      </w:pPr>
      <w:r w:rsidRPr="00273F23">
        <w:rPr>
          <w:i/>
          <w:sz w:val="22"/>
          <w:szCs w:val="22"/>
          <w:lang w:val="sr-Latn-ME"/>
        </w:rPr>
        <w:t>Klinička ispitivanja alendronata</w:t>
      </w:r>
    </w:p>
    <w:p w14:paraId="0BCF0B76" w14:textId="7C4F4000" w:rsidR="008F06C0" w:rsidRPr="00273F23" w:rsidRDefault="008F06C0">
      <w:pPr>
        <w:tabs>
          <w:tab w:val="left" w:pos="540"/>
          <w:tab w:val="left" w:pos="569"/>
        </w:tabs>
        <w:jc w:val="both"/>
        <w:rPr>
          <w:sz w:val="22"/>
          <w:szCs w:val="22"/>
          <w:lang w:val="sr-Latn-ME"/>
        </w:rPr>
      </w:pPr>
      <w:r w:rsidRPr="00273F23">
        <w:rPr>
          <w:sz w:val="22"/>
          <w:szCs w:val="22"/>
          <w:lang w:val="sr-Latn-ME"/>
        </w:rPr>
        <w:t xml:space="preserve">Terapijska ekvivalentnost alendronata u dozi od 70 mg jednom nedjeljno (n=519) i alendronata u dozi od 10 mg jednom dnevno (n=370), dokazana je u jednogodišnjoj multicentričnoj studiji kod žena u postmenopauzi sa osteoporozom. Srednja vrijednost povećanja od početne vrednosti BMD u lumbalnom </w:t>
      </w:r>
      <w:r w:rsidRPr="00273F23">
        <w:rPr>
          <w:sz w:val="22"/>
          <w:szCs w:val="22"/>
          <w:lang w:val="sr-Latn-ME"/>
        </w:rPr>
        <w:lastRenderedPageBreak/>
        <w:t>dijelu kičmenog stuba nakon godinu dana bila je 5,1% (95% CI: 4,8, 5,4%) u grupi koja je primala 70 mg jednom nedjeljno i 5,4% (95% CI: 5,0, 5,8%) u grupi koja je primala 10 mg jednom dnevno. Srednje vrijednosti povećanja BMD bile su 2,3% i 2,9% u vratu femura i 2,9% i 3,1% u cijelom kuku u grupi koja je primala 70 mg jednom nedjeljno, odnosno u grupi koja je primala 10 mg jednom dnevno. Dvije ispitivane grupe takođe su bile slične po pitanju povećanja vrijednosti BMD na drugim mjestima na skeletu.</w:t>
      </w:r>
    </w:p>
    <w:p w14:paraId="20F77161" w14:textId="77777777" w:rsidR="008F06C0" w:rsidRPr="00273F23" w:rsidRDefault="008F06C0">
      <w:pPr>
        <w:tabs>
          <w:tab w:val="left" w:pos="540"/>
          <w:tab w:val="left" w:pos="569"/>
        </w:tabs>
        <w:jc w:val="both"/>
        <w:rPr>
          <w:sz w:val="22"/>
          <w:szCs w:val="22"/>
          <w:lang w:val="sr-Latn-ME"/>
        </w:rPr>
      </w:pPr>
    </w:p>
    <w:p w14:paraId="4FC562F7" w14:textId="7E1A92E1" w:rsidR="008F06C0" w:rsidRPr="00273F23" w:rsidRDefault="008F06C0">
      <w:pPr>
        <w:tabs>
          <w:tab w:val="left" w:pos="540"/>
          <w:tab w:val="left" w:pos="569"/>
        </w:tabs>
        <w:jc w:val="both"/>
        <w:rPr>
          <w:sz w:val="22"/>
          <w:szCs w:val="22"/>
          <w:lang w:val="sr-Latn-ME"/>
        </w:rPr>
      </w:pPr>
      <w:r w:rsidRPr="00273F23">
        <w:rPr>
          <w:sz w:val="22"/>
          <w:szCs w:val="22"/>
          <w:lang w:val="sr-Latn-ME"/>
        </w:rPr>
        <w:t>Uticaj alendronata na koštanu masu i incidencu fraktura kod žena u postmenopauzi ispitivan je u dvije studije inicijalne efikasnosti identičnog dizajna (n=994), kao i u ispitivanju intervencija kod preloma kostiju (engl.</w:t>
      </w:r>
      <w:r w:rsidR="006046AA" w:rsidRPr="00273F23">
        <w:rPr>
          <w:sz w:val="22"/>
          <w:szCs w:val="22"/>
          <w:lang w:val="sr-Latn-ME"/>
        </w:rPr>
        <w:t xml:space="preserve"> </w:t>
      </w:r>
      <w:r w:rsidRPr="00273F23">
        <w:rPr>
          <w:i/>
          <w:sz w:val="22"/>
          <w:szCs w:val="22"/>
          <w:lang w:val="sr-Latn-ME"/>
        </w:rPr>
        <w:t xml:space="preserve">Fracture Intervention Trial, </w:t>
      </w:r>
      <w:r w:rsidRPr="00273F23">
        <w:rPr>
          <w:sz w:val="22"/>
          <w:szCs w:val="22"/>
          <w:lang w:val="sr-Latn-ME"/>
        </w:rPr>
        <w:t>FIT) (n=6459).</w:t>
      </w:r>
    </w:p>
    <w:p w14:paraId="62727791" w14:textId="77777777" w:rsidR="008F06C0" w:rsidRPr="00273F23" w:rsidRDefault="008F06C0">
      <w:pPr>
        <w:tabs>
          <w:tab w:val="left" w:pos="540"/>
          <w:tab w:val="left" w:pos="569"/>
        </w:tabs>
        <w:jc w:val="both"/>
        <w:rPr>
          <w:sz w:val="22"/>
          <w:szCs w:val="22"/>
          <w:lang w:val="sr-Latn-ME"/>
        </w:rPr>
      </w:pPr>
    </w:p>
    <w:p w14:paraId="5C61EDB6" w14:textId="481B5AF1" w:rsidR="008F06C0" w:rsidRPr="00273F23" w:rsidRDefault="008F06C0">
      <w:pPr>
        <w:tabs>
          <w:tab w:val="left" w:pos="540"/>
          <w:tab w:val="left" w:pos="569"/>
        </w:tabs>
        <w:jc w:val="both"/>
        <w:rPr>
          <w:sz w:val="22"/>
          <w:szCs w:val="22"/>
          <w:lang w:val="sr-Latn-ME"/>
        </w:rPr>
      </w:pPr>
      <w:r w:rsidRPr="00273F23">
        <w:rPr>
          <w:sz w:val="22"/>
          <w:szCs w:val="22"/>
          <w:lang w:val="sr-Latn-ME"/>
        </w:rPr>
        <w:t>U studijama inicijalne efikasnosti, povećanje srednje vrijednosti BMD u grupi koja je primala alendronat u dozi od 10 mg jednom dnevno u odnosu na placebo nakon tri godine iznosilo je 8,8%, 5,9%, odnosno 7,8% na kičmenom stubu, vratu femura, odnosno trohanteru. Takođe je došlo do značajnog povećanja ukupnog BMD cijelog skeleta. Uočeno je smanjenje od 48% (3,2% za alendronat u odnosu na 6,2% za placebo) u grupi pacijenata koji su liječeni alendronatom, a koji su imali jednu ili više fraktura kičmenih pršljenova u odnosu na one koji su primali placebo. U dvogodišnjem produžetku ovih studija, vrijednost BMD kičmenog stuba i trohantera nastavila je da se povećava, a vrijednost BMD vrata femura i ukupnog skeleta je održan na istom nivou.</w:t>
      </w:r>
    </w:p>
    <w:p w14:paraId="5C7CA21F" w14:textId="77777777" w:rsidR="00E65665" w:rsidRPr="00273F23" w:rsidRDefault="00E65665">
      <w:pPr>
        <w:tabs>
          <w:tab w:val="left" w:pos="540"/>
          <w:tab w:val="left" w:pos="569"/>
        </w:tabs>
        <w:jc w:val="both"/>
        <w:rPr>
          <w:sz w:val="22"/>
          <w:szCs w:val="22"/>
          <w:lang w:val="sr-Latn-ME"/>
        </w:rPr>
      </w:pPr>
    </w:p>
    <w:p w14:paraId="1529A174" w14:textId="3672A04D" w:rsidR="008F06C0" w:rsidRPr="00273F23" w:rsidRDefault="008F06C0">
      <w:pPr>
        <w:tabs>
          <w:tab w:val="left" w:pos="540"/>
          <w:tab w:val="left" w:pos="569"/>
        </w:tabs>
        <w:jc w:val="both"/>
        <w:rPr>
          <w:sz w:val="22"/>
          <w:szCs w:val="22"/>
          <w:lang w:val="sr-Latn-ME"/>
        </w:rPr>
      </w:pPr>
      <w:r w:rsidRPr="00273F23">
        <w:rPr>
          <w:sz w:val="22"/>
          <w:szCs w:val="22"/>
          <w:lang w:val="sr-Latn-ME"/>
        </w:rPr>
        <w:t>FIT ispitivanje se sastojalo od dvije placebom kontrolisane studije u kojima je alendronat primjenjivan kao dnevna terapija (5 mg dnevno tokom dvije godine i 10 mg dnevno tokom još jedne ili dvije dodatne godine):</w:t>
      </w:r>
    </w:p>
    <w:p w14:paraId="667C7E91" w14:textId="77777777" w:rsidR="00E65665" w:rsidRPr="00273F23" w:rsidRDefault="00E65665">
      <w:pPr>
        <w:tabs>
          <w:tab w:val="left" w:pos="540"/>
          <w:tab w:val="left" w:pos="569"/>
        </w:tabs>
        <w:jc w:val="both"/>
        <w:rPr>
          <w:sz w:val="22"/>
          <w:szCs w:val="22"/>
          <w:lang w:val="sr-Latn-ME"/>
        </w:rPr>
      </w:pPr>
    </w:p>
    <w:p w14:paraId="0514F5E7" w14:textId="5C6A97AD" w:rsidR="008F06C0" w:rsidRPr="00273F23" w:rsidRDefault="008F06C0" w:rsidP="00327919">
      <w:pPr>
        <w:pStyle w:val="Header"/>
        <w:numPr>
          <w:ilvl w:val="0"/>
          <w:numId w:val="15"/>
        </w:numPr>
        <w:tabs>
          <w:tab w:val="clear" w:pos="4320"/>
          <w:tab w:val="clear" w:pos="8640"/>
          <w:tab w:val="left" w:pos="284"/>
        </w:tabs>
        <w:ind w:left="0" w:firstLine="0"/>
        <w:jc w:val="both"/>
        <w:rPr>
          <w:sz w:val="22"/>
          <w:szCs w:val="22"/>
          <w:lang w:val="sr-Latn-ME"/>
        </w:rPr>
      </w:pPr>
      <w:r w:rsidRPr="00273F23">
        <w:rPr>
          <w:sz w:val="22"/>
          <w:szCs w:val="22"/>
          <w:lang w:val="sr-Latn-ME"/>
        </w:rPr>
        <w:t>FIT 1: Trogodišnja studija sa 2027 pacijentkinja koje su imale najmanje jedan prethodni prelom kičmenog pršljena (kompresivni) na početku studije. U ovoj studiji, dnevna primjena alendronata smanjila je incidencu</w:t>
      </w:r>
      <w:r w:rsidR="00DB2C76" w:rsidRPr="00273F23">
        <w:rPr>
          <w:sz w:val="22"/>
          <w:szCs w:val="22"/>
          <w:lang w:val="sr-Latn-ME"/>
        </w:rPr>
        <w:t xml:space="preserve"> </w:t>
      </w:r>
      <w:r w:rsidRPr="00273F23">
        <w:rPr>
          <w:sz w:val="22"/>
          <w:szCs w:val="22"/>
          <w:lang w:val="sr-Latn-ME"/>
        </w:rPr>
        <w:sym w:font="Symbol" w:char="F0B3"/>
      </w:r>
      <w:r w:rsidRPr="00273F23">
        <w:rPr>
          <w:sz w:val="22"/>
          <w:szCs w:val="22"/>
          <w:lang w:val="sr-Latn-ME"/>
        </w:rPr>
        <w:t xml:space="preserve"> 1 novog preloma kičmenog pršljena za 47% (7,9% kod alendronata u odnosu na 15,0% kod placeba). Pored toga, uočeno je statistički značajno smanjenje incidence preloma kuka (1,1% nasuprot 2,2%, što je smanjenje od 51%).</w:t>
      </w:r>
    </w:p>
    <w:p w14:paraId="102A412A" w14:textId="77777777" w:rsidR="008F06C0" w:rsidRPr="00273F23" w:rsidRDefault="008F06C0">
      <w:pPr>
        <w:pStyle w:val="Header"/>
        <w:tabs>
          <w:tab w:val="left" w:pos="284"/>
        </w:tabs>
        <w:jc w:val="both"/>
        <w:rPr>
          <w:sz w:val="22"/>
          <w:szCs w:val="22"/>
          <w:lang w:val="sr-Latn-ME"/>
        </w:rPr>
      </w:pPr>
    </w:p>
    <w:p w14:paraId="584E4158" w14:textId="70F3D572" w:rsidR="008F06C0" w:rsidRPr="00273F23" w:rsidRDefault="008F06C0" w:rsidP="00327919">
      <w:pPr>
        <w:pStyle w:val="Header"/>
        <w:numPr>
          <w:ilvl w:val="0"/>
          <w:numId w:val="15"/>
        </w:numPr>
        <w:tabs>
          <w:tab w:val="clear" w:pos="4320"/>
          <w:tab w:val="clear" w:pos="8640"/>
          <w:tab w:val="left" w:pos="284"/>
        </w:tabs>
        <w:ind w:left="0" w:firstLine="0"/>
        <w:jc w:val="both"/>
        <w:rPr>
          <w:sz w:val="22"/>
          <w:szCs w:val="22"/>
          <w:lang w:val="sr-Latn-ME"/>
        </w:rPr>
      </w:pPr>
      <w:r w:rsidRPr="00273F23">
        <w:rPr>
          <w:sz w:val="22"/>
          <w:szCs w:val="22"/>
          <w:lang w:val="sr-Latn-ME"/>
        </w:rPr>
        <w:t>FIT 2: Četvorogodišnja studija sa 4432 pacijentkinje sa malom koštanom masom</w:t>
      </w:r>
      <w:r w:rsidR="00DB2C76" w:rsidRPr="00273F23">
        <w:rPr>
          <w:sz w:val="22"/>
          <w:szCs w:val="22"/>
          <w:lang w:val="sr-Latn-ME"/>
        </w:rPr>
        <w:t>,</w:t>
      </w:r>
      <w:r w:rsidRPr="00273F23">
        <w:rPr>
          <w:sz w:val="22"/>
          <w:szCs w:val="22"/>
          <w:lang w:val="sr-Latn-ME"/>
        </w:rPr>
        <w:t xml:space="preserve"> ali bez prethodnih preloma kičmenog pršljena na početku studije. U ovoj studiji uočena je značajna razlika u analizi podgrupe žena sa osteoporozom (37% opšte populacije,</w:t>
      </w:r>
      <w:r w:rsidR="00DB2C76" w:rsidRPr="00273F23">
        <w:rPr>
          <w:sz w:val="22"/>
          <w:szCs w:val="22"/>
          <w:lang w:val="sr-Latn-ME"/>
        </w:rPr>
        <w:t xml:space="preserve"> </w:t>
      </w:r>
      <w:r w:rsidRPr="00273F23">
        <w:rPr>
          <w:sz w:val="22"/>
          <w:szCs w:val="22"/>
          <w:lang w:val="sr-Latn-ME"/>
        </w:rPr>
        <w:t>prema prethodno navedenoj definiciji osteoporoze) u incidenci preloma kuka (alendronat 1,0% nasuprot placeb</w:t>
      </w:r>
      <w:r w:rsidR="002A091C" w:rsidRPr="00273F23">
        <w:rPr>
          <w:sz w:val="22"/>
          <w:szCs w:val="22"/>
          <w:lang w:val="sr-Latn-ME"/>
        </w:rPr>
        <w:t>a</w:t>
      </w:r>
      <w:r w:rsidRPr="00273F23">
        <w:rPr>
          <w:sz w:val="22"/>
          <w:szCs w:val="22"/>
          <w:lang w:val="sr-Latn-ME"/>
        </w:rPr>
        <w:t xml:space="preserve"> 2,2%, što je smanjenje od 56%) i u incidenci </w:t>
      </w:r>
      <w:r w:rsidRPr="00273F23">
        <w:rPr>
          <w:sz w:val="22"/>
          <w:szCs w:val="22"/>
          <w:lang w:val="sr-Latn-ME"/>
        </w:rPr>
        <w:sym w:font="Symbol" w:char="F0B3"/>
      </w:r>
      <w:r w:rsidRPr="00273F23">
        <w:rPr>
          <w:sz w:val="22"/>
          <w:szCs w:val="22"/>
          <w:lang w:val="sr-Latn-ME"/>
        </w:rPr>
        <w:t xml:space="preserve"> 1 preloma kičmenog pršljena</w:t>
      </w:r>
      <w:r w:rsidR="00DB2C76" w:rsidRPr="00273F23">
        <w:rPr>
          <w:sz w:val="22"/>
          <w:szCs w:val="22"/>
          <w:lang w:val="sr-Latn-ME"/>
        </w:rPr>
        <w:t xml:space="preserve"> </w:t>
      </w:r>
      <w:r w:rsidRPr="00273F23">
        <w:rPr>
          <w:sz w:val="22"/>
          <w:szCs w:val="22"/>
          <w:lang w:val="sr-Latn-ME"/>
        </w:rPr>
        <w:t>(2,9% nasuprot 5,8%, što je smanjenje od 50%).</w:t>
      </w:r>
    </w:p>
    <w:p w14:paraId="184A8031" w14:textId="7923AAE4" w:rsidR="008F06C0" w:rsidRPr="00273F23" w:rsidRDefault="008F06C0">
      <w:pPr>
        <w:tabs>
          <w:tab w:val="left" w:pos="540"/>
          <w:tab w:val="left" w:pos="569"/>
        </w:tabs>
        <w:jc w:val="both"/>
        <w:rPr>
          <w:sz w:val="22"/>
          <w:szCs w:val="22"/>
          <w:lang w:val="sr-Latn-ME"/>
        </w:rPr>
      </w:pPr>
    </w:p>
    <w:p w14:paraId="3BF10613" w14:textId="77777777" w:rsidR="008F06C0" w:rsidRPr="00273F23" w:rsidRDefault="008F06C0">
      <w:pPr>
        <w:tabs>
          <w:tab w:val="left" w:pos="540"/>
          <w:tab w:val="left" w:pos="569"/>
        </w:tabs>
        <w:jc w:val="both"/>
        <w:rPr>
          <w:i/>
          <w:sz w:val="22"/>
          <w:szCs w:val="22"/>
          <w:lang w:val="sr-Latn-ME"/>
        </w:rPr>
      </w:pPr>
      <w:r w:rsidRPr="00273F23">
        <w:rPr>
          <w:i/>
          <w:sz w:val="22"/>
          <w:szCs w:val="22"/>
          <w:lang w:val="sr-Latn-ME"/>
        </w:rPr>
        <w:t>Laboratorijska ispitivanja</w:t>
      </w:r>
    </w:p>
    <w:p w14:paraId="2882E5EA" w14:textId="630C4E35" w:rsidR="008F06C0" w:rsidRPr="00273F23" w:rsidRDefault="008F06C0">
      <w:pPr>
        <w:tabs>
          <w:tab w:val="left" w:pos="540"/>
          <w:tab w:val="left" w:pos="569"/>
        </w:tabs>
        <w:jc w:val="both"/>
        <w:rPr>
          <w:sz w:val="22"/>
          <w:szCs w:val="22"/>
          <w:lang w:val="sr-Latn-ME"/>
        </w:rPr>
      </w:pPr>
      <w:r w:rsidRPr="00273F23">
        <w:rPr>
          <w:sz w:val="22"/>
          <w:szCs w:val="22"/>
          <w:lang w:val="sr-Latn-ME"/>
        </w:rPr>
        <w:t>U kliničkim studijama, asimptomatsko, blago i prolazno smanjenje vrijednosti kalcijuma i fosfata u serumu, približno 18% i 10%, tim redom, kod pacijentkinja koje su bile na terapiji alendronatom u dozi od 10 mg/dnevno, nasuprot smanjenju kod pacijentkinja koje su dobijale placebo, a kod kojih je smanjenje bilo približno 12% i 3%. Međutim, incidenca smanjenja vrijednosti kalcijuma u serumu na vrijednosti &lt;8,0 mg/d</w:t>
      </w:r>
      <w:r w:rsidR="002A091C" w:rsidRPr="00273F23">
        <w:rPr>
          <w:sz w:val="22"/>
          <w:szCs w:val="22"/>
          <w:lang w:val="sr-Latn-ME"/>
        </w:rPr>
        <w:t>l</w:t>
      </w:r>
      <w:r w:rsidRPr="00273F23">
        <w:rPr>
          <w:sz w:val="22"/>
          <w:szCs w:val="22"/>
          <w:lang w:val="sr-Latn-ME"/>
        </w:rPr>
        <w:t xml:space="preserve"> (2,0 mmol</w:t>
      </w:r>
      <w:r w:rsidR="0020105D" w:rsidRPr="00273F23">
        <w:rPr>
          <w:sz w:val="22"/>
          <w:szCs w:val="22"/>
          <w:lang w:val="sr-Latn-ME"/>
        </w:rPr>
        <w:t>/l</w:t>
      </w:r>
      <w:r w:rsidRPr="00273F23">
        <w:rPr>
          <w:sz w:val="22"/>
          <w:szCs w:val="22"/>
          <w:lang w:val="sr-Latn-ME"/>
        </w:rPr>
        <w:t>) i vrijednosti fosfata u serumu na vrijednosti ≤2,0 mg/d</w:t>
      </w:r>
      <w:r w:rsidR="002A091C" w:rsidRPr="00273F23">
        <w:rPr>
          <w:sz w:val="22"/>
          <w:szCs w:val="22"/>
          <w:lang w:val="sr-Latn-ME"/>
        </w:rPr>
        <w:t>l</w:t>
      </w:r>
      <w:r w:rsidRPr="00273F23">
        <w:rPr>
          <w:sz w:val="22"/>
          <w:szCs w:val="22"/>
          <w:lang w:val="sr-Latn-ME"/>
        </w:rPr>
        <w:t xml:space="preserve"> (0,65 mmol</w:t>
      </w:r>
      <w:r w:rsidR="0020105D" w:rsidRPr="00273F23">
        <w:rPr>
          <w:sz w:val="22"/>
          <w:szCs w:val="22"/>
          <w:lang w:val="sr-Latn-ME"/>
        </w:rPr>
        <w:t>/l</w:t>
      </w:r>
      <w:r w:rsidRPr="00273F23">
        <w:rPr>
          <w:sz w:val="22"/>
          <w:szCs w:val="22"/>
          <w:lang w:val="sr-Latn-ME"/>
        </w:rPr>
        <w:t>) bile su slične u obje ispitivane grupe.</w:t>
      </w:r>
    </w:p>
    <w:p w14:paraId="40BB01C6" w14:textId="77777777" w:rsidR="008F06C0" w:rsidRPr="00273F23" w:rsidRDefault="008F06C0">
      <w:pPr>
        <w:tabs>
          <w:tab w:val="left" w:pos="540"/>
          <w:tab w:val="left" w:pos="569"/>
        </w:tabs>
        <w:jc w:val="both"/>
        <w:rPr>
          <w:sz w:val="22"/>
          <w:szCs w:val="22"/>
          <w:lang w:val="sr-Latn-ME"/>
        </w:rPr>
      </w:pPr>
    </w:p>
    <w:p w14:paraId="613FD282" w14:textId="77777777" w:rsidR="008F06C0" w:rsidRPr="00273F23" w:rsidRDefault="008F06C0">
      <w:pPr>
        <w:tabs>
          <w:tab w:val="left" w:pos="540"/>
          <w:tab w:val="left" w:pos="569"/>
        </w:tabs>
        <w:jc w:val="both"/>
        <w:rPr>
          <w:sz w:val="22"/>
          <w:szCs w:val="22"/>
          <w:u w:val="single"/>
          <w:lang w:val="sr-Latn-ME"/>
        </w:rPr>
      </w:pPr>
      <w:r w:rsidRPr="00273F23">
        <w:rPr>
          <w:sz w:val="22"/>
          <w:szCs w:val="22"/>
          <w:u w:val="single"/>
          <w:lang w:val="sr-Latn-ME"/>
        </w:rPr>
        <w:t>Pedijatrijska populacija</w:t>
      </w:r>
    </w:p>
    <w:p w14:paraId="687BAD4D" w14:textId="4333A1E6" w:rsidR="008F06C0" w:rsidRPr="00273F23" w:rsidRDefault="008F06C0">
      <w:pPr>
        <w:tabs>
          <w:tab w:val="left" w:pos="540"/>
          <w:tab w:val="left" w:pos="569"/>
        </w:tabs>
        <w:jc w:val="both"/>
        <w:rPr>
          <w:sz w:val="22"/>
          <w:szCs w:val="22"/>
          <w:lang w:val="sr-Latn-ME"/>
        </w:rPr>
      </w:pPr>
      <w:r w:rsidRPr="00273F23">
        <w:rPr>
          <w:sz w:val="22"/>
          <w:szCs w:val="22"/>
          <w:lang w:val="sr-Latn-ME"/>
        </w:rPr>
        <w:t xml:space="preserve">Natrijum-alendronat je ispitivan </w:t>
      </w:r>
      <w:r w:rsidR="002A091C" w:rsidRPr="00273F23">
        <w:rPr>
          <w:sz w:val="22"/>
          <w:szCs w:val="22"/>
          <w:lang w:val="sr-Latn-ME"/>
        </w:rPr>
        <w:t>kod</w:t>
      </w:r>
      <w:r w:rsidRPr="00273F23">
        <w:rPr>
          <w:sz w:val="22"/>
          <w:szCs w:val="22"/>
          <w:lang w:val="sr-Latn-ME"/>
        </w:rPr>
        <w:t xml:space="preserve"> malo</w:t>
      </w:r>
      <w:r w:rsidR="002A091C" w:rsidRPr="00273F23">
        <w:rPr>
          <w:sz w:val="22"/>
          <w:szCs w:val="22"/>
          <w:lang w:val="sr-Latn-ME"/>
        </w:rPr>
        <w:t>g</w:t>
      </w:r>
      <w:r w:rsidRPr="00273F23">
        <w:rPr>
          <w:sz w:val="22"/>
          <w:szCs w:val="22"/>
          <w:lang w:val="sr-Latn-ME"/>
        </w:rPr>
        <w:t xml:space="preserve"> broj</w:t>
      </w:r>
      <w:r w:rsidR="002A091C" w:rsidRPr="00273F23">
        <w:rPr>
          <w:sz w:val="22"/>
          <w:szCs w:val="22"/>
          <w:lang w:val="sr-Latn-ME"/>
        </w:rPr>
        <w:t>a</w:t>
      </w:r>
      <w:r w:rsidRPr="00273F23">
        <w:rPr>
          <w:sz w:val="22"/>
          <w:szCs w:val="22"/>
          <w:lang w:val="sr-Latn-ME"/>
        </w:rPr>
        <w:t xml:space="preserve"> pacijenata </w:t>
      </w:r>
      <w:r w:rsidR="00313225" w:rsidRPr="00273F23">
        <w:rPr>
          <w:sz w:val="22"/>
          <w:szCs w:val="22"/>
          <w:lang w:val="sr-Latn-ME"/>
        </w:rPr>
        <w:t>ml</w:t>
      </w:r>
      <w:r w:rsidRPr="00273F23">
        <w:rPr>
          <w:sz w:val="22"/>
          <w:szCs w:val="22"/>
          <w:lang w:val="sr-Latn-ME"/>
        </w:rPr>
        <w:t xml:space="preserve">ađih od 18 godina koji su oboljeli od </w:t>
      </w:r>
      <w:r w:rsidRPr="00273F23">
        <w:rPr>
          <w:i/>
          <w:sz w:val="22"/>
          <w:szCs w:val="22"/>
          <w:lang w:val="sr-Latn-ME"/>
        </w:rPr>
        <w:t>osteogenesis imperfecta</w:t>
      </w:r>
      <w:r w:rsidRPr="00273F23">
        <w:rPr>
          <w:sz w:val="22"/>
          <w:szCs w:val="22"/>
          <w:lang w:val="sr-Latn-ME"/>
        </w:rPr>
        <w:t>. Rezultati ovih ispitivanja su nedovoljni da bi opravdali prim</w:t>
      </w:r>
      <w:r w:rsidR="00DB2C76" w:rsidRPr="00273F23">
        <w:rPr>
          <w:sz w:val="22"/>
          <w:szCs w:val="22"/>
          <w:lang w:val="sr-Latn-ME"/>
        </w:rPr>
        <w:t>j</w:t>
      </w:r>
      <w:r w:rsidRPr="00273F23">
        <w:rPr>
          <w:sz w:val="22"/>
          <w:szCs w:val="22"/>
          <w:lang w:val="sr-Latn-ME"/>
        </w:rPr>
        <w:t xml:space="preserve">enu natrijum- alendronata kod pacijenta sa </w:t>
      </w:r>
      <w:r w:rsidRPr="00273F23">
        <w:rPr>
          <w:i/>
          <w:sz w:val="22"/>
          <w:szCs w:val="22"/>
          <w:lang w:val="sr-Latn-ME"/>
        </w:rPr>
        <w:t>osteogenesis imperfecta</w:t>
      </w:r>
      <w:r w:rsidRPr="00273F23">
        <w:rPr>
          <w:sz w:val="22"/>
          <w:szCs w:val="22"/>
          <w:lang w:val="sr-Latn-ME"/>
        </w:rPr>
        <w:t>.</w:t>
      </w:r>
    </w:p>
    <w:p w14:paraId="3C829FAA" w14:textId="77777777" w:rsidR="008F06C0" w:rsidRPr="00273F23" w:rsidRDefault="008F06C0" w:rsidP="00327919">
      <w:pPr>
        <w:tabs>
          <w:tab w:val="left" w:pos="540"/>
          <w:tab w:val="left" w:pos="569"/>
        </w:tabs>
        <w:jc w:val="both"/>
        <w:rPr>
          <w:b/>
          <w:bCs/>
          <w:sz w:val="22"/>
          <w:szCs w:val="22"/>
          <w:lang w:val="sr-Latn-ME"/>
        </w:rPr>
      </w:pPr>
    </w:p>
    <w:p w14:paraId="46E321AE"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5.2. </w:t>
      </w:r>
      <w:r w:rsidR="00480FB1" w:rsidRPr="00273F23">
        <w:rPr>
          <w:b/>
          <w:bCs/>
          <w:sz w:val="22"/>
          <w:szCs w:val="22"/>
          <w:lang w:val="sr-Latn-ME"/>
        </w:rPr>
        <w:tab/>
      </w:r>
      <w:r w:rsidRPr="00273F23">
        <w:rPr>
          <w:b/>
          <w:bCs/>
          <w:sz w:val="22"/>
          <w:szCs w:val="22"/>
          <w:lang w:val="sr-Latn-ME"/>
        </w:rPr>
        <w:t>Farmakokinetički podaci</w:t>
      </w:r>
      <w:r w:rsidR="003A7059" w:rsidRPr="00273F23">
        <w:rPr>
          <w:b/>
          <w:bCs/>
          <w:sz w:val="22"/>
          <w:szCs w:val="22"/>
          <w:lang w:val="sr-Latn-ME"/>
        </w:rPr>
        <w:t xml:space="preserve"> </w:t>
      </w:r>
    </w:p>
    <w:p w14:paraId="128FECFA" w14:textId="6690D49B" w:rsidR="0072020E" w:rsidRPr="00273F23" w:rsidRDefault="0072020E" w:rsidP="00327919">
      <w:pPr>
        <w:tabs>
          <w:tab w:val="left" w:pos="540"/>
          <w:tab w:val="left" w:pos="569"/>
        </w:tabs>
        <w:jc w:val="both"/>
        <w:rPr>
          <w:bCs/>
          <w:sz w:val="22"/>
          <w:szCs w:val="22"/>
          <w:lang w:val="sr-Latn-ME"/>
        </w:rPr>
      </w:pPr>
    </w:p>
    <w:p w14:paraId="7599365B" w14:textId="77777777" w:rsidR="00DB2C76" w:rsidRPr="00273F23" w:rsidRDefault="00DB2C76" w:rsidP="00457283">
      <w:pPr>
        <w:pStyle w:val="Header"/>
        <w:tabs>
          <w:tab w:val="left" w:pos="284"/>
        </w:tabs>
        <w:spacing w:before="80" w:after="80"/>
        <w:jc w:val="both"/>
        <w:rPr>
          <w:rStyle w:val="HeaderChar2"/>
          <w:sz w:val="22"/>
          <w:szCs w:val="22"/>
          <w:lang w:val="sr-Latn-ME"/>
        </w:rPr>
      </w:pPr>
      <w:r w:rsidRPr="00273F23">
        <w:rPr>
          <w:bCs/>
          <w:sz w:val="22"/>
          <w:szCs w:val="22"/>
          <w:u w:val="single"/>
          <w:lang w:val="sr-Latn-ME"/>
        </w:rPr>
        <w:t>Alendronat</w:t>
      </w:r>
    </w:p>
    <w:p w14:paraId="66BE77FC" w14:textId="77777777" w:rsidR="00C37754" w:rsidRPr="00273F23" w:rsidRDefault="00C37754" w:rsidP="00457283">
      <w:pPr>
        <w:jc w:val="both"/>
        <w:rPr>
          <w:rStyle w:val="HeaderChar2"/>
          <w:i/>
          <w:sz w:val="22"/>
          <w:szCs w:val="22"/>
          <w:lang w:val="sr-Latn-ME"/>
        </w:rPr>
      </w:pPr>
    </w:p>
    <w:p w14:paraId="11C74755" w14:textId="0A2C762E" w:rsidR="00DB2C76" w:rsidRPr="00273F23" w:rsidRDefault="00DB2C76" w:rsidP="00457283">
      <w:pPr>
        <w:jc w:val="both"/>
        <w:rPr>
          <w:rStyle w:val="HeaderChar2"/>
          <w:sz w:val="22"/>
          <w:szCs w:val="22"/>
          <w:lang w:val="sr-Latn-ME"/>
        </w:rPr>
      </w:pPr>
      <w:r w:rsidRPr="00273F23">
        <w:rPr>
          <w:rStyle w:val="HeaderChar2"/>
          <w:i/>
          <w:sz w:val="22"/>
          <w:szCs w:val="22"/>
          <w:lang w:val="sr-Latn-ME"/>
        </w:rPr>
        <w:t>Resorpcija</w:t>
      </w:r>
    </w:p>
    <w:p w14:paraId="25084E8A" w14:textId="26019BAC" w:rsidR="00DB2C76" w:rsidRPr="00273F23" w:rsidRDefault="00DB2C76">
      <w:pPr>
        <w:jc w:val="both"/>
        <w:rPr>
          <w:rStyle w:val="HeaderChar2"/>
          <w:sz w:val="22"/>
          <w:szCs w:val="22"/>
          <w:lang w:val="sr-Latn-ME"/>
        </w:rPr>
      </w:pPr>
      <w:r w:rsidRPr="00273F23">
        <w:rPr>
          <w:rStyle w:val="HeaderChar2"/>
          <w:sz w:val="22"/>
          <w:szCs w:val="22"/>
          <w:lang w:val="sr-Latn-ME"/>
        </w:rPr>
        <w:t xml:space="preserve">U odnosu na intravensku referentnu dozu, prosječna bioraspoloživost alendronata nakon oralne primjene kod žena bila je 0,64%, za doze u opsegu od 5 mg do 70 mg, kada je lijek primjenjivan ujutru natašte </w:t>
      </w:r>
      <w:r w:rsidRPr="00273F23">
        <w:rPr>
          <w:rStyle w:val="HeaderChar2"/>
          <w:sz w:val="22"/>
          <w:szCs w:val="22"/>
          <w:lang w:val="sr-Latn-ME"/>
        </w:rPr>
        <w:lastRenderedPageBreak/>
        <w:t>dva sata prije uzimanja standardnog doručka. Slično, bioraspoloživost je smanjena na procijenjenih 0,46% i 0,39% kada je alendronat primijenjen jedan sat ili pola sata prije standardnog doručka. U studijama osteoporoze, alendronat je bio efektivan kada je primijenjen najmanje 30 minuta prije uzimanja prvog dnevnog obroka ili napitka.</w:t>
      </w:r>
    </w:p>
    <w:p w14:paraId="4AB9C29F" w14:textId="77777777" w:rsidR="00DB2C76" w:rsidRPr="00273F23" w:rsidRDefault="00DB2C76">
      <w:pPr>
        <w:jc w:val="both"/>
        <w:rPr>
          <w:rStyle w:val="HeaderChar2"/>
          <w:sz w:val="22"/>
          <w:szCs w:val="22"/>
          <w:lang w:val="sr-Latn-ME"/>
        </w:rPr>
      </w:pPr>
    </w:p>
    <w:p w14:paraId="536C3A55" w14:textId="77777777" w:rsidR="00DB2C76" w:rsidRPr="00273F23" w:rsidRDefault="00DB2C76">
      <w:pPr>
        <w:jc w:val="both"/>
        <w:rPr>
          <w:rStyle w:val="HeaderChar2"/>
          <w:sz w:val="22"/>
          <w:szCs w:val="22"/>
          <w:lang w:val="sr-Latn-ME"/>
        </w:rPr>
      </w:pPr>
      <w:r w:rsidRPr="00273F23">
        <w:rPr>
          <w:rStyle w:val="HeaderChar2"/>
          <w:sz w:val="22"/>
          <w:szCs w:val="22"/>
          <w:lang w:val="sr-Latn-ME"/>
        </w:rPr>
        <w:t xml:space="preserve">Količina alendronata u lijeku </w:t>
      </w:r>
      <w:r w:rsidRPr="00273F23">
        <w:rPr>
          <w:sz w:val="22"/>
          <w:szCs w:val="22"/>
          <w:lang w:val="sr-Latn-ME"/>
        </w:rPr>
        <w:t>Fosavance</w:t>
      </w:r>
      <w:r w:rsidRPr="00273F23">
        <w:rPr>
          <w:rStyle w:val="HeaderChar2"/>
          <w:sz w:val="22"/>
          <w:szCs w:val="22"/>
          <w:lang w:val="sr-Latn-ME"/>
        </w:rPr>
        <w:t xml:space="preserve"> (70 mg/5600 </w:t>
      </w:r>
      <w:r w:rsidRPr="00273F23">
        <w:rPr>
          <w:bCs/>
          <w:sz w:val="22"/>
          <w:szCs w:val="22"/>
          <w:lang w:val="sr-Latn-ME"/>
        </w:rPr>
        <w:t>i.j.</w:t>
      </w:r>
      <w:r w:rsidRPr="00273F23">
        <w:rPr>
          <w:rStyle w:val="HeaderChar2"/>
          <w:sz w:val="22"/>
          <w:szCs w:val="22"/>
          <w:lang w:val="sr-Latn-ME"/>
        </w:rPr>
        <w:t>), koji sadrži kombinaciju aktivnih supstanci, bioekvivalentna je količini alendronata koja se nalazi u monokomponentnoj tableti od 70 mg.</w:t>
      </w:r>
    </w:p>
    <w:p w14:paraId="7A06B048" w14:textId="77777777" w:rsidR="00DB2C76" w:rsidRPr="00273F23" w:rsidRDefault="00DB2C76">
      <w:pPr>
        <w:jc w:val="both"/>
        <w:rPr>
          <w:rStyle w:val="HeaderChar2"/>
          <w:sz w:val="22"/>
          <w:szCs w:val="22"/>
          <w:lang w:val="sr-Latn-ME"/>
        </w:rPr>
      </w:pPr>
    </w:p>
    <w:p w14:paraId="6DA5BF74" w14:textId="77777777" w:rsidR="00DB2C76" w:rsidRPr="00273F23" w:rsidRDefault="00DB2C76">
      <w:pPr>
        <w:jc w:val="both"/>
        <w:rPr>
          <w:rStyle w:val="HeaderChar2"/>
          <w:sz w:val="22"/>
          <w:szCs w:val="22"/>
          <w:lang w:val="sr-Latn-ME"/>
        </w:rPr>
      </w:pPr>
      <w:r w:rsidRPr="00273F23">
        <w:rPr>
          <w:rStyle w:val="HeaderChar2"/>
          <w:sz w:val="22"/>
          <w:szCs w:val="22"/>
          <w:lang w:val="sr-Latn-ME"/>
        </w:rPr>
        <w:t>Bioraspoloživost je bila zanemarljiva bez obzira na to da li je alendronat primijenjen uz standardni doručak ili do dva sata nakon doručka. Istovremena primjena alendronata i kafe ili soka od pomorandže smanjila je bioraspoloživost za oko 60%.</w:t>
      </w:r>
    </w:p>
    <w:p w14:paraId="0AAEA461" w14:textId="77777777" w:rsidR="00DB2C76" w:rsidRPr="00273F23" w:rsidRDefault="00DB2C76">
      <w:pPr>
        <w:jc w:val="both"/>
        <w:rPr>
          <w:rStyle w:val="HeaderChar2"/>
          <w:sz w:val="22"/>
          <w:szCs w:val="22"/>
          <w:lang w:val="sr-Latn-ME"/>
        </w:rPr>
      </w:pPr>
    </w:p>
    <w:p w14:paraId="68E4CB9E" w14:textId="434FD9D4" w:rsidR="00DB2C76" w:rsidRPr="00273F23" w:rsidRDefault="00DB2C76">
      <w:pPr>
        <w:jc w:val="both"/>
        <w:rPr>
          <w:rStyle w:val="HeaderChar2"/>
          <w:sz w:val="22"/>
          <w:szCs w:val="22"/>
          <w:lang w:val="sr-Latn-ME"/>
        </w:rPr>
      </w:pPr>
      <w:r w:rsidRPr="00273F23">
        <w:rPr>
          <w:rStyle w:val="HeaderChar2"/>
          <w:sz w:val="22"/>
          <w:szCs w:val="22"/>
          <w:lang w:val="sr-Latn-ME"/>
        </w:rPr>
        <w:t>Kod zdravih ispitanika, oralno primenjen prednizon (20 mg tri puta dnevno tokom pet dana) nije doveo do klinički značajne promjene u bioraspoloživosti alendronata nakon oralne primjene (pros</w:t>
      </w:r>
      <w:r w:rsidR="00ED4BCE" w:rsidRPr="00273F23">
        <w:rPr>
          <w:rStyle w:val="HeaderChar2"/>
          <w:sz w:val="22"/>
          <w:szCs w:val="22"/>
          <w:lang w:val="sr-Latn-ME"/>
        </w:rPr>
        <w:t>j</w:t>
      </w:r>
      <w:r w:rsidRPr="00273F23">
        <w:rPr>
          <w:rStyle w:val="HeaderChar2"/>
          <w:sz w:val="22"/>
          <w:szCs w:val="22"/>
          <w:lang w:val="sr-Latn-ME"/>
        </w:rPr>
        <w:t>ečno povećanje od 20% do 44%).</w:t>
      </w:r>
    </w:p>
    <w:p w14:paraId="2C6456F3" w14:textId="77777777" w:rsidR="00DB2C76" w:rsidRPr="00273F23" w:rsidRDefault="00DB2C76">
      <w:pPr>
        <w:jc w:val="both"/>
        <w:rPr>
          <w:rStyle w:val="HeaderChar2"/>
          <w:sz w:val="22"/>
          <w:szCs w:val="22"/>
          <w:lang w:val="sr-Latn-ME"/>
        </w:rPr>
      </w:pPr>
    </w:p>
    <w:p w14:paraId="206866FF" w14:textId="77777777" w:rsidR="00DB2C76" w:rsidRPr="00273F23" w:rsidRDefault="00DB2C76">
      <w:pPr>
        <w:jc w:val="both"/>
        <w:rPr>
          <w:rStyle w:val="HeaderChar2"/>
          <w:i/>
          <w:sz w:val="22"/>
          <w:szCs w:val="22"/>
          <w:lang w:val="sr-Latn-ME"/>
        </w:rPr>
      </w:pPr>
      <w:r w:rsidRPr="00273F23">
        <w:rPr>
          <w:rStyle w:val="HeaderChar2"/>
          <w:i/>
          <w:sz w:val="22"/>
          <w:szCs w:val="22"/>
          <w:lang w:val="sr-Latn-ME"/>
        </w:rPr>
        <w:t>Distribucija</w:t>
      </w:r>
    </w:p>
    <w:p w14:paraId="5087FD24" w14:textId="2ED6CEEB" w:rsidR="00DB2C76" w:rsidRPr="00273F23" w:rsidRDefault="00DB2C76">
      <w:pPr>
        <w:jc w:val="both"/>
        <w:rPr>
          <w:rStyle w:val="HeaderChar2"/>
          <w:sz w:val="22"/>
          <w:szCs w:val="22"/>
          <w:lang w:val="sr-Latn-ME"/>
        </w:rPr>
      </w:pPr>
      <w:r w:rsidRPr="00273F23">
        <w:rPr>
          <w:rStyle w:val="HeaderChar2"/>
          <w:sz w:val="22"/>
          <w:szCs w:val="22"/>
          <w:lang w:val="sr-Latn-ME"/>
        </w:rPr>
        <w:t>Ispitivanja na pacovima pokazala su da se alendronat privremeno distribuira u meka tkiva nakon intravenske primjene doze od 1 mg/kg, ali se nakon toga brzo ponovo distribuira u</w:t>
      </w:r>
      <w:r w:rsidRPr="00273F23">
        <w:rPr>
          <w:rStyle w:val="Hyperlink"/>
          <w:sz w:val="22"/>
          <w:szCs w:val="22"/>
          <w:lang w:val="sr-Latn-ME"/>
        </w:rPr>
        <w:t xml:space="preserve"> </w:t>
      </w:r>
      <w:r w:rsidRPr="00273F23">
        <w:rPr>
          <w:rStyle w:val="HeaderChar2"/>
          <w:sz w:val="22"/>
          <w:szCs w:val="22"/>
          <w:lang w:val="sr-Latn-ME"/>
        </w:rPr>
        <w:t>kosti ili se izlučuje putem urina. Prosječna vrijednost volumena distribucije u stanju ravnoteže, ne uključujući kosti, iznosi najmanje 28 litara kod ljudi. Koncentracija alendronata u plazmi nakon primjene terapijskih oralnih doza je isuviše mala da bi se uradilo analitičko određivanje (</w:t>
      </w:r>
      <w:r w:rsidRPr="00273F23">
        <w:rPr>
          <w:rStyle w:val="HeaderChar2"/>
          <w:sz w:val="22"/>
          <w:szCs w:val="22"/>
          <w:lang w:val="sr-Latn-ME"/>
        </w:rPr>
        <w:sym w:font="Symbol" w:char="F03C"/>
      </w:r>
      <w:r w:rsidRPr="00273F23">
        <w:rPr>
          <w:rStyle w:val="HeaderChar2"/>
          <w:sz w:val="22"/>
          <w:szCs w:val="22"/>
          <w:lang w:val="sr-Latn-ME"/>
        </w:rPr>
        <w:t xml:space="preserve"> 5 nanogram/</w:t>
      </w:r>
      <w:r w:rsidR="00313225" w:rsidRPr="00273F23">
        <w:rPr>
          <w:rStyle w:val="HeaderChar2"/>
          <w:sz w:val="22"/>
          <w:szCs w:val="22"/>
          <w:lang w:val="sr-Latn-ME"/>
        </w:rPr>
        <w:t>ml</w:t>
      </w:r>
      <w:r w:rsidRPr="00273F23">
        <w:rPr>
          <w:rStyle w:val="HeaderChar2"/>
          <w:sz w:val="22"/>
          <w:szCs w:val="22"/>
          <w:lang w:val="sr-Latn-ME"/>
        </w:rPr>
        <w:t>). Vezivanje za proteine plazme kod ljudi je oko 78%.</w:t>
      </w:r>
    </w:p>
    <w:p w14:paraId="0C0728AC" w14:textId="77777777" w:rsidR="00DB2C76" w:rsidRPr="00273F23" w:rsidRDefault="00DB2C76">
      <w:pPr>
        <w:jc w:val="both"/>
        <w:rPr>
          <w:rStyle w:val="HeaderChar2"/>
          <w:sz w:val="22"/>
          <w:szCs w:val="22"/>
          <w:lang w:val="sr-Latn-ME"/>
        </w:rPr>
      </w:pPr>
    </w:p>
    <w:p w14:paraId="09AFF2C1" w14:textId="77777777" w:rsidR="00DB2C76" w:rsidRPr="00273F23" w:rsidRDefault="00DB2C76">
      <w:pPr>
        <w:jc w:val="both"/>
        <w:rPr>
          <w:rStyle w:val="HeaderChar2"/>
          <w:sz w:val="22"/>
          <w:szCs w:val="22"/>
          <w:lang w:val="sr-Latn-ME"/>
        </w:rPr>
      </w:pPr>
      <w:r w:rsidRPr="00273F23">
        <w:rPr>
          <w:rStyle w:val="HeaderChar2"/>
          <w:i/>
          <w:sz w:val="22"/>
          <w:szCs w:val="22"/>
          <w:lang w:val="sr-Latn-ME"/>
        </w:rPr>
        <w:t>Biotransformacija</w:t>
      </w:r>
    </w:p>
    <w:p w14:paraId="3E00864B" w14:textId="77777777" w:rsidR="00DB2C76" w:rsidRPr="00273F23" w:rsidRDefault="00DB2C76">
      <w:pPr>
        <w:jc w:val="both"/>
        <w:rPr>
          <w:rStyle w:val="HeaderChar2"/>
          <w:sz w:val="22"/>
          <w:szCs w:val="22"/>
          <w:lang w:val="sr-Latn-ME"/>
        </w:rPr>
      </w:pPr>
      <w:r w:rsidRPr="00273F23">
        <w:rPr>
          <w:rStyle w:val="HeaderChar2"/>
          <w:sz w:val="22"/>
          <w:szCs w:val="22"/>
          <w:lang w:val="sr-Latn-ME"/>
        </w:rPr>
        <w:t>Nema dokaza da se alendronat metaboliše kod životinja ili ljudi.</w:t>
      </w:r>
    </w:p>
    <w:p w14:paraId="352CBD38" w14:textId="77777777" w:rsidR="00DB2C76" w:rsidRPr="00273F23" w:rsidRDefault="00DB2C76">
      <w:pPr>
        <w:jc w:val="both"/>
        <w:rPr>
          <w:rStyle w:val="HeaderChar2"/>
          <w:sz w:val="22"/>
          <w:szCs w:val="22"/>
          <w:lang w:val="sr-Latn-ME"/>
        </w:rPr>
      </w:pPr>
    </w:p>
    <w:p w14:paraId="1063DC3F" w14:textId="77777777" w:rsidR="00DB2C76" w:rsidRPr="00273F23" w:rsidRDefault="00DB2C76">
      <w:pPr>
        <w:pStyle w:val="Header"/>
        <w:jc w:val="both"/>
        <w:rPr>
          <w:sz w:val="22"/>
          <w:szCs w:val="22"/>
          <w:lang w:val="sr-Latn-ME"/>
        </w:rPr>
      </w:pPr>
      <w:r w:rsidRPr="00273F23">
        <w:rPr>
          <w:i/>
          <w:sz w:val="22"/>
          <w:szCs w:val="22"/>
          <w:lang w:val="sr-Latn-ME"/>
        </w:rPr>
        <w:t>Eliminacija</w:t>
      </w:r>
    </w:p>
    <w:p w14:paraId="2559ADC2" w14:textId="65AF8127" w:rsidR="00DB2C76" w:rsidRPr="00273F23" w:rsidRDefault="00DB2C76">
      <w:pPr>
        <w:pStyle w:val="Header"/>
        <w:jc w:val="both"/>
        <w:rPr>
          <w:sz w:val="22"/>
          <w:szCs w:val="22"/>
          <w:lang w:val="sr-Latn-ME"/>
        </w:rPr>
      </w:pPr>
      <w:r w:rsidRPr="00273F23">
        <w:rPr>
          <w:sz w:val="22"/>
          <w:szCs w:val="22"/>
          <w:lang w:val="sr-Latn-ME"/>
        </w:rPr>
        <w:t xml:space="preserve">Nakon primjene pojedinačne intravenske doze </w:t>
      </w:r>
      <w:r w:rsidRPr="00273F23">
        <w:rPr>
          <w:sz w:val="22"/>
          <w:szCs w:val="22"/>
          <w:lang w:val="sr-Latn-ME"/>
        </w:rPr>
        <w:sym w:font="Symbol" w:char="F05B"/>
      </w:r>
      <w:r w:rsidRPr="00273F23">
        <w:rPr>
          <w:sz w:val="22"/>
          <w:szCs w:val="22"/>
          <w:vertAlign w:val="superscript"/>
          <w:lang w:val="sr-Latn-ME"/>
        </w:rPr>
        <w:t>14</w:t>
      </w:r>
      <w:r w:rsidRPr="00273F23">
        <w:rPr>
          <w:sz w:val="22"/>
          <w:szCs w:val="22"/>
          <w:lang w:val="sr-Latn-ME"/>
        </w:rPr>
        <w:t>C</w:t>
      </w:r>
      <w:r w:rsidRPr="00273F23">
        <w:rPr>
          <w:sz w:val="22"/>
          <w:szCs w:val="22"/>
          <w:lang w:val="sr-Latn-ME"/>
        </w:rPr>
        <w:sym w:font="Symbol" w:char="F05D"/>
      </w:r>
      <w:r w:rsidRPr="00273F23">
        <w:rPr>
          <w:sz w:val="22"/>
          <w:szCs w:val="22"/>
          <w:lang w:val="sr-Latn-ME"/>
        </w:rPr>
        <w:t xml:space="preserve"> alendronata, oko 50% radioaktivnosti se izluči putem urina u toku prva 72 sata, a malo ili ni</w:t>
      </w:r>
      <w:r w:rsidR="007A22FF" w:rsidRPr="00273F23">
        <w:rPr>
          <w:sz w:val="22"/>
          <w:szCs w:val="22"/>
          <w:lang w:val="sr-Latn-ME"/>
        </w:rPr>
        <w:t>malo</w:t>
      </w:r>
      <w:r w:rsidRPr="00273F23">
        <w:rPr>
          <w:sz w:val="22"/>
          <w:szCs w:val="22"/>
          <w:lang w:val="sr-Latn-ME"/>
        </w:rPr>
        <w:t xml:space="preserve"> radioaktivnosti se izluči putem fecesa. Nakon primjene pojedinačne intravenske doze od 10 mg, bubrežni klirens alendronata iznosi 71 </w:t>
      </w:r>
      <w:r w:rsidR="00313225" w:rsidRPr="00273F23">
        <w:rPr>
          <w:sz w:val="22"/>
          <w:szCs w:val="22"/>
          <w:lang w:val="sr-Latn-ME"/>
        </w:rPr>
        <w:t>ml</w:t>
      </w:r>
      <w:r w:rsidRPr="00273F23">
        <w:rPr>
          <w:sz w:val="22"/>
          <w:szCs w:val="22"/>
          <w:lang w:val="sr-Latn-ME"/>
        </w:rPr>
        <w:t xml:space="preserve">/min, a sistemski klirens ne prelazi 200 </w:t>
      </w:r>
      <w:r w:rsidR="00313225" w:rsidRPr="00273F23">
        <w:rPr>
          <w:sz w:val="22"/>
          <w:szCs w:val="22"/>
          <w:lang w:val="sr-Latn-ME"/>
        </w:rPr>
        <w:t>ml</w:t>
      </w:r>
      <w:r w:rsidRPr="00273F23">
        <w:rPr>
          <w:sz w:val="22"/>
          <w:szCs w:val="22"/>
          <w:lang w:val="sr-Latn-ME"/>
        </w:rPr>
        <w:t xml:space="preserve">/min. Koncentracije u plazmi opadaju za više od 95% u toku prvih šest sati nakon intravenske primene. Terminalno poluvrijeme eliminacije kod ljudi procijenjeno je na preko deset godina, što je odraz otpuštanja alendronata iz skeleta. Alendronat se ne izlučuje </w:t>
      </w:r>
      <w:r w:rsidR="007A22FF" w:rsidRPr="00273F23">
        <w:rPr>
          <w:sz w:val="22"/>
          <w:szCs w:val="22"/>
          <w:lang w:val="sr-Latn-ME"/>
        </w:rPr>
        <w:t xml:space="preserve">kiselinskim ili </w:t>
      </w:r>
      <w:r w:rsidRPr="00273F23">
        <w:rPr>
          <w:sz w:val="22"/>
          <w:szCs w:val="22"/>
          <w:lang w:val="sr-Latn-ME"/>
        </w:rPr>
        <w:t>baznim transportnim sistemom u bubrezima kod pacova i stoga se ne očekuje da remeti izlučivanje drugih ljekova koji se kod ljudi izlučuju preko ovog sistema.</w:t>
      </w:r>
    </w:p>
    <w:p w14:paraId="4833A303" w14:textId="77777777" w:rsidR="00DB2C76" w:rsidRPr="00273F23" w:rsidRDefault="00DB2C76">
      <w:pPr>
        <w:pStyle w:val="Header"/>
        <w:jc w:val="both"/>
        <w:rPr>
          <w:sz w:val="22"/>
          <w:szCs w:val="22"/>
          <w:lang w:val="sr-Latn-ME"/>
        </w:rPr>
      </w:pPr>
    </w:p>
    <w:p w14:paraId="2239650C" w14:textId="7C6BA205" w:rsidR="00DB2C76" w:rsidRPr="00273F23" w:rsidRDefault="00DB2C76">
      <w:pPr>
        <w:pStyle w:val="Header"/>
        <w:jc w:val="both"/>
        <w:rPr>
          <w:sz w:val="22"/>
          <w:szCs w:val="22"/>
          <w:u w:val="single"/>
          <w:lang w:val="sr-Latn-ME"/>
        </w:rPr>
      </w:pPr>
      <w:r w:rsidRPr="00273F23">
        <w:rPr>
          <w:sz w:val="22"/>
          <w:szCs w:val="22"/>
          <w:lang w:val="sr-Latn-ME"/>
        </w:rPr>
        <w:t xml:space="preserve"> </w:t>
      </w:r>
      <w:r w:rsidRPr="00273F23">
        <w:rPr>
          <w:sz w:val="22"/>
          <w:szCs w:val="22"/>
          <w:u w:val="single"/>
          <w:lang w:val="sr-Latn-ME"/>
        </w:rPr>
        <w:t>Holekalciferol</w:t>
      </w:r>
    </w:p>
    <w:p w14:paraId="0EE64BE3" w14:textId="77777777" w:rsidR="00DB2C76" w:rsidRPr="00273F23" w:rsidRDefault="00DB2C76">
      <w:pPr>
        <w:pStyle w:val="Header"/>
        <w:jc w:val="both"/>
        <w:rPr>
          <w:sz w:val="22"/>
          <w:szCs w:val="22"/>
          <w:lang w:val="sr-Latn-ME"/>
        </w:rPr>
      </w:pPr>
    </w:p>
    <w:p w14:paraId="33FA04BA" w14:textId="77777777" w:rsidR="00DB2C76" w:rsidRPr="00273F23" w:rsidRDefault="00DB2C76">
      <w:pPr>
        <w:jc w:val="both"/>
        <w:rPr>
          <w:rStyle w:val="HeaderChar2"/>
          <w:sz w:val="22"/>
          <w:szCs w:val="22"/>
          <w:lang w:val="sr-Latn-ME"/>
        </w:rPr>
      </w:pPr>
      <w:r w:rsidRPr="00273F23">
        <w:rPr>
          <w:rStyle w:val="HeaderChar2"/>
          <w:i/>
          <w:sz w:val="22"/>
          <w:szCs w:val="22"/>
          <w:lang w:val="sr-Latn-ME"/>
        </w:rPr>
        <w:t>Resorpcija</w:t>
      </w:r>
    </w:p>
    <w:p w14:paraId="1994356E" w14:textId="60278791" w:rsidR="00DB2C76" w:rsidRPr="00273F23" w:rsidRDefault="00DB2C76">
      <w:pPr>
        <w:pStyle w:val="Header"/>
        <w:jc w:val="both"/>
        <w:rPr>
          <w:rStyle w:val="HeaderChar2"/>
          <w:sz w:val="22"/>
          <w:szCs w:val="22"/>
          <w:lang w:val="sr-Latn-ME"/>
        </w:rPr>
      </w:pPr>
      <w:r w:rsidRPr="00273F23">
        <w:rPr>
          <w:sz w:val="22"/>
          <w:szCs w:val="22"/>
          <w:lang w:val="sr-Latn-ME"/>
        </w:rPr>
        <w:t xml:space="preserve">Kod zdravih odraslih ispitanika (žene i muškarci), nakon primene lijeka Fosavance u dozi od 70 mg/5600 </w:t>
      </w:r>
      <w:r w:rsidRPr="00273F23">
        <w:rPr>
          <w:bCs/>
          <w:sz w:val="22"/>
          <w:szCs w:val="22"/>
          <w:lang w:val="sr-Latn-ME"/>
        </w:rPr>
        <w:t xml:space="preserve">i.j. </w:t>
      </w:r>
      <w:r w:rsidRPr="00273F23">
        <w:rPr>
          <w:rStyle w:val="HeaderChar2"/>
          <w:sz w:val="22"/>
          <w:szCs w:val="22"/>
          <w:lang w:val="sr-Latn-ME"/>
        </w:rPr>
        <w:t>natašte dva sata prije uzimanja obroka, srednja vrijednost površina ispod krive serum-koncentracija-vr</w:t>
      </w:r>
      <w:r w:rsidR="00ED4BCE" w:rsidRPr="00273F23">
        <w:rPr>
          <w:rStyle w:val="HeaderChar2"/>
          <w:sz w:val="22"/>
          <w:szCs w:val="22"/>
          <w:lang w:val="sr-Latn-ME"/>
        </w:rPr>
        <w:t>ij</w:t>
      </w:r>
      <w:r w:rsidRPr="00273F23">
        <w:rPr>
          <w:rStyle w:val="HeaderChar2"/>
          <w:sz w:val="22"/>
          <w:szCs w:val="22"/>
          <w:lang w:val="sr-Latn-ME"/>
        </w:rPr>
        <w:t>eme (PIK</w:t>
      </w:r>
      <w:r w:rsidRPr="00273F23">
        <w:rPr>
          <w:rStyle w:val="HeaderChar2"/>
          <w:sz w:val="22"/>
          <w:szCs w:val="22"/>
          <w:vertAlign w:val="subscript"/>
          <w:lang w:val="sr-Latn-ME"/>
        </w:rPr>
        <w:t>0-80 sati</w:t>
      </w:r>
      <w:r w:rsidRPr="00273F23">
        <w:rPr>
          <w:rStyle w:val="HeaderChar2"/>
          <w:sz w:val="22"/>
          <w:szCs w:val="22"/>
          <w:lang w:val="sr-Latn-ME"/>
        </w:rPr>
        <w:t>) za vitamin D</w:t>
      </w:r>
      <w:r w:rsidRPr="00273F23">
        <w:rPr>
          <w:rStyle w:val="HeaderChar2"/>
          <w:sz w:val="22"/>
          <w:szCs w:val="22"/>
          <w:vertAlign w:val="subscript"/>
          <w:lang w:val="sr-Latn-ME"/>
        </w:rPr>
        <w:t>3</w:t>
      </w:r>
      <w:r w:rsidRPr="00273F23">
        <w:rPr>
          <w:rStyle w:val="HeaderChar2"/>
          <w:sz w:val="22"/>
          <w:szCs w:val="22"/>
          <w:lang w:val="sr-Latn-ME"/>
        </w:rPr>
        <w:t xml:space="preserve"> (nije prilagođeno za vrijednosti endogenog vitamina D</w:t>
      </w:r>
      <w:r w:rsidRPr="00273F23">
        <w:rPr>
          <w:rStyle w:val="HeaderChar2"/>
          <w:sz w:val="22"/>
          <w:szCs w:val="22"/>
          <w:vertAlign w:val="subscript"/>
          <w:lang w:val="sr-Latn-ME"/>
        </w:rPr>
        <w:t>3</w:t>
      </w:r>
      <w:r w:rsidRPr="00273F23">
        <w:rPr>
          <w:rStyle w:val="HeaderChar2"/>
          <w:sz w:val="22"/>
          <w:szCs w:val="22"/>
          <w:lang w:val="sr-Latn-ME"/>
        </w:rPr>
        <w:t>) bila je 490,2 nanogram</w:t>
      </w:r>
      <w:r w:rsidRPr="00273F23">
        <w:rPr>
          <w:rStyle w:val="HeaderChar2"/>
          <w:b/>
          <w:sz w:val="22"/>
          <w:szCs w:val="22"/>
          <w:lang w:val="sr-Latn-ME"/>
        </w:rPr>
        <w:t>•</w:t>
      </w:r>
      <w:r w:rsidRPr="00273F23">
        <w:rPr>
          <w:rStyle w:val="HeaderChar2"/>
          <w:sz w:val="22"/>
          <w:szCs w:val="22"/>
          <w:lang w:val="sr-Latn-ME"/>
        </w:rPr>
        <w:t>sat/</w:t>
      </w:r>
      <w:r w:rsidR="00313225" w:rsidRPr="00273F23">
        <w:rPr>
          <w:rStyle w:val="HeaderChar2"/>
          <w:sz w:val="22"/>
          <w:szCs w:val="22"/>
          <w:lang w:val="sr-Latn-ME"/>
        </w:rPr>
        <w:t>ml</w:t>
      </w:r>
      <w:r w:rsidRPr="00273F23">
        <w:rPr>
          <w:rStyle w:val="HeaderChar2"/>
          <w:sz w:val="22"/>
          <w:szCs w:val="22"/>
          <w:lang w:val="sr-Latn-ME"/>
        </w:rPr>
        <w:t>. Srednja vrijednost maksimalne koncentracije u serumu (C</w:t>
      </w:r>
      <w:r w:rsidRPr="00273F23">
        <w:rPr>
          <w:rStyle w:val="HeaderChar2"/>
          <w:sz w:val="22"/>
          <w:szCs w:val="22"/>
          <w:vertAlign w:val="subscript"/>
          <w:lang w:val="sr-Latn-ME"/>
        </w:rPr>
        <w:t>max</w:t>
      </w:r>
      <w:r w:rsidRPr="00273F23">
        <w:rPr>
          <w:rStyle w:val="HeaderChar2"/>
          <w:sz w:val="22"/>
          <w:szCs w:val="22"/>
          <w:lang w:val="sr-Latn-ME"/>
        </w:rPr>
        <w:t>) vitamina D</w:t>
      </w:r>
      <w:r w:rsidRPr="00273F23">
        <w:rPr>
          <w:rStyle w:val="HeaderChar2"/>
          <w:sz w:val="22"/>
          <w:szCs w:val="22"/>
          <w:vertAlign w:val="subscript"/>
          <w:lang w:val="sr-Latn-ME"/>
        </w:rPr>
        <w:t>3</w:t>
      </w:r>
      <w:r w:rsidRPr="00273F23">
        <w:rPr>
          <w:rStyle w:val="HeaderChar2"/>
          <w:sz w:val="22"/>
          <w:szCs w:val="22"/>
          <w:lang w:val="sr-Latn-ME"/>
        </w:rPr>
        <w:t xml:space="preserve"> bila je 12,2 nanogram/</w:t>
      </w:r>
      <w:r w:rsidR="00313225" w:rsidRPr="00273F23">
        <w:rPr>
          <w:rStyle w:val="HeaderChar2"/>
          <w:sz w:val="22"/>
          <w:szCs w:val="22"/>
          <w:lang w:val="sr-Latn-ME"/>
        </w:rPr>
        <w:t>ml</w:t>
      </w:r>
      <w:r w:rsidRPr="00273F23">
        <w:rPr>
          <w:rStyle w:val="HeaderChar2"/>
          <w:sz w:val="22"/>
          <w:szCs w:val="22"/>
          <w:lang w:val="sr-Latn-ME"/>
        </w:rPr>
        <w:t>, a medijana vremena do postizanja maksimalne koncentracije u serumu (T</w:t>
      </w:r>
      <w:r w:rsidRPr="00273F23">
        <w:rPr>
          <w:rStyle w:val="HeaderChar2"/>
          <w:sz w:val="22"/>
          <w:szCs w:val="22"/>
          <w:vertAlign w:val="subscript"/>
          <w:lang w:val="sr-Latn-ME"/>
        </w:rPr>
        <w:t>max</w:t>
      </w:r>
      <w:r w:rsidRPr="00273F23">
        <w:rPr>
          <w:rStyle w:val="HeaderChar2"/>
          <w:sz w:val="22"/>
          <w:szCs w:val="22"/>
          <w:lang w:val="sr-Latn-ME"/>
        </w:rPr>
        <w:t>) bila je 10,6 sati. Bioraspoloživost 5600 i.j. vitamina D</w:t>
      </w:r>
      <w:r w:rsidRPr="00273F23">
        <w:rPr>
          <w:rStyle w:val="HeaderChar2"/>
          <w:sz w:val="22"/>
          <w:szCs w:val="22"/>
          <w:vertAlign w:val="subscript"/>
          <w:lang w:val="sr-Latn-ME"/>
        </w:rPr>
        <w:t xml:space="preserve">3 </w:t>
      </w:r>
      <w:r w:rsidRPr="00273F23">
        <w:rPr>
          <w:rStyle w:val="HeaderChar2"/>
          <w:sz w:val="22"/>
          <w:szCs w:val="22"/>
          <w:lang w:val="sr-Latn-ME"/>
        </w:rPr>
        <w:t xml:space="preserve">iz lijeka </w:t>
      </w:r>
      <w:r w:rsidRPr="00273F23">
        <w:rPr>
          <w:sz w:val="22"/>
          <w:szCs w:val="22"/>
          <w:lang w:val="sr-Latn-ME"/>
        </w:rPr>
        <w:t>Fosavance</w:t>
      </w:r>
      <w:r w:rsidRPr="00273F23">
        <w:rPr>
          <w:rStyle w:val="HeaderChar2"/>
          <w:sz w:val="22"/>
          <w:szCs w:val="22"/>
          <w:lang w:val="sr-Latn-ME"/>
        </w:rPr>
        <w:t>, slična je bioraspoloživosti 5600</w:t>
      </w:r>
      <w:r w:rsidRPr="00273F23">
        <w:rPr>
          <w:bCs/>
          <w:sz w:val="22"/>
          <w:szCs w:val="22"/>
          <w:lang w:val="sr-Latn-ME"/>
        </w:rPr>
        <w:t>i.j.</w:t>
      </w:r>
      <w:r w:rsidRPr="00273F23">
        <w:rPr>
          <w:rStyle w:val="HeaderChar2"/>
          <w:sz w:val="22"/>
          <w:szCs w:val="22"/>
          <w:lang w:val="sr-Latn-ME"/>
        </w:rPr>
        <w:t xml:space="preserve"> vitamina D</w:t>
      </w:r>
      <w:r w:rsidRPr="00273F23">
        <w:rPr>
          <w:rStyle w:val="HeaderChar2"/>
          <w:sz w:val="22"/>
          <w:szCs w:val="22"/>
          <w:vertAlign w:val="subscript"/>
          <w:lang w:val="sr-Latn-ME"/>
        </w:rPr>
        <w:t>3</w:t>
      </w:r>
      <w:r w:rsidRPr="00273F23">
        <w:rPr>
          <w:rStyle w:val="HeaderChar2"/>
          <w:sz w:val="22"/>
          <w:szCs w:val="22"/>
          <w:lang w:val="sr-Latn-ME"/>
        </w:rPr>
        <w:t xml:space="preserve"> kada se daje u monoterapiji.</w:t>
      </w:r>
    </w:p>
    <w:p w14:paraId="65D278FA" w14:textId="77777777" w:rsidR="00DB2C76" w:rsidRPr="00273F23" w:rsidRDefault="00DB2C76">
      <w:pPr>
        <w:pStyle w:val="Header"/>
        <w:jc w:val="both"/>
        <w:rPr>
          <w:rStyle w:val="HeaderChar2"/>
          <w:i/>
          <w:sz w:val="22"/>
          <w:szCs w:val="22"/>
          <w:lang w:val="sr-Latn-ME"/>
        </w:rPr>
      </w:pPr>
    </w:p>
    <w:p w14:paraId="5677FB9D" w14:textId="77777777" w:rsidR="00DB2C76" w:rsidRPr="00273F23" w:rsidRDefault="00DB2C76">
      <w:pPr>
        <w:pStyle w:val="Header"/>
        <w:jc w:val="both"/>
        <w:rPr>
          <w:rStyle w:val="HeaderChar2"/>
          <w:i/>
          <w:sz w:val="22"/>
          <w:szCs w:val="22"/>
          <w:lang w:val="sr-Latn-ME"/>
        </w:rPr>
      </w:pPr>
      <w:r w:rsidRPr="00273F23">
        <w:rPr>
          <w:rStyle w:val="HeaderChar2"/>
          <w:i/>
          <w:sz w:val="22"/>
          <w:szCs w:val="22"/>
          <w:lang w:val="sr-Latn-ME"/>
        </w:rPr>
        <w:t>Distribucija</w:t>
      </w:r>
    </w:p>
    <w:p w14:paraId="53FCAC59" w14:textId="37802A8B" w:rsidR="00DB2C76" w:rsidRPr="00273F23" w:rsidRDefault="00DB2C76">
      <w:pPr>
        <w:pStyle w:val="Header"/>
        <w:jc w:val="both"/>
        <w:rPr>
          <w:rStyle w:val="HeaderChar2"/>
          <w:sz w:val="22"/>
          <w:szCs w:val="22"/>
          <w:lang w:val="sr-Latn-ME"/>
        </w:rPr>
      </w:pPr>
      <w:r w:rsidRPr="00273F23">
        <w:rPr>
          <w:rStyle w:val="HeaderChar2"/>
          <w:sz w:val="22"/>
          <w:szCs w:val="22"/>
          <w:lang w:val="sr-Latn-ME"/>
        </w:rPr>
        <w:t>Nakon resorpcije, vitamin D</w:t>
      </w:r>
      <w:r w:rsidRPr="00273F23">
        <w:rPr>
          <w:rStyle w:val="HeaderChar2"/>
          <w:sz w:val="22"/>
          <w:szCs w:val="22"/>
          <w:vertAlign w:val="subscript"/>
          <w:lang w:val="sr-Latn-ME"/>
        </w:rPr>
        <w:t>3</w:t>
      </w:r>
      <w:r w:rsidRPr="00273F23">
        <w:rPr>
          <w:rStyle w:val="HeaderChar2"/>
          <w:sz w:val="22"/>
          <w:szCs w:val="22"/>
          <w:lang w:val="sr-Latn-ME"/>
        </w:rPr>
        <w:t xml:space="preserve"> ulazi u krv u sastavu hilomikrona. Vitamin D</w:t>
      </w:r>
      <w:r w:rsidRPr="00273F23">
        <w:rPr>
          <w:rStyle w:val="HeaderChar2"/>
          <w:sz w:val="22"/>
          <w:szCs w:val="22"/>
          <w:vertAlign w:val="subscript"/>
          <w:lang w:val="sr-Latn-ME"/>
        </w:rPr>
        <w:t>3</w:t>
      </w:r>
      <w:r w:rsidRPr="00273F23">
        <w:rPr>
          <w:rStyle w:val="HeaderChar2"/>
          <w:sz w:val="22"/>
          <w:szCs w:val="22"/>
          <w:lang w:val="sr-Latn-ME"/>
        </w:rPr>
        <w:t xml:space="preserve"> se brzo distribuira uglavnom u jetri gdje se i metaboliše u 25-hidroksivitamin D</w:t>
      </w:r>
      <w:r w:rsidRPr="00273F23">
        <w:rPr>
          <w:rStyle w:val="HeaderChar2"/>
          <w:sz w:val="22"/>
          <w:szCs w:val="22"/>
          <w:vertAlign w:val="subscript"/>
          <w:lang w:val="sr-Latn-ME"/>
        </w:rPr>
        <w:t>3</w:t>
      </w:r>
      <w:r w:rsidR="00ED4BCE" w:rsidRPr="00273F23">
        <w:rPr>
          <w:rStyle w:val="HeaderChar2"/>
          <w:sz w:val="22"/>
          <w:szCs w:val="22"/>
          <w:vertAlign w:val="subscript"/>
          <w:lang w:val="sr-Latn-ME"/>
        </w:rPr>
        <w:t>,</w:t>
      </w:r>
      <w:r w:rsidRPr="00273F23">
        <w:rPr>
          <w:rStyle w:val="HeaderChar2"/>
          <w:sz w:val="22"/>
          <w:szCs w:val="22"/>
          <w:lang w:val="sr-Latn-ME"/>
        </w:rPr>
        <w:t xml:space="preserve"> koji je i najveći depo ovog vitamina. Manje količine vitamina D</w:t>
      </w:r>
      <w:r w:rsidRPr="00273F23">
        <w:rPr>
          <w:rStyle w:val="HeaderChar2"/>
          <w:sz w:val="22"/>
          <w:szCs w:val="22"/>
          <w:vertAlign w:val="subscript"/>
          <w:lang w:val="sr-Latn-ME"/>
        </w:rPr>
        <w:t>3</w:t>
      </w:r>
      <w:r w:rsidRPr="00273F23">
        <w:rPr>
          <w:rStyle w:val="HeaderChar2"/>
          <w:sz w:val="22"/>
          <w:szCs w:val="22"/>
          <w:lang w:val="sr-Latn-ME"/>
        </w:rPr>
        <w:t xml:space="preserve"> se distribuiraju u masno i mišićno tkivo i deponuju kao vitamin D</w:t>
      </w:r>
      <w:r w:rsidRPr="00273F23">
        <w:rPr>
          <w:rStyle w:val="HeaderChar2"/>
          <w:sz w:val="22"/>
          <w:szCs w:val="22"/>
          <w:vertAlign w:val="subscript"/>
          <w:lang w:val="sr-Latn-ME"/>
        </w:rPr>
        <w:t>3</w:t>
      </w:r>
      <w:r w:rsidRPr="00273F23">
        <w:rPr>
          <w:rStyle w:val="HeaderChar2"/>
          <w:sz w:val="22"/>
          <w:szCs w:val="22"/>
          <w:lang w:val="sr-Latn-ME"/>
        </w:rPr>
        <w:t>, odakle se kasnije oslobađaju u cirkulaciju. Vitamin D</w:t>
      </w:r>
      <w:r w:rsidRPr="00273F23">
        <w:rPr>
          <w:rStyle w:val="HeaderChar2"/>
          <w:sz w:val="22"/>
          <w:szCs w:val="22"/>
          <w:vertAlign w:val="subscript"/>
          <w:lang w:val="sr-Latn-ME"/>
        </w:rPr>
        <w:t>3</w:t>
      </w:r>
      <w:r w:rsidRPr="00273F23">
        <w:rPr>
          <w:rStyle w:val="HeaderChar2"/>
          <w:sz w:val="22"/>
          <w:szCs w:val="22"/>
          <w:lang w:val="sr-Latn-ME"/>
        </w:rPr>
        <w:t xml:space="preserve"> u cirkulaciji se vezuje za vitamin-D vezujući protein.</w:t>
      </w:r>
    </w:p>
    <w:p w14:paraId="1F6CA4E8" w14:textId="77777777" w:rsidR="00DB2C76" w:rsidRPr="00273F23" w:rsidRDefault="00DB2C76">
      <w:pPr>
        <w:pStyle w:val="Header"/>
        <w:jc w:val="both"/>
        <w:rPr>
          <w:rStyle w:val="HeaderChar2"/>
          <w:sz w:val="22"/>
          <w:szCs w:val="22"/>
          <w:lang w:val="sr-Latn-ME"/>
        </w:rPr>
      </w:pPr>
    </w:p>
    <w:p w14:paraId="25FF1234" w14:textId="77777777" w:rsidR="00DB2C76" w:rsidRPr="00273F23" w:rsidRDefault="00DB2C76">
      <w:pPr>
        <w:pStyle w:val="Header"/>
        <w:jc w:val="both"/>
        <w:rPr>
          <w:rStyle w:val="HeaderChar2"/>
          <w:i/>
          <w:sz w:val="22"/>
          <w:szCs w:val="22"/>
          <w:lang w:val="sr-Latn-ME"/>
        </w:rPr>
      </w:pPr>
      <w:r w:rsidRPr="00273F23">
        <w:rPr>
          <w:rStyle w:val="HeaderChar2"/>
          <w:i/>
          <w:sz w:val="22"/>
          <w:szCs w:val="22"/>
          <w:lang w:val="sr-Latn-ME"/>
        </w:rPr>
        <w:t>Biotransformacija</w:t>
      </w:r>
    </w:p>
    <w:p w14:paraId="456A1807" w14:textId="77777777" w:rsidR="00DB2C76" w:rsidRPr="00273F23" w:rsidRDefault="00DB2C76">
      <w:pPr>
        <w:pStyle w:val="Header"/>
        <w:jc w:val="both"/>
        <w:rPr>
          <w:rStyle w:val="HeaderChar2"/>
          <w:sz w:val="22"/>
          <w:szCs w:val="22"/>
          <w:lang w:val="sr-Latn-ME"/>
        </w:rPr>
      </w:pPr>
      <w:r w:rsidRPr="00273F23">
        <w:rPr>
          <w:rStyle w:val="HeaderChar2"/>
          <w:sz w:val="22"/>
          <w:szCs w:val="22"/>
          <w:lang w:val="sr-Latn-ME"/>
        </w:rPr>
        <w:t>Vitamin D</w:t>
      </w:r>
      <w:r w:rsidRPr="00273F23">
        <w:rPr>
          <w:rStyle w:val="HeaderChar2"/>
          <w:sz w:val="22"/>
          <w:szCs w:val="22"/>
          <w:vertAlign w:val="subscript"/>
          <w:lang w:val="sr-Latn-ME"/>
        </w:rPr>
        <w:t>3</w:t>
      </w:r>
      <w:r w:rsidRPr="00273F23">
        <w:rPr>
          <w:rStyle w:val="HeaderChar2"/>
          <w:sz w:val="22"/>
          <w:szCs w:val="22"/>
          <w:lang w:val="sr-Latn-ME"/>
        </w:rPr>
        <w:t xml:space="preserve"> se brzo metaboliše hidroksilacijom u jetri u 25-hidroksivitamin D</w:t>
      </w:r>
      <w:r w:rsidRPr="00273F23">
        <w:rPr>
          <w:rStyle w:val="HeaderChar2"/>
          <w:sz w:val="22"/>
          <w:szCs w:val="22"/>
          <w:vertAlign w:val="subscript"/>
          <w:lang w:val="sr-Latn-ME"/>
        </w:rPr>
        <w:t>3</w:t>
      </w:r>
      <w:r w:rsidRPr="00273F23">
        <w:rPr>
          <w:rStyle w:val="HeaderChar2"/>
          <w:sz w:val="22"/>
          <w:szCs w:val="22"/>
          <w:lang w:val="sr-Latn-ME"/>
        </w:rPr>
        <w:t>, a nakon toga se metaboliše u bubrezima u 1,25-dihidroksivitamin D</w:t>
      </w:r>
      <w:r w:rsidRPr="00273F23">
        <w:rPr>
          <w:rStyle w:val="HeaderChar2"/>
          <w:sz w:val="22"/>
          <w:szCs w:val="22"/>
          <w:vertAlign w:val="subscript"/>
          <w:lang w:val="sr-Latn-ME"/>
        </w:rPr>
        <w:t>3</w:t>
      </w:r>
      <w:r w:rsidRPr="00273F23">
        <w:rPr>
          <w:rStyle w:val="HeaderChar2"/>
          <w:sz w:val="22"/>
          <w:szCs w:val="22"/>
          <w:lang w:val="sr-Latn-ME"/>
        </w:rPr>
        <w:t xml:space="preserve"> koji je biološki aktivni oblik. Do dalje </w:t>
      </w:r>
      <w:r w:rsidRPr="00273F23">
        <w:rPr>
          <w:rStyle w:val="HeaderChar2"/>
          <w:sz w:val="22"/>
          <w:szCs w:val="22"/>
          <w:lang w:val="sr-Latn-ME"/>
        </w:rPr>
        <w:lastRenderedPageBreak/>
        <w:t>hidroksilacije dolazi prije eliminacije. Mala količina vitamina D</w:t>
      </w:r>
      <w:r w:rsidRPr="00273F23">
        <w:rPr>
          <w:rStyle w:val="HeaderChar2"/>
          <w:sz w:val="22"/>
          <w:szCs w:val="22"/>
          <w:vertAlign w:val="subscript"/>
          <w:lang w:val="sr-Latn-ME"/>
        </w:rPr>
        <w:t>3</w:t>
      </w:r>
      <w:r w:rsidRPr="00273F23">
        <w:rPr>
          <w:rStyle w:val="HeaderChar2"/>
          <w:sz w:val="22"/>
          <w:szCs w:val="22"/>
          <w:lang w:val="sr-Latn-ME"/>
        </w:rPr>
        <w:t xml:space="preserve"> podliježe glukuronidaciji prije eliminacije.</w:t>
      </w:r>
    </w:p>
    <w:p w14:paraId="122894CB" w14:textId="77777777" w:rsidR="00DB2C76" w:rsidRPr="00273F23" w:rsidRDefault="00DB2C76">
      <w:pPr>
        <w:pStyle w:val="Header"/>
        <w:jc w:val="both"/>
        <w:rPr>
          <w:rStyle w:val="HeaderChar2"/>
          <w:sz w:val="22"/>
          <w:szCs w:val="22"/>
          <w:lang w:val="sr-Latn-ME"/>
        </w:rPr>
      </w:pPr>
    </w:p>
    <w:p w14:paraId="39E0F7D4" w14:textId="77777777" w:rsidR="00DB2C76" w:rsidRPr="00273F23" w:rsidRDefault="00DB2C76">
      <w:pPr>
        <w:pStyle w:val="Header"/>
        <w:jc w:val="both"/>
        <w:rPr>
          <w:rStyle w:val="HeaderChar2"/>
          <w:i/>
          <w:sz w:val="22"/>
          <w:szCs w:val="22"/>
          <w:lang w:val="sr-Latn-ME"/>
        </w:rPr>
      </w:pPr>
      <w:r w:rsidRPr="00273F23">
        <w:rPr>
          <w:rStyle w:val="HeaderChar2"/>
          <w:i/>
          <w:sz w:val="22"/>
          <w:szCs w:val="22"/>
          <w:lang w:val="sr-Latn-ME"/>
        </w:rPr>
        <w:t>Eliminacija</w:t>
      </w:r>
    </w:p>
    <w:p w14:paraId="0EC71F42" w14:textId="6B6404A6" w:rsidR="00DB2C76" w:rsidRPr="00273F23" w:rsidRDefault="00DB2C76">
      <w:pPr>
        <w:pStyle w:val="Header"/>
        <w:jc w:val="both"/>
        <w:rPr>
          <w:sz w:val="22"/>
          <w:szCs w:val="22"/>
          <w:lang w:val="sr-Latn-ME"/>
        </w:rPr>
      </w:pPr>
      <w:r w:rsidRPr="00273F23">
        <w:rPr>
          <w:rStyle w:val="HeaderChar2"/>
          <w:sz w:val="22"/>
          <w:szCs w:val="22"/>
          <w:lang w:val="sr-Latn-ME"/>
        </w:rPr>
        <w:t>Kada se radioaktivno obiljeleženi vitamin D</w:t>
      </w:r>
      <w:r w:rsidRPr="00273F23">
        <w:rPr>
          <w:rStyle w:val="HeaderChar2"/>
          <w:sz w:val="22"/>
          <w:szCs w:val="22"/>
          <w:vertAlign w:val="subscript"/>
          <w:lang w:val="sr-Latn-ME"/>
        </w:rPr>
        <w:t xml:space="preserve">3 </w:t>
      </w:r>
      <w:r w:rsidRPr="00273F23">
        <w:rPr>
          <w:rStyle w:val="HeaderChar2"/>
          <w:sz w:val="22"/>
          <w:szCs w:val="22"/>
          <w:lang w:val="sr-Latn-ME"/>
        </w:rPr>
        <w:t>prim</w:t>
      </w:r>
      <w:r w:rsidR="006241CE" w:rsidRPr="00273F23">
        <w:rPr>
          <w:rStyle w:val="HeaderChar2"/>
          <w:sz w:val="22"/>
          <w:szCs w:val="22"/>
          <w:lang w:val="sr-Latn-ME"/>
        </w:rPr>
        <w:t>ij</w:t>
      </w:r>
      <w:r w:rsidRPr="00273F23">
        <w:rPr>
          <w:rStyle w:val="HeaderChar2"/>
          <w:sz w:val="22"/>
          <w:szCs w:val="22"/>
          <w:lang w:val="sr-Latn-ME"/>
        </w:rPr>
        <w:t>eni kod zdravih ispitanika, prosječna vrijednost izlučene radioaktivnosti u urinu nakon 48 sati iznosila je 2,4%, a prosječna vrijednost izlučene radioaktivnosti u fecesu nakon 4 dana iznosila je 4,9%. U oba slučaja, izlučena radioaktivnost skoro isključivo je bila u obliku metabolita. Srednja vrijednost poluvremena eliminacije vitamina D</w:t>
      </w:r>
      <w:r w:rsidRPr="00273F23">
        <w:rPr>
          <w:rStyle w:val="HeaderChar2"/>
          <w:sz w:val="22"/>
          <w:szCs w:val="22"/>
          <w:vertAlign w:val="subscript"/>
          <w:lang w:val="sr-Latn-ME"/>
        </w:rPr>
        <w:t>3</w:t>
      </w:r>
      <w:r w:rsidRPr="00273F23">
        <w:rPr>
          <w:rStyle w:val="HeaderChar2"/>
          <w:sz w:val="22"/>
          <w:szCs w:val="22"/>
          <w:lang w:val="sr-Latn-ME"/>
        </w:rPr>
        <w:t xml:space="preserve"> u serumu nakon primjene oralne doze lijeka </w:t>
      </w:r>
      <w:r w:rsidRPr="00273F23">
        <w:rPr>
          <w:sz w:val="22"/>
          <w:szCs w:val="22"/>
          <w:lang w:val="sr-Latn-ME"/>
        </w:rPr>
        <w:t>Fosavance</w:t>
      </w:r>
      <w:r w:rsidRPr="00273F23">
        <w:rPr>
          <w:rStyle w:val="HeaderChar2"/>
          <w:sz w:val="22"/>
          <w:szCs w:val="22"/>
          <w:lang w:val="sr-Latn-ME"/>
        </w:rPr>
        <w:t xml:space="preserve"> (70 mg/2800 </w:t>
      </w:r>
      <w:r w:rsidRPr="00273F23">
        <w:rPr>
          <w:bCs/>
          <w:sz w:val="22"/>
          <w:szCs w:val="22"/>
          <w:lang w:val="sr-Latn-ME"/>
        </w:rPr>
        <w:t>i.j.</w:t>
      </w:r>
      <w:r w:rsidRPr="00273F23">
        <w:rPr>
          <w:rStyle w:val="HeaderChar2"/>
          <w:sz w:val="22"/>
          <w:szCs w:val="22"/>
          <w:lang w:val="sr-Latn-ME"/>
        </w:rPr>
        <w:t>) iznosi oko 24 sata.</w:t>
      </w:r>
    </w:p>
    <w:p w14:paraId="0806E180" w14:textId="77777777" w:rsidR="00DB2C76" w:rsidRPr="00273F23" w:rsidRDefault="00DB2C76">
      <w:pPr>
        <w:pStyle w:val="Header"/>
        <w:jc w:val="both"/>
        <w:rPr>
          <w:sz w:val="22"/>
          <w:szCs w:val="22"/>
          <w:lang w:val="sr-Latn-ME"/>
        </w:rPr>
      </w:pPr>
    </w:p>
    <w:p w14:paraId="0B0599A9" w14:textId="77777777" w:rsidR="00DB2C76" w:rsidRPr="00273F23" w:rsidRDefault="00DB2C76">
      <w:pPr>
        <w:pStyle w:val="Header"/>
        <w:jc w:val="both"/>
        <w:rPr>
          <w:sz w:val="22"/>
          <w:szCs w:val="22"/>
          <w:lang w:val="sr-Latn-ME"/>
        </w:rPr>
      </w:pPr>
      <w:r w:rsidRPr="00273F23">
        <w:rPr>
          <w:i/>
          <w:sz w:val="22"/>
          <w:szCs w:val="22"/>
          <w:lang w:val="sr-Latn-ME"/>
        </w:rPr>
        <w:t>Oštećenje funkcije bubrega</w:t>
      </w:r>
    </w:p>
    <w:p w14:paraId="70E497AC" w14:textId="72436C93" w:rsidR="00DB2C76" w:rsidRPr="00273F23" w:rsidRDefault="00DB2C76">
      <w:pPr>
        <w:pStyle w:val="Header"/>
        <w:tabs>
          <w:tab w:val="left" w:pos="284"/>
        </w:tabs>
        <w:jc w:val="both"/>
        <w:rPr>
          <w:bCs/>
          <w:sz w:val="22"/>
          <w:szCs w:val="22"/>
          <w:lang w:val="sr-Latn-ME"/>
        </w:rPr>
      </w:pPr>
      <w:r w:rsidRPr="00273F23">
        <w:rPr>
          <w:bCs/>
          <w:sz w:val="22"/>
          <w:szCs w:val="22"/>
          <w:lang w:val="sr-Latn-ME"/>
        </w:rPr>
        <w:t>Pretkliničke studije pokazuju da se alendronat, koji se nije deponovao u kostima, brzo izlučuje putem urina. Kod životinja, nije dokazano da dolazi do zasićenja deponovanja u kosti nakon dugotrajne primjene lijeka u kumulativnim intravenskim dozama i do 35 mg/kg. Mada nema dostupnih kliničkih podataka, vjerovatno je da je, kao i kod životinja, eliminacija alendronata preko bubrega smanjena kod pacijentkinja sa oštećenjem funkcije bubrega. Stoga, može da se očekuje nešto veća kumulacija alendronata u kostima kod pacijentkinja sa oštećenjem funkcije bubrega (vidjeti dio</w:t>
      </w:r>
      <w:r w:rsidR="006241CE" w:rsidRPr="00273F23">
        <w:rPr>
          <w:bCs/>
          <w:sz w:val="22"/>
          <w:szCs w:val="22"/>
          <w:lang w:val="sr-Latn-ME"/>
        </w:rPr>
        <w:t xml:space="preserve"> </w:t>
      </w:r>
      <w:r w:rsidRPr="00273F23">
        <w:rPr>
          <w:bCs/>
          <w:sz w:val="22"/>
          <w:szCs w:val="22"/>
          <w:lang w:val="sr-Latn-ME"/>
        </w:rPr>
        <w:t>4.2).</w:t>
      </w:r>
    </w:p>
    <w:p w14:paraId="5D392DA7" w14:textId="78DB5FBC" w:rsidR="00DB2C76" w:rsidRPr="00273F23" w:rsidRDefault="00DB2C76" w:rsidP="00327919">
      <w:pPr>
        <w:tabs>
          <w:tab w:val="left" w:pos="540"/>
          <w:tab w:val="left" w:pos="569"/>
        </w:tabs>
        <w:jc w:val="both"/>
        <w:rPr>
          <w:bCs/>
          <w:sz w:val="22"/>
          <w:szCs w:val="22"/>
          <w:lang w:val="sr-Latn-ME"/>
        </w:rPr>
      </w:pPr>
    </w:p>
    <w:p w14:paraId="3682E15A"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5.3. </w:t>
      </w:r>
      <w:r w:rsidR="00480FB1" w:rsidRPr="00273F23">
        <w:rPr>
          <w:b/>
          <w:bCs/>
          <w:sz w:val="22"/>
          <w:szCs w:val="22"/>
          <w:lang w:val="sr-Latn-ME"/>
        </w:rPr>
        <w:tab/>
      </w:r>
      <w:r w:rsidRPr="00273F23">
        <w:rPr>
          <w:b/>
          <w:bCs/>
          <w:sz w:val="22"/>
          <w:szCs w:val="22"/>
          <w:lang w:val="sr-Latn-ME"/>
        </w:rPr>
        <w:t xml:space="preserve">Pretklinički podaci o bezbjednosti </w:t>
      </w:r>
    </w:p>
    <w:p w14:paraId="560C0BD1" w14:textId="77777777" w:rsidR="00836B35" w:rsidRPr="00273F23" w:rsidRDefault="00836B35" w:rsidP="00327919">
      <w:pPr>
        <w:tabs>
          <w:tab w:val="left" w:pos="540"/>
          <w:tab w:val="left" w:pos="569"/>
        </w:tabs>
        <w:jc w:val="both"/>
        <w:rPr>
          <w:bCs/>
          <w:sz w:val="22"/>
          <w:szCs w:val="22"/>
          <w:lang w:val="sr-Latn-ME"/>
        </w:rPr>
      </w:pPr>
    </w:p>
    <w:p w14:paraId="4FC079C0" w14:textId="57FCCED7" w:rsidR="00DB2C76" w:rsidRPr="00273F23" w:rsidRDefault="00DB2C76" w:rsidP="00457283">
      <w:pPr>
        <w:tabs>
          <w:tab w:val="left" w:pos="540"/>
          <w:tab w:val="left" w:pos="569"/>
        </w:tabs>
        <w:jc w:val="both"/>
        <w:rPr>
          <w:sz w:val="22"/>
          <w:szCs w:val="22"/>
          <w:lang w:val="sr-Latn-ME"/>
        </w:rPr>
      </w:pPr>
      <w:r w:rsidRPr="00273F23">
        <w:rPr>
          <w:sz w:val="22"/>
          <w:szCs w:val="22"/>
          <w:lang w:val="sr-Latn-ME"/>
        </w:rPr>
        <w:t>Nijesu sprovedene pretkliničke studije sa kombinacijom alendronata i holekalciferola.</w:t>
      </w:r>
    </w:p>
    <w:p w14:paraId="260B969D" w14:textId="77777777" w:rsidR="00DB2C76" w:rsidRPr="00273F23" w:rsidRDefault="00DB2C76" w:rsidP="00457283">
      <w:pPr>
        <w:tabs>
          <w:tab w:val="left" w:pos="540"/>
          <w:tab w:val="left" w:pos="569"/>
        </w:tabs>
        <w:jc w:val="both"/>
        <w:rPr>
          <w:sz w:val="22"/>
          <w:szCs w:val="22"/>
          <w:lang w:val="sr-Latn-ME"/>
        </w:rPr>
      </w:pPr>
    </w:p>
    <w:p w14:paraId="259DD30A" w14:textId="77777777" w:rsidR="00DB2C76" w:rsidRPr="00273F23" w:rsidRDefault="00DB2C76" w:rsidP="00457283">
      <w:pPr>
        <w:tabs>
          <w:tab w:val="left" w:pos="540"/>
          <w:tab w:val="left" w:pos="569"/>
        </w:tabs>
        <w:jc w:val="both"/>
        <w:rPr>
          <w:sz w:val="22"/>
          <w:szCs w:val="22"/>
          <w:u w:val="single"/>
          <w:lang w:val="sr-Latn-ME"/>
        </w:rPr>
      </w:pPr>
      <w:r w:rsidRPr="00273F23">
        <w:rPr>
          <w:sz w:val="22"/>
          <w:szCs w:val="22"/>
          <w:u w:val="single"/>
          <w:lang w:val="sr-Latn-ME"/>
        </w:rPr>
        <w:t>Alendronat</w:t>
      </w:r>
    </w:p>
    <w:p w14:paraId="32B5DD7B" w14:textId="6788BF22" w:rsidR="00DB2C76" w:rsidRPr="00273F23" w:rsidRDefault="00DB2C76">
      <w:pPr>
        <w:tabs>
          <w:tab w:val="left" w:pos="540"/>
          <w:tab w:val="left" w:pos="569"/>
        </w:tabs>
        <w:jc w:val="both"/>
        <w:rPr>
          <w:sz w:val="22"/>
          <w:szCs w:val="22"/>
          <w:lang w:val="sr-Latn-ME"/>
        </w:rPr>
      </w:pPr>
      <w:r w:rsidRPr="00273F23">
        <w:rPr>
          <w:sz w:val="22"/>
          <w:szCs w:val="22"/>
          <w:lang w:val="sr-Latn-ME"/>
        </w:rPr>
        <w:t>Pretklinički podaci dobijeni na osnovu konvencionalnih studija bezbjednosne farmakologije, toksičnosti ponovljenih doza, genotoksičnosti i ka</w:t>
      </w:r>
      <w:r w:rsidR="006241CE" w:rsidRPr="00273F23">
        <w:rPr>
          <w:sz w:val="22"/>
          <w:szCs w:val="22"/>
          <w:lang w:val="sr-Latn-ME"/>
        </w:rPr>
        <w:t>ncero</w:t>
      </w:r>
      <w:r w:rsidRPr="00273F23">
        <w:rPr>
          <w:sz w:val="22"/>
          <w:szCs w:val="22"/>
          <w:lang w:val="sr-Latn-ME"/>
        </w:rPr>
        <w:t>genog potencijala, ne ukazuju na posebne rizike pri primjeni lijeka kod ljudi. Ispitivanja na pacovima su pokazala da je primjena alendronata tokom trudnoće bila povezana sa otežanim okotom koji je bio povezan sa hipokalcemijom. U studijama na pacovima kojima su davane velike doze, došlo je do povećane incidence nepotpune osifikacije kod fetusa. Nije poznato da li se ovo odnosi i na ljude.</w:t>
      </w:r>
    </w:p>
    <w:p w14:paraId="05FE9007" w14:textId="77777777" w:rsidR="00DB2C76" w:rsidRPr="00273F23" w:rsidRDefault="00DB2C76">
      <w:pPr>
        <w:tabs>
          <w:tab w:val="left" w:pos="540"/>
          <w:tab w:val="left" w:pos="569"/>
        </w:tabs>
        <w:jc w:val="both"/>
        <w:rPr>
          <w:sz w:val="22"/>
          <w:szCs w:val="22"/>
          <w:lang w:val="sr-Latn-ME"/>
        </w:rPr>
      </w:pPr>
    </w:p>
    <w:p w14:paraId="11E815F1" w14:textId="77777777" w:rsidR="00DB2C76" w:rsidRPr="00273F23" w:rsidRDefault="00DB2C76">
      <w:pPr>
        <w:tabs>
          <w:tab w:val="left" w:pos="540"/>
          <w:tab w:val="left" w:pos="569"/>
        </w:tabs>
        <w:jc w:val="both"/>
        <w:rPr>
          <w:sz w:val="22"/>
          <w:szCs w:val="22"/>
          <w:u w:val="single"/>
          <w:lang w:val="sr-Latn-ME"/>
        </w:rPr>
      </w:pPr>
      <w:r w:rsidRPr="00273F23">
        <w:rPr>
          <w:sz w:val="22"/>
          <w:szCs w:val="22"/>
          <w:u w:val="single"/>
          <w:lang w:val="sr-Latn-ME"/>
        </w:rPr>
        <w:t>Holekalciferol</w:t>
      </w:r>
    </w:p>
    <w:p w14:paraId="272E2DC4" w14:textId="31A2BAC4" w:rsidR="00396DFD" w:rsidRPr="00273F23" w:rsidRDefault="00DB2C76">
      <w:pPr>
        <w:tabs>
          <w:tab w:val="left" w:pos="540"/>
          <w:tab w:val="left" w:pos="569"/>
        </w:tabs>
        <w:jc w:val="both"/>
        <w:rPr>
          <w:sz w:val="22"/>
          <w:szCs w:val="22"/>
          <w:lang w:val="sr-Latn-ME"/>
        </w:rPr>
      </w:pPr>
      <w:r w:rsidRPr="00273F23">
        <w:rPr>
          <w:sz w:val="22"/>
          <w:szCs w:val="22"/>
          <w:lang w:val="sr-Latn-ME"/>
        </w:rPr>
        <w:t>U studijama na životinjama uočena je reproduktivna toksičnost,</w:t>
      </w:r>
      <w:r w:rsidR="006241CE" w:rsidRPr="00273F23">
        <w:rPr>
          <w:sz w:val="22"/>
          <w:szCs w:val="22"/>
          <w:lang w:val="sr-Latn-ME"/>
        </w:rPr>
        <w:t xml:space="preserve"> </w:t>
      </w:r>
      <w:r w:rsidRPr="00273F23">
        <w:rPr>
          <w:sz w:val="22"/>
          <w:szCs w:val="22"/>
          <w:lang w:val="sr-Latn-ME"/>
        </w:rPr>
        <w:t>pri primjeni doza koje su bile daleko iznad terapijskog opsega za ljude.</w:t>
      </w:r>
    </w:p>
    <w:p w14:paraId="38DC971C" w14:textId="77777777" w:rsidR="00DB2C76" w:rsidRPr="00273F23" w:rsidRDefault="00DB2C76">
      <w:pPr>
        <w:tabs>
          <w:tab w:val="left" w:pos="540"/>
          <w:tab w:val="left" w:pos="569"/>
        </w:tabs>
        <w:jc w:val="both"/>
        <w:rPr>
          <w:sz w:val="22"/>
          <w:szCs w:val="22"/>
          <w:lang w:val="sr-Latn-ME"/>
        </w:rPr>
      </w:pPr>
    </w:p>
    <w:p w14:paraId="130AB5F1" w14:textId="77777777" w:rsidR="00C37754" w:rsidRPr="00273F23" w:rsidRDefault="00C37754" w:rsidP="00327919">
      <w:pPr>
        <w:tabs>
          <w:tab w:val="left" w:pos="540"/>
          <w:tab w:val="left" w:pos="569"/>
        </w:tabs>
        <w:jc w:val="both"/>
        <w:rPr>
          <w:b/>
          <w:bCs/>
          <w:sz w:val="22"/>
          <w:szCs w:val="22"/>
          <w:lang w:val="sr-Latn-ME"/>
        </w:rPr>
      </w:pPr>
    </w:p>
    <w:p w14:paraId="319E6DB4" w14:textId="340DDE02"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6. </w:t>
      </w:r>
      <w:r w:rsidR="00480FB1" w:rsidRPr="00273F23">
        <w:rPr>
          <w:b/>
          <w:bCs/>
          <w:sz w:val="22"/>
          <w:szCs w:val="22"/>
          <w:lang w:val="sr-Latn-ME"/>
        </w:rPr>
        <w:tab/>
      </w:r>
      <w:r w:rsidRPr="00273F23">
        <w:rPr>
          <w:b/>
          <w:bCs/>
          <w:sz w:val="22"/>
          <w:szCs w:val="22"/>
          <w:lang w:val="sr-Latn-ME"/>
        </w:rPr>
        <w:t>FARMACEUTSKI PODACI</w:t>
      </w:r>
    </w:p>
    <w:p w14:paraId="25E36065" w14:textId="77777777" w:rsidR="00836B35" w:rsidRPr="00273F23" w:rsidRDefault="00836B35" w:rsidP="00327919">
      <w:pPr>
        <w:tabs>
          <w:tab w:val="left" w:pos="540"/>
          <w:tab w:val="left" w:pos="569"/>
        </w:tabs>
        <w:jc w:val="both"/>
        <w:rPr>
          <w:bCs/>
          <w:sz w:val="22"/>
          <w:szCs w:val="22"/>
          <w:lang w:val="sr-Latn-ME"/>
        </w:rPr>
      </w:pPr>
    </w:p>
    <w:p w14:paraId="1EF5B98B"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6.1. </w:t>
      </w:r>
      <w:r w:rsidR="00480FB1" w:rsidRPr="00273F23">
        <w:rPr>
          <w:b/>
          <w:bCs/>
          <w:sz w:val="22"/>
          <w:szCs w:val="22"/>
          <w:lang w:val="sr-Latn-ME"/>
        </w:rPr>
        <w:tab/>
      </w:r>
      <w:r w:rsidRPr="00273F23">
        <w:rPr>
          <w:b/>
          <w:bCs/>
          <w:sz w:val="22"/>
          <w:szCs w:val="22"/>
          <w:lang w:val="sr-Latn-ME"/>
        </w:rPr>
        <w:t>Lista pomoćnih supstanci</w:t>
      </w:r>
      <w:r w:rsidR="002E0135" w:rsidRPr="00273F23">
        <w:rPr>
          <w:b/>
          <w:bCs/>
          <w:sz w:val="22"/>
          <w:szCs w:val="22"/>
          <w:lang w:val="sr-Latn-ME"/>
        </w:rPr>
        <w:t xml:space="preserve"> (ekscipijenasa)</w:t>
      </w:r>
    </w:p>
    <w:p w14:paraId="53DBBB79" w14:textId="66D8928D" w:rsidR="0072020E" w:rsidRPr="00273F23" w:rsidRDefault="0072020E" w:rsidP="00327919">
      <w:pPr>
        <w:tabs>
          <w:tab w:val="left" w:pos="540"/>
          <w:tab w:val="left" w:pos="569"/>
        </w:tabs>
        <w:jc w:val="both"/>
        <w:rPr>
          <w:bCs/>
          <w:sz w:val="22"/>
          <w:szCs w:val="22"/>
          <w:lang w:val="sr-Latn-ME"/>
        </w:rPr>
      </w:pPr>
    </w:p>
    <w:p w14:paraId="185AB07D" w14:textId="77777777" w:rsidR="00C37754" w:rsidRPr="00273F23" w:rsidRDefault="00C37754" w:rsidP="00327919">
      <w:pPr>
        <w:pStyle w:val="Header"/>
        <w:jc w:val="both"/>
        <w:rPr>
          <w:sz w:val="22"/>
          <w:szCs w:val="22"/>
          <w:lang w:val="sr-Latn-ME"/>
        </w:rPr>
      </w:pPr>
      <w:r w:rsidRPr="00273F23">
        <w:rPr>
          <w:sz w:val="22"/>
          <w:szCs w:val="22"/>
          <w:lang w:val="sr-Latn-ME"/>
        </w:rPr>
        <w:t>Celuloza, mikrokristalna (E460),</w:t>
      </w:r>
    </w:p>
    <w:p w14:paraId="6A317117" w14:textId="77777777" w:rsidR="00C37754" w:rsidRPr="00273F23" w:rsidRDefault="00C37754" w:rsidP="00327919">
      <w:pPr>
        <w:pStyle w:val="Header"/>
        <w:jc w:val="both"/>
        <w:rPr>
          <w:sz w:val="22"/>
          <w:szCs w:val="22"/>
          <w:lang w:val="sr-Latn-ME"/>
        </w:rPr>
      </w:pPr>
      <w:r w:rsidRPr="00273F23">
        <w:rPr>
          <w:sz w:val="22"/>
          <w:szCs w:val="22"/>
          <w:lang w:val="sr-Latn-ME"/>
        </w:rPr>
        <w:t>Laktoza, bezvodna,</w:t>
      </w:r>
    </w:p>
    <w:p w14:paraId="05CC7CB7" w14:textId="77777777" w:rsidR="00C37754" w:rsidRPr="00273F23" w:rsidRDefault="00C37754" w:rsidP="00327919">
      <w:pPr>
        <w:pStyle w:val="Header"/>
        <w:jc w:val="both"/>
        <w:rPr>
          <w:sz w:val="22"/>
          <w:szCs w:val="22"/>
          <w:lang w:val="sr-Latn-ME"/>
        </w:rPr>
      </w:pPr>
      <w:r w:rsidRPr="00273F23">
        <w:rPr>
          <w:sz w:val="22"/>
          <w:szCs w:val="22"/>
          <w:lang w:val="sr-Latn-ME"/>
        </w:rPr>
        <w:t>Trigliceridi, srednje dužine lanaca,</w:t>
      </w:r>
    </w:p>
    <w:p w14:paraId="10D9278A" w14:textId="77777777" w:rsidR="00C37754" w:rsidRPr="00273F23" w:rsidRDefault="00C37754" w:rsidP="00327919">
      <w:pPr>
        <w:pStyle w:val="Header"/>
        <w:jc w:val="both"/>
        <w:rPr>
          <w:sz w:val="22"/>
          <w:szCs w:val="22"/>
          <w:lang w:val="sr-Latn-ME"/>
        </w:rPr>
      </w:pPr>
      <w:r w:rsidRPr="00273F23">
        <w:rPr>
          <w:sz w:val="22"/>
          <w:szCs w:val="22"/>
          <w:lang w:val="sr-Latn-ME"/>
        </w:rPr>
        <w:t>Želatin,</w:t>
      </w:r>
    </w:p>
    <w:p w14:paraId="75CE8F4E" w14:textId="0419660E" w:rsidR="00C37754" w:rsidRPr="00273F23" w:rsidRDefault="00C37754" w:rsidP="00327919">
      <w:pPr>
        <w:pStyle w:val="Header"/>
        <w:jc w:val="both"/>
        <w:rPr>
          <w:sz w:val="22"/>
          <w:szCs w:val="22"/>
          <w:lang w:val="sr-Latn-ME"/>
        </w:rPr>
      </w:pPr>
      <w:r w:rsidRPr="00273F23">
        <w:rPr>
          <w:sz w:val="22"/>
          <w:szCs w:val="22"/>
          <w:lang w:val="sr-Latn-ME"/>
        </w:rPr>
        <w:t>Kroskarmeloza</w:t>
      </w:r>
      <w:r w:rsidR="00D42DAE" w:rsidRPr="00273F23">
        <w:rPr>
          <w:sz w:val="22"/>
          <w:szCs w:val="22"/>
          <w:lang w:val="sr-Latn-ME"/>
        </w:rPr>
        <w:t xml:space="preserve"> </w:t>
      </w:r>
      <w:r w:rsidRPr="00273F23">
        <w:rPr>
          <w:sz w:val="22"/>
          <w:szCs w:val="22"/>
          <w:lang w:val="sr-Latn-ME"/>
        </w:rPr>
        <w:t>natrijum,</w:t>
      </w:r>
    </w:p>
    <w:p w14:paraId="105C89B1" w14:textId="77777777" w:rsidR="00C37754" w:rsidRPr="00273F23" w:rsidRDefault="00C37754" w:rsidP="00327919">
      <w:pPr>
        <w:pStyle w:val="Header"/>
        <w:jc w:val="both"/>
        <w:rPr>
          <w:sz w:val="22"/>
          <w:szCs w:val="22"/>
          <w:lang w:val="sr-Latn-ME"/>
        </w:rPr>
      </w:pPr>
      <w:r w:rsidRPr="00273F23">
        <w:rPr>
          <w:sz w:val="22"/>
          <w:szCs w:val="22"/>
          <w:lang w:val="sr-Latn-ME"/>
        </w:rPr>
        <w:t>Saharoza,</w:t>
      </w:r>
    </w:p>
    <w:p w14:paraId="491B0392" w14:textId="5D6CCD5F" w:rsidR="00C37754" w:rsidRPr="00273F23" w:rsidRDefault="00C37754" w:rsidP="00327919">
      <w:pPr>
        <w:pStyle w:val="Header"/>
        <w:jc w:val="both"/>
        <w:rPr>
          <w:sz w:val="22"/>
          <w:szCs w:val="22"/>
          <w:lang w:val="sr-Latn-ME"/>
        </w:rPr>
      </w:pPr>
      <w:r w:rsidRPr="00273F23">
        <w:rPr>
          <w:sz w:val="22"/>
          <w:szCs w:val="22"/>
          <w:lang w:val="sr-Latn-ME"/>
        </w:rPr>
        <w:t>Silicijum</w:t>
      </w:r>
      <w:r w:rsidR="00D42DAE" w:rsidRPr="00273F23">
        <w:rPr>
          <w:sz w:val="22"/>
          <w:szCs w:val="22"/>
          <w:lang w:val="sr-Latn-ME"/>
        </w:rPr>
        <w:t xml:space="preserve"> </w:t>
      </w:r>
      <w:r w:rsidRPr="00273F23">
        <w:rPr>
          <w:sz w:val="22"/>
          <w:szCs w:val="22"/>
          <w:lang w:val="sr-Latn-ME"/>
        </w:rPr>
        <w:t>dioksid, koloidni,</w:t>
      </w:r>
    </w:p>
    <w:p w14:paraId="2C64E1B1" w14:textId="77777777" w:rsidR="00C37754" w:rsidRPr="00273F23" w:rsidRDefault="00C37754" w:rsidP="00327919">
      <w:pPr>
        <w:pStyle w:val="Header"/>
        <w:jc w:val="both"/>
        <w:rPr>
          <w:sz w:val="22"/>
          <w:szCs w:val="22"/>
          <w:lang w:val="sr-Latn-ME"/>
        </w:rPr>
      </w:pPr>
      <w:r w:rsidRPr="00273F23">
        <w:rPr>
          <w:sz w:val="22"/>
          <w:szCs w:val="22"/>
          <w:lang w:val="sr-Latn-ME"/>
        </w:rPr>
        <w:t>Magnezijum stearat (E572),</w:t>
      </w:r>
    </w:p>
    <w:p w14:paraId="3532FB20" w14:textId="77777777" w:rsidR="00C37754" w:rsidRPr="00273F23" w:rsidRDefault="00C37754" w:rsidP="00327919">
      <w:pPr>
        <w:pStyle w:val="Header"/>
        <w:jc w:val="both"/>
        <w:rPr>
          <w:sz w:val="22"/>
          <w:szCs w:val="22"/>
          <w:lang w:val="sr-Latn-ME"/>
        </w:rPr>
      </w:pPr>
      <w:r w:rsidRPr="00273F23">
        <w:rPr>
          <w:sz w:val="22"/>
          <w:szCs w:val="22"/>
          <w:lang w:val="sr-Latn-ME"/>
        </w:rPr>
        <w:t>Butilhidroksitoluen (E321),</w:t>
      </w:r>
    </w:p>
    <w:p w14:paraId="7FD8BA76" w14:textId="77777777" w:rsidR="00C37754" w:rsidRPr="00273F23" w:rsidRDefault="00C37754" w:rsidP="00327919">
      <w:pPr>
        <w:pStyle w:val="Header"/>
        <w:jc w:val="both"/>
        <w:rPr>
          <w:sz w:val="22"/>
          <w:szCs w:val="22"/>
          <w:lang w:val="sr-Latn-ME"/>
        </w:rPr>
      </w:pPr>
      <w:r w:rsidRPr="00273F23">
        <w:rPr>
          <w:sz w:val="22"/>
          <w:szCs w:val="22"/>
          <w:lang w:val="sr-Latn-ME"/>
        </w:rPr>
        <w:t>Skrob, modifikovani (kukuruzni),</w:t>
      </w:r>
    </w:p>
    <w:p w14:paraId="387637C7" w14:textId="1EAFAB2F" w:rsidR="00C37754" w:rsidRPr="00273F23" w:rsidRDefault="00C37754" w:rsidP="00327919">
      <w:pPr>
        <w:pStyle w:val="Header"/>
        <w:jc w:val="both"/>
        <w:rPr>
          <w:sz w:val="22"/>
          <w:szCs w:val="22"/>
          <w:lang w:val="sr-Latn-ME"/>
        </w:rPr>
      </w:pPr>
      <w:r w:rsidRPr="00273F23">
        <w:rPr>
          <w:sz w:val="22"/>
          <w:szCs w:val="22"/>
          <w:lang w:val="sr-Latn-ME"/>
        </w:rPr>
        <w:t>Natrijum</w:t>
      </w:r>
      <w:r w:rsidR="00D42DAE" w:rsidRPr="00273F23">
        <w:rPr>
          <w:sz w:val="22"/>
          <w:szCs w:val="22"/>
          <w:lang w:val="sr-Latn-ME"/>
        </w:rPr>
        <w:t xml:space="preserve"> </w:t>
      </w:r>
      <w:r w:rsidRPr="00273F23">
        <w:rPr>
          <w:sz w:val="22"/>
          <w:szCs w:val="22"/>
          <w:lang w:val="sr-Latn-ME"/>
        </w:rPr>
        <w:t>aluminijum</w:t>
      </w:r>
      <w:r w:rsidR="00D42DAE" w:rsidRPr="00273F23">
        <w:rPr>
          <w:sz w:val="22"/>
          <w:szCs w:val="22"/>
          <w:lang w:val="sr-Latn-ME"/>
        </w:rPr>
        <w:t xml:space="preserve"> </w:t>
      </w:r>
      <w:r w:rsidRPr="00273F23">
        <w:rPr>
          <w:sz w:val="22"/>
          <w:szCs w:val="22"/>
          <w:lang w:val="sr-Latn-ME"/>
        </w:rPr>
        <w:t>silikat (E554).</w:t>
      </w:r>
    </w:p>
    <w:p w14:paraId="1D7B2582" w14:textId="77777777" w:rsidR="00C37754" w:rsidRPr="00273F23" w:rsidRDefault="00C37754" w:rsidP="00327919">
      <w:pPr>
        <w:tabs>
          <w:tab w:val="left" w:pos="540"/>
          <w:tab w:val="left" w:pos="569"/>
        </w:tabs>
        <w:jc w:val="both"/>
        <w:rPr>
          <w:bCs/>
          <w:sz w:val="22"/>
          <w:szCs w:val="22"/>
          <w:lang w:val="sr-Latn-ME"/>
        </w:rPr>
      </w:pPr>
    </w:p>
    <w:p w14:paraId="2FB3F0B7"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6.2. </w:t>
      </w:r>
      <w:r w:rsidR="00480FB1" w:rsidRPr="00273F23">
        <w:rPr>
          <w:b/>
          <w:bCs/>
          <w:sz w:val="22"/>
          <w:szCs w:val="22"/>
          <w:lang w:val="sr-Latn-ME"/>
        </w:rPr>
        <w:tab/>
      </w:r>
      <w:r w:rsidRPr="00273F23">
        <w:rPr>
          <w:b/>
          <w:bCs/>
          <w:sz w:val="22"/>
          <w:szCs w:val="22"/>
          <w:lang w:val="sr-Latn-ME"/>
        </w:rPr>
        <w:t>Inkompatibilnost</w:t>
      </w:r>
      <w:r w:rsidR="002846DB" w:rsidRPr="00273F23">
        <w:rPr>
          <w:b/>
          <w:bCs/>
          <w:sz w:val="22"/>
          <w:szCs w:val="22"/>
          <w:lang w:val="sr-Latn-ME"/>
        </w:rPr>
        <w:t>i</w:t>
      </w:r>
    </w:p>
    <w:p w14:paraId="1F97C214" w14:textId="77777777" w:rsidR="00C37754" w:rsidRPr="00273F23" w:rsidRDefault="00C37754" w:rsidP="00327919">
      <w:pPr>
        <w:tabs>
          <w:tab w:val="left" w:pos="540"/>
          <w:tab w:val="left" w:pos="569"/>
        </w:tabs>
        <w:jc w:val="both"/>
        <w:rPr>
          <w:bCs/>
          <w:sz w:val="22"/>
          <w:szCs w:val="22"/>
          <w:lang w:val="sr-Latn-ME"/>
        </w:rPr>
      </w:pPr>
    </w:p>
    <w:p w14:paraId="14AF9B2C" w14:textId="4CA5500F" w:rsidR="00C37754" w:rsidRPr="00273F23" w:rsidRDefault="00C37754" w:rsidP="00327919">
      <w:pPr>
        <w:tabs>
          <w:tab w:val="left" w:pos="540"/>
          <w:tab w:val="left" w:pos="569"/>
        </w:tabs>
        <w:jc w:val="both"/>
        <w:rPr>
          <w:bCs/>
          <w:sz w:val="22"/>
          <w:szCs w:val="22"/>
          <w:lang w:val="sr-Latn-ME"/>
        </w:rPr>
      </w:pPr>
      <w:r w:rsidRPr="00273F23">
        <w:rPr>
          <w:bCs/>
          <w:sz w:val="22"/>
          <w:szCs w:val="22"/>
          <w:lang w:val="sr-Latn-ME"/>
        </w:rPr>
        <w:t>Nije primjenjivo.</w:t>
      </w:r>
    </w:p>
    <w:p w14:paraId="25267B91" w14:textId="77777777" w:rsidR="0072020E" w:rsidRPr="00273F23" w:rsidRDefault="0072020E" w:rsidP="00327919">
      <w:pPr>
        <w:tabs>
          <w:tab w:val="left" w:pos="540"/>
          <w:tab w:val="left" w:pos="569"/>
        </w:tabs>
        <w:jc w:val="both"/>
        <w:rPr>
          <w:bCs/>
          <w:sz w:val="22"/>
          <w:szCs w:val="22"/>
          <w:lang w:val="sr-Latn-ME"/>
        </w:rPr>
      </w:pPr>
    </w:p>
    <w:p w14:paraId="505F3068"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6.3.</w:t>
      </w:r>
      <w:r w:rsidR="00C05DF8" w:rsidRPr="00273F23">
        <w:rPr>
          <w:b/>
          <w:bCs/>
          <w:sz w:val="22"/>
          <w:szCs w:val="22"/>
          <w:lang w:val="sr-Latn-ME"/>
        </w:rPr>
        <w:t xml:space="preserve"> </w:t>
      </w:r>
      <w:r w:rsidR="00480FB1" w:rsidRPr="00273F23">
        <w:rPr>
          <w:b/>
          <w:bCs/>
          <w:sz w:val="22"/>
          <w:szCs w:val="22"/>
          <w:lang w:val="sr-Latn-ME"/>
        </w:rPr>
        <w:tab/>
      </w:r>
      <w:r w:rsidRPr="00273F23">
        <w:rPr>
          <w:b/>
          <w:bCs/>
          <w:sz w:val="22"/>
          <w:szCs w:val="22"/>
          <w:lang w:val="sr-Latn-ME"/>
        </w:rPr>
        <w:t>Rok upotrebe</w:t>
      </w:r>
    </w:p>
    <w:p w14:paraId="6B29A6C1" w14:textId="77777777" w:rsidR="00C37754" w:rsidRPr="00273F23" w:rsidRDefault="00C37754" w:rsidP="00327919">
      <w:pPr>
        <w:tabs>
          <w:tab w:val="left" w:pos="540"/>
          <w:tab w:val="left" w:pos="569"/>
        </w:tabs>
        <w:jc w:val="both"/>
        <w:rPr>
          <w:bCs/>
          <w:sz w:val="22"/>
          <w:szCs w:val="22"/>
          <w:lang w:val="sr-Latn-ME"/>
        </w:rPr>
      </w:pPr>
    </w:p>
    <w:p w14:paraId="6E7E04FB" w14:textId="5446DCBA" w:rsidR="00C37754" w:rsidRPr="00273F23" w:rsidRDefault="00C37754" w:rsidP="00327919">
      <w:pPr>
        <w:tabs>
          <w:tab w:val="left" w:pos="540"/>
          <w:tab w:val="left" w:pos="569"/>
        </w:tabs>
        <w:jc w:val="both"/>
        <w:rPr>
          <w:bCs/>
          <w:sz w:val="22"/>
          <w:szCs w:val="22"/>
          <w:lang w:val="sr-Latn-ME"/>
        </w:rPr>
      </w:pPr>
      <w:r w:rsidRPr="00273F23">
        <w:rPr>
          <w:bCs/>
          <w:sz w:val="22"/>
          <w:szCs w:val="22"/>
          <w:lang w:val="sr-Latn-ME"/>
        </w:rPr>
        <w:lastRenderedPageBreak/>
        <w:t>18 mjeseci</w:t>
      </w:r>
      <w:r w:rsidR="00D42DAE" w:rsidRPr="00273F23">
        <w:rPr>
          <w:bCs/>
          <w:sz w:val="22"/>
          <w:szCs w:val="22"/>
          <w:lang w:val="sr-Latn-ME"/>
        </w:rPr>
        <w:t>.</w:t>
      </w:r>
    </w:p>
    <w:p w14:paraId="6ED0F19A" w14:textId="77777777" w:rsidR="0072020E" w:rsidRPr="00273F23" w:rsidRDefault="0072020E" w:rsidP="00327919">
      <w:pPr>
        <w:tabs>
          <w:tab w:val="left" w:pos="540"/>
          <w:tab w:val="left" w:pos="569"/>
        </w:tabs>
        <w:jc w:val="both"/>
        <w:rPr>
          <w:bCs/>
          <w:sz w:val="22"/>
          <w:szCs w:val="22"/>
          <w:lang w:val="sr-Latn-ME"/>
        </w:rPr>
      </w:pPr>
    </w:p>
    <w:p w14:paraId="60D18965"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6.4. </w:t>
      </w:r>
      <w:r w:rsidR="00480FB1" w:rsidRPr="00273F23">
        <w:rPr>
          <w:b/>
          <w:bCs/>
          <w:sz w:val="22"/>
          <w:szCs w:val="22"/>
          <w:lang w:val="sr-Latn-ME"/>
        </w:rPr>
        <w:tab/>
      </w:r>
      <w:r w:rsidRPr="00273F23">
        <w:rPr>
          <w:b/>
          <w:bCs/>
          <w:sz w:val="22"/>
          <w:szCs w:val="22"/>
          <w:lang w:val="sr-Latn-ME"/>
        </w:rPr>
        <w:t>Posebne mjere upozorenja pri čuvanju</w:t>
      </w:r>
      <w:r w:rsidR="00F8570A" w:rsidRPr="00273F23">
        <w:rPr>
          <w:b/>
          <w:bCs/>
          <w:sz w:val="22"/>
          <w:szCs w:val="22"/>
          <w:lang w:val="sr-Latn-ME"/>
        </w:rPr>
        <w:t xml:space="preserve"> lijeka</w:t>
      </w:r>
    </w:p>
    <w:p w14:paraId="7662DCE8" w14:textId="77777777" w:rsidR="00C37754" w:rsidRPr="00273F23" w:rsidRDefault="00C37754" w:rsidP="00327919">
      <w:pPr>
        <w:tabs>
          <w:tab w:val="left" w:pos="540"/>
          <w:tab w:val="left" w:pos="569"/>
        </w:tabs>
        <w:jc w:val="both"/>
        <w:rPr>
          <w:bCs/>
          <w:sz w:val="22"/>
          <w:szCs w:val="22"/>
          <w:lang w:val="sr-Latn-ME"/>
        </w:rPr>
      </w:pPr>
    </w:p>
    <w:p w14:paraId="0C619E4D" w14:textId="6773A58A" w:rsidR="00C37754" w:rsidRPr="00273F23" w:rsidRDefault="00C37754" w:rsidP="00457283">
      <w:pPr>
        <w:tabs>
          <w:tab w:val="left" w:pos="540"/>
          <w:tab w:val="left" w:pos="569"/>
        </w:tabs>
        <w:jc w:val="both"/>
        <w:rPr>
          <w:bCs/>
          <w:sz w:val="22"/>
          <w:szCs w:val="22"/>
          <w:lang w:val="sr-Latn-ME"/>
        </w:rPr>
      </w:pPr>
      <w:r w:rsidRPr="00273F23">
        <w:rPr>
          <w:bCs/>
          <w:sz w:val="22"/>
          <w:szCs w:val="22"/>
          <w:lang w:val="sr-Latn-ME"/>
        </w:rPr>
        <w:t xml:space="preserve">Čuvati u originalnom </w:t>
      </w:r>
      <w:r w:rsidR="00630B2D" w:rsidRPr="00273F23">
        <w:rPr>
          <w:bCs/>
          <w:sz w:val="22"/>
          <w:szCs w:val="22"/>
          <w:lang w:val="sr-Latn-ME"/>
        </w:rPr>
        <w:t>blisteru</w:t>
      </w:r>
      <w:r w:rsidRPr="00273F23">
        <w:rPr>
          <w:bCs/>
          <w:sz w:val="22"/>
          <w:szCs w:val="22"/>
          <w:lang w:val="sr-Latn-ME"/>
        </w:rPr>
        <w:t>, radi zaštite od vlage</w:t>
      </w:r>
      <w:r w:rsidR="00630B2D" w:rsidRPr="00273F23">
        <w:rPr>
          <w:bCs/>
          <w:sz w:val="22"/>
          <w:szCs w:val="22"/>
          <w:lang w:val="sr-Latn-ME"/>
        </w:rPr>
        <w:t xml:space="preserve"> i svjetlosti</w:t>
      </w:r>
      <w:r w:rsidRPr="00273F23">
        <w:rPr>
          <w:bCs/>
          <w:sz w:val="22"/>
          <w:szCs w:val="22"/>
          <w:lang w:val="sr-Latn-ME"/>
        </w:rPr>
        <w:t>.</w:t>
      </w:r>
    </w:p>
    <w:p w14:paraId="6190C99F" w14:textId="77777777" w:rsidR="00EC2532" w:rsidRPr="00273F23" w:rsidRDefault="00EC2532" w:rsidP="00457283">
      <w:pPr>
        <w:tabs>
          <w:tab w:val="left" w:pos="540"/>
          <w:tab w:val="left" w:pos="569"/>
        </w:tabs>
        <w:jc w:val="both"/>
        <w:rPr>
          <w:bCs/>
          <w:sz w:val="22"/>
          <w:szCs w:val="22"/>
          <w:lang w:val="sr-Latn-ME"/>
        </w:rPr>
      </w:pPr>
    </w:p>
    <w:p w14:paraId="0A93C21D"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6.5. </w:t>
      </w:r>
      <w:r w:rsidR="00480FB1" w:rsidRPr="00273F23">
        <w:rPr>
          <w:b/>
          <w:bCs/>
          <w:sz w:val="22"/>
          <w:szCs w:val="22"/>
          <w:lang w:val="sr-Latn-ME"/>
        </w:rPr>
        <w:tab/>
      </w:r>
      <w:r w:rsidR="002846DB" w:rsidRPr="00273F23">
        <w:rPr>
          <w:b/>
          <w:bCs/>
          <w:sz w:val="22"/>
          <w:szCs w:val="22"/>
          <w:lang w:val="sr-Latn-ME"/>
        </w:rPr>
        <w:t xml:space="preserve">Vrsta i sadržaj </w:t>
      </w:r>
      <w:r w:rsidR="00F8570A" w:rsidRPr="00273F23">
        <w:rPr>
          <w:b/>
          <w:bCs/>
          <w:sz w:val="22"/>
          <w:szCs w:val="22"/>
          <w:lang w:val="sr-Latn-ME"/>
        </w:rPr>
        <w:t>pakovanja</w:t>
      </w:r>
      <w:r w:rsidR="00C06864" w:rsidRPr="00273F23">
        <w:rPr>
          <w:b/>
          <w:bCs/>
          <w:sz w:val="22"/>
          <w:szCs w:val="22"/>
          <w:lang w:val="sr-Latn-ME"/>
        </w:rPr>
        <w:t xml:space="preserve"> </w:t>
      </w:r>
    </w:p>
    <w:p w14:paraId="618A94D8" w14:textId="49C1B188" w:rsidR="0072020E" w:rsidRPr="00273F23" w:rsidRDefault="0072020E" w:rsidP="00327919">
      <w:pPr>
        <w:tabs>
          <w:tab w:val="left" w:pos="540"/>
          <w:tab w:val="left" w:pos="569"/>
        </w:tabs>
        <w:jc w:val="both"/>
        <w:rPr>
          <w:bCs/>
          <w:sz w:val="22"/>
          <w:szCs w:val="22"/>
          <w:lang w:val="sr-Latn-ME"/>
        </w:rPr>
      </w:pPr>
    </w:p>
    <w:p w14:paraId="130F5F4E" w14:textId="77777777" w:rsidR="00C37754" w:rsidRPr="00273F23" w:rsidRDefault="00C37754" w:rsidP="00457283">
      <w:pPr>
        <w:tabs>
          <w:tab w:val="left" w:pos="540"/>
          <w:tab w:val="left" w:pos="569"/>
        </w:tabs>
        <w:jc w:val="both"/>
        <w:rPr>
          <w:bCs/>
          <w:sz w:val="22"/>
          <w:szCs w:val="22"/>
          <w:lang w:val="sr-Latn-ME"/>
        </w:rPr>
      </w:pPr>
      <w:r w:rsidRPr="00273F23">
        <w:rPr>
          <w:bCs/>
          <w:sz w:val="22"/>
          <w:szCs w:val="22"/>
          <w:lang w:val="sr-Latn-ME"/>
        </w:rPr>
        <w:t xml:space="preserve">Unutrašnje pakovanje je Al/Al blister koji sadrži 4 tablete. </w:t>
      </w:r>
    </w:p>
    <w:p w14:paraId="4FC7E803" w14:textId="71F7616E" w:rsidR="00C37754" w:rsidRPr="00273F23" w:rsidRDefault="00C37754" w:rsidP="00457283">
      <w:pPr>
        <w:tabs>
          <w:tab w:val="left" w:pos="540"/>
          <w:tab w:val="left" w:pos="569"/>
        </w:tabs>
        <w:jc w:val="both"/>
        <w:rPr>
          <w:bCs/>
          <w:sz w:val="22"/>
          <w:szCs w:val="22"/>
          <w:lang w:val="sr-Latn-ME"/>
        </w:rPr>
      </w:pPr>
      <w:r w:rsidRPr="00273F23">
        <w:rPr>
          <w:bCs/>
          <w:sz w:val="22"/>
          <w:szCs w:val="22"/>
          <w:lang w:val="sr-Latn-ME"/>
        </w:rPr>
        <w:t>Spoljašnje pakovanje je složiva kartonska kutija u kojoj se nalazi 1 blister sa 4 tablete i Uputstvo za lijek.</w:t>
      </w:r>
    </w:p>
    <w:p w14:paraId="26C494FC" w14:textId="77777777" w:rsidR="00C37754" w:rsidRPr="00273F23" w:rsidRDefault="00C37754" w:rsidP="00327919">
      <w:pPr>
        <w:tabs>
          <w:tab w:val="left" w:pos="540"/>
          <w:tab w:val="left" w:pos="569"/>
        </w:tabs>
        <w:jc w:val="both"/>
        <w:rPr>
          <w:bCs/>
          <w:sz w:val="22"/>
          <w:szCs w:val="22"/>
          <w:lang w:val="sr-Latn-ME"/>
        </w:rPr>
      </w:pPr>
    </w:p>
    <w:p w14:paraId="1C7D1928" w14:textId="77777777" w:rsidR="002846DB"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6.6. </w:t>
      </w:r>
      <w:r w:rsidR="00480FB1" w:rsidRPr="00273F23">
        <w:rPr>
          <w:b/>
          <w:bCs/>
          <w:sz w:val="22"/>
          <w:szCs w:val="22"/>
          <w:lang w:val="sr-Latn-ME"/>
        </w:rPr>
        <w:tab/>
      </w:r>
      <w:r w:rsidRPr="00273F23">
        <w:rPr>
          <w:b/>
          <w:bCs/>
          <w:color w:val="000000"/>
          <w:sz w:val="22"/>
          <w:szCs w:val="22"/>
          <w:lang w:val="sr-Latn-ME"/>
        </w:rPr>
        <w:t>Posebne mjere opreza pri odlaganju materijala koji treba odbaciti nakon primjene lijeka</w:t>
      </w:r>
      <w:r w:rsidRPr="00273F23">
        <w:rPr>
          <w:b/>
          <w:bCs/>
          <w:sz w:val="22"/>
          <w:szCs w:val="22"/>
          <w:lang w:val="sr-Latn-ME"/>
        </w:rPr>
        <w:t xml:space="preserve"> </w:t>
      </w:r>
      <w:r w:rsidR="00310F03" w:rsidRPr="00273F23">
        <w:rPr>
          <w:b/>
          <w:bCs/>
          <w:sz w:val="22"/>
          <w:szCs w:val="22"/>
          <w:lang w:val="sr-Latn-ME"/>
        </w:rPr>
        <w:t>(i druga uputs</w:t>
      </w:r>
      <w:r w:rsidR="004109FA" w:rsidRPr="00273F23">
        <w:rPr>
          <w:b/>
          <w:bCs/>
          <w:sz w:val="22"/>
          <w:szCs w:val="22"/>
          <w:lang w:val="sr-Latn-ME"/>
        </w:rPr>
        <w:t>t</w:t>
      </w:r>
      <w:r w:rsidR="00310F03" w:rsidRPr="00273F23">
        <w:rPr>
          <w:b/>
          <w:bCs/>
          <w:sz w:val="22"/>
          <w:szCs w:val="22"/>
          <w:lang w:val="sr-Latn-ME"/>
        </w:rPr>
        <w:t xml:space="preserve">va za rukovanje lijekom) </w:t>
      </w:r>
    </w:p>
    <w:p w14:paraId="063AE296" w14:textId="77777777" w:rsidR="00B66A70" w:rsidRPr="00273F23" w:rsidRDefault="00B66A70" w:rsidP="00327919">
      <w:pPr>
        <w:tabs>
          <w:tab w:val="left" w:pos="540"/>
          <w:tab w:val="left" w:pos="569"/>
        </w:tabs>
        <w:jc w:val="both"/>
        <w:rPr>
          <w:b/>
          <w:bCs/>
          <w:sz w:val="22"/>
          <w:szCs w:val="22"/>
          <w:lang w:val="sr-Latn-ME"/>
        </w:rPr>
      </w:pPr>
    </w:p>
    <w:p w14:paraId="1C1339CF" w14:textId="738D8CA5" w:rsidR="0072020E" w:rsidRPr="00273F23" w:rsidRDefault="00C37754" w:rsidP="00457283">
      <w:pPr>
        <w:tabs>
          <w:tab w:val="left" w:pos="540"/>
          <w:tab w:val="left" w:pos="569"/>
        </w:tabs>
        <w:jc w:val="both"/>
        <w:rPr>
          <w:bCs/>
          <w:sz w:val="22"/>
          <w:szCs w:val="22"/>
          <w:lang w:val="sr-Latn-ME"/>
        </w:rPr>
      </w:pPr>
      <w:r w:rsidRPr="00273F23">
        <w:rPr>
          <w:bCs/>
          <w:sz w:val="22"/>
          <w:szCs w:val="22"/>
          <w:lang w:val="sr-Latn-ME"/>
        </w:rPr>
        <w:t>Svu neiskorišćenu količinu lijeka ili otpadnog materijala nakon njegove upotrebe treba ukloniti, u skladu sa važećim propisima.</w:t>
      </w:r>
    </w:p>
    <w:p w14:paraId="777C56EE" w14:textId="4AF2D013" w:rsidR="00C015CD" w:rsidRPr="00273F23" w:rsidRDefault="00C015CD" w:rsidP="00327919">
      <w:pPr>
        <w:tabs>
          <w:tab w:val="left" w:pos="540"/>
          <w:tab w:val="left" w:pos="569"/>
        </w:tabs>
        <w:jc w:val="both"/>
        <w:rPr>
          <w:b/>
          <w:bCs/>
          <w:sz w:val="22"/>
          <w:szCs w:val="22"/>
          <w:lang w:val="sr-Latn-ME"/>
        </w:rPr>
      </w:pPr>
    </w:p>
    <w:p w14:paraId="67F4AABE" w14:textId="77777777" w:rsidR="00C015CD" w:rsidRPr="00273F23" w:rsidRDefault="00C015CD" w:rsidP="00327919">
      <w:pPr>
        <w:tabs>
          <w:tab w:val="left" w:pos="540"/>
          <w:tab w:val="left" w:pos="569"/>
        </w:tabs>
        <w:jc w:val="both"/>
        <w:rPr>
          <w:b/>
          <w:bCs/>
          <w:sz w:val="22"/>
          <w:szCs w:val="22"/>
          <w:lang w:val="sr-Latn-ME"/>
        </w:rPr>
      </w:pPr>
    </w:p>
    <w:p w14:paraId="289D7F36" w14:textId="1CF28F68" w:rsidR="00F8570A"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7. </w:t>
      </w:r>
      <w:r w:rsidR="00480FB1" w:rsidRPr="00273F23">
        <w:rPr>
          <w:b/>
          <w:bCs/>
          <w:sz w:val="22"/>
          <w:szCs w:val="22"/>
          <w:lang w:val="sr-Latn-ME"/>
        </w:rPr>
        <w:tab/>
      </w:r>
      <w:r w:rsidRPr="00273F23">
        <w:rPr>
          <w:b/>
          <w:bCs/>
          <w:sz w:val="22"/>
          <w:szCs w:val="22"/>
          <w:lang w:val="sr-Latn-ME"/>
        </w:rPr>
        <w:t>NOSILAC DOZVOLE</w:t>
      </w:r>
      <w:r w:rsidR="00483928" w:rsidRPr="00273F23">
        <w:rPr>
          <w:b/>
          <w:bCs/>
          <w:sz w:val="22"/>
          <w:szCs w:val="22"/>
          <w:lang w:val="sr-Latn-ME"/>
        </w:rPr>
        <w:t xml:space="preserve"> </w:t>
      </w:r>
    </w:p>
    <w:p w14:paraId="4A5CABFA" w14:textId="77777777" w:rsidR="00C37754" w:rsidRPr="00273F23" w:rsidRDefault="00C37754" w:rsidP="00327919">
      <w:pPr>
        <w:tabs>
          <w:tab w:val="left" w:pos="540"/>
          <w:tab w:val="left" w:pos="569"/>
        </w:tabs>
        <w:jc w:val="both"/>
        <w:rPr>
          <w:bCs/>
          <w:sz w:val="22"/>
          <w:szCs w:val="22"/>
          <w:lang w:val="sr-Latn-ME"/>
        </w:rPr>
      </w:pPr>
      <w:bookmarkStart w:id="1" w:name="_Hlk19380332"/>
    </w:p>
    <w:p w14:paraId="7207437B" w14:textId="17E15A66" w:rsidR="004B307D" w:rsidRPr="00273F23" w:rsidRDefault="004B307D" w:rsidP="004B307D">
      <w:pPr>
        <w:rPr>
          <w:bCs/>
          <w:sz w:val="22"/>
          <w:szCs w:val="22"/>
          <w:lang w:val="sr-Latn-ME"/>
        </w:rPr>
      </w:pPr>
      <w:r w:rsidRPr="00273F23">
        <w:rPr>
          <w:bCs/>
          <w:sz w:val="22"/>
          <w:szCs w:val="22"/>
          <w:lang w:val="sr-Latn-ME"/>
        </w:rPr>
        <w:t>Glosarij d.o.o., Vojislavljevića 76, Podgorica, Crna Gora</w:t>
      </w:r>
    </w:p>
    <w:bookmarkEnd w:id="1"/>
    <w:p w14:paraId="59115114" w14:textId="6D4D0812" w:rsidR="00627B0A" w:rsidRDefault="00627B0A" w:rsidP="00327919">
      <w:pPr>
        <w:tabs>
          <w:tab w:val="left" w:pos="540"/>
          <w:tab w:val="left" w:pos="569"/>
        </w:tabs>
        <w:jc w:val="both"/>
        <w:rPr>
          <w:bCs/>
          <w:sz w:val="22"/>
          <w:szCs w:val="22"/>
          <w:lang w:val="sr-Latn-ME"/>
        </w:rPr>
      </w:pPr>
    </w:p>
    <w:p w14:paraId="3F3B83AA" w14:textId="77777777" w:rsidR="00273F23" w:rsidRPr="00273F23" w:rsidRDefault="00273F23" w:rsidP="00327919">
      <w:pPr>
        <w:tabs>
          <w:tab w:val="left" w:pos="540"/>
          <w:tab w:val="left" w:pos="569"/>
        </w:tabs>
        <w:jc w:val="both"/>
        <w:rPr>
          <w:bCs/>
          <w:sz w:val="22"/>
          <w:szCs w:val="22"/>
          <w:lang w:val="sr-Latn-ME"/>
        </w:rPr>
      </w:pPr>
    </w:p>
    <w:p w14:paraId="2447D76E" w14:textId="28B0E533"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8. </w:t>
      </w:r>
      <w:r w:rsidR="00480FB1" w:rsidRPr="00273F23">
        <w:rPr>
          <w:b/>
          <w:bCs/>
          <w:sz w:val="22"/>
          <w:szCs w:val="22"/>
          <w:lang w:val="sr-Latn-ME"/>
        </w:rPr>
        <w:tab/>
      </w:r>
      <w:r w:rsidRPr="00273F23">
        <w:rPr>
          <w:b/>
          <w:bCs/>
          <w:sz w:val="22"/>
          <w:szCs w:val="22"/>
          <w:lang w:val="sr-Latn-ME"/>
        </w:rPr>
        <w:t>BROJ DOZVOLE</w:t>
      </w:r>
      <w:r w:rsidR="008A6D43" w:rsidRPr="00273F23">
        <w:rPr>
          <w:b/>
          <w:bCs/>
          <w:sz w:val="22"/>
          <w:szCs w:val="22"/>
          <w:lang w:val="sr-Latn-ME"/>
        </w:rPr>
        <w:t xml:space="preserve"> ZA STAVLJANJE LIJEKA U PROMET</w:t>
      </w:r>
    </w:p>
    <w:p w14:paraId="7320506E" w14:textId="77777777" w:rsidR="0072020E" w:rsidRPr="00273F23" w:rsidRDefault="0072020E" w:rsidP="00327919">
      <w:pPr>
        <w:tabs>
          <w:tab w:val="left" w:pos="540"/>
          <w:tab w:val="left" w:pos="569"/>
        </w:tabs>
        <w:jc w:val="both"/>
        <w:rPr>
          <w:bCs/>
          <w:sz w:val="22"/>
          <w:szCs w:val="22"/>
          <w:lang w:val="sr-Latn-ME"/>
        </w:rPr>
      </w:pPr>
    </w:p>
    <w:p w14:paraId="39BA7204" w14:textId="7B748067" w:rsidR="00F45F77" w:rsidRPr="00273F23" w:rsidRDefault="00153E0F" w:rsidP="00327919">
      <w:pPr>
        <w:tabs>
          <w:tab w:val="left" w:pos="540"/>
          <w:tab w:val="left" w:pos="569"/>
        </w:tabs>
        <w:jc w:val="both"/>
        <w:rPr>
          <w:bCs/>
          <w:sz w:val="22"/>
          <w:szCs w:val="22"/>
          <w:lang w:val="sr-Latn-ME"/>
        </w:rPr>
      </w:pPr>
      <w:r w:rsidRPr="00273F23">
        <w:rPr>
          <w:bCs/>
          <w:sz w:val="22"/>
          <w:szCs w:val="22"/>
          <w:lang w:val="sr-Latn-ME"/>
        </w:rPr>
        <w:t>2030/23/1423 - 6663</w:t>
      </w:r>
    </w:p>
    <w:p w14:paraId="4ADCD75C" w14:textId="7A25C47E" w:rsidR="00C015CD" w:rsidRDefault="00C015CD" w:rsidP="00327919">
      <w:pPr>
        <w:tabs>
          <w:tab w:val="left" w:pos="540"/>
          <w:tab w:val="left" w:pos="569"/>
        </w:tabs>
        <w:jc w:val="both"/>
        <w:rPr>
          <w:bCs/>
          <w:sz w:val="22"/>
          <w:szCs w:val="22"/>
          <w:lang w:val="sr-Latn-ME"/>
        </w:rPr>
      </w:pPr>
    </w:p>
    <w:p w14:paraId="15F01694" w14:textId="77777777" w:rsidR="00273F23" w:rsidRPr="00273F23" w:rsidRDefault="00273F23" w:rsidP="00327919">
      <w:pPr>
        <w:tabs>
          <w:tab w:val="left" w:pos="540"/>
          <w:tab w:val="left" w:pos="569"/>
        </w:tabs>
        <w:jc w:val="both"/>
        <w:rPr>
          <w:bCs/>
          <w:sz w:val="22"/>
          <w:szCs w:val="22"/>
          <w:lang w:val="sr-Latn-ME"/>
        </w:rPr>
      </w:pPr>
    </w:p>
    <w:p w14:paraId="40B4C637" w14:textId="77777777" w:rsidR="0072020E" w:rsidRPr="00273F23" w:rsidRDefault="0072020E" w:rsidP="00327919">
      <w:pPr>
        <w:tabs>
          <w:tab w:val="left" w:pos="540"/>
          <w:tab w:val="left" w:pos="569"/>
        </w:tabs>
        <w:jc w:val="both"/>
        <w:rPr>
          <w:b/>
          <w:bCs/>
          <w:sz w:val="22"/>
          <w:szCs w:val="22"/>
          <w:lang w:val="sr-Latn-ME"/>
        </w:rPr>
      </w:pPr>
      <w:r w:rsidRPr="00273F23">
        <w:rPr>
          <w:b/>
          <w:bCs/>
          <w:sz w:val="22"/>
          <w:szCs w:val="22"/>
          <w:lang w:val="sr-Latn-ME"/>
        </w:rPr>
        <w:t xml:space="preserve">9. </w:t>
      </w:r>
      <w:r w:rsidR="00480FB1" w:rsidRPr="00273F23">
        <w:rPr>
          <w:b/>
          <w:bCs/>
          <w:sz w:val="22"/>
          <w:szCs w:val="22"/>
          <w:lang w:val="sr-Latn-ME"/>
        </w:rPr>
        <w:tab/>
      </w:r>
      <w:r w:rsidRPr="00273F23">
        <w:rPr>
          <w:b/>
          <w:bCs/>
          <w:sz w:val="22"/>
          <w:szCs w:val="22"/>
          <w:lang w:val="sr-Latn-ME"/>
        </w:rPr>
        <w:t xml:space="preserve">DATUM </w:t>
      </w:r>
      <w:r w:rsidR="00C05DF8" w:rsidRPr="00273F23">
        <w:rPr>
          <w:b/>
          <w:bCs/>
          <w:sz w:val="22"/>
          <w:szCs w:val="22"/>
          <w:lang w:val="sr-Latn-ME"/>
        </w:rPr>
        <w:t xml:space="preserve">PRVE </w:t>
      </w:r>
      <w:r w:rsidR="008A6D43" w:rsidRPr="00273F23">
        <w:rPr>
          <w:b/>
          <w:bCs/>
          <w:sz w:val="22"/>
          <w:szCs w:val="22"/>
          <w:lang w:val="sr-Latn-ME"/>
        </w:rPr>
        <w:t>DOZVOLE</w:t>
      </w:r>
      <w:r w:rsidR="00C05DF8" w:rsidRPr="00273F23">
        <w:rPr>
          <w:b/>
          <w:bCs/>
          <w:sz w:val="22"/>
          <w:szCs w:val="22"/>
          <w:lang w:val="sr-Latn-ME"/>
        </w:rPr>
        <w:t>/OBNOVE DOZVOLE</w:t>
      </w:r>
      <w:r w:rsidR="008A6D43" w:rsidRPr="00273F23">
        <w:rPr>
          <w:b/>
          <w:bCs/>
          <w:sz w:val="22"/>
          <w:szCs w:val="22"/>
          <w:lang w:val="sr-Latn-ME"/>
        </w:rPr>
        <w:t xml:space="preserve"> ZA STAVLJANJE LIJEKA U PROMET</w:t>
      </w:r>
    </w:p>
    <w:p w14:paraId="10744571" w14:textId="5F80E57F" w:rsidR="00836B35" w:rsidRPr="00273F23" w:rsidRDefault="00836B35" w:rsidP="00327919">
      <w:pPr>
        <w:tabs>
          <w:tab w:val="left" w:pos="540"/>
          <w:tab w:val="left" w:pos="569"/>
        </w:tabs>
        <w:jc w:val="both"/>
        <w:rPr>
          <w:bCs/>
          <w:sz w:val="22"/>
          <w:szCs w:val="22"/>
          <w:lang w:val="sr-Latn-ME"/>
        </w:rPr>
      </w:pPr>
    </w:p>
    <w:p w14:paraId="6EF123C2" w14:textId="193E605D" w:rsidR="00C37754" w:rsidRPr="00273F23" w:rsidRDefault="00985A38" w:rsidP="00327919">
      <w:pPr>
        <w:tabs>
          <w:tab w:val="left" w:pos="540"/>
          <w:tab w:val="left" w:pos="569"/>
        </w:tabs>
        <w:jc w:val="both"/>
        <w:rPr>
          <w:bCs/>
          <w:sz w:val="22"/>
          <w:szCs w:val="22"/>
          <w:lang w:val="sr-Latn-ME"/>
        </w:rPr>
      </w:pPr>
      <w:r w:rsidRPr="00273F23">
        <w:rPr>
          <w:bCs/>
          <w:sz w:val="22"/>
          <w:szCs w:val="22"/>
          <w:lang w:val="sr-Latn-ME"/>
        </w:rPr>
        <w:t>Datum prve dozvole:</w:t>
      </w:r>
      <w:r w:rsidR="00153E0F" w:rsidRPr="00273F23">
        <w:rPr>
          <w:bCs/>
          <w:sz w:val="22"/>
          <w:szCs w:val="22"/>
          <w:lang w:val="sr-Latn-ME"/>
        </w:rPr>
        <w:t xml:space="preserve"> 25.07.2011. godine</w:t>
      </w:r>
    </w:p>
    <w:p w14:paraId="17519683" w14:textId="6C25DDE8" w:rsidR="00985A38" w:rsidRPr="00273F23" w:rsidRDefault="00985A38" w:rsidP="00327919">
      <w:pPr>
        <w:tabs>
          <w:tab w:val="left" w:pos="540"/>
          <w:tab w:val="left" w:pos="569"/>
        </w:tabs>
        <w:jc w:val="both"/>
        <w:rPr>
          <w:bCs/>
          <w:sz w:val="22"/>
          <w:szCs w:val="22"/>
          <w:lang w:val="sr-Latn-ME"/>
        </w:rPr>
      </w:pPr>
      <w:r w:rsidRPr="00273F23">
        <w:rPr>
          <w:bCs/>
          <w:sz w:val="22"/>
          <w:szCs w:val="22"/>
          <w:lang w:val="sr-Latn-ME"/>
        </w:rPr>
        <w:t>Datum poslednje obnove dozvole:</w:t>
      </w:r>
      <w:r w:rsidR="00153E0F" w:rsidRPr="00273F23">
        <w:rPr>
          <w:bCs/>
          <w:sz w:val="22"/>
          <w:szCs w:val="22"/>
          <w:lang w:val="sr-Latn-ME"/>
        </w:rPr>
        <w:t xml:space="preserve"> 18.04.2023. godine</w:t>
      </w:r>
    </w:p>
    <w:p w14:paraId="79B0DBD7" w14:textId="648B991E" w:rsidR="00985A38" w:rsidRPr="00273F23" w:rsidRDefault="00985A38" w:rsidP="00327919">
      <w:pPr>
        <w:tabs>
          <w:tab w:val="left" w:pos="540"/>
          <w:tab w:val="left" w:pos="569"/>
        </w:tabs>
        <w:jc w:val="both"/>
        <w:rPr>
          <w:bCs/>
          <w:sz w:val="22"/>
          <w:szCs w:val="22"/>
          <w:lang w:val="sr-Latn-ME"/>
        </w:rPr>
      </w:pPr>
    </w:p>
    <w:p w14:paraId="5A7DFC92" w14:textId="77777777" w:rsidR="00C015CD" w:rsidRPr="00273F23" w:rsidRDefault="00C015CD" w:rsidP="00327919">
      <w:pPr>
        <w:tabs>
          <w:tab w:val="left" w:pos="540"/>
          <w:tab w:val="left" w:pos="569"/>
        </w:tabs>
        <w:jc w:val="both"/>
        <w:rPr>
          <w:bCs/>
          <w:sz w:val="22"/>
          <w:szCs w:val="22"/>
          <w:lang w:val="sr-Latn-ME"/>
        </w:rPr>
      </w:pPr>
    </w:p>
    <w:p w14:paraId="5798A7B0" w14:textId="77777777" w:rsidR="003F6A59" w:rsidRPr="00273F23" w:rsidRDefault="0072020E" w:rsidP="00327919">
      <w:pPr>
        <w:tabs>
          <w:tab w:val="left" w:pos="540"/>
          <w:tab w:val="left" w:pos="569"/>
        </w:tabs>
        <w:ind w:left="540" w:hanging="540"/>
        <w:jc w:val="both"/>
        <w:rPr>
          <w:bCs/>
          <w:sz w:val="22"/>
          <w:szCs w:val="22"/>
          <w:lang w:val="sr-Latn-ME"/>
        </w:rPr>
      </w:pPr>
      <w:r w:rsidRPr="00273F23">
        <w:rPr>
          <w:b/>
          <w:bCs/>
          <w:sz w:val="22"/>
          <w:szCs w:val="22"/>
          <w:lang w:val="sr-Latn-ME"/>
        </w:rPr>
        <w:t xml:space="preserve">10. </w:t>
      </w:r>
      <w:r w:rsidR="00480FB1" w:rsidRPr="00273F23">
        <w:rPr>
          <w:b/>
          <w:bCs/>
          <w:sz w:val="22"/>
          <w:szCs w:val="22"/>
          <w:lang w:val="sr-Latn-ME"/>
        </w:rPr>
        <w:tab/>
      </w:r>
      <w:r w:rsidR="002846DB" w:rsidRPr="00273F23">
        <w:rPr>
          <w:b/>
          <w:bCs/>
          <w:sz w:val="22"/>
          <w:szCs w:val="22"/>
          <w:lang w:val="sr-Latn-ME"/>
        </w:rPr>
        <w:t>D</w:t>
      </w:r>
      <w:r w:rsidR="00EC2532" w:rsidRPr="00273F23">
        <w:rPr>
          <w:b/>
          <w:bCs/>
          <w:sz w:val="22"/>
          <w:szCs w:val="22"/>
          <w:lang w:val="sr-Latn-ME"/>
        </w:rPr>
        <w:t xml:space="preserve">ATUM REVIZIJE TEKSTA </w:t>
      </w:r>
    </w:p>
    <w:p w14:paraId="5E87D225" w14:textId="1EB26060" w:rsidR="008A6D43" w:rsidRDefault="008A6D43" w:rsidP="00327919">
      <w:pPr>
        <w:tabs>
          <w:tab w:val="left" w:pos="540"/>
          <w:tab w:val="left" w:pos="569"/>
        </w:tabs>
        <w:jc w:val="both"/>
        <w:rPr>
          <w:bCs/>
          <w:sz w:val="22"/>
          <w:szCs w:val="22"/>
          <w:lang w:val="sr-Latn-ME"/>
        </w:rPr>
      </w:pPr>
    </w:p>
    <w:p w14:paraId="3C28026A" w14:textId="3038C003" w:rsidR="00273F23" w:rsidRPr="00273F23" w:rsidRDefault="00273F23" w:rsidP="00327919">
      <w:pPr>
        <w:tabs>
          <w:tab w:val="left" w:pos="540"/>
          <w:tab w:val="left" w:pos="569"/>
        </w:tabs>
        <w:jc w:val="both"/>
        <w:rPr>
          <w:bCs/>
          <w:sz w:val="22"/>
          <w:szCs w:val="22"/>
          <w:lang w:val="sr-Latn-ME"/>
        </w:rPr>
      </w:pPr>
      <w:r>
        <w:rPr>
          <w:bCs/>
          <w:sz w:val="22"/>
          <w:szCs w:val="22"/>
          <w:lang w:val="sr-Latn-ME"/>
        </w:rPr>
        <w:t>Novembar, 2024. godine</w:t>
      </w:r>
    </w:p>
    <w:p w14:paraId="67AAF27A" w14:textId="0C1CCE85" w:rsidR="003F6A59" w:rsidRPr="00273F23" w:rsidRDefault="003F6A59" w:rsidP="00327919">
      <w:pPr>
        <w:jc w:val="both"/>
        <w:rPr>
          <w:sz w:val="22"/>
          <w:szCs w:val="22"/>
          <w:lang w:val="sr-Latn-ME"/>
        </w:rPr>
      </w:pPr>
    </w:p>
    <w:sectPr w:rsidR="003F6A59" w:rsidRPr="00273F23" w:rsidSect="006B5404">
      <w:footerReference w:type="default" r:id="rId12"/>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CB12CE" w16cex:dateUtc="2024-08-05T09:59:00Z"/>
  <w16cex:commentExtensible w16cex:durableId="66FEEA7A" w16cex:dateUtc="2024-08-05T10:00:00Z"/>
  <w16cex:commentExtensible w16cex:durableId="3E29B818" w16cex:dateUtc="2024-08-05T09:51:00Z"/>
  <w16cex:commentExtensible w16cex:durableId="06E31BF5" w16cex:dateUtc="2024-08-05T09:41:00Z"/>
  <w16cex:commentExtensible w16cex:durableId="79820F65" w16cex:dateUtc="2024-08-05T10:45:00Z"/>
  <w16cex:commentExtensible w16cex:durableId="5406182F" w16cex:dateUtc="2024-08-05T11:49:00Z"/>
  <w16cex:commentExtensible w16cex:durableId="3BE32F8C" w16cex:dateUtc="2024-08-05T09:53:00Z"/>
  <w16cex:commentExtensible w16cex:durableId="4CE653B9" w16cex:dateUtc="2024-08-05T09:54:00Z"/>
  <w16cex:commentExtensible w16cex:durableId="3E47AD6E" w16cex:dateUtc="2024-08-05T09:48:00Z"/>
  <w16cex:commentExtensible w16cex:durableId="0CCC1F60" w16cex:dateUtc="2024-08-05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7E9DA6" w16cid:durableId="10CB12CE"/>
  <w16cid:commentId w16cid:paraId="6D87093F" w16cid:durableId="66FEEA7A"/>
  <w16cid:commentId w16cid:paraId="442733A2" w16cid:durableId="3E29B818"/>
  <w16cid:commentId w16cid:paraId="038DEBDA" w16cid:durableId="06E31BF5"/>
  <w16cid:commentId w16cid:paraId="6FEFCACB" w16cid:durableId="79820F65"/>
  <w16cid:commentId w16cid:paraId="3146062F" w16cid:durableId="5406182F"/>
  <w16cid:commentId w16cid:paraId="1849FA1E" w16cid:durableId="3BE32F8C"/>
  <w16cid:commentId w16cid:paraId="1A215E5E" w16cid:durableId="4CE653B9"/>
  <w16cid:commentId w16cid:paraId="714AA7DC" w16cid:durableId="3E47AD6E"/>
  <w16cid:commentId w16cid:paraId="29F1B94D" w16cid:durableId="0CCC1F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9FDFA" w14:textId="77777777" w:rsidR="00F30C1B" w:rsidRDefault="00F30C1B">
      <w:r>
        <w:separator/>
      </w:r>
    </w:p>
  </w:endnote>
  <w:endnote w:type="continuationSeparator" w:id="0">
    <w:p w14:paraId="34E54B02" w14:textId="77777777" w:rsidR="00F30C1B" w:rsidRDefault="00F3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F749" w14:textId="74FC7537" w:rsidR="00851F1E" w:rsidRPr="00B23F69" w:rsidRDefault="00851F1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B1D89">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B1D89">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E3C45" w14:textId="77777777" w:rsidR="00F30C1B" w:rsidRDefault="00F30C1B">
      <w:r>
        <w:separator/>
      </w:r>
    </w:p>
  </w:footnote>
  <w:footnote w:type="continuationSeparator" w:id="0">
    <w:p w14:paraId="7CC5BF70" w14:textId="77777777" w:rsidR="00F30C1B" w:rsidRDefault="00F30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021B70"/>
    <w:multiLevelType w:val="hybridMultilevel"/>
    <w:tmpl w:val="B1D2750E"/>
    <w:lvl w:ilvl="0" w:tplc="FD625738">
      <w:start w:val="1"/>
      <w:numFmt w:val="bullet"/>
      <w:lvlText w:val=""/>
      <w:lvlJc w:val="left"/>
      <w:pPr>
        <w:tabs>
          <w:tab w:val="num" w:pos="1800"/>
        </w:tabs>
        <w:ind w:left="180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1C66AF5"/>
    <w:multiLevelType w:val="hybridMultilevel"/>
    <w:tmpl w:val="17D6D7E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D293FB3"/>
    <w:multiLevelType w:val="hybridMultilevel"/>
    <w:tmpl w:val="FF5AE4DC"/>
    <w:lvl w:ilvl="0" w:tplc="80B87A1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D21318"/>
    <w:multiLevelType w:val="hybridMultilevel"/>
    <w:tmpl w:val="9B047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DA7E68"/>
    <w:multiLevelType w:val="hybridMultilevel"/>
    <w:tmpl w:val="833C0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3"/>
  </w:num>
  <w:num w:numId="3">
    <w:abstractNumId w:val="0"/>
  </w:num>
  <w:num w:numId="4">
    <w:abstractNumId w:val="10"/>
  </w:num>
  <w:num w:numId="5">
    <w:abstractNumId w:val="5"/>
  </w:num>
  <w:num w:numId="6">
    <w:abstractNumId w:val="1"/>
  </w:num>
  <w:num w:numId="7">
    <w:abstractNumId w:val="8"/>
  </w:num>
  <w:num w:numId="8">
    <w:abstractNumId w:val="4"/>
  </w:num>
  <w:num w:numId="9">
    <w:abstractNumId w:val="7"/>
  </w:num>
  <w:num w:numId="10">
    <w:abstractNumId w:val="14"/>
  </w:num>
  <w:num w:numId="11">
    <w:abstractNumId w:val="6"/>
  </w:num>
  <w:num w:numId="12">
    <w:abstractNumId w:val="15"/>
  </w:num>
  <w:num w:numId="13">
    <w:abstractNumId w:val="12"/>
  </w:num>
  <w:num w:numId="14">
    <w:abstractNumId w:val="1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45F"/>
    <w:rsid w:val="000176CA"/>
    <w:rsid w:val="00020659"/>
    <w:rsid w:val="000239CD"/>
    <w:rsid w:val="00036FA0"/>
    <w:rsid w:val="0003793F"/>
    <w:rsid w:val="000504EA"/>
    <w:rsid w:val="00057E35"/>
    <w:rsid w:val="00076726"/>
    <w:rsid w:val="00077E46"/>
    <w:rsid w:val="00080303"/>
    <w:rsid w:val="00096268"/>
    <w:rsid w:val="000A3F58"/>
    <w:rsid w:val="000D2343"/>
    <w:rsid w:val="000D3449"/>
    <w:rsid w:val="000D425A"/>
    <w:rsid w:val="000D60CC"/>
    <w:rsid w:val="000E2084"/>
    <w:rsid w:val="000E6F55"/>
    <w:rsid w:val="000F77FA"/>
    <w:rsid w:val="00107BF7"/>
    <w:rsid w:val="00126F53"/>
    <w:rsid w:val="00137CFE"/>
    <w:rsid w:val="0014766D"/>
    <w:rsid w:val="001536CC"/>
    <w:rsid w:val="00153E0F"/>
    <w:rsid w:val="0016713D"/>
    <w:rsid w:val="001752D9"/>
    <w:rsid w:val="001A3FBA"/>
    <w:rsid w:val="001A5518"/>
    <w:rsid w:val="001B1C6A"/>
    <w:rsid w:val="001C1263"/>
    <w:rsid w:val="001C1417"/>
    <w:rsid w:val="001C16AD"/>
    <w:rsid w:val="001D70CF"/>
    <w:rsid w:val="001E390B"/>
    <w:rsid w:val="001F42FB"/>
    <w:rsid w:val="001F719A"/>
    <w:rsid w:val="0020105D"/>
    <w:rsid w:val="002031B3"/>
    <w:rsid w:val="00215931"/>
    <w:rsid w:val="002159A5"/>
    <w:rsid w:val="002246A4"/>
    <w:rsid w:val="00224C91"/>
    <w:rsid w:val="00225D4E"/>
    <w:rsid w:val="00227BDB"/>
    <w:rsid w:val="00231753"/>
    <w:rsid w:val="00234CB1"/>
    <w:rsid w:val="002352F8"/>
    <w:rsid w:val="00243BB2"/>
    <w:rsid w:val="0024558D"/>
    <w:rsid w:val="002457A0"/>
    <w:rsid w:val="002510A5"/>
    <w:rsid w:val="00254A0A"/>
    <w:rsid w:val="00257AA4"/>
    <w:rsid w:val="00266046"/>
    <w:rsid w:val="00273F23"/>
    <w:rsid w:val="002846DB"/>
    <w:rsid w:val="00284CCD"/>
    <w:rsid w:val="0028545E"/>
    <w:rsid w:val="002A091C"/>
    <w:rsid w:val="002A6CBA"/>
    <w:rsid w:val="002C6637"/>
    <w:rsid w:val="002D1F3F"/>
    <w:rsid w:val="002E0135"/>
    <w:rsid w:val="002E37A5"/>
    <w:rsid w:val="002E40C0"/>
    <w:rsid w:val="002F1260"/>
    <w:rsid w:val="00310F03"/>
    <w:rsid w:val="00313225"/>
    <w:rsid w:val="003237CE"/>
    <w:rsid w:val="003247D2"/>
    <w:rsid w:val="00327919"/>
    <w:rsid w:val="003445C1"/>
    <w:rsid w:val="00355B61"/>
    <w:rsid w:val="00362686"/>
    <w:rsid w:val="00371510"/>
    <w:rsid w:val="0039453D"/>
    <w:rsid w:val="003966ED"/>
    <w:rsid w:val="00396DFD"/>
    <w:rsid w:val="003A7059"/>
    <w:rsid w:val="003B7A36"/>
    <w:rsid w:val="003B7EE9"/>
    <w:rsid w:val="003C17AB"/>
    <w:rsid w:val="003C7823"/>
    <w:rsid w:val="003E1DCC"/>
    <w:rsid w:val="003F11A1"/>
    <w:rsid w:val="003F6A59"/>
    <w:rsid w:val="004065C8"/>
    <w:rsid w:val="004109FA"/>
    <w:rsid w:val="00411B4B"/>
    <w:rsid w:val="00415BEE"/>
    <w:rsid w:val="00427F85"/>
    <w:rsid w:val="00436F42"/>
    <w:rsid w:val="004378B4"/>
    <w:rsid w:val="00451314"/>
    <w:rsid w:val="00452E9D"/>
    <w:rsid w:val="004534C7"/>
    <w:rsid w:val="00457283"/>
    <w:rsid w:val="004671AA"/>
    <w:rsid w:val="00480FB1"/>
    <w:rsid w:val="00483928"/>
    <w:rsid w:val="004B307D"/>
    <w:rsid w:val="004C331F"/>
    <w:rsid w:val="004D6103"/>
    <w:rsid w:val="004E3BCE"/>
    <w:rsid w:val="004E70AD"/>
    <w:rsid w:val="004F0E97"/>
    <w:rsid w:val="004F6EE7"/>
    <w:rsid w:val="00501DD1"/>
    <w:rsid w:val="0050378B"/>
    <w:rsid w:val="00515C21"/>
    <w:rsid w:val="00530BD7"/>
    <w:rsid w:val="00545CD2"/>
    <w:rsid w:val="005476F3"/>
    <w:rsid w:val="005511AA"/>
    <w:rsid w:val="0056379D"/>
    <w:rsid w:val="00572527"/>
    <w:rsid w:val="00573E40"/>
    <w:rsid w:val="00576348"/>
    <w:rsid w:val="0058424A"/>
    <w:rsid w:val="005A0B2E"/>
    <w:rsid w:val="005A23D2"/>
    <w:rsid w:val="005A36CB"/>
    <w:rsid w:val="005B49B8"/>
    <w:rsid w:val="005C0741"/>
    <w:rsid w:val="005C32A2"/>
    <w:rsid w:val="005C5EF4"/>
    <w:rsid w:val="005E26E0"/>
    <w:rsid w:val="005E2E0B"/>
    <w:rsid w:val="005E7A7D"/>
    <w:rsid w:val="00602457"/>
    <w:rsid w:val="00603E0E"/>
    <w:rsid w:val="006046AA"/>
    <w:rsid w:val="006241CE"/>
    <w:rsid w:val="00627B0A"/>
    <w:rsid w:val="00630B2D"/>
    <w:rsid w:val="00644FC3"/>
    <w:rsid w:val="00646BD1"/>
    <w:rsid w:val="006561C2"/>
    <w:rsid w:val="00671CB3"/>
    <w:rsid w:val="00674BAF"/>
    <w:rsid w:val="00682200"/>
    <w:rsid w:val="00692BF6"/>
    <w:rsid w:val="006A1497"/>
    <w:rsid w:val="006B0BD1"/>
    <w:rsid w:val="006B5404"/>
    <w:rsid w:val="006C241B"/>
    <w:rsid w:val="006D20A5"/>
    <w:rsid w:val="006D37BF"/>
    <w:rsid w:val="00702E22"/>
    <w:rsid w:val="0071630E"/>
    <w:rsid w:val="0072020E"/>
    <w:rsid w:val="00732A7F"/>
    <w:rsid w:val="00786071"/>
    <w:rsid w:val="007A22FF"/>
    <w:rsid w:val="007A3ECB"/>
    <w:rsid w:val="007B5692"/>
    <w:rsid w:val="007D104D"/>
    <w:rsid w:val="007D7BB3"/>
    <w:rsid w:val="007F140F"/>
    <w:rsid w:val="007F74AC"/>
    <w:rsid w:val="008052B5"/>
    <w:rsid w:val="00824AB9"/>
    <w:rsid w:val="00836B35"/>
    <w:rsid w:val="00843BDE"/>
    <w:rsid w:val="00851F1E"/>
    <w:rsid w:val="0087588C"/>
    <w:rsid w:val="00883B60"/>
    <w:rsid w:val="0089705C"/>
    <w:rsid w:val="008A6D43"/>
    <w:rsid w:val="008B491E"/>
    <w:rsid w:val="008C1A28"/>
    <w:rsid w:val="008C2E98"/>
    <w:rsid w:val="008E49BD"/>
    <w:rsid w:val="008E53E9"/>
    <w:rsid w:val="008E5771"/>
    <w:rsid w:val="008F06C0"/>
    <w:rsid w:val="008F4ACF"/>
    <w:rsid w:val="00924166"/>
    <w:rsid w:val="00925B7F"/>
    <w:rsid w:val="00927A10"/>
    <w:rsid w:val="00940B9B"/>
    <w:rsid w:val="0095676E"/>
    <w:rsid w:val="00956983"/>
    <w:rsid w:val="00963CF0"/>
    <w:rsid w:val="00964BB1"/>
    <w:rsid w:val="009775D9"/>
    <w:rsid w:val="00985A38"/>
    <w:rsid w:val="00997175"/>
    <w:rsid w:val="009A1847"/>
    <w:rsid w:val="009B062A"/>
    <w:rsid w:val="009B7288"/>
    <w:rsid w:val="009E7C6F"/>
    <w:rsid w:val="009F1793"/>
    <w:rsid w:val="009F193B"/>
    <w:rsid w:val="009F2D23"/>
    <w:rsid w:val="00A01D69"/>
    <w:rsid w:val="00A02335"/>
    <w:rsid w:val="00A17E95"/>
    <w:rsid w:val="00A34612"/>
    <w:rsid w:val="00A46C9A"/>
    <w:rsid w:val="00A619F3"/>
    <w:rsid w:val="00A62A73"/>
    <w:rsid w:val="00A678EA"/>
    <w:rsid w:val="00A87FF6"/>
    <w:rsid w:val="00AA0A3B"/>
    <w:rsid w:val="00AA2763"/>
    <w:rsid w:val="00AA33B6"/>
    <w:rsid w:val="00AB50CA"/>
    <w:rsid w:val="00AB6D64"/>
    <w:rsid w:val="00AC53CE"/>
    <w:rsid w:val="00AD2193"/>
    <w:rsid w:val="00AD3682"/>
    <w:rsid w:val="00AF2AC7"/>
    <w:rsid w:val="00AF74CE"/>
    <w:rsid w:val="00B208DB"/>
    <w:rsid w:val="00B23F69"/>
    <w:rsid w:val="00B42FB7"/>
    <w:rsid w:val="00B56B45"/>
    <w:rsid w:val="00B60619"/>
    <w:rsid w:val="00B608DB"/>
    <w:rsid w:val="00B66A70"/>
    <w:rsid w:val="00B67366"/>
    <w:rsid w:val="00B80EE1"/>
    <w:rsid w:val="00B84135"/>
    <w:rsid w:val="00B966B3"/>
    <w:rsid w:val="00BB1D89"/>
    <w:rsid w:val="00BC5B6A"/>
    <w:rsid w:val="00BE68FB"/>
    <w:rsid w:val="00C015CD"/>
    <w:rsid w:val="00C04D34"/>
    <w:rsid w:val="00C05DF8"/>
    <w:rsid w:val="00C06864"/>
    <w:rsid w:val="00C10F54"/>
    <w:rsid w:val="00C220D6"/>
    <w:rsid w:val="00C23D8D"/>
    <w:rsid w:val="00C37754"/>
    <w:rsid w:val="00C37AA3"/>
    <w:rsid w:val="00C37FD7"/>
    <w:rsid w:val="00C43419"/>
    <w:rsid w:val="00C44CF3"/>
    <w:rsid w:val="00C61BE0"/>
    <w:rsid w:val="00C6707E"/>
    <w:rsid w:val="00C70B0E"/>
    <w:rsid w:val="00C773CA"/>
    <w:rsid w:val="00C815E2"/>
    <w:rsid w:val="00C83785"/>
    <w:rsid w:val="00C94C0D"/>
    <w:rsid w:val="00CA1FEB"/>
    <w:rsid w:val="00CD4F85"/>
    <w:rsid w:val="00CD6F02"/>
    <w:rsid w:val="00CE246D"/>
    <w:rsid w:val="00CF07A0"/>
    <w:rsid w:val="00CF3E03"/>
    <w:rsid w:val="00D0082A"/>
    <w:rsid w:val="00D212CA"/>
    <w:rsid w:val="00D21455"/>
    <w:rsid w:val="00D2337C"/>
    <w:rsid w:val="00D23E5B"/>
    <w:rsid w:val="00D42DAE"/>
    <w:rsid w:val="00D451CF"/>
    <w:rsid w:val="00D47634"/>
    <w:rsid w:val="00D709B3"/>
    <w:rsid w:val="00DA2ED6"/>
    <w:rsid w:val="00DB2C76"/>
    <w:rsid w:val="00DB764B"/>
    <w:rsid w:val="00DB76B8"/>
    <w:rsid w:val="00DC2EA1"/>
    <w:rsid w:val="00DD689C"/>
    <w:rsid w:val="00DD6AAF"/>
    <w:rsid w:val="00DE3F5C"/>
    <w:rsid w:val="00DF1D20"/>
    <w:rsid w:val="00E1352A"/>
    <w:rsid w:val="00E2024D"/>
    <w:rsid w:val="00E21324"/>
    <w:rsid w:val="00E246B9"/>
    <w:rsid w:val="00E31FEA"/>
    <w:rsid w:val="00E45169"/>
    <w:rsid w:val="00E47787"/>
    <w:rsid w:val="00E51C30"/>
    <w:rsid w:val="00E64180"/>
    <w:rsid w:val="00E65665"/>
    <w:rsid w:val="00E74AEE"/>
    <w:rsid w:val="00E868E5"/>
    <w:rsid w:val="00E87A3F"/>
    <w:rsid w:val="00E9237A"/>
    <w:rsid w:val="00E939FA"/>
    <w:rsid w:val="00EA5765"/>
    <w:rsid w:val="00EC2532"/>
    <w:rsid w:val="00ED4BCE"/>
    <w:rsid w:val="00ED7812"/>
    <w:rsid w:val="00EF1BBF"/>
    <w:rsid w:val="00EF3B86"/>
    <w:rsid w:val="00F30C1B"/>
    <w:rsid w:val="00F30D89"/>
    <w:rsid w:val="00F317E9"/>
    <w:rsid w:val="00F34554"/>
    <w:rsid w:val="00F45F77"/>
    <w:rsid w:val="00F5167F"/>
    <w:rsid w:val="00F52258"/>
    <w:rsid w:val="00F7290F"/>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3E14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Header Char,Header Char Char,Header Char1 Char Char,Header Char Char Char Char, Char Char Char Char Char, Char Char1 Char Char,Header Char1, Char Char1, Char Char1 Char,Char,Char Char Char Char Char,Char Char1 Char Char,Char Char1"/>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 Char Char,Header Char Char1,Header Char Char Char,Header Char1 Char Char Char,Header Char Char Char Char Char, Char Char Char Char Char Char, Char Char1 Char Char Char,Header Char1 Char, Char Char1 Char1, Char Char1 Char Char1,Char Char"/>
    <w:link w:val="Header"/>
    <w:rsid w:val="00C815E2"/>
    <w:rPr>
      <w:sz w:val="24"/>
      <w:szCs w:val="24"/>
      <w:lang w:val="en-US" w:eastAsia="en-US"/>
    </w:rPr>
  </w:style>
  <w:style w:type="paragraph" w:styleId="Revision">
    <w:name w:val="Revision"/>
    <w:hidden/>
    <w:uiPriority w:val="99"/>
    <w:semiHidden/>
    <w:rsid w:val="00C815E2"/>
    <w:rPr>
      <w:sz w:val="24"/>
      <w:szCs w:val="24"/>
      <w:lang w:val="en-US" w:eastAsia="en-US"/>
    </w:rPr>
  </w:style>
  <w:style w:type="paragraph" w:styleId="ListParagraph">
    <w:name w:val="List Paragraph"/>
    <w:basedOn w:val="Normal"/>
    <w:uiPriority w:val="34"/>
    <w:qFormat/>
    <w:rsid w:val="00927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206FA-C013-470B-A041-3D41B795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5958</Words>
  <Characters>33966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39845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3</cp:revision>
  <dcterms:created xsi:type="dcterms:W3CDTF">2024-11-12T07:47:00Z</dcterms:created>
  <dcterms:modified xsi:type="dcterms:W3CDTF">2024-11-12T07:49:00Z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4f783dd-f5fe-4e6c-8816-198fd9c95f56_Enabled">
    <vt:lpwstr>true</vt:lpwstr>
  </property>
  <property fmtid="{D5CDD505-2E9C-101B-9397-08002B2CF9AE}" pid="4" name="MSIP_Label_04f783dd-f5fe-4e6c-8816-198fd9c95f56_SetDate">
    <vt:lpwstr>2022-10-31T08:07:45Z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c439aee1-ecc6-4edc-9a0a-a4d4906f0bf1</vt:lpwstr>
  </property>
  <property fmtid="{D5CDD505-2E9C-101B-9397-08002B2CF9AE}" pid="9" name="MSIP_Label_04f783dd-f5fe-4e6c-8816-198fd9c95f56_ContentBits">
    <vt:lpwstr>0</vt:lpwstr>
  </property>
</Properties>
</file>