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FF53" w14:textId="77777777" w:rsidR="001A5518" w:rsidRDefault="001A5518" w:rsidP="00F81221">
      <w:pPr>
        <w:rPr>
          <w:b/>
          <w:bCs/>
          <w:i/>
          <w:iCs/>
          <w:sz w:val="22"/>
          <w:szCs w:val="22"/>
          <w:u w:val="single"/>
        </w:rPr>
      </w:pPr>
    </w:p>
    <w:p w14:paraId="15ECD5EB" w14:textId="77777777" w:rsidR="00F91C7B" w:rsidRPr="00786071" w:rsidRDefault="00F91C7B" w:rsidP="00F81221">
      <w:pPr>
        <w:rPr>
          <w:b/>
          <w:bCs/>
          <w:i/>
          <w:iCs/>
          <w:sz w:val="22"/>
          <w:szCs w:val="22"/>
          <w:u w:val="single"/>
        </w:rPr>
      </w:pPr>
    </w:p>
    <w:p w14:paraId="39D745C8" w14:textId="77777777" w:rsidR="002510A5" w:rsidRPr="001004FE" w:rsidRDefault="002510A5" w:rsidP="00F81221">
      <w:pPr>
        <w:jc w:val="center"/>
        <w:rPr>
          <w:b/>
          <w:bCs/>
          <w:iCs/>
          <w:sz w:val="22"/>
          <w:szCs w:val="22"/>
          <w:u w:val="single"/>
        </w:rPr>
      </w:pPr>
      <w:r w:rsidRPr="001004FE">
        <w:rPr>
          <w:b/>
          <w:bCs/>
          <w:iCs/>
          <w:sz w:val="22"/>
          <w:szCs w:val="22"/>
          <w:u w:val="single"/>
        </w:rPr>
        <w:t>SAŽETAK KARAKTERISTIKA LIJEKA</w:t>
      </w:r>
    </w:p>
    <w:p w14:paraId="129CD6FC" w14:textId="77777777" w:rsidR="002510A5" w:rsidRPr="001004FE" w:rsidRDefault="002510A5" w:rsidP="00F81221">
      <w:pPr>
        <w:rPr>
          <w:b/>
          <w:bCs/>
          <w:i/>
          <w:iCs/>
          <w:sz w:val="22"/>
          <w:szCs w:val="22"/>
          <w:u w:val="single"/>
        </w:rPr>
      </w:pPr>
    </w:p>
    <w:p w14:paraId="25F04668" w14:textId="77777777" w:rsidR="003C17AB" w:rsidRPr="001004FE" w:rsidRDefault="003C17AB" w:rsidP="00F81221">
      <w:pPr>
        <w:rPr>
          <w:sz w:val="22"/>
          <w:szCs w:val="22"/>
          <w:lang w:val="sr-Latn-CS"/>
        </w:rPr>
      </w:pPr>
    </w:p>
    <w:p w14:paraId="3665A3C3" w14:textId="77777777" w:rsidR="00C37FD7" w:rsidRPr="001004FE" w:rsidRDefault="00C37FD7" w:rsidP="00F8122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4483033" w14:textId="77777777" w:rsidR="00411B4B" w:rsidRPr="001004FE" w:rsidRDefault="00411B4B" w:rsidP="00F8122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1004FE">
        <w:rPr>
          <w:b/>
          <w:bCs/>
          <w:sz w:val="22"/>
          <w:szCs w:val="22"/>
        </w:rPr>
        <w:t>1.</w:t>
      </w:r>
      <w:r w:rsidR="00F5167F" w:rsidRPr="001004FE">
        <w:rPr>
          <w:b/>
          <w:bCs/>
          <w:sz w:val="22"/>
          <w:szCs w:val="22"/>
        </w:rPr>
        <w:tab/>
      </w:r>
      <w:r w:rsidR="002846DB" w:rsidRPr="001004FE">
        <w:rPr>
          <w:b/>
          <w:bCs/>
          <w:sz w:val="22"/>
          <w:szCs w:val="22"/>
        </w:rPr>
        <w:t xml:space="preserve">NAZIV </w:t>
      </w:r>
      <w:r w:rsidRPr="001004FE">
        <w:rPr>
          <w:b/>
          <w:bCs/>
          <w:sz w:val="22"/>
          <w:szCs w:val="22"/>
        </w:rPr>
        <w:t>LIJEKA</w:t>
      </w:r>
    </w:p>
    <w:p w14:paraId="106E15DB" w14:textId="77777777" w:rsidR="00EC2532" w:rsidRPr="001004FE" w:rsidRDefault="00EC2532" w:rsidP="00F81221">
      <w:pPr>
        <w:rPr>
          <w:sz w:val="22"/>
          <w:szCs w:val="22"/>
          <w:lang w:val="pl-PL"/>
        </w:rPr>
      </w:pPr>
    </w:p>
    <w:p w14:paraId="53D667CF" w14:textId="5A914822" w:rsidR="00C84B8C" w:rsidRPr="001004FE" w:rsidRDefault="006A6C99" w:rsidP="00F81221">
      <w:pPr>
        <w:jc w:val="both"/>
        <w:rPr>
          <w:bCs/>
          <w:sz w:val="22"/>
          <w:szCs w:val="22"/>
          <w:lang w:val="sr-Latn-CS"/>
        </w:rPr>
      </w:pPr>
      <w:r w:rsidRPr="001004FE">
        <w:rPr>
          <w:sz w:val="22"/>
          <w:szCs w:val="22"/>
          <w:lang w:val="sv-SE"/>
        </w:rPr>
        <w:t xml:space="preserve">Primovist, 0,25 mmol/ml, </w:t>
      </w:r>
      <w:r w:rsidR="00C84B8C">
        <w:rPr>
          <w:bCs/>
          <w:sz w:val="22"/>
          <w:szCs w:val="22"/>
          <w:lang w:val="sr-Latn-CS"/>
        </w:rPr>
        <w:t>r</w:t>
      </w:r>
      <w:r w:rsidR="00C84B8C" w:rsidRPr="001004FE">
        <w:rPr>
          <w:bCs/>
          <w:sz w:val="22"/>
          <w:szCs w:val="22"/>
          <w:lang w:val="sr-Latn-CS"/>
        </w:rPr>
        <w:t xml:space="preserve">astvor za injekciju </w:t>
      </w:r>
      <w:r w:rsidR="00C84B8C">
        <w:rPr>
          <w:bCs/>
          <w:sz w:val="22"/>
          <w:szCs w:val="22"/>
          <w:lang w:val="sr-Latn-CS"/>
        </w:rPr>
        <w:t>u napunjenom injekcionom špricu</w:t>
      </w:r>
    </w:p>
    <w:p w14:paraId="77E4F493" w14:textId="70A3B7FD" w:rsidR="006A6C99" w:rsidRPr="001004FE" w:rsidRDefault="006A6C99" w:rsidP="00F81221">
      <w:pPr>
        <w:jc w:val="both"/>
        <w:rPr>
          <w:sz w:val="22"/>
          <w:szCs w:val="22"/>
          <w:lang w:val="sv-SE"/>
        </w:rPr>
      </w:pPr>
    </w:p>
    <w:p w14:paraId="10AC4214" w14:textId="18752E30" w:rsidR="006D20A5" w:rsidRPr="001004FE" w:rsidRDefault="006D20A5" w:rsidP="00F81221">
      <w:pPr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  <w:lang w:val="sv-SE"/>
        </w:rPr>
        <w:t>INN:</w:t>
      </w:r>
      <w:r w:rsidR="001638C2" w:rsidRPr="001004FE">
        <w:rPr>
          <w:sz w:val="22"/>
          <w:szCs w:val="22"/>
          <w:lang w:val="sv-SE"/>
        </w:rPr>
        <w:t xml:space="preserve"> gadoksetinska kiselina</w:t>
      </w:r>
    </w:p>
    <w:p w14:paraId="3B6FB74F" w14:textId="77777777" w:rsidR="006D20A5" w:rsidRPr="001004FE" w:rsidRDefault="006D20A5" w:rsidP="00F81221">
      <w:pPr>
        <w:rPr>
          <w:bCs/>
          <w:sz w:val="22"/>
          <w:szCs w:val="22"/>
          <w:lang w:val="sv-SE"/>
        </w:rPr>
      </w:pPr>
    </w:p>
    <w:p w14:paraId="47D81476" w14:textId="77777777" w:rsidR="00530BD7" w:rsidRPr="001004FE" w:rsidRDefault="00530BD7" w:rsidP="00F81221">
      <w:pPr>
        <w:rPr>
          <w:bCs/>
          <w:sz w:val="22"/>
          <w:szCs w:val="22"/>
          <w:lang w:val="sv-SE"/>
        </w:rPr>
      </w:pPr>
    </w:p>
    <w:p w14:paraId="4795C6A3" w14:textId="77777777" w:rsidR="00411B4B" w:rsidRPr="001004FE" w:rsidRDefault="00411B4B" w:rsidP="00F8122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1004FE">
        <w:rPr>
          <w:b/>
          <w:bCs/>
          <w:sz w:val="22"/>
          <w:szCs w:val="22"/>
          <w:lang w:val="sv-SE"/>
        </w:rPr>
        <w:t xml:space="preserve">2. </w:t>
      </w:r>
      <w:r w:rsidR="00F5167F" w:rsidRPr="001004FE">
        <w:rPr>
          <w:b/>
          <w:bCs/>
          <w:sz w:val="22"/>
          <w:szCs w:val="22"/>
          <w:lang w:val="sv-SE"/>
        </w:rPr>
        <w:tab/>
      </w:r>
      <w:r w:rsidRPr="001004FE">
        <w:rPr>
          <w:b/>
          <w:bCs/>
          <w:sz w:val="22"/>
          <w:szCs w:val="22"/>
          <w:lang w:val="sv-SE"/>
        </w:rPr>
        <w:t>KVALITATIVNI I KVANTITATIVNI SASTAV</w:t>
      </w:r>
    </w:p>
    <w:p w14:paraId="57F237E6" w14:textId="77777777" w:rsidR="005A0B2E" w:rsidRPr="001004FE" w:rsidRDefault="005A0B2E" w:rsidP="00F81221">
      <w:pPr>
        <w:rPr>
          <w:sz w:val="22"/>
          <w:szCs w:val="22"/>
          <w:lang w:val="sr-Latn-CS"/>
        </w:rPr>
      </w:pPr>
    </w:p>
    <w:p w14:paraId="1DEB48D0" w14:textId="6537C43B" w:rsidR="001638C2" w:rsidRPr="001004FE" w:rsidRDefault="001638C2" w:rsidP="00F81221">
      <w:pPr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  <w:lang w:val="sr-Latn-CS"/>
        </w:rPr>
        <w:t>Jedan mililitar rastvora za injekciju sadrži 0,25 mmol dinatrijum</w:t>
      </w:r>
      <w:r w:rsidR="000267E4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sr-Latn-CS"/>
        </w:rPr>
        <w:t>gadoksetata (Gd-EOB-DTPA</w:t>
      </w:r>
      <w:r w:rsidR="00B438C5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sr-Latn-CS"/>
        </w:rPr>
        <w:t>dinatrijum) što odgovara 181,43 mg dinatrijum</w:t>
      </w:r>
      <w:r w:rsidR="000267E4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sr-Latn-CS"/>
        </w:rPr>
        <w:t>gadoksetata.</w:t>
      </w:r>
    </w:p>
    <w:p w14:paraId="6655223C" w14:textId="77777777" w:rsidR="001638C2" w:rsidRPr="001004FE" w:rsidRDefault="001638C2" w:rsidP="00F81221">
      <w:pPr>
        <w:jc w:val="both"/>
        <w:rPr>
          <w:sz w:val="22"/>
          <w:szCs w:val="22"/>
          <w:lang w:val="sr-Latn-CS"/>
        </w:rPr>
      </w:pPr>
    </w:p>
    <w:p w14:paraId="528343AB" w14:textId="27700079" w:rsidR="001638C2" w:rsidRPr="001004FE" w:rsidRDefault="001638C2" w:rsidP="00F81221">
      <w:pPr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  <w:lang w:val="sr-Latn-CS"/>
        </w:rPr>
        <w:t>1 napunjen</w:t>
      </w:r>
      <w:r w:rsidR="00296B0E" w:rsidRPr="001004FE">
        <w:rPr>
          <w:sz w:val="22"/>
          <w:szCs w:val="22"/>
          <w:lang w:val="sr-Latn-CS"/>
        </w:rPr>
        <w:t>i</w:t>
      </w:r>
      <w:r w:rsidRPr="001004FE">
        <w:rPr>
          <w:sz w:val="22"/>
          <w:szCs w:val="22"/>
          <w:lang w:val="sr-Latn-CS"/>
        </w:rPr>
        <w:t xml:space="preserve"> injekcioni špric sa 10 ml sadrži 1814,3 mg dinatrijum</w:t>
      </w:r>
      <w:r w:rsidR="000267E4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sr-Latn-CS"/>
        </w:rPr>
        <w:t>gadoksetata.</w:t>
      </w:r>
    </w:p>
    <w:p w14:paraId="2A64AE73" w14:textId="74631F92" w:rsidR="00B438C5" w:rsidRPr="001004FE" w:rsidRDefault="00B438C5" w:rsidP="00F81221">
      <w:pPr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  <w:lang w:val="sr-Latn-CS"/>
        </w:rPr>
        <w:t>Pomoćn</w:t>
      </w:r>
      <w:r w:rsidR="008F0DE4" w:rsidRPr="001004FE">
        <w:rPr>
          <w:sz w:val="22"/>
          <w:szCs w:val="22"/>
          <w:lang w:val="sr-Latn-CS"/>
        </w:rPr>
        <w:t>e</w:t>
      </w:r>
      <w:r w:rsidRPr="001004FE">
        <w:rPr>
          <w:sz w:val="22"/>
          <w:szCs w:val="22"/>
          <w:lang w:val="sr-Latn-CS"/>
        </w:rPr>
        <w:t xml:space="preserve"> supstanc</w:t>
      </w:r>
      <w:r w:rsidR="008F0DE4" w:rsidRPr="001004FE">
        <w:rPr>
          <w:sz w:val="22"/>
          <w:szCs w:val="22"/>
          <w:lang w:val="sr-Latn-CS"/>
        </w:rPr>
        <w:t>e</w:t>
      </w:r>
      <w:r w:rsidRPr="001004FE">
        <w:rPr>
          <w:sz w:val="22"/>
          <w:szCs w:val="22"/>
          <w:lang w:val="sr-Latn-CS"/>
        </w:rPr>
        <w:t xml:space="preserve"> sa </w:t>
      </w:r>
      <w:r w:rsidR="008F0DE4" w:rsidRPr="001004FE">
        <w:rPr>
          <w:sz w:val="22"/>
          <w:szCs w:val="22"/>
          <w:lang w:val="sr-Latn-CS"/>
        </w:rPr>
        <w:t>potvrđenim</w:t>
      </w:r>
      <w:r w:rsidRPr="001004FE">
        <w:rPr>
          <w:sz w:val="22"/>
          <w:szCs w:val="22"/>
          <w:lang w:val="sr-Latn-CS"/>
        </w:rPr>
        <w:t xml:space="preserve"> dejstvom: </w:t>
      </w:r>
      <w:r w:rsidR="008F0DE4" w:rsidRPr="001004FE">
        <w:rPr>
          <w:sz w:val="22"/>
          <w:szCs w:val="22"/>
          <w:lang w:val="sr-Latn-CS"/>
        </w:rPr>
        <w:t>sadržaj natrijuma j</w:t>
      </w:r>
      <w:r w:rsidR="000267E4" w:rsidRPr="001004FE">
        <w:rPr>
          <w:sz w:val="22"/>
          <w:szCs w:val="22"/>
          <w:lang w:val="sr-Latn-CS"/>
        </w:rPr>
        <w:t>e</w:t>
      </w:r>
      <w:r w:rsidR="008F0DE4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sr-Latn-CS"/>
        </w:rPr>
        <w:t>11,7 mg/ml</w:t>
      </w:r>
    </w:p>
    <w:p w14:paraId="42799820" w14:textId="77777777" w:rsidR="00B438C5" w:rsidRPr="001004FE" w:rsidRDefault="00B438C5" w:rsidP="00F81221">
      <w:pPr>
        <w:jc w:val="both"/>
        <w:rPr>
          <w:sz w:val="22"/>
          <w:szCs w:val="22"/>
          <w:lang w:val="sr-Latn-CS"/>
        </w:rPr>
      </w:pPr>
    </w:p>
    <w:p w14:paraId="025766D9" w14:textId="7BD5C213" w:rsidR="0003793F" w:rsidRPr="001004FE" w:rsidRDefault="0003793F" w:rsidP="00F81221">
      <w:pPr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  <w:lang w:val="sr-Latn-CS"/>
        </w:rPr>
        <w:t>Za spisak svih ekscipijenasa, pogledati dio 6.1.</w:t>
      </w:r>
    </w:p>
    <w:p w14:paraId="6E1142B5" w14:textId="77777777" w:rsidR="0003793F" w:rsidRPr="001004FE" w:rsidRDefault="0003793F" w:rsidP="00F81221">
      <w:pPr>
        <w:rPr>
          <w:sz w:val="22"/>
          <w:szCs w:val="22"/>
          <w:lang w:val="sr-Latn-CS"/>
        </w:rPr>
      </w:pPr>
    </w:p>
    <w:p w14:paraId="27391C95" w14:textId="77777777" w:rsidR="00C37FD7" w:rsidRPr="001004FE" w:rsidRDefault="00C37FD7" w:rsidP="00F81221">
      <w:pPr>
        <w:rPr>
          <w:sz w:val="22"/>
          <w:szCs w:val="22"/>
          <w:lang w:val="sr-Latn-CS"/>
        </w:rPr>
      </w:pPr>
    </w:p>
    <w:p w14:paraId="550A503A" w14:textId="77777777" w:rsidR="00411B4B" w:rsidRPr="001004FE" w:rsidRDefault="00411B4B" w:rsidP="00F8122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1004FE">
        <w:rPr>
          <w:b/>
          <w:bCs/>
          <w:sz w:val="22"/>
          <w:szCs w:val="22"/>
          <w:lang w:val="sr-Latn-CS"/>
        </w:rPr>
        <w:t xml:space="preserve">3. </w:t>
      </w:r>
      <w:r w:rsidR="00F5167F" w:rsidRPr="001004FE">
        <w:rPr>
          <w:b/>
          <w:bCs/>
          <w:sz w:val="22"/>
          <w:szCs w:val="22"/>
          <w:lang w:val="sr-Latn-CS"/>
        </w:rPr>
        <w:tab/>
      </w:r>
      <w:r w:rsidRPr="001004FE">
        <w:rPr>
          <w:b/>
          <w:bCs/>
          <w:sz w:val="22"/>
          <w:szCs w:val="22"/>
        </w:rPr>
        <w:t>FARMACEUTSKI</w:t>
      </w:r>
      <w:r w:rsidRPr="001004FE">
        <w:rPr>
          <w:b/>
          <w:bCs/>
          <w:sz w:val="22"/>
          <w:szCs w:val="22"/>
          <w:lang w:val="sr-Latn-CS"/>
        </w:rPr>
        <w:t xml:space="preserve"> </w:t>
      </w:r>
      <w:r w:rsidRPr="001004FE">
        <w:rPr>
          <w:b/>
          <w:bCs/>
          <w:sz w:val="22"/>
          <w:szCs w:val="22"/>
        </w:rPr>
        <w:t>OBLIK</w:t>
      </w:r>
      <w:r w:rsidR="009F2D23" w:rsidRPr="001004FE">
        <w:rPr>
          <w:b/>
          <w:bCs/>
          <w:sz w:val="22"/>
          <w:szCs w:val="22"/>
          <w:lang w:val="sr-Latn-CS"/>
        </w:rPr>
        <w:t xml:space="preserve"> </w:t>
      </w:r>
    </w:p>
    <w:p w14:paraId="07B4A195" w14:textId="77777777" w:rsidR="00411B4B" w:rsidRPr="001004FE" w:rsidRDefault="00411B4B" w:rsidP="00F81221">
      <w:pPr>
        <w:jc w:val="both"/>
        <w:rPr>
          <w:bCs/>
          <w:sz w:val="22"/>
          <w:szCs w:val="22"/>
          <w:lang w:val="sr-Latn-CS"/>
        </w:rPr>
      </w:pPr>
    </w:p>
    <w:p w14:paraId="0D8C8202" w14:textId="77777777" w:rsidR="001638C2" w:rsidRPr="001004FE" w:rsidRDefault="001638C2" w:rsidP="00F81221">
      <w:pPr>
        <w:jc w:val="both"/>
        <w:rPr>
          <w:bCs/>
          <w:sz w:val="22"/>
          <w:szCs w:val="22"/>
          <w:lang w:val="sr-Latn-CS"/>
        </w:rPr>
      </w:pPr>
      <w:r w:rsidRPr="001004FE">
        <w:rPr>
          <w:bCs/>
          <w:sz w:val="22"/>
          <w:szCs w:val="22"/>
          <w:lang w:val="sr-Latn-CS"/>
        </w:rPr>
        <w:t>Rastvor za injekciju u napunjenom injekcionom špricu.</w:t>
      </w:r>
    </w:p>
    <w:p w14:paraId="37A782CF" w14:textId="04FF09D0" w:rsidR="00EC2532" w:rsidRPr="001004FE" w:rsidRDefault="001638C2" w:rsidP="00F81221">
      <w:pPr>
        <w:jc w:val="both"/>
        <w:rPr>
          <w:bCs/>
          <w:sz w:val="22"/>
          <w:szCs w:val="22"/>
          <w:lang w:val="sr-Latn-CS"/>
        </w:rPr>
      </w:pPr>
      <w:r w:rsidRPr="001004FE">
        <w:rPr>
          <w:bCs/>
          <w:sz w:val="22"/>
          <w:szCs w:val="22"/>
          <w:lang w:val="sr-Latn-CS"/>
        </w:rPr>
        <w:t>Bistar, bezbojan do sv</w:t>
      </w:r>
      <w:r w:rsidR="00CA6A71" w:rsidRPr="001004FE">
        <w:rPr>
          <w:bCs/>
          <w:sz w:val="22"/>
          <w:szCs w:val="22"/>
          <w:lang w:val="sr-Latn-CS"/>
        </w:rPr>
        <w:t>i</w:t>
      </w:r>
      <w:r w:rsidRPr="001004FE">
        <w:rPr>
          <w:bCs/>
          <w:sz w:val="22"/>
          <w:szCs w:val="22"/>
          <w:lang w:val="sr-Latn-CS"/>
        </w:rPr>
        <w:t>jetložut rastvor bez vidljivih čestica.</w:t>
      </w:r>
    </w:p>
    <w:p w14:paraId="161D55C0" w14:textId="1C0F10A6" w:rsidR="001638C2" w:rsidRPr="001004FE" w:rsidRDefault="001638C2" w:rsidP="00F81221">
      <w:pPr>
        <w:rPr>
          <w:bCs/>
          <w:sz w:val="22"/>
          <w:szCs w:val="22"/>
          <w:lang w:val="sr-Latn-CS"/>
        </w:rPr>
      </w:pPr>
    </w:p>
    <w:p w14:paraId="08FE7C96" w14:textId="77777777" w:rsidR="00CA6A71" w:rsidRPr="001004FE" w:rsidRDefault="00CA6A71" w:rsidP="00F81221">
      <w:pPr>
        <w:rPr>
          <w:bCs/>
          <w:sz w:val="22"/>
          <w:szCs w:val="22"/>
          <w:lang w:val="sr-Latn-CS"/>
        </w:rPr>
      </w:pPr>
    </w:p>
    <w:p w14:paraId="30520316" w14:textId="77777777" w:rsidR="00411B4B" w:rsidRPr="001004FE" w:rsidRDefault="00411B4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1004FE">
        <w:rPr>
          <w:b/>
          <w:bCs/>
          <w:sz w:val="22"/>
          <w:szCs w:val="22"/>
          <w:lang w:val="sr-Latn-CS"/>
        </w:rPr>
        <w:t xml:space="preserve">4. </w:t>
      </w:r>
      <w:r w:rsidR="00480FB1" w:rsidRPr="001004FE">
        <w:rPr>
          <w:b/>
          <w:bCs/>
          <w:sz w:val="22"/>
          <w:szCs w:val="22"/>
          <w:lang w:val="sr-Latn-CS"/>
        </w:rPr>
        <w:tab/>
      </w:r>
      <w:r w:rsidRPr="001004FE">
        <w:rPr>
          <w:b/>
          <w:bCs/>
          <w:sz w:val="22"/>
          <w:szCs w:val="22"/>
        </w:rPr>
        <w:t>KLINI</w:t>
      </w:r>
      <w:r w:rsidRPr="001004FE">
        <w:rPr>
          <w:b/>
          <w:bCs/>
          <w:sz w:val="22"/>
          <w:szCs w:val="22"/>
          <w:lang w:val="sr-Latn-CS"/>
        </w:rPr>
        <w:t>Č</w:t>
      </w:r>
      <w:r w:rsidRPr="001004FE">
        <w:rPr>
          <w:b/>
          <w:bCs/>
          <w:sz w:val="22"/>
          <w:szCs w:val="22"/>
        </w:rPr>
        <w:t>KI</w:t>
      </w:r>
      <w:r w:rsidRPr="001004FE">
        <w:rPr>
          <w:b/>
          <w:bCs/>
          <w:sz w:val="22"/>
          <w:szCs w:val="22"/>
          <w:lang w:val="sr-Latn-CS"/>
        </w:rPr>
        <w:t xml:space="preserve"> </w:t>
      </w:r>
      <w:r w:rsidRPr="001004FE">
        <w:rPr>
          <w:b/>
          <w:bCs/>
          <w:sz w:val="22"/>
          <w:szCs w:val="22"/>
        </w:rPr>
        <w:t>PODACI</w:t>
      </w:r>
    </w:p>
    <w:p w14:paraId="554D2C32" w14:textId="77777777" w:rsidR="00CD6F02" w:rsidRPr="001004FE" w:rsidRDefault="00CD6F0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0CA565C4" w14:textId="77777777" w:rsidR="00411B4B" w:rsidRPr="001004FE" w:rsidRDefault="00411B4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1004FE">
        <w:rPr>
          <w:b/>
          <w:bCs/>
          <w:sz w:val="22"/>
          <w:szCs w:val="22"/>
          <w:lang w:val="sr-Latn-CS"/>
        </w:rPr>
        <w:t xml:space="preserve">4.1. </w:t>
      </w:r>
      <w:r w:rsidR="00480FB1" w:rsidRPr="001004FE">
        <w:rPr>
          <w:b/>
          <w:bCs/>
          <w:sz w:val="22"/>
          <w:szCs w:val="22"/>
          <w:lang w:val="sr-Latn-CS"/>
        </w:rPr>
        <w:tab/>
      </w:r>
      <w:r w:rsidRPr="001004FE">
        <w:rPr>
          <w:b/>
          <w:bCs/>
          <w:sz w:val="22"/>
          <w:szCs w:val="22"/>
        </w:rPr>
        <w:t>Terapijske</w:t>
      </w:r>
      <w:r w:rsidRPr="001004FE">
        <w:rPr>
          <w:b/>
          <w:bCs/>
          <w:sz w:val="22"/>
          <w:szCs w:val="22"/>
          <w:lang w:val="sr-Latn-CS"/>
        </w:rPr>
        <w:t xml:space="preserve"> </w:t>
      </w:r>
      <w:r w:rsidRPr="001004FE">
        <w:rPr>
          <w:b/>
          <w:bCs/>
          <w:sz w:val="22"/>
          <w:szCs w:val="22"/>
        </w:rPr>
        <w:t>indikacije</w:t>
      </w:r>
    </w:p>
    <w:p w14:paraId="1FD4E6B5" w14:textId="77777777" w:rsidR="00B438C5" w:rsidRPr="001004FE" w:rsidRDefault="00B438C5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A745C32" w14:textId="42E197C5" w:rsidR="001638C2" w:rsidRPr="001004FE" w:rsidRDefault="001638C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1004FE">
        <w:rPr>
          <w:bCs/>
          <w:sz w:val="22"/>
          <w:szCs w:val="22"/>
          <w:lang w:val="sr-Latn-CS"/>
        </w:rPr>
        <w:t>Lijek Primovist je indikovan za detekciju fokalnih lezija jetre i omogućava informacij</w:t>
      </w:r>
      <w:r w:rsidR="00217B8A" w:rsidRPr="001004FE">
        <w:rPr>
          <w:bCs/>
          <w:sz w:val="22"/>
          <w:szCs w:val="22"/>
          <w:lang w:val="sr-Latn-CS"/>
        </w:rPr>
        <w:t>e</w:t>
      </w:r>
      <w:r w:rsidRPr="001004FE">
        <w:rPr>
          <w:bCs/>
          <w:sz w:val="22"/>
          <w:szCs w:val="22"/>
          <w:lang w:val="sr-Latn-CS"/>
        </w:rPr>
        <w:t xml:space="preserve"> </w:t>
      </w:r>
      <w:r w:rsidR="00217B8A" w:rsidRPr="001004FE">
        <w:rPr>
          <w:bCs/>
          <w:sz w:val="22"/>
          <w:szCs w:val="22"/>
          <w:lang w:val="sr-Latn-CS"/>
        </w:rPr>
        <w:t xml:space="preserve">o tipu lezija </w:t>
      </w:r>
      <w:r w:rsidR="00431A94" w:rsidRPr="001004FE">
        <w:rPr>
          <w:bCs/>
          <w:sz w:val="22"/>
          <w:szCs w:val="22"/>
          <w:lang w:val="sr-Latn-CS"/>
        </w:rPr>
        <w:t>na</w:t>
      </w:r>
      <w:r w:rsidRPr="001004FE">
        <w:rPr>
          <w:bCs/>
          <w:sz w:val="22"/>
          <w:szCs w:val="22"/>
          <w:lang w:val="sr-Latn-CS"/>
        </w:rPr>
        <w:t xml:space="preserve"> T-1 </w:t>
      </w:r>
      <w:r w:rsidR="00431A94" w:rsidRPr="001004FE">
        <w:rPr>
          <w:bCs/>
          <w:sz w:val="22"/>
          <w:szCs w:val="22"/>
          <w:lang w:val="sr-Latn-CS"/>
        </w:rPr>
        <w:t>snimku</w:t>
      </w:r>
      <w:r w:rsidR="00217B8A" w:rsidRPr="001004FE">
        <w:rPr>
          <w:bCs/>
          <w:sz w:val="22"/>
          <w:szCs w:val="22"/>
          <w:lang w:val="sr-Latn-CS"/>
        </w:rPr>
        <w:t xml:space="preserve"> </w:t>
      </w:r>
      <w:r w:rsidRPr="001004FE">
        <w:rPr>
          <w:bCs/>
          <w:sz w:val="22"/>
          <w:szCs w:val="22"/>
          <w:lang w:val="sr-Latn-CS"/>
        </w:rPr>
        <w:t xml:space="preserve">magnetne </w:t>
      </w:r>
      <w:r w:rsidR="007B6C6D" w:rsidRPr="001004FE">
        <w:rPr>
          <w:bCs/>
          <w:sz w:val="22"/>
          <w:szCs w:val="22"/>
          <w:lang w:val="sr-Latn-CS"/>
        </w:rPr>
        <w:t xml:space="preserve">rezonance </w:t>
      </w:r>
      <w:r w:rsidRPr="001004FE">
        <w:rPr>
          <w:bCs/>
          <w:sz w:val="22"/>
          <w:szCs w:val="22"/>
          <w:lang w:val="sr-Latn-CS"/>
        </w:rPr>
        <w:t>(</w:t>
      </w:r>
      <w:r w:rsidR="00A430F0" w:rsidRPr="001004FE">
        <w:rPr>
          <w:bCs/>
          <w:sz w:val="22"/>
          <w:szCs w:val="22"/>
          <w:lang w:val="sr-Latn-CS"/>
        </w:rPr>
        <w:t xml:space="preserve">engl. </w:t>
      </w:r>
      <w:r w:rsidR="00A430F0" w:rsidRPr="001004FE">
        <w:rPr>
          <w:bCs/>
          <w:i/>
          <w:sz w:val="22"/>
          <w:szCs w:val="22"/>
          <w:lang w:val="sr-Latn-CS"/>
        </w:rPr>
        <w:t>magnetic resonance imaging</w:t>
      </w:r>
      <w:r w:rsidR="00A430F0" w:rsidRPr="001004FE">
        <w:rPr>
          <w:bCs/>
          <w:sz w:val="22"/>
          <w:szCs w:val="22"/>
          <w:lang w:val="sr-Latn-CS"/>
        </w:rPr>
        <w:t xml:space="preserve">, </w:t>
      </w:r>
      <w:r w:rsidRPr="001004FE">
        <w:rPr>
          <w:bCs/>
          <w:sz w:val="22"/>
          <w:szCs w:val="22"/>
          <w:lang w:val="sr-Latn-CS"/>
        </w:rPr>
        <w:t>MRI).</w:t>
      </w:r>
    </w:p>
    <w:p w14:paraId="1DA5A888" w14:textId="77777777" w:rsidR="001638C2" w:rsidRPr="001004FE" w:rsidRDefault="001638C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403DBD63" w14:textId="18AD5101" w:rsidR="00411B4B" w:rsidRPr="001004FE" w:rsidRDefault="001638C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1004FE">
        <w:rPr>
          <w:bCs/>
          <w:sz w:val="22"/>
          <w:szCs w:val="22"/>
          <w:lang w:val="sr-Latn-CS"/>
        </w:rPr>
        <w:t xml:space="preserve">Lijek Primovist treba koristiti samo onda, kada </w:t>
      </w:r>
      <w:r w:rsidR="00217B8A" w:rsidRPr="001004FE">
        <w:rPr>
          <w:bCs/>
          <w:sz w:val="22"/>
          <w:szCs w:val="22"/>
          <w:lang w:val="sr-Latn-CS"/>
        </w:rPr>
        <w:t xml:space="preserve">su </w:t>
      </w:r>
      <w:r w:rsidRPr="001004FE">
        <w:rPr>
          <w:bCs/>
          <w:sz w:val="22"/>
          <w:szCs w:val="22"/>
          <w:lang w:val="sr-Latn-CS"/>
        </w:rPr>
        <w:t xml:space="preserve">neophodne dijagnostičke informacije </w:t>
      </w:r>
      <w:r w:rsidR="00217B8A" w:rsidRPr="001004FE">
        <w:rPr>
          <w:bCs/>
          <w:sz w:val="22"/>
          <w:szCs w:val="22"/>
          <w:lang w:val="sr-Latn-CS"/>
        </w:rPr>
        <w:t>i koje se ne mogu dobiti</w:t>
      </w:r>
      <w:r w:rsidR="00A430F0" w:rsidRPr="001004FE">
        <w:rPr>
          <w:bCs/>
          <w:sz w:val="22"/>
          <w:szCs w:val="22"/>
          <w:lang w:val="sr-Latn-CS"/>
        </w:rPr>
        <w:t xml:space="preserve"> </w:t>
      </w:r>
      <w:r w:rsidRPr="001004FE">
        <w:rPr>
          <w:bCs/>
          <w:sz w:val="22"/>
          <w:szCs w:val="22"/>
          <w:lang w:val="sr-Latn-CS"/>
        </w:rPr>
        <w:t xml:space="preserve">tokom snimanja magnetnom rezonancom </w:t>
      </w:r>
      <w:r w:rsidR="00217B8A" w:rsidRPr="001004FE">
        <w:rPr>
          <w:bCs/>
          <w:sz w:val="22"/>
          <w:szCs w:val="22"/>
          <w:lang w:val="sr-Latn-CS"/>
        </w:rPr>
        <w:t>bez primjene kontrasta i kada su potrebni snimci iz kasne faze</w:t>
      </w:r>
      <w:r w:rsidRPr="001004FE">
        <w:rPr>
          <w:bCs/>
          <w:sz w:val="22"/>
          <w:szCs w:val="22"/>
          <w:lang w:val="sr-Latn-CS"/>
        </w:rPr>
        <w:t>.</w:t>
      </w:r>
    </w:p>
    <w:p w14:paraId="235532CC" w14:textId="77777777" w:rsidR="00B438C5" w:rsidRPr="001004FE" w:rsidRDefault="00B438C5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7976E97" w14:textId="234F20CB" w:rsidR="00B438C5" w:rsidRPr="001004FE" w:rsidRDefault="00B438C5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1004FE">
        <w:rPr>
          <w:bCs/>
          <w:sz w:val="22"/>
          <w:szCs w:val="22"/>
          <w:lang w:val="sr-Latn-CS"/>
        </w:rPr>
        <w:t xml:space="preserve">Ovaj </w:t>
      </w:r>
      <w:r w:rsidR="005A4897" w:rsidRPr="001004FE">
        <w:rPr>
          <w:bCs/>
          <w:sz w:val="22"/>
          <w:szCs w:val="22"/>
          <w:lang w:val="sr-Latn-CS"/>
        </w:rPr>
        <w:t>lijek</w:t>
      </w:r>
      <w:r w:rsidRPr="001004FE">
        <w:rPr>
          <w:bCs/>
          <w:sz w:val="22"/>
          <w:szCs w:val="22"/>
          <w:lang w:val="sr-Latn-CS"/>
        </w:rPr>
        <w:t xml:space="preserve"> je namijenjen za dijagnosti</w:t>
      </w:r>
      <w:r w:rsidR="00217B8A" w:rsidRPr="001004FE">
        <w:rPr>
          <w:bCs/>
          <w:sz w:val="22"/>
          <w:szCs w:val="22"/>
          <w:lang w:val="sr-Latn-CS"/>
        </w:rPr>
        <w:t>č</w:t>
      </w:r>
      <w:r w:rsidRPr="001004FE">
        <w:rPr>
          <w:bCs/>
          <w:sz w:val="22"/>
          <w:szCs w:val="22"/>
          <w:lang w:val="sr-Latn-CS"/>
        </w:rPr>
        <w:t xml:space="preserve">ku </w:t>
      </w:r>
      <w:r w:rsidR="00431A94" w:rsidRPr="001004FE">
        <w:rPr>
          <w:bCs/>
          <w:sz w:val="22"/>
          <w:szCs w:val="22"/>
          <w:lang w:val="sr-Latn-CS"/>
        </w:rPr>
        <w:t>upotrebu</w:t>
      </w:r>
      <w:r w:rsidR="00217B8A" w:rsidRPr="001004FE">
        <w:rPr>
          <w:bCs/>
          <w:sz w:val="22"/>
          <w:szCs w:val="22"/>
          <w:lang w:val="sr-Latn-CS"/>
        </w:rPr>
        <w:t xml:space="preserve"> </w:t>
      </w:r>
      <w:r w:rsidRPr="001004FE">
        <w:rPr>
          <w:bCs/>
          <w:sz w:val="22"/>
          <w:szCs w:val="22"/>
          <w:lang w:val="sr-Latn-CS"/>
        </w:rPr>
        <w:t>i primjenjuje se isključivo intravenskim putem.</w:t>
      </w:r>
    </w:p>
    <w:p w14:paraId="1EF15870" w14:textId="77777777" w:rsidR="001638C2" w:rsidRPr="001004FE" w:rsidRDefault="001638C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B9746C0" w14:textId="77777777" w:rsidR="00411B4B" w:rsidRPr="001004FE" w:rsidRDefault="00411B4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1004FE">
        <w:rPr>
          <w:b/>
          <w:bCs/>
          <w:sz w:val="22"/>
          <w:szCs w:val="22"/>
          <w:lang w:val="de-DE"/>
        </w:rPr>
        <w:t xml:space="preserve">4.2. </w:t>
      </w:r>
      <w:r w:rsidR="00480FB1" w:rsidRPr="001004FE">
        <w:rPr>
          <w:b/>
          <w:bCs/>
          <w:sz w:val="22"/>
          <w:szCs w:val="22"/>
          <w:lang w:val="de-DE"/>
        </w:rPr>
        <w:tab/>
      </w:r>
      <w:r w:rsidRPr="001004FE">
        <w:rPr>
          <w:b/>
          <w:bCs/>
          <w:sz w:val="22"/>
          <w:szCs w:val="22"/>
          <w:lang w:val="de-DE"/>
        </w:rPr>
        <w:t>Doziranje i način primjene</w:t>
      </w:r>
    </w:p>
    <w:p w14:paraId="1581E7AE" w14:textId="1AC9E422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0B143BA0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de-DE"/>
        </w:rPr>
      </w:pPr>
      <w:r w:rsidRPr="001004FE">
        <w:rPr>
          <w:b/>
          <w:sz w:val="22"/>
          <w:szCs w:val="22"/>
          <w:lang w:val="de-DE"/>
        </w:rPr>
        <w:t>Doziranje</w:t>
      </w:r>
    </w:p>
    <w:p w14:paraId="22401F3A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10FAAD18" w14:textId="6111CBD0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1004FE">
        <w:rPr>
          <w:bCs/>
          <w:sz w:val="22"/>
          <w:szCs w:val="22"/>
          <w:lang w:val="de-DE"/>
        </w:rPr>
        <w:t>U dijagnostičke svrhe treba koristiti najmanju dozu lijeka Primovist koja omogućava dovoljno kontrastno bojenje snimka. Dozu treba izračunati na osnovu tjelesne težine pacijenta, i ne smije biti prekoračena preporučena doza po kilogramu tjelesne težine, detaljno prikazana u ovom dijelu.</w:t>
      </w:r>
    </w:p>
    <w:p w14:paraId="7BCF2DF5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562311B4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1004FE">
        <w:rPr>
          <w:bCs/>
          <w:sz w:val="22"/>
          <w:szCs w:val="22"/>
          <w:lang w:val="de-DE"/>
        </w:rPr>
        <w:t>Preporučena doza za lijek Primovist je:</w:t>
      </w:r>
    </w:p>
    <w:p w14:paraId="1A6B106B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18618D2C" w14:textId="3FA076A2" w:rsidR="00A430F0" w:rsidRDefault="00A430F0" w:rsidP="00F8122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de-DE"/>
        </w:rPr>
      </w:pPr>
      <w:r w:rsidRPr="001004FE">
        <w:rPr>
          <w:b/>
          <w:sz w:val="22"/>
          <w:szCs w:val="22"/>
          <w:lang w:val="de-DE"/>
        </w:rPr>
        <w:t>Odrasli</w:t>
      </w:r>
    </w:p>
    <w:p w14:paraId="09F3F973" w14:textId="77777777" w:rsidR="00F81221" w:rsidRPr="001004FE" w:rsidRDefault="00F81221" w:rsidP="00F8122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de-DE"/>
        </w:rPr>
      </w:pPr>
    </w:p>
    <w:p w14:paraId="7171A294" w14:textId="5E260352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004FE">
        <w:rPr>
          <w:bCs/>
          <w:sz w:val="22"/>
          <w:szCs w:val="22"/>
        </w:rPr>
        <w:t>0</w:t>
      </w:r>
      <w:proofErr w:type="gramStart"/>
      <w:r w:rsidRPr="001004FE">
        <w:rPr>
          <w:bCs/>
          <w:sz w:val="22"/>
          <w:szCs w:val="22"/>
        </w:rPr>
        <w:t>,1</w:t>
      </w:r>
      <w:proofErr w:type="gramEnd"/>
      <w:r w:rsidRPr="001004FE">
        <w:rPr>
          <w:bCs/>
          <w:sz w:val="22"/>
          <w:szCs w:val="22"/>
        </w:rPr>
        <w:t xml:space="preserve"> ml po kg tjelesne mase.</w:t>
      </w:r>
    </w:p>
    <w:p w14:paraId="2F77008D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35CF393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  <w:r w:rsidRPr="001004FE">
        <w:rPr>
          <w:b/>
          <w:sz w:val="22"/>
          <w:szCs w:val="22"/>
        </w:rPr>
        <w:lastRenderedPageBreak/>
        <w:t>Ponovljena primjena</w:t>
      </w:r>
    </w:p>
    <w:p w14:paraId="1FF8F36B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004FE">
        <w:rPr>
          <w:bCs/>
          <w:sz w:val="22"/>
          <w:szCs w:val="22"/>
        </w:rPr>
        <w:t xml:space="preserve">Nema dostupnih kliničkih informacija o ponovljenoj primjeni lijeka Primovist. </w:t>
      </w:r>
    </w:p>
    <w:p w14:paraId="2C9F1F5F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F834EA2" w14:textId="77777777" w:rsidR="00A430F0" w:rsidRPr="001004FE" w:rsidRDefault="00A430F0" w:rsidP="00F81221">
      <w:pPr>
        <w:jc w:val="both"/>
        <w:rPr>
          <w:b/>
          <w:sz w:val="22"/>
          <w:szCs w:val="22"/>
          <w:lang w:val="es-ES"/>
        </w:rPr>
      </w:pPr>
      <w:r w:rsidRPr="001004FE">
        <w:rPr>
          <w:b/>
          <w:sz w:val="22"/>
          <w:szCs w:val="22"/>
          <w:lang w:val="es-ES"/>
        </w:rPr>
        <w:t>Dodatne informacije o posebnim populacijama</w:t>
      </w:r>
    </w:p>
    <w:p w14:paraId="1B6C95DD" w14:textId="77777777" w:rsidR="00A430F0" w:rsidRPr="001004FE" w:rsidRDefault="00A430F0" w:rsidP="00F81221">
      <w:pPr>
        <w:jc w:val="both"/>
        <w:rPr>
          <w:b/>
          <w:sz w:val="22"/>
          <w:szCs w:val="22"/>
          <w:lang w:val="it-IT"/>
        </w:rPr>
      </w:pPr>
    </w:p>
    <w:p w14:paraId="2FBE0040" w14:textId="77777777" w:rsidR="00A430F0" w:rsidRPr="001004FE" w:rsidRDefault="00A430F0" w:rsidP="00F81221">
      <w:pPr>
        <w:jc w:val="both"/>
        <w:rPr>
          <w:sz w:val="22"/>
          <w:szCs w:val="22"/>
          <w:u w:val="single"/>
          <w:lang w:val="it-IT"/>
        </w:rPr>
      </w:pPr>
      <w:r w:rsidRPr="001004FE">
        <w:rPr>
          <w:sz w:val="22"/>
          <w:szCs w:val="22"/>
          <w:u w:val="single"/>
          <w:lang w:val="it-IT"/>
        </w:rPr>
        <w:t>Pacijenti sa oštećenjem funkcije bubrega</w:t>
      </w:r>
    </w:p>
    <w:p w14:paraId="271C5D3C" w14:textId="636931D6" w:rsidR="00A430F0" w:rsidRPr="001004FE" w:rsidRDefault="00A430F0" w:rsidP="00F81221">
      <w:pPr>
        <w:jc w:val="both"/>
        <w:rPr>
          <w:sz w:val="22"/>
          <w:szCs w:val="22"/>
          <w:lang w:val="fr-FR"/>
        </w:rPr>
      </w:pPr>
      <w:r w:rsidRPr="001004FE">
        <w:rPr>
          <w:sz w:val="22"/>
          <w:szCs w:val="22"/>
          <w:lang w:val="it-IT"/>
        </w:rPr>
        <w:t>Primjenu lijeka Primovist treba izbjegavati kod pacijenata sa teškim oštećenjem bubrega (GFR &lt; 30 ml/min/1,73m</w:t>
      </w:r>
      <w:r w:rsidRPr="001004FE">
        <w:rPr>
          <w:sz w:val="22"/>
          <w:szCs w:val="22"/>
          <w:vertAlign w:val="superscript"/>
          <w:lang w:val="it-IT"/>
        </w:rPr>
        <w:t>2</w:t>
      </w:r>
      <w:r w:rsidRPr="001004FE">
        <w:rPr>
          <w:sz w:val="22"/>
          <w:szCs w:val="22"/>
          <w:lang w:val="it-IT"/>
        </w:rPr>
        <w:t xml:space="preserve">) i kod pacijenata u perioperativnom periodu transplantacije jetre osim ukoliko su dijagnostičke informacije neophodne i nijesu dostupne primjenom MRI bez pojačanja kontrastom (vidjeti dio 4.4). </w:t>
      </w:r>
      <w:r w:rsidRPr="001004FE">
        <w:rPr>
          <w:sz w:val="22"/>
          <w:szCs w:val="22"/>
          <w:lang w:val="fr-FR"/>
        </w:rPr>
        <w:t>Ako primjena lijeka Primovist ne može da se izbjegne, doza ne treba da pređe 0,025 mmol/kg tjelesne mase. Tokom skeniranja ne treba da se koristi više od jedne doze. Zbog nedostatka informacija o ponovljenoj primjeni, injekcije lijeka Primovist ne treba ponoviti osim ako je između injekcija proteklo najmanje 7 dana.</w:t>
      </w:r>
    </w:p>
    <w:p w14:paraId="0631934D" w14:textId="77777777" w:rsidR="00A430F0" w:rsidRPr="001004FE" w:rsidRDefault="00A430F0" w:rsidP="00F81221">
      <w:pPr>
        <w:jc w:val="both"/>
        <w:rPr>
          <w:sz w:val="22"/>
          <w:szCs w:val="22"/>
          <w:lang w:val="fr-FR"/>
        </w:rPr>
      </w:pPr>
    </w:p>
    <w:p w14:paraId="36ECB5E8" w14:textId="77777777" w:rsidR="00A430F0" w:rsidRPr="001004FE" w:rsidRDefault="00A430F0" w:rsidP="00F81221">
      <w:pPr>
        <w:jc w:val="both"/>
        <w:rPr>
          <w:sz w:val="22"/>
          <w:szCs w:val="22"/>
          <w:u w:val="single"/>
          <w:lang w:val="it-IT"/>
        </w:rPr>
      </w:pPr>
      <w:r w:rsidRPr="001004FE">
        <w:rPr>
          <w:sz w:val="22"/>
          <w:szCs w:val="22"/>
          <w:u w:val="single"/>
          <w:lang w:val="it-IT"/>
        </w:rPr>
        <w:t>Pacijenti sa oštećenjem jetre</w:t>
      </w:r>
    </w:p>
    <w:p w14:paraId="320B6351" w14:textId="77777777" w:rsidR="00A430F0" w:rsidRPr="001004FE" w:rsidRDefault="00A430F0" w:rsidP="00F81221">
      <w:pPr>
        <w:jc w:val="both"/>
        <w:rPr>
          <w:sz w:val="22"/>
          <w:szCs w:val="22"/>
          <w:lang w:val="it-IT"/>
        </w:rPr>
      </w:pPr>
      <w:r w:rsidRPr="001004FE">
        <w:rPr>
          <w:sz w:val="22"/>
          <w:szCs w:val="22"/>
          <w:lang w:val="it-IT"/>
        </w:rPr>
        <w:t>Nije potrebno prilagođavanje doze.</w:t>
      </w:r>
    </w:p>
    <w:p w14:paraId="79EDF2B0" w14:textId="77777777" w:rsidR="00A430F0" w:rsidRPr="001004FE" w:rsidRDefault="00A430F0" w:rsidP="00F81221">
      <w:pPr>
        <w:jc w:val="both"/>
        <w:rPr>
          <w:sz w:val="22"/>
          <w:szCs w:val="22"/>
          <w:lang w:val="it-IT"/>
        </w:rPr>
      </w:pPr>
    </w:p>
    <w:p w14:paraId="38844917" w14:textId="77777777" w:rsidR="00A430F0" w:rsidRPr="001004FE" w:rsidRDefault="00A430F0" w:rsidP="00F81221">
      <w:pPr>
        <w:jc w:val="both"/>
        <w:rPr>
          <w:sz w:val="22"/>
          <w:szCs w:val="22"/>
          <w:u w:val="single"/>
          <w:lang w:val="it-IT"/>
        </w:rPr>
      </w:pPr>
      <w:r w:rsidRPr="001004FE">
        <w:rPr>
          <w:sz w:val="22"/>
          <w:szCs w:val="22"/>
          <w:u w:val="single"/>
          <w:lang w:val="it-IT"/>
        </w:rPr>
        <w:t>Pedijatrijska populacija</w:t>
      </w:r>
    </w:p>
    <w:p w14:paraId="45F4DAA3" w14:textId="00FC5E7E" w:rsidR="00A430F0" w:rsidRPr="001004FE" w:rsidRDefault="00A430F0" w:rsidP="00F81221">
      <w:pPr>
        <w:jc w:val="both"/>
        <w:rPr>
          <w:b/>
          <w:sz w:val="22"/>
          <w:szCs w:val="22"/>
          <w:lang w:val="it-IT"/>
        </w:rPr>
      </w:pPr>
      <w:r w:rsidRPr="001004FE">
        <w:rPr>
          <w:sz w:val="22"/>
          <w:szCs w:val="22"/>
          <w:lang w:val="it-IT"/>
        </w:rPr>
        <w:t xml:space="preserve">Bezbjednost i efikasnost lijeka Primovist nije ustanovljena kod pacijenata mlađih od 18 godina. </w:t>
      </w:r>
      <w:r w:rsidRPr="001004FE">
        <w:rPr>
          <w:sz w:val="22"/>
          <w:szCs w:val="22"/>
          <w:lang w:val="fr-FR"/>
        </w:rPr>
        <w:t>Trenutno dostupni podaci su opisani u dijelu 5.1.</w:t>
      </w:r>
    </w:p>
    <w:p w14:paraId="5D746C8A" w14:textId="77777777" w:rsidR="00A430F0" w:rsidRPr="001004FE" w:rsidRDefault="00A430F0" w:rsidP="00F81221">
      <w:pPr>
        <w:jc w:val="both"/>
        <w:rPr>
          <w:sz w:val="22"/>
          <w:szCs w:val="22"/>
          <w:lang w:val="it-IT"/>
        </w:rPr>
      </w:pPr>
    </w:p>
    <w:p w14:paraId="5674D55B" w14:textId="77777777" w:rsidR="00A430F0" w:rsidRPr="001004FE" w:rsidRDefault="00A430F0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  <w:lang w:val="it-IT"/>
        </w:rPr>
        <w:t>Starija populacija (</w:t>
      </w:r>
      <w:r w:rsidRPr="001004FE">
        <w:rPr>
          <w:rFonts w:ascii="Times New Roman" w:hAnsi="Times New Roman" w:cs="Times New Roman"/>
          <w:sz w:val="22"/>
          <w:szCs w:val="22"/>
          <w:u w:val="single"/>
          <w:lang w:val="pt-PT"/>
        </w:rPr>
        <w:t xml:space="preserve">65 godina i više) </w:t>
      </w:r>
    </w:p>
    <w:p w14:paraId="5B29DB20" w14:textId="77777777" w:rsidR="00A430F0" w:rsidRPr="001004FE" w:rsidRDefault="00A430F0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Smatra se da nije potrebno prilagođavanje doze. Kod starijih pacijenata treba biti oprezan (vidjeti </w:t>
      </w:r>
      <w:r w:rsidRPr="001004FE">
        <w:rPr>
          <w:rFonts w:ascii="Times New Roman" w:hAnsi="Times New Roman" w:cs="Times New Roman"/>
          <w:sz w:val="22"/>
          <w:szCs w:val="22"/>
        </w:rPr>
        <w:t>dio</w:t>
      </w: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 4.4). </w:t>
      </w:r>
    </w:p>
    <w:p w14:paraId="71A62E41" w14:textId="5831FADC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64822649" w14:textId="77777777" w:rsidR="001638C2" w:rsidRPr="001004FE" w:rsidRDefault="001638C2" w:rsidP="00F8122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de-DE"/>
        </w:rPr>
      </w:pPr>
      <w:r w:rsidRPr="001004FE">
        <w:rPr>
          <w:b/>
          <w:sz w:val="22"/>
          <w:szCs w:val="22"/>
          <w:lang w:val="de-DE"/>
        </w:rPr>
        <w:t>Način primjene</w:t>
      </w:r>
    </w:p>
    <w:p w14:paraId="79733242" w14:textId="1CF89FC5" w:rsidR="001638C2" w:rsidRPr="001004FE" w:rsidRDefault="00217B8A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1004FE">
        <w:rPr>
          <w:bCs/>
          <w:sz w:val="22"/>
          <w:szCs w:val="22"/>
          <w:lang w:val="de-DE"/>
        </w:rPr>
        <w:t xml:space="preserve">Lijek </w:t>
      </w:r>
      <w:r w:rsidR="001638C2" w:rsidRPr="001004FE">
        <w:rPr>
          <w:bCs/>
          <w:sz w:val="22"/>
          <w:szCs w:val="22"/>
          <w:lang w:val="de-DE"/>
        </w:rPr>
        <w:t xml:space="preserve">Primovist je vodeni rastvor spreman za primjenu u nerazblaženom stanju kao intravenska bolus injekcija sa brzinom protoka od oko 2 ml/s. Poslije primjene kontrastnog sredstva intravensku kanilu treba isprati </w:t>
      </w:r>
      <w:r w:rsidR="003932DE" w:rsidRPr="001004FE">
        <w:rPr>
          <w:bCs/>
          <w:sz w:val="22"/>
          <w:szCs w:val="22"/>
          <w:lang w:val="de-DE"/>
        </w:rPr>
        <w:t xml:space="preserve">sterilnim </w:t>
      </w:r>
      <w:r w:rsidR="001638C2" w:rsidRPr="001004FE">
        <w:rPr>
          <w:bCs/>
          <w:sz w:val="22"/>
          <w:szCs w:val="22"/>
          <w:lang w:val="de-DE"/>
        </w:rPr>
        <w:t>fiziološkim rastvorom (9 mg/ml tj. 0,9% rastvor natrijum-hlorida).</w:t>
      </w:r>
    </w:p>
    <w:p w14:paraId="09160A0F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535C11D9" w14:textId="793D0924" w:rsidR="001638C2" w:rsidRPr="001004FE" w:rsidRDefault="001638C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1004FE">
        <w:rPr>
          <w:bCs/>
          <w:sz w:val="22"/>
          <w:szCs w:val="22"/>
          <w:lang w:val="de-DE"/>
        </w:rPr>
        <w:t>Detaljnije informacije o snimanju vidjeti u dijelu 5.1</w:t>
      </w:r>
      <w:r w:rsidR="003932DE" w:rsidRPr="001004FE">
        <w:rPr>
          <w:bCs/>
          <w:sz w:val="22"/>
          <w:szCs w:val="22"/>
          <w:lang w:val="de-DE"/>
        </w:rPr>
        <w:t>.</w:t>
      </w:r>
    </w:p>
    <w:p w14:paraId="359493E1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1A436B2E" w14:textId="0E25A60D" w:rsidR="001638C2" w:rsidRPr="001004FE" w:rsidRDefault="001638C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1004FE">
        <w:rPr>
          <w:bCs/>
          <w:sz w:val="22"/>
          <w:szCs w:val="22"/>
          <w:lang w:val="de-DE"/>
        </w:rPr>
        <w:t>Za dodatna uputstva vidjeti u dijelu 6.6.</w:t>
      </w:r>
    </w:p>
    <w:p w14:paraId="4CEF7D25" w14:textId="17923F8B" w:rsidR="001638C2" w:rsidRPr="001004FE" w:rsidRDefault="001638C2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423F2F24" w14:textId="14EA1E87" w:rsidR="00411B4B" w:rsidRPr="001004FE" w:rsidRDefault="00411B4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fr-FR"/>
        </w:rPr>
      </w:pPr>
      <w:r w:rsidRPr="001004FE">
        <w:rPr>
          <w:b/>
          <w:bCs/>
          <w:sz w:val="22"/>
          <w:szCs w:val="22"/>
          <w:lang w:val="fr-FR"/>
        </w:rPr>
        <w:t xml:space="preserve">4.3. </w:t>
      </w:r>
      <w:r w:rsidR="00480FB1" w:rsidRPr="001004FE">
        <w:rPr>
          <w:b/>
          <w:bCs/>
          <w:sz w:val="22"/>
          <w:szCs w:val="22"/>
          <w:lang w:val="fr-FR"/>
        </w:rPr>
        <w:tab/>
      </w:r>
      <w:r w:rsidRPr="001004FE">
        <w:rPr>
          <w:b/>
          <w:bCs/>
          <w:sz w:val="22"/>
          <w:szCs w:val="22"/>
          <w:lang w:val="fr-FR"/>
        </w:rPr>
        <w:t>Kontraindikacije</w:t>
      </w:r>
    </w:p>
    <w:p w14:paraId="74A1D8F0" w14:textId="77777777" w:rsidR="00A430F0" w:rsidRPr="001004FE" w:rsidRDefault="00A430F0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fr-FR"/>
        </w:rPr>
      </w:pPr>
    </w:p>
    <w:p w14:paraId="0D003DD7" w14:textId="0B1B0C6F" w:rsidR="0072020E" w:rsidRPr="001004FE" w:rsidRDefault="001E1A06" w:rsidP="00F81221">
      <w:pPr>
        <w:jc w:val="both"/>
        <w:rPr>
          <w:bCs/>
          <w:sz w:val="22"/>
          <w:szCs w:val="22"/>
          <w:lang w:val="fr-FR"/>
        </w:rPr>
      </w:pPr>
      <w:r w:rsidRPr="001004FE">
        <w:rPr>
          <w:bCs/>
          <w:sz w:val="22"/>
          <w:szCs w:val="22"/>
          <w:lang w:val="fr-FR"/>
        </w:rPr>
        <w:t>Preosjetljivost na aktivnu supstancu ili bilo koj</w:t>
      </w:r>
      <w:r w:rsidR="00A430F0" w:rsidRPr="001004FE">
        <w:rPr>
          <w:bCs/>
          <w:sz w:val="22"/>
          <w:szCs w:val="22"/>
          <w:lang w:val="fr-FR"/>
        </w:rPr>
        <w:t>u</w:t>
      </w:r>
      <w:r w:rsidRPr="001004FE">
        <w:rPr>
          <w:bCs/>
          <w:sz w:val="22"/>
          <w:szCs w:val="22"/>
          <w:lang w:val="fr-FR"/>
        </w:rPr>
        <w:t xml:space="preserve"> od pomoćnih supstanci</w:t>
      </w:r>
      <w:r w:rsidR="00601A84" w:rsidRPr="001004FE">
        <w:rPr>
          <w:bCs/>
          <w:sz w:val="22"/>
          <w:szCs w:val="22"/>
          <w:lang w:val="fr-FR"/>
        </w:rPr>
        <w:t xml:space="preserve"> navedenih u dijelu 6.1</w:t>
      </w:r>
      <w:r w:rsidRPr="001004FE">
        <w:rPr>
          <w:bCs/>
          <w:sz w:val="22"/>
          <w:szCs w:val="22"/>
          <w:lang w:val="fr-FR"/>
        </w:rPr>
        <w:t>.</w:t>
      </w:r>
    </w:p>
    <w:p w14:paraId="6206BED2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fr-FR"/>
        </w:rPr>
      </w:pPr>
    </w:p>
    <w:p w14:paraId="5D5118B3" w14:textId="77777777" w:rsidR="00411B4B" w:rsidRPr="001004FE" w:rsidRDefault="00411B4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fr-FR"/>
        </w:rPr>
      </w:pPr>
      <w:r w:rsidRPr="001004FE">
        <w:rPr>
          <w:b/>
          <w:bCs/>
          <w:sz w:val="22"/>
          <w:szCs w:val="22"/>
          <w:lang w:val="fr-FR"/>
        </w:rPr>
        <w:t xml:space="preserve">4.4. </w:t>
      </w:r>
      <w:r w:rsidR="00480FB1" w:rsidRPr="001004FE">
        <w:rPr>
          <w:b/>
          <w:bCs/>
          <w:sz w:val="22"/>
          <w:szCs w:val="22"/>
          <w:lang w:val="fr-FR"/>
        </w:rPr>
        <w:tab/>
      </w:r>
      <w:r w:rsidRPr="001004FE">
        <w:rPr>
          <w:b/>
          <w:bCs/>
          <w:sz w:val="22"/>
          <w:szCs w:val="22"/>
          <w:lang w:val="fr-FR"/>
        </w:rPr>
        <w:t>Posebna upozorenja i mjere opreza pri upotrebi lijeka</w:t>
      </w:r>
    </w:p>
    <w:p w14:paraId="042F0D33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</w:p>
    <w:p w14:paraId="1C1A1E7E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Uobičajene mjere opreza tokom magnetne rezonance moraju biti poštovane, npr. isključivanje osoba sa srčanim </w:t>
      </w:r>
      <w:r w:rsidRPr="001004FE">
        <w:rPr>
          <w:i/>
          <w:iCs/>
          <w:sz w:val="22"/>
          <w:szCs w:val="22"/>
          <w:lang w:val="pt-PT"/>
        </w:rPr>
        <w:t>pace-maker</w:t>
      </w:r>
      <w:r w:rsidRPr="001004FE">
        <w:rPr>
          <w:sz w:val="22"/>
          <w:szCs w:val="22"/>
          <w:lang w:val="pt-PT"/>
        </w:rPr>
        <w:t>-om i feromagnetnim implantima.</w:t>
      </w:r>
    </w:p>
    <w:p w14:paraId="31108DC2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</w:p>
    <w:p w14:paraId="58ECA903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Dijagnostičke procedure koje uključuju korišćenje kontrastnih sredstava treba da se vrše pod nadzorom ljekara sa potrebnom obukom i detaljnim znanjem o proceduri koja treba da se sprovede.</w:t>
      </w:r>
    </w:p>
    <w:p w14:paraId="0A1CB90D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</w:p>
    <w:p w14:paraId="4D1BB175" w14:textId="609F40B0" w:rsidR="00A430F0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Poslije primjene injekcije, pacijent mora da se posmatra najmanje 30 min, pošto iskustvo sa kontrastnim sredstvima ukazuje da se neželjena dejstva javljaju u tom vremenskom periodu.</w:t>
      </w:r>
    </w:p>
    <w:p w14:paraId="486C425B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72C6B4CA" w14:textId="01018F3E" w:rsidR="00A430F0" w:rsidRPr="001004FE" w:rsidRDefault="001E1A06" w:rsidP="00F81221">
      <w:pPr>
        <w:jc w:val="both"/>
        <w:rPr>
          <w:sz w:val="22"/>
          <w:szCs w:val="22"/>
          <w:lang w:val="pt-PT"/>
        </w:rPr>
      </w:pPr>
      <w:r w:rsidRPr="001004FE">
        <w:rPr>
          <w:bCs/>
          <w:iCs/>
          <w:color w:val="000000" w:themeColor="text1"/>
          <w:sz w:val="22"/>
          <w:szCs w:val="22"/>
          <w:u w:val="single"/>
          <w:lang w:val="pt-PT"/>
        </w:rPr>
        <w:t>Oštećenje funkcije bubrega</w:t>
      </w:r>
    </w:p>
    <w:p w14:paraId="3E90D6E7" w14:textId="377AC146" w:rsidR="001E1A06" w:rsidRPr="001004FE" w:rsidRDefault="001E1A06" w:rsidP="00F81221">
      <w:pPr>
        <w:spacing w:before="120"/>
        <w:jc w:val="both"/>
        <w:rPr>
          <w:b/>
          <w:sz w:val="22"/>
          <w:szCs w:val="22"/>
          <w:lang w:val="sr-Latn-CS"/>
        </w:rPr>
      </w:pPr>
      <w:r w:rsidRPr="001004FE">
        <w:rPr>
          <w:b/>
          <w:sz w:val="22"/>
          <w:szCs w:val="22"/>
          <w:lang w:val="pt-PT"/>
        </w:rPr>
        <w:t>Prije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primjene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lijeka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Primovist</w:t>
      </w:r>
      <w:r w:rsidRPr="001004FE">
        <w:rPr>
          <w:b/>
          <w:sz w:val="22"/>
          <w:szCs w:val="22"/>
          <w:lang w:val="sr-Latn-CS"/>
        </w:rPr>
        <w:t xml:space="preserve">, </w:t>
      </w:r>
      <w:r w:rsidR="009C3E11" w:rsidRPr="001004FE">
        <w:rPr>
          <w:b/>
          <w:sz w:val="22"/>
          <w:szCs w:val="22"/>
          <w:lang w:val="pt-PT"/>
        </w:rPr>
        <w:t>preporučuje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se</w:t>
      </w:r>
      <w:r w:rsidRPr="001004FE">
        <w:rPr>
          <w:b/>
          <w:sz w:val="22"/>
          <w:szCs w:val="22"/>
          <w:lang w:val="sr-Latn-CS"/>
        </w:rPr>
        <w:t xml:space="preserve"> </w:t>
      </w:r>
      <w:r w:rsidR="009C3E11" w:rsidRPr="001004FE">
        <w:rPr>
          <w:b/>
          <w:sz w:val="22"/>
          <w:szCs w:val="22"/>
          <w:lang w:val="sr-Latn-CS"/>
        </w:rPr>
        <w:t xml:space="preserve">da se </w:t>
      </w:r>
      <w:r w:rsidRPr="001004FE">
        <w:rPr>
          <w:b/>
          <w:sz w:val="22"/>
          <w:szCs w:val="22"/>
          <w:lang w:val="pt-PT"/>
        </w:rPr>
        <w:t>uradi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skrining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svih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pacijenata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na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postojanje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poreme</w:t>
      </w:r>
      <w:r w:rsidRPr="001004FE">
        <w:rPr>
          <w:b/>
          <w:sz w:val="22"/>
          <w:szCs w:val="22"/>
          <w:lang w:val="sr-Latn-CS"/>
        </w:rPr>
        <w:t>ć</w:t>
      </w:r>
      <w:r w:rsidRPr="001004FE">
        <w:rPr>
          <w:b/>
          <w:sz w:val="22"/>
          <w:szCs w:val="22"/>
          <w:lang w:val="pt-PT"/>
        </w:rPr>
        <w:t>aja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bubre</w:t>
      </w:r>
      <w:r w:rsidRPr="001004FE">
        <w:rPr>
          <w:b/>
          <w:sz w:val="22"/>
          <w:szCs w:val="22"/>
          <w:lang w:val="sr-Latn-CS"/>
        </w:rPr>
        <w:t>ž</w:t>
      </w:r>
      <w:r w:rsidRPr="001004FE">
        <w:rPr>
          <w:b/>
          <w:sz w:val="22"/>
          <w:szCs w:val="22"/>
          <w:lang w:val="pt-PT"/>
        </w:rPr>
        <w:t>ne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funkcije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na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osnovu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laboratorijskih</w:t>
      </w:r>
      <w:r w:rsidRPr="001004FE">
        <w:rPr>
          <w:b/>
          <w:sz w:val="22"/>
          <w:szCs w:val="22"/>
          <w:lang w:val="sr-Latn-CS"/>
        </w:rPr>
        <w:t xml:space="preserve"> </w:t>
      </w:r>
      <w:r w:rsidRPr="001004FE">
        <w:rPr>
          <w:b/>
          <w:sz w:val="22"/>
          <w:szCs w:val="22"/>
          <w:lang w:val="pt-PT"/>
        </w:rPr>
        <w:t>testova</w:t>
      </w:r>
      <w:r w:rsidRPr="001004FE">
        <w:rPr>
          <w:b/>
          <w:sz w:val="22"/>
          <w:szCs w:val="22"/>
          <w:lang w:val="sr-Latn-CS"/>
        </w:rPr>
        <w:t xml:space="preserve">. </w:t>
      </w:r>
    </w:p>
    <w:p w14:paraId="55913768" w14:textId="7B55752A" w:rsidR="001E1A06" w:rsidRPr="001004FE" w:rsidRDefault="001E1A06" w:rsidP="00F81221">
      <w:pPr>
        <w:spacing w:before="120"/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</w:rPr>
        <w:t>Prijavljeni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su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slu</w:t>
      </w:r>
      <w:r w:rsidRPr="001004FE">
        <w:rPr>
          <w:sz w:val="22"/>
          <w:szCs w:val="22"/>
          <w:lang w:val="sr-Latn-CS"/>
        </w:rPr>
        <w:t>č</w:t>
      </w:r>
      <w:r w:rsidRPr="001004FE">
        <w:rPr>
          <w:sz w:val="22"/>
          <w:szCs w:val="22"/>
        </w:rPr>
        <w:t>ajevi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nefrogene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sistemske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fibroze</w:t>
      </w:r>
      <w:r w:rsidRPr="001004FE">
        <w:rPr>
          <w:sz w:val="22"/>
          <w:szCs w:val="22"/>
          <w:lang w:val="sr-Latn-CS"/>
        </w:rPr>
        <w:t xml:space="preserve"> (</w:t>
      </w:r>
      <w:r w:rsidRPr="001004FE">
        <w:rPr>
          <w:sz w:val="22"/>
          <w:szCs w:val="22"/>
        </w:rPr>
        <w:t>NSF</w:t>
      </w:r>
      <w:r w:rsidRPr="001004FE">
        <w:rPr>
          <w:sz w:val="22"/>
          <w:szCs w:val="22"/>
          <w:lang w:val="sr-Latn-CS"/>
        </w:rPr>
        <w:t xml:space="preserve">) </w:t>
      </w:r>
      <w:r w:rsidR="009C3E11" w:rsidRPr="001004FE">
        <w:rPr>
          <w:sz w:val="22"/>
          <w:szCs w:val="22"/>
        </w:rPr>
        <w:t>povezane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primjenom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nekih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kontrastnih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sredstava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koja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sadr</w:t>
      </w:r>
      <w:r w:rsidRPr="001004FE">
        <w:rPr>
          <w:sz w:val="22"/>
          <w:szCs w:val="22"/>
          <w:lang w:val="sr-Latn-CS"/>
        </w:rPr>
        <w:t>ž</w:t>
      </w:r>
      <w:r w:rsidRPr="001004FE">
        <w:rPr>
          <w:sz w:val="22"/>
          <w:szCs w:val="22"/>
        </w:rPr>
        <w:t>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gadolinijum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kod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pacijenata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akutnim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ili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hroni</w:t>
      </w:r>
      <w:r w:rsidRPr="001004FE">
        <w:rPr>
          <w:sz w:val="22"/>
          <w:szCs w:val="22"/>
          <w:lang w:val="sr-Latn-CS"/>
        </w:rPr>
        <w:t>č</w:t>
      </w:r>
      <w:r w:rsidRPr="001004FE">
        <w:rPr>
          <w:sz w:val="22"/>
          <w:szCs w:val="22"/>
        </w:rPr>
        <w:t>nim</w:t>
      </w:r>
      <w:r w:rsidRPr="001004FE">
        <w:rPr>
          <w:sz w:val="22"/>
          <w:szCs w:val="22"/>
          <w:lang w:val="sr-Latn-CS"/>
        </w:rPr>
        <w:t xml:space="preserve"> </w:t>
      </w:r>
      <w:r w:rsidR="009C3E11" w:rsidRPr="001004FE">
        <w:rPr>
          <w:sz w:val="22"/>
          <w:szCs w:val="22"/>
        </w:rPr>
        <w:t>te</w:t>
      </w:r>
      <w:r w:rsidR="009C3E11" w:rsidRPr="001004FE">
        <w:rPr>
          <w:sz w:val="22"/>
          <w:szCs w:val="22"/>
          <w:lang w:val="sr-Latn-CS"/>
        </w:rPr>
        <w:t>š</w:t>
      </w:r>
      <w:r w:rsidR="009C3E11" w:rsidRPr="001004FE">
        <w:rPr>
          <w:sz w:val="22"/>
          <w:szCs w:val="22"/>
        </w:rPr>
        <w:t>kim</w:t>
      </w:r>
      <w:r w:rsidR="009C3E11" w:rsidRPr="001004FE">
        <w:rPr>
          <w:sz w:val="22"/>
          <w:szCs w:val="22"/>
          <w:lang w:val="sr-Latn-CS"/>
        </w:rPr>
        <w:t xml:space="preserve"> </w:t>
      </w:r>
      <w:r w:rsidR="009C3E11" w:rsidRPr="001004FE">
        <w:rPr>
          <w:sz w:val="22"/>
          <w:szCs w:val="22"/>
        </w:rPr>
        <w:t>o</w:t>
      </w:r>
      <w:r w:rsidR="009C3E11" w:rsidRPr="001004FE">
        <w:rPr>
          <w:sz w:val="22"/>
          <w:szCs w:val="22"/>
          <w:lang w:val="sr-Latn-CS"/>
        </w:rPr>
        <w:t xml:space="preserve">štećenjem </w:t>
      </w:r>
      <w:r w:rsidRPr="001004FE">
        <w:rPr>
          <w:sz w:val="22"/>
          <w:szCs w:val="22"/>
        </w:rPr>
        <w:t>funkcije</w:t>
      </w:r>
      <w:r w:rsidR="009C3E11" w:rsidRPr="001004FE">
        <w:rPr>
          <w:sz w:val="22"/>
          <w:szCs w:val="22"/>
          <w:lang w:val="sr-Latn-CS"/>
        </w:rPr>
        <w:t xml:space="preserve"> bubrega</w:t>
      </w:r>
      <w:r w:rsidRPr="001004FE">
        <w:rPr>
          <w:sz w:val="22"/>
          <w:szCs w:val="22"/>
          <w:lang w:val="sr-Latn-CS"/>
        </w:rPr>
        <w:t xml:space="preserve"> (</w:t>
      </w:r>
      <w:r w:rsidRPr="001004FE">
        <w:rPr>
          <w:sz w:val="22"/>
          <w:szCs w:val="22"/>
        </w:rPr>
        <w:t>GFR</w:t>
      </w:r>
      <w:r w:rsidRPr="001004FE">
        <w:rPr>
          <w:sz w:val="22"/>
          <w:szCs w:val="22"/>
          <w:lang w:val="sr-Latn-CS"/>
        </w:rPr>
        <w:t xml:space="preserve"> &lt;</w:t>
      </w:r>
      <w:r w:rsidR="009C3E11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sr-Latn-CS"/>
        </w:rPr>
        <w:t xml:space="preserve">30 </w:t>
      </w:r>
      <w:r w:rsidRPr="001004FE">
        <w:rPr>
          <w:sz w:val="22"/>
          <w:szCs w:val="22"/>
        </w:rPr>
        <w:t>ml</w:t>
      </w:r>
      <w:r w:rsidRPr="001004FE">
        <w:rPr>
          <w:sz w:val="22"/>
          <w:szCs w:val="22"/>
          <w:lang w:val="sr-Latn-CS"/>
        </w:rPr>
        <w:t>/</w:t>
      </w:r>
      <w:r w:rsidRPr="001004FE">
        <w:rPr>
          <w:sz w:val="22"/>
          <w:szCs w:val="22"/>
        </w:rPr>
        <w:t>min</w:t>
      </w:r>
      <w:r w:rsidRPr="001004FE">
        <w:rPr>
          <w:sz w:val="22"/>
          <w:szCs w:val="22"/>
          <w:lang w:val="sr-Latn-CS"/>
        </w:rPr>
        <w:t>/1</w:t>
      </w:r>
      <w:proofErr w:type="gramStart"/>
      <w:r w:rsidRPr="001004FE">
        <w:rPr>
          <w:sz w:val="22"/>
          <w:szCs w:val="22"/>
          <w:lang w:val="sr-Latn-CS"/>
        </w:rPr>
        <w:t>,73</w:t>
      </w:r>
      <w:proofErr w:type="gramEnd"/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m</w:t>
      </w:r>
      <w:r w:rsidRPr="001004FE">
        <w:rPr>
          <w:sz w:val="22"/>
          <w:szCs w:val="22"/>
          <w:vertAlign w:val="superscript"/>
          <w:lang w:val="sr-Latn-CS"/>
        </w:rPr>
        <w:t>2</w:t>
      </w:r>
      <w:r w:rsidRPr="001004FE">
        <w:rPr>
          <w:sz w:val="22"/>
          <w:szCs w:val="22"/>
          <w:lang w:val="sr-Latn-CS"/>
        </w:rPr>
        <w:t xml:space="preserve">). </w:t>
      </w:r>
      <w:r w:rsidRPr="001004FE">
        <w:rPr>
          <w:sz w:val="22"/>
          <w:szCs w:val="22"/>
          <w:lang w:val="pt-PT"/>
        </w:rPr>
        <w:t>Pacijenti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kojima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treba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da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se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transplant</w:t>
      </w:r>
      <w:r w:rsidR="00A430F0" w:rsidRPr="001004FE">
        <w:rPr>
          <w:sz w:val="22"/>
          <w:szCs w:val="22"/>
          <w:lang w:val="pt-PT"/>
        </w:rPr>
        <w:t>uje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jetra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su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pod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posebnim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rizikom</w:t>
      </w:r>
      <w:r w:rsidRPr="001004FE">
        <w:rPr>
          <w:sz w:val="22"/>
          <w:szCs w:val="22"/>
          <w:lang w:val="sr-Latn-CS"/>
        </w:rPr>
        <w:t xml:space="preserve">, </w:t>
      </w:r>
      <w:r w:rsidRPr="001004FE">
        <w:rPr>
          <w:sz w:val="22"/>
          <w:szCs w:val="22"/>
          <w:lang w:val="pt-PT"/>
        </w:rPr>
        <w:t>jer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je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pojava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akutnog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otkazivanja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bubrega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visoka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u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ovoj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pt-PT"/>
        </w:rPr>
        <w:t>grupi</w:t>
      </w:r>
      <w:r w:rsidRPr="001004FE">
        <w:rPr>
          <w:sz w:val="22"/>
          <w:szCs w:val="22"/>
          <w:lang w:val="sr-Latn-CS"/>
        </w:rPr>
        <w:t xml:space="preserve">. S obzirom na mogućnost da </w:t>
      </w:r>
      <w:r w:rsidRPr="001004FE">
        <w:rPr>
          <w:sz w:val="22"/>
          <w:szCs w:val="22"/>
          <w:lang w:val="sr-Latn-CS"/>
        </w:rPr>
        <w:lastRenderedPageBreak/>
        <w:t xml:space="preserve">NSF može da se pojavi uz primjenu </w:t>
      </w:r>
      <w:r w:rsidRPr="001004FE">
        <w:rPr>
          <w:sz w:val="22"/>
          <w:szCs w:val="22"/>
        </w:rPr>
        <w:t>lijeka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Primovist</w:t>
      </w:r>
      <w:r w:rsidR="009C3E11" w:rsidRPr="001004FE">
        <w:rPr>
          <w:sz w:val="22"/>
          <w:szCs w:val="22"/>
          <w:lang w:val="sr-Latn-CS"/>
        </w:rPr>
        <w:t>,</w:t>
      </w:r>
      <w:r w:rsidRPr="001004FE">
        <w:rPr>
          <w:sz w:val="22"/>
          <w:szCs w:val="22"/>
          <w:lang w:val="sr-Latn-CS"/>
        </w:rPr>
        <w:t xml:space="preserve"> </w:t>
      </w:r>
      <w:r w:rsidR="009C3E11" w:rsidRPr="001004FE">
        <w:rPr>
          <w:sz w:val="22"/>
          <w:szCs w:val="22"/>
          <w:lang w:val="sr-Latn-CS"/>
        </w:rPr>
        <w:t>trebalo bi ga izbjegavati kod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pacijenata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sa</w:t>
      </w:r>
      <w:r w:rsidRPr="001004FE">
        <w:rPr>
          <w:sz w:val="22"/>
          <w:szCs w:val="22"/>
          <w:lang w:val="sr-Latn-CS"/>
        </w:rPr>
        <w:t xml:space="preserve"> </w:t>
      </w:r>
      <w:r w:rsidR="009C3E11" w:rsidRPr="001004FE">
        <w:rPr>
          <w:sz w:val="22"/>
          <w:szCs w:val="22"/>
        </w:rPr>
        <w:t>te</w:t>
      </w:r>
      <w:r w:rsidR="009C3E11" w:rsidRPr="001004FE">
        <w:rPr>
          <w:sz w:val="22"/>
          <w:szCs w:val="22"/>
          <w:lang w:val="sr-Latn-CS"/>
        </w:rPr>
        <w:t xml:space="preserve">škim </w:t>
      </w:r>
      <w:r w:rsidRPr="001004FE">
        <w:rPr>
          <w:sz w:val="22"/>
          <w:szCs w:val="22"/>
        </w:rPr>
        <w:t>poreme</w:t>
      </w:r>
      <w:r w:rsidRPr="001004FE">
        <w:rPr>
          <w:sz w:val="22"/>
          <w:szCs w:val="22"/>
          <w:lang w:val="sr-Latn-CS"/>
        </w:rPr>
        <w:t>ć</w:t>
      </w:r>
      <w:r w:rsidRPr="001004FE">
        <w:rPr>
          <w:sz w:val="22"/>
          <w:szCs w:val="22"/>
        </w:rPr>
        <w:t>ajem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funkcije</w:t>
      </w:r>
      <w:r w:rsidR="009C3E11" w:rsidRPr="001004FE">
        <w:rPr>
          <w:sz w:val="22"/>
          <w:szCs w:val="22"/>
          <w:lang w:val="sr-Latn-CS"/>
        </w:rPr>
        <w:t xml:space="preserve"> </w:t>
      </w:r>
      <w:r w:rsidR="009C3E11" w:rsidRPr="001004FE">
        <w:rPr>
          <w:sz w:val="22"/>
          <w:szCs w:val="22"/>
        </w:rPr>
        <w:t>bubrega</w:t>
      </w:r>
      <w:r w:rsidRPr="001004FE">
        <w:rPr>
          <w:sz w:val="22"/>
          <w:szCs w:val="22"/>
          <w:lang w:val="sr-Latn-CS"/>
        </w:rPr>
        <w:t xml:space="preserve">, kao i </w:t>
      </w:r>
      <w:r w:rsidRPr="001004FE">
        <w:rPr>
          <w:sz w:val="22"/>
          <w:szCs w:val="22"/>
        </w:rPr>
        <w:t>kod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pacijenata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u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perioperativnoj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fazi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transplantacije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jetre</w:t>
      </w:r>
      <w:r w:rsidR="00196200" w:rsidRPr="001004FE">
        <w:rPr>
          <w:sz w:val="22"/>
          <w:szCs w:val="22"/>
        </w:rPr>
        <w:t>,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osim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iCs/>
          <w:sz w:val="22"/>
          <w:szCs w:val="22"/>
          <w:lang w:val="pl-PL"/>
        </w:rPr>
        <w:t>ako je dijagnostička informacija neophodna i nije dostupna iz MRI bez pojačanja kontrastom</w:t>
      </w:r>
      <w:r w:rsidRPr="001004FE">
        <w:rPr>
          <w:sz w:val="22"/>
          <w:szCs w:val="22"/>
          <w:lang w:val="sr-Latn-CS"/>
        </w:rPr>
        <w:t>.</w:t>
      </w:r>
    </w:p>
    <w:p w14:paraId="71C1B81F" w14:textId="77777777" w:rsidR="00A430F0" w:rsidRPr="001004FE" w:rsidRDefault="001E1A06" w:rsidP="00F81221">
      <w:pPr>
        <w:spacing w:before="120"/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</w:rPr>
        <w:t>Hemodijaliza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ubrzo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nakon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primjene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lijeka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Primovist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bi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mogla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da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bude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korisna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za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njegovo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uklanjanje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iz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tijela</w:t>
      </w:r>
      <w:r w:rsidRPr="001004FE">
        <w:rPr>
          <w:sz w:val="22"/>
          <w:szCs w:val="22"/>
          <w:lang w:val="sr-Latn-CS"/>
        </w:rPr>
        <w:t xml:space="preserve">. </w:t>
      </w:r>
    </w:p>
    <w:p w14:paraId="3F07624E" w14:textId="068BBEE4" w:rsidR="001E1A06" w:rsidRPr="001004FE" w:rsidRDefault="001E1A06" w:rsidP="00F81221">
      <w:pPr>
        <w:spacing w:before="120"/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</w:rPr>
        <w:t>Nema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dokaza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koji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bi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podr</w:t>
      </w:r>
      <w:r w:rsidRPr="001004FE">
        <w:rPr>
          <w:sz w:val="22"/>
          <w:szCs w:val="22"/>
          <w:lang w:val="sr-Latn-CS"/>
        </w:rPr>
        <w:t>ž</w:t>
      </w:r>
      <w:r w:rsidRPr="001004FE">
        <w:rPr>
          <w:sz w:val="22"/>
          <w:szCs w:val="22"/>
        </w:rPr>
        <w:t>ali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primjenu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hemodijalize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radi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prevencije</w:t>
      </w:r>
      <w:r w:rsidRPr="001004FE">
        <w:rPr>
          <w:sz w:val="22"/>
          <w:szCs w:val="22"/>
          <w:lang w:val="sr-Latn-CS"/>
        </w:rPr>
        <w:t xml:space="preserve"> </w:t>
      </w:r>
      <w:proofErr w:type="gramStart"/>
      <w:r w:rsidRPr="001004FE">
        <w:rPr>
          <w:sz w:val="22"/>
          <w:szCs w:val="22"/>
        </w:rPr>
        <w:t>ili</w:t>
      </w:r>
      <w:proofErr w:type="gramEnd"/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lije</w:t>
      </w:r>
      <w:r w:rsidRPr="001004FE">
        <w:rPr>
          <w:sz w:val="22"/>
          <w:szCs w:val="22"/>
          <w:lang w:val="sr-Latn-CS"/>
        </w:rPr>
        <w:t>č</w:t>
      </w:r>
      <w:r w:rsidRPr="001004FE">
        <w:rPr>
          <w:sz w:val="22"/>
          <w:szCs w:val="22"/>
        </w:rPr>
        <w:t>enja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NSF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kod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pacijenata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koji</w:t>
      </w:r>
      <w:r w:rsidRPr="001004FE">
        <w:rPr>
          <w:sz w:val="22"/>
          <w:szCs w:val="22"/>
          <w:lang w:val="sr-Latn-CS"/>
        </w:rPr>
        <w:t xml:space="preserve"> </w:t>
      </w:r>
      <w:r w:rsidR="00A430F0" w:rsidRPr="001004FE">
        <w:rPr>
          <w:sz w:val="22"/>
          <w:szCs w:val="22"/>
          <w:lang w:val="sr-Latn-CS"/>
        </w:rPr>
        <w:t>ve</w:t>
      </w:r>
      <w:r w:rsidR="00A430F0" w:rsidRPr="001004FE">
        <w:rPr>
          <w:sz w:val="22"/>
          <w:szCs w:val="22"/>
          <w:lang w:val="sr-Latn-ME"/>
        </w:rPr>
        <w:t>ć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ni</w:t>
      </w:r>
      <w:r w:rsidR="00A430F0" w:rsidRPr="001004FE">
        <w:rPr>
          <w:sz w:val="22"/>
          <w:szCs w:val="22"/>
        </w:rPr>
        <w:t>je</w:t>
      </w:r>
      <w:r w:rsidRPr="001004FE">
        <w:rPr>
          <w:sz w:val="22"/>
          <w:szCs w:val="22"/>
        </w:rPr>
        <w:t>su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hemodijalizi</w:t>
      </w:r>
      <w:r w:rsidRPr="001004FE">
        <w:rPr>
          <w:sz w:val="22"/>
          <w:szCs w:val="22"/>
          <w:lang w:val="sr-Latn-CS"/>
        </w:rPr>
        <w:t xml:space="preserve">. </w:t>
      </w:r>
    </w:p>
    <w:p w14:paraId="195315CB" w14:textId="77777777" w:rsidR="001E1A06" w:rsidRPr="001004FE" w:rsidRDefault="001E1A06" w:rsidP="00F81221">
      <w:pPr>
        <w:jc w:val="both"/>
        <w:rPr>
          <w:sz w:val="22"/>
          <w:szCs w:val="22"/>
          <w:lang w:val="sr-Latn-CS"/>
        </w:rPr>
      </w:pPr>
    </w:p>
    <w:p w14:paraId="2377BCDA" w14:textId="70CD8795" w:rsidR="001E1A06" w:rsidRPr="001004FE" w:rsidRDefault="002A212B" w:rsidP="00F81221">
      <w:pPr>
        <w:jc w:val="both"/>
        <w:rPr>
          <w:sz w:val="22"/>
          <w:szCs w:val="22"/>
          <w:u w:val="single"/>
          <w:lang w:val="it-IT"/>
        </w:rPr>
      </w:pPr>
      <w:r w:rsidRPr="001004FE">
        <w:rPr>
          <w:sz w:val="22"/>
          <w:szCs w:val="22"/>
          <w:u w:val="single"/>
          <w:lang w:val="it-IT"/>
        </w:rPr>
        <w:t>Stariji pacijenti</w:t>
      </w:r>
    </w:p>
    <w:p w14:paraId="4394C233" w14:textId="77777777" w:rsidR="001E1A06" w:rsidRPr="001004FE" w:rsidRDefault="001E1A06" w:rsidP="00F81221">
      <w:pPr>
        <w:jc w:val="both"/>
        <w:rPr>
          <w:sz w:val="22"/>
          <w:szCs w:val="22"/>
          <w:lang w:val="it-IT"/>
        </w:rPr>
      </w:pPr>
    </w:p>
    <w:p w14:paraId="3CEAF18C" w14:textId="228DE1C9" w:rsidR="001E1A06" w:rsidRPr="001004FE" w:rsidRDefault="001E1A06" w:rsidP="00F81221">
      <w:pPr>
        <w:jc w:val="both"/>
        <w:rPr>
          <w:sz w:val="22"/>
          <w:szCs w:val="22"/>
          <w:lang w:val="it-IT"/>
        </w:rPr>
      </w:pPr>
      <w:r w:rsidRPr="001004FE">
        <w:rPr>
          <w:sz w:val="22"/>
          <w:szCs w:val="22"/>
          <w:lang w:val="it-IT"/>
        </w:rPr>
        <w:t xml:space="preserve">Zbog </w:t>
      </w:r>
      <w:r w:rsidR="002A212B" w:rsidRPr="001004FE">
        <w:rPr>
          <w:sz w:val="22"/>
          <w:szCs w:val="22"/>
          <w:lang w:val="it-IT"/>
        </w:rPr>
        <w:t xml:space="preserve">mogućeg smanjenog renalnog klirensa </w:t>
      </w:r>
      <w:r w:rsidRPr="001004FE">
        <w:rPr>
          <w:sz w:val="22"/>
          <w:szCs w:val="22"/>
          <w:lang w:val="it-IT"/>
        </w:rPr>
        <w:t xml:space="preserve">gadoksetata kod </w:t>
      </w:r>
      <w:r w:rsidR="002A212B" w:rsidRPr="001004FE">
        <w:rPr>
          <w:sz w:val="22"/>
          <w:szCs w:val="22"/>
          <w:lang w:val="it-IT"/>
        </w:rPr>
        <w:t xml:space="preserve">starijih </w:t>
      </w:r>
      <w:r w:rsidRPr="001004FE">
        <w:rPr>
          <w:sz w:val="22"/>
          <w:szCs w:val="22"/>
          <w:lang w:val="it-IT"/>
        </w:rPr>
        <w:t>pacijenata veoma je važno da se uradi skrining pacijenata od 65 godina i starijih na postojanje poremeća</w:t>
      </w:r>
      <w:r w:rsidR="002A212B" w:rsidRPr="001004FE">
        <w:rPr>
          <w:sz w:val="22"/>
          <w:szCs w:val="22"/>
          <w:lang w:val="it-IT"/>
        </w:rPr>
        <w:t>ja funkcije bubrega</w:t>
      </w:r>
      <w:r w:rsidRPr="001004FE">
        <w:rPr>
          <w:sz w:val="22"/>
          <w:szCs w:val="22"/>
          <w:lang w:val="it-IT"/>
        </w:rPr>
        <w:t>.</w:t>
      </w:r>
    </w:p>
    <w:p w14:paraId="1C416B97" w14:textId="77777777" w:rsidR="001E1A06" w:rsidRPr="001004FE" w:rsidRDefault="001E1A06" w:rsidP="00F81221">
      <w:pPr>
        <w:jc w:val="both"/>
        <w:rPr>
          <w:sz w:val="22"/>
          <w:szCs w:val="22"/>
          <w:lang w:val="sr-Latn-CS"/>
        </w:rPr>
      </w:pPr>
    </w:p>
    <w:p w14:paraId="14C950A2" w14:textId="77777777" w:rsidR="001E1A06" w:rsidRPr="001004FE" w:rsidRDefault="001E1A06" w:rsidP="00F81221">
      <w:pPr>
        <w:jc w:val="both"/>
        <w:rPr>
          <w:sz w:val="22"/>
          <w:szCs w:val="22"/>
          <w:u w:val="single"/>
          <w:lang w:val="sr-Latn-CS"/>
        </w:rPr>
      </w:pPr>
      <w:r w:rsidRPr="001004FE">
        <w:rPr>
          <w:sz w:val="22"/>
          <w:szCs w:val="22"/>
          <w:u w:val="single"/>
        </w:rPr>
        <w:t>Pacijenti</w:t>
      </w:r>
      <w:r w:rsidRPr="001004FE">
        <w:rPr>
          <w:sz w:val="22"/>
          <w:szCs w:val="22"/>
          <w:u w:val="single"/>
          <w:lang w:val="sr-Latn-CS"/>
        </w:rPr>
        <w:t xml:space="preserve"> </w:t>
      </w:r>
      <w:proofErr w:type="gramStart"/>
      <w:r w:rsidRPr="001004FE">
        <w:rPr>
          <w:sz w:val="22"/>
          <w:szCs w:val="22"/>
          <w:u w:val="single"/>
        </w:rPr>
        <w:t>sa</w:t>
      </w:r>
      <w:proofErr w:type="gramEnd"/>
      <w:r w:rsidRPr="001004FE">
        <w:rPr>
          <w:sz w:val="22"/>
          <w:szCs w:val="22"/>
          <w:u w:val="single"/>
          <w:lang w:val="sr-Latn-CS"/>
        </w:rPr>
        <w:t xml:space="preserve"> </w:t>
      </w:r>
      <w:r w:rsidRPr="001004FE">
        <w:rPr>
          <w:sz w:val="22"/>
          <w:szCs w:val="22"/>
          <w:u w:val="single"/>
        </w:rPr>
        <w:t>kardiovaskularnaim</w:t>
      </w:r>
      <w:r w:rsidRPr="001004FE">
        <w:rPr>
          <w:sz w:val="22"/>
          <w:szCs w:val="22"/>
          <w:u w:val="single"/>
          <w:lang w:val="sr-Latn-CS"/>
        </w:rPr>
        <w:t xml:space="preserve"> </w:t>
      </w:r>
      <w:r w:rsidRPr="001004FE">
        <w:rPr>
          <w:sz w:val="22"/>
          <w:szCs w:val="22"/>
          <w:u w:val="single"/>
        </w:rPr>
        <w:t>oboljenjima</w:t>
      </w:r>
    </w:p>
    <w:p w14:paraId="0A2702FD" w14:textId="77777777" w:rsidR="001E1A06" w:rsidRPr="001004FE" w:rsidRDefault="001E1A06" w:rsidP="00F81221">
      <w:pPr>
        <w:jc w:val="both"/>
        <w:rPr>
          <w:sz w:val="22"/>
          <w:szCs w:val="22"/>
          <w:u w:val="single"/>
          <w:lang w:val="sr-Latn-CS"/>
        </w:rPr>
      </w:pPr>
    </w:p>
    <w:p w14:paraId="15AA56DD" w14:textId="21D8CE54" w:rsidR="001E1A06" w:rsidRPr="001004FE" w:rsidRDefault="002A212B" w:rsidP="00F81221">
      <w:pPr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</w:rPr>
        <w:t>Lijek</w:t>
      </w:r>
      <w:r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Primovist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treba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oprezno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primjenjivati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kod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pacijenata</w:t>
      </w:r>
      <w:r w:rsidR="001E1A06" w:rsidRPr="001004FE">
        <w:rPr>
          <w:sz w:val="22"/>
          <w:szCs w:val="22"/>
          <w:lang w:val="sr-Latn-CS"/>
        </w:rPr>
        <w:t xml:space="preserve"> </w:t>
      </w:r>
      <w:proofErr w:type="gramStart"/>
      <w:r w:rsidR="001E1A06" w:rsidRPr="001004FE">
        <w:rPr>
          <w:sz w:val="22"/>
          <w:szCs w:val="22"/>
        </w:rPr>
        <w:t>sa</w:t>
      </w:r>
      <w:proofErr w:type="gramEnd"/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te</w:t>
      </w:r>
      <w:r w:rsidR="001E1A06" w:rsidRPr="001004FE">
        <w:rPr>
          <w:sz w:val="22"/>
          <w:szCs w:val="22"/>
          <w:lang w:val="sr-Latn-CS"/>
        </w:rPr>
        <w:t>š</w:t>
      </w:r>
      <w:r w:rsidR="001E1A06" w:rsidRPr="001004FE">
        <w:rPr>
          <w:sz w:val="22"/>
          <w:szCs w:val="22"/>
        </w:rPr>
        <w:t>kim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kardiovaskularnim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problemima</w:t>
      </w:r>
      <w:r w:rsidR="001E1A06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zato</w:t>
      </w:r>
      <w:r w:rsidRPr="001004FE">
        <w:rPr>
          <w:sz w:val="22"/>
          <w:szCs w:val="22"/>
          <w:lang w:val="sr-Latn-CS"/>
        </w:rPr>
        <w:t xml:space="preserve"> š</w:t>
      </w:r>
      <w:r w:rsidRPr="001004FE">
        <w:rPr>
          <w:sz w:val="22"/>
          <w:szCs w:val="22"/>
        </w:rPr>
        <w:t>to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su</w:t>
      </w:r>
      <w:r w:rsidRPr="001004FE">
        <w:rPr>
          <w:sz w:val="22"/>
          <w:szCs w:val="22"/>
          <w:lang w:val="sr-Latn-CS"/>
        </w:rPr>
        <w:t xml:space="preserve"> do sada </w:t>
      </w:r>
      <w:r w:rsidRPr="001004FE">
        <w:rPr>
          <w:sz w:val="22"/>
          <w:szCs w:val="22"/>
        </w:rPr>
        <w:t>dostupni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samo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ograni</w:t>
      </w:r>
      <w:r w:rsidR="001E1A06" w:rsidRPr="001004FE">
        <w:rPr>
          <w:sz w:val="22"/>
          <w:szCs w:val="22"/>
          <w:lang w:val="sr-Latn-CS"/>
        </w:rPr>
        <w:t>č</w:t>
      </w:r>
      <w:r w:rsidR="001E1A06" w:rsidRPr="001004FE">
        <w:rPr>
          <w:sz w:val="22"/>
          <w:szCs w:val="22"/>
        </w:rPr>
        <w:t>eni</w:t>
      </w:r>
      <w:r w:rsidR="001E1A06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</w:rPr>
        <w:t>podaci</w:t>
      </w:r>
      <w:r w:rsidR="001E1A06" w:rsidRPr="001004FE">
        <w:rPr>
          <w:sz w:val="22"/>
          <w:szCs w:val="22"/>
          <w:lang w:val="sr-Latn-CS"/>
        </w:rPr>
        <w:t>.</w:t>
      </w:r>
    </w:p>
    <w:p w14:paraId="42D3238B" w14:textId="77777777" w:rsidR="001E1A06" w:rsidRPr="001004FE" w:rsidRDefault="001E1A06" w:rsidP="00F81221">
      <w:pPr>
        <w:jc w:val="both"/>
        <w:rPr>
          <w:sz w:val="22"/>
          <w:szCs w:val="22"/>
          <w:lang w:val="sr-Latn-CS"/>
        </w:rPr>
      </w:pPr>
    </w:p>
    <w:p w14:paraId="39075B5F" w14:textId="0D98B622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Lijek Primovist ne treba koristiti kod pacijenata sa nekorigovanom hipokalemijom.</w:t>
      </w:r>
    </w:p>
    <w:p w14:paraId="6A49171D" w14:textId="77777777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14:paraId="110897F1" w14:textId="368FEDB9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Lijek Primovist treba koristiti sa posebnim oprezom kod pacijenata:</w:t>
      </w:r>
    </w:p>
    <w:p w14:paraId="11B9BB51" w14:textId="77777777" w:rsidR="001E1A06" w:rsidRPr="001004FE" w:rsidRDefault="001E1A06" w:rsidP="00F81221">
      <w:pPr>
        <w:pStyle w:val="Style"/>
        <w:numPr>
          <w:ilvl w:val="0"/>
          <w:numId w:val="15"/>
        </w:numPr>
        <w:tabs>
          <w:tab w:val="clear" w:pos="705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sa poznatim urođenim sindromom dugog QT ili porodičnom anamnezom urođenog sindroma dugog QT </w:t>
      </w:r>
    </w:p>
    <w:p w14:paraId="1D53BFD6" w14:textId="77777777" w:rsidR="001E1A06" w:rsidRPr="001004FE" w:rsidRDefault="001E1A06" w:rsidP="00F81221">
      <w:pPr>
        <w:pStyle w:val="Style"/>
        <w:numPr>
          <w:ilvl w:val="0"/>
          <w:numId w:val="15"/>
        </w:numPr>
        <w:tabs>
          <w:tab w:val="clear" w:pos="705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sa poznatim prethodnim aritmijama tokom primanja ljekova koji produžavaju repolarizaciju srca </w:t>
      </w:r>
    </w:p>
    <w:p w14:paraId="30F32B11" w14:textId="6BEE2AA4" w:rsidR="001E1A06" w:rsidRPr="001004FE" w:rsidRDefault="001E1A06" w:rsidP="00F81221">
      <w:pPr>
        <w:pStyle w:val="Style"/>
        <w:numPr>
          <w:ilvl w:val="0"/>
          <w:numId w:val="15"/>
        </w:numPr>
        <w:tabs>
          <w:tab w:val="clear" w:pos="705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004FE">
        <w:rPr>
          <w:rFonts w:ascii="Times New Roman" w:hAnsi="Times New Roman" w:cs="Times New Roman"/>
          <w:sz w:val="22"/>
          <w:szCs w:val="22"/>
          <w:lang w:val="it-IT"/>
        </w:rPr>
        <w:t>koji trenutno uzimaju lijek za koji je poznato da produžava repolarizaciju srca npr. antiaritmik klase III (</w:t>
      </w:r>
      <w:r w:rsidR="007B6C6D"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npr. </w:t>
      </w:r>
      <w:r w:rsidRPr="001004FE">
        <w:rPr>
          <w:rFonts w:ascii="Times New Roman" w:hAnsi="Times New Roman" w:cs="Times New Roman"/>
          <w:sz w:val="22"/>
          <w:szCs w:val="22"/>
          <w:lang w:val="it-IT"/>
        </w:rPr>
        <w:t>am</w:t>
      </w:r>
      <w:r w:rsidR="007B6C6D" w:rsidRPr="001004FE">
        <w:rPr>
          <w:rFonts w:ascii="Times New Roman" w:hAnsi="Times New Roman" w:cs="Times New Roman"/>
          <w:sz w:val="22"/>
          <w:szCs w:val="22"/>
          <w:lang w:val="it-IT"/>
        </w:rPr>
        <w:t>j</w:t>
      </w:r>
      <w:r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odaron, sotalol). </w:t>
      </w:r>
    </w:p>
    <w:p w14:paraId="7BC7F919" w14:textId="4E1370F0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004FE">
        <w:rPr>
          <w:rFonts w:ascii="Times New Roman" w:hAnsi="Times New Roman" w:cs="Times New Roman"/>
          <w:sz w:val="22"/>
          <w:szCs w:val="22"/>
          <w:lang w:val="it-IT"/>
        </w:rPr>
        <w:t>Kod pojedinih pacijenata</w:t>
      </w:r>
      <w:r w:rsidR="007B6C6D"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 lijek</w:t>
      </w:r>
      <w:r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 Primovist može izazvati prolazno produženje QT (vidjeti dio 5.3).</w:t>
      </w:r>
    </w:p>
    <w:p w14:paraId="41AC30B0" w14:textId="77777777" w:rsidR="001E1A06" w:rsidRPr="001004FE" w:rsidRDefault="001E1A06" w:rsidP="00F81221">
      <w:pPr>
        <w:jc w:val="both"/>
        <w:rPr>
          <w:sz w:val="22"/>
          <w:szCs w:val="22"/>
          <w:lang w:val="it-IT"/>
        </w:rPr>
      </w:pPr>
    </w:p>
    <w:p w14:paraId="05D4AC7A" w14:textId="77777777" w:rsidR="001E1A06" w:rsidRPr="001004FE" w:rsidRDefault="001E1A06" w:rsidP="00F81221">
      <w:pPr>
        <w:jc w:val="both"/>
        <w:rPr>
          <w:sz w:val="22"/>
          <w:szCs w:val="22"/>
          <w:u w:val="single"/>
          <w:lang w:val="it-IT"/>
        </w:rPr>
      </w:pPr>
      <w:r w:rsidRPr="001004FE">
        <w:rPr>
          <w:sz w:val="22"/>
          <w:szCs w:val="22"/>
          <w:u w:val="single"/>
          <w:lang w:val="it-IT"/>
        </w:rPr>
        <w:t>Preosjetljivost</w:t>
      </w:r>
    </w:p>
    <w:p w14:paraId="4AE9844F" w14:textId="77777777" w:rsidR="001E1A06" w:rsidRPr="001004FE" w:rsidRDefault="001E1A06" w:rsidP="00F81221">
      <w:pPr>
        <w:jc w:val="both"/>
        <w:rPr>
          <w:sz w:val="22"/>
          <w:szCs w:val="22"/>
          <w:lang w:val="it-IT"/>
        </w:rPr>
      </w:pPr>
    </w:p>
    <w:p w14:paraId="26404473" w14:textId="03D32A4E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napToGrid w:val="0"/>
          <w:sz w:val="22"/>
          <w:szCs w:val="22"/>
          <w:lang w:val="es-ES_tradnl"/>
        </w:rPr>
      </w:pPr>
      <w:r w:rsidRPr="001004FE">
        <w:rPr>
          <w:rFonts w:ascii="Times New Roman" w:hAnsi="Times New Roman" w:cs="Times New Roman"/>
          <w:sz w:val="22"/>
          <w:szCs w:val="22"/>
          <w:lang w:val="it-IT"/>
        </w:rPr>
        <w:t>Poznato je da se reakcije slične alergiji, uključujući šok, rijetko</w:t>
      </w:r>
      <w:r w:rsidR="007B6C6D"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javljaju nakon primjene kontrastnih sredstava za </w:t>
      </w:r>
      <w:r w:rsidR="007B6C6D"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MRI </w:t>
      </w:r>
      <w:r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zasnovanih na gadolinijumu. Većina ovih reakcija se javlja u roku od pola sata nakon primjene kontrastnog sredstva. Međutim, kao i sa drugim kontrastnim sredstvima ove klase, u rijetkim slučajevima se mogu javiti odložene reakcije nakon </w:t>
      </w:r>
      <w:r w:rsidR="00F93739"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nekoliko </w:t>
      </w:r>
      <w:r w:rsidRPr="001004FE">
        <w:rPr>
          <w:rFonts w:ascii="Times New Roman" w:hAnsi="Times New Roman" w:cs="Times New Roman"/>
          <w:sz w:val="22"/>
          <w:szCs w:val="22"/>
          <w:lang w:val="it-IT"/>
        </w:rPr>
        <w:t xml:space="preserve">sati do više dana. </w:t>
      </w:r>
      <w:r w:rsidR="00F93739" w:rsidRPr="001004FE">
        <w:rPr>
          <w:rFonts w:ascii="Times New Roman" w:hAnsi="Times New Roman" w:cs="Times New Roman"/>
          <w:snapToGrid w:val="0"/>
          <w:sz w:val="22"/>
          <w:szCs w:val="22"/>
          <w:lang w:val="es-ES_tradnl"/>
        </w:rPr>
        <w:t>L</w:t>
      </w:r>
      <w:r w:rsidRPr="001004FE">
        <w:rPr>
          <w:rFonts w:ascii="Times New Roman" w:hAnsi="Times New Roman" w:cs="Times New Roman"/>
          <w:snapToGrid w:val="0"/>
          <w:sz w:val="22"/>
          <w:szCs w:val="22"/>
          <w:lang w:val="es-ES_tradnl"/>
        </w:rPr>
        <w:t>jekovi za tretiranje reakcija usljed preosjetljivosti</w:t>
      </w:r>
      <w:r w:rsidR="00432452" w:rsidRPr="001004FE">
        <w:rPr>
          <w:rFonts w:ascii="Times New Roman" w:hAnsi="Times New Roman" w:cs="Times New Roman"/>
          <w:snapToGrid w:val="0"/>
          <w:sz w:val="22"/>
          <w:szCs w:val="22"/>
          <w:lang w:val="es-ES_tradnl"/>
        </w:rPr>
        <w:t>,</w:t>
      </w:r>
      <w:r w:rsidRPr="001004FE">
        <w:rPr>
          <w:rFonts w:ascii="Times New Roman" w:hAnsi="Times New Roman" w:cs="Times New Roman"/>
          <w:snapToGrid w:val="0"/>
          <w:sz w:val="22"/>
          <w:szCs w:val="22"/>
          <w:lang w:val="es-ES_tradnl"/>
        </w:rPr>
        <w:t xml:space="preserve"> kao i spremnost za primjenu hithih mjera</w:t>
      </w:r>
      <w:r w:rsidR="00F93739" w:rsidRPr="001004FE">
        <w:rPr>
          <w:rFonts w:ascii="Times New Roman" w:hAnsi="Times New Roman" w:cs="Times New Roman"/>
          <w:snapToGrid w:val="0"/>
          <w:sz w:val="22"/>
          <w:szCs w:val="22"/>
          <w:lang w:val="es-ES_tradnl"/>
        </w:rPr>
        <w:t xml:space="preserve"> su neophodni</w:t>
      </w:r>
      <w:r w:rsidRPr="001004FE">
        <w:rPr>
          <w:rFonts w:ascii="Times New Roman" w:hAnsi="Times New Roman" w:cs="Times New Roman"/>
          <w:snapToGrid w:val="0"/>
          <w:sz w:val="22"/>
          <w:szCs w:val="22"/>
          <w:lang w:val="es-ES_tradnl"/>
        </w:rPr>
        <w:t>.</w:t>
      </w:r>
    </w:p>
    <w:p w14:paraId="5A084CB0" w14:textId="77777777" w:rsidR="00A430F0" w:rsidRPr="001004FE" w:rsidRDefault="00A430F0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A8EAEDF" w14:textId="77777777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  <w:r w:rsidRPr="001004FE">
        <w:rPr>
          <w:rFonts w:ascii="Times New Roman" w:hAnsi="Times New Roman" w:cs="Times New Roman"/>
          <w:sz w:val="22"/>
          <w:szCs w:val="22"/>
          <w:lang w:val="es-ES_tradnl"/>
        </w:rPr>
        <w:t xml:space="preserve">Rizik za pojavu reakcija preosjetljivosti je veći u slučaju: </w:t>
      </w:r>
    </w:p>
    <w:p w14:paraId="1ED7523E" w14:textId="77777777" w:rsidR="001E1A06" w:rsidRPr="001004FE" w:rsidRDefault="001E1A06" w:rsidP="00F81221">
      <w:pPr>
        <w:pStyle w:val="Style"/>
        <w:numPr>
          <w:ilvl w:val="0"/>
          <w:numId w:val="15"/>
        </w:numPr>
        <w:tabs>
          <w:tab w:val="clear" w:pos="705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1004FE">
        <w:rPr>
          <w:rFonts w:ascii="Times New Roman" w:hAnsi="Times New Roman" w:cs="Times New Roman"/>
          <w:sz w:val="22"/>
          <w:szCs w:val="22"/>
          <w:lang w:val="de-DE"/>
        </w:rPr>
        <w:t xml:space="preserve">prethodne reakcije na kontrastno sredstvo </w:t>
      </w:r>
    </w:p>
    <w:p w14:paraId="457AD4F6" w14:textId="77777777" w:rsidR="001E1A06" w:rsidRPr="001004FE" w:rsidRDefault="001E1A06" w:rsidP="00F81221">
      <w:pPr>
        <w:pStyle w:val="Style"/>
        <w:numPr>
          <w:ilvl w:val="0"/>
          <w:numId w:val="15"/>
        </w:numPr>
        <w:tabs>
          <w:tab w:val="clear" w:pos="705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004FE">
        <w:rPr>
          <w:rFonts w:ascii="Times New Roman" w:hAnsi="Times New Roman" w:cs="Times New Roman"/>
          <w:sz w:val="22"/>
          <w:szCs w:val="22"/>
        </w:rPr>
        <w:t xml:space="preserve">istorije bronhijalne astme </w:t>
      </w:r>
    </w:p>
    <w:p w14:paraId="1448C34D" w14:textId="77777777" w:rsidR="001E1A06" w:rsidRPr="001004FE" w:rsidRDefault="001E1A06" w:rsidP="00F81221">
      <w:pPr>
        <w:pStyle w:val="Style"/>
        <w:numPr>
          <w:ilvl w:val="0"/>
          <w:numId w:val="15"/>
        </w:numPr>
        <w:tabs>
          <w:tab w:val="clear" w:pos="705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004FE">
        <w:rPr>
          <w:rFonts w:ascii="Times New Roman" w:hAnsi="Times New Roman" w:cs="Times New Roman"/>
          <w:sz w:val="22"/>
          <w:szCs w:val="22"/>
        </w:rPr>
        <w:t>istorije</w:t>
      </w:r>
      <w:proofErr w:type="gramEnd"/>
      <w:r w:rsidRPr="001004FE">
        <w:rPr>
          <w:rFonts w:ascii="Times New Roman" w:hAnsi="Times New Roman" w:cs="Times New Roman"/>
          <w:sz w:val="22"/>
          <w:szCs w:val="22"/>
        </w:rPr>
        <w:t xml:space="preserve"> alergijskih poremećaja. </w:t>
      </w:r>
    </w:p>
    <w:p w14:paraId="467923F5" w14:textId="3C7AAA37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Kod pacijenata sklonih alergijama (naročito sa istorijom </w:t>
      </w:r>
      <w:r w:rsidR="005A4897"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prethodno </w:t>
      </w: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pomenutih stanja) odluka da se primijeni lijek Primovist mora da se donese nakon posebno pažljive procjene odnosa rizik-korist. </w:t>
      </w:r>
    </w:p>
    <w:p w14:paraId="306556AE" w14:textId="77777777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ABB2189" w14:textId="77777777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Reakcije preosjetljivosti mogu biti intenzivnije kod pacijenata koji primaju beta blokatore, naročito u prisustvu bronhijalne astme. Treba uzeti u obzir da pacijenti koji primaju beta blokatore mogu biti refraktorni u odnosu na standardni tretman reakcija preosjetljivosti sa beta agonistima. </w:t>
      </w:r>
    </w:p>
    <w:p w14:paraId="027FD284" w14:textId="7DD6D9FF" w:rsidR="00A430F0" w:rsidRPr="001004FE" w:rsidRDefault="001E1A06" w:rsidP="00F81221">
      <w:pPr>
        <w:pStyle w:val="Header"/>
        <w:tabs>
          <w:tab w:val="left" w:pos="284"/>
        </w:tabs>
        <w:spacing w:before="80" w:after="80"/>
        <w:jc w:val="both"/>
        <w:rPr>
          <w:b/>
          <w:bCs/>
          <w:sz w:val="22"/>
          <w:szCs w:val="22"/>
          <w:lang w:val="es-ES_tradnl"/>
        </w:rPr>
      </w:pPr>
      <w:r w:rsidRPr="001004FE">
        <w:rPr>
          <w:sz w:val="22"/>
          <w:szCs w:val="22"/>
          <w:lang w:val="pt-PT"/>
        </w:rPr>
        <w:t>Ako se jave reakcije preosjetljivosti, davanje injekcije kontrastnog sredstva se mora odmah prekinuti.</w:t>
      </w:r>
    </w:p>
    <w:p w14:paraId="4C566AF7" w14:textId="77777777" w:rsidR="001E1A06" w:rsidRPr="001004FE" w:rsidRDefault="001E1A06" w:rsidP="00F81221">
      <w:pPr>
        <w:jc w:val="both"/>
        <w:rPr>
          <w:sz w:val="22"/>
          <w:szCs w:val="22"/>
          <w:u w:val="single"/>
          <w:lang w:val="es-ES_tradnl"/>
        </w:rPr>
      </w:pPr>
      <w:r w:rsidRPr="001004FE">
        <w:rPr>
          <w:sz w:val="22"/>
          <w:szCs w:val="22"/>
          <w:u w:val="single"/>
          <w:lang w:val="es-ES_tradnl"/>
        </w:rPr>
        <w:t>Lokalna (ne)podnošljivost</w:t>
      </w:r>
    </w:p>
    <w:p w14:paraId="2A52711B" w14:textId="77777777" w:rsidR="001E1A06" w:rsidRPr="001004FE" w:rsidRDefault="001E1A06" w:rsidP="00F81221">
      <w:pPr>
        <w:jc w:val="both"/>
        <w:rPr>
          <w:sz w:val="22"/>
          <w:szCs w:val="22"/>
          <w:lang w:val="es-ES_tradnl"/>
        </w:rPr>
      </w:pPr>
    </w:p>
    <w:p w14:paraId="37C9D773" w14:textId="77777777" w:rsidR="001E1A06" w:rsidRPr="001004FE" w:rsidRDefault="001E1A06" w:rsidP="00F81221">
      <w:pPr>
        <w:jc w:val="both"/>
        <w:rPr>
          <w:sz w:val="22"/>
          <w:szCs w:val="22"/>
          <w:lang w:val="es-ES_tradnl"/>
        </w:rPr>
      </w:pPr>
      <w:r w:rsidRPr="001004FE">
        <w:rPr>
          <w:sz w:val="22"/>
          <w:szCs w:val="22"/>
          <w:lang w:val="es-ES_tradnl"/>
        </w:rPr>
        <w:t>Intramuskularna primjena se strogo mora izbjegavati, pošto može izazvati reakcije lokalne nepodnošljivosti, uključujuči fokalnu nekrozu (vidjeti dio 5.3).</w:t>
      </w:r>
    </w:p>
    <w:p w14:paraId="555B2AEC" w14:textId="77777777" w:rsidR="001E1A06" w:rsidRPr="001004FE" w:rsidRDefault="001E1A06" w:rsidP="00F81221">
      <w:pPr>
        <w:jc w:val="both"/>
        <w:rPr>
          <w:sz w:val="22"/>
          <w:szCs w:val="22"/>
          <w:lang w:val="es-ES_tradnl"/>
        </w:rPr>
      </w:pPr>
    </w:p>
    <w:p w14:paraId="258A78E7" w14:textId="00326FF8" w:rsidR="001E1A06" w:rsidRPr="001004FE" w:rsidRDefault="001E1A06" w:rsidP="00F81221">
      <w:pPr>
        <w:pStyle w:val="Header"/>
        <w:tabs>
          <w:tab w:val="clear" w:pos="4320"/>
          <w:tab w:val="clear" w:pos="8640"/>
          <w:tab w:val="left" w:pos="284"/>
          <w:tab w:val="center" w:pos="720"/>
          <w:tab w:val="center" w:pos="4536"/>
          <w:tab w:val="right" w:pos="9072"/>
        </w:tabs>
        <w:jc w:val="both"/>
        <w:rPr>
          <w:sz w:val="22"/>
          <w:szCs w:val="22"/>
          <w:u w:val="single"/>
          <w:lang w:val="es-ES_tradnl"/>
        </w:rPr>
      </w:pPr>
      <w:r w:rsidRPr="001004FE">
        <w:rPr>
          <w:sz w:val="22"/>
          <w:szCs w:val="22"/>
          <w:u w:val="single"/>
          <w:lang w:val="es-ES_tradnl"/>
        </w:rPr>
        <w:t>Nakupljanje u tijelu</w:t>
      </w:r>
    </w:p>
    <w:p w14:paraId="29FE2170" w14:textId="77777777" w:rsidR="00A430F0" w:rsidRPr="001004FE" w:rsidRDefault="00A430F0" w:rsidP="00F81221">
      <w:pPr>
        <w:pStyle w:val="Header"/>
        <w:tabs>
          <w:tab w:val="clear" w:pos="4320"/>
          <w:tab w:val="clear" w:pos="8640"/>
          <w:tab w:val="left" w:pos="284"/>
          <w:tab w:val="center" w:pos="720"/>
          <w:tab w:val="center" w:pos="4536"/>
          <w:tab w:val="right" w:pos="9072"/>
        </w:tabs>
        <w:jc w:val="both"/>
        <w:rPr>
          <w:sz w:val="22"/>
          <w:szCs w:val="22"/>
          <w:u w:val="single"/>
          <w:lang w:val="es-ES_tradnl"/>
        </w:rPr>
      </w:pPr>
    </w:p>
    <w:p w14:paraId="4C4CEF3D" w14:textId="7E0C5C01" w:rsidR="001E1A06" w:rsidRPr="001004FE" w:rsidRDefault="001E1A06" w:rsidP="00F81221">
      <w:pPr>
        <w:pStyle w:val="Header"/>
        <w:tabs>
          <w:tab w:val="left" w:pos="284"/>
          <w:tab w:val="center" w:pos="720"/>
        </w:tabs>
        <w:jc w:val="both"/>
        <w:rPr>
          <w:sz w:val="22"/>
          <w:szCs w:val="22"/>
          <w:lang w:val="es-ES_tradnl"/>
        </w:rPr>
      </w:pPr>
      <w:r w:rsidRPr="001004FE">
        <w:rPr>
          <w:sz w:val="22"/>
          <w:szCs w:val="22"/>
          <w:lang w:val="es-ES_tradnl"/>
        </w:rPr>
        <w:lastRenderedPageBreak/>
        <w:t>Nakon primjene</w:t>
      </w:r>
      <w:r w:rsidR="00C22F38" w:rsidRPr="001004FE">
        <w:rPr>
          <w:sz w:val="22"/>
          <w:szCs w:val="22"/>
        </w:rPr>
        <w:t xml:space="preserve"> </w:t>
      </w:r>
      <w:r w:rsidR="00C22F38" w:rsidRPr="001004FE">
        <w:rPr>
          <w:sz w:val="22"/>
          <w:szCs w:val="22"/>
          <w:lang w:val="es-ES_tradnl"/>
        </w:rPr>
        <w:t xml:space="preserve">dinatrijumove soli </w:t>
      </w:r>
      <w:r w:rsidRPr="001004FE">
        <w:rPr>
          <w:sz w:val="22"/>
          <w:szCs w:val="22"/>
          <w:lang w:val="es-ES_tradnl"/>
        </w:rPr>
        <w:t xml:space="preserve">gadoksetinske kiseline, gadolinijum se može zadržati u mozgu i drugim tkivima u tijelu (kostima, jetri, bubrezima, koži) i može prouzrokovati pojačanje intenziteta </w:t>
      </w:r>
      <w:r w:rsidR="005A4897" w:rsidRPr="001004FE">
        <w:rPr>
          <w:sz w:val="22"/>
          <w:szCs w:val="22"/>
          <w:lang w:val="es-ES_tradnl"/>
        </w:rPr>
        <w:t xml:space="preserve">signala </w:t>
      </w:r>
      <w:r w:rsidRPr="001004FE">
        <w:rPr>
          <w:sz w:val="22"/>
          <w:szCs w:val="22"/>
          <w:lang w:val="es-ES_tradnl"/>
        </w:rPr>
        <w:t>zavisno</w:t>
      </w:r>
      <w:r w:rsidR="005A4897" w:rsidRPr="001004FE">
        <w:rPr>
          <w:sz w:val="22"/>
          <w:szCs w:val="22"/>
          <w:lang w:val="es-ES_tradnl"/>
        </w:rPr>
        <w:t>g</w:t>
      </w:r>
      <w:r w:rsidRPr="001004FE">
        <w:rPr>
          <w:sz w:val="22"/>
          <w:szCs w:val="22"/>
          <w:lang w:val="es-ES_tradnl"/>
        </w:rPr>
        <w:t xml:space="preserve"> od doze na T1-m</w:t>
      </w:r>
      <w:r w:rsidR="00C22F38" w:rsidRPr="001004FE">
        <w:rPr>
          <w:sz w:val="22"/>
          <w:szCs w:val="22"/>
          <w:lang w:val="es-ES_tradnl"/>
        </w:rPr>
        <w:t>j</w:t>
      </w:r>
      <w:r w:rsidRPr="001004FE">
        <w:rPr>
          <w:sz w:val="22"/>
          <w:szCs w:val="22"/>
          <w:lang w:val="es-ES_tradnl"/>
        </w:rPr>
        <w:t xml:space="preserve">erenom snimku mozga, naročito u </w:t>
      </w:r>
      <w:r w:rsidRPr="001004FE">
        <w:rPr>
          <w:i/>
          <w:iCs/>
          <w:sz w:val="22"/>
          <w:szCs w:val="22"/>
          <w:lang w:val="es-ES_tradnl"/>
        </w:rPr>
        <w:t>nucleus dentatus</w:t>
      </w:r>
      <w:r w:rsidR="005A4897" w:rsidRPr="001004FE">
        <w:rPr>
          <w:sz w:val="22"/>
          <w:szCs w:val="22"/>
          <w:lang w:val="es-ES_tradnl"/>
        </w:rPr>
        <w:t>-u</w:t>
      </w:r>
      <w:r w:rsidRPr="001004FE">
        <w:rPr>
          <w:sz w:val="22"/>
          <w:szCs w:val="22"/>
          <w:lang w:val="es-ES_tradnl"/>
        </w:rPr>
        <w:t xml:space="preserve">, </w:t>
      </w:r>
      <w:r w:rsidRPr="001004FE">
        <w:rPr>
          <w:i/>
          <w:iCs/>
          <w:sz w:val="22"/>
          <w:szCs w:val="22"/>
          <w:lang w:val="es-ES_tradnl"/>
        </w:rPr>
        <w:t>globus</w:t>
      </w:r>
      <w:r w:rsidRPr="001004FE">
        <w:rPr>
          <w:sz w:val="22"/>
          <w:szCs w:val="22"/>
          <w:lang w:val="es-ES_tradnl"/>
        </w:rPr>
        <w:t xml:space="preserve"> </w:t>
      </w:r>
      <w:r w:rsidRPr="001004FE">
        <w:rPr>
          <w:i/>
          <w:iCs/>
          <w:sz w:val="22"/>
          <w:szCs w:val="22"/>
          <w:lang w:val="es-ES_tradnl"/>
        </w:rPr>
        <w:t>pallidus</w:t>
      </w:r>
      <w:r w:rsidR="005A4897" w:rsidRPr="001004FE">
        <w:rPr>
          <w:sz w:val="22"/>
          <w:szCs w:val="22"/>
          <w:lang w:val="es-ES_tradnl"/>
        </w:rPr>
        <w:t xml:space="preserve">-u </w:t>
      </w:r>
      <w:r w:rsidRPr="001004FE">
        <w:rPr>
          <w:sz w:val="22"/>
          <w:szCs w:val="22"/>
          <w:lang w:val="es-ES_tradnl"/>
        </w:rPr>
        <w:t>i talamusu. Kliničke posl</w:t>
      </w:r>
      <w:r w:rsidR="00C22F38" w:rsidRPr="001004FE">
        <w:rPr>
          <w:sz w:val="22"/>
          <w:szCs w:val="22"/>
          <w:lang w:val="es-ES_tradnl"/>
        </w:rPr>
        <w:t>j</w:t>
      </w:r>
      <w:r w:rsidRPr="001004FE">
        <w:rPr>
          <w:sz w:val="22"/>
          <w:szCs w:val="22"/>
          <w:lang w:val="es-ES_tradnl"/>
        </w:rPr>
        <w:t>edice ni</w:t>
      </w:r>
      <w:r w:rsidR="00C22F38" w:rsidRPr="001004FE">
        <w:rPr>
          <w:sz w:val="22"/>
          <w:szCs w:val="22"/>
          <w:lang w:val="es-ES_tradnl"/>
        </w:rPr>
        <w:t>je</w:t>
      </w:r>
      <w:r w:rsidRPr="001004FE">
        <w:rPr>
          <w:sz w:val="22"/>
          <w:szCs w:val="22"/>
          <w:lang w:val="es-ES_tradnl"/>
        </w:rPr>
        <w:t>su poznate. Potrebno je proc</w:t>
      </w:r>
      <w:r w:rsidR="00C22F38" w:rsidRPr="001004FE">
        <w:rPr>
          <w:sz w:val="22"/>
          <w:szCs w:val="22"/>
          <w:lang w:val="es-ES_tradnl"/>
        </w:rPr>
        <w:t>i</w:t>
      </w:r>
      <w:r w:rsidRPr="001004FE">
        <w:rPr>
          <w:sz w:val="22"/>
          <w:szCs w:val="22"/>
          <w:lang w:val="es-ES_tradnl"/>
        </w:rPr>
        <w:t xml:space="preserve">jeniti moguće dijagnostičke prednosti primjene </w:t>
      </w:r>
      <w:r w:rsidR="00C22F38" w:rsidRPr="001004FE">
        <w:rPr>
          <w:sz w:val="22"/>
          <w:szCs w:val="22"/>
          <w:lang w:val="es-ES_tradnl"/>
        </w:rPr>
        <w:t xml:space="preserve">dinatrijumove soli </w:t>
      </w:r>
      <w:r w:rsidRPr="001004FE">
        <w:rPr>
          <w:sz w:val="22"/>
          <w:szCs w:val="22"/>
          <w:lang w:val="es-ES_tradnl"/>
        </w:rPr>
        <w:t xml:space="preserve">gadoksetinske kiseline, kod pacijenata kod kojih će biti potrebna ponovljena snimanja u odnosu na potencijal gadolinijuma da se taloži u mozgu i drugim tkivima. </w:t>
      </w:r>
    </w:p>
    <w:p w14:paraId="3B56A1A6" w14:textId="77777777" w:rsidR="001E1A06" w:rsidRPr="001004FE" w:rsidRDefault="001E1A06" w:rsidP="00F81221">
      <w:pPr>
        <w:jc w:val="both"/>
        <w:rPr>
          <w:b/>
          <w:sz w:val="22"/>
          <w:szCs w:val="22"/>
          <w:lang w:val="sr-Latn-CS"/>
        </w:rPr>
      </w:pPr>
    </w:p>
    <w:p w14:paraId="05842264" w14:textId="77777777" w:rsidR="001E1A06" w:rsidRPr="001004FE" w:rsidRDefault="001E1A06" w:rsidP="00F81221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1004FE">
        <w:rPr>
          <w:sz w:val="22"/>
          <w:szCs w:val="22"/>
          <w:u w:val="single"/>
          <w:lang w:val="sr-Latn-CS"/>
        </w:rPr>
        <w:t>Pomoćne supstance</w:t>
      </w:r>
    </w:p>
    <w:p w14:paraId="07AC5C7C" w14:textId="070921D9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</w:rPr>
        <w:t>Ovaj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5A4897" w:rsidRPr="001004FE">
        <w:rPr>
          <w:rFonts w:ascii="Times New Roman" w:hAnsi="Times New Roman" w:cs="Times New Roman"/>
          <w:sz w:val="22"/>
          <w:szCs w:val="22"/>
        </w:rPr>
        <w:t>lijek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sadr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ž</w:t>
      </w:r>
      <w:r w:rsidRPr="001004FE">
        <w:rPr>
          <w:rFonts w:ascii="Times New Roman" w:hAnsi="Times New Roman" w:cs="Times New Roman"/>
          <w:sz w:val="22"/>
          <w:szCs w:val="22"/>
        </w:rPr>
        <w:t>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11,7 </w:t>
      </w:r>
      <w:r w:rsidRPr="001004FE">
        <w:rPr>
          <w:rFonts w:ascii="Times New Roman" w:hAnsi="Times New Roman" w:cs="Times New Roman"/>
          <w:sz w:val="22"/>
          <w:szCs w:val="22"/>
        </w:rPr>
        <w:t>mg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natrijuma</w:t>
      </w:r>
      <w:r w:rsidR="00402BDE"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po ml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,</w:t>
      </w:r>
      <w:r w:rsidR="00402BDE"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što odgovara 0,585% maksimalnog dnevnog unosa od 2 g natrijuma prema preporukama Sv</w:t>
      </w:r>
      <w:r w:rsidR="00C22F38" w:rsidRPr="001004FE">
        <w:rPr>
          <w:rFonts w:ascii="Times New Roman" w:hAnsi="Times New Roman" w:cs="Times New Roman"/>
          <w:sz w:val="22"/>
          <w:szCs w:val="22"/>
          <w:lang w:val="sr-Latn-CS"/>
        </w:rPr>
        <w:t>j</w:t>
      </w:r>
      <w:r w:rsidR="00402BDE"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etske zdravstvene organizacije za odraslu osobu (4,1% (82 mg) na osnovu količine koja se daje osobi od 70 mg). </w:t>
      </w:r>
      <w:r w:rsidR="00402BDE" w:rsidRPr="001004FE">
        <w:rPr>
          <w:rFonts w:ascii="Times New Roman" w:hAnsi="Times New Roman" w:cs="Times New Roman"/>
          <w:sz w:val="22"/>
          <w:szCs w:val="22"/>
        </w:rPr>
        <w:t>D</w:t>
      </w:r>
      <w:r w:rsidRPr="001004FE">
        <w:rPr>
          <w:rFonts w:ascii="Times New Roman" w:hAnsi="Times New Roman" w:cs="Times New Roman"/>
          <w:sz w:val="22"/>
          <w:szCs w:val="22"/>
        </w:rPr>
        <w:t>oza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je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0</w:t>
      </w:r>
      <w:proofErr w:type="gramStart"/>
      <w:r w:rsidRPr="001004FE">
        <w:rPr>
          <w:rFonts w:ascii="Times New Roman" w:hAnsi="Times New Roman" w:cs="Times New Roman"/>
          <w:sz w:val="22"/>
          <w:szCs w:val="22"/>
          <w:lang w:val="sr-Latn-CS"/>
        </w:rPr>
        <w:t>,1</w:t>
      </w:r>
      <w:proofErr w:type="gramEnd"/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ml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/</w:t>
      </w:r>
      <w:r w:rsidRPr="001004FE">
        <w:rPr>
          <w:rFonts w:ascii="Times New Roman" w:hAnsi="Times New Roman" w:cs="Times New Roman"/>
          <w:sz w:val="22"/>
          <w:szCs w:val="22"/>
        </w:rPr>
        <w:t>kg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tjelesne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mase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.</w:t>
      </w:r>
    </w:p>
    <w:p w14:paraId="72BAFE6A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6BFB76D9" w14:textId="77777777" w:rsidR="00057E35" w:rsidRPr="001004FE" w:rsidRDefault="00057E35" w:rsidP="00F8122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CS"/>
        </w:rPr>
      </w:pPr>
      <w:r w:rsidRPr="001004FE">
        <w:rPr>
          <w:sz w:val="22"/>
          <w:szCs w:val="22"/>
          <w:u w:val="single"/>
          <w:lang w:val="de-DE"/>
        </w:rPr>
        <w:t>Pedijatrijska</w:t>
      </w:r>
      <w:r w:rsidRPr="001004FE">
        <w:rPr>
          <w:sz w:val="22"/>
          <w:szCs w:val="22"/>
          <w:u w:val="single"/>
          <w:lang w:val="sr-Latn-CS"/>
        </w:rPr>
        <w:t xml:space="preserve"> </w:t>
      </w:r>
      <w:r w:rsidRPr="001004FE">
        <w:rPr>
          <w:sz w:val="22"/>
          <w:szCs w:val="22"/>
          <w:u w:val="single"/>
          <w:lang w:val="de-DE"/>
        </w:rPr>
        <w:t>populacija</w:t>
      </w:r>
    </w:p>
    <w:p w14:paraId="290B45AA" w14:textId="0808DEAF" w:rsidR="00057E35" w:rsidRPr="001004FE" w:rsidRDefault="00402BD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1004FE">
        <w:rPr>
          <w:bCs/>
          <w:sz w:val="22"/>
          <w:szCs w:val="22"/>
          <w:lang w:val="de-DE"/>
        </w:rPr>
        <w:t>Nije</w:t>
      </w:r>
      <w:r w:rsidRPr="001004FE">
        <w:rPr>
          <w:bCs/>
          <w:sz w:val="22"/>
          <w:szCs w:val="22"/>
          <w:lang w:val="sr-Latn-CS"/>
        </w:rPr>
        <w:t xml:space="preserve"> </w:t>
      </w:r>
      <w:r w:rsidRPr="001004FE">
        <w:rPr>
          <w:bCs/>
          <w:sz w:val="22"/>
          <w:szCs w:val="22"/>
          <w:lang w:val="de-DE"/>
        </w:rPr>
        <w:t>primjenljivo</w:t>
      </w:r>
      <w:r w:rsidRPr="001004FE">
        <w:rPr>
          <w:bCs/>
          <w:sz w:val="22"/>
          <w:szCs w:val="22"/>
          <w:lang w:val="sr-Latn-CS"/>
        </w:rPr>
        <w:t>.</w:t>
      </w:r>
    </w:p>
    <w:p w14:paraId="57538FD4" w14:textId="77777777" w:rsidR="00402BDE" w:rsidRPr="001004FE" w:rsidRDefault="00402BD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07C54B7" w14:textId="77777777" w:rsidR="00411B4B" w:rsidRPr="001004FE" w:rsidRDefault="00411B4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1004FE">
        <w:rPr>
          <w:b/>
          <w:bCs/>
          <w:sz w:val="22"/>
          <w:szCs w:val="22"/>
          <w:lang w:val="de-DE"/>
        </w:rPr>
        <w:t>4.5.</w:t>
      </w:r>
      <w:r w:rsidR="000D60CC" w:rsidRPr="001004FE">
        <w:rPr>
          <w:b/>
          <w:bCs/>
          <w:sz w:val="22"/>
          <w:szCs w:val="22"/>
          <w:lang w:val="de-DE"/>
        </w:rPr>
        <w:tab/>
      </w:r>
      <w:r w:rsidRPr="001004FE">
        <w:rPr>
          <w:b/>
          <w:bCs/>
          <w:sz w:val="22"/>
          <w:szCs w:val="22"/>
          <w:lang w:val="de-DE"/>
        </w:rPr>
        <w:t>Interakcije sa drugim ljekovima i druge vrste interakcija</w:t>
      </w:r>
    </w:p>
    <w:p w14:paraId="079774E5" w14:textId="49FB7D3B" w:rsidR="00560F7A" w:rsidRPr="001004FE" w:rsidRDefault="00560F7A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Transport gadoksetat</w:t>
      </w:r>
      <w:r w:rsidR="00431A94" w:rsidRPr="001004FE">
        <w:rPr>
          <w:rFonts w:ascii="Times New Roman" w:hAnsi="Times New Roman" w:cs="Times New Roman"/>
          <w:sz w:val="22"/>
          <w:szCs w:val="22"/>
          <w:lang w:val="pt-PT"/>
        </w:rPr>
        <w:t>a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u jetru može da bude posredovan OATP transporterima</w:t>
      </w:r>
      <w:r w:rsidR="00431A94" w:rsidRPr="001004FE">
        <w:rPr>
          <w:rFonts w:ascii="Times New Roman" w:hAnsi="Times New Roman" w:cs="Times New Roman"/>
          <w:sz w:val="22"/>
          <w:szCs w:val="22"/>
          <w:lang w:val="pt-PT"/>
        </w:rPr>
        <w:t>, pa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ne može da se isključi da bi potentni OATP inhibitori mogli da dovedu do interakcije sa lijekom, koja bi dovela do smanjenja kontrastnog efekta. Međutim, nema kliničkih podataka koj</w:t>
      </w:r>
      <w:r w:rsidR="00C22F38" w:rsidRPr="001004FE">
        <w:rPr>
          <w:rFonts w:ascii="Times New Roman" w:hAnsi="Times New Roman" w:cs="Times New Roman"/>
          <w:sz w:val="22"/>
          <w:szCs w:val="22"/>
          <w:lang w:val="pt-PT"/>
        </w:rPr>
        <w:t>i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bi podržal</w:t>
      </w:r>
      <w:r w:rsidR="008B618C" w:rsidRPr="001004FE">
        <w:rPr>
          <w:rFonts w:ascii="Times New Roman" w:hAnsi="Times New Roman" w:cs="Times New Roman"/>
          <w:sz w:val="22"/>
          <w:szCs w:val="22"/>
          <w:lang w:val="pt-PT"/>
        </w:rPr>
        <w:t>i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ovu teoriju. </w:t>
      </w:r>
    </w:p>
    <w:p w14:paraId="5D7E1BDA" w14:textId="50000D89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Studija interakcije kod zdravih osoba je pokazala da istovremena primjena eritromicina nije uticala na efikasnost i farmakokinetiku lijeka Primovist. Ni</w:t>
      </w:r>
      <w:r w:rsidR="00C22F38" w:rsidRPr="001004FE">
        <w:rPr>
          <w:rFonts w:ascii="Times New Roman" w:hAnsi="Times New Roman" w:cs="Times New Roman"/>
          <w:sz w:val="22"/>
          <w:szCs w:val="22"/>
          <w:lang w:val="pt-PT"/>
        </w:rPr>
        <w:t>je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su rađene bilo kakve dodatne studije interakcij</w:t>
      </w:r>
      <w:r w:rsidR="00C22F38" w:rsidRPr="001004FE">
        <w:rPr>
          <w:rFonts w:ascii="Times New Roman" w:hAnsi="Times New Roman" w:cs="Times New Roman"/>
          <w:sz w:val="22"/>
          <w:szCs w:val="22"/>
          <w:lang w:val="pt-PT"/>
        </w:rPr>
        <w:t>a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sa drugim ljekovima. </w:t>
      </w:r>
    </w:p>
    <w:p w14:paraId="67FEF89F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3B94E705" w14:textId="3192868C" w:rsidR="001E1A06" w:rsidRPr="001004FE" w:rsidRDefault="00885E29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  <w:r w:rsidRPr="001004FE">
        <w:rPr>
          <w:sz w:val="22"/>
          <w:szCs w:val="22"/>
          <w:u w:val="single"/>
          <w:lang w:val="pt-PT"/>
        </w:rPr>
        <w:t xml:space="preserve">Interferencije zbog povišenih nivoa </w:t>
      </w:r>
      <w:r w:rsidR="001E1A06" w:rsidRPr="001004FE">
        <w:rPr>
          <w:sz w:val="22"/>
          <w:szCs w:val="22"/>
          <w:u w:val="single"/>
          <w:lang w:val="pt-PT"/>
        </w:rPr>
        <w:t>bilirubina ili feritina kod pacijenata</w:t>
      </w:r>
    </w:p>
    <w:p w14:paraId="5D406D58" w14:textId="77777777" w:rsidR="00C22F38" w:rsidRPr="001004FE" w:rsidRDefault="00C22F38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</w:p>
    <w:p w14:paraId="5A6F7CF0" w14:textId="54367521" w:rsidR="001E1A06" w:rsidRPr="001004FE" w:rsidRDefault="00885E29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Povišeni nivoi </w:t>
      </w:r>
      <w:r w:rsidR="001E1A06" w:rsidRPr="001004FE">
        <w:rPr>
          <w:sz w:val="22"/>
          <w:szCs w:val="22"/>
          <w:lang w:val="pt-PT"/>
        </w:rPr>
        <w:t xml:space="preserve">bilirubina ili feritina mogu smanjiti hepatičko kontrastno dejstvo </w:t>
      </w:r>
      <w:r w:rsidRPr="001004FE">
        <w:rPr>
          <w:sz w:val="22"/>
          <w:szCs w:val="22"/>
          <w:lang w:val="pt-PT"/>
        </w:rPr>
        <w:t xml:space="preserve">lijeka </w:t>
      </w:r>
      <w:r w:rsidR="001E1A06" w:rsidRPr="001004FE">
        <w:rPr>
          <w:sz w:val="22"/>
          <w:szCs w:val="22"/>
          <w:lang w:val="pt-PT"/>
        </w:rPr>
        <w:t>Primovist (vidjeti dio 5.1).</w:t>
      </w:r>
    </w:p>
    <w:p w14:paraId="0218E007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</w:p>
    <w:p w14:paraId="3CD319FA" w14:textId="132A9FBE" w:rsidR="006A163E" w:rsidRPr="001004FE" w:rsidRDefault="00885E29" w:rsidP="00F81221">
      <w:pPr>
        <w:jc w:val="both"/>
        <w:rPr>
          <w:sz w:val="22"/>
          <w:szCs w:val="22"/>
          <w:u w:val="single"/>
          <w:lang w:val="pt-PT"/>
        </w:rPr>
      </w:pPr>
      <w:r w:rsidRPr="001004FE">
        <w:rPr>
          <w:sz w:val="22"/>
          <w:szCs w:val="22"/>
          <w:u w:val="single"/>
          <w:lang w:val="pt-PT"/>
        </w:rPr>
        <w:t>Interferencije sa dijagnostičkim testovima</w:t>
      </w:r>
    </w:p>
    <w:p w14:paraId="653EF019" w14:textId="77777777" w:rsidR="00C22F38" w:rsidRPr="001004FE" w:rsidRDefault="00C22F38" w:rsidP="00F81221">
      <w:pPr>
        <w:jc w:val="both"/>
        <w:rPr>
          <w:sz w:val="22"/>
          <w:szCs w:val="22"/>
          <w:u w:val="single"/>
          <w:lang w:val="pt-PT"/>
        </w:rPr>
      </w:pPr>
    </w:p>
    <w:p w14:paraId="2CCAAEAC" w14:textId="39B92C7F" w:rsidR="0072020E" w:rsidRPr="001004FE" w:rsidRDefault="001E1A06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Određivanje gvožđa u serumu kompleksometrijskom metodom (</w:t>
      </w:r>
      <w:r w:rsidR="00885E29" w:rsidRPr="001004FE">
        <w:rPr>
          <w:sz w:val="22"/>
          <w:szCs w:val="22"/>
          <w:lang w:val="pt-PT"/>
        </w:rPr>
        <w:t>npr</w:t>
      </w:r>
      <w:r w:rsidRPr="001004FE">
        <w:rPr>
          <w:sz w:val="22"/>
          <w:szCs w:val="22"/>
          <w:lang w:val="pt-PT"/>
        </w:rPr>
        <w:t xml:space="preserve">. </w:t>
      </w:r>
      <w:r w:rsidRPr="001004FE">
        <w:rPr>
          <w:i/>
          <w:sz w:val="22"/>
          <w:szCs w:val="22"/>
          <w:lang w:val="pt-PT"/>
        </w:rPr>
        <w:t>Ferrocine complexation method</w:t>
      </w:r>
      <w:r w:rsidRPr="001004FE">
        <w:rPr>
          <w:sz w:val="22"/>
          <w:szCs w:val="22"/>
          <w:lang w:val="pt-PT"/>
        </w:rPr>
        <w:t>) može dovesti do lažnih vrijednosti do 24 sata posl</w:t>
      </w:r>
      <w:r w:rsidR="00C22F38" w:rsidRPr="001004FE">
        <w:rPr>
          <w:sz w:val="22"/>
          <w:szCs w:val="22"/>
          <w:lang w:val="pt-PT"/>
        </w:rPr>
        <w:t>ij</w:t>
      </w:r>
      <w:r w:rsidRPr="001004FE">
        <w:rPr>
          <w:sz w:val="22"/>
          <w:szCs w:val="22"/>
          <w:lang w:val="pt-PT"/>
        </w:rPr>
        <w:t xml:space="preserve">e snimanja </w:t>
      </w:r>
      <w:r w:rsidR="00885E29" w:rsidRPr="001004FE">
        <w:rPr>
          <w:sz w:val="22"/>
          <w:szCs w:val="22"/>
          <w:lang w:val="pt-PT"/>
        </w:rPr>
        <w:t>s</w:t>
      </w:r>
      <w:r w:rsidRPr="001004FE">
        <w:rPr>
          <w:sz w:val="22"/>
          <w:szCs w:val="22"/>
          <w:lang w:val="pt-PT"/>
        </w:rPr>
        <w:t xml:space="preserve"> lijekom Primovist</w:t>
      </w:r>
      <w:r w:rsidR="00885E29" w:rsidRPr="001004FE">
        <w:rPr>
          <w:sz w:val="22"/>
          <w:szCs w:val="22"/>
          <w:lang w:val="pt-PT"/>
        </w:rPr>
        <w:t xml:space="preserve"> zbog toga što se</w:t>
      </w:r>
      <w:r w:rsidRPr="001004FE">
        <w:rPr>
          <w:sz w:val="22"/>
          <w:szCs w:val="22"/>
          <w:lang w:val="pt-PT"/>
        </w:rPr>
        <w:t xml:space="preserve"> slobodni </w:t>
      </w:r>
      <w:r w:rsidRPr="001004FE">
        <w:rPr>
          <w:iCs/>
          <w:sz w:val="22"/>
          <w:szCs w:val="22"/>
          <w:lang w:val="pt-PT"/>
        </w:rPr>
        <w:t>kompleksirajući</w:t>
      </w:r>
      <w:r w:rsidRPr="001004FE">
        <w:rPr>
          <w:sz w:val="22"/>
          <w:szCs w:val="22"/>
          <w:lang w:val="pt-PT"/>
        </w:rPr>
        <w:t xml:space="preserve"> agens nalazi u rastvoru kontrastnog medijuma.</w:t>
      </w:r>
    </w:p>
    <w:p w14:paraId="64D46C62" w14:textId="77777777" w:rsidR="00560F7A" w:rsidRPr="001004FE" w:rsidRDefault="00560F7A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769BCD2E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1004FE">
        <w:rPr>
          <w:b/>
          <w:bCs/>
          <w:sz w:val="22"/>
          <w:szCs w:val="22"/>
          <w:lang w:val="pt-PT"/>
        </w:rPr>
        <w:t xml:space="preserve">4.6. </w:t>
      </w:r>
      <w:r w:rsidR="00480FB1" w:rsidRPr="001004FE">
        <w:rPr>
          <w:b/>
          <w:bCs/>
          <w:sz w:val="22"/>
          <w:szCs w:val="22"/>
          <w:lang w:val="pt-PT"/>
        </w:rPr>
        <w:tab/>
      </w:r>
      <w:r w:rsidR="006D20A5" w:rsidRPr="001004FE">
        <w:rPr>
          <w:b/>
          <w:sz w:val="22"/>
          <w:szCs w:val="22"/>
          <w:lang w:val="sr-Latn-CS"/>
        </w:rPr>
        <w:t>Plodnost, trudnoća i dojenje</w:t>
      </w:r>
    </w:p>
    <w:p w14:paraId="5EB40A7B" w14:textId="77777777" w:rsidR="002031B3" w:rsidRPr="001004FE" w:rsidRDefault="002031B3" w:rsidP="00F8122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pt-PT"/>
        </w:rPr>
      </w:pPr>
    </w:p>
    <w:p w14:paraId="3C030A98" w14:textId="77777777" w:rsidR="007A3ECB" w:rsidRPr="001004FE" w:rsidRDefault="007A3ECB" w:rsidP="00F8122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pt-PT"/>
        </w:rPr>
      </w:pPr>
      <w:r w:rsidRPr="001004FE">
        <w:rPr>
          <w:sz w:val="22"/>
          <w:szCs w:val="22"/>
          <w:u w:val="single"/>
          <w:lang w:val="pt-PT"/>
        </w:rPr>
        <w:t>Trudnoća</w:t>
      </w:r>
    </w:p>
    <w:p w14:paraId="6064F55B" w14:textId="554B54A6" w:rsidR="001E1A06" w:rsidRPr="001004FE" w:rsidRDefault="005E76F9" w:rsidP="00F81221">
      <w:pPr>
        <w:jc w:val="both"/>
        <w:rPr>
          <w:sz w:val="22"/>
          <w:szCs w:val="22"/>
          <w:lang w:val="sr-Latn-CS"/>
        </w:rPr>
      </w:pPr>
      <w:r w:rsidRPr="006147F7">
        <w:rPr>
          <w:sz w:val="22"/>
          <w:szCs w:val="22"/>
        </w:rPr>
        <w:t xml:space="preserve">Podaci o upotrebi kontrastnih sredstava </w:t>
      </w:r>
      <w:proofErr w:type="gramStart"/>
      <w:r w:rsidRPr="006147F7">
        <w:rPr>
          <w:sz w:val="22"/>
          <w:szCs w:val="22"/>
        </w:rPr>
        <w:t>na</w:t>
      </w:r>
      <w:proofErr w:type="gramEnd"/>
      <w:r w:rsidRPr="006147F7">
        <w:rPr>
          <w:sz w:val="22"/>
          <w:szCs w:val="22"/>
        </w:rPr>
        <w:t xml:space="preserve"> bazi gadolinijuma kod trudnica su ograničeni. Gadolinijum može da prođe kroz placentu. Nije poznato da li je izloženost gadolinijumu povezana </w:t>
      </w:r>
      <w:proofErr w:type="gramStart"/>
      <w:r w:rsidRPr="006147F7">
        <w:rPr>
          <w:sz w:val="22"/>
          <w:szCs w:val="22"/>
        </w:rPr>
        <w:t>sa</w:t>
      </w:r>
      <w:proofErr w:type="gramEnd"/>
      <w:r w:rsidRPr="006147F7">
        <w:rPr>
          <w:sz w:val="22"/>
          <w:szCs w:val="22"/>
        </w:rPr>
        <w:t xml:space="preserve"> neželjenim efektima na fetus.</w:t>
      </w:r>
      <w:r w:rsidR="00F31705" w:rsidRPr="005E76F9">
        <w:rPr>
          <w:sz w:val="22"/>
          <w:szCs w:val="22"/>
          <w:lang w:val="pt-PT"/>
        </w:rPr>
        <w:t xml:space="preserve"> </w:t>
      </w:r>
      <w:r w:rsidR="001E1A06" w:rsidRPr="001004FE">
        <w:rPr>
          <w:sz w:val="22"/>
          <w:szCs w:val="22"/>
          <w:lang w:val="pt-PT"/>
        </w:rPr>
        <w:t>Studije na životinjama pokazale su reproduktivnu toksičnost posl</w:t>
      </w:r>
      <w:r w:rsidR="00C22F38" w:rsidRPr="001004FE">
        <w:rPr>
          <w:sz w:val="22"/>
          <w:szCs w:val="22"/>
          <w:lang w:val="pt-PT"/>
        </w:rPr>
        <w:t>ij</w:t>
      </w:r>
      <w:r w:rsidR="001E1A06" w:rsidRPr="001004FE">
        <w:rPr>
          <w:sz w:val="22"/>
          <w:szCs w:val="22"/>
          <w:lang w:val="pt-PT"/>
        </w:rPr>
        <w:t>e ponovljenih visokih doza (vidjeti dio 5.3)</w:t>
      </w:r>
      <w:r w:rsidR="00F31705" w:rsidRPr="001004FE">
        <w:rPr>
          <w:sz w:val="22"/>
          <w:szCs w:val="22"/>
          <w:lang w:val="pt-PT"/>
        </w:rPr>
        <w:t>.</w:t>
      </w:r>
      <w:r w:rsidR="00F31705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  <w:lang w:val="sr-Latn-CS"/>
        </w:rPr>
        <w:t>Lijek Primovist ne treba da se koristi</w:t>
      </w:r>
      <w:r w:rsidR="00F31705" w:rsidRPr="001004FE">
        <w:rPr>
          <w:sz w:val="22"/>
          <w:szCs w:val="22"/>
          <w:lang w:val="sr-Latn-CS"/>
        </w:rPr>
        <w:t xml:space="preserve"> </w:t>
      </w:r>
      <w:r w:rsidR="001E1A06" w:rsidRPr="001004FE">
        <w:rPr>
          <w:sz w:val="22"/>
          <w:szCs w:val="22"/>
          <w:lang w:val="sr-Latn-CS"/>
        </w:rPr>
        <w:t>tok</w:t>
      </w:r>
      <w:r w:rsidR="00F31705" w:rsidRPr="001004FE">
        <w:rPr>
          <w:sz w:val="22"/>
          <w:szCs w:val="22"/>
          <w:lang w:val="sr-Latn-CS"/>
        </w:rPr>
        <w:t>om</w:t>
      </w:r>
      <w:r w:rsidR="001E1A06" w:rsidRPr="001004FE">
        <w:rPr>
          <w:sz w:val="22"/>
          <w:szCs w:val="22"/>
          <w:lang w:val="sr-Latn-CS"/>
        </w:rPr>
        <w:t xml:space="preserve"> trudnoće, osim ako kliničko stanje žene zahtijeva primjenu gadoksetata.</w:t>
      </w:r>
    </w:p>
    <w:p w14:paraId="5BBA3100" w14:textId="77777777" w:rsidR="002031B3" w:rsidRPr="001004FE" w:rsidRDefault="002031B3" w:rsidP="00F8122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pt-PT"/>
        </w:rPr>
      </w:pPr>
    </w:p>
    <w:p w14:paraId="10F6A74B" w14:textId="77777777" w:rsidR="0072020E" w:rsidRPr="001004FE" w:rsidRDefault="007A3EC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1004FE">
        <w:rPr>
          <w:sz w:val="22"/>
          <w:szCs w:val="22"/>
          <w:u w:val="single"/>
          <w:lang w:val="pt-PT"/>
        </w:rPr>
        <w:t xml:space="preserve">Dojenje </w:t>
      </w:r>
    </w:p>
    <w:p w14:paraId="617C9700" w14:textId="2051B29B" w:rsidR="00227BDB" w:rsidRPr="001004FE" w:rsidRDefault="001E1A06" w:rsidP="00F81221">
      <w:pPr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  <w:lang w:val="pt-PT"/>
        </w:rPr>
        <w:t>Kontrastna sredstva koja sadrže gadolinijum se u veoma maloj količini izlučuju u mlijeko majke</w:t>
      </w:r>
      <w:r w:rsidR="00F31705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(vidjeti dio 5.3).</w:t>
      </w:r>
      <w:r w:rsidR="00F31705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Ni</w:t>
      </w:r>
      <w:r w:rsidR="00C22F38" w:rsidRPr="001004FE">
        <w:rPr>
          <w:sz w:val="22"/>
          <w:szCs w:val="22"/>
          <w:lang w:val="pt-PT"/>
        </w:rPr>
        <w:t>je</w:t>
      </w:r>
      <w:r w:rsidRPr="001004FE">
        <w:rPr>
          <w:sz w:val="22"/>
          <w:szCs w:val="22"/>
          <w:lang w:val="pt-PT"/>
        </w:rPr>
        <w:t>su uočeni efekti na odojčad poslije primjene kliničkih doza, zbog male količine izlučene u mlijeko i slabe resorpcije u crijevima.</w:t>
      </w:r>
      <w:r w:rsidR="006A163E" w:rsidRPr="001004FE">
        <w:rPr>
          <w:sz w:val="22"/>
          <w:szCs w:val="22"/>
          <w:lang w:val="pt-PT"/>
        </w:rPr>
        <w:t xml:space="preserve"> Odluku o nastavku</w:t>
      </w:r>
      <w:r w:rsidRPr="001004FE">
        <w:rPr>
          <w:sz w:val="22"/>
          <w:szCs w:val="22"/>
          <w:lang w:val="sr-Latn-CS"/>
        </w:rPr>
        <w:t xml:space="preserve"> ili prekid</w:t>
      </w:r>
      <w:r w:rsidR="006A163E" w:rsidRPr="001004FE">
        <w:rPr>
          <w:sz w:val="22"/>
          <w:szCs w:val="22"/>
          <w:lang w:val="sr-Latn-CS"/>
        </w:rPr>
        <w:t>u dojenja na period</w:t>
      </w:r>
      <w:r w:rsidRPr="001004FE">
        <w:rPr>
          <w:sz w:val="22"/>
          <w:szCs w:val="22"/>
          <w:lang w:val="sr-Latn-CS"/>
        </w:rPr>
        <w:t xml:space="preserve"> od 24 sata poslije primjene lijeka Primovist</w:t>
      </w:r>
      <w:r w:rsidR="006A163E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  <w:lang w:val="sr-Latn-CS"/>
        </w:rPr>
        <w:t>treba da donesu ljekar i majka koja doji.</w:t>
      </w:r>
    </w:p>
    <w:p w14:paraId="4EE95C36" w14:textId="77777777" w:rsidR="00F31705" w:rsidRPr="001004FE" w:rsidRDefault="00F31705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2495A95F" w14:textId="77777777" w:rsidR="00F31705" w:rsidRPr="001004FE" w:rsidRDefault="00F31705" w:rsidP="00F8122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CS"/>
        </w:rPr>
      </w:pPr>
      <w:r w:rsidRPr="001004FE">
        <w:rPr>
          <w:sz w:val="22"/>
          <w:szCs w:val="22"/>
          <w:u w:val="single"/>
        </w:rPr>
        <w:t>Plodnost</w:t>
      </w:r>
    </w:p>
    <w:p w14:paraId="12F75DBA" w14:textId="5392B2DF" w:rsidR="001E1A06" w:rsidRPr="001004FE" w:rsidRDefault="00431A94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</w:rPr>
        <w:t>Ispitivanja</w:t>
      </w:r>
      <w:r w:rsidR="00464B0B" w:rsidRPr="001004FE">
        <w:rPr>
          <w:sz w:val="22"/>
          <w:szCs w:val="22"/>
          <w:lang w:val="sr-Latn-CS"/>
        </w:rPr>
        <w:t xml:space="preserve"> </w:t>
      </w:r>
      <w:proofErr w:type="gramStart"/>
      <w:r w:rsidR="00464B0B" w:rsidRPr="001004FE">
        <w:rPr>
          <w:sz w:val="22"/>
          <w:szCs w:val="22"/>
        </w:rPr>
        <w:t>na</w:t>
      </w:r>
      <w:proofErr w:type="gramEnd"/>
      <w:r w:rsidR="00464B0B" w:rsidRPr="001004FE">
        <w:rPr>
          <w:sz w:val="22"/>
          <w:szCs w:val="22"/>
          <w:lang w:val="sr-Latn-CS"/>
        </w:rPr>
        <w:t xml:space="preserve"> ž</w:t>
      </w:r>
      <w:r w:rsidR="00464B0B" w:rsidRPr="001004FE">
        <w:rPr>
          <w:sz w:val="22"/>
          <w:szCs w:val="22"/>
        </w:rPr>
        <w:t>ivotinjama</w:t>
      </w:r>
      <w:r w:rsidR="00464B0B" w:rsidRPr="001004FE">
        <w:rPr>
          <w:sz w:val="22"/>
          <w:szCs w:val="22"/>
          <w:lang w:val="sr-Latn-CS"/>
        </w:rPr>
        <w:t xml:space="preserve"> </w:t>
      </w:r>
      <w:r w:rsidR="00464B0B" w:rsidRPr="001004FE">
        <w:rPr>
          <w:sz w:val="22"/>
          <w:szCs w:val="22"/>
        </w:rPr>
        <w:t>ni</w:t>
      </w:r>
      <w:r w:rsidR="00454265" w:rsidRPr="001004FE">
        <w:rPr>
          <w:sz w:val="22"/>
          <w:szCs w:val="22"/>
        </w:rPr>
        <w:t>je</w:t>
      </w:r>
      <w:r w:rsidR="00464B0B" w:rsidRPr="001004FE">
        <w:rPr>
          <w:sz w:val="22"/>
          <w:szCs w:val="22"/>
        </w:rPr>
        <w:t>su</w:t>
      </w:r>
      <w:r w:rsidR="00464B0B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pokazala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da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dolazi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do</w:t>
      </w:r>
      <w:r w:rsidR="00464B0B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o</w:t>
      </w:r>
      <w:r w:rsidRPr="001004FE">
        <w:rPr>
          <w:sz w:val="22"/>
          <w:szCs w:val="22"/>
          <w:lang w:val="sr-Latn-CS"/>
        </w:rPr>
        <w:t>š</w:t>
      </w:r>
      <w:r w:rsidRPr="001004FE">
        <w:rPr>
          <w:sz w:val="22"/>
          <w:szCs w:val="22"/>
        </w:rPr>
        <w:t>te</w:t>
      </w:r>
      <w:r w:rsidRPr="001004FE">
        <w:rPr>
          <w:sz w:val="22"/>
          <w:szCs w:val="22"/>
          <w:lang w:val="sr-Latn-CS"/>
        </w:rPr>
        <w:t>ć</w:t>
      </w:r>
      <w:r w:rsidRPr="001004FE">
        <w:rPr>
          <w:sz w:val="22"/>
          <w:szCs w:val="22"/>
        </w:rPr>
        <w:t>enja</w:t>
      </w:r>
      <w:r w:rsidR="00464B0B" w:rsidRPr="001004FE">
        <w:rPr>
          <w:sz w:val="22"/>
          <w:szCs w:val="22"/>
          <w:lang w:val="sr-Latn-CS"/>
        </w:rPr>
        <w:t xml:space="preserve"> plodnosti.</w:t>
      </w:r>
    </w:p>
    <w:p w14:paraId="5A03D0B7" w14:textId="77777777" w:rsidR="00464B0B" w:rsidRPr="001004FE" w:rsidRDefault="00464B0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03B9C208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1004FE">
        <w:rPr>
          <w:b/>
          <w:bCs/>
          <w:sz w:val="22"/>
          <w:szCs w:val="22"/>
          <w:lang w:val="sr-Latn-CS"/>
        </w:rPr>
        <w:t xml:space="preserve">4.7. </w:t>
      </w:r>
      <w:r w:rsidR="00480FB1" w:rsidRPr="001004FE">
        <w:rPr>
          <w:b/>
          <w:bCs/>
          <w:sz w:val="22"/>
          <w:szCs w:val="22"/>
          <w:lang w:val="sr-Latn-CS"/>
        </w:rPr>
        <w:tab/>
      </w:r>
      <w:r w:rsidRPr="001004FE">
        <w:rPr>
          <w:b/>
          <w:bCs/>
          <w:sz w:val="22"/>
          <w:szCs w:val="22"/>
        </w:rPr>
        <w:t>Uticaj</w:t>
      </w:r>
      <w:r w:rsidRPr="001004FE">
        <w:rPr>
          <w:b/>
          <w:bCs/>
          <w:sz w:val="22"/>
          <w:szCs w:val="22"/>
          <w:lang w:val="sr-Latn-CS"/>
        </w:rPr>
        <w:t xml:space="preserve"> </w:t>
      </w:r>
      <w:proofErr w:type="gramStart"/>
      <w:r w:rsidRPr="001004FE">
        <w:rPr>
          <w:b/>
          <w:bCs/>
          <w:sz w:val="22"/>
          <w:szCs w:val="22"/>
        </w:rPr>
        <w:t>na</w:t>
      </w:r>
      <w:proofErr w:type="gramEnd"/>
      <w:r w:rsidRPr="001004FE">
        <w:rPr>
          <w:b/>
          <w:bCs/>
          <w:sz w:val="22"/>
          <w:szCs w:val="22"/>
          <w:lang w:val="sr-Latn-CS"/>
        </w:rPr>
        <w:t xml:space="preserve"> </w:t>
      </w:r>
      <w:r w:rsidR="002031B3" w:rsidRPr="001004FE">
        <w:rPr>
          <w:b/>
          <w:bCs/>
          <w:sz w:val="22"/>
          <w:szCs w:val="22"/>
        </w:rPr>
        <w:t>sposobnost</w:t>
      </w:r>
      <w:r w:rsidR="002031B3" w:rsidRPr="001004FE">
        <w:rPr>
          <w:b/>
          <w:bCs/>
          <w:sz w:val="22"/>
          <w:szCs w:val="22"/>
          <w:lang w:val="sr-Latn-CS"/>
        </w:rPr>
        <w:t xml:space="preserve"> </w:t>
      </w:r>
      <w:r w:rsidR="00F34554" w:rsidRPr="001004FE">
        <w:rPr>
          <w:b/>
          <w:bCs/>
          <w:sz w:val="22"/>
          <w:szCs w:val="22"/>
        </w:rPr>
        <w:t>upravljanja</w:t>
      </w:r>
      <w:r w:rsidR="00F34554" w:rsidRPr="001004FE">
        <w:rPr>
          <w:b/>
          <w:bCs/>
          <w:sz w:val="22"/>
          <w:szCs w:val="22"/>
          <w:lang w:val="sr-Latn-CS"/>
        </w:rPr>
        <w:t xml:space="preserve"> </w:t>
      </w:r>
      <w:r w:rsidR="00F34554" w:rsidRPr="001004FE">
        <w:rPr>
          <w:b/>
          <w:bCs/>
          <w:sz w:val="22"/>
          <w:szCs w:val="22"/>
        </w:rPr>
        <w:t>vozili</w:t>
      </w:r>
      <w:r w:rsidRPr="001004FE">
        <w:rPr>
          <w:b/>
          <w:bCs/>
          <w:sz w:val="22"/>
          <w:szCs w:val="22"/>
        </w:rPr>
        <w:t>m</w:t>
      </w:r>
      <w:r w:rsidR="00F34554" w:rsidRPr="001004FE">
        <w:rPr>
          <w:b/>
          <w:bCs/>
          <w:sz w:val="22"/>
          <w:szCs w:val="22"/>
        </w:rPr>
        <w:t>a</w:t>
      </w:r>
      <w:r w:rsidRPr="001004FE">
        <w:rPr>
          <w:b/>
          <w:bCs/>
          <w:sz w:val="22"/>
          <w:szCs w:val="22"/>
          <w:lang w:val="sr-Latn-CS"/>
        </w:rPr>
        <w:t xml:space="preserve"> </w:t>
      </w:r>
      <w:r w:rsidRPr="001004FE">
        <w:rPr>
          <w:b/>
          <w:bCs/>
          <w:sz w:val="22"/>
          <w:szCs w:val="22"/>
        </w:rPr>
        <w:t>i</w:t>
      </w:r>
      <w:r w:rsidRPr="001004FE">
        <w:rPr>
          <w:b/>
          <w:bCs/>
          <w:sz w:val="22"/>
          <w:szCs w:val="22"/>
          <w:lang w:val="sr-Latn-CS"/>
        </w:rPr>
        <w:t xml:space="preserve"> </w:t>
      </w:r>
      <w:r w:rsidR="000D3449" w:rsidRPr="001004FE">
        <w:rPr>
          <w:b/>
          <w:bCs/>
          <w:sz w:val="22"/>
          <w:szCs w:val="22"/>
        </w:rPr>
        <w:t>rukovanje</w:t>
      </w:r>
      <w:r w:rsidR="000D3449" w:rsidRPr="001004FE">
        <w:rPr>
          <w:b/>
          <w:bCs/>
          <w:sz w:val="22"/>
          <w:szCs w:val="22"/>
          <w:lang w:val="sr-Latn-CS"/>
        </w:rPr>
        <w:t xml:space="preserve"> </w:t>
      </w:r>
      <w:r w:rsidRPr="001004FE">
        <w:rPr>
          <w:b/>
          <w:bCs/>
          <w:sz w:val="22"/>
          <w:szCs w:val="22"/>
        </w:rPr>
        <w:t>ma</w:t>
      </w:r>
      <w:r w:rsidRPr="001004FE">
        <w:rPr>
          <w:b/>
          <w:bCs/>
          <w:sz w:val="22"/>
          <w:szCs w:val="22"/>
          <w:lang w:val="sr-Latn-CS"/>
        </w:rPr>
        <w:t>š</w:t>
      </w:r>
      <w:r w:rsidRPr="001004FE">
        <w:rPr>
          <w:b/>
          <w:bCs/>
          <w:sz w:val="22"/>
          <w:szCs w:val="22"/>
        </w:rPr>
        <w:t>inama</w:t>
      </w:r>
    </w:p>
    <w:p w14:paraId="08555705" w14:textId="6527F041" w:rsidR="0072020E" w:rsidRPr="001004FE" w:rsidRDefault="001E1A06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1004FE">
        <w:rPr>
          <w:sz w:val="22"/>
          <w:szCs w:val="22"/>
        </w:rPr>
        <w:t>Lijek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Primovist</w:t>
      </w:r>
      <w:r w:rsidRPr="001004FE">
        <w:rPr>
          <w:sz w:val="22"/>
          <w:szCs w:val="22"/>
          <w:lang w:val="sr-Latn-CS"/>
        </w:rPr>
        <w:t xml:space="preserve"> </w:t>
      </w:r>
      <w:proofErr w:type="gramStart"/>
      <w:r w:rsidRPr="001004FE">
        <w:rPr>
          <w:sz w:val="22"/>
          <w:szCs w:val="22"/>
        </w:rPr>
        <w:t>nema</w:t>
      </w:r>
      <w:proofErr w:type="gramEnd"/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uticaj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na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sposobnost</w:t>
      </w:r>
      <w:r w:rsidR="00464B0B"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upravljanja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vozilima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i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rukovanja</w:t>
      </w:r>
      <w:r w:rsidRPr="001004FE">
        <w:rPr>
          <w:sz w:val="22"/>
          <w:szCs w:val="22"/>
          <w:lang w:val="sr-Latn-CS"/>
        </w:rPr>
        <w:t xml:space="preserve"> </w:t>
      </w:r>
      <w:r w:rsidRPr="001004FE">
        <w:rPr>
          <w:sz w:val="22"/>
          <w:szCs w:val="22"/>
        </w:rPr>
        <w:t>ma</w:t>
      </w:r>
      <w:r w:rsidRPr="001004FE">
        <w:rPr>
          <w:sz w:val="22"/>
          <w:szCs w:val="22"/>
          <w:lang w:val="sr-Latn-CS"/>
        </w:rPr>
        <w:t>š</w:t>
      </w:r>
      <w:r w:rsidRPr="001004FE">
        <w:rPr>
          <w:sz w:val="22"/>
          <w:szCs w:val="22"/>
        </w:rPr>
        <w:t>inama</w:t>
      </w:r>
      <w:r w:rsidRPr="001004FE">
        <w:rPr>
          <w:sz w:val="22"/>
          <w:szCs w:val="22"/>
          <w:lang w:val="sr-Latn-CS"/>
        </w:rPr>
        <w:t>.</w:t>
      </w:r>
    </w:p>
    <w:p w14:paraId="66417B21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4CF81170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1004FE">
        <w:rPr>
          <w:b/>
          <w:bCs/>
          <w:sz w:val="22"/>
          <w:szCs w:val="22"/>
          <w:lang w:val="sr-Latn-CS"/>
        </w:rPr>
        <w:lastRenderedPageBreak/>
        <w:t xml:space="preserve">4.8. </w:t>
      </w:r>
      <w:r w:rsidR="00480FB1" w:rsidRPr="001004FE">
        <w:rPr>
          <w:b/>
          <w:bCs/>
          <w:sz w:val="22"/>
          <w:szCs w:val="22"/>
          <w:lang w:val="sr-Latn-CS"/>
        </w:rPr>
        <w:tab/>
      </w:r>
      <w:r w:rsidRPr="001004FE">
        <w:rPr>
          <w:b/>
          <w:bCs/>
          <w:sz w:val="22"/>
          <w:szCs w:val="22"/>
        </w:rPr>
        <w:t>Ne</w:t>
      </w:r>
      <w:r w:rsidRPr="001004FE">
        <w:rPr>
          <w:b/>
          <w:bCs/>
          <w:sz w:val="22"/>
          <w:szCs w:val="22"/>
          <w:lang w:val="sr-Latn-CS"/>
        </w:rPr>
        <w:t>ž</w:t>
      </w:r>
      <w:r w:rsidRPr="001004FE">
        <w:rPr>
          <w:b/>
          <w:bCs/>
          <w:sz w:val="22"/>
          <w:szCs w:val="22"/>
        </w:rPr>
        <w:t>eljena</w:t>
      </w:r>
      <w:r w:rsidRPr="001004FE">
        <w:rPr>
          <w:b/>
          <w:bCs/>
          <w:sz w:val="22"/>
          <w:szCs w:val="22"/>
          <w:lang w:val="sr-Latn-CS"/>
        </w:rPr>
        <w:t xml:space="preserve"> </w:t>
      </w:r>
      <w:r w:rsidRPr="001004FE">
        <w:rPr>
          <w:b/>
          <w:bCs/>
          <w:sz w:val="22"/>
          <w:szCs w:val="22"/>
        </w:rPr>
        <w:t>dejstva</w:t>
      </w:r>
    </w:p>
    <w:p w14:paraId="74441DF9" w14:textId="47D22196" w:rsidR="001E1A06" w:rsidRPr="001004FE" w:rsidRDefault="00464B0B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u w:val="single"/>
          <w:lang w:val="sr-Latn-CS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</w:rPr>
        <w:t>Sa</w:t>
      </w:r>
      <w:r w:rsidRPr="001004FE">
        <w:rPr>
          <w:rFonts w:ascii="Times New Roman" w:hAnsi="Times New Roman" w:cs="Times New Roman"/>
          <w:sz w:val="22"/>
          <w:szCs w:val="22"/>
          <w:u w:val="single"/>
          <w:lang w:val="sr-Latn-CS"/>
        </w:rPr>
        <w:t>ž</w:t>
      </w:r>
      <w:r w:rsidRPr="001004FE">
        <w:rPr>
          <w:rFonts w:ascii="Times New Roman" w:hAnsi="Times New Roman" w:cs="Times New Roman"/>
          <w:sz w:val="22"/>
          <w:szCs w:val="22"/>
          <w:u w:val="single"/>
        </w:rPr>
        <w:t>etak</w:t>
      </w:r>
      <w:r w:rsidRPr="001004FE">
        <w:rPr>
          <w:rFonts w:ascii="Times New Roman" w:hAnsi="Times New Roman" w:cs="Times New Roman"/>
          <w:sz w:val="22"/>
          <w:szCs w:val="22"/>
          <w:u w:val="single"/>
          <w:lang w:val="sr-Latn-CS"/>
        </w:rPr>
        <w:t xml:space="preserve"> </w:t>
      </w:r>
      <w:r w:rsidR="001E1A06" w:rsidRPr="001004FE">
        <w:rPr>
          <w:rFonts w:ascii="Times New Roman" w:hAnsi="Times New Roman" w:cs="Times New Roman"/>
          <w:sz w:val="22"/>
          <w:szCs w:val="22"/>
          <w:u w:val="single"/>
        </w:rPr>
        <w:t>bezbjednosnog</w:t>
      </w:r>
      <w:r w:rsidR="001E1A06" w:rsidRPr="001004FE">
        <w:rPr>
          <w:rFonts w:ascii="Times New Roman" w:hAnsi="Times New Roman" w:cs="Times New Roman"/>
          <w:sz w:val="22"/>
          <w:szCs w:val="22"/>
          <w:u w:val="single"/>
          <w:lang w:val="sr-Latn-CS"/>
        </w:rPr>
        <w:t xml:space="preserve"> </w:t>
      </w:r>
      <w:r w:rsidR="001E1A06" w:rsidRPr="001004FE">
        <w:rPr>
          <w:rFonts w:ascii="Times New Roman" w:hAnsi="Times New Roman" w:cs="Times New Roman"/>
          <w:sz w:val="22"/>
          <w:szCs w:val="22"/>
          <w:u w:val="single"/>
        </w:rPr>
        <w:t>profila</w:t>
      </w:r>
      <w:r w:rsidR="001E1A06" w:rsidRPr="001004FE">
        <w:rPr>
          <w:rFonts w:ascii="Times New Roman" w:hAnsi="Times New Roman" w:cs="Times New Roman"/>
          <w:sz w:val="22"/>
          <w:szCs w:val="22"/>
          <w:u w:val="single"/>
          <w:lang w:val="sr-Latn-CS"/>
        </w:rPr>
        <w:t xml:space="preserve"> </w:t>
      </w:r>
    </w:p>
    <w:p w14:paraId="74495CBF" w14:textId="7A1D75EC" w:rsidR="00454265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1004FE">
        <w:rPr>
          <w:rFonts w:ascii="Times New Roman" w:hAnsi="Times New Roman" w:cs="Times New Roman"/>
          <w:sz w:val="22"/>
          <w:szCs w:val="22"/>
        </w:rPr>
        <w:t>Ukupni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bezbjednosni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profil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lijeka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Primovist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se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zasniva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gramStart"/>
      <w:r w:rsidRPr="001004FE">
        <w:rPr>
          <w:rFonts w:ascii="Times New Roman" w:hAnsi="Times New Roman" w:cs="Times New Roman"/>
          <w:sz w:val="22"/>
          <w:szCs w:val="22"/>
        </w:rPr>
        <w:t>na</w:t>
      </w:r>
      <w:proofErr w:type="gramEnd"/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podacima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464B0B" w:rsidRPr="001004FE">
        <w:rPr>
          <w:rFonts w:ascii="Times New Roman" w:hAnsi="Times New Roman" w:cs="Times New Roman"/>
          <w:sz w:val="22"/>
          <w:szCs w:val="22"/>
        </w:rPr>
        <w:t>od</w:t>
      </w:r>
      <w:r w:rsidR="00464B0B"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preko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1900 </w:t>
      </w:r>
      <w:r w:rsidRPr="001004FE">
        <w:rPr>
          <w:rFonts w:ascii="Times New Roman" w:hAnsi="Times New Roman" w:cs="Times New Roman"/>
          <w:sz w:val="22"/>
          <w:szCs w:val="22"/>
        </w:rPr>
        <w:t>pacijenata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klini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č</w:t>
      </w:r>
      <w:r w:rsidRPr="001004FE">
        <w:rPr>
          <w:rFonts w:ascii="Times New Roman" w:hAnsi="Times New Roman" w:cs="Times New Roman"/>
          <w:sz w:val="22"/>
          <w:szCs w:val="22"/>
        </w:rPr>
        <w:t>kim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ispitivanjima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iz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postmarketin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š</w:t>
      </w:r>
      <w:r w:rsidRPr="001004FE">
        <w:rPr>
          <w:rFonts w:ascii="Times New Roman" w:hAnsi="Times New Roman" w:cs="Times New Roman"/>
          <w:sz w:val="22"/>
          <w:szCs w:val="22"/>
        </w:rPr>
        <w:t>kog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ć</w:t>
      </w:r>
      <w:r w:rsidRPr="001004FE">
        <w:rPr>
          <w:rFonts w:ascii="Times New Roman" w:hAnsi="Times New Roman" w:cs="Times New Roman"/>
          <w:sz w:val="22"/>
          <w:szCs w:val="22"/>
        </w:rPr>
        <w:t>enja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.</w:t>
      </w:r>
      <w:r w:rsidRPr="001004FE">
        <w:rPr>
          <w:sz w:val="22"/>
          <w:szCs w:val="22"/>
          <w:lang w:val="sr-Latn-CS"/>
        </w:rPr>
        <w:t xml:space="preserve"> </w:t>
      </w:r>
    </w:p>
    <w:p w14:paraId="27345C8B" w14:textId="77777777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1004FE">
        <w:rPr>
          <w:rFonts w:ascii="Times New Roman" w:hAnsi="Times New Roman" w:cs="Times New Roman"/>
          <w:sz w:val="22"/>
          <w:szCs w:val="22"/>
        </w:rPr>
        <w:t>Naj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č</w:t>
      </w:r>
      <w:r w:rsidRPr="001004FE">
        <w:rPr>
          <w:rFonts w:ascii="Times New Roman" w:hAnsi="Times New Roman" w:cs="Times New Roman"/>
          <w:sz w:val="22"/>
          <w:szCs w:val="22"/>
        </w:rPr>
        <w:t>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šć</w:t>
      </w:r>
      <w:r w:rsidRPr="001004FE">
        <w:rPr>
          <w:rFonts w:ascii="Times New Roman" w:hAnsi="Times New Roman" w:cs="Times New Roman"/>
          <w:sz w:val="22"/>
          <w:szCs w:val="22"/>
        </w:rPr>
        <w:t>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uo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č</w:t>
      </w:r>
      <w:r w:rsidRPr="001004FE">
        <w:rPr>
          <w:rFonts w:ascii="Times New Roman" w:hAnsi="Times New Roman" w:cs="Times New Roman"/>
          <w:sz w:val="22"/>
          <w:szCs w:val="22"/>
        </w:rPr>
        <w:t>ene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ž</w:t>
      </w:r>
      <w:r w:rsidRPr="001004FE">
        <w:rPr>
          <w:rFonts w:ascii="Times New Roman" w:hAnsi="Times New Roman" w:cs="Times New Roman"/>
          <w:sz w:val="22"/>
          <w:szCs w:val="22"/>
        </w:rPr>
        <w:t>eljene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reakcije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na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lijek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(≥ 0</w:t>
      </w:r>
      <w:proofErr w:type="gramStart"/>
      <w:r w:rsidRPr="001004FE">
        <w:rPr>
          <w:rFonts w:ascii="Times New Roman" w:hAnsi="Times New Roman" w:cs="Times New Roman"/>
          <w:sz w:val="22"/>
          <w:szCs w:val="22"/>
          <w:lang w:val="sr-Latn-CS"/>
        </w:rPr>
        <w:t>,5</w:t>
      </w:r>
      <w:proofErr w:type="gramEnd"/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%) </w:t>
      </w:r>
      <w:r w:rsidRPr="001004FE">
        <w:rPr>
          <w:rFonts w:ascii="Times New Roman" w:hAnsi="Times New Roman" w:cs="Times New Roman"/>
          <w:sz w:val="22"/>
          <w:szCs w:val="22"/>
        </w:rPr>
        <w:t>kod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pacijenata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koji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su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primali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lijek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Primovist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su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mu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č</w:t>
      </w:r>
      <w:r w:rsidRPr="001004FE">
        <w:rPr>
          <w:rFonts w:ascii="Times New Roman" w:hAnsi="Times New Roman" w:cs="Times New Roman"/>
          <w:sz w:val="22"/>
          <w:szCs w:val="22"/>
        </w:rPr>
        <w:t>nina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, </w:t>
      </w:r>
      <w:r w:rsidRPr="001004FE">
        <w:rPr>
          <w:rFonts w:ascii="Times New Roman" w:hAnsi="Times New Roman" w:cs="Times New Roman"/>
          <w:sz w:val="22"/>
          <w:szCs w:val="22"/>
        </w:rPr>
        <w:t>glavobolja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, </w:t>
      </w:r>
      <w:r w:rsidRPr="001004FE">
        <w:rPr>
          <w:rFonts w:ascii="Times New Roman" w:hAnsi="Times New Roman" w:cs="Times New Roman"/>
          <w:sz w:val="22"/>
          <w:szCs w:val="22"/>
        </w:rPr>
        <w:t>osje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ć</w:t>
      </w:r>
      <w:r w:rsidRPr="001004FE">
        <w:rPr>
          <w:rFonts w:ascii="Times New Roman" w:hAnsi="Times New Roman" w:cs="Times New Roman"/>
          <w:sz w:val="22"/>
          <w:szCs w:val="22"/>
        </w:rPr>
        <w:t>aj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vru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ć</w:t>
      </w:r>
      <w:r w:rsidRPr="001004FE">
        <w:rPr>
          <w:rFonts w:ascii="Times New Roman" w:hAnsi="Times New Roman" w:cs="Times New Roman"/>
          <w:sz w:val="22"/>
          <w:szCs w:val="22"/>
        </w:rPr>
        <w:t>ine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, </w:t>
      </w:r>
      <w:r w:rsidRPr="001004FE">
        <w:rPr>
          <w:rFonts w:ascii="Times New Roman" w:hAnsi="Times New Roman" w:cs="Times New Roman"/>
          <w:sz w:val="22"/>
          <w:szCs w:val="22"/>
        </w:rPr>
        <w:t>povi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š</w:t>
      </w:r>
      <w:r w:rsidRPr="001004FE">
        <w:rPr>
          <w:rFonts w:ascii="Times New Roman" w:hAnsi="Times New Roman" w:cs="Times New Roman"/>
          <w:sz w:val="22"/>
          <w:szCs w:val="22"/>
        </w:rPr>
        <w:t>enje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krvnog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pritiska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, </w:t>
      </w:r>
      <w:r w:rsidRPr="001004FE">
        <w:rPr>
          <w:rFonts w:ascii="Times New Roman" w:hAnsi="Times New Roman" w:cs="Times New Roman"/>
          <w:sz w:val="22"/>
          <w:szCs w:val="22"/>
        </w:rPr>
        <w:t>bol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le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đ</w:t>
      </w:r>
      <w:r w:rsidRPr="001004FE">
        <w:rPr>
          <w:rFonts w:ascii="Times New Roman" w:hAnsi="Times New Roman" w:cs="Times New Roman"/>
          <w:sz w:val="22"/>
          <w:szCs w:val="22"/>
        </w:rPr>
        <w:t>ima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vrtoglavica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. </w:t>
      </w:r>
    </w:p>
    <w:p w14:paraId="1ECF1099" w14:textId="5741C8AF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1004FE">
        <w:rPr>
          <w:rFonts w:ascii="Times New Roman" w:hAnsi="Times New Roman" w:cs="Times New Roman"/>
          <w:sz w:val="22"/>
          <w:szCs w:val="22"/>
        </w:rPr>
        <w:t>Najozbiljnija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ž</w:t>
      </w:r>
      <w:r w:rsidRPr="001004FE">
        <w:rPr>
          <w:rFonts w:ascii="Times New Roman" w:hAnsi="Times New Roman" w:cs="Times New Roman"/>
          <w:sz w:val="22"/>
          <w:szCs w:val="22"/>
        </w:rPr>
        <w:t>eljena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reakcija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gramStart"/>
      <w:r w:rsidRPr="001004FE">
        <w:rPr>
          <w:rFonts w:ascii="Times New Roman" w:hAnsi="Times New Roman" w:cs="Times New Roman"/>
          <w:sz w:val="22"/>
          <w:szCs w:val="22"/>
        </w:rPr>
        <w:t>na</w:t>
      </w:r>
      <w:proofErr w:type="gramEnd"/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lijek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kod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pacijenata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koji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su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primali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lijek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Primovist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je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anafilakt</w:t>
      </w:r>
      <w:r w:rsidR="00961BB1" w:rsidRPr="001004FE">
        <w:rPr>
          <w:rFonts w:ascii="Times New Roman" w:hAnsi="Times New Roman" w:cs="Times New Roman"/>
          <w:sz w:val="22"/>
          <w:szCs w:val="22"/>
        </w:rPr>
        <w:t>ički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š</w:t>
      </w:r>
      <w:r w:rsidRPr="001004FE">
        <w:rPr>
          <w:rFonts w:ascii="Times New Roman" w:hAnsi="Times New Roman" w:cs="Times New Roman"/>
          <w:sz w:val="22"/>
          <w:szCs w:val="22"/>
        </w:rPr>
        <w:t>ok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. </w:t>
      </w:r>
    </w:p>
    <w:p w14:paraId="08BC77BB" w14:textId="0F88AD87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1004FE">
        <w:rPr>
          <w:rFonts w:ascii="Times New Roman" w:hAnsi="Times New Roman" w:cs="Times New Roman"/>
          <w:sz w:val="22"/>
          <w:szCs w:val="22"/>
        </w:rPr>
        <w:t>Odlo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ž</w:t>
      </w:r>
      <w:r w:rsidRPr="001004FE">
        <w:rPr>
          <w:rFonts w:ascii="Times New Roman" w:hAnsi="Times New Roman" w:cs="Times New Roman"/>
          <w:sz w:val="22"/>
          <w:szCs w:val="22"/>
        </w:rPr>
        <w:t>ene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961BB1" w:rsidRPr="001004FE">
        <w:rPr>
          <w:rFonts w:ascii="Times New Roman" w:hAnsi="Times New Roman" w:cs="Times New Roman"/>
          <w:sz w:val="22"/>
          <w:szCs w:val="22"/>
        </w:rPr>
        <w:t>alergijske</w:t>
      </w:r>
      <w:r w:rsidR="00961BB1"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reakcije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(</w:t>
      </w:r>
      <w:proofErr w:type="gramStart"/>
      <w:r w:rsidRPr="001004FE">
        <w:rPr>
          <w:rFonts w:ascii="Times New Roman" w:hAnsi="Times New Roman" w:cs="Times New Roman"/>
          <w:sz w:val="22"/>
          <w:szCs w:val="22"/>
        </w:rPr>
        <w:t>sa</w:t>
      </w:r>
      <w:proofErr w:type="gramEnd"/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odlaganjem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od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E96CAD" w:rsidRPr="001004FE">
        <w:rPr>
          <w:rFonts w:ascii="Times New Roman" w:hAnsi="Times New Roman" w:cs="Times New Roman"/>
          <w:sz w:val="22"/>
          <w:szCs w:val="22"/>
        </w:rPr>
        <w:t>nekoliko</w:t>
      </w:r>
      <w:r w:rsidR="00E96CAD"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sati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do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vi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š</w:t>
      </w:r>
      <w:r w:rsidRPr="001004FE">
        <w:rPr>
          <w:rFonts w:ascii="Times New Roman" w:hAnsi="Times New Roman" w:cs="Times New Roman"/>
          <w:sz w:val="22"/>
          <w:szCs w:val="22"/>
        </w:rPr>
        <w:t>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dana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) </w:t>
      </w:r>
      <w:r w:rsidRPr="001004FE">
        <w:rPr>
          <w:rFonts w:ascii="Times New Roman" w:hAnsi="Times New Roman" w:cs="Times New Roman"/>
          <w:sz w:val="22"/>
          <w:szCs w:val="22"/>
        </w:rPr>
        <w:t>su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rijetko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>uo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>č</w:t>
      </w:r>
      <w:r w:rsidRPr="001004FE">
        <w:rPr>
          <w:rFonts w:ascii="Times New Roman" w:hAnsi="Times New Roman" w:cs="Times New Roman"/>
          <w:sz w:val="22"/>
          <w:szCs w:val="22"/>
        </w:rPr>
        <w:t>avane</w:t>
      </w:r>
      <w:r w:rsidRPr="001004FE">
        <w:rPr>
          <w:rFonts w:ascii="Times New Roman" w:hAnsi="Times New Roman" w:cs="Times New Roman"/>
          <w:sz w:val="22"/>
          <w:szCs w:val="22"/>
          <w:lang w:val="sr-Latn-CS"/>
        </w:rPr>
        <w:t xml:space="preserve">. </w:t>
      </w:r>
    </w:p>
    <w:p w14:paraId="4149F29C" w14:textId="5E332C88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Većina neželjenih </w:t>
      </w:r>
      <w:r w:rsidR="00E96CAD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efekata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je bil</w:t>
      </w:r>
      <w:r w:rsidR="00E96CAD" w:rsidRPr="001004FE">
        <w:rPr>
          <w:rFonts w:ascii="Times New Roman" w:hAnsi="Times New Roman" w:cs="Times New Roman"/>
          <w:sz w:val="22"/>
          <w:szCs w:val="22"/>
          <w:lang w:val="pt-PT"/>
        </w:rPr>
        <w:t>o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prolazn</w:t>
      </w:r>
      <w:r w:rsidR="00E96CAD" w:rsidRPr="001004FE">
        <w:rPr>
          <w:rFonts w:ascii="Times New Roman" w:hAnsi="Times New Roman" w:cs="Times New Roman"/>
          <w:sz w:val="22"/>
          <w:szCs w:val="22"/>
          <w:lang w:val="pt-PT"/>
        </w:rPr>
        <w:t>o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i blago</w:t>
      </w:r>
      <w:r w:rsidR="00454265" w:rsidRPr="001004FE">
        <w:rPr>
          <w:rFonts w:ascii="Times New Roman" w:hAnsi="Times New Roman" w:cs="Times New Roman"/>
          <w:sz w:val="22"/>
          <w:szCs w:val="22"/>
          <w:lang w:val="pt-PT"/>
        </w:rPr>
        <w:t>g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do umjerenog intenziteta.</w:t>
      </w:r>
    </w:p>
    <w:p w14:paraId="4CED34EB" w14:textId="77777777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  <w:lang w:val="pt-PT"/>
        </w:rPr>
        <w:t xml:space="preserve">Tabelarni prikaz spiska neželjenih reakcija </w:t>
      </w:r>
    </w:p>
    <w:p w14:paraId="43140AF1" w14:textId="35A9F90D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Neželjene reakcije uočene sa lijekom Primovist su prikazane u tabeli</w:t>
      </w:r>
      <w:r w:rsidR="00E96CAD" w:rsidRPr="001004FE">
        <w:rPr>
          <w:sz w:val="22"/>
          <w:szCs w:val="22"/>
          <w:lang w:val="pt-PT"/>
        </w:rPr>
        <w:t xml:space="preserve"> u nastavku</w:t>
      </w:r>
      <w:r w:rsidRPr="001004FE">
        <w:rPr>
          <w:sz w:val="22"/>
          <w:szCs w:val="22"/>
          <w:lang w:val="pt-PT"/>
        </w:rPr>
        <w:t>. One su klasifikovane po Klasi sistema</w:t>
      </w:r>
      <w:r w:rsidR="00862466" w:rsidRPr="001004FE">
        <w:rPr>
          <w:sz w:val="22"/>
          <w:szCs w:val="22"/>
          <w:lang w:val="pt-PT"/>
        </w:rPr>
        <w:t xml:space="preserve"> organa</w:t>
      </w:r>
      <w:r w:rsidRPr="001004FE">
        <w:rPr>
          <w:sz w:val="22"/>
          <w:szCs w:val="22"/>
          <w:lang w:val="pt-PT"/>
        </w:rPr>
        <w:t xml:space="preserve"> (MedDRA verzija 12.1). Za opis izvjesne reakcije se koristi najprimjereniji MedDRA termin i njegovi sinonimi ili srodna stanja</w:t>
      </w:r>
      <w:r w:rsidR="00A859C2" w:rsidRPr="001004FE">
        <w:rPr>
          <w:sz w:val="22"/>
          <w:szCs w:val="22"/>
          <w:lang w:val="pt-PT"/>
        </w:rPr>
        <w:t>.</w:t>
      </w:r>
    </w:p>
    <w:p w14:paraId="72F484C8" w14:textId="556B81D2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Neželjene reakcije na lijek iz kliničkih ispitivanja su klasifikovane prema učestalosti. Grupisanje po učestalosti je definisano po sl</w:t>
      </w:r>
      <w:r w:rsidR="00454265" w:rsidRPr="001004FE">
        <w:rPr>
          <w:rFonts w:ascii="Times New Roman" w:hAnsi="Times New Roman" w:cs="Times New Roman"/>
          <w:sz w:val="22"/>
          <w:szCs w:val="22"/>
          <w:lang w:val="pt-PT"/>
        </w:rPr>
        <w:t>j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edećoj konvenciji: često ≥ 1/100 do &lt; 1/10; povremeno: ≥ 1/1000 do &lt; 1/100; rijetko: ≥ 1/10000 do &lt; 1/1000. Neželjene reakcije na lijek koje su identifikovane tek tokom postmarketinškog praćenja i za koje učestalost nije mogla biti procijenjena, su navedene pod ,,</w:t>
      </w:r>
      <w:r w:rsidR="00A859C2" w:rsidRPr="001004FE">
        <w:rPr>
          <w:rFonts w:ascii="Times New Roman" w:hAnsi="Times New Roman" w:cs="Times New Roman"/>
          <w:sz w:val="22"/>
          <w:szCs w:val="22"/>
          <w:lang w:val="pt-PT"/>
        </w:rPr>
        <w:t>ne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poznato”. </w:t>
      </w:r>
    </w:p>
    <w:p w14:paraId="2996E691" w14:textId="77777777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b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U okviru svake grupe po učestalosti, neželjena dejstva su prikazana po opadajućoj ozbiljnosti. </w:t>
      </w:r>
    </w:p>
    <w:p w14:paraId="1D181089" w14:textId="58A05B75" w:rsidR="001E1A06" w:rsidRPr="001004FE" w:rsidRDefault="001E1A06" w:rsidP="00F81221">
      <w:pPr>
        <w:pStyle w:val="Style"/>
        <w:spacing w:before="240" w:after="240"/>
        <w:jc w:val="both"/>
        <w:rPr>
          <w:rFonts w:ascii="Times New Roman" w:hAnsi="Times New Roman" w:cs="Times New Roman"/>
          <w:b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b/>
          <w:sz w:val="22"/>
          <w:szCs w:val="22"/>
          <w:lang w:val="pt-PT"/>
        </w:rPr>
        <w:t>Tabela 1: Neželjene reakcije na lijek prijavljene u klinički</w:t>
      </w:r>
      <w:r w:rsidR="00CD5EAB" w:rsidRPr="001004FE">
        <w:rPr>
          <w:rFonts w:ascii="Times New Roman" w:hAnsi="Times New Roman" w:cs="Times New Roman"/>
          <w:b/>
          <w:sz w:val="22"/>
          <w:szCs w:val="22"/>
          <w:lang w:val="pt-PT"/>
        </w:rPr>
        <w:t>m</w:t>
      </w:r>
      <w:r w:rsidRPr="001004FE">
        <w:rPr>
          <w:rFonts w:ascii="Times New Roman" w:hAnsi="Times New Roman" w:cs="Times New Roman"/>
          <w:b/>
          <w:sz w:val="22"/>
          <w:szCs w:val="22"/>
          <w:lang w:val="pt-PT"/>
        </w:rPr>
        <w:t xml:space="preserve"> studijama ili tokom postmarketinškog praćenja kod pacijenata liječenih </w:t>
      </w:r>
      <w:r w:rsidR="00CD5EAB" w:rsidRPr="001004FE">
        <w:rPr>
          <w:rFonts w:ascii="Times New Roman" w:hAnsi="Times New Roman" w:cs="Times New Roman"/>
          <w:b/>
          <w:sz w:val="22"/>
          <w:szCs w:val="22"/>
          <w:lang w:val="pt-PT"/>
        </w:rPr>
        <w:t xml:space="preserve">lijekom </w:t>
      </w:r>
      <w:r w:rsidRPr="001004FE">
        <w:rPr>
          <w:rFonts w:ascii="Times New Roman" w:hAnsi="Times New Roman" w:cs="Times New Roman"/>
          <w:b/>
          <w:sz w:val="22"/>
          <w:szCs w:val="22"/>
          <w:lang w:val="pt-PT"/>
        </w:rPr>
        <w:t xml:space="preserve">Primovist </w:t>
      </w:r>
    </w:p>
    <w:tbl>
      <w:tblPr>
        <w:tblW w:w="90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1525"/>
        <w:gridCol w:w="1670"/>
        <w:gridCol w:w="1645"/>
        <w:gridCol w:w="2580"/>
      </w:tblGrid>
      <w:tr w:rsidR="001E1A06" w:rsidRPr="001004FE" w14:paraId="7E57AA18" w14:textId="77777777" w:rsidTr="001E1A06">
        <w:trPr>
          <w:trHeight w:val="73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40F4A" w14:textId="1AE17C6F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Klasa sistema</w:t>
            </w:r>
            <w:r w:rsidR="00CD5EAB" w:rsidRPr="00100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organa</w:t>
            </w:r>
            <w:r w:rsidRPr="00100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(MedDra)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B6A18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Često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D6E2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Povremeno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D96D5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Rijetko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05772" w14:textId="6AE1BAC9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Nepoznato </w:t>
            </w:r>
          </w:p>
        </w:tc>
      </w:tr>
      <w:tr w:rsidR="001E1A06" w:rsidRPr="001004FE" w14:paraId="29B4EAF7" w14:textId="77777777" w:rsidTr="001E1A06">
        <w:trPr>
          <w:trHeight w:val="17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5A53" w14:textId="0975DDDA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Poremećaji imun</w:t>
            </w:r>
            <w:r w:rsidR="008162CC" w:rsidRPr="00100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sk</w:t>
            </w:r>
            <w:r w:rsidRPr="00100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og sistema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6E284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CBCEB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4A7A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129F" w14:textId="09CCA474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Preosjetljivost/anafilakt</w:t>
            </w:r>
            <w:r w:rsidR="008162CC" w:rsidRPr="00100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ičk</w:t>
            </w:r>
            <w:r w:rsidRPr="00100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a reakcija (npr. šok*, hipotenzija, faringolaringealni edem, </w:t>
            </w:r>
          </w:p>
          <w:p w14:paraId="1E8D319C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urtikarija, edem lica, rinitis, konjuktivitis, bol u abdomenu, hipoestezija, kijanje, kašalj, blijedilo)</w:t>
            </w:r>
          </w:p>
        </w:tc>
      </w:tr>
      <w:tr w:rsidR="001E1A06" w:rsidRPr="001004FE" w14:paraId="0953C2DA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F8A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</w:rPr>
              <w:t xml:space="preserve">Poremećaji nervnog sistema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163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</w:rPr>
              <w:t>Glavobolja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BE9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Vrtoglavica </w:t>
            </w:r>
          </w:p>
          <w:p w14:paraId="1FA49E10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Ošamućenost </w:t>
            </w:r>
          </w:p>
          <w:p w14:paraId="095089EF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Disgeuzija </w:t>
            </w:r>
          </w:p>
          <w:p w14:paraId="71C844B0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Parestezija </w:t>
            </w:r>
          </w:p>
          <w:p w14:paraId="2B00189A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Parosmija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32B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</w:rPr>
              <w:t xml:space="preserve">Tremor </w:t>
            </w:r>
          </w:p>
          <w:p w14:paraId="0400DD72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</w:rPr>
              <w:t xml:space="preserve">Akatizija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335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</w:rPr>
              <w:t xml:space="preserve">Nemir </w:t>
            </w:r>
          </w:p>
        </w:tc>
      </w:tr>
      <w:tr w:rsidR="001E1A06" w:rsidRPr="001004FE" w14:paraId="200E7471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A51" w14:textId="70C79053" w:rsidR="001E1A06" w:rsidRPr="001004FE" w:rsidRDefault="00CD5EAB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Kardiološki poremećaji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D50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184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C53" w14:textId="32F8C227" w:rsidR="00F10477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Blok grane</w:t>
            </w:r>
          </w:p>
          <w:p w14:paraId="6FCAE93C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Palpitacije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C2E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04FE">
              <w:rPr>
                <w:rFonts w:ascii="Times New Roman" w:hAnsi="Times New Roman" w:cs="Times New Roman"/>
                <w:sz w:val="22"/>
                <w:szCs w:val="22"/>
              </w:rPr>
              <w:t>Tahikardija</w:t>
            </w:r>
          </w:p>
        </w:tc>
      </w:tr>
      <w:tr w:rsidR="001E1A06" w:rsidRPr="001004FE" w14:paraId="7D9597D2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3D2" w14:textId="0C3D31B4" w:rsidR="001E1A06" w:rsidRPr="001004FE" w:rsidRDefault="00CD5EAB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Vaskularni poremećaji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826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D31E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Povišenje krvnog pritiska</w:t>
            </w:r>
          </w:p>
          <w:p w14:paraId="54071385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Crvenilo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A531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468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1A06" w:rsidRPr="001004FE" w14:paraId="67787FE4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C69" w14:textId="22A89092" w:rsidR="001E1A06" w:rsidRPr="001004FE" w:rsidRDefault="00CD5EAB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lastRenderedPageBreak/>
              <w:t>Respiratorni, torakalni i medijastinalni poremećaji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25A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A6C" w14:textId="37BF0423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Respiratorn</w:t>
            </w:r>
            <w:r w:rsidR="006D68FD" w:rsidRPr="001004FE">
              <w:rPr>
                <w:sz w:val="22"/>
                <w:szCs w:val="22"/>
                <w:lang w:val="pt-PT"/>
              </w:rPr>
              <w:t>i poremećaji</w:t>
            </w:r>
          </w:p>
          <w:p w14:paraId="6162185E" w14:textId="2104014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(Dispnea*</w:t>
            </w:r>
            <w:r w:rsidR="006D68FD" w:rsidRPr="001004FE">
              <w:rPr>
                <w:sz w:val="22"/>
                <w:szCs w:val="22"/>
                <w:lang w:val="pt-PT"/>
              </w:rPr>
              <w:t>,</w:t>
            </w:r>
          </w:p>
          <w:p w14:paraId="0B4DC729" w14:textId="0ACDA8B9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Respiratorni distres)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0C8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E0A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  <w:tr w:rsidR="001E1A06" w:rsidRPr="001004FE" w14:paraId="494217B8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0FF4E" w14:textId="63F9FA5F" w:rsidR="001E1A06" w:rsidRPr="001004FE" w:rsidRDefault="00CD5EAB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Poremećaji gastrointestinalnog trakta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F4035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Mučnina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083F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Povraćanje</w:t>
            </w:r>
          </w:p>
          <w:p w14:paraId="308C2E4E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Suvoća usta</w:t>
            </w:r>
          </w:p>
          <w:p w14:paraId="0CD942E0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74B5E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Neprijatan osjećaj u ustima</w:t>
            </w:r>
          </w:p>
          <w:p w14:paraId="15430D46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Hipersekrecija pljuvačke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0EBC7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  <w:tr w:rsidR="001E1A06" w:rsidRPr="001004FE" w14:paraId="35790F0E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D34D" w14:textId="080707C0" w:rsidR="001E1A06" w:rsidRPr="001004FE" w:rsidRDefault="006D68FD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Poremećaji kože i potkožnog tkiva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E233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A554" w14:textId="10C1002F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Os</w:t>
            </w:r>
            <w:r w:rsidR="006D68FD" w:rsidRPr="001004FE">
              <w:rPr>
                <w:sz w:val="22"/>
                <w:szCs w:val="22"/>
              </w:rPr>
              <w:t>ip</w:t>
            </w:r>
          </w:p>
          <w:p w14:paraId="00876973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Svrab</w:t>
            </w:r>
            <w:r w:rsidRPr="001004FE">
              <w:rPr>
                <w:sz w:val="22"/>
                <w:szCs w:val="22"/>
                <w:lang w:val="fr-FR"/>
              </w:rPr>
              <w:t>**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523C3" w14:textId="03EB5A52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Makulopapularn</w:t>
            </w:r>
            <w:r w:rsidR="00F10477" w:rsidRPr="001004FE">
              <w:rPr>
                <w:sz w:val="22"/>
                <w:szCs w:val="22"/>
              </w:rPr>
              <w:t>i</w:t>
            </w:r>
            <w:r w:rsidRPr="001004FE">
              <w:rPr>
                <w:sz w:val="22"/>
                <w:szCs w:val="22"/>
              </w:rPr>
              <w:t xml:space="preserve"> os</w:t>
            </w:r>
            <w:r w:rsidR="00F10477" w:rsidRPr="001004FE">
              <w:rPr>
                <w:sz w:val="22"/>
                <w:szCs w:val="22"/>
              </w:rPr>
              <w:t>i</w:t>
            </w:r>
            <w:r w:rsidRPr="001004FE">
              <w:rPr>
                <w:sz w:val="22"/>
                <w:szCs w:val="22"/>
              </w:rPr>
              <w:t>p</w:t>
            </w:r>
          </w:p>
          <w:p w14:paraId="2299D885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Hiperhidroza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41BBF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1A06" w:rsidRPr="001004FE" w14:paraId="7E553158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36D6D" w14:textId="76F4B5C8" w:rsidR="001E1A06" w:rsidRPr="001004FE" w:rsidRDefault="006D68FD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 xml:space="preserve">Poremećaji </w:t>
            </w:r>
            <w:r w:rsidR="001E1A06" w:rsidRPr="001004FE">
              <w:rPr>
                <w:sz w:val="22"/>
                <w:szCs w:val="22"/>
              </w:rPr>
              <w:t>mišićno</w:t>
            </w:r>
            <w:r w:rsidRPr="001004FE">
              <w:rPr>
                <w:sz w:val="22"/>
                <w:szCs w:val="22"/>
              </w:rPr>
              <w:t>-</w:t>
            </w:r>
            <w:r w:rsidR="001E1A06" w:rsidRPr="001004FE">
              <w:rPr>
                <w:sz w:val="22"/>
                <w:szCs w:val="22"/>
              </w:rPr>
              <w:t xml:space="preserve">koštanog </w:t>
            </w:r>
            <w:r w:rsidRPr="001004FE">
              <w:rPr>
                <w:sz w:val="22"/>
                <w:szCs w:val="22"/>
              </w:rPr>
              <w:t xml:space="preserve">sistema </w:t>
            </w:r>
            <w:r w:rsidR="001E1A06" w:rsidRPr="001004FE">
              <w:rPr>
                <w:sz w:val="22"/>
                <w:szCs w:val="22"/>
              </w:rPr>
              <w:t>i vezivnog tkiva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90D7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66253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Bol u leđima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C054" w14:textId="77777777" w:rsidR="001E1A06" w:rsidRPr="001004FE" w:rsidRDefault="001E1A06" w:rsidP="00F81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D1680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1A06" w:rsidRPr="001004FE" w14:paraId="03BD09F8" w14:textId="77777777" w:rsidTr="001E1A06">
        <w:trPr>
          <w:trHeight w:val="107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F1F" w14:textId="730159D3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Opšt</w:t>
            </w:r>
            <w:r w:rsidR="006D68FD" w:rsidRPr="001004FE">
              <w:rPr>
                <w:sz w:val="22"/>
                <w:szCs w:val="22"/>
                <w:lang w:val="pt-PT"/>
              </w:rPr>
              <w:t xml:space="preserve">i poremećaji </w:t>
            </w:r>
            <w:r w:rsidRPr="001004FE">
              <w:rPr>
                <w:sz w:val="22"/>
                <w:szCs w:val="22"/>
                <w:lang w:val="pt-PT"/>
              </w:rPr>
              <w:t xml:space="preserve">i </w:t>
            </w:r>
            <w:r w:rsidR="006D68FD" w:rsidRPr="001004FE">
              <w:rPr>
                <w:sz w:val="22"/>
                <w:szCs w:val="22"/>
                <w:lang w:val="pt-PT"/>
              </w:rPr>
              <w:t>reakcije</w:t>
            </w:r>
            <w:r w:rsidRPr="001004FE">
              <w:rPr>
                <w:sz w:val="22"/>
                <w:szCs w:val="22"/>
                <w:lang w:val="pt-PT"/>
              </w:rPr>
              <w:t xml:space="preserve"> na mjestu primjene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F5E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172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Bol u grudima</w:t>
            </w:r>
          </w:p>
          <w:p w14:paraId="65E11C9F" w14:textId="0ECE65A0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Reakcije na mjestu davanja injekcije (raz</w:t>
            </w:r>
            <w:r w:rsidR="00454265" w:rsidRPr="001004FE">
              <w:rPr>
                <w:sz w:val="22"/>
                <w:szCs w:val="22"/>
                <w:lang w:val="pt-PT"/>
              </w:rPr>
              <w:t>li</w:t>
            </w:r>
            <w:r w:rsidR="00454265" w:rsidRPr="001004FE">
              <w:rPr>
                <w:sz w:val="22"/>
                <w:szCs w:val="22"/>
                <w:lang w:val="sr-Latn-ME"/>
              </w:rPr>
              <w:t>čitog tipa</w:t>
            </w:r>
            <w:r w:rsidRPr="001004FE">
              <w:rPr>
                <w:sz w:val="22"/>
                <w:szCs w:val="22"/>
                <w:lang w:val="pt-PT"/>
              </w:rPr>
              <w:t>)***</w:t>
            </w:r>
          </w:p>
          <w:p w14:paraId="0813E36C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Osjećaj vrućine,</w:t>
            </w:r>
          </w:p>
          <w:p w14:paraId="7E0849AC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 xml:space="preserve">Drhtavica </w:t>
            </w:r>
          </w:p>
          <w:p w14:paraId="1EFF4878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Umor</w:t>
            </w:r>
          </w:p>
          <w:p w14:paraId="428BD62C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pt-PT"/>
              </w:rPr>
            </w:pPr>
            <w:r w:rsidRPr="001004FE">
              <w:rPr>
                <w:sz w:val="22"/>
                <w:szCs w:val="22"/>
                <w:lang w:val="pt-PT"/>
              </w:rPr>
              <w:t>Osjećaj da nije sve kako treba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0C4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de-DE"/>
              </w:rPr>
            </w:pPr>
            <w:r w:rsidRPr="001004FE">
              <w:rPr>
                <w:sz w:val="22"/>
                <w:szCs w:val="22"/>
                <w:lang w:val="de-DE"/>
              </w:rPr>
              <w:t>Nelagodnost</w:t>
            </w:r>
          </w:p>
          <w:p w14:paraId="7889BD51" w14:textId="77777777" w:rsidR="001E1A06" w:rsidRPr="001004FE" w:rsidRDefault="001E1A06" w:rsidP="00F81221">
            <w:pPr>
              <w:jc w:val="both"/>
              <w:rPr>
                <w:sz w:val="22"/>
                <w:szCs w:val="22"/>
                <w:lang w:val="de-DE"/>
              </w:rPr>
            </w:pPr>
            <w:r w:rsidRPr="001004FE">
              <w:rPr>
                <w:sz w:val="22"/>
                <w:szCs w:val="22"/>
                <w:lang w:val="de-DE"/>
              </w:rPr>
              <w:t>Slabost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BC84" w14:textId="77777777" w:rsidR="001E1A06" w:rsidRPr="001004FE" w:rsidRDefault="001E1A06" w:rsidP="00F81221">
            <w:pPr>
              <w:pStyle w:val="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FC09AD" w14:textId="15DFE971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1004FE">
        <w:rPr>
          <w:rFonts w:ascii="Times New Roman" w:hAnsi="Times New Roman" w:cs="Times New Roman"/>
          <w:sz w:val="22"/>
          <w:szCs w:val="22"/>
        </w:rPr>
        <w:t>*</w:t>
      </w:r>
      <w:r w:rsidR="00F10477" w:rsidRPr="001004FE">
        <w:rPr>
          <w:rFonts w:ascii="Times New Roman" w:hAnsi="Times New Roman" w:cs="Times New Roman"/>
          <w:sz w:val="22"/>
          <w:szCs w:val="22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</w:rPr>
        <w:t xml:space="preserve">Prijavljeni su slučajevi koji su opasni po život </w:t>
      </w:r>
      <w:proofErr w:type="gramStart"/>
      <w:r w:rsidRPr="001004FE">
        <w:rPr>
          <w:rFonts w:ascii="Times New Roman" w:hAnsi="Times New Roman" w:cs="Times New Roman"/>
          <w:sz w:val="22"/>
          <w:szCs w:val="22"/>
        </w:rPr>
        <w:t>ili</w:t>
      </w:r>
      <w:proofErr w:type="gramEnd"/>
      <w:r w:rsidRPr="001004FE">
        <w:rPr>
          <w:rFonts w:ascii="Times New Roman" w:hAnsi="Times New Roman" w:cs="Times New Roman"/>
          <w:sz w:val="22"/>
          <w:szCs w:val="22"/>
        </w:rPr>
        <w:t xml:space="preserve"> fatalni. Ovi izveštaji potiču iz postmarketinškog iskustva. </w:t>
      </w:r>
    </w:p>
    <w:p w14:paraId="600BF129" w14:textId="77777777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**   Pruritus (generalizovani pruritus, pruritus oka) </w:t>
      </w:r>
    </w:p>
    <w:p w14:paraId="452F9E64" w14:textId="1F1D693E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lang w:val="fr-FR"/>
        </w:rPr>
        <w:t>*** Reakcije na mjestu davanja injekcije (raz</w:t>
      </w:r>
      <w:r w:rsidR="00454265" w:rsidRPr="001004FE">
        <w:rPr>
          <w:rFonts w:ascii="Times New Roman" w:hAnsi="Times New Roman" w:cs="Times New Roman"/>
          <w:sz w:val="22"/>
          <w:szCs w:val="22"/>
          <w:lang w:val="fr-FR"/>
        </w:rPr>
        <w:t>ličitog tipa</w:t>
      </w:r>
      <w:r w:rsidRPr="001004FE">
        <w:rPr>
          <w:rFonts w:ascii="Times New Roman" w:hAnsi="Times New Roman" w:cs="Times New Roman"/>
          <w:sz w:val="22"/>
          <w:szCs w:val="22"/>
          <w:lang w:val="fr-FR"/>
        </w:rPr>
        <w:t>) obuhvataju sl</w:t>
      </w:r>
      <w:r w:rsidR="00454265" w:rsidRPr="001004FE">
        <w:rPr>
          <w:rFonts w:ascii="Times New Roman" w:hAnsi="Times New Roman" w:cs="Times New Roman"/>
          <w:sz w:val="22"/>
          <w:szCs w:val="22"/>
          <w:lang w:val="fr-FR"/>
        </w:rPr>
        <w:t>j</w:t>
      </w: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edeće termine: ekstravazacija na mjestu davanja injekcije, pečenje na mjestu davanja injekcije, hladnoća na mjestu davanja injekcije, iritacija na mjestu davanja injekcije, bol na mjestu davanja injekcije. </w:t>
      </w:r>
    </w:p>
    <w:p w14:paraId="1D285AC2" w14:textId="77777777" w:rsidR="001E1A06" w:rsidRPr="001004FE" w:rsidRDefault="001E1A06" w:rsidP="00F81221">
      <w:pPr>
        <w:pStyle w:val="Header"/>
        <w:tabs>
          <w:tab w:val="left" w:pos="284"/>
        </w:tabs>
        <w:spacing w:before="80" w:after="80"/>
        <w:jc w:val="both"/>
        <w:rPr>
          <w:bCs/>
          <w:sz w:val="22"/>
          <w:szCs w:val="22"/>
          <w:u w:val="single"/>
          <w:lang w:val="sr-Latn-ME"/>
        </w:rPr>
      </w:pPr>
      <w:r w:rsidRPr="001004FE">
        <w:rPr>
          <w:bCs/>
          <w:sz w:val="22"/>
          <w:szCs w:val="22"/>
          <w:u w:val="single"/>
          <w:lang w:val="fr-FR"/>
        </w:rPr>
        <w:t>Opis pojedinih ne</w:t>
      </w:r>
      <w:r w:rsidRPr="001004FE">
        <w:rPr>
          <w:bCs/>
          <w:sz w:val="22"/>
          <w:szCs w:val="22"/>
          <w:u w:val="single"/>
          <w:lang w:val="sr-Latn-ME"/>
        </w:rPr>
        <w:t>željenih reakcija</w:t>
      </w:r>
    </w:p>
    <w:p w14:paraId="302E94CD" w14:textId="465B3941" w:rsidR="001E1A06" w:rsidRPr="00614154" w:rsidRDefault="001E1A06" w:rsidP="00F81221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BA"/>
        </w:rPr>
      </w:pPr>
      <w:r w:rsidRPr="00614154">
        <w:rPr>
          <w:bCs/>
          <w:sz w:val="22"/>
          <w:szCs w:val="22"/>
          <w:lang w:val="sr-Latn-BA"/>
        </w:rPr>
        <w:t xml:space="preserve">Promjene u laboratorijskim nalazima kao što </w:t>
      </w:r>
      <w:r w:rsidR="00454265" w:rsidRPr="00614154">
        <w:rPr>
          <w:bCs/>
          <w:sz w:val="22"/>
          <w:szCs w:val="22"/>
          <w:lang w:val="sr-Latn-BA"/>
        </w:rPr>
        <w:t>su</w:t>
      </w:r>
      <w:r w:rsidRPr="00614154">
        <w:rPr>
          <w:bCs/>
          <w:sz w:val="22"/>
          <w:szCs w:val="22"/>
          <w:lang w:val="sr-Latn-BA"/>
        </w:rPr>
        <w:t xml:space="preserve"> povišene vrijednosti gvožđa i bilirubina  u serumu,</w:t>
      </w:r>
    </w:p>
    <w:p w14:paraId="13D11F5C" w14:textId="34B04243" w:rsidR="001E1A06" w:rsidRPr="001004FE" w:rsidRDefault="001E1A06" w:rsidP="00F81221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fr-FR"/>
        </w:rPr>
      </w:pPr>
      <w:r w:rsidRPr="00614154">
        <w:rPr>
          <w:bCs/>
          <w:sz w:val="22"/>
          <w:szCs w:val="22"/>
          <w:lang w:val="sr-Latn-BA"/>
        </w:rPr>
        <w:t>povećane</w:t>
      </w:r>
      <w:r w:rsidRPr="001004FE">
        <w:rPr>
          <w:bCs/>
          <w:sz w:val="22"/>
          <w:szCs w:val="22"/>
          <w:lang w:val="fr-FR"/>
        </w:rPr>
        <w:t xml:space="preserve"> vrijednosti transaminaz</w:t>
      </w:r>
      <w:r w:rsidR="00F10477" w:rsidRPr="001004FE">
        <w:rPr>
          <w:bCs/>
          <w:sz w:val="22"/>
          <w:szCs w:val="22"/>
          <w:lang w:val="fr-FR"/>
        </w:rPr>
        <w:t>a</w:t>
      </w:r>
      <w:r w:rsidRPr="001004FE">
        <w:rPr>
          <w:bCs/>
          <w:sz w:val="22"/>
          <w:szCs w:val="22"/>
          <w:lang w:val="fr-FR"/>
        </w:rPr>
        <w:t xml:space="preserve"> jetre, pad hemoglobina, povišena amilaza, leukociturija, hiperglikemija, povišen albumin u urinu, hiponatremija, povišeni neorganski fosfati, pad proteina u serumu, leukocitoza, hipokalemija, povišen LDH, su </w:t>
      </w:r>
      <w:r w:rsidR="00F10477" w:rsidRPr="001004FE">
        <w:rPr>
          <w:bCs/>
          <w:sz w:val="22"/>
          <w:szCs w:val="22"/>
          <w:lang w:val="fr-FR"/>
        </w:rPr>
        <w:t xml:space="preserve">prijavljeni </w:t>
      </w:r>
      <w:r w:rsidRPr="001004FE">
        <w:rPr>
          <w:bCs/>
          <w:sz w:val="22"/>
          <w:szCs w:val="22"/>
          <w:lang w:val="fr-FR"/>
        </w:rPr>
        <w:t>tokom kliničkih ispitivanja. E</w:t>
      </w:r>
      <w:r w:rsidR="00F10477" w:rsidRPr="001004FE">
        <w:rPr>
          <w:bCs/>
          <w:sz w:val="22"/>
          <w:szCs w:val="22"/>
          <w:lang w:val="fr-FR"/>
        </w:rPr>
        <w:t>K</w:t>
      </w:r>
      <w:r w:rsidRPr="001004FE">
        <w:rPr>
          <w:bCs/>
          <w:sz w:val="22"/>
          <w:szCs w:val="22"/>
          <w:lang w:val="fr-FR"/>
        </w:rPr>
        <w:t>G je redovno praćen u toku kliničkih ispitivanja, tako da su uočeni prolazni produženi QT</w:t>
      </w:r>
      <w:r w:rsidR="00F10477" w:rsidRPr="001004FE">
        <w:rPr>
          <w:bCs/>
          <w:sz w:val="22"/>
          <w:szCs w:val="22"/>
          <w:lang w:val="fr-FR"/>
        </w:rPr>
        <w:t xml:space="preserve"> kod </w:t>
      </w:r>
      <w:r w:rsidR="00431A94" w:rsidRPr="001004FE">
        <w:rPr>
          <w:bCs/>
          <w:sz w:val="22"/>
          <w:szCs w:val="22"/>
          <w:lang w:val="fr-FR"/>
        </w:rPr>
        <w:t xml:space="preserve">nekih </w:t>
      </w:r>
      <w:r w:rsidR="00F10477" w:rsidRPr="001004FE">
        <w:rPr>
          <w:bCs/>
          <w:sz w:val="22"/>
          <w:szCs w:val="22"/>
          <w:lang w:val="fr-FR"/>
        </w:rPr>
        <w:t xml:space="preserve">pacijenata bez bilo kakve povezanosti </w:t>
      </w:r>
      <w:r w:rsidR="00377957" w:rsidRPr="001004FE">
        <w:rPr>
          <w:bCs/>
          <w:sz w:val="22"/>
          <w:szCs w:val="22"/>
          <w:lang w:val="fr-FR"/>
        </w:rPr>
        <w:t>sa neželjenim kliničkim događajima</w:t>
      </w:r>
      <w:r w:rsidRPr="001004FE">
        <w:rPr>
          <w:bCs/>
          <w:sz w:val="22"/>
          <w:szCs w:val="22"/>
          <w:lang w:val="fr-FR"/>
        </w:rPr>
        <w:t>.</w:t>
      </w:r>
    </w:p>
    <w:p w14:paraId="1C70E0BE" w14:textId="77777777" w:rsidR="00454265" w:rsidRPr="001004FE" w:rsidRDefault="00454265" w:rsidP="00F81221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fr-FR"/>
        </w:rPr>
      </w:pPr>
    </w:p>
    <w:p w14:paraId="58ACD16E" w14:textId="259C8D26" w:rsidR="001E1A06" w:rsidRPr="001004FE" w:rsidRDefault="001E1A06" w:rsidP="00F81221">
      <w:pPr>
        <w:tabs>
          <w:tab w:val="left" w:pos="708"/>
        </w:tabs>
        <w:jc w:val="both"/>
        <w:rPr>
          <w:sz w:val="22"/>
          <w:szCs w:val="22"/>
          <w:lang w:val="pl-PL"/>
        </w:rPr>
      </w:pPr>
      <w:r w:rsidRPr="001004FE">
        <w:rPr>
          <w:sz w:val="22"/>
          <w:szCs w:val="22"/>
          <w:lang w:val="pl-PL"/>
        </w:rPr>
        <w:t>Slučajevi nefrogene sistemske fibroze</w:t>
      </w:r>
      <w:r w:rsidR="00377957" w:rsidRPr="001004FE">
        <w:rPr>
          <w:sz w:val="22"/>
          <w:szCs w:val="22"/>
          <w:lang w:val="pl-PL"/>
        </w:rPr>
        <w:t xml:space="preserve"> </w:t>
      </w:r>
      <w:r w:rsidRPr="001004FE">
        <w:rPr>
          <w:sz w:val="22"/>
          <w:szCs w:val="22"/>
          <w:lang w:val="pl-PL"/>
        </w:rPr>
        <w:t>(NSF)</w:t>
      </w:r>
      <w:r w:rsidR="00377957" w:rsidRPr="001004FE">
        <w:rPr>
          <w:sz w:val="22"/>
          <w:szCs w:val="22"/>
          <w:lang w:val="pl-PL"/>
        </w:rPr>
        <w:t xml:space="preserve"> </w:t>
      </w:r>
      <w:r w:rsidRPr="001004FE">
        <w:rPr>
          <w:sz w:val="22"/>
          <w:szCs w:val="22"/>
          <w:lang w:val="pl-PL"/>
        </w:rPr>
        <w:t>zabilježeni su kod primjene drugih kontrastnih sredstava koja sadrže gadolinijum</w:t>
      </w:r>
      <w:r w:rsidR="00377957" w:rsidRPr="001004FE">
        <w:rPr>
          <w:sz w:val="22"/>
          <w:szCs w:val="22"/>
          <w:lang w:val="pl-PL"/>
        </w:rPr>
        <w:t xml:space="preserve"> </w:t>
      </w:r>
      <w:r w:rsidRPr="001004FE">
        <w:rPr>
          <w:sz w:val="22"/>
          <w:szCs w:val="22"/>
          <w:lang w:val="pl-PL"/>
        </w:rPr>
        <w:t>(vidjeti dio 4.4)</w:t>
      </w:r>
      <w:r w:rsidR="00377957" w:rsidRPr="001004FE">
        <w:rPr>
          <w:sz w:val="22"/>
          <w:szCs w:val="22"/>
          <w:lang w:val="pl-PL"/>
        </w:rPr>
        <w:t>.</w:t>
      </w:r>
    </w:p>
    <w:p w14:paraId="42C0A9EF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</w:p>
    <w:p w14:paraId="1FA7842C" w14:textId="77777777" w:rsidR="005A23D2" w:rsidRPr="001004FE" w:rsidRDefault="005A23D2" w:rsidP="00F81221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1004FE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78864394" w14:textId="77777777" w:rsidR="005A23D2" w:rsidRPr="001004FE" w:rsidRDefault="005A23D2" w:rsidP="00F81221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1004FE">
        <w:rPr>
          <w:rFonts w:eastAsia="Calibri"/>
          <w:sz w:val="22"/>
          <w:szCs w:val="22"/>
          <w:lang w:val="sr-Latn-RS"/>
        </w:rPr>
        <w:t>inuirano praćenje odnosa korist</w:t>
      </w:r>
      <w:r w:rsidRPr="001004FE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1004FE">
        <w:rPr>
          <w:rFonts w:eastAsia="Calibri"/>
          <w:sz w:val="22"/>
          <w:szCs w:val="22"/>
          <w:lang w:val="sr-Latn-RS"/>
        </w:rPr>
        <w:t xml:space="preserve"> </w:t>
      </w:r>
      <w:r w:rsidRPr="001004FE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1004FE">
        <w:rPr>
          <w:rFonts w:eastAsia="Calibri"/>
          <w:sz w:val="22"/>
          <w:szCs w:val="22"/>
          <w:lang w:val="sr-Latn-RS"/>
        </w:rPr>
        <w:t>Institutu</w:t>
      </w:r>
      <w:r w:rsidRPr="001004FE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1004FE">
        <w:rPr>
          <w:rFonts w:eastAsia="Calibri"/>
          <w:sz w:val="22"/>
          <w:szCs w:val="22"/>
          <w:lang w:val="sr-Latn-RS"/>
        </w:rPr>
        <w:t xml:space="preserve"> </w:t>
      </w:r>
      <w:r w:rsidRPr="001004FE">
        <w:rPr>
          <w:rFonts w:eastAsia="Calibri"/>
          <w:sz w:val="22"/>
          <w:szCs w:val="22"/>
          <w:lang w:val="sr-Latn-RS"/>
        </w:rPr>
        <w:t>(</w:t>
      </w:r>
      <w:r w:rsidR="004E70AD" w:rsidRPr="001004FE">
        <w:rPr>
          <w:rFonts w:eastAsia="Calibri"/>
          <w:sz w:val="22"/>
          <w:szCs w:val="22"/>
          <w:lang w:val="sr-Latn-RS"/>
        </w:rPr>
        <w:t>CInMED</w:t>
      </w:r>
      <w:r w:rsidRPr="001004FE">
        <w:rPr>
          <w:rFonts w:eastAsia="Calibri"/>
          <w:sz w:val="22"/>
          <w:szCs w:val="22"/>
          <w:lang w:val="sr-Latn-RS"/>
        </w:rPr>
        <w:t>):</w:t>
      </w:r>
    </w:p>
    <w:p w14:paraId="51DB7C6D" w14:textId="77777777" w:rsidR="005A23D2" w:rsidRPr="001004FE" w:rsidRDefault="004E70AD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1004FE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6C413E95" w14:textId="77777777" w:rsidR="005A23D2" w:rsidRPr="001004FE" w:rsidRDefault="005A23D2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t>Odjeljenje za farmakovigilancu</w:t>
      </w:r>
    </w:p>
    <w:p w14:paraId="1E0AC3EE" w14:textId="77777777" w:rsidR="00EA5765" w:rsidRPr="001004FE" w:rsidRDefault="005A23D2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E0B4739" w14:textId="77777777" w:rsidR="00EA5765" w:rsidRPr="001004FE" w:rsidRDefault="00EA5765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1B80D4E" w14:textId="77777777" w:rsidR="005A23D2" w:rsidRPr="001004FE" w:rsidRDefault="005A23D2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t>tel: +382 (0) 20 310 280</w:t>
      </w:r>
    </w:p>
    <w:p w14:paraId="7CE33AA1" w14:textId="77777777" w:rsidR="00EA5765" w:rsidRPr="001004FE" w:rsidRDefault="005A23D2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lastRenderedPageBreak/>
        <w:t>fax:</w:t>
      </w:r>
      <w:r w:rsidR="00EA5765" w:rsidRPr="001004FE">
        <w:rPr>
          <w:rFonts w:eastAsia="Calibri"/>
          <w:sz w:val="22"/>
          <w:szCs w:val="22"/>
          <w:lang w:val="sr-Latn-RS"/>
        </w:rPr>
        <w:t xml:space="preserve"> </w:t>
      </w:r>
      <w:r w:rsidRPr="001004FE">
        <w:rPr>
          <w:rFonts w:eastAsia="Calibri"/>
          <w:sz w:val="22"/>
          <w:szCs w:val="22"/>
          <w:lang w:val="sr-Latn-RS"/>
        </w:rPr>
        <w:t>+382 (0) 20 310 581</w:t>
      </w:r>
    </w:p>
    <w:p w14:paraId="344D35C4" w14:textId="77777777" w:rsidR="005A23D2" w:rsidRPr="001004FE" w:rsidRDefault="00A07FB1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1004FE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11145CAC" w14:textId="77777777" w:rsidR="00EA5765" w:rsidRPr="001004FE" w:rsidRDefault="00A07FB1" w:rsidP="00F8122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1004FE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533FC5D" w14:textId="6148D365" w:rsidR="005A23D2" w:rsidRPr="001004FE" w:rsidRDefault="005A23D2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t>putem IS zdravstvene zaštite</w:t>
      </w:r>
    </w:p>
    <w:p w14:paraId="7C1D45E0" w14:textId="77777777" w:rsidR="00454265" w:rsidRPr="001004FE" w:rsidRDefault="00454265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004FE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0A0E98D7" w14:textId="77777777" w:rsidR="00454265" w:rsidRPr="001004FE" w:rsidRDefault="00454265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D0A2A53" w14:textId="027180B7" w:rsidR="00454265" w:rsidRPr="001004FE" w:rsidRDefault="00A17757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3F97FFE4" wp14:editId="273D0003">
            <wp:extent cx="980796" cy="972000"/>
            <wp:effectExtent l="0" t="0" r="0" b="0"/>
            <wp:docPr id="5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2B583" w14:textId="77777777" w:rsidR="00454265" w:rsidRPr="001004FE" w:rsidRDefault="00454265" w:rsidP="00F8122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9226655" w14:textId="77777777" w:rsidR="00CD6F02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4.9.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Predoziranje</w:t>
      </w:r>
      <w:r w:rsidR="002846DB" w:rsidRPr="001004FE">
        <w:rPr>
          <w:b/>
          <w:bCs/>
          <w:sz w:val="22"/>
          <w:szCs w:val="22"/>
          <w:lang w:val="sr-Latn-RS"/>
        </w:rPr>
        <w:t xml:space="preserve"> </w:t>
      </w:r>
    </w:p>
    <w:p w14:paraId="6081880F" w14:textId="77777777" w:rsidR="001E1A06" w:rsidRPr="001004FE" w:rsidRDefault="001E1A06" w:rsidP="00F81221">
      <w:pPr>
        <w:pStyle w:val="Header"/>
        <w:tabs>
          <w:tab w:val="left" w:pos="284"/>
        </w:tabs>
        <w:spacing w:before="80" w:after="80"/>
        <w:jc w:val="both"/>
        <w:rPr>
          <w:bCs/>
          <w:sz w:val="22"/>
          <w:szCs w:val="22"/>
          <w:lang w:val="fr-FR"/>
        </w:rPr>
      </w:pPr>
      <w:r w:rsidRPr="001004FE">
        <w:rPr>
          <w:bCs/>
          <w:sz w:val="22"/>
          <w:szCs w:val="22"/>
          <w:lang w:val="fr-FR"/>
        </w:rPr>
        <w:t>Nema prijavljenih slučaja predoziranja, tako da nema simptoma koji bi se opisali.</w:t>
      </w:r>
    </w:p>
    <w:p w14:paraId="222B1FEA" w14:textId="7CCFE8A9" w:rsidR="00454265" w:rsidRPr="001004FE" w:rsidRDefault="001E1A06" w:rsidP="00F81221">
      <w:pPr>
        <w:jc w:val="both"/>
        <w:rPr>
          <w:sz w:val="22"/>
          <w:szCs w:val="22"/>
          <w:lang w:val="fr-FR"/>
        </w:rPr>
      </w:pPr>
      <w:r w:rsidRPr="001004FE">
        <w:rPr>
          <w:sz w:val="22"/>
          <w:szCs w:val="22"/>
          <w:lang w:val="fr-FR"/>
        </w:rPr>
        <w:t xml:space="preserve">Pojedinačna doza lijeka Primovist od 0,4 ml/kg (0,1 mmol/kg tjelesne mase) se dobro podnosila. </w:t>
      </w:r>
    </w:p>
    <w:p w14:paraId="5F4A621D" w14:textId="77777777" w:rsidR="00454265" w:rsidRPr="001004FE" w:rsidRDefault="00454265" w:rsidP="00F81221">
      <w:pPr>
        <w:jc w:val="both"/>
        <w:rPr>
          <w:sz w:val="22"/>
          <w:szCs w:val="22"/>
          <w:lang w:val="fr-FR"/>
        </w:rPr>
      </w:pPr>
    </w:p>
    <w:p w14:paraId="0D03E9E9" w14:textId="4F1D9094" w:rsidR="001E1A06" w:rsidRPr="001004FE" w:rsidRDefault="001E1A06" w:rsidP="00F81221">
      <w:pPr>
        <w:jc w:val="both"/>
        <w:rPr>
          <w:sz w:val="22"/>
          <w:szCs w:val="22"/>
          <w:lang w:val="fr-FR"/>
        </w:rPr>
      </w:pPr>
      <w:r w:rsidRPr="001004FE">
        <w:rPr>
          <w:sz w:val="22"/>
          <w:szCs w:val="22"/>
          <w:lang w:val="fr-FR"/>
        </w:rPr>
        <w:t xml:space="preserve">Kod ograničenog broja pacijenata, doza od 2,0 ml/kg (0,5 mmol/kg tjelesne mase) bila je </w:t>
      </w:r>
      <w:r w:rsidR="00377957" w:rsidRPr="001004FE">
        <w:rPr>
          <w:sz w:val="22"/>
          <w:szCs w:val="22"/>
          <w:lang w:val="fr-FR"/>
        </w:rPr>
        <w:t xml:space="preserve">ispitivana </w:t>
      </w:r>
      <w:r w:rsidRPr="001004FE">
        <w:rPr>
          <w:sz w:val="22"/>
          <w:szCs w:val="22"/>
          <w:lang w:val="fr-FR"/>
        </w:rPr>
        <w:t>u kliničkim ispitivanjima. Neželjeni događaji su bili češći, ali ni</w:t>
      </w:r>
      <w:r w:rsidR="00454265" w:rsidRPr="001004FE">
        <w:rPr>
          <w:sz w:val="22"/>
          <w:szCs w:val="22"/>
          <w:lang w:val="fr-FR"/>
        </w:rPr>
        <w:t>je</w:t>
      </w:r>
      <w:r w:rsidRPr="001004FE">
        <w:rPr>
          <w:sz w:val="22"/>
          <w:szCs w:val="22"/>
          <w:lang w:val="fr-FR"/>
        </w:rPr>
        <w:t>su opisana nova neželjena dejstva kod tih pacijenata.</w:t>
      </w:r>
    </w:p>
    <w:p w14:paraId="6A313E2C" w14:textId="3C404AB8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U slučaju ekscesivnog nenamjernog predoziranja, pacijent treba da se pažljivo posmatra uključujući praćenje srca. U ovom slučaju je moguća indukcija produženja QT (vidjeti dio 5.3). </w:t>
      </w:r>
    </w:p>
    <w:p w14:paraId="66844B29" w14:textId="77777777" w:rsidR="00F81221" w:rsidRDefault="00F81221" w:rsidP="00F81221">
      <w:pPr>
        <w:tabs>
          <w:tab w:val="left" w:pos="708"/>
        </w:tabs>
        <w:jc w:val="both"/>
        <w:rPr>
          <w:sz w:val="22"/>
          <w:szCs w:val="22"/>
        </w:rPr>
      </w:pPr>
    </w:p>
    <w:p w14:paraId="7E2B1677" w14:textId="12ABDE85" w:rsidR="001E1A06" w:rsidRPr="001004FE" w:rsidRDefault="00377957" w:rsidP="00F81221">
      <w:pPr>
        <w:tabs>
          <w:tab w:val="left" w:pos="708"/>
        </w:tabs>
        <w:jc w:val="both"/>
        <w:rPr>
          <w:iCs/>
          <w:sz w:val="22"/>
          <w:szCs w:val="22"/>
          <w:lang w:val="pl-PL"/>
        </w:rPr>
      </w:pPr>
      <w:r w:rsidRPr="001004FE">
        <w:rPr>
          <w:sz w:val="22"/>
          <w:szCs w:val="22"/>
        </w:rPr>
        <w:t xml:space="preserve">Lijek </w:t>
      </w:r>
      <w:r w:rsidR="001E1A06" w:rsidRPr="001004FE">
        <w:rPr>
          <w:sz w:val="22"/>
          <w:szCs w:val="22"/>
        </w:rPr>
        <w:t>Primovist može biti uklonjen hemodijalizom.</w:t>
      </w:r>
      <w:r w:rsidR="001E1A06" w:rsidRPr="001004FE">
        <w:rPr>
          <w:iCs/>
          <w:sz w:val="22"/>
          <w:szCs w:val="22"/>
          <w:lang w:val="pl-PL"/>
        </w:rPr>
        <w:t xml:space="preserve"> Međutim, nema dokaza da je hemodijaliza pogodna za prevenciju nefrogene sistemske fibroze (NSF).</w:t>
      </w:r>
    </w:p>
    <w:p w14:paraId="18D491DE" w14:textId="20010048" w:rsidR="00227BDB" w:rsidRDefault="00227BDB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1748366" w14:textId="77777777" w:rsidR="00614154" w:rsidRPr="001004FE" w:rsidRDefault="00614154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DECA6ED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5.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FARMAKOLOŠK</w:t>
      </w:r>
      <w:r w:rsidR="000D425A" w:rsidRPr="001004FE">
        <w:rPr>
          <w:b/>
          <w:bCs/>
          <w:sz w:val="22"/>
          <w:szCs w:val="22"/>
          <w:lang w:val="sr-Latn-RS"/>
        </w:rPr>
        <w:t>I</w:t>
      </w:r>
      <w:r w:rsidRPr="001004FE">
        <w:rPr>
          <w:b/>
          <w:bCs/>
          <w:sz w:val="22"/>
          <w:szCs w:val="22"/>
          <w:lang w:val="sr-Latn-RS"/>
        </w:rPr>
        <w:t xml:space="preserve"> PODACI</w:t>
      </w:r>
    </w:p>
    <w:p w14:paraId="6ACC8B31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404C060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5.1.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Farmakodinamski podaci</w:t>
      </w:r>
      <w:r w:rsidR="003A7059" w:rsidRPr="001004FE">
        <w:rPr>
          <w:b/>
          <w:bCs/>
          <w:sz w:val="22"/>
          <w:szCs w:val="22"/>
          <w:lang w:val="sr-Latn-RS"/>
        </w:rPr>
        <w:t xml:space="preserve"> </w:t>
      </w:r>
    </w:p>
    <w:p w14:paraId="0554FA2C" w14:textId="77777777" w:rsidR="00F45F77" w:rsidRPr="001004FE" w:rsidRDefault="00F45F77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80E0E8D" w14:textId="4267D75E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1004FE">
        <w:rPr>
          <w:bCs/>
          <w:sz w:val="22"/>
          <w:szCs w:val="22"/>
          <w:lang w:val="sr-Latn-RS"/>
        </w:rPr>
        <w:t>Farmakoterapijska grupa:</w:t>
      </w:r>
      <w:r w:rsidR="001E1A06" w:rsidRPr="001004FE">
        <w:rPr>
          <w:bCs/>
          <w:sz w:val="22"/>
          <w:szCs w:val="22"/>
          <w:lang w:val="sr-Latn-RS"/>
        </w:rPr>
        <w:t xml:space="preserve"> </w:t>
      </w:r>
      <w:r w:rsidR="001E1A06" w:rsidRPr="001004FE">
        <w:rPr>
          <w:sz w:val="22"/>
          <w:szCs w:val="22"/>
          <w:lang w:val="sr-Latn-RS"/>
        </w:rPr>
        <w:t>Paramagnetno kontrastno sredstvo</w:t>
      </w:r>
    </w:p>
    <w:p w14:paraId="3E510346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4F77C48" w14:textId="2F15580A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1004FE">
        <w:rPr>
          <w:bCs/>
          <w:sz w:val="22"/>
          <w:szCs w:val="22"/>
          <w:lang w:val="sr-Latn-RS"/>
        </w:rPr>
        <w:t>ATC kod:</w:t>
      </w:r>
      <w:r w:rsidR="001E1A06" w:rsidRPr="001004FE">
        <w:rPr>
          <w:bCs/>
          <w:sz w:val="22"/>
          <w:szCs w:val="22"/>
          <w:lang w:val="sr-Latn-RS"/>
        </w:rPr>
        <w:t xml:space="preserve"> </w:t>
      </w:r>
      <w:r w:rsidR="001E1A06" w:rsidRPr="001004FE">
        <w:rPr>
          <w:sz w:val="22"/>
          <w:szCs w:val="22"/>
        </w:rPr>
        <w:t>V08CA10</w:t>
      </w:r>
    </w:p>
    <w:p w14:paraId="6567A68D" w14:textId="670726B5" w:rsidR="002E37A5" w:rsidRPr="001004FE" w:rsidRDefault="002E37A5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2B9254B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  <w:r w:rsidRPr="001004FE">
        <w:rPr>
          <w:sz w:val="22"/>
          <w:szCs w:val="22"/>
          <w:u w:val="single"/>
          <w:lang w:val="pt-PT"/>
        </w:rPr>
        <w:t>Mehanizam djelovanja</w:t>
      </w:r>
    </w:p>
    <w:p w14:paraId="43D8AE4C" w14:textId="60DF3DEA" w:rsidR="001E1A06" w:rsidRPr="001004FE" w:rsidRDefault="009B457E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Lijek </w:t>
      </w:r>
      <w:r w:rsidR="001E1A06" w:rsidRPr="001004FE">
        <w:rPr>
          <w:rFonts w:ascii="Times New Roman" w:hAnsi="Times New Roman" w:cs="Times New Roman"/>
          <w:sz w:val="22"/>
          <w:szCs w:val="22"/>
          <w:lang w:val="fr-FR"/>
        </w:rPr>
        <w:t>Primovist je paramagnet</w:t>
      </w:r>
      <w:r w:rsidR="00B80010" w:rsidRPr="001004FE">
        <w:rPr>
          <w:rFonts w:ascii="Times New Roman" w:hAnsi="Times New Roman" w:cs="Times New Roman"/>
          <w:sz w:val="22"/>
          <w:szCs w:val="22"/>
          <w:lang w:val="fr-FR"/>
        </w:rPr>
        <w:t>n</w:t>
      </w:r>
      <w:r w:rsidR="001E1A06" w:rsidRPr="001004FE">
        <w:rPr>
          <w:rFonts w:ascii="Times New Roman" w:hAnsi="Times New Roman" w:cs="Times New Roman"/>
          <w:sz w:val="22"/>
          <w:szCs w:val="22"/>
          <w:lang w:val="fr-FR"/>
        </w:rPr>
        <w:t>o kontrastno</w:t>
      </w:r>
      <w:r w:rsidR="001E1A06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sredstvo</w:t>
      </w:r>
      <w:r w:rsidR="001E1A06"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 za snimanje magnetnom rezonancom. </w:t>
      </w:r>
    </w:p>
    <w:p w14:paraId="6AA383C8" w14:textId="095B26C1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lang w:val="fr-FR"/>
        </w:rPr>
        <w:t>Efekat pojačanja kontrasta se ostvaruje posredstvom gadoksetata (Gd EOB DTPA), jonskog kompleksa koji se sastoji od gadolinijuma (III) i liganda etoksibenzil-dietilentriamin-pentaaceta</w:t>
      </w:r>
      <w:r w:rsidR="0012248D" w:rsidRPr="001004FE">
        <w:rPr>
          <w:rFonts w:ascii="Times New Roman" w:hAnsi="Times New Roman" w:cs="Times New Roman"/>
          <w:sz w:val="22"/>
          <w:szCs w:val="22"/>
          <w:lang w:val="fr-FR"/>
        </w:rPr>
        <w:t>t</w:t>
      </w:r>
      <w:r w:rsidRPr="001004FE">
        <w:rPr>
          <w:rFonts w:ascii="Times New Roman" w:hAnsi="Times New Roman" w:cs="Times New Roman"/>
          <w:sz w:val="22"/>
          <w:szCs w:val="22"/>
          <w:lang w:val="fr-FR"/>
        </w:rPr>
        <w:t xml:space="preserve">ne kiseline (EOB-DTPA). </w:t>
      </w:r>
    </w:p>
    <w:p w14:paraId="1E037842" w14:textId="18433DC0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fr-FR"/>
        </w:rPr>
      </w:pPr>
      <w:r w:rsidRPr="001004FE">
        <w:rPr>
          <w:sz w:val="22"/>
          <w:szCs w:val="22"/>
          <w:lang w:val="fr-FR"/>
        </w:rPr>
        <w:t>Kada se pri snimanju proton</w:t>
      </w:r>
      <w:r w:rsidR="0012248D" w:rsidRPr="001004FE">
        <w:rPr>
          <w:sz w:val="22"/>
          <w:szCs w:val="22"/>
          <w:lang w:val="fr-FR"/>
        </w:rPr>
        <w:t>skom</w:t>
      </w:r>
      <w:r w:rsidRPr="001004FE">
        <w:rPr>
          <w:sz w:val="22"/>
          <w:szCs w:val="22"/>
          <w:lang w:val="fr-FR"/>
        </w:rPr>
        <w:t xml:space="preserve"> magnetnom rezonancom koriste T1-opterećene sekvence snimanja, skraćenje vremena relaksacije obrtne rešetke ekscitiranih atomskih jezgara koje indukuje jon gadolinijuma dovodi do pojačanja intenziteta signala, te tako do povećanja kontrasta slike nekih tkiva.</w:t>
      </w:r>
    </w:p>
    <w:p w14:paraId="06294556" w14:textId="77777777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u w:val="single"/>
          <w:lang w:val="fr-FR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  <w:lang w:val="fr-FR"/>
        </w:rPr>
        <w:t xml:space="preserve">Farmakodinamski efekti </w:t>
      </w:r>
    </w:p>
    <w:p w14:paraId="7855A10C" w14:textId="7CCEE469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Gadoksetat dinatrijum dovodi do jasnog skraćenja vremena relaksacije čak i pri niskim</w:t>
      </w:r>
      <w:r w:rsidR="00B80010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koncentracijama. Pri pH 7, jačina magnetnog polja o</w:t>
      </w:r>
      <w:r w:rsidR="00B80010" w:rsidRPr="001004FE">
        <w:rPr>
          <w:rFonts w:ascii="Times New Roman" w:hAnsi="Times New Roman" w:cs="Times New Roman"/>
          <w:sz w:val="22"/>
          <w:szCs w:val="22"/>
          <w:lang w:val="pt-PT"/>
        </w:rPr>
        <w:t>d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0,47 T i 40</w:t>
      </w:r>
      <w:r w:rsidR="005B703F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°C, relaksivnost (r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1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) – određena iz uticaja na vrijeme relaksacije obrtne rešetke (T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1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) protona u plazmi – je oko 8,18 l/mmol/sec, a relaksivnost (r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2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) određena iz uticaja na spin-spin vrijeme relaksacije (T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2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) – je oko 8,56 l/mmol/sec. Na 1.5 T i 37</w:t>
      </w:r>
      <w:r w:rsidR="005B703F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°C, odgovarajuće relaksivnosti u plazmi su r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1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= 6,9 l/mmol/sec i r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2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= 8,7 l/mmol/sec. Relaksivnost pokazuje blagu inverznu zavisnost na jačinu magnetnog polja. </w:t>
      </w:r>
    </w:p>
    <w:p w14:paraId="08103B08" w14:textId="08EA7DC7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EOB-DTPA gradi stabilan kompleks sa paramagnetskim jonom gadolinijuma uz izrazito visoku termodinamičku stabilnost (log K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Gdl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= 23,46). Gd-EOB-DTPA je hidrofilno jedinjenje koje se veoma dobro rastvara sa particionim koeficijentom između n-butanola i pufera na pH 7,6 od oko 0,011. Zbog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lastRenderedPageBreak/>
        <w:t>svog lipofilnog etoksibenzil dijela dinatrijum-gadoksetat pokazuje bifazni način djelovanja: prvo, distribucija u ekstracelularnom prostoru nakon bolus injekcije a zatim selektivno preuzimanje od strane hepatocita. Relaksivnost r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1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u tkivu jetre je 16,6 l/m</w:t>
      </w:r>
      <w:r w:rsidR="003C748E" w:rsidRPr="001004FE">
        <w:rPr>
          <w:rFonts w:ascii="Times New Roman" w:hAnsi="Times New Roman" w:cs="Times New Roman"/>
          <w:sz w:val="22"/>
          <w:szCs w:val="22"/>
          <w:lang w:val="pt-PT"/>
        </w:rPr>
        <w:t>m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ol/sec (na 0,47 T) što ima za rezultat pojačan intenzitet signala tkiva jetre. Zatim se dinatrijum-gadoksetat izlučuje u žuč.  </w:t>
      </w:r>
    </w:p>
    <w:p w14:paraId="71B54425" w14:textId="26E7EF98" w:rsidR="001E1A06" w:rsidRPr="001004FE" w:rsidRDefault="001E1A06" w:rsidP="00F81221">
      <w:pPr>
        <w:pStyle w:val="Style"/>
        <w:spacing w:before="12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L</w:t>
      </w:r>
      <w:r w:rsidR="003C748E" w:rsidRPr="001004FE">
        <w:rPr>
          <w:rFonts w:ascii="Times New Roman" w:hAnsi="Times New Roman" w:cs="Times New Roman"/>
          <w:sz w:val="22"/>
          <w:szCs w:val="22"/>
          <w:lang w:val="pt-PT"/>
        </w:rPr>
        <w:t>e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zije bez ili sa minimalnom funkcijom hepatocita (ciste, metastaze, većina hepatocelularnih karcinoma) neće akumulirati lijek Primovist. Dobro diferenciran hepatocelularni karcinom može da sadrži funkcionalne hepatocite i može da pokaže izvjesno pojačanje u fazi snimanja hepatocita. Prema tome, potrebne su dodatne kliničke informacije da potkrijepe tačnu dijagnozu. </w:t>
      </w:r>
    </w:p>
    <w:p w14:paraId="52044004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Supstanca ne pokazuje bilo kakvu značajnu inhibitornu interakciju sa enzimima pri klinički relevantnim koncentracijama.</w:t>
      </w:r>
    </w:p>
    <w:p w14:paraId="0818CDF8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3AA267E1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  <w:r w:rsidRPr="001004FE">
        <w:rPr>
          <w:sz w:val="22"/>
          <w:szCs w:val="22"/>
          <w:u w:val="single"/>
          <w:lang w:val="pt-PT"/>
        </w:rPr>
        <w:t>Snimanje</w:t>
      </w:r>
    </w:p>
    <w:p w14:paraId="0377F2D7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Nakon bolus injekcije lijeka Primovist, dinamičko snimanje u toku arterijske faze, portovenske i faze ravnoteže koristi različitu šemu pojačanja za različite lezije jetre kao osnovu za radiološku karakterizaciju lezija. </w:t>
      </w:r>
    </w:p>
    <w:p w14:paraId="2BABDC40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Pojačanje parenhima jetre tokom faze hepatocita pomaže u identifikaciji broja, segmentalne distribucije, vizuelizacije i određivanje granica lezija jetre, pa tako poboljšava otkrivanje lezija. Diferencijalna šema pojačanja/ispiranja lezija jetre doprinosi informacijama iz dinamičke faze. </w:t>
      </w:r>
    </w:p>
    <w:p w14:paraId="7B2D5B4A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Odložena (hepatocitna) faza se može ispitivati 20 minuta nakon injekcije, sa prozorom za snimanje koji traje najmanje 120 minuta. Dijagnostički i rezultati tehničke efikasnosti iz kliničkih studija pokazuju minimalno poboljšanje 20 minuta nakon injekcije u odnosu na one 10 minuta nakon injekcije. </w:t>
      </w:r>
    </w:p>
    <w:p w14:paraId="16141022" w14:textId="187BA6A9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Prozor za snimanje je skraćen na 60 minuta kod pacijenata koji zahtijevaju hemodijalizu i kod pacijenata sa povišenim vr</w:t>
      </w:r>
      <w:r w:rsidR="003C748E" w:rsidRPr="001004FE">
        <w:rPr>
          <w:sz w:val="22"/>
          <w:szCs w:val="22"/>
          <w:lang w:val="pt-PT"/>
        </w:rPr>
        <w:t>ij</w:t>
      </w:r>
      <w:r w:rsidRPr="001004FE">
        <w:rPr>
          <w:sz w:val="22"/>
          <w:szCs w:val="22"/>
          <w:lang w:val="pt-PT"/>
        </w:rPr>
        <w:t xml:space="preserve">ednostima bilirubina (&gt; 3 mg/dl). </w:t>
      </w:r>
    </w:p>
    <w:p w14:paraId="1ABBB1B5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2D9D3FED" w14:textId="54EDE750" w:rsidR="001E1A06" w:rsidRPr="001004FE" w:rsidRDefault="001E1A06" w:rsidP="00F81221">
      <w:pPr>
        <w:pStyle w:val="Header"/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Hepatička ekskrecija </w:t>
      </w:r>
      <w:r w:rsidR="005B703F" w:rsidRPr="001004FE">
        <w:rPr>
          <w:sz w:val="22"/>
          <w:szCs w:val="22"/>
          <w:lang w:val="pt-PT"/>
        </w:rPr>
        <w:t xml:space="preserve">lijeka </w:t>
      </w:r>
      <w:r w:rsidRPr="001004FE">
        <w:rPr>
          <w:sz w:val="22"/>
          <w:szCs w:val="22"/>
          <w:lang w:val="pt-PT"/>
        </w:rPr>
        <w:t>Primovist doprinosi pojačanom odslikavanju bilijarnih struktura.</w:t>
      </w:r>
    </w:p>
    <w:p w14:paraId="04AA3268" w14:textId="77777777" w:rsidR="001E1A06" w:rsidRPr="001004FE" w:rsidRDefault="001E1A06" w:rsidP="00F81221">
      <w:pPr>
        <w:pStyle w:val="Header"/>
        <w:jc w:val="both"/>
        <w:rPr>
          <w:sz w:val="22"/>
          <w:szCs w:val="22"/>
          <w:lang w:val="pt-PT"/>
        </w:rPr>
      </w:pPr>
    </w:p>
    <w:p w14:paraId="105C61F4" w14:textId="488B28B7" w:rsidR="001E1A06" w:rsidRPr="001004FE" w:rsidRDefault="001E1A06" w:rsidP="00F81221">
      <w:pPr>
        <w:pStyle w:val="Header"/>
        <w:jc w:val="both"/>
        <w:rPr>
          <w:sz w:val="22"/>
          <w:szCs w:val="22"/>
          <w:lang w:val="de-DE"/>
        </w:rPr>
      </w:pPr>
      <w:r w:rsidRPr="001004FE">
        <w:rPr>
          <w:sz w:val="22"/>
          <w:szCs w:val="22"/>
          <w:lang w:val="de-DE"/>
        </w:rPr>
        <w:t>Fizičko-hemijske karakteristike rastvora lijeka Primovist koji je spreman za primjenu navedene su u tabeli: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5B703F" w:rsidRPr="001004FE" w14:paraId="276E2E0E" w14:textId="77777777" w:rsidTr="005B703F">
        <w:tc>
          <w:tcPr>
            <w:tcW w:w="4531" w:type="dxa"/>
          </w:tcPr>
          <w:p w14:paraId="4D512A26" w14:textId="4E3794D7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 xml:space="preserve">Osmolarnost pri </w:t>
            </w:r>
            <w:r w:rsidRPr="001004FE">
              <w:rPr>
                <w:sz w:val="22"/>
                <w:szCs w:val="22"/>
                <w:lang w:val="pt-PT"/>
              </w:rPr>
              <w:t>37 °C (mOsm/kg H</w:t>
            </w:r>
            <w:r w:rsidRPr="001004FE">
              <w:rPr>
                <w:sz w:val="22"/>
                <w:szCs w:val="22"/>
                <w:vertAlign w:val="subscript"/>
                <w:lang w:val="pt-PT"/>
              </w:rPr>
              <w:t>2</w:t>
            </w:r>
            <w:r w:rsidRPr="001004FE">
              <w:rPr>
                <w:sz w:val="22"/>
                <w:szCs w:val="22"/>
                <w:lang w:val="pt-PT"/>
              </w:rPr>
              <w:t>O)</w:t>
            </w:r>
          </w:p>
        </w:tc>
        <w:tc>
          <w:tcPr>
            <w:tcW w:w="4532" w:type="dxa"/>
          </w:tcPr>
          <w:p w14:paraId="3DCAC82D" w14:textId="25A08774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688</w:t>
            </w:r>
          </w:p>
        </w:tc>
      </w:tr>
      <w:tr w:rsidR="005B703F" w:rsidRPr="001004FE" w14:paraId="46E62B78" w14:textId="77777777" w:rsidTr="005B703F">
        <w:tc>
          <w:tcPr>
            <w:tcW w:w="4531" w:type="dxa"/>
          </w:tcPr>
          <w:p w14:paraId="48E9A268" w14:textId="5DF41751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 xml:space="preserve">Viskozitet pri </w:t>
            </w:r>
            <w:r w:rsidRPr="001004FE">
              <w:rPr>
                <w:sz w:val="22"/>
                <w:szCs w:val="22"/>
                <w:lang w:val="pt-PT"/>
              </w:rPr>
              <w:t>37 °C (mPa·s)</w:t>
            </w:r>
          </w:p>
        </w:tc>
        <w:tc>
          <w:tcPr>
            <w:tcW w:w="4532" w:type="dxa"/>
          </w:tcPr>
          <w:p w14:paraId="46084905" w14:textId="27045401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1,19</w:t>
            </w:r>
          </w:p>
        </w:tc>
      </w:tr>
      <w:tr w:rsidR="005B703F" w:rsidRPr="001004FE" w14:paraId="5910A78E" w14:textId="77777777" w:rsidTr="005B703F">
        <w:tc>
          <w:tcPr>
            <w:tcW w:w="4531" w:type="dxa"/>
          </w:tcPr>
          <w:p w14:paraId="071E6E98" w14:textId="69A16EBC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 xml:space="preserve">Gustina pri </w:t>
            </w:r>
            <w:r w:rsidRPr="001004FE">
              <w:rPr>
                <w:sz w:val="22"/>
                <w:szCs w:val="22"/>
                <w:lang w:val="pt-PT"/>
              </w:rPr>
              <w:t>37 °C (g/ml)</w:t>
            </w:r>
          </w:p>
        </w:tc>
        <w:tc>
          <w:tcPr>
            <w:tcW w:w="4532" w:type="dxa"/>
          </w:tcPr>
          <w:p w14:paraId="35856216" w14:textId="01CFFAC9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1,0881</w:t>
            </w:r>
          </w:p>
        </w:tc>
      </w:tr>
      <w:tr w:rsidR="005B703F" w:rsidRPr="001004FE" w14:paraId="1558E124" w14:textId="77777777" w:rsidTr="005B703F">
        <w:tc>
          <w:tcPr>
            <w:tcW w:w="4531" w:type="dxa"/>
          </w:tcPr>
          <w:p w14:paraId="6EF8C9F3" w14:textId="2CBC98A2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pH</w:t>
            </w:r>
          </w:p>
        </w:tc>
        <w:tc>
          <w:tcPr>
            <w:tcW w:w="4532" w:type="dxa"/>
          </w:tcPr>
          <w:p w14:paraId="59686789" w14:textId="44F0D328" w:rsidR="005B703F" w:rsidRPr="001004FE" w:rsidRDefault="005B703F" w:rsidP="00F81221">
            <w:pPr>
              <w:pStyle w:val="Header"/>
              <w:jc w:val="both"/>
              <w:rPr>
                <w:sz w:val="22"/>
                <w:szCs w:val="22"/>
              </w:rPr>
            </w:pPr>
            <w:r w:rsidRPr="001004FE">
              <w:rPr>
                <w:sz w:val="22"/>
                <w:szCs w:val="22"/>
              </w:rPr>
              <w:t>7,4</w:t>
            </w:r>
          </w:p>
        </w:tc>
      </w:tr>
    </w:tbl>
    <w:p w14:paraId="1DA5CC99" w14:textId="77777777" w:rsidR="005B703F" w:rsidRPr="001004FE" w:rsidRDefault="005B703F" w:rsidP="00F81221">
      <w:pPr>
        <w:pStyle w:val="Header"/>
        <w:jc w:val="both"/>
        <w:rPr>
          <w:sz w:val="22"/>
          <w:szCs w:val="22"/>
        </w:rPr>
      </w:pPr>
    </w:p>
    <w:p w14:paraId="1CB3D962" w14:textId="4B8DDB7C" w:rsidR="0011360A" w:rsidRPr="001004FE" w:rsidRDefault="0011360A" w:rsidP="00F81221">
      <w:pPr>
        <w:pStyle w:val="Header"/>
        <w:jc w:val="both"/>
        <w:rPr>
          <w:sz w:val="22"/>
          <w:szCs w:val="22"/>
          <w:u w:val="single"/>
        </w:rPr>
      </w:pPr>
      <w:r w:rsidRPr="001004FE">
        <w:rPr>
          <w:sz w:val="22"/>
          <w:szCs w:val="22"/>
          <w:u w:val="single"/>
        </w:rPr>
        <w:t>Pedijatrijska populacija</w:t>
      </w:r>
    </w:p>
    <w:p w14:paraId="1C2A12A5" w14:textId="77777777" w:rsidR="003C748E" w:rsidRPr="001004FE" w:rsidRDefault="003C748E" w:rsidP="00F81221">
      <w:pPr>
        <w:pStyle w:val="Header"/>
        <w:jc w:val="both"/>
        <w:rPr>
          <w:sz w:val="22"/>
          <w:szCs w:val="22"/>
          <w:u w:val="single"/>
        </w:rPr>
      </w:pPr>
    </w:p>
    <w:p w14:paraId="3AA74F4E" w14:textId="7020F8A6" w:rsidR="0011360A" w:rsidRPr="001004FE" w:rsidRDefault="0011360A" w:rsidP="00F81221">
      <w:pPr>
        <w:pStyle w:val="Header"/>
        <w:jc w:val="both"/>
        <w:rPr>
          <w:sz w:val="22"/>
          <w:szCs w:val="22"/>
        </w:rPr>
      </w:pPr>
      <w:r w:rsidRPr="001004FE">
        <w:rPr>
          <w:sz w:val="22"/>
          <w:szCs w:val="22"/>
        </w:rPr>
        <w:t xml:space="preserve">Sprovedeno je opservaciono ispitivanje kod 52 pedijatrijska pacijenta (uzrasta &gt; 2 mjeseca i &lt; 18 godina). Pacijenti su bili upućeni </w:t>
      </w:r>
      <w:proofErr w:type="gramStart"/>
      <w:r w:rsidRPr="001004FE">
        <w:rPr>
          <w:sz w:val="22"/>
          <w:szCs w:val="22"/>
        </w:rPr>
        <w:t>na</w:t>
      </w:r>
      <w:proofErr w:type="gramEnd"/>
      <w:r w:rsidRPr="001004FE">
        <w:rPr>
          <w:sz w:val="22"/>
          <w:szCs w:val="22"/>
        </w:rPr>
        <w:t xml:space="preserve"> snimanje jetre magnetnom rezonancom pojačanom kontrastom lijekom Primovist kako bi se procijenile suspektne ili već poznate fokalne lezije jetre.</w:t>
      </w:r>
    </w:p>
    <w:p w14:paraId="1C9EDC67" w14:textId="45CFCEA4" w:rsidR="0011360A" w:rsidRPr="001004FE" w:rsidRDefault="0011360A" w:rsidP="00F81221">
      <w:pPr>
        <w:pStyle w:val="Header"/>
        <w:jc w:val="both"/>
        <w:rPr>
          <w:sz w:val="22"/>
          <w:szCs w:val="22"/>
          <w:u w:val="single"/>
        </w:rPr>
      </w:pPr>
      <w:r w:rsidRPr="001004FE">
        <w:rPr>
          <w:sz w:val="22"/>
          <w:szCs w:val="22"/>
        </w:rPr>
        <w:t xml:space="preserve">Dodatne dijagnostičke informacije su dobijene kada su snimci dobijeni kombinovanom magnetnom rezonancom jetre, </w:t>
      </w:r>
      <w:proofErr w:type="gramStart"/>
      <w:r w:rsidRPr="001004FE">
        <w:rPr>
          <w:sz w:val="22"/>
          <w:szCs w:val="22"/>
        </w:rPr>
        <w:t>sa</w:t>
      </w:r>
      <w:proofErr w:type="gramEnd"/>
      <w:r w:rsidRPr="001004FE">
        <w:rPr>
          <w:sz w:val="22"/>
          <w:szCs w:val="22"/>
        </w:rPr>
        <w:t xml:space="preserve"> pojačavanjem kontrastom i bez njega, upoređeni sa snimcima dobijenim samo magnetnom rezonancom bez pojačavanja kontrastom. Prijavljeni su ozbiljni neželjeni događaji, međutim nijedan </w:t>
      </w:r>
      <w:proofErr w:type="gramStart"/>
      <w:r w:rsidRPr="001004FE">
        <w:rPr>
          <w:sz w:val="22"/>
          <w:szCs w:val="22"/>
        </w:rPr>
        <w:t>od</w:t>
      </w:r>
      <w:proofErr w:type="gramEnd"/>
      <w:r w:rsidRPr="001004FE">
        <w:rPr>
          <w:sz w:val="22"/>
          <w:szCs w:val="22"/>
        </w:rPr>
        <w:t xml:space="preserve"> strane istraživača nije ocijenjen kao povezan sa lijekom Primovist. Zbog retrospektivne prirode i male veličine uzorka ovog ispitivanja, ne može se donijeti konačan zaključak vezano za efikasnost i bezbednost u ovoj populaciji.</w:t>
      </w:r>
    </w:p>
    <w:p w14:paraId="1864EBDC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46D6B9A" w14:textId="6E10A2F4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5.2.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Farmakokinetički podaci</w:t>
      </w:r>
      <w:r w:rsidR="003A7059" w:rsidRPr="001004FE">
        <w:rPr>
          <w:b/>
          <w:bCs/>
          <w:sz w:val="22"/>
          <w:szCs w:val="22"/>
          <w:lang w:val="sr-Latn-RS"/>
        </w:rPr>
        <w:t xml:space="preserve"> </w:t>
      </w:r>
    </w:p>
    <w:p w14:paraId="0F4866A6" w14:textId="77777777" w:rsidR="003C748E" w:rsidRPr="001004FE" w:rsidRDefault="003C748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F1AC603" w14:textId="0DC3300C" w:rsidR="001E1A06" w:rsidRPr="001004FE" w:rsidRDefault="001E1A06" w:rsidP="00F81221">
      <w:pPr>
        <w:pStyle w:val="Header"/>
        <w:tabs>
          <w:tab w:val="clear" w:pos="4320"/>
          <w:tab w:val="clear" w:pos="8640"/>
          <w:tab w:val="left" w:pos="284"/>
          <w:tab w:val="center" w:pos="4536"/>
          <w:tab w:val="right" w:pos="9072"/>
        </w:tabs>
        <w:jc w:val="both"/>
        <w:rPr>
          <w:sz w:val="22"/>
          <w:szCs w:val="22"/>
          <w:u w:val="single"/>
        </w:rPr>
      </w:pPr>
      <w:r w:rsidRPr="001004FE">
        <w:rPr>
          <w:sz w:val="22"/>
          <w:szCs w:val="22"/>
          <w:u w:val="single"/>
        </w:rPr>
        <w:t>Distribucija</w:t>
      </w:r>
    </w:p>
    <w:p w14:paraId="1416F5E8" w14:textId="77777777" w:rsidR="003C748E" w:rsidRPr="001004FE" w:rsidRDefault="003C748E" w:rsidP="00F81221">
      <w:pPr>
        <w:pStyle w:val="Header"/>
        <w:tabs>
          <w:tab w:val="clear" w:pos="4320"/>
          <w:tab w:val="clear" w:pos="8640"/>
          <w:tab w:val="left" w:pos="284"/>
          <w:tab w:val="center" w:pos="4536"/>
          <w:tab w:val="right" w:pos="9072"/>
        </w:tabs>
        <w:jc w:val="both"/>
        <w:rPr>
          <w:sz w:val="22"/>
          <w:szCs w:val="22"/>
          <w:u w:val="single"/>
        </w:rPr>
      </w:pPr>
    </w:p>
    <w:p w14:paraId="612B1E01" w14:textId="18127DC8" w:rsidR="001E1A06" w:rsidRPr="001004FE" w:rsidRDefault="001E1A06" w:rsidP="00F81221">
      <w:pPr>
        <w:pStyle w:val="Header"/>
        <w:jc w:val="both"/>
        <w:rPr>
          <w:sz w:val="22"/>
          <w:szCs w:val="22"/>
        </w:rPr>
      </w:pPr>
      <w:r w:rsidRPr="001004FE">
        <w:rPr>
          <w:sz w:val="22"/>
          <w:szCs w:val="22"/>
        </w:rPr>
        <w:t>Poslije intravenske primjene vremenski profil koncentracije za Gd-EOB-</w:t>
      </w:r>
      <w:r w:rsidRPr="001004FE">
        <w:rPr>
          <w:sz w:val="22"/>
          <w:szCs w:val="22"/>
        </w:rPr>
        <w:softHyphen/>
        <w:t xml:space="preserve">DTPA je bio okarakterisan bieksponencijalnim opadanjem. </w:t>
      </w:r>
    </w:p>
    <w:p w14:paraId="187012A9" w14:textId="77777777" w:rsidR="003C748E" w:rsidRPr="001004FE" w:rsidRDefault="003C748E" w:rsidP="00F81221">
      <w:pPr>
        <w:pStyle w:val="Header"/>
        <w:jc w:val="both"/>
        <w:rPr>
          <w:sz w:val="22"/>
          <w:szCs w:val="22"/>
        </w:rPr>
      </w:pPr>
    </w:p>
    <w:p w14:paraId="4E2B000D" w14:textId="2ADF6BD1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Gd-EOB-DTPA se distribuira u ekstracelularne prostore (volumen distribucije u stacionarnom stanju je oko 0,21 </w:t>
      </w:r>
      <w:r w:rsidR="003C748E" w:rsidRPr="001004FE">
        <w:rPr>
          <w:sz w:val="22"/>
          <w:szCs w:val="22"/>
          <w:lang w:val="pt-PT"/>
        </w:rPr>
        <w:t>l</w:t>
      </w:r>
      <w:r w:rsidRPr="001004FE">
        <w:rPr>
          <w:sz w:val="22"/>
          <w:szCs w:val="22"/>
          <w:lang w:val="pt-PT"/>
        </w:rPr>
        <w:t xml:space="preserve">/kg). </w:t>
      </w:r>
    </w:p>
    <w:p w14:paraId="6AE90AA3" w14:textId="77777777" w:rsidR="003C748E" w:rsidRPr="001004FE" w:rsidRDefault="003C748E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62ADDDF1" w14:textId="3E9CC44C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Supstanca uzrokuje samo manje vezivanje proteina (ispod 10%). </w:t>
      </w:r>
    </w:p>
    <w:p w14:paraId="1F2368E9" w14:textId="77777777" w:rsidR="003C748E" w:rsidRPr="001004FE" w:rsidRDefault="003C748E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432863FB" w14:textId="58380359" w:rsidR="001E1A06" w:rsidRPr="001004FE" w:rsidRDefault="001E1A06" w:rsidP="00F81221">
      <w:pPr>
        <w:pStyle w:val="Header"/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Jedinjenje difunduje kroz placenta</w:t>
      </w:r>
      <w:r w:rsidR="003C748E" w:rsidRPr="001004FE">
        <w:rPr>
          <w:sz w:val="22"/>
          <w:szCs w:val="22"/>
          <w:lang w:val="pt-PT"/>
        </w:rPr>
        <w:t>r</w:t>
      </w:r>
      <w:r w:rsidRPr="001004FE">
        <w:rPr>
          <w:sz w:val="22"/>
          <w:szCs w:val="22"/>
          <w:lang w:val="pt-PT"/>
        </w:rPr>
        <w:t xml:space="preserve">nu barijeru samo u malom obimu. </w:t>
      </w:r>
    </w:p>
    <w:p w14:paraId="7F907091" w14:textId="77777777" w:rsidR="001E1A06" w:rsidRPr="001004FE" w:rsidRDefault="001E1A06" w:rsidP="00F81221">
      <w:pPr>
        <w:pStyle w:val="Header"/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 </w:t>
      </w:r>
    </w:p>
    <w:p w14:paraId="633B6974" w14:textId="55871A4F" w:rsidR="001E1A06" w:rsidRPr="001004FE" w:rsidRDefault="00A32385" w:rsidP="00F81221">
      <w:pPr>
        <w:pStyle w:val="Header"/>
        <w:tabs>
          <w:tab w:val="left" w:pos="284"/>
        </w:tabs>
        <w:jc w:val="both"/>
        <w:rPr>
          <w:sz w:val="22"/>
          <w:szCs w:val="22"/>
        </w:rPr>
      </w:pPr>
      <w:r w:rsidRPr="001004FE">
        <w:rPr>
          <w:sz w:val="22"/>
          <w:szCs w:val="22"/>
          <w:lang w:val="pt-PT"/>
        </w:rPr>
        <w:t>Gadoksetat dinatrijum</w:t>
      </w:r>
      <w:r w:rsidR="001E1A06" w:rsidRPr="001004FE">
        <w:rPr>
          <w:sz w:val="22"/>
          <w:szCs w:val="22"/>
          <w:lang w:val="pt-PT"/>
        </w:rPr>
        <w:t xml:space="preserve"> je linearno gadolinijumsko kontrastno sredstvo. Istraživanja su pokazala da se, nakon izlaganja gadolinijumskom kontrastnom sredstvu, gadolinijum zadržava u tijelu. </w:t>
      </w:r>
      <w:r w:rsidR="001E1A06" w:rsidRPr="001004FE">
        <w:rPr>
          <w:sz w:val="22"/>
          <w:szCs w:val="22"/>
        </w:rPr>
        <w:t xml:space="preserve">To uključuje zadržavanje u mozgu i drugim tkivima i organima. Kod primjene linearnih gadolinijumskih kontrastnih sredstava, to može prouzrokovati pojačanje intenziteta signala zavisno </w:t>
      </w:r>
      <w:proofErr w:type="gramStart"/>
      <w:r w:rsidR="001E1A06" w:rsidRPr="001004FE">
        <w:rPr>
          <w:sz w:val="22"/>
          <w:szCs w:val="22"/>
        </w:rPr>
        <w:t>od</w:t>
      </w:r>
      <w:proofErr w:type="gramEnd"/>
      <w:r w:rsidR="001E1A06" w:rsidRPr="001004FE">
        <w:rPr>
          <w:sz w:val="22"/>
          <w:szCs w:val="22"/>
        </w:rPr>
        <w:t xml:space="preserve"> doze na T1-m</w:t>
      </w:r>
      <w:r w:rsidR="003C748E" w:rsidRPr="001004FE">
        <w:rPr>
          <w:sz w:val="22"/>
          <w:szCs w:val="22"/>
        </w:rPr>
        <w:t>j</w:t>
      </w:r>
      <w:r w:rsidR="001E1A06" w:rsidRPr="001004FE">
        <w:rPr>
          <w:sz w:val="22"/>
          <w:szCs w:val="22"/>
        </w:rPr>
        <w:t xml:space="preserve">erenim snimcima mozga, naročito u </w:t>
      </w:r>
      <w:r w:rsidR="001E1A06" w:rsidRPr="001004FE">
        <w:rPr>
          <w:i/>
          <w:iCs/>
          <w:sz w:val="22"/>
          <w:szCs w:val="22"/>
        </w:rPr>
        <w:t>nucleus dentatus</w:t>
      </w:r>
      <w:r w:rsidRPr="001004FE">
        <w:rPr>
          <w:sz w:val="22"/>
          <w:szCs w:val="22"/>
        </w:rPr>
        <w:t>-u</w:t>
      </w:r>
      <w:r w:rsidR="001E1A06" w:rsidRPr="001004FE">
        <w:rPr>
          <w:sz w:val="22"/>
          <w:szCs w:val="22"/>
        </w:rPr>
        <w:t xml:space="preserve">, </w:t>
      </w:r>
      <w:r w:rsidR="001E1A06" w:rsidRPr="001004FE">
        <w:rPr>
          <w:i/>
          <w:iCs/>
          <w:sz w:val="22"/>
          <w:szCs w:val="22"/>
        </w:rPr>
        <w:t>globus</w:t>
      </w:r>
      <w:r w:rsidR="001E1A06" w:rsidRPr="001004FE">
        <w:rPr>
          <w:sz w:val="22"/>
          <w:szCs w:val="22"/>
        </w:rPr>
        <w:t xml:space="preserve"> </w:t>
      </w:r>
      <w:r w:rsidR="001E1A06" w:rsidRPr="001004FE">
        <w:rPr>
          <w:i/>
          <w:iCs/>
          <w:sz w:val="22"/>
          <w:szCs w:val="22"/>
        </w:rPr>
        <w:t>pallidus</w:t>
      </w:r>
      <w:r w:rsidRPr="001004FE">
        <w:rPr>
          <w:sz w:val="22"/>
          <w:szCs w:val="22"/>
        </w:rPr>
        <w:t>-u</w:t>
      </w:r>
      <w:r w:rsidR="001E1A06" w:rsidRPr="001004FE">
        <w:rPr>
          <w:sz w:val="22"/>
          <w:szCs w:val="22"/>
        </w:rPr>
        <w:t xml:space="preserve"> i talamusu. Pojačanje intenziteta signala i neklinički podaci pokazuju da se gadolinijum oslobađa iz linearnih gadolinijumskih kontrastnih sredstava.</w:t>
      </w:r>
    </w:p>
    <w:p w14:paraId="79496DDD" w14:textId="77777777" w:rsidR="001E1A06" w:rsidRPr="001004FE" w:rsidRDefault="001E1A06" w:rsidP="00F81221">
      <w:pPr>
        <w:pStyle w:val="Header"/>
        <w:jc w:val="both"/>
        <w:rPr>
          <w:sz w:val="22"/>
          <w:szCs w:val="22"/>
          <w:lang w:val="pt-PT"/>
        </w:rPr>
      </w:pPr>
    </w:p>
    <w:p w14:paraId="1108B89D" w14:textId="77777777" w:rsidR="001E1A06" w:rsidRPr="001004FE" w:rsidRDefault="001E1A06" w:rsidP="00F81221">
      <w:pPr>
        <w:jc w:val="both"/>
        <w:rPr>
          <w:sz w:val="22"/>
          <w:szCs w:val="22"/>
          <w:u w:val="single"/>
          <w:lang w:val="de-DE"/>
        </w:rPr>
      </w:pPr>
      <w:r w:rsidRPr="001004FE">
        <w:rPr>
          <w:sz w:val="22"/>
          <w:szCs w:val="22"/>
          <w:u w:val="single"/>
          <w:lang w:val="de-DE"/>
        </w:rPr>
        <w:t>Metabolizam</w:t>
      </w:r>
    </w:p>
    <w:p w14:paraId="169F264B" w14:textId="77E53FAD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004FE">
        <w:rPr>
          <w:sz w:val="22"/>
          <w:szCs w:val="22"/>
          <w:lang w:val="de-DE"/>
        </w:rPr>
        <w:t>Dinatrijum</w:t>
      </w:r>
      <w:r w:rsidR="003254DB" w:rsidRPr="001004FE">
        <w:rPr>
          <w:sz w:val="22"/>
          <w:szCs w:val="22"/>
          <w:lang w:val="de-DE"/>
        </w:rPr>
        <w:t xml:space="preserve"> </w:t>
      </w:r>
      <w:r w:rsidRPr="001004FE">
        <w:rPr>
          <w:sz w:val="22"/>
          <w:szCs w:val="22"/>
          <w:lang w:val="de-DE"/>
        </w:rPr>
        <w:t>gadoksetat se ne metaboli</w:t>
      </w:r>
      <w:r w:rsidRPr="001004FE">
        <w:rPr>
          <w:sz w:val="22"/>
          <w:szCs w:val="22"/>
          <w:lang w:val="sr-Latn-ME"/>
        </w:rPr>
        <w:t>še.</w:t>
      </w:r>
    </w:p>
    <w:p w14:paraId="728CDB1E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  <w:r w:rsidRPr="001004FE">
        <w:rPr>
          <w:sz w:val="22"/>
          <w:szCs w:val="22"/>
          <w:lang w:val="de-DE"/>
        </w:rPr>
        <w:t xml:space="preserve">  </w:t>
      </w:r>
    </w:p>
    <w:p w14:paraId="20BEFFDE" w14:textId="77777777" w:rsidR="001E1A06" w:rsidRPr="001004FE" w:rsidRDefault="001E1A06" w:rsidP="00F81221">
      <w:pPr>
        <w:jc w:val="both"/>
        <w:rPr>
          <w:sz w:val="22"/>
          <w:szCs w:val="22"/>
          <w:u w:val="single"/>
          <w:lang w:val="de-DE"/>
        </w:rPr>
      </w:pPr>
      <w:r w:rsidRPr="001004FE">
        <w:rPr>
          <w:sz w:val="22"/>
          <w:szCs w:val="22"/>
          <w:u w:val="single"/>
          <w:lang w:val="de-DE"/>
        </w:rPr>
        <w:t>Eliminacija</w:t>
      </w:r>
    </w:p>
    <w:p w14:paraId="5A6AA5C3" w14:textId="0258936F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Gd-EOB-DTPA se podjednako eliminiše preko renalnog i hepatobilijarnog puta. Poluvrijeme eliminacije Gd-EOB-DTPA je bi</w:t>
      </w:r>
      <w:r w:rsidR="0032585B" w:rsidRPr="001004FE">
        <w:rPr>
          <w:rFonts w:ascii="Times New Roman" w:hAnsi="Times New Roman" w:cs="Times New Roman"/>
          <w:sz w:val="22"/>
          <w:szCs w:val="22"/>
          <w:lang w:val="pt-PT"/>
        </w:rPr>
        <w:t>l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o približno 1,0 sat. Farmakokinetika je bila linearna u odnosu na dozu do doze od 0,4 ml/kg (100 mikromola/kg). </w:t>
      </w:r>
    </w:p>
    <w:p w14:paraId="486619EF" w14:textId="3064B2B4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Zabilježen je ukupni </w:t>
      </w:r>
      <w:r w:rsidR="0032585B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serumski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klirens (Cl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tot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) od oko 250 ml/min, dok bubrežni klirens (Cl</w:t>
      </w:r>
      <w:r w:rsidRPr="001004FE">
        <w:rPr>
          <w:rFonts w:ascii="Times New Roman" w:hAnsi="Times New Roman" w:cs="Times New Roman"/>
          <w:sz w:val="22"/>
          <w:szCs w:val="22"/>
          <w:vertAlign w:val="subscript"/>
          <w:lang w:val="pt-PT"/>
        </w:rPr>
        <w:t>r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) odgovara </w:t>
      </w:r>
      <w:r w:rsidR="003C748E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vrijednosti od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oko 120 ml/min. </w:t>
      </w:r>
    </w:p>
    <w:p w14:paraId="0FFDB57A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1327C005" w14:textId="42144342" w:rsidR="001E1A06" w:rsidRPr="001004FE" w:rsidRDefault="001E1A06" w:rsidP="00F81221">
      <w:pPr>
        <w:pStyle w:val="Header"/>
        <w:tabs>
          <w:tab w:val="clear" w:pos="4320"/>
          <w:tab w:val="clear" w:pos="8640"/>
          <w:tab w:val="left" w:pos="284"/>
          <w:tab w:val="center" w:pos="4536"/>
          <w:tab w:val="right" w:pos="9072"/>
        </w:tabs>
        <w:jc w:val="both"/>
        <w:rPr>
          <w:b/>
          <w:bCs/>
          <w:sz w:val="22"/>
          <w:szCs w:val="22"/>
        </w:rPr>
      </w:pPr>
      <w:r w:rsidRPr="001004FE">
        <w:rPr>
          <w:b/>
          <w:bCs/>
          <w:sz w:val="22"/>
          <w:szCs w:val="22"/>
        </w:rPr>
        <w:t>Karakteristike posebnih populacija pacijenata</w:t>
      </w:r>
    </w:p>
    <w:p w14:paraId="1E6510D9" w14:textId="77777777" w:rsidR="003C748E" w:rsidRPr="001004FE" w:rsidRDefault="003C748E" w:rsidP="00F81221">
      <w:pPr>
        <w:pStyle w:val="Header"/>
        <w:tabs>
          <w:tab w:val="clear" w:pos="4320"/>
          <w:tab w:val="clear" w:pos="8640"/>
          <w:tab w:val="left" w:pos="284"/>
          <w:tab w:val="center" w:pos="4536"/>
          <w:tab w:val="right" w:pos="9072"/>
        </w:tabs>
        <w:jc w:val="both"/>
        <w:rPr>
          <w:b/>
          <w:bCs/>
          <w:sz w:val="22"/>
          <w:szCs w:val="22"/>
        </w:rPr>
      </w:pPr>
    </w:p>
    <w:p w14:paraId="76FE4A38" w14:textId="31C565FB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  <w:r w:rsidRPr="001004FE">
        <w:rPr>
          <w:sz w:val="22"/>
          <w:szCs w:val="22"/>
          <w:u w:val="single"/>
          <w:lang w:val="pt-PT"/>
        </w:rPr>
        <w:t xml:space="preserve">Starija populacija (starosti 65 godina i više) </w:t>
      </w:r>
    </w:p>
    <w:p w14:paraId="7CE611D7" w14:textId="77777777" w:rsidR="003C748E" w:rsidRPr="001004FE" w:rsidRDefault="003C748E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</w:p>
    <w:p w14:paraId="14722E59" w14:textId="20B78D82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U skladu sa fiziološkim promjenama bubrežne funkcije sa starenjem, klirens dinatrijum</w:t>
      </w:r>
      <w:r w:rsidR="003254DB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 xml:space="preserve">gadoksetata iz plazme je opao sa 210 ml/min kod mlađih osoba na 163 ml/min kod osoba starosti 65 godina i više. Terminalno poluvrijeme eliminacije i sistemska izloženost su bili veći kod starijih osoba (2,3 h i 197 </w:t>
      </w:r>
      <w:r w:rsidRPr="001004FE">
        <w:rPr>
          <w:sz w:val="22"/>
          <w:szCs w:val="22"/>
        </w:rPr>
        <w:t>μ</w:t>
      </w:r>
      <w:r w:rsidRPr="001004FE">
        <w:rPr>
          <w:sz w:val="22"/>
          <w:szCs w:val="22"/>
          <w:lang w:val="pt-PT"/>
        </w:rPr>
        <w:t xml:space="preserve">mol*h/l, u poređenju sa 1,6 h </w:t>
      </w:r>
      <w:r w:rsidR="003C748E" w:rsidRPr="001004FE">
        <w:rPr>
          <w:sz w:val="22"/>
          <w:szCs w:val="22"/>
          <w:lang w:val="pt-PT"/>
        </w:rPr>
        <w:t>i</w:t>
      </w:r>
      <w:r w:rsidRPr="001004FE">
        <w:rPr>
          <w:sz w:val="22"/>
          <w:szCs w:val="22"/>
          <w:lang w:val="pt-PT"/>
        </w:rPr>
        <w:t xml:space="preserve"> 153 </w:t>
      </w:r>
      <w:r w:rsidRPr="001004FE">
        <w:rPr>
          <w:sz w:val="22"/>
          <w:szCs w:val="22"/>
        </w:rPr>
        <w:t>μ</w:t>
      </w:r>
      <w:r w:rsidRPr="001004FE">
        <w:rPr>
          <w:sz w:val="22"/>
          <w:szCs w:val="22"/>
          <w:lang w:val="pt-PT"/>
        </w:rPr>
        <w:t xml:space="preserve">mol*h/l). Bubrežna ekskrecija je bila potpuna nakon 24 h kod svih osoba bez razlike između starijih i mlađih zdravih osoba. </w:t>
      </w:r>
    </w:p>
    <w:p w14:paraId="781273AD" w14:textId="77777777" w:rsidR="003B1807" w:rsidRPr="001004FE" w:rsidRDefault="003B1807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7B68C44D" w14:textId="2C358ADE" w:rsidR="001E1A06" w:rsidRPr="001004FE" w:rsidRDefault="00430671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  <w:r w:rsidRPr="001004FE">
        <w:rPr>
          <w:sz w:val="22"/>
          <w:szCs w:val="22"/>
          <w:u w:val="single"/>
          <w:lang w:val="pt-PT"/>
        </w:rPr>
        <w:t>Oštećenje</w:t>
      </w:r>
      <w:r w:rsidR="003B1807" w:rsidRPr="001004FE">
        <w:rPr>
          <w:sz w:val="22"/>
          <w:szCs w:val="22"/>
          <w:u w:val="single"/>
          <w:lang w:val="pt-PT"/>
        </w:rPr>
        <w:t xml:space="preserve"> funkcije </w:t>
      </w:r>
      <w:r w:rsidR="001E1A06" w:rsidRPr="001004FE">
        <w:rPr>
          <w:sz w:val="22"/>
          <w:szCs w:val="22"/>
          <w:u w:val="single"/>
          <w:lang w:val="pt-PT"/>
        </w:rPr>
        <w:t xml:space="preserve">bubrega i/ili jetre </w:t>
      </w:r>
    </w:p>
    <w:p w14:paraId="1D1D4416" w14:textId="77777777" w:rsidR="003C748E" w:rsidRPr="001004FE" w:rsidRDefault="003C748E" w:rsidP="00F8122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pt-PT"/>
        </w:rPr>
      </w:pPr>
    </w:p>
    <w:p w14:paraId="0FA0CAFE" w14:textId="235ED081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Kod pacijenata sa blag</w:t>
      </w:r>
      <w:r w:rsidR="00430671" w:rsidRPr="001004FE">
        <w:rPr>
          <w:sz w:val="22"/>
          <w:szCs w:val="22"/>
          <w:lang w:val="pt-PT"/>
        </w:rPr>
        <w:t>i</w:t>
      </w:r>
      <w:r w:rsidRPr="001004FE">
        <w:rPr>
          <w:sz w:val="22"/>
          <w:szCs w:val="22"/>
          <w:lang w:val="pt-PT"/>
        </w:rPr>
        <w:t>m i umjeren</w:t>
      </w:r>
      <w:r w:rsidR="00430671" w:rsidRPr="001004FE">
        <w:rPr>
          <w:sz w:val="22"/>
          <w:szCs w:val="22"/>
          <w:lang w:val="pt-PT"/>
        </w:rPr>
        <w:t>i</w:t>
      </w:r>
      <w:r w:rsidRPr="001004FE">
        <w:rPr>
          <w:sz w:val="22"/>
          <w:szCs w:val="22"/>
          <w:lang w:val="pt-PT"/>
        </w:rPr>
        <w:t xml:space="preserve">m </w:t>
      </w:r>
      <w:r w:rsidR="00430671" w:rsidRPr="001004FE">
        <w:rPr>
          <w:sz w:val="22"/>
          <w:szCs w:val="22"/>
          <w:lang w:val="pt-PT"/>
        </w:rPr>
        <w:t>oštećenjem funkcije</w:t>
      </w:r>
      <w:r w:rsidR="00430671" w:rsidRPr="001004FE">
        <w:rPr>
          <w:sz w:val="22"/>
          <w:szCs w:val="22"/>
          <w:u w:val="single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jetre, uočeno je blago do umjereno povećanje koncentracije u plazmi, poluvr</w:t>
      </w:r>
      <w:r w:rsidR="003C748E" w:rsidRPr="001004FE">
        <w:rPr>
          <w:sz w:val="22"/>
          <w:szCs w:val="22"/>
          <w:lang w:val="pt-PT"/>
        </w:rPr>
        <w:t>emena</w:t>
      </w:r>
      <w:r w:rsidRPr="001004FE">
        <w:rPr>
          <w:sz w:val="22"/>
          <w:szCs w:val="22"/>
          <w:lang w:val="pt-PT"/>
        </w:rPr>
        <w:t xml:space="preserve"> eliminacije i izlučivanja preko mokraće, kao i smanjenje hepatobilijarne ekskrecije, u poređenju sa osobama sa normalnom funkcijom jetre. Međutim, ni</w:t>
      </w:r>
      <w:r w:rsidR="00E015BE" w:rsidRPr="001004FE">
        <w:rPr>
          <w:sz w:val="22"/>
          <w:szCs w:val="22"/>
          <w:lang w:val="pt-PT"/>
        </w:rPr>
        <w:t>je</w:t>
      </w:r>
      <w:r w:rsidRPr="001004FE">
        <w:rPr>
          <w:sz w:val="22"/>
          <w:szCs w:val="22"/>
          <w:lang w:val="pt-PT"/>
        </w:rPr>
        <w:t xml:space="preserve">su uočene bilo kakve klinički relevantne razlike u pojačanju hepatičkog signala. Kod pacijenata sa </w:t>
      </w:r>
      <w:r w:rsidR="002377F3" w:rsidRPr="001004FE">
        <w:rPr>
          <w:sz w:val="22"/>
          <w:szCs w:val="22"/>
          <w:lang w:val="pt-PT"/>
        </w:rPr>
        <w:t xml:space="preserve">teškim oštećenjem funkcije </w:t>
      </w:r>
      <w:r w:rsidRPr="001004FE">
        <w:rPr>
          <w:sz w:val="22"/>
          <w:szCs w:val="22"/>
          <w:lang w:val="pt-PT"/>
        </w:rPr>
        <w:t>jetre, naročito kod pacijenata sa visokim (&gt; 3 mg/dl) nivoima</w:t>
      </w:r>
      <w:r w:rsidR="002377F3" w:rsidRPr="001004FE">
        <w:rPr>
          <w:sz w:val="22"/>
          <w:szCs w:val="22"/>
          <w:lang w:val="pt-PT"/>
        </w:rPr>
        <w:t xml:space="preserve"> iznad graničnih vrijednosti</w:t>
      </w:r>
      <w:r w:rsidRPr="001004FE">
        <w:rPr>
          <w:sz w:val="22"/>
          <w:szCs w:val="22"/>
          <w:lang w:val="pt-PT"/>
        </w:rPr>
        <w:t xml:space="preserve"> bilirubina u serumu, </w:t>
      </w:r>
      <w:r w:rsidR="002377F3" w:rsidRPr="001004FE">
        <w:rPr>
          <w:sz w:val="22"/>
          <w:szCs w:val="22"/>
          <w:lang w:val="pt-PT"/>
        </w:rPr>
        <w:t xml:space="preserve">PIK </w:t>
      </w:r>
      <w:r w:rsidRPr="001004FE">
        <w:rPr>
          <w:sz w:val="22"/>
          <w:szCs w:val="22"/>
          <w:lang w:val="pt-PT"/>
        </w:rPr>
        <w:t xml:space="preserve">je porastao na 259 </w:t>
      </w:r>
      <w:r w:rsidRPr="001004FE">
        <w:rPr>
          <w:sz w:val="22"/>
          <w:szCs w:val="22"/>
        </w:rPr>
        <w:t>μ</w:t>
      </w:r>
      <w:r w:rsidRPr="001004FE">
        <w:rPr>
          <w:sz w:val="22"/>
          <w:szCs w:val="22"/>
          <w:lang w:val="pt-PT"/>
        </w:rPr>
        <w:t xml:space="preserve">mol*h/l u poređenju sa 160 </w:t>
      </w:r>
      <w:r w:rsidRPr="001004FE">
        <w:rPr>
          <w:sz w:val="22"/>
          <w:szCs w:val="22"/>
        </w:rPr>
        <w:t>μ</w:t>
      </w:r>
      <w:r w:rsidRPr="001004FE">
        <w:rPr>
          <w:sz w:val="22"/>
          <w:szCs w:val="22"/>
          <w:lang w:val="pt-PT"/>
        </w:rPr>
        <w:t xml:space="preserve">mol*h/l u kontrolnoj grupi. Poluvrijeme eliminacije je bilo povećano na 2,6 h u poređenju sa 1,8 h u kontrolnoj grupi. Hepatobilijarna ekskrecija je znatno smanjena na 5,7% primijenjene doze, a pojačanje hepatičkog signala je smanjeno kod ovih pacijenata. </w:t>
      </w:r>
    </w:p>
    <w:p w14:paraId="26983EA1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39A75D7D" w14:textId="2B7BAF78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Kod pacijenata u </w:t>
      </w:r>
      <w:r w:rsidR="002377F3" w:rsidRPr="001004FE">
        <w:rPr>
          <w:sz w:val="22"/>
          <w:szCs w:val="22"/>
          <w:lang w:val="pt-PT"/>
        </w:rPr>
        <w:t>finalnom stadijumu</w:t>
      </w:r>
      <w:r w:rsidRPr="001004FE">
        <w:rPr>
          <w:sz w:val="22"/>
          <w:szCs w:val="22"/>
          <w:lang w:val="pt-PT"/>
        </w:rPr>
        <w:t xml:space="preserve"> insuficijencije bubrega </w:t>
      </w:r>
      <w:r w:rsidR="002377F3" w:rsidRPr="001004FE">
        <w:rPr>
          <w:sz w:val="22"/>
          <w:szCs w:val="22"/>
          <w:lang w:val="pt-PT"/>
        </w:rPr>
        <w:t xml:space="preserve">PIK </w:t>
      </w:r>
      <w:r w:rsidRPr="001004FE">
        <w:rPr>
          <w:sz w:val="22"/>
          <w:szCs w:val="22"/>
          <w:lang w:val="pt-PT"/>
        </w:rPr>
        <w:t xml:space="preserve">je povećan 6 puta </w:t>
      </w:r>
      <w:r w:rsidR="002377F3" w:rsidRPr="001004FE">
        <w:rPr>
          <w:sz w:val="22"/>
          <w:szCs w:val="22"/>
          <w:lang w:val="pt-PT"/>
        </w:rPr>
        <w:t xml:space="preserve">do </w:t>
      </w:r>
      <w:r w:rsidRPr="001004FE">
        <w:rPr>
          <w:sz w:val="22"/>
          <w:szCs w:val="22"/>
          <w:lang w:val="pt-PT"/>
        </w:rPr>
        <w:t>oko 903 µmol*h/l</w:t>
      </w:r>
      <w:r w:rsidR="00B326BA" w:rsidRPr="001004FE">
        <w:rPr>
          <w:sz w:val="22"/>
          <w:szCs w:val="22"/>
          <w:lang w:val="pt-PT"/>
        </w:rPr>
        <w:t>,</w:t>
      </w:r>
      <w:r w:rsidRPr="001004FE">
        <w:rPr>
          <w:sz w:val="22"/>
          <w:szCs w:val="22"/>
          <w:lang w:val="pt-PT"/>
        </w:rPr>
        <w:t xml:space="preserve"> a terminalno poluvrijeme eliminacije je produženo na oko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20 h.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Hemodijaliza je povećala klirens gadoksetat dinatrijuma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(vidjeti dio 4.4).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Tokom prosječne dijalize u trajanju od oko 3 sata,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 xml:space="preserve">eliminiše se oko 30% doze gadoksetat dinatrijuma poševši </w:t>
      </w:r>
      <w:r w:rsidR="00B326BA" w:rsidRPr="001004FE">
        <w:rPr>
          <w:sz w:val="22"/>
          <w:szCs w:val="22"/>
          <w:lang w:val="pt-PT"/>
        </w:rPr>
        <w:t>od</w:t>
      </w:r>
      <w:r w:rsidRPr="001004FE">
        <w:rPr>
          <w:sz w:val="22"/>
          <w:szCs w:val="22"/>
          <w:lang w:val="pt-PT"/>
        </w:rPr>
        <w:t xml:space="preserve"> 1 sata nakon </w:t>
      </w:r>
      <w:r w:rsidR="00B326BA" w:rsidRPr="001004FE">
        <w:rPr>
          <w:sz w:val="22"/>
          <w:szCs w:val="22"/>
          <w:lang w:val="pt-PT"/>
        </w:rPr>
        <w:t xml:space="preserve">primjene </w:t>
      </w:r>
      <w:r w:rsidRPr="001004FE">
        <w:rPr>
          <w:sz w:val="22"/>
          <w:szCs w:val="22"/>
          <w:lang w:val="pt-PT"/>
        </w:rPr>
        <w:t>injekcije.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Osim izlučivanja putem dijalize,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 xml:space="preserve">značajna frakcija </w:t>
      </w:r>
      <w:r w:rsidR="00E015BE" w:rsidRPr="001004FE">
        <w:rPr>
          <w:sz w:val="22"/>
          <w:szCs w:val="22"/>
          <w:lang w:val="pt-PT"/>
        </w:rPr>
        <w:t xml:space="preserve">primijenjenog </w:t>
      </w:r>
      <w:r w:rsidRPr="001004FE">
        <w:rPr>
          <w:sz w:val="22"/>
          <w:szCs w:val="22"/>
          <w:lang w:val="pt-PT"/>
        </w:rPr>
        <w:t xml:space="preserve">gadoksetat dinatrijuma se izlučuje putem žuči </w:t>
      </w:r>
      <w:r w:rsidR="00B326BA" w:rsidRPr="001004FE">
        <w:rPr>
          <w:sz w:val="22"/>
          <w:szCs w:val="22"/>
          <w:lang w:val="pt-PT"/>
        </w:rPr>
        <w:t>kod</w:t>
      </w:r>
      <w:r w:rsidRPr="001004FE">
        <w:rPr>
          <w:sz w:val="22"/>
          <w:szCs w:val="22"/>
          <w:lang w:val="pt-PT"/>
        </w:rPr>
        <w:t xml:space="preserve"> ovih </w:t>
      </w:r>
      <w:r w:rsidR="00B326BA" w:rsidRPr="001004FE">
        <w:rPr>
          <w:sz w:val="22"/>
          <w:szCs w:val="22"/>
          <w:lang w:val="pt-PT"/>
        </w:rPr>
        <w:t xml:space="preserve">pacijenata </w:t>
      </w:r>
      <w:r w:rsidRPr="001004FE">
        <w:rPr>
          <w:sz w:val="22"/>
          <w:szCs w:val="22"/>
          <w:lang w:val="pt-PT"/>
        </w:rPr>
        <w:t>što je p</w:t>
      </w:r>
      <w:r w:rsidR="00B326BA" w:rsidRPr="001004FE">
        <w:rPr>
          <w:sz w:val="22"/>
          <w:szCs w:val="22"/>
          <w:lang w:val="pt-PT"/>
        </w:rPr>
        <w:t>o</w:t>
      </w:r>
      <w:r w:rsidRPr="001004FE">
        <w:rPr>
          <w:sz w:val="22"/>
          <w:szCs w:val="22"/>
          <w:lang w:val="pt-PT"/>
        </w:rPr>
        <w:t>kazano srednjom vrijednosti na</w:t>
      </w:r>
      <w:r w:rsidR="00B326BA" w:rsidRPr="001004FE">
        <w:rPr>
          <w:sz w:val="22"/>
          <w:szCs w:val="22"/>
          <w:lang w:val="pt-PT"/>
        </w:rPr>
        <w:t>đ</w:t>
      </w:r>
      <w:r w:rsidRPr="001004FE">
        <w:rPr>
          <w:sz w:val="22"/>
          <w:szCs w:val="22"/>
          <w:lang w:val="pt-PT"/>
        </w:rPr>
        <w:t>enoj u fecesu od oko 50% u</w:t>
      </w:r>
      <w:r w:rsidR="00E015BE" w:rsidRPr="001004FE">
        <w:rPr>
          <w:sz w:val="22"/>
          <w:szCs w:val="22"/>
          <w:lang w:val="pt-PT"/>
        </w:rPr>
        <w:t xml:space="preserve"> toku</w:t>
      </w:r>
      <w:r w:rsidRPr="001004FE">
        <w:rPr>
          <w:sz w:val="22"/>
          <w:szCs w:val="22"/>
          <w:lang w:val="pt-PT"/>
        </w:rPr>
        <w:t xml:space="preserve"> 4 dana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(raspon 24,6 do 74,0%</w:t>
      </w:r>
      <w:r w:rsidR="00B326BA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,n=6 pacijenata).</w:t>
      </w:r>
    </w:p>
    <w:p w14:paraId="04C5E0DE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6506A08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5.3.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6C3713F1" w14:textId="580658D0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Na osnovu konvencionalnih studija akutne i subhronične toksičnosti, genotoksičnosti i potencijala kontaktne osjetljivosti, pretklinički podaci ne otkrivaju bilo kakav poseban rizik za ljude. </w:t>
      </w:r>
    </w:p>
    <w:p w14:paraId="1804FB47" w14:textId="77777777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90E97A6" w14:textId="77777777" w:rsidR="00614154" w:rsidRDefault="00614154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</w:p>
    <w:p w14:paraId="36984476" w14:textId="77777777" w:rsidR="00614154" w:rsidRDefault="00614154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</w:p>
    <w:p w14:paraId="12289243" w14:textId="327110A4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  <w:lang w:val="pt-PT"/>
        </w:rPr>
        <w:t>Kardiološka bezbjednost</w:t>
      </w:r>
    </w:p>
    <w:p w14:paraId="4366A6B8" w14:textId="77777777" w:rsidR="003C748E" w:rsidRPr="001004FE" w:rsidRDefault="003C748E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</w:p>
    <w:p w14:paraId="397FC20C" w14:textId="77777777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U telemetriji kod svjesnih pasa uočeno je malo i prolazno produženje QT pri najvišoj testiranoj dozi                   </w:t>
      </w:r>
    </w:p>
    <w:p w14:paraId="7544188E" w14:textId="3BADA800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od 0,5 mmol/kg, </w:t>
      </w:r>
      <w:r w:rsidR="00353D31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koja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predstavlja dozu 20 puta veću od one koja se primjenjuje </w:t>
      </w:r>
      <w:r w:rsidR="00353D31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kod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ljudi. Pri visokim koncentracijama, Gd-EOB-DTPA je blokirao HERG kanal i produžio trajanje akcionog potencijala u izolovanim papilarnim mišićima zamoraca. Ovo ukazuje da bi </w:t>
      </w:r>
      <w:r w:rsidR="00353D31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lijek Primovist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pri predoziranju mogao </w:t>
      </w:r>
      <w:r w:rsidR="00353D31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da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induk</w:t>
      </w:r>
      <w:r w:rsidR="00353D31" w:rsidRPr="001004FE">
        <w:rPr>
          <w:rFonts w:ascii="Times New Roman" w:hAnsi="Times New Roman" w:cs="Times New Roman"/>
          <w:sz w:val="22"/>
          <w:szCs w:val="22"/>
          <w:lang w:val="pt-PT"/>
        </w:rPr>
        <w:t>uje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produženje QT. </w:t>
      </w:r>
    </w:p>
    <w:p w14:paraId="506EE364" w14:textId="557C84A5" w:rsidR="001E1A06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U farmakološkim studijama bezbjednosti na drugim sistemima </w:t>
      </w:r>
      <w:r w:rsidR="00D66CF0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organa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ni</w:t>
      </w:r>
      <w:r w:rsidR="00E015BE" w:rsidRPr="001004FE">
        <w:rPr>
          <w:rFonts w:ascii="Times New Roman" w:hAnsi="Times New Roman" w:cs="Times New Roman"/>
          <w:sz w:val="22"/>
          <w:szCs w:val="22"/>
          <w:lang w:val="pt-PT"/>
        </w:rPr>
        <w:t>je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su otkriveni bilo kakvi nalazi. </w:t>
      </w:r>
    </w:p>
    <w:p w14:paraId="209D1D37" w14:textId="5310389B" w:rsidR="003C748E" w:rsidRPr="001004FE" w:rsidRDefault="001E1A06" w:rsidP="00F81221">
      <w:pPr>
        <w:pStyle w:val="Style"/>
        <w:spacing w:before="240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  <w:lang w:val="pt-PT"/>
        </w:rPr>
        <w:t>Reproduktivna toksičnost i dojenje</w:t>
      </w:r>
    </w:p>
    <w:p w14:paraId="30588074" w14:textId="77777777" w:rsidR="00E015BE" w:rsidRPr="001004FE" w:rsidRDefault="00E015BE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pt-PT"/>
        </w:rPr>
      </w:pPr>
    </w:p>
    <w:p w14:paraId="09B14DB3" w14:textId="093675F0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>U jednoj studiji embriotoksičnosti na kunićima, uočen je povećan gubitak zametaka nakon implantacije, kao i povećana stopa abortusa nakon ponovljene primjene 2,0 mmol/kg Gd-EOB-DTPA, što je približno 25,9</w:t>
      </w:r>
      <w:r w:rsidR="00E015BE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puta (izračunato na osnovu površine tijela ) ili </w:t>
      </w:r>
      <w:r w:rsidR="00D66CF0" w:rsidRPr="001004FE">
        <w:rPr>
          <w:rFonts w:ascii="Times New Roman" w:hAnsi="Times New Roman" w:cs="Times New Roman"/>
          <w:sz w:val="22"/>
          <w:szCs w:val="22"/>
          <w:lang w:val="pt-PT"/>
        </w:rPr>
        <w:t>oko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80</w:t>
      </w:r>
      <w:r w:rsidR="00E015BE"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1004FE">
        <w:rPr>
          <w:rFonts w:ascii="Times New Roman" w:hAnsi="Times New Roman" w:cs="Times New Roman"/>
          <w:sz w:val="22"/>
          <w:szCs w:val="22"/>
          <w:lang w:val="pt-PT"/>
        </w:rPr>
        <w:t>puta (izračunato na osnovu tjelesne mase) veća doza od one koja se preporučuje za ljude.</w:t>
      </w:r>
    </w:p>
    <w:p w14:paraId="550147E3" w14:textId="77777777" w:rsidR="00E015BE" w:rsidRPr="001004FE" w:rsidRDefault="00E015BE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71FE8FD6" w14:textId="1C8F2476" w:rsidR="001E1A06" w:rsidRPr="001004FE" w:rsidRDefault="001E1A06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1004FE">
        <w:rPr>
          <w:rFonts w:ascii="Times New Roman" w:hAnsi="Times New Roman" w:cs="Times New Roman"/>
          <w:sz w:val="22"/>
          <w:szCs w:val="22"/>
          <w:lang w:val="pt-PT"/>
        </w:rPr>
        <w:t xml:space="preserve">Kod ženki pacova u laktaciji, poslije primijenjene intavenske doze (0,1 mmol/ kg), manje od 0,5% radioaktivno obilježenog gadoksetata se izlučilo u majčino mlijeko. </w:t>
      </w:r>
      <w:r w:rsidRPr="001004FE">
        <w:rPr>
          <w:rFonts w:ascii="Times New Roman" w:hAnsi="Times New Roman" w:cs="Times New Roman"/>
          <w:sz w:val="22"/>
          <w:szCs w:val="22"/>
          <w:lang w:val="de-DE"/>
        </w:rPr>
        <w:t>Resorpcija posl</w:t>
      </w:r>
      <w:r w:rsidR="00E015BE" w:rsidRPr="001004FE">
        <w:rPr>
          <w:rFonts w:ascii="Times New Roman" w:hAnsi="Times New Roman" w:cs="Times New Roman"/>
          <w:sz w:val="22"/>
          <w:szCs w:val="22"/>
          <w:lang w:val="de-DE"/>
        </w:rPr>
        <w:t>ij</w:t>
      </w:r>
      <w:r w:rsidRPr="001004FE">
        <w:rPr>
          <w:rFonts w:ascii="Times New Roman" w:hAnsi="Times New Roman" w:cs="Times New Roman"/>
          <w:sz w:val="22"/>
          <w:szCs w:val="22"/>
          <w:lang w:val="de-DE"/>
        </w:rPr>
        <w:t>e oralne primjene je bila veoma niska kod pacova 0,4%.</w:t>
      </w:r>
    </w:p>
    <w:p w14:paraId="44D33754" w14:textId="0C8AE719" w:rsidR="00D66CF0" w:rsidRPr="001004FE" w:rsidRDefault="00D66CF0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5E4BD4A0" w14:textId="4E6ABD65" w:rsidR="00D66CF0" w:rsidRPr="001004FE" w:rsidRDefault="00D66CF0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  <w:lang w:val="de-DE"/>
        </w:rPr>
        <w:t>Podaci na mladim životinjama</w:t>
      </w:r>
    </w:p>
    <w:p w14:paraId="6FF097D1" w14:textId="77777777" w:rsidR="003C748E" w:rsidRPr="001004FE" w:rsidRDefault="003C748E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</w:p>
    <w:p w14:paraId="47D05B76" w14:textId="684C5502" w:rsidR="00D66CF0" w:rsidRPr="001004FE" w:rsidRDefault="00D66CF0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1004FE">
        <w:rPr>
          <w:rFonts w:ascii="Times New Roman" w:hAnsi="Times New Roman" w:cs="Times New Roman"/>
          <w:sz w:val="22"/>
          <w:szCs w:val="22"/>
          <w:lang w:val="de-DE"/>
        </w:rPr>
        <w:t>Ispitivanja toksičnosti jednokratne i višekratnih doza kod tek okoćenih i mladih pacova nije</w:t>
      </w:r>
      <w:r w:rsidR="00E015BE" w:rsidRPr="001004FE">
        <w:rPr>
          <w:rFonts w:ascii="Times New Roman" w:hAnsi="Times New Roman" w:cs="Times New Roman"/>
          <w:sz w:val="22"/>
          <w:szCs w:val="22"/>
          <w:lang w:val="de-DE"/>
        </w:rPr>
        <w:t>su</w:t>
      </w:r>
      <w:r w:rsidRPr="001004FE">
        <w:rPr>
          <w:rFonts w:ascii="Times New Roman" w:hAnsi="Times New Roman" w:cs="Times New Roman"/>
          <w:sz w:val="22"/>
          <w:szCs w:val="22"/>
          <w:lang w:val="de-DE"/>
        </w:rPr>
        <w:t xml:space="preserve"> se kvalitativno razlikova</w:t>
      </w:r>
      <w:r w:rsidR="00E015BE" w:rsidRPr="001004FE">
        <w:rPr>
          <w:rFonts w:ascii="Times New Roman" w:hAnsi="Times New Roman" w:cs="Times New Roman"/>
          <w:sz w:val="22"/>
          <w:szCs w:val="22"/>
          <w:lang w:val="de-DE"/>
        </w:rPr>
        <w:t>la</w:t>
      </w:r>
      <w:r w:rsidRPr="001004FE">
        <w:rPr>
          <w:rFonts w:ascii="Times New Roman" w:hAnsi="Times New Roman" w:cs="Times New Roman"/>
          <w:sz w:val="22"/>
          <w:szCs w:val="22"/>
          <w:lang w:val="de-DE"/>
        </w:rPr>
        <w:t xml:space="preserve"> od ispitivanja kod odraslih pacova, iako su mla</w:t>
      </w:r>
      <w:r w:rsidR="00E015BE" w:rsidRPr="001004FE">
        <w:rPr>
          <w:rFonts w:ascii="Times New Roman" w:hAnsi="Times New Roman" w:cs="Times New Roman"/>
          <w:sz w:val="22"/>
          <w:szCs w:val="22"/>
          <w:lang w:val="sr-Latn-ME"/>
        </w:rPr>
        <w:t>d</w:t>
      </w:r>
      <w:r w:rsidRPr="001004FE">
        <w:rPr>
          <w:rFonts w:ascii="Times New Roman" w:hAnsi="Times New Roman" w:cs="Times New Roman"/>
          <w:sz w:val="22"/>
          <w:szCs w:val="22"/>
          <w:lang w:val="de-DE"/>
        </w:rPr>
        <w:t>i pacov</w:t>
      </w:r>
      <w:r w:rsidR="00E015BE" w:rsidRPr="001004FE">
        <w:rPr>
          <w:rFonts w:ascii="Times New Roman" w:hAnsi="Times New Roman" w:cs="Times New Roman"/>
          <w:sz w:val="22"/>
          <w:szCs w:val="22"/>
          <w:lang w:val="de-DE"/>
        </w:rPr>
        <w:t>i</w:t>
      </w:r>
      <w:r w:rsidRPr="001004FE">
        <w:rPr>
          <w:rFonts w:ascii="Times New Roman" w:hAnsi="Times New Roman" w:cs="Times New Roman"/>
          <w:sz w:val="22"/>
          <w:szCs w:val="22"/>
          <w:lang w:val="de-DE"/>
        </w:rPr>
        <w:t xml:space="preserve"> osjetljiviji.</w:t>
      </w:r>
    </w:p>
    <w:p w14:paraId="6308572F" w14:textId="1EF6E35B" w:rsidR="003C748E" w:rsidRPr="001004FE" w:rsidRDefault="003C748E" w:rsidP="00F81221">
      <w:pPr>
        <w:pStyle w:val="Style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4DE0ED57" w14:textId="0A7470A3" w:rsidR="001E1A06" w:rsidRPr="001004FE" w:rsidRDefault="001E1A06" w:rsidP="00F81221">
      <w:pPr>
        <w:pStyle w:val="Style"/>
        <w:spacing w:before="240"/>
        <w:contextualSpacing/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  <w:r w:rsidRPr="001004FE">
        <w:rPr>
          <w:rFonts w:ascii="Times New Roman" w:hAnsi="Times New Roman" w:cs="Times New Roman"/>
          <w:sz w:val="22"/>
          <w:szCs w:val="22"/>
          <w:u w:val="single"/>
          <w:lang w:val="de-DE"/>
        </w:rPr>
        <w:t>Lokalna podnošljivost</w:t>
      </w:r>
    </w:p>
    <w:p w14:paraId="3011CC45" w14:textId="77777777" w:rsidR="003C748E" w:rsidRPr="001004FE" w:rsidRDefault="003C748E" w:rsidP="00F81221">
      <w:pPr>
        <w:pStyle w:val="Style"/>
        <w:spacing w:before="240"/>
        <w:contextualSpacing/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</w:p>
    <w:p w14:paraId="48FE1253" w14:textId="35DD178D" w:rsidR="001E1A06" w:rsidRPr="001004FE" w:rsidRDefault="001E1A06" w:rsidP="00F81221">
      <w:pPr>
        <w:pStyle w:val="Style"/>
        <w:spacing w:before="240"/>
        <w:contextualSpacing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1004FE">
        <w:rPr>
          <w:rFonts w:ascii="Times New Roman" w:hAnsi="Times New Roman" w:cs="Times New Roman"/>
          <w:sz w:val="22"/>
          <w:szCs w:val="22"/>
          <w:lang w:val="de-DE"/>
        </w:rPr>
        <w:t xml:space="preserve">Lokalne reakcije </w:t>
      </w:r>
      <w:r w:rsidR="00D66CF0" w:rsidRPr="001004FE">
        <w:rPr>
          <w:rFonts w:ascii="Times New Roman" w:hAnsi="Times New Roman" w:cs="Times New Roman"/>
          <w:sz w:val="22"/>
          <w:szCs w:val="22"/>
          <w:lang w:val="de-DE"/>
        </w:rPr>
        <w:t>intolerancije</w:t>
      </w:r>
      <w:r w:rsidRPr="001004FE">
        <w:rPr>
          <w:rFonts w:ascii="Times New Roman" w:hAnsi="Times New Roman" w:cs="Times New Roman"/>
          <w:sz w:val="22"/>
          <w:szCs w:val="22"/>
          <w:lang w:val="de-DE"/>
        </w:rPr>
        <w:t xml:space="preserve"> su uočene samo nakon intramuskularne primjene Gd-EOB-DTPA.</w:t>
      </w:r>
    </w:p>
    <w:p w14:paraId="5611CD52" w14:textId="77777777" w:rsidR="001E1A06" w:rsidRPr="001004FE" w:rsidRDefault="001E1A06" w:rsidP="00F81221">
      <w:pPr>
        <w:jc w:val="both"/>
        <w:rPr>
          <w:sz w:val="22"/>
          <w:szCs w:val="22"/>
          <w:lang w:val="de-DE"/>
        </w:rPr>
      </w:pPr>
    </w:p>
    <w:p w14:paraId="03FEB476" w14:textId="7C1C093F" w:rsidR="001E1A06" w:rsidRPr="001004FE" w:rsidRDefault="001E1A06" w:rsidP="00F81221">
      <w:pPr>
        <w:jc w:val="both"/>
        <w:rPr>
          <w:sz w:val="22"/>
          <w:szCs w:val="22"/>
          <w:u w:val="single"/>
          <w:lang w:val="de-DE"/>
        </w:rPr>
      </w:pPr>
      <w:r w:rsidRPr="001004FE">
        <w:rPr>
          <w:sz w:val="22"/>
          <w:szCs w:val="22"/>
          <w:u w:val="single"/>
          <w:lang w:val="de-DE"/>
        </w:rPr>
        <w:t>Karcinogenost</w:t>
      </w:r>
    </w:p>
    <w:p w14:paraId="5A9BAED2" w14:textId="77777777" w:rsidR="003C748E" w:rsidRPr="001004FE" w:rsidRDefault="003C748E" w:rsidP="00F81221">
      <w:pPr>
        <w:jc w:val="both"/>
        <w:rPr>
          <w:sz w:val="22"/>
          <w:szCs w:val="22"/>
          <w:u w:val="single"/>
          <w:lang w:val="de-DE"/>
        </w:rPr>
      </w:pPr>
    </w:p>
    <w:p w14:paraId="5D5DB508" w14:textId="2CF1DD03" w:rsidR="001E1A06" w:rsidRPr="001004FE" w:rsidRDefault="001E1A06" w:rsidP="00F81221">
      <w:pPr>
        <w:jc w:val="both"/>
        <w:rPr>
          <w:sz w:val="22"/>
          <w:szCs w:val="22"/>
          <w:lang w:val="de-DE"/>
        </w:rPr>
      </w:pPr>
      <w:r w:rsidRPr="001004FE">
        <w:rPr>
          <w:sz w:val="22"/>
          <w:szCs w:val="22"/>
          <w:lang w:val="de-DE"/>
        </w:rPr>
        <w:t>Ni</w:t>
      </w:r>
      <w:r w:rsidR="00E015BE" w:rsidRPr="001004FE">
        <w:rPr>
          <w:sz w:val="22"/>
          <w:szCs w:val="22"/>
          <w:lang w:val="de-DE"/>
        </w:rPr>
        <w:t>je</w:t>
      </w:r>
      <w:r w:rsidRPr="001004FE">
        <w:rPr>
          <w:sz w:val="22"/>
          <w:szCs w:val="22"/>
          <w:lang w:val="de-DE"/>
        </w:rPr>
        <w:t>su ra</w:t>
      </w:r>
      <w:r w:rsidR="00D66CF0" w:rsidRPr="001004FE">
        <w:rPr>
          <w:sz w:val="22"/>
          <w:szCs w:val="22"/>
          <w:lang w:val="de-DE"/>
        </w:rPr>
        <w:t>đ</w:t>
      </w:r>
      <w:r w:rsidRPr="001004FE">
        <w:rPr>
          <w:sz w:val="22"/>
          <w:szCs w:val="22"/>
          <w:lang w:val="de-DE"/>
        </w:rPr>
        <w:t>ene studije karcinogenosti.</w:t>
      </w:r>
    </w:p>
    <w:p w14:paraId="1F9639DF" w14:textId="3C8E5CE0" w:rsidR="00396DFD" w:rsidRPr="001004FE" w:rsidRDefault="00396DFD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</w:p>
    <w:p w14:paraId="3C8DCBC0" w14:textId="77777777" w:rsidR="00CA6A71" w:rsidRPr="001004FE" w:rsidRDefault="00CA6A71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</w:p>
    <w:p w14:paraId="6136D4AF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6.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FARMACEUTSKI PODACI</w:t>
      </w:r>
    </w:p>
    <w:p w14:paraId="0F8A3204" w14:textId="77777777" w:rsidR="00836B35" w:rsidRPr="001004FE" w:rsidRDefault="00836B35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3AD8145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6.1.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Lista pomoćnih supstanci</w:t>
      </w:r>
      <w:r w:rsidR="002E0135" w:rsidRPr="001004FE">
        <w:rPr>
          <w:b/>
          <w:bCs/>
          <w:sz w:val="22"/>
          <w:szCs w:val="22"/>
          <w:lang w:val="sr-Latn-RS"/>
        </w:rPr>
        <w:t xml:space="preserve"> (ekscipijenasa)</w:t>
      </w:r>
    </w:p>
    <w:p w14:paraId="2A85DEAE" w14:textId="77777777" w:rsidR="003F755A" w:rsidRDefault="003F755A" w:rsidP="00F81221">
      <w:pPr>
        <w:jc w:val="both"/>
        <w:rPr>
          <w:sz w:val="22"/>
          <w:szCs w:val="22"/>
          <w:lang w:val="fi-FI"/>
        </w:rPr>
      </w:pPr>
    </w:p>
    <w:p w14:paraId="260458FE" w14:textId="24F9404D" w:rsidR="001E1A06" w:rsidRPr="001004FE" w:rsidRDefault="003F755A" w:rsidP="00F81221">
      <w:pPr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- T</w:t>
      </w:r>
      <w:r w:rsidRPr="001004FE">
        <w:rPr>
          <w:sz w:val="22"/>
          <w:szCs w:val="22"/>
          <w:lang w:val="fi-FI"/>
        </w:rPr>
        <w:t>rinatrijum kaloksetat</w:t>
      </w:r>
      <w:r>
        <w:rPr>
          <w:sz w:val="22"/>
          <w:szCs w:val="22"/>
          <w:lang w:val="fi-FI"/>
        </w:rPr>
        <w:t>;</w:t>
      </w:r>
    </w:p>
    <w:p w14:paraId="0FD6CF3C" w14:textId="0924829F" w:rsidR="001E1A06" w:rsidRPr="001004FE" w:rsidRDefault="003F755A" w:rsidP="00F81221">
      <w:pPr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- </w:t>
      </w:r>
      <w:r w:rsidRPr="001004FE">
        <w:rPr>
          <w:sz w:val="22"/>
          <w:szCs w:val="22"/>
          <w:lang w:val="fi-FI"/>
        </w:rPr>
        <w:t>hlorovodonična kiselina (za podešavanje p</w:t>
      </w:r>
      <w:r>
        <w:rPr>
          <w:sz w:val="22"/>
          <w:szCs w:val="22"/>
          <w:lang w:val="fi-FI"/>
        </w:rPr>
        <w:t>H</w:t>
      </w:r>
      <w:r w:rsidRPr="001004FE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>;</w:t>
      </w:r>
    </w:p>
    <w:p w14:paraId="3ED8E4CC" w14:textId="58B3CD86" w:rsidR="001E1A06" w:rsidRPr="001004FE" w:rsidRDefault="003F755A" w:rsidP="00F81221">
      <w:pPr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- </w:t>
      </w:r>
      <w:r w:rsidRPr="001004FE">
        <w:rPr>
          <w:sz w:val="22"/>
          <w:szCs w:val="22"/>
          <w:lang w:val="fi-FI"/>
        </w:rPr>
        <w:t>natrijum hidroksid  (za podešavanje p</w:t>
      </w:r>
      <w:r>
        <w:rPr>
          <w:sz w:val="22"/>
          <w:szCs w:val="22"/>
          <w:lang w:val="fi-FI"/>
        </w:rPr>
        <w:t>H</w:t>
      </w:r>
      <w:r w:rsidRPr="001004FE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>;</w:t>
      </w:r>
    </w:p>
    <w:p w14:paraId="4B22E3D2" w14:textId="5481E304" w:rsidR="00D66CF0" w:rsidRPr="001004FE" w:rsidRDefault="003F755A" w:rsidP="00F81221">
      <w:pPr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- </w:t>
      </w:r>
      <w:r w:rsidRPr="001004FE">
        <w:rPr>
          <w:sz w:val="22"/>
          <w:szCs w:val="22"/>
          <w:lang w:val="fi-FI"/>
        </w:rPr>
        <w:t>trometamol</w:t>
      </w:r>
      <w:r>
        <w:rPr>
          <w:sz w:val="22"/>
          <w:szCs w:val="22"/>
          <w:lang w:val="fi-FI"/>
        </w:rPr>
        <w:t>;</w:t>
      </w:r>
    </w:p>
    <w:p w14:paraId="00CE5B13" w14:textId="0AF9D3B8" w:rsidR="001E1A06" w:rsidRPr="001004FE" w:rsidRDefault="003F755A" w:rsidP="00F81221">
      <w:pPr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- </w:t>
      </w:r>
      <w:r w:rsidRPr="001004FE">
        <w:rPr>
          <w:sz w:val="22"/>
          <w:szCs w:val="22"/>
          <w:lang w:val="fi-FI"/>
        </w:rPr>
        <w:t>voda za injekcije</w:t>
      </w:r>
      <w:r>
        <w:rPr>
          <w:sz w:val="22"/>
          <w:szCs w:val="22"/>
          <w:lang w:val="fi-FI"/>
        </w:rPr>
        <w:t>.</w:t>
      </w:r>
    </w:p>
    <w:p w14:paraId="72450848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D5BB8A7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6.2.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Inkompatibilnost</w:t>
      </w:r>
      <w:r w:rsidR="002846DB" w:rsidRPr="001004FE">
        <w:rPr>
          <w:b/>
          <w:bCs/>
          <w:sz w:val="22"/>
          <w:szCs w:val="22"/>
          <w:lang w:val="sr-Latn-RS"/>
        </w:rPr>
        <w:t>i</w:t>
      </w:r>
    </w:p>
    <w:p w14:paraId="09A1CC91" w14:textId="77777777" w:rsidR="000267E4" w:rsidRPr="001004FE" w:rsidRDefault="000267E4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pt-PT"/>
        </w:rPr>
      </w:pPr>
    </w:p>
    <w:p w14:paraId="22C7BA4F" w14:textId="07274C2B" w:rsidR="0072020E" w:rsidRPr="001004FE" w:rsidRDefault="001E1A06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U odsustvu studija inkompatibilnosti, ovaj </w:t>
      </w:r>
      <w:r w:rsidR="00D66CF0" w:rsidRPr="001004FE">
        <w:rPr>
          <w:sz w:val="22"/>
          <w:szCs w:val="22"/>
          <w:lang w:val="pt-PT"/>
        </w:rPr>
        <w:t>lijek</w:t>
      </w:r>
      <w:r w:rsidRPr="001004FE">
        <w:rPr>
          <w:sz w:val="22"/>
          <w:szCs w:val="22"/>
          <w:lang w:val="pt-PT"/>
        </w:rPr>
        <w:t xml:space="preserve"> ne smije da se miješa sa drugim </w:t>
      </w:r>
      <w:r w:rsidR="00D66CF0" w:rsidRPr="001004FE">
        <w:rPr>
          <w:sz w:val="22"/>
          <w:szCs w:val="22"/>
          <w:lang w:val="pt-PT"/>
        </w:rPr>
        <w:t>ljekovima</w:t>
      </w:r>
      <w:r w:rsidRPr="001004FE">
        <w:rPr>
          <w:sz w:val="22"/>
          <w:szCs w:val="22"/>
          <w:lang w:val="pt-PT"/>
        </w:rPr>
        <w:t>.</w:t>
      </w:r>
    </w:p>
    <w:p w14:paraId="7DF932AB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34321CB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>6.3.</w:t>
      </w:r>
      <w:r w:rsidR="00C05DF8" w:rsidRPr="001004FE">
        <w:rPr>
          <w:b/>
          <w:bCs/>
          <w:sz w:val="22"/>
          <w:szCs w:val="22"/>
          <w:lang w:val="sr-Latn-RS"/>
        </w:rPr>
        <w:t xml:space="preserve">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Rok upotrebe</w:t>
      </w:r>
    </w:p>
    <w:p w14:paraId="243A7C51" w14:textId="77777777" w:rsidR="000267E4" w:rsidRPr="001004FE" w:rsidRDefault="000267E4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C61E073" w14:textId="30F0E2D3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1004FE">
        <w:rPr>
          <w:sz w:val="22"/>
          <w:szCs w:val="22"/>
          <w:lang w:val="sr-Latn-RS"/>
        </w:rPr>
        <w:t>5 godina (napunjeni stakleni špric)</w:t>
      </w:r>
    </w:p>
    <w:p w14:paraId="51ECA27F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1004FE">
        <w:rPr>
          <w:sz w:val="22"/>
          <w:szCs w:val="22"/>
          <w:lang w:val="sr-Latn-RS"/>
        </w:rPr>
        <w:t>3 godine (napunjeni plastični špric)</w:t>
      </w:r>
    </w:p>
    <w:p w14:paraId="7E22D2C0" w14:textId="77777777" w:rsidR="001E1A06" w:rsidRPr="001004FE" w:rsidRDefault="001E1A0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1745252" w14:textId="16FBB551" w:rsidR="0072020E" w:rsidRPr="001004FE" w:rsidRDefault="00D66CF0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lastRenderedPageBreak/>
        <w:t xml:space="preserve">Lijek </w:t>
      </w:r>
      <w:r w:rsidR="001E1A06" w:rsidRPr="001004FE">
        <w:rPr>
          <w:sz w:val="22"/>
          <w:szCs w:val="22"/>
          <w:lang w:val="pt-PT"/>
        </w:rPr>
        <w:t>Primov</w:t>
      </w:r>
      <w:r w:rsidR="00696637" w:rsidRPr="001004FE">
        <w:rPr>
          <w:sz w:val="22"/>
          <w:szCs w:val="22"/>
          <w:lang w:val="pt-PT"/>
        </w:rPr>
        <w:t>i</w:t>
      </w:r>
      <w:r w:rsidR="001E1A06" w:rsidRPr="001004FE">
        <w:rPr>
          <w:sz w:val="22"/>
          <w:szCs w:val="22"/>
          <w:lang w:val="pt-PT"/>
        </w:rPr>
        <w:t>st rastvor za injekciju se mora upotrijebiti neposredno nakon otvaranja.</w:t>
      </w:r>
    </w:p>
    <w:p w14:paraId="41ACA724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9356721" w14:textId="77777777" w:rsidR="00614154" w:rsidRDefault="00614154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625B5DA" w14:textId="77777777" w:rsidR="00614154" w:rsidRDefault="00614154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686EB02" w14:textId="35F0136B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6.4.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1004FE">
        <w:rPr>
          <w:b/>
          <w:bCs/>
          <w:sz w:val="22"/>
          <w:szCs w:val="22"/>
          <w:lang w:val="sr-Latn-RS"/>
        </w:rPr>
        <w:t xml:space="preserve"> lijeka</w:t>
      </w:r>
    </w:p>
    <w:p w14:paraId="5F9D82FB" w14:textId="77777777" w:rsidR="00696637" w:rsidRPr="001004FE" w:rsidRDefault="00696637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0F26FB1" w14:textId="36010159" w:rsidR="00EC2532" w:rsidRPr="001004FE" w:rsidRDefault="001E1A0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1004FE">
        <w:rPr>
          <w:bCs/>
          <w:sz w:val="22"/>
          <w:szCs w:val="22"/>
          <w:lang w:val="sr-Latn-RS"/>
        </w:rPr>
        <w:t>Lijek Primovist ne zahtijeva posebne uslove čuvanja.</w:t>
      </w:r>
    </w:p>
    <w:p w14:paraId="2F58C021" w14:textId="77777777" w:rsidR="001E1A06" w:rsidRPr="001004FE" w:rsidRDefault="001E1A0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FB3831C" w14:textId="08D244E9" w:rsidR="0072020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6.5.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="002846DB" w:rsidRPr="001004FE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1004FE">
        <w:rPr>
          <w:b/>
          <w:bCs/>
          <w:sz w:val="22"/>
          <w:szCs w:val="22"/>
          <w:lang w:val="sr-Latn-RS"/>
        </w:rPr>
        <w:t>pakovanja</w:t>
      </w:r>
      <w:r w:rsidR="00C06864" w:rsidRPr="001004FE">
        <w:rPr>
          <w:b/>
          <w:bCs/>
          <w:sz w:val="22"/>
          <w:szCs w:val="22"/>
          <w:lang w:val="sr-Latn-RS"/>
        </w:rPr>
        <w:t xml:space="preserve"> </w:t>
      </w:r>
    </w:p>
    <w:p w14:paraId="05AA4277" w14:textId="77777777" w:rsidR="003F755A" w:rsidRPr="001004FE" w:rsidRDefault="003F755A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6A759EB" w14:textId="7B1FC7DC" w:rsidR="001E1A06" w:rsidRPr="001004FE" w:rsidRDefault="001E1A06" w:rsidP="00F81221">
      <w:pPr>
        <w:numPr>
          <w:ilvl w:val="0"/>
          <w:numId w:val="17"/>
        </w:numPr>
        <w:tabs>
          <w:tab w:val="clear" w:pos="840"/>
          <w:tab w:val="num" w:pos="360"/>
        </w:tabs>
        <w:ind w:left="0" w:firstLine="0"/>
        <w:jc w:val="both"/>
        <w:rPr>
          <w:sz w:val="22"/>
          <w:szCs w:val="22"/>
          <w:lang w:val="pt-PT"/>
        </w:rPr>
      </w:pPr>
      <w:r w:rsidRPr="0069605B">
        <w:rPr>
          <w:sz w:val="22"/>
          <w:szCs w:val="22"/>
          <w:u w:val="single"/>
          <w:lang w:val="pt-PT"/>
        </w:rPr>
        <w:t>Napunjeni stakleni injekcion</w:t>
      </w:r>
      <w:r w:rsidR="00696637" w:rsidRPr="0069605B">
        <w:rPr>
          <w:sz w:val="22"/>
          <w:szCs w:val="22"/>
          <w:u w:val="single"/>
          <w:lang w:val="pt-PT"/>
        </w:rPr>
        <w:t>i</w:t>
      </w:r>
      <w:r w:rsidRPr="0069605B">
        <w:rPr>
          <w:sz w:val="22"/>
          <w:szCs w:val="22"/>
          <w:u w:val="single"/>
          <w:lang w:val="pt-PT"/>
        </w:rPr>
        <w:t xml:space="preserve"> špric od 10 ml sa 10 ml rastvora za injekciju</w:t>
      </w:r>
      <w:r w:rsidRPr="001004FE">
        <w:rPr>
          <w:sz w:val="22"/>
          <w:szCs w:val="22"/>
          <w:lang w:val="pt-PT"/>
        </w:rPr>
        <w:t>.</w:t>
      </w:r>
    </w:p>
    <w:p w14:paraId="0D319053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</w:p>
    <w:p w14:paraId="417A6EAF" w14:textId="334024D7" w:rsidR="001E1A06" w:rsidRPr="001004FE" w:rsidRDefault="003F755A" w:rsidP="00F81221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</w:t>
      </w:r>
      <w:r w:rsidR="001E1A06" w:rsidRPr="001004FE">
        <w:rPr>
          <w:sz w:val="22"/>
          <w:szCs w:val="22"/>
          <w:lang w:val="pt-PT"/>
        </w:rPr>
        <w:t>Cilindar:</w:t>
      </w:r>
      <w:r w:rsidR="001E1A06" w:rsidRPr="001004FE">
        <w:rPr>
          <w:sz w:val="22"/>
          <w:szCs w:val="22"/>
          <w:lang w:val="pt-PT"/>
        </w:rPr>
        <w:tab/>
      </w:r>
      <w:r w:rsidR="001E1A06" w:rsidRPr="001004FE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 xml:space="preserve">     b</w:t>
      </w:r>
      <w:r w:rsidR="001E1A06" w:rsidRPr="001004FE">
        <w:rPr>
          <w:sz w:val="22"/>
          <w:szCs w:val="22"/>
          <w:lang w:val="pt-PT"/>
        </w:rPr>
        <w:t>ezbojno staklo tipa I, silikonizovano emulzijom silikonskog ulja</w:t>
      </w:r>
    </w:p>
    <w:p w14:paraId="10F501B3" w14:textId="1AFE9504" w:rsidR="001E1A06" w:rsidRPr="001004FE" w:rsidRDefault="003F755A" w:rsidP="00F81221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</w:t>
      </w:r>
      <w:r w:rsidR="001E1A06" w:rsidRPr="001004FE">
        <w:rPr>
          <w:sz w:val="22"/>
          <w:szCs w:val="22"/>
          <w:lang w:val="pt-PT"/>
        </w:rPr>
        <w:t>Čep:</w:t>
      </w:r>
      <w:r w:rsidR="001E1A06" w:rsidRPr="001004FE">
        <w:rPr>
          <w:sz w:val="22"/>
          <w:szCs w:val="22"/>
          <w:lang w:val="pt-PT"/>
        </w:rPr>
        <w:tab/>
      </w:r>
      <w:r w:rsidR="001E1A06" w:rsidRPr="001004FE">
        <w:rPr>
          <w:sz w:val="22"/>
          <w:szCs w:val="22"/>
          <w:lang w:val="pt-PT"/>
        </w:rPr>
        <w:tab/>
      </w:r>
      <w:r w:rsidRPr="001004FE">
        <w:rPr>
          <w:sz w:val="22"/>
          <w:szCs w:val="22"/>
          <w:lang w:val="pt-PT"/>
        </w:rPr>
        <w:t xml:space="preserve">                 </w:t>
      </w:r>
      <w:r>
        <w:rPr>
          <w:sz w:val="22"/>
          <w:szCs w:val="22"/>
          <w:lang w:val="pt-PT"/>
        </w:rPr>
        <w:t xml:space="preserve"> h</w:t>
      </w:r>
      <w:r w:rsidR="001E1A06" w:rsidRPr="001004FE">
        <w:rPr>
          <w:sz w:val="22"/>
          <w:szCs w:val="22"/>
          <w:lang w:val="pt-PT"/>
        </w:rPr>
        <w:t>lorirana butil guma, silikonizovana silikonskim uljem</w:t>
      </w:r>
    </w:p>
    <w:p w14:paraId="224EE681" w14:textId="3C5E9089" w:rsidR="001E1A06" w:rsidRPr="001004FE" w:rsidRDefault="003F755A" w:rsidP="00F81221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</w:t>
      </w:r>
      <w:r w:rsidR="001E1A06" w:rsidRPr="001004FE">
        <w:rPr>
          <w:sz w:val="22"/>
          <w:szCs w:val="22"/>
          <w:lang w:val="pt-PT"/>
        </w:rPr>
        <w:t>Zatvarač na vrhu:</w:t>
      </w:r>
      <w:r w:rsidR="001E1A06" w:rsidRPr="001004FE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 xml:space="preserve">     h</w:t>
      </w:r>
      <w:r w:rsidR="001E1A06" w:rsidRPr="001004FE">
        <w:rPr>
          <w:sz w:val="22"/>
          <w:szCs w:val="22"/>
          <w:lang w:val="pt-PT"/>
        </w:rPr>
        <w:t>lorirana butil guma</w:t>
      </w:r>
    </w:p>
    <w:p w14:paraId="47ED985D" w14:textId="12DBA1CD" w:rsidR="001E1A06" w:rsidRPr="001004FE" w:rsidRDefault="003F755A" w:rsidP="00F812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E1A06" w:rsidRPr="001004FE">
        <w:rPr>
          <w:sz w:val="22"/>
          <w:szCs w:val="22"/>
        </w:rPr>
        <w:t>Luer Lock adapter:</w:t>
      </w:r>
      <w:r w:rsidR="001E1A06" w:rsidRPr="001004FE">
        <w:rPr>
          <w:sz w:val="22"/>
          <w:szCs w:val="22"/>
        </w:rPr>
        <w:tab/>
      </w:r>
      <w:r>
        <w:rPr>
          <w:sz w:val="22"/>
          <w:szCs w:val="22"/>
        </w:rPr>
        <w:t xml:space="preserve">     p</w:t>
      </w:r>
      <w:r w:rsidR="001E1A06" w:rsidRPr="001004FE">
        <w:rPr>
          <w:sz w:val="22"/>
          <w:szCs w:val="22"/>
        </w:rPr>
        <w:t>olisulfon</w:t>
      </w:r>
    </w:p>
    <w:p w14:paraId="00FAF5CA" w14:textId="01CDE56F" w:rsidR="001E1A06" w:rsidRPr="001004FE" w:rsidRDefault="003F755A" w:rsidP="00F812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E1A06" w:rsidRPr="001004FE">
        <w:rPr>
          <w:sz w:val="22"/>
          <w:szCs w:val="22"/>
        </w:rPr>
        <w:t>Sigurnosni zatvarač:</w:t>
      </w:r>
      <w:r w:rsidR="001E1A06" w:rsidRPr="001004FE">
        <w:rPr>
          <w:sz w:val="22"/>
          <w:szCs w:val="22"/>
        </w:rPr>
        <w:tab/>
      </w:r>
      <w:r>
        <w:rPr>
          <w:sz w:val="22"/>
          <w:szCs w:val="22"/>
        </w:rPr>
        <w:t xml:space="preserve">     p</w:t>
      </w:r>
      <w:r w:rsidR="001E1A06" w:rsidRPr="001004FE">
        <w:rPr>
          <w:sz w:val="22"/>
          <w:szCs w:val="22"/>
        </w:rPr>
        <w:t>olipropilen</w:t>
      </w:r>
    </w:p>
    <w:p w14:paraId="36B3FD3B" w14:textId="77777777" w:rsidR="001E1A06" w:rsidRPr="001004FE" w:rsidRDefault="001E1A06" w:rsidP="00F81221">
      <w:pPr>
        <w:jc w:val="both"/>
        <w:rPr>
          <w:sz w:val="22"/>
          <w:szCs w:val="22"/>
        </w:rPr>
      </w:pPr>
    </w:p>
    <w:p w14:paraId="320698C7" w14:textId="76224501" w:rsidR="001E1A06" w:rsidRPr="0069605B" w:rsidRDefault="001E1A06" w:rsidP="00F81221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ind w:left="0" w:firstLine="0"/>
        <w:jc w:val="both"/>
        <w:rPr>
          <w:sz w:val="22"/>
          <w:szCs w:val="22"/>
          <w:u w:val="single"/>
          <w:lang w:val="pl-PL"/>
        </w:rPr>
      </w:pPr>
      <w:r w:rsidRPr="0069605B">
        <w:rPr>
          <w:sz w:val="22"/>
          <w:szCs w:val="22"/>
          <w:u w:val="single"/>
          <w:lang w:val="pl-PL"/>
        </w:rPr>
        <w:t>Napunjeni plastični injekcioni špric od 10 m</w:t>
      </w:r>
      <w:r w:rsidR="00696637" w:rsidRPr="0069605B">
        <w:rPr>
          <w:sz w:val="22"/>
          <w:szCs w:val="22"/>
          <w:u w:val="single"/>
          <w:lang w:val="pl-PL"/>
        </w:rPr>
        <w:t>l</w:t>
      </w:r>
      <w:r w:rsidRPr="0069605B">
        <w:rPr>
          <w:sz w:val="22"/>
          <w:szCs w:val="22"/>
          <w:u w:val="single"/>
          <w:lang w:val="pl-PL"/>
        </w:rPr>
        <w:t xml:space="preserve"> sa 10 m</w:t>
      </w:r>
      <w:r w:rsidR="00696637" w:rsidRPr="0069605B">
        <w:rPr>
          <w:sz w:val="22"/>
          <w:szCs w:val="22"/>
          <w:u w:val="single"/>
          <w:lang w:val="pl-PL"/>
        </w:rPr>
        <w:t>l</w:t>
      </w:r>
      <w:r w:rsidRPr="0069605B">
        <w:rPr>
          <w:sz w:val="22"/>
          <w:szCs w:val="22"/>
          <w:u w:val="single"/>
          <w:lang w:val="pl-PL"/>
        </w:rPr>
        <w:t xml:space="preserve"> rastvora za injekciju</w:t>
      </w:r>
    </w:p>
    <w:p w14:paraId="770368A4" w14:textId="77777777" w:rsidR="003F755A" w:rsidRDefault="003F755A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421FCF27" w14:textId="52E778DD" w:rsidR="001E1A06" w:rsidRPr="001004FE" w:rsidRDefault="003F755A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</w:t>
      </w:r>
      <w:r w:rsidR="001E1A06" w:rsidRPr="001004FE">
        <w:rPr>
          <w:sz w:val="22"/>
          <w:szCs w:val="22"/>
          <w:lang w:val="pl-PL"/>
        </w:rPr>
        <w:t xml:space="preserve">Cilindar:                            </w:t>
      </w:r>
      <w:r>
        <w:rPr>
          <w:sz w:val="22"/>
          <w:szCs w:val="22"/>
          <w:lang w:val="pl-PL"/>
        </w:rPr>
        <w:t>b</w:t>
      </w:r>
      <w:r w:rsidRPr="001004FE">
        <w:rPr>
          <w:sz w:val="22"/>
          <w:szCs w:val="22"/>
          <w:lang w:val="pl-PL"/>
        </w:rPr>
        <w:t xml:space="preserve">ezbojna </w:t>
      </w:r>
      <w:r w:rsidR="001E1A06" w:rsidRPr="001004FE">
        <w:rPr>
          <w:sz w:val="22"/>
          <w:szCs w:val="22"/>
          <w:lang w:val="pl-PL"/>
        </w:rPr>
        <w:t>plastika od cikloolefin polimera</w:t>
      </w:r>
    </w:p>
    <w:p w14:paraId="595AE23C" w14:textId="15149034" w:rsidR="001E1A06" w:rsidRPr="001004FE" w:rsidRDefault="003F755A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</w:t>
      </w:r>
      <w:r w:rsidR="001E1A06" w:rsidRPr="001004FE">
        <w:rPr>
          <w:sz w:val="22"/>
          <w:szCs w:val="22"/>
          <w:lang w:val="pl-PL"/>
        </w:rPr>
        <w:t xml:space="preserve">Zatvarač na vrhu:              </w:t>
      </w:r>
      <w:r>
        <w:rPr>
          <w:sz w:val="22"/>
          <w:szCs w:val="22"/>
          <w:lang w:val="pl-PL"/>
        </w:rPr>
        <w:t>t</w:t>
      </w:r>
      <w:r w:rsidRPr="001004FE">
        <w:rPr>
          <w:sz w:val="22"/>
          <w:szCs w:val="22"/>
          <w:lang w:val="pl-PL"/>
        </w:rPr>
        <w:t xml:space="preserve">ermoplastični </w:t>
      </w:r>
      <w:r w:rsidR="001E1A06" w:rsidRPr="001004FE">
        <w:rPr>
          <w:sz w:val="22"/>
          <w:szCs w:val="22"/>
          <w:lang w:val="pl-PL"/>
        </w:rPr>
        <w:t>elastomer</w:t>
      </w:r>
    </w:p>
    <w:p w14:paraId="0EA5F430" w14:textId="50ECE42B" w:rsidR="001E1A06" w:rsidRPr="001004FE" w:rsidRDefault="003F755A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</w:t>
      </w:r>
      <w:r w:rsidR="001E1A06" w:rsidRPr="001004FE">
        <w:rPr>
          <w:sz w:val="22"/>
          <w:szCs w:val="22"/>
          <w:lang w:val="pl-PL"/>
        </w:rPr>
        <w:t xml:space="preserve">Klip:                                  </w:t>
      </w:r>
      <w:r>
        <w:rPr>
          <w:sz w:val="22"/>
          <w:szCs w:val="22"/>
          <w:lang w:val="pl-PL"/>
        </w:rPr>
        <w:t>b</w:t>
      </w:r>
      <w:r w:rsidRPr="001004FE">
        <w:rPr>
          <w:sz w:val="22"/>
          <w:szCs w:val="22"/>
          <w:lang w:val="pl-PL"/>
        </w:rPr>
        <w:t>romobutil</w:t>
      </w:r>
      <w:r w:rsidR="001E1A06" w:rsidRPr="001004FE">
        <w:rPr>
          <w:sz w:val="22"/>
          <w:szCs w:val="22"/>
          <w:lang w:val="pl-PL"/>
        </w:rPr>
        <w:t>, silikonizovani</w:t>
      </w:r>
    </w:p>
    <w:p w14:paraId="0F95877E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</w:p>
    <w:p w14:paraId="767BAD22" w14:textId="77777777" w:rsidR="001E1A06" w:rsidRPr="001004FE" w:rsidRDefault="001E1A06" w:rsidP="00F81221">
      <w:pPr>
        <w:jc w:val="both"/>
        <w:rPr>
          <w:sz w:val="22"/>
          <w:szCs w:val="22"/>
          <w:lang w:val="pt-PT"/>
        </w:rPr>
      </w:pPr>
    </w:p>
    <w:p w14:paraId="07D4FF79" w14:textId="226CD471" w:rsidR="001E1A06" w:rsidRPr="001004FE" w:rsidRDefault="001E1A0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Veličina pakovanja:</w:t>
      </w:r>
      <w:r w:rsidR="003F755A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1 x 10 ml (u napunjenom injekcionom špricu od 10 ml)</w:t>
      </w:r>
    </w:p>
    <w:p w14:paraId="54B9B0A6" w14:textId="77777777" w:rsidR="0072020E" w:rsidRPr="001004F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2BAAFD6" w14:textId="77777777" w:rsidR="002846DB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6.6.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1004FE">
        <w:rPr>
          <w:b/>
          <w:bCs/>
          <w:sz w:val="22"/>
          <w:szCs w:val="22"/>
          <w:lang w:val="sr-Latn-RS"/>
        </w:rPr>
        <w:t xml:space="preserve"> </w:t>
      </w:r>
      <w:r w:rsidR="00310F03" w:rsidRPr="001004FE">
        <w:rPr>
          <w:b/>
          <w:bCs/>
          <w:sz w:val="22"/>
          <w:szCs w:val="22"/>
          <w:lang w:val="sr-Latn-RS"/>
        </w:rPr>
        <w:t>(i druga uputs</w:t>
      </w:r>
      <w:r w:rsidR="004109FA" w:rsidRPr="001004FE">
        <w:rPr>
          <w:b/>
          <w:bCs/>
          <w:sz w:val="22"/>
          <w:szCs w:val="22"/>
          <w:lang w:val="sr-Latn-RS"/>
        </w:rPr>
        <w:t>t</w:t>
      </w:r>
      <w:r w:rsidR="00310F03" w:rsidRPr="001004FE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7EF89548" w14:textId="77777777" w:rsidR="00B66A70" w:rsidRPr="001004FE" w:rsidRDefault="00B66A70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E1A553E" w14:textId="6C40FD97" w:rsidR="00874C96" w:rsidRPr="001004FE" w:rsidRDefault="00E015BE" w:rsidP="00F81221">
      <w:pPr>
        <w:jc w:val="both"/>
        <w:rPr>
          <w:sz w:val="22"/>
          <w:szCs w:val="22"/>
          <w:u w:val="single"/>
          <w:lang w:val="sr-Latn-RS"/>
        </w:rPr>
      </w:pPr>
      <w:r w:rsidRPr="001004FE">
        <w:rPr>
          <w:sz w:val="22"/>
          <w:szCs w:val="22"/>
          <w:u w:val="single"/>
          <w:lang w:val="sr-Latn-RS"/>
        </w:rPr>
        <w:t>Vizuelni pregled</w:t>
      </w:r>
    </w:p>
    <w:p w14:paraId="0345212A" w14:textId="2644B3A0" w:rsidR="00874C96" w:rsidRPr="001004FE" w:rsidRDefault="008F0DE4" w:rsidP="00F81221">
      <w:pPr>
        <w:jc w:val="both"/>
        <w:rPr>
          <w:sz w:val="22"/>
          <w:szCs w:val="22"/>
          <w:lang w:val="sr-Latn-RS"/>
        </w:rPr>
      </w:pPr>
      <w:r w:rsidRPr="001004FE">
        <w:rPr>
          <w:sz w:val="22"/>
          <w:szCs w:val="22"/>
          <w:lang w:val="sr-Latn-RS"/>
        </w:rPr>
        <w:t xml:space="preserve">Lijek </w:t>
      </w:r>
      <w:r w:rsidR="00874C96" w:rsidRPr="001004FE">
        <w:rPr>
          <w:sz w:val="22"/>
          <w:szCs w:val="22"/>
          <w:lang w:val="sr-Latn-RS"/>
        </w:rPr>
        <w:t>Primovist se nalazi u obliku koji je spreman za primjenu kao bistar, bezbojan do sv</w:t>
      </w:r>
      <w:r w:rsidR="00894B1B" w:rsidRPr="001004FE">
        <w:rPr>
          <w:sz w:val="22"/>
          <w:szCs w:val="22"/>
          <w:lang w:val="sr-Latn-RS"/>
        </w:rPr>
        <w:t>i</w:t>
      </w:r>
      <w:r w:rsidR="00874C96" w:rsidRPr="001004FE">
        <w:rPr>
          <w:sz w:val="22"/>
          <w:szCs w:val="22"/>
          <w:lang w:val="sr-Latn-RS"/>
        </w:rPr>
        <w:t xml:space="preserve">jetložut rastvor bez vidljivih </w:t>
      </w:r>
      <w:r w:rsidR="00874C96" w:rsidRPr="001004FE">
        <w:rPr>
          <w:sz w:val="22"/>
          <w:szCs w:val="22"/>
          <w:lang w:val="sr-Latn-CS"/>
        </w:rPr>
        <w:t>č</w:t>
      </w:r>
      <w:r w:rsidR="00874C96" w:rsidRPr="001004FE">
        <w:rPr>
          <w:sz w:val="22"/>
          <w:szCs w:val="22"/>
          <w:lang w:val="sr-Latn-RS"/>
        </w:rPr>
        <w:t xml:space="preserve">estica. </w:t>
      </w:r>
      <w:r w:rsidR="00E015BE" w:rsidRPr="001004FE">
        <w:rPr>
          <w:sz w:val="22"/>
          <w:szCs w:val="22"/>
          <w:lang w:val="sr-Latn-RS"/>
        </w:rPr>
        <w:t>On se mora vizuelno pregledati prije upotrebe</w:t>
      </w:r>
      <w:r w:rsidR="00894B1B" w:rsidRPr="001004FE">
        <w:rPr>
          <w:sz w:val="22"/>
          <w:szCs w:val="22"/>
          <w:lang w:val="sr-Latn-RS"/>
        </w:rPr>
        <w:t>.</w:t>
      </w:r>
    </w:p>
    <w:p w14:paraId="0E1602A1" w14:textId="144D8A49" w:rsidR="00874C96" w:rsidRPr="001004FE" w:rsidRDefault="00894B1B" w:rsidP="00F81221">
      <w:pPr>
        <w:jc w:val="both"/>
        <w:rPr>
          <w:sz w:val="22"/>
          <w:szCs w:val="22"/>
          <w:lang w:val="sr-Latn-RS"/>
        </w:rPr>
      </w:pPr>
      <w:r w:rsidRPr="001004FE">
        <w:rPr>
          <w:sz w:val="22"/>
          <w:szCs w:val="22"/>
          <w:lang w:val="sr-Latn-RS"/>
        </w:rPr>
        <w:t>Lijek</w:t>
      </w:r>
      <w:r w:rsidR="00874C96" w:rsidRPr="001004FE">
        <w:rPr>
          <w:sz w:val="22"/>
          <w:szCs w:val="22"/>
          <w:lang w:val="sr-Latn-RS"/>
        </w:rPr>
        <w:t xml:space="preserve"> ne treba primjenjivati u slučaju izrazite promjene boje, pojave čestica ili oštećenja kontaktne ambalaže.</w:t>
      </w:r>
    </w:p>
    <w:p w14:paraId="1DB32085" w14:textId="77777777" w:rsidR="008F0DE4" w:rsidRPr="001004FE" w:rsidRDefault="008F0DE4" w:rsidP="00F81221">
      <w:pPr>
        <w:jc w:val="both"/>
        <w:rPr>
          <w:sz w:val="22"/>
          <w:szCs w:val="22"/>
          <w:lang w:val="sr-Latn-RS"/>
        </w:rPr>
      </w:pPr>
    </w:p>
    <w:p w14:paraId="7D6FA112" w14:textId="58C24151" w:rsidR="00874C96" w:rsidRPr="001004FE" w:rsidRDefault="00874C9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u w:val="single"/>
          <w:lang w:val="pt-PT"/>
        </w:rPr>
        <w:t>Rukovanje</w:t>
      </w:r>
    </w:p>
    <w:p w14:paraId="3E83246D" w14:textId="77777777" w:rsidR="00874C96" w:rsidRPr="001004FE" w:rsidRDefault="00874C9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Napunjeni injekcioni špricevi moraju se uzeti iz pakovanja i moraju se pripremiti za davanje injekcije neposredno prije snimanja-ispitivanja.</w:t>
      </w:r>
    </w:p>
    <w:p w14:paraId="48195139" w14:textId="2F50AAC0" w:rsidR="00874C96" w:rsidRPr="001004FE" w:rsidRDefault="00874C9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Zatvarač na vrhu napunjenog injekcionog šprica treba da se ukloni neposredno prije upotrebe.</w:t>
      </w:r>
    </w:p>
    <w:p w14:paraId="57038DAB" w14:textId="77777777" w:rsidR="008F0DE4" w:rsidRPr="001004FE" w:rsidRDefault="008F0DE4" w:rsidP="00F81221">
      <w:pPr>
        <w:jc w:val="both"/>
        <w:rPr>
          <w:sz w:val="22"/>
          <w:szCs w:val="22"/>
          <w:lang w:val="pt-PT"/>
        </w:rPr>
      </w:pPr>
    </w:p>
    <w:p w14:paraId="0E4DD991" w14:textId="44B357EC" w:rsidR="00874C96" w:rsidRPr="001004FE" w:rsidRDefault="00874C9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u w:val="single"/>
          <w:lang w:val="pt-PT"/>
        </w:rPr>
        <w:t>Odlaganje</w:t>
      </w:r>
    </w:p>
    <w:p w14:paraId="5BA04BB1" w14:textId="77777777" w:rsidR="00874C96" w:rsidRPr="001004FE" w:rsidRDefault="00874C9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>Neiskorišćen ostatak lijeka se uništava u skladu sa važećim propisima.</w:t>
      </w:r>
    </w:p>
    <w:p w14:paraId="2F84B219" w14:textId="77777777" w:rsidR="00874C96" w:rsidRPr="001004FE" w:rsidRDefault="00874C96" w:rsidP="00F81221">
      <w:pPr>
        <w:jc w:val="both"/>
        <w:rPr>
          <w:sz w:val="22"/>
          <w:szCs w:val="22"/>
          <w:lang w:val="pt-PT"/>
        </w:rPr>
      </w:pPr>
    </w:p>
    <w:p w14:paraId="79E5BA79" w14:textId="1CAD0311" w:rsidR="00874C96" w:rsidRPr="001004FE" w:rsidRDefault="00874C96" w:rsidP="00F81221">
      <w:pPr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Naljepnicu za praćenje broja serije i doze treba odlijepiti sa </w:t>
      </w:r>
      <w:r w:rsidR="008F0DE4" w:rsidRPr="001004FE">
        <w:rPr>
          <w:sz w:val="22"/>
          <w:szCs w:val="22"/>
          <w:lang w:val="pt-PT"/>
        </w:rPr>
        <w:t xml:space="preserve">napunjenog injekcionog šprica </w:t>
      </w:r>
      <w:r w:rsidRPr="001004FE">
        <w:rPr>
          <w:sz w:val="22"/>
          <w:szCs w:val="22"/>
          <w:lang w:val="pt-PT"/>
        </w:rPr>
        <w:t>i pričvrstiti u karton pacijenta da bi se tačno moglo pratiti koje kontrasno sredstvo koje sadrži gadolinijum je primijenjeno.</w:t>
      </w:r>
      <w:r w:rsidR="008F0DE4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Tako</w:t>
      </w:r>
      <w:r w:rsidR="008F0DE4" w:rsidRPr="001004FE">
        <w:rPr>
          <w:sz w:val="22"/>
          <w:szCs w:val="22"/>
          <w:lang w:val="pt-PT"/>
        </w:rPr>
        <w:t>đ</w:t>
      </w:r>
      <w:r w:rsidRPr="001004FE">
        <w:rPr>
          <w:sz w:val="22"/>
          <w:szCs w:val="22"/>
          <w:lang w:val="pt-PT"/>
        </w:rPr>
        <w:t>e treba zabilježiti i primijenjenu dozu.</w:t>
      </w:r>
      <w:r w:rsidR="008F0DE4" w:rsidRPr="001004FE">
        <w:rPr>
          <w:sz w:val="22"/>
          <w:szCs w:val="22"/>
          <w:lang w:val="pt-PT"/>
        </w:rPr>
        <w:t xml:space="preserve"> </w:t>
      </w:r>
      <w:r w:rsidRPr="001004FE">
        <w:rPr>
          <w:sz w:val="22"/>
          <w:szCs w:val="22"/>
          <w:lang w:val="pt-PT"/>
        </w:rPr>
        <w:t>Ukoliko su u primjeni elektronski kartoni, u karton se unosi naziv lijeka, broj serije, i data doza.</w:t>
      </w:r>
    </w:p>
    <w:p w14:paraId="7D2FBA9A" w14:textId="77777777" w:rsidR="00874C96" w:rsidRPr="001004FE" w:rsidRDefault="00874C96" w:rsidP="00F81221">
      <w:pPr>
        <w:jc w:val="both"/>
        <w:rPr>
          <w:sz w:val="22"/>
          <w:szCs w:val="22"/>
          <w:lang w:val="pt-PT"/>
        </w:rPr>
      </w:pPr>
    </w:p>
    <w:p w14:paraId="2B168F85" w14:textId="320EF433" w:rsidR="00874C96" w:rsidRPr="001004FE" w:rsidRDefault="00874C96" w:rsidP="00F81221">
      <w:pPr>
        <w:pStyle w:val="Header"/>
        <w:tabs>
          <w:tab w:val="left" w:pos="284"/>
        </w:tabs>
        <w:jc w:val="both"/>
        <w:rPr>
          <w:sz w:val="22"/>
          <w:szCs w:val="22"/>
          <w:lang w:val="pt-PT"/>
        </w:rPr>
      </w:pPr>
      <w:r w:rsidRPr="001004FE">
        <w:rPr>
          <w:sz w:val="22"/>
          <w:szCs w:val="22"/>
          <w:lang w:val="pt-PT"/>
        </w:rPr>
        <w:t xml:space="preserve">Ovaj </w:t>
      </w:r>
      <w:r w:rsidR="008F0DE4" w:rsidRPr="001004FE">
        <w:rPr>
          <w:sz w:val="22"/>
          <w:szCs w:val="22"/>
          <w:lang w:val="pt-PT"/>
        </w:rPr>
        <w:t>lijek</w:t>
      </w:r>
      <w:r w:rsidRPr="001004FE">
        <w:rPr>
          <w:sz w:val="22"/>
          <w:szCs w:val="22"/>
          <w:lang w:val="pt-PT"/>
        </w:rPr>
        <w:t xml:space="preserve"> se nalazi u obliku već spremn</w:t>
      </w:r>
      <w:r w:rsidR="00E015BE" w:rsidRPr="001004FE">
        <w:rPr>
          <w:sz w:val="22"/>
          <w:szCs w:val="22"/>
          <w:lang w:val="pt-PT"/>
        </w:rPr>
        <w:t>o</w:t>
      </w:r>
      <w:r w:rsidRPr="001004FE">
        <w:rPr>
          <w:sz w:val="22"/>
          <w:szCs w:val="22"/>
          <w:lang w:val="pt-PT"/>
        </w:rPr>
        <w:t>m za primjenu i namijenjen je isključivo za jednokratno korišćenje.</w:t>
      </w:r>
    </w:p>
    <w:p w14:paraId="2183E4C4" w14:textId="1681192A" w:rsidR="0072020E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71AF1D06" w14:textId="77777777" w:rsidR="00F81221" w:rsidRPr="001004FE" w:rsidRDefault="00F81221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5BEC058C" w14:textId="77777777" w:rsidR="00F8570A" w:rsidRPr="001004FE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1004FE">
        <w:rPr>
          <w:b/>
          <w:bCs/>
          <w:sz w:val="22"/>
          <w:szCs w:val="22"/>
          <w:lang w:val="sr-Latn-RS"/>
        </w:rPr>
        <w:t xml:space="preserve">7.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NOSILAC DOZVOLE</w:t>
      </w:r>
      <w:r w:rsidR="00483928" w:rsidRPr="001004FE">
        <w:rPr>
          <w:b/>
          <w:bCs/>
          <w:sz w:val="22"/>
          <w:szCs w:val="22"/>
          <w:lang w:val="sr-Latn-RS"/>
        </w:rPr>
        <w:t xml:space="preserve"> </w:t>
      </w:r>
    </w:p>
    <w:p w14:paraId="089DBD9B" w14:textId="77777777" w:rsidR="00C61BE0" w:rsidRPr="001004FE" w:rsidRDefault="00C61BE0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28B7438" w14:textId="514B6111" w:rsidR="000C35D6" w:rsidRPr="001004FE" w:rsidRDefault="000C35D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1004FE">
        <w:rPr>
          <w:bCs/>
          <w:sz w:val="22"/>
          <w:szCs w:val="22"/>
          <w:lang w:val="hr-HR"/>
        </w:rPr>
        <w:t>Evropa Lek Pharma d.o.o.</w:t>
      </w:r>
      <w:r w:rsidR="00894B1B" w:rsidRPr="001004FE">
        <w:rPr>
          <w:bCs/>
          <w:sz w:val="22"/>
          <w:szCs w:val="22"/>
          <w:lang w:val="hr-HR"/>
        </w:rPr>
        <w:t xml:space="preserve"> Podgorica</w:t>
      </w:r>
    </w:p>
    <w:p w14:paraId="33581C64" w14:textId="77777777" w:rsidR="00F81221" w:rsidRDefault="000C35D6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1004FE">
        <w:rPr>
          <w:bCs/>
          <w:sz w:val="22"/>
          <w:szCs w:val="22"/>
          <w:lang w:val="hr-HR"/>
        </w:rPr>
        <w:t>Kritskog odreda 4/1</w:t>
      </w:r>
      <w:r w:rsidR="00894B1B" w:rsidRPr="001004FE">
        <w:rPr>
          <w:bCs/>
          <w:sz w:val="22"/>
          <w:szCs w:val="22"/>
          <w:lang w:val="hr-HR"/>
        </w:rPr>
        <w:t xml:space="preserve">, 81000 </w:t>
      </w:r>
      <w:r w:rsidRPr="001004FE">
        <w:rPr>
          <w:bCs/>
          <w:sz w:val="22"/>
          <w:szCs w:val="22"/>
          <w:lang w:val="hr-HR"/>
        </w:rPr>
        <w:t>Podgorica</w:t>
      </w:r>
      <w:r w:rsidR="00894B1B" w:rsidRPr="001004FE">
        <w:rPr>
          <w:bCs/>
          <w:sz w:val="22"/>
          <w:szCs w:val="22"/>
          <w:lang w:val="hr-HR"/>
        </w:rPr>
        <w:t xml:space="preserve">, </w:t>
      </w:r>
      <w:r w:rsidRPr="001004FE">
        <w:rPr>
          <w:bCs/>
          <w:sz w:val="22"/>
          <w:szCs w:val="22"/>
          <w:lang w:val="hr-HR"/>
        </w:rPr>
        <w:t>Crna Gora</w:t>
      </w:r>
    </w:p>
    <w:p w14:paraId="2068ED3C" w14:textId="77777777" w:rsidR="00F81221" w:rsidRDefault="00F81221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14:paraId="063BC08B" w14:textId="7F815A0F" w:rsidR="0072020E" w:rsidRPr="00F81221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1004FE">
        <w:rPr>
          <w:b/>
          <w:bCs/>
          <w:sz w:val="22"/>
          <w:szCs w:val="22"/>
          <w:lang w:val="sr-Latn-RS"/>
        </w:rPr>
        <w:t xml:space="preserve">8. </w:t>
      </w:r>
      <w:r w:rsidR="00480FB1" w:rsidRPr="001004FE">
        <w:rPr>
          <w:b/>
          <w:bCs/>
          <w:sz w:val="22"/>
          <w:szCs w:val="22"/>
          <w:lang w:val="sr-Latn-RS"/>
        </w:rPr>
        <w:tab/>
      </w:r>
      <w:r w:rsidRPr="001004FE">
        <w:rPr>
          <w:b/>
          <w:bCs/>
          <w:sz w:val="22"/>
          <w:szCs w:val="22"/>
          <w:lang w:val="sr-Latn-RS"/>
        </w:rPr>
        <w:t>BROJ DOZVOLE</w:t>
      </w:r>
      <w:r w:rsidR="008A6D43" w:rsidRPr="001004FE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323792D1" w14:textId="59FF2DA6" w:rsidR="00614154" w:rsidRDefault="00614154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D872F78" w14:textId="53397505" w:rsidR="00614154" w:rsidRPr="007D66A0" w:rsidRDefault="00711654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D66A0">
        <w:rPr>
          <w:sz w:val="22"/>
          <w:szCs w:val="22"/>
          <w:lang w:eastAsia="sr-Latn-ME"/>
        </w:rPr>
        <w:t>2030/23/3536 - 3319</w:t>
      </w:r>
    </w:p>
    <w:p w14:paraId="3D5640C7" w14:textId="77777777" w:rsidR="0072020E" w:rsidRPr="007D66A0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0FFF98C" w14:textId="77777777" w:rsidR="00F45F77" w:rsidRPr="007D66A0" w:rsidRDefault="00F45F77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67152EDF" w14:textId="77777777" w:rsidR="0072020E" w:rsidRPr="007D66A0" w:rsidRDefault="0072020E" w:rsidP="00F8122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D66A0">
        <w:rPr>
          <w:b/>
          <w:bCs/>
          <w:sz w:val="22"/>
          <w:szCs w:val="22"/>
          <w:lang w:val="sr-Latn-RS"/>
        </w:rPr>
        <w:t xml:space="preserve">9. </w:t>
      </w:r>
      <w:r w:rsidR="00480FB1" w:rsidRPr="007D66A0">
        <w:rPr>
          <w:b/>
          <w:bCs/>
          <w:sz w:val="22"/>
          <w:szCs w:val="22"/>
          <w:lang w:val="sr-Latn-RS"/>
        </w:rPr>
        <w:tab/>
      </w:r>
      <w:r w:rsidRPr="007D66A0">
        <w:rPr>
          <w:b/>
          <w:bCs/>
          <w:sz w:val="22"/>
          <w:szCs w:val="22"/>
          <w:lang w:val="sr-Latn-RS"/>
        </w:rPr>
        <w:t xml:space="preserve">DATUM </w:t>
      </w:r>
      <w:r w:rsidR="00C05DF8" w:rsidRPr="007D66A0">
        <w:rPr>
          <w:b/>
          <w:bCs/>
          <w:sz w:val="22"/>
          <w:szCs w:val="22"/>
          <w:lang w:val="sr-Latn-RS"/>
        </w:rPr>
        <w:t xml:space="preserve">PRVE </w:t>
      </w:r>
      <w:r w:rsidR="008A6D43" w:rsidRPr="007D66A0">
        <w:rPr>
          <w:b/>
          <w:bCs/>
          <w:sz w:val="22"/>
          <w:szCs w:val="22"/>
          <w:lang w:val="sr-Latn-RS"/>
        </w:rPr>
        <w:t>DOZVOLE</w:t>
      </w:r>
      <w:r w:rsidR="00C05DF8" w:rsidRPr="007D66A0">
        <w:rPr>
          <w:b/>
          <w:bCs/>
          <w:sz w:val="22"/>
          <w:szCs w:val="22"/>
          <w:lang w:val="sr-Latn-RS"/>
        </w:rPr>
        <w:t>/OBNOVE DOZVOLE</w:t>
      </w:r>
      <w:r w:rsidR="008A6D43" w:rsidRPr="007D66A0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32B41800" w14:textId="23E15F86" w:rsidR="0072020E" w:rsidRPr="007D66A0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B23AB77" w14:textId="4DE82D4B" w:rsidR="00614154" w:rsidRPr="007D66A0" w:rsidRDefault="00614154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D66A0">
        <w:rPr>
          <w:sz w:val="22"/>
          <w:szCs w:val="22"/>
          <w:lang w:val="sr-Latn-ME"/>
        </w:rPr>
        <w:t xml:space="preserve">Datum prve dozvole: </w:t>
      </w:r>
      <w:r w:rsidRPr="007D66A0">
        <w:rPr>
          <w:sz w:val="22"/>
          <w:szCs w:val="22"/>
          <w:lang w:eastAsia="sr-Latn-ME"/>
        </w:rPr>
        <w:t xml:space="preserve">28.01.2013. </w:t>
      </w:r>
      <w:proofErr w:type="gramStart"/>
      <w:r w:rsidRPr="007D66A0">
        <w:rPr>
          <w:sz w:val="22"/>
          <w:szCs w:val="22"/>
          <w:lang w:eastAsia="sr-Latn-ME"/>
        </w:rPr>
        <w:t>godine</w:t>
      </w:r>
      <w:proofErr w:type="gramEnd"/>
    </w:p>
    <w:p w14:paraId="2275F9E8" w14:textId="2D3C3E60" w:rsidR="00614154" w:rsidRPr="007D66A0" w:rsidRDefault="00614154" w:rsidP="00F8122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D66A0">
        <w:rPr>
          <w:sz w:val="22"/>
          <w:szCs w:val="22"/>
          <w:lang w:val="sr-Latn-ME"/>
        </w:rPr>
        <w:t xml:space="preserve">Datum poslednje obnove dozvole: </w:t>
      </w:r>
      <w:r w:rsidR="00711654" w:rsidRPr="007D66A0">
        <w:rPr>
          <w:sz w:val="22"/>
          <w:szCs w:val="22"/>
          <w:lang w:val="sr-Latn-ME"/>
        </w:rPr>
        <w:t>14.09.2023. godine</w:t>
      </w:r>
    </w:p>
    <w:p w14:paraId="42097C8F" w14:textId="41F7C934" w:rsidR="00836B35" w:rsidRPr="007D66A0" w:rsidRDefault="00836B35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D7EAB42" w14:textId="4055E73F" w:rsidR="00614154" w:rsidRPr="007D66A0" w:rsidRDefault="00614154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0FC5B83" w14:textId="77777777" w:rsidR="003F6A59" w:rsidRPr="007D66A0" w:rsidRDefault="0072020E" w:rsidP="00F812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7D66A0">
        <w:rPr>
          <w:b/>
          <w:bCs/>
          <w:sz w:val="22"/>
          <w:szCs w:val="22"/>
          <w:lang w:val="sr-Latn-RS"/>
        </w:rPr>
        <w:t xml:space="preserve">10. </w:t>
      </w:r>
      <w:r w:rsidR="00480FB1" w:rsidRPr="007D66A0">
        <w:rPr>
          <w:b/>
          <w:bCs/>
          <w:sz w:val="22"/>
          <w:szCs w:val="22"/>
          <w:lang w:val="sr-Latn-RS"/>
        </w:rPr>
        <w:tab/>
      </w:r>
      <w:r w:rsidR="002846DB" w:rsidRPr="007D66A0">
        <w:rPr>
          <w:b/>
          <w:bCs/>
          <w:sz w:val="22"/>
          <w:szCs w:val="22"/>
          <w:lang w:val="sr-Latn-RS"/>
        </w:rPr>
        <w:t>D</w:t>
      </w:r>
      <w:r w:rsidR="00EC2532" w:rsidRPr="007D66A0">
        <w:rPr>
          <w:b/>
          <w:bCs/>
          <w:sz w:val="22"/>
          <w:szCs w:val="22"/>
          <w:lang w:val="sr-Latn-RS"/>
        </w:rPr>
        <w:t xml:space="preserve">ATUM REVIZIJE TEKSTA </w:t>
      </w:r>
    </w:p>
    <w:p w14:paraId="57D7EC1E" w14:textId="77777777" w:rsidR="00D376F8" w:rsidRDefault="00D376F8" w:rsidP="00F81221">
      <w:pPr>
        <w:jc w:val="both"/>
        <w:rPr>
          <w:sz w:val="22"/>
          <w:szCs w:val="22"/>
          <w:lang w:val="pl-PL"/>
        </w:rPr>
      </w:pPr>
    </w:p>
    <w:p w14:paraId="61785B43" w14:textId="72EDE2B1" w:rsidR="003F6A59" w:rsidRPr="007D66A0" w:rsidRDefault="00F81221" w:rsidP="00F81221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Novembar</w:t>
      </w:r>
      <w:bookmarkStart w:id="0" w:name="_GoBack"/>
      <w:bookmarkEnd w:id="0"/>
      <w:r w:rsidR="00D376F8">
        <w:rPr>
          <w:sz w:val="22"/>
          <w:szCs w:val="22"/>
          <w:lang w:val="pl-PL"/>
        </w:rPr>
        <w:t>, 2024. godine</w:t>
      </w:r>
    </w:p>
    <w:p w14:paraId="04457535" w14:textId="45FB4CFB" w:rsidR="00614154" w:rsidRPr="007D66A0" w:rsidRDefault="00614154" w:rsidP="00F81221">
      <w:pPr>
        <w:jc w:val="both"/>
        <w:rPr>
          <w:sz w:val="22"/>
          <w:szCs w:val="22"/>
          <w:lang w:val="pl-PL"/>
        </w:rPr>
      </w:pPr>
    </w:p>
    <w:sectPr w:rsidR="00614154" w:rsidRPr="007D66A0" w:rsidSect="00F81221">
      <w:footerReference w:type="even" r:id="rId12"/>
      <w:footerReference w:type="default" r:id="rId13"/>
      <w:footerReference w:type="first" r:id="rId14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EDC1C" w14:textId="77777777" w:rsidR="00A07FB1" w:rsidRDefault="00A07FB1">
      <w:r>
        <w:separator/>
      </w:r>
    </w:p>
  </w:endnote>
  <w:endnote w:type="continuationSeparator" w:id="0">
    <w:p w14:paraId="0FDF22C5" w14:textId="77777777" w:rsidR="00A07FB1" w:rsidRDefault="00A0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C821C" w14:textId="253A6EEF" w:rsidR="005340E7" w:rsidRDefault="00534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E7E32" wp14:editId="2D009FB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911A6" w14:textId="3CD6E1C0" w:rsidR="005340E7" w:rsidRPr="005340E7" w:rsidRDefault="005340E7" w:rsidP="005340E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340E7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BE7E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soawIAAKcEAAAOAAAAZHJzL2Uyb0RvYy54bWysVE1v2zAMvQ/YfxB0T+2kTj+MOoWbxEOB&#10;oi2aDD0rstwYsCVBUmt3Q//7nmSn27qdhl1kiqRIvkfSF5d925AXYWytZEanRzElQnJV1vIpo1+3&#10;xeSMEuuYLFmjpMjoq7D0cvH500WnUzFTe9WUwhAEkTbtdEb3zuk0iizfi5bZI6WFhLFSpmUOV/MU&#10;lYZ1iN420SyOT6JOmVIbxYW10K4GI12E+FUluLurKiscaTKK2lw4TTh3/owWFyx9Mkzvaz6Wwf6h&#10;ipbVEknfQ62YY+TZ1H+EamtulFWVO+KqjVRV1VwEDEAzjT+g2eyZFgELyLH6nSb7/8Ly25d7Q+oy&#10;o8eUSNaiRVvRO3KlegJNKSwHWw/rzfbherldrwJIONxY5+F61wDz+zxfJ9Min02WcVFMkuQ0npxf&#10;rZLJvMhXy/zsdHm1nr15uqPwKryPOm3TUIHvVxA3GuW4HukxTd7d6y2UPltfmdZ/QRuBHf18fe+h&#10;r4RDmSTHZydzSjhMozwkPTzWxrovQrXECxk1GJEAir2gpsH14OJzSVXUTQM9Sxv5mwJAvCaAGCr0&#10;tbp+149l71T5CjRGDVNnNS9q5Lxh1t0zgzEDAKyOu8NRNarLqBolSvbKfPub3vuj+7BS0mFsMyqx&#10;V5Q01xJT4Sf8IJggzOZJHEO9C7fpeTz3N/ncLhU2Yorl1DyI0BrXHMTKqPYRm5X7bDAxyZEzo7uD&#10;uHTDEmEzucjz4ISJ1szdyI3mPrQnyzO57R+Z0SPdDn26VYfBZukH1gdf/9Lq/NmB+9AST+zA5sg3&#10;tiFM0ri5ft1+vQevn/+XxQ8AAAD//wMAUEsDBBQABgAIAAAAIQCKhy3u2QAAAAMBAAAPAAAAZHJz&#10;L2Rvd25yZXYueG1sTI9BS8QwEIXvgv8hjOBF3FSR4Namiy54EGTBVfQ6bca2bDIpSbbb/fdGPehl&#10;HsMb3vumWs3OiolCHDxruFoUIIhbbwbuNLy9Pl7egogJ2aD1TBqOFGFVn55UWBp/4BeatqkTOYRj&#10;iRr6lMZSytj25DAu/EicvU8fHKa8hk6agIcc7qy8LgolHQ6cG3ocad1Tu9vunYaHi/jePO/C8Wlz&#10;49XHtFZ23Citz8/m+zsQieb0dwzf+Bkd6szU+D2bKKyG/Ej6mdlTyyWI5ldlXcn/7PUXAAAA//8D&#10;AFBLAQItABQABgAIAAAAIQC2gziS/gAAAOEBAAATAAAAAAAAAAAAAAAAAAAAAABbQ29udGVudF9U&#10;eXBlc10ueG1sUEsBAi0AFAAGAAgAAAAhADj9If/WAAAAlAEAAAsAAAAAAAAAAAAAAAAALwEAAF9y&#10;ZWxzLy5yZWxzUEsBAi0AFAAGAAgAAAAhAB61eyhrAgAApwQAAA4AAAAAAAAAAAAAAAAALgIAAGRy&#10;cy9lMm9Eb2MueG1sUEsBAi0AFAAGAAgAAAAhAIqHLe7ZAAAAAwEAAA8AAAAAAAAAAAAAAAAAxQQA&#10;AGRycy9kb3ducmV2LnhtbFBLBQYAAAAABAAEAPMAAADLBQAAAAA=&#10;" filled="f" stroked="f">
              <v:textbox style="mso-fit-shape-to-text:t" inset="0,0,20pt,15pt">
                <w:txbxContent>
                  <w:p w14:paraId="3F6911A6" w14:textId="3CD6E1C0" w:rsidR="005340E7" w:rsidRPr="005340E7" w:rsidRDefault="005340E7" w:rsidP="005340E7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340E7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8C49" w14:textId="646AB499" w:rsidR="00454265" w:rsidRPr="00B23F69" w:rsidRDefault="005340E7" w:rsidP="00B23F69">
    <w:pPr>
      <w:pStyle w:val="Footer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D0A783" wp14:editId="38BD70B7">
              <wp:simplePos x="0" y="0"/>
              <wp:positionH relativeFrom="page">
                <wp:align>right</wp:align>
              </wp:positionH>
              <wp:positionV relativeFrom="page">
                <wp:posOffset>10177145</wp:posOffset>
              </wp:positionV>
              <wp:extent cx="443865" cy="443865"/>
              <wp:effectExtent l="0" t="0" r="0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EF1EF" w14:textId="0D4EF1C2" w:rsidR="005340E7" w:rsidRPr="005340E7" w:rsidRDefault="005340E7" w:rsidP="005340E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D0A7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RESTRICTED" style="position:absolute;left:0;text-align:left;margin-left:-16.25pt;margin-top:801.35pt;width:34.95pt;height:34.95pt;z-index:251660288;visibility:visible;mso-wrap-style:none;mso-wrap-distance-left:0;mso-wrap-distance-top:0;mso-wrap-distance-right:0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VdbAIAAK4EAAAOAAAAZHJzL2Uyb0RvYy54bWysVE1v2zAMvQ/YfxB0T+1kTj+MOIXz4aFA&#10;0RZNhp4VWW4M2JIgqbW7Yf99T3KSbd1Owy4yRVIk3yPp2XXfNuRVGFsrmdHxWUyJkFyVtXzO6Jdt&#10;MbqkxDomS9YoKTL6Jiy9nn/8MOt0KiZqr5pSGIIg0qadzujeOZ1GkeV70TJ7prSQMFbKtMzhap6j&#10;0rAO0dsmmsTxedQpU2qjuLAW2tVgpPMQv6oEd/dVZYUjTUZRmwunCefOn9F8xtJnw/S+5ocy2D9U&#10;0bJaIukp1Io5Rl5M/UeotuZGWVW5M67aSFVVzUXAADTj+B2azZ5pEbCAHKtPNNn/F5bfvT4YUpcZ&#10;TSiRrEWLtqJ3ZKF6Ak0pLAdbj+vN9vFmuV2vAkg43Frn4XrXAPPbNF8n4yKfjJZxUYyS5CIeXS1W&#10;yWha5KtlfnmxXKwn3z3dUXgV3kedtmmowPcriBuNclyP9Jgm7+71Fkqfra9M67+gjcCOfr6deugr&#10;4VAmyafL8yklHKaDPCQ9PtbGus9CtcQLGTUYkQCKvaKmwfXo4nNJVdRNAz1LG/mbAkC8JoAYKvS1&#10;un7XBz5P1e9U+QZQRg3DZzUvaqS+ZdY9MINpAw5skLvHUTWqy6g6SJTslfn6N733xxDASkmH6c2o&#10;xHpR0txIDIcf9KNggjCZJnEM9S7cxlfx1N/kS7tUWIwxdlTzIEJrXHMUK6PaJyxY7rPBxCRHzozu&#10;juLSDbuEBeUiz4MTBlszdys3mvvQnjNP6LZ/YkYfWHdo1506zjdL35E/+PqXVucvDi0InfH8Dmwe&#10;aMdShIE6LLDful/vwevnb2b+AwAA//8DAFBLAwQUAAYACAAAACEAW6212t8AAAAJAQAADwAAAGRy&#10;cy9kb3ducmV2LnhtbEyPQUvDQBCF74L/YRnBi9iNQbY2ZlO04EGQglX0usmOSejubMhu0/TfOz3p&#10;cd57vPleuZ69ExOOsQ+k4W6RgUBqgu2p1fD58XL7ACImQ9a4QKjhhBHW1eVFaQobjvSO0y61gkso&#10;FkZDl9JQSBmbDr2JizAgsfcTRm8Sn2Mr7WiOXO6dzLNMSW964g+dGXDTYbPfHbyG55v4Vb/tx9Pr&#10;9j6o72mj3LBVWl9fzU+PIBLO6S8MZ3xGh4qZ6nAgG4XTwEMSqyrLlyDYV6sViPqsLHMFsirl/wXV&#10;LwAAAP//AwBQSwECLQAUAAYACAAAACEAtoM4kv4AAADhAQAAEwAAAAAAAAAAAAAAAAAAAAAAW0Nv&#10;bnRlbnRfVHlwZXNdLnhtbFBLAQItABQABgAIAAAAIQA4/SH/1gAAAJQBAAALAAAAAAAAAAAAAAAA&#10;AC8BAABfcmVscy8ucmVsc1BLAQItABQABgAIAAAAIQCnZRVdbAIAAK4EAAAOAAAAAAAAAAAAAAAA&#10;AC4CAABkcnMvZTJvRG9jLnhtbFBLAQItABQABgAIAAAAIQBbrbXa3wAAAAkBAAAPAAAAAAAAAAAA&#10;AAAAAMYEAABkcnMvZG93bnJldi54bWxQSwUGAAAAAAQABADzAAAA0gUAAAAA&#10;" filled="f" stroked="f">
              <v:textbox style="mso-fit-shape-to-text:t" inset="0,0,20pt,15pt">
                <w:txbxContent>
                  <w:p w14:paraId="365EF1EF" w14:textId="0D4EF1C2" w:rsidR="005340E7" w:rsidRPr="005340E7" w:rsidRDefault="005340E7" w:rsidP="005340E7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4265" w:rsidRPr="00B23F69">
      <w:rPr>
        <w:sz w:val="22"/>
        <w:szCs w:val="22"/>
      </w:rPr>
      <w:fldChar w:fldCharType="begin"/>
    </w:r>
    <w:r w:rsidR="00454265" w:rsidRPr="00B23F69">
      <w:rPr>
        <w:sz w:val="22"/>
        <w:szCs w:val="22"/>
      </w:rPr>
      <w:instrText xml:space="preserve"> PAGE </w:instrText>
    </w:r>
    <w:r w:rsidR="00454265" w:rsidRPr="00B23F69">
      <w:rPr>
        <w:sz w:val="22"/>
        <w:szCs w:val="22"/>
      </w:rPr>
      <w:fldChar w:fldCharType="separate"/>
    </w:r>
    <w:r w:rsidR="00F81221">
      <w:rPr>
        <w:noProof/>
        <w:sz w:val="22"/>
        <w:szCs w:val="22"/>
      </w:rPr>
      <w:t>12</w:t>
    </w:r>
    <w:r w:rsidR="00454265" w:rsidRPr="00B23F69">
      <w:rPr>
        <w:sz w:val="22"/>
        <w:szCs w:val="22"/>
      </w:rPr>
      <w:fldChar w:fldCharType="end"/>
    </w:r>
    <w:r w:rsidR="00454265" w:rsidRPr="00B23F69">
      <w:rPr>
        <w:sz w:val="22"/>
        <w:szCs w:val="22"/>
      </w:rPr>
      <w:t xml:space="preserve"> / </w:t>
    </w:r>
    <w:r w:rsidR="00454265" w:rsidRPr="00B23F69">
      <w:rPr>
        <w:sz w:val="22"/>
        <w:szCs w:val="22"/>
      </w:rPr>
      <w:fldChar w:fldCharType="begin"/>
    </w:r>
    <w:r w:rsidR="00454265" w:rsidRPr="00B23F69">
      <w:rPr>
        <w:sz w:val="22"/>
        <w:szCs w:val="22"/>
      </w:rPr>
      <w:instrText xml:space="preserve"> NUMPAGES </w:instrText>
    </w:r>
    <w:r w:rsidR="00454265" w:rsidRPr="00B23F69">
      <w:rPr>
        <w:sz w:val="22"/>
        <w:szCs w:val="22"/>
      </w:rPr>
      <w:fldChar w:fldCharType="separate"/>
    </w:r>
    <w:r w:rsidR="00F81221">
      <w:rPr>
        <w:noProof/>
        <w:sz w:val="22"/>
        <w:szCs w:val="22"/>
      </w:rPr>
      <w:t>12</w:t>
    </w:r>
    <w:r w:rsidR="00454265" w:rsidRPr="00B23F69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9D670" w14:textId="4D1F5DE2" w:rsidR="005340E7" w:rsidRDefault="00534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618C7B" wp14:editId="52B1084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C4788" w14:textId="4D311947" w:rsidR="005340E7" w:rsidRPr="005340E7" w:rsidRDefault="005340E7" w:rsidP="005340E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340E7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618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12bAIAAK4EAAAOAAAAZHJzL2Uyb0RvYy54bWysVMFu2zAMvQ/YPwi6p3Yyp02NOoWbxEOB&#10;oi2aDD0rstwYsCVBUmt3w/59T3Lcbd1Owy4yRVLk4yPpi8u+bciLMLZWMqPTk5gSIbkqa/mU0S+7&#10;YrKgxDomS9YoKTL6Kiy9XH78cNHpVMzUQTWlMARBpE07ndGDczqNIssPomX2RGkhYayUaZnD1TxF&#10;pWEdordNNIvj06hTptRGcWEttOvBSJchflUJ7u6qygpHmowCmwunCefen9HygqVPhulDzY8w2D+g&#10;aFktkfQt1Jo5Rp5N/UeotuZGWVW5E67aSFVVzUWoAdVM43fVbA9Mi1ALyLH6jSb7/8Ly25d7Q+oS&#10;vaNEshYt2onekSvVE2hKYTnYethsdw/Xq91mHYqEw411vlzvGsr8Ns83ybTIZ5NVXBSTJDmLJ+dX&#10;62QyL/L1Kl+cra42s++e7ii8Cu+jTts0IPD9CuJWA47rkd4jgrvXWyh9tr4yrf+CNgI7+vn61kOP&#10;hEOZJJ8Wp3NKOExHeUg6PtbGus9CtcQLGTUYkVAUewGmwXV08bmkKuqmgZ6ljfxNgUK8JhQxIPRY&#10;Xb/vA5+zEf1ela8oyqhh+KzmRY3UN8y6e2YwbagDG+TucFSN6jKqjhIlB2W+/k3v/TEEsFLSYXoz&#10;KrFelDTXEsPhB30UTBBm8ySOod6H2/Q8nvubfG5XCouBRgNVEKE1rhnFyqj2EQuW+2wwMcmRM6P7&#10;UVy5YZewoFzkeXDCYGvmbuRWcx/ac+YJ3fWPzOgj6w7tulXjfLP0HfmDr39pdf7s0ILQGc/vwOaR&#10;dixFGKjjAvut+/UevH7+ZpY/AAAA//8DAFBLAwQUAAYACAAAACEAioct7tkAAAADAQAADwAAAGRy&#10;cy9kb3ducmV2LnhtbEyPQUvEMBCF74L/IYzgRdxUkeDWposueBBkwVX0Om3GtmwyKUm22/33Rj3o&#10;ZR7DG977plrNzoqJQhw8a7haFCCIW28G7jS8vT5e3oKICdmg9UwajhRhVZ+eVFgaf+AXmrapEzmE&#10;Y4ka+pTGUsrY9uQwLvxInL1PHxymvIZOmoCHHO6svC4KJR0OnBt6HGndU7vb7p2Gh4v43jzvwvFp&#10;c+PVx7RWdtworc/P5vs7EInm9HcM3/gZHerM1Pg9myishvxI+pnZU8sliOZXZV3J/+z1FwAAAP//&#10;AwBQSwECLQAUAAYACAAAACEAtoM4kv4AAADhAQAAEwAAAAAAAAAAAAAAAAAAAAAAW0NvbnRlbnRf&#10;VHlwZXNdLnhtbFBLAQItABQABgAIAAAAIQA4/SH/1gAAAJQBAAALAAAAAAAAAAAAAAAAAC8BAABf&#10;cmVscy8ucmVsc1BLAQItABQABgAIAAAAIQDWSF12bAIAAK4EAAAOAAAAAAAAAAAAAAAAAC4CAABk&#10;cnMvZTJvRG9jLnhtbFBLAQItABQABgAIAAAAIQCKhy3u2QAAAAMBAAAPAAAAAAAAAAAAAAAAAMYE&#10;AABkcnMvZG93bnJldi54bWxQSwUGAAAAAAQABADzAAAAzAUAAAAA&#10;" filled="f" stroked="f">
              <v:textbox style="mso-fit-shape-to-text:t" inset="0,0,20pt,15pt">
                <w:txbxContent>
                  <w:p w14:paraId="765C4788" w14:textId="4D311947" w:rsidR="005340E7" w:rsidRPr="005340E7" w:rsidRDefault="005340E7" w:rsidP="005340E7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340E7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7D95F" w14:textId="77777777" w:rsidR="00A07FB1" w:rsidRDefault="00A07FB1">
      <w:r>
        <w:separator/>
      </w:r>
    </w:p>
  </w:footnote>
  <w:footnote w:type="continuationSeparator" w:id="0">
    <w:p w14:paraId="46A37BC8" w14:textId="77777777" w:rsidR="00A07FB1" w:rsidRDefault="00A0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71D0F8A"/>
    <w:multiLevelType w:val="hybridMultilevel"/>
    <w:tmpl w:val="2654A94C"/>
    <w:lvl w:ilvl="0" w:tplc="DFA2C68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545C78"/>
    <w:multiLevelType w:val="hybridMultilevel"/>
    <w:tmpl w:val="12AE0B0C"/>
    <w:lvl w:ilvl="0" w:tplc="DFA2C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5678"/>
    <w:multiLevelType w:val="hybridMultilevel"/>
    <w:tmpl w:val="447483B4"/>
    <w:lvl w:ilvl="0" w:tplc="DFA2C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D6176"/>
    <w:multiLevelType w:val="hybridMultilevel"/>
    <w:tmpl w:val="6724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E45EA4"/>
    <w:multiLevelType w:val="hybridMultilevel"/>
    <w:tmpl w:val="186C5694"/>
    <w:lvl w:ilvl="0" w:tplc="93A47862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hint="default"/>
      </w:rPr>
    </w:lvl>
    <w:lvl w:ilvl="1" w:tplc="93A47862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E21B8C"/>
    <w:multiLevelType w:val="hybridMultilevel"/>
    <w:tmpl w:val="DDFC9D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9185D"/>
    <w:multiLevelType w:val="hybridMultilevel"/>
    <w:tmpl w:val="6138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4"/>
  </w:num>
  <w:num w:numId="5">
    <w:abstractNumId w:val="8"/>
  </w:num>
  <w:num w:numId="6">
    <w:abstractNumId w:val="2"/>
  </w:num>
  <w:num w:numId="7">
    <w:abstractNumId w:val="13"/>
  </w:num>
  <w:num w:numId="8">
    <w:abstractNumId w:val="7"/>
  </w:num>
  <w:num w:numId="9">
    <w:abstractNumId w:val="10"/>
  </w:num>
  <w:num w:numId="10">
    <w:abstractNumId w:val="17"/>
  </w:num>
  <w:num w:numId="11">
    <w:abstractNumId w:val="9"/>
  </w:num>
  <w:num w:numId="12">
    <w:abstractNumId w:val="12"/>
  </w:num>
  <w:num w:numId="13">
    <w:abstractNumId w:val="3"/>
  </w:num>
  <w:num w:numId="14">
    <w:abstractNumId w:val="4"/>
  </w:num>
  <w:num w:numId="15">
    <w:abstractNumId w:val="11"/>
  </w:num>
  <w:num w:numId="16">
    <w:abstractNumId w:val="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67E4"/>
    <w:rsid w:val="00036FA0"/>
    <w:rsid w:val="0003793F"/>
    <w:rsid w:val="00057E35"/>
    <w:rsid w:val="00076726"/>
    <w:rsid w:val="00080303"/>
    <w:rsid w:val="000A3F58"/>
    <w:rsid w:val="000B772D"/>
    <w:rsid w:val="000C35D6"/>
    <w:rsid w:val="000C3FAB"/>
    <w:rsid w:val="000D2343"/>
    <w:rsid w:val="000D3449"/>
    <w:rsid w:val="000D425A"/>
    <w:rsid w:val="000D60CC"/>
    <w:rsid w:val="000E2084"/>
    <w:rsid w:val="000E6F55"/>
    <w:rsid w:val="000F77FA"/>
    <w:rsid w:val="001004FE"/>
    <w:rsid w:val="00107BF7"/>
    <w:rsid w:val="0011360A"/>
    <w:rsid w:val="0012248D"/>
    <w:rsid w:val="00126F53"/>
    <w:rsid w:val="0014766D"/>
    <w:rsid w:val="001536CC"/>
    <w:rsid w:val="001638C2"/>
    <w:rsid w:val="00196200"/>
    <w:rsid w:val="001A3FBA"/>
    <w:rsid w:val="001A5518"/>
    <w:rsid w:val="001B1C6A"/>
    <w:rsid w:val="001C1263"/>
    <w:rsid w:val="001C1417"/>
    <w:rsid w:val="001E1A06"/>
    <w:rsid w:val="001E390B"/>
    <w:rsid w:val="001F42FB"/>
    <w:rsid w:val="001F719A"/>
    <w:rsid w:val="00200EBC"/>
    <w:rsid w:val="002031B3"/>
    <w:rsid w:val="00215931"/>
    <w:rsid w:val="00217B8A"/>
    <w:rsid w:val="0022448B"/>
    <w:rsid w:val="00224C91"/>
    <w:rsid w:val="00227BDB"/>
    <w:rsid w:val="00234CB1"/>
    <w:rsid w:val="002352F8"/>
    <w:rsid w:val="002377F3"/>
    <w:rsid w:val="002510A5"/>
    <w:rsid w:val="00254A0A"/>
    <w:rsid w:val="00266046"/>
    <w:rsid w:val="00270E9E"/>
    <w:rsid w:val="00272857"/>
    <w:rsid w:val="002846DB"/>
    <w:rsid w:val="00284CCD"/>
    <w:rsid w:val="00296B0E"/>
    <w:rsid w:val="002A212B"/>
    <w:rsid w:val="002C3421"/>
    <w:rsid w:val="002C6637"/>
    <w:rsid w:val="002E0135"/>
    <w:rsid w:val="002E37A5"/>
    <w:rsid w:val="002F3CB6"/>
    <w:rsid w:val="00310F03"/>
    <w:rsid w:val="003247D2"/>
    <w:rsid w:val="003254DB"/>
    <w:rsid w:val="0032585B"/>
    <w:rsid w:val="003445C1"/>
    <w:rsid w:val="00353D31"/>
    <w:rsid w:val="00355572"/>
    <w:rsid w:val="00355B61"/>
    <w:rsid w:val="00362686"/>
    <w:rsid w:val="00371510"/>
    <w:rsid w:val="00377957"/>
    <w:rsid w:val="003932DE"/>
    <w:rsid w:val="00396DFD"/>
    <w:rsid w:val="003A17B9"/>
    <w:rsid w:val="003A7059"/>
    <w:rsid w:val="003B1807"/>
    <w:rsid w:val="003B7A36"/>
    <w:rsid w:val="003C17AB"/>
    <w:rsid w:val="003C748E"/>
    <w:rsid w:val="003C7823"/>
    <w:rsid w:val="003E1DCC"/>
    <w:rsid w:val="003F11A1"/>
    <w:rsid w:val="003F6A59"/>
    <w:rsid w:val="003F755A"/>
    <w:rsid w:val="00402BDE"/>
    <w:rsid w:val="004065C8"/>
    <w:rsid w:val="004109FA"/>
    <w:rsid w:val="00411B4B"/>
    <w:rsid w:val="00415BEE"/>
    <w:rsid w:val="00427F85"/>
    <w:rsid w:val="00430671"/>
    <w:rsid w:val="00431A94"/>
    <w:rsid w:val="00432452"/>
    <w:rsid w:val="00433655"/>
    <w:rsid w:val="00436F42"/>
    <w:rsid w:val="004378B4"/>
    <w:rsid w:val="00447595"/>
    <w:rsid w:val="00451314"/>
    <w:rsid w:val="00452E9D"/>
    <w:rsid w:val="00453354"/>
    <w:rsid w:val="004534C7"/>
    <w:rsid w:val="00454265"/>
    <w:rsid w:val="00464B0B"/>
    <w:rsid w:val="004671AA"/>
    <w:rsid w:val="00473CD7"/>
    <w:rsid w:val="00480FB1"/>
    <w:rsid w:val="00483928"/>
    <w:rsid w:val="004C331F"/>
    <w:rsid w:val="004D6103"/>
    <w:rsid w:val="004E3BCE"/>
    <w:rsid w:val="004E70AD"/>
    <w:rsid w:val="004F0E97"/>
    <w:rsid w:val="00501DD1"/>
    <w:rsid w:val="00515C21"/>
    <w:rsid w:val="00530BD7"/>
    <w:rsid w:val="005340E7"/>
    <w:rsid w:val="00545B1E"/>
    <w:rsid w:val="00545CD2"/>
    <w:rsid w:val="005476F3"/>
    <w:rsid w:val="00560F7A"/>
    <w:rsid w:val="00572527"/>
    <w:rsid w:val="00573E40"/>
    <w:rsid w:val="00576348"/>
    <w:rsid w:val="005970E8"/>
    <w:rsid w:val="005A0B2E"/>
    <w:rsid w:val="005A23D2"/>
    <w:rsid w:val="005A36CB"/>
    <w:rsid w:val="005A4897"/>
    <w:rsid w:val="005B49B8"/>
    <w:rsid w:val="005B703F"/>
    <w:rsid w:val="005C0741"/>
    <w:rsid w:val="005C5EF4"/>
    <w:rsid w:val="005E2E0B"/>
    <w:rsid w:val="005E76F9"/>
    <w:rsid w:val="005E7A7D"/>
    <w:rsid w:val="005F08C0"/>
    <w:rsid w:val="00601A84"/>
    <w:rsid w:val="00602457"/>
    <w:rsid w:val="00614154"/>
    <w:rsid w:val="006147F7"/>
    <w:rsid w:val="0062715F"/>
    <w:rsid w:val="00634461"/>
    <w:rsid w:val="00644FC3"/>
    <w:rsid w:val="00646BD1"/>
    <w:rsid w:val="006561C2"/>
    <w:rsid w:val="00666FAD"/>
    <w:rsid w:val="00671CB3"/>
    <w:rsid w:val="00674BAF"/>
    <w:rsid w:val="00682200"/>
    <w:rsid w:val="00686608"/>
    <w:rsid w:val="00692BF6"/>
    <w:rsid w:val="0069605B"/>
    <w:rsid w:val="00696637"/>
    <w:rsid w:val="006A1497"/>
    <w:rsid w:val="006A163E"/>
    <w:rsid w:val="006A6C99"/>
    <w:rsid w:val="006B0BD1"/>
    <w:rsid w:val="006B468B"/>
    <w:rsid w:val="006B5404"/>
    <w:rsid w:val="006D20A5"/>
    <w:rsid w:val="006D37BF"/>
    <w:rsid w:val="006D68FD"/>
    <w:rsid w:val="006F4756"/>
    <w:rsid w:val="00702E22"/>
    <w:rsid w:val="00711654"/>
    <w:rsid w:val="0072020E"/>
    <w:rsid w:val="00786071"/>
    <w:rsid w:val="007A3ECB"/>
    <w:rsid w:val="007B6C6D"/>
    <w:rsid w:val="007D66A0"/>
    <w:rsid w:val="007D7BB3"/>
    <w:rsid w:val="007F320B"/>
    <w:rsid w:val="008162CC"/>
    <w:rsid w:val="00824AB9"/>
    <w:rsid w:val="00836B35"/>
    <w:rsid w:val="00843BDE"/>
    <w:rsid w:val="00862466"/>
    <w:rsid w:val="00874C96"/>
    <w:rsid w:val="0087588C"/>
    <w:rsid w:val="00883C4C"/>
    <w:rsid w:val="00885E29"/>
    <w:rsid w:val="00894B1B"/>
    <w:rsid w:val="0089705C"/>
    <w:rsid w:val="008A6D43"/>
    <w:rsid w:val="008B37DE"/>
    <w:rsid w:val="008B491E"/>
    <w:rsid w:val="008B618C"/>
    <w:rsid w:val="008C1A28"/>
    <w:rsid w:val="008C2E98"/>
    <w:rsid w:val="008C6DDD"/>
    <w:rsid w:val="008D1F48"/>
    <w:rsid w:val="008E49BD"/>
    <w:rsid w:val="008E53E9"/>
    <w:rsid w:val="008E5771"/>
    <w:rsid w:val="008F0DE4"/>
    <w:rsid w:val="008F4ACF"/>
    <w:rsid w:val="00910F1A"/>
    <w:rsid w:val="0091766B"/>
    <w:rsid w:val="00924166"/>
    <w:rsid w:val="00940B9B"/>
    <w:rsid w:val="0095676E"/>
    <w:rsid w:val="00956983"/>
    <w:rsid w:val="00961BB1"/>
    <w:rsid w:val="00963CF0"/>
    <w:rsid w:val="00964BB1"/>
    <w:rsid w:val="009775D9"/>
    <w:rsid w:val="00997175"/>
    <w:rsid w:val="009A1847"/>
    <w:rsid w:val="009B062A"/>
    <w:rsid w:val="009B457E"/>
    <w:rsid w:val="009C3E11"/>
    <w:rsid w:val="009E7C6F"/>
    <w:rsid w:val="009F1793"/>
    <w:rsid w:val="009F2D23"/>
    <w:rsid w:val="00A01D69"/>
    <w:rsid w:val="00A02335"/>
    <w:rsid w:val="00A07FB1"/>
    <w:rsid w:val="00A17757"/>
    <w:rsid w:val="00A30601"/>
    <w:rsid w:val="00A32385"/>
    <w:rsid w:val="00A430F0"/>
    <w:rsid w:val="00A46C9A"/>
    <w:rsid w:val="00A619F3"/>
    <w:rsid w:val="00A62A73"/>
    <w:rsid w:val="00A859C2"/>
    <w:rsid w:val="00A87FF6"/>
    <w:rsid w:val="00AA0A3B"/>
    <w:rsid w:val="00AA2763"/>
    <w:rsid w:val="00AA33B6"/>
    <w:rsid w:val="00AB50CA"/>
    <w:rsid w:val="00AB6D64"/>
    <w:rsid w:val="00AC53CE"/>
    <w:rsid w:val="00AD2193"/>
    <w:rsid w:val="00AE2A63"/>
    <w:rsid w:val="00AF2AC7"/>
    <w:rsid w:val="00AF74CE"/>
    <w:rsid w:val="00B0257C"/>
    <w:rsid w:val="00B208DB"/>
    <w:rsid w:val="00B23F69"/>
    <w:rsid w:val="00B326BA"/>
    <w:rsid w:val="00B438C5"/>
    <w:rsid w:val="00B60619"/>
    <w:rsid w:val="00B66A70"/>
    <w:rsid w:val="00B67366"/>
    <w:rsid w:val="00B80010"/>
    <w:rsid w:val="00B80EE1"/>
    <w:rsid w:val="00B84135"/>
    <w:rsid w:val="00C04D34"/>
    <w:rsid w:val="00C05DF8"/>
    <w:rsid w:val="00C06864"/>
    <w:rsid w:val="00C10F54"/>
    <w:rsid w:val="00C22F38"/>
    <w:rsid w:val="00C23D8D"/>
    <w:rsid w:val="00C261FC"/>
    <w:rsid w:val="00C35FFB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4B8C"/>
    <w:rsid w:val="00C94C0D"/>
    <w:rsid w:val="00C95527"/>
    <w:rsid w:val="00CA1FEB"/>
    <w:rsid w:val="00CA6A71"/>
    <w:rsid w:val="00CD4F85"/>
    <w:rsid w:val="00CD5EAB"/>
    <w:rsid w:val="00CD67D1"/>
    <w:rsid w:val="00CD6F02"/>
    <w:rsid w:val="00CE246D"/>
    <w:rsid w:val="00CF07A0"/>
    <w:rsid w:val="00CF3E03"/>
    <w:rsid w:val="00D0082A"/>
    <w:rsid w:val="00D21455"/>
    <w:rsid w:val="00D35ACB"/>
    <w:rsid w:val="00D376F8"/>
    <w:rsid w:val="00D42526"/>
    <w:rsid w:val="00D47634"/>
    <w:rsid w:val="00D66CF0"/>
    <w:rsid w:val="00D709B3"/>
    <w:rsid w:val="00D76A1B"/>
    <w:rsid w:val="00DA2ED6"/>
    <w:rsid w:val="00DB76B8"/>
    <w:rsid w:val="00DC2EA1"/>
    <w:rsid w:val="00DD6AAF"/>
    <w:rsid w:val="00DE3F5C"/>
    <w:rsid w:val="00DF1D20"/>
    <w:rsid w:val="00E015BE"/>
    <w:rsid w:val="00E0423D"/>
    <w:rsid w:val="00E07C82"/>
    <w:rsid w:val="00E10642"/>
    <w:rsid w:val="00E15E23"/>
    <w:rsid w:val="00E21324"/>
    <w:rsid w:val="00E246B9"/>
    <w:rsid w:val="00E31FEA"/>
    <w:rsid w:val="00E45169"/>
    <w:rsid w:val="00E47787"/>
    <w:rsid w:val="00E51C30"/>
    <w:rsid w:val="00E5216E"/>
    <w:rsid w:val="00E64180"/>
    <w:rsid w:val="00E74AEE"/>
    <w:rsid w:val="00E8598E"/>
    <w:rsid w:val="00E868E5"/>
    <w:rsid w:val="00E9237A"/>
    <w:rsid w:val="00E939FA"/>
    <w:rsid w:val="00E96CAD"/>
    <w:rsid w:val="00EA5765"/>
    <w:rsid w:val="00EC2532"/>
    <w:rsid w:val="00ED7812"/>
    <w:rsid w:val="00EF06BB"/>
    <w:rsid w:val="00EF3B86"/>
    <w:rsid w:val="00F10477"/>
    <w:rsid w:val="00F20C2E"/>
    <w:rsid w:val="00F31705"/>
    <w:rsid w:val="00F317E9"/>
    <w:rsid w:val="00F3387E"/>
    <w:rsid w:val="00F34554"/>
    <w:rsid w:val="00F44A7F"/>
    <w:rsid w:val="00F45F77"/>
    <w:rsid w:val="00F5167F"/>
    <w:rsid w:val="00F52258"/>
    <w:rsid w:val="00F661A5"/>
    <w:rsid w:val="00F81221"/>
    <w:rsid w:val="00F8570A"/>
    <w:rsid w:val="00F91C7B"/>
    <w:rsid w:val="00F93739"/>
    <w:rsid w:val="00FF5F8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DC4CD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E1A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Style">
    <w:name w:val="Style"/>
    <w:rsid w:val="001E1A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E1A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E1A06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438C5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5B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4EE4-9763-4741-AD23-2BFC405F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29137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40</cp:revision>
  <dcterms:created xsi:type="dcterms:W3CDTF">2023-09-08T10:00:00Z</dcterms:created>
  <dcterms:modified xsi:type="dcterms:W3CDTF">2024-11-12T09:12:00Z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2023-09-13T11:32:59Z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1401cf66-2621-4b52-85ea-14c3411538bc</vt:lpwstr>
  </property>
  <property fmtid="{D5CDD505-2E9C-101B-9397-08002B2CF9AE}" pid="12" name="MSIP_Label_2c76c141-ac86-40e5-abf2-c6f60e474cee_ContentBits">
    <vt:lpwstr>2</vt:lpwstr>
  </property>
</Properties>
</file>