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D887F" w14:textId="77777777" w:rsidR="00F91C7B" w:rsidRPr="00220369" w:rsidRDefault="00F91C7B" w:rsidP="00E6784B">
      <w:pPr>
        <w:jc w:val="both"/>
        <w:rPr>
          <w:b/>
          <w:bCs/>
          <w:i/>
          <w:iCs/>
          <w:sz w:val="22"/>
          <w:szCs w:val="22"/>
          <w:u w:val="single"/>
          <w:lang w:val="sr-Latn-ME"/>
        </w:rPr>
      </w:pPr>
    </w:p>
    <w:p w14:paraId="274A31ED" w14:textId="1605C854" w:rsidR="002510A5" w:rsidRPr="00220369" w:rsidRDefault="00E6784B" w:rsidP="00E6784B">
      <w:pPr>
        <w:tabs>
          <w:tab w:val="left" w:pos="2880"/>
        </w:tabs>
        <w:jc w:val="both"/>
        <w:rPr>
          <w:b/>
          <w:bCs/>
          <w:iCs/>
          <w:sz w:val="22"/>
          <w:szCs w:val="22"/>
          <w:lang w:val="sr-Latn-ME"/>
        </w:rPr>
      </w:pPr>
      <w:r w:rsidRPr="00220369">
        <w:rPr>
          <w:b/>
          <w:bCs/>
          <w:iCs/>
          <w:sz w:val="22"/>
          <w:szCs w:val="22"/>
          <w:lang w:val="sr-Latn-ME"/>
        </w:rPr>
        <w:t xml:space="preserve">                                                     S</w:t>
      </w:r>
      <w:r w:rsidR="002510A5" w:rsidRPr="00220369">
        <w:rPr>
          <w:b/>
          <w:bCs/>
          <w:iCs/>
          <w:sz w:val="22"/>
          <w:szCs w:val="22"/>
          <w:lang w:val="sr-Latn-ME"/>
        </w:rPr>
        <w:t>AŽETAK KARAKTERISTIKA LIJEKA</w:t>
      </w:r>
    </w:p>
    <w:p w14:paraId="646A1701" w14:textId="77777777" w:rsidR="002510A5" w:rsidRPr="00220369" w:rsidRDefault="002510A5" w:rsidP="00E6784B">
      <w:pPr>
        <w:jc w:val="both"/>
        <w:rPr>
          <w:b/>
          <w:bCs/>
          <w:i/>
          <w:iCs/>
          <w:sz w:val="22"/>
          <w:szCs w:val="22"/>
          <w:u w:val="single"/>
          <w:lang w:val="sr-Latn-ME"/>
        </w:rPr>
      </w:pPr>
    </w:p>
    <w:p w14:paraId="55016D42" w14:textId="77777777" w:rsidR="003C17AB" w:rsidRPr="00220369" w:rsidRDefault="003C17AB" w:rsidP="00E6784B">
      <w:pPr>
        <w:jc w:val="both"/>
        <w:rPr>
          <w:sz w:val="22"/>
          <w:szCs w:val="22"/>
          <w:lang w:val="sr-Latn-ME"/>
        </w:rPr>
      </w:pPr>
    </w:p>
    <w:p w14:paraId="300C7028" w14:textId="77777777" w:rsidR="00411B4B" w:rsidRPr="00220369" w:rsidRDefault="00411B4B" w:rsidP="00E6784B">
      <w:pPr>
        <w:tabs>
          <w:tab w:val="left" w:pos="540"/>
          <w:tab w:val="left" w:pos="569"/>
        </w:tabs>
        <w:jc w:val="both"/>
        <w:rPr>
          <w:b/>
          <w:bCs/>
          <w:sz w:val="22"/>
          <w:szCs w:val="22"/>
          <w:lang w:val="sr-Latn-ME"/>
        </w:rPr>
      </w:pPr>
      <w:r w:rsidRPr="00220369">
        <w:rPr>
          <w:b/>
          <w:bCs/>
          <w:sz w:val="22"/>
          <w:szCs w:val="22"/>
          <w:lang w:val="sr-Latn-ME"/>
        </w:rPr>
        <w:t>1.</w:t>
      </w:r>
      <w:r w:rsidR="00F5167F" w:rsidRPr="00220369">
        <w:rPr>
          <w:b/>
          <w:bCs/>
          <w:sz w:val="22"/>
          <w:szCs w:val="22"/>
          <w:lang w:val="sr-Latn-ME"/>
        </w:rPr>
        <w:tab/>
      </w:r>
      <w:r w:rsidR="002846DB" w:rsidRPr="00220369">
        <w:rPr>
          <w:b/>
          <w:bCs/>
          <w:sz w:val="22"/>
          <w:szCs w:val="22"/>
          <w:lang w:val="sr-Latn-ME"/>
        </w:rPr>
        <w:t xml:space="preserve">NAZIV </w:t>
      </w:r>
      <w:r w:rsidRPr="00220369">
        <w:rPr>
          <w:b/>
          <w:bCs/>
          <w:sz w:val="22"/>
          <w:szCs w:val="22"/>
          <w:lang w:val="sr-Latn-ME"/>
        </w:rPr>
        <w:t>LIJEKA</w:t>
      </w:r>
    </w:p>
    <w:p w14:paraId="68377077" w14:textId="77777777" w:rsidR="00EC2532" w:rsidRPr="00220369" w:rsidRDefault="00EC2532" w:rsidP="00E6784B">
      <w:pPr>
        <w:jc w:val="both"/>
        <w:rPr>
          <w:sz w:val="22"/>
          <w:szCs w:val="22"/>
          <w:lang w:val="sr-Latn-ME"/>
        </w:rPr>
      </w:pPr>
    </w:p>
    <w:p w14:paraId="25F19610" w14:textId="74DADBAB" w:rsidR="005731F0" w:rsidRPr="00220369" w:rsidRDefault="005731F0" w:rsidP="00E6784B">
      <w:pPr>
        <w:tabs>
          <w:tab w:val="left" w:pos="284"/>
        </w:tabs>
        <w:jc w:val="both"/>
        <w:rPr>
          <w:bCs/>
          <w:sz w:val="22"/>
          <w:szCs w:val="22"/>
          <w:vertAlign w:val="superscript"/>
          <w:lang w:val="sr-Latn-ME"/>
        </w:rPr>
      </w:pPr>
      <w:r w:rsidRPr="00220369">
        <w:rPr>
          <w:color w:val="000000"/>
          <w:sz w:val="22"/>
          <w:szCs w:val="22"/>
          <w:lang w:val="sr-Latn-ME"/>
        </w:rPr>
        <w:t>ALERGOFEN</w:t>
      </w:r>
      <w:r w:rsidRPr="00220369">
        <w:rPr>
          <w:bCs/>
          <w:sz w:val="22"/>
          <w:szCs w:val="22"/>
          <w:lang w:val="sr-Latn-ME"/>
        </w:rPr>
        <w:t>, 20 mg, tablet</w:t>
      </w:r>
      <w:r w:rsidR="0063496B" w:rsidRPr="00220369">
        <w:rPr>
          <w:bCs/>
          <w:sz w:val="22"/>
          <w:szCs w:val="22"/>
          <w:lang w:val="sr-Latn-ME"/>
        </w:rPr>
        <w:t>a</w:t>
      </w:r>
    </w:p>
    <w:p w14:paraId="593FCF57" w14:textId="77777777" w:rsidR="000D425A" w:rsidRPr="00220369" w:rsidRDefault="000D425A" w:rsidP="00E6784B">
      <w:pPr>
        <w:jc w:val="both"/>
        <w:rPr>
          <w:bCs/>
          <w:sz w:val="22"/>
          <w:szCs w:val="22"/>
          <w:lang w:val="sr-Latn-ME"/>
        </w:rPr>
      </w:pPr>
    </w:p>
    <w:p w14:paraId="00022CC7" w14:textId="3B8F0CF2" w:rsidR="006D20A5" w:rsidRPr="00220369" w:rsidRDefault="006D20A5" w:rsidP="00E6784B">
      <w:pPr>
        <w:jc w:val="both"/>
        <w:rPr>
          <w:sz w:val="22"/>
          <w:szCs w:val="22"/>
          <w:lang w:val="sr-Latn-ME"/>
        </w:rPr>
      </w:pPr>
      <w:r w:rsidRPr="00220369">
        <w:rPr>
          <w:sz w:val="22"/>
          <w:szCs w:val="22"/>
          <w:lang w:val="sr-Latn-ME"/>
        </w:rPr>
        <w:t>INN:</w:t>
      </w:r>
      <w:r w:rsidR="005731F0" w:rsidRPr="00220369">
        <w:rPr>
          <w:sz w:val="22"/>
          <w:szCs w:val="22"/>
          <w:lang w:val="sr-Latn-ME"/>
        </w:rPr>
        <w:t xml:space="preserve"> bilastin</w:t>
      </w:r>
    </w:p>
    <w:p w14:paraId="6E7C7E8B" w14:textId="77777777" w:rsidR="006D20A5" w:rsidRPr="00220369" w:rsidRDefault="006D20A5" w:rsidP="00E6784B">
      <w:pPr>
        <w:jc w:val="both"/>
        <w:rPr>
          <w:bCs/>
          <w:sz w:val="22"/>
          <w:szCs w:val="22"/>
          <w:lang w:val="sr-Latn-ME"/>
        </w:rPr>
      </w:pPr>
    </w:p>
    <w:p w14:paraId="390F99CD" w14:textId="77777777" w:rsidR="00530BD7" w:rsidRPr="00220369" w:rsidRDefault="00530BD7" w:rsidP="00E6784B">
      <w:pPr>
        <w:jc w:val="both"/>
        <w:rPr>
          <w:bCs/>
          <w:sz w:val="22"/>
          <w:szCs w:val="22"/>
          <w:lang w:val="sr-Latn-ME"/>
        </w:rPr>
      </w:pPr>
    </w:p>
    <w:p w14:paraId="268C261D" w14:textId="77777777" w:rsidR="00411B4B" w:rsidRPr="00220369" w:rsidRDefault="00411B4B" w:rsidP="00E6784B">
      <w:pPr>
        <w:tabs>
          <w:tab w:val="left" w:pos="540"/>
          <w:tab w:val="left" w:pos="569"/>
        </w:tabs>
        <w:jc w:val="both"/>
        <w:rPr>
          <w:b/>
          <w:bCs/>
          <w:sz w:val="22"/>
          <w:szCs w:val="22"/>
          <w:lang w:val="sr-Latn-ME"/>
        </w:rPr>
      </w:pPr>
      <w:r w:rsidRPr="00220369">
        <w:rPr>
          <w:b/>
          <w:bCs/>
          <w:sz w:val="22"/>
          <w:szCs w:val="22"/>
          <w:lang w:val="sr-Latn-ME"/>
        </w:rPr>
        <w:t xml:space="preserve">2. </w:t>
      </w:r>
      <w:r w:rsidR="00F5167F" w:rsidRPr="00220369">
        <w:rPr>
          <w:b/>
          <w:bCs/>
          <w:sz w:val="22"/>
          <w:szCs w:val="22"/>
          <w:lang w:val="sr-Latn-ME"/>
        </w:rPr>
        <w:tab/>
      </w:r>
      <w:r w:rsidRPr="00220369">
        <w:rPr>
          <w:b/>
          <w:bCs/>
          <w:sz w:val="22"/>
          <w:szCs w:val="22"/>
          <w:lang w:val="sr-Latn-ME"/>
        </w:rPr>
        <w:t>KVALITATIVNI I KVANTITATIVNI SASTAV</w:t>
      </w:r>
    </w:p>
    <w:p w14:paraId="42B8BC65" w14:textId="77777777" w:rsidR="005731F0" w:rsidRPr="00220369" w:rsidRDefault="005731F0" w:rsidP="00E6784B">
      <w:pPr>
        <w:tabs>
          <w:tab w:val="left" w:pos="284"/>
        </w:tabs>
        <w:jc w:val="both"/>
        <w:rPr>
          <w:sz w:val="22"/>
          <w:szCs w:val="22"/>
          <w:lang w:val="sr-Latn-ME"/>
        </w:rPr>
      </w:pPr>
    </w:p>
    <w:p w14:paraId="1A8426E4" w14:textId="1AEE4AD0" w:rsidR="005731F0" w:rsidRPr="00220369" w:rsidRDefault="005731F0" w:rsidP="00E6784B">
      <w:pPr>
        <w:tabs>
          <w:tab w:val="left" w:pos="284"/>
        </w:tabs>
        <w:jc w:val="both"/>
        <w:rPr>
          <w:sz w:val="22"/>
          <w:szCs w:val="22"/>
          <w:lang w:val="sr-Latn-ME"/>
        </w:rPr>
      </w:pPr>
      <w:r w:rsidRPr="00220369">
        <w:rPr>
          <w:sz w:val="22"/>
          <w:szCs w:val="22"/>
          <w:lang w:val="sr-Latn-ME"/>
        </w:rPr>
        <w:t>Jedna tableta sadrži 20 mg bilastina, u obliku bilastin monohidrata.</w:t>
      </w:r>
    </w:p>
    <w:p w14:paraId="7B6C2F82" w14:textId="77777777" w:rsidR="009456A5" w:rsidRPr="00220369" w:rsidRDefault="009456A5" w:rsidP="00E6784B">
      <w:pPr>
        <w:jc w:val="both"/>
        <w:rPr>
          <w:sz w:val="22"/>
          <w:szCs w:val="22"/>
          <w:lang w:val="sr-Latn-ME"/>
        </w:rPr>
      </w:pPr>
    </w:p>
    <w:p w14:paraId="132EDC70" w14:textId="58E8F0D6" w:rsidR="0003793F" w:rsidRPr="00220369" w:rsidRDefault="0003793F" w:rsidP="00E6784B">
      <w:pPr>
        <w:jc w:val="both"/>
        <w:rPr>
          <w:sz w:val="22"/>
          <w:szCs w:val="22"/>
          <w:lang w:val="sr-Latn-ME"/>
        </w:rPr>
      </w:pPr>
      <w:r w:rsidRPr="00220369">
        <w:rPr>
          <w:sz w:val="22"/>
          <w:szCs w:val="22"/>
          <w:lang w:val="sr-Latn-ME"/>
        </w:rPr>
        <w:t>Za spisak svih ekscipijenasa, pogledati dio 6.1.</w:t>
      </w:r>
    </w:p>
    <w:p w14:paraId="2484211C" w14:textId="574B88D7" w:rsidR="00C37FD7" w:rsidRPr="00220369" w:rsidRDefault="00C37FD7" w:rsidP="00E6784B">
      <w:pPr>
        <w:jc w:val="both"/>
        <w:rPr>
          <w:sz w:val="22"/>
          <w:szCs w:val="22"/>
          <w:lang w:val="sr-Latn-ME"/>
        </w:rPr>
      </w:pPr>
    </w:p>
    <w:p w14:paraId="07CD80EB" w14:textId="77777777" w:rsidR="0063496B" w:rsidRPr="00220369" w:rsidRDefault="0063496B" w:rsidP="00E6784B">
      <w:pPr>
        <w:jc w:val="both"/>
        <w:rPr>
          <w:sz w:val="22"/>
          <w:szCs w:val="22"/>
          <w:lang w:val="sr-Latn-ME"/>
        </w:rPr>
      </w:pPr>
    </w:p>
    <w:p w14:paraId="7BF6EB90" w14:textId="7BCF940E" w:rsidR="00411B4B" w:rsidRPr="00220369" w:rsidRDefault="00411B4B" w:rsidP="00E6784B">
      <w:pPr>
        <w:tabs>
          <w:tab w:val="left" w:pos="540"/>
          <w:tab w:val="left" w:pos="569"/>
        </w:tabs>
        <w:jc w:val="both"/>
        <w:rPr>
          <w:b/>
          <w:bCs/>
          <w:sz w:val="22"/>
          <w:szCs w:val="22"/>
          <w:lang w:val="sr-Latn-ME"/>
        </w:rPr>
      </w:pPr>
      <w:r w:rsidRPr="00220369">
        <w:rPr>
          <w:b/>
          <w:bCs/>
          <w:sz w:val="22"/>
          <w:szCs w:val="22"/>
          <w:lang w:val="sr-Latn-ME"/>
        </w:rPr>
        <w:t xml:space="preserve">3. </w:t>
      </w:r>
      <w:r w:rsidR="00F5167F" w:rsidRPr="00220369">
        <w:rPr>
          <w:b/>
          <w:bCs/>
          <w:sz w:val="22"/>
          <w:szCs w:val="22"/>
          <w:lang w:val="sr-Latn-ME"/>
        </w:rPr>
        <w:tab/>
      </w:r>
      <w:r w:rsidRPr="00220369">
        <w:rPr>
          <w:b/>
          <w:bCs/>
          <w:sz w:val="22"/>
          <w:szCs w:val="22"/>
          <w:lang w:val="sr-Latn-ME"/>
        </w:rPr>
        <w:t>FARMACEUTSKI OBLIK</w:t>
      </w:r>
      <w:r w:rsidR="009F2D23" w:rsidRPr="00220369">
        <w:rPr>
          <w:b/>
          <w:bCs/>
          <w:sz w:val="22"/>
          <w:szCs w:val="22"/>
          <w:lang w:val="sr-Latn-ME"/>
        </w:rPr>
        <w:t xml:space="preserve"> </w:t>
      </w:r>
    </w:p>
    <w:p w14:paraId="656FD15F" w14:textId="77777777" w:rsidR="005731F0" w:rsidRPr="00220369" w:rsidRDefault="005731F0" w:rsidP="00E6784B">
      <w:pPr>
        <w:tabs>
          <w:tab w:val="left" w:pos="540"/>
          <w:tab w:val="left" w:pos="569"/>
        </w:tabs>
        <w:jc w:val="both"/>
        <w:rPr>
          <w:b/>
          <w:bCs/>
          <w:sz w:val="22"/>
          <w:szCs w:val="22"/>
          <w:lang w:val="sr-Latn-ME"/>
        </w:rPr>
      </w:pPr>
    </w:p>
    <w:p w14:paraId="415B6439" w14:textId="4D9490C2" w:rsidR="005731F0" w:rsidRPr="00220369" w:rsidRDefault="005731F0" w:rsidP="00E6784B">
      <w:pPr>
        <w:tabs>
          <w:tab w:val="left" w:pos="284"/>
        </w:tabs>
        <w:jc w:val="both"/>
        <w:rPr>
          <w:sz w:val="22"/>
          <w:szCs w:val="22"/>
          <w:lang w:val="sr-Latn-ME"/>
        </w:rPr>
      </w:pPr>
      <w:r w:rsidRPr="00220369">
        <w:rPr>
          <w:sz w:val="22"/>
          <w:szCs w:val="22"/>
          <w:lang w:val="sr-Latn-ME"/>
        </w:rPr>
        <w:t>Tablet</w:t>
      </w:r>
      <w:r w:rsidR="009456A5" w:rsidRPr="00220369">
        <w:rPr>
          <w:sz w:val="22"/>
          <w:szCs w:val="22"/>
          <w:lang w:val="sr-Latn-ME"/>
        </w:rPr>
        <w:t>a</w:t>
      </w:r>
      <w:r w:rsidRPr="00220369">
        <w:rPr>
          <w:sz w:val="22"/>
          <w:szCs w:val="22"/>
          <w:lang w:val="sr-Latn-ME"/>
        </w:rPr>
        <w:t>.</w:t>
      </w:r>
    </w:p>
    <w:p w14:paraId="6A20C4FB" w14:textId="578236C5" w:rsidR="005731F0" w:rsidRPr="00220369" w:rsidRDefault="005731F0" w:rsidP="00E6784B">
      <w:pPr>
        <w:tabs>
          <w:tab w:val="left" w:pos="284"/>
        </w:tabs>
        <w:jc w:val="both"/>
        <w:rPr>
          <w:color w:val="000000"/>
          <w:sz w:val="22"/>
          <w:szCs w:val="22"/>
          <w:lang w:val="sr-Latn-ME"/>
        </w:rPr>
      </w:pPr>
      <w:r w:rsidRPr="00220369">
        <w:rPr>
          <w:color w:val="000000"/>
          <w:sz w:val="22"/>
          <w:szCs w:val="22"/>
          <w:lang w:val="sr-Latn-ME"/>
        </w:rPr>
        <w:t>Bijele okrugle tablete, sa dimenzijama 7 mm pre</w:t>
      </w:r>
      <w:r w:rsidR="005F3A5C" w:rsidRPr="00220369">
        <w:rPr>
          <w:color w:val="000000"/>
          <w:sz w:val="22"/>
          <w:szCs w:val="22"/>
          <w:lang w:val="sr-Latn-ME"/>
        </w:rPr>
        <w:t>č</w:t>
      </w:r>
      <w:r w:rsidRPr="00220369">
        <w:rPr>
          <w:color w:val="000000"/>
          <w:sz w:val="22"/>
          <w:szCs w:val="22"/>
          <w:lang w:val="sr-Latn-ME"/>
        </w:rPr>
        <w:t>nik i 4 mm debljina.</w:t>
      </w:r>
    </w:p>
    <w:p w14:paraId="0A964847" w14:textId="5E4931C5" w:rsidR="00EC2532" w:rsidRPr="00220369" w:rsidRDefault="00EC2532" w:rsidP="00E6784B">
      <w:pPr>
        <w:jc w:val="both"/>
        <w:rPr>
          <w:bCs/>
          <w:sz w:val="22"/>
          <w:szCs w:val="22"/>
          <w:lang w:val="sr-Latn-ME"/>
        </w:rPr>
      </w:pPr>
    </w:p>
    <w:p w14:paraId="390742F6" w14:textId="77777777" w:rsidR="0063496B" w:rsidRPr="00220369" w:rsidRDefault="0063496B" w:rsidP="00E6784B">
      <w:pPr>
        <w:jc w:val="both"/>
        <w:rPr>
          <w:bCs/>
          <w:sz w:val="22"/>
          <w:szCs w:val="22"/>
          <w:lang w:val="sr-Latn-ME"/>
        </w:rPr>
      </w:pPr>
    </w:p>
    <w:p w14:paraId="425F80D8" w14:textId="77777777" w:rsidR="00411B4B" w:rsidRPr="00220369" w:rsidRDefault="00411B4B" w:rsidP="00E6784B">
      <w:pPr>
        <w:tabs>
          <w:tab w:val="left" w:pos="540"/>
          <w:tab w:val="left" w:pos="569"/>
        </w:tabs>
        <w:jc w:val="both"/>
        <w:rPr>
          <w:b/>
          <w:bCs/>
          <w:sz w:val="22"/>
          <w:szCs w:val="22"/>
          <w:lang w:val="sr-Latn-ME"/>
        </w:rPr>
      </w:pPr>
      <w:r w:rsidRPr="00220369">
        <w:rPr>
          <w:b/>
          <w:bCs/>
          <w:sz w:val="22"/>
          <w:szCs w:val="22"/>
          <w:lang w:val="sr-Latn-ME"/>
        </w:rPr>
        <w:t xml:space="preserve">4. </w:t>
      </w:r>
      <w:r w:rsidR="00480FB1" w:rsidRPr="00220369">
        <w:rPr>
          <w:b/>
          <w:bCs/>
          <w:sz w:val="22"/>
          <w:szCs w:val="22"/>
          <w:lang w:val="sr-Latn-ME"/>
        </w:rPr>
        <w:tab/>
      </w:r>
      <w:r w:rsidRPr="00220369">
        <w:rPr>
          <w:b/>
          <w:bCs/>
          <w:sz w:val="22"/>
          <w:szCs w:val="22"/>
          <w:lang w:val="sr-Latn-ME"/>
        </w:rPr>
        <w:t>KLINIČKI PODACI</w:t>
      </w:r>
    </w:p>
    <w:p w14:paraId="64DEA905" w14:textId="77777777" w:rsidR="00CD6F02" w:rsidRPr="00220369" w:rsidRDefault="00CD6F02" w:rsidP="00E6784B">
      <w:pPr>
        <w:tabs>
          <w:tab w:val="left" w:pos="540"/>
          <w:tab w:val="left" w:pos="569"/>
        </w:tabs>
        <w:jc w:val="both"/>
        <w:rPr>
          <w:bCs/>
          <w:sz w:val="22"/>
          <w:szCs w:val="22"/>
          <w:lang w:val="sr-Latn-ME"/>
        </w:rPr>
      </w:pPr>
    </w:p>
    <w:p w14:paraId="4D071AC1" w14:textId="13E25015" w:rsidR="00411B4B" w:rsidRPr="00220369" w:rsidRDefault="00411B4B" w:rsidP="00E6784B">
      <w:pPr>
        <w:tabs>
          <w:tab w:val="left" w:pos="540"/>
          <w:tab w:val="left" w:pos="569"/>
        </w:tabs>
        <w:jc w:val="both"/>
        <w:rPr>
          <w:b/>
          <w:bCs/>
          <w:sz w:val="22"/>
          <w:szCs w:val="22"/>
          <w:lang w:val="sr-Latn-ME"/>
        </w:rPr>
      </w:pPr>
      <w:r w:rsidRPr="00220369">
        <w:rPr>
          <w:b/>
          <w:bCs/>
          <w:sz w:val="22"/>
          <w:szCs w:val="22"/>
          <w:lang w:val="sr-Latn-ME"/>
        </w:rPr>
        <w:t xml:space="preserve">4.1. </w:t>
      </w:r>
      <w:r w:rsidR="00480FB1" w:rsidRPr="00220369">
        <w:rPr>
          <w:b/>
          <w:bCs/>
          <w:sz w:val="22"/>
          <w:szCs w:val="22"/>
          <w:lang w:val="sr-Latn-ME"/>
        </w:rPr>
        <w:tab/>
      </w:r>
      <w:r w:rsidRPr="00220369">
        <w:rPr>
          <w:b/>
          <w:bCs/>
          <w:sz w:val="22"/>
          <w:szCs w:val="22"/>
          <w:lang w:val="sr-Latn-ME"/>
        </w:rPr>
        <w:t>Terapijske indikacije</w:t>
      </w:r>
    </w:p>
    <w:p w14:paraId="6C26E73B" w14:textId="77777777" w:rsidR="005731F0" w:rsidRPr="00220369" w:rsidRDefault="005731F0" w:rsidP="00E6784B">
      <w:pPr>
        <w:tabs>
          <w:tab w:val="left" w:pos="540"/>
          <w:tab w:val="left" w:pos="569"/>
        </w:tabs>
        <w:jc w:val="both"/>
        <w:rPr>
          <w:b/>
          <w:bCs/>
          <w:sz w:val="22"/>
          <w:szCs w:val="22"/>
          <w:lang w:val="sr-Latn-ME"/>
        </w:rPr>
      </w:pPr>
    </w:p>
    <w:p w14:paraId="11AAC3B5" w14:textId="28EE6F79" w:rsidR="005731F0" w:rsidRPr="00220369" w:rsidRDefault="005731F0" w:rsidP="00E6784B">
      <w:pPr>
        <w:tabs>
          <w:tab w:val="left" w:pos="284"/>
        </w:tabs>
        <w:jc w:val="both"/>
        <w:rPr>
          <w:sz w:val="22"/>
          <w:szCs w:val="22"/>
          <w:lang w:val="sr-Latn-ME"/>
        </w:rPr>
      </w:pPr>
      <w:r w:rsidRPr="00220369">
        <w:rPr>
          <w:sz w:val="22"/>
          <w:szCs w:val="22"/>
          <w:lang w:val="sr-Latn-ME"/>
        </w:rPr>
        <w:t>Simptomatska terapija alergijskog rinokonju</w:t>
      </w:r>
      <w:r w:rsidR="00035D8E" w:rsidRPr="00220369">
        <w:rPr>
          <w:sz w:val="22"/>
          <w:szCs w:val="22"/>
          <w:lang w:val="sr-Latn-ME"/>
        </w:rPr>
        <w:t>n</w:t>
      </w:r>
      <w:r w:rsidRPr="00220369">
        <w:rPr>
          <w:sz w:val="22"/>
          <w:szCs w:val="22"/>
          <w:lang w:val="sr-Latn-ME"/>
        </w:rPr>
        <w:t xml:space="preserve">ktivitisa (sezonskog i perenijalnog) i urtikarije. </w:t>
      </w:r>
    </w:p>
    <w:p w14:paraId="5F22A62F" w14:textId="77777777" w:rsidR="005731F0" w:rsidRPr="00220369" w:rsidRDefault="005731F0" w:rsidP="00E6784B">
      <w:pPr>
        <w:tabs>
          <w:tab w:val="left" w:pos="284"/>
        </w:tabs>
        <w:jc w:val="both"/>
        <w:rPr>
          <w:sz w:val="22"/>
          <w:szCs w:val="22"/>
          <w:lang w:val="sr-Latn-ME"/>
        </w:rPr>
      </w:pPr>
      <w:r w:rsidRPr="00220369">
        <w:rPr>
          <w:sz w:val="22"/>
          <w:szCs w:val="22"/>
          <w:lang w:val="sr-Latn-ME"/>
        </w:rPr>
        <w:t xml:space="preserve">Lijek </w:t>
      </w:r>
      <w:r w:rsidRPr="00220369">
        <w:rPr>
          <w:color w:val="000000"/>
          <w:sz w:val="22"/>
          <w:szCs w:val="22"/>
          <w:lang w:val="sr-Latn-ME"/>
        </w:rPr>
        <w:t>Alergofen</w:t>
      </w:r>
      <w:r w:rsidRPr="00220369">
        <w:rPr>
          <w:sz w:val="22"/>
          <w:szCs w:val="22"/>
          <w:lang w:val="sr-Latn-ME"/>
        </w:rPr>
        <w:t xml:space="preserve"> je indikovan za upotrebu kod odraslih osoba i adolescenata (uzrasta 12 godina i više).</w:t>
      </w:r>
    </w:p>
    <w:p w14:paraId="249A3435" w14:textId="77777777" w:rsidR="00411B4B" w:rsidRPr="00220369" w:rsidRDefault="00411B4B" w:rsidP="00E6784B">
      <w:pPr>
        <w:tabs>
          <w:tab w:val="left" w:pos="540"/>
          <w:tab w:val="left" w:pos="569"/>
        </w:tabs>
        <w:jc w:val="both"/>
        <w:rPr>
          <w:bCs/>
          <w:sz w:val="22"/>
          <w:szCs w:val="22"/>
          <w:lang w:val="sr-Latn-ME"/>
        </w:rPr>
      </w:pPr>
    </w:p>
    <w:p w14:paraId="4AD1A3C7" w14:textId="77777777" w:rsidR="00411B4B" w:rsidRPr="00220369" w:rsidRDefault="00411B4B" w:rsidP="00E6784B">
      <w:pPr>
        <w:tabs>
          <w:tab w:val="left" w:pos="540"/>
          <w:tab w:val="left" w:pos="569"/>
        </w:tabs>
        <w:jc w:val="both"/>
        <w:rPr>
          <w:b/>
          <w:bCs/>
          <w:sz w:val="22"/>
          <w:szCs w:val="22"/>
          <w:lang w:val="sr-Latn-ME"/>
        </w:rPr>
      </w:pPr>
      <w:r w:rsidRPr="00220369">
        <w:rPr>
          <w:b/>
          <w:bCs/>
          <w:sz w:val="22"/>
          <w:szCs w:val="22"/>
          <w:lang w:val="sr-Latn-ME"/>
        </w:rPr>
        <w:t xml:space="preserve">4.2. </w:t>
      </w:r>
      <w:r w:rsidR="00480FB1" w:rsidRPr="00220369">
        <w:rPr>
          <w:b/>
          <w:bCs/>
          <w:sz w:val="22"/>
          <w:szCs w:val="22"/>
          <w:lang w:val="sr-Latn-ME"/>
        </w:rPr>
        <w:tab/>
      </w:r>
      <w:r w:rsidRPr="00220369">
        <w:rPr>
          <w:b/>
          <w:bCs/>
          <w:sz w:val="22"/>
          <w:szCs w:val="22"/>
          <w:lang w:val="sr-Latn-ME"/>
        </w:rPr>
        <w:t>Doziranje i način primjene</w:t>
      </w:r>
    </w:p>
    <w:p w14:paraId="6784F0EB" w14:textId="77777777" w:rsidR="0072020E" w:rsidRPr="00220369" w:rsidRDefault="0072020E" w:rsidP="00E6784B">
      <w:pPr>
        <w:tabs>
          <w:tab w:val="left" w:pos="540"/>
          <w:tab w:val="left" w:pos="569"/>
        </w:tabs>
        <w:jc w:val="both"/>
        <w:rPr>
          <w:bCs/>
          <w:sz w:val="22"/>
          <w:szCs w:val="22"/>
          <w:lang w:val="sr-Latn-ME"/>
        </w:rPr>
      </w:pPr>
    </w:p>
    <w:p w14:paraId="721B493A" w14:textId="7254049A" w:rsidR="00452E9D" w:rsidRPr="00220369" w:rsidRDefault="00452E9D" w:rsidP="00E6784B">
      <w:pPr>
        <w:tabs>
          <w:tab w:val="left" w:pos="540"/>
          <w:tab w:val="left" w:pos="569"/>
        </w:tabs>
        <w:jc w:val="both"/>
        <w:rPr>
          <w:bCs/>
          <w:sz w:val="22"/>
          <w:szCs w:val="22"/>
          <w:u w:val="single"/>
          <w:lang w:val="sr-Latn-ME"/>
        </w:rPr>
      </w:pPr>
      <w:r w:rsidRPr="00220369">
        <w:rPr>
          <w:bCs/>
          <w:sz w:val="22"/>
          <w:szCs w:val="22"/>
          <w:u w:val="single"/>
          <w:lang w:val="sr-Latn-ME"/>
        </w:rPr>
        <w:t>Doziranje</w:t>
      </w:r>
    </w:p>
    <w:p w14:paraId="1C41899C" w14:textId="77777777" w:rsidR="00F0546B" w:rsidRPr="00220369" w:rsidRDefault="00F0546B" w:rsidP="00E6784B">
      <w:pPr>
        <w:tabs>
          <w:tab w:val="left" w:pos="540"/>
          <w:tab w:val="left" w:pos="569"/>
        </w:tabs>
        <w:jc w:val="both"/>
        <w:rPr>
          <w:bCs/>
          <w:sz w:val="22"/>
          <w:szCs w:val="22"/>
          <w:u w:val="single"/>
          <w:lang w:val="sr-Latn-ME"/>
        </w:rPr>
      </w:pPr>
    </w:p>
    <w:p w14:paraId="1BC3CC28" w14:textId="77777777" w:rsidR="005731F0" w:rsidRPr="00220369" w:rsidRDefault="005731F0" w:rsidP="00E6784B">
      <w:pPr>
        <w:tabs>
          <w:tab w:val="left" w:pos="284"/>
        </w:tabs>
        <w:jc w:val="both"/>
        <w:rPr>
          <w:i/>
          <w:iCs/>
          <w:sz w:val="22"/>
          <w:szCs w:val="22"/>
          <w:lang w:val="sr-Latn-ME"/>
        </w:rPr>
      </w:pPr>
      <w:r w:rsidRPr="00220369">
        <w:rPr>
          <w:i/>
          <w:iCs/>
          <w:sz w:val="22"/>
          <w:szCs w:val="22"/>
          <w:lang w:val="sr-Latn-ME"/>
        </w:rPr>
        <w:t xml:space="preserve">Odrasli i adolescenti (uzrasta 12 godina i više) </w:t>
      </w:r>
    </w:p>
    <w:p w14:paraId="417BEA7B" w14:textId="68BFCD13" w:rsidR="005731F0" w:rsidRPr="00220369" w:rsidRDefault="005731F0" w:rsidP="00E6784B">
      <w:pPr>
        <w:tabs>
          <w:tab w:val="left" w:pos="284"/>
        </w:tabs>
        <w:jc w:val="both"/>
        <w:rPr>
          <w:sz w:val="22"/>
          <w:szCs w:val="22"/>
          <w:lang w:val="sr-Latn-ME"/>
        </w:rPr>
      </w:pPr>
      <w:r w:rsidRPr="00220369">
        <w:rPr>
          <w:sz w:val="22"/>
          <w:szCs w:val="22"/>
          <w:lang w:val="sr-Latn-ME"/>
        </w:rPr>
        <w:t>Za olakšanje simptoma alergijskog rinokonju</w:t>
      </w:r>
      <w:r w:rsidR="00035D8E" w:rsidRPr="00220369">
        <w:rPr>
          <w:sz w:val="22"/>
          <w:szCs w:val="22"/>
          <w:lang w:val="sr-Latn-ME"/>
        </w:rPr>
        <w:t>n</w:t>
      </w:r>
      <w:r w:rsidRPr="00220369">
        <w:rPr>
          <w:sz w:val="22"/>
          <w:szCs w:val="22"/>
          <w:lang w:val="sr-Latn-ME"/>
        </w:rPr>
        <w:t xml:space="preserve">ktivitisa (sezonskog i perenijalnog) i urtikarije, uzeti 20 mg bilastina (1 tabletu) dnevno. </w:t>
      </w:r>
    </w:p>
    <w:p w14:paraId="49DF4341" w14:textId="440BF2D5" w:rsidR="005731F0" w:rsidRPr="00220369" w:rsidRDefault="005731F0" w:rsidP="00E6784B">
      <w:pPr>
        <w:tabs>
          <w:tab w:val="left" w:pos="284"/>
        </w:tabs>
        <w:jc w:val="both"/>
        <w:rPr>
          <w:sz w:val="22"/>
          <w:szCs w:val="22"/>
          <w:lang w:val="sr-Latn-ME"/>
        </w:rPr>
      </w:pPr>
      <w:r w:rsidRPr="00220369">
        <w:rPr>
          <w:sz w:val="22"/>
          <w:szCs w:val="22"/>
          <w:lang w:val="sr-Latn-ME"/>
        </w:rPr>
        <w:t>Tabletu treba uzeti jedan sat p</w:t>
      </w:r>
      <w:r w:rsidR="00F0546B" w:rsidRPr="00220369">
        <w:rPr>
          <w:sz w:val="22"/>
          <w:szCs w:val="22"/>
          <w:lang w:val="sr-Latn-ME"/>
        </w:rPr>
        <w:t>r</w:t>
      </w:r>
      <w:r w:rsidRPr="00220369">
        <w:rPr>
          <w:sz w:val="22"/>
          <w:szCs w:val="22"/>
          <w:lang w:val="sr-Latn-ME"/>
        </w:rPr>
        <w:t>ije ili 2 sata posle unosa hrane ili voćnog soka (</w:t>
      </w:r>
      <w:r w:rsidR="00D10D0D" w:rsidRPr="00220369">
        <w:rPr>
          <w:sz w:val="22"/>
          <w:szCs w:val="22"/>
          <w:lang w:val="sr-Latn-ME"/>
        </w:rPr>
        <w:t>pogledati</w:t>
      </w:r>
      <w:r w:rsidRPr="00220369">
        <w:rPr>
          <w:sz w:val="22"/>
          <w:szCs w:val="22"/>
          <w:lang w:val="sr-Latn-ME"/>
        </w:rPr>
        <w:t xml:space="preserve"> </w:t>
      </w:r>
      <w:r w:rsidR="00C02A24" w:rsidRPr="00220369">
        <w:rPr>
          <w:sz w:val="22"/>
          <w:szCs w:val="22"/>
          <w:lang w:val="sr-Latn-ME"/>
        </w:rPr>
        <w:t>dio</w:t>
      </w:r>
      <w:r w:rsidRPr="00220369">
        <w:rPr>
          <w:sz w:val="22"/>
          <w:szCs w:val="22"/>
          <w:lang w:val="sr-Latn-ME"/>
        </w:rPr>
        <w:t xml:space="preserve"> 4.5). </w:t>
      </w:r>
    </w:p>
    <w:p w14:paraId="1523F4E6" w14:textId="77777777" w:rsidR="005731F0" w:rsidRPr="00220369" w:rsidRDefault="005731F0" w:rsidP="00E6784B">
      <w:pPr>
        <w:tabs>
          <w:tab w:val="left" w:pos="284"/>
        </w:tabs>
        <w:jc w:val="both"/>
        <w:rPr>
          <w:sz w:val="22"/>
          <w:szCs w:val="22"/>
          <w:lang w:val="sr-Latn-ME"/>
        </w:rPr>
      </w:pPr>
    </w:p>
    <w:p w14:paraId="1F76DEB1" w14:textId="77777777" w:rsidR="005731F0" w:rsidRPr="00220369" w:rsidRDefault="005731F0" w:rsidP="00E6784B">
      <w:pPr>
        <w:tabs>
          <w:tab w:val="left" w:pos="284"/>
        </w:tabs>
        <w:jc w:val="both"/>
        <w:rPr>
          <w:i/>
          <w:iCs/>
          <w:sz w:val="22"/>
          <w:szCs w:val="22"/>
          <w:lang w:val="sr-Latn-ME"/>
        </w:rPr>
      </w:pPr>
      <w:r w:rsidRPr="00220369">
        <w:rPr>
          <w:i/>
          <w:iCs/>
          <w:sz w:val="22"/>
          <w:szCs w:val="22"/>
          <w:lang w:val="sr-Latn-ME"/>
        </w:rPr>
        <w:t xml:space="preserve">Dužina trajanja terapije </w:t>
      </w:r>
    </w:p>
    <w:p w14:paraId="2E49FC8D" w14:textId="580DE285" w:rsidR="005731F0" w:rsidRPr="00220369" w:rsidRDefault="005731F0" w:rsidP="00E6784B">
      <w:pPr>
        <w:tabs>
          <w:tab w:val="left" w:pos="284"/>
        </w:tabs>
        <w:jc w:val="both"/>
        <w:rPr>
          <w:sz w:val="22"/>
          <w:szCs w:val="22"/>
          <w:lang w:val="sr-Latn-ME"/>
        </w:rPr>
      </w:pPr>
      <w:r w:rsidRPr="00220369">
        <w:rPr>
          <w:sz w:val="22"/>
          <w:szCs w:val="22"/>
          <w:lang w:val="sr-Latn-ME"/>
        </w:rPr>
        <w:t xml:space="preserve">Kod alergijskog </w:t>
      </w:r>
      <w:r w:rsidR="00F0546B" w:rsidRPr="00220369">
        <w:rPr>
          <w:sz w:val="22"/>
          <w:szCs w:val="22"/>
          <w:lang w:val="sr-Latn-ME"/>
        </w:rPr>
        <w:t>rinitisa</w:t>
      </w:r>
      <w:r w:rsidRPr="00220369">
        <w:rPr>
          <w:sz w:val="22"/>
          <w:szCs w:val="22"/>
          <w:lang w:val="sr-Latn-ME"/>
        </w:rPr>
        <w:t xml:space="preserve">, terapiju treba ograničiti na period izloženosti alergenima. Kod sezonskog alergijskog rinitisa, terapija se može prekinuti nakon povlačenja simptoma i ponovo uvesti nakon njihovog pojavljivanja. Pacijentima sa </w:t>
      </w:r>
      <w:r w:rsidR="00F0546B" w:rsidRPr="00220369">
        <w:rPr>
          <w:sz w:val="22"/>
          <w:szCs w:val="22"/>
          <w:lang w:val="sr-Latn-ME"/>
        </w:rPr>
        <w:t>perenijalnim</w:t>
      </w:r>
      <w:r w:rsidRPr="00220369">
        <w:rPr>
          <w:sz w:val="22"/>
          <w:szCs w:val="22"/>
          <w:lang w:val="sr-Latn-ME"/>
        </w:rPr>
        <w:t xml:space="preserve"> alergijskim rinitisom se može preporučiti kontinuirana terapija tokom perioda izloženosti alergenima. Kod urtikarije, dužina trajanja terapije zavisi od tipa, trajanja i toka simptoma.</w:t>
      </w:r>
    </w:p>
    <w:p w14:paraId="676A754D" w14:textId="77777777" w:rsidR="005731F0" w:rsidRPr="00220369" w:rsidRDefault="005731F0" w:rsidP="00E6784B">
      <w:pPr>
        <w:tabs>
          <w:tab w:val="left" w:pos="284"/>
        </w:tabs>
        <w:jc w:val="both"/>
        <w:rPr>
          <w:sz w:val="22"/>
          <w:szCs w:val="22"/>
          <w:lang w:val="sr-Latn-ME"/>
        </w:rPr>
      </w:pPr>
    </w:p>
    <w:p w14:paraId="7A230122" w14:textId="77777777"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 xml:space="preserve">Posebne populacije </w:t>
      </w:r>
    </w:p>
    <w:p w14:paraId="2BEF605A" w14:textId="27B7F0EB" w:rsidR="005731F0" w:rsidRPr="00220369" w:rsidRDefault="005731F0" w:rsidP="00E6784B">
      <w:pPr>
        <w:tabs>
          <w:tab w:val="left" w:pos="284"/>
        </w:tabs>
        <w:jc w:val="both"/>
        <w:rPr>
          <w:i/>
          <w:iCs/>
          <w:sz w:val="22"/>
          <w:szCs w:val="22"/>
          <w:lang w:val="sr-Latn-ME"/>
        </w:rPr>
      </w:pPr>
      <w:r w:rsidRPr="00220369">
        <w:rPr>
          <w:i/>
          <w:iCs/>
          <w:sz w:val="22"/>
          <w:szCs w:val="22"/>
          <w:lang w:val="sr-Latn-ME"/>
        </w:rPr>
        <w:t>Stariji pacijen</w:t>
      </w:r>
      <w:r w:rsidR="00F0546B" w:rsidRPr="00220369">
        <w:rPr>
          <w:i/>
          <w:iCs/>
          <w:sz w:val="22"/>
          <w:szCs w:val="22"/>
          <w:lang w:val="sr-Latn-ME"/>
        </w:rPr>
        <w:t>ti</w:t>
      </w:r>
      <w:r w:rsidRPr="00220369">
        <w:rPr>
          <w:i/>
          <w:iCs/>
          <w:sz w:val="22"/>
          <w:szCs w:val="22"/>
          <w:lang w:val="sr-Latn-ME"/>
        </w:rPr>
        <w:t xml:space="preserve"> </w:t>
      </w:r>
    </w:p>
    <w:p w14:paraId="19501EDC" w14:textId="727DE354" w:rsidR="005731F0" w:rsidRPr="00220369" w:rsidRDefault="005731F0" w:rsidP="00E6784B">
      <w:pPr>
        <w:tabs>
          <w:tab w:val="left" w:pos="284"/>
        </w:tabs>
        <w:jc w:val="both"/>
        <w:rPr>
          <w:sz w:val="22"/>
          <w:szCs w:val="22"/>
          <w:lang w:val="sr-Latn-ME"/>
        </w:rPr>
      </w:pPr>
      <w:r w:rsidRPr="00220369">
        <w:rPr>
          <w:sz w:val="22"/>
          <w:szCs w:val="22"/>
          <w:lang w:val="sr-Latn-ME"/>
        </w:rPr>
        <w:t>Nije potrebno prilagođavanje doze kod starijih pacijenata (</w:t>
      </w:r>
      <w:r w:rsidR="00D10D0D" w:rsidRPr="00220369">
        <w:rPr>
          <w:sz w:val="22"/>
          <w:szCs w:val="22"/>
          <w:lang w:val="sr-Latn-ME"/>
        </w:rPr>
        <w:t>pogledati</w:t>
      </w:r>
      <w:r w:rsidRPr="00220369">
        <w:rPr>
          <w:sz w:val="22"/>
          <w:szCs w:val="22"/>
          <w:lang w:val="sr-Latn-ME"/>
        </w:rPr>
        <w:t xml:space="preserve"> </w:t>
      </w:r>
      <w:r w:rsidR="00C02A24" w:rsidRPr="00220369">
        <w:rPr>
          <w:sz w:val="22"/>
          <w:szCs w:val="22"/>
          <w:lang w:val="sr-Latn-ME"/>
        </w:rPr>
        <w:t>di</w:t>
      </w:r>
      <w:r w:rsidR="00E6784B" w:rsidRPr="00220369">
        <w:rPr>
          <w:sz w:val="22"/>
          <w:szCs w:val="22"/>
          <w:lang w:val="sr-Latn-ME"/>
        </w:rPr>
        <w:t>jelove</w:t>
      </w:r>
      <w:r w:rsidRPr="00220369">
        <w:rPr>
          <w:sz w:val="22"/>
          <w:szCs w:val="22"/>
          <w:lang w:val="sr-Latn-ME"/>
        </w:rPr>
        <w:t xml:space="preserve"> 5.1 i 5.2). </w:t>
      </w:r>
    </w:p>
    <w:p w14:paraId="31BCA04F" w14:textId="77777777" w:rsidR="005731F0" w:rsidRPr="00220369" w:rsidRDefault="005731F0" w:rsidP="00E6784B">
      <w:pPr>
        <w:tabs>
          <w:tab w:val="left" w:pos="284"/>
        </w:tabs>
        <w:jc w:val="both"/>
        <w:rPr>
          <w:sz w:val="22"/>
          <w:szCs w:val="22"/>
          <w:lang w:val="sr-Latn-ME"/>
        </w:rPr>
      </w:pPr>
    </w:p>
    <w:p w14:paraId="2C5ECDFE" w14:textId="77777777" w:rsidR="005731F0" w:rsidRPr="00220369" w:rsidRDefault="005731F0" w:rsidP="00E6784B">
      <w:pPr>
        <w:tabs>
          <w:tab w:val="left" w:pos="284"/>
        </w:tabs>
        <w:jc w:val="both"/>
        <w:rPr>
          <w:i/>
          <w:iCs/>
          <w:sz w:val="22"/>
          <w:szCs w:val="22"/>
          <w:lang w:val="sr-Latn-ME"/>
        </w:rPr>
      </w:pPr>
      <w:r w:rsidRPr="00220369">
        <w:rPr>
          <w:i/>
          <w:iCs/>
          <w:sz w:val="22"/>
          <w:szCs w:val="22"/>
          <w:lang w:val="sr-Latn-ME"/>
        </w:rPr>
        <w:t xml:space="preserve">Oštećenje funkcije bubrega </w:t>
      </w:r>
    </w:p>
    <w:p w14:paraId="4C115434" w14:textId="6D429C5B" w:rsidR="005731F0" w:rsidRPr="00220369" w:rsidRDefault="005731F0" w:rsidP="00E6784B">
      <w:pPr>
        <w:tabs>
          <w:tab w:val="left" w:pos="284"/>
        </w:tabs>
        <w:jc w:val="both"/>
        <w:rPr>
          <w:sz w:val="22"/>
          <w:szCs w:val="22"/>
          <w:lang w:val="sr-Latn-ME"/>
        </w:rPr>
      </w:pPr>
      <w:r w:rsidRPr="00220369">
        <w:rPr>
          <w:sz w:val="22"/>
          <w:szCs w:val="22"/>
          <w:lang w:val="sr-Latn-ME"/>
        </w:rPr>
        <w:t>Studije sprovedene na odraslim ispitanicima u visokorizičnim grupama (pacijenti sa bubrežnom insuficijencijom) ukazuju da nije potrebno prilagođavanje doze bilastina kod odraslih osoba (</w:t>
      </w:r>
      <w:r w:rsidR="00D10D0D" w:rsidRPr="00220369">
        <w:rPr>
          <w:sz w:val="22"/>
          <w:szCs w:val="22"/>
          <w:lang w:val="sr-Latn-ME"/>
        </w:rPr>
        <w:t>pogledati</w:t>
      </w:r>
      <w:r w:rsidRPr="00220369">
        <w:rPr>
          <w:sz w:val="22"/>
          <w:szCs w:val="22"/>
          <w:lang w:val="sr-Latn-ME"/>
        </w:rPr>
        <w:t xml:space="preserve"> </w:t>
      </w:r>
      <w:r w:rsidR="00C02A24" w:rsidRPr="00220369">
        <w:rPr>
          <w:sz w:val="22"/>
          <w:szCs w:val="22"/>
          <w:lang w:val="sr-Latn-ME"/>
        </w:rPr>
        <w:t>dio</w:t>
      </w:r>
      <w:r w:rsidRPr="00220369">
        <w:rPr>
          <w:sz w:val="22"/>
          <w:szCs w:val="22"/>
          <w:lang w:val="sr-Latn-ME"/>
        </w:rPr>
        <w:t xml:space="preserve"> 5.2). </w:t>
      </w:r>
    </w:p>
    <w:p w14:paraId="4FD81AF1" w14:textId="77777777" w:rsidR="005731F0" w:rsidRPr="00220369" w:rsidRDefault="005731F0" w:rsidP="00E6784B">
      <w:pPr>
        <w:tabs>
          <w:tab w:val="left" w:pos="284"/>
        </w:tabs>
        <w:jc w:val="both"/>
        <w:rPr>
          <w:sz w:val="22"/>
          <w:szCs w:val="22"/>
          <w:lang w:val="sr-Latn-ME"/>
        </w:rPr>
      </w:pPr>
    </w:p>
    <w:p w14:paraId="308E7767" w14:textId="77777777" w:rsidR="005731F0" w:rsidRPr="00220369" w:rsidRDefault="005731F0" w:rsidP="00E6784B">
      <w:pPr>
        <w:tabs>
          <w:tab w:val="left" w:pos="284"/>
        </w:tabs>
        <w:jc w:val="both"/>
        <w:rPr>
          <w:i/>
          <w:iCs/>
          <w:sz w:val="22"/>
          <w:szCs w:val="22"/>
          <w:lang w:val="sr-Latn-ME"/>
        </w:rPr>
      </w:pPr>
      <w:r w:rsidRPr="00220369">
        <w:rPr>
          <w:i/>
          <w:iCs/>
          <w:sz w:val="22"/>
          <w:szCs w:val="22"/>
          <w:lang w:val="sr-Latn-ME"/>
        </w:rPr>
        <w:t xml:space="preserve">Oštećenje funkcije jetre </w:t>
      </w:r>
    </w:p>
    <w:p w14:paraId="64877AD0" w14:textId="3FB12EA4" w:rsidR="005731F0" w:rsidRPr="00220369" w:rsidRDefault="005731F0" w:rsidP="00E6784B">
      <w:pPr>
        <w:tabs>
          <w:tab w:val="left" w:pos="284"/>
        </w:tabs>
        <w:jc w:val="both"/>
        <w:rPr>
          <w:sz w:val="22"/>
          <w:szCs w:val="22"/>
          <w:lang w:val="sr-Latn-ME"/>
        </w:rPr>
      </w:pPr>
      <w:r w:rsidRPr="00220369">
        <w:rPr>
          <w:sz w:val="22"/>
          <w:szCs w:val="22"/>
          <w:lang w:val="sr-Latn-ME"/>
        </w:rPr>
        <w:lastRenderedPageBreak/>
        <w:t>Nema kliničkog iskustva kod pacijenata sa oštećenjem funkcije jetre. Budući da se bilastin ne metaboliše, već se izlučuje nepromijenjen putem urina i fecesa, ne očekuje se da oštećena funkcija jetre poveća sistemsku izloženost iznad granice bezbjednosti kod odraslih pacijenata. Dakle, nije potrebno prilagođavanje doze kod pacijenata sa oštećenjem funkcije jetre (</w:t>
      </w:r>
      <w:r w:rsidR="00D10D0D" w:rsidRPr="00220369">
        <w:rPr>
          <w:sz w:val="22"/>
          <w:szCs w:val="22"/>
          <w:lang w:val="sr-Latn-ME"/>
        </w:rPr>
        <w:t>pogledati</w:t>
      </w:r>
      <w:r w:rsidRPr="00220369">
        <w:rPr>
          <w:sz w:val="22"/>
          <w:szCs w:val="22"/>
          <w:lang w:val="sr-Latn-ME"/>
        </w:rPr>
        <w:t xml:space="preserve"> </w:t>
      </w:r>
      <w:r w:rsidR="00C02A24" w:rsidRPr="00220369">
        <w:rPr>
          <w:sz w:val="22"/>
          <w:szCs w:val="22"/>
          <w:lang w:val="sr-Latn-ME"/>
        </w:rPr>
        <w:t>dio</w:t>
      </w:r>
      <w:r w:rsidRPr="00220369">
        <w:rPr>
          <w:sz w:val="22"/>
          <w:szCs w:val="22"/>
          <w:lang w:val="sr-Latn-ME"/>
        </w:rPr>
        <w:t xml:space="preserve"> 5.2)</w:t>
      </w:r>
    </w:p>
    <w:p w14:paraId="3C7F79F2" w14:textId="77777777" w:rsidR="005731F0" w:rsidRPr="00220369" w:rsidRDefault="005731F0" w:rsidP="00E6784B">
      <w:pPr>
        <w:tabs>
          <w:tab w:val="left" w:pos="284"/>
        </w:tabs>
        <w:jc w:val="both"/>
        <w:rPr>
          <w:sz w:val="22"/>
          <w:szCs w:val="22"/>
          <w:lang w:val="sr-Latn-ME"/>
        </w:rPr>
      </w:pPr>
    </w:p>
    <w:p w14:paraId="0176007A" w14:textId="56A230BA" w:rsidR="005731F0" w:rsidRPr="00220369" w:rsidRDefault="005731F0" w:rsidP="00E6784B">
      <w:pPr>
        <w:tabs>
          <w:tab w:val="left" w:pos="284"/>
        </w:tabs>
        <w:jc w:val="both"/>
        <w:rPr>
          <w:i/>
          <w:iCs/>
          <w:sz w:val="22"/>
          <w:szCs w:val="22"/>
          <w:lang w:val="sr-Latn-ME"/>
        </w:rPr>
      </w:pPr>
      <w:r w:rsidRPr="00220369">
        <w:rPr>
          <w:i/>
          <w:iCs/>
          <w:sz w:val="22"/>
          <w:szCs w:val="22"/>
          <w:lang w:val="sr-Latn-ME"/>
        </w:rPr>
        <w:t>Pedijatrijska populacija</w:t>
      </w:r>
    </w:p>
    <w:p w14:paraId="26FCE758" w14:textId="77777777" w:rsidR="005731F0" w:rsidRPr="00220369" w:rsidRDefault="005731F0" w:rsidP="00E6784B">
      <w:pPr>
        <w:numPr>
          <w:ilvl w:val="0"/>
          <w:numId w:val="12"/>
        </w:numPr>
        <w:tabs>
          <w:tab w:val="left" w:pos="284"/>
        </w:tabs>
        <w:contextualSpacing/>
        <w:jc w:val="both"/>
        <w:rPr>
          <w:sz w:val="22"/>
          <w:szCs w:val="22"/>
          <w:lang w:val="sr-Latn-ME"/>
        </w:rPr>
      </w:pPr>
      <w:r w:rsidRPr="00220369">
        <w:rPr>
          <w:sz w:val="22"/>
          <w:szCs w:val="22"/>
          <w:lang w:val="sr-Latn-ME"/>
        </w:rPr>
        <w:t>Djeca od 6 do 11 godina sa tjelesnom masom preko 20 kg:</w:t>
      </w:r>
    </w:p>
    <w:p w14:paraId="4F43D616" w14:textId="77777777" w:rsidR="005731F0" w:rsidRPr="00220369" w:rsidRDefault="005731F0" w:rsidP="00E6784B">
      <w:pPr>
        <w:tabs>
          <w:tab w:val="left" w:pos="284"/>
        </w:tabs>
        <w:jc w:val="both"/>
        <w:rPr>
          <w:sz w:val="22"/>
          <w:szCs w:val="22"/>
          <w:lang w:val="sr-Latn-ME"/>
        </w:rPr>
      </w:pPr>
      <w:r w:rsidRPr="00220369">
        <w:rPr>
          <w:sz w:val="22"/>
          <w:szCs w:val="22"/>
          <w:lang w:val="sr-Latn-ME"/>
        </w:rPr>
        <w:t>Lijek Alergofen nije pogodan za primjenu kod djece mlađe od 12 godina. Međutim, drugi farmaceutski oblici su dostupni za djecu između 6 i 11 godina.</w:t>
      </w:r>
    </w:p>
    <w:p w14:paraId="7878FB65" w14:textId="77777777" w:rsidR="005731F0" w:rsidRPr="00220369" w:rsidRDefault="005731F0" w:rsidP="00E6784B">
      <w:pPr>
        <w:tabs>
          <w:tab w:val="left" w:pos="284"/>
        </w:tabs>
        <w:jc w:val="both"/>
        <w:rPr>
          <w:sz w:val="22"/>
          <w:szCs w:val="22"/>
          <w:lang w:val="sr-Latn-ME"/>
        </w:rPr>
      </w:pPr>
    </w:p>
    <w:p w14:paraId="54513B57" w14:textId="77777777" w:rsidR="005731F0" w:rsidRPr="00220369" w:rsidRDefault="005731F0" w:rsidP="00E6784B">
      <w:pPr>
        <w:numPr>
          <w:ilvl w:val="0"/>
          <w:numId w:val="12"/>
        </w:numPr>
        <w:tabs>
          <w:tab w:val="left" w:pos="284"/>
        </w:tabs>
        <w:contextualSpacing/>
        <w:jc w:val="both"/>
        <w:rPr>
          <w:sz w:val="22"/>
          <w:szCs w:val="22"/>
          <w:lang w:val="sr-Latn-ME"/>
        </w:rPr>
      </w:pPr>
      <w:r w:rsidRPr="00220369">
        <w:rPr>
          <w:sz w:val="22"/>
          <w:szCs w:val="22"/>
          <w:lang w:val="sr-Latn-ME"/>
        </w:rPr>
        <w:t>Djeca mlađa od 6 godina sa tjelesnom masom ispod 20 kg:</w:t>
      </w:r>
    </w:p>
    <w:p w14:paraId="4B5E56F1" w14:textId="6B5DE0CB" w:rsidR="005731F0" w:rsidRPr="00220369" w:rsidRDefault="005731F0" w:rsidP="00E6784B">
      <w:pPr>
        <w:tabs>
          <w:tab w:val="left" w:pos="284"/>
        </w:tabs>
        <w:jc w:val="both"/>
        <w:rPr>
          <w:sz w:val="22"/>
          <w:szCs w:val="22"/>
          <w:lang w:val="sr-Latn-ME"/>
        </w:rPr>
      </w:pPr>
      <w:r w:rsidRPr="00220369">
        <w:rPr>
          <w:sz w:val="22"/>
          <w:szCs w:val="22"/>
          <w:lang w:val="sr-Latn-ME"/>
        </w:rPr>
        <w:t xml:space="preserve">Trenutno dostupni podaci opisani su u </w:t>
      </w:r>
      <w:r w:rsidR="00E6784B" w:rsidRPr="00220369">
        <w:rPr>
          <w:sz w:val="22"/>
          <w:szCs w:val="22"/>
          <w:lang w:val="sr-Latn-ME"/>
        </w:rPr>
        <w:t xml:space="preserve">dijelovima </w:t>
      </w:r>
      <w:r w:rsidRPr="00220369">
        <w:rPr>
          <w:sz w:val="22"/>
          <w:szCs w:val="22"/>
          <w:lang w:val="sr-Latn-ME"/>
        </w:rPr>
        <w:t xml:space="preserve">4.4, 4.8, 5.1 i 5.2 ali nije moguće dati preporuku o doziranju u ovoj populaciji. Prema tome, bilastin </w:t>
      </w:r>
      <w:r w:rsidR="00E6784B" w:rsidRPr="00220369">
        <w:rPr>
          <w:sz w:val="22"/>
          <w:szCs w:val="22"/>
          <w:lang w:val="sr-Latn-ME"/>
        </w:rPr>
        <w:t xml:space="preserve">se </w:t>
      </w:r>
      <w:r w:rsidRPr="00220369">
        <w:rPr>
          <w:sz w:val="22"/>
          <w:szCs w:val="22"/>
          <w:lang w:val="sr-Latn-ME"/>
        </w:rPr>
        <w:t>ne</w:t>
      </w:r>
      <w:r w:rsidR="00E6784B" w:rsidRPr="00220369">
        <w:rPr>
          <w:sz w:val="22"/>
          <w:szCs w:val="22"/>
          <w:lang w:val="sr-Latn-ME"/>
        </w:rPr>
        <w:t xml:space="preserve"> smije</w:t>
      </w:r>
      <w:r w:rsidRPr="00220369">
        <w:rPr>
          <w:sz w:val="22"/>
          <w:szCs w:val="22"/>
          <w:lang w:val="sr-Latn-ME"/>
        </w:rPr>
        <w:t xml:space="preserve">  koristiti u ovoj starosnoj grupi. </w:t>
      </w:r>
    </w:p>
    <w:p w14:paraId="7D3A2953" w14:textId="77777777" w:rsidR="005731F0" w:rsidRPr="00220369" w:rsidRDefault="005731F0" w:rsidP="00E6784B">
      <w:pPr>
        <w:tabs>
          <w:tab w:val="left" w:pos="284"/>
        </w:tabs>
        <w:jc w:val="both"/>
        <w:rPr>
          <w:sz w:val="22"/>
          <w:szCs w:val="22"/>
          <w:lang w:val="sr-Latn-ME"/>
        </w:rPr>
      </w:pPr>
    </w:p>
    <w:p w14:paraId="3B5043D2" w14:textId="77777777" w:rsidR="005731F0" w:rsidRPr="00220369" w:rsidRDefault="005731F0" w:rsidP="00E6784B">
      <w:pPr>
        <w:tabs>
          <w:tab w:val="left" w:pos="284"/>
        </w:tabs>
        <w:jc w:val="both"/>
        <w:rPr>
          <w:sz w:val="22"/>
          <w:szCs w:val="22"/>
          <w:lang w:val="sr-Latn-ME"/>
        </w:rPr>
      </w:pPr>
      <w:r w:rsidRPr="00220369">
        <w:rPr>
          <w:sz w:val="22"/>
          <w:szCs w:val="22"/>
          <w:lang w:val="sr-Latn-ME"/>
        </w:rPr>
        <w:t>Bezbjednost i efikasnost bilastina kod djece sa oštećenjem bubrežne i hepatične funkcije i dalje nijesu utvrđeni.</w:t>
      </w:r>
    </w:p>
    <w:p w14:paraId="1BD51874" w14:textId="77777777" w:rsidR="00452E9D" w:rsidRPr="00220369" w:rsidRDefault="00452E9D" w:rsidP="00E6784B">
      <w:pPr>
        <w:tabs>
          <w:tab w:val="left" w:pos="540"/>
          <w:tab w:val="left" w:pos="569"/>
        </w:tabs>
        <w:jc w:val="both"/>
        <w:rPr>
          <w:bCs/>
          <w:sz w:val="22"/>
          <w:szCs w:val="22"/>
          <w:u w:val="single"/>
          <w:lang w:val="sr-Latn-ME"/>
        </w:rPr>
      </w:pPr>
    </w:p>
    <w:p w14:paraId="5917E0A6" w14:textId="77777777" w:rsidR="00452E9D" w:rsidRPr="00220369" w:rsidRDefault="00452E9D" w:rsidP="00E6784B">
      <w:pPr>
        <w:tabs>
          <w:tab w:val="left" w:pos="540"/>
          <w:tab w:val="left" w:pos="569"/>
        </w:tabs>
        <w:jc w:val="both"/>
        <w:rPr>
          <w:bCs/>
          <w:sz w:val="22"/>
          <w:szCs w:val="22"/>
          <w:u w:val="single"/>
          <w:lang w:val="sr-Latn-ME"/>
        </w:rPr>
      </w:pPr>
      <w:r w:rsidRPr="00220369">
        <w:rPr>
          <w:bCs/>
          <w:sz w:val="22"/>
          <w:szCs w:val="22"/>
          <w:u w:val="single"/>
          <w:lang w:val="sr-Latn-ME"/>
        </w:rPr>
        <w:t>Način primjene</w:t>
      </w:r>
    </w:p>
    <w:p w14:paraId="6BDCEBED" w14:textId="77777777" w:rsidR="005731F0" w:rsidRPr="00220369" w:rsidRDefault="005731F0" w:rsidP="00E6784B">
      <w:pPr>
        <w:tabs>
          <w:tab w:val="left" w:pos="284"/>
        </w:tabs>
        <w:jc w:val="both"/>
        <w:rPr>
          <w:sz w:val="22"/>
          <w:szCs w:val="22"/>
          <w:lang w:val="sr-Latn-ME"/>
        </w:rPr>
      </w:pPr>
      <w:r w:rsidRPr="00220369">
        <w:rPr>
          <w:sz w:val="22"/>
          <w:szCs w:val="22"/>
          <w:lang w:val="sr-Latn-ME"/>
        </w:rPr>
        <w:t xml:space="preserve">Oralna upotreba. </w:t>
      </w:r>
    </w:p>
    <w:p w14:paraId="1553DC69" w14:textId="77777777" w:rsidR="005731F0" w:rsidRPr="00220369" w:rsidRDefault="005731F0" w:rsidP="00E6784B">
      <w:pPr>
        <w:tabs>
          <w:tab w:val="left" w:pos="284"/>
        </w:tabs>
        <w:jc w:val="both"/>
        <w:rPr>
          <w:sz w:val="22"/>
          <w:szCs w:val="22"/>
          <w:lang w:val="sr-Latn-ME"/>
        </w:rPr>
      </w:pPr>
      <w:r w:rsidRPr="00220369">
        <w:rPr>
          <w:sz w:val="22"/>
          <w:szCs w:val="22"/>
          <w:lang w:val="sr-Latn-ME"/>
        </w:rPr>
        <w:t xml:space="preserve">Tabletu progutati sa vodom. Preporučuje se uzimanje dnevne doze odjednom. </w:t>
      </w:r>
    </w:p>
    <w:p w14:paraId="0412173A" w14:textId="77777777" w:rsidR="00452E9D" w:rsidRPr="00220369" w:rsidRDefault="00452E9D" w:rsidP="00E6784B">
      <w:pPr>
        <w:tabs>
          <w:tab w:val="left" w:pos="540"/>
          <w:tab w:val="left" w:pos="569"/>
        </w:tabs>
        <w:jc w:val="both"/>
        <w:rPr>
          <w:bCs/>
          <w:sz w:val="22"/>
          <w:szCs w:val="22"/>
          <w:lang w:val="sr-Latn-ME"/>
        </w:rPr>
      </w:pPr>
    </w:p>
    <w:p w14:paraId="4511B428" w14:textId="51680EE4" w:rsidR="00411B4B" w:rsidRPr="00220369" w:rsidRDefault="00411B4B" w:rsidP="00E6784B">
      <w:pPr>
        <w:tabs>
          <w:tab w:val="left" w:pos="540"/>
          <w:tab w:val="left" w:pos="569"/>
        </w:tabs>
        <w:jc w:val="both"/>
        <w:rPr>
          <w:b/>
          <w:bCs/>
          <w:sz w:val="22"/>
          <w:szCs w:val="22"/>
          <w:lang w:val="sr-Latn-ME"/>
        </w:rPr>
      </w:pPr>
      <w:r w:rsidRPr="00220369">
        <w:rPr>
          <w:b/>
          <w:bCs/>
          <w:sz w:val="22"/>
          <w:szCs w:val="22"/>
          <w:lang w:val="sr-Latn-ME"/>
        </w:rPr>
        <w:t xml:space="preserve">4.3. </w:t>
      </w:r>
      <w:r w:rsidR="00480FB1" w:rsidRPr="00220369">
        <w:rPr>
          <w:b/>
          <w:bCs/>
          <w:sz w:val="22"/>
          <w:szCs w:val="22"/>
          <w:lang w:val="sr-Latn-ME"/>
        </w:rPr>
        <w:tab/>
      </w:r>
      <w:r w:rsidRPr="00220369">
        <w:rPr>
          <w:b/>
          <w:bCs/>
          <w:sz w:val="22"/>
          <w:szCs w:val="22"/>
          <w:lang w:val="sr-Latn-ME"/>
        </w:rPr>
        <w:t>Kontraindikacije</w:t>
      </w:r>
    </w:p>
    <w:p w14:paraId="20102C34" w14:textId="77777777" w:rsidR="005731F0" w:rsidRPr="00220369" w:rsidRDefault="005731F0" w:rsidP="00E6784B">
      <w:pPr>
        <w:tabs>
          <w:tab w:val="left" w:pos="540"/>
          <w:tab w:val="left" w:pos="569"/>
        </w:tabs>
        <w:jc w:val="both"/>
        <w:rPr>
          <w:b/>
          <w:bCs/>
          <w:sz w:val="22"/>
          <w:szCs w:val="22"/>
          <w:lang w:val="sr-Latn-ME"/>
        </w:rPr>
      </w:pPr>
    </w:p>
    <w:p w14:paraId="53394330" w14:textId="2255D8D1" w:rsidR="0072020E" w:rsidRPr="00220369" w:rsidRDefault="005731F0" w:rsidP="00E6784B">
      <w:pPr>
        <w:tabs>
          <w:tab w:val="left" w:pos="540"/>
          <w:tab w:val="left" w:pos="569"/>
        </w:tabs>
        <w:jc w:val="both"/>
        <w:rPr>
          <w:sz w:val="22"/>
          <w:szCs w:val="22"/>
          <w:lang w:val="sr-Latn-ME"/>
        </w:rPr>
      </w:pPr>
      <w:r w:rsidRPr="00220369">
        <w:rPr>
          <w:sz w:val="22"/>
          <w:szCs w:val="22"/>
          <w:lang w:val="sr-Latn-ME"/>
        </w:rPr>
        <w:t>Preosjetljivost na aktivnu supstancu ili na neku od pomoćnih supstanci navedenih u d</w:t>
      </w:r>
      <w:r w:rsidR="00A8793A" w:rsidRPr="00220369">
        <w:rPr>
          <w:sz w:val="22"/>
          <w:szCs w:val="22"/>
          <w:lang w:val="sr-Latn-ME"/>
        </w:rPr>
        <w:t>i</w:t>
      </w:r>
      <w:r w:rsidRPr="00220369">
        <w:rPr>
          <w:sz w:val="22"/>
          <w:szCs w:val="22"/>
          <w:lang w:val="sr-Latn-ME"/>
        </w:rPr>
        <w:t>jelu 6.1.</w:t>
      </w:r>
    </w:p>
    <w:p w14:paraId="6F1B868C" w14:textId="77777777" w:rsidR="005731F0" w:rsidRPr="00220369" w:rsidRDefault="005731F0" w:rsidP="00E6784B">
      <w:pPr>
        <w:tabs>
          <w:tab w:val="left" w:pos="540"/>
          <w:tab w:val="left" w:pos="569"/>
        </w:tabs>
        <w:jc w:val="both"/>
        <w:rPr>
          <w:bCs/>
          <w:sz w:val="22"/>
          <w:szCs w:val="22"/>
          <w:lang w:val="sr-Latn-ME"/>
        </w:rPr>
      </w:pPr>
    </w:p>
    <w:p w14:paraId="083FBA85" w14:textId="60186133" w:rsidR="0072020E" w:rsidRPr="00220369" w:rsidRDefault="00411B4B" w:rsidP="00E6784B">
      <w:pPr>
        <w:tabs>
          <w:tab w:val="left" w:pos="540"/>
          <w:tab w:val="left" w:pos="569"/>
        </w:tabs>
        <w:jc w:val="both"/>
        <w:rPr>
          <w:bCs/>
          <w:sz w:val="22"/>
          <w:szCs w:val="22"/>
          <w:lang w:val="sr-Latn-ME"/>
        </w:rPr>
      </w:pPr>
      <w:r w:rsidRPr="00220369">
        <w:rPr>
          <w:b/>
          <w:bCs/>
          <w:sz w:val="22"/>
          <w:szCs w:val="22"/>
          <w:lang w:val="sr-Latn-ME"/>
        </w:rPr>
        <w:t xml:space="preserve">4.4. </w:t>
      </w:r>
      <w:r w:rsidR="00480FB1" w:rsidRPr="00220369">
        <w:rPr>
          <w:b/>
          <w:bCs/>
          <w:sz w:val="22"/>
          <w:szCs w:val="22"/>
          <w:lang w:val="sr-Latn-ME"/>
        </w:rPr>
        <w:tab/>
      </w:r>
      <w:r w:rsidRPr="00220369">
        <w:rPr>
          <w:b/>
          <w:bCs/>
          <w:sz w:val="22"/>
          <w:szCs w:val="22"/>
          <w:lang w:val="sr-Latn-ME"/>
        </w:rPr>
        <w:t>Posebna upozorenja i mjere opreza pri upotrebi lijeka</w:t>
      </w:r>
    </w:p>
    <w:p w14:paraId="7B4A8D65" w14:textId="77777777" w:rsidR="005731F0" w:rsidRPr="00220369" w:rsidRDefault="005731F0" w:rsidP="00E6784B">
      <w:pPr>
        <w:tabs>
          <w:tab w:val="left" w:pos="284"/>
        </w:tabs>
        <w:jc w:val="both"/>
        <w:rPr>
          <w:sz w:val="22"/>
          <w:szCs w:val="22"/>
          <w:lang w:val="sr-Latn-ME"/>
        </w:rPr>
      </w:pPr>
    </w:p>
    <w:p w14:paraId="761F4F3A" w14:textId="4128B918" w:rsidR="005731F0" w:rsidRPr="00220369" w:rsidRDefault="005731F0" w:rsidP="00E6784B">
      <w:pPr>
        <w:tabs>
          <w:tab w:val="left" w:pos="284"/>
        </w:tabs>
        <w:jc w:val="both"/>
        <w:rPr>
          <w:sz w:val="22"/>
          <w:szCs w:val="22"/>
          <w:lang w:val="sr-Latn-ME"/>
        </w:rPr>
      </w:pPr>
      <w:r w:rsidRPr="00220369">
        <w:rPr>
          <w:sz w:val="22"/>
          <w:szCs w:val="22"/>
          <w:lang w:val="sr-Latn-ME"/>
        </w:rPr>
        <w:t>Kod pacijenata sa umjerenim ili teškim oštećenjem bubre</w:t>
      </w:r>
      <w:r w:rsidR="002E6D43" w:rsidRPr="00220369">
        <w:rPr>
          <w:sz w:val="22"/>
          <w:szCs w:val="22"/>
          <w:lang w:val="sr-Latn-ME"/>
        </w:rPr>
        <w:t>žne funkcije</w:t>
      </w:r>
      <w:r w:rsidRPr="00220369">
        <w:rPr>
          <w:sz w:val="22"/>
          <w:szCs w:val="22"/>
          <w:lang w:val="sr-Latn-ME"/>
        </w:rPr>
        <w:t xml:space="preserve">, istovremena primjena bilastina sa inhibitorima P-glikoproteina, kao što su ketokonazol, eritromicin, ciklosporin, ritonavir ili diltiazem, može povećati nivo  bilastina u plazmi i tako povećati rizik od neželjenih reakcija bilastina. Prema tome, treba izbjegavati istovremenu primjenu bilastina i inhibitora P-glikoproteina kod pacijenata sa umjerenim ili teškim oštećenjem </w:t>
      </w:r>
      <w:r w:rsidR="002E6D43" w:rsidRPr="00220369">
        <w:rPr>
          <w:sz w:val="22"/>
          <w:szCs w:val="22"/>
          <w:lang w:val="sr-Latn-ME"/>
        </w:rPr>
        <w:t xml:space="preserve">bubrežne </w:t>
      </w:r>
      <w:r w:rsidRPr="00220369">
        <w:rPr>
          <w:sz w:val="22"/>
          <w:szCs w:val="22"/>
          <w:lang w:val="sr-Latn-ME"/>
        </w:rPr>
        <w:t>fu</w:t>
      </w:r>
      <w:r w:rsidR="002E6D43" w:rsidRPr="00220369">
        <w:rPr>
          <w:sz w:val="22"/>
          <w:szCs w:val="22"/>
          <w:lang w:val="sr-Latn-ME"/>
        </w:rPr>
        <w:t>n</w:t>
      </w:r>
      <w:r w:rsidRPr="00220369">
        <w:rPr>
          <w:sz w:val="22"/>
          <w:szCs w:val="22"/>
          <w:lang w:val="sr-Latn-ME"/>
        </w:rPr>
        <w:t>kcije.</w:t>
      </w:r>
    </w:p>
    <w:p w14:paraId="76086299" w14:textId="77777777" w:rsidR="002E6D43" w:rsidRPr="00220369" w:rsidRDefault="002E6D43" w:rsidP="00E6784B">
      <w:pPr>
        <w:tabs>
          <w:tab w:val="left" w:pos="284"/>
        </w:tabs>
        <w:jc w:val="both"/>
        <w:rPr>
          <w:sz w:val="22"/>
          <w:szCs w:val="22"/>
          <w:lang w:val="sr-Latn-ME"/>
        </w:rPr>
      </w:pPr>
    </w:p>
    <w:p w14:paraId="3EB8B166" w14:textId="77777777" w:rsidR="002E6D43" w:rsidRPr="00220369" w:rsidRDefault="002E6D43" w:rsidP="00E6784B">
      <w:pPr>
        <w:tabs>
          <w:tab w:val="left" w:pos="540"/>
          <w:tab w:val="left" w:pos="569"/>
        </w:tabs>
        <w:jc w:val="both"/>
        <w:rPr>
          <w:sz w:val="22"/>
          <w:szCs w:val="22"/>
          <w:u w:val="single"/>
          <w:lang w:val="sr-Latn-ME"/>
        </w:rPr>
      </w:pPr>
      <w:r w:rsidRPr="00220369">
        <w:rPr>
          <w:sz w:val="22"/>
          <w:szCs w:val="22"/>
          <w:u w:val="single"/>
          <w:lang w:val="sr-Latn-ME"/>
        </w:rPr>
        <w:t>Pedijatrijska populacija</w:t>
      </w:r>
    </w:p>
    <w:p w14:paraId="4E7A7656" w14:textId="77777777" w:rsidR="002E6D43" w:rsidRPr="00220369" w:rsidRDefault="002E6D43" w:rsidP="00E6784B">
      <w:pPr>
        <w:tabs>
          <w:tab w:val="left" w:pos="284"/>
        </w:tabs>
        <w:jc w:val="both"/>
        <w:rPr>
          <w:sz w:val="22"/>
          <w:szCs w:val="22"/>
          <w:lang w:val="sr-Latn-ME"/>
        </w:rPr>
      </w:pPr>
      <w:r w:rsidRPr="00220369">
        <w:rPr>
          <w:sz w:val="22"/>
          <w:szCs w:val="22"/>
          <w:lang w:val="sr-Latn-ME"/>
        </w:rPr>
        <w:t xml:space="preserve">Efikasnost i bezbjednost bilastina kod djece starosti ispod 2 godine nije utvrđena, dok kod djece između 2 i 5 godina postoji malo kliničkog iskustva. Stoga, bilastin ne treba korisiti u ovim starosnim grupama. </w:t>
      </w:r>
    </w:p>
    <w:p w14:paraId="17E55FD6" w14:textId="77777777" w:rsidR="00057E35" w:rsidRPr="00220369" w:rsidRDefault="00057E35" w:rsidP="00E6784B">
      <w:pPr>
        <w:tabs>
          <w:tab w:val="left" w:pos="540"/>
          <w:tab w:val="left" w:pos="569"/>
        </w:tabs>
        <w:jc w:val="both"/>
        <w:rPr>
          <w:bCs/>
          <w:sz w:val="22"/>
          <w:szCs w:val="22"/>
          <w:lang w:val="sr-Latn-ME"/>
        </w:rPr>
      </w:pPr>
    </w:p>
    <w:p w14:paraId="559A6570" w14:textId="041DE10D" w:rsidR="00411B4B" w:rsidRPr="00220369" w:rsidRDefault="00411B4B" w:rsidP="00E6784B">
      <w:pPr>
        <w:tabs>
          <w:tab w:val="left" w:pos="540"/>
          <w:tab w:val="left" w:pos="569"/>
        </w:tabs>
        <w:jc w:val="both"/>
        <w:rPr>
          <w:b/>
          <w:bCs/>
          <w:sz w:val="22"/>
          <w:szCs w:val="22"/>
          <w:lang w:val="sr-Latn-ME"/>
        </w:rPr>
      </w:pPr>
      <w:r w:rsidRPr="00220369">
        <w:rPr>
          <w:b/>
          <w:bCs/>
          <w:sz w:val="22"/>
          <w:szCs w:val="22"/>
          <w:lang w:val="sr-Latn-ME"/>
        </w:rPr>
        <w:t>4.5.</w:t>
      </w:r>
      <w:r w:rsidR="000D60CC" w:rsidRPr="00220369">
        <w:rPr>
          <w:b/>
          <w:bCs/>
          <w:sz w:val="22"/>
          <w:szCs w:val="22"/>
          <w:lang w:val="sr-Latn-ME"/>
        </w:rPr>
        <w:tab/>
      </w:r>
      <w:r w:rsidRPr="00220369">
        <w:rPr>
          <w:b/>
          <w:bCs/>
          <w:sz w:val="22"/>
          <w:szCs w:val="22"/>
          <w:lang w:val="sr-Latn-ME"/>
        </w:rPr>
        <w:t>Interakcije sa drugim ljekovima i druge vrste interakcija</w:t>
      </w:r>
    </w:p>
    <w:p w14:paraId="094F7124" w14:textId="77777777" w:rsidR="005731F0" w:rsidRPr="00220369" w:rsidRDefault="005731F0" w:rsidP="00E6784B">
      <w:pPr>
        <w:tabs>
          <w:tab w:val="left" w:pos="540"/>
          <w:tab w:val="left" w:pos="569"/>
        </w:tabs>
        <w:jc w:val="both"/>
        <w:rPr>
          <w:b/>
          <w:bCs/>
          <w:sz w:val="22"/>
          <w:szCs w:val="22"/>
          <w:lang w:val="sr-Latn-ME"/>
        </w:rPr>
      </w:pPr>
    </w:p>
    <w:p w14:paraId="15E157FC" w14:textId="77777777" w:rsidR="005731F0" w:rsidRPr="00220369" w:rsidRDefault="005731F0" w:rsidP="00E6784B">
      <w:pPr>
        <w:tabs>
          <w:tab w:val="left" w:pos="284"/>
        </w:tabs>
        <w:jc w:val="both"/>
        <w:rPr>
          <w:sz w:val="22"/>
          <w:szCs w:val="22"/>
          <w:lang w:val="sr-Latn-ME"/>
        </w:rPr>
      </w:pPr>
      <w:r w:rsidRPr="00220369">
        <w:rPr>
          <w:sz w:val="22"/>
          <w:szCs w:val="22"/>
          <w:lang w:val="sr-Latn-ME"/>
        </w:rPr>
        <w:t>Studije interakcija su sprovedene samo kod odraslih osoba i sumirane su u nastavku teksta.</w:t>
      </w:r>
    </w:p>
    <w:p w14:paraId="00F9097C" w14:textId="77777777" w:rsidR="005731F0" w:rsidRPr="00220369" w:rsidRDefault="005731F0" w:rsidP="00E6784B">
      <w:pPr>
        <w:tabs>
          <w:tab w:val="left" w:pos="284"/>
        </w:tabs>
        <w:jc w:val="both"/>
        <w:rPr>
          <w:sz w:val="22"/>
          <w:szCs w:val="22"/>
          <w:lang w:val="sr-Latn-ME"/>
        </w:rPr>
      </w:pPr>
    </w:p>
    <w:p w14:paraId="6CED9098" w14:textId="77777777"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Interakcije sa hranom</w:t>
      </w:r>
    </w:p>
    <w:p w14:paraId="70D0FA0C" w14:textId="77777777" w:rsidR="005731F0" w:rsidRPr="00220369" w:rsidRDefault="005731F0" w:rsidP="00E6784B">
      <w:pPr>
        <w:tabs>
          <w:tab w:val="left" w:pos="284"/>
        </w:tabs>
        <w:jc w:val="both"/>
        <w:rPr>
          <w:sz w:val="22"/>
          <w:szCs w:val="22"/>
          <w:lang w:val="sr-Latn-ME"/>
        </w:rPr>
      </w:pPr>
      <w:r w:rsidRPr="00220369">
        <w:rPr>
          <w:sz w:val="22"/>
          <w:szCs w:val="22"/>
          <w:lang w:val="sr-Latn-ME"/>
        </w:rPr>
        <w:t xml:space="preserve">Hrana značajno smanjuje bioraspoloživost bilastina (do 30%) nakon oralne primjene. </w:t>
      </w:r>
    </w:p>
    <w:p w14:paraId="1C159A38" w14:textId="77777777" w:rsidR="005731F0" w:rsidRPr="00220369" w:rsidRDefault="005731F0" w:rsidP="00E6784B">
      <w:pPr>
        <w:tabs>
          <w:tab w:val="left" w:pos="284"/>
        </w:tabs>
        <w:jc w:val="both"/>
        <w:rPr>
          <w:sz w:val="22"/>
          <w:szCs w:val="22"/>
          <w:lang w:val="sr-Latn-ME"/>
        </w:rPr>
      </w:pPr>
    </w:p>
    <w:p w14:paraId="03CA1390" w14:textId="77777777"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Interakcija sa sokom od grejpfruta</w:t>
      </w:r>
    </w:p>
    <w:p w14:paraId="7A5D3E25" w14:textId="2B271853" w:rsidR="005731F0" w:rsidRPr="00220369" w:rsidRDefault="005731F0" w:rsidP="00E6784B">
      <w:pPr>
        <w:tabs>
          <w:tab w:val="left" w:pos="284"/>
        </w:tabs>
        <w:jc w:val="both"/>
        <w:rPr>
          <w:sz w:val="22"/>
          <w:szCs w:val="22"/>
          <w:lang w:val="sr-Latn-ME"/>
        </w:rPr>
      </w:pPr>
      <w:r w:rsidRPr="00220369">
        <w:rPr>
          <w:sz w:val="22"/>
          <w:szCs w:val="22"/>
          <w:lang w:val="sr-Latn-ME"/>
        </w:rPr>
        <w:t xml:space="preserve">Istovremena primjena 20 mg bilastina i soka od grejpfruta umanjuje bioraspoloživost bilastina za 30%. Ovaj efekat se može očekivati i kod drugih voćnih sokova. Stepen umanjenja bioraspoloživosti može varirati u zavisnosti od proizvođača i </w:t>
      </w:r>
      <w:r w:rsidR="002E6D43" w:rsidRPr="00220369">
        <w:rPr>
          <w:sz w:val="22"/>
          <w:szCs w:val="22"/>
          <w:lang w:val="sr-Latn-ME"/>
        </w:rPr>
        <w:t xml:space="preserve">vrste </w:t>
      </w:r>
      <w:r w:rsidRPr="00220369">
        <w:rPr>
          <w:sz w:val="22"/>
          <w:szCs w:val="22"/>
          <w:lang w:val="sr-Latn-ME"/>
        </w:rPr>
        <w:t>voća. Mehanizam ove interakcije je inhibicija OATP1A2, transportnog sistema čiji je supstrat bilastin (</w:t>
      </w:r>
      <w:r w:rsidR="00D10D0D" w:rsidRPr="00220369">
        <w:rPr>
          <w:sz w:val="22"/>
          <w:szCs w:val="22"/>
          <w:lang w:val="sr-Latn-ME"/>
        </w:rPr>
        <w:t>pogledati</w:t>
      </w:r>
      <w:r w:rsidRPr="00220369">
        <w:rPr>
          <w:sz w:val="22"/>
          <w:szCs w:val="22"/>
          <w:lang w:val="sr-Latn-ME"/>
        </w:rPr>
        <w:t xml:space="preserve"> </w:t>
      </w:r>
      <w:r w:rsidR="00C02A24" w:rsidRPr="00220369">
        <w:rPr>
          <w:sz w:val="22"/>
          <w:szCs w:val="22"/>
          <w:lang w:val="sr-Latn-ME"/>
        </w:rPr>
        <w:t>dio</w:t>
      </w:r>
      <w:r w:rsidRPr="00220369">
        <w:rPr>
          <w:sz w:val="22"/>
          <w:szCs w:val="22"/>
          <w:lang w:val="sr-Latn-ME"/>
        </w:rPr>
        <w:t xml:space="preserve"> 5.2). Ljekovi koji su su</w:t>
      </w:r>
      <w:r w:rsidR="002E6D43" w:rsidRPr="00220369">
        <w:rPr>
          <w:sz w:val="22"/>
          <w:szCs w:val="22"/>
          <w:lang w:val="sr-Latn-ME"/>
        </w:rPr>
        <w:t>p</w:t>
      </w:r>
      <w:r w:rsidRPr="00220369">
        <w:rPr>
          <w:sz w:val="22"/>
          <w:szCs w:val="22"/>
          <w:lang w:val="sr-Latn-ME"/>
        </w:rPr>
        <w:t xml:space="preserve">strati ili inhibitori OATP1A2, kao što su ritonavir ili rifampicin, takođe mogu smanjiti koncentraciju bilastina u plazmi. </w:t>
      </w:r>
    </w:p>
    <w:p w14:paraId="6626128A" w14:textId="77777777" w:rsidR="005731F0" w:rsidRPr="00220369" w:rsidRDefault="005731F0" w:rsidP="00E6784B">
      <w:pPr>
        <w:tabs>
          <w:tab w:val="left" w:pos="284"/>
        </w:tabs>
        <w:jc w:val="both"/>
        <w:rPr>
          <w:sz w:val="22"/>
          <w:szCs w:val="22"/>
          <w:u w:val="single"/>
          <w:lang w:val="sr-Latn-ME"/>
        </w:rPr>
      </w:pPr>
    </w:p>
    <w:p w14:paraId="5DA23723" w14:textId="77777777"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Interakcija sa ketokonazolom ili eritromicinom</w:t>
      </w:r>
    </w:p>
    <w:p w14:paraId="332A0EFC" w14:textId="5ADE9C3A" w:rsidR="005731F0" w:rsidRPr="00220369" w:rsidRDefault="005731F0" w:rsidP="00E6784B">
      <w:pPr>
        <w:tabs>
          <w:tab w:val="left" w:pos="284"/>
        </w:tabs>
        <w:jc w:val="both"/>
        <w:rPr>
          <w:sz w:val="22"/>
          <w:szCs w:val="22"/>
          <w:lang w:val="sr-Latn-ME"/>
        </w:rPr>
      </w:pPr>
      <w:r w:rsidRPr="00220369">
        <w:rPr>
          <w:sz w:val="22"/>
          <w:szCs w:val="22"/>
          <w:lang w:val="sr-Latn-ME"/>
        </w:rPr>
        <w:t>Istovremena primjena 20 mg bilastina (jednom dnevno) i 400 mg ketokonazola (jednom dnevno) ili 500 mg eritromicina (</w:t>
      </w:r>
      <w:r w:rsidR="002E6D43" w:rsidRPr="00220369">
        <w:rPr>
          <w:sz w:val="22"/>
          <w:szCs w:val="22"/>
          <w:lang w:val="sr-Latn-ME"/>
        </w:rPr>
        <w:t>dva</w:t>
      </w:r>
      <w:r w:rsidRPr="00220369">
        <w:rPr>
          <w:sz w:val="22"/>
          <w:szCs w:val="22"/>
          <w:lang w:val="sr-Latn-ME"/>
        </w:rPr>
        <w:t xml:space="preserve"> puta dnevno) je povećavala PIK (Površina Ispod Krive, eng. Area Under Curve </w:t>
      </w:r>
      <w:r w:rsidR="005F3A5C" w:rsidRPr="00220369">
        <w:rPr>
          <w:sz w:val="22"/>
          <w:szCs w:val="22"/>
          <w:lang w:val="sr-Latn-ME"/>
        </w:rPr>
        <w:t>ili</w:t>
      </w:r>
      <w:r w:rsidRPr="00220369">
        <w:rPr>
          <w:sz w:val="22"/>
          <w:szCs w:val="22"/>
          <w:lang w:val="sr-Latn-ME"/>
        </w:rPr>
        <w:t xml:space="preserve"> AUC) bilastina 2 puta i maksimalnu koncentraciju u serumu (Cmax) 2-3 puta. Ove promjene se objašnjavaju interakcijom sa intestinalnim efluks transporterima, jer bilastin predstavlja su</w:t>
      </w:r>
      <w:r w:rsidR="005F3A5C" w:rsidRPr="00220369">
        <w:rPr>
          <w:sz w:val="22"/>
          <w:szCs w:val="22"/>
          <w:lang w:val="sr-Latn-ME"/>
        </w:rPr>
        <w:t>p</w:t>
      </w:r>
      <w:r w:rsidRPr="00220369">
        <w:rPr>
          <w:sz w:val="22"/>
          <w:szCs w:val="22"/>
          <w:lang w:val="sr-Latn-ME"/>
        </w:rPr>
        <w:t>strat za P-gp i ne metaboliše se (</w:t>
      </w:r>
      <w:r w:rsidR="00D10D0D" w:rsidRPr="00220369">
        <w:rPr>
          <w:sz w:val="22"/>
          <w:szCs w:val="22"/>
          <w:lang w:val="sr-Latn-ME"/>
        </w:rPr>
        <w:t>pogledati</w:t>
      </w:r>
      <w:r w:rsidRPr="00220369">
        <w:rPr>
          <w:sz w:val="22"/>
          <w:szCs w:val="22"/>
          <w:lang w:val="sr-Latn-ME"/>
        </w:rPr>
        <w:t xml:space="preserve"> </w:t>
      </w:r>
      <w:r w:rsidR="00C02A24" w:rsidRPr="00220369">
        <w:rPr>
          <w:sz w:val="22"/>
          <w:szCs w:val="22"/>
          <w:lang w:val="sr-Latn-ME"/>
        </w:rPr>
        <w:t>dio</w:t>
      </w:r>
      <w:r w:rsidRPr="00220369">
        <w:rPr>
          <w:sz w:val="22"/>
          <w:szCs w:val="22"/>
          <w:lang w:val="sr-Latn-ME"/>
        </w:rPr>
        <w:t xml:space="preserve"> 5.2). Ove promjene ne utiču na bezbjednosni profil bilastina</w:t>
      </w:r>
      <w:r w:rsidR="00DA3534" w:rsidRPr="00220369">
        <w:rPr>
          <w:sz w:val="22"/>
          <w:szCs w:val="22"/>
          <w:lang w:val="sr-Latn-ME"/>
        </w:rPr>
        <w:t>,</w:t>
      </w:r>
      <w:r w:rsidRPr="00220369">
        <w:rPr>
          <w:sz w:val="22"/>
          <w:szCs w:val="22"/>
          <w:lang w:val="sr-Latn-ME"/>
        </w:rPr>
        <w:t xml:space="preserve"> </w:t>
      </w:r>
      <w:r w:rsidRPr="00220369">
        <w:rPr>
          <w:sz w:val="22"/>
          <w:szCs w:val="22"/>
          <w:lang w:val="sr-Latn-ME"/>
        </w:rPr>
        <w:lastRenderedPageBreak/>
        <w:t>ketokonazola</w:t>
      </w:r>
      <w:r w:rsidR="00DA3534" w:rsidRPr="00220369">
        <w:rPr>
          <w:sz w:val="22"/>
          <w:szCs w:val="22"/>
          <w:lang w:val="sr-Latn-ME"/>
        </w:rPr>
        <w:t xml:space="preserve"> i </w:t>
      </w:r>
      <w:r w:rsidRPr="00220369">
        <w:rPr>
          <w:sz w:val="22"/>
          <w:szCs w:val="22"/>
          <w:lang w:val="sr-Latn-ME"/>
        </w:rPr>
        <w:t>eritromicina. Ostali ljekovi koji su su</w:t>
      </w:r>
      <w:r w:rsidR="00DA3534" w:rsidRPr="00220369">
        <w:rPr>
          <w:sz w:val="22"/>
          <w:szCs w:val="22"/>
          <w:lang w:val="sr-Latn-ME"/>
        </w:rPr>
        <w:t>p</w:t>
      </w:r>
      <w:r w:rsidRPr="00220369">
        <w:rPr>
          <w:sz w:val="22"/>
          <w:szCs w:val="22"/>
          <w:lang w:val="sr-Latn-ME"/>
        </w:rPr>
        <w:t xml:space="preserve">strati ili inhibitori P-gp, kao što je ciklosporin, mogu imati potencijal da povećaju koncentraciju bilastina u plazmi. </w:t>
      </w:r>
    </w:p>
    <w:p w14:paraId="6F8DA825" w14:textId="77777777" w:rsidR="005731F0" w:rsidRPr="00220369" w:rsidRDefault="005731F0" w:rsidP="00E6784B">
      <w:pPr>
        <w:tabs>
          <w:tab w:val="left" w:pos="284"/>
        </w:tabs>
        <w:jc w:val="both"/>
        <w:rPr>
          <w:sz w:val="22"/>
          <w:szCs w:val="22"/>
          <w:lang w:val="sr-Latn-ME"/>
        </w:rPr>
      </w:pPr>
    </w:p>
    <w:p w14:paraId="2878820A" w14:textId="77777777"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Interakcija sa diltiazemom</w:t>
      </w:r>
    </w:p>
    <w:p w14:paraId="32217102" w14:textId="759F7BCE" w:rsidR="005731F0" w:rsidRPr="00220369" w:rsidRDefault="005731F0" w:rsidP="00E6784B">
      <w:pPr>
        <w:tabs>
          <w:tab w:val="left" w:pos="284"/>
        </w:tabs>
        <w:jc w:val="both"/>
        <w:rPr>
          <w:sz w:val="22"/>
          <w:szCs w:val="22"/>
          <w:lang w:val="sr-Latn-ME"/>
        </w:rPr>
      </w:pPr>
      <w:r w:rsidRPr="00220369">
        <w:rPr>
          <w:sz w:val="22"/>
          <w:szCs w:val="22"/>
          <w:lang w:val="sr-Latn-ME"/>
        </w:rPr>
        <w:t>Istovremena primjena 20 mg bilastina (jednom dnevno) i 60 mg diltiazema (jednom dnevno) povećava maksimalnu koncentraciju bilastina u plazmi (Cmax) za 50%. Ovaj efekat se može objasniti interakcijom sa intestinalnim efluks transporterima (</w:t>
      </w:r>
      <w:r w:rsidR="00D10D0D" w:rsidRPr="00220369">
        <w:rPr>
          <w:sz w:val="22"/>
          <w:szCs w:val="22"/>
          <w:lang w:val="sr-Latn-ME"/>
        </w:rPr>
        <w:t>pogledati</w:t>
      </w:r>
      <w:r w:rsidRPr="00220369">
        <w:rPr>
          <w:sz w:val="22"/>
          <w:szCs w:val="22"/>
          <w:lang w:val="sr-Latn-ME"/>
        </w:rPr>
        <w:t xml:space="preserve"> </w:t>
      </w:r>
      <w:r w:rsidR="00C02A24" w:rsidRPr="00220369">
        <w:rPr>
          <w:sz w:val="22"/>
          <w:szCs w:val="22"/>
          <w:lang w:val="sr-Latn-ME"/>
        </w:rPr>
        <w:t>dio</w:t>
      </w:r>
      <w:r w:rsidRPr="00220369">
        <w:rPr>
          <w:sz w:val="22"/>
          <w:szCs w:val="22"/>
          <w:lang w:val="sr-Latn-ME"/>
        </w:rPr>
        <w:t xml:space="preserve"> 5.2), i </w:t>
      </w:r>
      <w:r w:rsidR="00E6784B" w:rsidRPr="00220369">
        <w:rPr>
          <w:sz w:val="22"/>
          <w:szCs w:val="22"/>
          <w:lang w:val="sr-Latn-ME"/>
        </w:rPr>
        <w:t xml:space="preserve">izgleda da </w:t>
      </w:r>
      <w:r w:rsidRPr="00220369">
        <w:rPr>
          <w:sz w:val="22"/>
          <w:szCs w:val="22"/>
          <w:lang w:val="sr-Latn-ME"/>
        </w:rPr>
        <w:t>ne utiče na bezb</w:t>
      </w:r>
      <w:r w:rsidR="00DA3534" w:rsidRPr="00220369">
        <w:rPr>
          <w:sz w:val="22"/>
          <w:szCs w:val="22"/>
          <w:lang w:val="sr-Latn-ME"/>
        </w:rPr>
        <w:t>j</w:t>
      </w:r>
      <w:r w:rsidRPr="00220369">
        <w:rPr>
          <w:sz w:val="22"/>
          <w:szCs w:val="22"/>
          <w:lang w:val="sr-Latn-ME"/>
        </w:rPr>
        <w:t xml:space="preserve">ednosni profil bilastina. </w:t>
      </w:r>
    </w:p>
    <w:p w14:paraId="47F9161E" w14:textId="77777777" w:rsidR="005731F0" w:rsidRPr="00220369" w:rsidRDefault="005731F0" w:rsidP="00E6784B">
      <w:pPr>
        <w:tabs>
          <w:tab w:val="left" w:pos="284"/>
        </w:tabs>
        <w:jc w:val="both"/>
        <w:rPr>
          <w:sz w:val="22"/>
          <w:szCs w:val="22"/>
          <w:lang w:val="sr-Latn-ME"/>
        </w:rPr>
      </w:pPr>
    </w:p>
    <w:p w14:paraId="39D2662C" w14:textId="77777777"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Interakcija sa alkoholom</w:t>
      </w:r>
    </w:p>
    <w:p w14:paraId="57A687B1" w14:textId="77777777" w:rsidR="005731F0" w:rsidRPr="00220369" w:rsidRDefault="005731F0" w:rsidP="00E6784B">
      <w:pPr>
        <w:tabs>
          <w:tab w:val="left" w:pos="284"/>
        </w:tabs>
        <w:jc w:val="both"/>
        <w:rPr>
          <w:sz w:val="22"/>
          <w:szCs w:val="22"/>
          <w:lang w:val="sr-Latn-ME"/>
        </w:rPr>
      </w:pPr>
      <w:r w:rsidRPr="00220369">
        <w:rPr>
          <w:sz w:val="22"/>
          <w:szCs w:val="22"/>
          <w:lang w:val="sr-Latn-ME"/>
        </w:rPr>
        <w:t xml:space="preserve">Nakon istovremene primjene alkohola i 20 mg bilastina (jednom dnevno), psihomotorne sposobnosti su slične onima koje se zapažaju nakon upotrebe alkohola i placeba. </w:t>
      </w:r>
    </w:p>
    <w:p w14:paraId="2AB065BF" w14:textId="77777777" w:rsidR="005731F0" w:rsidRPr="00220369" w:rsidRDefault="005731F0" w:rsidP="00E6784B">
      <w:pPr>
        <w:tabs>
          <w:tab w:val="left" w:pos="284"/>
        </w:tabs>
        <w:jc w:val="both"/>
        <w:rPr>
          <w:sz w:val="22"/>
          <w:szCs w:val="22"/>
          <w:lang w:val="sr-Latn-ME"/>
        </w:rPr>
      </w:pPr>
    </w:p>
    <w:p w14:paraId="4C3C1F10" w14:textId="77777777"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Interakcija sa lorazepamom</w:t>
      </w:r>
    </w:p>
    <w:p w14:paraId="39807803" w14:textId="77777777" w:rsidR="005731F0" w:rsidRPr="00220369" w:rsidRDefault="005731F0" w:rsidP="00E6784B">
      <w:pPr>
        <w:tabs>
          <w:tab w:val="left" w:pos="284"/>
        </w:tabs>
        <w:jc w:val="both"/>
        <w:rPr>
          <w:sz w:val="22"/>
          <w:szCs w:val="22"/>
          <w:lang w:val="sr-Latn-ME"/>
        </w:rPr>
      </w:pPr>
      <w:r w:rsidRPr="00220369">
        <w:rPr>
          <w:sz w:val="22"/>
          <w:szCs w:val="22"/>
          <w:lang w:val="sr-Latn-ME"/>
        </w:rPr>
        <w:t xml:space="preserve">Istovremena primjena 20 mg bilastina (jednom dnevno) i 3 mg lorazepama (jednom dnevno) tokom 8 dana nije potencirala depresivno dejstvo lorazepama na CNS. </w:t>
      </w:r>
    </w:p>
    <w:p w14:paraId="1088E4B5" w14:textId="77777777" w:rsidR="005731F0" w:rsidRPr="00220369" w:rsidRDefault="005731F0" w:rsidP="00E6784B">
      <w:pPr>
        <w:tabs>
          <w:tab w:val="left" w:pos="284"/>
        </w:tabs>
        <w:jc w:val="both"/>
        <w:rPr>
          <w:sz w:val="22"/>
          <w:szCs w:val="22"/>
          <w:lang w:val="sr-Latn-ME"/>
        </w:rPr>
      </w:pPr>
    </w:p>
    <w:p w14:paraId="6EBAB085" w14:textId="77777777" w:rsidR="005731F0" w:rsidRPr="00220369" w:rsidRDefault="005731F0" w:rsidP="00E6784B">
      <w:pPr>
        <w:tabs>
          <w:tab w:val="left" w:pos="284"/>
        </w:tabs>
        <w:jc w:val="both"/>
        <w:rPr>
          <w:i/>
          <w:iCs/>
          <w:sz w:val="22"/>
          <w:szCs w:val="22"/>
          <w:lang w:val="sr-Latn-ME"/>
        </w:rPr>
      </w:pPr>
      <w:r w:rsidRPr="00220369">
        <w:rPr>
          <w:i/>
          <w:iCs/>
          <w:sz w:val="22"/>
          <w:szCs w:val="22"/>
          <w:lang w:val="sr-Latn-ME"/>
        </w:rPr>
        <w:t>Pedijatrijska populacija</w:t>
      </w:r>
    </w:p>
    <w:p w14:paraId="69F8B3CA" w14:textId="5C699CCE" w:rsidR="005731F0" w:rsidRPr="00220369" w:rsidRDefault="005731F0" w:rsidP="00E6784B">
      <w:pPr>
        <w:tabs>
          <w:tab w:val="left" w:pos="284"/>
        </w:tabs>
        <w:jc w:val="both"/>
        <w:rPr>
          <w:sz w:val="22"/>
          <w:szCs w:val="22"/>
          <w:lang w:val="sr-Latn-ME"/>
        </w:rPr>
      </w:pPr>
      <w:r w:rsidRPr="00220369">
        <w:rPr>
          <w:sz w:val="22"/>
          <w:szCs w:val="22"/>
          <w:lang w:val="sr-Latn-ME"/>
        </w:rPr>
        <w:t>Ispitivanja interakcija sprovo</w:t>
      </w:r>
      <w:r w:rsidR="00DA3534" w:rsidRPr="00220369">
        <w:rPr>
          <w:sz w:val="22"/>
          <w:szCs w:val="22"/>
          <w:lang w:val="sr-Latn-ME"/>
        </w:rPr>
        <w:t>đ</w:t>
      </w:r>
      <w:r w:rsidRPr="00220369">
        <w:rPr>
          <w:sz w:val="22"/>
          <w:szCs w:val="22"/>
          <w:lang w:val="sr-Latn-ME"/>
        </w:rPr>
        <w:t>ena su samo na odraslim osobama. Obzirom da ne postoji kliničko iskustvo o interakcijama bilastina i drugih ljekova, hrane, ili sokova u pedijatrijskoj populaciji, neophodno je uzeti u obzir rezultate na odraslim osobama pri propisivanju bilastina kod djece. Ne postoje klinički podaci u pedijatrijskoj populaciji koji definišu da li promjene PIK-a i Cmax-a usl</w:t>
      </w:r>
      <w:r w:rsidR="00E6784B" w:rsidRPr="00220369">
        <w:rPr>
          <w:sz w:val="22"/>
          <w:szCs w:val="22"/>
          <w:lang w:val="sr-Latn-ME"/>
        </w:rPr>
        <w:t>j</w:t>
      </w:r>
      <w:r w:rsidRPr="00220369">
        <w:rPr>
          <w:sz w:val="22"/>
          <w:szCs w:val="22"/>
          <w:lang w:val="sr-Latn-ME"/>
        </w:rPr>
        <w:t xml:space="preserve">ed interakcija utiču na bezbjednosni profil bilastina. </w:t>
      </w:r>
    </w:p>
    <w:p w14:paraId="1F326B95" w14:textId="77777777" w:rsidR="0072020E" w:rsidRPr="00220369" w:rsidRDefault="0072020E" w:rsidP="00E6784B">
      <w:pPr>
        <w:tabs>
          <w:tab w:val="left" w:pos="540"/>
          <w:tab w:val="left" w:pos="569"/>
        </w:tabs>
        <w:jc w:val="both"/>
        <w:rPr>
          <w:bCs/>
          <w:sz w:val="22"/>
          <w:szCs w:val="22"/>
          <w:lang w:val="sr-Latn-ME"/>
        </w:rPr>
      </w:pPr>
    </w:p>
    <w:p w14:paraId="6C55EA33" w14:textId="77777777" w:rsidR="0072020E" w:rsidRPr="00220369" w:rsidRDefault="0072020E" w:rsidP="00E6784B">
      <w:pPr>
        <w:tabs>
          <w:tab w:val="left" w:pos="540"/>
          <w:tab w:val="left" w:pos="569"/>
        </w:tabs>
        <w:jc w:val="both"/>
        <w:rPr>
          <w:b/>
          <w:sz w:val="22"/>
          <w:szCs w:val="22"/>
          <w:lang w:val="sr-Latn-ME"/>
        </w:rPr>
      </w:pPr>
      <w:r w:rsidRPr="00220369">
        <w:rPr>
          <w:b/>
          <w:bCs/>
          <w:sz w:val="22"/>
          <w:szCs w:val="22"/>
          <w:lang w:val="sr-Latn-ME"/>
        </w:rPr>
        <w:t xml:space="preserve">4.6. </w:t>
      </w:r>
      <w:r w:rsidR="00480FB1" w:rsidRPr="00220369">
        <w:rPr>
          <w:b/>
          <w:bCs/>
          <w:sz w:val="22"/>
          <w:szCs w:val="22"/>
          <w:lang w:val="sr-Latn-ME"/>
        </w:rPr>
        <w:tab/>
      </w:r>
      <w:r w:rsidR="006D20A5" w:rsidRPr="00220369">
        <w:rPr>
          <w:b/>
          <w:sz w:val="22"/>
          <w:szCs w:val="22"/>
          <w:lang w:val="sr-Latn-ME"/>
        </w:rPr>
        <w:t>Plodnost, trudnoća i dojenje</w:t>
      </w:r>
    </w:p>
    <w:p w14:paraId="370693C6" w14:textId="77777777" w:rsidR="002031B3" w:rsidRPr="00220369" w:rsidRDefault="002031B3" w:rsidP="00E6784B">
      <w:pPr>
        <w:tabs>
          <w:tab w:val="left" w:pos="540"/>
          <w:tab w:val="left" w:pos="569"/>
        </w:tabs>
        <w:jc w:val="both"/>
        <w:rPr>
          <w:sz w:val="22"/>
          <w:szCs w:val="22"/>
          <w:u w:val="single"/>
          <w:lang w:val="sr-Latn-ME"/>
        </w:rPr>
      </w:pPr>
    </w:p>
    <w:p w14:paraId="125FE67A" w14:textId="77777777" w:rsidR="002031B3" w:rsidRPr="00220369" w:rsidRDefault="002031B3" w:rsidP="00E6784B">
      <w:pPr>
        <w:tabs>
          <w:tab w:val="left" w:pos="540"/>
          <w:tab w:val="left" w:pos="569"/>
        </w:tabs>
        <w:jc w:val="both"/>
        <w:rPr>
          <w:sz w:val="22"/>
          <w:szCs w:val="22"/>
          <w:u w:val="single"/>
          <w:lang w:val="sr-Latn-ME"/>
        </w:rPr>
      </w:pPr>
      <w:r w:rsidRPr="00220369">
        <w:rPr>
          <w:sz w:val="22"/>
          <w:szCs w:val="22"/>
          <w:u w:val="single"/>
          <w:lang w:val="sr-Latn-ME"/>
        </w:rPr>
        <w:t>Plodnost</w:t>
      </w:r>
    </w:p>
    <w:p w14:paraId="629C0694" w14:textId="3174D231" w:rsidR="005731F0" w:rsidRPr="00220369" w:rsidRDefault="005731F0" w:rsidP="00E6784B">
      <w:pPr>
        <w:tabs>
          <w:tab w:val="left" w:pos="284"/>
        </w:tabs>
        <w:jc w:val="both"/>
        <w:rPr>
          <w:sz w:val="22"/>
          <w:szCs w:val="22"/>
          <w:lang w:val="sr-Latn-ME"/>
        </w:rPr>
      </w:pPr>
      <w:r w:rsidRPr="00220369">
        <w:rPr>
          <w:sz w:val="22"/>
          <w:szCs w:val="22"/>
          <w:lang w:val="sr-Latn-ME"/>
        </w:rPr>
        <w:t>Klinički podaci su ograničeni ili ih nema. Studija na pacovima nije ukazala na negativne efekte na plodnost (</w:t>
      </w:r>
      <w:r w:rsidR="00D10D0D" w:rsidRPr="00220369">
        <w:rPr>
          <w:sz w:val="22"/>
          <w:szCs w:val="22"/>
          <w:lang w:val="sr-Latn-ME"/>
        </w:rPr>
        <w:t>pogledati</w:t>
      </w:r>
      <w:r w:rsidRPr="00220369">
        <w:rPr>
          <w:sz w:val="22"/>
          <w:szCs w:val="22"/>
          <w:lang w:val="sr-Latn-ME"/>
        </w:rPr>
        <w:t xml:space="preserve"> </w:t>
      </w:r>
      <w:r w:rsidR="00C02A24" w:rsidRPr="00220369">
        <w:rPr>
          <w:sz w:val="22"/>
          <w:szCs w:val="22"/>
          <w:lang w:val="sr-Latn-ME"/>
        </w:rPr>
        <w:t>dio</w:t>
      </w:r>
      <w:r w:rsidRPr="00220369">
        <w:rPr>
          <w:sz w:val="22"/>
          <w:szCs w:val="22"/>
          <w:lang w:val="sr-Latn-ME"/>
        </w:rPr>
        <w:t xml:space="preserve"> 5.3).</w:t>
      </w:r>
    </w:p>
    <w:p w14:paraId="04199E1B" w14:textId="77777777" w:rsidR="002031B3" w:rsidRPr="00220369" w:rsidRDefault="002031B3" w:rsidP="00E6784B">
      <w:pPr>
        <w:tabs>
          <w:tab w:val="left" w:pos="540"/>
          <w:tab w:val="left" w:pos="569"/>
        </w:tabs>
        <w:jc w:val="both"/>
        <w:rPr>
          <w:sz w:val="22"/>
          <w:szCs w:val="22"/>
          <w:u w:val="single"/>
          <w:lang w:val="sr-Latn-ME"/>
        </w:rPr>
      </w:pPr>
    </w:p>
    <w:p w14:paraId="65D325BB" w14:textId="77777777" w:rsidR="007A3ECB" w:rsidRPr="00220369" w:rsidRDefault="007A3ECB" w:rsidP="00E6784B">
      <w:pPr>
        <w:tabs>
          <w:tab w:val="left" w:pos="540"/>
          <w:tab w:val="left" w:pos="569"/>
        </w:tabs>
        <w:jc w:val="both"/>
        <w:rPr>
          <w:sz w:val="22"/>
          <w:szCs w:val="22"/>
          <w:u w:val="single"/>
          <w:lang w:val="sr-Latn-ME"/>
        </w:rPr>
      </w:pPr>
      <w:r w:rsidRPr="00220369">
        <w:rPr>
          <w:sz w:val="22"/>
          <w:szCs w:val="22"/>
          <w:u w:val="single"/>
          <w:lang w:val="sr-Latn-ME"/>
        </w:rPr>
        <w:t>Trudnoća</w:t>
      </w:r>
    </w:p>
    <w:p w14:paraId="231146BF" w14:textId="2DFAC880" w:rsidR="005731F0" w:rsidRPr="00220369" w:rsidRDefault="005731F0" w:rsidP="00E6784B">
      <w:pPr>
        <w:tabs>
          <w:tab w:val="left" w:pos="284"/>
        </w:tabs>
        <w:jc w:val="both"/>
        <w:rPr>
          <w:sz w:val="22"/>
          <w:szCs w:val="22"/>
          <w:lang w:val="sr-Latn-ME"/>
        </w:rPr>
      </w:pPr>
      <w:r w:rsidRPr="00220369">
        <w:rPr>
          <w:sz w:val="22"/>
          <w:szCs w:val="22"/>
          <w:lang w:val="sr-Latn-ME"/>
        </w:rPr>
        <w:t>Nema podataka ili su podaci o primjeni bilastina kod trudnica ograničeni. Studije na životinjama ne ukazuju na direktne ili indirektne štetne efekte</w:t>
      </w:r>
      <w:r w:rsidR="00326FA9" w:rsidRPr="00220369">
        <w:rPr>
          <w:sz w:val="22"/>
          <w:szCs w:val="22"/>
          <w:lang w:val="sr-Latn-ME"/>
        </w:rPr>
        <w:t xml:space="preserve"> </w:t>
      </w:r>
      <w:r w:rsidRPr="00220369">
        <w:rPr>
          <w:sz w:val="22"/>
          <w:szCs w:val="22"/>
          <w:lang w:val="sr-Latn-ME"/>
        </w:rPr>
        <w:t>na reproduk</w:t>
      </w:r>
      <w:r w:rsidR="00326FA9" w:rsidRPr="00220369">
        <w:rPr>
          <w:sz w:val="22"/>
          <w:szCs w:val="22"/>
          <w:lang w:val="sr-Latn-ME"/>
        </w:rPr>
        <w:t>ciju</w:t>
      </w:r>
      <w:r w:rsidRPr="00220369">
        <w:rPr>
          <w:sz w:val="22"/>
          <w:szCs w:val="22"/>
          <w:lang w:val="sr-Latn-ME"/>
        </w:rPr>
        <w:t>, porođaj ili postnatalni razvoj (</w:t>
      </w:r>
      <w:r w:rsidR="00D10D0D" w:rsidRPr="00220369">
        <w:rPr>
          <w:sz w:val="22"/>
          <w:szCs w:val="22"/>
          <w:lang w:val="sr-Latn-ME"/>
        </w:rPr>
        <w:t>pogledati</w:t>
      </w:r>
      <w:r w:rsidRPr="00220369">
        <w:rPr>
          <w:sz w:val="22"/>
          <w:szCs w:val="22"/>
          <w:lang w:val="sr-Latn-ME"/>
        </w:rPr>
        <w:t xml:space="preserve"> </w:t>
      </w:r>
      <w:r w:rsidR="00C02A24" w:rsidRPr="00220369">
        <w:rPr>
          <w:sz w:val="22"/>
          <w:szCs w:val="22"/>
          <w:lang w:val="sr-Latn-ME"/>
        </w:rPr>
        <w:t>dio</w:t>
      </w:r>
      <w:r w:rsidRPr="00220369">
        <w:rPr>
          <w:sz w:val="22"/>
          <w:szCs w:val="22"/>
          <w:lang w:val="sr-Latn-ME"/>
        </w:rPr>
        <w:t xml:space="preserve"> 5.3). Kao mjera opreza, preporučuje se da se izbjegava primjena bilastina tokom trudnoće.</w:t>
      </w:r>
    </w:p>
    <w:p w14:paraId="705B726A" w14:textId="77777777" w:rsidR="002031B3" w:rsidRPr="00220369" w:rsidRDefault="002031B3" w:rsidP="00E6784B">
      <w:pPr>
        <w:tabs>
          <w:tab w:val="left" w:pos="540"/>
          <w:tab w:val="left" w:pos="569"/>
        </w:tabs>
        <w:jc w:val="both"/>
        <w:rPr>
          <w:sz w:val="22"/>
          <w:szCs w:val="22"/>
          <w:u w:val="single"/>
          <w:lang w:val="sr-Latn-ME"/>
        </w:rPr>
      </w:pPr>
    </w:p>
    <w:p w14:paraId="7F413388" w14:textId="77777777" w:rsidR="0072020E" w:rsidRPr="00220369" w:rsidRDefault="007A3ECB" w:rsidP="00E6784B">
      <w:pPr>
        <w:tabs>
          <w:tab w:val="left" w:pos="540"/>
          <w:tab w:val="left" w:pos="569"/>
        </w:tabs>
        <w:jc w:val="both"/>
        <w:rPr>
          <w:b/>
          <w:bCs/>
          <w:sz w:val="22"/>
          <w:szCs w:val="22"/>
          <w:lang w:val="sr-Latn-ME"/>
        </w:rPr>
      </w:pPr>
      <w:r w:rsidRPr="00220369">
        <w:rPr>
          <w:sz w:val="22"/>
          <w:szCs w:val="22"/>
          <w:u w:val="single"/>
          <w:lang w:val="sr-Latn-ME"/>
        </w:rPr>
        <w:t xml:space="preserve">Dojenje </w:t>
      </w:r>
    </w:p>
    <w:p w14:paraId="2E98FBF2" w14:textId="03F16F71" w:rsidR="005731F0" w:rsidRPr="00220369" w:rsidRDefault="005731F0" w:rsidP="00E6784B">
      <w:pPr>
        <w:tabs>
          <w:tab w:val="left" w:pos="284"/>
        </w:tabs>
        <w:jc w:val="both"/>
        <w:rPr>
          <w:sz w:val="22"/>
          <w:szCs w:val="22"/>
          <w:lang w:val="sr-Latn-ME"/>
        </w:rPr>
      </w:pPr>
      <w:r w:rsidRPr="00220369">
        <w:rPr>
          <w:sz w:val="22"/>
          <w:szCs w:val="22"/>
          <w:lang w:val="sr-Latn-ME"/>
        </w:rPr>
        <w:t>Ekskrecija bilastina u mlijeko nije proučavana kod ljudi, dok dostupni farmakokinetički podaci kod životinja ukazuju na izlučivanje bilastina u mlijeko (</w:t>
      </w:r>
      <w:r w:rsidR="00D10D0D" w:rsidRPr="00220369">
        <w:rPr>
          <w:sz w:val="22"/>
          <w:szCs w:val="22"/>
          <w:lang w:val="sr-Latn-ME"/>
        </w:rPr>
        <w:t>pogledati</w:t>
      </w:r>
      <w:r w:rsidRPr="00220369">
        <w:rPr>
          <w:sz w:val="22"/>
          <w:szCs w:val="22"/>
          <w:lang w:val="sr-Latn-ME"/>
        </w:rPr>
        <w:t xml:space="preserve"> </w:t>
      </w:r>
      <w:r w:rsidR="00C02A24" w:rsidRPr="00220369">
        <w:rPr>
          <w:sz w:val="22"/>
          <w:szCs w:val="22"/>
          <w:lang w:val="sr-Latn-ME"/>
        </w:rPr>
        <w:t>dio</w:t>
      </w:r>
      <w:r w:rsidRPr="00220369">
        <w:rPr>
          <w:sz w:val="22"/>
          <w:szCs w:val="22"/>
          <w:lang w:val="sr-Latn-ME"/>
        </w:rPr>
        <w:t xml:space="preserve"> 5.3). Odluka o tome da li treba nastaviti/prekinuti dojenje ili prekinuti liječenje/uzdržati se od liječenja mora biti don</w:t>
      </w:r>
      <w:r w:rsidR="00E6784B" w:rsidRPr="00220369">
        <w:rPr>
          <w:sz w:val="22"/>
          <w:szCs w:val="22"/>
          <w:lang w:val="sr-Latn-ME"/>
        </w:rPr>
        <w:t>ij</w:t>
      </w:r>
      <w:r w:rsidRPr="00220369">
        <w:rPr>
          <w:sz w:val="22"/>
          <w:szCs w:val="22"/>
          <w:lang w:val="sr-Latn-ME"/>
        </w:rPr>
        <w:t>eta uzimajući u obzir korist dojenja za dijete i korist terapije bilastinom za majku.</w:t>
      </w:r>
    </w:p>
    <w:p w14:paraId="0362DF52" w14:textId="77777777" w:rsidR="00227BDB" w:rsidRPr="00220369" w:rsidRDefault="00227BDB" w:rsidP="00E6784B">
      <w:pPr>
        <w:tabs>
          <w:tab w:val="left" w:pos="540"/>
          <w:tab w:val="left" w:pos="569"/>
        </w:tabs>
        <w:ind w:left="540" w:hanging="540"/>
        <w:jc w:val="both"/>
        <w:rPr>
          <w:b/>
          <w:bCs/>
          <w:sz w:val="22"/>
          <w:szCs w:val="22"/>
          <w:lang w:val="sr-Latn-ME"/>
        </w:rPr>
      </w:pPr>
    </w:p>
    <w:p w14:paraId="031E0A76" w14:textId="50C93623" w:rsidR="0072020E" w:rsidRPr="00220369" w:rsidRDefault="0072020E" w:rsidP="00E6784B">
      <w:pPr>
        <w:tabs>
          <w:tab w:val="left" w:pos="540"/>
          <w:tab w:val="left" w:pos="569"/>
        </w:tabs>
        <w:ind w:left="540" w:hanging="540"/>
        <w:jc w:val="both"/>
        <w:rPr>
          <w:b/>
          <w:bCs/>
          <w:sz w:val="22"/>
          <w:szCs w:val="22"/>
          <w:lang w:val="sr-Latn-ME"/>
        </w:rPr>
      </w:pPr>
      <w:r w:rsidRPr="00220369">
        <w:rPr>
          <w:b/>
          <w:bCs/>
          <w:sz w:val="22"/>
          <w:szCs w:val="22"/>
          <w:lang w:val="sr-Latn-ME"/>
        </w:rPr>
        <w:t xml:space="preserve">4.7. </w:t>
      </w:r>
      <w:r w:rsidR="00480FB1" w:rsidRPr="00220369">
        <w:rPr>
          <w:b/>
          <w:bCs/>
          <w:sz w:val="22"/>
          <w:szCs w:val="22"/>
          <w:lang w:val="sr-Latn-ME"/>
        </w:rPr>
        <w:tab/>
      </w:r>
      <w:r w:rsidRPr="00220369">
        <w:rPr>
          <w:b/>
          <w:bCs/>
          <w:sz w:val="22"/>
          <w:szCs w:val="22"/>
          <w:lang w:val="sr-Latn-ME"/>
        </w:rPr>
        <w:t xml:space="preserve">Uticaj na </w:t>
      </w:r>
      <w:r w:rsidR="002031B3" w:rsidRPr="00220369">
        <w:rPr>
          <w:b/>
          <w:bCs/>
          <w:sz w:val="22"/>
          <w:szCs w:val="22"/>
          <w:lang w:val="sr-Latn-ME"/>
        </w:rPr>
        <w:t xml:space="preserve">sposobnost </w:t>
      </w:r>
      <w:r w:rsidR="00F34554" w:rsidRPr="00220369">
        <w:rPr>
          <w:b/>
          <w:bCs/>
          <w:sz w:val="22"/>
          <w:szCs w:val="22"/>
          <w:lang w:val="sr-Latn-ME"/>
        </w:rPr>
        <w:t>upravljanja vozili</w:t>
      </w:r>
      <w:r w:rsidRPr="00220369">
        <w:rPr>
          <w:b/>
          <w:bCs/>
          <w:sz w:val="22"/>
          <w:szCs w:val="22"/>
          <w:lang w:val="sr-Latn-ME"/>
        </w:rPr>
        <w:t>m</w:t>
      </w:r>
      <w:r w:rsidR="00F34554" w:rsidRPr="00220369">
        <w:rPr>
          <w:b/>
          <w:bCs/>
          <w:sz w:val="22"/>
          <w:szCs w:val="22"/>
          <w:lang w:val="sr-Latn-ME"/>
        </w:rPr>
        <w:t>a</w:t>
      </w:r>
      <w:r w:rsidRPr="00220369">
        <w:rPr>
          <w:b/>
          <w:bCs/>
          <w:sz w:val="22"/>
          <w:szCs w:val="22"/>
          <w:lang w:val="sr-Latn-ME"/>
        </w:rPr>
        <w:t xml:space="preserve"> i </w:t>
      </w:r>
      <w:r w:rsidR="000D3449" w:rsidRPr="00220369">
        <w:rPr>
          <w:b/>
          <w:bCs/>
          <w:sz w:val="22"/>
          <w:szCs w:val="22"/>
          <w:lang w:val="sr-Latn-ME"/>
        </w:rPr>
        <w:t xml:space="preserve">rukovanje </w:t>
      </w:r>
      <w:r w:rsidRPr="00220369">
        <w:rPr>
          <w:b/>
          <w:bCs/>
          <w:sz w:val="22"/>
          <w:szCs w:val="22"/>
          <w:lang w:val="sr-Latn-ME"/>
        </w:rPr>
        <w:t>mašinama</w:t>
      </w:r>
    </w:p>
    <w:p w14:paraId="522EB355" w14:textId="77777777" w:rsidR="005731F0" w:rsidRPr="00220369" w:rsidRDefault="005731F0" w:rsidP="00E6784B">
      <w:pPr>
        <w:tabs>
          <w:tab w:val="left" w:pos="540"/>
          <w:tab w:val="left" w:pos="569"/>
        </w:tabs>
        <w:ind w:left="540" w:hanging="540"/>
        <w:jc w:val="both"/>
        <w:rPr>
          <w:b/>
          <w:bCs/>
          <w:sz w:val="22"/>
          <w:szCs w:val="22"/>
          <w:lang w:val="sr-Latn-ME"/>
        </w:rPr>
      </w:pPr>
    </w:p>
    <w:p w14:paraId="71F47589" w14:textId="18CF7C47" w:rsidR="005731F0" w:rsidRPr="00220369" w:rsidRDefault="005731F0" w:rsidP="00E6784B">
      <w:pPr>
        <w:tabs>
          <w:tab w:val="left" w:pos="284"/>
        </w:tabs>
        <w:jc w:val="both"/>
        <w:rPr>
          <w:sz w:val="22"/>
          <w:szCs w:val="22"/>
          <w:lang w:val="sr-Latn-ME"/>
        </w:rPr>
      </w:pPr>
      <w:r w:rsidRPr="00220369">
        <w:rPr>
          <w:sz w:val="22"/>
          <w:szCs w:val="22"/>
          <w:lang w:val="sr-Latn-ME"/>
        </w:rPr>
        <w:t xml:space="preserve">Studija sprovedena na odraslim osobama u cilju procjene efekata bilastina na sposobnost vožnje je pokazala da terapija </w:t>
      </w:r>
      <w:r w:rsidR="00DA3534" w:rsidRPr="00220369">
        <w:rPr>
          <w:sz w:val="22"/>
          <w:szCs w:val="22"/>
          <w:lang w:val="sr-Latn-ME"/>
        </w:rPr>
        <w:t>dozom od</w:t>
      </w:r>
      <w:r w:rsidRPr="00220369">
        <w:rPr>
          <w:sz w:val="22"/>
          <w:szCs w:val="22"/>
          <w:lang w:val="sr-Latn-ME"/>
        </w:rPr>
        <w:t xml:space="preserve"> 20 mg nije uticala na sposobnost vožnje. Međutim, obzirom da individualni odgovor na lijek može da varira, neophodno je uputiti pacijente da ne upravljaju vozilima i mašinama, dok ne ustanove sopstveni odogovor na bilastin.</w:t>
      </w:r>
    </w:p>
    <w:p w14:paraId="3283F0CA" w14:textId="77777777" w:rsidR="0072020E" w:rsidRPr="00220369" w:rsidRDefault="0072020E" w:rsidP="00E6784B">
      <w:pPr>
        <w:tabs>
          <w:tab w:val="left" w:pos="540"/>
          <w:tab w:val="left" w:pos="569"/>
        </w:tabs>
        <w:jc w:val="both"/>
        <w:rPr>
          <w:b/>
          <w:bCs/>
          <w:sz w:val="22"/>
          <w:szCs w:val="22"/>
          <w:lang w:val="sr-Latn-ME"/>
        </w:rPr>
      </w:pPr>
    </w:p>
    <w:p w14:paraId="0AB93767" w14:textId="5033D30B" w:rsidR="0072020E" w:rsidRPr="00220369" w:rsidRDefault="0072020E" w:rsidP="00E6784B">
      <w:pPr>
        <w:tabs>
          <w:tab w:val="left" w:pos="540"/>
          <w:tab w:val="left" w:pos="569"/>
        </w:tabs>
        <w:jc w:val="both"/>
        <w:rPr>
          <w:b/>
          <w:bCs/>
          <w:sz w:val="22"/>
          <w:szCs w:val="22"/>
          <w:lang w:val="sr-Latn-ME"/>
        </w:rPr>
      </w:pPr>
      <w:r w:rsidRPr="00220369">
        <w:rPr>
          <w:b/>
          <w:bCs/>
          <w:sz w:val="22"/>
          <w:szCs w:val="22"/>
          <w:lang w:val="sr-Latn-ME"/>
        </w:rPr>
        <w:t xml:space="preserve">4.8. </w:t>
      </w:r>
      <w:r w:rsidR="00480FB1" w:rsidRPr="00220369">
        <w:rPr>
          <w:b/>
          <w:bCs/>
          <w:sz w:val="22"/>
          <w:szCs w:val="22"/>
          <w:lang w:val="sr-Latn-ME"/>
        </w:rPr>
        <w:tab/>
      </w:r>
      <w:r w:rsidRPr="00220369">
        <w:rPr>
          <w:b/>
          <w:bCs/>
          <w:sz w:val="22"/>
          <w:szCs w:val="22"/>
          <w:lang w:val="sr-Latn-ME"/>
        </w:rPr>
        <w:t>Neželjena dejstva</w:t>
      </w:r>
    </w:p>
    <w:p w14:paraId="6F343452" w14:textId="77777777" w:rsidR="00F87550" w:rsidRPr="00220369" w:rsidRDefault="00F87550" w:rsidP="00E6784B">
      <w:pPr>
        <w:tabs>
          <w:tab w:val="left" w:pos="540"/>
          <w:tab w:val="left" w:pos="569"/>
        </w:tabs>
        <w:jc w:val="both"/>
        <w:rPr>
          <w:b/>
          <w:bCs/>
          <w:sz w:val="22"/>
          <w:szCs w:val="22"/>
          <w:lang w:val="sr-Latn-ME"/>
        </w:rPr>
      </w:pPr>
    </w:p>
    <w:p w14:paraId="6DB4218B" w14:textId="6ADF71CD"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Sažetak bezbjednosnog profila kod odraslih i adolescenata</w:t>
      </w:r>
    </w:p>
    <w:p w14:paraId="67222699" w14:textId="77777777" w:rsidR="00F87550" w:rsidRPr="00220369" w:rsidRDefault="00F87550" w:rsidP="00E6784B">
      <w:pPr>
        <w:tabs>
          <w:tab w:val="left" w:pos="284"/>
        </w:tabs>
        <w:jc w:val="both"/>
        <w:rPr>
          <w:i/>
          <w:iCs/>
          <w:sz w:val="22"/>
          <w:szCs w:val="22"/>
          <w:u w:val="single"/>
          <w:lang w:val="sr-Latn-ME"/>
        </w:rPr>
      </w:pPr>
    </w:p>
    <w:p w14:paraId="3277D36C" w14:textId="3B16F74B" w:rsidR="005731F0" w:rsidRPr="00220369" w:rsidRDefault="005731F0" w:rsidP="00E6784B">
      <w:pPr>
        <w:tabs>
          <w:tab w:val="left" w:pos="284"/>
        </w:tabs>
        <w:jc w:val="both"/>
        <w:rPr>
          <w:sz w:val="22"/>
          <w:szCs w:val="22"/>
          <w:lang w:val="sr-Latn-ME"/>
        </w:rPr>
      </w:pPr>
      <w:r w:rsidRPr="00220369">
        <w:rPr>
          <w:sz w:val="22"/>
          <w:szCs w:val="22"/>
          <w:lang w:val="sr-Latn-ME"/>
        </w:rPr>
        <w:t>Incidenca neželjenih događaja kod odraslih pacijenata i adolescenata sa alergijskim rinokonju</w:t>
      </w:r>
      <w:r w:rsidR="00035D8E" w:rsidRPr="00220369">
        <w:rPr>
          <w:sz w:val="22"/>
          <w:szCs w:val="22"/>
          <w:lang w:val="sr-Latn-ME"/>
        </w:rPr>
        <w:t>n</w:t>
      </w:r>
      <w:r w:rsidRPr="00220369">
        <w:rPr>
          <w:sz w:val="22"/>
          <w:szCs w:val="22"/>
          <w:lang w:val="sr-Latn-ME"/>
        </w:rPr>
        <w:t xml:space="preserve">ktivitisom ili hroničnom idiopatskom urtikarijom, a koji su liječeni sa 20 mg bilastina u kliničkim studijama, bila je uporediva sa incidencom kod pacijenata koji su primali placebo (12,7% u odnosu na 12,8%). </w:t>
      </w:r>
    </w:p>
    <w:p w14:paraId="39F6AEE0" w14:textId="77777777" w:rsidR="005731F0" w:rsidRPr="00220369" w:rsidRDefault="005731F0" w:rsidP="00E6784B">
      <w:pPr>
        <w:tabs>
          <w:tab w:val="left" w:pos="284"/>
        </w:tabs>
        <w:jc w:val="both"/>
        <w:rPr>
          <w:sz w:val="22"/>
          <w:szCs w:val="22"/>
          <w:lang w:val="sr-Latn-ME"/>
        </w:rPr>
      </w:pPr>
    </w:p>
    <w:p w14:paraId="479F9CA5" w14:textId="0B85CDFA" w:rsidR="005731F0" w:rsidRPr="00220369" w:rsidRDefault="005731F0" w:rsidP="00E6784B">
      <w:pPr>
        <w:tabs>
          <w:tab w:val="left" w:pos="284"/>
        </w:tabs>
        <w:jc w:val="both"/>
        <w:rPr>
          <w:noProof/>
          <w:sz w:val="22"/>
          <w:szCs w:val="22"/>
          <w:u w:val="single"/>
          <w:lang w:val="sr-Latn-ME"/>
        </w:rPr>
      </w:pPr>
      <w:r w:rsidRPr="00220369">
        <w:rPr>
          <w:sz w:val="22"/>
          <w:szCs w:val="22"/>
          <w:lang w:val="sr-Latn-ME"/>
        </w:rPr>
        <w:lastRenderedPageBreak/>
        <w:t xml:space="preserve">Faze II i III kliničkih ispitivanja sprovedenih tokom kliničkog razvoja uključile su 2525 odraslih pacijenata i adolescenata liječenih različitim dozama bilastina, od kojih </w:t>
      </w:r>
      <w:r w:rsidR="00E6784B" w:rsidRPr="00220369">
        <w:rPr>
          <w:sz w:val="22"/>
          <w:szCs w:val="22"/>
          <w:lang w:val="sr-Latn-ME"/>
        </w:rPr>
        <w:t xml:space="preserve">je </w:t>
      </w:r>
      <w:r w:rsidRPr="00220369">
        <w:rPr>
          <w:sz w:val="22"/>
          <w:szCs w:val="22"/>
          <w:lang w:val="sr-Latn-ME"/>
        </w:rPr>
        <w:t>1697 primalo bilastin u dozi od 20 mg. U ovim ispitivanjima 1362 pacijenta je primalo placebo. Najčešće prijavljivane neželjene reakcije kod pacijenata koji su primali 20 mg bilastina za indikaciju alergijski rinokonju</w:t>
      </w:r>
      <w:r w:rsidR="00035D8E" w:rsidRPr="00220369">
        <w:rPr>
          <w:sz w:val="22"/>
          <w:szCs w:val="22"/>
          <w:lang w:val="sr-Latn-ME"/>
        </w:rPr>
        <w:t>n</w:t>
      </w:r>
      <w:r w:rsidRPr="00220369">
        <w:rPr>
          <w:sz w:val="22"/>
          <w:szCs w:val="22"/>
          <w:lang w:val="sr-Latn-ME"/>
        </w:rPr>
        <w:t>ktivitis ili hronična idiopatska urtikarija su bile glavobolja, pospanost, vrtoglavica i umor. Ovi neželjeni događaji su se ispoljavali sa učestalošću koja je uporediva sa onom koja se javljala kod pacijenata koji su primali placebo.</w:t>
      </w:r>
    </w:p>
    <w:p w14:paraId="5149348A" w14:textId="77777777" w:rsidR="005731F0" w:rsidRPr="00220369" w:rsidRDefault="005731F0" w:rsidP="00E6784B">
      <w:pPr>
        <w:tabs>
          <w:tab w:val="left" w:pos="284"/>
        </w:tabs>
        <w:jc w:val="both"/>
        <w:rPr>
          <w:noProof/>
          <w:sz w:val="22"/>
          <w:szCs w:val="22"/>
          <w:u w:val="single"/>
          <w:lang w:val="sr-Latn-ME"/>
        </w:rPr>
      </w:pPr>
    </w:p>
    <w:p w14:paraId="007180BB" w14:textId="77777777"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Tabelarni sažetak neželjenih reakcija kod odraslih i adolescenata</w:t>
      </w:r>
    </w:p>
    <w:p w14:paraId="1D643D4F" w14:textId="77777777" w:rsidR="005731F0" w:rsidRPr="00220369" w:rsidRDefault="005731F0" w:rsidP="00E6784B">
      <w:pPr>
        <w:tabs>
          <w:tab w:val="left" w:pos="284"/>
        </w:tabs>
        <w:jc w:val="both"/>
        <w:rPr>
          <w:sz w:val="22"/>
          <w:szCs w:val="22"/>
          <w:lang w:val="sr-Latn-ME"/>
        </w:rPr>
      </w:pPr>
      <w:r w:rsidRPr="00220369">
        <w:rPr>
          <w:sz w:val="22"/>
          <w:szCs w:val="22"/>
          <w:lang w:val="sr-Latn-ME"/>
        </w:rPr>
        <w:t xml:space="preserve">Neželjene reakcije koje su najvjerovatnije povezane sa bilastinom i prijavljene kod više od 0,1% pacijenata koji su primali 20 mg bilastina tokom kliničkih studija (N=1697) su prikazane u dolje navedenoj tabeli. </w:t>
      </w:r>
    </w:p>
    <w:p w14:paraId="2990BC18" w14:textId="77777777" w:rsidR="005731F0" w:rsidRPr="00220369" w:rsidRDefault="005731F0" w:rsidP="00E6784B">
      <w:pPr>
        <w:tabs>
          <w:tab w:val="left" w:pos="284"/>
        </w:tabs>
        <w:jc w:val="both"/>
        <w:rPr>
          <w:sz w:val="22"/>
          <w:szCs w:val="22"/>
          <w:lang w:val="sr-Latn-ME"/>
        </w:rPr>
      </w:pPr>
    </w:p>
    <w:p w14:paraId="308CB322" w14:textId="2EFD9D00" w:rsidR="005731F0" w:rsidRPr="00220369" w:rsidRDefault="005731F0" w:rsidP="00E6784B">
      <w:pPr>
        <w:tabs>
          <w:tab w:val="left" w:pos="284"/>
        </w:tabs>
        <w:jc w:val="both"/>
        <w:rPr>
          <w:sz w:val="22"/>
          <w:szCs w:val="22"/>
          <w:lang w:val="sr-Latn-ME"/>
        </w:rPr>
      </w:pPr>
      <w:r w:rsidRPr="00220369">
        <w:rPr>
          <w:sz w:val="22"/>
          <w:szCs w:val="22"/>
          <w:lang w:val="sr-Latn-ME"/>
        </w:rPr>
        <w:t>Učestalost ispoljavanja je navedena na sl</w:t>
      </w:r>
      <w:r w:rsidR="00E6784B" w:rsidRPr="00220369">
        <w:rPr>
          <w:sz w:val="22"/>
          <w:szCs w:val="22"/>
          <w:lang w:val="sr-Latn-ME"/>
        </w:rPr>
        <w:t>j</w:t>
      </w:r>
      <w:r w:rsidRPr="00220369">
        <w:rPr>
          <w:sz w:val="22"/>
          <w:szCs w:val="22"/>
          <w:lang w:val="sr-Latn-ME"/>
        </w:rPr>
        <w:t xml:space="preserve">edeći način: </w:t>
      </w:r>
    </w:p>
    <w:p w14:paraId="20C0E958" w14:textId="77777777" w:rsidR="005731F0" w:rsidRPr="00220369" w:rsidRDefault="005731F0" w:rsidP="00E6784B">
      <w:pPr>
        <w:tabs>
          <w:tab w:val="left" w:pos="284"/>
        </w:tabs>
        <w:jc w:val="both"/>
        <w:rPr>
          <w:sz w:val="22"/>
          <w:szCs w:val="22"/>
          <w:lang w:val="sr-Latn-ME"/>
        </w:rPr>
      </w:pPr>
      <w:r w:rsidRPr="00220369">
        <w:rPr>
          <w:sz w:val="22"/>
          <w:szCs w:val="22"/>
          <w:lang w:val="sr-Latn-ME"/>
        </w:rPr>
        <w:t xml:space="preserve">Veoma često (≥1/10)   </w:t>
      </w:r>
    </w:p>
    <w:p w14:paraId="23C4A9D4" w14:textId="77777777" w:rsidR="005731F0" w:rsidRPr="00220369" w:rsidRDefault="005731F0" w:rsidP="00E6784B">
      <w:pPr>
        <w:tabs>
          <w:tab w:val="left" w:pos="284"/>
        </w:tabs>
        <w:jc w:val="both"/>
        <w:rPr>
          <w:noProof/>
          <w:sz w:val="22"/>
          <w:szCs w:val="22"/>
          <w:u w:val="single"/>
          <w:lang w:val="sr-Latn-ME"/>
        </w:rPr>
      </w:pPr>
      <w:r w:rsidRPr="00220369">
        <w:rPr>
          <w:sz w:val="22"/>
          <w:szCs w:val="22"/>
          <w:lang w:val="sr-Latn-ME"/>
        </w:rPr>
        <w:t xml:space="preserve">Često (≥1/100 do </w:t>
      </w:r>
      <w:r w:rsidRPr="00220369">
        <w:rPr>
          <w:noProof/>
          <w:sz w:val="22"/>
          <w:szCs w:val="22"/>
          <w:lang w:val="sr-Latn-ME"/>
        </w:rPr>
        <w:t>&lt;1/10)</w:t>
      </w:r>
    </w:p>
    <w:p w14:paraId="4AB3E579" w14:textId="77777777" w:rsidR="005731F0" w:rsidRPr="00220369" w:rsidRDefault="005731F0" w:rsidP="00E6784B">
      <w:pPr>
        <w:tabs>
          <w:tab w:val="left" w:pos="284"/>
        </w:tabs>
        <w:jc w:val="both"/>
        <w:rPr>
          <w:noProof/>
          <w:sz w:val="22"/>
          <w:szCs w:val="22"/>
          <w:lang w:val="sr-Latn-ME"/>
        </w:rPr>
      </w:pPr>
      <w:r w:rsidRPr="00220369">
        <w:rPr>
          <w:noProof/>
          <w:sz w:val="22"/>
          <w:szCs w:val="22"/>
          <w:lang w:val="sr-Latn-ME"/>
        </w:rPr>
        <w:t>Povremeno (≥1/1000 do &lt;1/100)</w:t>
      </w:r>
    </w:p>
    <w:p w14:paraId="72771EAB" w14:textId="77777777" w:rsidR="005731F0" w:rsidRPr="00220369" w:rsidRDefault="005731F0" w:rsidP="00E6784B">
      <w:pPr>
        <w:tabs>
          <w:tab w:val="left" w:pos="284"/>
        </w:tabs>
        <w:jc w:val="both"/>
        <w:rPr>
          <w:noProof/>
          <w:sz w:val="22"/>
          <w:szCs w:val="22"/>
          <w:lang w:val="sr-Latn-ME"/>
        </w:rPr>
      </w:pPr>
      <w:r w:rsidRPr="00220369">
        <w:rPr>
          <w:noProof/>
          <w:sz w:val="22"/>
          <w:szCs w:val="22"/>
          <w:lang w:val="sr-Latn-ME"/>
        </w:rPr>
        <w:t>Rijetko (≥1/10000 do &lt;1/1000)</w:t>
      </w:r>
    </w:p>
    <w:p w14:paraId="5EE08832" w14:textId="77777777" w:rsidR="005731F0" w:rsidRPr="00220369" w:rsidRDefault="005731F0" w:rsidP="00E6784B">
      <w:pPr>
        <w:tabs>
          <w:tab w:val="left" w:pos="284"/>
        </w:tabs>
        <w:jc w:val="both"/>
        <w:rPr>
          <w:noProof/>
          <w:sz w:val="22"/>
          <w:szCs w:val="22"/>
          <w:lang w:val="sr-Latn-ME"/>
        </w:rPr>
      </w:pPr>
      <w:r w:rsidRPr="00220369">
        <w:rPr>
          <w:noProof/>
          <w:sz w:val="22"/>
          <w:szCs w:val="22"/>
          <w:lang w:val="sr-Latn-ME"/>
        </w:rPr>
        <w:t>Veoma rijetko (&lt;1/10000)</w:t>
      </w:r>
    </w:p>
    <w:p w14:paraId="66D5CC97" w14:textId="77777777" w:rsidR="005731F0" w:rsidRPr="00220369" w:rsidRDefault="005731F0" w:rsidP="00E6784B">
      <w:pPr>
        <w:tabs>
          <w:tab w:val="left" w:pos="284"/>
        </w:tabs>
        <w:jc w:val="both"/>
        <w:rPr>
          <w:noProof/>
          <w:sz w:val="22"/>
          <w:szCs w:val="22"/>
          <w:lang w:val="sr-Latn-ME"/>
        </w:rPr>
      </w:pPr>
      <w:r w:rsidRPr="00220369">
        <w:rPr>
          <w:noProof/>
          <w:sz w:val="22"/>
          <w:szCs w:val="22"/>
          <w:lang w:val="sr-Latn-ME"/>
        </w:rPr>
        <w:t>Nepoznata (ne može se procijeniti na osnovu raspoloživih podataka)</w:t>
      </w:r>
    </w:p>
    <w:p w14:paraId="3316A24F" w14:textId="77777777" w:rsidR="005731F0" w:rsidRPr="00220369" w:rsidRDefault="005731F0" w:rsidP="00E6784B">
      <w:pPr>
        <w:tabs>
          <w:tab w:val="left" w:pos="284"/>
        </w:tabs>
        <w:jc w:val="both"/>
        <w:rPr>
          <w:noProof/>
          <w:sz w:val="22"/>
          <w:szCs w:val="22"/>
          <w:u w:val="single"/>
          <w:lang w:val="sr-Latn-ME"/>
        </w:rPr>
      </w:pPr>
    </w:p>
    <w:p w14:paraId="065D884B" w14:textId="77777777" w:rsidR="005731F0" w:rsidRPr="00220369" w:rsidRDefault="005731F0" w:rsidP="00E6784B">
      <w:pPr>
        <w:tabs>
          <w:tab w:val="left" w:pos="284"/>
        </w:tabs>
        <w:jc w:val="both"/>
        <w:rPr>
          <w:noProof/>
          <w:sz w:val="22"/>
          <w:szCs w:val="22"/>
          <w:lang w:val="sr-Latn-ME"/>
        </w:rPr>
      </w:pPr>
      <w:r w:rsidRPr="00220369">
        <w:rPr>
          <w:noProof/>
          <w:sz w:val="22"/>
          <w:szCs w:val="22"/>
          <w:lang w:val="sr-Latn-ME"/>
        </w:rPr>
        <w:t>Rijetke, veoma rijetke i reakcije nepoznate učestalosti pojavljivanja nijesu uključene u ovu tabelu.</w:t>
      </w:r>
    </w:p>
    <w:p w14:paraId="4D4265AF" w14:textId="77777777" w:rsidR="005731F0" w:rsidRPr="00220369" w:rsidRDefault="005731F0" w:rsidP="00E6784B">
      <w:pPr>
        <w:tabs>
          <w:tab w:val="left" w:pos="284"/>
        </w:tabs>
        <w:spacing w:line="256" w:lineRule="auto"/>
        <w:ind w:left="-1133" w:right="10767"/>
        <w:jc w:val="both"/>
        <w:rPr>
          <w:sz w:val="22"/>
          <w:szCs w:val="22"/>
          <w:lang w:val="sr-Latn-ME"/>
        </w:rPr>
      </w:pPr>
    </w:p>
    <w:tbl>
      <w:tblPr>
        <w:tblStyle w:val="TableGrid"/>
        <w:tblW w:w="12156" w:type="dxa"/>
        <w:tblInd w:w="116" w:type="dxa"/>
        <w:tblCellMar>
          <w:top w:w="106" w:type="dxa"/>
          <w:left w:w="61" w:type="dxa"/>
          <w:right w:w="105" w:type="dxa"/>
        </w:tblCellMar>
        <w:tblLook w:val="04A0" w:firstRow="1" w:lastRow="0" w:firstColumn="1" w:lastColumn="0" w:noHBand="0" w:noVBand="1"/>
      </w:tblPr>
      <w:tblGrid>
        <w:gridCol w:w="1900"/>
        <w:gridCol w:w="2599"/>
        <w:gridCol w:w="1622"/>
        <w:gridCol w:w="1800"/>
        <w:gridCol w:w="1881"/>
        <w:gridCol w:w="2354"/>
      </w:tblGrid>
      <w:tr w:rsidR="005731F0" w:rsidRPr="00220369" w14:paraId="719C6FC6" w14:textId="77777777" w:rsidTr="002F59D9">
        <w:trPr>
          <w:gridAfter w:val="1"/>
          <w:wAfter w:w="2354" w:type="dxa"/>
          <w:trHeight w:val="943"/>
        </w:trPr>
        <w:tc>
          <w:tcPr>
            <w:tcW w:w="4499" w:type="dxa"/>
            <w:gridSpan w:val="2"/>
            <w:tcBorders>
              <w:top w:val="single" w:sz="4" w:space="0" w:color="000000"/>
              <w:left w:val="single" w:sz="4" w:space="0" w:color="000000"/>
              <w:bottom w:val="single" w:sz="4" w:space="0" w:color="000000"/>
              <w:right w:val="single" w:sz="6" w:space="0" w:color="000000"/>
            </w:tcBorders>
            <w:shd w:val="clear" w:color="auto" w:fill="BBBBBB"/>
            <w:vAlign w:val="center"/>
            <w:hideMark/>
          </w:tcPr>
          <w:p w14:paraId="0743CC82" w14:textId="77777777" w:rsidR="005731F0" w:rsidRPr="00220369" w:rsidRDefault="005731F0" w:rsidP="00E6784B">
            <w:pPr>
              <w:tabs>
                <w:tab w:val="left" w:pos="284"/>
              </w:tabs>
              <w:spacing w:after="71" w:line="256" w:lineRule="auto"/>
              <w:jc w:val="both"/>
              <w:rPr>
                <w:rFonts w:ascii="Times New Roman" w:hAnsi="Times New Roman"/>
                <w:sz w:val="22"/>
                <w:szCs w:val="22"/>
                <w:lang w:val="sr-Latn-ME"/>
              </w:rPr>
            </w:pPr>
            <w:r w:rsidRPr="00220369">
              <w:rPr>
                <w:rFonts w:ascii="Times New Roman" w:hAnsi="Times New Roman"/>
                <w:b/>
                <w:sz w:val="22"/>
                <w:szCs w:val="22"/>
                <w:lang w:val="sr-Latn-ME"/>
              </w:rPr>
              <w:t>Sistem organa</w:t>
            </w:r>
          </w:p>
          <w:p w14:paraId="4F095A36" w14:textId="77777777" w:rsidR="005731F0" w:rsidRPr="00220369" w:rsidRDefault="005731F0" w:rsidP="00E6784B">
            <w:pPr>
              <w:tabs>
                <w:tab w:val="left" w:pos="284"/>
                <w:tab w:val="center" w:pos="476"/>
                <w:tab w:val="center" w:pos="2296"/>
              </w:tabs>
              <w:spacing w:line="256" w:lineRule="auto"/>
              <w:jc w:val="both"/>
              <w:rPr>
                <w:rFonts w:ascii="Times New Roman" w:hAnsi="Times New Roman"/>
                <w:sz w:val="22"/>
                <w:szCs w:val="22"/>
                <w:lang w:val="sr-Latn-ME"/>
              </w:rPr>
            </w:pPr>
            <w:r w:rsidRPr="00220369">
              <w:rPr>
                <w:rFonts w:ascii="Times New Roman" w:hAnsi="Times New Roman"/>
                <w:b/>
                <w:sz w:val="22"/>
                <w:szCs w:val="22"/>
                <w:lang w:val="sr-Latn-ME"/>
              </w:rPr>
              <w:t>Učestalost</w:t>
            </w:r>
            <w:r w:rsidRPr="00220369">
              <w:rPr>
                <w:rFonts w:ascii="Times New Roman" w:hAnsi="Times New Roman"/>
                <w:b/>
                <w:sz w:val="22"/>
                <w:szCs w:val="22"/>
                <w:lang w:val="sr-Latn-ME"/>
              </w:rPr>
              <w:tab/>
              <w:t xml:space="preserve">                 Neželjene reakcije</w:t>
            </w:r>
          </w:p>
        </w:tc>
        <w:tc>
          <w:tcPr>
            <w:tcW w:w="1622" w:type="dxa"/>
            <w:tcBorders>
              <w:top w:val="single" w:sz="4" w:space="0" w:color="000000"/>
              <w:left w:val="single" w:sz="6" w:space="0" w:color="000000"/>
              <w:bottom w:val="single" w:sz="4" w:space="0" w:color="000000"/>
              <w:right w:val="single" w:sz="6" w:space="0" w:color="000000"/>
            </w:tcBorders>
            <w:shd w:val="clear" w:color="auto" w:fill="BBBBBB"/>
            <w:hideMark/>
          </w:tcPr>
          <w:p w14:paraId="34D6B24B" w14:textId="77777777" w:rsidR="005731F0" w:rsidRPr="00220369" w:rsidRDefault="005731F0" w:rsidP="00E6784B">
            <w:pPr>
              <w:tabs>
                <w:tab w:val="left" w:pos="284"/>
              </w:tabs>
              <w:spacing w:after="66" w:line="256" w:lineRule="auto"/>
              <w:ind w:left="81"/>
              <w:jc w:val="both"/>
              <w:rPr>
                <w:rFonts w:ascii="Times New Roman" w:hAnsi="Times New Roman"/>
                <w:sz w:val="22"/>
                <w:szCs w:val="22"/>
                <w:lang w:val="sr-Latn-ME"/>
              </w:rPr>
            </w:pPr>
            <w:r w:rsidRPr="00220369">
              <w:rPr>
                <w:rFonts w:ascii="Times New Roman" w:hAnsi="Times New Roman"/>
                <w:b/>
                <w:sz w:val="22"/>
                <w:szCs w:val="22"/>
                <w:lang w:val="sr-Latn-ME"/>
              </w:rPr>
              <w:t>Bilastin</w:t>
            </w:r>
          </w:p>
          <w:p w14:paraId="2B82B792"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b/>
                <w:sz w:val="22"/>
                <w:szCs w:val="22"/>
                <w:lang w:val="sr-Latn-ME"/>
              </w:rPr>
              <w:t>20 mg</w:t>
            </w:r>
          </w:p>
          <w:p w14:paraId="50C92B16"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b/>
                <w:sz w:val="22"/>
                <w:szCs w:val="22"/>
                <w:lang w:val="sr-Latn-ME"/>
              </w:rPr>
              <w:t>N=1697</w:t>
            </w:r>
          </w:p>
        </w:tc>
        <w:tc>
          <w:tcPr>
            <w:tcW w:w="1800" w:type="dxa"/>
            <w:tcBorders>
              <w:top w:val="single" w:sz="4" w:space="0" w:color="000000"/>
              <w:left w:val="single" w:sz="6" w:space="0" w:color="000000"/>
              <w:bottom w:val="single" w:sz="4" w:space="0" w:color="000000"/>
              <w:right w:val="single" w:sz="6" w:space="0" w:color="000000"/>
            </w:tcBorders>
            <w:shd w:val="clear" w:color="auto" w:fill="BBBBBB"/>
            <w:hideMark/>
          </w:tcPr>
          <w:p w14:paraId="5086DD08" w14:textId="77777777" w:rsidR="005731F0" w:rsidRPr="00220369" w:rsidRDefault="005731F0" w:rsidP="00E6784B">
            <w:pPr>
              <w:tabs>
                <w:tab w:val="left" w:pos="284"/>
              </w:tabs>
              <w:spacing w:after="5" w:line="232" w:lineRule="auto"/>
              <w:ind w:left="81"/>
              <w:jc w:val="both"/>
              <w:rPr>
                <w:rFonts w:ascii="Times New Roman" w:hAnsi="Times New Roman"/>
                <w:sz w:val="22"/>
                <w:szCs w:val="22"/>
                <w:lang w:val="sr-Latn-ME"/>
              </w:rPr>
            </w:pPr>
            <w:r w:rsidRPr="00220369">
              <w:rPr>
                <w:rFonts w:ascii="Times New Roman" w:hAnsi="Times New Roman"/>
                <w:b/>
                <w:sz w:val="22"/>
                <w:szCs w:val="22"/>
                <w:lang w:val="sr-Latn-ME"/>
              </w:rPr>
              <w:t>Sve doze bilastina</w:t>
            </w:r>
          </w:p>
          <w:p w14:paraId="60DA6747"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b/>
                <w:sz w:val="22"/>
                <w:szCs w:val="22"/>
                <w:lang w:val="sr-Latn-ME"/>
              </w:rPr>
              <w:t>N=2525</w:t>
            </w:r>
          </w:p>
        </w:tc>
        <w:tc>
          <w:tcPr>
            <w:tcW w:w="1881" w:type="dxa"/>
            <w:tcBorders>
              <w:top w:val="single" w:sz="4" w:space="0" w:color="000000"/>
              <w:left w:val="single" w:sz="6" w:space="0" w:color="000000"/>
              <w:bottom w:val="single" w:sz="4" w:space="0" w:color="000000"/>
              <w:right w:val="single" w:sz="4" w:space="0" w:color="000000"/>
            </w:tcBorders>
            <w:shd w:val="clear" w:color="auto" w:fill="BBBBBB"/>
          </w:tcPr>
          <w:p w14:paraId="35B8F3CC" w14:textId="77777777" w:rsidR="005731F0" w:rsidRPr="00220369" w:rsidRDefault="005731F0" w:rsidP="00E6784B">
            <w:pPr>
              <w:tabs>
                <w:tab w:val="left" w:pos="284"/>
              </w:tabs>
              <w:spacing w:after="160" w:line="256" w:lineRule="auto"/>
              <w:jc w:val="both"/>
              <w:rPr>
                <w:rFonts w:ascii="Times New Roman" w:hAnsi="Times New Roman"/>
                <w:b/>
                <w:bCs/>
                <w:sz w:val="22"/>
                <w:szCs w:val="22"/>
                <w:lang w:val="sr-Latn-ME"/>
              </w:rPr>
            </w:pPr>
            <w:r w:rsidRPr="00220369">
              <w:rPr>
                <w:rFonts w:ascii="Times New Roman" w:hAnsi="Times New Roman"/>
                <w:b/>
                <w:bCs/>
                <w:sz w:val="22"/>
                <w:szCs w:val="22"/>
                <w:lang w:val="sr-Latn-ME"/>
              </w:rPr>
              <w:t>Placebo</w:t>
            </w:r>
          </w:p>
          <w:p w14:paraId="136DAD42" w14:textId="77777777" w:rsidR="005731F0" w:rsidRPr="00220369" w:rsidRDefault="005731F0" w:rsidP="00E6784B">
            <w:pPr>
              <w:tabs>
                <w:tab w:val="left" w:pos="284"/>
              </w:tabs>
              <w:spacing w:after="160" w:line="256" w:lineRule="auto"/>
              <w:jc w:val="both"/>
              <w:rPr>
                <w:rFonts w:ascii="Times New Roman" w:hAnsi="Times New Roman"/>
                <w:b/>
                <w:bCs/>
                <w:sz w:val="22"/>
                <w:szCs w:val="22"/>
                <w:lang w:val="sr-Latn-ME"/>
              </w:rPr>
            </w:pPr>
            <w:r w:rsidRPr="00220369">
              <w:rPr>
                <w:rFonts w:ascii="Times New Roman" w:hAnsi="Times New Roman"/>
                <w:b/>
                <w:bCs/>
                <w:sz w:val="22"/>
                <w:szCs w:val="22"/>
                <w:lang w:val="sr-Latn-ME"/>
              </w:rPr>
              <w:t>N=1362</w:t>
            </w:r>
          </w:p>
        </w:tc>
      </w:tr>
      <w:tr w:rsidR="005731F0" w:rsidRPr="00220369" w14:paraId="48061BE9" w14:textId="77777777" w:rsidTr="002F59D9">
        <w:trPr>
          <w:gridAfter w:val="1"/>
          <w:wAfter w:w="2354" w:type="dxa"/>
          <w:trHeight w:val="385"/>
        </w:trPr>
        <w:tc>
          <w:tcPr>
            <w:tcW w:w="6121" w:type="dxa"/>
            <w:gridSpan w:val="3"/>
            <w:tcBorders>
              <w:top w:val="single" w:sz="4" w:space="0" w:color="000000"/>
              <w:left w:val="single" w:sz="4" w:space="0" w:color="000000"/>
              <w:bottom w:val="single" w:sz="4" w:space="0" w:color="000000"/>
              <w:right w:val="nil"/>
            </w:tcBorders>
            <w:hideMark/>
          </w:tcPr>
          <w:p w14:paraId="197904FB"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sz w:val="22"/>
                <w:szCs w:val="22"/>
                <w:lang w:val="sr-Latn-ME"/>
              </w:rPr>
              <w:t>Infekcije i infestacije</w:t>
            </w:r>
          </w:p>
        </w:tc>
        <w:tc>
          <w:tcPr>
            <w:tcW w:w="3681" w:type="dxa"/>
            <w:gridSpan w:val="2"/>
            <w:tcBorders>
              <w:top w:val="single" w:sz="4" w:space="0" w:color="000000"/>
              <w:left w:val="nil"/>
              <w:bottom w:val="single" w:sz="4" w:space="0" w:color="000000"/>
              <w:right w:val="single" w:sz="4" w:space="0" w:color="000000"/>
            </w:tcBorders>
          </w:tcPr>
          <w:p w14:paraId="52C0C303"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p>
        </w:tc>
      </w:tr>
      <w:tr w:rsidR="005731F0" w:rsidRPr="00220369" w14:paraId="129799F7" w14:textId="77777777" w:rsidTr="002F59D9">
        <w:trPr>
          <w:gridAfter w:val="1"/>
          <w:wAfter w:w="2354" w:type="dxa"/>
          <w:trHeight w:val="384"/>
        </w:trPr>
        <w:tc>
          <w:tcPr>
            <w:tcW w:w="1900" w:type="dxa"/>
            <w:tcBorders>
              <w:top w:val="single" w:sz="4" w:space="0" w:color="000000"/>
              <w:left w:val="single" w:sz="4" w:space="0" w:color="000000"/>
              <w:bottom w:val="single" w:sz="4" w:space="0" w:color="000000"/>
              <w:right w:val="single" w:sz="4" w:space="0" w:color="000000"/>
            </w:tcBorders>
            <w:hideMark/>
          </w:tcPr>
          <w:p w14:paraId="2D69A0F9"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i/>
                <w:sz w:val="22"/>
                <w:szCs w:val="22"/>
                <w:lang w:val="sr-Latn-ME"/>
              </w:rPr>
              <w:t>Povremeno</w:t>
            </w:r>
          </w:p>
        </w:tc>
        <w:tc>
          <w:tcPr>
            <w:tcW w:w="2599" w:type="dxa"/>
            <w:tcBorders>
              <w:top w:val="single" w:sz="4" w:space="0" w:color="000000"/>
              <w:left w:val="single" w:sz="4" w:space="0" w:color="000000"/>
              <w:bottom w:val="single" w:sz="4" w:space="0" w:color="000000"/>
              <w:right w:val="single" w:sz="4" w:space="0" w:color="000000"/>
            </w:tcBorders>
            <w:hideMark/>
          </w:tcPr>
          <w:p w14:paraId="48513671"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Oralni herpes</w:t>
            </w:r>
          </w:p>
        </w:tc>
        <w:tc>
          <w:tcPr>
            <w:tcW w:w="1622" w:type="dxa"/>
            <w:tcBorders>
              <w:top w:val="single" w:sz="4" w:space="0" w:color="000000"/>
              <w:left w:val="single" w:sz="4" w:space="0" w:color="000000"/>
              <w:bottom w:val="single" w:sz="4" w:space="0" w:color="000000"/>
              <w:right w:val="single" w:sz="4" w:space="0" w:color="000000"/>
            </w:tcBorders>
            <w:hideMark/>
          </w:tcPr>
          <w:p w14:paraId="6EA2598D"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 (0,12%)</w:t>
            </w:r>
          </w:p>
        </w:tc>
        <w:tc>
          <w:tcPr>
            <w:tcW w:w="1800" w:type="dxa"/>
            <w:tcBorders>
              <w:top w:val="single" w:sz="4" w:space="0" w:color="000000"/>
              <w:left w:val="single" w:sz="4" w:space="0" w:color="000000"/>
              <w:bottom w:val="single" w:sz="4" w:space="0" w:color="000000"/>
              <w:right w:val="single" w:sz="4" w:space="0" w:color="000000"/>
            </w:tcBorders>
            <w:hideMark/>
          </w:tcPr>
          <w:p w14:paraId="65526185"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 (0,08%)</w:t>
            </w:r>
          </w:p>
        </w:tc>
        <w:tc>
          <w:tcPr>
            <w:tcW w:w="1881" w:type="dxa"/>
            <w:tcBorders>
              <w:top w:val="single" w:sz="4" w:space="0" w:color="000000"/>
              <w:left w:val="single" w:sz="4" w:space="0" w:color="000000"/>
              <w:bottom w:val="single" w:sz="4" w:space="0" w:color="000000"/>
              <w:right w:val="single" w:sz="4" w:space="0" w:color="000000"/>
            </w:tcBorders>
          </w:tcPr>
          <w:p w14:paraId="2474095A"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0 (0.0%)</w:t>
            </w:r>
          </w:p>
        </w:tc>
      </w:tr>
      <w:tr w:rsidR="005731F0" w:rsidRPr="00220369" w14:paraId="7D4EB904" w14:textId="77777777" w:rsidTr="002F59D9">
        <w:trPr>
          <w:gridAfter w:val="1"/>
          <w:wAfter w:w="2354" w:type="dxa"/>
          <w:trHeight w:val="384"/>
        </w:trPr>
        <w:tc>
          <w:tcPr>
            <w:tcW w:w="6121" w:type="dxa"/>
            <w:gridSpan w:val="3"/>
            <w:tcBorders>
              <w:top w:val="single" w:sz="4" w:space="0" w:color="000000"/>
              <w:left w:val="single" w:sz="4" w:space="0" w:color="000000"/>
              <w:bottom w:val="single" w:sz="4" w:space="0" w:color="000000"/>
              <w:right w:val="nil"/>
            </w:tcBorders>
            <w:hideMark/>
          </w:tcPr>
          <w:p w14:paraId="5CFA4B28"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sz w:val="22"/>
                <w:szCs w:val="22"/>
                <w:lang w:val="sr-Latn-ME"/>
              </w:rPr>
              <w:t>Poremećaji metabolizma i ishrane</w:t>
            </w:r>
          </w:p>
        </w:tc>
        <w:tc>
          <w:tcPr>
            <w:tcW w:w="3681" w:type="dxa"/>
            <w:gridSpan w:val="2"/>
            <w:tcBorders>
              <w:top w:val="single" w:sz="4" w:space="0" w:color="000000"/>
              <w:left w:val="nil"/>
              <w:bottom w:val="single" w:sz="4" w:space="0" w:color="000000"/>
              <w:right w:val="single" w:sz="4" w:space="0" w:color="000000"/>
            </w:tcBorders>
          </w:tcPr>
          <w:p w14:paraId="092220BD"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p>
        </w:tc>
      </w:tr>
      <w:tr w:rsidR="005731F0" w:rsidRPr="00220369" w14:paraId="15E85B1C" w14:textId="77777777" w:rsidTr="002F59D9">
        <w:trPr>
          <w:gridAfter w:val="1"/>
          <w:wAfter w:w="2354" w:type="dxa"/>
          <w:trHeight w:val="379"/>
        </w:trPr>
        <w:tc>
          <w:tcPr>
            <w:tcW w:w="1900" w:type="dxa"/>
            <w:tcBorders>
              <w:top w:val="single" w:sz="4" w:space="0" w:color="000000"/>
              <w:left w:val="single" w:sz="4" w:space="0" w:color="000000"/>
              <w:bottom w:val="single" w:sz="4" w:space="0" w:color="000000"/>
              <w:right w:val="single" w:sz="4" w:space="0" w:color="000000"/>
            </w:tcBorders>
            <w:hideMark/>
          </w:tcPr>
          <w:p w14:paraId="501CBDCC"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i/>
                <w:sz w:val="22"/>
                <w:szCs w:val="22"/>
                <w:lang w:val="sr-Latn-ME"/>
              </w:rPr>
              <w:t>Povremeno</w:t>
            </w:r>
          </w:p>
        </w:tc>
        <w:tc>
          <w:tcPr>
            <w:tcW w:w="2599" w:type="dxa"/>
            <w:tcBorders>
              <w:top w:val="single" w:sz="4" w:space="0" w:color="000000"/>
              <w:left w:val="single" w:sz="4" w:space="0" w:color="000000"/>
              <w:bottom w:val="single" w:sz="4" w:space="0" w:color="000000"/>
              <w:right w:val="single" w:sz="4" w:space="0" w:color="000000"/>
            </w:tcBorders>
            <w:hideMark/>
          </w:tcPr>
          <w:p w14:paraId="79AA11F3"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Povećan apetit</w:t>
            </w:r>
          </w:p>
        </w:tc>
        <w:tc>
          <w:tcPr>
            <w:tcW w:w="1622" w:type="dxa"/>
            <w:tcBorders>
              <w:top w:val="single" w:sz="4" w:space="0" w:color="000000"/>
              <w:left w:val="single" w:sz="4" w:space="0" w:color="000000"/>
              <w:bottom w:val="single" w:sz="4" w:space="0" w:color="000000"/>
              <w:right w:val="single" w:sz="4" w:space="0" w:color="000000"/>
            </w:tcBorders>
            <w:hideMark/>
          </w:tcPr>
          <w:p w14:paraId="0C7F8520"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10 (0,59%)</w:t>
            </w:r>
          </w:p>
        </w:tc>
        <w:tc>
          <w:tcPr>
            <w:tcW w:w="1800" w:type="dxa"/>
            <w:tcBorders>
              <w:top w:val="single" w:sz="4" w:space="0" w:color="000000"/>
              <w:left w:val="single" w:sz="4" w:space="0" w:color="000000"/>
              <w:bottom w:val="single" w:sz="4" w:space="0" w:color="000000"/>
              <w:right w:val="single" w:sz="4" w:space="0" w:color="000000"/>
            </w:tcBorders>
            <w:hideMark/>
          </w:tcPr>
          <w:p w14:paraId="1322DB31"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11 (0,44%)</w:t>
            </w:r>
          </w:p>
        </w:tc>
        <w:tc>
          <w:tcPr>
            <w:tcW w:w="1881" w:type="dxa"/>
            <w:tcBorders>
              <w:top w:val="single" w:sz="4" w:space="0" w:color="000000"/>
              <w:left w:val="single" w:sz="4" w:space="0" w:color="000000"/>
              <w:bottom w:val="single" w:sz="4" w:space="0" w:color="000000"/>
              <w:right w:val="single" w:sz="4" w:space="0" w:color="000000"/>
            </w:tcBorders>
          </w:tcPr>
          <w:p w14:paraId="3B3FB3FA"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7 (0.51%)</w:t>
            </w:r>
          </w:p>
        </w:tc>
      </w:tr>
      <w:tr w:rsidR="005731F0" w:rsidRPr="00220369" w14:paraId="0C34633B" w14:textId="77777777" w:rsidTr="002F59D9">
        <w:trPr>
          <w:gridAfter w:val="1"/>
          <w:wAfter w:w="2354" w:type="dxa"/>
          <w:trHeight w:val="384"/>
        </w:trPr>
        <w:tc>
          <w:tcPr>
            <w:tcW w:w="6121" w:type="dxa"/>
            <w:gridSpan w:val="3"/>
            <w:tcBorders>
              <w:top w:val="single" w:sz="4" w:space="0" w:color="000000"/>
              <w:left w:val="single" w:sz="4" w:space="0" w:color="000000"/>
              <w:bottom w:val="single" w:sz="4" w:space="0" w:color="000000"/>
              <w:right w:val="nil"/>
            </w:tcBorders>
            <w:hideMark/>
          </w:tcPr>
          <w:p w14:paraId="0DFBFA1F"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sz w:val="22"/>
                <w:szCs w:val="22"/>
                <w:lang w:val="sr-Latn-ME"/>
              </w:rPr>
              <w:t>Psihijatrijski poremećaji</w:t>
            </w:r>
          </w:p>
        </w:tc>
        <w:tc>
          <w:tcPr>
            <w:tcW w:w="3681" w:type="dxa"/>
            <w:gridSpan w:val="2"/>
            <w:tcBorders>
              <w:top w:val="single" w:sz="4" w:space="0" w:color="000000"/>
              <w:left w:val="nil"/>
              <w:bottom w:val="single" w:sz="4" w:space="0" w:color="000000"/>
              <w:right w:val="single" w:sz="4" w:space="0" w:color="000000"/>
            </w:tcBorders>
          </w:tcPr>
          <w:p w14:paraId="16B72C8A"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p>
        </w:tc>
      </w:tr>
      <w:tr w:rsidR="005731F0" w:rsidRPr="00220369" w14:paraId="6A24F7CE" w14:textId="77777777" w:rsidTr="002F59D9">
        <w:trPr>
          <w:gridAfter w:val="1"/>
          <w:wAfter w:w="2354" w:type="dxa"/>
          <w:trHeight w:val="384"/>
        </w:trPr>
        <w:tc>
          <w:tcPr>
            <w:tcW w:w="1900" w:type="dxa"/>
            <w:vMerge w:val="restart"/>
            <w:tcBorders>
              <w:top w:val="single" w:sz="4" w:space="0" w:color="000000"/>
              <w:left w:val="single" w:sz="4" w:space="0" w:color="000000"/>
              <w:bottom w:val="single" w:sz="4" w:space="0" w:color="000000"/>
              <w:right w:val="single" w:sz="4" w:space="0" w:color="000000"/>
            </w:tcBorders>
            <w:hideMark/>
          </w:tcPr>
          <w:p w14:paraId="50CF91A5"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i/>
                <w:sz w:val="22"/>
                <w:szCs w:val="22"/>
                <w:lang w:val="sr-Latn-ME"/>
              </w:rPr>
              <w:t>Povremeno</w:t>
            </w:r>
          </w:p>
        </w:tc>
        <w:tc>
          <w:tcPr>
            <w:tcW w:w="2599" w:type="dxa"/>
            <w:tcBorders>
              <w:top w:val="single" w:sz="4" w:space="0" w:color="000000"/>
              <w:left w:val="single" w:sz="4" w:space="0" w:color="000000"/>
              <w:bottom w:val="single" w:sz="4" w:space="0" w:color="000000"/>
              <w:right w:val="single" w:sz="4" w:space="0" w:color="000000"/>
            </w:tcBorders>
            <w:hideMark/>
          </w:tcPr>
          <w:p w14:paraId="46133E28"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Anksioznost</w:t>
            </w:r>
          </w:p>
        </w:tc>
        <w:tc>
          <w:tcPr>
            <w:tcW w:w="1622" w:type="dxa"/>
            <w:tcBorders>
              <w:top w:val="single" w:sz="4" w:space="0" w:color="000000"/>
              <w:left w:val="single" w:sz="4" w:space="0" w:color="000000"/>
              <w:bottom w:val="single" w:sz="4" w:space="0" w:color="000000"/>
              <w:right w:val="single" w:sz="4" w:space="0" w:color="000000"/>
            </w:tcBorders>
            <w:hideMark/>
          </w:tcPr>
          <w:p w14:paraId="6B446EDA"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6 (0,35%)</w:t>
            </w:r>
          </w:p>
        </w:tc>
        <w:tc>
          <w:tcPr>
            <w:tcW w:w="1800" w:type="dxa"/>
            <w:tcBorders>
              <w:top w:val="single" w:sz="4" w:space="0" w:color="000000"/>
              <w:left w:val="single" w:sz="4" w:space="0" w:color="000000"/>
              <w:bottom w:val="single" w:sz="4" w:space="0" w:color="000000"/>
              <w:right w:val="single" w:sz="4" w:space="0" w:color="000000"/>
            </w:tcBorders>
            <w:hideMark/>
          </w:tcPr>
          <w:p w14:paraId="3B5D97BC"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8 (0,32%)</w:t>
            </w:r>
          </w:p>
        </w:tc>
        <w:tc>
          <w:tcPr>
            <w:tcW w:w="1881" w:type="dxa"/>
            <w:tcBorders>
              <w:top w:val="single" w:sz="4" w:space="0" w:color="000000"/>
              <w:left w:val="single" w:sz="4" w:space="0" w:color="000000"/>
              <w:bottom w:val="single" w:sz="4" w:space="0" w:color="000000"/>
              <w:right w:val="single" w:sz="4" w:space="0" w:color="000000"/>
            </w:tcBorders>
          </w:tcPr>
          <w:p w14:paraId="1092C890"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0 (0.0%)</w:t>
            </w:r>
          </w:p>
        </w:tc>
      </w:tr>
      <w:tr w:rsidR="005731F0" w:rsidRPr="00220369" w14:paraId="09E0E381" w14:textId="77777777" w:rsidTr="002F59D9">
        <w:trPr>
          <w:gridAfter w:val="1"/>
          <w:wAfter w:w="2354" w:type="dxa"/>
          <w:trHeight w:val="3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37C38"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630136C6"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Nesanica</w:t>
            </w:r>
          </w:p>
        </w:tc>
        <w:tc>
          <w:tcPr>
            <w:tcW w:w="1622" w:type="dxa"/>
            <w:tcBorders>
              <w:top w:val="single" w:sz="4" w:space="0" w:color="000000"/>
              <w:left w:val="single" w:sz="4" w:space="0" w:color="000000"/>
              <w:bottom w:val="single" w:sz="4" w:space="0" w:color="000000"/>
              <w:right w:val="single" w:sz="4" w:space="0" w:color="000000"/>
            </w:tcBorders>
            <w:hideMark/>
          </w:tcPr>
          <w:p w14:paraId="409F403E"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 (0,12%)</w:t>
            </w:r>
          </w:p>
        </w:tc>
        <w:tc>
          <w:tcPr>
            <w:tcW w:w="1800" w:type="dxa"/>
            <w:tcBorders>
              <w:top w:val="single" w:sz="4" w:space="0" w:color="000000"/>
              <w:left w:val="single" w:sz="4" w:space="0" w:color="000000"/>
              <w:bottom w:val="single" w:sz="4" w:space="0" w:color="000000"/>
              <w:right w:val="single" w:sz="4" w:space="0" w:color="000000"/>
            </w:tcBorders>
            <w:hideMark/>
          </w:tcPr>
          <w:p w14:paraId="38705D18"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4 (0,16%)</w:t>
            </w:r>
          </w:p>
        </w:tc>
        <w:tc>
          <w:tcPr>
            <w:tcW w:w="1881" w:type="dxa"/>
            <w:tcBorders>
              <w:top w:val="single" w:sz="4" w:space="0" w:color="000000"/>
              <w:left w:val="single" w:sz="4" w:space="0" w:color="000000"/>
              <w:bottom w:val="single" w:sz="4" w:space="0" w:color="000000"/>
              <w:right w:val="single" w:sz="4" w:space="0" w:color="000000"/>
            </w:tcBorders>
          </w:tcPr>
          <w:p w14:paraId="49B04200"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0 (0.0%)</w:t>
            </w:r>
          </w:p>
        </w:tc>
      </w:tr>
      <w:tr w:rsidR="005731F0" w:rsidRPr="00220369" w14:paraId="0C93D12E" w14:textId="77777777" w:rsidTr="002F59D9">
        <w:trPr>
          <w:gridAfter w:val="1"/>
          <w:wAfter w:w="2354" w:type="dxa"/>
          <w:trHeight w:val="384"/>
        </w:trPr>
        <w:tc>
          <w:tcPr>
            <w:tcW w:w="6121" w:type="dxa"/>
            <w:gridSpan w:val="3"/>
            <w:tcBorders>
              <w:top w:val="single" w:sz="4" w:space="0" w:color="000000"/>
              <w:left w:val="single" w:sz="4" w:space="0" w:color="000000"/>
              <w:bottom w:val="single" w:sz="4" w:space="0" w:color="000000"/>
              <w:right w:val="nil"/>
            </w:tcBorders>
            <w:hideMark/>
          </w:tcPr>
          <w:p w14:paraId="138475C0"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sz w:val="22"/>
                <w:szCs w:val="22"/>
                <w:lang w:val="sr-Latn-ME"/>
              </w:rPr>
              <w:t>Poremećaji nervnog sistema</w:t>
            </w:r>
          </w:p>
        </w:tc>
        <w:tc>
          <w:tcPr>
            <w:tcW w:w="3681" w:type="dxa"/>
            <w:gridSpan w:val="2"/>
            <w:tcBorders>
              <w:top w:val="single" w:sz="4" w:space="0" w:color="000000"/>
              <w:left w:val="nil"/>
              <w:bottom w:val="single" w:sz="4" w:space="0" w:color="000000"/>
              <w:right w:val="single" w:sz="4" w:space="0" w:color="000000"/>
            </w:tcBorders>
          </w:tcPr>
          <w:p w14:paraId="5BA60ED4"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p>
        </w:tc>
      </w:tr>
      <w:tr w:rsidR="005731F0" w:rsidRPr="00220369" w14:paraId="1F9C5C05" w14:textId="77777777" w:rsidTr="002F59D9">
        <w:trPr>
          <w:gridAfter w:val="1"/>
          <w:wAfter w:w="2354" w:type="dxa"/>
          <w:trHeight w:val="379"/>
        </w:trPr>
        <w:tc>
          <w:tcPr>
            <w:tcW w:w="1900" w:type="dxa"/>
            <w:vMerge w:val="restart"/>
            <w:tcBorders>
              <w:top w:val="single" w:sz="4" w:space="0" w:color="000000"/>
              <w:left w:val="single" w:sz="4" w:space="0" w:color="000000"/>
              <w:bottom w:val="single" w:sz="4" w:space="0" w:color="000000"/>
              <w:right w:val="single" w:sz="4" w:space="0" w:color="000000"/>
            </w:tcBorders>
            <w:vAlign w:val="center"/>
            <w:hideMark/>
          </w:tcPr>
          <w:p w14:paraId="1DCC9659"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i/>
                <w:sz w:val="22"/>
                <w:szCs w:val="22"/>
                <w:lang w:val="sr-Latn-ME"/>
              </w:rPr>
              <w:t>Često</w:t>
            </w:r>
          </w:p>
        </w:tc>
        <w:tc>
          <w:tcPr>
            <w:tcW w:w="2599" w:type="dxa"/>
            <w:tcBorders>
              <w:top w:val="single" w:sz="4" w:space="0" w:color="000000"/>
              <w:left w:val="single" w:sz="4" w:space="0" w:color="000000"/>
              <w:bottom w:val="single" w:sz="4" w:space="0" w:color="000000"/>
              <w:right w:val="single" w:sz="4" w:space="0" w:color="000000"/>
            </w:tcBorders>
            <w:hideMark/>
          </w:tcPr>
          <w:p w14:paraId="4CB0967E"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Somnolencija</w:t>
            </w:r>
          </w:p>
        </w:tc>
        <w:tc>
          <w:tcPr>
            <w:tcW w:w="1622" w:type="dxa"/>
            <w:tcBorders>
              <w:top w:val="single" w:sz="4" w:space="0" w:color="000000"/>
              <w:left w:val="single" w:sz="4" w:space="0" w:color="000000"/>
              <w:bottom w:val="single" w:sz="4" w:space="0" w:color="000000"/>
              <w:right w:val="single" w:sz="4" w:space="0" w:color="000000"/>
            </w:tcBorders>
            <w:hideMark/>
          </w:tcPr>
          <w:p w14:paraId="2D8A4886"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52 (3,06%)</w:t>
            </w:r>
          </w:p>
        </w:tc>
        <w:tc>
          <w:tcPr>
            <w:tcW w:w="1800" w:type="dxa"/>
            <w:tcBorders>
              <w:top w:val="single" w:sz="4" w:space="0" w:color="000000"/>
              <w:left w:val="single" w:sz="4" w:space="0" w:color="000000"/>
              <w:bottom w:val="single" w:sz="4" w:space="0" w:color="000000"/>
              <w:right w:val="single" w:sz="4" w:space="0" w:color="000000"/>
            </w:tcBorders>
            <w:hideMark/>
          </w:tcPr>
          <w:p w14:paraId="2D0D13F9"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82 (3,25%)</w:t>
            </w:r>
          </w:p>
        </w:tc>
        <w:tc>
          <w:tcPr>
            <w:tcW w:w="1881" w:type="dxa"/>
            <w:tcBorders>
              <w:top w:val="single" w:sz="4" w:space="0" w:color="000000"/>
              <w:left w:val="single" w:sz="4" w:space="0" w:color="000000"/>
              <w:bottom w:val="single" w:sz="4" w:space="0" w:color="000000"/>
              <w:right w:val="single" w:sz="4" w:space="0" w:color="000000"/>
            </w:tcBorders>
          </w:tcPr>
          <w:p w14:paraId="69C40262"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39 (2.86%)</w:t>
            </w:r>
          </w:p>
        </w:tc>
      </w:tr>
      <w:tr w:rsidR="005731F0" w:rsidRPr="00220369" w14:paraId="012CA0F2" w14:textId="77777777" w:rsidTr="002F59D9">
        <w:trPr>
          <w:gridAfter w:val="1"/>
          <w:wAfter w:w="2354" w:type="dxa"/>
          <w:trHeight w:val="3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82ED4E"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55D699BC"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Glavobolja</w:t>
            </w:r>
          </w:p>
        </w:tc>
        <w:tc>
          <w:tcPr>
            <w:tcW w:w="1622" w:type="dxa"/>
            <w:tcBorders>
              <w:top w:val="single" w:sz="4" w:space="0" w:color="000000"/>
              <w:left w:val="single" w:sz="4" w:space="0" w:color="000000"/>
              <w:bottom w:val="single" w:sz="4" w:space="0" w:color="000000"/>
              <w:right w:val="single" w:sz="4" w:space="0" w:color="000000"/>
            </w:tcBorders>
            <w:hideMark/>
          </w:tcPr>
          <w:p w14:paraId="24D49751"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68 (4,01%)</w:t>
            </w:r>
          </w:p>
        </w:tc>
        <w:tc>
          <w:tcPr>
            <w:tcW w:w="1800" w:type="dxa"/>
            <w:tcBorders>
              <w:top w:val="single" w:sz="4" w:space="0" w:color="000000"/>
              <w:left w:val="single" w:sz="4" w:space="0" w:color="000000"/>
              <w:bottom w:val="single" w:sz="4" w:space="0" w:color="000000"/>
              <w:right w:val="single" w:sz="4" w:space="0" w:color="000000"/>
            </w:tcBorders>
            <w:hideMark/>
          </w:tcPr>
          <w:p w14:paraId="0ABDC5FC"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90 (3,56%)</w:t>
            </w:r>
          </w:p>
        </w:tc>
        <w:tc>
          <w:tcPr>
            <w:tcW w:w="1881" w:type="dxa"/>
            <w:tcBorders>
              <w:top w:val="single" w:sz="4" w:space="0" w:color="000000"/>
              <w:left w:val="single" w:sz="4" w:space="0" w:color="000000"/>
              <w:bottom w:val="single" w:sz="4" w:space="0" w:color="000000"/>
              <w:right w:val="single" w:sz="4" w:space="0" w:color="000000"/>
            </w:tcBorders>
          </w:tcPr>
          <w:p w14:paraId="2D6119EF"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46 (3.38%)</w:t>
            </w:r>
          </w:p>
        </w:tc>
      </w:tr>
      <w:tr w:rsidR="005731F0" w:rsidRPr="00220369" w14:paraId="4CFD73CB" w14:textId="77777777" w:rsidTr="002F59D9">
        <w:trPr>
          <w:gridAfter w:val="1"/>
          <w:wAfter w:w="2354" w:type="dxa"/>
          <w:trHeight w:val="384"/>
        </w:trPr>
        <w:tc>
          <w:tcPr>
            <w:tcW w:w="1900" w:type="dxa"/>
            <w:tcBorders>
              <w:top w:val="single" w:sz="4" w:space="0" w:color="000000"/>
              <w:left w:val="single" w:sz="4" w:space="0" w:color="000000"/>
              <w:bottom w:val="single" w:sz="4" w:space="0" w:color="000000"/>
              <w:right w:val="single" w:sz="4" w:space="0" w:color="000000"/>
            </w:tcBorders>
            <w:hideMark/>
          </w:tcPr>
          <w:p w14:paraId="28272374"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i/>
                <w:sz w:val="22"/>
                <w:szCs w:val="22"/>
                <w:lang w:val="sr-Latn-ME"/>
              </w:rPr>
              <w:t>Povremeno</w:t>
            </w:r>
          </w:p>
        </w:tc>
        <w:tc>
          <w:tcPr>
            <w:tcW w:w="2599" w:type="dxa"/>
            <w:tcBorders>
              <w:top w:val="single" w:sz="4" w:space="0" w:color="000000"/>
              <w:left w:val="single" w:sz="4" w:space="0" w:color="000000"/>
              <w:bottom w:val="single" w:sz="4" w:space="0" w:color="000000"/>
              <w:right w:val="single" w:sz="4" w:space="0" w:color="000000"/>
            </w:tcBorders>
            <w:hideMark/>
          </w:tcPr>
          <w:p w14:paraId="0087F42F"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Vrtoglavica</w:t>
            </w:r>
          </w:p>
        </w:tc>
        <w:tc>
          <w:tcPr>
            <w:tcW w:w="1622" w:type="dxa"/>
            <w:tcBorders>
              <w:top w:val="single" w:sz="4" w:space="0" w:color="000000"/>
              <w:left w:val="single" w:sz="4" w:space="0" w:color="000000"/>
              <w:bottom w:val="single" w:sz="4" w:space="0" w:color="000000"/>
              <w:right w:val="single" w:sz="4" w:space="0" w:color="000000"/>
            </w:tcBorders>
            <w:hideMark/>
          </w:tcPr>
          <w:p w14:paraId="7AAF6249"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14 (0,83%)</w:t>
            </w:r>
          </w:p>
        </w:tc>
        <w:tc>
          <w:tcPr>
            <w:tcW w:w="1800" w:type="dxa"/>
            <w:tcBorders>
              <w:top w:val="single" w:sz="4" w:space="0" w:color="000000"/>
              <w:left w:val="single" w:sz="4" w:space="0" w:color="000000"/>
              <w:bottom w:val="single" w:sz="4" w:space="0" w:color="000000"/>
              <w:right w:val="single" w:sz="4" w:space="0" w:color="000000"/>
            </w:tcBorders>
            <w:hideMark/>
          </w:tcPr>
          <w:p w14:paraId="355A7D59"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23 (0,91%)</w:t>
            </w:r>
          </w:p>
        </w:tc>
        <w:tc>
          <w:tcPr>
            <w:tcW w:w="1881" w:type="dxa"/>
            <w:tcBorders>
              <w:top w:val="single" w:sz="4" w:space="0" w:color="000000"/>
              <w:left w:val="single" w:sz="4" w:space="0" w:color="000000"/>
              <w:bottom w:val="single" w:sz="4" w:space="0" w:color="000000"/>
              <w:right w:val="single" w:sz="4" w:space="0" w:color="000000"/>
            </w:tcBorders>
          </w:tcPr>
          <w:p w14:paraId="6B879F76"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8 (0.59%)</w:t>
            </w:r>
          </w:p>
        </w:tc>
      </w:tr>
      <w:tr w:rsidR="005731F0" w:rsidRPr="00220369" w14:paraId="5D7C8E65" w14:textId="77777777" w:rsidTr="002F59D9">
        <w:trPr>
          <w:gridAfter w:val="1"/>
          <w:wAfter w:w="2354" w:type="dxa"/>
          <w:trHeight w:val="384"/>
        </w:trPr>
        <w:tc>
          <w:tcPr>
            <w:tcW w:w="6121" w:type="dxa"/>
            <w:gridSpan w:val="3"/>
            <w:tcBorders>
              <w:top w:val="single" w:sz="4" w:space="0" w:color="000000"/>
              <w:left w:val="single" w:sz="4" w:space="0" w:color="000000"/>
              <w:bottom w:val="single" w:sz="4" w:space="0" w:color="000000"/>
              <w:right w:val="nil"/>
            </w:tcBorders>
            <w:hideMark/>
          </w:tcPr>
          <w:p w14:paraId="32500B63"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sz w:val="22"/>
                <w:szCs w:val="22"/>
                <w:lang w:val="sr-Latn-ME"/>
              </w:rPr>
              <w:t>Poremećaji uha i labirinta</w:t>
            </w:r>
          </w:p>
        </w:tc>
        <w:tc>
          <w:tcPr>
            <w:tcW w:w="3681" w:type="dxa"/>
            <w:gridSpan w:val="2"/>
            <w:tcBorders>
              <w:top w:val="single" w:sz="4" w:space="0" w:color="000000"/>
              <w:left w:val="nil"/>
              <w:bottom w:val="single" w:sz="4" w:space="0" w:color="000000"/>
              <w:right w:val="single" w:sz="4" w:space="0" w:color="000000"/>
            </w:tcBorders>
          </w:tcPr>
          <w:p w14:paraId="43D1AA3C"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p>
        </w:tc>
      </w:tr>
      <w:tr w:rsidR="005731F0" w:rsidRPr="00220369" w14:paraId="7DE5B5C6" w14:textId="77777777" w:rsidTr="002F59D9">
        <w:trPr>
          <w:gridAfter w:val="1"/>
          <w:wAfter w:w="2354" w:type="dxa"/>
          <w:trHeight w:val="382"/>
        </w:trPr>
        <w:tc>
          <w:tcPr>
            <w:tcW w:w="1900" w:type="dxa"/>
            <w:vMerge w:val="restart"/>
            <w:tcBorders>
              <w:top w:val="single" w:sz="4" w:space="0" w:color="000000"/>
              <w:left w:val="single" w:sz="4" w:space="0" w:color="000000"/>
              <w:bottom w:val="single" w:sz="4" w:space="0" w:color="000000"/>
              <w:right w:val="single" w:sz="4" w:space="0" w:color="000000"/>
            </w:tcBorders>
            <w:hideMark/>
          </w:tcPr>
          <w:p w14:paraId="0E6FA74A"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i/>
                <w:sz w:val="22"/>
                <w:szCs w:val="22"/>
                <w:lang w:val="sr-Latn-ME"/>
              </w:rPr>
              <w:t>Povremeno</w:t>
            </w:r>
          </w:p>
        </w:tc>
        <w:tc>
          <w:tcPr>
            <w:tcW w:w="2599" w:type="dxa"/>
            <w:tcBorders>
              <w:top w:val="single" w:sz="4" w:space="0" w:color="000000"/>
              <w:left w:val="single" w:sz="4" w:space="0" w:color="000000"/>
              <w:bottom w:val="single" w:sz="4" w:space="0" w:color="auto"/>
              <w:right w:val="single" w:sz="4" w:space="0" w:color="000000"/>
            </w:tcBorders>
            <w:hideMark/>
          </w:tcPr>
          <w:p w14:paraId="6C717941"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Tinitus</w:t>
            </w:r>
          </w:p>
        </w:tc>
        <w:tc>
          <w:tcPr>
            <w:tcW w:w="1622" w:type="dxa"/>
            <w:tcBorders>
              <w:top w:val="single" w:sz="4" w:space="0" w:color="000000"/>
              <w:left w:val="single" w:sz="4" w:space="0" w:color="000000"/>
              <w:bottom w:val="single" w:sz="4" w:space="0" w:color="auto"/>
              <w:right w:val="single" w:sz="4" w:space="0" w:color="000000"/>
            </w:tcBorders>
            <w:hideMark/>
          </w:tcPr>
          <w:p w14:paraId="5845955E"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 (0,12%)</w:t>
            </w:r>
          </w:p>
        </w:tc>
        <w:tc>
          <w:tcPr>
            <w:tcW w:w="1800" w:type="dxa"/>
            <w:tcBorders>
              <w:top w:val="single" w:sz="4" w:space="0" w:color="000000"/>
              <w:left w:val="single" w:sz="4" w:space="0" w:color="000000"/>
              <w:bottom w:val="single" w:sz="4" w:space="0" w:color="auto"/>
              <w:right w:val="single" w:sz="4" w:space="0" w:color="000000"/>
            </w:tcBorders>
            <w:hideMark/>
          </w:tcPr>
          <w:p w14:paraId="00802094"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 (0,08%)</w:t>
            </w:r>
          </w:p>
        </w:tc>
        <w:tc>
          <w:tcPr>
            <w:tcW w:w="1881" w:type="dxa"/>
            <w:tcBorders>
              <w:top w:val="single" w:sz="4" w:space="0" w:color="000000"/>
              <w:left w:val="single" w:sz="4" w:space="0" w:color="000000"/>
              <w:bottom w:val="single" w:sz="4" w:space="0" w:color="auto"/>
              <w:right w:val="single" w:sz="4" w:space="0" w:color="000000"/>
            </w:tcBorders>
          </w:tcPr>
          <w:p w14:paraId="4E6E70AF"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0 (0.0%)</w:t>
            </w:r>
          </w:p>
        </w:tc>
      </w:tr>
      <w:tr w:rsidR="005731F0" w:rsidRPr="00220369" w14:paraId="7265C5BE" w14:textId="77777777" w:rsidTr="002F59D9">
        <w:trPr>
          <w:gridAfter w:val="1"/>
          <w:wAfter w:w="2354" w:type="dxa"/>
          <w:trHeight w:val="3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7B6E2E"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2" w:space="0" w:color="FFFFFF"/>
              <w:left w:val="single" w:sz="4" w:space="0" w:color="000000"/>
              <w:bottom w:val="single" w:sz="4" w:space="0" w:color="000000"/>
              <w:right w:val="single" w:sz="4" w:space="0" w:color="000000"/>
            </w:tcBorders>
            <w:hideMark/>
          </w:tcPr>
          <w:p w14:paraId="4A3EC14A"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Vertigo</w:t>
            </w:r>
          </w:p>
        </w:tc>
        <w:tc>
          <w:tcPr>
            <w:tcW w:w="1622" w:type="dxa"/>
            <w:tcBorders>
              <w:top w:val="single" w:sz="2" w:space="0" w:color="FFFFFF"/>
              <w:left w:val="single" w:sz="4" w:space="0" w:color="000000"/>
              <w:bottom w:val="single" w:sz="4" w:space="0" w:color="000000"/>
              <w:right w:val="single" w:sz="4" w:space="0" w:color="000000"/>
            </w:tcBorders>
            <w:hideMark/>
          </w:tcPr>
          <w:p w14:paraId="648A00FB"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3 (0,18%)</w:t>
            </w:r>
          </w:p>
        </w:tc>
        <w:tc>
          <w:tcPr>
            <w:tcW w:w="1800" w:type="dxa"/>
            <w:tcBorders>
              <w:top w:val="single" w:sz="2" w:space="0" w:color="FFFFFF"/>
              <w:left w:val="single" w:sz="4" w:space="0" w:color="000000"/>
              <w:bottom w:val="single" w:sz="4" w:space="0" w:color="000000"/>
              <w:right w:val="single" w:sz="4" w:space="0" w:color="000000"/>
            </w:tcBorders>
            <w:hideMark/>
          </w:tcPr>
          <w:p w14:paraId="1D5499DE"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3 (0,12%)</w:t>
            </w:r>
          </w:p>
        </w:tc>
        <w:tc>
          <w:tcPr>
            <w:tcW w:w="1881" w:type="dxa"/>
            <w:tcBorders>
              <w:top w:val="single" w:sz="2" w:space="0" w:color="FFFFFF"/>
              <w:left w:val="single" w:sz="4" w:space="0" w:color="000000"/>
              <w:bottom w:val="single" w:sz="4" w:space="0" w:color="000000"/>
              <w:right w:val="single" w:sz="4" w:space="0" w:color="000000"/>
            </w:tcBorders>
          </w:tcPr>
          <w:p w14:paraId="519F96B7"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0 (0.0%)</w:t>
            </w:r>
          </w:p>
        </w:tc>
      </w:tr>
      <w:tr w:rsidR="005731F0" w:rsidRPr="00220369" w14:paraId="79CCF4EC" w14:textId="77777777" w:rsidTr="002F59D9">
        <w:trPr>
          <w:gridAfter w:val="1"/>
          <w:wAfter w:w="2354" w:type="dxa"/>
          <w:trHeight w:val="384"/>
        </w:trPr>
        <w:tc>
          <w:tcPr>
            <w:tcW w:w="6121" w:type="dxa"/>
            <w:gridSpan w:val="3"/>
            <w:tcBorders>
              <w:top w:val="single" w:sz="4" w:space="0" w:color="000000"/>
              <w:left w:val="single" w:sz="4" w:space="0" w:color="000000"/>
              <w:bottom w:val="single" w:sz="4" w:space="0" w:color="000000"/>
              <w:right w:val="nil"/>
            </w:tcBorders>
            <w:hideMark/>
          </w:tcPr>
          <w:p w14:paraId="455FED01"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sz w:val="22"/>
                <w:szCs w:val="22"/>
                <w:lang w:val="sr-Latn-ME"/>
              </w:rPr>
              <w:lastRenderedPageBreak/>
              <w:t>Kardiološki poremećaji</w:t>
            </w:r>
          </w:p>
        </w:tc>
        <w:tc>
          <w:tcPr>
            <w:tcW w:w="3681" w:type="dxa"/>
            <w:gridSpan w:val="2"/>
            <w:tcBorders>
              <w:top w:val="single" w:sz="4" w:space="0" w:color="000000"/>
              <w:left w:val="nil"/>
              <w:bottom w:val="single" w:sz="4" w:space="0" w:color="000000"/>
              <w:right w:val="single" w:sz="4" w:space="0" w:color="000000"/>
            </w:tcBorders>
          </w:tcPr>
          <w:p w14:paraId="0C141742"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p>
        </w:tc>
      </w:tr>
      <w:tr w:rsidR="005731F0" w:rsidRPr="00220369" w14:paraId="6066920A" w14:textId="77777777" w:rsidTr="002F59D9">
        <w:trPr>
          <w:gridAfter w:val="1"/>
          <w:wAfter w:w="2354" w:type="dxa"/>
          <w:trHeight w:val="384"/>
        </w:trPr>
        <w:tc>
          <w:tcPr>
            <w:tcW w:w="1900" w:type="dxa"/>
            <w:vMerge w:val="restart"/>
            <w:tcBorders>
              <w:top w:val="single" w:sz="4" w:space="0" w:color="000000"/>
              <w:left w:val="single" w:sz="4" w:space="0" w:color="000000"/>
              <w:bottom w:val="single" w:sz="4" w:space="0" w:color="000000"/>
              <w:right w:val="single" w:sz="4" w:space="0" w:color="000000"/>
            </w:tcBorders>
            <w:hideMark/>
          </w:tcPr>
          <w:p w14:paraId="46DCF98B"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i/>
                <w:sz w:val="22"/>
                <w:szCs w:val="22"/>
                <w:lang w:val="sr-Latn-ME"/>
              </w:rPr>
              <w:t>Povremeno</w:t>
            </w:r>
          </w:p>
        </w:tc>
        <w:tc>
          <w:tcPr>
            <w:tcW w:w="2599" w:type="dxa"/>
            <w:tcBorders>
              <w:top w:val="single" w:sz="4" w:space="0" w:color="000000"/>
              <w:left w:val="single" w:sz="4" w:space="0" w:color="000000"/>
              <w:bottom w:val="single" w:sz="4" w:space="0" w:color="000000"/>
              <w:right w:val="single" w:sz="4" w:space="0" w:color="000000"/>
            </w:tcBorders>
            <w:hideMark/>
          </w:tcPr>
          <w:p w14:paraId="265E346C"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Blok desne grane</w:t>
            </w:r>
          </w:p>
        </w:tc>
        <w:tc>
          <w:tcPr>
            <w:tcW w:w="1622" w:type="dxa"/>
            <w:tcBorders>
              <w:top w:val="single" w:sz="4" w:space="0" w:color="000000"/>
              <w:left w:val="single" w:sz="4" w:space="0" w:color="000000"/>
              <w:bottom w:val="single" w:sz="4" w:space="0" w:color="000000"/>
              <w:right w:val="single" w:sz="4" w:space="0" w:color="000000"/>
            </w:tcBorders>
            <w:hideMark/>
          </w:tcPr>
          <w:p w14:paraId="070DCE6E"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4 (0,24%)</w:t>
            </w:r>
          </w:p>
        </w:tc>
        <w:tc>
          <w:tcPr>
            <w:tcW w:w="1800" w:type="dxa"/>
            <w:tcBorders>
              <w:top w:val="single" w:sz="4" w:space="0" w:color="000000"/>
              <w:left w:val="single" w:sz="4" w:space="0" w:color="000000"/>
              <w:bottom w:val="single" w:sz="4" w:space="0" w:color="000000"/>
              <w:right w:val="single" w:sz="4" w:space="0" w:color="000000"/>
            </w:tcBorders>
            <w:hideMark/>
          </w:tcPr>
          <w:p w14:paraId="37B51878"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5 (0,20%)</w:t>
            </w:r>
          </w:p>
        </w:tc>
        <w:tc>
          <w:tcPr>
            <w:tcW w:w="1881" w:type="dxa"/>
            <w:tcBorders>
              <w:top w:val="single" w:sz="4" w:space="0" w:color="000000"/>
              <w:left w:val="single" w:sz="4" w:space="0" w:color="000000"/>
              <w:bottom w:val="single" w:sz="4" w:space="0" w:color="000000"/>
              <w:right w:val="single" w:sz="4" w:space="0" w:color="000000"/>
            </w:tcBorders>
          </w:tcPr>
          <w:p w14:paraId="39788A83"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3 (0.22%)</w:t>
            </w:r>
          </w:p>
        </w:tc>
      </w:tr>
      <w:tr w:rsidR="005731F0" w:rsidRPr="00220369" w14:paraId="5395B082" w14:textId="77777777" w:rsidTr="002F59D9">
        <w:trPr>
          <w:gridAfter w:val="1"/>
          <w:wAfter w:w="2354" w:type="dxa"/>
          <w:trHeight w:val="3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FD6A4A"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69E37EDC"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Sinusna aritmija</w:t>
            </w:r>
          </w:p>
        </w:tc>
        <w:tc>
          <w:tcPr>
            <w:tcW w:w="1622" w:type="dxa"/>
            <w:tcBorders>
              <w:top w:val="single" w:sz="4" w:space="0" w:color="000000"/>
              <w:left w:val="single" w:sz="4" w:space="0" w:color="000000"/>
              <w:bottom w:val="single" w:sz="4" w:space="0" w:color="000000"/>
              <w:right w:val="single" w:sz="4" w:space="0" w:color="000000"/>
            </w:tcBorders>
            <w:hideMark/>
          </w:tcPr>
          <w:p w14:paraId="57869FED"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5 (0,30%)</w:t>
            </w:r>
          </w:p>
        </w:tc>
        <w:tc>
          <w:tcPr>
            <w:tcW w:w="1800" w:type="dxa"/>
            <w:tcBorders>
              <w:top w:val="single" w:sz="4" w:space="0" w:color="000000"/>
              <w:left w:val="single" w:sz="4" w:space="0" w:color="000000"/>
              <w:bottom w:val="single" w:sz="4" w:space="0" w:color="000000"/>
              <w:right w:val="single" w:sz="4" w:space="0" w:color="000000"/>
            </w:tcBorders>
            <w:hideMark/>
          </w:tcPr>
          <w:p w14:paraId="62B2376A"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5 (0,20%)</w:t>
            </w:r>
          </w:p>
        </w:tc>
        <w:tc>
          <w:tcPr>
            <w:tcW w:w="1881" w:type="dxa"/>
            <w:tcBorders>
              <w:top w:val="single" w:sz="4" w:space="0" w:color="000000"/>
              <w:left w:val="single" w:sz="4" w:space="0" w:color="000000"/>
              <w:bottom w:val="single" w:sz="4" w:space="0" w:color="000000"/>
              <w:right w:val="single" w:sz="4" w:space="0" w:color="000000"/>
            </w:tcBorders>
          </w:tcPr>
          <w:p w14:paraId="6A04C20F"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1 (0.07%)</w:t>
            </w:r>
          </w:p>
        </w:tc>
      </w:tr>
      <w:tr w:rsidR="005731F0" w:rsidRPr="00220369" w14:paraId="5C2946B6" w14:textId="77777777" w:rsidTr="002F59D9">
        <w:trPr>
          <w:gridAfter w:val="1"/>
          <w:wAfter w:w="2354" w:type="dxa"/>
          <w:trHeight w:val="6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A15D1E"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397E2556"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Prolongiranje QT intervala</w:t>
            </w:r>
          </w:p>
        </w:tc>
        <w:tc>
          <w:tcPr>
            <w:tcW w:w="1622" w:type="dxa"/>
            <w:tcBorders>
              <w:top w:val="single" w:sz="4" w:space="0" w:color="000000"/>
              <w:left w:val="single" w:sz="4" w:space="0" w:color="000000"/>
              <w:bottom w:val="single" w:sz="4" w:space="0" w:color="000000"/>
              <w:right w:val="single" w:sz="4" w:space="0" w:color="000000"/>
            </w:tcBorders>
            <w:vAlign w:val="center"/>
            <w:hideMark/>
          </w:tcPr>
          <w:p w14:paraId="376B1B20"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9 (0,53%)</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2FC6E06"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10 (0,40%)</w:t>
            </w:r>
          </w:p>
        </w:tc>
        <w:tc>
          <w:tcPr>
            <w:tcW w:w="1881" w:type="dxa"/>
            <w:tcBorders>
              <w:top w:val="single" w:sz="4" w:space="0" w:color="000000"/>
              <w:left w:val="single" w:sz="4" w:space="0" w:color="000000"/>
              <w:bottom w:val="single" w:sz="4" w:space="0" w:color="000000"/>
              <w:right w:val="single" w:sz="4" w:space="0" w:color="000000"/>
            </w:tcBorders>
          </w:tcPr>
          <w:p w14:paraId="49159606"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5 (0.37%)</w:t>
            </w:r>
          </w:p>
        </w:tc>
      </w:tr>
      <w:tr w:rsidR="005731F0" w:rsidRPr="00220369" w14:paraId="283E38A7" w14:textId="77777777" w:rsidTr="002F59D9">
        <w:trPr>
          <w:gridAfter w:val="1"/>
          <w:wAfter w:w="2354" w:type="dxa"/>
          <w:trHeight w:val="3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8A887D"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7BA2EB1D"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Ostali poremećaji EKG-a</w:t>
            </w:r>
          </w:p>
        </w:tc>
        <w:tc>
          <w:tcPr>
            <w:tcW w:w="1622" w:type="dxa"/>
            <w:tcBorders>
              <w:top w:val="single" w:sz="4" w:space="0" w:color="000000"/>
              <w:left w:val="single" w:sz="4" w:space="0" w:color="000000"/>
              <w:bottom w:val="single" w:sz="4" w:space="0" w:color="000000"/>
              <w:right w:val="single" w:sz="4" w:space="0" w:color="000000"/>
            </w:tcBorders>
            <w:hideMark/>
          </w:tcPr>
          <w:p w14:paraId="3422B138"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7 (0,41%)</w:t>
            </w:r>
          </w:p>
        </w:tc>
        <w:tc>
          <w:tcPr>
            <w:tcW w:w="1800" w:type="dxa"/>
            <w:tcBorders>
              <w:top w:val="single" w:sz="4" w:space="0" w:color="000000"/>
              <w:left w:val="single" w:sz="4" w:space="0" w:color="000000"/>
              <w:bottom w:val="single" w:sz="4" w:space="0" w:color="000000"/>
              <w:right w:val="single" w:sz="4" w:space="0" w:color="000000"/>
            </w:tcBorders>
            <w:hideMark/>
          </w:tcPr>
          <w:p w14:paraId="31F58A96"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11 (0,44%)</w:t>
            </w:r>
          </w:p>
        </w:tc>
        <w:tc>
          <w:tcPr>
            <w:tcW w:w="1881" w:type="dxa"/>
            <w:tcBorders>
              <w:top w:val="single" w:sz="4" w:space="0" w:color="000000"/>
              <w:left w:val="single" w:sz="4" w:space="0" w:color="000000"/>
              <w:bottom w:val="single" w:sz="4" w:space="0" w:color="000000"/>
              <w:right w:val="single" w:sz="4" w:space="0" w:color="000000"/>
            </w:tcBorders>
          </w:tcPr>
          <w:p w14:paraId="33D25CC8"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2 (0.15%)</w:t>
            </w:r>
          </w:p>
        </w:tc>
      </w:tr>
      <w:tr w:rsidR="005731F0" w:rsidRPr="00220369" w14:paraId="35A43C57" w14:textId="77777777" w:rsidTr="002F59D9">
        <w:trPr>
          <w:gridAfter w:val="1"/>
          <w:wAfter w:w="2354" w:type="dxa"/>
          <w:trHeight w:val="384"/>
        </w:trPr>
        <w:tc>
          <w:tcPr>
            <w:tcW w:w="6121" w:type="dxa"/>
            <w:gridSpan w:val="3"/>
            <w:tcBorders>
              <w:top w:val="single" w:sz="4" w:space="0" w:color="000000"/>
              <w:left w:val="single" w:sz="4" w:space="0" w:color="000000"/>
              <w:bottom w:val="single" w:sz="4" w:space="0" w:color="000000"/>
              <w:right w:val="nil"/>
            </w:tcBorders>
            <w:hideMark/>
          </w:tcPr>
          <w:p w14:paraId="761029E5"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sz w:val="22"/>
                <w:szCs w:val="22"/>
                <w:lang w:val="sr-Latn-ME"/>
              </w:rPr>
              <w:t>Respiratorni, torakalni i medijastinalni poremećaji</w:t>
            </w:r>
          </w:p>
        </w:tc>
        <w:tc>
          <w:tcPr>
            <w:tcW w:w="3681" w:type="dxa"/>
            <w:gridSpan w:val="2"/>
            <w:tcBorders>
              <w:top w:val="single" w:sz="4" w:space="0" w:color="000000"/>
              <w:left w:val="nil"/>
              <w:bottom w:val="single" w:sz="4" w:space="0" w:color="000000"/>
              <w:right w:val="single" w:sz="4" w:space="0" w:color="000000"/>
            </w:tcBorders>
          </w:tcPr>
          <w:p w14:paraId="65241E1D"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p>
        </w:tc>
      </w:tr>
      <w:tr w:rsidR="005731F0" w:rsidRPr="00220369" w14:paraId="1F026DDB" w14:textId="77777777" w:rsidTr="002F59D9">
        <w:trPr>
          <w:gridAfter w:val="1"/>
          <w:wAfter w:w="2354" w:type="dxa"/>
          <w:trHeight w:val="384"/>
        </w:trPr>
        <w:tc>
          <w:tcPr>
            <w:tcW w:w="1900" w:type="dxa"/>
            <w:vMerge w:val="restart"/>
            <w:tcBorders>
              <w:top w:val="single" w:sz="4" w:space="0" w:color="000000"/>
              <w:left w:val="single" w:sz="4" w:space="0" w:color="000000"/>
              <w:bottom w:val="single" w:sz="4" w:space="0" w:color="000000"/>
              <w:right w:val="single" w:sz="4" w:space="0" w:color="000000"/>
            </w:tcBorders>
            <w:hideMark/>
          </w:tcPr>
          <w:p w14:paraId="78ABAE78"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i/>
                <w:sz w:val="22"/>
                <w:szCs w:val="22"/>
                <w:lang w:val="sr-Latn-ME"/>
              </w:rPr>
              <w:t>Povremeno</w:t>
            </w:r>
          </w:p>
        </w:tc>
        <w:tc>
          <w:tcPr>
            <w:tcW w:w="2599" w:type="dxa"/>
            <w:tcBorders>
              <w:top w:val="single" w:sz="4" w:space="0" w:color="000000"/>
              <w:left w:val="single" w:sz="4" w:space="0" w:color="000000"/>
              <w:bottom w:val="single" w:sz="4" w:space="0" w:color="000000"/>
              <w:right w:val="single" w:sz="4" w:space="0" w:color="000000"/>
            </w:tcBorders>
            <w:hideMark/>
          </w:tcPr>
          <w:p w14:paraId="6D511BC4"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Dispneja</w:t>
            </w:r>
          </w:p>
        </w:tc>
        <w:tc>
          <w:tcPr>
            <w:tcW w:w="1622" w:type="dxa"/>
            <w:tcBorders>
              <w:top w:val="single" w:sz="4" w:space="0" w:color="000000"/>
              <w:left w:val="single" w:sz="4" w:space="0" w:color="000000"/>
              <w:bottom w:val="single" w:sz="4" w:space="0" w:color="000000"/>
              <w:right w:val="single" w:sz="4" w:space="0" w:color="000000"/>
            </w:tcBorders>
            <w:hideMark/>
          </w:tcPr>
          <w:p w14:paraId="5BA316E0"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 (0,12%)</w:t>
            </w:r>
          </w:p>
        </w:tc>
        <w:tc>
          <w:tcPr>
            <w:tcW w:w="1800" w:type="dxa"/>
            <w:tcBorders>
              <w:top w:val="single" w:sz="4" w:space="0" w:color="000000"/>
              <w:left w:val="single" w:sz="4" w:space="0" w:color="000000"/>
              <w:bottom w:val="single" w:sz="4" w:space="0" w:color="000000"/>
              <w:right w:val="single" w:sz="4" w:space="0" w:color="000000"/>
            </w:tcBorders>
            <w:hideMark/>
          </w:tcPr>
          <w:p w14:paraId="1AB18624"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 (0,08%)</w:t>
            </w:r>
          </w:p>
        </w:tc>
        <w:tc>
          <w:tcPr>
            <w:tcW w:w="1881" w:type="dxa"/>
            <w:tcBorders>
              <w:top w:val="single" w:sz="4" w:space="0" w:color="000000"/>
              <w:left w:val="single" w:sz="4" w:space="0" w:color="000000"/>
              <w:bottom w:val="single" w:sz="4" w:space="0" w:color="000000"/>
              <w:right w:val="single" w:sz="4" w:space="0" w:color="000000"/>
            </w:tcBorders>
          </w:tcPr>
          <w:p w14:paraId="2773C2BC"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0 (0.0%)</w:t>
            </w:r>
          </w:p>
        </w:tc>
      </w:tr>
      <w:tr w:rsidR="005731F0" w:rsidRPr="00220369" w14:paraId="6195E183" w14:textId="77777777" w:rsidTr="002F59D9">
        <w:trPr>
          <w:gridAfter w:val="1"/>
          <w:wAfter w:w="2354" w:type="dxa"/>
          <w:trHeight w:val="37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3D2FF1"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35651209"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Nelagodnost u nosu</w:t>
            </w:r>
          </w:p>
        </w:tc>
        <w:tc>
          <w:tcPr>
            <w:tcW w:w="1622" w:type="dxa"/>
            <w:tcBorders>
              <w:top w:val="single" w:sz="4" w:space="0" w:color="000000"/>
              <w:left w:val="single" w:sz="4" w:space="0" w:color="000000"/>
              <w:bottom w:val="single" w:sz="4" w:space="0" w:color="000000"/>
              <w:right w:val="single" w:sz="4" w:space="0" w:color="000000"/>
            </w:tcBorders>
            <w:hideMark/>
          </w:tcPr>
          <w:p w14:paraId="0171A2D0"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 (0,12%)</w:t>
            </w:r>
          </w:p>
        </w:tc>
        <w:tc>
          <w:tcPr>
            <w:tcW w:w="1800" w:type="dxa"/>
            <w:tcBorders>
              <w:top w:val="single" w:sz="4" w:space="0" w:color="000000"/>
              <w:left w:val="single" w:sz="4" w:space="0" w:color="000000"/>
              <w:bottom w:val="single" w:sz="4" w:space="0" w:color="000000"/>
              <w:right w:val="single" w:sz="4" w:space="0" w:color="000000"/>
            </w:tcBorders>
            <w:hideMark/>
          </w:tcPr>
          <w:p w14:paraId="7F7FBA3C"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 (0,08%)</w:t>
            </w:r>
          </w:p>
        </w:tc>
        <w:tc>
          <w:tcPr>
            <w:tcW w:w="1881" w:type="dxa"/>
            <w:tcBorders>
              <w:top w:val="single" w:sz="4" w:space="0" w:color="000000"/>
              <w:left w:val="single" w:sz="4" w:space="0" w:color="000000"/>
              <w:bottom w:val="single" w:sz="4" w:space="0" w:color="000000"/>
              <w:right w:val="single" w:sz="4" w:space="0" w:color="000000"/>
            </w:tcBorders>
          </w:tcPr>
          <w:p w14:paraId="6218843C"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0 (0.0%)</w:t>
            </w:r>
          </w:p>
        </w:tc>
      </w:tr>
      <w:tr w:rsidR="005731F0" w:rsidRPr="00220369" w14:paraId="7C428843" w14:textId="77777777" w:rsidTr="002F59D9">
        <w:trPr>
          <w:gridAfter w:val="1"/>
          <w:wAfter w:w="2354" w:type="dxa"/>
          <w:trHeight w:val="3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F9581F"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71B68EED"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Suva sluzokoža nosa</w:t>
            </w:r>
          </w:p>
        </w:tc>
        <w:tc>
          <w:tcPr>
            <w:tcW w:w="1622" w:type="dxa"/>
            <w:tcBorders>
              <w:top w:val="single" w:sz="4" w:space="0" w:color="000000"/>
              <w:left w:val="single" w:sz="4" w:space="0" w:color="000000"/>
              <w:bottom w:val="single" w:sz="4" w:space="0" w:color="000000"/>
              <w:right w:val="single" w:sz="4" w:space="0" w:color="000000"/>
            </w:tcBorders>
            <w:hideMark/>
          </w:tcPr>
          <w:p w14:paraId="039608FF"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3 (0,18%)</w:t>
            </w:r>
          </w:p>
        </w:tc>
        <w:tc>
          <w:tcPr>
            <w:tcW w:w="1800" w:type="dxa"/>
            <w:tcBorders>
              <w:top w:val="single" w:sz="4" w:space="0" w:color="000000"/>
              <w:left w:val="single" w:sz="4" w:space="0" w:color="000000"/>
              <w:bottom w:val="single" w:sz="4" w:space="0" w:color="000000"/>
              <w:right w:val="single" w:sz="4" w:space="0" w:color="000000"/>
            </w:tcBorders>
            <w:hideMark/>
          </w:tcPr>
          <w:p w14:paraId="2DE3CB85"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6 (0,24%)</w:t>
            </w:r>
          </w:p>
        </w:tc>
        <w:tc>
          <w:tcPr>
            <w:tcW w:w="1881" w:type="dxa"/>
            <w:tcBorders>
              <w:top w:val="single" w:sz="4" w:space="0" w:color="000000"/>
              <w:left w:val="single" w:sz="4" w:space="0" w:color="000000"/>
              <w:bottom w:val="single" w:sz="4" w:space="0" w:color="000000"/>
              <w:right w:val="single" w:sz="4" w:space="0" w:color="000000"/>
            </w:tcBorders>
          </w:tcPr>
          <w:p w14:paraId="17037F97"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4 (0.29%)</w:t>
            </w:r>
          </w:p>
        </w:tc>
      </w:tr>
      <w:tr w:rsidR="005731F0" w:rsidRPr="00220369" w14:paraId="7121C615" w14:textId="77777777" w:rsidTr="002F59D9">
        <w:trPr>
          <w:gridAfter w:val="1"/>
          <w:wAfter w:w="2354" w:type="dxa"/>
          <w:trHeight w:val="384"/>
        </w:trPr>
        <w:tc>
          <w:tcPr>
            <w:tcW w:w="6121" w:type="dxa"/>
            <w:gridSpan w:val="3"/>
            <w:tcBorders>
              <w:top w:val="single" w:sz="4" w:space="0" w:color="000000"/>
              <w:left w:val="single" w:sz="4" w:space="0" w:color="000000"/>
              <w:bottom w:val="single" w:sz="4" w:space="0" w:color="000000"/>
              <w:right w:val="nil"/>
            </w:tcBorders>
            <w:hideMark/>
          </w:tcPr>
          <w:p w14:paraId="1F726C53"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sz w:val="22"/>
                <w:szCs w:val="22"/>
                <w:lang w:val="sr-Latn-ME"/>
              </w:rPr>
              <w:t>Gastrointestinalni poremećaji</w:t>
            </w:r>
          </w:p>
        </w:tc>
        <w:tc>
          <w:tcPr>
            <w:tcW w:w="3681" w:type="dxa"/>
            <w:gridSpan w:val="2"/>
            <w:tcBorders>
              <w:top w:val="single" w:sz="4" w:space="0" w:color="000000"/>
              <w:left w:val="nil"/>
              <w:bottom w:val="single" w:sz="4" w:space="0" w:color="000000"/>
              <w:right w:val="single" w:sz="4" w:space="0" w:color="000000"/>
            </w:tcBorders>
          </w:tcPr>
          <w:p w14:paraId="03B27AE8"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p>
        </w:tc>
      </w:tr>
      <w:tr w:rsidR="005731F0" w:rsidRPr="00220369" w14:paraId="6C5EC211" w14:textId="77777777" w:rsidTr="002F59D9">
        <w:trPr>
          <w:trHeight w:val="634"/>
        </w:trPr>
        <w:tc>
          <w:tcPr>
            <w:tcW w:w="1900" w:type="dxa"/>
            <w:vMerge w:val="restart"/>
            <w:tcBorders>
              <w:top w:val="single" w:sz="4" w:space="0" w:color="000000"/>
              <w:left w:val="single" w:sz="4" w:space="0" w:color="000000"/>
              <w:bottom w:val="single" w:sz="4" w:space="0" w:color="000000"/>
              <w:right w:val="single" w:sz="4" w:space="0" w:color="000000"/>
            </w:tcBorders>
            <w:hideMark/>
          </w:tcPr>
          <w:p w14:paraId="37B90F7C"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i/>
                <w:sz w:val="22"/>
                <w:szCs w:val="22"/>
                <w:lang w:val="sr-Latn-ME"/>
              </w:rPr>
              <w:t>Povremeno</w:t>
            </w:r>
          </w:p>
        </w:tc>
        <w:tc>
          <w:tcPr>
            <w:tcW w:w="2599" w:type="dxa"/>
            <w:tcBorders>
              <w:top w:val="single" w:sz="4" w:space="0" w:color="000000"/>
              <w:left w:val="single" w:sz="4" w:space="0" w:color="000000"/>
              <w:bottom w:val="single" w:sz="4" w:space="0" w:color="000000"/>
              <w:right w:val="single" w:sz="4" w:space="0" w:color="000000"/>
            </w:tcBorders>
            <w:hideMark/>
          </w:tcPr>
          <w:p w14:paraId="5193EBA0" w14:textId="1D714233"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Bol u gornjem d</w:t>
            </w:r>
            <w:r w:rsidR="00E6784B" w:rsidRPr="00220369">
              <w:rPr>
                <w:rFonts w:ascii="Times New Roman" w:hAnsi="Times New Roman"/>
                <w:b/>
                <w:i/>
                <w:sz w:val="22"/>
                <w:szCs w:val="22"/>
                <w:lang w:val="sr-Latn-ME"/>
              </w:rPr>
              <w:t>ij</w:t>
            </w:r>
            <w:r w:rsidRPr="00220369">
              <w:rPr>
                <w:rFonts w:ascii="Times New Roman" w:hAnsi="Times New Roman"/>
                <w:b/>
                <w:i/>
                <w:sz w:val="22"/>
                <w:szCs w:val="22"/>
                <w:lang w:val="sr-Latn-ME"/>
              </w:rPr>
              <w:t>elu abdomena</w:t>
            </w:r>
          </w:p>
        </w:tc>
        <w:tc>
          <w:tcPr>
            <w:tcW w:w="1622" w:type="dxa"/>
            <w:tcBorders>
              <w:top w:val="single" w:sz="4" w:space="0" w:color="000000"/>
              <w:left w:val="single" w:sz="4" w:space="0" w:color="000000"/>
              <w:bottom w:val="single" w:sz="4" w:space="0" w:color="000000"/>
              <w:right w:val="single" w:sz="4" w:space="0" w:color="000000"/>
            </w:tcBorders>
            <w:vAlign w:val="center"/>
            <w:hideMark/>
          </w:tcPr>
          <w:p w14:paraId="32C34253"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11 (0,65%)</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7D444E5"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14 (0,55%)</w:t>
            </w:r>
          </w:p>
        </w:tc>
        <w:tc>
          <w:tcPr>
            <w:tcW w:w="1881" w:type="dxa"/>
            <w:tcBorders>
              <w:top w:val="single" w:sz="4" w:space="0" w:color="000000"/>
              <w:left w:val="single" w:sz="4" w:space="0" w:color="000000"/>
              <w:bottom w:val="single" w:sz="4" w:space="0" w:color="000000"/>
              <w:right w:val="single" w:sz="4" w:space="0" w:color="000000"/>
            </w:tcBorders>
            <w:vAlign w:val="center"/>
          </w:tcPr>
          <w:p w14:paraId="7563B764"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sz w:val="22"/>
                <w:szCs w:val="22"/>
                <w:lang w:val="sr-Latn-ME"/>
              </w:rPr>
              <w:t>6 (0,44%)</w:t>
            </w:r>
          </w:p>
        </w:tc>
        <w:tc>
          <w:tcPr>
            <w:tcW w:w="2354" w:type="dxa"/>
            <w:vAlign w:val="center"/>
          </w:tcPr>
          <w:p w14:paraId="0D7F6BFF" w14:textId="77777777" w:rsidR="005731F0" w:rsidRPr="00220369" w:rsidRDefault="005731F0" w:rsidP="00E6784B">
            <w:pPr>
              <w:jc w:val="both"/>
              <w:rPr>
                <w:rFonts w:ascii="Times New Roman" w:hAnsi="Times New Roman"/>
                <w:sz w:val="22"/>
                <w:szCs w:val="22"/>
                <w:lang w:val="sr-Latn-ME"/>
              </w:rPr>
            </w:pPr>
          </w:p>
        </w:tc>
      </w:tr>
      <w:tr w:rsidR="005731F0" w:rsidRPr="00220369" w14:paraId="2AEEAD8F" w14:textId="77777777" w:rsidTr="002F59D9">
        <w:trPr>
          <w:gridAfter w:val="1"/>
          <w:wAfter w:w="2354" w:type="dxa"/>
          <w:trHeight w:val="3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47FB5E"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0682FBED"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Abdominalni bol</w:t>
            </w:r>
          </w:p>
        </w:tc>
        <w:tc>
          <w:tcPr>
            <w:tcW w:w="1622" w:type="dxa"/>
            <w:tcBorders>
              <w:top w:val="single" w:sz="4" w:space="0" w:color="000000"/>
              <w:left w:val="single" w:sz="4" w:space="0" w:color="000000"/>
              <w:bottom w:val="single" w:sz="4" w:space="0" w:color="000000"/>
              <w:right w:val="single" w:sz="4" w:space="0" w:color="000000"/>
            </w:tcBorders>
            <w:hideMark/>
          </w:tcPr>
          <w:p w14:paraId="6A075E1B"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5 (0,30%)</w:t>
            </w:r>
          </w:p>
        </w:tc>
        <w:tc>
          <w:tcPr>
            <w:tcW w:w="1800" w:type="dxa"/>
            <w:tcBorders>
              <w:top w:val="single" w:sz="4" w:space="0" w:color="000000"/>
              <w:left w:val="single" w:sz="4" w:space="0" w:color="000000"/>
              <w:bottom w:val="single" w:sz="4" w:space="0" w:color="000000"/>
              <w:right w:val="single" w:sz="4" w:space="0" w:color="000000"/>
            </w:tcBorders>
            <w:hideMark/>
          </w:tcPr>
          <w:p w14:paraId="37B215B0"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5 (0,20%)</w:t>
            </w:r>
          </w:p>
        </w:tc>
        <w:tc>
          <w:tcPr>
            <w:tcW w:w="1881" w:type="dxa"/>
            <w:tcBorders>
              <w:top w:val="single" w:sz="4" w:space="0" w:color="000000"/>
              <w:left w:val="single" w:sz="4" w:space="0" w:color="000000"/>
              <w:bottom w:val="single" w:sz="4" w:space="0" w:color="000000"/>
              <w:right w:val="single" w:sz="4" w:space="0" w:color="000000"/>
            </w:tcBorders>
          </w:tcPr>
          <w:p w14:paraId="45F6DFA6"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4 (0.29%)</w:t>
            </w:r>
          </w:p>
        </w:tc>
      </w:tr>
      <w:tr w:rsidR="005731F0" w:rsidRPr="00220369" w14:paraId="162E70BC" w14:textId="77777777" w:rsidTr="002F59D9">
        <w:trPr>
          <w:gridAfter w:val="1"/>
          <w:wAfter w:w="2354" w:type="dxa"/>
          <w:trHeight w:val="3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852104"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0B5056AC"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Mučnina</w:t>
            </w:r>
          </w:p>
        </w:tc>
        <w:tc>
          <w:tcPr>
            <w:tcW w:w="1622" w:type="dxa"/>
            <w:tcBorders>
              <w:top w:val="single" w:sz="4" w:space="0" w:color="000000"/>
              <w:left w:val="single" w:sz="4" w:space="0" w:color="000000"/>
              <w:bottom w:val="single" w:sz="4" w:space="0" w:color="000000"/>
              <w:right w:val="single" w:sz="4" w:space="0" w:color="000000"/>
            </w:tcBorders>
            <w:hideMark/>
          </w:tcPr>
          <w:p w14:paraId="2419AB26"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7 (0,41%)</w:t>
            </w:r>
          </w:p>
        </w:tc>
        <w:tc>
          <w:tcPr>
            <w:tcW w:w="1800" w:type="dxa"/>
            <w:tcBorders>
              <w:top w:val="single" w:sz="4" w:space="0" w:color="000000"/>
              <w:left w:val="single" w:sz="4" w:space="0" w:color="000000"/>
              <w:bottom w:val="single" w:sz="4" w:space="0" w:color="000000"/>
              <w:right w:val="single" w:sz="4" w:space="0" w:color="000000"/>
            </w:tcBorders>
            <w:hideMark/>
          </w:tcPr>
          <w:p w14:paraId="07C7A028"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10 (0,40%)</w:t>
            </w:r>
          </w:p>
        </w:tc>
        <w:tc>
          <w:tcPr>
            <w:tcW w:w="1881" w:type="dxa"/>
            <w:tcBorders>
              <w:top w:val="single" w:sz="4" w:space="0" w:color="000000"/>
              <w:left w:val="single" w:sz="4" w:space="0" w:color="000000"/>
              <w:bottom w:val="single" w:sz="4" w:space="0" w:color="000000"/>
              <w:right w:val="single" w:sz="4" w:space="0" w:color="000000"/>
            </w:tcBorders>
          </w:tcPr>
          <w:p w14:paraId="1057DFB9"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14 (1.03%)</w:t>
            </w:r>
          </w:p>
        </w:tc>
      </w:tr>
      <w:tr w:rsidR="005731F0" w:rsidRPr="00220369" w14:paraId="462A8271" w14:textId="77777777" w:rsidTr="002F59D9">
        <w:trPr>
          <w:gridAfter w:val="1"/>
          <w:wAfter w:w="2354" w:type="dxa"/>
          <w:trHeight w:val="3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A79C70"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4F293ABF"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Nelagodnost u želucu</w:t>
            </w:r>
          </w:p>
        </w:tc>
        <w:tc>
          <w:tcPr>
            <w:tcW w:w="1622" w:type="dxa"/>
            <w:tcBorders>
              <w:top w:val="single" w:sz="4" w:space="0" w:color="000000"/>
              <w:left w:val="single" w:sz="4" w:space="0" w:color="000000"/>
              <w:bottom w:val="single" w:sz="4" w:space="0" w:color="000000"/>
              <w:right w:val="single" w:sz="4" w:space="0" w:color="000000"/>
            </w:tcBorders>
            <w:hideMark/>
          </w:tcPr>
          <w:p w14:paraId="7BBF84DB"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3 (0,18%)</w:t>
            </w:r>
          </w:p>
        </w:tc>
        <w:tc>
          <w:tcPr>
            <w:tcW w:w="1800" w:type="dxa"/>
            <w:tcBorders>
              <w:top w:val="single" w:sz="4" w:space="0" w:color="000000"/>
              <w:left w:val="single" w:sz="4" w:space="0" w:color="000000"/>
              <w:bottom w:val="single" w:sz="4" w:space="0" w:color="000000"/>
              <w:right w:val="single" w:sz="4" w:space="0" w:color="000000"/>
            </w:tcBorders>
            <w:hideMark/>
          </w:tcPr>
          <w:p w14:paraId="7D58ACBB"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4 (0,16%)</w:t>
            </w:r>
          </w:p>
        </w:tc>
        <w:tc>
          <w:tcPr>
            <w:tcW w:w="1881" w:type="dxa"/>
            <w:tcBorders>
              <w:top w:val="single" w:sz="4" w:space="0" w:color="000000"/>
              <w:left w:val="single" w:sz="4" w:space="0" w:color="000000"/>
              <w:bottom w:val="single" w:sz="4" w:space="0" w:color="000000"/>
              <w:right w:val="single" w:sz="4" w:space="0" w:color="000000"/>
            </w:tcBorders>
          </w:tcPr>
          <w:p w14:paraId="4DE786C8"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0 (0.0%)</w:t>
            </w:r>
          </w:p>
        </w:tc>
      </w:tr>
      <w:tr w:rsidR="005731F0" w:rsidRPr="00220369" w14:paraId="047748AB" w14:textId="77777777" w:rsidTr="002F59D9">
        <w:trPr>
          <w:gridAfter w:val="1"/>
          <w:wAfter w:w="2354" w:type="dxa"/>
          <w:trHeight w:val="3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DB1672"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5AF8F4BF"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Dijareja</w:t>
            </w:r>
          </w:p>
        </w:tc>
        <w:tc>
          <w:tcPr>
            <w:tcW w:w="1622" w:type="dxa"/>
            <w:tcBorders>
              <w:top w:val="single" w:sz="4" w:space="0" w:color="000000"/>
              <w:left w:val="single" w:sz="4" w:space="0" w:color="000000"/>
              <w:bottom w:val="single" w:sz="4" w:space="0" w:color="000000"/>
              <w:right w:val="single" w:sz="4" w:space="0" w:color="000000"/>
            </w:tcBorders>
            <w:hideMark/>
          </w:tcPr>
          <w:p w14:paraId="1BD21B5B"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4 (0,24%)</w:t>
            </w:r>
          </w:p>
        </w:tc>
        <w:tc>
          <w:tcPr>
            <w:tcW w:w="1800" w:type="dxa"/>
            <w:tcBorders>
              <w:top w:val="single" w:sz="4" w:space="0" w:color="000000"/>
              <w:left w:val="single" w:sz="4" w:space="0" w:color="000000"/>
              <w:bottom w:val="single" w:sz="4" w:space="0" w:color="000000"/>
              <w:right w:val="single" w:sz="4" w:space="0" w:color="000000"/>
            </w:tcBorders>
            <w:hideMark/>
          </w:tcPr>
          <w:p w14:paraId="66702EF9"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6 (0,24%)</w:t>
            </w:r>
          </w:p>
        </w:tc>
        <w:tc>
          <w:tcPr>
            <w:tcW w:w="1881" w:type="dxa"/>
            <w:tcBorders>
              <w:top w:val="single" w:sz="4" w:space="0" w:color="000000"/>
              <w:left w:val="single" w:sz="4" w:space="0" w:color="000000"/>
              <w:bottom w:val="single" w:sz="4" w:space="0" w:color="000000"/>
              <w:right w:val="single" w:sz="4" w:space="0" w:color="000000"/>
            </w:tcBorders>
          </w:tcPr>
          <w:p w14:paraId="78C6FA25"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3 (0.22%)</w:t>
            </w:r>
          </w:p>
        </w:tc>
      </w:tr>
      <w:tr w:rsidR="005731F0" w:rsidRPr="00220369" w14:paraId="58E03F2F" w14:textId="77777777" w:rsidTr="002F59D9">
        <w:trPr>
          <w:gridAfter w:val="1"/>
          <w:wAfter w:w="2354" w:type="dxa"/>
          <w:trHeight w:val="37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2B78E6"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71C9F2E8"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Suva usta</w:t>
            </w:r>
          </w:p>
        </w:tc>
        <w:tc>
          <w:tcPr>
            <w:tcW w:w="1622" w:type="dxa"/>
            <w:tcBorders>
              <w:top w:val="single" w:sz="4" w:space="0" w:color="000000"/>
              <w:left w:val="single" w:sz="4" w:space="0" w:color="000000"/>
              <w:bottom w:val="single" w:sz="4" w:space="0" w:color="000000"/>
              <w:right w:val="single" w:sz="4" w:space="0" w:color="000000"/>
            </w:tcBorders>
            <w:hideMark/>
          </w:tcPr>
          <w:p w14:paraId="6B78A916"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 (0,12%)</w:t>
            </w:r>
          </w:p>
        </w:tc>
        <w:tc>
          <w:tcPr>
            <w:tcW w:w="1800" w:type="dxa"/>
            <w:tcBorders>
              <w:top w:val="single" w:sz="4" w:space="0" w:color="000000"/>
              <w:left w:val="single" w:sz="4" w:space="0" w:color="000000"/>
              <w:bottom w:val="single" w:sz="4" w:space="0" w:color="000000"/>
              <w:right w:val="single" w:sz="4" w:space="0" w:color="000000"/>
            </w:tcBorders>
            <w:hideMark/>
          </w:tcPr>
          <w:p w14:paraId="0EFBA61C"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6 (0,24%)</w:t>
            </w:r>
          </w:p>
        </w:tc>
        <w:tc>
          <w:tcPr>
            <w:tcW w:w="1881" w:type="dxa"/>
            <w:tcBorders>
              <w:top w:val="single" w:sz="4" w:space="0" w:color="000000"/>
              <w:left w:val="single" w:sz="4" w:space="0" w:color="000000"/>
              <w:bottom w:val="single" w:sz="4" w:space="0" w:color="000000"/>
              <w:right w:val="single" w:sz="4" w:space="0" w:color="000000"/>
            </w:tcBorders>
          </w:tcPr>
          <w:p w14:paraId="6720300D"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5 (0.37%)</w:t>
            </w:r>
          </w:p>
        </w:tc>
      </w:tr>
      <w:tr w:rsidR="005731F0" w:rsidRPr="00220369" w14:paraId="159437B8" w14:textId="77777777" w:rsidTr="002F59D9">
        <w:trPr>
          <w:gridAfter w:val="1"/>
          <w:wAfter w:w="2354" w:type="dxa"/>
          <w:trHeight w:val="3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E4CD76"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3DAAE41C" w14:textId="77777777" w:rsidR="005731F0" w:rsidRPr="00220369" w:rsidRDefault="005731F0" w:rsidP="00E6784B">
            <w:pPr>
              <w:tabs>
                <w:tab w:val="left" w:pos="284"/>
              </w:tabs>
              <w:spacing w:line="256" w:lineRule="auto"/>
              <w:ind w:left="1"/>
              <w:jc w:val="both"/>
              <w:rPr>
                <w:rFonts w:ascii="Times New Roman" w:hAnsi="Times New Roman"/>
                <w:b/>
                <w:bCs/>
                <w:i/>
                <w:iCs/>
                <w:sz w:val="22"/>
                <w:szCs w:val="22"/>
                <w:lang w:val="sr-Latn-ME"/>
              </w:rPr>
            </w:pPr>
            <w:r w:rsidRPr="00220369">
              <w:rPr>
                <w:rFonts w:ascii="Times New Roman" w:hAnsi="Times New Roman"/>
                <w:b/>
                <w:bCs/>
                <w:i/>
                <w:iCs/>
                <w:sz w:val="22"/>
                <w:szCs w:val="22"/>
                <w:lang w:val="sr-Latn-ME"/>
              </w:rPr>
              <w:t>Dispepsija</w:t>
            </w:r>
          </w:p>
        </w:tc>
        <w:tc>
          <w:tcPr>
            <w:tcW w:w="1622" w:type="dxa"/>
            <w:tcBorders>
              <w:top w:val="single" w:sz="4" w:space="0" w:color="000000"/>
              <w:left w:val="single" w:sz="4" w:space="0" w:color="000000"/>
              <w:bottom w:val="single" w:sz="4" w:space="0" w:color="000000"/>
              <w:right w:val="single" w:sz="4" w:space="0" w:color="000000"/>
            </w:tcBorders>
            <w:hideMark/>
          </w:tcPr>
          <w:p w14:paraId="5FFDE182"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 (0,12%)</w:t>
            </w:r>
          </w:p>
        </w:tc>
        <w:tc>
          <w:tcPr>
            <w:tcW w:w="1800" w:type="dxa"/>
            <w:tcBorders>
              <w:top w:val="single" w:sz="4" w:space="0" w:color="000000"/>
              <w:left w:val="single" w:sz="4" w:space="0" w:color="000000"/>
              <w:bottom w:val="single" w:sz="4" w:space="0" w:color="000000"/>
              <w:right w:val="single" w:sz="4" w:space="0" w:color="000000"/>
            </w:tcBorders>
            <w:hideMark/>
          </w:tcPr>
          <w:p w14:paraId="29C1222D"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4 (0,16%)</w:t>
            </w:r>
          </w:p>
        </w:tc>
        <w:tc>
          <w:tcPr>
            <w:tcW w:w="1881" w:type="dxa"/>
            <w:tcBorders>
              <w:top w:val="single" w:sz="4" w:space="0" w:color="000000"/>
              <w:left w:val="single" w:sz="4" w:space="0" w:color="000000"/>
              <w:bottom w:val="single" w:sz="4" w:space="0" w:color="000000"/>
              <w:right w:val="single" w:sz="4" w:space="0" w:color="000000"/>
            </w:tcBorders>
          </w:tcPr>
          <w:p w14:paraId="7148EC0A"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4 (0.29%)</w:t>
            </w:r>
          </w:p>
        </w:tc>
      </w:tr>
      <w:tr w:rsidR="005731F0" w:rsidRPr="00220369" w14:paraId="6B3C1821" w14:textId="77777777" w:rsidTr="002F59D9">
        <w:trPr>
          <w:gridAfter w:val="1"/>
          <w:wAfter w:w="2354" w:type="dxa"/>
          <w:trHeight w:val="3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2A3986"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58EDC5E9"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Gastritis</w:t>
            </w:r>
          </w:p>
        </w:tc>
        <w:tc>
          <w:tcPr>
            <w:tcW w:w="1622" w:type="dxa"/>
            <w:tcBorders>
              <w:top w:val="single" w:sz="4" w:space="0" w:color="000000"/>
              <w:left w:val="single" w:sz="4" w:space="0" w:color="000000"/>
              <w:bottom w:val="single" w:sz="4" w:space="0" w:color="000000"/>
              <w:right w:val="single" w:sz="4" w:space="0" w:color="000000"/>
            </w:tcBorders>
            <w:hideMark/>
          </w:tcPr>
          <w:p w14:paraId="34CE5BC7"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4 (0,24%)</w:t>
            </w:r>
          </w:p>
        </w:tc>
        <w:tc>
          <w:tcPr>
            <w:tcW w:w="1800" w:type="dxa"/>
            <w:tcBorders>
              <w:top w:val="single" w:sz="4" w:space="0" w:color="000000"/>
              <w:left w:val="single" w:sz="4" w:space="0" w:color="000000"/>
              <w:bottom w:val="single" w:sz="4" w:space="0" w:color="000000"/>
              <w:right w:val="single" w:sz="4" w:space="0" w:color="000000"/>
            </w:tcBorders>
            <w:hideMark/>
          </w:tcPr>
          <w:p w14:paraId="6BA3BCDA"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4 (0,16%)</w:t>
            </w:r>
          </w:p>
        </w:tc>
        <w:tc>
          <w:tcPr>
            <w:tcW w:w="1881" w:type="dxa"/>
            <w:tcBorders>
              <w:top w:val="single" w:sz="4" w:space="0" w:color="000000"/>
              <w:left w:val="single" w:sz="4" w:space="0" w:color="000000"/>
              <w:bottom w:val="single" w:sz="4" w:space="0" w:color="000000"/>
              <w:right w:val="single" w:sz="4" w:space="0" w:color="000000"/>
            </w:tcBorders>
          </w:tcPr>
          <w:p w14:paraId="0390F60E"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0 (0.0%)</w:t>
            </w:r>
          </w:p>
        </w:tc>
      </w:tr>
      <w:tr w:rsidR="005731F0" w:rsidRPr="00220369" w14:paraId="18F57E9C" w14:textId="77777777" w:rsidTr="002F59D9">
        <w:trPr>
          <w:gridAfter w:val="1"/>
          <w:wAfter w:w="2354" w:type="dxa"/>
          <w:trHeight w:val="384"/>
        </w:trPr>
        <w:tc>
          <w:tcPr>
            <w:tcW w:w="6121" w:type="dxa"/>
            <w:gridSpan w:val="3"/>
            <w:tcBorders>
              <w:top w:val="single" w:sz="4" w:space="0" w:color="000000"/>
              <w:left w:val="single" w:sz="4" w:space="0" w:color="000000"/>
              <w:bottom w:val="single" w:sz="4" w:space="0" w:color="000000"/>
              <w:right w:val="nil"/>
            </w:tcBorders>
            <w:hideMark/>
          </w:tcPr>
          <w:p w14:paraId="7B7687CC"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sz w:val="22"/>
                <w:szCs w:val="22"/>
                <w:lang w:val="sr-Latn-ME"/>
              </w:rPr>
              <w:t>Poremećaji kože i potkožnog tkiva</w:t>
            </w:r>
          </w:p>
        </w:tc>
        <w:tc>
          <w:tcPr>
            <w:tcW w:w="3681" w:type="dxa"/>
            <w:gridSpan w:val="2"/>
            <w:tcBorders>
              <w:top w:val="single" w:sz="4" w:space="0" w:color="000000"/>
              <w:left w:val="nil"/>
              <w:bottom w:val="single" w:sz="4" w:space="0" w:color="000000"/>
              <w:right w:val="single" w:sz="4" w:space="0" w:color="000000"/>
            </w:tcBorders>
          </w:tcPr>
          <w:p w14:paraId="0D4486D6"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p>
        </w:tc>
      </w:tr>
      <w:tr w:rsidR="005731F0" w:rsidRPr="00220369" w14:paraId="19D2E058" w14:textId="77777777" w:rsidTr="002F59D9">
        <w:trPr>
          <w:gridAfter w:val="1"/>
          <w:wAfter w:w="2354" w:type="dxa"/>
          <w:trHeight w:val="943"/>
        </w:trPr>
        <w:tc>
          <w:tcPr>
            <w:tcW w:w="1900" w:type="dxa"/>
            <w:tcBorders>
              <w:top w:val="single" w:sz="4" w:space="0" w:color="000000"/>
              <w:left w:val="single" w:sz="4" w:space="0" w:color="000000"/>
              <w:bottom w:val="single" w:sz="4" w:space="0" w:color="000000"/>
              <w:right w:val="single" w:sz="4" w:space="0" w:color="000000"/>
            </w:tcBorders>
          </w:tcPr>
          <w:p w14:paraId="1D06E95C" w14:textId="77777777" w:rsidR="005731F0" w:rsidRPr="00220369" w:rsidRDefault="005731F0" w:rsidP="00E6784B">
            <w:pPr>
              <w:tabs>
                <w:tab w:val="left" w:pos="284"/>
                <w:tab w:val="center" w:pos="2296"/>
              </w:tabs>
              <w:spacing w:line="256" w:lineRule="auto"/>
              <w:jc w:val="both"/>
              <w:rPr>
                <w:rFonts w:ascii="Times New Roman" w:hAnsi="Times New Roman"/>
                <w:sz w:val="22"/>
                <w:szCs w:val="22"/>
                <w:lang w:val="sr-Latn-ME"/>
              </w:rPr>
            </w:pPr>
            <w:r w:rsidRPr="00220369">
              <w:rPr>
                <w:rFonts w:ascii="Times New Roman" w:hAnsi="Times New Roman"/>
                <w:b/>
                <w:i/>
                <w:sz w:val="22"/>
                <w:szCs w:val="22"/>
                <w:lang w:val="sr-Latn-ME"/>
              </w:rPr>
              <w:t>Povremeno</w:t>
            </w:r>
          </w:p>
        </w:tc>
        <w:tc>
          <w:tcPr>
            <w:tcW w:w="2599" w:type="dxa"/>
            <w:tcBorders>
              <w:top w:val="single" w:sz="4" w:space="0" w:color="000000"/>
              <w:left w:val="single" w:sz="4" w:space="0" w:color="000000"/>
              <w:bottom w:val="single" w:sz="4" w:space="0" w:color="000000"/>
              <w:right w:val="single" w:sz="4" w:space="0" w:color="000000"/>
            </w:tcBorders>
          </w:tcPr>
          <w:p w14:paraId="2D333B3A" w14:textId="77777777" w:rsidR="005731F0" w:rsidRPr="00220369" w:rsidRDefault="005731F0" w:rsidP="00E6784B">
            <w:pPr>
              <w:tabs>
                <w:tab w:val="left" w:pos="284"/>
                <w:tab w:val="center" w:pos="2296"/>
              </w:tabs>
              <w:spacing w:line="256" w:lineRule="auto"/>
              <w:jc w:val="both"/>
              <w:rPr>
                <w:rFonts w:ascii="Times New Roman" w:hAnsi="Times New Roman"/>
                <w:sz w:val="22"/>
                <w:szCs w:val="22"/>
                <w:lang w:val="sr-Latn-ME"/>
              </w:rPr>
            </w:pPr>
            <w:r w:rsidRPr="00220369">
              <w:rPr>
                <w:rFonts w:ascii="Times New Roman" w:hAnsi="Times New Roman"/>
                <w:b/>
                <w:i/>
                <w:sz w:val="22"/>
                <w:szCs w:val="22"/>
                <w:lang w:val="sr-Latn-ME"/>
              </w:rPr>
              <w:t>Svrab</w:t>
            </w:r>
          </w:p>
        </w:tc>
        <w:tc>
          <w:tcPr>
            <w:tcW w:w="1622" w:type="dxa"/>
            <w:tcBorders>
              <w:top w:val="single" w:sz="4" w:space="0" w:color="000000"/>
              <w:left w:val="single" w:sz="4" w:space="0" w:color="000000"/>
              <w:bottom w:val="single" w:sz="4" w:space="0" w:color="000000"/>
              <w:right w:val="single" w:sz="4" w:space="0" w:color="000000"/>
            </w:tcBorders>
          </w:tcPr>
          <w:p w14:paraId="2173DA84"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 (0,12%)</w:t>
            </w:r>
          </w:p>
        </w:tc>
        <w:tc>
          <w:tcPr>
            <w:tcW w:w="1800" w:type="dxa"/>
            <w:tcBorders>
              <w:top w:val="single" w:sz="4" w:space="0" w:color="000000"/>
              <w:left w:val="single" w:sz="4" w:space="0" w:color="000000"/>
              <w:bottom w:val="single" w:sz="4" w:space="0" w:color="000000"/>
              <w:right w:val="single" w:sz="4" w:space="0" w:color="000000"/>
            </w:tcBorders>
          </w:tcPr>
          <w:p w14:paraId="7492C780"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4 (0,16%)</w:t>
            </w:r>
          </w:p>
        </w:tc>
        <w:tc>
          <w:tcPr>
            <w:tcW w:w="1881" w:type="dxa"/>
            <w:tcBorders>
              <w:top w:val="single" w:sz="4" w:space="0" w:color="000000"/>
              <w:left w:val="single" w:sz="4" w:space="0" w:color="000000"/>
              <w:bottom w:val="single" w:sz="4" w:space="0" w:color="000000"/>
              <w:right w:val="single" w:sz="4" w:space="0" w:color="000000"/>
            </w:tcBorders>
          </w:tcPr>
          <w:p w14:paraId="3DFC79A1"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2 (0.15%)</w:t>
            </w:r>
          </w:p>
        </w:tc>
      </w:tr>
      <w:tr w:rsidR="005731F0" w:rsidRPr="00220369" w14:paraId="63CCBFB1" w14:textId="77777777" w:rsidTr="002F59D9">
        <w:trPr>
          <w:gridAfter w:val="1"/>
          <w:wAfter w:w="2354" w:type="dxa"/>
          <w:trHeight w:val="385"/>
        </w:trPr>
        <w:tc>
          <w:tcPr>
            <w:tcW w:w="9802" w:type="dxa"/>
            <w:gridSpan w:val="5"/>
            <w:tcBorders>
              <w:top w:val="single" w:sz="4" w:space="0" w:color="000000"/>
              <w:left w:val="single" w:sz="4" w:space="0" w:color="000000"/>
              <w:bottom w:val="single" w:sz="4" w:space="0" w:color="000000"/>
              <w:right w:val="single" w:sz="4" w:space="0" w:color="000000"/>
            </w:tcBorders>
            <w:hideMark/>
          </w:tcPr>
          <w:p w14:paraId="49F5550D"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b/>
                <w:sz w:val="22"/>
                <w:szCs w:val="22"/>
                <w:lang w:val="sr-Latn-ME"/>
              </w:rPr>
              <w:t>Opšti poremećaji i reakcije na mjestu primjene</w:t>
            </w:r>
          </w:p>
        </w:tc>
      </w:tr>
      <w:tr w:rsidR="00820607" w:rsidRPr="00220369" w14:paraId="7D42A0AF" w14:textId="77777777" w:rsidTr="002F59D9">
        <w:trPr>
          <w:gridAfter w:val="1"/>
          <w:wAfter w:w="2354" w:type="dxa"/>
          <w:trHeight w:val="384"/>
        </w:trPr>
        <w:tc>
          <w:tcPr>
            <w:tcW w:w="1900" w:type="dxa"/>
            <w:vMerge w:val="restart"/>
            <w:tcBorders>
              <w:top w:val="single" w:sz="4" w:space="0" w:color="000000"/>
              <w:left w:val="single" w:sz="4" w:space="0" w:color="000000"/>
              <w:right w:val="single" w:sz="4" w:space="0" w:color="000000"/>
            </w:tcBorders>
            <w:hideMark/>
          </w:tcPr>
          <w:p w14:paraId="51BF0102" w14:textId="77777777" w:rsidR="00820607" w:rsidRPr="00220369" w:rsidRDefault="00820607"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i/>
                <w:sz w:val="22"/>
                <w:szCs w:val="22"/>
                <w:lang w:val="sr-Latn-ME"/>
              </w:rPr>
              <w:t>Povremeno</w:t>
            </w:r>
          </w:p>
          <w:p w14:paraId="40E2DFB0" w14:textId="77777777" w:rsidR="00820607" w:rsidRPr="00220369" w:rsidRDefault="00820607" w:rsidP="00E6784B">
            <w:pPr>
              <w:tabs>
                <w:tab w:val="left" w:pos="284"/>
              </w:tabs>
              <w:spacing w:line="256" w:lineRule="auto"/>
              <w:jc w:val="both"/>
              <w:rPr>
                <w:rFonts w:ascii="Times New Roman" w:hAnsi="Times New Roman"/>
                <w:sz w:val="22"/>
                <w:szCs w:val="22"/>
                <w:lang w:val="sr-Latn-ME"/>
              </w:rPr>
            </w:pPr>
          </w:p>
        </w:tc>
        <w:tc>
          <w:tcPr>
            <w:tcW w:w="2599" w:type="dxa"/>
            <w:tcBorders>
              <w:top w:val="single" w:sz="4" w:space="0" w:color="000000"/>
              <w:left w:val="single" w:sz="4" w:space="0" w:color="000000"/>
              <w:bottom w:val="single" w:sz="6" w:space="0" w:color="000000"/>
              <w:right w:val="single" w:sz="4" w:space="0" w:color="000000"/>
            </w:tcBorders>
          </w:tcPr>
          <w:p w14:paraId="5AAC3C7A" w14:textId="77777777" w:rsidR="00820607" w:rsidRPr="00220369" w:rsidRDefault="00820607"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i/>
                <w:sz w:val="22"/>
                <w:szCs w:val="22"/>
                <w:lang w:val="sr-Latn-ME"/>
              </w:rPr>
              <w:t>Umor</w:t>
            </w:r>
          </w:p>
        </w:tc>
        <w:tc>
          <w:tcPr>
            <w:tcW w:w="1622" w:type="dxa"/>
            <w:tcBorders>
              <w:top w:val="single" w:sz="4" w:space="0" w:color="000000"/>
              <w:left w:val="single" w:sz="4" w:space="0" w:color="000000"/>
              <w:bottom w:val="single" w:sz="6" w:space="0" w:color="000000"/>
              <w:right w:val="single" w:sz="4" w:space="0" w:color="000000"/>
            </w:tcBorders>
          </w:tcPr>
          <w:p w14:paraId="1C98F07C" w14:textId="77777777" w:rsidR="00820607" w:rsidRPr="00220369" w:rsidRDefault="00820607"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sz w:val="22"/>
                <w:szCs w:val="22"/>
                <w:lang w:val="sr-Latn-ME"/>
              </w:rPr>
              <w:t>14 (0,83%)</w:t>
            </w:r>
          </w:p>
        </w:tc>
        <w:tc>
          <w:tcPr>
            <w:tcW w:w="1800" w:type="dxa"/>
            <w:tcBorders>
              <w:top w:val="single" w:sz="4" w:space="0" w:color="000000"/>
              <w:left w:val="single" w:sz="4" w:space="0" w:color="000000"/>
              <w:bottom w:val="single" w:sz="4" w:space="0" w:color="auto"/>
              <w:right w:val="single" w:sz="4" w:space="0" w:color="000000"/>
            </w:tcBorders>
          </w:tcPr>
          <w:p w14:paraId="324E888F" w14:textId="77777777" w:rsidR="00820607" w:rsidRPr="00220369" w:rsidRDefault="00820607"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19 (0,75%)</w:t>
            </w:r>
          </w:p>
        </w:tc>
        <w:tc>
          <w:tcPr>
            <w:tcW w:w="1881" w:type="dxa"/>
            <w:tcBorders>
              <w:top w:val="single" w:sz="4" w:space="0" w:color="000000"/>
              <w:left w:val="single" w:sz="4" w:space="0" w:color="000000"/>
              <w:bottom w:val="single" w:sz="4" w:space="0" w:color="auto"/>
              <w:right w:val="single" w:sz="4" w:space="0" w:color="000000"/>
            </w:tcBorders>
          </w:tcPr>
          <w:p w14:paraId="09D9A2AE" w14:textId="77777777" w:rsidR="00820607" w:rsidRPr="00220369" w:rsidRDefault="00820607"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18 (1,32%)</w:t>
            </w:r>
          </w:p>
        </w:tc>
      </w:tr>
      <w:tr w:rsidR="00820607" w:rsidRPr="00220369" w14:paraId="42065896" w14:textId="77777777" w:rsidTr="002F59D9">
        <w:trPr>
          <w:gridAfter w:val="1"/>
          <w:wAfter w:w="2354" w:type="dxa"/>
          <w:trHeight w:val="387"/>
        </w:trPr>
        <w:tc>
          <w:tcPr>
            <w:tcW w:w="1900" w:type="dxa"/>
            <w:vMerge/>
            <w:tcBorders>
              <w:left w:val="single" w:sz="4" w:space="0" w:color="000000"/>
              <w:right w:val="single" w:sz="4" w:space="0" w:color="000000"/>
            </w:tcBorders>
            <w:vAlign w:val="center"/>
            <w:hideMark/>
          </w:tcPr>
          <w:p w14:paraId="3316A736" w14:textId="77777777" w:rsidR="00820607" w:rsidRPr="00220369" w:rsidRDefault="00820607" w:rsidP="00E6784B">
            <w:pPr>
              <w:tabs>
                <w:tab w:val="left" w:pos="284"/>
              </w:tabs>
              <w:spacing w:line="256" w:lineRule="auto"/>
              <w:jc w:val="both"/>
              <w:rPr>
                <w:rFonts w:ascii="Times New Roman" w:hAnsi="Times New Roman"/>
                <w:sz w:val="22"/>
                <w:szCs w:val="22"/>
                <w:lang w:val="sr-Latn-ME"/>
              </w:rPr>
            </w:pPr>
          </w:p>
        </w:tc>
        <w:tc>
          <w:tcPr>
            <w:tcW w:w="2599" w:type="dxa"/>
            <w:tcBorders>
              <w:top w:val="single" w:sz="4" w:space="0" w:color="auto"/>
              <w:left w:val="single" w:sz="4" w:space="0" w:color="000000"/>
              <w:bottom w:val="single" w:sz="4" w:space="0" w:color="auto"/>
              <w:right w:val="single" w:sz="4" w:space="0" w:color="000000"/>
            </w:tcBorders>
            <w:hideMark/>
          </w:tcPr>
          <w:p w14:paraId="07199EC9" w14:textId="77777777" w:rsidR="00820607" w:rsidRPr="00220369" w:rsidRDefault="00820607"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Žeđ</w:t>
            </w:r>
          </w:p>
        </w:tc>
        <w:tc>
          <w:tcPr>
            <w:tcW w:w="1622" w:type="dxa"/>
            <w:tcBorders>
              <w:top w:val="single" w:sz="4" w:space="0" w:color="auto"/>
              <w:left w:val="single" w:sz="4" w:space="0" w:color="000000"/>
              <w:bottom w:val="single" w:sz="4" w:space="0" w:color="auto"/>
              <w:right w:val="single" w:sz="4" w:space="0" w:color="000000"/>
            </w:tcBorders>
            <w:hideMark/>
          </w:tcPr>
          <w:p w14:paraId="7CED308D" w14:textId="77777777" w:rsidR="00820607" w:rsidRPr="00220369" w:rsidRDefault="00820607"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3 (0,18%)</w:t>
            </w:r>
          </w:p>
        </w:tc>
        <w:tc>
          <w:tcPr>
            <w:tcW w:w="1800" w:type="dxa"/>
            <w:tcBorders>
              <w:top w:val="single" w:sz="4" w:space="0" w:color="auto"/>
              <w:left w:val="single" w:sz="4" w:space="0" w:color="000000"/>
              <w:bottom w:val="single" w:sz="4" w:space="0" w:color="auto"/>
              <w:right w:val="single" w:sz="4" w:space="0" w:color="000000"/>
            </w:tcBorders>
            <w:hideMark/>
          </w:tcPr>
          <w:p w14:paraId="326C7F85" w14:textId="77777777" w:rsidR="00820607" w:rsidRPr="00220369" w:rsidRDefault="00820607"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4 (0,16%)</w:t>
            </w:r>
          </w:p>
        </w:tc>
        <w:tc>
          <w:tcPr>
            <w:tcW w:w="1881" w:type="dxa"/>
            <w:tcBorders>
              <w:top w:val="single" w:sz="4" w:space="0" w:color="000000"/>
              <w:left w:val="single" w:sz="4" w:space="0" w:color="000000"/>
              <w:bottom w:val="single" w:sz="4" w:space="0" w:color="auto"/>
              <w:right w:val="single" w:sz="4" w:space="0" w:color="000000"/>
            </w:tcBorders>
          </w:tcPr>
          <w:p w14:paraId="0764D32F" w14:textId="77777777" w:rsidR="00820607" w:rsidRPr="00220369" w:rsidRDefault="00820607"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1 (0.07%)</w:t>
            </w:r>
          </w:p>
        </w:tc>
      </w:tr>
      <w:tr w:rsidR="00820607" w:rsidRPr="00220369" w14:paraId="4230A84B" w14:textId="77777777" w:rsidTr="002F59D9">
        <w:trPr>
          <w:gridAfter w:val="1"/>
          <w:wAfter w:w="2354" w:type="dxa"/>
          <w:trHeight w:val="384"/>
        </w:trPr>
        <w:tc>
          <w:tcPr>
            <w:tcW w:w="0" w:type="auto"/>
            <w:vMerge/>
            <w:tcBorders>
              <w:left w:val="single" w:sz="4" w:space="0" w:color="000000"/>
              <w:right w:val="single" w:sz="4" w:space="0" w:color="000000"/>
            </w:tcBorders>
            <w:vAlign w:val="center"/>
            <w:hideMark/>
          </w:tcPr>
          <w:p w14:paraId="08815A46" w14:textId="77777777" w:rsidR="00820607" w:rsidRPr="00220369" w:rsidRDefault="00820607"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auto"/>
              <w:left w:val="single" w:sz="4" w:space="0" w:color="000000"/>
              <w:bottom w:val="single" w:sz="4" w:space="0" w:color="auto"/>
              <w:right w:val="single" w:sz="4" w:space="0" w:color="000000"/>
            </w:tcBorders>
            <w:hideMark/>
          </w:tcPr>
          <w:p w14:paraId="6570D27F" w14:textId="77777777" w:rsidR="00820607" w:rsidRPr="00220369" w:rsidRDefault="00820607"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Poboljšanje prethodno  postojećeg stanja</w:t>
            </w:r>
          </w:p>
        </w:tc>
        <w:tc>
          <w:tcPr>
            <w:tcW w:w="1622" w:type="dxa"/>
            <w:tcBorders>
              <w:top w:val="single" w:sz="4" w:space="0" w:color="auto"/>
              <w:left w:val="single" w:sz="4" w:space="0" w:color="000000"/>
              <w:bottom w:val="single" w:sz="4" w:space="0" w:color="auto"/>
              <w:right w:val="single" w:sz="4" w:space="0" w:color="000000"/>
            </w:tcBorders>
            <w:vAlign w:val="center"/>
            <w:hideMark/>
          </w:tcPr>
          <w:p w14:paraId="34482C47" w14:textId="77777777" w:rsidR="00820607" w:rsidRPr="00220369" w:rsidRDefault="00820607"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 (0,12%)</w:t>
            </w:r>
          </w:p>
        </w:tc>
        <w:tc>
          <w:tcPr>
            <w:tcW w:w="1800" w:type="dxa"/>
            <w:tcBorders>
              <w:top w:val="single" w:sz="4" w:space="0" w:color="auto"/>
              <w:left w:val="single" w:sz="4" w:space="0" w:color="000000"/>
              <w:bottom w:val="single" w:sz="4" w:space="0" w:color="auto"/>
              <w:right w:val="single" w:sz="4" w:space="0" w:color="000000"/>
            </w:tcBorders>
            <w:vAlign w:val="center"/>
            <w:hideMark/>
          </w:tcPr>
          <w:p w14:paraId="4FD766F9" w14:textId="77777777" w:rsidR="00820607" w:rsidRPr="00220369" w:rsidRDefault="00820607"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 (0,08%)</w:t>
            </w:r>
          </w:p>
        </w:tc>
        <w:tc>
          <w:tcPr>
            <w:tcW w:w="1881" w:type="dxa"/>
            <w:tcBorders>
              <w:top w:val="single" w:sz="4" w:space="0" w:color="auto"/>
              <w:left w:val="single" w:sz="4" w:space="0" w:color="000000"/>
              <w:bottom w:val="single" w:sz="4" w:space="0" w:color="auto"/>
              <w:right w:val="single" w:sz="4" w:space="0" w:color="000000"/>
            </w:tcBorders>
          </w:tcPr>
          <w:p w14:paraId="15964DBA" w14:textId="77777777" w:rsidR="00820607" w:rsidRPr="00220369" w:rsidRDefault="00820607"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1 (0.07%)</w:t>
            </w:r>
          </w:p>
        </w:tc>
      </w:tr>
      <w:tr w:rsidR="00820607" w:rsidRPr="00220369" w14:paraId="28256FA6" w14:textId="77777777" w:rsidTr="002F59D9">
        <w:trPr>
          <w:gridAfter w:val="1"/>
          <w:wAfter w:w="2354" w:type="dxa"/>
          <w:trHeight w:val="643"/>
        </w:trPr>
        <w:tc>
          <w:tcPr>
            <w:tcW w:w="0" w:type="auto"/>
            <w:vMerge/>
            <w:tcBorders>
              <w:left w:val="single" w:sz="4" w:space="0" w:color="000000"/>
              <w:right w:val="single" w:sz="4" w:space="0" w:color="000000"/>
            </w:tcBorders>
            <w:vAlign w:val="center"/>
            <w:hideMark/>
          </w:tcPr>
          <w:p w14:paraId="5FB52946" w14:textId="77777777" w:rsidR="00820607" w:rsidRPr="00220369" w:rsidRDefault="00820607"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auto"/>
              <w:left w:val="single" w:sz="4" w:space="0" w:color="000000"/>
              <w:bottom w:val="single" w:sz="4" w:space="0" w:color="auto"/>
              <w:right w:val="single" w:sz="4" w:space="0" w:color="000000"/>
            </w:tcBorders>
            <w:hideMark/>
          </w:tcPr>
          <w:p w14:paraId="43FD4F13" w14:textId="77777777" w:rsidR="00820607" w:rsidRPr="00220369" w:rsidRDefault="00820607"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 xml:space="preserve">Pireksija  </w:t>
            </w:r>
          </w:p>
        </w:tc>
        <w:tc>
          <w:tcPr>
            <w:tcW w:w="1622" w:type="dxa"/>
            <w:tcBorders>
              <w:top w:val="single" w:sz="4" w:space="0" w:color="auto"/>
              <w:left w:val="single" w:sz="4" w:space="0" w:color="000000"/>
              <w:bottom w:val="single" w:sz="4" w:space="0" w:color="auto"/>
              <w:right w:val="single" w:sz="4" w:space="0" w:color="000000"/>
            </w:tcBorders>
            <w:hideMark/>
          </w:tcPr>
          <w:p w14:paraId="67CF7446" w14:textId="77777777" w:rsidR="00820607" w:rsidRPr="00220369" w:rsidRDefault="00820607"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 (0,12%)</w:t>
            </w:r>
          </w:p>
        </w:tc>
        <w:tc>
          <w:tcPr>
            <w:tcW w:w="1800" w:type="dxa"/>
            <w:tcBorders>
              <w:top w:val="single" w:sz="4" w:space="0" w:color="auto"/>
              <w:left w:val="single" w:sz="4" w:space="0" w:color="000000"/>
              <w:bottom w:val="single" w:sz="4" w:space="0" w:color="auto"/>
              <w:right w:val="single" w:sz="4" w:space="0" w:color="000000"/>
            </w:tcBorders>
            <w:hideMark/>
          </w:tcPr>
          <w:p w14:paraId="1CACA29C" w14:textId="77777777" w:rsidR="00820607" w:rsidRPr="00220369" w:rsidRDefault="00820607"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3 (0,12%)</w:t>
            </w:r>
          </w:p>
        </w:tc>
        <w:tc>
          <w:tcPr>
            <w:tcW w:w="1881" w:type="dxa"/>
            <w:tcBorders>
              <w:top w:val="single" w:sz="4" w:space="0" w:color="auto"/>
              <w:left w:val="single" w:sz="4" w:space="0" w:color="000000"/>
              <w:bottom w:val="single" w:sz="4" w:space="0" w:color="auto"/>
              <w:right w:val="single" w:sz="4" w:space="0" w:color="000000"/>
            </w:tcBorders>
          </w:tcPr>
          <w:p w14:paraId="25E6F3D8" w14:textId="77777777" w:rsidR="00820607" w:rsidRPr="00220369" w:rsidRDefault="00820607"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1 (0.07%)</w:t>
            </w:r>
          </w:p>
        </w:tc>
      </w:tr>
      <w:tr w:rsidR="00820607" w:rsidRPr="00220369" w14:paraId="2B06C6AE" w14:textId="77777777" w:rsidTr="002F59D9">
        <w:trPr>
          <w:gridAfter w:val="1"/>
          <w:wAfter w:w="2354" w:type="dxa"/>
          <w:trHeight w:val="389"/>
        </w:trPr>
        <w:tc>
          <w:tcPr>
            <w:tcW w:w="0" w:type="auto"/>
            <w:vMerge/>
            <w:tcBorders>
              <w:left w:val="single" w:sz="4" w:space="0" w:color="000000"/>
              <w:bottom w:val="single" w:sz="6" w:space="0" w:color="000000"/>
              <w:right w:val="single" w:sz="4" w:space="0" w:color="000000"/>
            </w:tcBorders>
            <w:vAlign w:val="center"/>
            <w:hideMark/>
          </w:tcPr>
          <w:p w14:paraId="3F390667" w14:textId="77777777" w:rsidR="00820607" w:rsidRPr="00220369" w:rsidRDefault="00820607"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auto"/>
              <w:left w:val="single" w:sz="4" w:space="0" w:color="000000"/>
              <w:bottom w:val="single" w:sz="4" w:space="0" w:color="000000"/>
              <w:right w:val="single" w:sz="4" w:space="0" w:color="000000"/>
            </w:tcBorders>
            <w:hideMark/>
          </w:tcPr>
          <w:p w14:paraId="09B761C2" w14:textId="77777777" w:rsidR="00820607" w:rsidRPr="00220369" w:rsidRDefault="00820607"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Astenija</w:t>
            </w:r>
          </w:p>
        </w:tc>
        <w:tc>
          <w:tcPr>
            <w:tcW w:w="1622" w:type="dxa"/>
            <w:tcBorders>
              <w:top w:val="single" w:sz="4" w:space="0" w:color="auto"/>
              <w:left w:val="single" w:sz="4" w:space="0" w:color="000000"/>
              <w:bottom w:val="single" w:sz="4" w:space="0" w:color="auto"/>
              <w:right w:val="single" w:sz="4" w:space="0" w:color="000000"/>
            </w:tcBorders>
            <w:hideMark/>
          </w:tcPr>
          <w:p w14:paraId="5B2DF5C3" w14:textId="77777777" w:rsidR="00820607" w:rsidRPr="00220369" w:rsidRDefault="00820607"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3 (0,18%)</w:t>
            </w:r>
          </w:p>
        </w:tc>
        <w:tc>
          <w:tcPr>
            <w:tcW w:w="1800" w:type="dxa"/>
            <w:tcBorders>
              <w:top w:val="single" w:sz="4" w:space="0" w:color="auto"/>
              <w:left w:val="single" w:sz="4" w:space="0" w:color="000000"/>
              <w:bottom w:val="single" w:sz="4" w:space="0" w:color="000000"/>
              <w:right w:val="single" w:sz="4" w:space="0" w:color="000000"/>
            </w:tcBorders>
            <w:hideMark/>
          </w:tcPr>
          <w:p w14:paraId="0D3A3314" w14:textId="77777777" w:rsidR="00820607" w:rsidRPr="00220369" w:rsidRDefault="00820607"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4 (0,16%)</w:t>
            </w:r>
          </w:p>
        </w:tc>
        <w:tc>
          <w:tcPr>
            <w:tcW w:w="1881" w:type="dxa"/>
            <w:tcBorders>
              <w:top w:val="single" w:sz="4" w:space="0" w:color="auto"/>
              <w:left w:val="single" w:sz="4" w:space="0" w:color="000000"/>
              <w:bottom w:val="single" w:sz="4" w:space="0" w:color="auto"/>
              <w:right w:val="single" w:sz="4" w:space="0" w:color="000000"/>
            </w:tcBorders>
          </w:tcPr>
          <w:p w14:paraId="0CC635B3" w14:textId="77777777" w:rsidR="00820607" w:rsidRPr="00220369" w:rsidRDefault="00820607"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5 (0,37%)</w:t>
            </w:r>
          </w:p>
        </w:tc>
      </w:tr>
      <w:tr w:rsidR="005731F0" w:rsidRPr="00220369" w14:paraId="40A9E15D" w14:textId="77777777" w:rsidTr="002F59D9">
        <w:trPr>
          <w:gridAfter w:val="1"/>
          <w:wAfter w:w="2354" w:type="dxa"/>
          <w:trHeight w:val="381"/>
        </w:trPr>
        <w:tc>
          <w:tcPr>
            <w:tcW w:w="9802" w:type="dxa"/>
            <w:gridSpan w:val="5"/>
            <w:tcBorders>
              <w:top w:val="single" w:sz="4" w:space="0" w:color="000000"/>
              <w:left w:val="single" w:sz="4" w:space="0" w:color="000000"/>
              <w:bottom w:val="single" w:sz="4" w:space="0" w:color="000000"/>
              <w:right w:val="single" w:sz="4" w:space="0" w:color="000000"/>
            </w:tcBorders>
            <w:hideMark/>
          </w:tcPr>
          <w:p w14:paraId="3E00D2F5"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b/>
                <w:sz w:val="22"/>
                <w:szCs w:val="22"/>
                <w:lang w:val="sr-Latn-ME"/>
              </w:rPr>
              <w:t>Ispitivanja</w:t>
            </w:r>
          </w:p>
        </w:tc>
      </w:tr>
      <w:tr w:rsidR="005731F0" w:rsidRPr="00220369" w14:paraId="12C77E8B" w14:textId="77777777" w:rsidTr="002F59D9">
        <w:trPr>
          <w:gridAfter w:val="1"/>
          <w:wAfter w:w="2354" w:type="dxa"/>
          <w:trHeight w:val="638"/>
        </w:trPr>
        <w:tc>
          <w:tcPr>
            <w:tcW w:w="1900" w:type="dxa"/>
            <w:vMerge w:val="restart"/>
            <w:tcBorders>
              <w:top w:val="single" w:sz="4" w:space="0" w:color="000000"/>
              <w:left w:val="single" w:sz="4" w:space="0" w:color="000000"/>
              <w:bottom w:val="single" w:sz="4" w:space="0" w:color="000000"/>
              <w:right w:val="single" w:sz="4" w:space="0" w:color="000000"/>
            </w:tcBorders>
            <w:vAlign w:val="center"/>
            <w:hideMark/>
          </w:tcPr>
          <w:p w14:paraId="503776E3"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b/>
                <w:i/>
                <w:sz w:val="22"/>
                <w:szCs w:val="22"/>
                <w:lang w:val="sr-Latn-ME"/>
              </w:rPr>
              <w:t>Povremeno</w:t>
            </w:r>
          </w:p>
        </w:tc>
        <w:tc>
          <w:tcPr>
            <w:tcW w:w="2599" w:type="dxa"/>
            <w:tcBorders>
              <w:top w:val="single" w:sz="4" w:space="0" w:color="000000"/>
              <w:left w:val="single" w:sz="4" w:space="0" w:color="000000"/>
              <w:bottom w:val="single" w:sz="4" w:space="0" w:color="000000"/>
              <w:right w:val="single" w:sz="4" w:space="0" w:color="000000"/>
            </w:tcBorders>
            <w:hideMark/>
          </w:tcPr>
          <w:p w14:paraId="7AD8D4F4" w14:textId="36763BCF"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Povećana vrijednost gama glutamiltransfera</w:t>
            </w:r>
            <w:r w:rsidR="0083045E" w:rsidRPr="00220369">
              <w:rPr>
                <w:rFonts w:ascii="Times New Roman" w:hAnsi="Times New Roman"/>
                <w:b/>
                <w:i/>
                <w:sz w:val="22"/>
                <w:szCs w:val="22"/>
                <w:lang w:val="sr-Latn-ME"/>
              </w:rPr>
              <w:t>z</w:t>
            </w:r>
            <w:r w:rsidRPr="00220369">
              <w:rPr>
                <w:rFonts w:ascii="Times New Roman" w:hAnsi="Times New Roman"/>
                <w:b/>
                <w:i/>
                <w:sz w:val="22"/>
                <w:szCs w:val="22"/>
                <w:lang w:val="sr-Latn-ME"/>
              </w:rPr>
              <w:t xml:space="preserve">e </w:t>
            </w:r>
          </w:p>
        </w:tc>
        <w:tc>
          <w:tcPr>
            <w:tcW w:w="1622" w:type="dxa"/>
            <w:tcBorders>
              <w:top w:val="single" w:sz="4" w:space="0" w:color="000000"/>
              <w:left w:val="single" w:sz="4" w:space="0" w:color="000000"/>
              <w:bottom w:val="single" w:sz="4" w:space="0" w:color="000000"/>
              <w:right w:val="single" w:sz="4" w:space="0" w:color="000000"/>
            </w:tcBorders>
            <w:vAlign w:val="center"/>
            <w:hideMark/>
          </w:tcPr>
          <w:p w14:paraId="6B6E8375"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sz w:val="22"/>
                <w:szCs w:val="22"/>
                <w:lang w:val="sr-Latn-ME"/>
              </w:rPr>
              <w:t xml:space="preserve"> 7 (0.41%)</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9B61239"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8 (0.32%)</w:t>
            </w:r>
          </w:p>
        </w:tc>
        <w:tc>
          <w:tcPr>
            <w:tcW w:w="1881" w:type="dxa"/>
            <w:tcBorders>
              <w:top w:val="single" w:sz="4" w:space="0" w:color="000000"/>
              <w:left w:val="single" w:sz="4" w:space="0" w:color="000000"/>
              <w:bottom w:val="single" w:sz="4" w:space="0" w:color="000000"/>
              <w:right w:val="single" w:sz="4" w:space="0" w:color="000000"/>
            </w:tcBorders>
          </w:tcPr>
          <w:p w14:paraId="28E5CBC8" w14:textId="77777777" w:rsidR="005731F0" w:rsidRPr="00220369" w:rsidRDefault="005731F0" w:rsidP="00E6784B">
            <w:pPr>
              <w:tabs>
                <w:tab w:val="left" w:pos="284"/>
              </w:tabs>
              <w:spacing w:before="240"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2 (0.15%)</w:t>
            </w:r>
          </w:p>
        </w:tc>
      </w:tr>
      <w:tr w:rsidR="005731F0" w:rsidRPr="00220369" w14:paraId="3D46F076" w14:textId="77777777" w:rsidTr="002F59D9">
        <w:trPr>
          <w:gridAfter w:val="1"/>
          <w:wAfter w:w="2354" w:type="dxa"/>
          <w:trHeight w:val="6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4E4788"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781AE63F" w14:textId="55555D9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Povećana vrijednost alanin aminotransfe</w:t>
            </w:r>
            <w:r w:rsidR="0083045E" w:rsidRPr="00220369">
              <w:rPr>
                <w:rFonts w:ascii="Times New Roman" w:hAnsi="Times New Roman"/>
                <w:b/>
                <w:i/>
                <w:sz w:val="22"/>
                <w:szCs w:val="22"/>
                <w:lang w:val="sr-Latn-ME"/>
              </w:rPr>
              <w:t>r</w:t>
            </w:r>
            <w:r w:rsidRPr="00220369">
              <w:rPr>
                <w:rFonts w:ascii="Times New Roman" w:hAnsi="Times New Roman"/>
                <w:b/>
                <w:i/>
                <w:sz w:val="22"/>
                <w:szCs w:val="22"/>
                <w:lang w:val="sr-Latn-ME"/>
              </w:rPr>
              <w:t>aze</w:t>
            </w:r>
          </w:p>
        </w:tc>
        <w:tc>
          <w:tcPr>
            <w:tcW w:w="1622" w:type="dxa"/>
            <w:tcBorders>
              <w:top w:val="single" w:sz="4" w:space="0" w:color="000000"/>
              <w:left w:val="single" w:sz="4" w:space="0" w:color="000000"/>
              <w:bottom w:val="single" w:sz="4" w:space="0" w:color="000000"/>
              <w:right w:val="single" w:sz="4" w:space="0" w:color="000000"/>
            </w:tcBorders>
            <w:vAlign w:val="center"/>
            <w:hideMark/>
          </w:tcPr>
          <w:p w14:paraId="3B0007C8"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sz w:val="22"/>
                <w:szCs w:val="22"/>
                <w:lang w:val="sr-Latn-ME"/>
              </w:rPr>
              <w:t xml:space="preserve"> 5 (0,30%)</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B37581B"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5 (0,20%)</w:t>
            </w:r>
          </w:p>
        </w:tc>
        <w:tc>
          <w:tcPr>
            <w:tcW w:w="1881" w:type="dxa"/>
            <w:tcBorders>
              <w:top w:val="single" w:sz="4" w:space="0" w:color="000000"/>
              <w:left w:val="single" w:sz="4" w:space="0" w:color="000000"/>
              <w:bottom w:val="single" w:sz="4" w:space="0" w:color="000000"/>
              <w:right w:val="single" w:sz="4" w:space="0" w:color="000000"/>
            </w:tcBorders>
          </w:tcPr>
          <w:p w14:paraId="653BAC1E" w14:textId="77777777" w:rsidR="005731F0" w:rsidRPr="00220369" w:rsidRDefault="005731F0" w:rsidP="00E6784B">
            <w:pPr>
              <w:tabs>
                <w:tab w:val="left" w:pos="284"/>
              </w:tabs>
              <w:spacing w:before="240" w:line="256" w:lineRule="auto"/>
              <w:jc w:val="both"/>
              <w:rPr>
                <w:rFonts w:ascii="Times New Roman" w:hAnsi="Times New Roman"/>
                <w:sz w:val="22"/>
                <w:szCs w:val="22"/>
                <w:lang w:val="sr-Latn-ME"/>
              </w:rPr>
            </w:pPr>
            <w:r w:rsidRPr="00220369">
              <w:rPr>
                <w:rFonts w:ascii="Times New Roman" w:hAnsi="Times New Roman"/>
                <w:sz w:val="22"/>
                <w:szCs w:val="22"/>
                <w:lang w:val="sr-Latn-ME"/>
              </w:rPr>
              <w:t>3 (0.22%)</w:t>
            </w:r>
          </w:p>
        </w:tc>
      </w:tr>
      <w:tr w:rsidR="005731F0" w:rsidRPr="00220369" w14:paraId="3AC617DA" w14:textId="77777777" w:rsidTr="002F59D9">
        <w:trPr>
          <w:gridAfter w:val="1"/>
          <w:wAfter w:w="2354" w:type="dxa"/>
          <w:trHeight w:val="6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83B87B"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094929D1"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Povećana vrijednost aspartat aminotransferaze</w:t>
            </w:r>
          </w:p>
        </w:tc>
        <w:tc>
          <w:tcPr>
            <w:tcW w:w="1622" w:type="dxa"/>
            <w:tcBorders>
              <w:top w:val="single" w:sz="4" w:space="0" w:color="000000"/>
              <w:left w:val="single" w:sz="4" w:space="0" w:color="000000"/>
              <w:bottom w:val="single" w:sz="4" w:space="0" w:color="000000"/>
              <w:right w:val="single" w:sz="4" w:space="0" w:color="000000"/>
            </w:tcBorders>
            <w:vAlign w:val="center"/>
            <w:hideMark/>
          </w:tcPr>
          <w:p w14:paraId="56D5F650"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sz w:val="22"/>
                <w:szCs w:val="22"/>
                <w:lang w:val="sr-Latn-ME"/>
              </w:rPr>
              <w:t xml:space="preserve"> 3 (0,18%)</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9574E86"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3 (0,12%)</w:t>
            </w:r>
          </w:p>
        </w:tc>
        <w:tc>
          <w:tcPr>
            <w:tcW w:w="1881" w:type="dxa"/>
            <w:tcBorders>
              <w:top w:val="single" w:sz="4" w:space="0" w:color="000000"/>
              <w:left w:val="single" w:sz="4" w:space="0" w:color="000000"/>
              <w:bottom w:val="single" w:sz="4" w:space="0" w:color="000000"/>
              <w:right w:val="single" w:sz="4" w:space="0" w:color="000000"/>
            </w:tcBorders>
          </w:tcPr>
          <w:p w14:paraId="556C675C" w14:textId="77777777" w:rsidR="005731F0" w:rsidRPr="00220369" w:rsidRDefault="005731F0" w:rsidP="00E6784B">
            <w:pPr>
              <w:tabs>
                <w:tab w:val="left" w:pos="284"/>
              </w:tabs>
              <w:spacing w:before="240"/>
              <w:jc w:val="both"/>
              <w:rPr>
                <w:rFonts w:ascii="Times New Roman" w:hAnsi="Times New Roman"/>
                <w:sz w:val="22"/>
                <w:szCs w:val="22"/>
                <w:lang w:val="sr-Latn-ME"/>
              </w:rPr>
            </w:pPr>
            <w:r w:rsidRPr="00220369">
              <w:rPr>
                <w:rFonts w:ascii="Times New Roman" w:hAnsi="Times New Roman"/>
                <w:sz w:val="22"/>
                <w:szCs w:val="22"/>
                <w:lang w:val="sr-Latn-ME"/>
              </w:rPr>
              <w:t>3 (0.22%)</w:t>
            </w:r>
          </w:p>
        </w:tc>
      </w:tr>
      <w:tr w:rsidR="005731F0" w:rsidRPr="00220369" w14:paraId="2BEFF090" w14:textId="77777777" w:rsidTr="002F59D9">
        <w:trPr>
          <w:gridAfter w:val="1"/>
          <w:wAfter w:w="2354" w:type="dxa"/>
          <w:trHeight w:val="6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8DE175"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4A0F287C" w14:textId="77777777"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Povećana vrijednost kreatinina u krvi</w:t>
            </w:r>
          </w:p>
        </w:tc>
        <w:tc>
          <w:tcPr>
            <w:tcW w:w="1622" w:type="dxa"/>
            <w:tcBorders>
              <w:top w:val="single" w:sz="4" w:space="0" w:color="000000"/>
              <w:left w:val="single" w:sz="4" w:space="0" w:color="000000"/>
              <w:bottom w:val="single" w:sz="4" w:space="0" w:color="000000"/>
              <w:right w:val="single" w:sz="4" w:space="0" w:color="000000"/>
            </w:tcBorders>
            <w:vAlign w:val="center"/>
            <w:hideMark/>
          </w:tcPr>
          <w:p w14:paraId="4290F4DD"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sz w:val="22"/>
                <w:szCs w:val="22"/>
                <w:lang w:val="sr-Latn-ME"/>
              </w:rPr>
              <w:t xml:space="preserve"> 2 (0,12%)</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E0E97A1"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 (0,08%)</w:t>
            </w:r>
          </w:p>
        </w:tc>
        <w:tc>
          <w:tcPr>
            <w:tcW w:w="1881" w:type="dxa"/>
            <w:tcBorders>
              <w:top w:val="single" w:sz="4" w:space="0" w:color="000000"/>
              <w:left w:val="single" w:sz="4" w:space="0" w:color="000000"/>
              <w:bottom w:val="single" w:sz="4" w:space="0" w:color="000000"/>
              <w:right w:val="single" w:sz="4" w:space="0" w:color="000000"/>
            </w:tcBorders>
          </w:tcPr>
          <w:p w14:paraId="20DBD10F" w14:textId="77777777" w:rsidR="005731F0" w:rsidRPr="00220369" w:rsidRDefault="005731F0" w:rsidP="00E6784B">
            <w:pPr>
              <w:tabs>
                <w:tab w:val="left" w:pos="284"/>
              </w:tabs>
              <w:spacing w:before="240"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0 (0.0%)</w:t>
            </w:r>
          </w:p>
        </w:tc>
      </w:tr>
      <w:tr w:rsidR="005731F0" w:rsidRPr="00220369" w14:paraId="4A5018AE" w14:textId="77777777" w:rsidTr="002F59D9">
        <w:trPr>
          <w:gridAfter w:val="1"/>
          <w:wAfter w:w="2354" w:type="dxa"/>
          <w:trHeight w:val="6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EC7C0F"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hideMark/>
          </w:tcPr>
          <w:p w14:paraId="41602AAF" w14:textId="70E147D1"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Povećana vrijednost triglicerida u krvi</w:t>
            </w:r>
          </w:p>
        </w:tc>
        <w:tc>
          <w:tcPr>
            <w:tcW w:w="1622" w:type="dxa"/>
            <w:tcBorders>
              <w:top w:val="single" w:sz="4" w:space="0" w:color="000000"/>
              <w:left w:val="single" w:sz="4" w:space="0" w:color="000000"/>
              <w:bottom w:val="single" w:sz="4" w:space="0" w:color="000000"/>
              <w:right w:val="single" w:sz="4" w:space="0" w:color="000000"/>
            </w:tcBorders>
            <w:hideMark/>
          </w:tcPr>
          <w:p w14:paraId="2152503F"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sz w:val="22"/>
                <w:szCs w:val="22"/>
                <w:lang w:val="sr-Latn-ME"/>
              </w:rPr>
              <w:t>2 (0,12%)</w:t>
            </w:r>
          </w:p>
        </w:tc>
        <w:tc>
          <w:tcPr>
            <w:tcW w:w="1800" w:type="dxa"/>
            <w:tcBorders>
              <w:top w:val="single" w:sz="4" w:space="0" w:color="000000"/>
              <w:left w:val="single" w:sz="4" w:space="0" w:color="000000"/>
              <w:bottom w:val="single" w:sz="4" w:space="0" w:color="000000"/>
              <w:right w:val="single" w:sz="4" w:space="0" w:color="000000"/>
            </w:tcBorders>
            <w:hideMark/>
          </w:tcPr>
          <w:p w14:paraId="6DDD3E1A"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2 (0,08%)</w:t>
            </w:r>
          </w:p>
        </w:tc>
        <w:tc>
          <w:tcPr>
            <w:tcW w:w="1881" w:type="dxa"/>
            <w:tcBorders>
              <w:top w:val="single" w:sz="4" w:space="0" w:color="000000"/>
              <w:left w:val="single" w:sz="4" w:space="0" w:color="000000"/>
              <w:bottom w:val="single" w:sz="4" w:space="0" w:color="000000"/>
              <w:right w:val="single" w:sz="4" w:space="0" w:color="000000"/>
            </w:tcBorders>
          </w:tcPr>
          <w:p w14:paraId="5BA454A5" w14:textId="77777777" w:rsidR="005731F0" w:rsidRPr="00220369" w:rsidRDefault="005731F0" w:rsidP="00E6784B">
            <w:pPr>
              <w:tabs>
                <w:tab w:val="left" w:pos="284"/>
              </w:tabs>
              <w:spacing w:before="240"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3 (0.22%)</w:t>
            </w:r>
          </w:p>
        </w:tc>
      </w:tr>
      <w:tr w:rsidR="005731F0" w:rsidRPr="00220369" w14:paraId="04252CE9" w14:textId="77777777" w:rsidTr="002F59D9">
        <w:trPr>
          <w:gridAfter w:val="1"/>
          <w:wAfter w:w="2354" w:type="dxa"/>
          <w:trHeight w:val="384"/>
        </w:trPr>
        <w:tc>
          <w:tcPr>
            <w:tcW w:w="0" w:type="auto"/>
            <w:vMerge/>
            <w:tcBorders>
              <w:top w:val="single" w:sz="4" w:space="0" w:color="000000"/>
              <w:left w:val="single" w:sz="4" w:space="0" w:color="000000"/>
              <w:bottom w:val="single" w:sz="4" w:space="0" w:color="000000"/>
              <w:right w:val="single" w:sz="4" w:space="0" w:color="000000"/>
            </w:tcBorders>
            <w:vAlign w:val="center"/>
          </w:tcPr>
          <w:p w14:paraId="7DCFA3C6" w14:textId="77777777" w:rsidR="005731F0" w:rsidRPr="00220369" w:rsidRDefault="005731F0" w:rsidP="00E6784B">
            <w:pPr>
              <w:tabs>
                <w:tab w:val="left" w:pos="284"/>
              </w:tabs>
              <w:jc w:val="both"/>
              <w:rPr>
                <w:rFonts w:ascii="Times New Roman" w:hAnsi="Times New Roman"/>
                <w:color w:val="000000"/>
                <w:sz w:val="22"/>
                <w:szCs w:val="22"/>
                <w:lang w:val="sr-Latn-ME"/>
              </w:rPr>
            </w:pPr>
          </w:p>
        </w:tc>
        <w:tc>
          <w:tcPr>
            <w:tcW w:w="2599" w:type="dxa"/>
            <w:tcBorders>
              <w:top w:val="single" w:sz="4" w:space="0" w:color="000000"/>
              <w:left w:val="single" w:sz="4" w:space="0" w:color="000000"/>
              <w:bottom w:val="single" w:sz="4" w:space="0" w:color="000000"/>
              <w:right w:val="single" w:sz="4" w:space="0" w:color="000000"/>
            </w:tcBorders>
          </w:tcPr>
          <w:p w14:paraId="21CAD798" w14:textId="273B979C" w:rsidR="005731F0" w:rsidRPr="00220369" w:rsidRDefault="005731F0" w:rsidP="00E6784B">
            <w:pPr>
              <w:tabs>
                <w:tab w:val="left" w:pos="284"/>
              </w:tabs>
              <w:spacing w:line="256" w:lineRule="auto"/>
              <w:ind w:left="1"/>
              <w:jc w:val="both"/>
              <w:rPr>
                <w:rFonts w:ascii="Times New Roman" w:hAnsi="Times New Roman"/>
                <w:sz w:val="22"/>
                <w:szCs w:val="22"/>
                <w:lang w:val="sr-Latn-ME"/>
              </w:rPr>
            </w:pPr>
            <w:r w:rsidRPr="00220369">
              <w:rPr>
                <w:rFonts w:ascii="Times New Roman" w:hAnsi="Times New Roman"/>
                <w:b/>
                <w:i/>
                <w:sz w:val="22"/>
                <w:szCs w:val="22"/>
                <w:lang w:val="sr-Latn-ME"/>
              </w:rPr>
              <w:t xml:space="preserve">Povećanje tjelesne </w:t>
            </w:r>
            <w:r w:rsidR="00E6784B" w:rsidRPr="00220369">
              <w:rPr>
                <w:rFonts w:ascii="Times New Roman" w:hAnsi="Times New Roman"/>
                <w:b/>
                <w:i/>
                <w:sz w:val="22"/>
                <w:szCs w:val="22"/>
                <w:lang w:val="sr-Latn-ME"/>
              </w:rPr>
              <w:t>težine</w:t>
            </w:r>
          </w:p>
        </w:tc>
        <w:tc>
          <w:tcPr>
            <w:tcW w:w="1622" w:type="dxa"/>
            <w:tcBorders>
              <w:top w:val="single" w:sz="4" w:space="0" w:color="000000"/>
              <w:left w:val="single" w:sz="4" w:space="0" w:color="000000"/>
              <w:bottom w:val="single" w:sz="4" w:space="0" w:color="000000"/>
              <w:right w:val="single" w:sz="4" w:space="0" w:color="000000"/>
            </w:tcBorders>
          </w:tcPr>
          <w:p w14:paraId="7DBDB503"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r w:rsidRPr="00220369">
              <w:rPr>
                <w:rFonts w:ascii="Times New Roman" w:hAnsi="Times New Roman"/>
                <w:sz w:val="22"/>
                <w:szCs w:val="22"/>
                <w:lang w:val="sr-Latn-ME"/>
              </w:rPr>
              <w:t xml:space="preserve"> 8 (0,47%)</w:t>
            </w:r>
          </w:p>
        </w:tc>
        <w:tc>
          <w:tcPr>
            <w:tcW w:w="1800" w:type="dxa"/>
            <w:tcBorders>
              <w:top w:val="single" w:sz="4" w:space="0" w:color="000000"/>
              <w:left w:val="single" w:sz="4" w:space="0" w:color="000000"/>
              <w:bottom w:val="single" w:sz="4" w:space="0" w:color="000000"/>
              <w:right w:val="single" w:sz="4" w:space="0" w:color="000000"/>
            </w:tcBorders>
          </w:tcPr>
          <w:p w14:paraId="71D62946" w14:textId="77777777" w:rsidR="005731F0" w:rsidRPr="00220369" w:rsidRDefault="005731F0" w:rsidP="00E6784B">
            <w:pPr>
              <w:tabs>
                <w:tab w:val="left" w:pos="284"/>
              </w:tabs>
              <w:spacing w:line="256" w:lineRule="auto"/>
              <w:ind w:left="81"/>
              <w:jc w:val="both"/>
              <w:rPr>
                <w:rFonts w:ascii="Times New Roman" w:hAnsi="Times New Roman"/>
                <w:sz w:val="22"/>
                <w:szCs w:val="22"/>
                <w:lang w:val="sr-Latn-ME"/>
              </w:rPr>
            </w:pPr>
            <w:r w:rsidRPr="00220369">
              <w:rPr>
                <w:rFonts w:ascii="Times New Roman" w:hAnsi="Times New Roman"/>
                <w:sz w:val="22"/>
                <w:szCs w:val="22"/>
                <w:lang w:val="sr-Latn-ME"/>
              </w:rPr>
              <w:t>12 (0,48%)</w:t>
            </w:r>
          </w:p>
        </w:tc>
        <w:tc>
          <w:tcPr>
            <w:tcW w:w="1881" w:type="dxa"/>
            <w:tcBorders>
              <w:top w:val="single" w:sz="4" w:space="0" w:color="000000"/>
              <w:left w:val="single" w:sz="4" w:space="0" w:color="000000"/>
              <w:bottom w:val="single" w:sz="4" w:space="0" w:color="000000"/>
              <w:right w:val="single" w:sz="4" w:space="0" w:color="000000"/>
            </w:tcBorders>
          </w:tcPr>
          <w:p w14:paraId="3FFA65EE" w14:textId="77777777" w:rsidR="005731F0" w:rsidRPr="00220369" w:rsidRDefault="005731F0" w:rsidP="00E6784B">
            <w:pPr>
              <w:tabs>
                <w:tab w:val="left" w:pos="284"/>
              </w:tabs>
              <w:spacing w:after="160" w:line="256" w:lineRule="auto"/>
              <w:jc w:val="both"/>
              <w:rPr>
                <w:rFonts w:ascii="Times New Roman" w:hAnsi="Times New Roman"/>
                <w:sz w:val="22"/>
                <w:szCs w:val="22"/>
                <w:lang w:val="sr-Latn-ME"/>
              </w:rPr>
            </w:pPr>
            <w:r w:rsidRPr="00220369">
              <w:rPr>
                <w:rFonts w:ascii="Times New Roman" w:hAnsi="Times New Roman"/>
                <w:sz w:val="22"/>
                <w:szCs w:val="22"/>
                <w:lang w:val="sr-Latn-ME"/>
              </w:rPr>
              <w:t>2 (0,15%)</w:t>
            </w:r>
          </w:p>
        </w:tc>
      </w:tr>
    </w:tbl>
    <w:p w14:paraId="2138AB22" w14:textId="77777777" w:rsidR="005731F0" w:rsidRPr="00220369" w:rsidRDefault="005731F0" w:rsidP="00E6784B">
      <w:pPr>
        <w:tabs>
          <w:tab w:val="left" w:pos="284"/>
        </w:tabs>
        <w:ind w:left="-5" w:right="4"/>
        <w:jc w:val="both"/>
        <w:rPr>
          <w:b/>
          <w:sz w:val="22"/>
          <w:szCs w:val="22"/>
          <w:lang w:val="sr-Latn-ME"/>
        </w:rPr>
      </w:pPr>
    </w:p>
    <w:p w14:paraId="1609EB94" w14:textId="796A2E7E" w:rsidR="005731F0" w:rsidRPr="00220369" w:rsidRDefault="005731F0" w:rsidP="00E6784B">
      <w:pPr>
        <w:tabs>
          <w:tab w:val="left" w:pos="284"/>
        </w:tabs>
        <w:ind w:left="-5" w:right="4"/>
        <w:jc w:val="both"/>
        <w:rPr>
          <w:sz w:val="22"/>
          <w:szCs w:val="22"/>
          <w:lang w:val="sr-Latn-ME"/>
        </w:rPr>
      </w:pPr>
      <w:r w:rsidRPr="00220369">
        <w:rPr>
          <w:bCs/>
          <w:sz w:val="22"/>
          <w:szCs w:val="22"/>
          <w:lang w:val="sr-Latn-ME"/>
        </w:rPr>
        <w:t>Nepoznata učestalost</w:t>
      </w:r>
      <w:r w:rsidRPr="00220369">
        <w:rPr>
          <w:b/>
          <w:sz w:val="22"/>
          <w:szCs w:val="22"/>
          <w:lang w:val="sr-Latn-ME"/>
        </w:rPr>
        <w:t xml:space="preserve"> </w:t>
      </w:r>
      <w:r w:rsidRPr="00220369">
        <w:rPr>
          <w:sz w:val="22"/>
          <w:szCs w:val="22"/>
          <w:lang w:val="sr-Latn-ME"/>
        </w:rPr>
        <w:t>(ne može se proc</w:t>
      </w:r>
      <w:r w:rsidR="00E6784B" w:rsidRPr="00220369">
        <w:rPr>
          <w:sz w:val="22"/>
          <w:szCs w:val="22"/>
          <w:lang w:val="sr-Latn-ME"/>
        </w:rPr>
        <w:t>ij</w:t>
      </w:r>
      <w:r w:rsidRPr="00220369">
        <w:rPr>
          <w:sz w:val="22"/>
          <w:szCs w:val="22"/>
          <w:lang w:val="sr-Latn-ME"/>
        </w:rPr>
        <w:t xml:space="preserve">eniti </w:t>
      </w:r>
      <w:r w:rsidR="00345A4B" w:rsidRPr="00220369">
        <w:rPr>
          <w:sz w:val="22"/>
          <w:szCs w:val="22"/>
          <w:lang w:val="sr-Latn-ME"/>
        </w:rPr>
        <w:t>na osnovu</w:t>
      </w:r>
      <w:r w:rsidRPr="00220369">
        <w:rPr>
          <w:sz w:val="22"/>
          <w:szCs w:val="22"/>
          <w:lang w:val="sr-Latn-ME"/>
        </w:rPr>
        <w:t xml:space="preserve"> dostupnih podataka): </w:t>
      </w:r>
      <w:r w:rsidRPr="00220369">
        <w:rPr>
          <w:bCs/>
          <w:sz w:val="22"/>
          <w:szCs w:val="22"/>
          <w:lang w:val="sr-Latn-ME"/>
        </w:rPr>
        <w:t>palpitacije, tahikardija,</w:t>
      </w:r>
      <w:r w:rsidRPr="00220369">
        <w:rPr>
          <w:sz w:val="22"/>
          <w:szCs w:val="22"/>
          <w:lang w:val="sr-Latn-ME"/>
        </w:rPr>
        <w:t xml:space="preserve"> reakcije preos</w:t>
      </w:r>
      <w:r w:rsidR="0083045E" w:rsidRPr="00220369">
        <w:rPr>
          <w:sz w:val="22"/>
          <w:szCs w:val="22"/>
          <w:lang w:val="sr-Latn-ME"/>
        </w:rPr>
        <w:t>j</w:t>
      </w:r>
      <w:r w:rsidRPr="00220369">
        <w:rPr>
          <w:sz w:val="22"/>
          <w:szCs w:val="22"/>
          <w:lang w:val="sr-Latn-ME"/>
        </w:rPr>
        <w:t>etljivosti (kao što su anafilaksa, angioedem, dispneja, osip, lokalizovani edem/lokaln</w:t>
      </w:r>
      <w:r w:rsidR="00345A4B" w:rsidRPr="00220369">
        <w:rPr>
          <w:sz w:val="22"/>
          <w:szCs w:val="22"/>
          <w:lang w:val="sr-Latn-ME"/>
        </w:rPr>
        <w:t>o</w:t>
      </w:r>
      <w:r w:rsidRPr="00220369">
        <w:rPr>
          <w:sz w:val="22"/>
          <w:szCs w:val="22"/>
          <w:lang w:val="sr-Latn-ME"/>
        </w:rPr>
        <w:t xml:space="preserve"> oticanj</w:t>
      </w:r>
      <w:r w:rsidR="00345A4B" w:rsidRPr="00220369">
        <w:rPr>
          <w:sz w:val="22"/>
          <w:szCs w:val="22"/>
          <w:lang w:val="sr-Latn-ME"/>
        </w:rPr>
        <w:t>e</w:t>
      </w:r>
      <w:r w:rsidRPr="00220369">
        <w:rPr>
          <w:sz w:val="22"/>
          <w:szCs w:val="22"/>
          <w:lang w:val="sr-Latn-ME"/>
        </w:rPr>
        <w:t xml:space="preserve"> i eritem) i povraćanje bili su prijavljen</w:t>
      </w:r>
      <w:r w:rsidR="00345A4B" w:rsidRPr="00220369">
        <w:rPr>
          <w:sz w:val="22"/>
          <w:szCs w:val="22"/>
          <w:lang w:val="sr-Latn-ME"/>
        </w:rPr>
        <w:t>i</w:t>
      </w:r>
      <w:r w:rsidRPr="00220369">
        <w:rPr>
          <w:sz w:val="22"/>
          <w:szCs w:val="22"/>
          <w:lang w:val="sr-Latn-ME"/>
        </w:rPr>
        <w:t xml:space="preserve"> u postmarketinškom periodu.</w:t>
      </w:r>
    </w:p>
    <w:p w14:paraId="159F5766" w14:textId="77777777" w:rsidR="005731F0" w:rsidRPr="00220369" w:rsidRDefault="005731F0" w:rsidP="00E6784B">
      <w:pPr>
        <w:tabs>
          <w:tab w:val="left" w:pos="284"/>
        </w:tabs>
        <w:ind w:left="-5" w:right="4"/>
        <w:jc w:val="both"/>
        <w:rPr>
          <w:color w:val="000000"/>
          <w:sz w:val="22"/>
          <w:szCs w:val="22"/>
          <w:lang w:val="sr-Latn-ME"/>
        </w:rPr>
      </w:pPr>
    </w:p>
    <w:p w14:paraId="1CE8943C" w14:textId="3B703CBD" w:rsidR="005731F0" w:rsidRPr="00220369" w:rsidRDefault="005731F0" w:rsidP="00E6784B">
      <w:pPr>
        <w:tabs>
          <w:tab w:val="left" w:pos="284"/>
        </w:tabs>
        <w:spacing w:line="264" w:lineRule="auto"/>
        <w:ind w:left="-5"/>
        <w:jc w:val="both"/>
        <w:rPr>
          <w:iCs/>
          <w:sz w:val="22"/>
          <w:szCs w:val="22"/>
          <w:u w:val="single"/>
          <w:lang w:val="sr-Latn-ME"/>
        </w:rPr>
      </w:pPr>
      <w:r w:rsidRPr="00220369">
        <w:rPr>
          <w:iCs/>
          <w:sz w:val="22"/>
          <w:szCs w:val="22"/>
          <w:u w:val="single"/>
          <w:lang w:val="sr-Latn-ME"/>
        </w:rPr>
        <w:t>Opis od</w:t>
      </w:r>
      <w:r w:rsidR="0083045E" w:rsidRPr="00220369">
        <w:rPr>
          <w:iCs/>
          <w:sz w:val="22"/>
          <w:szCs w:val="22"/>
          <w:u w:val="single"/>
          <w:lang w:val="sr-Latn-ME"/>
        </w:rPr>
        <w:t>a</w:t>
      </w:r>
      <w:r w:rsidRPr="00220369">
        <w:rPr>
          <w:iCs/>
          <w:sz w:val="22"/>
          <w:szCs w:val="22"/>
          <w:u w:val="single"/>
          <w:lang w:val="sr-Latn-ME"/>
        </w:rPr>
        <w:t>branih neželjenih reakcija kod odraslih i adolescenata</w:t>
      </w:r>
    </w:p>
    <w:p w14:paraId="3BADB496" w14:textId="77777777" w:rsidR="00345A4B" w:rsidRPr="00220369" w:rsidRDefault="00345A4B" w:rsidP="00E6784B">
      <w:pPr>
        <w:tabs>
          <w:tab w:val="left" w:pos="284"/>
        </w:tabs>
        <w:spacing w:line="264" w:lineRule="auto"/>
        <w:ind w:left="-5"/>
        <w:jc w:val="both"/>
        <w:rPr>
          <w:iCs/>
          <w:sz w:val="22"/>
          <w:szCs w:val="22"/>
          <w:u w:val="single"/>
          <w:lang w:val="sr-Latn-ME"/>
        </w:rPr>
      </w:pPr>
    </w:p>
    <w:p w14:paraId="218B93C5" w14:textId="34340075" w:rsidR="005731F0" w:rsidRPr="00220369" w:rsidRDefault="005731F0" w:rsidP="00E6784B">
      <w:pPr>
        <w:tabs>
          <w:tab w:val="left" w:pos="284"/>
        </w:tabs>
        <w:spacing w:after="19"/>
        <w:ind w:left="-5" w:right="4"/>
        <w:jc w:val="both"/>
        <w:rPr>
          <w:sz w:val="22"/>
          <w:szCs w:val="22"/>
          <w:lang w:val="sr-Latn-ME"/>
        </w:rPr>
      </w:pPr>
      <w:r w:rsidRPr="00220369">
        <w:rPr>
          <w:sz w:val="22"/>
          <w:szCs w:val="22"/>
          <w:lang w:val="sr-Latn-ME"/>
        </w:rPr>
        <w:t>Pospanost, glavobolja, vrtoglavica i umor su zab</w:t>
      </w:r>
      <w:r w:rsidR="00E6784B" w:rsidRPr="00220369">
        <w:rPr>
          <w:sz w:val="22"/>
          <w:szCs w:val="22"/>
          <w:lang w:val="sr-Latn-ME"/>
        </w:rPr>
        <w:t>ilj</w:t>
      </w:r>
      <w:r w:rsidRPr="00220369">
        <w:rPr>
          <w:sz w:val="22"/>
          <w:szCs w:val="22"/>
          <w:lang w:val="sr-Latn-ME"/>
        </w:rPr>
        <w:t>eženi kako kod pacijenata koji su primali 20 mg bilastina tako i kod pacijenata koji su primali placebo. Prijavljene učestalosti javljanja u odnosu na placebo iznosile su za pospanost 3,06% naspram 2,86%; za glavobolju 4,01% prema 3,38%; za vrtoglavicu 0,83% naspram  0,59% i za umor 0,83% prema 1,32%.</w:t>
      </w:r>
    </w:p>
    <w:p w14:paraId="02B0BB78" w14:textId="77777777" w:rsidR="005731F0" w:rsidRPr="00220369" w:rsidRDefault="005731F0" w:rsidP="00E6784B">
      <w:pPr>
        <w:tabs>
          <w:tab w:val="left" w:pos="284"/>
        </w:tabs>
        <w:spacing w:after="19"/>
        <w:ind w:left="-5" w:right="4"/>
        <w:jc w:val="both"/>
        <w:rPr>
          <w:sz w:val="22"/>
          <w:szCs w:val="22"/>
          <w:lang w:val="sr-Latn-ME"/>
        </w:rPr>
      </w:pPr>
    </w:p>
    <w:p w14:paraId="5114A855" w14:textId="5EDD5121" w:rsidR="005731F0" w:rsidRPr="00220369" w:rsidRDefault="005731F0" w:rsidP="00E6784B">
      <w:pPr>
        <w:tabs>
          <w:tab w:val="left" w:pos="284"/>
        </w:tabs>
        <w:ind w:left="-5" w:right="4"/>
        <w:jc w:val="both"/>
        <w:rPr>
          <w:sz w:val="22"/>
          <w:szCs w:val="22"/>
          <w:lang w:val="sr-Latn-ME"/>
        </w:rPr>
      </w:pPr>
      <w:r w:rsidRPr="00220369">
        <w:rPr>
          <w:sz w:val="22"/>
          <w:szCs w:val="22"/>
          <w:lang w:val="sr-Latn-ME"/>
        </w:rPr>
        <w:t>Informacije dobijene tokom postmarketinškog perioda potvrdile su bezbjednosni profil koji je utvr</w:t>
      </w:r>
      <w:r w:rsidR="0083045E" w:rsidRPr="00220369">
        <w:rPr>
          <w:sz w:val="22"/>
          <w:szCs w:val="22"/>
          <w:lang w:val="sr-Latn-ME"/>
        </w:rPr>
        <w:t>đ</w:t>
      </w:r>
      <w:r w:rsidRPr="00220369">
        <w:rPr>
          <w:sz w:val="22"/>
          <w:szCs w:val="22"/>
          <w:lang w:val="sr-Latn-ME"/>
        </w:rPr>
        <w:t>en tokom kliničkog razvoja.</w:t>
      </w:r>
    </w:p>
    <w:p w14:paraId="208AB87F" w14:textId="77777777" w:rsidR="005731F0" w:rsidRPr="00220369" w:rsidRDefault="005731F0" w:rsidP="00E6784B">
      <w:pPr>
        <w:tabs>
          <w:tab w:val="left" w:pos="284"/>
        </w:tabs>
        <w:ind w:left="-5" w:right="4"/>
        <w:jc w:val="both"/>
        <w:rPr>
          <w:sz w:val="22"/>
          <w:szCs w:val="22"/>
          <w:lang w:val="sr-Latn-ME"/>
        </w:rPr>
      </w:pPr>
    </w:p>
    <w:p w14:paraId="55293A58" w14:textId="6B7E5479" w:rsidR="00345A4B" w:rsidRPr="00220369" w:rsidRDefault="005731F0" w:rsidP="00E6784B">
      <w:pPr>
        <w:tabs>
          <w:tab w:val="left" w:pos="284"/>
        </w:tabs>
        <w:jc w:val="both"/>
        <w:rPr>
          <w:sz w:val="22"/>
          <w:szCs w:val="22"/>
          <w:u w:val="single"/>
          <w:lang w:val="sr-Latn-ME"/>
        </w:rPr>
      </w:pPr>
      <w:r w:rsidRPr="00220369">
        <w:rPr>
          <w:sz w:val="22"/>
          <w:szCs w:val="22"/>
          <w:u w:val="single"/>
          <w:lang w:val="sr-Latn-ME"/>
        </w:rPr>
        <w:t>Sažetak bezbjednosnog profila u pedijatrijskoj populaciji</w:t>
      </w:r>
    </w:p>
    <w:p w14:paraId="2216B0DF" w14:textId="77777777" w:rsidR="00345A4B" w:rsidRPr="00220369" w:rsidRDefault="00345A4B" w:rsidP="00E6784B">
      <w:pPr>
        <w:tabs>
          <w:tab w:val="left" w:pos="284"/>
        </w:tabs>
        <w:jc w:val="both"/>
        <w:rPr>
          <w:sz w:val="22"/>
          <w:szCs w:val="22"/>
          <w:u w:val="single"/>
          <w:lang w:val="sr-Latn-ME"/>
        </w:rPr>
      </w:pPr>
    </w:p>
    <w:p w14:paraId="6F31C606" w14:textId="77777777" w:rsidR="005731F0" w:rsidRPr="00220369" w:rsidRDefault="005731F0" w:rsidP="00E6784B">
      <w:pPr>
        <w:tabs>
          <w:tab w:val="left" w:pos="284"/>
        </w:tabs>
        <w:ind w:left="-5" w:right="4"/>
        <w:jc w:val="both"/>
        <w:rPr>
          <w:sz w:val="22"/>
          <w:szCs w:val="22"/>
          <w:lang w:val="sr-Latn-ME"/>
        </w:rPr>
      </w:pPr>
      <w:r w:rsidRPr="00220369">
        <w:rPr>
          <w:sz w:val="22"/>
          <w:szCs w:val="22"/>
          <w:lang w:val="sr-Latn-ME"/>
        </w:rPr>
        <w:t>Tokom kliničkog razvoja, frekvencija, vrsta i težina neželjenih reakcija kod adolescenata (uzrasta od 12 do 17 godina) su bile iste kao kod odraslih osoba. Informacije prikupljene u ovoj populaciji (adolescenti) tokom postmarketinškog perioda potvrdile su nalaze kliničkih studija.</w:t>
      </w:r>
    </w:p>
    <w:p w14:paraId="6386D761" w14:textId="77777777" w:rsidR="005731F0" w:rsidRPr="00220369" w:rsidRDefault="005731F0" w:rsidP="00E6784B">
      <w:pPr>
        <w:tabs>
          <w:tab w:val="left" w:pos="284"/>
        </w:tabs>
        <w:ind w:left="-5" w:right="4"/>
        <w:jc w:val="both"/>
        <w:rPr>
          <w:noProof/>
          <w:sz w:val="22"/>
          <w:szCs w:val="22"/>
          <w:lang w:val="sr-Latn-ME"/>
        </w:rPr>
      </w:pPr>
    </w:p>
    <w:p w14:paraId="4701802D" w14:textId="687B9EF7" w:rsidR="005731F0" w:rsidRPr="00220369" w:rsidRDefault="005731F0" w:rsidP="00E6784B">
      <w:pPr>
        <w:tabs>
          <w:tab w:val="left" w:pos="284"/>
        </w:tabs>
        <w:ind w:left="-5" w:right="4"/>
        <w:jc w:val="both"/>
        <w:rPr>
          <w:noProof/>
          <w:sz w:val="22"/>
          <w:szCs w:val="22"/>
          <w:lang w:val="sr-Latn-ME"/>
        </w:rPr>
      </w:pPr>
      <w:r w:rsidRPr="00220369">
        <w:rPr>
          <w:noProof/>
          <w:sz w:val="22"/>
          <w:szCs w:val="22"/>
          <w:lang w:val="sr-Latn-ME"/>
        </w:rPr>
        <w:t>U 12-onedeljnoj kontrolisanoj kliničkoj studiji, procenat djece (uzrasta od 2 do 11 godina) koja su prijavila neželjene reakcije nakon primjene 10 mg bilastina za liječenje alergijskog rinokonju</w:t>
      </w:r>
      <w:r w:rsidR="00035D8E" w:rsidRPr="00220369">
        <w:rPr>
          <w:noProof/>
          <w:sz w:val="22"/>
          <w:szCs w:val="22"/>
          <w:lang w:val="sr-Latn-ME"/>
        </w:rPr>
        <w:t>n</w:t>
      </w:r>
      <w:r w:rsidRPr="00220369">
        <w:rPr>
          <w:noProof/>
          <w:sz w:val="22"/>
          <w:szCs w:val="22"/>
          <w:lang w:val="sr-Latn-ME"/>
        </w:rPr>
        <w:t xml:space="preserve">ktivitisa ili hronične idiopatske urtikarije, bio je uporediv sa procentom neželjenih reakcija kod </w:t>
      </w:r>
      <w:r w:rsidR="00345A4B" w:rsidRPr="00220369">
        <w:rPr>
          <w:noProof/>
          <w:sz w:val="22"/>
          <w:szCs w:val="22"/>
          <w:lang w:val="sr-Latn-ME"/>
        </w:rPr>
        <w:t>pacijenata</w:t>
      </w:r>
      <w:r w:rsidRPr="00220369">
        <w:rPr>
          <w:noProof/>
          <w:sz w:val="22"/>
          <w:szCs w:val="22"/>
          <w:lang w:val="sr-Latn-ME"/>
        </w:rPr>
        <w:t xml:space="preserve"> koji su uzimali placebo (68.5% naspram 67.5%).</w:t>
      </w:r>
    </w:p>
    <w:p w14:paraId="1F9F1352" w14:textId="77777777" w:rsidR="005731F0" w:rsidRPr="00220369" w:rsidRDefault="005731F0" w:rsidP="00E6784B">
      <w:pPr>
        <w:tabs>
          <w:tab w:val="left" w:pos="284"/>
        </w:tabs>
        <w:ind w:left="-5" w:right="4"/>
        <w:jc w:val="both"/>
        <w:rPr>
          <w:noProof/>
          <w:sz w:val="22"/>
          <w:szCs w:val="22"/>
          <w:lang w:val="sr-Latn-ME"/>
        </w:rPr>
      </w:pPr>
    </w:p>
    <w:p w14:paraId="34B4E384" w14:textId="13C8726F" w:rsidR="005731F0" w:rsidRPr="00220369" w:rsidRDefault="005731F0" w:rsidP="00E6784B">
      <w:pPr>
        <w:tabs>
          <w:tab w:val="left" w:pos="284"/>
        </w:tabs>
        <w:ind w:left="-5" w:right="4"/>
        <w:jc w:val="both"/>
        <w:rPr>
          <w:noProof/>
          <w:sz w:val="22"/>
          <w:szCs w:val="22"/>
          <w:lang w:val="sr-Latn-ME"/>
        </w:rPr>
      </w:pPr>
      <w:r w:rsidRPr="00220369">
        <w:rPr>
          <w:noProof/>
          <w:sz w:val="22"/>
          <w:szCs w:val="22"/>
          <w:lang w:val="sr-Latn-ME"/>
        </w:rPr>
        <w:t>Najčešće neželjene reakcije prijavljene kod 291 djeteta (uzrasta od 2 do 11 godina) koji su primali bilastin (orodisperzibilne tablete) tokom kliničkih studija (</w:t>
      </w:r>
      <w:r w:rsidR="00417D59" w:rsidRPr="00220369">
        <w:rPr>
          <w:noProof/>
          <w:sz w:val="22"/>
          <w:szCs w:val="22"/>
          <w:lang w:val="sr-Latn-ME"/>
        </w:rPr>
        <w:t>#</w:t>
      </w:r>
      <w:r w:rsidRPr="00220369">
        <w:rPr>
          <w:noProof/>
          <w:sz w:val="22"/>
          <w:szCs w:val="22"/>
          <w:lang w:val="sr-Latn-ME"/>
        </w:rPr>
        <w:t>260 djece je uključeno u kliničke studije o bezbjednosti, dok je 31 dijete uključeno u farmakokinetičke studije) bile su glavobolja, alergijski konju</w:t>
      </w:r>
      <w:r w:rsidR="00035D8E" w:rsidRPr="00220369">
        <w:rPr>
          <w:noProof/>
          <w:sz w:val="22"/>
          <w:szCs w:val="22"/>
          <w:lang w:val="sr-Latn-ME"/>
        </w:rPr>
        <w:t>n</w:t>
      </w:r>
      <w:r w:rsidRPr="00220369">
        <w:rPr>
          <w:noProof/>
          <w:sz w:val="22"/>
          <w:szCs w:val="22"/>
          <w:lang w:val="sr-Latn-ME"/>
        </w:rPr>
        <w:t>ktivitis, rinitis i abd</w:t>
      </w:r>
      <w:r w:rsidR="00035D8E" w:rsidRPr="00220369">
        <w:rPr>
          <w:noProof/>
          <w:sz w:val="22"/>
          <w:szCs w:val="22"/>
          <w:lang w:val="sr-Latn-ME"/>
        </w:rPr>
        <w:t>o</w:t>
      </w:r>
      <w:r w:rsidRPr="00220369">
        <w:rPr>
          <w:noProof/>
          <w:sz w:val="22"/>
          <w:szCs w:val="22"/>
          <w:lang w:val="sr-Latn-ME"/>
        </w:rPr>
        <w:t>minalni bol. Ove neželjene reakcije su se javile sa uporedivom učestalošću kod 249 pacijenata koji su prim</w:t>
      </w:r>
      <w:r w:rsidR="00417D59" w:rsidRPr="00220369">
        <w:rPr>
          <w:noProof/>
          <w:sz w:val="22"/>
          <w:szCs w:val="22"/>
          <w:lang w:val="sr-Latn-ME"/>
        </w:rPr>
        <w:t>a</w:t>
      </w:r>
      <w:r w:rsidRPr="00220369">
        <w:rPr>
          <w:noProof/>
          <w:sz w:val="22"/>
          <w:szCs w:val="22"/>
          <w:lang w:val="sr-Latn-ME"/>
        </w:rPr>
        <w:t>li placebo.</w:t>
      </w:r>
    </w:p>
    <w:p w14:paraId="1A8917AC" w14:textId="77777777" w:rsidR="005731F0" w:rsidRPr="00220369" w:rsidRDefault="005731F0" w:rsidP="00E6784B">
      <w:pPr>
        <w:tabs>
          <w:tab w:val="left" w:pos="284"/>
        </w:tabs>
        <w:ind w:left="-5" w:right="4"/>
        <w:jc w:val="both"/>
        <w:rPr>
          <w:noProof/>
          <w:sz w:val="22"/>
          <w:szCs w:val="22"/>
          <w:lang w:val="sr-Latn-ME"/>
        </w:rPr>
      </w:pPr>
    </w:p>
    <w:p w14:paraId="185DD75C" w14:textId="13CFF088"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lastRenderedPageBreak/>
        <w:t>Tabelarni sažetak neželjenih reakcija u pedijatrijskoj populaciji</w:t>
      </w:r>
    </w:p>
    <w:p w14:paraId="2B4B5BA9" w14:textId="77777777" w:rsidR="00417D59" w:rsidRPr="00220369" w:rsidRDefault="00417D59" w:rsidP="00E6784B">
      <w:pPr>
        <w:tabs>
          <w:tab w:val="left" w:pos="284"/>
        </w:tabs>
        <w:jc w:val="both"/>
        <w:rPr>
          <w:sz w:val="22"/>
          <w:szCs w:val="22"/>
          <w:u w:val="single"/>
          <w:lang w:val="sr-Latn-ME"/>
        </w:rPr>
      </w:pPr>
    </w:p>
    <w:p w14:paraId="631BAEE6" w14:textId="77777777" w:rsidR="005731F0" w:rsidRPr="00220369" w:rsidRDefault="005731F0" w:rsidP="00E6784B">
      <w:pPr>
        <w:tabs>
          <w:tab w:val="left" w:pos="284"/>
        </w:tabs>
        <w:ind w:left="-5" w:right="4"/>
        <w:jc w:val="both"/>
        <w:rPr>
          <w:noProof/>
          <w:sz w:val="22"/>
          <w:szCs w:val="22"/>
          <w:lang w:val="sr-Latn-ME"/>
        </w:rPr>
      </w:pPr>
      <w:r w:rsidRPr="00220369">
        <w:rPr>
          <w:noProof/>
          <w:sz w:val="22"/>
          <w:szCs w:val="22"/>
          <w:lang w:val="sr-Latn-ME"/>
        </w:rPr>
        <w:t>Neželjene reakcije vjerovatno povezane sa primjenom bilastina i koje su zabilježene kod više od 0.1% djece (uzrasta od 2 do 11 godina) koji su tokom kliničkog razvoja primali bilastin su prikazane u tabeli u nastavku.</w:t>
      </w:r>
    </w:p>
    <w:p w14:paraId="38119C86" w14:textId="77777777" w:rsidR="005731F0" w:rsidRPr="00220369" w:rsidRDefault="005731F0" w:rsidP="00E6784B">
      <w:pPr>
        <w:tabs>
          <w:tab w:val="left" w:pos="284"/>
        </w:tabs>
        <w:ind w:left="-5" w:right="4"/>
        <w:jc w:val="both"/>
        <w:rPr>
          <w:noProof/>
          <w:sz w:val="22"/>
          <w:szCs w:val="22"/>
          <w:lang w:val="sr-Latn-ME"/>
        </w:rPr>
      </w:pPr>
    </w:p>
    <w:p w14:paraId="16AE9AE5" w14:textId="6209EA6E" w:rsidR="005731F0" w:rsidRPr="00220369" w:rsidRDefault="005731F0" w:rsidP="00E6784B">
      <w:pPr>
        <w:tabs>
          <w:tab w:val="left" w:pos="284"/>
        </w:tabs>
        <w:jc w:val="both"/>
        <w:rPr>
          <w:sz w:val="22"/>
          <w:szCs w:val="22"/>
          <w:lang w:val="sr-Latn-ME"/>
        </w:rPr>
      </w:pPr>
      <w:r w:rsidRPr="00220369">
        <w:rPr>
          <w:sz w:val="22"/>
          <w:szCs w:val="22"/>
          <w:lang w:val="sr-Latn-ME"/>
        </w:rPr>
        <w:t>Učestalost ispoljavanja je navedena na sl</w:t>
      </w:r>
      <w:r w:rsidR="00E6784B" w:rsidRPr="00220369">
        <w:rPr>
          <w:sz w:val="22"/>
          <w:szCs w:val="22"/>
          <w:lang w:val="sr-Latn-ME"/>
        </w:rPr>
        <w:t>j</w:t>
      </w:r>
      <w:r w:rsidRPr="00220369">
        <w:rPr>
          <w:sz w:val="22"/>
          <w:szCs w:val="22"/>
          <w:lang w:val="sr-Latn-ME"/>
        </w:rPr>
        <w:t xml:space="preserve">edeći način: </w:t>
      </w:r>
    </w:p>
    <w:p w14:paraId="43791157" w14:textId="77777777" w:rsidR="005731F0" w:rsidRPr="00220369" w:rsidRDefault="005731F0" w:rsidP="00E6784B">
      <w:pPr>
        <w:tabs>
          <w:tab w:val="left" w:pos="284"/>
        </w:tabs>
        <w:jc w:val="both"/>
        <w:rPr>
          <w:sz w:val="22"/>
          <w:szCs w:val="22"/>
          <w:lang w:val="sr-Latn-ME"/>
        </w:rPr>
      </w:pPr>
      <w:r w:rsidRPr="00220369">
        <w:rPr>
          <w:sz w:val="22"/>
          <w:szCs w:val="22"/>
          <w:lang w:val="sr-Latn-ME"/>
        </w:rPr>
        <w:t xml:space="preserve">Veoma često (≥1/10)   </w:t>
      </w:r>
    </w:p>
    <w:p w14:paraId="169B21C1" w14:textId="77777777" w:rsidR="005731F0" w:rsidRPr="00220369" w:rsidRDefault="005731F0" w:rsidP="00E6784B">
      <w:pPr>
        <w:tabs>
          <w:tab w:val="left" w:pos="284"/>
        </w:tabs>
        <w:jc w:val="both"/>
        <w:rPr>
          <w:noProof/>
          <w:sz w:val="22"/>
          <w:szCs w:val="22"/>
          <w:u w:val="single"/>
          <w:lang w:val="sr-Latn-ME"/>
        </w:rPr>
      </w:pPr>
      <w:r w:rsidRPr="00220369">
        <w:rPr>
          <w:sz w:val="22"/>
          <w:szCs w:val="22"/>
          <w:lang w:val="sr-Latn-ME"/>
        </w:rPr>
        <w:t xml:space="preserve">Često (≥1/100 do </w:t>
      </w:r>
      <w:r w:rsidRPr="00220369">
        <w:rPr>
          <w:noProof/>
          <w:sz w:val="22"/>
          <w:szCs w:val="22"/>
          <w:lang w:val="sr-Latn-ME"/>
        </w:rPr>
        <w:t>&lt;1/10)</w:t>
      </w:r>
    </w:p>
    <w:p w14:paraId="586AB936" w14:textId="77777777" w:rsidR="005731F0" w:rsidRPr="00220369" w:rsidRDefault="005731F0" w:rsidP="00E6784B">
      <w:pPr>
        <w:tabs>
          <w:tab w:val="left" w:pos="284"/>
        </w:tabs>
        <w:jc w:val="both"/>
        <w:rPr>
          <w:noProof/>
          <w:sz w:val="22"/>
          <w:szCs w:val="22"/>
          <w:lang w:val="sr-Latn-ME"/>
        </w:rPr>
      </w:pPr>
      <w:r w:rsidRPr="00220369">
        <w:rPr>
          <w:noProof/>
          <w:sz w:val="22"/>
          <w:szCs w:val="22"/>
          <w:lang w:val="sr-Latn-ME"/>
        </w:rPr>
        <w:t>Povremeno (≥1/1000 do &lt;1/100)</w:t>
      </w:r>
    </w:p>
    <w:p w14:paraId="11502D21" w14:textId="77777777" w:rsidR="005731F0" w:rsidRPr="00220369" w:rsidRDefault="005731F0" w:rsidP="00E6784B">
      <w:pPr>
        <w:tabs>
          <w:tab w:val="left" w:pos="284"/>
        </w:tabs>
        <w:jc w:val="both"/>
        <w:rPr>
          <w:noProof/>
          <w:sz w:val="22"/>
          <w:szCs w:val="22"/>
          <w:lang w:val="sr-Latn-ME"/>
        </w:rPr>
      </w:pPr>
      <w:r w:rsidRPr="00220369">
        <w:rPr>
          <w:noProof/>
          <w:sz w:val="22"/>
          <w:szCs w:val="22"/>
          <w:lang w:val="sr-Latn-ME"/>
        </w:rPr>
        <w:t>Rijetko (≥1/10000 do &lt;1/1000)</w:t>
      </w:r>
    </w:p>
    <w:p w14:paraId="4BDFFCAA" w14:textId="77777777" w:rsidR="005731F0" w:rsidRPr="00220369" w:rsidRDefault="005731F0" w:rsidP="00E6784B">
      <w:pPr>
        <w:tabs>
          <w:tab w:val="left" w:pos="284"/>
        </w:tabs>
        <w:jc w:val="both"/>
        <w:rPr>
          <w:noProof/>
          <w:sz w:val="22"/>
          <w:szCs w:val="22"/>
          <w:lang w:val="sr-Latn-ME"/>
        </w:rPr>
      </w:pPr>
      <w:r w:rsidRPr="00220369">
        <w:rPr>
          <w:noProof/>
          <w:sz w:val="22"/>
          <w:szCs w:val="22"/>
          <w:lang w:val="sr-Latn-ME"/>
        </w:rPr>
        <w:t>Veoma rijetko (&lt;1/10000)</w:t>
      </w:r>
    </w:p>
    <w:p w14:paraId="6AECF001" w14:textId="77777777" w:rsidR="005731F0" w:rsidRPr="00220369" w:rsidRDefault="005731F0" w:rsidP="00E6784B">
      <w:pPr>
        <w:tabs>
          <w:tab w:val="left" w:pos="284"/>
        </w:tabs>
        <w:jc w:val="both"/>
        <w:rPr>
          <w:noProof/>
          <w:sz w:val="22"/>
          <w:szCs w:val="22"/>
          <w:lang w:val="sr-Latn-ME"/>
        </w:rPr>
      </w:pPr>
      <w:r w:rsidRPr="00220369">
        <w:rPr>
          <w:noProof/>
          <w:sz w:val="22"/>
          <w:szCs w:val="22"/>
          <w:lang w:val="sr-Latn-ME"/>
        </w:rPr>
        <w:t>Nepoznata (ne može se procijeniti na osnovu raspoloživih podataka)</w:t>
      </w:r>
    </w:p>
    <w:p w14:paraId="1EC045EF" w14:textId="77777777" w:rsidR="005731F0" w:rsidRPr="00220369" w:rsidRDefault="005731F0" w:rsidP="00E6784B">
      <w:pPr>
        <w:tabs>
          <w:tab w:val="left" w:pos="284"/>
        </w:tabs>
        <w:jc w:val="both"/>
        <w:rPr>
          <w:noProof/>
          <w:sz w:val="22"/>
          <w:szCs w:val="22"/>
          <w:u w:val="single"/>
          <w:lang w:val="sr-Latn-ME"/>
        </w:rPr>
      </w:pPr>
    </w:p>
    <w:p w14:paraId="5147A722" w14:textId="46BB1ECE" w:rsidR="005731F0" w:rsidRPr="00220369" w:rsidRDefault="005731F0" w:rsidP="00E6784B">
      <w:pPr>
        <w:tabs>
          <w:tab w:val="left" w:pos="284"/>
        </w:tabs>
        <w:jc w:val="both"/>
        <w:rPr>
          <w:noProof/>
          <w:sz w:val="22"/>
          <w:szCs w:val="22"/>
          <w:lang w:val="sr-Latn-ME"/>
        </w:rPr>
      </w:pPr>
      <w:r w:rsidRPr="00220369">
        <w:rPr>
          <w:noProof/>
          <w:sz w:val="22"/>
          <w:szCs w:val="22"/>
          <w:lang w:val="sr-Latn-ME"/>
        </w:rPr>
        <w:t>Rijetke, veoma rijetke i reakcije nepoznate učestalosti pojavljivanja ni</w:t>
      </w:r>
      <w:r w:rsidR="00F53774" w:rsidRPr="00220369">
        <w:rPr>
          <w:noProof/>
          <w:sz w:val="22"/>
          <w:szCs w:val="22"/>
          <w:lang w:val="sr-Latn-ME"/>
        </w:rPr>
        <w:t>je</w:t>
      </w:r>
      <w:r w:rsidRPr="00220369">
        <w:rPr>
          <w:noProof/>
          <w:sz w:val="22"/>
          <w:szCs w:val="22"/>
          <w:lang w:val="sr-Latn-ME"/>
        </w:rPr>
        <w:t>su uključene u ovu tabelu.</w:t>
      </w:r>
    </w:p>
    <w:p w14:paraId="44E39DDD" w14:textId="77777777" w:rsidR="005731F0" w:rsidRPr="00220369" w:rsidRDefault="005731F0" w:rsidP="00E6784B">
      <w:pPr>
        <w:tabs>
          <w:tab w:val="left" w:pos="284"/>
        </w:tabs>
        <w:spacing w:line="259" w:lineRule="auto"/>
        <w:jc w:val="both"/>
        <w:rPr>
          <w:sz w:val="22"/>
          <w:szCs w:val="22"/>
          <w:lang w:val="sr-Latn-ME"/>
        </w:rPr>
      </w:pPr>
    </w:p>
    <w:tbl>
      <w:tblPr>
        <w:tblStyle w:val="TableGrid"/>
        <w:tblW w:w="9207" w:type="dxa"/>
        <w:jc w:val="center"/>
        <w:tblInd w:w="0" w:type="dxa"/>
        <w:tblCellMar>
          <w:top w:w="7" w:type="dxa"/>
        </w:tblCellMar>
        <w:tblLook w:val="04A0" w:firstRow="1" w:lastRow="0" w:firstColumn="1" w:lastColumn="0" w:noHBand="0" w:noVBand="1"/>
      </w:tblPr>
      <w:tblGrid>
        <w:gridCol w:w="2001"/>
        <w:gridCol w:w="2751"/>
        <w:gridCol w:w="612"/>
        <w:gridCol w:w="34"/>
        <w:gridCol w:w="1676"/>
        <w:gridCol w:w="21"/>
        <w:gridCol w:w="2112"/>
      </w:tblGrid>
      <w:tr w:rsidR="005731F0" w:rsidRPr="00220369" w14:paraId="66935391" w14:textId="77777777" w:rsidTr="00E6784B">
        <w:trPr>
          <w:trHeight w:val="878"/>
          <w:jc w:val="center"/>
        </w:trPr>
        <w:tc>
          <w:tcPr>
            <w:tcW w:w="5398" w:type="dxa"/>
            <w:gridSpan w:val="4"/>
            <w:tcBorders>
              <w:top w:val="single" w:sz="6" w:space="0" w:color="7B7B7B"/>
              <w:left w:val="single" w:sz="6" w:space="0" w:color="7B7B7B"/>
              <w:bottom w:val="single" w:sz="6" w:space="0" w:color="7B7B7B"/>
              <w:right w:val="single" w:sz="6" w:space="0" w:color="7B7B7B"/>
            </w:tcBorders>
            <w:shd w:val="clear" w:color="auto" w:fill="AEAAAA"/>
          </w:tcPr>
          <w:p w14:paraId="6B2C114E" w14:textId="77777777" w:rsidR="005731F0" w:rsidRPr="00220369" w:rsidRDefault="005731F0" w:rsidP="00E6784B">
            <w:pPr>
              <w:tabs>
                <w:tab w:val="left" w:pos="284"/>
              </w:tabs>
              <w:spacing w:line="256" w:lineRule="auto"/>
              <w:jc w:val="both"/>
              <w:rPr>
                <w:rFonts w:ascii="Times New Roman" w:hAnsi="Times New Roman"/>
                <w:b/>
                <w:sz w:val="22"/>
                <w:szCs w:val="22"/>
                <w:lang w:val="sr-Latn-ME"/>
              </w:rPr>
            </w:pPr>
            <w:r w:rsidRPr="00220369">
              <w:rPr>
                <w:rFonts w:ascii="Times New Roman" w:hAnsi="Times New Roman"/>
                <w:b/>
                <w:sz w:val="22"/>
                <w:szCs w:val="22"/>
                <w:lang w:val="sr-Latn-ME"/>
              </w:rPr>
              <w:t>Sistem organa</w:t>
            </w:r>
          </w:p>
          <w:p w14:paraId="14A0DE5E" w14:textId="77777777" w:rsidR="005731F0" w:rsidRPr="00220369" w:rsidRDefault="005731F0" w:rsidP="00E6784B">
            <w:pPr>
              <w:tabs>
                <w:tab w:val="left" w:pos="284"/>
              </w:tabs>
              <w:spacing w:line="256" w:lineRule="auto"/>
              <w:jc w:val="both"/>
              <w:rPr>
                <w:rFonts w:ascii="Times New Roman" w:hAnsi="Times New Roman"/>
                <w:sz w:val="22"/>
                <w:szCs w:val="22"/>
                <w:lang w:val="sr-Latn-ME"/>
              </w:rPr>
            </w:pPr>
          </w:p>
          <w:p w14:paraId="7A7F6787"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b/>
                <w:sz w:val="22"/>
                <w:szCs w:val="22"/>
                <w:lang w:val="sr-Latn-ME"/>
              </w:rPr>
              <w:t>Učestalost</w:t>
            </w:r>
            <w:r w:rsidRPr="00220369">
              <w:rPr>
                <w:rFonts w:ascii="Times New Roman" w:hAnsi="Times New Roman"/>
                <w:b/>
                <w:sz w:val="22"/>
                <w:szCs w:val="22"/>
                <w:lang w:val="sr-Latn-ME"/>
              </w:rPr>
              <w:tab/>
              <w:t xml:space="preserve">                 Neželjene reakcije</w:t>
            </w:r>
          </w:p>
        </w:tc>
        <w:tc>
          <w:tcPr>
            <w:tcW w:w="1697" w:type="dxa"/>
            <w:gridSpan w:val="2"/>
            <w:tcBorders>
              <w:top w:val="single" w:sz="6" w:space="0" w:color="7B7B7B"/>
              <w:left w:val="single" w:sz="6" w:space="0" w:color="7B7B7B"/>
              <w:bottom w:val="single" w:sz="6" w:space="0" w:color="7B7B7B"/>
              <w:right w:val="single" w:sz="6" w:space="0" w:color="7B7B7B"/>
            </w:tcBorders>
            <w:shd w:val="clear" w:color="auto" w:fill="AEAAAA"/>
          </w:tcPr>
          <w:p w14:paraId="04B3ACC5" w14:textId="77777777" w:rsidR="005731F0" w:rsidRPr="00220369" w:rsidRDefault="005731F0" w:rsidP="00E6784B">
            <w:pPr>
              <w:tabs>
                <w:tab w:val="left" w:pos="284"/>
              </w:tabs>
              <w:spacing w:before="240" w:line="259" w:lineRule="auto"/>
              <w:ind w:left="29"/>
              <w:jc w:val="both"/>
              <w:rPr>
                <w:rFonts w:ascii="Times New Roman" w:hAnsi="Times New Roman"/>
                <w:sz w:val="22"/>
                <w:szCs w:val="22"/>
                <w:lang w:val="sr-Latn-ME"/>
              </w:rPr>
            </w:pPr>
            <w:r w:rsidRPr="00220369">
              <w:rPr>
                <w:rFonts w:ascii="Times New Roman" w:hAnsi="Times New Roman"/>
                <w:b/>
                <w:sz w:val="22"/>
                <w:szCs w:val="22"/>
                <w:lang w:val="sr-Latn-ME"/>
              </w:rPr>
              <w:t xml:space="preserve">Bilastin 10 mg (n=291)# </w:t>
            </w:r>
          </w:p>
        </w:tc>
        <w:tc>
          <w:tcPr>
            <w:tcW w:w="2112" w:type="dxa"/>
            <w:tcBorders>
              <w:top w:val="single" w:sz="6" w:space="0" w:color="7B7B7B"/>
              <w:left w:val="single" w:sz="6" w:space="0" w:color="7B7B7B"/>
              <w:bottom w:val="single" w:sz="6" w:space="0" w:color="7B7B7B"/>
              <w:right w:val="single" w:sz="6" w:space="0" w:color="7B7B7B"/>
            </w:tcBorders>
            <w:shd w:val="clear" w:color="auto" w:fill="AEAAAA"/>
          </w:tcPr>
          <w:p w14:paraId="7BF7A574" w14:textId="77777777" w:rsidR="005731F0" w:rsidRPr="00220369" w:rsidRDefault="005731F0" w:rsidP="00E6784B">
            <w:pPr>
              <w:tabs>
                <w:tab w:val="left" w:pos="284"/>
              </w:tabs>
              <w:spacing w:before="240" w:line="259" w:lineRule="auto"/>
              <w:jc w:val="both"/>
              <w:rPr>
                <w:rFonts w:ascii="Times New Roman" w:hAnsi="Times New Roman"/>
                <w:sz w:val="22"/>
                <w:szCs w:val="22"/>
                <w:lang w:val="sr-Latn-ME"/>
              </w:rPr>
            </w:pPr>
            <w:r w:rsidRPr="00220369">
              <w:rPr>
                <w:rFonts w:ascii="Times New Roman" w:hAnsi="Times New Roman"/>
                <w:b/>
                <w:sz w:val="22"/>
                <w:szCs w:val="22"/>
                <w:lang w:val="sr-Latn-ME"/>
              </w:rPr>
              <w:t xml:space="preserve">Placebo </w:t>
            </w:r>
            <w:r w:rsidRPr="00220369">
              <w:rPr>
                <w:rFonts w:ascii="Times New Roman" w:hAnsi="Times New Roman"/>
                <w:b/>
                <w:sz w:val="22"/>
                <w:szCs w:val="22"/>
                <w:lang w:val="sr-Latn-ME"/>
              </w:rPr>
              <w:br/>
              <w:t xml:space="preserve">(n=249) </w:t>
            </w:r>
          </w:p>
        </w:tc>
      </w:tr>
      <w:tr w:rsidR="005731F0" w:rsidRPr="00220369" w14:paraId="5589F261" w14:textId="77777777" w:rsidTr="00E6784B">
        <w:trPr>
          <w:trHeight w:val="366"/>
          <w:jc w:val="center"/>
        </w:trPr>
        <w:tc>
          <w:tcPr>
            <w:tcW w:w="9207" w:type="dxa"/>
            <w:gridSpan w:val="7"/>
            <w:tcBorders>
              <w:top w:val="single" w:sz="6" w:space="0" w:color="7B7B7B"/>
              <w:left w:val="single" w:sz="6" w:space="0" w:color="7B7B7B"/>
              <w:bottom w:val="single" w:sz="6" w:space="0" w:color="7B7B7B"/>
              <w:right w:val="single" w:sz="6" w:space="0" w:color="7B7B7B"/>
            </w:tcBorders>
          </w:tcPr>
          <w:p w14:paraId="3CF9C867"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b/>
                <w:sz w:val="22"/>
                <w:szCs w:val="22"/>
                <w:lang w:val="sr-Latn-ME"/>
              </w:rPr>
              <w:t>Infekcije i infestacije</w:t>
            </w:r>
          </w:p>
        </w:tc>
      </w:tr>
      <w:tr w:rsidR="005731F0" w:rsidRPr="00220369" w14:paraId="52B0721D" w14:textId="77777777" w:rsidTr="00E6784B">
        <w:trPr>
          <w:trHeight w:val="350"/>
          <w:jc w:val="center"/>
        </w:trPr>
        <w:tc>
          <w:tcPr>
            <w:tcW w:w="5364" w:type="dxa"/>
            <w:gridSpan w:val="3"/>
            <w:tcBorders>
              <w:top w:val="single" w:sz="6" w:space="0" w:color="7B7B7B"/>
              <w:left w:val="single" w:sz="6" w:space="0" w:color="7B7B7B"/>
              <w:bottom w:val="single" w:sz="6" w:space="0" w:color="7B7B7B"/>
              <w:right w:val="single" w:sz="6" w:space="0" w:color="7B7B7B"/>
            </w:tcBorders>
          </w:tcPr>
          <w:p w14:paraId="282460B6" w14:textId="0BDAD8D4" w:rsidR="005731F0" w:rsidRPr="00220369" w:rsidRDefault="005731F0" w:rsidP="00E6784B">
            <w:pPr>
              <w:tabs>
                <w:tab w:val="left" w:pos="284"/>
                <w:tab w:val="center" w:pos="2101"/>
                <w:tab w:val="center" w:pos="5522"/>
                <w:tab w:val="center" w:pos="7221"/>
              </w:tabs>
              <w:spacing w:line="259" w:lineRule="auto"/>
              <w:jc w:val="both"/>
              <w:rPr>
                <w:rFonts w:ascii="Times New Roman" w:hAnsi="Times New Roman"/>
                <w:sz w:val="22"/>
                <w:szCs w:val="22"/>
                <w:lang w:val="sr-Latn-ME"/>
              </w:rPr>
            </w:pPr>
            <w:r w:rsidRPr="00220369">
              <w:rPr>
                <w:rFonts w:ascii="Times New Roman" w:hAnsi="Times New Roman"/>
                <w:b/>
                <w:i/>
                <w:sz w:val="22"/>
                <w:szCs w:val="22"/>
                <w:lang w:val="sr-Latn-ME"/>
              </w:rPr>
              <w:t xml:space="preserve">Često </w:t>
            </w:r>
            <w:r w:rsidRPr="00220369">
              <w:rPr>
                <w:rFonts w:ascii="Times New Roman" w:hAnsi="Times New Roman"/>
                <w:b/>
                <w:i/>
                <w:sz w:val="22"/>
                <w:szCs w:val="22"/>
                <w:lang w:val="sr-Latn-ME"/>
              </w:rPr>
              <w:tab/>
              <w:t xml:space="preserve">       </w:t>
            </w:r>
            <w:r w:rsidRPr="00220369">
              <w:rPr>
                <w:rFonts w:eastAsia="Calibri"/>
                <w:noProof/>
                <w:sz w:val="22"/>
                <w:szCs w:val="22"/>
              </w:rPr>
              <mc:AlternateContent>
                <mc:Choice Requires="wpg">
                  <w:drawing>
                    <wp:inline distT="0" distB="0" distL="0" distR="0" wp14:anchorId="33235296" wp14:editId="6D2411AA">
                      <wp:extent cx="9144" cy="213360"/>
                      <wp:effectExtent l="0" t="0" r="0" b="0"/>
                      <wp:docPr id="25209" name="Group 25209"/>
                      <wp:cNvGraphicFramePr/>
                      <a:graphic xmlns:a="http://schemas.openxmlformats.org/drawingml/2006/main">
                        <a:graphicData uri="http://schemas.microsoft.com/office/word/2010/wordprocessingGroup">
                          <wpg:wgp>
                            <wpg:cNvGrpSpPr/>
                            <wpg:grpSpPr>
                              <a:xfrm>
                                <a:off x="0" y="0"/>
                                <a:ext cx="9144" cy="213360"/>
                                <a:chOff x="0" y="0"/>
                                <a:chExt cx="9144" cy="213360"/>
                              </a:xfrm>
                            </wpg:grpSpPr>
                            <wps:wsp>
                              <wps:cNvPr id="30709" name="Shape 30709"/>
                              <wps:cNvSpPr/>
                              <wps:spPr>
                                <a:xfrm>
                                  <a:off x="0" y="0"/>
                                  <a:ext cx="9144" cy="19812"/>
                                </a:xfrm>
                                <a:custGeom>
                                  <a:avLst/>
                                  <a:gdLst/>
                                  <a:ahLst/>
                                  <a:cxnLst/>
                                  <a:rect l="0" t="0" r="0" b="0"/>
                                  <a:pathLst>
                                    <a:path w="9144" h="19812">
                                      <a:moveTo>
                                        <a:pt x="0" y="0"/>
                                      </a:moveTo>
                                      <a:lnTo>
                                        <a:pt x="9144" y="0"/>
                                      </a:lnTo>
                                      <a:lnTo>
                                        <a:pt x="9144" y="19812"/>
                                      </a:lnTo>
                                      <a:lnTo>
                                        <a:pt x="0" y="19812"/>
                                      </a:lnTo>
                                      <a:lnTo>
                                        <a:pt x="0" y="0"/>
                                      </a:lnTo>
                                    </a:path>
                                  </a:pathLst>
                                </a:custGeom>
                                <a:solidFill>
                                  <a:srgbClr val="7B7B7B"/>
                                </a:solidFill>
                                <a:ln w="0" cap="flat">
                                  <a:noFill/>
                                  <a:miter lim="127000"/>
                                </a:ln>
                                <a:effectLst/>
                              </wps:spPr>
                              <wps:bodyPr/>
                            </wps:wsp>
                            <wps:wsp>
                              <wps:cNvPr id="30710" name="Shape 30710"/>
                              <wps:cNvSpPr/>
                              <wps:spPr>
                                <a:xfrm>
                                  <a:off x="0" y="19812"/>
                                  <a:ext cx="9144" cy="193548"/>
                                </a:xfrm>
                                <a:custGeom>
                                  <a:avLst/>
                                  <a:gdLst/>
                                  <a:ahLst/>
                                  <a:cxnLst/>
                                  <a:rect l="0" t="0" r="0" b="0"/>
                                  <a:pathLst>
                                    <a:path w="9144" h="193548">
                                      <a:moveTo>
                                        <a:pt x="0" y="0"/>
                                      </a:moveTo>
                                      <a:lnTo>
                                        <a:pt x="9144" y="0"/>
                                      </a:lnTo>
                                      <a:lnTo>
                                        <a:pt x="9144" y="193548"/>
                                      </a:lnTo>
                                      <a:lnTo>
                                        <a:pt x="0" y="193548"/>
                                      </a:lnTo>
                                      <a:lnTo>
                                        <a:pt x="0" y="0"/>
                                      </a:lnTo>
                                    </a:path>
                                  </a:pathLst>
                                </a:custGeom>
                                <a:solidFill>
                                  <a:srgbClr val="7B7B7B"/>
                                </a:solidFill>
                                <a:ln w="0" cap="flat">
                                  <a:noFill/>
                                  <a:miter lim="127000"/>
                                </a:ln>
                                <a:effectLst/>
                              </wps:spPr>
                              <wps:bodyPr/>
                            </wps:wsp>
                          </wpg:wgp>
                        </a:graphicData>
                      </a:graphic>
                    </wp:inline>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596A4A" id="Group 25209" o:spid="_x0000_s1026" style="width:.7pt;height:16.8pt;mso-position-horizontal-relative:char;mso-position-vertical-relative:line" coordsize="9144,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">
                      <v:shape id="Shape 30709" o:spid="_x0000_s1027" style="position:absolute;width:9144;height:19812;visibility:visible;mso-wrap-style:square;v-text-anchor:top" coordsize="914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" path="m,l9144,r,19812l,19812,,e" fillcolor="#7b7b7b" stroked="f" strokeweight="0">
                        <v:stroke miterlimit="83231f" joinstyle="miter"/>
                        <v:path arrowok="t" textboxrect="0,0,9144,19812"/>
                      </v:shape>
                      <v:shape id="Shape 30710" o:spid="_x0000_s1028" style="position:absolute;top:19812;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" path="m,l9144,r,193548l,193548,,e" fillcolor="#7b7b7b" stroked="f" strokeweight="0">
                        <v:stroke miterlimit="83231f" joinstyle="miter"/>
                        <v:path arrowok="t" textboxrect="0,0,9144,193548"/>
                      </v:shape>
                      <w10:anchorlock/>
                    </v:group>
                  </w:pict>
                </mc:Fallback>
              </mc:AlternateContent>
            </w:r>
            <w:r w:rsidRPr="00220369">
              <w:rPr>
                <w:rFonts w:ascii="Times New Roman" w:hAnsi="Times New Roman"/>
                <w:b/>
                <w:i/>
                <w:sz w:val="22"/>
                <w:szCs w:val="22"/>
                <w:lang w:val="sr-Latn-ME"/>
              </w:rPr>
              <w:t>Rinitis</w:t>
            </w:r>
            <w:r w:rsidRPr="00220369">
              <w:rPr>
                <w:rFonts w:ascii="Times New Roman" w:hAnsi="Times New Roman"/>
                <w:b/>
                <w:i/>
                <w:sz w:val="22"/>
                <w:szCs w:val="22"/>
                <w:lang w:val="sr-Latn-ME"/>
              </w:rPr>
              <w:tab/>
            </w:r>
            <w:r w:rsidRPr="00220369">
              <w:rPr>
                <w:rFonts w:ascii="Times New Roman" w:hAnsi="Times New Roman"/>
                <w:sz w:val="22"/>
                <w:szCs w:val="22"/>
                <w:lang w:val="sr-Latn-ME"/>
              </w:rPr>
              <w:tab/>
            </w:r>
            <w:r w:rsidRPr="00220369">
              <w:rPr>
                <w:rFonts w:eastAsia="Calibri"/>
                <w:noProof/>
                <w:sz w:val="22"/>
                <w:szCs w:val="22"/>
              </w:rPr>
              <mc:AlternateContent>
                <mc:Choice Requires="wpg">
                  <w:drawing>
                    <wp:inline distT="0" distB="0" distL="0" distR="0" wp14:anchorId="1BC6AA69" wp14:editId="2F84372B">
                      <wp:extent cx="9144" cy="213360"/>
                      <wp:effectExtent l="0" t="0" r="0" b="0"/>
                      <wp:docPr id="25211" name="Group 25211"/>
                      <wp:cNvGraphicFramePr/>
                      <a:graphic xmlns:a="http://schemas.openxmlformats.org/drawingml/2006/main">
                        <a:graphicData uri="http://schemas.microsoft.com/office/word/2010/wordprocessingGroup">
                          <wpg:wgp>
                            <wpg:cNvGrpSpPr/>
                            <wpg:grpSpPr>
                              <a:xfrm>
                                <a:off x="0" y="0"/>
                                <a:ext cx="9144" cy="213360"/>
                                <a:chOff x="0" y="0"/>
                                <a:chExt cx="9144" cy="213360"/>
                              </a:xfrm>
                            </wpg:grpSpPr>
                            <wps:wsp>
                              <wps:cNvPr id="30717" name="Shape 30717"/>
                              <wps:cNvSpPr/>
                              <wps:spPr>
                                <a:xfrm>
                                  <a:off x="0" y="0"/>
                                  <a:ext cx="9144" cy="19812"/>
                                </a:xfrm>
                                <a:custGeom>
                                  <a:avLst/>
                                  <a:gdLst/>
                                  <a:ahLst/>
                                  <a:cxnLst/>
                                  <a:rect l="0" t="0" r="0" b="0"/>
                                  <a:pathLst>
                                    <a:path w="9144" h="19812">
                                      <a:moveTo>
                                        <a:pt x="0" y="0"/>
                                      </a:moveTo>
                                      <a:lnTo>
                                        <a:pt x="9144" y="0"/>
                                      </a:lnTo>
                                      <a:lnTo>
                                        <a:pt x="9144" y="19812"/>
                                      </a:lnTo>
                                      <a:lnTo>
                                        <a:pt x="0" y="19812"/>
                                      </a:lnTo>
                                      <a:lnTo>
                                        <a:pt x="0" y="0"/>
                                      </a:lnTo>
                                    </a:path>
                                  </a:pathLst>
                                </a:custGeom>
                                <a:solidFill>
                                  <a:srgbClr val="7B7B7B"/>
                                </a:solidFill>
                                <a:ln w="0" cap="flat">
                                  <a:noFill/>
                                  <a:miter lim="127000"/>
                                </a:ln>
                                <a:effectLst/>
                              </wps:spPr>
                              <wps:bodyPr/>
                            </wps:wsp>
                            <wps:wsp>
                              <wps:cNvPr id="30718" name="Shape 30718"/>
                              <wps:cNvSpPr/>
                              <wps:spPr>
                                <a:xfrm>
                                  <a:off x="0" y="19812"/>
                                  <a:ext cx="9144" cy="193548"/>
                                </a:xfrm>
                                <a:custGeom>
                                  <a:avLst/>
                                  <a:gdLst/>
                                  <a:ahLst/>
                                  <a:cxnLst/>
                                  <a:rect l="0" t="0" r="0" b="0"/>
                                  <a:pathLst>
                                    <a:path w="9144" h="193548">
                                      <a:moveTo>
                                        <a:pt x="0" y="0"/>
                                      </a:moveTo>
                                      <a:lnTo>
                                        <a:pt x="9144" y="0"/>
                                      </a:lnTo>
                                      <a:lnTo>
                                        <a:pt x="9144" y="193548"/>
                                      </a:lnTo>
                                      <a:lnTo>
                                        <a:pt x="0" y="193548"/>
                                      </a:lnTo>
                                      <a:lnTo>
                                        <a:pt x="0" y="0"/>
                                      </a:lnTo>
                                    </a:path>
                                  </a:pathLst>
                                </a:custGeom>
                                <a:solidFill>
                                  <a:srgbClr val="7B7B7B"/>
                                </a:solidFill>
                                <a:ln w="0" cap="flat">
                                  <a:noFill/>
                                  <a:miter lim="127000"/>
                                </a:ln>
                                <a:effectLst/>
                              </wps:spPr>
                              <wps:bodyPr/>
                            </wps:wsp>
                          </wpg:wgp>
                        </a:graphicData>
                      </a:graphic>
                    </wp:inline>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18E94A" id="Group 25211" o:spid="_x0000_s1026" style="width:.7pt;height:16.8pt;mso-position-horizontal-relative:char;mso-position-vertical-relative:line" coordsize="9144,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">
                      <v:shape id="Shape 30717" o:spid="_x0000_s1027" style="position:absolute;width:9144;height:19812;visibility:visible;mso-wrap-style:square;v-text-anchor:top" coordsize="914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" path="m,l9144,r,19812l,19812,,e" fillcolor="#7b7b7b" stroked="f" strokeweight="0">
                        <v:stroke miterlimit="83231f" joinstyle="miter"/>
                        <v:path arrowok="t" textboxrect="0,0,9144,19812"/>
                      </v:shape>
                      <v:shape id="Shape 30718" o:spid="_x0000_s1028" style="position:absolute;top:19812;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" path="m,l9144,r,193548l,193548,,e" fillcolor="#7b7b7b" stroked="f" strokeweight="0">
                        <v:stroke miterlimit="83231f" joinstyle="miter"/>
                        <v:path arrowok="t" textboxrect="0,0,9144,193548"/>
                      </v:shape>
                      <w10:anchorlock/>
                    </v:group>
                  </w:pict>
                </mc:Fallback>
              </mc:AlternateContent>
            </w:r>
            <w:r w:rsidRPr="00220369">
              <w:rPr>
                <w:rFonts w:ascii="Times New Roman" w:hAnsi="Times New Roman"/>
                <w:sz w:val="22"/>
                <w:szCs w:val="22"/>
                <w:lang w:val="sr-Latn-ME"/>
              </w:rPr>
              <w:t xml:space="preserve"> </w:t>
            </w:r>
          </w:p>
        </w:tc>
        <w:tc>
          <w:tcPr>
            <w:tcW w:w="1710" w:type="dxa"/>
            <w:gridSpan w:val="2"/>
            <w:tcBorders>
              <w:top w:val="single" w:sz="6" w:space="0" w:color="7B7B7B"/>
              <w:left w:val="single" w:sz="6" w:space="0" w:color="7B7B7B"/>
              <w:bottom w:val="single" w:sz="6" w:space="0" w:color="7B7B7B"/>
              <w:right w:val="single" w:sz="6" w:space="0" w:color="7B7B7B"/>
            </w:tcBorders>
          </w:tcPr>
          <w:p w14:paraId="169EE80F" w14:textId="65BD01F3" w:rsidR="005731F0" w:rsidRPr="00220369" w:rsidRDefault="005731F0" w:rsidP="00E6784B">
            <w:pPr>
              <w:tabs>
                <w:tab w:val="left" w:pos="284"/>
                <w:tab w:val="center" w:pos="2101"/>
                <w:tab w:val="center" w:pos="5522"/>
                <w:tab w:val="center" w:pos="7221"/>
              </w:tabs>
              <w:spacing w:line="259" w:lineRule="auto"/>
              <w:jc w:val="both"/>
              <w:rPr>
                <w:rFonts w:ascii="Times New Roman" w:hAnsi="Times New Roman"/>
                <w:sz w:val="22"/>
                <w:szCs w:val="22"/>
                <w:lang w:val="sr-Latn-ME"/>
              </w:rPr>
            </w:pPr>
            <w:r w:rsidRPr="00220369">
              <w:rPr>
                <w:rFonts w:ascii="Times New Roman" w:hAnsi="Times New Roman"/>
                <w:sz w:val="22"/>
                <w:szCs w:val="22"/>
                <w:lang w:val="sr-Latn-ME"/>
              </w:rPr>
              <w:t xml:space="preserve"> 3 (1.0%)</w:t>
            </w:r>
          </w:p>
        </w:tc>
        <w:tc>
          <w:tcPr>
            <w:tcW w:w="2133" w:type="dxa"/>
            <w:gridSpan w:val="2"/>
            <w:tcBorders>
              <w:top w:val="single" w:sz="6" w:space="0" w:color="7B7B7B"/>
              <w:left w:val="single" w:sz="6" w:space="0" w:color="7B7B7B"/>
              <w:bottom w:val="single" w:sz="6" w:space="0" w:color="7B7B7B"/>
              <w:right w:val="single" w:sz="6" w:space="0" w:color="7B7B7B"/>
            </w:tcBorders>
          </w:tcPr>
          <w:p w14:paraId="693934EE" w14:textId="77777777" w:rsidR="005731F0" w:rsidRPr="00220369" w:rsidRDefault="005731F0" w:rsidP="00E6784B">
            <w:pPr>
              <w:tabs>
                <w:tab w:val="left" w:pos="284"/>
                <w:tab w:val="center" w:pos="2101"/>
                <w:tab w:val="center" w:pos="5522"/>
                <w:tab w:val="center" w:pos="7221"/>
              </w:tabs>
              <w:spacing w:before="240" w:line="259" w:lineRule="auto"/>
              <w:jc w:val="both"/>
              <w:rPr>
                <w:rFonts w:ascii="Times New Roman" w:hAnsi="Times New Roman"/>
                <w:sz w:val="22"/>
                <w:szCs w:val="22"/>
                <w:lang w:val="sr-Latn-ME"/>
              </w:rPr>
            </w:pPr>
            <w:r w:rsidRPr="00220369">
              <w:rPr>
                <w:rFonts w:ascii="Times New Roman" w:hAnsi="Times New Roman"/>
                <w:sz w:val="22"/>
                <w:szCs w:val="22"/>
                <w:lang w:val="sr-Latn-ME"/>
              </w:rPr>
              <w:t xml:space="preserve"> 3 (1.2%)</w:t>
            </w:r>
          </w:p>
        </w:tc>
      </w:tr>
      <w:tr w:rsidR="005731F0" w:rsidRPr="00220369" w14:paraId="3FD27A02" w14:textId="77777777" w:rsidTr="00E6784B">
        <w:trPr>
          <w:trHeight w:val="350"/>
          <w:jc w:val="center"/>
        </w:trPr>
        <w:tc>
          <w:tcPr>
            <w:tcW w:w="9207" w:type="dxa"/>
            <w:gridSpan w:val="7"/>
            <w:tcBorders>
              <w:top w:val="single" w:sz="6" w:space="0" w:color="7B7B7B"/>
              <w:left w:val="single" w:sz="6" w:space="0" w:color="7B7B7B"/>
              <w:bottom w:val="single" w:sz="6" w:space="0" w:color="7B7B7B"/>
              <w:right w:val="single" w:sz="6" w:space="0" w:color="7B7B7B"/>
            </w:tcBorders>
          </w:tcPr>
          <w:p w14:paraId="5616B2B4"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b/>
                <w:sz w:val="22"/>
                <w:szCs w:val="22"/>
                <w:lang w:val="sr-Latn-ME"/>
              </w:rPr>
              <w:t>Poremećaji nervnog sistema</w:t>
            </w:r>
            <w:r w:rsidRPr="00220369">
              <w:rPr>
                <w:rFonts w:ascii="Times New Roman" w:hAnsi="Times New Roman"/>
                <w:sz w:val="22"/>
                <w:szCs w:val="22"/>
                <w:lang w:val="sr-Latn-ME"/>
              </w:rPr>
              <w:t xml:space="preserve"> </w:t>
            </w:r>
          </w:p>
        </w:tc>
      </w:tr>
      <w:tr w:rsidR="005731F0" w:rsidRPr="00220369" w14:paraId="544BEC5D" w14:textId="77777777" w:rsidTr="00E6784B">
        <w:trPr>
          <w:trHeight w:val="351"/>
          <w:jc w:val="center"/>
        </w:trPr>
        <w:tc>
          <w:tcPr>
            <w:tcW w:w="2001" w:type="dxa"/>
            <w:tcBorders>
              <w:top w:val="single" w:sz="6" w:space="0" w:color="7B7B7B"/>
              <w:left w:val="single" w:sz="6" w:space="0" w:color="7B7B7B"/>
              <w:bottom w:val="single" w:sz="6" w:space="0" w:color="7B7B7B"/>
              <w:right w:val="single" w:sz="6" w:space="0" w:color="7B7B7B"/>
            </w:tcBorders>
          </w:tcPr>
          <w:p w14:paraId="089F77AC"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b/>
                <w:i/>
                <w:sz w:val="22"/>
                <w:szCs w:val="22"/>
                <w:lang w:val="sr-Latn-ME"/>
              </w:rPr>
              <w:t>Često</w:t>
            </w:r>
          </w:p>
        </w:tc>
        <w:tc>
          <w:tcPr>
            <w:tcW w:w="2751" w:type="dxa"/>
            <w:tcBorders>
              <w:top w:val="single" w:sz="6" w:space="0" w:color="7B7B7B"/>
              <w:left w:val="single" w:sz="6" w:space="0" w:color="7B7B7B"/>
              <w:bottom w:val="single" w:sz="6" w:space="0" w:color="7B7B7B"/>
              <w:right w:val="nil"/>
            </w:tcBorders>
          </w:tcPr>
          <w:p w14:paraId="68BEA5E6" w14:textId="77777777" w:rsidR="005731F0" w:rsidRPr="00220369" w:rsidRDefault="005731F0" w:rsidP="00E6784B">
            <w:pPr>
              <w:tabs>
                <w:tab w:val="left" w:pos="284"/>
              </w:tabs>
              <w:spacing w:line="259" w:lineRule="auto"/>
              <w:ind w:left="31"/>
              <w:jc w:val="both"/>
              <w:rPr>
                <w:rFonts w:ascii="Times New Roman" w:hAnsi="Times New Roman"/>
                <w:b/>
                <w:bCs/>
                <w:i/>
                <w:iCs/>
                <w:sz w:val="22"/>
                <w:szCs w:val="22"/>
                <w:lang w:val="sr-Latn-ME"/>
              </w:rPr>
            </w:pPr>
            <w:r w:rsidRPr="00220369">
              <w:rPr>
                <w:rFonts w:ascii="Times New Roman" w:hAnsi="Times New Roman"/>
                <w:b/>
                <w:bCs/>
                <w:i/>
                <w:iCs/>
                <w:sz w:val="22"/>
                <w:szCs w:val="22"/>
                <w:lang w:val="sr-Latn-ME"/>
              </w:rPr>
              <w:t>Glavobolja</w:t>
            </w:r>
          </w:p>
        </w:tc>
        <w:tc>
          <w:tcPr>
            <w:tcW w:w="646" w:type="dxa"/>
            <w:gridSpan w:val="2"/>
            <w:tcBorders>
              <w:top w:val="single" w:sz="6" w:space="0" w:color="7B7B7B"/>
              <w:left w:val="nil"/>
              <w:bottom w:val="single" w:sz="6" w:space="0" w:color="7B7B7B"/>
              <w:right w:val="single" w:sz="6" w:space="0" w:color="7B7B7B"/>
            </w:tcBorders>
          </w:tcPr>
          <w:p w14:paraId="74EF4D08"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c>
          <w:tcPr>
            <w:tcW w:w="1697" w:type="dxa"/>
            <w:gridSpan w:val="2"/>
            <w:tcBorders>
              <w:top w:val="single" w:sz="6" w:space="0" w:color="7B7B7B"/>
              <w:left w:val="single" w:sz="6" w:space="0" w:color="7B7B7B"/>
              <w:bottom w:val="single" w:sz="6" w:space="0" w:color="7B7B7B"/>
              <w:right w:val="single" w:sz="6" w:space="0" w:color="7B7B7B"/>
            </w:tcBorders>
          </w:tcPr>
          <w:p w14:paraId="1B6B1C00"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sz w:val="22"/>
                <w:szCs w:val="22"/>
                <w:lang w:val="sr-Latn-ME"/>
              </w:rPr>
              <w:t xml:space="preserve">6 (2.1%) </w:t>
            </w:r>
          </w:p>
        </w:tc>
        <w:tc>
          <w:tcPr>
            <w:tcW w:w="2112" w:type="dxa"/>
            <w:tcBorders>
              <w:top w:val="single" w:sz="6" w:space="0" w:color="7B7B7B"/>
              <w:left w:val="single" w:sz="6" w:space="0" w:color="7B7B7B"/>
              <w:bottom w:val="single" w:sz="6" w:space="0" w:color="7B7B7B"/>
              <w:right w:val="single" w:sz="6" w:space="0" w:color="7B7B7B"/>
            </w:tcBorders>
          </w:tcPr>
          <w:p w14:paraId="771DFBA5"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sz w:val="22"/>
                <w:szCs w:val="22"/>
                <w:lang w:val="sr-Latn-ME"/>
              </w:rPr>
              <w:t xml:space="preserve">3 (1.2%) </w:t>
            </w:r>
          </w:p>
        </w:tc>
      </w:tr>
      <w:tr w:rsidR="005731F0" w:rsidRPr="00220369" w14:paraId="74C549B7" w14:textId="77777777" w:rsidTr="00E6784B">
        <w:trPr>
          <w:trHeight w:val="353"/>
          <w:jc w:val="center"/>
        </w:trPr>
        <w:tc>
          <w:tcPr>
            <w:tcW w:w="2001" w:type="dxa"/>
            <w:vMerge w:val="restart"/>
            <w:tcBorders>
              <w:top w:val="single" w:sz="6" w:space="0" w:color="7B7B7B"/>
              <w:left w:val="single" w:sz="6" w:space="0" w:color="7B7B7B"/>
              <w:bottom w:val="single" w:sz="6" w:space="0" w:color="7B7B7B"/>
              <w:right w:val="single" w:sz="6" w:space="0" w:color="7B7B7B"/>
            </w:tcBorders>
            <w:vAlign w:val="center"/>
          </w:tcPr>
          <w:p w14:paraId="7FB79CB3"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b/>
                <w:i/>
                <w:sz w:val="22"/>
                <w:szCs w:val="22"/>
                <w:lang w:val="sr-Latn-ME"/>
              </w:rPr>
              <w:t>Povremeno</w:t>
            </w:r>
          </w:p>
        </w:tc>
        <w:tc>
          <w:tcPr>
            <w:tcW w:w="2751" w:type="dxa"/>
            <w:tcBorders>
              <w:top w:val="single" w:sz="6" w:space="0" w:color="7B7B7B"/>
              <w:left w:val="single" w:sz="6" w:space="0" w:color="7B7B7B"/>
              <w:bottom w:val="single" w:sz="6" w:space="0" w:color="7B7B7B"/>
              <w:right w:val="nil"/>
            </w:tcBorders>
          </w:tcPr>
          <w:p w14:paraId="420374F7"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b/>
                <w:i/>
                <w:sz w:val="22"/>
                <w:szCs w:val="22"/>
                <w:lang w:val="sr-Latn-ME"/>
              </w:rPr>
              <w:t xml:space="preserve">Vrtoglavica </w:t>
            </w:r>
          </w:p>
        </w:tc>
        <w:tc>
          <w:tcPr>
            <w:tcW w:w="646" w:type="dxa"/>
            <w:gridSpan w:val="2"/>
            <w:tcBorders>
              <w:top w:val="single" w:sz="6" w:space="0" w:color="7B7B7B"/>
              <w:left w:val="nil"/>
              <w:bottom w:val="single" w:sz="6" w:space="0" w:color="7B7B7B"/>
              <w:right w:val="single" w:sz="6" w:space="0" w:color="7B7B7B"/>
            </w:tcBorders>
          </w:tcPr>
          <w:p w14:paraId="19AAFDFA"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c>
          <w:tcPr>
            <w:tcW w:w="1697" w:type="dxa"/>
            <w:gridSpan w:val="2"/>
            <w:tcBorders>
              <w:top w:val="single" w:sz="6" w:space="0" w:color="7B7B7B"/>
              <w:left w:val="single" w:sz="6" w:space="0" w:color="7B7B7B"/>
              <w:bottom w:val="single" w:sz="6" w:space="0" w:color="7B7B7B"/>
              <w:right w:val="single" w:sz="6" w:space="0" w:color="7B7B7B"/>
            </w:tcBorders>
          </w:tcPr>
          <w:p w14:paraId="4FDE15EB"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sz w:val="22"/>
                <w:szCs w:val="22"/>
                <w:lang w:val="sr-Latn-ME"/>
              </w:rPr>
              <w:t xml:space="preserve">1 (0.3%) </w:t>
            </w:r>
          </w:p>
        </w:tc>
        <w:tc>
          <w:tcPr>
            <w:tcW w:w="2112" w:type="dxa"/>
            <w:tcBorders>
              <w:top w:val="single" w:sz="6" w:space="0" w:color="7B7B7B"/>
              <w:left w:val="single" w:sz="6" w:space="0" w:color="7B7B7B"/>
              <w:bottom w:val="single" w:sz="6" w:space="0" w:color="7B7B7B"/>
              <w:right w:val="single" w:sz="6" w:space="0" w:color="7B7B7B"/>
            </w:tcBorders>
          </w:tcPr>
          <w:p w14:paraId="15FBB7C2"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sz w:val="22"/>
                <w:szCs w:val="22"/>
                <w:lang w:val="sr-Latn-ME"/>
              </w:rPr>
              <w:t xml:space="preserve">0 (0.0%) </w:t>
            </w:r>
          </w:p>
        </w:tc>
      </w:tr>
      <w:tr w:rsidR="005731F0" w:rsidRPr="00220369" w14:paraId="4DBD4983" w14:textId="77777777" w:rsidTr="00E6784B">
        <w:trPr>
          <w:trHeight w:val="350"/>
          <w:jc w:val="center"/>
        </w:trPr>
        <w:tc>
          <w:tcPr>
            <w:tcW w:w="2001" w:type="dxa"/>
            <w:vMerge/>
            <w:tcBorders>
              <w:top w:val="nil"/>
              <w:left w:val="single" w:sz="6" w:space="0" w:color="7B7B7B"/>
              <w:bottom w:val="single" w:sz="6" w:space="0" w:color="7B7B7B"/>
              <w:right w:val="single" w:sz="6" w:space="0" w:color="7B7B7B"/>
            </w:tcBorders>
          </w:tcPr>
          <w:p w14:paraId="4FA9F32E"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c>
          <w:tcPr>
            <w:tcW w:w="2751" w:type="dxa"/>
            <w:tcBorders>
              <w:top w:val="single" w:sz="6" w:space="0" w:color="7B7B7B"/>
              <w:left w:val="single" w:sz="6" w:space="0" w:color="7B7B7B"/>
              <w:bottom w:val="single" w:sz="6" w:space="0" w:color="7B7B7B"/>
              <w:right w:val="nil"/>
            </w:tcBorders>
          </w:tcPr>
          <w:p w14:paraId="45E315BC" w14:textId="020E5B5C"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b/>
                <w:i/>
                <w:sz w:val="22"/>
                <w:szCs w:val="22"/>
                <w:lang w:val="sr-Latn-ME"/>
              </w:rPr>
              <w:t>Gubitak sv</w:t>
            </w:r>
            <w:r w:rsidR="00035D8E" w:rsidRPr="00220369">
              <w:rPr>
                <w:rFonts w:ascii="Times New Roman" w:hAnsi="Times New Roman"/>
                <w:b/>
                <w:i/>
                <w:sz w:val="22"/>
                <w:szCs w:val="22"/>
                <w:lang w:val="sr-Latn-ME"/>
              </w:rPr>
              <w:t>ij</w:t>
            </w:r>
            <w:r w:rsidRPr="00220369">
              <w:rPr>
                <w:rFonts w:ascii="Times New Roman" w:hAnsi="Times New Roman"/>
                <w:b/>
                <w:i/>
                <w:sz w:val="22"/>
                <w:szCs w:val="22"/>
                <w:lang w:val="sr-Latn-ME"/>
              </w:rPr>
              <w:t xml:space="preserve">esti </w:t>
            </w:r>
          </w:p>
        </w:tc>
        <w:tc>
          <w:tcPr>
            <w:tcW w:w="646" w:type="dxa"/>
            <w:gridSpan w:val="2"/>
            <w:tcBorders>
              <w:top w:val="single" w:sz="6" w:space="0" w:color="7B7B7B"/>
              <w:left w:val="nil"/>
              <w:bottom w:val="single" w:sz="6" w:space="0" w:color="7B7B7B"/>
              <w:right w:val="single" w:sz="6" w:space="0" w:color="7B7B7B"/>
            </w:tcBorders>
          </w:tcPr>
          <w:p w14:paraId="33C5A7F6"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c>
          <w:tcPr>
            <w:tcW w:w="1697" w:type="dxa"/>
            <w:gridSpan w:val="2"/>
            <w:tcBorders>
              <w:top w:val="single" w:sz="6" w:space="0" w:color="7B7B7B"/>
              <w:left w:val="single" w:sz="6" w:space="0" w:color="7B7B7B"/>
              <w:bottom w:val="single" w:sz="6" w:space="0" w:color="7B7B7B"/>
              <w:right w:val="single" w:sz="6" w:space="0" w:color="7B7B7B"/>
            </w:tcBorders>
          </w:tcPr>
          <w:p w14:paraId="40C959F7"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sz w:val="22"/>
                <w:szCs w:val="22"/>
                <w:lang w:val="sr-Latn-ME"/>
              </w:rPr>
              <w:t xml:space="preserve">1 (0.3%) </w:t>
            </w:r>
          </w:p>
        </w:tc>
        <w:tc>
          <w:tcPr>
            <w:tcW w:w="2112" w:type="dxa"/>
            <w:tcBorders>
              <w:top w:val="single" w:sz="6" w:space="0" w:color="7B7B7B"/>
              <w:left w:val="single" w:sz="6" w:space="0" w:color="7B7B7B"/>
              <w:bottom w:val="single" w:sz="6" w:space="0" w:color="7B7B7B"/>
              <w:right w:val="single" w:sz="6" w:space="0" w:color="7B7B7B"/>
            </w:tcBorders>
          </w:tcPr>
          <w:p w14:paraId="078D2B28"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sz w:val="22"/>
                <w:szCs w:val="22"/>
                <w:lang w:val="sr-Latn-ME"/>
              </w:rPr>
              <w:t xml:space="preserve">0 (0.0%) </w:t>
            </w:r>
          </w:p>
        </w:tc>
      </w:tr>
      <w:tr w:rsidR="005731F0" w:rsidRPr="00220369" w14:paraId="14CDB31B" w14:textId="77777777" w:rsidTr="00E6784B">
        <w:trPr>
          <w:trHeight w:val="350"/>
          <w:jc w:val="center"/>
        </w:trPr>
        <w:tc>
          <w:tcPr>
            <w:tcW w:w="2001" w:type="dxa"/>
            <w:tcBorders>
              <w:top w:val="single" w:sz="6" w:space="0" w:color="7B7B7B"/>
              <w:left w:val="single" w:sz="6" w:space="0" w:color="7B7B7B"/>
              <w:bottom w:val="single" w:sz="6" w:space="0" w:color="7B7B7B"/>
              <w:right w:val="nil"/>
            </w:tcBorders>
          </w:tcPr>
          <w:p w14:paraId="71BA1854"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b/>
                <w:sz w:val="22"/>
                <w:szCs w:val="22"/>
                <w:lang w:val="sr-Latn-ME"/>
              </w:rPr>
              <w:t>Poremećaji oka</w:t>
            </w:r>
            <w:r w:rsidRPr="00220369">
              <w:rPr>
                <w:rFonts w:ascii="Times New Roman" w:hAnsi="Times New Roman"/>
                <w:sz w:val="22"/>
                <w:szCs w:val="22"/>
                <w:lang w:val="sr-Latn-ME"/>
              </w:rPr>
              <w:t xml:space="preserve"> </w:t>
            </w:r>
          </w:p>
        </w:tc>
        <w:tc>
          <w:tcPr>
            <w:tcW w:w="2751" w:type="dxa"/>
            <w:tcBorders>
              <w:top w:val="single" w:sz="6" w:space="0" w:color="7B7B7B"/>
              <w:left w:val="nil"/>
              <w:bottom w:val="single" w:sz="6" w:space="0" w:color="7B7B7B"/>
              <w:right w:val="nil"/>
            </w:tcBorders>
          </w:tcPr>
          <w:p w14:paraId="0B444462"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c>
          <w:tcPr>
            <w:tcW w:w="646" w:type="dxa"/>
            <w:gridSpan w:val="2"/>
            <w:tcBorders>
              <w:top w:val="single" w:sz="6" w:space="0" w:color="7B7B7B"/>
              <w:left w:val="nil"/>
              <w:bottom w:val="single" w:sz="6" w:space="0" w:color="7B7B7B"/>
              <w:right w:val="nil"/>
            </w:tcBorders>
          </w:tcPr>
          <w:p w14:paraId="55000C70"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c>
          <w:tcPr>
            <w:tcW w:w="3809" w:type="dxa"/>
            <w:gridSpan w:val="3"/>
            <w:tcBorders>
              <w:top w:val="single" w:sz="6" w:space="0" w:color="7B7B7B"/>
              <w:left w:val="nil"/>
              <w:bottom w:val="single" w:sz="6" w:space="0" w:color="7B7B7B"/>
              <w:right w:val="single" w:sz="6" w:space="0" w:color="7B7B7B"/>
            </w:tcBorders>
          </w:tcPr>
          <w:p w14:paraId="7DE9FE4C"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r>
      <w:tr w:rsidR="005731F0" w:rsidRPr="00220369" w14:paraId="2D64F39E" w14:textId="77777777" w:rsidTr="00E6784B">
        <w:trPr>
          <w:trHeight w:val="350"/>
          <w:jc w:val="center"/>
        </w:trPr>
        <w:tc>
          <w:tcPr>
            <w:tcW w:w="2001" w:type="dxa"/>
            <w:tcBorders>
              <w:top w:val="single" w:sz="6" w:space="0" w:color="7B7B7B"/>
              <w:left w:val="single" w:sz="6" w:space="0" w:color="7B7B7B"/>
              <w:bottom w:val="single" w:sz="6" w:space="0" w:color="7B7B7B"/>
              <w:right w:val="single" w:sz="6" w:space="0" w:color="7B7B7B"/>
            </w:tcBorders>
          </w:tcPr>
          <w:p w14:paraId="325CD246"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b/>
                <w:i/>
                <w:sz w:val="22"/>
                <w:szCs w:val="22"/>
                <w:lang w:val="sr-Latn-ME"/>
              </w:rPr>
              <w:t>Često</w:t>
            </w:r>
          </w:p>
        </w:tc>
        <w:tc>
          <w:tcPr>
            <w:tcW w:w="2751" w:type="dxa"/>
            <w:tcBorders>
              <w:top w:val="single" w:sz="6" w:space="0" w:color="7B7B7B"/>
              <w:left w:val="single" w:sz="6" w:space="0" w:color="7B7B7B"/>
              <w:bottom w:val="single" w:sz="6" w:space="0" w:color="7B7B7B"/>
              <w:right w:val="nil"/>
            </w:tcBorders>
          </w:tcPr>
          <w:p w14:paraId="2DFB9B80" w14:textId="408B9360"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b/>
                <w:i/>
                <w:sz w:val="22"/>
                <w:szCs w:val="22"/>
                <w:lang w:val="sr-Latn-ME"/>
              </w:rPr>
              <w:t>Alergijski konju</w:t>
            </w:r>
            <w:r w:rsidR="00035D8E" w:rsidRPr="00220369">
              <w:rPr>
                <w:rFonts w:ascii="Times New Roman" w:hAnsi="Times New Roman"/>
                <w:b/>
                <w:i/>
                <w:sz w:val="22"/>
                <w:szCs w:val="22"/>
                <w:lang w:val="sr-Latn-ME"/>
              </w:rPr>
              <w:t>n</w:t>
            </w:r>
            <w:r w:rsidRPr="00220369">
              <w:rPr>
                <w:rFonts w:ascii="Times New Roman" w:hAnsi="Times New Roman"/>
                <w:b/>
                <w:i/>
                <w:sz w:val="22"/>
                <w:szCs w:val="22"/>
                <w:lang w:val="sr-Latn-ME"/>
              </w:rPr>
              <w:t>ktivitis</w:t>
            </w:r>
          </w:p>
        </w:tc>
        <w:tc>
          <w:tcPr>
            <w:tcW w:w="646" w:type="dxa"/>
            <w:gridSpan w:val="2"/>
            <w:tcBorders>
              <w:top w:val="single" w:sz="6" w:space="0" w:color="7B7B7B"/>
              <w:left w:val="nil"/>
              <w:bottom w:val="single" w:sz="6" w:space="0" w:color="7B7B7B"/>
              <w:right w:val="single" w:sz="6" w:space="0" w:color="7B7B7B"/>
            </w:tcBorders>
          </w:tcPr>
          <w:p w14:paraId="28894FB3"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c>
          <w:tcPr>
            <w:tcW w:w="1697" w:type="dxa"/>
            <w:gridSpan w:val="2"/>
            <w:tcBorders>
              <w:top w:val="single" w:sz="6" w:space="0" w:color="7B7B7B"/>
              <w:left w:val="single" w:sz="6" w:space="0" w:color="7B7B7B"/>
              <w:bottom w:val="single" w:sz="6" w:space="0" w:color="7B7B7B"/>
              <w:right w:val="single" w:sz="6" w:space="0" w:color="7B7B7B"/>
            </w:tcBorders>
          </w:tcPr>
          <w:p w14:paraId="36C34378"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sz w:val="22"/>
                <w:szCs w:val="22"/>
                <w:lang w:val="sr-Latn-ME"/>
              </w:rPr>
              <w:t xml:space="preserve">4 (1.4%) </w:t>
            </w:r>
          </w:p>
        </w:tc>
        <w:tc>
          <w:tcPr>
            <w:tcW w:w="2112" w:type="dxa"/>
            <w:tcBorders>
              <w:top w:val="single" w:sz="6" w:space="0" w:color="7B7B7B"/>
              <w:left w:val="single" w:sz="6" w:space="0" w:color="7B7B7B"/>
              <w:bottom w:val="single" w:sz="6" w:space="0" w:color="7B7B7B"/>
              <w:right w:val="single" w:sz="6" w:space="0" w:color="7B7B7B"/>
            </w:tcBorders>
          </w:tcPr>
          <w:p w14:paraId="7C002A55"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sz w:val="22"/>
                <w:szCs w:val="22"/>
                <w:lang w:val="sr-Latn-ME"/>
              </w:rPr>
              <w:t xml:space="preserve">5 (2.0%) </w:t>
            </w:r>
          </w:p>
        </w:tc>
      </w:tr>
      <w:tr w:rsidR="005731F0" w:rsidRPr="00220369" w14:paraId="6D3FAF7A" w14:textId="77777777" w:rsidTr="00E6784B">
        <w:trPr>
          <w:trHeight w:val="353"/>
          <w:jc w:val="center"/>
        </w:trPr>
        <w:tc>
          <w:tcPr>
            <w:tcW w:w="2001" w:type="dxa"/>
            <w:tcBorders>
              <w:top w:val="single" w:sz="6" w:space="0" w:color="7B7B7B"/>
              <w:left w:val="single" w:sz="6" w:space="0" w:color="7B7B7B"/>
              <w:bottom w:val="single" w:sz="6" w:space="0" w:color="7B7B7B"/>
              <w:right w:val="single" w:sz="6" w:space="0" w:color="7B7B7B"/>
            </w:tcBorders>
          </w:tcPr>
          <w:p w14:paraId="14E2CE3E"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b/>
                <w:i/>
                <w:sz w:val="22"/>
                <w:szCs w:val="22"/>
                <w:lang w:val="sr-Latn-ME"/>
              </w:rPr>
              <w:t xml:space="preserve">Povremeno </w:t>
            </w:r>
          </w:p>
        </w:tc>
        <w:tc>
          <w:tcPr>
            <w:tcW w:w="2751" w:type="dxa"/>
            <w:tcBorders>
              <w:top w:val="single" w:sz="6" w:space="0" w:color="7B7B7B"/>
              <w:left w:val="single" w:sz="6" w:space="0" w:color="7B7B7B"/>
              <w:bottom w:val="single" w:sz="6" w:space="0" w:color="7B7B7B"/>
              <w:right w:val="nil"/>
            </w:tcBorders>
          </w:tcPr>
          <w:p w14:paraId="5C0ECBD5"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b/>
                <w:i/>
                <w:sz w:val="22"/>
                <w:szCs w:val="22"/>
                <w:lang w:val="sr-Latn-ME"/>
              </w:rPr>
              <w:t xml:space="preserve">Iritacija oka </w:t>
            </w:r>
          </w:p>
        </w:tc>
        <w:tc>
          <w:tcPr>
            <w:tcW w:w="646" w:type="dxa"/>
            <w:gridSpan w:val="2"/>
            <w:tcBorders>
              <w:top w:val="single" w:sz="6" w:space="0" w:color="7B7B7B"/>
              <w:left w:val="nil"/>
              <w:bottom w:val="single" w:sz="6" w:space="0" w:color="7B7B7B"/>
              <w:right w:val="single" w:sz="6" w:space="0" w:color="7B7B7B"/>
            </w:tcBorders>
          </w:tcPr>
          <w:p w14:paraId="3EAE83C5"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c>
          <w:tcPr>
            <w:tcW w:w="1697" w:type="dxa"/>
            <w:gridSpan w:val="2"/>
            <w:tcBorders>
              <w:top w:val="single" w:sz="6" w:space="0" w:color="7B7B7B"/>
              <w:left w:val="single" w:sz="6" w:space="0" w:color="7B7B7B"/>
              <w:bottom w:val="single" w:sz="6" w:space="0" w:color="7B7B7B"/>
              <w:right w:val="single" w:sz="6" w:space="0" w:color="7B7B7B"/>
            </w:tcBorders>
          </w:tcPr>
          <w:p w14:paraId="4801EACB"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sz w:val="22"/>
                <w:szCs w:val="22"/>
                <w:lang w:val="sr-Latn-ME"/>
              </w:rPr>
              <w:t xml:space="preserve">1 (0.3%) </w:t>
            </w:r>
          </w:p>
        </w:tc>
        <w:tc>
          <w:tcPr>
            <w:tcW w:w="2112" w:type="dxa"/>
            <w:tcBorders>
              <w:top w:val="single" w:sz="6" w:space="0" w:color="7B7B7B"/>
              <w:left w:val="single" w:sz="6" w:space="0" w:color="7B7B7B"/>
              <w:bottom w:val="single" w:sz="6" w:space="0" w:color="7B7B7B"/>
              <w:right w:val="single" w:sz="6" w:space="0" w:color="7B7B7B"/>
            </w:tcBorders>
          </w:tcPr>
          <w:p w14:paraId="0C993981"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sz w:val="22"/>
                <w:szCs w:val="22"/>
                <w:lang w:val="sr-Latn-ME"/>
              </w:rPr>
              <w:t xml:space="preserve">0 (0.0%) </w:t>
            </w:r>
          </w:p>
        </w:tc>
      </w:tr>
      <w:tr w:rsidR="005731F0" w:rsidRPr="00220369" w14:paraId="71AFEB7B" w14:textId="77777777" w:rsidTr="00E6784B">
        <w:trPr>
          <w:trHeight w:val="350"/>
          <w:jc w:val="center"/>
        </w:trPr>
        <w:tc>
          <w:tcPr>
            <w:tcW w:w="9207" w:type="dxa"/>
            <w:gridSpan w:val="7"/>
            <w:tcBorders>
              <w:top w:val="single" w:sz="6" w:space="0" w:color="7B7B7B"/>
              <w:left w:val="single" w:sz="6" w:space="0" w:color="7B7B7B"/>
              <w:bottom w:val="single" w:sz="6" w:space="0" w:color="7B7B7B"/>
              <w:right w:val="single" w:sz="6" w:space="0" w:color="7B7B7B"/>
            </w:tcBorders>
          </w:tcPr>
          <w:p w14:paraId="3F3BBC34"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b/>
                <w:sz w:val="22"/>
                <w:szCs w:val="22"/>
                <w:lang w:val="sr-Latn-ME"/>
              </w:rPr>
              <w:t>Gastrointestinalni poremećaji</w:t>
            </w:r>
          </w:p>
        </w:tc>
      </w:tr>
      <w:tr w:rsidR="005731F0" w:rsidRPr="00220369" w14:paraId="2713EFB2" w14:textId="77777777" w:rsidTr="00E6784B">
        <w:trPr>
          <w:trHeight w:val="626"/>
          <w:jc w:val="center"/>
        </w:trPr>
        <w:tc>
          <w:tcPr>
            <w:tcW w:w="2001" w:type="dxa"/>
            <w:tcBorders>
              <w:top w:val="single" w:sz="6" w:space="0" w:color="7B7B7B"/>
              <w:left w:val="single" w:sz="6" w:space="0" w:color="7B7B7B"/>
              <w:bottom w:val="single" w:sz="6" w:space="0" w:color="7B7B7B"/>
              <w:right w:val="single" w:sz="6" w:space="0" w:color="7B7B7B"/>
            </w:tcBorders>
            <w:vAlign w:val="center"/>
          </w:tcPr>
          <w:p w14:paraId="04E9D0AA"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b/>
                <w:i/>
                <w:sz w:val="22"/>
                <w:szCs w:val="22"/>
                <w:lang w:val="sr-Latn-ME"/>
              </w:rPr>
              <w:t>Često</w:t>
            </w:r>
          </w:p>
        </w:tc>
        <w:tc>
          <w:tcPr>
            <w:tcW w:w="2751" w:type="dxa"/>
            <w:tcBorders>
              <w:top w:val="single" w:sz="6" w:space="0" w:color="7B7B7B"/>
              <w:left w:val="single" w:sz="6" w:space="0" w:color="7B7B7B"/>
              <w:bottom w:val="single" w:sz="6" w:space="0" w:color="7B7B7B"/>
              <w:right w:val="nil"/>
            </w:tcBorders>
          </w:tcPr>
          <w:p w14:paraId="18F6AA5B"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b/>
                <w:i/>
                <w:sz w:val="22"/>
                <w:szCs w:val="22"/>
                <w:lang w:val="sr-Latn-ME"/>
              </w:rPr>
              <w:t>Abdominalni bol / Bol u gornjem predelu stomaka</w:t>
            </w:r>
          </w:p>
        </w:tc>
        <w:tc>
          <w:tcPr>
            <w:tcW w:w="646" w:type="dxa"/>
            <w:gridSpan w:val="2"/>
            <w:tcBorders>
              <w:top w:val="single" w:sz="6" w:space="0" w:color="7B7B7B"/>
              <w:left w:val="nil"/>
              <w:bottom w:val="single" w:sz="6" w:space="0" w:color="7B7B7B"/>
              <w:right w:val="single" w:sz="6" w:space="0" w:color="7B7B7B"/>
            </w:tcBorders>
          </w:tcPr>
          <w:p w14:paraId="49F2190F" w14:textId="77777777" w:rsidR="005731F0" w:rsidRPr="00220369" w:rsidRDefault="005731F0" w:rsidP="00E6784B">
            <w:pPr>
              <w:tabs>
                <w:tab w:val="left" w:pos="284"/>
              </w:tabs>
              <w:spacing w:line="259" w:lineRule="auto"/>
              <w:jc w:val="both"/>
              <w:rPr>
                <w:rFonts w:ascii="Times New Roman" w:hAnsi="Times New Roman"/>
                <w:sz w:val="22"/>
                <w:szCs w:val="22"/>
                <w:lang w:val="sr-Latn-ME"/>
              </w:rPr>
            </w:pPr>
          </w:p>
        </w:tc>
        <w:tc>
          <w:tcPr>
            <w:tcW w:w="1697" w:type="dxa"/>
            <w:gridSpan w:val="2"/>
            <w:tcBorders>
              <w:top w:val="single" w:sz="6" w:space="0" w:color="7B7B7B"/>
              <w:left w:val="single" w:sz="6" w:space="0" w:color="7B7B7B"/>
              <w:bottom w:val="single" w:sz="6" w:space="0" w:color="7B7B7B"/>
              <w:right w:val="single" w:sz="6" w:space="0" w:color="7B7B7B"/>
            </w:tcBorders>
          </w:tcPr>
          <w:p w14:paraId="67B83089"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sz w:val="22"/>
                <w:szCs w:val="22"/>
                <w:lang w:val="sr-Latn-ME"/>
              </w:rPr>
              <w:t xml:space="preserve">3 (1.0%) </w:t>
            </w:r>
          </w:p>
        </w:tc>
        <w:tc>
          <w:tcPr>
            <w:tcW w:w="2112" w:type="dxa"/>
            <w:tcBorders>
              <w:top w:val="single" w:sz="6" w:space="0" w:color="7B7B7B"/>
              <w:left w:val="single" w:sz="6" w:space="0" w:color="7B7B7B"/>
              <w:bottom w:val="single" w:sz="6" w:space="0" w:color="7B7B7B"/>
              <w:right w:val="single" w:sz="6" w:space="0" w:color="7B7B7B"/>
            </w:tcBorders>
          </w:tcPr>
          <w:p w14:paraId="202ADAAD"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sz w:val="22"/>
                <w:szCs w:val="22"/>
                <w:lang w:val="sr-Latn-ME"/>
              </w:rPr>
              <w:t xml:space="preserve">3 (1.2%) </w:t>
            </w:r>
          </w:p>
        </w:tc>
      </w:tr>
      <w:tr w:rsidR="005731F0" w:rsidRPr="00220369" w14:paraId="788B3EE5" w14:textId="77777777" w:rsidTr="00E6784B">
        <w:trPr>
          <w:trHeight w:val="350"/>
          <w:jc w:val="center"/>
        </w:trPr>
        <w:tc>
          <w:tcPr>
            <w:tcW w:w="2001" w:type="dxa"/>
            <w:vMerge w:val="restart"/>
            <w:tcBorders>
              <w:top w:val="single" w:sz="6" w:space="0" w:color="7B7B7B"/>
              <w:left w:val="single" w:sz="6" w:space="0" w:color="7B7B7B"/>
              <w:bottom w:val="single" w:sz="6" w:space="0" w:color="7B7B7B"/>
              <w:right w:val="single" w:sz="6" w:space="0" w:color="7B7B7B"/>
            </w:tcBorders>
            <w:vAlign w:val="center"/>
          </w:tcPr>
          <w:p w14:paraId="42DF5921"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b/>
                <w:i/>
                <w:sz w:val="22"/>
                <w:szCs w:val="22"/>
                <w:lang w:val="sr-Latn-ME"/>
              </w:rPr>
              <w:t>Povremeno</w:t>
            </w:r>
          </w:p>
        </w:tc>
        <w:tc>
          <w:tcPr>
            <w:tcW w:w="2751" w:type="dxa"/>
            <w:tcBorders>
              <w:top w:val="single" w:sz="6" w:space="0" w:color="7B7B7B"/>
              <w:left w:val="single" w:sz="6" w:space="0" w:color="7B7B7B"/>
              <w:bottom w:val="single" w:sz="6" w:space="0" w:color="7B7B7B"/>
              <w:right w:val="nil"/>
            </w:tcBorders>
          </w:tcPr>
          <w:p w14:paraId="0D6B1C2F"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b/>
                <w:i/>
                <w:sz w:val="22"/>
                <w:szCs w:val="22"/>
                <w:lang w:val="sr-Latn-ME"/>
              </w:rPr>
              <w:t xml:space="preserve">Dijareja </w:t>
            </w:r>
          </w:p>
        </w:tc>
        <w:tc>
          <w:tcPr>
            <w:tcW w:w="646" w:type="dxa"/>
            <w:gridSpan w:val="2"/>
            <w:tcBorders>
              <w:top w:val="single" w:sz="6" w:space="0" w:color="7B7B7B"/>
              <w:left w:val="nil"/>
              <w:bottom w:val="single" w:sz="6" w:space="0" w:color="7B7B7B"/>
              <w:right w:val="single" w:sz="6" w:space="0" w:color="7B7B7B"/>
            </w:tcBorders>
          </w:tcPr>
          <w:p w14:paraId="6124FEB4"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c>
          <w:tcPr>
            <w:tcW w:w="1697" w:type="dxa"/>
            <w:gridSpan w:val="2"/>
            <w:tcBorders>
              <w:top w:val="single" w:sz="6" w:space="0" w:color="7B7B7B"/>
              <w:left w:val="single" w:sz="6" w:space="0" w:color="7B7B7B"/>
              <w:bottom w:val="single" w:sz="6" w:space="0" w:color="7B7B7B"/>
              <w:right w:val="single" w:sz="6" w:space="0" w:color="7B7B7B"/>
            </w:tcBorders>
          </w:tcPr>
          <w:p w14:paraId="634C321B"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sz w:val="22"/>
                <w:szCs w:val="22"/>
                <w:lang w:val="sr-Latn-ME"/>
              </w:rPr>
              <w:t xml:space="preserve">2 (0.7%) </w:t>
            </w:r>
          </w:p>
        </w:tc>
        <w:tc>
          <w:tcPr>
            <w:tcW w:w="2112" w:type="dxa"/>
            <w:tcBorders>
              <w:top w:val="single" w:sz="6" w:space="0" w:color="7B7B7B"/>
              <w:left w:val="single" w:sz="6" w:space="0" w:color="7B7B7B"/>
              <w:bottom w:val="single" w:sz="6" w:space="0" w:color="7B7B7B"/>
              <w:right w:val="single" w:sz="6" w:space="0" w:color="7B7B7B"/>
            </w:tcBorders>
          </w:tcPr>
          <w:p w14:paraId="7D2B132A"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sz w:val="22"/>
                <w:szCs w:val="22"/>
                <w:lang w:val="sr-Latn-ME"/>
              </w:rPr>
              <w:t xml:space="preserve">0 (0.0%) </w:t>
            </w:r>
          </w:p>
        </w:tc>
      </w:tr>
      <w:tr w:rsidR="005731F0" w:rsidRPr="00220369" w14:paraId="683489AF" w14:textId="77777777" w:rsidTr="00E6784B">
        <w:trPr>
          <w:trHeight w:val="353"/>
          <w:jc w:val="center"/>
        </w:trPr>
        <w:tc>
          <w:tcPr>
            <w:tcW w:w="2001" w:type="dxa"/>
            <w:vMerge/>
            <w:tcBorders>
              <w:top w:val="nil"/>
              <w:left w:val="single" w:sz="6" w:space="0" w:color="7B7B7B"/>
              <w:bottom w:val="nil"/>
              <w:right w:val="single" w:sz="6" w:space="0" w:color="7B7B7B"/>
            </w:tcBorders>
          </w:tcPr>
          <w:p w14:paraId="10F8D526"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c>
          <w:tcPr>
            <w:tcW w:w="2751" w:type="dxa"/>
            <w:tcBorders>
              <w:top w:val="single" w:sz="6" w:space="0" w:color="7B7B7B"/>
              <w:left w:val="single" w:sz="6" w:space="0" w:color="7B7B7B"/>
              <w:bottom w:val="single" w:sz="6" w:space="0" w:color="7B7B7B"/>
              <w:right w:val="nil"/>
            </w:tcBorders>
          </w:tcPr>
          <w:p w14:paraId="3515D352"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b/>
                <w:i/>
                <w:sz w:val="22"/>
                <w:szCs w:val="22"/>
                <w:lang w:val="sr-Latn-ME"/>
              </w:rPr>
              <w:t xml:space="preserve">Mučnina </w:t>
            </w:r>
          </w:p>
        </w:tc>
        <w:tc>
          <w:tcPr>
            <w:tcW w:w="646" w:type="dxa"/>
            <w:gridSpan w:val="2"/>
            <w:tcBorders>
              <w:top w:val="single" w:sz="6" w:space="0" w:color="7B7B7B"/>
              <w:left w:val="nil"/>
              <w:bottom w:val="single" w:sz="6" w:space="0" w:color="7B7B7B"/>
              <w:right w:val="single" w:sz="6" w:space="0" w:color="7B7B7B"/>
            </w:tcBorders>
          </w:tcPr>
          <w:p w14:paraId="2158B354"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c>
          <w:tcPr>
            <w:tcW w:w="1697" w:type="dxa"/>
            <w:gridSpan w:val="2"/>
            <w:tcBorders>
              <w:top w:val="single" w:sz="6" w:space="0" w:color="7B7B7B"/>
              <w:left w:val="single" w:sz="6" w:space="0" w:color="7B7B7B"/>
              <w:bottom w:val="single" w:sz="6" w:space="0" w:color="7B7B7B"/>
              <w:right w:val="single" w:sz="6" w:space="0" w:color="7B7B7B"/>
            </w:tcBorders>
          </w:tcPr>
          <w:p w14:paraId="62E45C61"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sz w:val="22"/>
                <w:szCs w:val="22"/>
                <w:lang w:val="sr-Latn-ME"/>
              </w:rPr>
              <w:t xml:space="preserve">1 (0.3%) </w:t>
            </w:r>
          </w:p>
        </w:tc>
        <w:tc>
          <w:tcPr>
            <w:tcW w:w="2112" w:type="dxa"/>
            <w:tcBorders>
              <w:top w:val="single" w:sz="6" w:space="0" w:color="7B7B7B"/>
              <w:left w:val="single" w:sz="6" w:space="0" w:color="7B7B7B"/>
              <w:bottom w:val="single" w:sz="6" w:space="0" w:color="7B7B7B"/>
              <w:right w:val="single" w:sz="6" w:space="0" w:color="7B7B7B"/>
            </w:tcBorders>
          </w:tcPr>
          <w:p w14:paraId="6DB8DE49"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sz w:val="22"/>
                <w:szCs w:val="22"/>
                <w:lang w:val="sr-Latn-ME"/>
              </w:rPr>
              <w:t xml:space="preserve">0 (0.0%) </w:t>
            </w:r>
          </w:p>
        </w:tc>
      </w:tr>
      <w:tr w:rsidR="005731F0" w:rsidRPr="00220369" w14:paraId="6DD4B857" w14:textId="77777777" w:rsidTr="00E6784B">
        <w:trPr>
          <w:trHeight w:val="351"/>
          <w:jc w:val="center"/>
        </w:trPr>
        <w:tc>
          <w:tcPr>
            <w:tcW w:w="2001" w:type="dxa"/>
            <w:vMerge/>
            <w:tcBorders>
              <w:top w:val="nil"/>
              <w:left w:val="single" w:sz="6" w:space="0" w:color="7B7B7B"/>
              <w:bottom w:val="single" w:sz="6" w:space="0" w:color="7B7B7B"/>
              <w:right w:val="single" w:sz="6" w:space="0" w:color="7B7B7B"/>
            </w:tcBorders>
          </w:tcPr>
          <w:p w14:paraId="4292DF75"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c>
          <w:tcPr>
            <w:tcW w:w="2751" w:type="dxa"/>
            <w:tcBorders>
              <w:top w:val="single" w:sz="6" w:space="0" w:color="7B7B7B"/>
              <w:left w:val="single" w:sz="6" w:space="0" w:color="7B7B7B"/>
              <w:bottom w:val="single" w:sz="6" w:space="0" w:color="7B7B7B"/>
              <w:right w:val="nil"/>
            </w:tcBorders>
          </w:tcPr>
          <w:p w14:paraId="17936007"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b/>
                <w:i/>
                <w:sz w:val="22"/>
                <w:szCs w:val="22"/>
                <w:lang w:val="sr-Latn-ME"/>
              </w:rPr>
              <w:t>Oticanje usana</w:t>
            </w:r>
          </w:p>
        </w:tc>
        <w:tc>
          <w:tcPr>
            <w:tcW w:w="646" w:type="dxa"/>
            <w:gridSpan w:val="2"/>
            <w:tcBorders>
              <w:top w:val="single" w:sz="6" w:space="0" w:color="7B7B7B"/>
              <w:left w:val="nil"/>
              <w:bottom w:val="single" w:sz="6" w:space="0" w:color="7B7B7B"/>
              <w:right w:val="single" w:sz="6" w:space="0" w:color="7B7B7B"/>
            </w:tcBorders>
          </w:tcPr>
          <w:p w14:paraId="0BD79BD4"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c>
          <w:tcPr>
            <w:tcW w:w="1697" w:type="dxa"/>
            <w:gridSpan w:val="2"/>
            <w:tcBorders>
              <w:top w:val="single" w:sz="6" w:space="0" w:color="7B7B7B"/>
              <w:left w:val="single" w:sz="6" w:space="0" w:color="7B7B7B"/>
              <w:bottom w:val="single" w:sz="6" w:space="0" w:color="7B7B7B"/>
              <w:right w:val="single" w:sz="6" w:space="0" w:color="7B7B7B"/>
            </w:tcBorders>
          </w:tcPr>
          <w:p w14:paraId="6981B8BA"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sz w:val="22"/>
                <w:szCs w:val="22"/>
                <w:lang w:val="sr-Latn-ME"/>
              </w:rPr>
              <w:t xml:space="preserve">1 (0.3%) </w:t>
            </w:r>
          </w:p>
        </w:tc>
        <w:tc>
          <w:tcPr>
            <w:tcW w:w="2112" w:type="dxa"/>
            <w:tcBorders>
              <w:top w:val="single" w:sz="6" w:space="0" w:color="7B7B7B"/>
              <w:left w:val="single" w:sz="6" w:space="0" w:color="7B7B7B"/>
              <w:bottom w:val="single" w:sz="6" w:space="0" w:color="7B7B7B"/>
              <w:right w:val="single" w:sz="6" w:space="0" w:color="7B7B7B"/>
            </w:tcBorders>
          </w:tcPr>
          <w:p w14:paraId="3098B7EC"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sz w:val="22"/>
                <w:szCs w:val="22"/>
                <w:lang w:val="sr-Latn-ME"/>
              </w:rPr>
              <w:t xml:space="preserve">0 (0.0%) </w:t>
            </w:r>
          </w:p>
        </w:tc>
      </w:tr>
      <w:tr w:rsidR="005731F0" w:rsidRPr="00220369" w14:paraId="2F5A6F04" w14:textId="77777777" w:rsidTr="00E6784B">
        <w:trPr>
          <w:trHeight w:val="350"/>
          <w:jc w:val="center"/>
        </w:trPr>
        <w:tc>
          <w:tcPr>
            <w:tcW w:w="4752" w:type="dxa"/>
            <w:gridSpan w:val="2"/>
            <w:tcBorders>
              <w:top w:val="single" w:sz="6" w:space="0" w:color="7B7B7B"/>
              <w:left w:val="single" w:sz="6" w:space="0" w:color="7B7B7B"/>
              <w:bottom w:val="single" w:sz="6" w:space="0" w:color="7B7B7B"/>
              <w:right w:val="nil"/>
            </w:tcBorders>
          </w:tcPr>
          <w:p w14:paraId="14B0D91E" w14:textId="77777777" w:rsidR="005731F0" w:rsidRPr="00220369" w:rsidRDefault="005731F0" w:rsidP="00E6784B">
            <w:pPr>
              <w:tabs>
                <w:tab w:val="left" w:pos="284"/>
              </w:tabs>
              <w:spacing w:line="259" w:lineRule="auto"/>
              <w:ind w:left="-11"/>
              <w:jc w:val="both"/>
              <w:rPr>
                <w:rFonts w:ascii="Times New Roman" w:hAnsi="Times New Roman"/>
                <w:b/>
                <w:bCs/>
                <w:sz w:val="22"/>
                <w:szCs w:val="22"/>
                <w:lang w:val="sr-Latn-ME"/>
              </w:rPr>
            </w:pPr>
            <w:r w:rsidRPr="00220369">
              <w:rPr>
                <w:rFonts w:ascii="Times New Roman" w:hAnsi="Times New Roman"/>
                <w:b/>
                <w:bCs/>
                <w:sz w:val="22"/>
                <w:szCs w:val="22"/>
                <w:lang w:val="sr-Latn-ME"/>
              </w:rPr>
              <w:t xml:space="preserve">Poremećaji kože i potkožnog tkiva </w:t>
            </w:r>
          </w:p>
        </w:tc>
        <w:tc>
          <w:tcPr>
            <w:tcW w:w="646" w:type="dxa"/>
            <w:gridSpan w:val="2"/>
            <w:tcBorders>
              <w:top w:val="single" w:sz="6" w:space="0" w:color="7B7B7B"/>
              <w:left w:val="nil"/>
              <w:bottom w:val="single" w:sz="6" w:space="0" w:color="7B7B7B"/>
              <w:right w:val="nil"/>
            </w:tcBorders>
          </w:tcPr>
          <w:p w14:paraId="5F8622F2"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c>
          <w:tcPr>
            <w:tcW w:w="3809" w:type="dxa"/>
            <w:gridSpan w:val="3"/>
            <w:tcBorders>
              <w:top w:val="single" w:sz="6" w:space="0" w:color="7B7B7B"/>
              <w:left w:val="nil"/>
              <w:bottom w:val="single" w:sz="6" w:space="0" w:color="7B7B7B"/>
              <w:right w:val="single" w:sz="6" w:space="0" w:color="7B7B7B"/>
            </w:tcBorders>
          </w:tcPr>
          <w:p w14:paraId="37F78FF5"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r>
      <w:tr w:rsidR="005731F0" w:rsidRPr="00220369" w14:paraId="4D78BD66" w14:textId="77777777" w:rsidTr="00E6784B">
        <w:trPr>
          <w:trHeight w:val="350"/>
          <w:jc w:val="center"/>
        </w:trPr>
        <w:tc>
          <w:tcPr>
            <w:tcW w:w="2001" w:type="dxa"/>
            <w:vMerge w:val="restart"/>
            <w:tcBorders>
              <w:top w:val="single" w:sz="6" w:space="0" w:color="7B7B7B"/>
              <w:left w:val="single" w:sz="6" w:space="0" w:color="7B7B7B"/>
              <w:bottom w:val="single" w:sz="6" w:space="0" w:color="7B7B7B"/>
              <w:right w:val="single" w:sz="6" w:space="0" w:color="7B7B7B"/>
            </w:tcBorders>
            <w:vAlign w:val="center"/>
          </w:tcPr>
          <w:p w14:paraId="3B61AB18"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b/>
                <w:i/>
                <w:sz w:val="22"/>
                <w:szCs w:val="22"/>
                <w:lang w:val="sr-Latn-ME"/>
              </w:rPr>
              <w:t xml:space="preserve">Povremeno </w:t>
            </w:r>
          </w:p>
        </w:tc>
        <w:tc>
          <w:tcPr>
            <w:tcW w:w="2751" w:type="dxa"/>
            <w:tcBorders>
              <w:top w:val="single" w:sz="6" w:space="0" w:color="7B7B7B"/>
              <w:left w:val="single" w:sz="6" w:space="0" w:color="7B7B7B"/>
              <w:bottom w:val="single" w:sz="6" w:space="0" w:color="7B7B7B"/>
              <w:right w:val="nil"/>
            </w:tcBorders>
          </w:tcPr>
          <w:p w14:paraId="2CED8BDD"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b/>
                <w:i/>
                <w:sz w:val="22"/>
                <w:szCs w:val="22"/>
                <w:lang w:val="sr-Latn-ME"/>
              </w:rPr>
              <w:t>Ekcem</w:t>
            </w:r>
          </w:p>
        </w:tc>
        <w:tc>
          <w:tcPr>
            <w:tcW w:w="646" w:type="dxa"/>
            <w:gridSpan w:val="2"/>
            <w:tcBorders>
              <w:top w:val="single" w:sz="6" w:space="0" w:color="7B7B7B"/>
              <w:left w:val="nil"/>
              <w:bottom w:val="single" w:sz="6" w:space="0" w:color="7B7B7B"/>
              <w:right w:val="single" w:sz="6" w:space="0" w:color="7B7B7B"/>
            </w:tcBorders>
          </w:tcPr>
          <w:p w14:paraId="301B7673"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c>
          <w:tcPr>
            <w:tcW w:w="1697" w:type="dxa"/>
            <w:gridSpan w:val="2"/>
            <w:tcBorders>
              <w:top w:val="single" w:sz="6" w:space="0" w:color="7B7B7B"/>
              <w:left w:val="single" w:sz="6" w:space="0" w:color="7B7B7B"/>
              <w:bottom w:val="single" w:sz="6" w:space="0" w:color="7B7B7B"/>
              <w:right w:val="single" w:sz="6" w:space="0" w:color="7B7B7B"/>
            </w:tcBorders>
          </w:tcPr>
          <w:p w14:paraId="289BF976"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sz w:val="22"/>
                <w:szCs w:val="22"/>
                <w:lang w:val="sr-Latn-ME"/>
              </w:rPr>
              <w:t xml:space="preserve">1 (0.3%) </w:t>
            </w:r>
          </w:p>
        </w:tc>
        <w:tc>
          <w:tcPr>
            <w:tcW w:w="2112" w:type="dxa"/>
            <w:tcBorders>
              <w:top w:val="single" w:sz="6" w:space="0" w:color="7B7B7B"/>
              <w:left w:val="single" w:sz="6" w:space="0" w:color="7B7B7B"/>
              <w:bottom w:val="single" w:sz="6" w:space="0" w:color="7B7B7B"/>
              <w:right w:val="single" w:sz="6" w:space="0" w:color="7B7B7B"/>
            </w:tcBorders>
          </w:tcPr>
          <w:p w14:paraId="02BDFBFD"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sz w:val="22"/>
                <w:szCs w:val="22"/>
                <w:lang w:val="sr-Latn-ME"/>
              </w:rPr>
              <w:t xml:space="preserve">0 (0.0%) </w:t>
            </w:r>
          </w:p>
        </w:tc>
      </w:tr>
      <w:tr w:rsidR="005731F0" w:rsidRPr="00220369" w14:paraId="40CA954E" w14:textId="77777777" w:rsidTr="00E6784B">
        <w:trPr>
          <w:trHeight w:val="353"/>
          <w:jc w:val="center"/>
        </w:trPr>
        <w:tc>
          <w:tcPr>
            <w:tcW w:w="2001" w:type="dxa"/>
            <w:vMerge/>
            <w:tcBorders>
              <w:top w:val="nil"/>
              <w:left w:val="single" w:sz="6" w:space="0" w:color="7B7B7B"/>
              <w:bottom w:val="single" w:sz="6" w:space="0" w:color="7B7B7B"/>
              <w:right w:val="single" w:sz="6" w:space="0" w:color="7B7B7B"/>
            </w:tcBorders>
          </w:tcPr>
          <w:p w14:paraId="2C06DD81"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c>
          <w:tcPr>
            <w:tcW w:w="2751" w:type="dxa"/>
            <w:tcBorders>
              <w:top w:val="single" w:sz="6" w:space="0" w:color="7B7B7B"/>
              <w:left w:val="single" w:sz="6" w:space="0" w:color="7B7B7B"/>
              <w:bottom w:val="single" w:sz="6" w:space="0" w:color="7B7B7B"/>
              <w:right w:val="nil"/>
            </w:tcBorders>
          </w:tcPr>
          <w:p w14:paraId="1E6C7A7A"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b/>
                <w:i/>
                <w:sz w:val="22"/>
                <w:szCs w:val="22"/>
                <w:lang w:val="sr-Latn-ME"/>
              </w:rPr>
              <w:t>Urtikarija</w:t>
            </w:r>
          </w:p>
        </w:tc>
        <w:tc>
          <w:tcPr>
            <w:tcW w:w="646" w:type="dxa"/>
            <w:gridSpan w:val="2"/>
            <w:tcBorders>
              <w:top w:val="single" w:sz="6" w:space="0" w:color="7B7B7B"/>
              <w:left w:val="nil"/>
              <w:bottom w:val="single" w:sz="6" w:space="0" w:color="7B7B7B"/>
              <w:right w:val="single" w:sz="6" w:space="0" w:color="7B7B7B"/>
            </w:tcBorders>
          </w:tcPr>
          <w:p w14:paraId="42A36147" w14:textId="77777777" w:rsidR="005731F0" w:rsidRPr="00220369" w:rsidRDefault="005731F0" w:rsidP="00E6784B">
            <w:pPr>
              <w:tabs>
                <w:tab w:val="left" w:pos="284"/>
              </w:tabs>
              <w:spacing w:after="160" w:line="259" w:lineRule="auto"/>
              <w:jc w:val="both"/>
              <w:rPr>
                <w:rFonts w:ascii="Times New Roman" w:hAnsi="Times New Roman"/>
                <w:sz w:val="22"/>
                <w:szCs w:val="22"/>
                <w:lang w:val="sr-Latn-ME"/>
              </w:rPr>
            </w:pPr>
          </w:p>
        </w:tc>
        <w:tc>
          <w:tcPr>
            <w:tcW w:w="1697" w:type="dxa"/>
            <w:gridSpan w:val="2"/>
            <w:tcBorders>
              <w:top w:val="single" w:sz="6" w:space="0" w:color="7B7B7B"/>
              <w:left w:val="single" w:sz="6" w:space="0" w:color="7B7B7B"/>
              <w:bottom w:val="single" w:sz="6" w:space="0" w:color="7B7B7B"/>
              <w:right w:val="single" w:sz="6" w:space="0" w:color="7B7B7B"/>
            </w:tcBorders>
          </w:tcPr>
          <w:p w14:paraId="10D7BB29"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sz w:val="22"/>
                <w:szCs w:val="22"/>
                <w:lang w:val="sr-Latn-ME"/>
              </w:rPr>
              <w:t xml:space="preserve">2 (0.7%) </w:t>
            </w:r>
          </w:p>
        </w:tc>
        <w:tc>
          <w:tcPr>
            <w:tcW w:w="2112" w:type="dxa"/>
            <w:tcBorders>
              <w:top w:val="single" w:sz="6" w:space="0" w:color="7B7B7B"/>
              <w:left w:val="single" w:sz="6" w:space="0" w:color="7B7B7B"/>
              <w:bottom w:val="single" w:sz="6" w:space="0" w:color="7B7B7B"/>
              <w:right w:val="single" w:sz="6" w:space="0" w:color="7B7B7B"/>
            </w:tcBorders>
          </w:tcPr>
          <w:p w14:paraId="3F33C99E"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sz w:val="22"/>
                <w:szCs w:val="22"/>
                <w:lang w:val="sr-Latn-ME"/>
              </w:rPr>
              <w:t xml:space="preserve">2 (0.8%) </w:t>
            </w:r>
          </w:p>
        </w:tc>
      </w:tr>
      <w:tr w:rsidR="005731F0" w:rsidRPr="00220369" w14:paraId="3030BE8A" w14:textId="77777777" w:rsidTr="00E6784B">
        <w:trPr>
          <w:trHeight w:val="350"/>
          <w:jc w:val="center"/>
        </w:trPr>
        <w:tc>
          <w:tcPr>
            <w:tcW w:w="9207" w:type="dxa"/>
            <w:gridSpan w:val="7"/>
            <w:tcBorders>
              <w:top w:val="single" w:sz="6" w:space="0" w:color="7B7B7B"/>
              <w:left w:val="single" w:sz="6" w:space="0" w:color="7B7B7B"/>
              <w:bottom w:val="single" w:sz="6" w:space="0" w:color="7B7B7B"/>
              <w:right w:val="single" w:sz="6" w:space="0" w:color="7B7B7B"/>
            </w:tcBorders>
          </w:tcPr>
          <w:p w14:paraId="36CEA22F"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b/>
                <w:sz w:val="22"/>
                <w:szCs w:val="22"/>
                <w:lang w:val="sr-Latn-ME"/>
              </w:rPr>
              <w:t>Opšti poremećaji i reakcije na mjestu primjene</w:t>
            </w:r>
          </w:p>
        </w:tc>
      </w:tr>
      <w:tr w:rsidR="005731F0" w:rsidRPr="00220369" w14:paraId="09BD3D1C" w14:textId="77777777" w:rsidTr="00E6784B">
        <w:trPr>
          <w:trHeight w:val="350"/>
          <w:jc w:val="center"/>
        </w:trPr>
        <w:tc>
          <w:tcPr>
            <w:tcW w:w="2001" w:type="dxa"/>
            <w:tcBorders>
              <w:top w:val="single" w:sz="6" w:space="0" w:color="7B7B7B"/>
              <w:left w:val="single" w:sz="6" w:space="0" w:color="7B7B7B"/>
              <w:bottom w:val="single" w:sz="6" w:space="0" w:color="7B7B7B"/>
              <w:right w:val="single" w:sz="6" w:space="0" w:color="7B7B7B"/>
            </w:tcBorders>
          </w:tcPr>
          <w:p w14:paraId="590A8953"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b/>
                <w:i/>
                <w:sz w:val="22"/>
                <w:szCs w:val="22"/>
                <w:lang w:val="sr-Latn-ME"/>
              </w:rPr>
              <w:t xml:space="preserve">Povremeno </w:t>
            </w:r>
          </w:p>
        </w:tc>
        <w:tc>
          <w:tcPr>
            <w:tcW w:w="3397" w:type="dxa"/>
            <w:gridSpan w:val="3"/>
            <w:tcBorders>
              <w:top w:val="single" w:sz="6" w:space="0" w:color="7B7B7B"/>
              <w:left w:val="single" w:sz="6" w:space="0" w:color="7B7B7B"/>
              <w:bottom w:val="single" w:sz="6" w:space="0" w:color="7B7B7B"/>
              <w:right w:val="single" w:sz="6" w:space="0" w:color="7B7B7B"/>
            </w:tcBorders>
          </w:tcPr>
          <w:p w14:paraId="04432327"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b/>
                <w:i/>
                <w:sz w:val="22"/>
                <w:szCs w:val="22"/>
                <w:lang w:val="sr-Latn-ME"/>
              </w:rPr>
              <w:t xml:space="preserve">Umor </w:t>
            </w:r>
          </w:p>
        </w:tc>
        <w:tc>
          <w:tcPr>
            <w:tcW w:w="1697" w:type="dxa"/>
            <w:gridSpan w:val="2"/>
            <w:tcBorders>
              <w:top w:val="single" w:sz="6" w:space="0" w:color="7B7B7B"/>
              <w:left w:val="single" w:sz="6" w:space="0" w:color="7B7B7B"/>
              <w:bottom w:val="single" w:sz="6" w:space="0" w:color="7B7B7B"/>
              <w:right w:val="single" w:sz="6" w:space="0" w:color="7B7B7B"/>
            </w:tcBorders>
          </w:tcPr>
          <w:p w14:paraId="1EA83529" w14:textId="77777777" w:rsidR="005731F0" w:rsidRPr="00220369" w:rsidRDefault="005731F0" w:rsidP="00E6784B">
            <w:pPr>
              <w:tabs>
                <w:tab w:val="left" w:pos="284"/>
              </w:tabs>
              <w:spacing w:line="259" w:lineRule="auto"/>
              <w:ind w:left="29"/>
              <w:jc w:val="both"/>
              <w:rPr>
                <w:rFonts w:ascii="Times New Roman" w:hAnsi="Times New Roman"/>
                <w:sz w:val="22"/>
                <w:szCs w:val="22"/>
                <w:lang w:val="sr-Latn-ME"/>
              </w:rPr>
            </w:pPr>
            <w:r w:rsidRPr="00220369">
              <w:rPr>
                <w:rFonts w:ascii="Times New Roman" w:hAnsi="Times New Roman"/>
                <w:sz w:val="22"/>
                <w:szCs w:val="22"/>
                <w:lang w:val="sr-Latn-ME"/>
              </w:rPr>
              <w:t xml:space="preserve">2 (0.7%) </w:t>
            </w:r>
          </w:p>
        </w:tc>
        <w:tc>
          <w:tcPr>
            <w:tcW w:w="2112" w:type="dxa"/>
            <w:tcBorders>
              <w:top w:val="single" w:sz="6" w:space="0" w:color="7B7B7B"/>
              <w:left w:val="single" w:sz="6" w:space="0" w:color="7B7B7B"/>
              <w:bottom w:val="single" w:sz="6" w:space="0" w:color="7B7B7B"/>
              <w:right w:val="single" w:sz="6" w:space="0" w:color="7B7B7B"/>
            </w:tcBorders>
          </w:tcPr>
          <w:p w14:paraId="360C1CE5" w14:textId="77777777" w:rsidR="005731F0" w:rsidRPr="00220369" w:rsidRDefault="005731F0" w:rsidP="00E6784B">
            <w:pPr>
              <w:tabs>
                <w:tab w:val="left" w:pos="284"/>
              </w:tabs>
              <w:spacing w:line="259" w:lineRule="auto"/>
              <w:ind w:left="31"/>
              <w:jc w:val="both"/>
              <w:rPr>
                <w:rFonts w:ascii="Times New Roman" w:hAnsi="Times New Roman"/>
                <w:sz w:val="22"/>
                <w:szCs w:val="22"/>
                <w:lang w:val="sr-Latn-ME"/>
              </w:rPr>
            </w:pPr>
            <w:r w:rsidRPr="00220369">
              <w:rPr>
                <w:rFonts w:ascii="Times New Roman" w:hAnsi="Times New Roman"/>
                <w:sz w:val="22"/>
                <w:szCs w:val="22"/>
                <w:lang w:val="sr-Latn-ME"/>
              </w:rPr>
              <w:t xml:space="preserve">0 (0.0%) </w:t>
            </w:r>
          </w:p>
        </w:tc>
      </w:tr>
    </w:tbl>
    <w:p w14:paraId="3BDE0C53" w14:textId="77777777" w:rsidR="005731F0" w:rsidRPr="00220369" w:rsidRDefault="005731F0" w:rsidP="00E6784B">
      <w:pPr>
        <w:tabs>
          <w:tab w:val="left" w:pos="284"/>
        </w:tabs>
        <w:ind w:left="-5" w:right="557"/>
        <w:jc w:val="both"/>
        <w:rPr>
          <w:b/>
          <w:sz w:val="22"/>
          <w:szCs w:val="22"/>
          <w:vertAlign w:val="superscript"/>
          <w:lang w:val="sr-Latn-ME"/>
        </w:rPr>
      </w:pPr>
    </w:p>
    <w:p w14:paraId="508BABFC" w14:textId="73438F5D" w:rsidR="005731F0" w:rsidRPr="00220369" w:rsidRDefault="005731F0" w:rsidP="002F59D9">
      <w:pPr>
        <w:tabs>
          <w:tab w:val="left" w:pos="284"/>
        </w:tabs>
        <w:ind w:left="-5" w:right="557"/>
        <w:rPr>
          <w:b/>
          <w:sz w:val="22"/>
          <w:szCs w:val="22"/>
          <w:vertAlign w:val="superscript"/>
          <w:lang w:val="sr-Latn-ME"/>
        </w:rPr>
      </w:pPr>
      <w:r w:rsidRPr="00220369">
        <w:rPr>
          <w:b/>
          <w:sz w:val="22"/>
          <w:szCs w:val="22"/>
          <w:vertAlign w:val="superscript"/>
          <w:lang w:val="sr-Latn-ME"/>
        </w:rPr>
        <w:t>#</w:t>
      </w:r>
      <w:r w:rsidRPr="00220369">
        <w:rPr>
          <w:b/>
          <w:sz w:val="22"/>
          <w:szCs w:val="22"/>
          <w:lang w:val="sr-Latn-ME"/>
        </w:rPr>
        <w:t xml:space="preserve"> </w:t>
      </w:r>
      <w:r w:rsidRPr="00220369">
        <w:rPr>
          <w:noProof/>
          <w:sz w:val="22"/>
          <w:szCs w:val="22"/>
          <w:lang w:val="sr-Latn-ME"/>
        </w:rPr>
        <w:t>260 djece je uključeno u kliničke studije o bezbjednosti, dok je 31 d</w:t>
      </w:r>
      <w:r w:rsidR="00E6784B" w:rsidRPr="00220369">
        <w:rPr>
          <w:noProof/>
          <w:sz w:val="22"/>
          <w:szCs w:val="22"/>
          <w:lang w:val="sr-Latn-ME"/>
        </w:rPr>
        <w:t>ij</w:t>
      </w:r>
      <w:r w:rsidRPr="00220369">
        <w:rPr>
          <w:noProof/>
          <w:sz w:val="22"/>
          <w:szCs w:val="22"/>
          <w:lang w:val="sr-Latn-ME"/>
        </w:rPr>
        <w:t>ete uključeno u farmakokinetičke studije</w:t>
      </w:r>
    </w:p>
    <w:p w14:paraId="1951C89A" w14:textId="77777777" w:rsidR="005731F0" w:rsidRPr="00220369" w:rsidRDefault="005731F0" w:rsidP="00E6784B">
      <w:pPr>
        <w:tabs>
          <w:tab w:val="left" w:pos="284"/>
        </w:tabs>
        <w:ind w:left="-5" w:right="4"/>
        <w:jc w:val="both"/>
        <w:rPr>
          <w:noProof/>
          <w:sz w:val="22"/>
          <w:szCs w:val="22"/>
          <w:lang w:val="sr-Latn-ME"/>
        </w:rPr>
      </w:pPr>
    </w:p>
    <w:p w14:paraId="71897E8E" w14:textId="42377D07" w:rsidR="005731F0" w:rsidRPr="00220369" w:rsidRDefault="005731F0" w:rsidP="00E6784B">
      <w:pPr>
        <w:tabs>
          <w:tab w:val="left" w:pos="284"/>
        </w:tabs>
        <w:ind w:left="-5" w:right="4"/>
        <w:jc w:val="both"/>
        <w:rPr>
          <w:sz w:val="22"/>
          <w:szCs w:val="22"/>
          <w:lang w:val="sr-Latn-ME"/>
        </w:rPr>
      </w:pPr>
      <w:r w:rsidRPr="00220369">
        <w:rPr>
          <w:iCs/>
          <w:sz w:val="22"/>
          <w:szCs w:val="22"/>
          <w:u w:val="single"/>
          <w:lang w:val="sr-Latn-ME"/>
        </w:rPr>
        <w:t>Opis od</w:t>
      </w:r>
      <w:r w:rsidR="00035D8E" w:rsidRPr="00220369">
        <w:rPr>
          <w:iCs/>
          <w:sz w:val="22"/>
          <w:szCs w:val="22"/>
          <w:u w:val="single"/>
          <w:lang w:val="sr-Latn-ME"/>
        </w:rPr>
        <w:t>a</w:t>
      </w:r>
      <w:r w:rsidRPr="00220369">
        <w:rPr>
          <w:iCs/>
          <w:sz w:val="22"/>
          <w:szCs w:val="22"/>
          <w:u w:val="single"/>
          <w:lang w:val="sr-Latn-ME"/>
        </w:rPr>
        <w:t>branih neželjenih reakcija u pedijatrijskoj populaciji</w:t>
      </w:r>
    </w:p>
    <w:p w14:paraId="42C8F9C8" w14:textId="4A02589A" w:rsidR="005731F0" w:rsidRPr="00220369" w:rsidRDefault="005731F0" w:rsidP="00E6784B">
      <w:pPr>
        <w:tabs>
          <w:tab w:val="left" w:pos="284"/>
        </w:tabs>
        <w:spacing w:after="19"/>
        <w:ind w:left="-5" w:right="4"/>
        <w:jc w:val="both"/>
        <w:rPr>
          <w:sz w:val="22"/>
          <w:szCs w:val="22"/>
          <w:lang w:val="sr-Latn-ME"/>
        </w:rPr>
      </w:pPr>
      <w:r w:rsidRPr="00220369">
        <w:rPr>
          <w:noProof/>
          <w:sz w:val="22"/>
          <w:szCs w:val="22"/>
          <w:lang w:val="sr-Latn-ME"/>
        </w:rPr>
        <w:t>Glavobolja, abdominalni bol, alergijski konju</w:t>
      </w:r>
      <w:r w:rsidR="00035D8E" w:rsidRPr="00220369">
        <w:rPr>
          <w:noProof/>
          <w:sz w:val="22"/>
          <w:szCs w:val="22"/>
          <w:lang w:val="sr-Latn-ME"/>
        </w:rPr>
        <w:t>n</w:t>
      </w:r>
      <w:r w:rsidRPr="00220369">
        <w:rPr>
          <w:noProof/>
          <w:sz w:val="22"/>
          <w:szCs w:val="22"/>
          <w:lang w:val="sr-Latn-ME"/>
        </w:rPr>
        <w:t>ktivitis i rinitis su zab</w:t>
      </w:r>
      <w:r w:rsidR="00E6784B" w:rsidRPr="00220369">
        <w:rPr>
          <w:noProof/>
          <w:sz w:val="22"/>
          <w:szCs w:val="22"/>
          <w:lang w:val="sr-Latn-ME"/>
        </w:rPr>
        <w:t>ilježeni</w:t>
      </w:r>
      <w:r w:rsidRPr="00220369">
        <w:rPr>
          <w:noProof/>
          <w:sz w:val="22"/>
          <w:szCs w:val="22"/>
          <w:lang w:val="sr-Latn-ME"/>
        </w:rPr>
        <w:t xml:space="preserve"> kako kod djece koja su primala 10 mg bilastina tako i kod dj</w:t>
      </w:r>
      <w:r w:rsidR="00035D8E" w:rsidRPr="00220369">
        <w:rPr>
          <w:noProof/>
          <w:sz w:val="22"/>
          <w:szCs w:val="22"/>
          <w:lang w:val="sr-Latn-ME"/>
        </w:rPr>
        <w:t>e</w:t>
      </w:r>
      <w:r w:rsidRPr="00220369">
        <w:rPr>
          <w:noProof/>
          <w:sz w:val="22"/>
          <w:szCs w:val="22"/>
          <w:lang w:val="sr-Latn-ME"/>
        </w:rPr>
        <w:t xml:space="preserve">ce koja su primala placebo. </w:t>
      </w:r>
      <w:r w:rsidRPr="00220369">
        <w:rPr>
          <w:sz w:val="22"/>
          <w:szCs w:val="22"/>
          <w:lang w:val="sr-Latn-ME"/>
        </w:rPr>
        <w:t>Prijavljene učestalosti javljanja u odnosu na placebo iznosile su za glavobolju 2,1% naspram 1,2%; za abdominalni bol 1,0% prema 1,2%; za alergijski konju</w:t>
      </w:r>
      <w:r w:rsidR="00035D8E" w:rsidRPr="00220369">
        <w:rPr>
          <w:sz w:val="22"/>
          <w:szCs w:val="22"/>
          <w:lang w:val="sr-Latn-ME"/>
        </w:rPr>
        <w:t>n</w:t>
      </w:r>
      <w:r w:rsidRPr="00220369">
        <w:rPr>
          <w:sz w:val="22"/>
          <w:szCs w:val="22"/>
          <w:lang w:val="sr-Latn-ME"/>
        </w:rPr>
        <w:t>ktivitis 1,4% naspram  2,0% i za rinitis 1,0% prema 1,2%.</w:t>
      </w:r>
    </w:p>
    <w:p w14:paraId="7E8F0F81" w14:textId="77777777" w:rsidR="004E70AD" w:rsidRPr="00220369" w:rsidRDefault="004E70AD" w:rsidP="00E6784B">
      <w:pPr>
        <w:tabs>
          <w:tab w:val="left" w:pos="540"/>
          <w:tab w:val="left" w:pos="569"/>
        </w:tabs>
        <w:jc w:val="both"/>
        <w:rPr>
          <w:b/>
          <w:bCs/>
          <w:sz w:val="22"/>
          <w:szCs w:val="22"/>
          <w:lang w:val="sr-Latn-ME"/>
        </w:rPr>
      </w:pPr>
    </w:p>
    <w:p w14:paraId="5152C4B1" w14:textId="77777777" w:rsidR="005A23D2" w:rsidRPr="00220369" w:rsidRDefault="005A23D2" w:rsidP="00E6784B">
      <w:pPr>
        <w:spacing w:after="200" w:line="276" w:lineRule="auto"/>
        <w:jc w:val="both"/>
        <w:rPr>
          <w:rFonts w:eastAsia="Calibri"/>
          <w:sz w:val="22"/>
          <w:szCs w:val="22"/>
          <w:u w:val="single"/>
          <w:lang w:val="sr-Latn-ME"/>
        </w:rPr>
      </w:pPr>
      <w:r w:rsidRPr="00220369">
        <w:rPr>
          <w:rFonts w:eastAsia="Calibri"/>
          <w:sz w:val="22"/>
          <w:szCs w:val="22"/>
          <w:u w:val="single"/>
          <w:lang w:val="sr-Latn-ME"/>
        </w:rPr>
        <w:t>Prijavljivanje sumnji na neželjena dejstva</w:t>
      </w:r>
    </w:p>
    <w:p w14:paraId="6F50ABD1" w14:textId="79988DEB" w:rsidR="005A23D2" w:rsidRPr="00220369" w:rsidRDefault="005A23D2" w:rsidP="00E6784B">
      <w:pPr>
        <w:spacing w:after="200"/>
        <w:jc w:val="both"/>
        <w:rPr>
          <w:rFonts w:eastAsia="Calibri"/>
          <w:sz w:val="22"/>
          <w:szCs w:val="22"/>
          <w:lang w:val="sr-Latn-ME"/>
        </w:rPr>
      </w:pPr>
      <w:r w:rsidRPr="00220369">
        <w:rPr>
          <w:rFonts w:eastAsia="Calibri"/>
          <w:sz w:val="22"/>
          <w:szCs w:val="22"/>
          <w:lang w:val="sr-Latn-ME"/>
        </w:rPr>
        <w:t>Prijavljivanje neželjenih dejstava nakon dobijanja dozvole</w:t>
      </w:r>
      <w:r w:rsidR="00E6784B" w:rsidRPr="00220369">
        <w:rPr>
          <w:rFonts w:eastAsia="Calibri"/>
          <w:sz w:val="22"/>
          <w:szCs w:val="22"/>
          <w:lang w:val="sr-Latn-ME"/>
        </w:rPr>
        <w:t xml:space="preserve"> za lijek </w:t>
      </w:r>
      <w:r w:rsidRPr="00220369">
        <w:rPr>
          <w:rFonts w:eastAsia="Calibri"/>
          <w:sz w:val="22"/>
          <w:szCs w:val="22"/>
          <w:lang w:val="sr-Latn-ME"/>
        </w:rPr>
        <w:t xml:space="preserve"> je od velikog značaja jer obezbjeđuje kont</w:t>
      </w:r>
      <w:r w:rsidR="00EA5765" w:rsidRPr="00220369">
        <w:rPr>
          <w:rFonts w:eastAsia="Calibri"/>
          <w:sz w:val="22"/>
          <w:szCs w:val="22"/>
          <w:lang w:val="sr-Latn-ME"/>
        </w:rPr>
        <w:t>inuirano praćenje odnosa korist</w:t>
      </w:r>
      <w:r w:rsidRPr="00220369">
        <w:rPr>
          <w:rFonts w:eastAsia="Calibri"/>
          <w:sz w:val="22"/>
          <w:szCs w:val="22"/>
          <w:lang w:val="sr-Latn-ME"/>
        </w:rPr>
        <w:t>/rizik primjene lijeka. Zdravstveni radnici treba da prijave svaku sumnju na neželjeno</w:t>
      </w:r>
      <w:r w:rsidR="009B062A" w:rsidRPr="00220369">
        <w:rPr>
          <w:rFonts w:eastAsia="Calibri"/>
          <w:sz w:val="22"/>
          <w:szCs w:val="22"/>
          <w:lang w:val="sr-Latn-ME"/>
        </w:rPr>
        <w:t xml:space="preserve"> </w:t>
      </w:r>
      <w:r w:rsidRPr="00220369">
        <w:rPr>
          <w:rFonts w:eastAsia="Calibri"/>
          <w:sz w:val="22"/>
          <w:szCs w:val="22"/>
          <w:lang w:val="sr-Latn-ME"/>
        </w:rPr>
        <w:t xml:space="preserve">dejstvo ovog lijeka </w:t>
      </w:r>
      <w:r w:rsidR="004E70AD" w:rsidRPr="00220369">
        <w:rPr>
          <w:rFonts w:eastAsia="Calibri"/>
          <w:sz w:val="22"/>
          <w:szCs w:val="22"/>
          <w:lang w:val="sr-Latn-ME"/>
        </w:rPr>
        <w:t>Institutu</w:t>
      </w:r>
      <w:r w:rsidRPr="00220369">
        <w:rPr>
          <w:rFonts w:eastAsia="Calibri"/>
          <w:sz w:val="22"/>
          <w:szCs w:val="22"/>
          <w:lang w:val="sr-Latn-ME"/>
        </w:rPr>
        <w:t xml:space="preserve"> za ljekove i medicinska sredstva</w:t>
      </w:r>
      <w:r w:rsidR="004E70AD" w:rsidRPr="00220369">
        <w:rPr>
          <w:rFonts w:eastAsia="Calibri"/>
          <w:sz w:val="22"/>
          <w:szCs w:val="22"/>
          <w:lang w:val="sr-Latn-ME"/>
        </w:rPr>
        <w:t xml:space="preserve"> </w:t>
      </w:r>
      <w:r w:rsidRPr="00220369">
        <w:rPr>
          <w:rFonts w:eastAsia="Calibri"/>
          <w:sz w:val="22"/>
          <w:szCs w:val="22"/>
          <w:lang w:val="sr-Latn-ME"/>
        </w:rPr>
        <w:t>(</w:t>
      </w:r>
      <w:r w:rsidR="004E70AD" w:rsidRPr="00220369">
        <w:rPr>
          <w:rFonts w:eastAsia="Calibri"/>
          <w:sz w:val="22"/>
          <w:szCs w:val="22"/>
          <w:lang w:val="sr-Latn-ME"/>
        </w:rPr>
        <w:t>CInMED</w:t>
      </w:r>
      <w:r w:rsidRPr="00220369">
        <w:rPr>
          <w:rFonts w:eastAsia="Calibri"/>
          <w:sz w:val="22"/>
          <w:szCs w:val="22"/>
          <w:lang w:val="sr-Latn-ME"/>
        </w:rPr>
        <w:t>):</w:t>
      </w:r>
    </w:p>
    <w:p w14:paraId="04DC51E3" w14:textId="77777777" w:rsidR="005A23D2" w:rsidRPr="00220369" w:rsidRDefault="004E70AD" w:rsidP="00E6784B">
      <w:pPr>
        <w:pStyle w:val="NoSpacing"/>
        <w:jc w:val="both"/>
        <w:rPr>
          <w:rFonts w:eastAsia="Calibri"/>
          <w:sz w:val="22"/>
          <w:szCs w:val="22"/>
          <w:lang w:val="sr-Latn-ME"/>
        </w:rPr>
      </w:pPr>
      <w:r w:rsidRPr="00220369">
        <w:rPr>
          <w:rFonts w:eastAsia="Calibri"/>
          <w:sz w:val="22"/>
          <w:szCs w:val="22"/>
          <w:lang w:val="sr-Latn-ME"/>
        </w:rPr>
        <w:t xml:space="preserve">Institut </w:t>
      </w:r>
      <w:r w:rsidR="005A23D2" w:rsidRPr="00220369">
        <w:rPr>
          <w:rFonts w:eastAsia="Calibri"/>
          <w:sz w:val="22"/>
          <w:szCs w:val="22"/>
          <w:lang w:val="sr-Latn-ME"/>
        </w:rPr>
        <w:t xml:space="preserve">za ljekove i medicinska sredstva </w:t>
      </w:r>
    </w:p>
    <w:p w14:paraId="133E26BE" w14:textId="77777777" w:rsidR="005A23D2" w:rsidRPr="00220369" w:rsidRDefault="005A23D2" w:rsidP="00E6784B">
      <w:pPr>
        <w:pStyle w:val="NoSpacing"/>
        <w:jc w:val="both"/>
        <w:rPr>
          <w:rFonts w:eastAsia="Calibri"/>
          <w:sz w:val="22"/>
          <w:szCs w:val="22"/>
          <w:lang w:val="sr-Latn-ME"/>
        </w:rPr>
      </w:pPr>
      <w:r w:rsidRPr="00220369">
        <w:rPr>
          <w:rFonts w:eastAsia="Calibri"/>
          <w:sz w:val="22"/>
          <w:szCs w:val="22"/>
          <w:lang w:val="sr-Latn-ME"/>
        </w:rPr>
        <w:t>Odjeljenje za farmakovigilancu</w:t>
      </w:r>
    </w:p>
    <w:p w14:paraId="5261001E" w14:textId="77777777" w:rsidR="00EA5765" w:rsidRPr="00220369" w:rsidRDefault="005A23D2" w:rsidP="00E6784B">
      <w:pPr>
        <w:pStyle w:val="NoSpacing"/>
        <w:jc w:val="both"/>
        <w:rPr>
          <w:rFonts w:eastAsia="Calibri"/>
          <w:sz w:val="22"/>
          <w:szCs w:val="22"/>
          <w:lang w:val="sr-Latn-ME"/>
        </w:rPr>
      </w:pPr>
      <w:r w:rsidRPr="00220369">
        <w:rPr>
          <w:rFonts w:eastAsia="Calibri"/>
          <w:sz w:val="22"/>
          <w:szCs w:val="22"/>
          <w:lang w:val="sr-Latn-ME"/>
        </w:rPr>
        <w:t>Bulevar Ivana Crnojevića 64a, 81000 Podgorica</w:t>
      </w:r>
    </w:p>
    <w:p w14:paraId="6E4E6878" w14:textId="77777777" w:rsidR="00EA5765" w:rsidRPr="00220369" w:rsidRDefault="00EA5765" w:rsidP="00E6784B">
      <w:pPr>
        <w:pStyle w:val="NoSpacing"/>
        <w:jc w:val="both"/>
        <w:rPr>
          <w:rFonts w:eastAsia="Calibri"/>
          <w:sz w:val="22"/>
          <w:szCs w:val="22"/>
          <w:lang w:val="sr-Latn-ME"/>
        </w:rPr>
      </w:pPr>
    </w:p>
    <w:p w14:paraId="510AC12C" w14:textId="77777777" w:rsidR="005A23D2" w:rsidRPr="00220369" w:rsidRDefault="005A23D2" w:rsidP="00E6784B">
      <w:pPr>
        <w:pStyle w:val="NoSpacing"/>
        <w:jc w:val="both"/>
        <w:rPr>
          <w:rFonts w:eastAsia="Calibri"/>
          <w:sz w:val="22"/>
          <w:szCs w:val="22"/>
          <w:lang w:val="sr-Latn-ME"/>
        </w:rPr>
      </w:pPr>
      <w:r w:rsidRPr="00220369">
        <w:rPr>
          <w:rFonts w:eastAsia="Calibri"/>
          <w:sz w:val="22"/>
          <w:szCs w:val="22"/>
          <w:lang w:val="sr-Latn-ME"/>
        </w:rPr>
        <w:t>tel: +382 (0) 20 310 280</w:t>
      </w:r>
    </w:p>
    <w:p w14:paraId="24A19F4F" w14:textId="77777777" w:rsidR="00EA5765" w:rsidRPr="00220369" w:rsidRDefault="005A23D2" w:rsidP="00E6784B">
      <w:pPr>
        <w:pStyle w:val="NoSpacing"/>
        <w:tabs>
          <w:tab w:val="left" w:pos="6720"/>
        </w:tabs>
        <w:jc w:val="both"/>
        <w:rPr>
          <w:rFonts w:eastAsia="Calibri"/>
          <w:sz w:val="22"/>
          <w:szCs w:val="22"/>
          <w:lang w:val="sr-Latn-ME"/>
        </w:rPr>
      </w:pPr>
      <w:r w:rsidRPr="00220369">
        <w:rPr>
          <w:rFonts w:eastAsia="Calibri"/>
          <w:sz w:val="22"/>
          <w:szCs w:val="22"/>
          <w:lang w:val="sr-Latn-ME"/>
        </w:rPr>
        <w:t>fax:</w:t>
      </w:r>
      <w:r w:rsidR="00EA5765" w:rsidRPr="00220369">
        <w:rPr>
          <w:rFonts w:eastAsia="Calibri"/>
          <w:sz w:val="22"/>
          <w:szCs w:val="22"/>
          <w:lang w:val="sr-Latn-ME"/>
        </w:rPr>
        <w:t xml:space="preserve"> </w:t>
      </w:r>
      <w:r w:rsidRPr="00220369">
        <w:rPr>
          <w:rFonts w:eastAsia="Calibri"/>
          <w:sz w:val="22"/>
          <w:szCs w:val="22"/>
          <w:lang w:val="sr-Latn-ME"/>
        </w:rPr>
        <w:t>+382 (0) 20 310 581</w:t>
      </w:r>
      <w:r w:rsidR="00FF3EDF" w:rsidRPr="00220369">
        <w:rPr>
          <w:rFonts w:eastAsia="Calibri"/>
          <w:sz w:val="22"/>
          <w:szCs w:val="22"/>
          <w:lang w:val="sr-Latn-ME"/>
        </w:rPr>
        <w:tab/>
      </w:r>
    </w:p>
    <w:p w14:paraId="676969DF" w14:textId="77777777" w:rsidR="005A23D2" w:rsidRPr="00220369" w:rsidRDefault="00C34A43" w:rsidP="00E6784B">
      <w:pPr>
        <w:pStyle w:val="NoSpacing"/>
        <w:jc w:val="both"/>
        <w:rPr>
          <w:rFonts w:eastAsia="Calibri"/>
          <w:sz w:val="22"/>
          <w:szCs w:val="22"/>
          <w:lang w:val="sr-Latn-ME"/>
        </w:rPr>
      </w:pPr>
      <w:hyperlink r:id="rId10" w:history="1">
        <w:r w:rsidR="004E70AD" w:rsidRPr="00220369">
          <w:rPr>
            <w:rStyle w:val="Hyperlink"/>
            <w:rFonts w:eastAsia="Calibri"/>
            <w:sz w:val="22"/>
            <w:szCs w:val="22"/>
            <w:lang w:val="sr-Latn-ME"/>
          </w:rPr>
          <w:t>www.cinmed.me</w:t>
        </w:r>
      </w:hyperlink>
    </w:p>
    <w:p w14:paraId="520F777D" w14:textId="77777777" w:rsidR="00EA5765" w:rsidRPr="00220369" w:rsidRDefault="00C34A43" w:rsidP="00E6784B">
      <w:pPr>
        <w:pStyle w:val="NoSpacing"/>
        <w:jc w:val="both"/>
        <w:rPr>
          <w:rFonts w:eastAsia="Calibri"/>
          <w:color w:val="0000FF"/>
          <w:sz w:val="22"/>
          <w:szCs w:val="22"/>
          <w:u w:val="single"/>
          <w:lang w:val="sr-Latn-ME"/>
        </w:rPr>
      </w:pPr>
      <w:hyperlink r:id="rId11" w:history="1">
        <w:r w:rsidR="004E70AD" w:rsidRPr="00220369">
          <w:rPr>
            <w:rStyle w:val="Hyperlink"/>
            <w:rFonts w:eastAsia="Calibri"/>
            <w:sz w:val="22"/>
            <w:szCs w:val="22"/>
            <w:lang w:val="sr-Latn-ME"/>
          </w:rPr>
          <w:t>nezeljenadejstva@cinmed.me</w:t>
        </w:r>
      </w:hyperlink>
    </w:p>
    <w:p w14:paraId="3667CA55" w14:textId="77777777" w:rsidR="005A23D2" w:rsidRPr="00220369" w:rsidRDefault="005A23D2" w:rsidP="00E6784B">
      <w:pPr>
        <w:pStyle w:val="NoSpacing"/>
        <w:jc w:val="both"/>
        <w:rPr>
          <w:rFonts w:eastAsia="Calibri"/>
          <w:sz w:val="22"/>
          <w:szCs w:val="22"/>
          <w:lang w:val="sr-Latn-ME"/>
        </w:rPr>
      </w:pPr>
      <w:r w:rsidRPr="00220369">
        <w:rPr>
          <w:rFonts w:eastAsia="Calibri"/>
          <w:sz w:val="22"/>
          <w:szCs w:val="22"/>
          <w:lang w:val="sr-Latn-ME"/>
        </w:rPr>
        <w:t>putem IS zdravstvene zaštite</w:t>
      </w:r>
    </w:p>
    <w:p w14:paraId="46C9E323" w14:textId="77777777" w:rsidR="007E31E9" w:rsidRPr="00220369" w:rsidRDefault="007E31E9" w:rsidP="00E6784B">
      <w:pPr>
        <w:pStyle w:val="NoSpacing"/>
        <w:jc w:val="both"/>
        <w:rPr>
          <w:rFonts w:eastAsia="Calibri"/>
          <w:sz w:val="22"/>
          <w:szCs w:val="22"/>
          <w:lang w:val="sr-Latn-ME"/>
        </w:rPr>
      </w:pPr>
      <w:r w:rsidRPr="00220369">
        <w:rPr>
          <w:rFonts w:eastAsia="Calibri"/>
          <w:sz w:val="22"/>
          <w:szCs w:val="22"/>
          <w:lang w:val="sr-Latn-ME"/>
        </w:rPr>
        <w:t>QR kod za online prijavu</w:t>
      </w:r>
      <w:r w:rsidR="00D74CD2" w:rsidRPr="00220369">
        <w:rPr>
          <w:rFonts w:eastAsia="Calibri"/>
          <w:sz w:val="22"/>
          <w:szCs w:val="22"/>
          <w:lang w:val="sr-Latn-ME"/>
        </w:rPr>
        <w:t xml:space="preserve"> sumnje na neželjeno dejstvo lijeka</w:t>
      </w:r>
      <w:r w:rsidRPr="00220369">
        <w:rPr>
          <w:rFonts w:eastAsia="Calibri"/>
          <w:sz w:val="22"/>
          <w:szCs w:val="22"/>
          <w:lang w:val="sr-Latn-ME"/>
        </w:rPr>
        <w:t>:</w:t>
      </w:r>
    </w:p>
    <w:p w14:paraId="4A1BA1C3" w14:textId="77777777" w:rsidR="007E31E9" w:rsidRPr="00220369" w:rsidRDefault="007E31E9" w:rsidP="00E6784B">
      <w:pPr>
        <w:pStyle w:val="NoSpacing"/>
        <w:jc w:val="both"/>
        <w:rPr>
          <w:rFonts w:eastAsia="Calibri"/>
          <w:sz w:val="22"/>
          <w:szCs w:val="22"/>
          <w:lang w:val="sr-Latn-ME"/>
        </w:rPr>
      </w:pPr>
    </w:p>
    <w:p w14:paraId="21198CD5" w14:textId="77777777" w:rsidR="004F17E2" w:rsidRPr="00220369" w:rsidRDefault="007E31E9" w:rsidP="00E6784B">
      <w:pPr>
        <w:pStyle w:val="NoSpacing"/>
        <w:jc w:val="both"/>
        <w:rPr>
          <w:rFonts w:eastAsia="Calibri"/>
          <w:sz w:val="22"/>
          <w:szCs w:val="22"/>
          <w:lang w:val="sr-Latn-ME"/>
        </w:rPr>
      </w:pPr>
      <w:r w:rsidRPr="00220369">
        <w:rPr>
          <w:noProof/>
          <w:sz w:val="22"/>
          <w:szCs w:val="22"/>
        </w:rPr>
        <w:drawing>
          <wp:inline distT="0" distB="0" distL="0" distR="0" wp14:anchorId="5F27F9A5" wp14:editId="1BA12A33">
            <wp:extent cx="971550" cy="971550"/>
            <wp:effectExtent l="0" t="0" r="0" b="0"/>
            <wp:docPr id="2" name="Picture 2"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C3C9CCB" w14:textId="77777777" w:rsidR="00836B35" w:rsidRPr="00220369" w:rsidRDefault="00836B35" w:rsidP="00E6784B">
      <w:pPr>
        <w:tabs>
          <w:tab w:val="left" w:pos="540"/>
          <w:tab w:val="left" w:pos="569"/>
        </w:tabs>
        <w:jc w:val="both"/>
        <w:rPr>
          <w:b/>
          <w:bCs/>
          <w:sz w:val="22"/>
          <w:szCs w:val="22"/>
          <w:lang w:val="sr-Latn-ME"/>
        </w:rPr>
      </w:pPr>
    </w:p>
    <w:p w14:paraId="6C581AA5" w14:textId="56A38D24" w:rsidR="00CD6F02" w:rsidRPr="00220369" w:rsidRDefault="0072020E" w:rsidP="00E6784B">
      <w:pPr>
        <w:tabs>
          <w:tab w:val="left" w:pos="540"/>
          <w:tab w:val="left" w:pos="569"/>
        </w:tabs>
        <w:jc w:val="both"/>
        <w:rPr>
          <w:b/>
          <w:bCs/>
          <w:sz w:val="22"/>
          <w:szCs w:val="22"/>
          <w:lang w:val="sr-Latn-ME"/>
        </w:rPr>
      </w:pPr>
      <w:r w:rsidRPr="00220369">
        <w:rPr>
          <w:b/>
          <w:bCs/>
          <w:sz w:val="22"/>
          <w:szCs w:val="22"/>
          <w:lang w:val="sr-Latn-ME"/>
        </w:rPr>
        <w:t xml:space="preserve">4.9. </w:t>
      </w:r>
      <w:r w:rsidR="00480FB1" w:rsidRPr="00220369">
        <w:rPr>
          <w:b/>
          <w:bCs/>
          <w:sz w:val="22"/>
          <w:szCs w:val="22"/>
          <w:lang w:val="sr-Latn-ME"/>
        </w:rPr>
        <w:tab/>
      </w:r>
      <w:r w:rsidRPr="00220369">
        <w:rPr>
          <w:b/>
          <w:bCs/>
          <w:sz w:val="22"/>
          <w:szCs w:val="22"/>
          <w:lang w:val="sr-Latn-ME"/>
        </w:rPr>
        <w:t>Predoziranje</w:t>
      </w:r>
      <w:r w:rsidR="002846DB" w:rsidRPr="00220369">
        <w:rPr>
          <w:b/>
          <w:bCs/>
          <w:sz w:val="22"/>
          <w:szCs w:val="22"/>
          <w:lang w:val="sr-Latn-ME"/>
        </w:rPr>
        <w:t xml:space="preserve"> </w:t>
      </w:r>
    </w:p>
    <w:p w14:paraId="5B6A8B3F" w14:textId="77777777" w:rsidR="005731F0" w:rsidRPr="00220369" w:rsidRDefault="005731F0" w:rsidP="00E6784B">
      <w:pPr>
        <w:tabs>
          <w:tab w:val="left" w:pos="540"/>
          <w:tab w:val="left" w:pos="569"/>
        </w:tabs>
        <w:jc w:val="both"/>
        <w:rPr>
          <w:b/>
          <w:bCs/>
          <w:sz w:val="22"/>
          <w:szCs w:val="22"/>
          <w:lang w:val="sr-Latn-ME"/>
        </w:rPr>
      </w:pPr>
    </w:p>
    <w:p w14:paraId="40D305E6" w14:textId="6D67D4FD" w:rsidR="005731F0" w:rsidRPr="00220369" w:rsidRDefault="005731F0" w:rsidP="00E6784B">
      <w:pPr>
        <w:autoSpaceDE w:val="0"/>
        <w:autoSpaceDN w:val="0"/>
        <w:adjustRightInd w:val="0"/>
        <w:jc w:val="both"/>
        <w:rPr>
          <w:rFonts w:eastAsia="TimesNewRoman"/>
          <w:sz w:val="22"/>
          <w:szCs w:val="22"/>
          <w:lang w:val="sr-Latn-ME"/>
        </w:rPr>
      </w:pPr>
      <w:r w:rsidRPr="00220369">
        <w:rPr>
          <w:rFonts w:eastAsia="TimesNewRoman"/>
          <w:sz w:val="22"/>
          <w:szCs w:val="22"/>
          <w:lang w:val="sr-Latn-ME"/>
        </w:rPr>
        <w:t>Informacije o akutnom predoziranju bilastinom su dobijene iz iskustva iz kliničkih studija koje su sprovođene u fazi razvoja i tokom postmarketinškog perioda. Tokom kliničkih studija, nakon primjene bilastina u dozama 10-11 puta većim od terapijske doze (220 mg kao pojedinačna doza, ili 200 mg/dan tokom 7 dana) kod 26 odraslih zdravih dobrovoljaca, učestalost neželjenih događaja je bi</w:t>
      </w:r>
      <w:r w:rsidR="004053C0" w:rsidRPr="00220369">
        <w:rPr>
          <w:rFonts w:eastAsia="TimesNewRoman"/>
          <w:sz w:val="22"/>
          <w:szCs w:val="22"/>
          <w:lang w:val="sr-Latn-ME"/>
        </w:rPr>
        <w:t>la</w:t>
      </w:r>
      <w:r w:rsidRPr="00220369">
        <w:rPr>
          <w:rFonts w:eastAsia="TimesNewRoman"/>
          <w:sz w:val="22"/>
          <w:szCs w:val="22"/>
          <w:lang w:val="sr-Latn-ME"/>
        </w:rPr>
        <w:t xml:space="preserve"> dva puta već</w:t>
      </w:r>
      <w:r w:rsidR="004053C0" w:rsidRPr="00220369">
        <w:rPr>
          <w:rFonts w:eastAsia="TimesNewRoman"/>
          <w:sz w:val="22"/>
          <w:szCs w:val="22"/>
          <w:lang w:val="sr-Latn-ME"/>
        </w:rPr>
        <w:t>a</w:t>
      </w:r>
      <w:r w:rsidRPr="00220369">
        <w:rPr>
          <w:rFonts w:eastAsia="TimesNewRoman"/>
          <w:sz w:val="22"/>
          <w:szCs w:val="22"/>
          <w:lang w:val="sr-Latn-ME"/>
        </w:rPr>
        <w:t xml:space="preserve"> nego kod ispitanika koji su dobijali placebo. Najčešće prijavljivane neželjene reakcije su bile vrtoglavica, glavobolja i mučnina. Nijesu prijavljeni ozbiljni neželjeni događaji kao ni značajno prolongiranje QT</w:t>
      </w:r>
      <w:r w:rsidR="00D657C2" w:rsidRPr="00220369">
        <w:rPr>
          <w:rFonts w:eastAsia="TimesNewRoman"/>
          <w:sz w:val="22"/>
          <w:szCs w:val="22"/>
          <w:lang w:val="sr-Latn-ME"/>
        </w:rPr>
        <w:t>c</w:t>
      </w:r>
      <w:r w:rsidRPr="00220369">
        <w:rPr>
          <w:rFonts w:eastAsia="TimesNewRoman"/>
          <w:sz w:val="22"/>
          <w:szCs w:val="22"/>
          <w:lang w:val="sr-Latn-ME"/>
        </w:rPr>
        <w:t xml:space="preserve"> intervala. Informacije dobijene tokom postmarketinškog perioda u saglasnosti su sa onima iz kliničkih studija.</w:t>
      </w:r>
    </w:p>
    <w:p w14:paraId="7A960E16" w14:textId="77777777" w:rsidR="005731F0" w:rsidRPr="00220369" w:rsidRDefault="005731F0" w:rsidP="00E6784B">
      <w:pPr>
        <w:autoSpaceDE w:val="0"/>
        <w:autoSpaceDN w:val="0"/>
        <w:adjustRightInd w:val="0"/>
        <w:jc w:val="both"/>
        <w:rPr>
          <w:rFonts w:eastAsia="TimesNewRoman"/>
          <w:sz w:val="22"/>
          <w:szCs w:val="22"/>
          <w:lang w:val="sr-Latn-ME"/>
        </w:rPr>
      </w:pPr>
    </w:p>
    <w:p w14:paraId="69A75169" w14:textId="77777777" w:rsidR="005731F0" w:rsidRPr="00220369" w:rsidRDefault="005731F0" w:rsidP="00E6784B">
      <w:pPr>
        <w:autoSpaceDE w:val="0"/>
        <w:autoSpaceDN w:val="0"/>
        <w:adjustRightInd w:val="0"/>
        <w:jc w:val="both"/>
        <w:rPr>
          <w:rFonts w:eastAsia="TimesNewRoman"/>
          <w:sz w:val="22"/>
          <w:szCs w:val="22"/>
          <w:lang w:val="sr-Latn-ME"/>
        </w:rPr>
      </w:pPr>
      <w:r w:rsidRPr="00220369">
        <w:rPr>
          <w:rFonts w:eastAsia="TimesNewRoman"/>
          <w:sz w:val="22"/>
          <w:szCs w:val="22"/>
          <w:lang w:val="sr-Latn-ME"/>
        </w:rPr>
        <w:t>Kritička evaluacija većeg broja doza bilastina (100 mg x 4 dana) na repolarizaciju komora u unakrsnoj “</w:t>
      </w:r>
      <w:r w:rsidRPr="00220369">
        <w:rPr>
          <w:rFonts w:eastAsia="TimesNewRoman"/>
          <w:i/>
          <w:iCs/>
          <w:sz w:val="22"/>
          <w:szCs w:val="22"/>
          <w:lang w:val="sr-Latn-ME"/>
        </w:rPr>
        <w:t>thorough QT/QTc</w:t>
      </w:r>
      <w:r w:rsidRPr="00220369">
        <w:rPr>
          <w:rFonts w:eastAsia="TimesNewRoman"/>
          <w:sz w:val="22"/>
          <w:szCs w:val="22"/>
          <w:lang w:val="sr-Latn-ME"/>
        </w:rPr>
        <w:t>” studiji, koja je uključila 30 zdravih dobrovoljaca, nije pokazala značajno produženje QTc intervala.</w:t>
      </w:r>
    </w:p>
    <w:p w14:paraId="52EB06E1" w14:textId="77777777" w:rsidR="005731F0" w:rsidRPr="00220369" w:rsidRDefault="005731F0" w:rsidP="00E6784B">
      <w:pPr>
        <w:autoSpaceDE w:val="0"/>
        <w:autoSpaceDN w:val="0"/>
        <w:adjustRightInd w:val="0"/>
        <w:jc w:val="both"/>
        <w:rPr>
          <w:rFonts w:eastAsia="TimesNewRoman"/>
          <w:sz w:val="22"/>
          <w:szCs w:val="22"/>
          <w:lang w:val="sr-Latn-ME"/>
        </w:rPr>
      </w:pPr>
    </w:p>
    <w:p w14:paraId="1D73C87F" w14:textId="77777777" w:rsidR="005731F0" w:rsidRPr="00220369" w:rsidRDefault="005731F0" w:rsidP="00E6784B">
      <w:pPr>
        <w:autoSpaceDE w:val="0"/>
        <w:autoSpaceDN w:val="0"/>
        <w:adjustRightInd w:val="0"/>
        <w:jc w:val="both"/>
        <w:rPr>
          <w:rFonts w:eastAsia="TimesNewRoman"/>
          <w:sz w:val="22"/>
          <w:szCs w:val="22"/>
          <w:lang w:val="sr-Latn-ME"/>
        </w:rPr>
      </w:pPr>
      <w:r w:rsidRPr="00220369">
        <w:rPr>
          <w:rFonts w:eastAsia="TimesNewRoman"/>
          <w:sz w:val="22"/>
          <w:szCs w:val="22"/>
          <w:lang w:val="sr-Latn-ME"/>
        </w:rPr>
        <w:t>Ne postoje podaci o predoziranju kod djece.</w:t>
      </w:r>
    </w:p>
    <w:p w14:paraId="7DDF730B" w14:textId="77777777" w:rsidR="005731F0" w:rsidRPr="00220369" w:rsidRDefault="005731F0" w:rsidP="00E6784B">
      <w:pPr>
        <w:autoSpaceDE w:val="0"/>
        <w:autoSpaceDN w:val="0"/>
        <w:adjustRightInd w:val="0"/>
        <w:jc w:val="both"/>
        <w:rPr>
          <w:rFonts w:eastAsia="TimesNewRoman"/>
          <w:sz w:val="22"/>
          <w:szCs w:val="22"/>
          <w:lang w:val="sr-Latn-ME"/>
        </w:rPr>
      </w:pPr>
    </w:p>
    <w:p w14:paraId="004D7512" w14:textId="61F39110" w:rsidR="005731F0" w:rsidRPr="00220369" w:rsidRDefault="005731F0" w:rsidP="00E6784B">
      <w:pPr>
        <w:autoSpaceDE w:val="0"/>
        <w:autoSpaceDN w:val="0"/>
        <w:adjustRightInd w:val="0"/>
        <w:jc w:val="both"/>
        <w:rPr>
          <w:rFonts w:eastAsia="TimesNewRoman"/>
          <w:sz w:val="22"/>
          <w:szCs w:val="22"/>
          <w:lang w:val="sr-Latn-ME"/>
        </w:rPr>
      </w:pPr>
      <w:r w:rsidRPr="00220369">
        <w:rPr>
          <w:rFonts w:eastAsia="TimesNewRoman"/>
          <w:sz w:val="22"/>
          <w:szCs w:val="22"/>
          <w:lang w:val="sr-Latn-ME"/>
        </w:rPr>
        <w:t>U slučaju predoziranja, sav</w:t>
      </w:r>
      <w:r w:rsidR="00E6784B" w:rsidRPr="00220369">
        <w:rPr>
          <w:rFonts w:eastAsia="TimesNewRoman"/>
          <w:sz w:val="22"/>
          <w:szCs w:val="22"/>
          <w:lang w:val="sr-Latn-ME"/>
        </w:rPr>
        <w:t>j</w:t>
      </w:r>
      <w:r w:rsidRPr="00220369">
        <w:rPr>
          <w:rFonts w:eastAsia="TimesNewRoman"/>
          <w:sz w:val="22"/>
          <w:szCs w:val="22"/>
          <w:lang w:val="sr-Latn-ME"/>
        </w:rPr>
        <w:t>etuje se simptomatska i suportivna terapija.</w:t>
      </w:r>
    </w:p>
    <w:p w14:paraId="3690E19F" w14:textId="77777777" w:rsidR="005731F0" w:rsidRPr="00220369" w:rsidRDefault="005731F0" w:rsidP="00E6784B">
      <w:pPr>
        <w:autoSpaceDE w:val="0"/>
        <w:autoSpaceDN w:val="0"/>
        <w:adjustRightInd w:val="0"/>
        <w:jc w:val="both"/>
        <w:rPr>
          <w:rFonts w:eastAsia="TimesNewRoman"/>
          <w:sz w:val="22"/>
          <w:szCs w:val="22"/>
          <w:lang w:val="sr-Latn-ME"/>
        </w:rPr>
      </w:pPr>
    </w:p>
    <w:p w14:paraId="6F2C5F6F" w14:textId="77777777" w:rsidR="005731F0" w:rsidRPr="00220369" w:rsidRDefault="005731F0" w:rsidP="00E6784B">
      <w:pPr>
        <w:tabs>
          <w:tab w:val="left" w:pos="284"/>
        </w:tabs>
        <w:jc w:val="both"/>
        <w:rPr>
          <w:sz w:val="22"/>
          <w:szCs w:val="22"/>
          <w:lang w:val="sr-Latn-ME"/>
        </w:rPr>
      </w:pPr>
      <w:r w:rsidRPr="00220369">
        <w:rPr>
          <w:rFonts w:eastAsia="TimesNewRoman"/>
          <w:sz w:val="22"/>
          <w:szCs w:val="22"/>
          <w:lang w:val="sr-Latn-ME"/>
        </w:rPr>
        <w:t>Ne postoji specifičan antidot za bilastin.</w:t>
      </w:r>
    </w:p>
    <w:p w14:paraId="0B03125F" w14:textId="77777777" w:rsidR="00CD6F02" w:rsidRPr="00220369" w:rsidRDefault="00CD6F02" w:rsidP="00E6784B">
      <w:pPr>
        <w:tabs>
          <w:tab w:val="left" w:pos="540"/>
          <w:tab w:val="left" w:pos="569"/>
        </w:tabs>
        <w:jc w:val="both"/>
        <w:rPr>
          <w:b/>
          <w:bCs/>
          <w:sz w:val="22"/>
          <w:szCs w:val="22"/>
          <w:lang w:val="sr-Latn-ME"/>
        </w:rPr>
      </w:pPr>
    </w:p>
    <w:p w14:paraId="0FE485AE" w14:textId="77777777" w:rsidR="00227BDB" w:rsidRPr="00220369" w:rsidRDefault="00227BDB" w:rsidP="00E6784B">
      <w:pPr>
        <w:tabs>
          <w:tab w:val="left" w:pos="540"/>
          <w:tab w:val="left" w:pos="569"/>
        </w:tabs>
        <w:jc w:val="both"/>
        <w:rPr>
          <w:b/>
          <w:bCs/>
          <w:sz w:val="22"/>
          <w:szCs w:val="22"/>
          <w:lang w:val="sr-Latn-ME"/>
        </w:rPr>
      </w:pPr>
    </w:p>
    <w:p w14:paraId="4CE91C68" w14:textId="77777777" w:rsidR="0072020E" w:rsidRPr="00220369" w:rsidRDefault="0072020E" w:rsidP="00E6784B">
      <w:pPr>
        <w:tabs>
          <w:tab w:val="left" w:pos="540"/>
          <w:tab w:val="left" w:pos="569"/>
        </w:tabs>
        <w:jc w:val="both"/>
        <w:rPr>
          <w:b/>
          <w:bCs/>
          <w:sz w:val="22"/>
          <w:szCs w:val="22"/>
          <w:lang w:val="sr-Latn-ME"/>
        </w:rPr>
      </w:pPr>
      <w:r w:rsidRPr="00220369">
        <w:rPr>
          <w:b/>
          <w:bCs/>
          <w:sz w:val="22"/>
          <w:szCs w:val="22"/>
          <w:lang w:val="sr-Latn-ME"/>
        </w:rPr>
        <w:t xml:space="preserve">5. </w:t>
      </w:r>
      <w:r w:rsidR="00480FB1" w:rsidRPr="00220369">
        <w:rPr>
          <w:b/>
          <w:bCs/>
          <w:sz w:val="22"/>
          <w:szCs w:val="22"/>
          <w:lang w:val="sr-Latn-ME"/>
        </w:rPr>
        <w:tab/>
      </w:r>
      <w:r w:rsidRPr="00220369">
        <w:rPr>
          <w:b/>
          <w:bCs/>
          <w:sz w:val="22"/>
          <w:szCs w:val="22"/>
          <w:lang w:val="sr-Latn-ME"/>
        </w:rPr>
        <w:t>FARMAKOLOŠK</w:t>
      </w:r>
      <w:r w:rsidR="000D425A" w:rsidRPr="00220369">
        <w:rPr>
          <w:b/>
          <w:bCs/>
          <w:sz w:val="22"/>
          <w:szCs w:val="22"/>
          <w:lang w:val="sr-Latn-ME"/>
        </w:rPr>
        <w:t>I</w:t>
      </w:r>
      <w:r w:rsidRPr="00220369">
        <w:rPr>
          <w:b/>
          <w:bCs/>
          <w:sz w:val="22"/>
          <w:szCs w:val="22"/>
          <w:lang w:val="sr-Latn-ME"/>
        </w:rPr>
        <w:t xml:space="preserve"> PODACI</w:t>
      </w:r>
    </w:p>
    <w:p w14:paraId="25F3A477" w14:textId="77777777" w:rsidR="0072020E" w:rsidRPr="00220369" w:rsidRDefault="0072020E" w:rsidP="00E6784B">
      <w:pPr>
        <w:tabs>
          <w:tab w:val="left" w:pos="540"/>
          <w:tab w:val="left" w:pos="569"/>
        </w:tabs>
        <w:jc w:val="both"/>
        <w:rPr>
          <w:b/>
          <w:bCs/>
          <w:sz w:val="22"/>
          <w:szCs w:val="22"/>
          <w:lang w:val="sr-Latn-ME"/>
        </w:rPr>
      </w:pPr>
    </w:p>
    <w:p w14:paraId="0EF9252D" w14:textId="77777777" w:rsidR="0072020E" w:rsidRPr="00220369" w:rsidRDefault="0072020E" w:rsidP="00E6784B">
      <w:pPr>
        <w:tabs>
          <w:tab w:val="left" w:pos="540"/>
          <w:tab w:val="left" w:pos="569"/>
        </w:tabs>
        <w:jc w:val="both"/>
        <w:rPr>
          <w:b/>
          <w:bCs/>
          <w:sz w:val="22"/>
          <w:szCs w:val="22"/>
          <w:lang w:val="sr-Latn-ME"/>
        </w:rPr>
      </w:pPr>
      <w:r w:rsidRPr="00220369">
        <w:rPr>
          <w:b/>
          <w:bCs/>
          <w:sz w:val="22"/>
          <w:szCs w:val="22"/>
          <w:lang w:val="sr-Latn-ME"/>
        </w:rPr>
        <w:t xml:space="preserve">5.1. </w:t>
      </w:r>
      <w:r w:rsidR="00480FB1" w:rsidRPr="00220369">
        <w:rPr>
          <w:b/>
          <w:bCs/>
          <w:sz w:val="22"/>
          <w:szCs w:val="22"/>
          <w:lang w:val="sr-Latn-ME"/>
        </w:rPr>
        <w:tab/>
      </w:r>
      <w:r w:rsidRPr="00220369">
        <w:rPr>
          <w:b/>
          <w:bCs/>
          <w:sz w:val="22"/>
          <w:szCs w:val="22"/>
          <w:lang w:val="sr-Latn-ME"/>
        </w:rPr>
        <w:t>Farmakodinamski podaci</w:t>
      </w:r>
      <w:r w:rsidR="003A7059" w:rsidRPr="00220369">
        <w:rPr>
          <w:b/>
          <w:bCs/>
          <w:sz w:val="22"/>
          <w:szCs w:val="22"/>
          <w:lang w:val="sr-Latn-ME"/>
        </w:rPr>
        <w:t xml:space="preserve"> </w:t>
      </w:r>
    </w:p>
    <w:p w14:paraId="0713EED1" w14:textId="77777777" w:rsidR="00F45F77" w:rsidRPr="00220369" w:rsidRDefault="00F45F77" w:rsidP="00E6784B">
      <w:pPr>
        <w:tabs>
          <w:tab w:val="left" w:pos="540"/>
          <w:tab w:val="left" w:pos="569"/>
        </w:tabs>
        <w:jc w:val="both"/>
        <w:rPr>
          <w:b/>
          <w:bCs/>
          <w:sz w:val="22"/>
          <w:szCs w:val="22"/>
          <w:lang w:val="sr-Latn-ME"/>
        </w:rPr>
      </w:pPr>
    </w:p>
    <w:p w14:paraId="5B79D350" w14:textId="77777777" w:rsidR="00262B94" w:rsidRPr="00220369" w:rsidRDefault="0072020E" w:rsidP="00E6784B">
      <w:pPr>
        <w:tabs>
          <w:tab w:val="left" w:pos="540"/>
          <w:tab w:val="left" w:pos="569"/>
        </w:tabs>
        <w:jc w:val="both"/>
        <w:rPr>
          <w:rFonts w:eastAsia="TimesNewRoman"/>
          <w:sz w:val="22"/>
          <w:szCs w:val="22"/>
          <w:lang w:val="sr-Latn-ME"/>
        </w:rPr>
      </w:pPr>
      <w:r w:rsidRPr="00220369">
        <w:rPr>
          <w:bCs/>
          <w:sz w:val="22"/>
          <w:szCs w:val="22"/>
          <w:lang w:val="sr-Latn-ME"/>
        </w:rPr>
        <w:lastRenderedPageBreak/>
        <w:t>Farmakoterapijska grupa:</w:t>
      </w:r>
      <w:r w:rsidR="005731F0" w:rsidRPr="00220369">
        <w:rPr>
          <w:rFonts w:eastAsia="TimesNewRoman"/>
          <w:sz w:val="22"/>
          <w:szCs w:val="22"/>
          <w:lang w:val="sr-Latn-ME"/>
        </w:rPr>
        <w:t xml:space="preserve"> Antihistaminici za sistemsku primjenu</w:t>
      </w:r>
      <w:r w:rsidR="00D71415" w:rsidRPr="00220369">
        <w:rPr>
          <w:rFonts w:eastAsia="TimesNewRoman"/>
          <w:sz w:val="22"/>
          <w:szCs w:val="22"/>
          <w:lang w:val="sr-Latn-ME"/>
        </w:rPr>
        <w:t>,</w:t>
      </w:r>
      <w:r w:rsidR="005731F0" w:rsidRPr="00220369">
        <w:rPr>
          <w:rFonts w:eastAsia="TimesNewRoman"/>
          <w:sz w:val="22"/>
          <w:szCs w:val="22"/>
          <w:lang w:val="sr-Latn-ME"/>
        </w:rPr>
        <w:t xml:space="preserve"> ostali antihistaminici za sistemsku primjenu</w:t>
      </w:r>
    </w:p>
    <w:p w14:paraId="6A60A229" w14:textId="71C63205" w:rsidR="0072020E" w:rsidRPr="00220369" w:rsidRDefault="0072020E" w:rsidP="00E6784B">
      <w:pPr>
        <w:tabs>
          <w:tab w:val="left" w:pos="540"/>
          <w:tab w:val="left" w:pos="569"/>
        </w:tabs>
        <w:jc w:val="both"/>
        <w:rPr>
          <w:bCs/>
          <w:sz w:val="22"/>
          <w:szCs w:val="22"/>
          <w:lang w:val="sr-Latn-ME"/>
        </w:rPr>
      </w:pPr>
      <w:r w:rsidRPr="00220369">
        <w:rPr>
          <w:bCs/>
          <w:sz w:val="22"/>
          <w:szCs w:val="22"/>
          <w:lang w:val="sr-Latn-ME"/>
        </w:rPr>
        <w:t>ATC kod:</w:t>
      </w:r>
      <w:r w:rsidR="005731F0" w:rsidRPr="00220369">
        <w:rPr>
          <w:sz w:val="22"/>
          <w:szCs w:val="22"/>
          <w:lang w:val="sr-Latn-ME"/>
        </w:rPr>
        <w:t xml:space="preserve"> R06AX29</w:t>
      </w:r>
    </w:p>
    <w:p w14:paraId="6731821B" w14:textId="77777777" w:rsidR="00D71415" w:rsidRPr="00220369" w:rsidRDefault="00D71415" w:rsidP="00E6784B">
      <w:pPr>
        <w:tabs>
          <w:tab w:val="left" w:pos="284"/>
        </w:tabs>
        <w:jc w:val="both"/>
        <w:rPr>
          <w:i/>
          <w:iCs/>
          <w:sz w:val="22"/>
          <w:szCs w:val="22"/>
          <w:u w:val="single"/>
          <w:lang w:val="sr-Latn-ME"/>
        </w:rPr>
      </w:pPr>
    </w:p>
    <w:p w14:paraId="4D2A246D" w14:textId="6020D8FE"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Mehanizam dejstva</w:t>
      </w:r>
    </w:p>
    <w:p w14:paraId="64C44A7A" w14:textId="77777777" w:rsidR="005731F0" w:rsidRPr="00220369" w:rsidRDefault="005731F0" w:rsidP="00E6784B">
      <w:pPr>
        <w:autoSpaceDE w:val="0"/>
        <w:autoSpaceDN w:val="0"/>
        <w:adjustRightInd w:val="0"/>
        <w:jc w:val="both"/>
        <w:rPr>
          <w:rFonts w:eastAsia="TimesNewRoman"/>
          <w:sz w:val="22"/>
          <w:szCs w:val="22"/>
          <w:lang w:val="sr-Latn-ME"/>
        </w:rPr>
      </w:pPr>
      <w:r w:rsidRPr="00220369">
        <w:rPr>
          <w:rFonts w:eastAsia="TimesNewRoman"/>
          <w:sz w:val="22"/>
          <w:szCs w:val="22"/>
          <w:lang w:val="sr-Latn-ME"/>
        </w:rPr>
        <w:t>Bilastin je nesedativni, dugodjelujući antagonist histamina sa selektivnim afinitetom za periferne H1 receptore i bez afiniteta za muskarinske receptore.</w:t>
      </w:r>
    </w:p>
    <w:p w14:paraId="596A2534" w14:textId="77777777" w:rsidR="005731F0" w:rsidRPr="00220369" w:rsidRDefault="005731F0" w:rsidP="00E6784B">
      <w:pPr>
        <w:autoSpaceDE w:val="0"/>
        <w:autoSpaceDN w:val="0"/>
        <w:adjustRightInd w:val="0"/>
        <w:jc w:val="both"/>
        <w:rPr>
          <w:rFonts w:eastAsia="TimesNewRoman"/>
          <w:sz w:val="22"/>
          <w:szCs w:val="22"/>
          <w:lang w:val="sr-Latn-ME"/>
        </w:rPr>
      </w:pPr>
    </w:p>
    <w:p w14:paraId="58221188" w14:textId="2190F57E" w:rsidR="005731F0" w:rsidRPr="00220369" w:rsidRDefault="005731F0" w:rsidP="00E6784B">
      <w:pPr>
        <w:autoSpaceDE w:val="0"/>
        <w:autoSpaceDN w:val="0"/>
        <w:adjustRightInd w:val="0"/>
        <w:jc w:val="both"/>
        <w:rPr>
          <w:rFonts w:eastAsia="TimesNewRoman"/>
          <w:sz w:val="22"/>
          <w:szCs w:val="22"/>
          <w:lang w:val="sr-Latn-ME"/>
        </w:rPr>
      </w:pPr>
      <w:r w:rsidRPr="00220369">
        <w:rPr>
          <w:rFonts w:eastAsia="TimesNewRoman"/>
          <w:sz w:val="22"/>
          <w:szCs w:val="22"/>
          <w:lang w:val="sr-Latn-ME"/>
        </w:rPr>
        <w:t xml:space="preserve">Nakon primjene pojedinačne doze, bilastin inhibira histaminom izazvan </w:t>
      </w:r>
      <w:r w:rsidR="00D71415" w:rsidRPr="00220369">
        <w:rPr>
          <w:rFonts w:eastAsia="TimesNewRoman"/>
          <w:sz w:val="22"/>
          <w:szCs w:val="22"/>
          <w:lang w:val="sr-Latn-ME"/>
        </w:rPr>
        <w:t xml:space="preserve">osip </w:t>
      </w:r>
      <w:r w:rsidRPr="00220369">
        <w:rPr>
          <w:rFonts w:eastAsia="TimesNewRoman"/>
          <w:sz w:val="22"/>
          <w:szCs w:val="22"/>
          <w:lang w:val="sr-Latn-ME"/>
        </w:rPr>
        <w:t xml:space="preserve">i crvenilo na koži tokom 24 sata. </w:t>
      </w:r>
    </w:p>
    <w:p w14:paraId="74972CB3" w14:textId="77777777" w:rsidR="005731F0" w:rsidRPr="00220369" w:rsidRDefault="005731F0" w:rsidP="00E6784B">
      <w:pPr>
        <w:autoSpaceDE w:val="0"/>
        <w:autoSpaceDN w:val="0"/>
        <w:adjustRightInd w:val="0"/>
        <w:jc w:val="both"/>
        <w:rPr>
          <w:rFonts w:eastAsia="TimesNewRoman"/>
          <w:i/>
          <w:iCs/>
          <w:sz w:val="22"/>
          <w:szCs w:val="22"/>
          <w:u w:val="single"/>
          <w:lang w:val="sr-Latn-ME"/>
        </w:rPr>
      </w:pPr>
      <w:r w:rsidRPr="00220369">
        <w:rPr>
          <w:rFonts w:eastAsia="TimesNewRoman"/>
          <w:i/>
          <w:iCs/>
          <w:sz w:val="22"/>
          <w:szCs w:val="22"/>
          <w:u w:val="single"/>
          <w:lang w:val="sr-Latn-ME"/>
        </w:rPr>
        <w:t>Klinička efikasnost i bezbjednost</w:t>
      </w:r>
    </w:p>
    <w:p w14:paraId="669AC45D" w14:textId="6EC84931" w:rsidR="005731F0" w:rsidRPr="00220369" w:rsidRDefault="005731F0" w:rsidP="00E6784B">
      <w:pPr>
        <w:autoSpaceDE w:val="0"/>
        <w:autoSpaceDN w:val="0"/>
        <w:adjustRightInd w:val="0"/>
        <w:jc w:val="both"/>
        <w:rPr>
          <w:rFonts w:eastAsia="TimesNewRoman"/>
          <w:sz w:val="22"/>
          <w:szCs w:val="22"/>
          <w:lang w:val="sr-Latn-ME"/>
        </w:rPr>
      </w:pPr>
      <w:r w:rsidRPr="00220369">
        <w:rPr>
          <w:rFonts w:eastAsia="TimesNewRoman"/>
          <w:sz w:val="22"/>
          <w:szCs w:val="22"/>
          <w:lang w:val="sr-Latn-ME"/>
        </w:rPr>
        <w:t>U kliničkim studijama koje su sprovedene na odraslima i adolescentima sa alergijskim rinokonju</w:t>
      </w:r>
      <w:r w:rsidR="00035D8E" w:rsidRPr="00220369">
        <w:rPr>
          <w:rFonts w:eastAsia="TimesNewRoman"/>
          <w:sz w:val="22"/>
          <w:szCs w:val="22"/>
          <w:lang w:val="sr-Latn-ME"/>
        </w:rPr>
        <w:t>n</w:t>
      </w:r>
      <w:r w:rsidRPr="00220369">
        <w:rPr>
          <w:rFonts w:eastAsia="TimesNewRoman"/>
          <w:sz w:val="22"/>
          <w:szCs w:val="22"/>
          <w:lang w:val="sr-Latn-ME"/>
        </w:rPr>
        <w:t>ktivitisom (sezonskim i perenijalnim), 20 mg bilastina jednom dnevno tokom 14-28 dana, je bilo efikasno u pogledu olakšanja simptoma kao što su kijanje, nazalna sekrecija, svrab u nosu, zapušenost nosa, svrab očiju, suzenje i crvenilo očiju. Primjena bilastina je dovela do efikasne kontrole simptoma tokom 24 sata.</w:t>
      </w:r>
    </w:p>
    <w:p w14:paraId="5A6C0F02" w14:textId="77777777" w:rsidR="005731F0" w:rsidRPr="00220369" w:rsidRDefault="005731F0" w:rsidP="00E6784B">
      <w:pPr>
        <w:autoSpaceDE w:val="0"/>
        <w:autoSpaceDN w:val="0"/>
        <w:adjustRightInd w:val="0"/>
        <w:jc w:val="both"/>
        <w:rPr>
          <w:rFonts w:eastAsia="TimesNewRoman"/>
          <w:sz w:val="22"/>
          <w:szCs w:val="22"/>
          <w:lang w:val="sr-Latn-ME"/>
        </w:rPr>
      </w:pPr>
    </w:p>
    <w:p w14:paraId="7E8896CA" w14:textId="233E4E54" w:rsidR="005731F0" w:rsidRPr="00220369" w:rsidRDefault="005731F0" w:rsidP="00E6784B">
      <w:pPr>
        <w:autoSpaceDE w:val="0"/>
        <w:autoSpaceDN w:val="0"/>
        <w:adjustRightInd w:val="0"/>
        <w:jc w:val="both"/>
        <w:rPr>
          <w:rFonts w:eastAsia="TimesNewRoman"/>
          <w:sz w:val="22"/>
          <w:szCs w:val="22"/>
          <w:lang w:val="sr-Latn-ME"/>
        </w:rPr>
      </w:pPr>
      <w:r w:rsidRPr="00220369">
        <w:rPr>
          <w:rFonts w:eastAsia="TimesNewRoman"/>
          <w:sz w:val="22"/>
          <w:szCs w:val="22"/>
          <w:lang w:val="sr-Latn-ME"/>
        </w:rPr>
        <w:t xml:space="preserve">U dvije kliničke studije koje su sprovedene na pacijentima sa hroničnom idiopatskom urtikarijom, 20 mg bilastina jednom dnevno tokom 28 dana, je dovelo do efikasnog ublažavanja intenziteta svraba, smanjenja broja i veličine lokalizovanih </w:t>
      </w:r>
      <w:r w:rsidR="000C1F65" w:rsidRPr="00220369">
        <w:rPr>
          <w:rFonts w:eastAsia="TimesNewRoman"/>
          <w:sz w:val="22"/>
          <w:szCs w:val="22"/>
          <w:lang w:val="sr-Latn-ME"/>
        </w:rPr>
        <w:t>osipa</w:t>
      </w:r>
      <w:r w:rsidRPr="00220369">
        <w:rPr>
          <w:rFonts w:eastAsia="TimesNewRoman"/>
          <w:sz w:val="22"/>
          <w:szCs w:val="22"/>
          <w:lang w:val="sr-Latn-ME"/>
        </w:rPr>
        <w:t xml:space="preserve"> kao i nelagodnosti usl</w:t>
      </w:r>
      <w:r w:rsidR="00E6784B" w:rsidRPr="00220369">
        <w:rPr>
          <w:rFonts w:eastAsia="TimesNewRoman"/>
          <w:sz w:val="22"/>
          <w:szCs w:val="22"/>
          <w:lang w:val="sr-Latn-ME"/>
        </w:rPr>
        <w:t>j</w:t>
      </w:r>
      <w:r w:rsidRPr="00220369">
        <w:rPr>
          <w:rFonts w:eastAsia="TimesNewRoman"/>
          <w:sz w:val="22"/>
          <w:szCs w:val="22"/>
          <w:lang w:val="sr-Latn-ME"/>
        </w:rPr>
        <w:t>ed urtikarije. Došlo je do poboljšanja kvaliteta sna i kvaliteta života.</w:t>
      </w:r>
    </w:p>
    <w:p w14:paraId="590DC622" w14:textId="77777777" w:rsidR="005731F0" w:rsidRPr="00220369" w:rsidRDefault="005731F0" w:rsidP="00E6784B">
      <w:pPr>
        <w:autoSpaceDE w:val="0"/>
        <w:autoSpaceDN w:val="0"/>
        <w:adjustRightInd w:val="0"/>
        <w:jc w:val="both"/>
        <w:rPr>
          <w:rFonts w:eastAsia="TimesNewRoman"/>
          <w:sz w:val="22"/>
          <w:szCs w:val="22"/>
          <w:lang w:val="sr-Latn-ME"/>
        </w:rPr>
      </w:pPr>
    </w:p>
    <w:p w14:paraId="0076DED9" w14:textId="60FE795F" w:rsidR="005731F0" w:rsidRPr="00220369" w:rsidRDefault="005731F0" w:rsidP="00E6784B">
      <w:pPr>
        <w:autoSpaceDE w:val="0"/>
        <w:autoSpaceDN w:val="0"/>
        <w:adjustRightInd w:val="0"/>
        <w:jc w:val="both"/>
        <w:rPr>
          <w:rFonts w:eastAsia="TimesNewRoman"/>
          <w:sz w:val="22"/>
          <w:szCs w:val="22"/>
          <w:lang w:val="sr-Latn-ME"/>
        </w:rPr>
      </w:pPr>
      <w:r w:rsidRPr="00220369">
        <w:rPr>
          <w:rFonts w:eastAsia="TimesNewRoman"/>
          <w:sz w:val="22"/>
          <w:szCs w:val="22"/>
          <w:lang w:val="sr-Latn-ME"/>
        </w:rPr>
        <w:t xml:space="preserve">Nijesu primijećena klinički značajna prolongiranja QTc intervala ili bilo koji drugi uticaj na kardiovaskularni sistem tokom kliničkih studija sa bilastinom, čak ni pri dozama od 200 mg dnevno (10 puta veća doza od kliničke) tokom 7 dana kod 9 ispitanika, ili čak pri istovremenoj primjeni sa inhibitorima P-glikoproteina, kao što su ketokonazol (24 ispitanika) i eritromicin (24 ispitanika). Dodatno </w:t>
      </w:r>
      <w:r w:rsidR="000C1F65" w:rsidRPr="00220369">
        <w:rPr>
          <w:rFonts w:eastAsia="TimesNewRoman"/>
          <w:sz w:val="22"/>
          <w:szCs w:val="22"/>
          <w:lang w:val="sr-Latn-ME"/>
        </w:rPr>
        <w:t>je</w:t>
      </w:r>
      <w:r w:rsidRPr="00220369">
        <w:rPr>
          <w:rFonts w:eastAsia="TimesNewRoman"/>
          <w:sz w:val="22"/>
          <w:szCs w:val="22"/>
          <w:lang w:val="sr-Latn-ME"/>
        </w:rPr>
        <w:t xml:space="preserve"> sprov</w:t>
      </w:r>
      <w:r w:rsidR="000C1F65" w:rsidRPr="00220369">
        <w:rPr>
          <w:rFonts w:eastAsia="TimesNewRoman"/>
          <w:sz w:val="22"/>
          <w:szCs w:val="22"/>
          <w:lang w:val="sr-Latn-ME"/>
        </w:rPr>
        <w:t>edena</w:t>
      </w:r>
      <w:r w:rsidRPr="00220369">
        <w:rPr>
          <w:rFonts w:eastAsia="TimesNewRoman"/>
          <w:sz w:val="22"/>
          <w:szCs w:val="22"/>
          <w:lang w:val="sr-Latn-ME"/>
        </w:rPr>
        <w:t xml:space="preserve"> </w:t>
      </w:r>
      <w:r w:rsidR="000C1F65" w:rsidRPr="00220369">
        <w:rPr>
          <w:rFonts w:eastAsia="TimesNewRoman"/>
          <w:sz w:val="22"/>
          <w:szCs w:val="22"/>
          <w:lang w:val="sr-Latn-ME"/>
        </w:rPr>
        <w:t xml:space="preserve">i </w:t>
      </w:r>
      <w:r w:rsidRPr="00220369">
        <w:rPr>
          <w:rFonts w:eastAsia="TimesNewRoman"/>
          <w:sz w:val="22"/>
          <w:szCs w:val="22"/>
          <w:lang w:val="sr-Latn-ME"/>
        </w:rPr>
        <w:t>temeljna QT studija na 30 dobrovoljaca.</w:t>
      </w:r>
    </w:p>
    <w:p w14:paraId="6B4FCBCC" w14:textId="77777777" w:rsidR="005731F0" w:rsidRPr="00220369" w:rsidRDefault="005731F0" w:rsidP="00E6784B">
      <w:pPr>
        <w:autoSpaceDE w:val="0"/>
        <w:autoSpaceDN w:val="0"/>
        <w:adjustRightInd w:val="0"/>
        <w:jc w:val="both"/>
        <w:rPr>
          <w:rFonts w:eastAsia="TimesNewRoman"/>
          <w:sz w:val="22"/>
          <w:szCs w:val="22"/>
          <w:lang w:val="sr-Latn-ME"/>
        </w:rPr>
      </w:pPr>
    </w:p>
    <w:p w14:paraId="6F4A4E50" w14:textId="77777777" w:rsidR="005731F0" w:rsidRPr="00220369" w:rsidRDefault="005731F0" w:rsidP="00E6784B">
      <w:pPr>
        <w:autoSpaceDE w:val="0"/>
        <w:autoSpaceDN w:val="0"/>
        <w:adjustRightInd w:val="0"/>
        <w:jc w:val="both"/>
        <w:rPr>
          <w:rFonts w:eastAsia="TimesNewRoman"/>
          <w:sz w:val="22"/>
          <w:szCs w:val="22"/>
          <w:lang w:val="sr-Latn-ME"/>
        </w:rPr>
      </w:pPr>
      <w:r w:rsidRPr="00220369">
        <w:rPr>
          <w:rFonts w:eastAsia="TimesNewRoman"/>
          <w:sz w:val="22"/>
          <w:szCs w:val="22"/>
          <w:lang w:val="sr-Latn-ME"/>
        </w:rPr>
        <w:t>U kontrolisanim kliničkim studijama, pri preporučenoj dozi od 20 mg jednom dnevno, bezbednosni profil bilastina na CNS je bio sličan kao kod placeba, a incidenca somnolencije nije bila statistički različita od placeba. U kliničkim studijama, bilastin u dozama do 40 mg na dan nije uticao na psihomotorne sposobnosti i nije uticao na sposobnost vožnje pri standardnom testu vožnje.</w:t>
      </w:r>
    </w:p>
    <w:p w14:paraId="10AB4C86" w14:textId="77777777" w:rsidR="005731F0" w:rsidRPr="00220369" w:rsidRDefault="005731F0" w:rsidP="00E6784B">
      <w:pPr>
        <w:tabs>
          <w:tab w:val="left" w:pos="284"/>
        </w:tabs>
        <w:jc w:val="both"/>
        <w:rPr>
          <w:rFonts w:eastAsia="TimesNewRoman"/>
          <w:sz w:val="22"/>
          <w:szCs w:val="22"/>
          <w:lang w:val="sr-Latn-ME"/>
        </w:rPr>
      </w:pPr>
    </w:p>
    <w:p w14:paraId="16A37518" w14:textId="1D8315B1" w:rsidR="005731F0" w:rsidRPr="00220369" w:rsidRDefault="005731F0" w:rsidP="00E6784B">
      <w:pPr>
        <w:tabs>
          <w:tab w:val="left" w:pos="284"/>
        </w:tabs>
        <w:jc w:val="both"/>
        <w:rPr>
          <w:sz w:val="22"/>
          <w:szCs w:val="22"/>
          <w:lang w:val="sr-Latn-ME"/>
        </w:rPr>
      </w:pPr>
      <w:r w:rsidRPr="00220369">
        <w:rPr>
          <w:sz w:val="22"/>
          <w:szCs w:val="22"/>
          <w:lang w:val="sr-Latn-ME"/>
        </w:rPr>
        <w:t>Kod starijih pacijenata (≥ 65 godina) koji su bili uključeni u fazu II i III studija, nije bilo razlika u pogledu efikasnosti i bezb</w:t>
      </w:r>
      <w:r w:rsidR="004053C0" w:rsidRPr="00220369">
        <w:rPr>
          <w:sz w:val="22"/>
          <w:szCs w:val="22"/>
          <w:lang w:val="sr-Latn-ME"/>
        </w:rPr>
        <w:t>j</w:t>
      </w:r>
      <w:r w:rsidRPr="00220369">
        <w:rPr>
          <w:sz w:val="22"/>
          <w:szCs w:val="22"/>
          <w:lang w:val="sr-Latn-ME"/>
        </w:rPr>
        <w:t>ednosti u odnosu na mlađe pacijente. Postmarketinška studija na 146 starijih pacijenata nije pokazala razlike u bezbjednosnom profilu u odnosu na populaciju odraslih.</w:t>
      </w:r>
    </w:p>
    <w:p w14:paraId="17CFC6FA" w14:textId="77777777" w:rsidR="005731F0" w:rsidRPr="00220369" w:rsidRDefault="005731F0" w:rsidP="00E6784B">
      <w:pPr>
        <w:tabs>
          <w:tab w:val="left" w:pos="284"/>
        </w:tabs>
        <w:jc w:val="both"/>
        <w:rPr>
          <w:sz w:val="22"/>
          <w:szCs w:val="22"/>
          <w:lang w:val="sr-Latn-ME"/>
        </w:rPr>
      </w:pPr>
    </w:p>
    <w:p w14:paraId="19113393" w14:textId="32D2547B"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Pedijatrijska populacija</w:t>
      </w:r>
    </w:p>
    <w:p w14:paraId="49FFD477" w14:textId="77777777" w:rsidR="000C1F65" w:rsidRPr="00220369" w:rsidRDefault="000C1F65" w:rsidP="00E6784B">
      <w:pPr>
        <w:tabs>
          <w:tab w:val="left" w:pos="284"/>
        </w:tabs>
        <w:jc w:val="both"/>
        <w:rPr>
          <w:sz w:val="22"/>
          <w:szCs w:val="22"/>
          <w:u w:val="single"/>
          <w:lang w:val="sr-Latn-ME"/>
        </w:rPr>
      </w:pPr>
    </w:p>
    <w:p w14:paraId="43F43E35" w14:textId="69925ACF" w:rsidR="005731F0" w:rsidRPr="00220369" w:rsidRDefault="005731F0" w:rsidP="00E6784B">
      <w:pPr>
        <w:tabs>
          <w:tab w:val="left" w:pos="284"/>
        </w:tabs>
        <w:jc w:val="both"/>
        <w:rPr>
          <w:sz w:val="22"/>
          <w:szCs w:val="22"/>
          <w:lang w:val="sr-Latn-ME"/>
        </w:rPr>
      </w:pPr>
      <w:r w:rsidRPr="00220369">
        <w:rPr>
          <w:sz w:val="22"/>
          <w:szCs w:val="22"/>
          <w:lang w:val="sr-Latn-ME"/>
        </w:rPr>
        <w:t>Adolescenti (uzrasta od 12 do 17 godina) bili su uključeni u klinički razvoj</w:t>
      </w:r>
      <w:r w:rsidR="00E6784B" w:rsidRPr="00220369">
        <w:rPr>
          <w:sz w:val="22"/>
          <w:szCs w:val="22"/>
          <w:lang w:val="sr-Latn-ME"/>
        </w:rPr>
        <w:t xml:space="preserve"> lijeka</w:t>
      </w:r>
      <w:r w:rsidRPr="00220369">
        <w:rPr>
          <w:sz w:val="22"/>
          <w:szCs w:val="22"/>
          <w:lang w:val="sr-Latn-ME"/>
        </w:rPr>
        <w:t>. Tokom kliničkih studija, 128 adolescenata je primalo bilastin (81 u dvostruko slijepim ispitivanjima kod alergijskog rinokonju</w:t>
      </w:r>
      <w:r w:rsidR="00035D8E" w:rsidRPr="00220369">
        <w:rPr>
          <w:sz w:val="22"/>
          <w:szCs w:val="22"/>
          <w:lang w:val="sr-Latn-ME"/>
        </w:rPr>
        <w:t>n</w:t>
      </w:r>
      <w:r w:rsidRPr="00220369">
        <w:rPr>
          <w:sz w:val="22"/>
          <w:szCs w:val="22"/>
          <w:lang w:val="sr-Latn-ME"/>
        </w:rPr>
        <w:t>ktivitisa). Drugih 116 adolescentnih isp</w:t>
      </w:r>
      <w:r w:rsidR="000C1F65" w:rsidRPr="00220369">
        <w:rPr>
          <w:sz w:val="22"/>
          <w:szCs w:val="22"/>
          <w:lang w:val="sr-Latn-ME"/>
        </w:rPr>
        <w:t>i</w:t>
      </w:r>
      <w:r w:rsidRPr="00220369">
        <w:rPr>
          <w:sz w:val="22"/>
          <w:szCs w:val="22"/>
          <w:lang w:val="sr-Latn-ME"/>
        </w:rPr>
        <w:t>t</w:t>
      </w:r>
      <w:r w:rsidR="000C1F65" w:rsidRPr="00220369">
        <w:rPr>
          <w:sz w:val="22"/>
          <w:szCs w:val="22"/>
          <w:lang w:val="sr-Latn-ME"/>
        </w:rPr>
        <w:t>a</w:t>
      </w:r>
      <w:r w:rsidRPr="00220369">
        <w:rPr>
          <w:sz w:val="22"/>
          <w:szCs w:val="22"/>
          <w:lang w:val="sr-Latn-ME"/>
        </w:rPr>
        <w:t>nika je randomizirano u dvije grupe: aktivni komparatori i placebo. Nijesu primijećene razlike u pogledu efikasnosti i bezbjednosti izme</w:t>
      </w:r>
      <w:r w:rsidR="004053C0" w:rsidRPr="00220369">
        <w:rPr>
          <w:sz w:val="22"/>
          <w:szCs w:val="22"/>
          <w:lang w:val="sr-Latn-ME"/>
        </w:rPr>
        <w:t>đ</w:t>
      </w:r>
      <w:r w:rsidRPr="00220369">
        <w:rPr>
          <w:sz w:val="22"/>
          <w:szCs w:val="22"/>
          <w:lang w:val="sr-Latn-ME"/>
        </w:rPr>
        <w:t>u grupe odraslih osoba i adolescenata.</w:t>
      </w:r>
    </w:p>
    <w:p w14:paraId="0C034CC0" w14:textId="77777777" w:rsidR="005731F0" w:rsidRPr="00220369" w:rsidRDefault="005731F0" w:rsidP="00E6784B">
      <w:pPr>
        <w:tabs>
          <w:tab w:val="left" w:pos="284"/>
        </w:tabs>
        <w:jc w:val="both"/>
        <w:rPr>
          <w:sz w:val="22"/>
          <w:szCs w:val="22"/>
          <w:lang w:val="sr-Latn-ME"/>
        </w:rPr>
      </w:pPr>
    </w:p>
    <w:p w14:paraId="75A41EE3" w14:textId="26D52CF6" w:rsidR="005731F0" w:rsidRPr="00220369" w:rsidRDefault="005731F0" w:rsidP="00E6784B">
      <w:pPr>
        <w:tabs>
          <w:tab w:val="left" w:pos="284"/>
        </w:tabs>
        <w:jc w:val="both"/>
        <w:rPr>
          <w:sz w:val="22"/>
          <w:szCs w:val="22"/>
          <w:lang w:val="sr-Latn-ME"/>
        </w:rPr>
      </w:pPr>
      <w:r w:rsidRPr="00220369">
        <w:rPr>
          <w:sz w:val="22"/>
          <w:szCs w:val="22"/>
          <w:lang w:val="sr-Latn-ME"/>
        </w:rPr>
        <w:t>Prema smjernicama, dokazana efikasnost kod odraslih i adolescenata se može prenijeti na pedijatrijsku populaciju, jer je sistemska izloženost nakon primjene 10 mg bilastina kod djece starosti od 6 do 11 godina sa tjelesnom masom preko 20 kg, jednaka sistemskoj izloženosti nakon primjene 20 mg bilastina kod odraslih (</w:t>
      </w:r>
      <w:r w:rsidR="00D10D0D" w:rsidRPr="00220369">
        <w:rPr>
          <w:sz w:val="22"/>
          <w:szCs w:val="22"/>
          <w:lang w:val="sr-Latn-ME"/>
        </w:rPr>
        <w:t>pogledati</w:t>
      </w:r>
      <w:r w:rsidRPr="00220369">
        <w:rPr>
          <w:sz w:val="22"/>
          <w:szCs w:val="22"/>
          <w:lang w:val="sr-Latn-ME"/>
        </w:rPr>
        <w:t xml:space="preserve"> </w:t>
      </w:r>
      <w:r w:rsidR="00C02A24" w:rsidRPr="00220369">
        <w:rPr>
          <w:sz w:val="22"/>
          <w:szCs w:val="22"/>
          <w:lang w:val="sr-Latn-ME"/>
        </w:rPr>
        <w:t>dio</w:t>
      </w:r>
      <w:r w:rsidRPr="00220369">
        <w:rPr>
          <w:sz w:val="22"/>
          <w:szCs w:val="22"/>
          <w:lang w:val="sr-Latn-ME"/>
        </w:rPr>
        <w:t xml:space="preserve"> 5.2). </w:t>
      </w:r>
      <w:r w:rsidR="00567DCC" w:rsidRPr="00220369">
        <w:rPr>
          <w:sz w:val="22"/>
          <w:szCs w:val="22"/>
          <w:lang w:val="sr-Latn-ME"/>
        </w:rPr>
        <w:t>Za ovaj se lijek ekstrapolacija podataka dobijenih kod odraslih i adolescenata smatra mogućom s obzirom na to da je patofiziologija alergijskog rinokonjunktivitisa i urtikarije jednaka u svim starosnim grupama.</w:t>
      </w:r>
      <w:r w:rsidRPr="00220369">
        <w:rPr>
          <w:sz w:val="22"/>
          <w:szCs w:val="22"/>
          <w:lang w:val="sr-Latn-ME"/>
        </w:rPr>
        <w:t xml:space="preserve">. </w:t>
      </w:r>
    </w:p>
    <w:p w14:paraId="3441F30F" w14:textId="77777777" w:rsidR="005731F0" w:rsidRPr="00220369" w:rsidRDefault="005731F0" w:rsidP="00E6784B">
      <w:pPr>
        <w:tabs>
          <w:tab w:val="left" w:pos="284"/>
        </w:tabs>
        <w:jc w:val="both"/>
        <w:rPr>
          <w:sz w:val="22"/>
          <w:szCs w:val="22"/>
          <w:lang w:val="sr-Latn-ME"/>
        </w:rPr>
      </w:pPr>
    </w:p>
    <w:p w14:paraId="61166562" w14:textId="5B2AA292" w:rsidR="005731F0" w:rsidRPr="00220369" w:rsidRDefault="005731F0" w:rsidP="00E6784B">
      <w:pPr>
        <w:tabs>
          <w:tab w:val="left" w:pos="284"/>
        </w:tabs>
        <w:jc w:val="both"/>
        <w:rPr>
          <w:noProof/>
          <w:sz w:val="22"/>
          <w:szCs w:val="22"/>
          <w:lang w:val="sr-Latn-ME"/>
        </w:rPr>
      </w:pPr>
      <w:r w:rsidRPr="00220369">
        <w:rPr>
          <w:sz w:val="22"/>
          <w:szCs w:val="22"/>
          <w:lang w:val="sr-Latn-ME"/>
        </w:rPr>
        <w:t>U 12-oned</w:t>
      </w:r>
      <w:r w:rsidR="006D5EC1" w:rsidRPr="00220369">
        <w:rPr>
          <w:sz w:val="22"/>
          <w:szCs w:val="22"/>
          <w:lang w:val="sr-Latn-ME"/>
        </w:rPr>
        <w:t>j</w:t>
      </w:r>
      <w:r w:rsidRPr="00220369">
        <w:rPr>
          <w:sz w:val="22"/>
          <w:szCs w:val="22"/>
          <w:lang w:val="sr-Latn-ME"/>
        </w:rPr>
        <w:t xml:space="preserve">eljnoj kontrolisanoj kliničkoj studiji sa djecom uzrasta od 2 do 11 godina (ukupno 509 dece, 260 liječeno sa 10 mg bilastina: 58 uzrasta od 2 </w:t>
      </w:r>
      <w:r w:rsidR="000C1F65" w:rsidRPr="00220369">
        <w:rPr>
          <w:sz w:val="22"/>
          <w:szCs w:val="22"/>
          <w:lang w:val="sr-Latn-ME"/>
        </w:rPr>
        <w:t xml:space="preserve">do </w:t>
      </w:r>
      <w:r w:rsidRPr="00220369">
        <w:rPr>
          <w:sz w:val="22"/>
          <w:szCs w:val="22"/>
          <w:lang w:val="sr-Latn-ME"/>
        </w:rPr>
        <w:t xml:space="preserve">&lt; 6 godina, 105 uzrasta od 6 </w:t>
      </w:r>
      <w:r w:rsidR="000C1F65" w:rsidRPr="00220369">
        <w:rPr>
          <w:sz w:val="22"/>
          <w:szCs w:val="22"/>
          <w:lang w:val="sr-Latn-ME"/>
        </w:rPr>
        <w:t xml:space="preserve">do </w:t>
      </w:r>
      <w:r w:rsidRPr="00220369">
        <w:rPr>
          <w:sz w:val="22"/>
          <w:szCs w:val="22"/>
          <w:lang w:val="sr-Latn-ME"/>
        </w:rPr>
        <w:t>&lt; 9 godina i 97 uzrasta od 9</w:t>
      </w:r>
      <w:r w:rsidR="000C1F65" w:rsidRPr="00220369">
        <w:rPr>
          <w:sz w:val="22"/>
          <w:szCs w:val="22"/>
          <w:lang w:val="sr-Latn-ME"/>
        </w:rPr>
        <w:t xml:space="preserve"> do</w:t>
      </w:r>
      <w:r w:rsidRPr="00220369">
        <w:rPr>
          <w:sz w:val="22"/>
          <w:szCs w:val="22"/>
          <w:lang w:val="sr-Latn-ME"/>
        </w:rPr>
        <w:t xml:space="preserve"> &lt; 12 godina i 249 koji su uzeli placebo: 58 uzrasta od 2 </w:t>
      </w:r>
      <w:r w:rsidR="000C1F65" w:rsidRPr="00220369">
        <w:rPr>
          <w:sz w:val="22"/>
          <w:szCs w:val="22"/>
          <w:lang w:val="sr-Latn-ME"/>
        </w:rPr>
        <w:t xml:space="preserve">do </w:t>
      </w:r>
      <w:r w:rsidRPr="00220369">
        <w:rPr>
          <w:sz w:val="22"/>
          <w:szCs w:val="22"/>
          <w:lang w:val="sr-Latn-ME"/>
        </w:rPr>
        <w:t xml:space="preserve">&lt; 6 godina, 95 uzrasta od 6 </w:t>
      </w:r>
      <w:r w:rsidR="000C1F65" w:rsidRPr="00220369">
        <w:rPr>
          <w:sz w:val="22"/>
          <w:szCs w:val="22"/>
          <w:lang w:val="sr-Latn-ME"/>
        </w:rPr>
        <w:t>do</w:t>
      </w:r>
      <w:r w:rsidR="006D5EC1" w:rsidRPr="00220369">
        <w:rPr>
          <w:sz w:val="22"/>
          <w:szCs w:val="22"/>
          <w:lang w:val="sr-Latn-ME"/>
        </w:rPr>
        <w:t xml:space="preserve"> </w:t>
      </w:r>
      <w:r w:rsidRPr="00220369">
        <w:rPr>
          <w:sz w:val="22"/>
          <w:szCs w:val="22"/>
          <w:lang w:val="sr-Latn-ME"/>
        </w:rPr>
        <w:t>&lt; 9 godina i 96 uzrasta od 9</w:t>
      </w:r>
      <w:r w:rsidR="000C1F65" w:rsidRPr="00220369">
        <w:rPr>
          <w:sz w:val="22"/>
          <w:szCs w:val="22"/>
          <w:lang w:val="sr-Latn-ME"/>
        </w:rPr>
        <w:t xml:space="preserve"> do</w:t>
      </w:r>
      <w:r w:rsidRPr="00220369">
        <w:rPr>
          <w:sz w:val="22"/>
          <w:szCs w:val="22"/>
          <w:lang w:val="sr-Latn-ME"/>
        </w:rPr>
        <w:t xml:space="preserve"> &lt; 12 godina), u preporučenoj dozi od 10 mg dnevno, bezbjednosni profil bilastina (n = 260) je bio sličan placebu (n = 249). Neželjene reakcije kod ispitanika koji su uzimali </w:t>
      </w:r>
      <w:r w:rsidRPr="00220369">
        <w:rPr>
          <w:sz w:val="22"/>
          <w:szCs w:val="22"/>
          <w:lang w:val="sr-Latn-ME"/>
        </w:rPr>
        <w:lastRenderedPageBreak/>
        <w:t xml:space="preserve">10 mg bilastina su se javile </w:t>
      </w:r>
      <w:r w:rsidR="006D5EC1" w:rsidRPr="00220369">
        <w:rPr>
          <w:sz w:val="22"/>
          <w:szCs w:val="22"/>
          <w:lang w:val="sr-Latn-ME"/>
        </w:rPr>
        <w:t>kod</w:t>
      </w:r>
      <w:r w:rsidRPr="00220369">
        <w:rPr>
          <w:sz w:val="22"/>
          <w:szCs w:val="22"/>
          <w:lang w:val="sr-Latn-ME"/>
        </w:rPr>
        <w:t xml:space="preserve"> 5.8% ispitanika, dok su se kod ispitanika koji su uzimali placebo javile </w:t>
      </w:r>
      <w:r w:rsidR="006D5EC1" w:rsidRPr="00220369">
        <w:rPr>
          <w:sz w:val="22"/>
          <w:szCs w:val="22"/>
          <w:lang w:val="sr-Latn-ME"/>
        </w:rPr>
        <w:t>kod</w:t>
      </w:r>
      <w:r w:rsidRPr="00220369">
        <w:rPr>
          <w:sz w:val="22"/>
          <w:szCs w:val="22"/>
          <w:lang w:val="sr-Latn-ME"/>
        </w:rPr>
        <w:t xml:space="preserve"> 8</w:t>
      </w:r>
      <w:r w:rsidR="000C1F65" w:rsidRPr="00220369">
        <w:rPr>
          <w:sz w:val="22"/>
          <w:szCs w:val="22"/>
          <w:lang w:val="sr-Latn-ME"/>
        </w:rPr>
        <w:t>.0</w:t>
      </w:r>
      <w:r w:rsidRPr="00220369">
        <w:rPr>
          <w:sz w:val="22"/>
          <w:szCs w:val="22"/>
          <w:lang w:val="sr-Latn-ME"/>
        </w:rPr>
        <w:t xml:space="preserve">% ispitanika. </w:t>
      </w:r>
      <w:r w:rsidRPr="00220369">
        <w:rPr>
          <w:noProof/>
          <w:sz w:val="22"/>
          <w:szCs w:val="22"/>
          <w:lang w:val="sr-Latn-ME"/>
        </w:rPr>
        <w:t>Tokom studije, ob</w:t>
      </w:r>
      <w:r w:rsidR="00E6784B" w:rsidRPr="00220369">
        <w:rPr>
          <w:noProof/>
          <w:sz w:val="22"/>
          <w:szCs w:val="22"/>
          <w:lang w:val="sr-Latn-ME"/>
        </w:rPr>
        <w:t>j</w:t>
      </w:r>
      <w:r w:rsidRPr="00220369">
        <w:rPr>
          <w:noProof/>
          <w:sz w:val="22"/>
          <w:szCs w:val="22"/>
          <w:lang w:val="sr-Latn-ME"/>
        </w:rPr>
        <w:t xml:space="preserve">e grupe, i 10 mg bilastina i placebo, su pokazale blago smanjenje rezultata </w:t>
      </w:r>
      <w:r w:rsidR="00E6784B" w:rsidRPr="00220369">
        <w:rPr>
          <w:noProof/>
          <w:sz w:val="22"/>
          <w:szCs w:val="22"/>
          <w:lang w:val="sr-Latn-ME"/>
        </w:rPr>
        <w:t xml:space="preserve">somnolencije </w:t>
      </w:r>
      <w:r w:rsidRPr="00220369">
        <w:rPr>
          <w:noProof/>
          <w:sz w:val="22"/>
          <w:szCs w:val="22"/>
          <w:lang w:val="sr-Latn-ME"/>
        </w:rPr>
        <w:t>i sedacije na upitniku „</w:t>
      </w:r>
      <w:r w:rsidRPr="00220369">
        <w:rPr>
          <w:i/>
          <w:iCs/>
          <w:noProof/>
          <w:sz w:val="22"/>
          <w:szCs w:val="22"/>
          <w:lang w:val="sr-Latn-ME"/>
        </w:rPr>
        <w:t>Pediatric Sleep Questionnaire</w:t>
      </w:r>
      <w:r w:rsidRPr="00220369">
        <w:rPr>
          <w:noProof/>
          <w:sz w:val="22"/>
          <w:szCs w:val="22"/>
          <w:lang w:val="sr-Latn-ME"/>
        </w:rPr>
        <w:t>“, bez statistički značajnih razlika između ispitivanih grupa. Kod djece uzrasta od 2 do 11 godina, nijesu zabilježene značajne razlike QTc intervala nakon primjene 10 mg bilastina dnevno, u poređenju sa placebom. Upitnici o kvalitetu života namijenjeni djeci sa alergijskim rinokonju</w:t>
      </w:r>
      <w:r w:rsidR="00035D8E" w:rsidRPr="00220369">
        <w:rPr>
          <w:noProof/>
          <w:sz w:val="22"/>
          <w:szCs w:val="22"/>
          <w:lang w:val="sr-Latn-ME"/>
        </w:rPr>
        <w:t>n</w:t>
      </w:r>
      <w:r w:rsidRPr="00220369">
        <w:rPr>
          <w:noProof/>
          <w:sz w:val="22"/>
          <w:szCs w:val="22"/>
          <w:lang w:val="sr-Latn-ME"/>
        </w:rPr>
        <w:t>ktivitisom ili hroničnom urtikarijom su pokazali poboljšanje rezultata nakon 12 nedjelja bez statistički značajne razlike između bilastina i placeba. Ukupna populacija od 509 ispitanika obuhvatala je 479 ispitanika sa alergijskim rinokonju</w:t>
      </w:r>
      <w:r w:rsidR="00035D8E" w:rsidRPr="00220369">
        <w:rPr>
          <w:noProof/>
          <w:sz w:val="22"/>
          <w:szCs w:val="22"/>
          <w:lang w:val="sr-Latn-ME"/>
        </w:rPr>
        <w:t>n</w:t>
      </w:r>
      <w:r w:rsidRPr="00220369">
        <w:rPr>
          <w:noProof/>
          <w:sz w:val="22"/>
          <w:szCs w:val="22"/>
          <w:lang w:val="sr-Latn-ME"/>
        </w:rPr>
        <w:t>ktivitisom i 30 isp</w:t>
      </w:r>
      <w:r w:rsidR="00AB0AF1" w:rsidRPr="00220369">
        <w:rPr>
          <w:noProof/>
          <w:sz w:val="22"/>
          <w:szCs w:val="22"/>
          <w:lang w:val="sr-Latn-ME"/>
        </w:rPr>
        <w:t>i</w:t>
      </w:r>
      <w:r w:rsidRPr="00220369">
        <w:rPr>
          <w:noProof/>
          <w:sz w:val="22"/>
          <w:szCs w:val="22"/>
          <w:lang w:val="sr-Latn-ME"/>
        </w:rPr>
        <w:t>t</w:t>
      </w:r>
      <w:r w:rsidR="00AB0AF1" w:rsidRPr="00220369">
        <w:rPr>
          <w:noProof/>
          <w:sz w:val="22"/>
          <w:szCs w:val="22"/>
          <w:lang w:val="sr-Latn-ME"/>
        </w:rPr>
        <w:t>a</w:t>
      </w:r>
      <w:r w:rsidRPr="00220369">
        <w:rPr>
          <w:noProof/>
          <w:sz w:val="22"/>
          <w:szCs w:val="22"/>
          <w:lang w:val="sr-Latn-ME"/>
        </w:rPr>
        <w:t>nika sa dijagnostikovanom hroničnom urtikarijom. 260 djece je prim</w:t>
      </w:r>
      <w:r w:rsidR="00AB0AF1" w:rsidRPr="00220369">
        <w:rPr>
          <w:noProof/>
          <w:sz w:val="22"/>
          <w:szCs w:val="22"/>
          <w:lang w:val="sr-Latn-ME"/>
        </w:rPr>
        <w:t>a</w:t>
      </w:r>
      <w:r w:rsidRPr="00220369">
        <w:rPr>
          <w:noProof/>
          <w:sz w:val="22"/>
          <w:szCs w:val="22"/>
          <w:lang w:val="sr-Latn-ME"/>
        </w:rPr>
        <w:t xml:space="preserve">lo bilastin, </w:t>
      </w:r>
      <w:r w:rsidR="00AB0AF1" w:rsidRPr="00220369">
        <w:rPr>
          <w:noProof/>
          <w:sz w:val="22"/>
          <w:szCs w:val="22"/>
          <w:lang w:val="sr-Latn-ME"/>
        </w:rPr>
        <w:t xml:space="preserve">od čega </w:t>
      </w:r>
      <w:r w:rsidRPr="00220369">
        <w:rPr>
          <w:noProof/>
          <w:sz w:val="22"/>
          <w:szCs w:val="22"/>
          <w:lang w:val="sr-Latn-ME"/>
        </w:rPr>
        <w:t>252 (96,9%) za alergijski rinokonju</w:t>
      </w:r>
      <w:r w:rsidR="00035D8E" w:rsidRPr="00220369">
        <w:rPr>
          <w:noProof/>
          <w:sz w:val="22"/>
          <w:szCs w:val="22"/>
          <w:lang w:val="sr-Latn-ME"/>
        </w:rPr>
        <w:t>n</w:t>
      </w:r>
      <w:r w:rsidRPr="00220369">
        <w:rPr>
          <w:noProof/>
          <w:sz w:val="22"/>
          <w:szCs w:val="22"/>
          <w:lang w:val="sr-Latn-ME"/>
        </w:rPr>
        <w:t>ktivitis i 8 (3.1%) za hroničnu urtikariju. S druge strane, 249 djece je prim</w:t>
      </w:r>
      <w:r w:rsidR="00AB0AF1" w:rsidRPr="00220369">
        <w:rPr>
          <w:noProof/>
          <w:sz w:val="22"/>
          <w:szCs w:val="22"/>
          <w:lang w:val="sr-Latn-ME"/>
        </w:rPr>
        <w:t>a</w:t>
      </w:r>
      <w:r w:rsidRPr="00220369">
        <w:rPr>
          <w:noProof/>
          <w:sz w:val="22"/>
          <w:szCs w:val="22"/>
          <w:lang w:val="sr-Latn-ME"/>
        </w:rPr>
        <w:t xml:space="preserve">lo placebo, </w:t>
      </w:r>
      <w:r w:rsidR="00AB0AF1" w:rsidRPr="00220369">
        <w:rPr>
          <w:noProof/>
          <w:sz w:val="22"/>
          <w:szCs w:val="22"/>
          <w:lang w:val="sr-Latn-ME"/>
        </w:rPr>
        <w:t xml:space="preserve">od čega </w:t>
      </w:r>
      <w:r w:rsidRPr="00220369">
        <w:rPr>
          <w:noProof/>
          <w:sz w:val="22"/>
          <w:szCs w:val="22"/>
          <w:lang w:val="sr-Latn-ME"/>
        </w:rPr>
        <w:t>227 (91.2%) za alergijski rinokonju</w:t>
      </w:r>
      <w:r w:rsidR="00035D8E" w:rsidRPr="00220369">
        <w:rPr>
          <w:noProof/>
          <w:sz w:val="22"/>
          <w:szCs w:val="22"/>
          <w:lang w:val="sr-Latn-ME"/>
        </w:rPr>
        <w:t>n</w:t>
      </w:r>
      <w:r w:rsidRPr="00220369">
        <w:rPr>
          <w:noProof/>
          <w:sz w:val="22"/>
          <w:szCs w:val="22"/>
          <w:lang w:val="sr-Latn-ME"/>
        </w:rPr>
        <w:t xml:space="preserve">ktivitis i 22 (8.8%) za hroničnu urtikariju. </w:t>
      </w:r>
    </w:p>
    <w:p w14:paraId="333C3FC3" w14:textId="77777777" w:rsidR="005731F0" w:rsidRPr="00220369" w:rsidRDefault="005731F0" w:rsidP="00E6784B">
      <w:pPr>
        <w:tabs>
          <w:tab w:val="left" w:pos="284"/>
        </w:tabs>
        <w:jc w:val="both"/>
        <w:rPr>
          <w:sz w:val="22"/>
          <w:szCs w:val="22"/>
          <w:lang w:val="sr-Latn-ME"/>
        </w:rPr>
      </w:pPr>
    </w:p>
    <w:p w14:paraId="2966E98B" w14:textId="0D248EC3" w:rsidR="005731F0" w:rsidRPr="00220369" w:rsidRDefault="005731F0" w:rsidP="00E6784B">
      <w:pPr>
        <w:tabs>
          <w:tab w:val="left" w:pos="284"/>
        </w:tabs>
        <w:jc w:val="both"/>
        <w:rPr>
          <w:sz w:val="22"/>
          <w:szCs w:val="22"/>
          <w:lang w:val="sr-Latn-ME"/>
        </w:rPr>
      </w:pPr>
      <w:r w:rsidRPr="00220369">
        <w:rPr>
          <w:sz w:val="22"/>
          <w:szCs w:val="22"/>
          <w:lang w:val="sr-Latn-ME"/>
        </w:rPr>
        <w:t xml:space="preserve">Evropska Agencija za ljekove </w:t>
      </w:r>
      <w:r w:rsidR="00E6784B" w:rsidRPr="00220369">
        <w:rPr>
          <w:sz w:val="22"/>
          <w:szCs w:val="22"/>
          <w:lang w:val="sr-Latn-ME"/>
        </w:rPr>
        <w:t>izuzela je obavezu</w:t>
      </w:r>
      <w:r w:rsidRPr="00220369">
        <w:rPr>
          <w:sz w:val="22"/>
          <w:szCs w:val="22"/>
          <w:lang w:val="sr-Latn-ME"/>
        </w:rPr>
        <w:t xml:space="preserve"> podnošenja rezultata studija sa bil</w:t>
      </w:r>
      <w:r w:rsidR="006D5EC1" w:rsidRPr="00220369">
        <w:rPr>
          <w:sz w:val="22"/>
          <w:szCs w:val="22"/>
          <w:lang w:val="sr-Latn-ME"/>
        </w:rPr>
        <w:t>a</w:t>
      </w:r>
      <w:r w:rsidRPr="00220369">
        <w:rPr>
          <w:sz w:val="22"/>
          <w:szCs w:val="22"/>
          <w:lang w:val="sr-Latn-ME"/>
        </w:rPr>
        <w:t xml:space="preserve">stinom u svim podgrupama pedijatrijske populacije starosti ispod 2 godine (za upotrebu u pedijatrijskoj populaciji </w:t>
      </w:r>
      <w:r w:rsidR="00D10D0D" w:rsidRPr="00220369">
        <w:rPr>
          <w:sz w:val="22"/>
          <w:szCs w:val="22"/>
          <w:lang w:val="sr-Latn-ME"/>
        </w:rPr>
        <w:t>pogledati</w:t>
      </w:r>
      <w:r w:rsidRPr="00220369">
        <w:rPr>
          <w:sz w:val="22"/>
          <w:szCs w:val="22"/>
          <w:lang w:val="sr-Latn-ME"/>
        </w:rPr>
        <w:t xml:space="preserve"> </w:t>
      </w:r>
      <w:r w:rsidR="00C02A24" w:rsidRPr="00220369">
        <w:rPr>
          <w:sz w:val="22"/>
          <w:szCs w:val="22"/>
          <w:lang w:val="sr-Latn-ME"/>
        </w:rPr>
        <w:t>dio</w:t>
      </w:r>
      <w:r w:rsidRPr="00220369">
        <w:rPr>
          <w:sz w:val="22"/>
          <w:szCs w:val="22"/>
          <w:lang w:val="sr-Latn-ME"/>
        </w:rPr>
        <w:t xml:space="preserve"> 4.2).</w:t>
      </w:r>
    </w:p>
    <w:p w14:paraId="1839FD00" w14:textId="77777777" w:rsidR="002E37A5" w:rsidRPr="00220369" w:rsidRDefault="002E37A5" w:rsidP="00E6784B">
      <w:pPr>
        <w:tabs>
          <w:tab w:val="left" w:pos="540"/>
          <w:tab w:val="left" w:pos="569"/>
        </w:tabs>
        <w:jc w:val="both"/>
        <w:rPr>
          <w:b/>
          <w:bCs/>
          <w:sz w:val="22"/>
          <w:szCs w:val="22"/>
          <w:lang w:val="sr-Latn-ME"/>
        </w:rPr>
      </w:pPr>
    </w:p>
    <w:p w14:paraId="03ABB761" w14:textId="77777777" w:rsidR="0072020E" w:rsidRPr="00220369" w:rsidRDefault="0072020E" w:rsidP="00E6784B">
      <w:pPr>
        <w:tabs>
          <w:tab w:val="left" w:pos="540"/>
          <w:tab w:val="left" w:pos="569"/>
        </w:tabs>
        <w:jc w:val="both"/>
        <w:rPr>
          <w:b/>
          <w:bCs/>
          <w:sz w:val="22"/>
          <w:szCs w:val="22"/>
          <w:lang w:val="sr-Latn-ME"/>
        </w:rPr>
      </w:pPr>
      <w:r w:rsidRPr="00220369">
        <w:rPr>
          <w:b/>
          <w:bCs/>
          <w:sz w:val="22"/>
          <w:szCs w:val="22"/>
          <w:lang w:val="sr-Latn-ME"/>
        </w:rPr>
        <w:t xml:space="preserve">5.2. </w:t>
      </w:r>
      <w:r w:rsidR="00480FB1" w:rsidRPr="00220369">
        <w:rPr>
          <w:b/>
          <w:bCs/>
          <w:sz w:val="22"/>
          <w:szCs w:val="22"/>
          <w:lang w:val="sr-Latn-ME"/>
        </w:rPr>
        <w:tab/>
      </w:r>
      <w:r w:rsidRPr="00220369">
        <w:rPr>
          <w:b/>
          <w:bCs/>
          <w:sz w:val="22"/>
          <w:szCs w:val="22"/>
          <w:lang w:val="sr-Latn-ME"/>
        </w:rPr>
        <w:t>Farmakokinetički podaci</w:t>
      </w:r>
      <w:r w:rsidR="003A7059" w:rsidRPr="00220369">
        <w:rPr>
          <w:b/>
          <w:bCs/>
          <w:sz w:val="22"/>
          <w:szCs w:val="22"/>
          <w:lang w:val="sr-Latn-ME"/>
        </w:rPr>
        <w:t xml:space="preserve"> </w:t>
      </w:r>
    </w:p>
    <w:p w14:paraId="6ABECF8F" w14:textId="77777777" w:rsidR="00AB0AF1" w:rsidRPr="00220369" w:rsidRDefault="00AB0AF1" w:rsidP="00E6784B">
      <w:pPr>
        <w:tabs>
          <w:tab w:val="left" w:pos="284"/>
        </w:tabs>
        <w:jc w:val="both"/>
        <w:rPr>
          <w:sz w:val="22"/>
          <w:szCs w:val="22"/>
          <w:u w:val="single"/>
          <w:lang w:val="sr-Latn-ME"/>
        </w:rPr>
      </w:pPr>
    </w:p>
    <w:p w14:paraId="7172F185" w14:textId="72596684"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Resorpcija</w:t>
      </w:r>
    </w:p>
    <w:p w14:paraId="61A85C59" w14:textId="77777777" w:rsidR="005731F0" w:rsidRPr="00220369" w:rsidRDefault="005731F0" w:rsidP="00E6784B">
      <w:pPr>
        <w:tabs>
          <w:tab w:val="left" w:pos="284"/>
        </w:tabs>
        <w:jc w:val="both"/>
        <w:rPr>
          <w:sz w:val="22"/>
          <w:szCs w:val="22"/>
          <w:lang w:val="sr-Latn-ME"/>
        </w:rPr>
      </w:pPr>
      <w:r w:rsidRPr="00220369">
        <w:rPr>
          <w:sz w:val="22"/>
          <w:szCs w:val="22"/>
          <w:lang w:val="sr-Latn-ME"/>
        </w:rPr>
        <w:t>Bilastin se brzo resorbuje nakon oralne primjene, maksimalnu koncentraciju u plazmi postiže nakon 1,3 sata. Nije primijećena akumulacija. Srednja vrijednost bioraspoloživosti bilastina nakon oralne primjene je 61%.</w:t>
      </w:r>
    </w:p>
    <w:p w14:paraId="12EBA4DE" w14:textId="77777777" w:rsidR="005731F0" w:rsidRPr="00220369" w:rsidRDefault="005731F0" w:rsidP="00E6784B">
      <w:pPr>
        <w:tabs>
          <w:tab w:val="left" w:pos="284"/>
        </w:tabs>
        <w:jc w:val="both"/>
        <w:rPr>
          <w:sz w:val="22"/>
          <w:szCs w:val="22"/>
          <w:lang w:val="sr-Latn-ME"/>
        </w:rPr>
      </w:pPr>
    </w:p>
    <w:p w14:paraId="752086A7" w14:textId="77777777"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Distribucija</w:t>
      </w:r>
    </w:p>
    <w:p w14:paraId="7BDAA2BC" w14:textId="24CA594A" w:rsidR="005731F0" w:rsidRPr="00220369" w:rsidRDefault="005731F0" w:rsidP="00E6784B">
      <w:pPr>
        <w:autoSpaceDE w:val="0"/>
        <w:autoSpaceDN w:val="0"/>
        <w:adjustRightInd w:val="0"/>
        <w:jc w:val="both"/>
        <w:rPr>
          <w:rFonts w:eastAsia="TimesNewRoman"/>
          <w:sz w:val="22"/>
          <w:szCs w:val="22"/>
          <w:lang w:val="sr-Latn-ME"/>
        </w:rPr>
      </w:pPr>
      <w:r w:rsidRPr="00220369">
        <w:rPr>
          <w:rFonts w:eastAsia="TimesNewRoman"/>
          <w:sz w:val="22"/>
          <w:szCs w:val="22"/>
          <w:lang w:val="sr-Latn-ME"/>
        </w:rPr>
        <w:t xml:space="preserve">Studije sprovedene </w:t>
      </w:r>
      <w:r w:rsidRPr="00220369">
        <w:rPr>
          <w:rFonts w:eastAsia="TimesNewRoman"/>
          <w:i/>
          <w:iCs/>
          <w:sz w:val="22"/>
          <w:szCs w:val="22"/>
          <w:lang w:val="sr-Latn-ME"/>
        </w:rPr>
        <w:t xml:space="preserve">in vitro </w:t>
      </w:r>
      <w:r w:rsidRPr="00220369">
        <w:rPr>
          <w:rFonts w:eastAsia="TimesNewRoman"/>
          <w:sz w:val="22"/>
          <w:szCs w:val="22"/>
          <w:lang w:val="sr-Latn-ME"/>
        </w:rPr>
        <w:t xml:space="preserve">i </w:t>
      </w:r>
      <w:r w:rsidRPr="00220369">
        <w:rPr>
          <w:rFonts w:eastAsia="TimesNewRoman"/>
          <w:i/>
          <w:iCs/>
          <w:sz w:val="22"/>
          <w:szCs w:val="22"/>
          <w:lang w:val="sr-Latn-ME"/>
        </w:rPr>
        <w:t xml:space="preserve">in vivo </w:t>
      </w:r>
      <w:r w:rsidRPr="00220369">
        <w:rPr>
          <w:rFonts w:eastAsia="TimesNewRoman"/>
          <w:sz w:val="22"/>
          <w:szCs w:val="22"/>
          <w:lang w:val="sr-Latn-ME"/>
        </w:rPr>
        <w:t>pokazale su da je bilastin su</w:t>
      </w:r>
      <w:r w:rsidR="006D5EC1" w:rsidRPr="00220369">
        <w:rPr>
          <w:rFonts w:eastAsia="TimesNewRoman"/>
          <w:sz w:val="22"/>
          <w:szCs w:val="22"/>
          <w:lang w:val="sr-Latn-ME"/>
        </w:rPr>
        <w:t>p</w:t>
      </w:r>
      <w:r w:rsidRPr="00220369">
        <w:rPr>
          <w:rFonts w:eastAsia="TimesNewRoman"/>
          <w:sz w:val="22"/>
          <w:szCs w:val="22"/>
          <w:lang w:val="sr-Latn-ME"/>
        </w:rPr>
        <w:t>strat P-gp</w:t>
      </w:r>
      <w:r w:rsidR="00AB0AF1" w:rsidRPr="00220369">
        <w:rPr>
          <w:rFonts w:eastAsia="TimesNewRoman"/>
          <w:sz w:val="22"/>
          <w:szCs w:val="22"/>
          <w:lang w:val="sr-Latn-ME"/>
        </w:rPr>
        <w:t>-a</w:t>
      </w:r>
      <w:r w:rsidRPr="00220369">
        <w:rPr>
          <w:rFonts w:eastAsia="TimesNewRoman"/>
          <w:sz w:val="22"/>
          <w:szCs w:val="22"/>
          <w:lang w:val="sr-Latn-ME"/>
        </w:rPr>
        <w:t xml:space="preserve"> (</w:t>
      </w:r>
      <w:r w:rsidR="00D10D0D" w:rsidRPr="00220369">
        <w:rPr>
          <w:rFonts w:eastAsia="TimesNewRoman"/>
          <w:sz w:val="22"/>
          <w:szCs w:val="22"/>
          <w:lang w:val="sr-Latn-ME"/>
        </w:rPr>
        <w:t>pogledati</w:t>
      </w:r>
      <w:r w:rsidRPr="00220369">
        <w:rPr>
          <w:rFonts w:eastAsia="TimesNewRoman"/>
          <w:sz w:val="22"/>
          <w:szCs w:val="22"/>
          <w:lang w:val="sr-Latn-ME"/>
        </w:rPr>
        <w:t xml:space="preserve"> </w:t>
      </w:r>
      <w:r w:rsidR="00C02A24" w:rsidRPr="00220369">
        <w:rPr>
          <w:rFonts w:eastAsia="TimesNewRoman"/>
          <w:sz w:val="22"/>
          <w:szCs w:val="22"/>
          <w:lang w:val="sr-Latn-ME"/>
        </w:rPr>
        <w:t>dio</w:t>
      </w:r>
      <w:r w:rsidRPr="00220369">
        <w:rPr>
          <w:rFonts w:eastAsia="TimesNewRoman"/>
          <w:sz w:val="22"/>
          <w:szCs w:val="22"/>
          <w:lang w:val="sr-Latn-ME"/>
        </w:rPr>
        <w:t xml:space="preserve"> 4.5 “Interakcije sa ketokonazolom, eritromicinom i diltiazemom”) i OATP</w:t>
      </w:r>
      <w:r w:rsidR="00AB0AF1" w:rsidRPr="00220369">
        <w:rPr>
          <w:rFonts w:eastAsia="TimesNewRoman"/>
          <w:sz w:val="22"/>
          <w:szCs w:val="22"/>
          <w:lang w:val="sr-Latn-ME"/>
        </w:rPr>
        <w:t>-a</w:t>
      </w:r>
      <w:r w:rsidRPr="00220369">
        <w:rPr>
          <w:rFonts w:eastAsia="TimesNewRoman"/>
          <w:sz w:val="22"/>
          <w:szCs w:val="22"/>
          <w:lang w:val="sr-Latn-ME"/>
        </w:rPr>
        <w:t xml:space="preserve"> (</w:t>
      </w:r>
      <w:r w:rsidR="00D10D0D" w:rsidRPr="00220369">
        <w:rPr>
          <w:rFonts w:eastAsia="TimesNewRoman"/>
          <w:sz w:val="22"/>
          <w:szCs w:val="22"/>
          <w:lang w:val="sr-Latn-ME"/>
        </w:rPr>
        <w:t>pogledati</w:t>
      </w:r>
      <w:r w:rsidRPr="00220369">
        <w:rPr>
          <w:rFonts w:eastAsia="TimesNewRoman"/>
          <w:sz w:val="22"/>
          <w:szCs w:val="22"/>
          <w:lang w:val="sr-Latn-ME"/>
        </w:rPr>
        <w:t xml:space="preserve"> </w:t>
      </w:r>
      <w:r w:rsidR="00C02A24" w:rsidRPr="00220369">
        <w:rPr>
          <w:rFonts w:eastAsia="TimesNewRoman"/>
          <w:sz w:val="22"/>
          <w:szCs w:val="22"/>
          <w:lang w:val="sr-Latn-ME"/>
        </w:rPr>
        <w:t>dio</w:t>
      </w:r>
      <w:r w:rsidRPr="00220369">
        <w:rPr>
          <w:rFonts w:eastAsia="TimesNewRoman"/>
          <w:sz w:val="22"/>
          <w:szCs w:val="22"/>
          <w:lang w:val="sr-Latn-ME"/>
        </w:rPr>
        <w:t xml:space="preserve"> 4.5 “Interakcije sa sokom od grejpfruta”). Bilastin se nije pokazao kao supstrat za BCRP transporter, niti renalne transportere OCT2, OAT1 i OAT3. Na osnovu </w:t>
      </w:r>
      <w:r w:rsidRPr="00220369">
        <w:rPr>
          <w:rFonts w:eastAsia="TimesNewRoman"/>
          <w:i/>
          <w:iCs/>
          <w:sz w:val="22"/>
          <w:szCs w:val="22"/>
          <w:lang w:val="sr-Latn-ME"/>
        </w:rPr>
        <w:t xml:space="preserve">in vitro </w:t>
      </w:r>
      <w:r w:rsidRPr="00220369">
        <w:rPr>
          <w:rFonts w:eastAsia="TimesNewRoman"/>
          <w:sz w:val="22"/>
          <w:szCs w:val="22"/>
          <w:lang w:val="sr-Latn-ME"/>
        </w:rPr>
        <w:t>studija, ne očekuje se da bilastin inhibira sljedeće transportere u sistemskoj cirkulaciji: P-gp, MRP2, BCRP, BSEP, OATP1B1, OATP1B3, OATP2B1, OAT1, OAT3, OCT1, OCT2 i NTCP, s obzirom da je otkrivena samo blaga inhibicija P-gp, OATP2B1 i OCT1, sa proc</w:t>
      </w:r>
      <w:r w:rsidR="006D5EC1" w:rsidRPr="00220369">
        <w:rPr>
          <w:rFonts w:eastAsia="TimesNewRoman"/>
          <w:sz w:val="22"/>
          <w:szCs w:val="22"/>
          <w:lang w:val="sr-Latn-ME"/>
        </w:rPr>
        <w:t>j</w:t>
      </w:r>
      <w:r w:rsidRPr="00220369">
        <w:rPr>
          <w:rFonts w:eastAsia="TimesNewRoman"/>
          <w:sz w:val="22"/>
          <w:szCs w:val="22"/>
          <w:lang w:val="sr-Latn-ME"/>
        </w:rPr>
        <w:t>enjenom IC</w:t>
      </w:r>
      <w:r w:rsidRPr="00220369">
        <w:rPr>
          <w:rFonts w:eastAsia="TimesNewRoman"/>
          <w:sz w:val="22"/>
          <w:szCs w:val="22"/>
          <w:vertAlign w:val="subscript"/>
          <w:lang w:val="sr-Latn-ME"/>
        </w:rPr>
        <w:t>50</w:t>
      </w:r>
      <w:r w:rsidRPr="00220369">
        <w:rPr>
          <w:rFonts w:eastAsia="TimesNewRoman"/>
          <w:sz w:val="22"/>
          <w:szCs w:val="22"/>
          <w:lang w:val="sr-Latn-ME"/>
        </w:rPr>
        <w:t xml:space="preserve"> ≥ 300 mikromola, što je mnogo više nego proc</w:t>
      </w:r>
      <w:r w:rsidR="006D5EC1" w:rsidRPr="00220369">
        <w:rPr>
          <w:rFonts w:eastAsia="TimesNewRoman"/>
          <w:sz w:val="22"/>
          <w:szCs w:val="22"/>
          <w:lang w:val="sr-Latn-ME"/>
        </w:rPr>
        <w:t>j</w:t>
      </w:r>
      <w:r w:rsidRPr="00220369">
        <w:rPr>
          <w:rFonts w:eastAsia="TimesNewRoman"/>
          <w:sz w:val="22"/>
          <w:szCs w:val="22"/>
          <w:lang w:val="sr-Latn-ME"/>
        </w:rPr>
        <w:t>enjena maksimalna koncentracija u plazmi i zato ove interakcije ni</w:t>
      </w:r>
      <w:r w:rsidR="006D5EC1" w:rsidRPr="00220369">
        <w:rPr>
          <w:rFonts w:eastAsia="TimesNewRoman"/>
          <w:sz w:val="22"/>
          <w:szCs w:val="22"/>
          <w:lang w:val="sr-Latn-ME"/>
        </w:rPr>
        <w:t>je</w:t>
      </w:r>
      <w:r w:rsidRPr="00220369">
        <w:rPr>
          <w:rFonts w:eastAsia="TimesNewRoman"/>
          <w:sz w:val="22"/>
          <w:szCs w:val="22"/>
          <w:lang w:val="sr-Latn-ME"/>
        </w:rPr>
        <w:t xml:space="preserve">su kliničke značajne. Međutim, na osnovu ovih rezultata, inhibicija </w:t>
      </w:r>
      <w:r w:rsidR="00AC74EB" w:rsidRPr="00220369">
        <w:rPr>
          <w:rFonts w:eastAsia="TimesNewRoman"/>
          <w:sz w:val="22"/>
          <w:szCs w:val="22"/>
          <w:lang w:val="sr-Latn-ME"/>
        </w:rPr>
        <w:t xml:space="preserve">od strane bilastina </w:t>
      </w:r>
      <w:r w:rsidRPr="00220369">
        <w:rPr>
          <w:rFonts w:eastAsia="TimesNewRoman"/>
          <w:sz w:val="22"/>
          <w:szCs w:val="22"/>
          <w:lang w:val="sr-Latn-ME"/>
        </w:rPr>
        <w:t xml:space="preserve">transportnih sistema u intestinalnoj mukozi, npr. P-gp, se ne može isključiti. </w:t>
      </w:r>
    </w:p>
    <w:p w14:paraId="0DA2000F" w14:textId="77777777" w:rsidR="005731F0" w:rsidRPr="00220369" w:rsidRDefault="005731F0" w:rsidP="00E6784B">
      <w:pPr>
        <w:autoSpaceDE w:val="0"/>
        <w:autoSpaceDN w:val="0"/>
        <w:adjustRightInd w:val="0"/>
        <w:jc w:val="both"/>
        <w:rPr>
          <w:rFonts w:eastAsia="TimesNewRoman"/>
          <w:sz w:val="22"/>
          <w:szCs w:val="22"/>
          <w:lang w:val="sr-Latn-ME"/>
        </w:rPr>
      </w:pPr>
    </w:p>
    <w:p w14:paraId="1AE8F95F" w14:textId="77777777" w:rsidR="005731F0" w:rsidRPr="00220369" w:rsidRDefault="005731F0" w:rsidP="00E6784B">
      <w:pPr>
        <w:autoSpaceDE w:val="0"/>
        <w:autoSpaceDN w:val="0"/>
        <w:adjustRightInd w:val="0"/>
        <w:jc w:val="both"/>
        <w:rPr>
          <w:rFonts w:eastAsia="TimesNewRoman"/>
          <w:sz w:val="22"/>
          <w:szCs w:val="22"/>
          <w:lang w:val="sr-Latn-ME"/>
        </w:rPr>
      </w:pPr>
      <w:r w:rsidRPr="00220369">
        <w:rPr>
          <w:rFonts w:eastAsia="TimesNewRoman"/>
          <w:sz w:val="22"/>
          <w:szCs w:val="22"/>
          <w:lang w:val="sr-Latn-ME"/>
        </w:rPr>
        <w:t>U terapijskim dozama se 84-90% bilastina vezuje za proteine plazme.</w:t>
      </w:r>
    </w:p>
    <w:p w14:paraId="76B374A5" w14:textId="77777777" w:rsidR="005731F0" w:rsidRPr="00220369" w:rsidRDefault="005731F0" w:rsidP="00E6784B">
      <w:pPr>
        <w:autoSpaceDE w:val="0"/>
        <w:autoSpaceDN w:val="0"/>
        <w:adjustRightInd w:val="0"/>
        <w:jc w:val="both"/>
        <w:rPr>
          <w:sz w:val="22"/>
          <w:szCs w:val="22"/>
          <w:lang w:val="sr-Latn-ME"/>
        </w:rPr>
      </w:pPr>
    </w:p>
    <w:p w14:paraId="5D8ED48D" w14:textId="77777777"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Biotransformacija</w:t>
      </w:r>
    </w:p>
    <w:p w14:paraId="4B7D13BE" w14:textId="77777777" w:rsidR="005731F0" w:rsidRPr="00220369" w:rsidRDefault="005731F0" w:rsidP="00E6784B">
      <w:pPr>
        <w:tabs>
          <w:tab w:val="left" w:pos="284"/>
        </w:tabs>
        <w:jc w:val="both"/>
        <w:rPr>
          <w:sz w:val="22"/>
          <w:szCs w:val="22"/>
          <w:lang w:val="sr-Latn-ME"/>
        </w:rPr>
      </w:pPr>
      <w:r w:rsidRPr="00220369">
        <w:rPr>
          <w:rFonts w:eastAsia="TimesNewRoman"/>
          <w:sz w:val="22"/>
          <w:szCs w:val="22"/>
          <w:lang w:val="sr-Latn-ME"/>
        </w:rPr>
        <w:t xml:space="preserve">U </w:t>
      </w:r>
      <w:r w:rsidRPr="00220369">
        <w:rPr>
          <w:rFonts w:eastAsia="TimesNewRoman"/>
          <w:i/>
          <w:iCs/>
          <w:sz w:val="22"/>
          <w:szCs w:val="22"/>
          <w:lang w:val="sr-Latn-ME"/>
        </w:rPr>
        <w:t>in</w:t>
      </w:r>
      <w:r w:rsidRPr="00220369">
        <w:rPr>
          <w:rFonts w:eastAsia="TimesNewRoman"/>
          <w:sz w:val="22"/>
          <w:szCs w:val="22"/>
          <w:lang w:val="sr-Latn-ME"/>
        </w:rPr>
        <w:t xml:space="preserve"> </w:t>
      </w:r>
      <w:r w:rsidRPr="00220369">
        <w:rPr>
          <w:rFonts w:eastAsia="TimesNewRoman"/>
          <w:i/>
          <w:iCs/>
          <w:sz w:val="22"/>
          <w:szCs w:val="22"/>
          <w:lang w:val="sr-Latn-ME"/>
        </w:rPr>
        <w:t>vitro</w:t>
      </w:r>
      <w:r w:rsidRPr="00220369">
        <w:rPr>
          <w:rFonts w:eastAsia="TimesNewRoman"/>
          <w:sz w:val="22"/>
          <w:szCs w:val="22"/>
          <w:lang w:val="sr-Latn-ME"/>
        </w:rPr>
        <w:t xml:space="preserve"> studijama, bilastin ne indukuje niti inhibira aktivnost izoenzima CYP450.</w:t>
      </w:r>
    </w:p>
    <w:p w14:paraId="186B36CB" w14:textId="77777777" w:rsidR="005731F0" w:rsidRPr="00220369" w:rsidRDefault="005731F0" w:rsidP="00E6784B">
      <w:pPr>
        <w:tabs>
          <w:tab w:val="left" w:pos="284"/>
        </w:tabs>
        <w:jc w:val="both"/>
        <w:rPr>
          <w:sz w:val="22"/>
          <w:szCs w:val="22"/>
          <w:lang w:val="sr-Latn-ME"/>
        </w:rPr>
      </w:pPr>
    </w:p>
    <w:p w14:paraId="6421CA42" w14:textId="77777777"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Eliminacija</w:t>
      </w:r>
    </w:p>
    <w:p w14:paraId="7F592EDF" w14:textId="7D33CE69" w:rsidR="005731F0" w:rsidRPr="00220369" w:rsidRDefault="005731F0" w:rsidP="00E6784B">
      <w:pPr>
        <w:autoSpaceDE w:val="0"/>
        <w:autoSpaceDN w:val="0"/>
        <w:adjustRightInd w:val="0"/>
        <w:jc w:val="both"/>
        <w:rPr>
          <w:sz w:val="22"/>
          <w:szCs w:val="22"/>
          <w:lang w:val="sr-Latn-ME"/>
        </w:rPr>
      </w:pPr>
      <w:r w:rsidRPr="00220369">
        <w:rPr>
          <w:rFonts w:eastAsia="TimesNewRoman"/>
          <w:sz w:val="22"/>
          <w:szCs w:val="22"/>
          <w:lang w:val="sr-Latn-ME"/>
        </w:rPr>
        <w:t xml:space="preserve">U </w:t>
      </w:r>
      <w:r w:rsidRPr="00220369">
        <w:rPr>
          <w:rFonts w:eastAsia="TimesNewRoman"/>
          <w:i/>
          <w:iCs/>
          <w:sz w:val="22"/>
          <w:szCs w:val="22"/>
          <w:lang w:val="sr-Latn-ME"/>
        </w:rPr>
        <w:t xml:space="preserve">mass balance </w:t>
      </w:r>
      <w:r w:rsidRPr="00220369">
        <w:rPr>
          <w:rFonts w:eastAsia="TimesNewRoman"/>
          <w:sz w:val="22"/>
          <w:szCs w:val="22"/>
          <w:lang w:val="sr-Latn-ME"/>
        </w:rPr>
        <w:t xml:space="preserve">studiji koja je sprovedena na zdravim dobrovoljcima, nakon primjene pojedinačne doze od 20 mg </w:t>
      </w:r>
      <w:r w:rsidRPr="00220369">
        <w:rPr>
          <w:rFonts w:eastAsia="TimesNewRoman"/>
          <w:sz w:val="22"/>
          <w:szCs w:val="22"/>
          <w:vertAlign w:val="superscript"/>
          <w:lang w:val="sr-Latn-ME"/>
        </w:rPr>
        <w:t>14</w:t>
      </w:r>
      <w:r w:rsidRPr="00220369">
        <w:rPr>
          <w:rFonts w:eastAsia="TimesNewRoman"/>
          <w:sz w:val="22"/>
          <w:szCs w:val="22"/>
          <w:lang w:val="sr-Latn-ME"/>
        </w:rPr>
        <w:t xml:space="preserve">C-bilastina, skoro 95% primijenjene doze je detektovano u urinu (28,3%) i fecesu (66,5%) kao nepromijenjen bilastin. Ovo potvrđuje da se bilastin ne metaboliše u značajnoj mjeri kod ljudi. </w:t>
      </w:r>
      <w:r w:rsidR="00316555" w:rsidRPr="00220369">
        <w:rPr>
          <w:rFonts w:eastAsia="TimesNewRoman"/>
          <w:sz w:val="22"/>
          <w:szCs w:val="22"/>
          <w:lang w:val="sr-Latn-ME"/>
        </w:rPr>
        <w:t>U sprovedenom ispitivanju bioekvivalence, izračunato s</w:t>
      </w:r>
      <w:r w:rsidRPr="00220369">
        <w:rPr>
          <w:rFonts w:eastAsia="TimesNewRoman"/>
          <w:sz w:val="22"/>
          <w:szCs w:val="22"/>
          <w:lang w:val="sr-Latn-ME"/>
        </w:rPr>
        <w:t>rednje poluvr</w:t>
      </w:r>
      <w:r w:rsidR="005525B8" w:rsidRPr="00220369">
        <w:rPr>
          <w:rFonts w:eastAsia="TimesNewRoman"/>
          <w:sz w:val="22"/>
          <w:szCs w:val="22"/>
          <w:lang w:val="sr-Latn-ME"/>
        </w:rPr>
        <w:t>ij</w:t>
      </w:r>
      <w:r w:rsidRPr="00220369">
        <w:rPr>
          <w:rFonts w:eastAsia="TimesNewRoman"/>
          <w:sz w:val="22"/>
          <w:szCs w:val="22"/>
          <w:lang w:val="sr-Latn-ME"/>
        </w:rPr>
        <w:t xml:space="preserve">eme eliminacije kod zdravih dobrovoljaca je bilo </w:t>
      </w:r>
      <w:r w:rsidR="00316555" w:rsidRPr="00220369">
        <w:rPr>
          <w:rFonts w:eastAsia="TimesNewRoman"/>
          <w:sz w:val="22"/>
          <w:szCs w:val="22"/>
          <w:lang w:val="sr-Latn-ME"/>
        </w:rPr>
        <w:t>približno 10</w:t>
      </w:r>
      <w:r w:rsidR="00AC74EB" w:rsidRPr="00220369">
        <w:rPr>
          <w:rFonts w:eastAsia="TimesNewRoman"/>
          <w:sz w:val="22"/>
          <w:szCs w:val="22"/>
          <w:lang w:val="sr-Latn-ME"/>
        </w:rPr>
        <w:t xml:space="preserve"> </w:t>
      </w:r>
      <w:r w:rsidRPr="00220369">
        <w:rPr>
          <w:rFonts w:eastAsia="TimesNewRoman"/>
          <w:sz w:val="22"/>
          <w:szCs w:val="22"/>
          <w:lang w:val="sr-Latn-ME"/>
        </w:rPr>
        <w:t>sati.</w:t>
      </w:r>
    </w:p>
    <w:p w14:paraId="1B682C9B" w14:textId="77777777" w:rsidR="005731F0" w:rsidRPr="00220369" w:rsidRDefault="005731F0" w:rsidP="00E6784B">
      <w:pPr>
        <w:tabs>
          <w:tab w:val="left" w:pos="284"/>
        </w:tabs>
        <w:jc w:val="both"/>
        <w:rPr>
          <w:sz w:val="22"/>
          <w:szCs w:val="22"/>
          <w:lang w:val="sr-Latn-ME"/>
        </w:rPr>
      </w:pPr>
    </w:p>
    <w:p w14:paraId="0683F913" w14:textId="4D8DE5A4"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Linearnost</w:t>
      </w:r>
    </w:p>
    <w:p w14:paraId="0FF6FB50" w14:textId="57AF925A" w:rsidR="005731F0" w:rsidRPr="00220369" w:rsidRDefault="005731F0" w:rsidP="00E6784B">
      <w:pPr>
        <w:autoSpaceDE w:val="0"/>
        <w:autoSpaceDN w:val="0"/>
        <w:adjustRightInd w:val="0"/>
        <w:jc w:val="both"/>
        <w:rPr>
          <w:sz w:val="22"/>
          <w:szCs w:val="22"/>
          <w:lang w:val="sr-Latn-ME"/>
        </w:rPr>
      </w:pPr>
      <w:r w:rsidRPr="00220369">
        <w:rPr>
          <w:rFonts w:eastAsia="TimesNewRoman"/>
          <w:sz w:val="22"/>
          <w:szCs w:val="22"/>
          <w:lang w:val="sr-Latn-ME"/>
        </w:rPr>
        <w:t>Bilastin ispoljava linearnu farmakokinetiku u ispitivanom opsegu doza od 5 do 220 mg, sa slabom interindividu</w:t>
      </w:r>
      <w:r w:rsidR="005525B8" w:rsidRPr="00220369">
        <w:rPr>
          <w:rFonts w:eastAsia="TimesNewRoman"/>
          <w:sz w:val="22"/>
          <w:szCs w:val="22"/>
          <w:lang w:val="sr-Latn-ME"/>
        </w:rPr>
        <w:t>a</w:t>
      </w:r>
      <w:r w:rsidRPr="00220369">
        <w:rPr>
          <w:rFonts w:eastAsia="TimesNewRoman"/>
          <w:sz w:val="22"/>
          <w:szCs w:val="22"/>
          <w:lang w:val="sr-Latn-ME"/>
        </w:rPr>
        <w:t>lnom varijabilnošću.</w:t>
      </w:r>
    </w:p>
    <w:p w14:paraId="1113E264" w14:textId="77777777" w:rsidR="005731F0" w:rsidRPr="00220369" w:rsidRDefault="005731F0" w:rsidP="00E6784B">
      <w:pPr>
        <w:tabs>
          <w:tab w:val="left" w:pos="284"/>
        </w:tabs>
        <w:jc w:val="both"/>
        <w:rPr>
          <w:sz w:val="22"/>
          <w:szCs w:val="22"/>
          <w:lang w:val="sr-Latn-ME"/>
        </w:rPr>
      </w:pPr>
    </w:p>
    <w:p w14:paraId="42E0BDE4" w14:textId="77777777"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Bubrežna insuficijencija</w:t>
      </w:r>
    </w:p>
    <w:p w14:paraId="42E1AA12" w14:textId="058E755E" w:rsidR="005731F0" w:rsidRPr="00220369" w:rsidRDefault="005731F0" w:rsidP="00E6784B">
      <w:pPr>
        <w:tabs>
          <w:tab w:val="left" w:pos="284"/>
        </w:tabs>
        <w:jc w:val="both"/>
        <w:rPr>
          <w:sz w:val="22"/>
          <w:szCs w:val="22"/>
          <w:lang w:val="sr-Latn-ME"/>
        </w:rPr>
      </w:pPr>
      <w:r w:rsidRPr="00220369">
        <w:rPr>
          <w:rFonts w:eastAsia="TimesNewRoman"/>
          <w:sz w:val="22"/>
          <w:szCs w:val="22"/>
          <w:lang w:val="sr-Latn-ME"/>
        </w:rPr>
        <w:t>U studiji kod ispitanika sa bubrežnom insuficijencijom, srednja vrijednost PIK0-∞ je povećana sa 737,4 (±260,8)</w:t>
      </w:r>
      <w:r w:rsidRPr="00220369">
        <w:rPr>
          <w:sz w:val="22"/>
          <w:szCs w:val="22"/>
          <w:lang w:val="sr-Latn-ME"/>
        </w:rPr>
        <w:t xml:space="preserve"> ng x h/mL kod ispitanika bez insuficijencije (engl.Glomerular filtration rate, GFR: &gt; 80 mL/min/1,73 m2) na: 967,4 (±140,2) ng x h/mL kod ispitanika sa blagom insuficijencijom (GFR: 50-80 mL/min/1,73 m2); </w:t>
      </w:r>
      <w:r w:rsidR="00316555" w:rsidRPr="00220369">
        <w:rPr>
          <w:sz w:val="22"/>
          <w:szCs w:val="22"/>
          <w:lang w:val="sr-Latn-ME"/>
        </w:rPr>
        <w:t xml:space="preserve">na </w:t>
      </w:r>
      <w:r w:rsidRPr="00220369">
        <w:rPr>
          <w:sz w:val="22"/>
          <w:szCs w:val="22"/>
          <w:lang w:val="sr-Latn-ME"/>
        </w:rPr>
        <w:t xml:space="preserve">1384,2 (±263,23) ng x h/mL kod ispitanika sa umjerenom insuficijencijom (GFR: </w:t>
      </w:r>
      <w:r w:rsidRPr="00220369">
        <w:rPr>
          <w:sz w:val="22"/>
          <w:szCs w:val="22"/>
          <w:lang w:val="sr-Latn-ME"/>
        </w:rPr>
        <w:lastRenderedPageBreak/>
        <w:t xml:space="preserve">30 - </w:t>
      </w:r>
      <w:r w:rsidR="00316555" w:rsidRPr="00220369">
        <w:rPr>
          <w:sz w:val="22"/>
          <w:szCs w:val="22"/>
          <w:lang w:val="sr-Latn-ME"/>
        </w:rPr>
        <w:t>&lt;</w:t>
      </w:r>
      <w:r w:rsidRPr="00220369">
        <w:rPr>
          <w:sz w:val="22"/>
          <w:szCs w:val="22"/>
          <w:lang w:val="sr-Latn-ME"/>
        </w:rPr>
        <w:t>50 mL/min/1,73m2) i 1708,5 (±699,0) ng x h/mL kod ispitanika sa teškom insuficijencijom (GFR: &lt; 30 mL/min/1,73 m2). Srednje poluvrijeme eliminacije bilastina (±SD) je bilo 9,3 h (± 2,8) kod ispitanika bez insuficijencije; 15,1 h (± 7,7), kod ispitanika sa blagom insuficijencijom; 10,5 h (± 2,3) kod ispitanika sa umjerenom insuficijencijom; i 18,4 h (± 11,4) kod ispitanika sa teškom insuficijencijom.</w:t>
      </w:r>
    </w:p>
    <w:p w14:paraId="66465100" w14:textId="0E242DAC" w:rsidR="005731F0" w:rsidRPr="00220369" w:rsidRDefault="005731F0" w:rsidP="00E6784B">
      <w:pPr>
        <w:tabs>
          <w:tab w:val="left" w:pos="284"/>
        </w:tabs>
        <w:jc w:val="both"/>
        <w:rPr>
          <w:sz w:val="22"/>
          <w:szCs w:val="22"/>
          <w:lang w:val="sr-Latn-ME"/>
        </w:rPr>
      </w:pPr>
      <w:r w:rsidRPr="00220369">
        <w:rPr>
          <w:sz w:val="22"/>
          <w:szCs w:val="22"/>
          <w:lang w:val="sr-Latn-ME"/>
        </w:rPr>
        <w:t>Izlučivanje bilastina putem urina je bilo kompletno nakon 48 -72 h kod svih ispitanika. Ne očekuje se da ove farmakokinetičke promjene imaju klinički značajan uticaj na bezbjednost bilastina, jer su vrijednosti bilastina u plazmi kod pacijenata sa bubrežnim oštećenjem i dalje u granicama bezb</w:t>
      </w:r>
      <w:r w:rsidR="005525B8" w:rsidRPr="00220369">
        <w:rPr>
          <w:sz w:val="22"/>
          <w:szCs w:val="22"/>
          <w:lang w:val="sr-Latn-ME"/>
        </w:rPr>
        <w:t>j</w:t>
      </w:r>
      <w:r w:rsidRPr="00220369">
        <w:rPr>
          <w:sz w:val="22"/>
          <w:szCs w:val="22"/>
          <w:lang w:val="sr-Latn-ME"/>
        </w:rPr>
        <w:t>ednih.</w:t>
      </w:r>
    </w:p>
    <w:p w14:paraId="329E4C63" w14:textId="77777777" w:rsidR="005731F0" w:rsidRPr="00220369" w:rsidRDefault="005731F0" w:rsidP="00E6784B">
      <w:pPr>
        <w:tabs>
          <w:tab w:val="left" w:pos="284"/>
        </w:tabs>
        <w:jc w:val="both"/>
        <w:rPr>
          <w:sz w:val="22"/>
          <w:szCs w:val="22"/>
          <w:lang w:val="sr-Latn-ME"/>
        </w:rPr>
      </w:pPr>
    </w:p>
    <w:p w14:paraId="7DE52E34" w14:textId="77777777"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Insuficijencija jetre</w:t>
      </w:r>
    </w:p>
    <w:p w14:paraId="5C2A8297" w14:textId="43917B0B" w:rsidR="005731F0" w:rsidRPr="00220369" w:rsidRDefault="005731F0" w:rsidP="00E6784B">
      <w:pPr>
        <w:autoSpaceDE w:val="0"/>
        <w:autoSpaceDN w:val="0"/>
        <w:adjustRightInd w:val="0"/>
        <w:jc w:val="both"/>
        <w:rPr>
          <w:sz w:val="22"/>
          <w:szCs w:val="22"/>
          <w:lang w:val="sr-Latn-ME"/>
        </w:rPr>
      </w:pPr>
      <w:r w:rsidRPr="00220369">
        <w:rPr>
          <w:rFonts w:eastAsia="TimesNewRoman"/>
          <w:sz w:val="22"/>
          <w:szCs w:val="22"/>
          <w:lang w:val="sr-Latn-ME"/>
        </w:rPr>
        <w:t>Nema podataka o farmakokinetici kod pacijenata sa insuficijencijom jetre. Bilastin se kod ljudi ne metaboliše. Budući da rezultati studija kod pacijenata sa oštećenjem funkcije bubrega ukazuju na</w:t>
      </w:r>
      <w:r w:rsidR="00316555" w:rsidRPr="00220369">
        <w:rPr>
          <w:rFonts w:eastAsia="TimesNewRoman"/>
          <w:sz w:val="22"/>
          <w:szCs w:val="22"/>
          <w:lang w:val="sr-Latn-ME"/>
        </w:rPr>
        <w:t xml:space="preserve"> to da je</w:t>
      </w:r>
      <w:r w:rsidRPr="00220369">
        <w:rPr>
          <w:rFonts w:eastAsia="TimesNewRoman"/>
          <w:sz w:val="22"/>
          <w:szCs w:val="22"/>
          <w:lang w:val="sr-Latn-ME"/>
        </w:rPr>
        <w:t xml:space="preserve"> eliminacij</w:t>
      </w:r>
      <w:r w:rsidR="00316555" w:rsidRPr="00220369">
        <w:rPr>
          <w:rFonts w:eastAsia="TimesNewRoman"/>
          <w:sz w:val="22"/>
          <w:szCs w:val="22"/>
          <w:lang w:val="sr-Latn-ME"/>
        </w:rPr>
        <w:t>a</w:t>
      </w:r>
      <w:r w:rsidRPr="00220369">
        <w:rPr>
          <w:rFonts w:eastAsia="TimesNewRoman"/>
          <w:sz w:val="22"/>
          <w:szCs w:val="22"/>
          <w:lang w:val="sr-Latn-ME"/>
        </w:rPr>
        <w:t xml:space="preserve"> lijeka putem bubrega</w:t>
      </w:r>
      <w:r w:rsidR="00316555" w:rsidRPr="00220369">
        <w:rPr>
          <w:rFonts w:eastAsia="TimesNewRoman"/>
          <w:sz w:val="22"/>
          <w:szCs w:val="22"/>
          <w:lang w:val="sr-Latn-ME"/>
        </w:rPr>
        <w:t xml:space="preserve"> glavni put eliminacije</w:t>
      </w:r>
      <w:r w:rsidRPr="00220369">
        <w:rPr>
          <w:rFonts w:eastAsia="TimesNewRoman"/>
          <w:sz w:val="22"/>
          <w:szCs w:val="22"/>
          <w:lang w:val="sr-Latn-ME"/>
        </w:rPr>
        <w:t>, očekuje se da je ekskrecija putem žuči neznatno uključena u eliminacij</w:t>
      </w:r>
      <w:r w:rsidR="00316555" w:rsidRPr="00220369">
        <w:rPr>
          <w:rFonts w:eastAsia="TimesNewRoman"/>
          <w:sz w:val="22"/>
          <w:szCs w:val="22"/>
          <w:lang w:val="sr-Latn-ME"/>
        </w:rPr>
        <w:t>u</w:t>
      </w:r>
      <w:r w:rsidRPr="00220369">
        <w:rPr>
          <w:rFonts w:eastAsia="TimesNewRoman"/>
          <w:sz w:val="22"/>
          <w:szCs w:val="22"/>
          <w:lang w:val="sr-Latn-ME"/>
        </w:rPr>
        <w:t xml:space="preserve"> bilastina. Ne očekuje se da promjene u funkciji jetre imaju klinički značajan uticaj na farmakokinetiku bilastina.</w:t>
      </w:r>
    </w:p>
    <w:p w14:paraId="65E0C4E1" w14:textId="77777777" w:rsidR="005731F0" w:rsidRPr="00220369" w:rsidRDefault="005731F0" w:rsidP="00E6784B">
      <w:pPr>
        <w:tabs>
          <w:tab w:val="left" w:pos="284"/>
        </w:tabs>
        <w:jc w:val="both"/>
        <w:rPr>
          <w:sz w:val="22"/>
          <w:szCs w:val="22"/>
          <w:lang w:val="sr-Latn-ME"/>
        </w:rPr>
      </w:pPr>
    </w:p>
    <w:p w14:paraId="7AEDC666" w14:textId="77777777"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Stariji pacijenti</w:t>
      </w:r>
    </w:p>
    <w:p w14:paraId="0EE12F05" w14:textId="3F2A3EA5" w:rsidR="005731F0" w:rsidRPr="00220369" w:rsidRDefault="005731F0" w:rsidP="00E6784B">
      <w:pPr>
        <w:tabs>
          <w:tab w:val="left" w:pos="284"/>
        </w:tabs>
        <w:jc w:val="both"/>
        <w:rPr>
          <w:sz w:val="22"/>
          <w:szCs w:val="22"/>
          <w:lang w:val="sr-Latn-ME"/>
        </w:rPr>
      </w:pPr>
      <w:r w:rsidRPr="00220369">
        <w:rPr>
          <w:sz w:val="22"/>
          <w:szCs w:val="22"/>
          <w:lang w:val="sr-Latn-ME"/>
        </w:rPr>
        <w:t>Farmakokinetički podaci koji se odnose na ispitanike starije od 65 godina su ograničeni. Nema statistički značajnih razlika u pogledu farmakokinetike bilastina kod osoba starijih od 65 godina u poređenju sa odraslim ispitanicima starosti izme</w:t>
      </w:r>
      <w:r w:rsidR="005525B8" w:rsidRPr="00220369">
        <w:rPr>
          <w:sz w:val="22"/>
          <w:szCs w:val="22"/>
          <w:lang w:val="sr-Latn-ME"/>
        </w:rPr>
        <w:t>đ</w:t>
      </w:r>
      <w:r w:rsidRPr="00220369">
        <w:rPr>
          <w:sz w:val="22"/>
          <w:szCs w:val="22"/>
          <w:lang w:val="sr-Latn-ME"/>
        </w:rPr>
        <w:t>u 18 i 35 godina.</w:t>
      </w:r>
    </w:p>
    <w:p w14:paraId="6FD57EF2" w14:textId="77777777" w:rsidR="005731F0" w:rsidRPr="00220369" w:rsidRDefault="005731F0" w:rsidP="00E6784B">
      <w:pPr>
        <w:tabs>
          <w:tab w:val="left" w:pos="284"/>
        </w:tabs>
        <w:jc w:val="both"/>
        <w:rPr>
          <w:sz w:val="22"/>
          <w:szCs w:val="22"/>
          <w:lang w:val="sr-Latn-ME"/>
        </w:rPr>
      </w:pPr>
    </w:p>
    <w:p w14:paraId="6C740997" w14:textId="77777777" w:rsidR="005731F0" w:rsidRPr="00220369" w:rsidRDefault="005731F0" w:rsidP="00E6784B">
      <w:pPr>
        <w:tabs>
          <w:tab w:val="left" w:pos="284"/>
        </w:tabs>
        <w:jc w:val="both"/>
        <w:rPr>
          <w:sz w:val="22"/>
          <w:szCs w:val="22"/>
          <w:u w:val="single"/>
          <w:lang w:val="sr-Latn-ME"/>
        </w:rPr>
      </w:pPr>
      <w:r w:rsidRPr="00220369">
        <w:rPr>
          <w:sz w:val="22"/>
          <w:szCs w:val="22"/>
          <w:u w:val="single"/>
          <w:lang w:val="sr-Latn-ME"/>
        </w:rPr>
        <w:t>Pedijatrijska populacija</w:t>
      </w:r>
    </w:p>
    <w:p w14:paraId="46DDBF45" w14:textId="35E9DAF0" w:rsidR="005731F0" w:rsidRPr="00220369" w:rsidRDefault="005731F0" w:rsidP="00E6784B">
      <w:pPr>
        <w:tabs>
          <w:tab w:val="left" w:pos="284"/>
        </w:tabs>
        <w:jc w:val="both"/>
        <w:rPr>
          <w:sz w:val="22"/>
          <w:szCs w:val="22"/>
          <w:lang w:val="sr-Latn-ME"/>
        </w:rPr>
      </w:pPr>
      <w:r w:rsidRPr="00220369">
        <w:rPr>
          <w:sz w:val="22"/>
          <w:szCs w:val="22"/>
          <w:lang w:val="sr-Latn-ME"/>
        </w:rPr>
        <w:t>Ne postoje raspoloživi podaci o farmakokinetici kod adolescenata (uzrasta od 12 do 17 godina), s obzirom da</w:t>
      </w:r>
      <w:r w:rsidR="00AC74EB" w:rsidRPr="00220369">
        <w:rPr>
          <w:sz w:val="22"/>
          <w:szCs w:val="22"/>
          <w:lang w:val="sr-Latn-ME"/>
        </w:rPr>
        <w:t xml:space="preserve"> </w:t>
      </w:r>
      <w:r w:rsidRPr="00220369">
        <w:rPr>
          <w:sz w:val="22"/>
          <w:szCs w:val="22"/>
          <w:lang w:val="sr-Latn-ME"/>
        </w:rPr>
        <w:t xml:space="preserve">se podaci koji se odnose na odrasle osobe mogu primijeniti i u ovoj populaciji. </w:t>
      </w:r>
    </w:p>
    <w:p w14:paraId="43FF8CA3" w14:textId="77777777" w:rsidR="005731F0" w:rsidRPr="00220369" w:rsidRDefault="005731F0" w:rsidP="00E6784B">
      <w:pPr>
        <w:tabs>
          <w:tab w:val="left" w:pos="284"/>
        </w:tabs>
        <w:jc w:val="both"/>
        <w:rPr>
          <w:sz w:val="22"/>
          <w:szCs w:val="22"/>
          <w:lang w:val="sr-Latn-ME"/>
        </w:rPr>
      </w:pPr>
    </w:p>
    <w:p w14:paraId="3DC32980" w14:textId="4E85969F" w:rsidR="005731F0" w:rsidRPr="00220369" w:rsidRDefault="005731F0" w:rsidP="00E6784B">
      <w:pPr>
        <w:tabs>
          <w:tab w:val="left" w:pos="284"/>
        </w:tabs>
        <w:jc w:val="both"/>
        <w:rPr>
          <w:sz w:val="22"/>
          <w:szCs w:val="22"/>
          <w:lang w:val="sr-Latn-ME"/>
        </w:rPr>
      </w:pPr>
      <w:r w:rsidRPr="00220369">
        <w:rPr>
          <w:sz w:val="22"/>
          <w:szCs w:val="22"/>
          <w:lang w:val="sr-Latn-ME"/>
        </w:rPr>
        <w:t>Farmakokinetički podaci u pedijatrijskoj populaciji su prikupljeni u fazi II farmakokinetičkih studija. Studija je uključila 31 dijete uzrasta od 4 do 11 godina sa alergijskim rinokonju</w:t>
      </w:r>
      <w:r w:rsidR="00035D8E" w:rsidRPr="00220369">
        <w:rPr>
          <w:sz w:val="22"/>
          <w:szCs w:val="22"/>
          <w:lang w:val="sr-Latn-ME"/>
        </w:rPr>
        <w:t>n</w:t>
      </w:r>
      <w:r w:rsidRPr="00220369">
        <w:rPr>
          <w:sz w:val="22"/>
          <w:szCs w:val="22"/>
          <w:lang w:val="sr-Latn-ME"/>
        </w:rPr>
        <w:t xml:space="preserve">ktivitisom ili hroničnom urtikarijom koje je primalo 10 mg bilastina, jednom dnevno, u obliku orodisperzibilnih tableta. Farmakokinetička analiza podataka o plazma koncentraciji je pokazala da pedijatrijska doza od 10 mg bilastina jednom dnevno dovodi do sistemske izloženosti koja je ekvivalentna dozi od 20 mg kod odraslih i adolescenata. Kod djece uzrasta od 6 do 11 godina srednja vrijednost PIKa iznosila je 1014 ng* x h/mL. Ovi rezultati su bili značajno ispod bezbjednosne granice na osnovu podataka baziranih na primjeni 80 mg jednom dnevno kod odraslih. Ovi rezultati su potvrdili izbor 10 mg bilastina jednom dnevno kao odgovarajuću terapijsku dozu za pedijatrijsku populaciju uzrasta od 6 do 11 godina sa tjelesnom </w:t>
      </w:r>
      <w:r w:rsidR="00AC74EB" w:rsidRPr="00220369">
        <w:rPr>
          <w:sz w:val="22"/>
          <w:szCs w:val="22"/>
          <w:lang w:val="sr-Latn-ME"/>
        </w:rPr>
        <w:t xml:space="preserve">težinom </w:t>
      </w:r>
      <w:r w:rsidRPr="00220369">
        <w:rPr>
          <w:sz w:val="22"/>
          <w:szCs w:val="22"/>
          <w:lang w:val="sr-Latn-ME"/>
        </w:rPr>
        <w:t xml:space="preserve">preko 20 kg. </w:t>
      </w:r>
    </w:p>
    <w:p w14:paraId="6DA6B790" w14:textId="77777777" w:rsidR="0072020E" w:rsidRPr="00220369" w:rsidRDefault="0072020E" w:rsidP="00E6784B">
      <w:pPr>
        <w:tabs>
          <w:tab w:val="left" w:pos="540"/>
          <w:tab w:val="left" w:pos="569"/>
        </w:tabs>
        <w:jc w:val="both"/>
        <w:rPr>
          <w:bCs/>
          <w:sz w:val="22"/>
          <w:szCs w:val="22"/>
          <w:lang w:val="sr-Latn-ME"/>
        </w:rPr>
      </w:pPr>
    </w:p>
    <w:p w14:paraId="2FDCF96A" w14:textId="77777777" w:rsidR="0072020E" w:rsidRPr="00220369" w:rsidRDefault="0072020E" w:rsidP="00E6784B">
      <w:pPr>
        <w:tabs>
          <w:tab w:val="left" w:pos="540"/>
          <w:tab w:val="left" w:pos="569"/>
        </w:tabs>
        <w:jc w:val="both"/>
        <w:rPr>
          <w:b/>
          <w:bCs/>
          <w:sz w:val="22"/>
          <w:szCs w:val="22"/>
          <w:lang w:val="sr-Latn-ME"/>
        </w:rPr>
      </w:pPr>
      <w:r w:rsidRPr="00220369">
        <w:rPr>
          <w:b/>
          <w:bCs/>
          <w:sz w:val="22"/>
          <w:szCs w:val="22"/>
          <w:lang w:val="sr-Latn-ME"/>
        </w:rPr>
        <w:t xml:space="preserve">5.3. </w:t>
      </w:r>
      <w:r w:rsidR="00480FB1" w:rsidRPr="00220369">
        <w:rPr>
          <w:b/>
          <w:bCs/>
          <w:sz w:val="22"/>
          <w:szCs w:val="22"/>
          <w:lang w:val="sr-Latn-ME"/>
        </w:rPr>
        <w:tab/>
      </w:r>
      <w:r w:rsidRPr="00220369">
        <w:rPr>
          <w:b/>
          <w:bCs/>
          <w:sz w:val="22"/>
          <w:szCs w:val="22"/>
          <w:lang w:val="sr-Latn-ME"/>
        </w:rPr>
        <w:t xml:space="preserve">Pretklinički podaci o bezbjednosti </w:t>
      </w:r>
    </w:p>
    <w:p w14:paraId="13C69901" w14:textId="77777777" w:rsidR="005731F0" w:rsidRPr="00220369" w:rsidRDefault="005731F0" w:rsidP="00E6784B">
      <w:pPr>
        <w:tabs>
          <w:tab w:val="left" w:pos="284"/>
        </w:tabs>
        <w:jc w:val="both"/>
        <w:rPr>
          <w:sz w:val="22"/>
          <w:szCs w:val="22"/>
          <w:lang w:val="sr-Latn-ME"/>
        </w:rPr>
      </w:pPr>
      <w:r w:rsidRPr="00220369">
        <w:rPr>
          <w:sz w:val="22"/>
          <w:szCs w:val="22"/>
          <w:lang w:val="sr-Latn-ME"/>
        </w:rPr>
        <w:t xml:space="preserve">Pretklinički podaci o bilastinu, koji se zasnivaju na konvencionalnim studijama bezbjednosti, toksičnosti ponovljene doze, genotoksičnosti i karcinogenom potencijalu, ukazuju da nema posebnog rizika za ljude. </w:t>
      </w:r>
    </w:p>
    <w:p w14:paraId="44E86A58" w14:textId="77777777" w:rsidR="005731F0" w:rsidRPr="00220369" w:rsidRDefault="005731F0" w:rsidP="00E6784B">
      <w:pPr>
        <w:tabs>
          <w:tab w:val="left" w:pos="284"/>
        </w:tabs>
        <w:jc w:val="both"/>
        <w:rPr>
          <w:sz w:val="22"/>
          <w:szCs w:val="22"/>
          <w:lang w:val="sr-Latn-ME"/>
        </w:rPr>
      </w:pPr>
    </w:p>
    <w:p w14:paraId="2344878A" w14:textId="77777777" w:rsidR="005731F0" w:rsidRPr="00220369" w:rsidRDefault="005731F0" w:rsidP="00E6784B">
      <w:pPr>
        <w:tabs>
          <w:tab w:val="left" w:pos="284"/>
        </w:tabs>
        <w:jc w:val="both"/>
        <w:rPr>
          <w:sz w:val="22"/>
          <w:szCs w:val="22"/>
          <w:lang w:val="sr-Latn-ME"/>
        </w:rPr>
      </w:pPr>
      <w:r w:rsidRPr="00220369">
        <w:rPr>
          <w:sz w:val="22"/>
          <w:szCs w:val="22"/>
          <w:lang w:val="sr-Latn-ME"/>
        </w:rPr>
        <w:t xml:space="preserve">U studijama reproduktivne toksičnosti, efekti bilastina na fetus (pre- i post- implantacioni gubitak kod pacova i nekompletna osifikacija kostiju lobanje, grudne kosti i udova kod kunića) bili su primijećeni samo pri primjeni toksičnih doza za majku. </w:t>
      </w:r>
    </w:p>
    <w:p w14:paraId="17107D3F" w14:textId="77777777" w:rsidR="005731F0" w:rsidRPr="00220369" w:rsidRDefault="005731F0" w:rsidP="00E6784B">
      <w:pPr>
        <w:tabs>
          <w:tab w:val="left" w:pos="284"/>
        </w:tabs>
        <w:jc w:val="both"/>
        <w:rPr>
          <w:sz w:val="22"/>
          <w:szCs w:val="22"/>
          <w:lang w:val="sr-Latn-ME"/>
        </w:rPr>
      </w:pPr>
    </w:p>
    <w:p w14:paraId="6EA191A1" w14:textId="77777777" w:rsidR="005731F0" w:rsidRPr="00220369" w:rsidRDefault="005731F0" w:rsidP="00E6784B">
      <w:pPr>
        <w:tabs>
          <w:tab w:val="left" w:pos="284"/>
        </w:tabs>
        <w:jc w:val="both"/>
        <w:rPr>
          <w:sz w:val="22"/>
          <w:szCs w:val="22"/>
          <w:lang w:val="sr-Latn-ME"/>
        </w:rPr>
      </w:pPr>
      <w:r w:rsidRPr="00220369">
        <w:rPr>
          <w:sz w:val="22"/>
          <w:szCs w:val="22"/>
          <w:lang w:val="sr-Latn-ME"/>
        </w:rPr>
        <w:t>Nivo izloženosti lijeku pri kome nije bilo povećanja učestalosti ispoljavanja ili težine neželjenih efekata (NOAEL) veći je 30 puta od terapijske doze za primjenu kod ljudi.</w:t>
      </w:r>
    </w:p>
    <w:p w14:paraId="475CD316" w14:textId="77777777" w:rsidR="005731F0" w:rsidRPr="00220369" w:rsidRDefault="005731F0" w:rsidP="00E6784B">
      <w:pPr>
        <w:tabs>
          <w:tab w:val="left" w:pos="284"/>
        </w:tabs>
        <w:jc w:val="both"/>
        <w:rPr>
          <w:sz w:val="22"/>
          <w:szCs w:val="22"/>
          <w:lang w:val="sr-Latn-ME"/>
        </w:rPr>
      </w:pPr>
    </w:p>
    <w:p w14:paraId="4F1AC7BC" w14:textId="1BC8759C" w:rsidR="005731F0" w:rsidRPr="00220369" w:rsidRDefault="005731F0" w:rsidP="00E6784B">
      <w:pPr>
        <w:tabs>
          <w:tab w:val="left" w:pos="284"/>
        </w:tabs>
        <w:jc w:val="both"/>
        <w:rPr>
          <w:sz w:val="22"/>
          <w:szCs w:val="22"/>
          <w:lang w:val="sr-Latn-ME"/>
        </w:rPr>
      </w:pPr>
      <w:r w:rsidRPr="00220369">
        <w:rPr>
          <w:sz w:val="22"/>
          <w:szCs w:val="22"/>
          <w:lang w:val="sr-Latn-ME"/>
        </w:rPr>
        <w:t xml:space="preserve">U ispitivanju </w:t>
      </w:r>
      <w:r w:rsidR="00926F13" w:rsidRPr="00220369">
        <w:rPr>
          <w:sz w:val="22"/>
          <w:szCs w:val="22"/>
          <w:lang w:val="sr-Latn-ME"/>
        </w:rPr>
        <w:t xml:space="preserve">uticaja na </w:t>
      </w:r>
      <w:r w:rsidRPr="00220369">
        <w:rPr>
          <w:sz w:val="22"/>
          <w:szCs w:val="22"/>
          <w:lang w:val="sr-Latn-ME"/>
        </w:rPr>
        <w:t xml:space="preserve"> dojenj</w:t>
      </w:r>
      <w:r w:rsidR="00926F13" w:rsidRPr="00220369">
        <w:rPr>
          <w:sz w:val="22"/>
          <w:szCs w:val="22"/>
          <w:lang w:val="sr-Latn-ME"/>
        </w:rPr>
        <w:t>e</w:t>
      </w:r>
      <w:r w:rsidRPr="00220369">
        <w:rPr>
          <w:sz w:val="22"/>
          <w:szCs w:val="22"/>
          <w:lang w:val="sr-Latn-ME"/>
        </w:rPr>
        <w:t>, bilastin je identifikovan u mlijeku pacova u laktaciji kojima je primijenjena pojedinačna oralna doza (20 mg/kg). Koncentracije bilastina u mlijeku bile su otprilike jednake polovini koncentracija u majčinoj plazmi. Značaj ovih rezultata kod ljudi nije poznat.</w:t>
      </w:r>
    </w:p>
    <w:p w14:paraId="516D61D8" w14:textId="77777777" w:rsidR="005731F0" w:rsidRPr="00220369" w:rsidRDefault="005731F0" w:rsidP="00E6784B">
      <w:pPr>
        <w:tabs>
          <w:tab w:val="left" w:pos="284"/>
        </w:tabs>
        <w:jc w:val="both"/>
        <w:rPr>
          <w:sz w:val="22"/>
          <w:szCs w:val="22"/>
          <w:lang w:val="sr-Latn-ME"/>
        </w:rPr>
      </w:pPr>
    </w:p>
    <w:p w14:paraId="6C4F808B" w14:textId="77777777" w:rsidR="005731F0" w:rsidRPr="00220369" w:rsidRDefault="005731F0" w:rsidP="00E6784B">
      <w:pPr>
        <w:tabs>
          <w:tab w:val="left" w:pos="284"/>
        </w:tabs>
        <w:jc w:val="both"/>
        <w:rPr>
          <w:sz w:val="22"/>
          <w:szCs w:val="22"/>
          <w:lang w:val="sr-Latn-ME"/>
        </w:rPr>
      </w:pPr>
      <w:r w:rsidRPr="00220369">
        <w:rPr>
          <w:sz w:val="22"/>
          <w:szCs w:val="22"/>
          <w:lang w:val="sr-Latn-ME"/>
        </w:rPr>
        <w:t xml:space="preserve">U studijama plodnosti na pacovima, oralna doza bilastina do 1000 mg/kg/dan nije imala uticaja na ženske i muške reproduktivne organe. Parenje, plodnost i bremenitost nijesu bili ugroženi. </w:t>
      </w:r>
    </w:p>
    <w:p w14:paraId="410355F9" w14:textId="77777777" w:rsidR="005731F0" w:rsidRPr="00220369" w:rsidRDefault="005731F0" w:rsidP="00E6784B">
      <w:pPr>
        <w:tabs>
          <w:tab w:val="left" w:pos="284"/>
        </w:tabs>
        <w:jc w:val="both"/>
        <w:rPr>
          <w:sz w:val="22"/>
          <w:szCs w:val="22"/>
          <w:lang w:val="sr-Latn-ME"/>
        </w:rPr>
      </w:pPr>
    </w:p>
    <w:p w14:paraId="38060680" w14:textId="77777777" w:rsidR="005731F0" w:rsidRPr="00220369" w:rsidRDefault="005731F0" w:rsidP="00E6784B">
      <w:pPr>
        <w:tabs>
          <w:tab w:val="left" w:pos="284"/>
        </w:tabs>
        <w:jc w:val="both"/>
        <w:rPr>
          <w:sz w:val="22"/>
          <w:szCs w:val="22"/>
          <w:lang w:val="sr-Latn-ME"/>
        </w:rPr>
      </w:pPr>
      <w:r w:rsidRPr="00220369">
        <w:rPr>
          <w:sz w:val="22"/>
          <w:szCs w:val="22"/>
          <w:lang w:val="sr-Latn-ME"/>
        </w:rPr>
        <w:t>Na osnovu podataka studije distribucije kod pacova kod kojih je koncentracija lijeka utvrđivana autoradiografijom, bilastin se ne akumulira u CNS-u.</w:t>
      </w:r>
    </w:p>
    <w:p w14:paraId="26793D5D" w14:textId="77777777" w:rsidR="0072020E" w:rsidRPr="00220369" w:rsidRDefault="0072020E" w:rsidP="00E6784B">
      <w:pPr>
        <w:tabs>
          <w:tab w:val="left" w:pos="540"/>
          <w:tab w:val="left" w:pos="569"/>
        </w:tabs>
        <w:jc w:val="both"/>
        <w:rPr>
          <w:b/>
          <w:bCs/>
          <w:sz w:val="22"/>
          <w:szCs w:val="22"/>
          <w:lang w:val="sr-Latn-ME"/>
        </w:rPr>
      </w:pPr>
      <w:r w:rsidRPr="00220369">
        <w:rPr>
          <w:b/>
          <w:bCs/>
          <w:sz w:val="22"/>
          <w:szCs w:val="22"/>
          <w:lang w:val="sr-Latn-ME"/>
        </w:rPr>
        <w:lastRenderedPageBreak/>
        <w:t xml:space="preserve">6. </w:t>
      </w:r>
      <w:r w:rsidR="00480FB1" w:rsidRPr="00220369">
        <w:rPr>
          <w:b/>
          <w:bCs/>
          <w:sz w:val="22"/>
          <w:szCs w:val="22"/>
          <w:lang w:val="sr-Latn-ME"/>
        </w:rPr>
        <w:tab/>
      </w:r>
      <w:r w:rsidRPr="00220369">
        <w:rPr>
          <w:b/>
          <w:bCs/>
          <w:sz w:val="22"/>
          <w:szCs w:val="22"/>
          <w:lang w:val="sr-Latn-ME"/>
        </w:rPr>
        <w:t>FARMACEUTSKI PODACI</w:t>
      </w:r>
    </w:p>
    <w:p w14:paraId="1433E79D" w14:textId="77777777" w:rsidR="00836B35" w:rsidRPr="00220369" w:rsidRDefault="00836B35" w:rsidP="00E6784B">
      <w:pPr>
        <w:tabs>
          <w:tab w:val="left" w:pos="540"/>
          <w:tab w:val="left" w:pos="569"/>
        </w:tabs>
        <w:jc w:val="both"/>
        <w:rPr>
          <w:bCs/>
          <w:sz w:val="22"/>
          <w:szCs w:val="22"/>
          <w:lang w:val="sr-Latn-ME"/>
        </w:rPr>
      </w:pPr>
    </w:p>
    <w:p w14:paraId="264928CF" w14:textId="38CD9916" w:rsidR="0072020E" w:rsidRPr="00220369" w:rsidRDefault="0072020E" w:rsidP="00E6784B">
      <w:pPr>
        <w:tabs>
          <w:tab w:val="left" w:pos="540"/>
          <w:tab w:val="left" w:pos="569"/>
        </w:tabs>
        <w:jc w:val="both"/>
        <w:rPr>
          <w:b/>
          <w:bCs/>
          <w:sz w:val="22"/>
          <w:szCs w:val="22"/>
          <w:lang w:val="sr-Latn-ME"/>
        </w:rPr>
      </w:pPr>
      <w:r w:rsidRPr="00220369">
        <w:rPr>
          <w:b/>
          <w:bCs/>
          <w:sz w:val="22"/>
          <w:szCs w:val="22"/>
          <w:lang w:val="sr-Latn-ME"/>
        </w:rPr>
        <w:t xml:space="preserve">6.1. </w:t>
      </w:r>
      <w:r w:rsidR="00480FB1" w:rsidRPr="00220369">
        <w:rPr>
          <w:b/>
          <w:bCs/>
          <w:sz w:val="22"/>
          <w:szCs w:val="22"/>
          <w:lang w:val="sr-Latn-ME"/>
        </w:rPr>
        <w:tab/>
      </w:r>
      <w:r w:rsidRPr="00220369">
        <w:rPr>
          <w:b/>
          <w:bCs/>
          <w:sz w:val="22"/>
          <w:szCs w:val="22"/>
          <w:lang w:val="sr-Latn-ME"/>
        </w:rPr>
        <w:t>Lista pomoćnih supstanci</w:t>
      </w:r>
      <w:r w:rsidR="002E0135" w:rsidRPr="00220369">
        <w:rPr>
          <w:b/>
          <w:bCs/>
          <w:sz w:val="22"/>
          <w:szCs w:val="22"/>
          <w:lang w:val="sr-Latn-ME"/>
        </w:rPr>
        <w:t xml:space="preserve"> (ekscipijenasa)</w:t>
      </w:r>
    </w:p>
    <w:p w14:paraId="4276B30A" w14:textId="77777777" w:rsidR="005731F0" w:rsidRPr="00220369" w:rsidRDefault="005731F0" w:rsidP="00E6784B">
      <w:pPr>
        <w:tabs>
          <w:tab w:val="left" w:pos="540"/>
          <w:tab w:val="left" w:pos="569"/>
        </w:tabs>
        <w:jc w:val="both"/>
        <w:rPr>
          <w:b/>
          <w:bCs/>
          <w:sz w:val="22"/>
          <w:szCs w:val="22"/>
          <w:lang w:val="sr-Latn-ME"/>
        </w:rPr>
      </w:pPr>
    </w:p>
    <w:p w14:paraId="5475B8F2" w14:textId="77777777" w:rsidR="005731F0" w:rsidRPr="00220369" w:rsidRDefault="005731F0" w:rsidP="00E6784B">
      <w:pPr>
        <w:tabs>
          <w:tab w:val="left" w:pos="284"/>
        </w:tabs>
        <w:jc w:val="both"/>
        <w:rPr>
          <w:sz w:val="22"/>
          <w:szCs w:val="22"/>
          <w:lang w:val="sr-Latn-ME"/>
        </w:rPr>
      </w:pPr>
      <w:r w:rsidRPr="00220369">
        <w:rPr>
          <w:sz w:val="22"/>
          <w:szCs w:val="22"/>
          <w:lang w:val="sr-Latn-ME"/>
        </w:rPr>
        <w:t>Celuloza, mikrokristalna</w:t>
      </w:r>
    </w:p>
    <w:p w14:paraId="43450171" w14:textId="77777777" w:rsidR="005731F0" w:rsidRPr="00220369" w:rsidRDefault="005731F0" w:rsidP="00E6784B">
      <w:pPr>
        <w:tabs>
          <w:tab w:val="left" w:pos="284"/>
        </w:tabs>
        <w:jc w:val="both"/>
        <w:rPr>
          <w:sz w:val="22"/>
          <w:szCs w:val="22"/>
          <w:lang w:val="sr-Latn-ME"/>
        </w:rPr>
      </w:pPr>
      <w:r w:rsidRPr="00220369">
        <w:rPr>
          <w:sz w:val="22"/>
          <w:szCs w:val="22"/>
          <w:lang w:val="sr-Latn-ME"/>
        </w:rPr>
        <w:t>Krospovidon tip A</w:t>
      </w:r>
    </w:p>
    <w:p w14:paraId="49552A9C" w14:textId="77777777" w:rsidR="005731F0" w:rsidRPr="00220369" w:rsidRDefault="005731F0" w:rsidP="00E6784B">
      <w:pPr>
        <w:tabs>
          <w:tab w:val="left" w:pos="284"/>
        </w:tabs>
        <w:jc w:val="both"/>
        <w:rPr>
          <w:sz w:val="22"/>
          <w:szCs w:val="22"/>
          <w:lang w:val="sr-Latn-ME"/>
        </w:rPr>
      </w:pPr>
      <w:r w:rsidRPr="00220369">
        <w:rPr>
          <w:sz w:val="22"/>
          <w:szCs w:val="22"/>
          <w:lang w:val="sr-Latn-ME"/>
        </w:rPr>
        <w:t>Magnezijum stearat</w:t>
      </w:r>
    </w:p>
    <w:p w14:paraId="5FAF5E92" w14:textId="59E62E9D" w:rsidR="0072020E" w:rsidRPr="00220369" w:rsidRDefault="005731F0" w:rsidP="00E6784B">
      <w:pPr>
        <w:tabs>
          <w:tab w:val="left" w:pos="540"/>
          <w:tab w:val="left" w:pos="569"/>
        </w:tabs>
        <w:jc w:val="both"/>
        <w:rPr>
          <w:sz w:val="22"/>
          <w:szCs w:val="22"/>
          <w:lang w:val="sr-Latn-ME"/>
        </w:rPr>
      </w:pPr>
      <w:r w:rsidRPr="00220369">
        <w:rPr>
          <w:sz w:val="22"/>
          <w:szCs w:val="22"/>
          <w:lang w:val="sr-Latn-ME"/>
        </w:rPr>
        <w:t>Silicijum dioksid, koloidni, bezvodni</w:t>
      </w:r>
    </w:p>
    <w:p w14:paraId="6E972E06" w14:textId="77777777" w:rsidR="005731F0" w:rsidRPr="00220369" w:rsidRDefault="005731F0" w:rsidP="00E6784B">
      <w:pPr>
        <w:tabs>
          <w:tab w:val="left" w:pos="540"/>
          <w:tab w:val="left" w:pos="569"/>
        </w:tabs>
        <w:jc w:val="both"/>
        <w:rPr>
          <w:bCs/>
          <w:sz w:val="22"/>
          <w:szCs w:val="22"/>
          <w:lang w:val="sr-Latn-ME"/>
        </w:rPr>
      </w:pPr>
    </w:p>
    <w:p w14:paraId="65CBEAEB" w14:textId="77777777" w:rsidR="0072020E" w:rsidRPr="00220369" w:rsidRDefault="0072020E" w:rsidP="00E6784B">
      <w:pPr>
        <w:tabs>
          <w:tab w:val="left" w:pos="540"/>
          <w:tab w:val="left" w:pos="569"/>
        </w:tabs>
        <w:jc w:val="both"/>
        <w:rPr>
          <w:b/>
          <w:bCs/>
          <w:sz w:val="22"/>
          <w:szCs w:val="22"/>
          <w:lang w:val="sr-Latn-ME"/>
        </w:rPr>
      </w:pPr>
      <w:r w:rsidRPr="00220369">
        <w:rPr>
          <w:b/>
          <w:bCs/>
          <w:sz w:val="22"/>
          <w:szCs w:val="22"/>
          <w:lang w:val="sr-Latn-ME"/>
        </w:rPr>
        <w:t xml:space="preserve">6.2. </w:t>
      </w:r>
      <w:r w:rsidR="00480FB1" w:rsidRPr="00220369">
        <w:rPr>
          <w:b/>
          <w:bCs/>
          <w:sz w:val="22"/>
          <w:szCs w:val="22"/>
          <w:lang w:val="sr-Latn-ME"/>
        </w:rPr>
        <w:tab/>
      </w:r>
      <w:r w:rsidRPr="00220369">
        <w:rPr>
          <w:b/>
          <w:bCs/>
          <w:sz w:val="22"/>
          <w:szCs w:val="22"/>
          <w:lang w:val="sr-Latn-ME"/>
        </w:rPr>
        <w:t>Inkompatibilnost</w:t>
      </w:r>
      <w:r w:rsidR="002846DB" w:rsidRPr="00220369">
        <w:rPr>
          <w:b/>
          <w:bCs/>
          <w:sz w:val="22"/>
          <w:szCs w:val="22"/>
          <w:lang w:val="sr-Latn-ME"/>
        </w:rPr>
        <w:t>i</w:t>
      </w:r>
    </w:p>
    <w:p w14:paraId="5460029C" w14:textId="77777777" w:rsidR="009456A5" w:rsidRPr="00220369" w:rsidRDefault="009456A5" w:rsidP="00E6784B">
      <w:pPr>
        <w:tabs>
          <w:tab w:val="left" w:pos="284"/>
        </w:tabs>
        <w:jc w:val="both"/>
        <w:rPr>
          <w:sz w:val="22"/>
          <w:szCs w:val="22"/>
          <w:lang w:val="sr-Latn-ME"/>
        </w:rPr>
      </w:pPr>
    </w:p>
    <w:p w14:paraId="0D4FDC83" w14:textId="71293195" w:rsidR="005731F0" w:rsidRPr="00220369" w:rsidRDefault="005731F0" w:rsidP="00E6784B">
      <w:pPr>
        <w:tabs>
          <w:tab w:val="left" w:pos="284"/>
        </w:tabs>
        <w:jc w:val="both"/>
        <w:rPr>
          <w:sz w:val="22"/>
          <w:szCs w:val="22"/>
          <w:lang w:val="sr-Latn-ME"/>
        </w:rPr>
      </w:pPr>
      <w:r w:rsidRPr="00220369">
        <w:rPr>
          <w:sz w:val="22"/>
          <w:szCs w:val="22"/>
          <w:lang w:val="sr-Latn-ME"/>
        </w:rPr>
        <w:t>Nije primjenljivo.</w:t>
      </w:r>
    </w:p>
    <w:p w14:paraId="5B001814" w14:textId="77777777" w:rsidR="0072020E" w:rsidRPr="00220369" w:rsidRDefault="0072020E" w:rsidP="00E6784B">
      <w:pPr>
        <w:tabs>
          <w:tab w:val="left" w:pos="540"/>
          <w:tab w:val="left" w:pos="569"/>
        </w:tabs>
        <w:jc w:val="both"/>
        <w:rPr>
          <w:bCs/>
          <w:sz w:val="22"/>
          <w:szCs w:val="22"/>
          <w:lang w:val="sr-Latn-ME"/>
        </w:rPr>
      </w:pPr>
    </w:p>
    <w:p w14:paraId="2DA8A7E2" w14:textId="77777777" w:rsidR="0072020E" w:rsidRPr="00220369" w:rsidRDefault="0072020E" w:rsidP="00E6784B">
      <w:pPr>
        <w:tabs>
          <w:tab w:val="left" w:pos="540"/>
          <w:tab w:val="left" w:pos="569"/>
        </w:tabs>
        <w:jc w:val="both"/>
        <w:rPr>
          <w:b/>
          <w:bCs/>
          <w:sz w:val="22"/>
          <w:szCs w:val="22"/>
          <w:lang w:val="sr-Latn-ME"/>
        </w:rPr>
      </w:pPr>
      <w:r w:rsidRPr="00220369">
        <w:rPr>
          <w:b/>
          <w:bCs/>
          <w:sz w:val="22"/>
          <w:szCs w:val="22"/>
          <w:lang w:val="sr-Latn-ME"/>
        </w:rPr>
        <w:t>6.3.</w:t>
      </w:r>
      <w:r w:rsidR="00C05DF8" w:rsidRPr="00220369">
        <w:rPr>
          <w:b/>
          <w:bCs/>
          <w:sz w:val="22"/>
          <w:szCs w:val="22"/>
          <w:lang w:val="sr-Latn-ME"/>
        </w:rPr>
        <w:t xml:space="preserve"> </w:t>
      </w:r>
      <w:r w:rsidR="00480FB1" w:rsidRPr="00220369">
        <w:rPr>
          <w:b/>
          <w:bCs/>
          <w:sz w:val="22"/>
          <w:szCs w:val="22"/>
          <w:lang w:val="sr-Latn-ME"/>
        </w:rPr>
        <w:tab/>
      </w:r>
      <w:r w:rsidRPr="00220369">
        <w:rPr>
          <w:b/>
          <w:bCs/>
          <w:sz w:val="22"/>
          <w:szCs w:val="22"/>
          <w:lang w:val="sr-Latn-ME"/>
        </w:rPr>
        <w:t>Rok upotrebe</w:t>
      </w:r>
    </w:p>
    <w:p w14:paraId="7892C24F" w14:textId="77777777" w:rsidR="009456A5" w:rsidRPr="00220369" w:rsidRDefault="009456A5" w:rsidP="00E6784B">
      <w:pPr>
        <w:tabs>
          <w:tab w:val="left" w:pos="284"/>
        </w:tabs>
        <w:jc w:val="both"/>
        <w:rPr>
          <w:sz w:val="22"/>
          <w:szCs w:val="22"/>
          <w:lang w:val="sr-Latn-ME"/>
        </w:rPr>
      </w:pPr>
    </w:p>
    <w:p w14:paraId="4A108B1F" w14:textId="3C3AE05D" w:rsidR="005731F0" w:rsidRPr="00220369" w:rsidRDefault="00FF0C84" w:rsidP="00E6784B">
      <w:pPr>
        <w:tabs>
          <w:tab w:val="left" w:pos="284"/>
        </w:tabs>
        <w:jc w:val="both"/>
        <w:rPr>
          <w:sz w:val="22"/>
          <w:szCs w:val="22"/>
          <w:lang w:val="sr-Latn-ME"/>
        </w:rPr>
      </w:pPr>
      <w:r>
        <w:rPr>
          <w:sz w:val="22"/>
          <w:szCs w:val="22"/>
          <w:lang w:val="sr-Latn-ME"/>
        </w:rPr>
        <w:t>36</w:t>
      </w:r>
      <w:r w:rsidR="008A7573">
        <w:rPr>
          <w:sz w:val="22"/>
          <w:szCs w:val="22"/>
          <w:lang w:val="sr-Latn-ME"/>
        </w:rPr>
        <w:t xml:space="preserve"> mjeseci</w:t>
      </w:r>
      <w:bookmarkStart w:id="0" w:name="_GoBack"/>
      <w:bookmarkEnd w:id="0"/>
      <w:r w:rsidR="005731F0" w:rsidRPr="00220369">
        <w:rPr>
          <w:sz w:val="22"/>
          <w:szCs w:val="22"/>
          <w:lang w:val="sr-Latn-ME"/>
        </w:rPr>
        <w:t>.</w:t>
      </w:r>
    </w:p>
    <w:p w14:paraId="3A3D632B" w14:textId="77777777" w:rsidR="0072020E" w:rsidRPr="00220369" w:rsidRDefault="0072020E" w:rsidP="00E6784B">
      <w:pPr>
        <w:tabs>
          <w:tab w:val="left" w:pos="540"/>
          <w:tab w:val="left" w:pos="569"/>
        </w:tabs>
        <w:jc w:val="both"/>
        <w:rPr>
          <w:bCs/>
          <w:sz w:val="22"/>
          <w:szCs w:val="22"/>
          <w:lang w:val="sr-Latn-ME"/>
        </w:rPr>
      </w:pPr>
    </w:p>
    <w:p w14:paraId="601228D5" w14:textId="77777777" w:rsidR="0072020E" w:rsidRPr="00220369" w:rsidRDefault="0072020E" w:rsidP="00E6784B">
      <w:pPr>
        <w:tabs>
          <w:tab w:val="left" w:pos="540"/>
          <w:tab w:val="left" w:pos="569"/>
        </w:tabs>
        <w:jc w:val="both"/>
        <w:rPr>
          <w:b/>
          <w:bCs/>
          <w:sz w:val="22"/>
          <w:szCs w:val="22"/>
          <w:lang w:val="sr-Latn-ME"/>
        </w:rPr>
      </w:pPr>
      <w:r w:rsidRPr="00220369">
        <w:rPr>
          <w:b/>
          <w:bCs/>
          <w:sz w:val="22"/>
          <w:szCs w:val="22"/>
          <w:lang w:val="sr-Latn-ME"/>
        </w:rPr>
        <w:t xml:space="preserve">6.4. </w:t>
      </w:r>
      <w:r w:rsidR="00480FB1" w:rsidRPr="00220369">
        <w:rPr>
          <w:b/>
          <w:bCs/>
          <w:sz w:val="22"/>
          <w:szCs w:val="22"/>
          <w:lang w:val="sr-Latn-ME"/>
        </w:rPr>
        <w:tab/>
      </w:r>
      <w:r w:rsidRPr="00220369">
        <w:rPr>
          <w:b/>
          <w:bCs/>
          <w:sz w:val="22"/>
          <w:szCs w:val="22"/>
          <w:lang w:val="sr-Latn-ME"/>
        </w:rPr>
        <w:t>Posebne mjere upozorenja pri čuvanju</w:t>
      </w:r>
      <w:r w:rsidR="00F8570A" w:rsidRPr="00220369">
        <w:rPr>
          <w:b/>
          <w:bCs/>
          <w:sz w:val="22"/>
          <w:szCs w:val="22"/>
          <w:lang w:val="sr-Latn-ME"/>
        </w:rPr>
        <w:t xml:space="preserve"> lijeka</w:t>
      </w:r>
    </w:p>
    <w:p w14:paraId="630C3202" w14:textId="77777777" w:rsidR="009456A5" w:rsidRPr="00220369" w:rsidRDefault="009456A5" w:rsidP="00E6784B">
      <w:pPr>
        <w:tabs>
          <w:tab w:val="left" w:pos="284"/>
        </w:tabs>
        <w:jc w:val="both"/>
        <w:rPr>
          <w:sz w:val="22"/>
          <w:szCs w:val="22"/>
          <w:lang w:val="sr-Latn-ME"/>
        </w:rPr>
      </w:pPr>
    </w:p>
    <w:p w14:paraId="706C4009" w14:textId="31354105" w:rsidR="005731F0" w:rsidRPr="00220369" w:rsidRDefault="005731F0" w:rsidP="00E6784B">
      <w:pPr>
        <w:tabs>
          <w:tab w:val="left" w:pos="284"/>
        </w:tabs>
        <w:jc w:val="both"/>
        <w:rPr>
          <w:sz w:val="22"/>
          <w:szCs w:val="22"/>
          <w:lang w:val="sr-Latn-ME"/>
        </w:rPr>
      </w:pPr>
      <w:r w:rsidRPr="00220369">
        <w:rPr>
          <w:sz w:val="22"/>
          <w:szCs w:val="22"/>
          <w:lang w:val="sr-Latn-ME"/>
        </w:rPr>
        <w:t>Lijek ne zahtijeva posebne uslove čuvanja.</w:t>
      </w:r>
    </w:p>
    <w:p w14:paraId="33B566C5" w14:textId="77777777" w:rsidR="00EC2532" w:rsidRPr="00220369" w:rsidRDefault="00EC2532" w:rsidP="00E6784B">
      <w:pPr>
        <w:tabs>
          <w:tab w:val="left" w:pos="540"/>
          <w:tab w:val="left" w:pos="569"/>
        </w:tabs>
        <w:jc w:val="both"/>
        <w:rPr>
          <w:bCs/>
          <w:sz w:val="22"/>
          <w:szCs w:val="22"/>
          <w:lang w:val="sr-Latn-ME"/>
        </w:rPr>
      </w:pPr>
    </w:p>
    <w:p w14:paraId="513462EA" w14:textId="6F291BCC" w:rsidR="0072020E" w:rsidRPr="00220369" w:rsidRDefault="0072020E" w:rsidP="00E6784B">
      <w:pPr>
        <w:tabs>
          <w:tab w:val="left" w:pos="540"/>
          <w:tab w:val="left" w:pos="569"/>
        </w:tabs>
        <w:jc w:val="both"/>
        <w:rPr>
          <w:b/>
          <w:bCs/>
          <w:sz w:val="22"/>
          <w:szCs w:val="22"/>
          <w:lang w:val="sr-Latn-ME"/>
        </w:rPr>
      </w:pPr>
      <w:r w:rsidRPr="00220369">
        <w:rPr>
          <w:b/>
          <w:bCs/>
          <w:sz w:val="22"/>
          <w:szCs w:val="22"/>
          <w:lang w:val="sr-Latn-ME"/>
        </w:rPr>
        <w:t xml:space="preserve">6.5. </w:t>
      </w:r>
      <w:r w:rsidR="00480FB1" w:rsidRPr="00220369">
        <w:rPr>
          <w:b/>
          <w:bCs/>
          <w:sz w:val="22"/>
          <w:szCs w:val="22"/>
          <w:lang w:val="sr-Latn-ME"/>
        </w:rPr>
        <w:tab/>
      </w:r>
      <w:r w:rsidR="002846DB" w:rsidRPr="00220369">
        <w:rPr>
          <w:b/>
          <w:bCs/>
          <w:sz w:val="22"/>
          <w:szCs w:val="22"/>
          <w:lang w:val="sr-Latn-ME"/>
        </w:rPr>
        <w:t xml:space="preserve">Vrsta i sadržaj </w:t>
      </w:r>
      <w:r w:rsidR="00F8570A" w:rsidRPr="00220369">
        <w:rPr>
          <w:b/>
          <w:bCs/>
          <w:sz w:val="22"/>
          <w:szCs w:val="22"/>
          <w:lang w:val="sr-Latn-ME"/>
        </w:rPr>
        <w:t>pakovanja</w:t>
      </w:r>
      <w:r w:rsidR="00C06864" w:rsidRPr="00220369">
        <w:rPr>
          <w:b/>
          <w:bCs/>
          <w:sz w:val="22"/>
          <w:szCs w:val="22"/>
          <w:lang w:val="sr-Latn-ME"/>
        </w:rPr>
        <w:t xml:space="preserve"> </w:t>
      </w:r>
    </w:p>
    <w:p w14:paraId="171C618A" w14:textId="77777777" w:rsidR="009456A5" w:rsidRPr="00220369" w:rsidRDefault="009456A5" w:rsidP="00E6784B">
      <w:pPr>
        <w:tabs>
          <w:tab w:val="left" w:pos="540"/>
          <w:tab w:val="left" w:pos="569"/>
        </w:tabs>
        <w:jc w:val="both"/>
        <w:rPr>
          <w:b/>
          <w:bCs/>
          <w:sz w:val="22"/>
          <w:szCs w:val="22"/>
          <w:lang w:val="sr-Latn-ME"/>
        </w:rPr>
      </w:pPr>
    </w:p>
    <w:p w14:paraId="701A204F" w14:textId="01485C97" w:rsidR="009456A5" w:rsidRPr="00220369" w:rsidRDefault="009456A5" w:rsidP="00E6784B">
      <w:pPr>
        <w:tabs>
          <w:tab w:val="left" w:pos="284"/>
        </w:tabs>
        <w:jc w:val="both"/>
        <w:rPr>
          <w:bCs/>
          <w:sz w:val="22"/>
          <w:szCs w:val="22"/>
          <w:lang w:val="sr-Latn-ME"/>
        </w:rPr>
      </w:pPr>
      <w:r w:rsidRPr="00220369">
        <w:rPr>
          <w:color w:val="000000"/>
          <w:sz w:val="22"/>
          <w:szCs w:val="22"/>
          <w:lang w:val="sr-Latn-ME"/>
        </w:rPr>
        <w:t xml:space="preserve">Unutrašnje pakovanje lijeka je Al-Al blister. </w:t>
      </w:r>
      <w:r w:rsidRPr="00220369">
        <w:rPr>
          <w:sz w:val="22"/>
          <w:szCs w:val="22"/>
          <w:lang w:val="sr-Latn-ME"/>
        </w:rPr>
        <w:t xml:space="preserve">Spoljašnje pakovanje je složiva kartonska kutija u kojoj se nalazi </w:t>
      </w:r>
      <w:r w:rsidR="00F16E52" w:rsidRPr="00220369">
        <w:rPr>
          <w:sz w:val="22"/>
          <w:szCs w:val="22"/>
          <w:lang w:val="sr-Latn-ME"/>
        </w:rPr>
        <w:t xml:space="preserve">1 blister sa </w:t>
      </w:r>
      <w:r w:rsidRPr="00220369">
        <w:rPr>
          <w:sz w:val="22"/>
          <w:szCs w:val="22"/>
          <w:lang w:val="sr-Latn-ME"/>
        </w:rPr>
        <w:t xml:space="preserve">10 tableta i Uputstvo za lijek. </w:t>
      </w:r>
    </w:p>
    <w:p w14:paraId="61C3928F" w14:textId="77777777" w:rsidR="0072020E" w:rsidRPr="00220369" w:rsidRDefault="0072020E" w:rsidP="00E6784B">
      <w:pPr>
        <w:tabs>
          <w:tab w:val="left" w:pos="540"/>
          <w:tab w:val="left" w:pos="569"/>
        </w:tabs>
        <w:jc w:val="both"/>
        <w:rPr>
          <w:bCs/>
          <w:sz w:val="22"/>
          <w:szCs w:val="22"/>
          <w:lang w:val="sr-Latn-ME"/>
        </w:rPr>
      </w:pPr>
    </w:p>
    <w:p w14:paraId="26DA52D7" w14:textId="77777777" w:rsidR="002846DB" w:rsidRPr="00220369" w:rsidRDefault="0072020E" w:rsidP="00E6784B">
      <w:pPr>
        <w:tabs>
          <w:tab w:val="left" w:pos="540"/>
          <w:tab w:val="left" w:pos="569"/>
        </w:tabs>
        <w:jc w:val="both"/>
        <w:rPr>
          <w:b/>
          <w:bCs/>
          <w:sz w:val="22"/>
          <w:szCs w:val="22"/>
          <w:lang w:val="sr-Latn-ME"/>
        </w:rPr>
      </w:pPr>
      <w:r w:rsidRPr="00220369">
        <w:rPr>
          <w:b/>
          <w:bCs/>
          <w:sz w:val="22"/>
          <w:szCs w:val="22"/>
          <w:lang w:val="sr-Latn-ME"/>
        </w:rPr>
        <w:t xml:space="preserve">6.6. </w:t>
      </w:r>
      <w:r w:rsidR="00480FB1" w:rsidRPr="00220369">
        <w:rPr>
          <w:b/>
          <w:bCs/>
          <w:sz w:val="22"/>
          <w:szCs w:val="22"/>
          <w:lang w:val="sr-Latn-ME"/>
        </w:rPr>
        <w:tab/>
      </w:r>
      <w:r w:rsidRPr="00220369">
        <w:rPr>
          <w:b/>
          <w:bCs/>
          <w:color w:val="000000"/>
          <w:sz w:val="22"/>
          <w:szCs w:val="22"/>
          <w:lang w:val="sr-Latn-ME"/>
        </w:rPr>
        <w:t>Posebne mjere opreza pri odlaganju materijala koji treba odbaciti nakon primjene lijeka</w:t>
      </w:r>
      <w:r w:rsidRPr="00220369">
        <w:rPr>
          <w:b/>
          <w:bCs/>
          <w:sz w:val="22"/>
          <w:szCs w:val="22"/>
          <w:lang w:val="sr-Latn-ME"/>
        </w:rPr>
        <w:t xml:space="preserve"> </w:t>
      </w:r>
      <w:r w:rsidR="00310F03" w:rsidRPr="00220369">
        <w:rPr>
          <w:b/>
          <w:bCs/>
          <w:sz w:val="22"/>
          <w:szCs w:val="22"/>
          <w:lang w:val="sr-Latn-ME"/>
        </w:rPr>
        <w:t>(i druga uputs</w:t>
      </w:r>
      <w:r w:rsidR="004109FA" w:rsidRPr="00220369">
        <w:rPr>
          <w:b/>
          <w:bCs/>
          <w:sz w:val="22"/>
          <w:szCs w:val="22"/>
          <w:lang w:val="sr-Latn-ME"/>
        </w:rPr>
        <w:t>t</w:t>
      </w:r>
      <w:r w:rsidR="00310F03" w:rsidRPr="00220369">
        <w:rPr>
          <w:b/>
          <w:bCs/>
          <w:sz w:val="22"/>
          <w:szCs w:val="22"/>
          <w:lang w:val="sr-Latn-ME"/>
        </w:rPr>
        <w:t xml:space="preserve">va za rukovanje lijekom) </w:t>
      </w:r>
    </w:p>
    <w:p w14:paraId="20A8C23F" w14:textId="77777777" w:rsidR="00B66A70" w:rsidRPr="00220369" w:rsidRDefault="00B66A70" w:rsidP="00E6784B">
      <w:pPr>
        <w:tabs>
          <w:tab w:val="left" w:pos="540"/>
          <w:tab w:val="left" w:pos="569"/>
        </w:tabs>
        <w:jc w:val="both"/>
        <w:rPr>
          <w:b/>
          <w:bCs/>
          <w:sz w:val="22"/>
          <w:szCs w:val="22"/>
          <w:lang w:val="sr-Latn-ME"/>
        </w:rPr>
      </w:pPr>
    </w:p>
    <w:p w14:paraId="6632EE71" w14:textId="77777777" w:rsidR="009456A5" w:rsidRPr="00220369" w:rsidRDefault="009456A5" w:rsidP="00E6784B">
      <w:pPr>
        <w:tabs>
          <w:tab w:val="left" w:pos="284"/>
        </w:tabs>
        <w:jc w:val="both"/>
        <w:rPr>
          <w:sz w:val="22"/>
          <w:szCs w:val="22"/>
          <w:lang w:val="sr-Latn-ME"/>
        </w:rPr>
      </w:pPr>
      <w:r w:rsidRPr="00220369">
        <w:rPr>
          <w:sz w:val="22"/>
          <w:szCs w:val="22"/>
          <w:lang w:val="sr-Latn-ME"/>
        </w:rPr>
        <w:t>Svu neiskorišćenu količinu lijeka ili otpadnog materijala nakon njegove upotrebe treba ukloniti, u skladu sa važećim propisima.</w:t>
      </w:r>
    </w:p>
    <w:p w14:paraId="0530B0F3" w14:textId="269F2564" w:rsidR="0072020E" w:rsidRPr="00220369" w:rsidRDefault="0072020E" w:rsidP="00E6784B">
      <w:pPr>
        <w:tabs>
          <w:tab w:val="left" w:pos="540"/>
          <w:tab w:val="left" w:pos="569"/>
        </w:tabs>
        <w:jc w:val="both"/>
        <w:rPr>
          <w:bCs/>
          <w:sz w:val="22"/>
          <w:szCs w:val="22"/>
          <w:lang w:val="sr-Latn-ME"/>
        </w:rPr>
      </w:pPr>
    </w:p>
    <w:p w14:paraId="426A478B" w14:textId="77777777" w:rsidR="00F16E52" w:rsidRPr="00220369" w:rsidRDefault="00F16E52" w:rsidP="00E6784B">
      <w:pPr>
        <w:tabs>
          <w:tab w:val="left" w:pos="540"/>
          <w:tab w:val="left" w:pos="569"/>
        </w:tabs>
        <w:jc w:val="both"/>
        <w:rPr>
          <w:bCs/>
          <w:sz w:val="22"/>
          <w:szCs w:val="22"/>
          <w:lang w:val="sr-Latn-ME"/>
        </w:rPr>
      </w:pPr>
    </w:p>
    <w:p w14:paraId="38010763" w14:textId="77777777" w:rsidR="00F8570A" w:rsidRPr="00220369" w:rsidRDefault="0072020E" w:rsidP="00E6784B">
      <w:pPr>
        <w:tabs>
          <w:tab w:val="left" w:pos="540"/>
          <w:tab w:val="left" w:pos="569"/>
        </w:tabs>
        <w:jc w:val="both"/>
        <w:rPr>
          <w:b/>
          <w:bCs/>
          <w:sz w:val="22"/>
          <w:szCs w:val="22"/>
          <w:lang w:val="sr-Latn-ME"/>
        </w:rPr>
      </w:pPr>
      <w:r w:rsidRPr="00220369">
        <w:rPr>
          <w:b/>
          <w:bCs/>
          <w:sz w:val="22"/>
          <w:szCs w:val="22"/>
          <w:lang w:val="sr-Latn-ME"/>
        </w:rPr>
        <w:t xml:space="preserve">7. </w:t>
      </w:r>
      <w:r w:rsidR="00480FB1" w:rsidRPr="00220369">
        <w:rPr>
          <w:b/>
          <w:bCs/>
          <w:sz w:val="22"/>
          <w:szCs w:val="22"/>
          <w:lang w:val="sr-Latn-ME"/>
        </w:rPr>
        <w:tab/>
      </w:r>
      <w:r w:rsidRPr="00220369">
        <w:rPr>
          <w:b/>
          <w:bCs/>
          <w:sz w:val="22"/>
          <w:szCs w:val="22"/>
          <w:lang w:val="sr-Latn-ME"/>
        </w:rPr>
        <w:t>NOSILAC DOZVOLE</w:t>
      </w:r>
      <w:r w:rsidR="00483928" w:rsidRPr="00220369">
        <w:rPr>
          <w:b/>
          <w:bCs/>
          <w:sz w:val="22"/>
          <w:szCs w:val="22"/>
          <w:lang w:val="sr-Latn-ME"/>
        </w:rPr>
        <w:t xml:space="preserve"> </w:t>
      </w:r>
    </w:p>
    <w:p w14:paraId="1A8521C8" w14:textId="77777777" w:rsidR="00C61BE0" w:rsidRPr="00220369" w:rsidRDefault="00C61BE0" w:rsidP="00E6784B">
      <w:pPr>
        <w:tabs>
          <w:tab w:val="left" w:pos="540"/>
          <w:tab w:val="left" w:pos="569"/>
        </w:tabs>
        <w:jc w:val="both"/>
        <w:rPr>
          <w:bCs/>
          <w:sz w:val="22"/>
          <w:szCs w:val="22"/>
          <w:lang w:val="sr-Latn-ME"/>
        </w:rPr>
      </w:pPr>
    </w:p>
    <w:p w14:paraId="6F0340C7" w14:textId="77777777" w:rsidR="009456A5" w:rsidRPr="00220369" w:rsidRDefault="009456A5" w:rsidP="00E6784B">
      <w:pPr>
        <w:tabs>
          <w:tab w:val="left" w:pos="284"/>
        </w:tabs>
        <w:jc w:val="both"/>
        <w:rPr>
          <w:sz w:val="22"/>
          <w:szCs w:val="22"/>
          <w:lang w:val="sr-Latn-ME"/>
        </w:rPr>
      </w:pPr>
      <w:r w:rsidRPr="00220369">
        <w:rPr>
          <w:sz w:val="22"/>
          <w:szCs w:val="22"/>
          <w:lang w:val="sr-Latn-ME"/>
        </w:rPr>
        <w:t>HEMOFARM AD VRŠAC PJ PODGORICA</w:t>
      </w:r>
    </w:p>
    <w:p w14:paraId="6AD9145E" w14:textId="4B619CB5" w:rsidR="009456A5" w:rsidRPr="00220369" w:rsidRDefault="009456A5" w:rsidP="00E6784B">
      <w:pPr>
        <w:tabs>
          <w:tab w:val="left" w:pos="284"/>
        </w:tabs>
        <w:jc w:val="both"/>
        <w:rPr>
          <w:sz w:val="22"/>
          <w:szCs w:val="22"/>
          <w:lang w:val="sr-Latn-ME"/>
        </w:rPr>
      </w:pPr>
      <w:r w:rsidRPr="00220369">
        <w:rPr>
          <w:sz w:val="22"/>
          <w:szCs w:val="22"/>
          <w:lang w:val="sr-Latn-ME"/>
        </w:rPr>
        <w:t>8</w:t>
      </w:r>
      <w:r w:rsidR="00926F13" w:rsidRPr="00220369">
        <w:rPr>
          <w:sz w:val="22"/>
          <w:szCs w:val="22"/>
          <w:lang w:val="sr-Latn-ME"/>
        </w:rPr>
        <w:t>.</w:t>
      </w:r>
      <w:r w:rsidRPr="00220369">
        <w:rPr>
          <w:sz w:val="22"/>
          <w:szCs w:val="22"/>
          <w:lang w:val="sr-Latn-ME"/>
        </w:rPr>
        <w:t xml:space="preserve"> marta 55A, Podgorica, Crna Gora</w:t>
      </w:r>
    </w:p>
    <w:p w14:paraId="006DADB5" w14:textId="3F50980D" w:rsidR="00C37FD7" w:rsidRPr="00220369" w:rsidRDefault="00C37FD7" w:rsidP="00E6784B">
      <w:pPr>
        <w:tabs>
          <w:tab w:val="left" w:pos="540"/>
          <w:tab w:val="left" w:pos="569"/>
        </w:tabs>
        <w:jc w:val="both"/>
        <w:rPr>
          <w:bCs/>
          <w:sz w:val="22"/>
          <w:szCs w:val="22"/>
          <w:lang w:val="sr-Latn-ME"/>
        </w:rPr>
      </w:pPr>
    </w:p>
    <w:p w14:paraId="11E5F4FB" w14:textId="77777777" w:rsidR="00F16E52" w:rsidRPr="00220369" w:rsidRDefault="00F16E52" w:rsidP="00E6784B">
      <w:pPr>
        <w:tabs>
          <w:tab w:val="left" w:pos="540"/>
          <w:tab w:val="left" w:pos="569"/>
        </w:tabs>
        <w:jc w:val="both"/>
        <w:rPr>
          <w:bCs/>
          <w:sz w:val="22"/>
          <w:szCs w:val="22"/>
          <w:lang w:val="sr-Latn-ME"/>
        </w:rPr>
      </w:pPr>
    </w:p>
    <w:p w14:paraId="0AADA723" w14:textId="77777777" w:rsidR="0072020E" w:rsidRPr="00220369" w:rsidRDefault="0072020E" w:rsidP="00E6784B">
      <w:pPr>
        <w:tabs>
          <w:tab w:val="left" w:pos="540"/>
          <w:tab w:val="left" w:pos="569"/>
        </w:tabs>
        <w:jc w:val="both"/>
        <w:rPr>
          <w:b/>
          <w:bCs/>
          <w:sz w:val="22"/>
          <w:szCs w:val="22"/>
          <w:lang w:val="sr-Latn-ME"/>
        </w:rPr>
      </w:pPr>
      <w:r w:rsidRPr="00220369">
        <w:rPr>
          <w:b/>
          <w:bCs/>
          <w:sz w:val="22"/>
          <w:szCs w:val="22"/>
          <w:lang w:val="sr-Latn-ME"/>
        </w:rPr>
        <w:t xml:space="preserve">8. </w:t>
      </w:r>
      <w:r w:rsidR="00480FB1" w:rsidRPr="00220369">
        <w:rPr>
          <w:b/>
          <w:bCs/>
          <w:sz w:val="22"/>
          <w:szCs w:val="22"/>
          <w:lang w:val="sr-Latn-ME"/>
        </w:rPr>
        <w:tab/>
      </w:r>
      <w:r w:rsidRPr="00220369">
        <w:rPr>
          <w:b/>
          <w:bCs/>
          <w:sz w:val="22"/>
          <w:szCs w:val="22"/>
          <w:lang w:val="sr-Latn-ME"/>
        </w:rPr>
        <w:t>BROJ DOZVOLE</w:t>
      </w:r>
      <w:r w:rsidR="008A6D43" w:rsidRPr="00220369">
        <w:rPr>
          <w:b/>
          <w:bCs/>
          <w:sz w:val="22"/>
          <w:szCs w:val="22"/>
          <w:lang w:val="sr-Latn-ME"/>
        </w:rPr>
        <w:t xml:space="preserve"> ZA STAVLJANJE LIJEKA U PROMET</w:t>
      </w:r>
    </w:p>
    <w:p w14:paraId="42F1ADE7" w14:textId="6CC7E3E1" w:rsidR="0072020E" w:rsidRPr="00220369" w:rsidRDefault="0072020E" w:rsidP="00E6784B">
      <w:pPr>
        <w:tabs>
          <w:tab w:val="left" w:pos="540"/>
          <w:tab w:val="left" w:pos="569"/>
        </w:tabs>
        <w:jc w:val="both"/>
        <w:rPr>
          <w:bCs/>
          <w:sz w:val="22"/>
          <w:szCs w:val="22"/>
          <w:lang w:val="sr-Latn-ME"/>
        </w:rPr>
      </w:pPr>
    </w:p>
    <w:p w14:paraId="4CA94122" w14:textId="69FD1AFF" w:rsidR="00F45F77" w:rsidRPr="00220369" w:rsidRDefault="00433197" w:rsidP="00E6784B">
      <w:pPr>
        <w:tabs>
          <w:tab w:val="left" w:pos="540"/>
          <w:tab w:val="left" w:pos="569"/>
        </w:tabs>
        <w:jc w:val="both"/>
        <w:rPr>
          <w:sz w:val="22"/>
          <w:szCs w:val="22"/>
          <w:lang w:val="sr-Latn-ME"/>
        </w:rPr>
      </w:pPr>
      <w:r w:rsidRPr="00220369">
        <w:rPr>
          <w:sz w:val="22"/>
          <w:szCs w:val="22"/>
          <w:lang w:val="sr-Latn-ME"/>
        </w:rPr>
        <w:t>2030/23/2854 - 5147</w:t>
      </w:r>
    </w:p>
    <w:p w14:paraId="6C359864" w14:textId="05BB6BE5" w:rsidR="00433197" w:rsidRPr="00220369" w:rsidRDefault="00433197" w:rsidP="00E6784B">
      <w:pPr>
        <w:tabs>
          <w:tab w:val="left" w:pos="540"/>
          <w:tab w:val="left" w:pos="569"/>
        </w:tabs>
        <w:jc w:val="both"/>
        <w:rPr>
          <w:bCs/>
          <w:sz w:val="22"/>
          <w:szCs w:val="22"/>
          <w:lang w:val="sr-Latn-ME"/>
        </w:rPr>
      </w:pPr>
    </w:p>
    <w:p w14:paraId="0226DEE0" w14:textId="01DCAF1E" w:rsidR="00433197" w:rsidRPr="00220369" w:rsidRDefault="00433197" w:rsidP="00E6784B">
      <w:pPr>
        <w:tabs>
          <w:tab w:val="left" w:pos="540"/>
          <w:tab w:val="left" w:pos="569"/>
        </w:tabs>
        <w:jc w:val="both"/>
        <w:rPr>
          <w:bCs/>
          <w:sz w:val="22"/>
          <w:szCs w:val="22"/>
          <w:lang w:val="sr-Latn-ME"/>
        </w:rPr>
      </w:pPr>
    </w:p>
    <w:p w14:paraId="0A36C83A" w14:textId="77777777" w:rsidR="00433197" w:rsidRPr="00220369" w:rsidRDefault="00433197" w:rsidP="00E6784B">
      <w:pPr>
        <w:tabs>
          <w:tab w:val="left" w:pos="540"/>
          <w:tab w:val="left" w:pos="569"/>
        </w:tabs>
        <w:jc w:val="both"/>
        <w:rPr>
          <w:bCs/>
          <w:sz w:val="22"/>
          <w:szCs w:val="22"/>
          <w:lang w:val="sr-Latn-ME"/>
        </w:rPr>
      </w:pPr>
    </w:p>
    <w:p w14:paraId="14349F27" w14:textId="77777777" w:rsidR="0072020E" w:rsidRPr="00220369" w:rsidRDefault="0072020E" w:rsidP="00E6784B">
      <w:pPr>
        <w:tabs>
          <w:tab w:val="left" w:pos="540"/>
          <w:tab w:val="left" w:pos="569"/>
        </w:tabs>
        <w:jc w:val="both"/>
        <w:rPr>
          <w:b/>
          <w:bCs/>
          <w:sz w:val="22"/>
          <w:szCs w:val="22"/>
          <w:lang w:val="sr-Latn-ME"/>
        </w:rPr>
      </w:pPr>
      <w:r w:rsidRPr="00220369">
        <w:rPr>
          <w:b/>
          <w:bCs/>
          <w:sz w:val="22"/>
          <w:szCs w:val="22"/>
          <w:lang w:val="sr-Latn-ME"/>
        </w:rPr>
        <w:t xml:space="preserve">9. </w:t>
      </w:r>
      <w:r w:rsidR="00480FB1" w:rsidRPr="00220369">
        <w:rPr>
          <w:b/>
          <w:bCs/>
          <w:sz w:val="22"/>
          <w:szCs w:val="22"/>
          <w:lang w:val="sr-Latn-ME"/>
        </w:rPr>
        <w:tab/>
      </w:r>
      <w:r w:rsidRPr="00220369">
        <w:rPr>
          <w:b/>
          <w:bCs/>
          <w:sz w:val="22"/>
          <w:szCs w:val="22"/>
          <w:lang w:val="sr-Latn-ME"/>
        </w:rPr>
        <w:t xml:space="preserve">DATUM </w:t>
      </w:r>
      <w:r w:rsidR="00C05DF8" w:rsidRPr="00220369">
        <w:rPr>
          <w:b/>
          <w:bCs/>
          <w:sz w:val="22"/>
          <w:szCs w:val="22"/>
          <w:lang w:val="sr-Latn-ME"/>
        </w:rPr>
        <w:t xml:space="preserve">PRVE </w:t>
      </w:r>
      <w:r w:rsidR="008A6D43" w:rsidRPr="00220369">
        <w:rPr>
          <w:b/>
          <w:bCs/>
          <w:sz w:val="22"/>
          <w:szCs w:val="22"/>
          <w:lang w:val="sr-Latn-ME"/>
        </w:rPr>
        <w:t>DOZVOLE</w:t>
      </w:r>
      <w:r w:rsidR="00C05DF8" w:rsidRPr="00220369">
        <w:rPr>
          <w:b/>
          <w:bCs/>
          <w:sz w:val="22"/>
          <w:szCs w:val="22"/>
          <w:lang w:val="sr-Latn-ME"/>
        </w:rPr>
        <w:t>/OBNOVE DOZVOLE</w:t>
      </w:r>
      <w:r w:rsidR="008A6D43" w:rsidRPr="00220369">
        <w:rPr>
          <w:b/>
          <w:bCs/>
          <w:sz w:val="22"/>
          <w:szCs w:val="22"/>
          <w:lang w:val="sr-Latn-ME"/>
        </w:rPr>
        <w:t xml:space="preserve"> ZA STAVLJANJE LIJEKA U PROMET</w:t>
      </w:r>
    </w:p>
    <w:p w14:paraId="41CA60ED" w14:textId="67589E09" w:rsidR="0072020E" w:rsidRPr="00220369" w:rsidRDefault="0072020E" w:rsidP="00E6784B">
      <w:pPr>
        <w:tabs>
          <w:tab w:val="left" w:pos="540"/>
          <w:tab w:val="left" w:pos="569"/>
        </w:tabs>
        <w:jc w:val="both"/>
        <w:rPr>
          <w:bCs/>
          <w:sz w:val="22"/>
          <w:szCs w:val="22"/>
          <w:lang w:val="sr-Latn-ME"/>
        </w:rPr>
      </w:pPr>
    </w:p>
    <w:p w14:paraId="4DB3A180" w14:textId="4DDF36CA" w:rsidR="00433197" w:rsidRPr="00220369" w:rsidRDefault="00433197" w:rsidP="00E6784B">
      <w:pPr>
        <w:tabs>
          <w:tab w:val="left" w:pos="540"/>
          <w:tab w:val="left" w:pos="569"/>
        </w:tabs>
        <w:jc w:val="both"/>
        <w:rPr>
          <w:bCs/>
          <w:sz w:val="22"/>
          <w:szCs w:val="22"/>
          <w:lang w:val="sr-Latn-ME"/>
        </w:rPr>
      </w:pPr>
      <w:r w:rsidRPr="00220369">
        <w:rPr>
          <w:bCs/>
          <w:sz w:val="22"/>
          <w:szCs w:val="22"/>
          <w:lang w:val="sr-Latn-ME"/>
        </w:rPr>
        <w:t>03.08.2023. godine</w:t>
      </w:r>
    </w:p>
    <w:p w14:paraId="0BF54210" w14:textId="084815C8" w:rsidR="00836B35" w:rsidRPr="00220369" w:rsidRDefault="00836B35" w:rsidP="00E6784B">
      <w:pPr>
        <w:tabs>
          <w:tab w:val="left" w:pos="540"/>
          <w:tab w:val="left" w:pos="569"/>
        </w:tabs>
        <w:jc w:val="both"/>
        <w:rPr>
          <w:bCs/>
          <w:sz w:val="22"/>
          <w:szCs w:val="22"/>
          <w:lang w:val="sr-Latn-ME"/>
        </w:rPr>
      </w:pPr>
    </w:p>
    <w:p w14:paraId="50784D5B" w14:textId="77777777" w:rsidR="00433197" w:rsidRPr="00220369" w:rsidRDefault="00433197" w:rsidP="00E6784B">
      <w:pPr>
        <w:tabs>
          <w:tab w:val="left" w:pos="540"/>
          <w:tab w:val="left" w:pos="569"/>
        </w:tabs>
        <w:jc w:val="both"/>
        <w:rPr>
          <w:bCs/>
          <w:sz w:val="22"/>
          <w:szCs w:val="22"/>
          <w:lang w:val="sr-Latn-ME"/>
        </w:rPr>
      </w:pPr>
    </w:p>
    <w:p w14:paraId="1D0D2E1D" w14:textId="77777777" w:rsidR="009456A5" w:rsidRPr="00220369" w:rsidRDefault="0072020E" w:rsidP="00E6784B">
      <w:pPr>
        <w:tabs>
          <w:tab w:val="left" w:pos="540"/>
          <w:tab w:val="left" w:pos="569"/>
        </w:tabs>
        <w:ind w:left="540" w:hanging="540"/>
        <w:jc w:val="both"/>
        <w:rPr>
          <w:b/>
          <w:bCs/>
          <w:sz w:val="22"/>
          <w:szCs w:val="22"/>
          <w:lang w:val="sr-Latn-ME"/>
        </w:rPr>
      </w:pPr>
      <w:r w:rsidRPr="00220369">
        <w:rPr>
          <w:b/>
          <w:bCs/>
          <w:sz w:val="22"/>
          <w:szCs w:val="22"/>
          <w:lang w:val="sr-Latn-ME"/>
        </w:rPr>
        <w:t xml:space="preserve">10. </w:t>
      </w:r>
      <w:r w:rsidR="00480FB1" w:rsidRPr="00220369">
        <w:rPr>
          <w:b/>
          <w:bCs/>
          <w:sz w:val="22"/>
          <w:szCs w:val="22"/>
          <w:lang w:val="sr-Latn-ME"/>
        </w:rPr>
        <w:tab/>
      </w:r>
      <w:r w:rsidR="002846DB" w:rsidRPr="00220369">
        <w:rPr>
          <w:b/>
          <w:bCs/>
          <w:sz w:val="22"/>
          <w:szCs w:val="22"/>
          <w:lang w:val="sr-Latn-ME"/>
        </w:rPr>
        <w:t>D</w:t>
      </w:r>
      <w:r w:rsidR="00EC2532" w:rsidRPr="00220369">
        <w:rPr>
          <w:b/>
          <w:bCs/>
          <w:sz w:val="22"/>
          <w:szCs w:val="22"/>
          <w:lang w:val="sr-Latn-ME"/>
        </w:rPr>
        <w:t>ATUM REVIZIJE TEKSTA</w:t>
      </w:r>
    </w:p>
    <w:p w14:paraId="5AF40ABF" w14:textId="79AA8069" w:rsidR="003F6A59" w:rsidRPr="00220369" w:rsidRDefault="00EC2532" w:rsidP="00E6784B">
      <w:pPr>
        <w:tabs>
          <w:tab w:val="left" w:pos="540"/>
          <w:tab w:val="left" w:pos="569"/>
        </w:tabs>
        <w:ind w:left="540" w:hanging="540"/>
        <w:jc w:val="both"/>
        <w:rPr>
          <w:bCs/>
          <w:sz w:val="22"/>
          <w:szCs w:val="22"/>
          <w:lang w:val="sr-Latn-ME"/>
        </w:rPr>
      </w:pPr>
      <w:r w:rsidRPr="00220369">
        <w:rPr>
          <w:b/>
          <w:bCs/>
          <w:sz w:val="22"/>
          <w:szCs w:val="22"/>
          <w:lang w:val="sr-Latn-ME"/>
        </w:rPr>
        <w:t xml:space="preserve"> </w:t>
      </w:r>
    </w:p>
    <w:p w14:paraId="3ED30B81" w14:textId="4BDAC7D0" w:rsidR="003F6A59" w:rsidRPr="00220369" w:rsidRDefault="00FF0C84" w:rsidP="00E6784B">
      <w:pPr>
        <w:jc w:val="both"/>
        <w:rPr>
          <w:sz w:val="22"/>
          <w:szCs w:val="22"/>
          <w:lang w:val="sr-Latn-ME"/>
        </w:rPr>
      </w:pPr>
      <w:r>
        <w:rPr>
          <w:bCs/>
          <w:sz w:val="22"/>
          <w:szCs w:val="22"/>
          <w:lang w:val="sr-Latn-ME"/>
        </w:rPr>
        <w:t>Novembar, 2024</w:t>
      </w:r>
      <w:r w:rsidR="00F16E52" w:rsidRPr="00220369">
        <w:rPr>
          <w:bCs/>
          <w:sz w:val="22"/>
          <w:szCs w:val="22"/>
          <w:lang w:val="sr-Latn-ME"/>
        </w:rPr>
        <w:t>. godine</w:t>
      </w:r>
    </w:p>
    <w:sectPr w:rsidR="003F6A59" w:rsidRPr="00220369" w:rsidSect="006B5404">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6CF29" w14:textId="77777777" w:rsidR="00C34A43" w:rsidRDefault="00C34A43">
      <w:r>
        <w:separator/>
      </w:r>
    </w:p>
  </w:endnote>
  <w:endnote w:type="continuationSeparator" w:id="0">
    <w:p w14:paraId="14341EE3" w14:textId="77777777" w:rsidR="00C34A43" w:rsidRDefault="00C3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9202D" w14:textId="25C69362" w:rsidR="0063496B" w:rsidRPr="00B23F69" w:rsidRDefault="0063496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A7573">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A7573">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1A001" w14:textId="77777777" w:rsidR="00C34A43" w:rsidRDefault="00C34A43">
      <w:r>
        <w:separator/>
      </w:r>
    </w:p>
  </w:footnote>
  <w:footnote w:type="continuationSeparator" w:id="0">
    <w:p w14:paraId="4FAA2DF7" w14:textId="77777777" w:rsidR="00C34A43" w:rsidRDefault="00C34A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4BAA0F1C"/>
    <w:multiLevelType w:val="hybridMultilevel"/>
    <w:tmpl w:val="DF28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5D8E"/>
    <w:rsid w:val="00036FA0"/>
    <w:rsid w:val="0003793F"/>
    <w:rsid w:val="00045130"/>
    <w:rsid w:val="00057E35"/>
    <w:rsid w:val="00075E28"/>
    <w:rsid w:val="00076726"/>
    <w:rsid w:val="0008001C"/>
    <w:rsid w:val="00080303"/>
    <w:rsid w:val="00083D02"/>
    <w:rsid w:val="000A3F58"/>
    <w:rsid w:val="000C1F65"/>
    <w:rsid w:val="000D2343"/>
    <w:rsid w:val="000D3449"/>
    <w:rsid w:val="000D425A"/>
    <w:rsid w:val="000D60CC"/>
    <w:rsid w:val="000E2084"/>
    <w:rsid w:val="000E225D"/>
    <w:rsid w:val="000E6F55"/>
    <w:rsid w:val="000F77FA"/>
    <w:rsid w:val="00107BF7"/>
    <w:rsid w:val="00126F53"/>
    <w:rsid w:val="0014766D"/>
    <w:rsid w:val="001536CC"/>
    <w:rsid w:val="001A3FBA"/>
    <w:rsid w:val="001A5518"/>
    <w:rsid w:val="001B1C6A"/>
    <w:rsid w:val="001B6132"/>
    <w:rsid w:val="001C1263"/>
    <w:rsid w:val="001C1417"/>
    <w:rsid w:val="001C500A"/>
    <w:rsid w:val="001E390B"/>
    <w:rsid w:val="001F42FB"/>
    <w:rsid w:val="001F719A"/>
    <w:rsid w:val="002031B3"/>
    <w:rsid w:val="00215931"/>
    <w:rsid w:val="00220369"/>
    <w:rsid w:val="00224C91"/>
    <w:rsid w:val="00227BDB"/>
    <w:rsid w:val="00234CB1"/>
    <w:rsid w:val="002352F8"/>
    <w:rsid w:val="002510A5"/>
    <w:rsid w:val="00254A0A"/>
    <w:rsid w:val="00262B94"/>
    <w:rsid w:val="00266046"/>
    <w:rsid w:val="002846DB"/>
    <w:rsid w:val="00284CCD"/>
    <w:rsid w:val="002C6637"/>
    <w:rsid w:val="002E0135"/>
    <w:rsid w:val="002E37A5"/>
    <w:rsid w:val="002E4897"/>
    <w:rsid w:val="002E6D43"/>
    <w:rsid w:val="002F59D9"/>
    <w:rsid w:val="00310F03"/>
    <w:rsid w:val="003162FA"/>
    <w:rsid w:val="00316555"/>
    <w:rsid w:val="003247D2"/>
    <w:rsid w:val="00326FA9"/>
    <w:rsid w:val="003445C1"/>
    <w:rsid w:val="00345A4B"/>
    <w:rsid w:val="0035207C"/>
    <w:rsid w:val="00355B61"/>
    <w:rsid w:val="00362686"/>
    <w:rsid w:val="00371510"/>
    <w:rsid w:val="00396DFD"/>
    <w:rsid w:val="003A7059"/>
    <w:rsid w:val="003B7A36"/>
    <w:rsid w:val="003C17AB"/>
    <w:rsid w:val="003C7823"/>
    <w:rsid w:val="003E1DCC"/>
    <w:rsid w:val="003F11A1"/>
    <w:rsid w:val="003F6A59"/>
    <w:rsid w:val="004053C0"/>
    <w:rsid w:val="004065C8"/>
    <w:rsid w:val="004109FA"/>
    <w:rsid w:val="00411B4B"/>
    <w:rsid w:val="00415BEE"/>
    <w:rsid w:val="00417D59"/>
    <w:rsid w:val="004254E9"/>
    <w:rsid w:val="00427F85"/>
    <w:rsid w:val="00433197"/>
    <w:rsid w:val="00436F42"/>
    <w:rsid w:val="004378B4"/>
    <w:rsid w:val="00451314"/>
    <w:rsid w:val="00452E9D"/>
    <w:rsid w:val="004534C7"/>
    <w:rsid w:val="00462DC5"/>
    <w:rsid w:val="004671AA"/>
    <w:rsid w:val="00471DF8"/>
    <w:rsid w:val="00480FB1"/>
    <w:rsid w:val="00483928"/>
    <w:rsid w:val="004C331F"/>
    <w:rsid w:val="004D6103"/>
    <w:rsid w:val="004E3BCE"/>
    <w:rsid w:val="004E70AD"/>
    <w:rsid w:val="004F0E97"/>
    <w:rsid w:val="004F17E2"/>
    <w:rsid w:val="00501DD1"/>
    <w:rsid w:val="00510FE3"/>
    <w:rsid w:val="00515C21"/>
    <w:rsid w:val="00530BD7"/>
    <w:rsid w:val="00545CD2"/>
    <w:rsid w:val="005476F3"/>
    <w:rsid w:val="005525B8"/>
    <w:rsid w:val="00567DCC"/>
    <w:rsid w:val="00572527"/>
    <w:rsid w:val="005731F0"/>
    <w:rsid w:val="00573E40"/>
    <w:rsid w:val="00576348"/>
    <w:rsid w:val="005A0B2E"/>
    <w:rsid w:val="005A23D2"/>
    <w:rsid w:val="005A36CB"/>
    <w:rsid w:val="005A74C1"/>
    <w:rsid w:val="005B49B8"/>
    <w:rsid w:val="005C0741"/>
    <w:rsid w:val="005C5EF4"/>
    <w:rsid w:val="005E2E0B"/>
    <w:rsid w:val="005E67AD"/>
    <w:rsid w:val="005E7A7D"/>
    <w:rsid w:val="005F3A5C"/>
    <w:rsid w:val="00602457"/>
    <w:rsid w:val="006042CB"/>
    <w:rsid w:val="0063496B"/>
    <w:rsid w:val="00644FC3"/>
    <w:rsid w:val="00646BD1"/>
    <w:rsid w:val="006561C2"/>
    <w:rsid w:val="00671CB3"/>
    <w:rsid w:val="00674BAF"/>
    <w:rsid w:val="00682200"/>
    <w:rsid w:val="00692BF6"/>
    <w:rsid w:val="006A1351"/>
    <w:rsid w:val="006A1497"/>
    <w:rsid w:val="006A5802"/>
    <w:rsid w:val="006B0BD1"/>
    <w:rsid w:val="006B5404"/>
    <w:rsid w:val="006D20A5"/>
    <w:rsid w:val="006D37BF"/>
    <w:rsid w:val="006D5EC1"/>
    <w:rsid w:val="00702E22"/>
    <w:rsid w:val="0072020E"/>
    <w:rsid w:val="00754902"/>
    <w:rsid w:val="00786071"/>
    <w:rsid w:val="007A3ECB"/>
    <w:rsid w:val="007C57CE"/>
    <w:rsid w:val="007D7BB3"/>
    <w:rsid w:val="007E31E9"/>
    <w:rsid w:val="00803001"/>
    <w:rsid w:val="00820607"/>
    <w:rsid w:val="00824AB9"/>
    <w:rsid w:val="0082593D"/>
    <w:rsid w:val="0083045E"/>
    <w:rsid w:val="00836B35"/>
    <w:rsid w:val="00843BDE"/>
    <w:rsid w:val="0087588C"/>
    <w:rsid w:val="0089705C"/>
    <w:rsid w:val="008A6D43"/>
    <w:rsid w:val="008A7573"/>
    <w:rsid w:val="008B491E"/>
    <w:rsid w:val="008C1A28"/>
    <w:rsid w:val="008C2E98"/>
    <w:rsid w:val="008E49BD"/>
    <w:rsid w:val="008E53E9"/>
    <w:rsid w:val="008E5771"/>
    <w:rsid w:val="008F33F0"/>
    <w:rsid w:val="008F4ACF"/>
    <w:rsid w:val="00924166"/>
    <w:rsid w:val="00926F13"/>
    <w:rsid w:val="00933CB3"/>
    <w:rsid w:val="00940B9B"/>
    <w:rsid w:val="009456A5"/>
    <w:rsid w:val="00953573"/>
    <w:rsid w:val="0095676E"/>
    <w:rsid w:val="00956983"/>
    <w:rsid w:val="00963CF0"/>
    <w:rsid w:val="00964BB1"/>
    <w:rsid w:val="009775D9"/>
    <w:rsid w:val="00997175"/>
    <w:rsid w:val="009A1847"/>
    <w:rsid w:val="009B062A"/>
    <w:rsid w:val="009E7C6F"/>
    <w:rsid w:val="009F1793"/>
    <w:rsid w:val="009F2D23"/>
    <w:rsid w:val="00A01D69"/>
    <w:rsid w:val="00A02335"/>
    <w:rsid w:val="00A46C9A"/>
    <w:rsid w:val="00A619F3"/>
    <w:rsid w:val="00A62A73"/>
    <w:rsid w:val="00A8793A"/>
    <w:rsid w:val="00A87FF6"/>
    <w:rsid w:val="00A927DE"/>
    <w:rsid w:val="00AA0A3B"/>
    <w:rsid w:val="00AA2763"/>
    <w:rsid w:val="00AA33B6"/>
    <w:rsid w:val="00AB0AF1"/>
    <w:rsid w:val="00AB50CA"/>
    <w:rsid w:val="00AB6D64"/>
    <w:rsid w:val="00AC53CE"/>
    <w:rsid w:val="00AC74EB"/>
    <w:rsid w:val="00AD2193"/>
    <w:rsid w:val="00AF19F4"/>
    <w:rsid w:val="00AF2AC7"/>
    <w:rsid w:val="00AF74CE"/>
    <w:rsid w:val="00B208DB"/>
    <w:rsid w:val="00B23F69"/>
    <w:rsid w:val="00B60619"/>
    <w:rsid w:val="00B66A70"/>
    <w:rsid w:val="00B67366"/>
    <w:rsid w:val="00B80EE1"/>
    <w:rsid w:val="00B83BB0"/>
    <w:rsid w:val="00B84135"/>
    <w:rsid w:val="00B87752"/>
    <w:rsid w:val="00BB5502"/>
    <w:rsid w:val="00C02A24"/>
    <w:rsid w:val="00C04D34"/>
    <w:rsid w:val="00C05DF8"/>
    <w:rsid w:val="00C06864"/>
    <w:rsid w:val="00C10F54"/>
    <w:rsid w:val="00C23D8D"/>
    <w:rsid w:val="00C34A43"/>
    <w:rsid w:val="00C37AA3"/>
    <w:rsid w:val="00C37FD7"/>
    <w:rsid w:val="00C43419"/>
    <w:rsid w:val="00C44CF3"/>
    <w:rsid w:val="00C55E3D"/>
    <w:rsid w:val="00C61BE0"/>
    <w:rsid w:val="00C6707E"/>
    <w:rsid w:val="00C70B0E"/>
    <w:rsid w:val="00C76B56"/>
    <w:rsid w:val="00C773CA"/>
    <w:rsid w:val="00C83785"/>
    <w:rsid w:val="00C94C0D"/>
    <w:rsid w:val="00CA1FEB"/>
    <w:rsid w:val="00CD4F85"/>
    <w:rsid w:val="00CD6F02"/>
    <w:rsid w:val="00CE246D"/>
    <w:rsid w:val="00CF07A0"/>
    <w:rsid w:val="00CF3E03"/>
    <w:rsid w:val="00D0082A"/>
    <w:rsid w:val="00D10D0D"/>
    <w:rsid w:val="00D21455"/>
    <w:rsid w:val="00D47634"/>
    <w:rsid w:val="00D657C2"/>
    <w:rsid w:val="00D709B3"/>
    <w:rsid w:val="00D71415"/>
    <w:rsid w:val="00D74CD2"/>
    <w:rsid w:val="00DA2ED6"/>
    <w:rsid w:val="00DA3534"/>
    <w:rsid w:val="00DB1D55"/>
    <w:rsid w:val="00DB76B8"/>
    <w:rsid w:val="00DC2EA1"/>
    <w:rsid w:val="00DD6AAF"/>
    <w:rsid w:val="00DE3F5C"/>
    <w:rsid w:val="00DF1D20"/>
    <w:rsid w:val="00E21324"/>
    <w:rsid w:val="00E246B9"/>
    <w:rsid w:val="00E31FEA"/>
    <w:rsid w:val="00E45169"/>
    <w:rsid w:val="00E47787"/>
    <w:rsid w:val="00E51C30"/>
    <w:rsid w:val="00E64180"/>
    <w:rsid w:val="00E6784B"/>
    <w:rsid w:val="00E7235D"/>
    <w:rsid w:val="00E74AEE"/>
    <w:rsid w:val="00E868E5"/>
    <w:rsid w:val="00E9237A"/>
    <w:rsid w:val="00E939FA"/>
    <w:rsid w:val="00EA5765"/>
    <w:rsid w:val="00EC2532"/>
    <w:rsid w:val="00ED7812"/>
    <w:rsid w:val="00EF3B86"/>
    <w:rsid w:val="00F0546B"/>
    <w:rsid w:val="00F16E52"/>
    <w:rsid w:val="00F317E9"/>
    <w:rsid w:val="00F34554"/>
    <w:rsid w:val="00F35B68"/>
    <w:rsid w:val="00F45F77"/>
    <w:rsid w:val="00F5167F"/>
    <w:rsid w:val="00F52258"/>
    <w:rsid w:val="00F53774"/>
    <w:rsid w:val="00F8570A"/>
    <w:rsid w:val="00F87550"/>
    <w:rsid w:val="00F91C7B"/>
    <w:rsid w:val="00FF0C84"/>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90F7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customStyle="1" w:styleId="TableGrid">
    <w:name w:val="TableGrid"/>
    <w:rsid w:val="005731F0"/>
    <w:rPr>
      <w:rFonts w:ascii="Calibri" w:hAnsi="Calibri"/>
      <w:sz w:val="22"/>
      <w:szCs w:val="22"/>
      <w:lang w:val="en-US" w:eastAsia="en-US"/>
    </w:rPr>
    <w:tblPr>
      <w:tblCellMar>
        <w:top w:w="0" w:type="dxa"/>
        <w:left w:w="0" w:type="dxa"/>
        <w:bottom w:w="0" w:type="dxa"/>
        <w:right w:w="0" w:type="dxa"/>
      </w:tblCellMar>
    </w:tblPr>
  </w:style>
  <w:style w:type="paragraph" w:styleId="Revision">
    <w:name w:val="Revision"/>
    <w:hidden/>
    <w:uiPriority w:val="99"/>
    <w:semiHidden/>
    <w:rsid w:val="009456A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0" ma:contentTypeDescription="Create a new document." ma:contentTypeScope="" ma:versionID="0685d0fcaf62fe0f482522153a8ce2d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727844c2a5ebeb5492f9be5f9c8b4526"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4FA0C-2954-4FDA-B6BA-CE8A32D7E053}">
  <ds:schemaRefs>
    <ds:schemaRef ds:uri="http://schemas.microsoft.com/sharepoint/v3/contenttype/forms"/>
  </ds:schemaRefs>
</ds:datastoreItem>
</file>

<file path=customXml/itemProps2.xml><?xml version="1.0" encoding="utf-8"?>
<ds:datastoreItem xmlns:ds="http://schemas.openxmlformats.org/officeDocument/2006/customXml" ds:itemID="{7FE569CB-E046-4AC7-8367-0A2FAACA2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95B-60D8-485B-B3AD-CCDA3AAE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4558</Words>
  <Characters>25985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30483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Ljumović</cp:lastModifiedBy>
  <cp:revision>3</cp:revision>
  <cp:lastPrinted>2023-02-09T08:16:00Z</cp:lastPrinted>
  <dcterms:created xsi:type="dcterms:W3CDTF">2024-11-12T13:06:00Z</dcterms:created>
  <dcterms:modified xsi:type="dcterms:W3CDTF">2024-11-12T13:08:00Z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