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6A052" w14:textId="77777777" w:rsidR="00CE09F3" w:rsidRPr="001870F3" w:rsidRDefault="00CE09F3" w:rsidP="001870F3">
      <w:pPr>
        <w:widowControl w:val="0"/>
        <w:jc w:val="center"/>
        <w:rPr>
          <w:b/>
          <w:bCs/>
          <w:iCs/>
          <w:szCs w:val="22"/>
          <w:u w:val="single"/>
          <w:lang w:val="sr-Latn-ME"/>
        </w:rPr>
      </w:pPr>
      <w:bookmarkStart w:id="0" w:name="_GoBack"/>
      <w:bookmarkEnd w:id="0"/>
      <w:r w:rsidRPr="001870F3">
        <w:rPr>
          <w:b/>
          <w:bCs/>
          <w:iCs/>
          <w:szCs w:val="22"/>
          <w:u w:val="single"/>
          <w:lang w:val="sr-Latn-ME"/>
        </w:rPr>
        <w:t>SAŽETAK KARAKTERISTIKA L</w:t>
      </w:r>
      <w:r w:rsidR="00173DB9" w:rsidRPr="001870F3">
        <w:rPr>
          <w:b/>
          <w:bCs/>
          <w:iCs/>
          <w:szCs w:val="22"/>
          <w:u w:val="single"/>
          <w:lang w:val="sr-Latn-ME"/>
        </w:rPr>
        <w:t>IJ</w:t>
      </w:r>
      <w:r w:rsidRPr="001870F3">
        <w:rPr>
          <w:b/>
          <w:bCs/>
          <w:iCs/>
          <w:szCs w:val="22"/>
          <w:u w:val="single"/>
          <w:lang w:val="sr-Latn-ME"/>
        </w:rPr>
        <w:t>EKA</w:t>
      </w:r>
    </w:p>
    <w:p w14:paraId="2E86A053" w14:textId="77777777" w:rsidR="00383195" w:rsidRPr="001870F3" w:rsidRDefault="003E3EC7" w:rsidP="001870F3">
      <w:pPr>
        <w:widowControl w:val="0"/>
        <w:rPr>
          <w:szCs w:val="22"/>
          <w:lang w:val="sr-Latn-ME"/>
        </w:rPr>
      </w:pPr>
      <w:r w:rsidRPr="001870F3">
        <w:rPr>
          <w:szCs w:val="22"/>
          <w:lang w:val="sr-Latn-ME"/>
        </w:rPr>
        <w:t xml:space="preserve"> </w:t>
      </w:r>
    </w:p>
    <w:p w14:paraId="2E86A054" w14:textId="77777777" w:rsidR="00383195" w:rsidRPr="001870F3" w:rsidRDefault="00383195" w:rsidP="001870F3">
      <w:pPr>
        <w:widowControl w:val="0"/>
        <w:rPr>
          <w:szCs w:val="22"/>
          <w:lang w:val="sr-Latn-ME"/>
        </w:rPr>
      </w:pPr>
    </w:p>
    <w:p w14:paraId="2E86A057" w14:textId="653D1B54" w:rsidR="00CE09F3" w:rsidRDefault="00CE09F3" w:rsidP="001870F3">
      <w:pPr>
        <w:pStyle w:val="NASLOV123"/>
        <w:widowControl w:val="0"/>
        <w:spacing w:before="0" w:after="0"/>
        <w:jc w:val="both"/>
        <w:rPr>
          <w:lang w:val="sr-Latn-ME"/>
        </w:rPr>
      </w:pPr>
      <w:r w:rsidRPr="001870F3">
        <w:rPr>
          <w:lang w:val="sr-Latn-ME"/>
        </w:rPr>
        <w:t>1</w:t>
      </w:r>
      <w:r w:rsidR="005456BC" w:rsidRPr="001870F3">
        <w:rPr>
          <w:lang w:val="sr-Latn-ME"/>
        </w:rPr>
        <w:t xml:space="preserve">. </w:t>
      </w:r>
      <w:r w:rsidR="00173DB9" w:rsidRPr="001870F3">
        <w:rPr>
          <w:lang w:val="sr-Latn-ME"/>
        </w:rPr>
        <w:t>NAZIV LIJEKA</w:t>
      </w:r>
    </w:p>
    <w:p w14:paraId="744E5DD9" w14:textId="77777777" w:rsidR="001870F3" w:rsidRPr="001870F3" w:rsidRDefault="001870F3" w:rsidP="001870F3">
      <w:pPr>
        <w:pStyle w:val="NASLOV123"/>
        <w:widowControl w:val="0"/>
        <w:spacing w:before="0" w:after="0"/>
        <w:jc w:val="both"/>
        <w:rPr>
          <w:lang w:val="sr-Latn-ME"/>
        </w:rPr>
      </w:pPr>
    </w:p>
    <w:p w14:paraId="2E86A058" w14:textId="20BDC451" w:rsidR="00A25FBF" w:rsidRPr="001870F3" w:rsidRDefault="00A25FBF" w:rsidP="001870F3">
      <w:pPr>
        <w:widowControl w:val="0"/>
        <w:rPr>
          <w:bCs/>
          <w:szCs w:val="22"/>
          <w:lang w:val="sr-Latn-ME"/>
        </w:rPr>
      </w:pPr>
      <w:r w:rsidRPr="001870F3">
        <w:rPr>
          <w:bCs/>
          <w:szCs w:val="22"/>
          <w:lang w:val="sr-Latn-ME"/>
        </w:rPr>
        <w:t>Dolista</w:t>
      </w:r>
      <w:r w:rsidR="004E45E2" w:rsidRPr="001870F3">
        <w:rPr>
          <w:bCs/>
          <w:szCs w:val="22"/>
          <w:vertAlign w:val="superscript"/>
          <w:lang w:val="sr-Latn-ME"/>
        </w:rPr>
        <w:t xml:space="preserve"> </w:t>
      </w:r>
      <w:r w:rsidRPr="001870F3">
        <w:rPr>
          <w:bCs/>
          <w:szCs w:val="22"/>
          <w:lang w:val="sr-Latn-ME"/>
        </w:rPr>
        <w:t>Duo</w:t>
      </w:r>
      <w:r w:rsidR="00CE09F3" w:rsidRPr="001870F3">
        <w:rPr>
          <w:bCs/>
          <w:szCs w:val="22"/>
          <w:lang w:val="sr-Latn-ME"/>
        </w:rPr>
        <w:t xml:space="preserve">, </w:t>
      </w:r>
      <w:r w:rsidRPr="001870F3">
        <w:rPr>
          <w:bCs/>
          <w:szCs w:val="22"/>
          <w:lang w:val="sr-Latn-ME"/>
        </w:rPr>
        <w:t>850 mg</w:t>
      </w:r>
      <w:r w:rsidR="00994192" w:rsidRPr="001870F3">
        <w:rPr>
          <w:bCs/>
          <w:szCs w:val="22"/>
          <w:lang w:val="sr-Latn-ME"/>
        </w:rPr>
        <w:t xml:space="preserve"> </w:t>
      </w:r>
      <w:r w:rsidR="00712C9B" w:rsidRPr="001870F3">
        <w:rPr>
          <w:bCs/>
          <w:szCs w:val="22"/>
          <w:lang w:val="sr-Latn-ME"/>
        </w:rPr>
        <w:t>+</w:t>
      </w:r>
      <w:r w:rsidR="00994192" w:rsidRPr="001870F3">
        <w:rPr>
          <w:bCs/>
          <w:szCs w:val="22"/>
          <w:lang w:val="sr-Latn-ME"/>
        </w:rPr>
        <w:t xml:space="preserve"> </w:t>
      </w:r>
      <w:r w:rsidR="00E603E0" w:rsidRPr="001870F3">
        <w:rPr>
          <w:bCs/>
          <w:szCs w:val="22"/>
          <w:lang w:val="sr-Latn-ME"/>
        </w:rPr>
        <w:t>50 mg</w:t>
      </w:r>
      <w:r w:rsidRPr="001870F3">
        <w:rPr>
          <w:bCs/>
          <w:szCs w:val="22"/>
          <w:lang w:val="sr-Latn-ME"/>
        </w:rPr>
        <w:t>, film tablet</w:t>
      </w:r>
      <w:r w:rsidR="00467445" w:rsidRPr="001870F3">
        <w:rPr>
          <w:bCs/>
          <w:szCs w:val="22"/>
          <w:lang w:val="sr-Latn-ME"/>
        </w:rPr>
        <w:t>a</w:t>
      </w:r>
    </w:p>
    <w:p w14:paraId="2E86A059" w14:textId="5DDE387B" w:rsidR="00A25FBF" w:rsidRPr="001870F3" w:rsidRDefault="00A25FBF" w:rsidP="001870F3">
      <w:pPr>
        <w:widowControl w:val="0"/>
        <w:rPr>
          <w:bCs/>
          <w:szCs w:val="22"/>
          <w:lang w:val="sr-Latn-ME"/>
        </w:rPr>
      </w:pPr>
      <w:r w:rsidRPr="001870F3">
        <w:rPr>
          <w:bCs/>
          <w:szCs w:val="22"/>
          <w:lang w:val="sr-Latn-ME"/>
        </w:rPr>
        <w:t>Dolista</w:t>
      </w:r>
      <w:r w:rsidRPr="001870F3">
        <w:rPr>
          <w:bCs/>
          <w:szCs w:val="22"/>
          <w:vertAlign w:val="superscript"/>
          <w:lang w:val="sr-Latn-ME"/>
        </w:rPr>
        <w:t xml:space="preserve"> </w:t>
      </w:r>
      <w:r w:rsidRPr="001870F3">
        <w:rPr>
          <w:bCs/>
          <w:szCs w:val="22"/>
          <w:lang w:val="sr-Latn-ME"/>
        </w:rPr>
        <w:t>Duo, 1000 mg</w:t>
      </w:r>
      <w:r w:rsidR="00994192" w:rsidRPr="001870F3">
        <w:rPr>
          <w:bCs/>
          <w:szCs w:val="22"/>
          <w:lang w:val="sr-Latn-ME"/>
        </w:rPr>
        <w:t xml:space="preserve"> </w:t>
      </w:r>
      <w:r w:rsidR="00E603E0" w:rsidRPr="001870F3">
        <w:rPr>
          <w:bCs/>
          <w:szCs w:val="22"/>
          <w:lang w:val="sr-Latn-ME"/>
        </w:rPr>
        <w:t>+</w:t>
      </w:r>
      <w:r w:rsidR="00994192" w:rsidRPr="001870F3">
        <w:rPr>
          <w:bCs/>
          <w:szCs w:val="22"/>
          <w:lang w:val="sr-Latn-ME"/>
        </w:rPr>
        <w:t xml:space="preserve"> </w:t>
      </w:r>
      <w:r w:rsidR="00E603E0" w:rsidRPr="001870F3">
        <w:rPr>
          <w:bCs/>
          <w:szCs w:val="22"/>
          <w:lang w:val="sr-Latn-ME"/>
        </w:rPr>
        <w:t>50 mg</w:t>
      </w:r>
      <w:r w:rsidRPr="001870F3">
        <w:rPr>
          <w:bCs/>
          <w:szCs w:val="22"/>
          <w:lang w:val="sr-Latn-ME"/>
        </w:rPr>
        <w:t>, film tablet</w:t>
      </w:r>
      <w:r w:rsidR="00467445" w:rsidRPr="001870F3">
        <w:rPr>
          <w:bCs/>
          <w:szCs w:val="22"/>
          <w:lang w:val="sr-Latn-ME"/>
        </w:rPr>
        <w:t>a</w:t>
      </w:r>
    </w:p>
    <w:p w14:paraId="2E86A05A" w14:textId="77777777" w:rsidR="00CE09F3" w:rsidRPr="001870F3" w:rsidRDefault="00CE09F3" w:rsidP="001870F3">
      <w:pPr>
        <w:widowControl w:val="0"/>
        <w:rPr>
          <w:bCs/>
          <w:szCs w:val="22"/>
          <w:lang w:val="sr-Latn-ME"/>
        </w:rPr>
      </w:pPr>
      <w:r w:rsidRPr="001870F3">
        <w:rPr>
          <w:bCs/>
          <w:szCs w:val="22"/>
          <w:lang w:val="sr-Latn-ME"/>
        </w:rPr>
        <w:t xml:space="preserve">  </w:t>
      </w:r>
    </w:p>
    <w:p w14:paraId="2E86A05B" w14:textId="241EAF51" w:rsidR="00CE09F3" w:rsidRPr="001870F3" w:rsidRDefault="00CE09F3" w:rsidP="001870F3">
      <w:pPr>
        <w:widowControl w:val="0"/>
        <w:rPr>
          <w:szCs w:val="22"/>
          <w:lang w:val="sr-Latn-ME"/>
        </w:rPr>
      </w:pPr>
      <w:r w:rsidRPr="001870F3">
        <w:rPr>
          <w:szCs w:val="22"/>
          <w:lang w:val="sr-Latn-ME"/>
        </w:rPr>
        <w:t>INN:</w:t>
      </w:r>
      <w:r w:rsidR="00A25FBF" w:rsidRPr="001870F3">
        <w:rPr>
          <w:szCs w:val="22"/>
          <w:lang w:val="sr-Latn-ME"/>
        </w:rPr>
        <w:t xml:space="preserve"> metformin</w:t>
      </w:r>
      <w:r w:rsidR="00E603E0" w:rsidRPr="001870F3">
        <w:rPr>
          <w:szCs w:val="22"/>
          <w:lang w:val="sr-Latn-ME"/>
        </w:rPr>
        <w:t>, sitagliptin</w:t>
      </w:r>
    </w:p>
    <w:p w14:paraId="2E86A05C" w14:textId="5684BD22" w:rsidR="00CE09F3" w:rsidRDefault="00CE09F3" w:rsidP="001870F3">
      <w:pPr>
        <w:widowControl w:val="0"/>
        <w:rPr>
          <w:b/>
          <w:bCs/>
          <w:szCs w:val="22"/>
          <w:lang w:val="sr-Latn-ME"/>
        </w:rPr>
      </w:pPr>
    </w:p>
    <w:p w14:paraId="3D58AF20" w14:textId="77777777" w:rsidR="001870F3" w:rsidRPr="001870F3" w:rsidRDefault="001870F3" w:rsidP="001870F3">
      <w:pPr>
        <w:widowControl w:val="0"/>
        <w:rPr>
          <w:b/>
          <w:bCs/>
          <w:szCs w:val="22"/>
          <w:lang w:val="sr-Latn-ME"/>
        </w:rPr>
      </w:pPr>
    </w:p>
    <w:p w14:paraId="2E86A05D" w14:textId="6C0D59DB" w:rsidR="00CE09F3" w:rsidRDefault="00CE09F3" w:rsidP="001870F3">
      <w:pPr>
        <w:pStyle w:val="NASLOV123"/>
        <w:widowControl w:val="0"/>
        <w:spacing w:before="0" w:after="0"/>
        <w:jc w:val="both"/>
        <w:rPr>
          <w:lang w:val="sr-Latn-ME"/>
        </w:rPr>
      </w:pPr>
      <w:r w:rsidRPr="001870F3">
        <w:rPr>
          <w:lang w:val="sr-Latn-ME"/>
        </w:rPr>
        <w:t>2. KVALITATIVNI I KVANTITATIVNI SASTAV</w:t>
      </w:r>
    </w:p>
    <w:p w14:paraId="573D244A" w14:textId="77777777" w:rsidR="001870F3" w:rsidRPr="001870F3" w:rsidRDefault="001870F3" w:rsidP="001870F3">
      <w:pPr>
        <w:pStyle w:val="NASLOV123"/>
        <w:widowControl w:val="0"/>
        <w:spacing w:before="0" w:after="0"/>
        <w:jc w:val="both"/>
        <w:rPr>
          <w:lang w:val="sr-Latn-ME"/>
        </w:rPr>
      </w:pPr>
    </w:p>
    <w:p w14:paraId="366C6F49" w14:textId="48C902C6" w:rsidR="00467445" w:rsidRPr="001870F3" w:rsidRDefault="00A25FBF"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Duo, 850 mg</w:t>
      </w:r>
      <w:r w:rsidR="00994192" w:rsidRPr="001870F3">
        <w:rPr>
          <w:bCs/>
          <w:i/>
          <w:szCs w:val="22"/>
          <w:u w:val="single"/>
          <w:lang w:val="sr-Latn-ME"/>
        </w:rPr>
        <w:t xml:space="preserve"> </w:t>
      </w:r>
      <w:r w:rsidR="00F0744D" w:rsidRPr="001870F3">
        <w:rPr>
          <w:bCs/>
          <w:i/>
          <w:szCs w:val="22"/>
          <w:u w:val="single"/>
          <w:lang w:val="sr-Latn-ME"/>
        </w:rPr>
        <w:t>+</w:t>
      </w:r>
      <w:r w:rsidR="00994192" w:rsidRPr="001870F3">
        <w:rPr>
          <w:bCs/>
          <w:i/>
          <w:szCs w:val="22"/>
          <w:u w:val="single"/>
          <w:lang w:val="sr-Latn-ME"/>
        </w:rPr>
        <w:t xml:space="preserve"> </w:t>
      </w:r>
      <w:r w:rsidR="00F0744D" w:rsidRPr="001870F3">
        <w:rPr>
          <w:bCs/>
          <w:i/>
          <w:szCs w:val="22"/>
          <w:u w:val="single"/>
          <w:lang w:val="sr-Latn-ME"/>
        </w:rPr>
        <w:t>50 mg</w:t>
      </w:r>
      <w:r w:rsidRPr="001870F3">
        <w:rPr>
          <w:bCs/>
          <w:i/>
          <w:szCs w:val="22"/>
          <w:u w:val="single"/>
          <w:lang w:val="sr-Latn-ME"/>
        </w:rPr>
        <w:t>, film tablet</w:t>
      </w:r>
      <w:r w:rsidR="00467445" w:rsidRPr="001870F3">
        <w:rPr>
          <w:bCs/>
          <w:i/>
          <w:szCs w:val="22"/>
          <w:u w:val="single"/>
          <w:lang w:val="sr-Latn-ME"/>
        </w:rPr>
        <w:t>a</w:t>
      </w:r>
    </w:p>
    <w:p w14:paraId="05BEBDCB" w14:textId="2F6ED370" w:rsidR="00F0744D" w:rsidRPr="001870F3" w:rsidRDefault="00467445" w:rsidP="001870F3">
      <w:pPr>
        <w:widowControl w:val="0"/>
        <w:rPr>
          <w:szCs w:val="22"/>
          <w:lang w:val="sr-Latn-ME"/>
        </w:rPr>
      </w:pPr>
      <w:bookmarkStart w:id="1" w:name="_Hlk116368253"/>
      <w:r w:rsidRPr="001870F3">
        <w:rPr>
          <w:szCs w:val="22"/>
          <w:lang w:val="sr-Latn-ME"/>
        </w:rPr>
        <w:t>Svaka</w:t>
      </w:r>
      <w:r w:rsidR="00A25FBF" w:rsidRPr="001870F3">
        <w:rPr>
          <w:szCs w:val="22"/>
          <w:lang w:val="sr-Latn-ME"/>
        </w:rPr>
        <w:t xml:space="preserve"> </w:t>
      </w:r>
      <w:r w:rsidR="000220E4" w:rsidRPr="001870F3">
        <w:rPr>
          <w:szCs w:val="22"/>
          <w:lang w:val="sr-Latn-ME"/>
        </w:rPr>
        <w:t xml:space="preserve">film tableta </w:t>
      </w:r>
      <w:r w:rsidR="00A25FBF" w:rsidRPr="001870F3">
        <w:rPr>
          <w:szCs w:val="22"/>
          <w:lang w:val="sr-Latn-ME"/>
        </w:rPr>
        <w:t>sadrži</w:t>
      </w:r>
      <w:r w:rsidR="000220E4" w:rsidRPr="001870F3">
        <w:rPr>
          <w:szCs w:val="22"/>
          <w:lang w:val="sr-Latn-ME"/>
        </w:rPr>
        <w:t xml:space="preserve"> </w:t>
      </w:r>
      <w:r w:rsidR="00F0744D" w:rsidRPr="001870F3">
        <w:rPr>
          <w:szCs w:val="22"/>
          <w:lang w:val="sr-Latn-ME"/>
        </w:rPr>
        <w:t>sitagliptin</w:t>
      </w:r>
      <w:r w:rsidR="000220E4" w:rsidRPr="001870F3">
        <w:rPr>
          <w:szCs w:val="22"/>
          <w:lang w:val="sr-Latn-ME"/>
        </w:rPr>
        <w:t xml:space="preserve"> hidrohlorid monohidra</w:t>
      </w:r>
      <w:r w:rsidR="00200B67" w:rsidRPr="001870F3">
        <w:rPr>
          <w:szCs w:val="22"/>
          <w:lang w:val="sr-Latn-ME"/>
        </w:rPr>
        <w:t xml:space="preserve">t ekvivalentan </w:t>
      </w:r>
      <w:r w:rsidR="00F0744D" w:rsidRPr="001870F3">
        <w:rPr>
          <w:szCs w:val="22"/>
          <w:lang w:val="sr-Latn-ME"/>
        </w:rPr>
        <w:t>50 mg</w:t>
      </w:r>
      <w:r w:rsidR="00200B67" w:rsidRPr="001870F3">
        <w:rPr>
          <w:szCs w:val="22"/>
          <w:lang w:val="sr-Latn-ME"/>
        </w:rPr>
        <w:t xml:space="preserve"> sitagliptina i 850 mg metformin hidrohlorida.</w:t>
      </w:r>
    </w:p>
    <w:p w14:paraId="0C97C8A2" w14:textId="77777777" w:rsidR="000220E4" w:rsidRPr="001870F3" w:rsidRDefault="000220E4" w:rsidP="001870F3">
      <w:pPr>
        <w:widowControl w:val="0"/>
        <w:rPr>
          <w:szCs w:val="22"/>
          <w:lang w:val="sr-Latn-ME"/>
        </w:rPr>
      </w:pPr>
    </w:p>
    <w:bookmarkEnd w:id="1"/>
    <w:p w14:paraId="01B9081A" w14:textId="50E66B98" w:rsidR="000220E4" w:rsidRPr="001870F3" w:rsidRDefault="000220E4" w:rsidP="001870F3">
      <w:pPr>
        <w:widowControl w:val="0"/>
        <w:rPr>
          <w:szCs w:val="22"/>
          <w:lang w:val="sr-Latn-ME"/>
        </w:rPr>
      </w:pPr>
      <w:r w:rsidRPr="001870F3">
        <w:rPr>
          <w:szCs w:val="22"/>
          <w:lang w:val="sr-Latn-ME"/>
        </w:rPr>
        <w:t xml:space="preserve">Pomoćna supstanca sa povrđenim dejstvom: </w:t>
      </w:r>
    </w:p>
    <w:p w14:paraId="32BA88FA" w14:textId="2E7D0825" w:rsidR="000220E4" w:rsidRPr="001870F3" w:rsidRDefault="000220E4" w:rsidP="001870F3">
      <w:pPr>
        <w:widowControl w:val="0"/>
        <w:rPr>
          <w:szCs w:val="22"/>
          <w:lang w:val="sr-Latn-ME"/>
        </w:rPr>
      </w:pPr>
      <w:r w:rsidRPr="001870F3">
        <w:rPr>
          <w:szCs w:val="22"/>
          <w:lang w:val="sr-Latn-ME"/>
        </w:rPr>
        <w:t>Jedna tableta sadrži 27,6 mg natrijuma</w:t>
      </w:r>
      <w:r w:rsidR="00392A83" w:rsidRPr="001870F3">
        <w:rPr>
          <w:szCs w:val="22"/>
          <w:lang w:val="sr-Latn-ME"/>
        </w:rPr>
        <w:t>.</w:t>
      </w:r>
      <w:r w:rsidRPr="001870F3">
        <w:rPr>
          <w:szCs w:val="22"/>
          <w:lang w:val="sr-Latn-ME"/>
        </w:rPr>
        <w:t xml:space="preserve"> </w:t>
      </w:r>
    </w:p>
    <w:p w14:paraId="2E86A063" w14:textId="77777777" w:rsidR="00A25FBF" w:rsidRPr="001870F3" w:rsidRDefault="00A25FBF" w:rsidP="001870F3">
      <w:pPr>
        <w:widowControl w:val="0"/>
        <w:rPr>
          <w:szCs w:val="22"/>
          <w:lang w:val="sr-Latn-ME"/>
        </w:rPr>
      </w:pPr>
    </w:p>
    <w:p w14:paraId="2E86A064" w14:textId="53FAA892" w:rsidR="00A25FBF" w:rsidRPr="001870F3" w:rsidRDefault="00A25FBF"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 xml:space="preserve">Duo, </w:t>
      </w:r>
      <w:r w:rsidR="00BE0249" w:rsidRPr="001870F3">
        <w:rPr>
          <w:bCs/>
          <w:i/>
          <w:szCs w:val="22"/>
          <w:u w:val="single"/>
          <w:lang w:val="sr-Latn-ME"/>
        </w:rPr>
        <w:t>100</w:t>
      </w:r>
      <w:r w:rsidRPr="001870F3">
        <w:rPr>
          <w:bCs/>
          <w:i/>
          <w:szCs w:val="22"/>
          <w:u w:val="single"/>
          <w:lang w:val="sr-Latn-ME"/>
        </w:rPr>
        <w:t>0 mg</w:t>
      </w:r>
      <w:r w:rsidR="0013370A" w:rsidRPr="001870F3">
        <w:rPr>
          <w:bCs/>
          <w:i/>
          <w:szCs w:val="22"/>
          <w:u w:val="single"/>
          <w:lang w:val="sr-Latn-ME"/>
        </w:rPr>
        <w:t xml:space="preserve"> </w:t>
      </w:r>
      <w:r w:rsidR="00F0744D" w:rsidRPr="001870F3">
        <w:rPr>
          <w:bCs/>
          <w:i/>
          <w:szCs w:val="22"/>
          <w:u w:val="single"/>
          <w:lang w:val="sr-Latn-ME"/>
        </w:rPr>
        <w:t>+</w:t>
      </w:r>
      <w:r w:rsidR="0013370A" w:rsidRPr="001870F3">
        <w:rPr>
          <w:bCs/>
          <w:i/>
          <w:szCs w:val="22"/>
          <w:u w:val="single"/>
          <w:lang w:val="sr-Latn-ME"/>
        </w:rPr>
        <w:t xml:space="preserve"> </w:t>
      </w:r>
      <w:r w:rsidR="00F0744D" w:rsidRPr="001870F3">
        <w:rPr>
          <w:bCs/>
          <w:i/>
          <w:szCs w:val="22"/>
          <w:u w:val="single"/>
          <w:lang w:val="sr-Latn-ME"/>
        </w:rPr>
        <w:t>50 mg</w:t>
      </w:r>
      <w:r w:rsidRPr="001870F3">
        <w:rPr>
          <w:bCs/>
          <w:i/>
          <w:szCs w:val="22"/>
          <w:u w:val="single"/>
          <w:lang w:val="sr-Latn-ME"/>
        </w:rPr>
        <w:t>, film tablet</w:t>
      </w:r>
      <w:r w:rsidR="0013370A" w:rsidRPr="001870F3">
        <w:rPr>
          <w:bCs/>
          <w:i/>
          <w:szCs w:val="22"/>
          <w:u w:val="single"/>
          <w:lang w:val="sr-Latn-ME"/>
        </w:rPr>
        <w:t>a</w:t>
      </w:r>
    </w:p>
    <w:p w14:paraId="5E02F15E" w14:textId="51369D76" w:rsidR="00200B67" w:rsidRPr="001870F3" w:rsidRDefault="00467445" w:rsidP="001870F3">
      <w:pPr>
        <w:widowControl w:val="0"/>
        <w:rPr>
          <w:szCs w:val="22"/>
          <w:lang w:val="sr-Latn-ME"/>
        </w:rPr>
      </w:pPr>
      <w:r w:rsidRPr="001870F3">
        <w:rPr>
          <w:szCs w:val="22"/>
          <w:lang w:val="sr-Latn-ME"/>
        </w:rPr>
        <w:t>Svaka</w:t>
      </w:r>
      <w:r w:rsidR="00200B67" w:rsidRPr="001870F3">
        <w:rPr>
          <w:szCs w:val="22"/>
          <w:lang w:val="sr-Latn-ME"/>
        </w:rPr>
        <w:t xml:space="preserve"> film tableta sadrži sitagliptin hidrohlorid monohidrat ekvivalentan 50 mg sitagliptina i 1000 mg metformin hidrohlorida.</w:t>
      </w:r>
    </w:p>
    <w:p w14:paraId="7A041478" w14:textId="77777777" w:rsidR="00467445" w:rsidRPr="001870F3" w:rsidRDefault="00467445" w:rsidP="001870F3">
      <w:pPr>
        <w:widowControl w:val="0"/>
        <w:rPr>
          <w:szCs w:val="22"/>
          <w:lang w:val="sr-Latn-ME"/>
        </w:rPr>
      </w:pPr>
    </w:p>
    <w:p w14:paraId="1D4C9744" w14:textId="69D0601C" w:rsidR="00200B67" w:rsidRPr="001870F3" w:rsidRDefault="00200B67" w:rsidP="001870F3">
      <w:pPr>
        <w:widowControl w:val="0"/>
        <w:rPr>
          <w:szCs w:val="22"/>
          <w:lang w:val="sr-Latn-ME"/>
        </w:rPr>
      </w:pPr>
      <w:r w:rsidRPr="001870F3">
        <w:rPr>
          <w:szCs w:val="22"/>
          <w:lang w:val="sr-Latn-ME"/>
        </w:rPr>
        <w:t xml:space="preserve">Pomoćna supstanca sa povrđenim dejstvom: </w:t>
      </w:r>
    </w:p>
    <w:p w14:paraId="1E53CBC5" w14:textId="10CEFB41" w:rsidR="00200B67" w:rsidRPr="001870F3" w:rsidRDefault="00200B67" w:rsidP="001870F3">
      <w:pPr>
        <w:widowControl w:val="0"/>
        <w:rPr>
          <w:szCs w:val="22"/>
          <w:lang w:val="sr-Latn-ME"/>
        </w:rPr>
      </w:pPr>
      <w:r w:rsidRPr="001870F3">
        <w:rPr>
          <w:szCs w:val="22"/>
          <w:lang w:val="sr-Latn-ME"/>
        </w:rPr>
        <w:t>Jedna tableta sadrži 32,5 mg natrijuma.</w:t>
      </w:r>
    </w:p>
    <w:p w14:paraId="31F29E2F" w14:textId="77777777" w:rsidR="00200B67" w:rsidRPr="001870F3" w:rsidRDefault="00200B67" w:rsidP="001870F3">
      <w:pPr>
        <w:widowControl w:val="0"/>
        <w:rPr>
          <w:szCs w:val="22"/>
          <w:lang w:val="sr-Latn-ME"/>
        </w:rPr>
      </w:pPr>
    </w:p>
    <w:p w14:paraId="360C9162" w14:textId="77777777" w:rsidR="00200B67" w:rsidRPr="001870F3" w:rsidRDefault="00200B67" w:rsidP="001870F3">
      <w:pPr>
        <w:widowControl w:val="0"/>
        <w:rPr>
          <w:szCs w:val="22"/>
          <w:lang w:val="sr-Latn-ME"/>
        </w:rPr>
      </w:pPr>
      <w:r w:rsidRPr="001870F3">
        <w:rPr>
          <w:szCs w:val="22"/>
          <w:lang w:val="sr-Latn-ME"/>
        </w:rPr>
        <w:t>Za spisak svih ekscipijenasa, pogledati dio 6.1.</w:t>
      </w:r>
    </w:p>
    <w:p w14:paraId="2E86A06E" w14:textId="28BF33FE" w:rsidR="00A25FBF" w:rsidRDefault="00A25FBF" w:rsidP="001870F3">
      <w:pPr>
        <w:widowControl w:val="0"/>
        <w:rPr>
          <w:szCs w:val="22"/>
          <w:lang w:val="sr-Latn-ME"/>
        </w:rPr>
      </w:pPr>
    </w:p>
    <w:p w14:paraId="4A3A5EFB" w14:textId="77777777" w:rsidR="001870F3" w:rsidRPr="001870F3" w:rsidRDefault="001870F3" w:rsidP="001870F3">
      <w:pPr>
        <w:widowControl w:val="0"/>
        <w:rPr>
          <w:szCs w:val="22"/>
          <w:lang w:val="sr-Latn-ME"/>
        </w:rPr>
      </w:pPr>
    </w:p>
    <w:p w14:paraId="2E86A06F" w14:textId="2D6286EC" w:rsidR="00CE09F3" w:rsidRDefault="00CE09F3" w:rsidP="001870F3">
      <w:pPr>
        <w:pStyle w:val="NASLOV123"/>
        <w:widowControl w:val="0"/>
        <w:spacing w:before="0" w:after="0"/>
        <w:jc w:val="both"/>
        <w:rPr>
          <w:lang w:val="sr-Latn-ME"/>
        </w:rPr>
      </w:pPr>
      <w:r w:rsidRPr="001870F3">
        <w:rPr>
          <w:lang w:val="sr-Latn-ME"/>
        </w:rPr>
        <w:t>3. FARMACEUTSKI OBLIK</w:t>
      </w:r>
    </w:p>
    <w:p w14:paraId="37DED457" w14:textId="77777777" w:rsidR="001870F3" w:rsidRPr="001870F3" w:rsidRDefault="001870F3" w:rsidP="001870F3">
      <w:pPr>
        <w:pStyle w:val="NASLOV123"/>
        <w:widowControl w:val="0"/>
        <w:spacing w:before="0" w:after="0"/>
        <w:jc w:val="both"/>
        <w:rPr>
          <w:lang w:val="sr-Latn-ME"/>
        </w:rPr>
      </w:pPr>
    </w:p>
    <w:p w14:paraId="2E86A070" w14:textId="47AF0E4C" w:rsidR="00931083" w:rsidRPr="001870F3" w:rsidRDefault="00931083"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Duo, 850 mg</w:t>
      </w:r>
      <w:r w:rsidR="0013370A" w:rsidRPr="001870F3">
        <w:rPr>
          <w:bCs/>
          <w:i/>
          <w:szCs w:val="22"/>
          <w:u w:val="single"/>
          <w:lang w:val="sr-Latn-ME"/>
        </w:rPr>
        <w:t xml:space="preserve"> </w:t>
      </w:r>
      <w:r w:rsidR="000B50B8" w:rsidRPr="001870F3">
        <w:rPr>
          <w:bCs/>
          <w:i/>
          <w:szCs w:val="22"/>
          <w:u w:val="single"/>
          <w:lang w:val="sr-Latn-ME"/>
        </w:rPr>
        <w:t>+</w:t>
      </w:r>
      <w:r w:rsidR="0013370A" w:rsidRPr="001870F3">
        <w:rPr>
          <w:bCs/>
          <w:i/>
          <w:szCs w:val="22"/>
          <w:u w:val="single"/>
          <w:lang w:val="sr-Latn-ME"/>
        </w:rPr>
        <w:t xml:space="preserve"> </w:t>
      </w:r>
      <w:r w:rsidR="000B50B8" w:rsidRPr="001870F3">
        <w:rPr>
          <w:bCs/>
          <w:i/>
          <w:szCs w:val="22"/>
          <w:u w:val="single"/>
          <w:lang w:val="sr-Latn-ME"/>
        </w:rPr>
        <w:t>50 mg</w:t>
      </w:r>
      <w:r w:rsidRPr="001870F3">
        <w:rPr>
          <w:bCs/>
          <w:i/>
          <w:szCs w:val="22"/>
          <w:u w:val="single"/>
          <w:lang w:val="sr-Latn-ME"/>
        </w:rPr>
        <w:t>, film tablet</w:t>
      </w:r>
      <w:r w:rsidR="00467445" w:rsidRPr="001870F3">
        <w:rPr>
          <w:bCs/>
          <w:i/>
          <w:szCs w:val="22"/>
          <w:u w:val="single"/>
          <w:lang w:val="sr-Latn-ME"/>
        </w:rPr>
        <w:t>a</w:t>
      </w:r>
    </w:p>
    <w:p w14:paraId="2E86A071" w14:textId="77777777" w:rsidR="00CE09F3" w:rsidRPr="001870F3" w:rsidRDefault="00CE09F3" w:rsidP="001870F3">
      <w:pPr>
        <w:widowControl w:val="0"/>
        <w:rPr>
          <w:szCs w:val="22"/>
          <w:lang w:val="sr-Latn-ME"/>
        </w:rPr>
      </w:pPr>
    </w:p>
    <w:p w14:paraId="0B847EDD" w14:textId="77777777" w:rsidR="00EC3EC3" w:rsidRPr="001870F3" w:rsidRDefault="00931083" w:rsidP="001870F3">
      <w:pPr>
        <w:widowControl w:val="0"/>
        <w:rPr>
          <w:szCs w:val="22"/>
          <w:lang w:val="sr-Latn-ME"/>
        </w:rPr>
      </w:pPr>
      <w:r w:rsidRPr="001870F3">
        <w:rPr>
          <w:szCs w:val="22"/>
          <w:lang w:val="sr-Latn-ME"/>
        </w:rPr>
        <w:t>Ovalna, bikonveksna, roza film tablet</w:t>
      </w:r>
      <w:r w:rsidR="006C442F" w:rsidRPr="001870F3">
        <w:rPr>
          <w:szCs w:val="22"/>
          <w:lang w:val="sr-Latn-ME"/>
        </w:rPr>
        <w:t>a</w:t>
      </w:r>
      <w:r w:rsidRPr="001870F3">
        <w:rPr>
          <w:szCs w:val="22"/>
          <w:lang w:val="sr-Latn-ME"/>
        </w:rPr>
        <w:t>, sa utisnutom reljefnom oznakom ʺS476ʺ, sa jedne strane i drugom</w:t>
      </w:r>
      <w:r w:rsidR="006C442F" w:rsidRPr="001870F3">
        <w:rPr>
          <w:szCs w:val="22"/>
          <w:lang w:val="sr-Latn-ME"/>
        </w:rPr>
        <w:t xml:space="preserve"> stranom ravnom</w:t>
      </w:r>
      <w:r w:rsidR="00EC3EC3" w:rsidRPr="001870F3">
        <w:rPr>
          <w:szCs w:val="22"/>
          <w:lang w:val="sr-Latn-ME"/>
        </w:rPr>
        <w:t>, dimenzija približno 20,5 mm x 9,5 mm.</w:t>
      </w:r>
    </w:p>
    <w:p w14:paraId="2E86A072" w14:textId="7503AA91" w:rsidR="00931083" w:rsidRPr="001870F3" w:rsidRDefault="00931083" w:rsidP="001870F3">
      <w:pPr>
        <w:widowControl w:val="0"/>
        <w:rPr>
          <w:szCs w:val="22"/>
          <w:lang w:val="sr-Latn-ME"/>
        </w:rPr>
      </w:pPr>
    </w:p>
    <w:p w14:paraId="2E86A074" w14:textId="66908315" w:rsidR="00931083" w:rsidRPr="001870F3" w:rsidRDefault="00931083"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Duo, 1000 mg</w:t>
      </w:r>
      <w:r w:rsidR="0013370A" w:rsidRPr="001870F3">
        <w:rPr>
          <w:bCs/>
          <w:i/>
          <w:szCs w:val="22"/>
          <w:u w:val="single"/>
          <w:lang w:val="sr-Latn-ME"/>
        </w:rPr>
        <w:t xml:space="preserve"> </w:t>
      </w:r>
      <w:r w:rsidR="003E358F" w:rsidRPr="001870F3">
        <w:rPr>
          <w:bCs/>
          <w:i/>
          <w:szCs w:val="22"/>
          <w:u w:val="single"/>
          <w:lang w:val="sr-Latn-ME"/>
        </w:rPr>
        <w:t>+</w:t>
      </w:r>
      <w:r w:rsidR="0013370A" w:rsidRPr="001870F3">
        <w:rPr>
          <w:bCs/>
          <w:i/>
          <w:szCs w:val="22"/>
          <w:u w:val="single"/>
          <w:lang w:val="sr-Latn-ME"/>
        </w:rPr>
        <w:t xml:space="preserve"> </w:t>
      </w:r>
      <w:r w:rsidR="003E358F" w:rsidRPr="001870F3">
        <w:rPr>
          <w:bCs/>
          <w:i/>
          <w:szCs w:val="22"/>
          <w:u w:val="single"/>
          <w:lang w:val="sr-Latn-ME"/>
        </w:rPr>
        <w:t>50 mg</w:t>
      </w:r>
      <w:r w:rsidRPr="001870F3">
        <w:rPr>
          <w:bCs/>
          <w:i/>
          <w:szCs w:val="22"/>
          <w:u w:val="single"/>
          <w:lang w:val="sr-Latn-ME"/>
        </w:rPr>
        <w:t>, film tablet</w:t>
      </w:r>
      <w:r w:rsidR="00467445" w:rsidRPr="001870F3">
        <w:rPr>
          <w:bCs/>
          <w:i/>
          <w:szCs w:val="22"/>
          <w:u w:val="single"/>
          <w:lang w:val="sr-Latn-ME"/>
        </w:rPr>
        <w:t>a</w:t>
      </w:r>
    </w:p>
    <w:p w14:paraId="2E86A075" w14:textId="77777777" w:rsidR="00931083" w:rsidRPr="001870F3" w:rsidRDefault="00931083" w:rsidP="001870F3">
      <w:pPr>
        <w:widowControl w:val="0"/>
        <w:rPr>
          <w:szCs w:val="22"/>
          <w:lang w:val="sr-Latn-ME"/>
        </w:rPr>
      </w:pPr>
    </w:p>
    <w:p w14:paraId="2E86A076" w14:textId="56269E7A" w:rsidR="00CE09F3" w:rsidRPr="001870F3" w:rsidRDefault="006C442F" w:rsidP="001870F3">
      <w:pPr>
        <w:widowControl w:val="0"/>
        <w:rPr>
          <w:szCs w:val="22"/>
          <w:lang w:val="sr-Latn-ME"/>
        </w:rPr>
      </w:pPr>
      <w:r w:rsidRPr="001870F3">
        <w:rPr>
          <w:szCs w:val="22"/>
          <w:lang w:val="sr-Latn-ME"/>
        </w:rPr>
        <w:t xml:space="preserve">Ovalna, bikonveksna, braon film tableta, sa utisnutom reljefnom oznakom ʺS477ʺ, sa jedne strane </w:t>
      </w:r>
      <w:r w:rsidR="00DE0A06" w:rsidRPr="001870F3">
        <w:rPr>
          <w:szCs w:val="22"/>
          <w:lang w:val="sr-Latn-ME"/>
        </w:rPr>
        <w:t>i</w:t>
      </w:r>
      <w:r w:rsidRPr="001870F3">
        <w:rPr>
          <w:szCs w:val="22"/>
          <w:lang w:val="sr-Latn-ME"/>
        </w:rPr>
        <w:t xml:space="preserve"> drugom stranom ravnom</w:t>
      </w:r>
      <w:r w:rsidR="001C65CF" w:rsidRPr="001870F3">
        <w:rPr>
          <w:szCs w:val="22"/>
          <w:lang w:val="sr-Latn-ME"/>
        </w:rPr>
        <w:t>, dimenzija približno 21,5 mm x 10,0 mm.</w:t>
      </w:r>
    </w:p>
    <w:p w14:paraId="2E86A077" w14:textId="6F12AC69" w:rsidR="006C442F" w:rsidRDefault="006C442F" w:rsidP="001870F3">
      <w:pPr>
        <w:widowControl w:val="0"/>
        <w:rPr>
          <w:szCs w:val="22"/>
          <w:lang w:val="sr-Latn-ME"/>
        </w:rPr>
      </w:pPr>
    </w:p>
    <w:p w14:paraId="3A6D276A" w14:textId="77777777" w:rsidR="001870F3" w:rsidRPr="001870F3" w:rsidRDefault="001870F3" w:rsidP="001870F3">
      <w:pPr>
        <w:widowControl w:val="0"/>
        <w:rPr>
          <w:szCs w:val="22"/>
          <w:lang w:val="sr-Latn-ME"/>
        </w:rPr>
      </w:pPr>
    </w:p>
    <w:p w14:paraId="2E86A078" w14:textId="1EA803F4" w:rsidR="00CE09F3" w:rsidRDefault="00CE09F3" w:rsidP="001870F3">
      <w:pPr>
        <w:pStyle w:val="NASLOV123"/>
        <w:widowControl w:val="0"/>
        <w:spacing w:before="0" w:after="0"/>
        <w:jc w:val="both"/>
        <w:rPr>
          <w:lang w:val="sr-Latn-ME"/>
        </w:rPr>
      </w:pPr>
      <w:r w:rsidRPr="001870F3">
        <w:rPr>
          <w:lang w:val="sr-Latn-ME"/>
        </w:rPr>
        <w:t>4. KLINIČKI PODACI</w:t>
      </w:r>
    </w:p>
    <w:p w14:paraId="2EAC5BB8" w14:textId="77777777" w:rsidR="001870F3" w:rsidRPr="001870F3" w:rsidRDefault="001870F3" w:rsidP="001870F3">
      <w:pPr>
        <w:pStyle w:val="NASLOV123"/>
        <w:widowControl w:val="0"/>
        <w:spacing w:before="0" w:after="0"/>
        <w:jc w:val="both"/>
        <w:rPr>
          <w:lang w:val="sr-Latn-ME"/>
        </w:rPr>
      </w:pPr>
    </w:p>
    <w:p w14:paraId="2E86A079" w14:textId="77777777" w:rsidR="00CE09F3" w:rsidRPr="001870F3" w:rsidRDefault="00CE09F3" w:rsidP="001870F3">
      <w:pPr>
        <w:widowControl w:val="0"/>
        <w:rPr>
          <w:b/>
          <w:bCs/>
          <w:szCs w:val="22"/>
          <w:lang w:val="sr-Latn-ME"/>
        </w:rPr>
      </w:pPr>
      <w:r w:rsidRPr="001870F3">
        <w:rPr>
          <w:b/>
          <w:bCs/>
          <w:szCs w:val="22"/>
          <w:lang w:val="sr-Latn-ME"/>
        </w:rPr>
        <w:t>4.1. Terapijske indikacije</w:t>
      </w:r>
    </w:p>
    <w:p w14:paraId="2E86A07A" w14:textId="77777777" w:rsidR="00CE09F3" w:rsidRPr="001870F3" w:rsidRDefault="00CE09F3" w:rsidP="001870F3">
      <w:pPr>
        <w:widowControl w:val="0"/>
        <w:rPr>
          <w:szCs w:val="22"/>
          <w:lang w:val="sr-Latn-ME"/>
        </w:rPr>
      </w:pPr>
    </w:p>
    <w:p w14:paraId="2E86A07B" w14:textId="36A275D3" w:rsidR="006736B1" w:rsidRPr="001870F3" w:rsidRDefault="00F3037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Lijek je nam</w:t>
      </w:r>
      <w:r w:rsidR="00200B67" w:rsidRPr="001870F3">
        <w:rPr>
          <w:rFonts w:eastAsia="TimesNewRoman"/>
          <w:szCs w:val="22"/>
          <w:lang w:val="sr-Latn-ME"/>
        </w:rPr>
        <w:t>ij</w:t>
      </w:r>
      <w:r w:rsidRPr="001870F3">
        <w:rPr>
          <w:rFonts w:eastAsia="TimesNewRoman"/>
          <w:szCs w:val="22"/>
          <w:lang w:val="sr-Latn-ME"/>
        </w:rPr>
        <w:t>enjen z</w:t>
      </w:r>
      <w:r w:rsidR="006736B1" w:rsidRPr="001870F3">
        <w:rPr>
          <w:rFonts w:eastAsia="TimesNewRoman"/>
          <w:szCs w:val="22"/>
          <w:lang w:val="sr-Latn-ME"/>
        </w:rPr>
        <w:t>a odrasle pacijente sa dijabetesom melitus tip 2</w:t>
      </w:r>
      <w:r w:rsidRPr="001870F3">
        <w:rPr>
          <w:rFonts w:eastAsia="TimesNewRoman"/>
          <w:szCs w:val="22"/>
          <w:lang w:val="sr-Latn-ME"/>
        </w:rPr>
        <w:t>.</w:t>
      </w:r>
    </w:p>
    <w:p w14:paraId="2E86A07C"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p>
    <w:p w14:paraId="2E86A07E" w14:textId="29ECDE40" w:rsidR="006736B1"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173DB9" w:rsidRPr="001870F3">
        <w:rPr>
          <w:rFonts w:eastAsia="TimesNewRoman"/>
          <w:szCs w:val="22"/>
          <w:lang w:val="sr-Latn-ME"/>
        </w:rPr>
        <w:t>ij</w:t>
      </w:r>
      <w:r w:rsidRPr="001870F3">
        <w:rPr>
          <w:rFonts w:eastAsia="TimesNewRoman"/>
          <w:szCs w:val="22"/>
          <w:lang w:val="sr-Latn-ME"/>
        </w:rPr>
        <w:t>ek Dolista Duo je indikovan kao dopuna dijeti i fizičkoj aktivnosti u cilju poboljšanja kontrole glikemije kod pacijenata sa neadekvatno kontrolisanom glikemijom pri maksimalnoj podnošljivoj dozi metformina u</w:t>
      </w:r>
      <w:r w:rsidR="00297559" w:rsidRPr="001870F3">
        <w:rPr>
          <w:rFonts w:eastAsia="TimesNewRoman"/>
          <w:szCs w:val="22"/>
          <w:lang w:val="sr-Latn-ME"/>
        </w:rPr>
        <w:t xml:space="preserve"> </w:t>
      </w:r>
      <w:r w:rsidRPr="001870F3">
        <w:rPr>
          <w:rFonts w:eastAsia="TimesNewRoman"/>
          <w:szCs w:val="22"/>
          <w:lang w:val="sr-Latn-ME"/>
        </w:rPr>
        <w:t>monoterapiji, ili kod onih koji se već l</w:t>
      </w:r>
      <w:r w:rsidR="00173DB9" w:rsidRPr="001870F3">
        <w:rPr>
          <w:rFonts w:eastAsia="TimesNewRoman"/>
          <w:szCs w:val="22"/>
          <w:lang w:val="sr-Latn-ME"/>
        </w:rPr>
        <w:t>ij</w:t>
      </w:r>
      <w:r w:rsidRPr="001870F3">
        <w:rPr>
          <w:rFonts w:eastAsia="TimesNewRoman"/>
          <w:szCs w:val="22"/>
          <w:lang w:val="sr-Latn-ME"/>
        </w:rPr>
        <w:t>eče kombinacijom sitagliptina i metformina.</w:t>
      </w:r>
    </w:p>
    <w:p w14:paraId="2E86A07F"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p>
    <w:p w14:paraId="2E86A080" w14:textId="446F4EFC" w:rsidR="006736B1"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173DB9" w:rsidRPr="001870F3">
        <w:rPr>
          <w:rFonts w:eastAsia="TimesNewRoman"/>
          <w:szCs w:val="22"/>
          <w:lang w:val="sr-Latn-ME"/>
        </w:rPr>
        <w:t>ij</w:t>
      </w:r>
      <w:r w:rsidRPr="001870F3">
        <w:rPr>
          <w:rFonts w:eastAsia="TimesNewRoman"/>
          <w:szCs w:val="22"/>
          <w:lang w:val="sr-Latn-ME"/>
        </w:rPr>
        <w:t xml:space="preserve">ek Dolista Duo je indikovan u kombinaciji sa </w:t>
      </w:r>
      <w:r w:rsidR="00B96CAD" w:rsidRPr="001870F3">
        <w:rPr>
          <w:rFonts w:eastAsia="TimesNewRoman"/>
          <w:szCs w:val="22"/>
          <w:lang w:val="sr-Latn-ME"/>
        </w:rPr>
        <w:t xml:space="preserve">derivatima </w:t>
      </w:r>
      <w:r w:rsidRPr="001870F3">
        <w:rPr>
          <w:rFonts w:eastAsia="TimesNewRoman"/>
          <w:szCs w:val="22"/>
          <w:lang w:val="sr-Latn-ME"/>
        </w:rPr>
        <w:t>sulfonilure</w:t>
      </w:r>
      <w:r w:rsidR="00B96CAD" w:rsidRPr="001870F3">
        <w:rPr>
          <w:rFonts w:eastAsia="TimesNewRoman"/>
          <w:szCs w:val="22"/>
          <w:lang w:val="sr-Latn-ME"/>
        </w:rPr>
        <w:t>e</w:t>
      </w:r>
      <w:r w:rsidRPr="001870F3">
        <w:rPr>
          <w:rFonts w:eastAsia="TimesNewRoman"/>
          <w:szCs w:val="22"/>
          <w:lang w:val="sr-Latn-ME"/>
        </w:rPr>
        <w:t xml:space="preserve"> (kao trostruka kombinovana terapija), kao dopuna dijeti i fizičkoj aktivnosti kod pacijenata sa neadekvatno kontrolisanom glikemijom pri maksimalno podnošljivoj dozi metformina i </w:t>
      </w:r>
      <w:r w:rsidR="009D7D87" w:rsidRPr="001870F3">
        <w:rPr>
          <w:rFonts w:eastAsia="TimesNewRoman"/>
          <w:szCs w:val="22"/>
          <w:lang w:val="sr-Latn-ME"/>
        </w:rPr>
        <w:t xml:space="preserve">derivata </w:t>
      </w:r>
      <w:r w:rsidRPr="001870F3">
        <w:rPr>
          <w:rFonts w:eastAsia="TimesNewRoman"/>
          <w:szCs w:val="22"/>
          <w:lang w:val="sr-Latn-ME"/>
        </w:rPr>
        <w:t>sulfoniluree.</w:t>
      </w:r>
    </w:p>
    <w:p w14:paraId="2E86A081"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p>
    <w:p w14:paraId="2E86A084" w14:textId="0395DD26" w:rsidR="00CE09F3"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L</w:t>
      </w:r>
      <w:r w:rsidR="00173DB9" w:rsidRPr="001870F3">
        <w:rPr>
          <w:rFonts w:eastAsia="TimesNewRoman"/>
          <w:szCs w:val="22"/>
          <w:lang w:val="sr-Latn-ME"/>
        </w:rPr>
        <w:t>ij</w:t>
      </w:r>
      <w:r w:rsidRPr="001870F3">
        <w:rPr>
          <w:rFonts w:eastAsia="TimesNewRoman"/>
          <w:szCs w:val="22"/>
          <w:lang w:val="sr-Latn-ME"/>
        </w:rPr>
        <w:t>ek Dolista Duo je indikovan i u trostrukoj kombinovanoj terapiji sa agonistima γ receptora</w:t>
      </w:r>
      <w:r w:rsidR="003664DD" w:rsidRPr="001870F3">
        <w:rPr>
          <w:rFonts w:eastAsia="TimesNewRoman"/>
          <w:szCs w:val="22"/>
          <w:lang w:val="sr-Latn-ME"/>
        </w:rPr>
        <w:t xml:space="preserve"> </w:t>
      </w:r>
      <w:r w:rsidR="003664DD" w:rsidRPr="001870F3">
        <w:rPr>
          <w:rFonts w:eastAsia="TimesNewRoman"/>
          <w:color w:val="222222"/>
          <w:szCs w:val="22"/>
          <w:lang w:val="sr-Latn-ME"/>
        </w:rPr>
        <w:t>aktiviranih peroksiznim proliferatorom</w:t>
      </w:r>
      <w:r w:rsidRPr="001870F3">
        <w:rPr>
          <w:rFonts w:eastAsia="TimesNewRoman"/>
          <w:szCs w:val="22"/>
          <w:lang w:val="sr-Latn-ME"/>
        </w:rPr>
        <w:t xml:space="preserve"> (PPARγ)</w:t>
      </w:r>
      <w:r w:rsidR="00D41318" w:rsidRPr="001870F3">
        <w:rPr>
          <w:rFonts w:eastAsia="TimesNewRoman"/>
          <w:szCs w:val="22"/>
          <w:lang w:val="sr-Latn-ME"/>
        </w:rPr>
        <w:t xml:space="preserve"> </w:t>
      </w:r>
      <w:r w:rsidRPr="001870F3">
        <w:rPr>
          <w:rFonts w:eastAsia="TimesNewRoman"/>
          <w:szCs w:val="22"/>
          <w:lang w:val="sr-Latn-ME"/>
        </w:rPr>
        <w:t>(na prim</w:t>
      </w:r>
      <w:r w:rsidR="007B6487" w:rsidRPr="001870F3">
        <w:rPr>
          <w:rFonts w:eastAsia="TimesNewRoman"/>
          <w:szCs w:val="22"/>
          <w:lang w:val="sr-Latn-ME"/>
        </w:rPr>
        <w:t>j</w:t>
      </w:r>
      <w:r w:rsidRPr="001870F3">
        <w:rPr>
          <w:rFonts w:eastAsia="TimesNewRoman"/>
          <w:szCs w:val="22"/>
          <w:lang w:val="sr-Latn-ME"/>
        </w:rPr>
        <w:t>er: tiazolidindion) kao dodatak dijeti i v</w:t>
      </w:r>
      <w:r w:rsidR="007B6487" w:rsidRPr="001870F3">
        <w:rPr>
          <w:rFonts w:eastAsia="TimesNewRoman"/>
          <w:szCs w:val="22"/>
          <w:lang w:val="sr-Latn-ME"/>
        </w:rPr>
        <w:t>j</w:t>
      </w:r>
      <w:r w:rsidRPr="001870F3">
        <w:rPr>
          <w:rFonts w:eastAsia="TimesNewRoman"/>
          <w:szCs w:val="22"/>
          <w:lang w:val="sr-Latn-ME"/>
        </w:rPr>
        <w:t>ežbanju kod</w:t>
      </w:r>
      <w:r w:rsidR="00C313AA" w:rsidRPr="001870F3">
        <w:rPr>
          <w:rFonts w:eastAsia="TimesNewRoman"/>
          <w:szCs w:val="22"/>
          <w:lang w:val="sr-Latn-ME"/>
        </w:rPr>
        <w:t xml:space="preserve"> </w:t>
      </w:r>
      <w:r w:rsidRPr="001870F3">
        <w:rPr>
          <w:rFonts w:eastAsia="TimesNewRoman"/>
          <w:szCs w:val="22"/>
          <w:lang w:val="sr-Latn-ME"/>
        </w:rPr>
        <w:t>pacijenata sa neadekvatnom kontrolom glikemije pri maksimalnoj podnošljivoj dozi metformina i PPARγ</w:t>
      </w:r>
      <w:r w:rsidR="0019705D" w:rsidRPr="001870F3">
        <w:rPr>
          <w:rFonts w:eastAsia="TimesNewRoman"/>
          <w:szCs w:val="22"/>
          <w:lang w:val="sr-Latn-ME"/>
        </w:rPr>
        <w:t xml:space="preserve"> </w:t>
      </w:r>
      <w:r w:rsidRPr="001870F3">
        <w:rPr>
          <w:rFonts w:eastAsia="TimesNewRoman"/>
          <w:szCs w:val="22"/>
          <w:lang w:val="sr-Latn-ME"/>
        </w:rPr>
        <w:t>agoniste.</w:t>
      </w:r>
    </w:p>
    <w:p w14:paraId="2E86A085" w14:textId="77777777" w:rsidR="006736B1" w:rsidRPr="001870F3" w:rsidRDefault="006736B1" w:rsidP="001870F3">
      <w:pPr>
        <w:widowControl w:val="0"/>
        <w:rPr>
          <w:szCs w:val="22"/>
          <w:lang w:val="sr-Latn-ME"/>
        </w:rPr>
      </w:pPr>
    </w:p>
    <w:p w14:paraId="2E86A086"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173DB9" w:rsidRPr="001870F3">
        <w:rPr>
          <w:rFonts w:eastAsia="TimesNewRoman"/>
          <w:szCs w:val="22"/>
          <w:lang w:val="sr-Latn-ME"/>
        </w:rPr>
        <w:t>ij</w:t>
      </w:r>
      <w:r w:rsidRPr="001870F3">
        <w:rPr>
          <w:rFonts w:eastAsia="TimesNewRoman"/>
          <w:szCs w:val="22"/>
          <w:lang w:val="sr-Latn-ME"/>
        </w:rPr>
        <w:t xml:space="preserve">ek Dolista Duo je, takođe, indikovan kao dopuna terapiji insulinom (tj. trostruka kombinovana terapija) u cilju poboljšanja kontrole glikemije i kao dopuna dijeti i fizičkoj aktivnosti kada stabilna doza samo insulina </w:t>
      </w:r>
      <w:r w:rsidR="00814CA7" w:rsidRPr="001870F3">
        <w:rPr>
          <w:rFonts w:eastAsia="TimesNewRoman"/>
          <w:szCs w:val="22"/>
          <w:lang w:val="sr-Latn-ME"/>
        </w:rPr>
        <w:t>i</w:t>
      </w:r>
      <w:r w:rsidRPr="001870F3">
        <w:rPr>
          <w:rFonts w:eastAsia="TimesNewRoman"/>
          <w:szCs w:val="22"/>
          <w:lang w:val="sr-Latn-ME"/>
        </w:rPr>
        <w:t xml:space="preserve"> metformina ne dovodi do adekvatne kontrole glikemije.</w:t>
      </w:r>
    </w:p>
    <w:p w14:paraId="2E86A087" w14:textId="77777777" w:rsidR="006736B1" w:rsidRPr="001870F3" w:rsidRDefault="006736B1" w:rsidP="001870F3">
      <w:pPr>
        <w:widowControl w:val="0"/>
        <w:rPr>
          <w:szCs w:val="22"/>
          <w:lang w:val="sr-Latn-ME"/>
        </w:rPr>
      </w:pPr>
    </w:p>
    <w:p w14:paraId="2E86A088" w14:textId="77777777" w:rsidR="00CE09F3" w:rsidRPr="001870F3" w:rsidRDefault="00CE09F3" w:rsidP="001870F3">
      <w:pPr>
        <w:widowControl w:val="0"/>
        <w:rPr>
          <w:b/>
          <w:bCs/>
          <w:szCs w:val="22"/>
          <w:lang w:val="sr-Latn-ME"/>
        </w:rPr>
      </w:pPr>
      <w:r w:rsidRPr="001870F3">
        <w:rPr>
          <w:b/>
          <w:bCs/>
          <w:szCs w:val="22"/>
          <w:lang w:val="sr-Latn-ME"/>
        </w:rPr>
        <w:t>4.2. Doziranje i način prim</w:t>
      </w:r>
      <w:r w:rsidR="00595C29" w:rsidRPr="001870F3">
        <w:rPr>
          <w:b/>
          <w:bCs/>
          <w:szCs w:val="22"/>
          <w:lang w:val="sr-Latn-ME"/>
        </w:rPr>
        <w:t>j</w:t>
      </w:r>
      <w:r w:rsidRPr="001870F3">
        <w:rPr>
          <w:b/>
          <w:bCs/>
          <w:szCs w:val="22"/>
          <w:lang w:val="sr-Latn-ME"/>
        </w:rPr>
        <w:t>ene</w:t>
      </w:r>
    </w:p>
    <w:p w14:paraId="2E86A089" w14:textId="77777777" w:rsidR="00CE09F3" w:rsidRPr="001870F3" w:rsidRDefault="00CE09F3" w:rsidP="001870F3">
      <w:pPr>
        <w:widowControl w:val="0"/>
        <w:rPr>
          <w:szCs w:val="22"/>
          <w:lang w:val="sr-Latn-ME"/>
        </w:rPr>
      </w:pPr>
    </w:p>
    <w:p w14:paraId="2E86A08A"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Doziranje</w:t>
      </w:r>
    </w:p>
    <w:p w14:paraId="2E86A08B" w14:textId="77777777"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Dozu antihiperglikemijske terapije l</w:t>
      </w:r>
      <w:r w:rsidR="00595C29" w:rsidRPr="001870F3">
        <w:rPr>
          <w:rFonts w:eastAsia="TimesNewRoman"/>
          <w:szCs w:val="22"/>
          <w:lang w:val="sr-Latn-ME"/>
        </w:rPr>
        <w:t>ij</w:t>
      </w:r>
      <w:r w:rsidRPr="001870F3">
        <w:rPr>
          <w:rFonts w:eastAsia="TimesNewRoman"/>
          <w:szCs w:val="22"/>
          <w:lang w:val="sr-Latn-ME"/>
        </w:rPr>
        <w:t xml:space="preserve">ekom </w:t>
      </w:r>
      <w:r w:rsidR="00653BCD" w:rsidRPr="001870F3">
        <w:rPr>
          <w:rFonts w:eastAsia="TimesNewRoman"/>
          <w:szCs w:val="22"/>
          <w:lang w:val="sr-Latn-ME"/>
        </w:rPr>
        <w:t>Dolista Duo</w:t>
      </w:r>
      <w:r w:rsidRPr="001870F3">
        <w:rPr>
          <w:rFonts w:eastAsia="TimesNewRoman"/>
          <w:szCs w:val="22"/>
          <w:lang w:val="sr-Latn-ME"/>
        </w:rPr>
        <w:t xml:space="preserve"> treba individualno odrediti na osnovu postojeć</w:t>
      </w:r>
      <w:r w:rsidR="00653BCD" w:rsidRPr="001870F3">
        <w:rPr>
          <w:rFonts w:eastAsia="TimesNewRoman"/>
          <w:szCs w:val="22"/>
          <w:lang w:val="sr-Latn-ME"/>
        </w:rPr>
        <w:t xml:space="preserve">e terapije, </w:t>
      </w:r>
      <w:r w:rsidRPr="001870F3">
        <w:rPr>
          <w:rFonts w:eastAsia="TimesNewRoman"/>
          <w:szCs w:val="22"/>
          <w:lang w:val="sr-Latn-ME"/>
        </w:rPr>
        <w:t>efikasnosti i podnošljivosti, pri čemu se ne sm</w:t>
      </w:r>
      <w:r w:rsidR="00595C29" w:rsidRPr="001870F3">
        <w:rPr>
          <w:rFonts w:eastAsia="TimesNewRoman"/>
          <w:szCs w:val="22"/>
          <w:lang w:val="sr-Latn-ME"/>
        </w:rPr>
        <w:t>ij</w:t>
      </w:r>
      <w:r w:rsidRPr="001870F3">
        <w:rPr>
          <w:rFonts w:eastAsia="TimesNewRoman"/>
          <w:szCs w:val="22"/>
          <w:lang w:val="sr-Latn-ME"/>
        </w:rPr>
        <w:t>e prekoračiti maksimalna preporučena dnevna doza od 100 mg</w:t>
      </w:r>
      <w:r w:rsidR="00653BCD" w:rsidRPr="001870F3">
        <w:rPr>
          <w:rFonts w:eastAsia="TimesNewRoman"/>
          <w:szCs w:val="22"/>
          <w:lang w:val="sr-Latn-ME"/>
        </w:rPr>
        <w:t xml:space="preserve"> </w:t>
      </w:r>
      <w:r w:rsidRPr="001870F3">
        <w:rPr>
          <w:rFonts w:eastAsia="TimesNewRoman"/>
          <w:szCs w:val="22"/>
          <w:lang w:val="sr-Latn-ME"/>
        </w:rPr>
        <w:t>sitagliptina.</w:t>
      </w:r>
    </w:p>
    <w:p w14:paraId="2E86A08C"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8D" w14:textId="390EE436" w:rsidR="0061585F" w:rsidRPr="001870F3" w:rsidRDefault="0061585F" w:rsidP="001870F3">
      <w:pPr>
        <w:widowControl w:val="0"/>
        <w:tabs>
          <w:tab w:val="clear" w:pos="284"/>
        </w:tabs>
        <w:autoSpaceDE w:val="0"/>
        <w:autoSpaceDN w:val="0"/>
        <w:adjustRightInd w:val="0"/>
        <w:rPr>
          <w:rFonts w:eastAsia="TimesNewRoman"/>
          <w:b/>
          <w:i/>
          <w:szCs w:val="22"/>
          <w:lang w:val="sr-Latn-ME"/>
        </w:rPr>
      </w:pPr>
      <w:r w:rsidRPr="001870F3">
        <w:rPr>
          <w:rFonts w:eastAsia="TimesNewRoman"/>
          <w:b/>
          <w:i/>
          <w:szCs w:val="22"/>
          <w:lang w:val="sr-Latn-ME"/>
        </w:rPr>
        <w:t>Odrasli sa normalnom bubrežnom funkcijom (GFR ≥ 90 m</w:t>
      </w:r>
      <w:r w:rsidR="00F26161" w:rsidRPr="001870F3">
        <w:rPr>
          <w:rFonts w:eastAsia="TimesNewRoman"/>
          <w:b/>
          <w:i/>
          <w:szCs w:val="22"/>
          <w:lang w:val="sr-Latn-ME"/>
        </w:rPr>
        <w:t>l</w:t>
      </w:r>
      <w:r w:rsidRPr="001870F3">
        <w:rPr>
          <w:rFonts w:eastAsia="TimesNewRoman"/>
          <w:b/>
          <w:i/>
          <w:szCs w:val="22"/>
          <w:lang w:val="sr-Latn-ME"/>
        </w:rPr>
        <w:t>/min)</w:t>
      </w:r>
    </w:p>
    <w:p w14:paraId="2E86A08E" w14:textId="77777777" w:rsidR="0061585F" w:rsidRPr="001870F3" w:rsidRDefault="0061585F" w:rsidP="001870F3">
      <w:pPr>
        <w:widowControl w:val="0"/>
        <w:tabs>
          <w:tab w:val="clear" w:pos="284"/>
        </w:tabs>
        <w:autoSpaceDE w:val="0"/>
        <w:autoSpaceDN w:val="0"/>
        <w:adjustRightInd w:val="0"/>
        <w:rPr>
          <w:rFonts w:eastAsia="TimesNewRoman"/>
          <w:szCs w:val="22"/>
          <w:u w:val="single"/>
          <w:lang w:val="sr-Latn-ME"/>
        </w:rPr>
      </w:pPr>
    </w:p>
    <w:p w14:paraId="2E86A090" w14:textId="52780461"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maksimalnoj podnošljivoj dozi metformina u</w:t>
      </w:r>
      <w:r w:rsidR="00297559" w:rsidRPr="001870F3">
        <w:rPr>
          <w:rFonts w:eastAsia="TimesNewRoman"/>
          <w:szCs w:val="22"/>
          <w:u w:val="single"/>
          <w:lang w:val="sr-Latn-ME"/>
        </w:rPr>
        <w:t xml:space="preserve"> </w:t>
      </w:r>
      <w:r w:rsidR="00982D80" w:rsidRPr="001870F3">
        <w:rPr>
          <w:rFonts w:eastAsia="TimesNewRoman"/>
          <w:szCs w:val="22"/>
          <w:u w:val="single"/>
          <w:lang w:val="sr-Latn-ME"/>
        </w:rPr>
        <w:t>m</w:t>
      </w:r>
      <w:r w:rsidRPr="001870F3">
        <w:rPr>
          <w:rFonts w:eastAsia="TimesNewRoman"/>
          <w:szCs w:val="22"/>
          <w:u w:val="single"/>
          <w:lang w:val="sr-Latn-ME"/>
        </w:rPr>
        <w:t>onoterapiji</w:t>
      </w:r>
    </w:p>
    <w:p w14:paraId="2E86A093" w14:textId="6F021E11" w:rsidR="00CE09F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pacijenata sa neadekvatno kontrolisanom glikemijom pri monoterapiji metforminom uobičajena početna</w:t>
      </w:r>
      <w:r w:rsidR="00297559" w:rsidRPr="001870F3">
        <w:rPr>
          <w:rFonts w:eastAsia="TimesNewRoman"/>
          <w:szCs w:val="22"/>
          <w:lang w:val="sr-Latn-ME"/>
        </w:rPr>
        <w:t xml:space="preserve"> </w:t>
      </w:r>
      <w:r w:rsidRPr="001870F3">
        <w:rPr>
          <w:rFonts w:eastAsia="TimesNewRoman"/>
          <w:szCs w:val="22"/>
          <w:lang w:val="sr-Latn-ME"/>
        </w:rPr>
        <w:t>doza l</w:t>
      </w:r>
      <w:r w:rsidR="00595C29"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da obezb</w:t>
      </w:r>
      <w:r w:rsidR="007B6487" w:rsidRPr="001870F3">
        <w:rPr>
          <w:rFonts w:eastAsia="TimesNewRoman"/>
          <w:szCs w:val="22"/>
          <w:lang w:val="sr-Latn-ME"/>
        </w:rPr>
        <w:t>ij</w:t>
      </w:r>
      <w:r w:rsidRPr="001870F3">
        <w:rPr>
          <w:rFonts w:eastAsia="TimesNewRoman"/>
          <w:szCs w:val="22"/>
          <w:lang w:val="sr-Latn-ME"/>
        </w:rPr>
        <w:t>edi sitagliptin u dozi od 50 mg dvaput dnevno (ukupna dnevna doza 100 mg) plus doza metformina koja se već uzima.</w:t>
      </w:r>
    </w:p>
    <w:p w14:paraId="2E86A094" w14:textId="77777777" w:rsidR="00614733" w:rsidRPr="001870F3" w:rsidRDefault="00614733" w:rsidP="001870F3">
      <w:pPr>
        <w:widowControl w:val="0"/>
        <w:rPr>
          <w:rFonts w:eastAsia="TimesNewRoman"/>
          <w:szCs w:val="22"/>
          <w:lang w:val="sr-Latn-ME"/>
        </w:rPr>
      </w:pPr>
    </w:p>
    <w:p w14:paraId="2E86A095"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koji prelaze sa istovremene prim</w:t>
      </w:r>
      <w:r w:rsidR="00595C29" w:rsidRPr="001870F3">
        <w:rPr>
          <w:rFonts w:eastAsia="TimesNewRoman"/>
          <w:szCs w:val="22"/>
          <w:u w:val="single"/>
          <w:lang w:val="sr-Latn-ME"/>
        </w:rPr>
        <w:t>j</w:t>
      </w:r>
      <w:r w:rsidRPr="001870F3">
        <w:rPr>
          <w:rFonts w:eastAsia="TimesNewRoman"/>
          <w:szCs w:val="22"/>
          <w:u w:val="single"/>
          <w:lang w:val="sr-Latn-ME"/>
        </w:rPr>
        <w:t>ene sitagliptina i metformina</w:t>
      </w:r>
    </w:p>
    <w:p w14:paraId="2E86A098" w14:textId="0C4FDCE4" w:rsidR="00653BCD"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pacijenata koji prelaze sa istovremene prim</w:t>
      </w:r>
      <w:r w:rsidR="00595C29" w:rsidRPr="001870F3">
        <w:rPr>
          <w:rFonts w:eastAsia="TimesNewRoman"/>
          <w:szCs w:val="22"/>
          <w:lang w:val="sr-Latn-ME"/>
        </w:rPr>
        <w:t>j</w:t>
      </w:r>
      <w:r w:rsidRPr="001870F3">
        <w:rPr>
          <w:rFonts w:eastAsia="TimesNewRoman"/>
          <w:szCs w:val="22"/>
          <w:lang w:val="sr-Latn-ME"/>
        </w:rPr>
        <w:t>ene sitagliptina i metformina, l</w:t>
      </w:r>
      <w:r w:rsidR="00595C29" w:rsidRPr="001870F3">
        <w:rPr>
          <w:rFonts w:eastAsia="TimesNewRoman"/>
          <w:szCs w:val="22"/>
          <w:lang w:val="sr-Latn-ME"/>
        </w:rPr>
        <w:t>ij</w:t>
      </w:r>
      <w:r w:rsidRPr="001870F3">
        <w:rPr>
          <w:rFonts w:eastAsia="TimesNewRoman"/>
          <w:szCs w:val="22"/>
          <w:lang w:val="sr-Latn-ME"/>
        </w:rPr>
        <w:t xml:space="preserve">ek </w:t>
      </w:r>
      <w:r w:rsidR="000312D3" w:rsidRPr="001870F3">
        <w:rPr>
          <w:rFonts w:eastAsia="TimesNewRoman"/>
          <w:szCs w:val="22"/>
          <w:lang w:val="sr-Latn-ME"/>
        </w:rPr>
        <w:t>Dolista Duo</w:t>
      </w:r>
      <w:r w:rsidRPr="001870F3">
        <w:rPr>
          <w:rFonts w:eastAsia="TimesNewRoman"/>
          <w:szCs w:val="22"/>
          <w:lang w:val="sr-Latn-ME"/>
        </w:rPr>
        <w:t xml:space="preserve"> treba započeti u dozi koja je ista kao doza sitagliptina i metformina koju pacijent već uzima.</w:t>
      </w:r>
    </w:p>
    <w:p w14:paraId="6ED9CA3A" w14:textId="77777777" w:rsidR="003C2600" w:rsidRPr="001870F3" w:rsidRDefault="003C2600" w:rsidP="001870F3">
      <w:pPr>
        <w:widowControl w:val="0"/>
        <w:tabs>
          <w:tab w:val="clear" w:pos="284"/>
        </w:tabs>
        <w:autoSpaceDE w:val="0"/>
        <w:autoSpaceDN w:val="0"/>
        <w:adjustRightInd w:val="0"/>
        <w:rPr>
          <w:rFonts w:eastAsia="TimesNewRoman"/>
          <w:szCs w:val="22"/>
          <w:lang w:val="sr-Latn-ME"/>
        </w:rPr>
      </w:pPr>
    </w:p>
    <w:p w14:paraId="2E86A09A" w14:textId="70EED346"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dvostrukoj kombinovanoj terapiji maksimalnom</w:t>
      </w:r>
      <w:r w:rsidR="00297559" w:rsidRPr="001870F3">
        <w:rPr>
          <w:rFonts w:eastAsia="TimesNewRoman"/>
          <w:szCs w:val="22"/>
          <w:u w:val="single"/>
          <w:lang w:val="sr-Latn-ME"/>
        </w:rPr>
        <w:t xml:space="preserve"> </w:t>
      </w:r>
      <w:r w:rsidRPr="001870F3">
        <w:rPr>
          <w:rFonts w:eastAsia="TimesNewRoman"/>
          <w:szCs w:val="22"/>
          <w:u w:val="single"/>
          <w:lang w:val="sr-Latn-ME"/>
        </w:rPr>
        <w:t xml:space="preserve">podnošljivom dozom metformina i </w:t>
      </w:r>
      <w:r w:rsidR="00564A63" w:rsidRPr="001870F3">
        <w:rPr>
          <w:rFonts w:eastAsia="TimesNewRoman"/>
          <w:szCs w:val="22"/>
          <w:u w:val="single"/>
          <w:lang w:val="sr-Latn-ME"/>
        </w:rPr>
        <w:t xml:space="preserve">derivatima </w:t>
      </w:r>
      <w:r w:rsidRPr="001870F3">
        <w:rPr>
          <w:rFonts w:eastAsia="TimesNewRoman"/>
          <w:szCs w:val="22"/>
          <w:u w:val="single"/>
          <w:lang w:val="sr-Latn-ME"/>
        </w:rPr>
        <w:t>sulfoniluree</w:t>
      </w:r>
    </w:p>
    <w:p w14:paraId="2E86A09D" w14:textId="481CE91B"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Dozom l</w:t>
      </w:r>
      <w:r w:rsidR="00595C29"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obezb</w:t>
      </w:r>
      <w:r w:rsidR="00595C29" w:rsidRPr="001870F3">
        <w:rPr>
          <w:rFonts w:eastAsia="TimesNewRoman"/>
          <w:szCs w:val="22"/>
          <w:lang w:val="sr-Latn-ME"/>
        </w:rPr>
        <w:t>j</w:t>
      </w:r>
      <w:r w:rsidRPr="001870F3">
        <w:rPr>
          <w:rFonts w:eastAsia="TimesNewRoman"/>
          <w:szCs w:val="22"/>
          <w:lang w:val="sr-Latn-ME"/>
        </w:rPr>
        <w:t>editi sitagliptin u dozi od 50 mg dvaput dnevno (ukupna dnevna doza 10</w:t>
      </w:r>
      <w:r w:rsidR="00653BCD" w:rsidRPr="001870F3">
        <w:rPr>
          <w:rFonts w:eastAsia="TimesNewRoman"/>
          <w:szCs w:val="22"/>
          <w:lang w:val="sr-Latn-ME"/>
        </w:rPr>
        <w:t xml:space="preserve">0 mg) </w:t>
      </w:r>
      <w:r w:rsidR="000312D3" w:rsidRPr="001870F3">
        <w:rPr>
          <w:rFonts w:eastAsia="TimesNewRoman"/>
          <w:szCs w:val="22"/>
          <w:lang w:val="sr-Latn-ME"/>
        </w:rPr>
        <w:t>i</w:t>
      </w:r>
      <w:r w:rsidR="00653BCD" w:rsidRPr="001870F3">
        <w:rPr>
          <w:rFonts w:eastAsia="TimesNewRoman"/>
          <w:szCs w:val="22"/>
          <w:lang w:val="sr-Latn-ME"/>
        </w:rPr>
        <w:t xml:space="preserve"> </w:t>
      </w:r>
      <w:r w:rsidRPr="001870F3">
        <w:rPr>
          <w:rFonts w:eastAsia="TimesNewRoman"/>
          <w:szCs w:val="22"/>
          <w:lang w:val="sr-Latn-ME"/>
        </w:rPr>
        <w:t xml:space="preserve">dozu metformina koja odgovara dozi koja se već uzima. Kada se </w:t>
      </w:r>
      <w:r w:rsidR="00B30102" w:rsidRPr="001870F3">
        <w:rPr>
          <w:rFonts w:eastAsia="TimesNewRoman"/>
          <w:szCs w:val="22"/>
          <w:lang w:val="sr-Latn-ME"/>
        </w:rPr>
        <w:t xml:space="preserve">lijek </w:t>
      </w:r>
      <w:r w:rsidR="000312D3" w:rsidRPr="001870F3">
        <w:rPr>
          <w:rFonts w:eastAsia="TimesNewRoman"/>
          <w:szCs w:val="22"/>
          <w:lang w:val="sr-Latn-ME"/>
        </w:rPr>
        <w:t>Dolista Duo</w:t>
      </w:r>
      <w:r w:rsidRPr="001870F3">
        <w:rPr>
          <w:rFonts w:eastAsia="TimesNewRoman"/>
          <w:szCs w:val="22"/>
          <w:lang w:val="sr-Latn-ME"/>
        </w:rPr>
        <w:t xml:space="preserve"> koristi u kombinaciji sa</w:t>
      </w:r>
      <w:r w:rsidR="000312D3" w:rsidRPr="001870F3">
        <w:rPr>
          <w:rFonts w:eastAsia="TimesNewRoman"/>
          <w:szCs w:val="22"/>
          <w:lang w:val="sr-Latn-ME"/>
        </w:rPr>
        <w:t xml:space="preserve"> </w:t>
      </w:r>
      <w:r w:rsidR="003C2600" w:rsidRPr="001870F3">
        <w:rPr>
          <w:rFonts w:eastAsia="TimesNewRoman"/>
          <w:szCs w:val="22"/>
          <w:lang w:val="sr-Latn-ME"/>
        </w:rPr>
        <w:t>derivatima</w:t>
      </w:r>
      <w:r w:rsidR="00B630A1" w:rsidRPr="001870F3">
        <w:rPr>
          <w:rFonts w:eastAsia="TimesNewRoman"/>
          <w:szCs w:val="22"/>
          <w:lang w:val="sr-Latn-ME"/>
        </w:rPr>
        <w:t xml:space="preserve"> </w:t>
      </w:r>
      <w:r w:rsidRPr="001870F3">
        <w:rPr>
          <w:rFonts w:eastAsia="TimesNewRoman"/>
          <w:szCs w:val="22"/>
          <w:lang w:val="sr-Latn-ME"/>
        </w:rPr>
        <w:t>sulfonilur</w:t>
      </w:r>
      <w:r w:rsidR="00B630A1" w:rsidRPr="001870F3">
        <w:rPr>
          <w:rFonts w:eastAsia="TimesNewRoman"/>
          <w:szCs w:val="22"/>
          <w:lang w:val="sr-Latn-ME"/>
        </w:rPr>
        <w:t>ee</w:t>
      </w:r>
      <w:r w:rsidRPr="001870F3">
        <w:rPr>
          <w:rFonts w:eastAsia="TimesNewRoman"/>
          <w:szCs w:val="22"/>
          <w:lang w:val="sr-Latn-ME"/>
        </w:rPr>
        <w:t xml:space="preserve">, može se ukazati potreba za smanjenjem doze </w:t>
      </w:r>
      <w:r w:rsidR="00B630A1" w:rsidRPr="001870F3">
        <w:rPr>
          <w:rFonts w:eastAsia="TimesNewRoman"/>
          <w:szCs w:val="22"/>
          <w:lang w:val="sr-Latn-ME"/>
        </w:rPr>
        <w:t xml:space="preserve">derivata </w:t>
      </w:r>
      <w:r w:rsidRPr="001870F3">
        <w:rPr>
          <w:rFonts w:eastAsia="TimesNewRoman"/>
          <w:szCs w:val="22"/>
          <w:lang w:val="sr-Latn-ME"/>
        </w:rPr>
        <w:t>sulfoniluree kako bi se smanjio rizik od</w:t>
      </w:r>
      <w:r w:rsidR="00B30102" w:rsidRPr="001870F3">
        <w:rPr>
          <w:rFonts w:eastAsia="TimesNewRoman"/>
          <w:szCs w:val="22"/>
          <w:lang w:val="sr-Latn-ME"/>
        </w:rPr>
        <w:t xml:space="preserve"> </w:t>
      </w:r>
      <w:r w:rsidRPr="001870F3">
        <w:rPr>
          <w:rFonts w:eastAsia="TimesNewRoman"/>
          <w:szCs w:val="22"/>
          <w:lang w:val="sr-Latn-ME"/>
        </w:rPr>
        <w:t>hipoglikemije (</w:t>
      </w:r>
      <w:r w:rsidR="000220E4" w:rsidRPr="001870F3">
        <w:rPr>
          <w:rFonts w:eastAsia="TimesNewRoman"/>
          <w:szCs w:val="22"/>
          <w:lang w:val="sr-Latn-ME"/>
        </w:rPr>
        <w:t>pogledati dio</w:t>
      </w:r>
      <w:r w:rsidRPr="001870F3">
        <w:rPr>
          <w:rFonts w:eastAsia="TimesNewRoman"/>
          <w:szCs w:val="22"/>
          <w:lang w:val="sr-Latn-ME"/>
        </w:rPr>
        <w:t xml:space="preserve"> 4.4).</w:t>
      </w:r>
    </w:p>
    <w:p w14:paraId="2E86A09E"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9F"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dvostrukoj kombino</w:t>
      </w:r>
      <w:r w:rsidR="00653BCD" w:rsidRPr="001870F3">
        <w:rPr>
          <w:rFonts w:eastAsia="TimesNewRoman"/>
          <w:szCs w:val="22"/>
          <w:u w:val="single"/>
          <w:lang w:val="sr-Latn-ME"/>
        </w:rPr>
        <w:t xml:space="preserve">vanoj terapiji i sa maksimalnom </w:t>
      </w:r>
      <w:r w:rsidRPr="001870F3">
        <w:rPr>
          <w:rFonts w:eastAsia="TimesNewRoman"/>
          <w:szCs w:val="22"/>
          <w:u w:val="single"/>
          <w:lang w:val="sr-Latn-ME"/>
        </w:rPr>
        <w:t>podnošljivom dozom metformina i PPARγ agoniste</w:t>
      </w:r>
    </w:p>
    <w:p w14:paraId="2E86A0A1" w14:textId="0B55B9B2"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Dozom l</w:t>
      </w:r>
      <w:r w:rsidR="007E58C0"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obezb</w:t>
      </w:r>
      <w:r w:rsidR="007B6487" w:rsidRPr="001870F3">
        <w:rPr>
          <w:rFonts w:eastAsia="TimesNewRoman"/>
          <w:szCs w:val="22"/>
          <w:lang w:val="sr-Latn-ME"/>
        </w:rPr>
        <w:t>ij</w:t>
      </w:r>
      <w:r w:rsidRPr="001870F3">
        <w:rPr>
          <w:rFonts w:eastAsia="TimesNewRoman"/>
          <w:szCs w:val="22"/>
          <w:lang w:val="sr-Latn-ME"/>
        </w:rPr>
        <w:t>editi sitagliptin u dozi od 50 mg dvaput dnevn</w:t>
      </w:r>
      <w:r w:rsidR="000312D3" w:rsidRPr="001870F3">
        <w:rPr>
          <w:rFonts w:eastAsia="TimesNewRoman"/>
          <w:szCs w:val="22"/>
          <w:lang w:val="sr-Latn-ME"/>
        </w:rPr>
        <w:t xml:space="preserve">o (ukupna dnevna doza 100 mg) i </w:t>
      </w:r>
      <w:r w:rsidRPr="001870F3">
        <w:rPr>
          <w:rFonts w:eastAsia="TimesNewRoman"/>
          <w:szCs w:val="22"/>
          <w:lang w:val="sr-Latn-ME"/>
        </w:rPr>
        <w:t>dozu metformina istov</w:t>
      </w:r>
      <w:r w:rsidR="007B6487" w:rsidRPr="001870F3">
        <w:rPr>
          <w:rFonts w:eastAsia="TimesNewRoman"/>
          <w:szCs w:val="22"/>
          <w:lang w:val="sr-Latn-ME"/>
        </w:rPr>
        <w:t>j</w:t>
      </w:r>
      <w:r w:rsidRPr="001870F3">
        <w:rPr>
          <w:rFonts w:eastAsia="TimesNewRoman"/>
          <w:szCs w:val="22"/>
          <w:lang w:val="sr-Latn-ME"/>
        </w:rPr>
        <w:t>etnu dozi koja se već uzima.</w:t>
      </w:r>
    </w:p>
    <w:p w14:paraId="2E86A0A2"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A4" w14:textId="23739DC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dvostrukoj kombinovanoj terapiji insulinom i sa</w:t>
      </w:r>
      <w:r w:rsidR="00297559" w:rsidRPr="001870F3">
        <w:rPr>
          <w:rFonts w:eastAsia="TimesNewRoman"/>
          <w:szCs w:val="22"/>
          <w:u w:val="single"/>
          <w:lang w:val="sr-Latn-ME"/>
        </w:rPr>
        <w:t xml:space="preserve"> </w:t>
      </w:r>
      <w:r w:rsidRPr="001870F3">
        <w:rPr>
          <w:rFonts w:eastAsia="TimesNewRoman"/>
          <w:szCs w:val="22"/>
          <w:u w:val="single"/>
          <w:lang w:val="sr-Latn-ME"/>
        </w:rPr>
        <w:t>maksimalnom podnošljivom dozom metformina</w:t>
      </w:r>
    </w:p>
    <w:p w14:paraId="2E86A0A6" w14:textId="69C0725D"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Dozom l</w:t>
      </w:r>
      <w:r w:rsidR="007E58C0"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obezb</w:t>
      </w:r>
      <w:r w:rsidR="007E58C0" w:rsidRPr="001870F3">
        <w:rPr>
          <w:rFonts w:eastAsia="TimesNewRoman"/>
          <w:szCs w:val="22"/>
          <w:lang w:val="sr-Latn-ME"/>
        </w:rPr>
        <w:t>j</w:t>
      </w:r>
      <w:r w:rsidRPr="001870F3">
        <w:rPr>
          <w:rFonts w:eastAsia="TimesNewRoman"/>
          <w:szCs w:val="22"/>
          <w:lang w:val="sr-Latn-ME"/>
        </w:rPr>
        <w:t>editi sitagliptin u dozi od 50 mg dvaput dnevn</w:t>
      </w:r>
      <w:r w:rsidR="006D4FAD" w:rsidRPr="001870F3">
        <w:rPr>
          <w:rFonts w:eastAsia="TimesNewRoman"/>
          <w:szCs w:val="22"/>
          <w:lang w:val="sr-Latn-ME"/>
        </w:rPr>
        <w:t>o (ukupna dnevna doza 100 mg) i</w:t>
      </w:r>
      <w:r w:rsidR="000312D3" w:rsidRPr="001870F3">
        <w:rPr>
          <w:rFonts w:eastAsia="TimesNewRoman"/>
          <w:szCs w:val="22"/>
          <w:lang w:val="sr-Latn-ME"/>
        </w:rPr>
        <w:t xml:space="preserve"> </w:t>
      </w:r>
      <w:r w:rsidRPr="001870F3">
        <w:rPr>
          <w:rFonts w:eastAsia="TimesNewRoman"/>
          <w:szCs w:val="22"/>
          <w:lang w:val="sr-Latn-ME"/>
        </w:rPr>
        <w:t>dozu metformina istov</w:t>
      </w:r>
      <w:r w:rsidR="00F26161" w:rsidRPr="001870F3">
        <w:rPr>
          <w:rFonts w:eastAsia="TimesNewRoman"/>
          <w:szCs w:val="22"/>
          <w:lang w:val="sr-Latn-ME"/>
        </w:rPr>
        <w:t>j</w:t>
      </w:r>
      <w:r w:rsidRPr="001870F3">
        <w:rPr>
          <w:rFonts w:eastAsia="TimesNewRoman"/>
          <w:szCs w:val="22"/>
          <w:lang w:val="sr-Latn-ME"/>
        </w:rPr>
        <w:t>etnu dozi koja se već uzima. Pri upotrebi l</w:t>
      </w:r>
      <w:r w:rsidR="007E58C0"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u kombinaciji sa insulinom, može</w:t>
      </w:r>
      <w:r w:rsidR="000312D3" w:rsidRPr="001870F3">
        <w:rPr>
          <w:rFonts w:eastAsia="TimesNewRoman"/>
          <w:szCs w:val="22"/>
          <w:lang w:val="sr-Latn-ME"/>
        </w:rPr>
        <w:t xml:space="preserve"> </w:t>
      </w:r>
      <w:r w:rsidRPr="001870F3">
        <w:rPr>
          <w:rFonts w:eastAsia="TimesNewRoman"/>
          <w:szCs w:val="22"/>
          <w:lang w:val="sr-Latn-ME"/>
        </w:rPr>
        <w:t>biti potrebno smanjenje doze insulina kako bi se smanjio rizik od pojave hipoglikemije (</w:t>
      </w:r>
      <w:r w:rsidR="000220E4" w:rsidRPr="001870F3">
        <w:rPr>
          <w:rFonts w:eastAsia="TimesNewRoman"/>
          <w:szCs w:val="22"/>
          <w:lang w:val="sr-Latn-ME"/>
        </w:rPr>
        <w:t>pogledati dio</w:t>
      </w:r>
      <w:r w:rsidRPr="001870F3">
        <w:rPr>
          <w:rFonts w:eastAsia="TimesNewRoman"/>
          <w:szCs w:val="22"/>
          <w:lang w:val="sr-Latn-ME"/>
        </w:rPr>
        <w:t xml:space="preserve"> 4.4).</w:t>
      </w:r>
    </w:p>
    <w:p w14:paraId="2E86A0A7"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A9" w14:textId="49C8B4BF"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E58C0" w:rsidRPr="001870F3">
        <w:rPr>
          <w:rFonts w:eastAsia="TimesNewRoman"/>
          <w:szCs w:val="22"/>
          <w:lang w:val="sr-Latn-ME"/>
        </w:rPr>
        <w:t>ij</w:t>
      </w:r>
      <w:r w:rsidRPr="001870F3">
        <w:rPr>
          <w:rFonts w:eastAsia="TimesNewRoman"/>
          <w:szCs w:val="22"/>
          <w:lang w:val="sr-Latn-ME"/>
        </w:rPr>
        <w:t xml:space="preserve">ek </w:t>
      </w:r>
      <w:r w:rsidR="000312D3" w:rsidRPr="001870F3">
        <w:rPr>
          <w:rFonts w:eastAsia="TimesNewRoman"/>
          <w:szCs w:val="22"/>
          <w:lang w:val="sr-Latn-ME"/>
        </w:rPr>
        <w:t>Dolista Duo</w:t>
      </w:r>
      <w:r w:rsidRPr="001870F3">
        <w:rPr>
          <w:rFonts w:eastAsia="TimesNewRoman"/>
          <w:szCs w:val="22"/>
          <w:lang w:val="sr-Latn-ME"/>
        </w:rPr>
        <w:t xml:space="preserve"> se zbog različitih doziranja metformina proizvodi u jačini od 50 mg sitagliptina i 850 mg</w:t>
      </w:r>
      <w:r w:rsidR="00297559" w:rsidRPr="001870F3">
        <w:rPr>
          <w:rFonts w:eastAsia="TimesNewRoman"/>
          <w:szCs w:val="22"/>
          <w:lang w:val="sr-Latn-ME"/>
        </w:rPr>
        <w:t xml:space="preserve"> </w:t>
      </w:r>
      <w:r w:rsidRPr="001870F3">
        <w:rPr>
          <w:rFonts w:eastAsia="TimesNewRoman"/>
          <w:szCs w:val="22"/>
          <w:lang w:val="sr-Latn-ME"/>
        </w:rPr>
        <w:t xml:space="preserve">metformin-hidrohlorida ili </w:t>
      </w:r>
      <w:r w:rsidR="007B6487" w:rsidRPr="001870F3">
        <w:rPr>
          <w:rFonts w:eastAsia="TimesNewRoman"/>
          <w:szCs w:val="22"/>
          <w:lang w:val="sr-Latn-ME"/>
        </w:rPr>
        <w:t xml:space="preserve">50 mg sitagliptina i </w:t>
      </w:r>
      <w:r w:rsidRPr="001870F3">
        <w:rPr>
          <w:rFonts w:eastAsia="TimesNewRoman"/>
          <w:szCs w:val="22"/>
          <w:lang w:val="sr-Latn-ME"/>
        </w:rPr>
        <w:t>1000 mg metformin-hidrohlorida.</w:t>
      </w:r>
    </w:p>
    <w:p w14:paraId="2E86A0AA"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AB" w14:textId="77777777"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Svi pacijenti treba da nastave dijetu uz adekvatno raspoređeno uzimanje ugljenih hidrata u toku dana. </w:t>
      </w:r>
    </w:p>
    <w:p w14:paraId="2E86A0AC" w14:textId="77777777" w:rsidR="00614733" w:rsidRPr="001870F3" w:rsidRDefault="00614733" w:rsidP="001870F3">
      <w:pPr>
        <w:widowControl w:val="0"/>
        <w:tabs>
          <w:tab w:val="clear" w:pos="284"/>
        </w:tabs>
        <w:autoSpaceDE w:val="0"/>
        <w:autoSpaceDN w:val="0"/>
        <w:adjustRightInd w:val="0"/>
        <w:rPr>
          <w:rFonts w:eastAsia="TimesNewRoman"/>
          <w:szCs w:val="22"/>
          <w:lang w:val="sr-Latn-ME"/>
        </w:rPr>
      </w:pPr>
    </w:p>
    <w:p w14:paraId="2E86A0AD" w14:textId="77777777" w:rsidR="00614733" w:rsidRPr="001870F3" w:rsidRDefault="00614733" w:rsidP="001870F3">
      <w:pPr>
        <w:widowControl w:val="0"/>
        <w:rPr>
          <w:rFonts w:eastAsia="TimesNewRoman"/>
          <w:b/>
          <w:bCs/>
          <w:szCs w:val="22"/>
          <w:lang w:val="sr-Latn-ME"/>
        </w:rPr>
      </w:pPr>
      <w:r w:rsidRPr="001870F3">
        <w:rPr>
          <w:rFonts w:eastAsia="TimesNewRoman"/>
          <w:b/>
          <w:bCs/>
          <w:szCs w:val="22"/>
          <w:lang w:val="sr-Latn-ME"/>
        </w:rPr>
        <w:t>Specijalne populacije</w:t>
      </w:r>
    </w:p>
    <w:p w14:paraId="2E86A0AE" w14:textId="77777777" w:rsidR="00614733" w:rsidRPr="001870F3" w:rsidRDefault="00614733" w:rsidP="001870F3">
      <w:pPr>
        <w:widowControl w:val="0"/>
        <w:rPr>
          <w:rFonts w:eastAsia="TimesNewRoman"/>
          <w:b/>
          <w:bCs/>
          <w:szCs w:val="22"/>
          <w:lang w:val="sr-Latn-ME"/>
        </w:rPr>
      </w:pPr>
    </w:p>
    <w:p w14:paraId="2E86A0AF" w14:textId="651F306C" w:rsidR="00614733" w:rsidRPr="001870F3" w:rsidRDefault="008E1021"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Oštećenje funkcije bubrega</w:t>
      </w:r>
    </w:p>
    <w:p w14:paraId="2E86A0B1" w14:textId="55BD8455" w:rsidR="00EE21BB"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Nije potrebno prilagođavanje doze kod pacijenata sa blagim oštećenjem bubrega (</w:t>
      </w:r>
      <w:r w:rsidR="005D138E" w:rsidRPr="001870F3">
        <w:rPr>
          <w:rFonts w:eastAsia="TimesNewRoman"/>
          <w:szCs w:val="22"/>
          <w:lang w:val="sr-Latn-ME"/>
        </w:rPr>
        <w:t>brzina glomerularne filtracije</w:t>
      </w:r>
      <w:r w:rsidR="004F558C" w:rsidRPr="001870F3">
        <w:rPr>
          <w:rFonts w:eastAsia="TimesNewRoman"/>
          <w:szCs w:val="22"/>
          <w:lang w:val="sr-Latn-ME"/>
        </w:rPr>
        <w:t xml:space="preserve"> </w:t>
      </w:r>
      <w:r w:rsidR="008C2B22" w:rsidRPr="001870F3">
        <w:rPr>
          <w:rFonts w:eastAsia="TimesNewRoman"/>
          <w:szCs w:val="22"/>
          <w:lang w:val="sr-Latn-ME"/>
        </w:rPr>
        <w:t>[</w:t>
      </w:r>
      <w:r w:rsidR="00966169" w:rsidRPr="001870F3">
        <w:rPr>
          <w:rFonts w:eastAsia="TimesNewRoman"/>
          <w:szCs w:val="22"/>
          <w:lang w:val="sr-Latn-ME"/>
        </w:rPr>
        <w:t>GFR</w:t>
      </w:r>
      <w:r w:rsidRPr="001870F3">
        <w:rPr>
          <w:rFonts w:eastAsia="TimesNewRoman"/>
          <w:szCs w:val="22"/>
          <w:lang w:val="sr-Latn-ME"/>
        </w:rPr>
        <w:t>]</w:t>
      </w:r>
      <w:r w:rsidR="008C2B22" w:rsidRPr="001870F3">
        <w:rPr>
          <w:rFonts w:eastAsia="TimesNewRoman"/>
          <w:szCs w:val="22"/>
          <w:lang w:val="sr-Latn-ME"/>
        </w:rPr>
        <w:t xml:space="preserve"> </w:t>
      </w:r>
      <w:r w:rsidRPr="001870F3">
        <w:rPr>
          <w:rFonts w:eastAsia="TimesNewRoman"/>
          <w:szCs w:val="22"/>
          <w:lang w:val="sr-Latn-ME"/>
        </w:rPr>
        <w:t>≥</w:t>
      </w:r>
      <w:r w:rsidR="008C2B22" w:rsidRPr="001870F3">
        <w:rPr>
          <w:rFonts w:eastAsia="TimesNewRoman"/>
          <w:szCs w:val="22"/>
          <w:lang w:val="sr-Latn-ME"/>
        </w:rPr>
        <w:t xml:space="preserve"> </w:t>
      </w:r>
      <w:r w:rsidRPr="001870F3">
        <w:rPr>
          <w:rFonts w:eastAsia="TimesNewRoman"/>
          <w:szCs w:val="22"/>
          <w:lang w:val="sr-Latn-ME"/>
        </w:rPr>
        <w:t>60m</w:t>
      </w:r>
      <w:r w:rsidR="004A6964" w:rsidRPr="001870F3">
        <w:rPr>
          <w:rFonts w:eastAsia="TimesNewRoman"/>
          <w:szCs w:val="22"/>
          <w:lang w:val="sr-Latn-ME"/>
        </w:rPr>
        <w:t>l</w:t>
      </w:r>
      <w:r w:rsidRPr="001870F3">
        <w:rPr>
          <w:rFonts w:eastAsia="TimesNewRoman"/>
          <w:szCs w:val="22"/>
          <w:lang w:val="sr-Latn-ME"/>
        </w:rPr>
        <w:t xml:space="preserve">/min). </w:t>
      </w:r>
      <w:r w:rsidR="005D138E" w:rsidRPr="001870F3">
        <w:rPr>
          <w:rFonts w:eastAsia="TimesNewRoman"/>
          <w:szCs w:val="22"/>
          <w:lang w:val="sr-Latn-ME"/>
        </w:rPr>
        <w:t>T</w:t>
      </w:r>
      <w:r w:rsidR="008C2B22" w:rsidRPr="001870F3">
        <w:rPr>
          <w:rFonts w:eastAsia="TimesNewRoman"/>
          <w:szCs w:val="22"/>
          <w:lang w:val="sr-Latn-ME"/>
        </w:rPr>
        <w:t>reba proc</w:t>
      </w:r>
      <w:r w:rsidR="007B6487" w:rsidRPr="001870F3">
        <w:rPr>
          <w:rFonts w:eastAsia="TimesNewRoman"/>
          <w:szCs w:val="22"/>
          <w:lang w:val="sr-Latn-ME"/>
        </w:rPr>
        <w:t>i</w:t>
      </w:r>
      <w:r w:rsidR="007E58C0" w:rsidRPr="001870F3">
        <w:rPr>
          <w:rFonts w:eastAsia="TimesNewRoman"/>
          <w:szCs w:val="22"/>
          <w:lang w:val="sr-Latn-ME"/>
        </w:rPr>
        <w:t>j</w:t>
      </w:r>
      <w:r w:rsidR="008C2B22" w:rsidRPr="001870F3">
        <w:rPr>
          <w:rFonts w:eastAsia="TimesNewRoman"/>
          <w:szCs w:val="22"/>
          <w:lang w:val="sr-Latn-ME"/>
        </w:rPr>
        <w:t>eniti</w:t>
      </w:r>
      <w:r w:rsidR="005D138E" w:rsidRPr="001870F3">
        <w:rPr>
          <w:rFonts w:eastAsia="TimesNewRoman"/>
          <w:szCs w:val="22"/>
          <w:lang w:val="sr-Latn-ME"/>
        </w:rPr>
        <w:t xml:space="preserve"> GFR</w:t>
      </w:r>
      <w:r w:rsidR="008C2B22" w:rsidRPr="001870F3">
        <w:rPr>
          <w:rFonts w:eastAsia="TimesNewRoman"/>
          <w:szCs w:val="22"/>
          <w:lang w:val="sr-Latn-ME"/>
        </w:rPr>
        <w:t xml:space="preserve"> pr</w:t>
      </w:r>
      <w:r w:rsidR="007E58C0" w:rsidRPr="001870F3">
        <w:rPr>
          <w:rFonts w:eastAsia="TimesNewRoman"/>
          <w:szCs w:val="22"/>
          <w:lang w:val="sr-Latn-ME"/>
        </w:rPr>
        <w:t>ij</w:t>
      </w:r>
      <w:r w:rsidR="008C2B22" w:rsidRPr="001870F3">
        <w:rPr>
          <w:rFonts w:eastAsia="TimesNewRoman"/>
          <w:szCs w:val="22"/>
          <w:lang w:val="sr-Latn-ME"/>
        </w:rPr>
        <w:t>e početka terapije sa l</w:t>
      </w:r>
      <w:r w:rsidR="007E58C0" w:rsidRPr="001870F3">
        <w:rPr>
          <w:rFonts w:eastAsia="TimesNewRoman"/>
          <w:szCs w:val="22"/>
          <w:lang w:val="sr-Latn-ME"/>
        </w:rPr>
        <w:t>j</w:t>
      </w:r>
      <w:r w:rsidR="008C2B22" w:rsidRPr="001870F3">
        <w:rPr>
          <w:rFonts w:eastAsia="TimesNewRoman"/>
          <w:szCs w:val="22"/>
          <w:lang w:val="sr-Latn-ME"/>
        </w:rPr>
        <w:t xml:space="preserve">ekovima koji sadrže </w:t>
      </w:r>
      <w:r w:rsidR="008C2B22" w:rsidRPr="001870F3">
        <w:rPr>
          <w:rFonts w:eastAsia="TimesNewRoman"/>
          <w:szCs w:val="22"/>
          <w:lang w:val="sr-Latn-ME"/>
        </w:rPr>
        <w:lastRenderedPageBreak/>
        <w:t>metformin i najmanje jednom godišnje posl</w:t>
      </w:r>
      <w:r w:rsidR="007E58C0" w:rsidRPr="001870F3">
        <w:rPr>
          <w:rFonts w:eastAsia="TimesNewRoman"/>
          <w:szCs w:val="22"/>
          <w:lang w:val="sr-Latn-ME"/>
        </w:rPr>
        <w:t>ij</w:t>
      </w:r>
      <w:r w:rsidR="008C2B22" w:rsidRPr="001870F3">
        <w:rPr>
          <w:rFonts w:eastAsia="TimesNewRoman"/>
          <w:szCs w:val="22"/>
          <w:lang w:val="sr-Latn-ME"/>
        </w:rPr>
        <w:t>e toga.</w:t>
      </w:r>
      <w:r w:rsidR="00EE21BB" w:rsidRPr="001870F3">
        <w:rPr>
          <w:rFonts w:eastAsia="TimesNewRoman"/>
          <w:szCs w:val="22"/>
          <w:lang w:val="sr-Latn-ME"/>
        </w:rPr>
        <w:t xml:space="preserve"> Kod pacijenata sa povećanim rizikom od dalje progresije bubrežnog oštećenja i kod starijih osoba, bubrežnu funkciju treba proc</w:t>
      </w:r>
      <w:r w:rsidR="007E58C0" w:rsidRPr="001870F3">
        <w:rPr>
          <w:rFonts w:eastAsia="TimesNewRoman"/>
          <w:szCs w:val="22"/>
          <w:lang w:val="sr-Latn-ME"/>
        </w:rPr>
        <w:t>j</w:t>
      </w:r>
      <w:r w:rsidR="00EE21BB" w:rsidRPr="001870F3">
        <w:rPr>
          <w:rFonts w:eastAsia="TimesNewRoman"/>
          <w:szCs w:val="22"/>
          <w:lang w:val="sr-Latn-ME"/>
        </w:rPr>
        <w:t>enjivati češće npr. svakih 3-6 m</w:t>
      </w:r>
      <w:r w:rsidR="007E58C0" w:rsidRPr="001870F3">
        <w:rPr>
          <w:rFonts w:eastAsia="TimesNewRoman"/>
          <w:szCs w:val="22"/>
          <w:lang w:val="sr-Latn-ME"/>
        </w:rPr>
        <w:t>j</w:t>
      </w:r>
      <w:r w:rsidR="00EE21BB" w:rsidRPr="001870F3">
        <w:rPr>
          <w:rFonts w:eastAsia="TimesNewRoman"/>
          <w:szCs w:val="22"/>
          <w:lang w:val="sr-Latn-ME"/>
        </w:rPr>
        <w:t>eseci.</w:t>
      </w:r>
    </w:p>
    <w:p w14:paraId="2E86A0B2" w14:textId="77777777" w:rsidR="00EE21BB" w:rsidRPr="001870F3" w:rsidRDefault="00EE21BB" w:rsidP="001870F3">
      <w:pPr>
        <w:widowControl w:val="0"/>
        <w:tabs>
          <w:tab w:val="clear" w:pos="284"/>
        </w:tabs>
        <w:autoSpaceDE w:val="0"/>
        <w:autoSpaceDN w:val="0"/>
        <w:adjustRightInd w:val="0"/>
        <w:rPr>
          <w:rFonts w:eastAsia="TimesNewRoman"/>
          <w:szCs w:val="22"/>
          <w:lang w:val="sr-Latn-ME"/>
        </w:rPr>
      </w:pPr>
    </w:p>
    <w:p w14:paraId="2E86A0B3" w14:textId="198E23AD" w:rsidR="00EE21BB" w:rsidRPr="001870F3" w:rsidRDefault="00EE21B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Maksimalno preporučenu dnevnu dozu metformina treba najbolje pod</w:t>
      </w:r>
      <w:r w:rsidR="007E58C0" w:rsidRPr="001870F3">
        <w:rPr>
          <w:rFonts w:eastAsia="TimesNewRoman"/>
          <w:szCs w:val="22"/>
          <w:lang w:val="sr-Latn-ME"/>
        </w:rPr>
        <w:t>ij</w:t>
      </w:r>
      <w:r w:rsidRPr="001870F3">
        <w:rPr>
          <w:rFonts w:eastAsia="TimesNewRoman"/>
          <w:szCs w:val="22"/>
          <w:lang w:val="sr-Latn-ME"/>
        </w:rPr>
        <w:t xml:space="preserve">eliti u 2-3 dnevne doze. Faktore koji mogu uticati na povećanje rizika od nastanka </w:t>
      </w:r>
      <w:r w:rsidR="00AF0162" w:rsidRPr="001870F3">
        <w:rPr>
          <w:rFonts w:eastAsia="TimesNewRoman"/>
          <w:szCs w:val="22"/>
          <w:lang w:val="sr-Latn-ME"/>
        </w:rPr>
        <w:t>lakto</w:t>
      </w:r>
      <w:r w:rsidRPr="001870F3">
        <w:rPr>
          <w:rFonts w:eastAsia="TimesNewRoman"/>
          <w:szCs w:val="22"/>
          <w:lang w:val="sr-Latn-ME"/>
        </w:rPr>
        <w:t>acidoze (</w:t>
      </w:r>
      <w:r w:rsidR="000220E4" w:rsidRPr="001870F3">
        <w:rPr>
          <w:rFonts w:eastAsia="TimesNewRoman"/>
          <w:szCs w:val="22"/>
          <w:lang w:val="sr-Latn-ME"/>
        </w:rPr>
        <w:t>pogledati dio</w:t>
      </w:r>
      <w:r w:rsidRPr="001870F3">
        <w:rPr>
          <w:rFonts w:eastAsia="TimesNewRoman"/>
          <w:szCs w:val="22"/>
          <w:lang w:val="sr-Latn-ME"/>
        </w:rPr>
        <w:t xml:space="preserve"> 4.4) treba razmotriti pr</w:t>
      </w:r>
      <w:r w:rsidR="007E58C0" w:rsidRPr="001870F3">
        <w:rPr>
          <w:rFonts w:eastAsia="TimesNewRoman"/>
          <w:szCs w:val="22"/>
          <w:lang w:val="sr-Latn-ME"/>
        </w:rPr>
        <w:t>ij</w:t>
      </w:r>
      <w:r w:rsidRPr="001870F3">
        <w:rPr>
          <w:rFonts w:eastAsia="TimesNewRoman"/>
          <w:szCs w:val="22"/>
          <w:lang w:val="sr-Latn-ME"/>
        </w:rPr>
        <w:t xml:space="preserve">e razmatranja početka terapije metforminom kod pacijenata sa </w:t>
      </w:r>
      <w:r w:rsidR="003461FB" w:rsidRPr="001870F3">
        <w:rPr>
          <w:rFonts w:eastAsia="TimesNewRoman"/>
          <w:szCs w:val="22"/>
          <w:lang w:val="sr-Latn-ME"/>
        </w:rPr>
        <w:t>GFR</w:t>
      </w:r>
      <w:r w:rsidRPr="001870F3">
        <w:rPr>
          <w:rFonts w:eastAsia="TimesNewRoman"/>
          <w:szCs w:val="22"/>
          <w:lang w:val="sr-Latn-ME"/>
        </w:rPr>
        <w:t xml:space="preserve"> &lt; 60 m</w:t>
      </w:r>
      <w:r w:rsidR="004A6964" w:rsidRPr="001870F3">
        <w:rPr>
          <w:rFonts w:eastAsia="TimesNewRoman"/>
          <w:szCs w:val="22"/>
          <w:lang w:val="sr-Latn-ME"/>
        </w:rPr>
        <w:t>l</w:t>
      </w:r>
      <w:r w:rsidRPr="001870F3">
        <w:rPr>
          <w:rFonts w:eastAsia="TimesNewRoman"/>
          <w:szCs w:val="22"/>
          <w:lang w:val="sr-Latn-ME"/>
        </w:rPr>
        <w:t>/min.</w:t>
      </w:r>
    </w:p>
    <w:p w14:paraId="2E86A0B4" w14:textId="77777777" w:rsidR="00EE21BB" w:rsidRPr="001870F3" w:rsidRDefault="00EE21BB" w:rsidP="001870F3">
      <w:pPr>
        <w:widowControl w:val="0"/>
        <w:tabs>
          <w:tab w:val="clear" w:pos="284"/>
        </w:tabs>
        <w:autoSpaceDE w:val="0"/>
        <w:autoSpaceDN w:val="0"/>
        <w:adjustRightInd w:val="0"/>
        <w:rPr>
          <w:rFonts w:eastAsia="TimesNewRoman"/>
          <w:szCs w:val="22"/>
          <w:lang w:val="sr-Latn-ME"/>
        </w:rPr>
      </w:pPr>
    </w:p>
    <w:p w14:paraId="2E86A0B5" w14:textId="226CA7EF" w:rsidR="008401AC" w:rsidRPr="001870F3" w:rsidRDefault="00EE21B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Ukoliko adekvatna doza l</w:t>
      </w:r>
      <w:r w:rsidR="007E58C0" w:rsidRPr="001870F3">
        <w:rPr>
          <w:rFonts w:eastAsia="TimesNewRoman"/>
          <w:szCs w:val="22"/>
          <w:lang w:val="sr-Latn-ME"/>
        </w:rPr>
        <w:t>ij</w:t>
      </w:r>
      <w:r w:rsidRPr="001870F3">
        <w:rPr>
          <w:rFonts w:eastAsia="TimesNewRoman"/>
          <w:szCs w:val="22"/>
          <w:lang w:val="sr-Latn-ME"/>
        </w:rPr>
        <w:t>eka Dolista Duo nije dostupna,</w:t>
      </w:r>
      <w:r w:rsidR="008401AC" w:rsidRPr="001870F3">
        <w:rPr>
          <w:rFonts w:eastAsia="TimesNewRoman"/>
          <w:szCs w:val="22"/>
          <w:lang w:val="sr-Latn-ME"/>
        </w:rPr>
        <w:t xml:space="preserve"> treba prim</w:t>
      </w:r>
      <w:r w:rsidR="000E288E" w:rsidRPr="001870F3">
        <w:rPr>
          <w:rFonts w:eastAsia="TimesNewRoman"/>
          <w:szCs w:val="22"/>
          <w:lang w:val="sr-Latn-ME"/>
        </w:rPr>
        <w:t>i</w:t>
      </w:r>
      <w:r w:rsidR="007E58C0" w:rsidRPr="001870F3">
        <w:rPr>
          <w:rFonts w:eastAsia="TimesNewRoman"/>
          <w:szCs w:val="22"/>
          <w:lang w:val="sr-Latn-ME"/>
        </w:rPr>
        <w:t>j</w:t>
      </w:r>
      <w:r w:rsidR="008401AC" w:rsidRPr="001870F3">
        <w:rPr>
          <w:rFonts w:eastAsia="TimesNewRoman"/>
          <w:szCs w:val="22"/>
          <w:lang w:val="sr-Latn-ME"/>
        </w:rPr>
        <w:t>eniti pojedinačne monokomponente um</w:t>
      </w:r>
      <w:r w:rsidR="007B6487" w:rsidRPr="001870F3">
        <w:rPr>
          <w:rFonts w:eastAsia="TimesNewRoman"/>
          <w:szCs w:val="22"/>
          <w:lang w:val="sr-Latn-ME"/>
        </w:rPr>
        <w:t>j</w:t>
      </w:r>
      <w:r w:rsidR="008401AC" w:rsidRPr="001870F3">
        <w:rPr>
          <w:rFonts w:eastAsia="TimesNewRoman"/>
          <w:szCs w:val="22"/>
          <w:lang w:val="sr-Latn-ME"/>
        </w:rPr>
        <w:t>esto fiksne kombinacije l</w:t>
      </w:r>
      <w:r w:rsidR="007E58C0" w:rsidRPr="001870F3">
        <w:rPr>
          <w:rFonts w:eastAsia="TimesNewRoman"/>
          <w:szCs w:val="22"/>
          <w:lang w:val="sr-Latn-ME"/>
        </w:rPr>
        <w:t>ij</w:t>
      </w:r>
      <w:r w:rsidR="008401AC" w:rsidRPr="001870F3">
        <w:rPr>
          <w:rFonts w:eastAsia="TimesNewRoman"/>
          <w:szCs w:val="22"/>
          <w:lang w:val="sr-Latn-ME"/>
        </w:rPr>
        <w:t>eka.</w:t>
      </w:r>
    </w:p>
    <w:p w14:paraId="2E86A0B6"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p>
    <w:tbl>
      <w:tblPr>
        <w:tblStyle w:val="TableGrid"/>
        <w:tblW w:w="5000" w:type="pct"/>
        <w:tblLook w:val="04A0" w:firstRow="1" w:lastRow="0" w:firstColumn="1" w:lastColumn="0" w:noHBand="0" w:noVBand="1"/>
      </w:tblPr>
      <w:tblGrid>
        <w:gridCol w:w="988"/>
        <w:gridCol w:w="4677"/>
        <w:gridCol w:w="3396"/>
      </w:tblGrid>
      <w:tr w:rsidR="008401AC" w:rsidRPr="001870F3" w14:paraId="2E86A0BA" w14:textId="77777777" w:rsidTr="005B56A9">
        <w:tc>
          <w:tcPr>
            <w:tcW w:w="545" w:type="pct"/>
          </w:tcPr>
          <w:p w14:paraId="2E86A0B7" w14:textId="72C19F7A" w:rsidR="008401AC" w:rsidRPr="001870F3" w:rsidRDefault="003461F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GFR</w:t>
            </w:r>
            <w:r w:rsidR="008401AC" w:rsidRPr="001870F3">
              <w:rPr>
                <w:rFonts w:eastAsia="TimesNewRoman"/>
                <w:szCs w:val="22"/>
                <w:lang w:val="sr-Latn-ME"/>
              </w:rPr>
              <w:t xml:space="preserve"> m</w:t>
            </w:r>
            <w:r w:rsidR="000E288E" w:rsidRPr="001870F3">
              <w:rPr>
                <w:rFonts w:eastAsia="TimesNewRoman"/>
                <w:szCs w:val="22"/>
                <w:lang w:val="sr-Latn-ME"/>
              </w:rPr>
              <w:t>l</w:t>
            </w:r>
            <w:r w:rsidR="008401AC" w:rsidRPr="001870F3">
              <w:rPr>
                <w:rFonts w:eastAsia="TimesNewRoman"/>
                <w:szCs w:val="22"/>
                <w:lang w:val="sr-Latn-ME"/>
              </w:rPr>
              <w:t>/min</w:t>
            </w:r>
          </w:p>
        </w:tc>
        <w:tc>
          <w:tcPr>
            <w:tcW w:w="2581" w:type="pct"/>
          </w:tcPr>
          <w:p w14:paraId="2E86A0B8"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w:t>
            </w:r>
          </w:p>
        </w:tc>
        <w:tc>
          <w:tcPr>
            <w:tcW w:w="1874" w:type="pct"/>
          </w:tcPr>
          <w:p w14:paraId="2E86A0B9"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w:t>
            </w:r>
          </w:p>
        </w:tc>
      </w:tr>
      <w:tr w:rsidR="008401AC" w:rsidRPr="005B56A9" w14:paraId="2E86A0BF" w14:textId="77777777" w:rsidTr="005B56A9">
        <w:tc>
          <w:tcPr>
            <w:tcW w:w="545" w:type="pct"/>
          </w:tcPr>
          <w:p w14:paraId="2E86A0BB"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60 - 89</w:t>
            </w:r>
          </w:p>
        </w:tc>
        <w:tc>
          <w:tcPr>
            <w:tcW w:w="2581" w:type="pct"/>
          </w:tcPr>
          <w:p w14:paraId="2E86A0BC" w14:textId="21667865"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3000 mg</w:t>
            </w:r>
            <w:r w:rsidR="00573BB5" w:rsidRPr="001870F3">
              <w:rPr>
                <w:rFonts w:eastAsia="TimesNewRoman"/>
                <w:szCs w:val="22"/>
                <w:lang w:val="sr-Latn-ME"/>
              </w:rPr>
              <w:t>.</w:t>
            </w:r>
          </w:p>
          <w:p w14:paraId="2E86A0BD" w14:textId="417ADC69"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Smanjenje doze se može razmotriti u odnosu na smanjenje bubrežne funkcije</w:t>
            </w:r>
            <w:r w:rsidR="00573BB5" w:rsidRPr="001870F3">
              <w:rPr>
                <w:rFonts w:eastAsia="TimesNewRoman"/>
                <w:szCs w:val="22"/>
                <w:lang w:val="sr-Latn-ME"/>
              </w:rPr>
              <w:t>.</w:t>
            </w:r>
          </w:p>
        </w:tc>
        <w:tc>
          <w:tcPr>
            <w:tcW w:w="1874" w:type="pct"/>
          </w:tcPr>
          <w:p w14:paraId="2E86A0BE" w14:textId="41714B3E"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100 mg</w:t>
            </w:r>
            <w:r w:rsidR="003B0CDE" w:rsidRPr="001870F3">
              <w:rPr>
                <w:rFonts w:eastAsia="TimesNewRoman"/>
                <w:szCs w:val="22"/>
                <w:lang w:val="sr-Latn-ME"/>
              </w:rPr>
              <w:t>.</w:t>
            </w:r>
          </w:p>
        </w:tc>
      </w:tr>
      <w:tr w:rsidR="008401AC" w:rsidRPr="005B56A9" w14:paraId="2E86A0C4" w14:textId="77777777" w:rsidTr="005B56A9">
        <w:tc>
          <w:tcPr>
            <w:tcW w:w="545" w:type="pct"/>
          </w:tcPr>
          <w:p w14:paraId="2E86A0C0"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45 - 59</w:t>
            </w:r>
          </w:p>
        </w:tc>
        <w:tc>
          <w:tcPr>
            <w:tcW w:w="2581" w:type="pct"/>
          </w:tcPr>
          <w:p w14:paraId="2E86A0C1" w14:textId="732582C5"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2000 mg</w:t>
            </w:r>
            <w:r w:rsidR="00573BB5" w:rsidRPr="001870F3">
              <w:rPr>
                <w:rFonts w:eastAsia="TimesNewRoman"/>
                <w:szCs w:val="22"/>
                <w:lang w:val="sr-Latn-ME"/>
              </w:rPr>
              <w:t>.</w:t>
            </w:r>
          </w:p>
          <w:p w14:paraId="2E86A0C2" w14:textId="0116B5BC"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Početna doza je najviše polovina maksimalne doze</w:t>
            </w:r>
            <w:r w:rsidR="00573BB5" w:rsidRPr="001870F3">
              <w:rPr>
                <w:rFonts w:eastAsia="TimesNewRoman"/>
                <w:szCs w:val="22"/>
                <w:lang w:val="sr-Latn-ME"/>
              </w:rPr>
              <w:t>.</w:t>
            </w:r>
          </w:p>
        </w:tc>
        <w:tc>
          <w:tcPr>
            <w:tcW w:w="1874" w:type="pct"/>
          </w:tcPr>
          <w:p w14:paraId="2E86A0C3" w14:textId="3260647D"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100 mg</w:t>
            </w:r>
            <w:r w:rsidR="003B0CDE" w:rsidRPr="001870F3">
              <w:rPr>
                <w:rFonts w:eastAsia="TimesNewRoman"/>
                <w:szCs w:val="22"/>
                <w:lang w:val="sr-Latn-ME"/>
              </w:rPr>
              <w:t>.</w:t>
            </w:r>
          </w:p>
        </w:tc>
      </w:tr>
      <w:tr w:rsidR="008401AC" w:rsidRPr="005B56A9" w14:paraId="2E86A0C9" w14:textId="77777777" w:rsidTr="005B56A9">
        <w:tc>
          <w:tcPr>
            <w:tcW w:w="545" w:type="pct"/>
          </w:tcPr>
          <w:p w14:paraId="2E86A0C5"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30 - 44</w:t>
            </w:r>
          </w:p>
        </w:tc>
        <w:tc>
          <w:tcPr>
            <w:tcW w:w="2581" w:type="pct"/>
          </w:tcPr>
          <w:p w14:paraId="2E86A0C6" w14:textId="5F468BA4"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1000 mg</w:t>
            </w:r>
            <w:r w:rsidR="00573BB5" w:rsidRPr="001870F3">
              <w:rPr>
                <w:rFonts w:eastAsia="TimesNewRoman"/>
                <w:szCs w:val="22"/>
                <w:lang w:val="sr-Latn-ME"/>
              </w:rPr>
              <w:t>.</w:t>
            </w:r>
          </w:p>
          <w:p w14:paraId="2E86A0C7" w14:textId="30680213"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Početna doza je najviše polovina maksimalne doze</w:t>
            </w:r>
            <w:r w:rsidR="00573BB5" w:rsidRPr="001870F3">
              <w:rPr>
                <w:rFonts w:eastAsia="TimesNewRoman"/>
                <w:szCs w:val="22"/>
                <w:lang w:val="sr-Latn-ME"/>
              </w:rPr>
              <w:t>.</w:t>
            </w:r>
          </w:p>
        </w:tc>
        <w:tc>
          <w:tcPr>
            <w:tcW w:w="1874" w:type="pct"/>
          </w:tcPr>
          <w:p w14:paraId="2E86A0C8" w14:textId="36FBD685"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50 mg</w:t>
            </w:r>
            <w:r w:rsidR="003B0CDE" w:rsidRPr="001870F3">
              <w:rPr>
                <w:rFonts w:eastAsia="TimesNewRoman"/>
                <w:szCs w:val="22"/>
                <w:lang w:val="sr-Latn-ME"/>
              </w:rPr>
              <w:t>.</w:t>
            </w:r>
          </w:p>
        </w:tc>
      </w:tr>
      <w:tr w:rsidR="008401AC" w:rsidRPr="005B56A9" w14:paraId="2E86A0CD" w14:textId="77777777" w:rsidTr="005B56A9">
        <w:tc>
          <w:tcPr>
            <w:tcW w:w="545" w:type="pct"/>
          </w:tcPr>
          <w:p w14:paraId="2E86A0CA"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&lt; 30</w:t>
            </w:r>
          </w:p>
        </w:tc>
        <w:tc>
          <w:tcPr>
            <w:tcW w:w="2581" w:type="pct"/>
          </w:tcPr>
          <w:p w14:paraId="2E86A0CB" w14:textId="21245CA2"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je kontraindikovan</w:t>
            </w:r>
            <w:r w:rsidR="00573BB5" w:rsidRPr="001870F3">
              <w:rPr>
                <w:rFonts w:eastAsia="TimesNewRoman"/>
                <w:szCs w:val="22"/>
                <w:lang w:val="sr-Latn-ME"/>
              </w:rPr>
              <w:t>.</w:t>
            </w:r>
          </w:p>
        </w:tc>
        <w:tc>
          <w:tcPr>
            <w:tcW w:w="1874" w:type="pct"/>
          </w:tcPr>
          <w:p w14:paraId="2E86A0CC" w14:textId="76616E40"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25 mg</w:t>
            </w:r>
            <w:r w:rsidR="003B0CDE" w:rsidRPr="001870F3">
              <w:rPr>
                <w:rFonts w:eastAsia="TimesNewRoman"/>
                <w:szCs w:val="22"/>
                <w:lang w:val="sr-Latn-ME"/>
              </w:rPr>
              <w:t>.</w:t>
            </w:r>
          </w:p>
        </w:tc>
      </w:tr>
    </w:tbl>
    <w:p w14:paraId="2E86A0CE" w14:textId="77777777" w:rsidR="008C2B22" w:rsidRPr="001870F3" w:rsidRDefault="00EE21B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p>
    <w:p w14:paraId="2E86A0D0" w14:textId="4508AA34" w:rsidR="00AF0162" w:rsidRPr="001870F3" w:rsidRDefault="008E1021"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Oštećenje funkcije jetre</w:t>
      </w:r>
    </w:p>
    <w:p w14:paraId="2E86A0D2" w14:textId="1CF0C3F7"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E58C0" w:rsidRPr="001870F3">
        <w:rPr>
          <w:rFonts w:eastAsia="TimesNewRoman"/>
          <w:szCs w:val="22"/>
          <w:lang w:val="sr-Latn-ME"/>
        </w:rPr>
        <w:t>ij</w:t>
      </w:r>
      <w:r w:rsidRPr="001870F3">
        <w:rPr>
          <w:rFonts w:eastAsia="TimesNewRoman"/>
          <w:szCs w:val="22"/>
          <w:lang w:val="sr-Latn-ME"/>
        </w:rPr>
        <w:t xml:space="preserve">ek </w:t>
      </w:r>
      <w:r w:rsidR="00774C57" w:rsidRPr="001870F3">
        <w:rPr>
          <w:rFonts w:eastAsia="TimesNewRoman"/>
          <w:szCs w:val="22"/>
          <w:lang w:val="sr-Latn-ME"/>
        </w:rPr>
        <w:t>Dolista Duo</w:t>
      </w:r>
      <w:r w:rsidRPr="001870F3">
        <w:rPr>
          <w:rFonts w:eastAsia="TimesNewRoman"/>
          <w:szCs w:val="22"/>
          <w:lang w:val="sr-Latn-ME"/>
        </w:rPr>
        <w:t xml:space="preserve"> se ne sm</w:t>
      </w:r>
      <w:r w:rsidR="007E58C0" w:rsidRPr="001870F3">
        <w:rPr>
          <w:rFonts w:eastAsia="TimesNewRoman"/>
          <w:szCs w:val="22"/>
          <w:lang w:val="sr-Latn-ME"/>
        </w:rPr>
        <w:t>ij</w:t>
      </w:r>
      <w:r w:rsidRPr="001870F3">
        <w:rPr>
          <w:rFonts w:eastAsia="TimesNewRoman"/>
          <w:szCs w:val="22"/>
          <w:lang w:val="sr-Latn-ME"/>
        </w:rPr>
        <w:t>e koristiti kod pacijenata sa oš</w:t>
      </w:r>
      <w:r w:rsidR="00AF0162" w:rsidRPr="001870F3">
        <w:rPr>
          <w:rFonts w:eastAsia="TimesNewRoman"/>
          <w:szCs w:val="22"/>
          <w:lang w:val="sr-Latn-ME"/>
        </w:rPr>
        <w:t>tećenjem jetre (</w:t>
      </w:r>
      <w:r w:rsidR="000220E4" w:rsidRPr="001870F3">
        <w:rPr>
          <w:rFonts w:eastAsia="TimesNewRoman"/>
          <w:szCs w:val="22"/>
          <w:lang w:val="sr-Latn-ME"/>
        </w:rPr>
        <w:t>pogledati dio</w:t>
      </w:r>
      <w:r w:rsidRPr="001870F3">
        <w:rPr>
          <w:rFonts w:eastAsia="TimesNewRoman"/>
          <w:szCs w:val="22"/>
          <w:lang w:val="sr-Latn-ME"/>
        </w:rPr>
        <w:t xml:space="preserve"> 5.2).</w:t>
      </w:r>
    </w:p>
    <w:p w14:paraId="2E86A0D3"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D4" w14:textId="77777777" w:rsidR="00614733" w:rsidRPr="001870F3" w:rsidRDefault="00AF0162"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Stariji pacijenti</w:t>
      </w:r>
    </w:p>
    <w:p w14:paraId="2E86A0D6" w14:textId="30227208"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Pošto se metformin i sitagliptin izlučuju preko bubrega, l</w:t>
      </w:r>
      <w:r w:rsidR="007E58C0" w:rsidRPr="001870F3">
        <w:rPr>
          <w:rFonts w:eastAsia="TimesNewRoman"/>
          <w:szCs w:val="22"/>
          <w:lang w:val="sr-Latn-ME"/>
        </w:rPr>
        <w:t>ij</w:t>
      </w:r>
      <w:r w:rsidRPr="001870F3">
        <w:rPr>
          <w:rFonts w:eastAsia="TimesNewRoman"/>
          <w:szCs w:val="22"/>
          <w:lang w:val="sr-Latn-ME"/>
        </w:rPr>
        <w:t xml:space="preserve">ek </w:t>
      </w:r>
      <w:r w:rsidR="00774C57" w:rsidRPr="001870F3">
        <w:rPr>
          <w:rFonts w:eastAsia="TimesNewRoman"/>
          <w:szCs w:val="22"/>
          <w:lang w:val="sr-Latn-ME"/>
        </w:rPr>
        <w:t>Dolista Duo</w:t>
      </w:r>
      <w:r w:rsidRPr="001870F3">
        <w:rPr>
          <w:rFonts w:eastAsia="TimesNewRoman"/>
          <w:szCs w:val="22"/>
          <w:lang w:val="sr-Latn-ME"/>
        </w:rPr>
        <w:t xml:space="preserve"> treba koristiti sa oprezom š</w:t>
      </w:r>
      <w:r w:rsidR="00774C57" w:rsidRPr="001870F3">
        <w:rPr>
          <w:rFonts w:eastAsia="TimesNewRoman"/>
          <w:szCs w:val="22"/>
          <w:lang w:val="sr-Latn-ME"/>
        </w:rPr>
        <w:t xml:space="preserve">to su pacijenti </w:t>
      </w:r>
      <w:r w:rsidRPr="001870F3">
        <w:rPr>
          <w:rFonts w:eastAsia="TimesNewRoman"/>
          <w:szCs w:val="22"/>
          <w:lang w:val="sr-Latn-ME"/>
        </w:rPr>
        <w:t>stariji. Potrebno je praćenje funkcije bubrega kao pomoć u prevenciji laktoacidoze koja se dovodi u vezu sa</w:t>
      </w:r>
      <w:r w:rsidR="00774C57" w:rsidRPr="001870F3">
        <w:rPr>
          <w:rFonts w:eastAsia="TimesNewRoman"/>
          <w:szCs w:val="22"/>
          <w:lang w:val="sr-Latn-ME"/>
        </w:rPr>
        <w:t xml:space="preserve"> </w:t>
      </w:r>
      <w:r w:rsidRPr="001870F3">
        <w:rPr>
          <w:rFonts w:eastAsia="TimesNewRoman"/>
          <w:szCs w:val="22"/>
          <w:lang w:val="sr-Latn-ME"/>
        </w:rPr>
        <w:t>metforminom, naročito kod starijih pacijenata (vid</w:t>
      </w:r>
      <w:r w:rsidR="007E58C0"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dio</w:t>
      </w:r>
      <w:r w:rsidRPr="001870F3">
        <w:rPr>
          <w:rFonts w:eastAsia="TimesNewRoman"/>
          <w:szCs w:val="22"/>
          <w:lang w:val="sr-Latn-ME"/>
        </w:rPr>
        <w:t xml:space="preserve"> 4.3 i 4.4). </w:t>
      </w:r>
    </w:p>
    <w:p w14:paraId="2E86A0D7"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D8" w14:textId="77777777" w:rsidR="00614733" w:rsidRPr="001870F3" w:rsidRDefault="00614733"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Pedijatrijska populacija</w:t>
      </w:r>
    </w:p>
    <w:p w14:paraId="3137EBF1" w14:textId="3AD9DAA2" w:rsidR="00417B52" w:rsidRPr="001870F3" w:rsidRDefault="00417B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200B67" w:rsidRPr="001870F3">
        <w:rPr>
          <w:rFonts w:eastAsia="TimesNewRoman"/>
          <w:szCs w:val="22"/>
          <w:lang w:val="sr-Latn-ME"/>
        </w:rPr>
        <w:t>ij</w:t>
      </w:r>
      <w:r w:rsidRPr="001870F3">
        <w:rPr>
          <w:rFonts w:eastAsia="TimesNewRoman"/>
          <w:szCs w:val="22"/>
          <w:lang w:val="sr-Latn-ME"/>
        </w:rPr>
        <w:t>ek Dolista Duo ne treba koristiti kod d</w:t>
      </w:r>
      <w:r w:rsidR="00200B67" w:rsidRPr="001870F3">
        <w:rPr>
          <w:rFonts w:eastAsia="TimesNewRoman"/>
          <w:szCs w:val="22"/>
          <w:lang w:val="sr-Latn-ME"/>
        </w:rPr>
        <w:t>j</w:t>
      </w:r>
      <w:r w:rsidRPr="001870F3">
        <w:rPr>
          <w:rFonts w:eastAsia="TimesNewRoman"/>
          <w:szCs w:val="22"/>
          <w:lang w:val="sr-Latn-ME"/>
        </w:rPr>
        <w:t xml:space="preserve">ece i adolescenata uzrasta od 10 do 17 godina zbog nedovoljne efikasnosti. Trenutno dostupni podaci su navedeni u </w:t>
      </w:r>
      <w:r w:rsidR="004A6964" w:rsidRPr="001870F3">
        <w:rPr>
          <w:rFonts w:eastAsia="TimesNewRoman"/>
          <w:szCs w:val="22"/>
          <w:lang w:val="sr-Latn-ME"/>
        </w:rPr>
        <w:t>d</w:t>
      </w:r>
      <w:r w:rsidR="000E288E" w:rsidRPr="001870F3">
        <w:rPr>
          <w:rFonts w:eastAsia="TimesNewRoman"/>
          <w:szCs w:val="22"/>
          <w:lang w:val="sr-Latn-ME"/>
        </w:rPr>
        <w:t>jelovima</w:t>
      </w:r>
      <w:r w:rsidR="004A6964" w:rsidRPr="001870F3">
        <w:rPr>
          <w:rFonts w:eastAsia="TimesNewRoman"/>
          <w:szCs w:val="22"/>
          <w:lang w:val="sr-Latn-ME"/>
        </w:rPr>
        <w:t xml:space="preserve"> </w:t>
      </w:r>
      <w:r w:rsidRPr="001870F3">
        <w:rPr>
          <w:rFonts w:eastAsia="TimesNewRoman"/>
          <w:szCs w:val="22"/>
          <w:lang w:val="sr-Latn-ME"/>
        </w:rPr>
        <w:t>4.8, 5.1. i 5.2. Prim</w:t>
      </w:r>
      <w:r w:rsidR="00200B67" w:rsidRPr="001870F3">
        <w:rPr>
          <w:rFonts w:eastAsia="TimesNewRoman"/>
          <w:szCs w:val="22"/>
          <w:lang w:val="sr-Latn-ME"/>
        </w:rPr>
        <w:t>j</w:t>
      </w:r>
      <w:r w:rsidRPr="001870F3">
        <w:rPr>
          <w:rFonts w:eastAsia="TimesNewRoman"/>
          <w:szCs w:val="22"/>
          <w:lang w:val="sr-Latn-ME"/>
        </w:rPr>
        <w:t>ena fiksne kombinacije metformina i sitagliptina nije ispitivana kod pedijatrijskih pacijenata mlađih od 10 godina.</w:t>
      </w:r>
    </w:p>
    <w:p w14:paraId="2E86A0DC"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DD"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Način prim</w:t>
      </w:r>
      <w:r w:rsidR="007E58C0" w:rsidRPr="001870F3">
        <w:rPr>
          <w:rFonts w:eastAsia="TimesNewRoman"/>
          <w:szCs w:val="22"/>
          <w:u w:val="single"/>
          <w:lang w:val="sr-Latn-ME"/>
        </w:rPr>
        <w:t>j</w:t>
      </w:r>
      <w:r w:rsidRPr="001870F3">
        <w:rPr>
          <w:rFonts w:eastAsia="TimesNewRoman"/>
          <w:szCs w:val="22"/>
          <w:u w:val="single"/>
          <w:lang w:val="sr-Latn-ME"/>
        </w:rPr>
        <w:t>ene</w:t>
      </w:r>
    </w:p>
    <w:p w14:paraId="0B05B013" w14:textId="4AC02063" w:rsidR="007257F7" w:rsidRPr="001870F3" w:rsidRDefault="007257F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200B67" w:rsidRPr="001870F3">
        <w:rPr>
          <w:rFonts w:eastAsia="TimesNewRoman"/>
          <w:szCs w:val="22"/>
          <w:lang w:val="sr-Latn-ME"/>
        </w:rPr>
        <w:t>ij</w:t>
      </w:r>
      <w:r w:rsidRPr="001870F3">
        <w:rPr>
          <w:rFonts w:eastAsia="TimesNewRoman"/>
          <w:szCs w:val="22"/>
          <w:lang w:val="sr-Latn-ME"/>
        </w:rPr>
        <w:t>ek Dolista Duo treba uzimati dva puta dnevno u toku obroka kako bi se smanjile gastrointestinalne neželjene reakcije povezane sa metforminom.</w:t>
      </w:r>
    </w:p>
    <w:p w14:paraId="2E86A0DF" w14:textId="77777777" w:rsidR="00614733" w:rsidRPr="001870F3" w:rsidRDefault="00614733" w:rsidP="001870F3">
      <w:pPr>
        <w:widowControl w:val="0"/>
        <w:rPr>
          <w:szCs w:val="22"/>
          <w:lang w:val="sr-Latn-ME"/>
        </w:rPr>
      </w:pPr>
    </w:p>
    <w:p w14:paraId="2E86A0E0" w14:textId="77777777" w:rsidR="00CE09F3" w:rsidRPr="001870F3" w:rsidRDefault="00CE09F3" w:rsidP="001870F3">
      <w:pPr>
        <w:widowControl w:val="0"/>
        <w:rPr>
          <w:b/>
          <w:bCs/>
          <w:szCs w:val="22"/>
          <w:lang w:val="sr-Latn-ME"/>
        </w:rPr>
      </w:pPr>
      <w:r w:rsidRPr="001870F3">
        <w:rPr>
          <w:b/>
          <w:bCs/>
          <w:szCs w:val="22"/>
          <w:lang w:val="sr-Latn-ME"/>
        </w:rPr>
        <w:t>4.3. Kontraindikacije</w:t>
      </w:r>
    </w:p>
    <w:p w14:paraId="2E86A0E1" w14:textId="77777777" w:rsidR="00CE09F3" w:rsidRPr="001870F3" w:rsidRDefault="00CE09F3" w:rsidP="001870F3">
      <w:pPr>
        <w:widowControl w:val="0"/>
        <w:rPr>
          <w:szCs w:val="22"/>
          <w:lang w:val="sr-Latn-ME"/>
        </w:rPr>
      </w:pPr>
    </w:p>
    <w:p w14:paraId="2E86A0E2"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E58C0" w:rsidRPr="001870F3">
        <w:rPr>
          <w:rFonts w:eastAsia="TimesNewRoman"/>
          <w:szCs w:val="22"/>
          <w:lang w:val="sr-Latn-ME"/>
        </w:rPr>
        <w:t>ij</w:t>
      </w:r>
      <w:r w:rsidRPr="001870F3">
        <w:rPr>
          <w:rFonts w:eastAsia="TimesNewRoman"/>
          <w:szCs w:val="22"/>
          <w:lang w:val="sr-Latn-ME"/>
        </w:rPr>
        <w:t>ek Dolista Duo je kontraindikovan kod pacijenata:</w:t>
      </w:r>
    </w:p>
    <w:p w14:paraId="2E86A0E3" w14:textId="34488149"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sa preos</w:t>
      </w:r>
      <w:r w:rsidR="007B6487" w:rsidRPr="001870F3">
        <w:rPr>
          <w:rFonts w:eastAsia="TimesNewRoman"/>
          <w:szCs w:val="22"/>
          <w:lang w:val="sr-Latn-ME"/>
        </w:rPr>
        <w:t>j</w:t>
      </w:r>
      <w:r w:rsidRPr="001870F3">
        <w:rPr>
          <w:rFonts w:eastAsia="TimesNewRoman"/>
          <w:szCs w:val="22"/>
          <w:lang w:val="sr-Latn-ME"/>
        </w:rPr>
        <w:t>etljivošću na aktivne supstance ili na bilo koju od pomoćnih supstanci navedenih u d</w:t>
      </w:r>
      <w:r w:rsidR="007E58C0" w:rsidRPr="001870F3">
        <w:rPr>
          <w:rFonts w:eastAsia="TimesNewRoman"/>
          <w:szCs w:val="22"/>
          <w:lang w:val="sr-Latn-ME"/>
        </w:rPr>
        <w:t>ij</w:t>
      </w:r>
      <w:r w:rsidRPr="001870F3">
        <w:rPr>
          <w:rFonts w:eastAsia="TimesNewRoman"/>
          <w:szCs w:val="22"/>
          <w:lang w:val="sr-Latn-ME"/>
        </w:rPr>
        <w:t>elu 6.1</w:t>
      </w:r>
    </w:p>
    <w:p w14:paraId="2E86A0E4" w14:textId="5C94A602"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(vid</w:t>
      </w:r>
      <w:r w:rsidR="007E58C0"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w:t>
      </w:r>
      <w:r w:rsidR="000E288E" w:rsidRPr="001870F3">
        <w:rPr>
          <w:rFonts w:eastAsia="TimesNewRoman"/>
          <w:szCs w:val="22"/>
          <w:lang w:val="sr-Latn-ME"/>
        </w:rPr>
        <w:t>jelove</w:t>
      </w:r>
      <w:r w:rsidRPr="001870F3">
        <w:rPr>
          <w:rFonts w:eastAsia="TimesNewRoman"/>
          <w:szCs w:val="22"/>
          <w:lang w:val="sr-Latn-ME"/>
        </w:rPr>
        <w:t xml:space="preserve"> 4.4 i 4.8);</w:t>
      </w:r>
    </w:p>
    <w:p w14:paraId="2E86A0E5" w14:textId="15939625" w:rsidR="005D5C51" w:rsidRPr="001870F3" w:rsidRDefault="005D5C5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C40EB2" w:rsidRPr="001870F3">
        <w:rPr>
          <w:rFonts w:eastAsia="TimesNewRoman"/>
          <w:szCs w:val="22"/>
          <w:lang w:val="sr-Latn-ME"/>
        </w:rPr>
        <w:t xml:space="preserve">sa </w:t>
      </w:r>
      <w:r w:rsidRPr="001870F3">
        <w:rPr>
          <w:rFonts w:eastAsia="TimesNewRoman"/>
          <w:szCs w:val="22"/>
          <w:lang w:val="sr-Latn-ME"/>
        </w:rPr>
        <w:t>bilo kojim tipom akutne metaboličke acidoze (kao što je laktoacidoza, dijabetična ketoacidoza);</w:t>
      </w:r>
    </w:p>
    <w:p w14:paraId="2E86A0E6" w14:textId="291912F2" w:rsidR="00FC2D5A" w:rsidRPr="001870F3" w:rsidRDefault="004F275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sa </w:t>
      </w:r>
      <w:r w:rsidR="00FC2D5A" w:rsidRPr="001870F3">
        <w:rPr>
          <w:rFonts w:eastAsia="TimesNewRoman"/>
          <w:szCs w:val="22"/>
          <w:lang w:val="sr-Latn-ME"/>
        </w:rPr>
        <w:t>dijabetičkom prekomom;</w:t>
      </w:r>
    </w:p>
    <w:p w14:paraId="2E86A0E7" w14:textId="0AD85E94" w:rsidR="00FC2D5A" w:rsidRPr="001870F3" w:rsidRDefault="00E232C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sa </w:t>
      </w:r>
      <w:r w:rsidR="00FC2D5A" w:rsidRPr="001870F3">
        <w:rPr>
          <w:rFonts w:eastAsia="TimesNewRoman"/>
          <w:szCs w:val="22"/>
          <w:lang w:val="sr-Latn-ME"/>
        </w:rPr>
        <w:t>teškim oštećenjem</w:t>
      </w:r>
      <w:r w:rsidRPr="001870F3">
        <w:rPr>
          <w:rFonts w:eastAsia="TimesNewRoman"/>
          <w:szCs w:val="22"/>
          <w:lang w:val="sr-Latn-ME"/>
        </w:rPr>
        <w:t xml:space="preserve"> bubrega (</w:t>
      </w:r>
      <w:r w:rsidR="00A304AD" w:rsidRPr="001870F3">
        <w:rPr>
          <w:rFonts w:eastAsia="TimesNewRoman"/>
          <w:szCs w:val="22"/>
          <w:lang w:val="sr-Latn-ME"/>
        </w:rPr>
        <w:t>GFR</w:t>
      </w:r>
      <w:r w:rsidRPr="001870F3">
        <w:rPr>
          <w:rFonts w:eastAsia="TimesNewRoman"/>
          <w:szCs w:val="22"/>
          <w:lang w:val="sr-Latn-ME"/>
        </w:rPr>
        <w:t xml:space="preserve"> &lt; 3</w:t>
      </w:r>
      <w:r w:rsidR="00FC2D5A" w:rsidRPr="001870F3">
        <w:rPr>
          <w:rFonts w:eastAsia="TimesNewRoman"/>
          <w:szCs w:val="22"/>
          <w:lang w:val="sr-Latn-ME"/>
        </w:rPr>
        <w:t>0</w:t>
      </w:r>
      <w:r w:rsidRPr="001870F3">
        <w:rPr>
          <w:rFonts w:eastAsia="TimesNewRoman"/>
          <w:szCs w:val="22"/>
          <w:lang w:val="sr-Latn-ME"/>
        </w:rPr>
        <w:t xml:space="preserve"> m</w:t>
      </w:r>
      <w:r w:rsidR="004A6964" w:rsidRPr="001870F3">
        <w:rPr>
          <w:rFonts w:eastAsia="TimesNewRoman"/>
          <w:szCs w:val="22"/>
          <w:lang w:val="sr-Latn-ME"/>
        </w:rPr>
        <w:t>l</w:t>
      </w:r>
      <w:r w:rsidRPr="001870F3">
        <w:rPr>
          <w:rFonts w:eastAsia="TimesNewRoman"/>
          <w:szCs w:val="22"/>
          <w:lang w:val="sr-Latn-ME"/>
        </w:rPr>
        <w:t>/min</w:t>
      </w:r>
      <w:r w:rsidR="00FC2D5A" w:rsidRPr="001870F3">
        <w:rPr>
          <w:rFonts w:eastAsia="TimesNewRoman"/>
          <w:szCs w:val="22"/>
          <w:lang w:val="sr-Latn-ME"/>
        </w:rPr>
        <w:t>) (</w:t>
      </w:r>
      <w:r w:rsidR="000220E4" w:rsidRPr="001870F3">
        <w:rPr>
          <w:rFonts w:eastAsia="TimesNewRoman"/>
          <w:szCs w:val="22"/>
          <w:lang w:val="sr-Latn-ME"/>
        </w:rPr>
        <w:t>pogledati dio</w:t>
      </w:r>
      <w:r w:rsidR="00FC2D5A" w:rsidRPr="001870F3">
        <w:rPr>
          <w:rFonts w:eastAsia="TimesNewRoman"/>
          <w:szCs w:val="22"/>
          <w:lang w:val="sr-Latn-ME"/>
        </w:rPr>
        <w:t xml:space="preserve"> 4.4);</w:t>
      </w:r>
    </w:p>
    <w:p w14:paraId="2E86A0E8" w14:textId="7051B1EF"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sa akutnim stanjima koja mogu izm</w:t>
      </w:r>
      <w:r w:rsidR="007B6487" w:rsidRPr="001870F3">
        <w:rPr>
          <w:rFonts w:eastAsia="TimesNewRoman"/>
          <w:szCs w:val="22"/>
          <w:lang w:val="sr-Latn-ME"/>
        </w:rPr>
        <w:t>ij</w:t>
      </w:r>
      <w:r w:rsidRPr="001870F3">
        <w:rPr>
          <w:rFonts w:eastAsia="TimesNewRoman"/>
          <w:szCs w:val="22"/>
          <w:lang w:val="sr-Latn-ME"/>
        </w:rPr>
        <w:t>eniti funkciju bubrega kao što su:</w:t>
      </w:r>
    </w:p>
    <w:p w14:paraId="2E86A0E9" w14:textId="6C661BE1"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dehidratacija,</w:t>
      </w:r>
    </w:p>
    <w:p w14:paraId="2E86A0EA" w14:textId="28EC2373"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teška infekcija,</w:t>
      </w:r>
    </w:p>
    <w:p w14:paraId="2E86A0EB" w14:textId="4967F268"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šok,</w:t>
      </w:r>
    </w:p>
    <w:p w14:paraId="64F76D48" w14:textId="42D6186B" w:rsidR="00615104"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intravaskularna prim</w:t>
      </w:r>
      <w:r w:rsidR="003E0CF9" w:rsidRPr="001870F3">
        <w:rPr>
          <w:rFonts w:eastAsia="TimesNewRoman"/>
          <w:szCs w:val="22"/>
          <w:lang w:val="sr-Latn-ME"/>
        </w:rPr>
        <w:t>j</w:t>
      </w:r>
      <w:r w:rsidR="00FC2D5A" w:rsidRPr="001870F3">
        <w:rPr>
          <w:rFonts w:eastAsia="TimesNewRoman"/>
          <w:szCs w:val="22"/>
          <w:lang w:val="sr-Latn-ME"/>
        </w:rPr>
        <w:t>ena kontrastnih sredst</w:t>
      </w:r>
      <w:r w:rsidR="00814CA7" w:rsidRPr="001870F3">
        <w:rPr>
          <w:rFonts w:eastAsia="TimesNewRoman"/>
          <w:szCs w:val="22"/>
          <w:lang w:val="sr-Latn-ME"/>
        </w:rPr>
        <w:t>ava na bazi joda (</w:t>
      </w:r>
      <w:r w:rsidR="000220E4" w:rsidRPr="001870F3">
        <w:rPr>
          <w:rFonts w:eastAsia="TimesNewRoman"/>
          <w:szCs w:val="22"/>
          <w:lang w:val="sr-Latn-ME"/>
        </w:rPr>
        <w:t>pogledati dio</w:t>
      </w:r>
      <w:r w:rsidR="00FC2D5A" w:rsidRPr="001870F3">
        <w:rPr>
          <w:rFonts w:eastAsia="TimesNewRoman"/>
          <w:szCs w:val="22"/>
          <w:lang w:val="sr-Latn-ME"/>
        </w:rPr>
        <w:t xml:space="preserve"> 4.4);</w:t>
      </w:r>
    </w:p>
    <w:p w14:paraId="2E86A0ED" w14:textId="762AFED6"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sa akutnim ili hroničnim oboljenjem koj</w:t>
      </w:r>
      <w:r w:rsidR="00C40EB2" w:rsidRPr="001870F3">
        <w:rPr>
          <w:rFonts w:eastAsia="TimesNewRoman"/>
          <w:szCs w:val="22"/>
          <w:lang w:val="sr-Latn-ME"/>
        </w:rPr>
        <w:t>e</w:t>
      </w:r>
      <w:r w:rsidRPr="001870F3">
        <w:rPr>
          <w:rFonts w:eastAsia="TimesNewRoman"/>
          <w:szCs w:val="22"/>
          <w:lang w:val="sr-Latn-ME"/>
        </w:rPr>
        <w:t xml:space="preserve"> mo</w:t>
      </w:r>
      <w:r w:rsidR="00C40EB2" w:rsidRPr="001870F3">
        <w:rPr>
          <w:rFonts w:eastAsia="TimesNewRoman"/>
          <w:szCs w:val="22"/>
          <w:lang w:val="sr-Latn-ME"/>
        </w:rPr>
        <w:t>že</w:t>
      </w:r>
      <w:r w:rsidRPr="001870F3">
        <w:rPr>
          <w:rFonts w:eastAsia="TimesNewRoman"/>
          <w:szCs w:val="22"/>
          <w:lang w:val="sr-Latn-ME"/>
        </w:rPr>
        <w:t xml:space="preserve"> iza</w:t>
      </w:r>
      <w:r w:rsidR="00360E24" w:rsidRPr="001870F3">
        <w:rPr>
          <w:rFonts w:eastAsia="TimesNewRoman"/>
          <w:szCs w:val="22"/>
          <w:lang w:val="sr-Latn-ME"/>
        </w:rPr>
        <w:t>zvati hipoksiju tkiva kao što su</w:t>
      </w:r>
      <w:r w:rsidRPr="001870F3">
        <w:rPr>
          <w:rFonts w:eastAsia="TimesNewRoman"/>
          <w:szCs w:val="22"/>
          <w:lang w:val="sr-Latn-ME"/>
        </w:rPr>
        <w:t>:</w:t>
      </w:r>
    </w:p>
    <w:p w14:paraId="2E86A0EE" w14:textId="4A78D4CB"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zastoj srca ili pluća,</w:t>
      </w:r>
    </w:p>
    <w:p w14:paraId="2E86A0EF" w14:textId="49AEC65C"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skoriji infarkt miokarda,</w:t>
      </w:r>
    </w:p>
    <w:p w14:paraId="2E86A0F0" w14:textId="404DBAB2"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šok;</w:t>
      </w:r>
    </w:p>
    <w:p w14:paraId="2E86A0F1" w14:textId="7EF56891"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sa oštećenjem </w:t>
      </w:r>
      <w:r w:rsidR="00A304AD" w:rsidRPr="001870F3">
        <w:rPr>
          <w:rFonts w:eastAsia="TimesNewRoman"/>
          <w:szCs w:val="22"/>
          <w:lang w:val="sr-Latn-ME"/>
        </w:rPr>
        <w:t xml:space="preserve">funkcije </w:t>
      </w:r>
      <w:r w:rsidRPr="001870F3">
        <w:rPr>
          <w:rFonts w:eastAsia="TimesNewRoman"/>
          <w:szCs w:val="22"/>
          <w:lang w:val="sr-Latn-ME"/>
        </w:rPr>
        <w:t>jetre;</w:t>
      </w:r>
    </w:p>
    <w:p w14:paraId="2E86A0F2"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 sa akutnim trovanjem alkoholom, alkoholizmom;</w:t>
      </w:r>
    </w:p>
    <w:p w14:paraId="2E86A0F3" w14:textId="050AF454"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6347E5" w:rsidRPr="001870F3">
        <w:rPr>
          <w:rFonts w:eastAsia="TimesNewRoman"/>
          <w:szCs w:val="22"/>
          <w:lang w:val="sr-Latn-ME"/>
        </w:rPr>
        <w:t>tokom dojenja</w:t>
      </w:r>
      <w:r w:rsidR="005C3625" w:rsidRPr="001870F3">
        <w:rPr>
          <w:rFonts w:eastAsia="TimesNewRoman"/>
          <w:szCs w:val="22"/>
          <w:lang w:val="sr-Latn-ME"/>
        </w:rPr>
        <w:t>.</w:t>
      </w:r>
    </w:p>
    <w:p w14:paraId="2E86A0F4" w14:textId="77777777" w:rsidR="00CE09F3" w:rsidRPr="001870F3" w:rsidRDefault="00CE09F3" w:rsidP="001870F3">
      <w:pPr>
        <w:widowControl w:val="0"/>
        <w:rPr>
          <w:szCs w:val="22"/>
          <w:lang w:val="sr-Latn-ME"/>
        </w:rPr>
      </w:pPr>
    </w:p>
    <w:p w14:paraId="2E86A0F5" w14:textId="77777777" w:rsidR="00CE09F3" w:rsidRPr="001870F3" w:rsidRDefault="00CE09F3" w:rsidP="001870F3">
      <w:pPr>
        <w:widowControl w:val="0"/>
        <w:rPr>
          <w:b/>
          <w:bCs/>
          <w:szCs w:val="22"/>
          <w:lang w:val="sr-Latn-ME"/>
        </w:rPr>
      </w:pPr>
      <w:r w:rsidRPr="001870F3">
        <w:rPr>
          <w:b/>
          <w:bCs/>
          <w:szCs w:val="22"/>
          <w:lang w:val="sr-Latn-ME"/>
        </w:rPr>
        <w:t>4.4. Posebna upozorenja i m</w:t>
      </w:r>
      <w:r w:rsidR="003E0CF9" w:rsidRPr="001870F3">
        <w:rPr>
          <w:b/>
          <w:bCs/>
          <w:szCs w:val="22"/>
          <w:lang w:val="sr-Latn-ME"/>
        </w:rPr>
        <w:t>j</w:t>
      </w:r>
      <w:r w:rsidRPr="001870F3">
        <w:rPr>
          <w:b/>
          <w:bCs/>
          <w:szCs w:val="22"/>
          <w:lang w:val="sr-Latn-ME"/>
        </w:rPr>
        <w:t>ere opreza pri upotrebi l</w:t>
      </w:r>
      <w:r w:rsidR="007574AD" w:rsidRPr="001870F3">
        <w:rPr>
          <w:b/>
          <w:bCs/>
          <w:szCs w:val="22"/>
          <w:lang w:val="sr-Latn-ME"/>
        </w:rPr>
        <w:t>ij</w:t>
      </w:r>
      <w:r w:rsidRPr="001870F3">
        <w:rPr>
          <w:b/>
          <w:bCs/>
          <w:szCs w:val="22"/>
          <w:lang w:val="sr-Latn-ME"/>
        </w:rPr>
        <w:t>eka</w:t>
      </w:r>
    </w:p>
    <w:p w14:paraId="2E86A0F6" w14:textId="77777777" w:rsidR="00CE09F3" w:rsidRPr="001870F3" w:rsidRDefault="00CE09F3" w:rsidP="001870F3">
      <w:pPr>
        <w:widowControl w:val="0"/>
        <w:rPr>
          <w:szCs w:val="22"/>
          <w:lang w:val="sr-Latn-ME"/>
        </w:rPr>
      </w:pPr>
    </w:p>
    <w:p w14:paraId="2E86A0F7"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Generalno</w:t>
      </w:r>
    </w:p>
    <w:p w14:paraId="2E86A0F8"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574AD" w:rsidRPr="001870F3">
        <w:rPr>
          <w:rFonts w:eastAsia="TimesNewRoman"/>
          <w:szCs w:val="22"/>
          <w:lang w:val="sr-Latn-ME"/>
        </w:rPr>
        <w:t>ij</w:t>
      </w:r>
      <w:r w:rsidRPr="001870F3">
        <w:rPr>
          <w:rFonts w:eastAsia="TimesNewRoman"/>
          <w:szCs w:val="22"/>
          <w:lang w:val="sr-Latn-ME"/>
        </w:rPr>
        <w:t xml:space="preserve">ek </w:t>
      </w:r>
      <w:r w:rsidR="005605A1" w:rsidRPr="001870F3">
        <w:rPr>
          <w:rFonts w:eastAsia="TimesNewRoman"/>
          <w:szCs w:val="22"/>
          <w:lang w:val="sr-Latn-ME"/>
        </w:rPr>
        <w:t>Dolista Duo</w:t>
      </w:r>
      <w:r w:rsidRPr="001870F3">
        <w:rPr>
          <w:rFonts w:eastAsia="TimesNewRoman"/>
          <w:szCs w:val="22"/>
          <w:lang w:val="sr-Latn-ME"/>
        </w:rPr>
        <w:t xml:space="preserve"> ne bi trebalo koristiti kod pacijenata sa dijabetesom tip 1 i ne sm</w:t>
      </w:r>
      <w:r w:rsidR="007574AD" w:rsidRPr="001870F3">
        <w:rPr>
          <w:rFonts w:eastAsia="TimesNewRoman"/>
          <w:szCs w:val="22"/>
          <w:lang w:val="sr-Latn-ME"/>
        </w:rPr>
        <w:t>ij</w:t>
      </w:r>
      <w:r w:rsidRPr="001870F3">
        <w:rPr>
          <w:rFonts w:eastAsia="TimesNewRoman"/>
          <w:szCs w:val="22"/>
          <w:lang w:val="sr-Latn-ME"/>
        </w:rPr>
        <w:t>e se koristiti za l</w:t>
      </w:r>
      <w:r w:rsidR="007574AD" w:rsidRPr="001870F3">
        <w:rPr>
          <w:rFonts w:eastAsia="TimesNewRoman"/>
          <w:szCs w:val="22"/>
          <w:lang w:val="sr-Latn-ME"/>
        </w:rPr>
        <w:t>ij</w:t>
      </w:r>
      <w:r w:rsidRPr="001870F3">
        <w:rPr>
          <w:rFonts w:eastAsia="TimesNewRoman"/>
          <w:szCs w:val="22"/>
          <w:lang w:val="sr-Latn-ME"/>
        </w:rPr>
        <w:t>ečenje dijabetič</w:t>
      </w:r>
      <w:r w:rsidR="005605A1" w:rsidRPr="001870F3">
        <w:rPr>
          <w:rFonts w:eastAsia="TimesNewRoman"/>
          <w:szCs w:val="22"/>
          <w:lang w:val="sr-Latn-ME"/>
        </w:rPr>
        <w:t xml:space="preserve">ke </w:t>
      </w:r>
      <w:r w:rsidRPr="001870F3">
        <w:rPr>
          <w:rFonts w:eastAsia="TimesNewRoman"/>
          <w:szCs w:val="22"/>
          <w:lang w:val="sr-Latn-ME"/>
        </w:rPr>
        <w:t>ketoacidoze.</w:t>
      </w:r>
    </w:p>
    <w:p w14:paraId="2E86A0F9"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0FA"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Akutni pankreatitis</w:t>
      </w:r>
    </w:p>
    <w:p w14:paraId="2E86A0FF" w14:textId="65E8E616"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Prim</w:t>
      </w:r>
      <w:r w:rsidR="007574AD" w:rsidRPr="001870F3">
        <w:rPr>
          <w:rFonts w:eastAsia="TimesNewRoman"/>
          <w:szCs w:val="22"/>
          <w:lang w:val="sr-Latn-ME"/>
        </w:rPr>
        <w:t>j</w:t>
      </w:r>
      <w:r w:rsidRPr="001870F3">
        <w:rPr>
          <w:rFonts w:eastAsia="TimesNewRoman"/>
          <w:szCs w:val="22"/>
          <w:lang w:val="sr-Latn-ME"/>
        </w:rPr>
        <w:t xml:space="preserve">ena DPP-4 inhibitora </w:t>
      </w:r>
      <w:r w:rsidR="00687B80" w:rsidRPr="001870F3">
        <w:rPr>
          <w:rFonts w:eastAsia="TimesNewRoman"/>
          <w:szCs w:val="22"/>
          <w:lang w:val="sr-Latn-ME"/>
        </w:rPr>
        <w:t>se dovodi</w:t>
      </w:r>
      <w:r w:rsidRPr="001870F3">
        <w:rPr>
          <w:rFonts w:eastAsia="TimesNewRoman"/>
          <w:szCs w:val="22"/>
          <w:lang w:val="sr-Latn-ME"/>
        </w:rPr>
        <w:t xml:space="preserve"> u vezu sa povećanim rizikom od pojave akutnog pankreatitisa. Pacijenti</w:t>
      </w:r>
      <w:r w:rsidR="00297559" w:rsidRPr="001870F3">
        <w:rPr>
          <w:rFonts w:eastAsia="TimesNewRoman"/>
          <w:szCs w:val="22"/>
          <w:lang w:val="sr-Latn-ME"/>
        </w:rPr>
        <w:t xml:space="preserve"> </w:t>
      </w:r>
      <w:r w:rsidRPr="001870F3">
        <w:rPr>
          <w:rFonts w:eastAsia="TimesNewRoman"/>
          <w:szCs w:val="22"/>
          <w:lang w:val="sr-Latn-ME"/>
        </w:rPr>
        <w:t>treba da budu informisani o simptom</w:t>
      </w:r>
      <w:r w:rsidR="007B6487" w:rsidRPr="001870F3">
        <w:rPr>
          <w:rFonts w:eastAsia="TimesNewRoman"/>
          <w:szCs w:val="22"/>
          <w:lang w:val="sr-Latn-ME"/>
        </w:rPr>
        <w:t xml:space="preserve">u karakterističnom </w:t>
      </w:r>
      <w:r w:rsidRPr="001870F3">
        <w:rPr>
          <w:rFonts w:eastAsia="TimesNewRoman"/>
          <w:szCs w:val="22"/>
          <w:lang w:val="sr-Latn-ME"/>
        </w:rPr>
        <w:t>za akutni pankreatitis,</w:t>
      </w:r>
      <w:r w:rsidR="00236F7E" w:rsidRPr="001870F3">
        <w:rPr>
          <w:rFonts w:eastAsia="TimesNewRoman"/>
          <w:szCs w:val="22"/>
          <w:lang w:val="sr-Latn-ME"/>
        </w:rPr>
        <w:t xml:space="preserve"> </w:t>
      </w:r>
      <w:r w:rsidRPr="001870F3">
        <w:rPr>
          <w:rFonts w:eastAsia="TimesNewRoman"/>
          <w:szCs w:val="22"/>
          <w:lang w:val="sr-Latn-ME"/>
        </w:rPr>
        <w:t>a to</w:t>
      </w:r>
      <w:r w:rsidR="007B6487" w:rsidRPr="001870F3">
        <w:rPr>
          <w:rFonts w:eastAsia="TimesNewRoman"/>
          <w:szCs w:val="22"/>
          <w:lang w:val="sr-Latn-ME"/>
        </w:rPr>
        <w:t xml:space="preserve"> je</w:t>
      </w:r>
      <w:r w:rsidRPr="001870F3">
        <w:rPr>
          <w:rFonts w:eastAsia="TimesNewRoman"/>
          <w:szCs w:val="22"/>
          <w:lang w:val="sr-Latn-ME"/>
        </w:rPr>
        <w:t>: perzistentan, jak</w:t>
      </w:r>
      <w:r w:rsidR="004E3E9E" w:rsidRPr="001870F3">
        <w:rPr>
          <w:rFonts w:eastAsia="TimesNewRoman"/>
          <w:szCs w:val="22"/>
          <w:lang w:val="sr-Latn-ME"/>
        </w:rPr>
        <w:t xml:space="preserve"> </w:t>
      </w:r>
      <w:r w:rsidRPr="001870F3">
        <w:rPr>
          <w:rFonts w:eastAsia="TimesNewRoman"/>
          <w:szCs w:val="22"/>
          <w:lang w:val="sr-Latn-ME"/>
        </w:rPr>
        <w:t>abdominalni bol. U prijavljenim slučajevima prim</w:t>
      </w:r>
      <w:r w:rsidR="007B6487" w:rsidRPr="001870F3">
        <w:rPr>
          <w:rFonts w:eastAsia="TimesNewRoman"/>
          <w:szCs w:val="22"/>
          <w:lang w:val="sr-Latn-ME"/>
        </w:rPr>
        <w:t>i</w:t>
      </w:r>
      <w:r w:rsidR="007574AD" w:rsidRPr="001870F3">
        <w:rPr>
          <w:rFonts w:eastAsia="TimesNewRoman"/>
          <w:szCs w:val="22"/>
          <w:lang w:val="sr-Latn-ME"/>
        </w:rPr>
        <w:t>j</w:t>
      </w:r>
      <w:r w:rsidRPr="001870F3">
        <w:rPr>
          <w:rFonts w:eastAsia="TimesNewRoman"/>
          <w:szCs w:val="22"/>
          <w:lang w:val="sr-Latn-ME"/>
        </w:rPr>
        <w:t>ećeno je povlačenje simptoma pankreatitisa nakon</w:t>
      </w:r>
      <w:r w:rsidR="004E3E9E" w:rsidRPr="001870F3">
        <w:rPr>
          <w:rFonts w:eastAsia="TimesNewRoman"/>
          <w:szCs w:val="22"/>
          <w:lang w:val="sr-Latn-ME"/>
        </w:rPr>
        <w:t xml:space="preserve"> </w:t>
      </w:r>
      <w:r w:rsidRPr="001870F3">
        <w:rPr>
          <w:rFonts w:eastAsia="TimesNewRoman"/>
          <w:szCs w:val="22"/>
          <w:lang w:val="sr-Latn-ME"/>
        </w:rPr>
        <w:t>obustavljanja terapije sitagliptinom (sa ili bez suportivne terapije), ali su veoma r</w:t>
      </w:r>
      <w:r w:rsidR="007574AD" w:rsidRPr="001870F3">
        <w:rPr>
          <w:rFonts w:eastAsia="TimesNewRoman"/>
          <w:szCs w:val="22"/>
          <w:lang w:val="sr-Latn-ME"/>
        </w:rPr>
        <w:t>ij</w:t>
      </w:r>
      <w:r w:rsidRPr="001870F3">
        <w:rPr>
          <w:rFonts w:eastAsia="TimesNewRoman"/>
          <w:szCs w:val="22"/>
          <w:lang w:val="sr-Latn-ME"/>
        </w:rPr>
        <w:t>etko prijavljeni i slučajevi</w:t>
      </w:r>
      <w:r w:rsidR="004E3E9E" w:rsidRPr="001870F3">
        <w:rPr>
          <w:rFonts w:eastAsia="TimesNewRoman"/>
          <w:szCs w:val="22"/>
          <w:lang w:val="sr-Latn-ME"/>
        </w:rPr>
        <w:t xml:space="preserve"> </w:t>
      </w:r>
      <w:r w:rsidRPr="001870F3">
        <w:rPr>
          <w:rFonts w:eastAsia="TimesNewRoman"/>
          <w:szCs w:val="22"/>
          <w:lang w:val="sr-Latn-ME"/>
        </w:rPr>
        <w:t>nekrotizirajućeg ili hemoragijskog pankreatitisa i/ili smrti. Ukoliko se sumnja na p</w:t>
      </w:r>
      <w:r w:rsidR="005605A1" w:rsidRPr="001870F3">
        <w:rPr>
          <w:rFonts w:eastAsia="TimesNewRoman"/>
          <w:szCs w:val="22"/>
          <w:lang w:val="sr-Latn-ME"/>
        </w:rPr>
        <w:t xml:space="preserve">ankreatitis, treba prekinuti sa </w:t>
      </w:r>
      <w:r w:rsidRPr="001870F3">
        <w:rPr>
          <w:rFonts w:eastAsia="TimesNewRoman"/>
          <w:szCs w:val="22"/>
          <w:lang w:val="sr-Latn-ME"/>
        </w:rPr>
        <w:t>daljom prim</w:t>
      </w:r>
      <w:r w:rsidR="007574AD" w:rsidRPr="001870F3">
        <w:rPr>
          <w:rFonts w:eastAsia="TimesNewRoman"/>
          <w:szCs w:val="22"/>
          <w:lang w:val="sr-Latn-ME"/>
        </w:rPr>
        <w:t>j</w:t>
      </w:r>
      <w:r w:rsidRPr="001870F3">
        <w:rPr>
          <w:rFonts w:eastAsia="TimesNewRoman"/>
          <w:szCs w:val="22"/>
          <w:lang w:val="sr-Latn-ME"/>
        </w:rPr>
        <w:t>enom l</w:t>
      </w:r>
      <w:r w:rsidR="007574AD" w:rsidRPr="001870F3">
        <w:rPr>
          <w:rFonts w:eastAsia="TimesNewRoman"/>
          <w:szCs w:val="22"/>
          <w:lang w:val="sr-Latn-ME"/>
        </w:rPr>
        <w:t>ij</w:t>
      </w:r>
      <w:r w:rsidRPr="001870F3">
        <w:rPr>
          <w:rFonts w:eastAsia="TimesNewRoman"/>
          <w:szCs w:val="22"/>
          <w:lang w:val="sr-Latn-ME"/>
        </w:rPr>
        <w:t xml:space="preserve">eka </w:t>
      </w:r>
      <w:r w:rsidR="005605A1" w:rsidRPr="001870F3">
        <w:rPr>
          <w:rFonts w:eastAsia="TimesNewRoman"/>
          <w:szCs w:val="22"/>
          <w:lang w:val="sr-Latn-ME"/>
        </w:rPr>
        <w:t>Dolista Duo</w:t>
      </w:r>
      <w:r w:rsidRPr="001870F3">
        <w:rPr>
          <w:rFonts w:eastAsia="TimesNewRoman"/>
          <w:szCs w:val="22"/>
          <w:lang w:val="sr-Latn-ME"/>
        </w:rPr>
        <w:t xml:space="preserve"> i drugih potencijalno suspektnih l</w:t>
      </w:r>
      <w:r w:rsidR="007574AD" w:rsidRPr="001870F3">
        <w:rPr>
          <w:rFonts w:eastAsia="TimesNewRoman"/>
          <w:szCs w:val="22"/>
          <w:lang w:val="sr-Latn-ME"/>
        </w:rPr>
        <w:t>j</w:t>
      </w:r>
      <w:r w:rsidRPr="001870F3">
        <w:rPr>
          <w:rFonts w:eastAsia="TimesNewRoman"/>
          <w:szCs w:val="22"/>
          <w:lang w:val="sr-Latn-ME"/>
        </w:rPr>
        <w:t>ekova. Ukoliko se akutni pankreatitis</w:t>
      </w:r>
      <w:r w:rsidR="007574AD" w:rsidRPr="001870F3">
        <w:rPr>
          <w:rFonts w:eastAsia="TimesNewRoman"/>
          <w:szCs w:val="22"/>
          <w:lang w:val="sr-Latn-ME"/>
        </w:rPr>
        <w:t xml:space="preserve"> </w:t>
      </w:r>
      <w:r w:rsidRPr="001870F3">
        <w:rPr>
          <w:rFonts w:eastAsia="TimesNewRoman"/>
          <w:szCs w:val="22"/>
          <w:lang w:val="sr-Latn-ME"/>
        </w:rPr>
        <w:t>dijagnostikuje, terapija l</w:t>
      </w:r>
      <w:r w:rsidR="007574AD" w:rsidRPr="001870F3">
        <w:rPr>
          <w:rFonts w:eastAsia="TimesNewRoman"/>
          <w:szCs w:val="22"/>
          <w:lang w:val="sr-Latn-ME"/>
        </w:rPr>
        <w:t>ij</w:t>
      </w:r>
      <w:r w:rsidRPr="001870F3">
        <w:rPr>
          <w:rFonts w:eastAsia="TimesNewRoman"/>
          <w:szCs w:val="22"/>
          <w:lang w:val="sr-Latn-ME"/>
        </w:rPr>
        <w:t xml:space="preserve">ekom </w:t>
      </w:r>
      <w:r w:rsidR="005605A1" w:rsidRPr="001870F3">
        <w:rPr>
          <w:rFonts w:eastAsia="TimesNewRoman"/>
          <w:szCs w:val="22"/>
          <w:lang w:val="sr-Latn-ME"/>
        </w:rPr>
        <w:t>Dolista Duo</w:t>
      </w:r>
      <w:r w:rsidRPr="001870F3">
        <w:rPr>
          <w:rFonts w:eastAsia="TimesNewRoman"/>
          <w:szCs w:val="22"/>
          <w:lang w:val="sr-Latn-ME"/>
        </w:rPr>
        <w:t xml:space="preserve"> se ne sm</w:t>
      </w:r>
      <w:r w:rsidR="007574AD" w:rsidRPr="001870F3">
        <w:rPr>
          <w:rFonts w:eastAsia="TimesNewRoman"/>
          <w:szCs w:val="22"/>
          <w:lang w:val="sr-Latn-ME"/>
        </w:rPr>
        <w:t>ij</w:t>
      </w:r>
      <w:r w:rsidRPr="001870F3">
        <w:rPr>
          <w:rFonts w:eastAsia="TimesNewRoman"/>
          <w:szCs w:val="22"/>
          <w:lang w:val="sr-Latn-ME"/>
        </w:rPr>
        <w:t>e ponovo uvesti. Oprez je neophodan kod pacijenata sa</w:t>
      </w:r>
      <w:r w:rsidR="007574AD" w:rsidRPr="001870F3">
        <w:rPr>
          <w:rFonts w:eastAsia="TimesNewRoman"/>
          <w:szCs w:val="22"/>
          <w:lang w:val="sr-Latn-ME"/>
        </w:rPr>
        <w:t xml:space="preserve"> </w:t>
      </w:r>
      <w:r w:rsidRPr="001870F3">
        <w:rPr>
          <w:rFonts w:eastAsia="TimesNewRoman"/>
          <w:szCs w:val="22"/>
          <w:lang w:val="sr-Latn-ME"/>
        </w:rPr>
        <w:t>pankreatitisom u anamnezi.</w:t>
      </w:r>
    </w:p>
    <w:p w14:paraId="2E86A100"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01"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Laktoacidoza</w:t>
      </w:r>
    </w:p>
    <w:p w14:paraId="2E86A102" w14:textId="77777777" w:rsidR="00FC2D5A" w:rsidRPr="001870F3" w:rsidRDefault="00D97D6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Laktoacidoza predstavlja r</w:t>
      </w:r>
      <w:r w:rsidR="007574AD" w:rsidRPr="001870F3">
        <w:rPr>
          <w:rFonts w:eastAsia="TimesNewRoman"/>
          <w:szCs w:val="22"/>
          <w:lang w:val="sr-Latn-ME"/>
        </w:rPr>
        <w:t>ij</w:t>
      </w:r>
      <w:r w:rsidRPr="001870F3">
        <w:rPr>
          <w:rFonts w:eastAsia="TimesNewRoman"/>
          <w:szCs w:val="22"/>
          <w:lang w:val="sr-Latn-ME"/>
        </w:rPr>
        <w:t>etku ali ozbiljnu</w:t>
      </w:r>
      <w:r w:rsidR="00FC2D5A" w:rsidRPr="001870F3">
        <w:rPr>
          <w:rFonts w:eastAsia="TimesNewRoman"/>
          <w:szCs w:val="22"/>
          <w:lang w:val="sr-Latn-ME"/>
        </w:rPr>
        <w:t xml:space="preserve"> metaboličku</w:t>
      </w:r>
      <w:r w:rsidRPr="001870F3">
        <w:rPr>
          <w:rFonts w:eastAsia="TimesNewRoman"/>
          <w:szCs w:val="22"/>
          <w:lang w:val="sr-Latn-ME"/>
        </w:rPr>
        <w:t xml:space="preserve"> komplikaciju, koja se najčešče javlja pri akutnom pogoršanju bubrežne funkcije ili kardiorespiratorne bolesti ili sepse. Do akumulacije metformina dolazi pri akutnom pogoršanju bubrežne funkcije i time se povećava rizik od nastanka laktoacidoze.</w:t>
      </w:r>
    </w:p>
    <w:p w14:paraId="2E86A103" w14:textId="77777777" w:rsidR="00A21F96" w:rsidRPr="001870F3" w:rsidRDefault="00A21F96" w:rsidP="001870F3">
      <w:pPr>
        <w:widowControl w:val="0"/>
        <w:tabs>
          <w:tab w:val="clear" w:pos="284"/>
        </w:tabs>
        <w:autoSpaceDE w:val="0"/>
        <w:autoSpaceDN w:val="0"/>
        <w:adjustRightInd w:val="0"/>
        <w:rPr>
          <w:rFonts w:eastAsia="TimesNewRoman"/>
          <w:szCs w:val="22"/>
          <w:lang w:val="sr-Latn-ME"/>
        </w:rPr>
      </w:pPr>
    </w:p>
    <w:p w14:paraId="2E86A104" w14:textId="77777777" w:rsidR="005E1093" w:rsidRPr="001870F3" w:rsidRDefault="005E10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slučaju dehidracije (obilno povraćanje, dijareja, febrilno stanje ili smanjen unos tečnosti), treba privremeno obustaviti prim</w:t>
      </w:r>
      <w:r w:rsidR="007574AD" w:rsidRPr="001870F3">
        <w:rPr>
          <w:rFonts w:eastAsia="TimesNewRoman"/>
          <w:szCs w:val="22"/>
          <w:lang w:val="sr-Latn-ME"/>
        </w:rPr>
        <w:t>j</w:t>
      </w:r>
      <w:r w:rsidRPr="001870F3">
        <w:rPr>
          <w:rFonts w:eastAsia="TimesNewRoman"/>
          <w:szCs w:val="22"/>
          <w:lang w:val="sr-Latn-ME"/>
        </w:rPr>
        <w:t>enu metformina i kontaktirati stručno medicinsko osoblje.</w:t>
      </w:r>
    </w:p>
    <w:p w14:paraId="2E86A105" w14:textId="77777777" w:rsidR="005E1093" w:rsidRPr="001870F3" w:rsidRDefault="005E1093" w:rsidP="001870F3">
      <w:pPr>
        <w:widowControl w:val="0"/>
        <w:tabs>
          <w:tab w:val="clear" w:pos="284"/>
        </w:tabs>
        <w:autoSpaceDE w:val="0"/>
        <w:autoSpaceDN w:val="0"/>
        <w:adjustRightInd w:val="0"/>
        <w:rPr>
          <w:rFonts w:eastAsia="TimesNewRoman"/>
          <w:szCs w:val="22"/>
          <w:lang w:val="sr-Latn-ME"/>
        </w:rPr>
      </w:pPr>
    </w:p>
    <w:p w14:paraId="2E86A106" w14:textId="19A89D74" w:rsidR="005E1093" w:rsidRPr="001870F3" w:rsidRDefault="005E10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C10C4B" w:rsidRPr="001870F3">
        <w:rPr>
          <w:rFonts w:eastAsia="TimesNewRoman"/>
          <w:szCs w:val="22"/>
          <w:lang w:val="sr-Latn-ME"/>
        </w:rPr>
        <w:t>j</w:t>
      </w:r>
      <w:r w:rsidRPr="001870F3">
        <w:rPr>
          <w:rFonts w:eastAsia="TimesNewRoman"/>
          <w:szCs w:val="22"/>
          <w:lang w:val="sr-Latn-ME"/>
        </w:rPr>
        <w:t>ekove koji mogu akutno da oštete bubrežnu funkciju (kao što su antihipertenzivi, diuretici ili NSAIL) treba početi pažljivo prim</w:t>
      </w:r>
      <w:r w:rsidR="00C10C4B" w:rsidRPr="001870F3">
        <w:rPr>
          <w:rFonts w:eastAsia="TimesNewRoman"/>
          <w:szCs w:val="22"/>
          <w:lang w:val="sr-Latn-ME"/>
        </w:rPr>
        <w:t>j</w:t>
      </w:r>
      <w:r w:rsidRPr="001870F3">
        <w:rPr>
          <w:rFonts w:eastAsia="TimesNewRoman"/>
          <w:szCs w:val="22"/>
          <w:lang w:val="sr-Latn-ME"/>
        </w:rPr>
        <w:t xml:space="preserve">enjivati kod pacijenata na </w:t>
      </w:r>
      <w:r w:rsidR="00C40EB2" w:rsidRPr="001870F3">
        <w:rPr>
          <w:rFonts w:eastAsia="TimesNewRoman"/>
          <w:szCs w:val="22"/>
          <w:lang w:val="sr-Latn-ME"/>
        </w:rPr>
        <w:t xml:space="preserve">terapiji </w:t>
      </w:r>
      <w:r w:rsidRPr="001870F3">
        <w:rPr>
          <w:rFonts w:eastAsia="TimesNewRoman"/>
          <w:szCs w:val="22"/>
          <w:lang w:val="sr-Latn-ME"/>
        </w:rPr>
        <w:t>metformin</w:t>
      </w:r>
      <w:r w:rsidR="00C40EB2" w:rsidRPr="001870F3">
        <w:rPr>
          <w:rFonts w:eastAsia="TimesNewRoman"/>
          <w:szCs w:val="22"/>
          <w:lang w:val="sr-Latn-ME"/>
        </w:rPr>
        <w:t>om</w:t>
      </w:r>
      <w:r w:rsidRPr="001870F3">
        <w:rPr>
          <w:rFonts w:eastAsia="TimesNewRoman"/>
          <w:szCs w:val="22"/>
          <w:lang w:val="sr-Latn-ME"/>
        </w:rPr>
        <w:t>. Drugi faktori rizika za nastanak laktoacidoze su pret</w:t>
      </w:r>
      <w:r w:rsidR="00C10C4B" w:rsidRPr="001870F3">
        <w:rPr>
          <w:rFonts w:eastAsia="TimesNewRoman"/>
          <w:szCs w:val="22"/>
          <w:lang w:val="sr-Latn-ME"/>
        </w:rPr>
        <w:t>j</w:t>
      </w:r>
      <w:r w:rsidRPr="001870F3">
        <w:rPr>
          <w:rFonts w:eastAsia="TimesNewRoman"/>
          <w:szCs w:val="22"/>
          <w:lang w:val="sr-Latn-ME"/>
        </w:rPr>
        <w:t>erano unošenje alko</w:t>
      </w:r>
      <w:r w:rsidR="00B5755A" w:rsidRPr="001870F3">
        <w:rPr>
          <w:rFonts w:eastAsia="TimesNewRoman"/>
          <w:szCs w:val="22"/>
          <w:lang w:val="sr-Latn-ME"/>
        </w:rPr>
        <w:t>hola, insuficijencija jetre, loš</w:t>
      </w:r>
      <w:r w:rsidRPr="001870F3">
        <w:rPr>
          <w:rFonts w:eastAsia="TimesNewRoman"/>
          <w:szCs w:val="22"/>
          <w:lang w:val="sr-Latn-ME"/>
        </w:rPr>
        <w:t>e kontrolisan dijabetes</w:t>
      </w:r>
      <w:r w:rsidR="000C0910" w:rsidRPr="001870F3">
        <w:rPr>
          <w:rFonts w:eastAsia="TimesNewRoman"/>
          <w:szCs w:val="22"/>
          <w:lang w:val="sr-Latn-ME"/>
        </w:rPr>
        <w:t>, ketoza, produženo gladovanje i</w:t>
      </w:r>
      <w:r w:rsidRPr="001870F3">
        <w:rPr>
          <w:rFonts w:eastAsia="TimesNewRoman"/>
          <w:szCs w:val="22"/>
          <w:lang w:val="sr-Latn-ME"/>
        </w:rPr>
        <w:t xml:space="preserve"> bilo koje stanje udruženo sa hipoksijom, kao i istovremena prim</w:t>
      </w:r>
      <w:r w:rsidR="00C10C4B" w:rsidRPr="001870F3">
        <w:rPr>
          <w:rFonts w:eastAsia="TimesNewRoman"/>
          <w:szCs w:val="22"/>
          <w:lang w:val="sr-Latn-ME"/>
        </w:rPr>
        <w:t>j</w:t>
      </w:r>
      <w:r w:rsidRPr="001870F3">
        <w:rPr>
          <w:rFonts w:eastAsia="TimesNewRoman"/>
          <w:szCs w:val="22"/>
          <w:lang w:val="sr-Latn-ME"/>
        </w:rPr>
        <w:t>ena l</w:t>
      </w:r>
      <w:r w:rsidR="00C10C4B" w:rsidRPr="001870F3">
        <w:rPr>
          <w:rFonts w:eastAsia="TimesNewRoman"/>
          <w:szCs w:val="22"/>
          <w:lang w:val="sr-Latn-ME"/>
        </w:rPr>
        <w:t>j</w:t>
      </w:r>
      <w:r w:rsidRPr="001870F3">
        <w:rPr>
          <w:rFonts w:eastAsia="TimesNewRoman"/>
          <w:szCs w:val="22"/>
          <w:lang w:val="sr-Latn-ME"/>
        </w:rPr>
        <w:t>ekova koji mogu izazvati laktoacidozu (vid</w:t>
      </w:r>
      <w:r w:rsidR="00C10C4B"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w:t>
      </w:r>
      <w:r w:rsidR="00C40EB2" w:rsidRPr="001870F3">
        <w:rPr>
          <w:rFonts w:eastAsia="TimesNewRoman"/>
          <w:szCs w:val="22"/>
          <w:lang w:val="sr-Latn-ME"/>
        </w:rPr>
        <w:t>jelove</w:t>
      </w:r>
      <w:r w:rsidRPr="001870F3">
        <w:rPr>
          <w:rFonts w:eastAsia="TimesNewRoman"/>
          <w:szCs w:val="22"/>
          <w:lang w:val="sr-Latn-ME"/>
        </w:rPr>
        <w:t xml:space="preserve"> 4.3 i 4.5).</w:t>
      </w:r>
    </w:p>
    <w:p w14:paraId="2E86A107" w14:textId="77777777" w:rsidR="00D97D6B" w:rsidRPr="001870F3" w:rsidRDefault="00D97D6B" w:rsidP="001870F3">
      <w:pPr>
        <w:widowControl w:val="0"/>
        <w:tabs>
          <w:tab w:val="clear" w:pos="284"/>
        </w:tabs>
        <w:autoSpaceDE w:val="0"/>
        <w:autoSpaceDN w:val="0"/>
        <w:adjustRightInd w:val="0"/>
        <w:rPr>
          <w:rFonts w:eastAsia="TimesNewRoman"/>
          <w:szCs w:val="22"/>
          <w:lang w:val="sr-Latn-ME"/>
        </w:rPr>
      </w:pPr>
    </w:p>
    <w:p w14:paraId="2E86A108" w14:textId="74AD2355" w:rsidR="00230C9B" w:rsidRPr="001870F3" w:rsidRDefault="00574EA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Pacijente i/ili osobe koje pružaju n</w:t>
      </w:r>
      <w:r w:rsidR="00C40EB2" w:rsidRPr="001870F3">
        <w:rPr>
          <w:rFonts w:eastAsia="TimesNewRoman"/>
          <w:szCs w:val="22"/>
          <w:lang w:val="sr-Latn-ME"/>
        </w:rPr>
        <w:t>j</w:t>
      </w:r>
      <w:r w:rsidRPr="001870F3">
        <w:rPr>
          <w:rFonts w:eastAsia="TimesNewRoman"/>
          <w:szCs w:val="22"/>
          <w:lang w:val="sr-Latn-ME"/>
        </w:rPr>
        <w:t>egu treba informisati o riziku od nastanka laktoacidoze. Laktoacidoza se karakteriše acidotičnom dispnejom, abdominalnim bolom, mišićnim grčevima,</w:t>
      </w:r>
      <w:r w:rsidR="004F13CE" w:rsidRPr="001870F3">
        <w:rPr>
          <w:rFonts w:eastAsia="TimesNewRoman"/>
          <w:szCs w:val="22"/>
          <w:lang w:val="sr-Latn-ME"/>
        </w:rPr>
        <w:t xml:space="preserve"> astenijom i hipotermijom koja je praćena komom. U slučaju suspektnih simptoma, pacijent treba</w:t>
      </w:r>
      <w:r w:rsidR="007D46B0" w:rsidRPr="001870F3">
        <w:rPr>
          <w:rFonts w:eastAsia="TimesNewRoman"/>
          <w:szCs w:val="22"/>
          <w:lang w:val="sr-Latn-ME"/>
        </w:rPr>
        <w:t xml:space="preserve"> da prestane sa uzimanjem metfor</w:t>
      </w:r>
      <w:r w:rsidR="004F13CE" w:rsidRPr="001870F3">
        <w:rPr>
          <w:rFonts w:eastAsia="TimesNewRoman"/>
          <w:szCs w:val="22"/>
          <w:lang w:val="sr-Latn-ME"/>
        </w:rPr>
        <w:t>mina i zatraži hitnu medicinsku pomoć.</w:t>
      </w:r>
      <w:r w:rsidR="00230C9B" w:rsidRPr="001870F3">
        <w:rPr>
          <w:rFonts w:eastAsia="TimesNewRoman"/>
          <w:szCs w:val="22"/>
          <w:lang w:val="sr-Latn-ME"/>
        </w:rPr>
        <w:t xml:space="preserve"> Laboratorijske analize su smanjen pH krvi (&lt; 7,35)</w:t>
      </w:r>
      <w:r w:rsidR="007B6487" w:rsidRPr="001870F3">
        <w:rPr>
          <w:rFonts w:eastAsia="TimesNewRoman"/>
          <w:szCs w:val="22"/>
          <w:lang w:val="sr-Latn-ME"/>
        </w:rPr>
        <w:t>,</w:t>
      </w:r>
      <w:r w:rsidR="00230C9B" w:rsidRPr="001870F3">
        <w:rPr>
          <w:rFonts w:eastAsia="TimesNewRoman"/>
          <w:szCs w:val="22"/>
          <w:lang w:val="sr-Latn-ME"/>
        </w:rPr>
        <w:t xml:space="preserve"> povećani nivoi laktata u plazmi (&gt; 5 mmol/</w:t>
      </w:r>
      <w:r w:rsidR="00C40EB2" w:rsidRPr="001870F3">
        <w:rPr>
          <w:rFonts w:eastAsia="TimesNewRoman"/>
          <w:szCs w:val="22"/>
          <w:lang w:val="sr-Latn-ME"/>
        </w:rPr>
        <w:t>l</w:t>
      </w:r>
      <w:r w:rsidR="00230C9B" w:rsidRPr="001870F3">
        <w:rPr>
          <w:rFonts w:eastAsia="TimesNewRoman"/>
          <w:szCs w:val="22"/>
          <w:lang w:val="sr-Latn-ME"/>
        </w:rPr>
        <w:t>) i povećan tzv ʺanjonski gapʺ i odnos laktat</w:t>
      </w:r>
      <w:r w:rsidR="00F728EB" w:rsidRPr="001870F3">
        <w:rPr>
          <w:rFonts w:eastAsia="TimesNewRoman"/>
          <w:szCs w:val="22"/>
          <w:lang w:val="sr-Latn-ME"/>
        </w:rPr>
        <w:t>a</w:t>
      </w:r>
      <w:r w:rsidR="00230C9B" w:rsidRPr="001870F3">
        <w:rPr>
          <w:rFonts w:eastAsia="TimesNewRoman"/>
          <w:szCs w:val="22"/>
          <w:lang w:val="sr-Latn-ME"/>
        </w:rPr>
        <w:t>/piruvat</w:t>
      </w:r>
      <w:r w:rsidR="00F728EB" w:rsidRPr="001870F3">
        <w:rPr>
          <w:rFonts w:eastAsia="TimesNewRoman"/>
          <w:szCs w:val="22"/>
          <w:lang w:val="sr-Latn-ME"/>
        </w:rPr>
        <w:t>a</w:t>
      </w:r>
      <w:r w:rsidR="00230C9B" w:rsidRPr="001870F3">
        <w:rPr>
          <w:rFonts w:eastAsia="TimesNewRoman"/>
          <w:szCs w:val="22"/>
          <w:lang w:val="sr-Latn-ME"/>
        </w:rPr>
        <w:t>.</w:t>
      </w:r>
    </w:p>
    <w:p w14:paraId="2E86A109" w14:textId="77777777" w:rsidR="005605A1" w:rsidRPr="001870F3" w:rsidRDefault="00230C9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4F13CE" w:rsidRPr="001870F3">
        <w:rPr>
          <w:rFonts w:eastAsia="TimesNewRoman"/>
          <w:szCs w:val="22"/>
          <w:lang w:val="sr-Latn-ME"/>
        </w:rPr>
        <w:t xml:space="preserve">  </w:t>
      </w:r>
    </w:p>
    <w:p w14:paraId="2E86A10A"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Funkcija bubrega</w:t>
      </w:r>
    </w:p>
    <w:p w14:paraId="2E86A10B" w14:textId="31317CED" w:rsidR="00590F3A" w:rsidRPr="001870F3" w:rsidRDefault="00B5146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w:t>
      </w:r>
      <w:r w:rsidR="00590F3A" w:rsidRPr="001870F3">
        <w:rPr>
          <w:rFonts w:eastAsia="TimesNewRoman"/>
          <w:szCs w:val="22"/>
          <w:lang w:val="sr-Latn-ME"/>
        </w:rPr>
        <w:t>r</w:t>
      </w:r>
      <w:r w:rsidR="00C10C4B" w:rsidRPr="001870F3">
        <w:rPr>
          <w:rFonts w:eastAsia="TimesNewRoman"/>
          <w:szCs w:val="22"/>
          <w:lang w:val="sr-Latn-ME"/>
        </w:rPr>
        <w:t>ij</w:t>
      </w:r>
      <w:r w:rsidR="00590F3A" w:rsidRPr="001870F3">
        <w:rPr>
          <w:rFonts w:eastAsia="TimesNewRoman"/>
          <w:szCs w:val="22"/>
          <w:lang w:val="sr-Latn-ME"/>
        </w:rPr>
        <w:t xml:space="preserve">ednosti </w:t>
      </w:r>
      <w:r w:rsidR="00D0682D" w:rsidRPr="001870F3">
        <w:rPr>
          <w:rFonts w:eastAsia="TimesNewRoman"/>
          <w:szCs w:val="22"/>
          <w:lang w:val="sr-Latn-ME"/>
        </w:rPr>
        <w:t>GFR</w:t>
      </w:r>
      <w:r w:rsidR="00590F3A" w:rsidRPr="001870F3">
        <w:rPr>
          <w:rFonts w:eastAsia="TimesNewRoman"/>
          <w:szCs w:val="22"/>
          <w:lang w:val="sr-Latn-ME"/>
        </w:rPr>
        <w:t xml:space="preserve"> treba proc</w:t>
      </w:r>
      <w:r w:rsidR="00C40EB2" w:rsidRPr="001870F3">
        <w:rPr>
          <w:rFonts w:eastAsia="TimesNewRoman"/>
          <w:szCs w:val="22"/>
          <w:lang w:val="sr-Latn-ME"/>
        </w:rPr>
        <w:t>i</w:t>
      </w:r>
      <w:r w:rsidR="00C10C4B" w:rsidRPr="001870F3">
        <w:rPr>
          <w:rFonts w:eastAsia="TimesNewRoman"/>
          <w:szCs w:val="22"/>
          <w:lang w:val="sr-Latn-ME"/>
        </w:rPr>
        <w:t>j</w:t>
      </w:r>
      <w:r w:rsidR="00590F3A" w:rsidRPr="001870F3">
        <w:rPr>
          <w:rFonts w:eastAsia="TimesNewRoman"/>
          <w:szCs w:val="22"/>
          <w:lang w:val="sr-Latn-ME"/>
        </w:rPr>
        <w:t>eniti pr</w:t>
      </w:r>
      <w:r w:rsidR="00C10C4B" w:rsidRPr="001870F3">
        <w:rPr>
          <w:rFonts w:eastAsia="TimesNewRoman"/>
          <w:szCs w:val="22"/>
          <w:lang w:val="sr-Latn-ME"/>
        </w:rPr>
        <w:t>ij</w:t>
      </w:r>
      <w:r w:rsidR="00590F3A" w:rsidRPr="001870F3">
        <w:rPr>
          <w:rFonts w:eastAsia="TimesNewRoman"/>
          <w:szCs w:val="22"/>
          <w:lang w:val="sr-Latn-ME"/>
        </w:rPr>
        <w:t>e početka terapije i periodično kasnije (</w:t>
      </w:r>
      <w:r w:rsidR="000220E4" w:rsidRPr="001870F3">
        <w:rPr>
          <w:rFonts w:eastAsia="TimesNewRoman"/>
          <w:szCs w:val="22"/>
          <w:lang w:val="sr-Latn-ME"/>
        </w:rPr>
        <w:t>pogledati dio</w:t>
      </w:r>
      <w:r w:rsidR="00590F3A" w:rsidRPr="001870F3">
        <w:rPr>
          <w:rFonts w:eastAsia="TimesNewRoman"/>
          <w:szCs w:val="22"/>
          <w:lang w:val="sr-Latn-ME"/>
        </w:rPr>
        <w:t xml:space="preserve"> 4.2).</w:t>
      </w:r>
      <w:r w:rsidR="0033264C" w:rsidRPr="001870F3">
        <w:rPr>
          <w:rFonts w:eastAsia="TimesNewRoman"/>
          <w:szCs w:val="22"/>
          <w:lang w:val="sr-Latn-ME"/>
        </w:rPr>
        <w:t xml:space="preserve"> </w:t>
      </w:r>
      <w:r w:rsidR="00590F3A" w:rsidRPr="001870F3">
        <w:rPr>
          <w:rFonts w:eastAsia="TimesNewRoman"/>
          <w:szCs w:val="22"/>
          <w:lang w:val="sr-Latn-ME"/>
        </w:rPr>
        <w:t>L</w:t>
      </w:r>
      <w:r w:rsidR="00C10C4B" w:rsidRPr="001870F3">
        <w:rPr>
          <w:rFonts w:eastAsia="TimesNewRoman"/>
          <w:szCs w:val="22"/>
          <w:lang w:val="sr-Latn-ME"/>
        </w:rPr>
        <w:t>ij</w:t>
      </w:r>
      <w:r w:rsidR="00590F3A" w:rsidRPr="001870F3">
        <w:rPr>
          <w:rFonts w:eastAsia="TimesNewRoman"/>
          <w:szCs w:val="22"/>
          <w:lang w:val="sr-Latn-ME"/>
        </w:rPr>
        <w:t xml:space="preserve">ek Dolista Duo je kontraindikovan kod pacijenata kod kojih je </w:t>
      </w:r>
      <w:r w:rsidR="007D46B0" w:rsidRPr="001870F3">
        <w:rPr>
          <w:rFonts w:eastAsia="TimesNewRoman"/>
          <w:szCs w:val="22"/>
          <w:lang w:val="sr-Latn-ME"/>
        </w:rPr>
        <w:t>GFR</w:t>
      </w:r>
      <w:r w:rsidR="0033264C" w:rsidRPr="001870F3">
        <w:rPr>
          <w:rFonts w:eastAsia="TimesNewRoman"/>
          <w:szCs w:val="22"/>
          <w:lang w:val="sr-Latn-ME"/>
        </w:rPr>
        <w:t xml:space="preserve"> </w:t>
      </w:r>
      <w:r w:rsidR="00590F3A" w:rsidRPr="001870F3">
        <w:rPr>
          <w:rFonts w:eastAsia="TimesNewRoman"/>
          <w:szCs w:val="22"/>
          <w:lang w:val="sr-Latn-ME"/>
        </w:rPr>
        <w:t>&lt; 30 m</w:t>
      </w:r>
      <w:r w:rsidR="00C40EB2" w:rsidRPr="001870F3">
        <w:rPr>
          <w:rFonts w:eastAsia="TimesNewRoman"/>
          <w:szCs w:val="22"/>
          <w:lang w:val="sr-Latn-ME"/>
        </w:rPr>
        <w:t>l</w:t>
      </w:r>
      <w:r w:rsidR="00590F3A" w:rsidRPr="001870F3">
        <w:rPr>
          <w:rFonts w:eastAsia="TimesNewRoman"/>
          <w:szCs w:val="22"/>
          <w:lang w:val="sr-Latn-ME"/>
        </w:rPr>
        <w:t xml:space="preserve">/min i </w:t>
      </w:r>
      <w:r w:rsidR="00FF5760" w:rsidRPr="001870F3">
        <w:rPr>
          <w:rFonts w:eastAsia="TimesNewRoman"/>
          <w:szCs w:val="22"/>
          <w:lang w:val="sr-Latn-ME"/>
        </w:rPr>
        <w:t>sa njegovom prim</w:t>
      </w:r>
      <w:r w:rsidR="00C10C4B" w:rsidRPr="001870F3">
        <w:rPr>
          <w:rFonts w:eastAsia="TimesNewRoman"/>
          <w:szCs w:val="22"/>
          <w:lang w:val="sr-Latn-ME"/>
        </w:rPr>
        <w:t>j</w:t>
      </w:r>
      <w:r w:rsidR="00FF5760" w:rsidRPr="001870F3">
        <w:rPr>
          <w:rFonts w:eastAsia="TimesNewRoman"/>
          <w:szCs w:val="22"/>
          <w:lang w:val="sr-Latn-ME"/>
        </w:rPr>
        <w:t>enom treba privremeno prestati tokom stanja koja potencijalno mogu da prom</w:t>
      </w:r>
      <w:r w:rsidR="00C10C4B" w:rsidRPr="001870F3">
        <w:rPr>
          <w:rFonts w:eastAsia="TimesNewRoman"/>
          <w:szCs w:val="22"/>
          <w:lang w:val="sr-Latn-ME"/>
        </w:rPr>
        <w:t>j</w:t>
      </w:r>
      <w:r w:rsidR="00FF5760" w:rsidRPr="001870F3">
        <w:rPr>
          <w:rFonts w:eastAsia="TimesNewRoman"/>
          <w:szCs w:val="22"/>
          <w:lang w:val="sr-Latn-ME"/>
        </w:rPr>
        <w:t>ene bubrežnu funkciju (</w:t>
      </w:r>
      <w:r w:rsidR="000220E4" w:rsidRPr="001870F3">
        <w:rPr>
          <w:rFonts w:eastAsia="TimesNewRoman"/>
          <w:szCs w:val="22"/>
          <w:lang w:val="sr-Latn-ME"/>
        </w:rPr>
        <w:t>pogledati dio</w:t>
      </w:r>
      <w:r w:rsidR="00FF5760" w:rsidRPr="001870F3">
        <w:rPr>
          <w:rFonts w:eastAsia="TimesNewRoman"/>
          <w:szCs w:val="22"/>
          <w:lang w:val="sr-Latn-ME"/>
        </w:rPr>
        <w:t xml:space="preserve"> 4.3).</w:t>
      </w:r>
    </w:p>
    <w:p w14:paraId="2E86A10C"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0D"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Hipoglikemija</w:t>
      </w:r>
    </w:p>
    <w:p w14:paraId="2E86A10E" w14:textId="52924C1D"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Pacijenti koji dobijaju l</w:t>
      </w:r>
      <w:r w:rsidR="00C10C4B" w:rsidRPr="001870F3">
        <w:rPr>
          <w:rFonts w:eastAsia="TimesNewRoman"/>
          <w:szCs w:val="22"/>
          <w:lang w:val="sr-Latn-ME"/>
        </w:rPr>
        <w:t>ij</w:t>
      </w:r>
      <w:r w:rsidRPr="001870F3">
        <w:rPr>
          <w:rFonts w:eastAsia="TimesNewRoman"/>
          <w:szCs w:val="22"/>
          <w:lang w:val="sr-Latn-ME"/>
        </w:rPr>
        <w:t xml:space="preserve">ek </w:t>
      </w:r>
      <w:r w:rsidR="005605A1" w:rsidRPr="001870F3">
        <w:rPr>
          <w:rFonts w:eastAsia="TimesNewRoman"/>
          <w:szCs w:val="22"/>
          <w:lang w:val="sr-Latn-ME"/>
        </w:rPr>
        <w:t>Dolista Duo</w:t>
      </w:r>
      <w:r w:rsidRPr="001870F3">
        <w:rPr>
          <w:rFonts w:eastAsia="TimesNewRoman"/>
          <w:szCs w:val="22"/>
          <w:lang w:val="sr-Latn-ME"/>
        </w:rPr>
        <w:t xml:space="preserve"> u kombinaciji sa </w:t>
      </w:r>
      <w:r w:rsidR="002E44B1" w:rsidRPr="001870F3">
        <w:rPr>
          <w:rFonts w:eastAsia="TimesNewRoman"/>
          <w:szCs w:val="22"/>
          <w:lang w:val="sr-Latn-ME"/>
        </w:rPr>
        <w:t xml:space="preserve">derivatima </w:t>
      </w:r>
      <w:r w:rsidRPr="001870F3">
        <w:rPr>
          <w:rFonts w:eastAsia="TimesNewRoman"/>
          <w:szCs w:val="22"/>
          <w:lang w:val="sr-Latn-ME"/>
        </w:rPr>
        <w:t>sulfonilure</w:t>
      </w:r>
      <w:r w:rsidR="002E44B1" w:rsidRPr="001870F3">
        <w:rPr>
          <w:rFonts w:eastAsia="TimesNewRoman"/>
          <w:szCs w:val="22"/>
          <w:lang w:val="sr-Latn-ME"/>
        </w:rPr>
        <w:t>e</w:t>
      </w:r>
      <w:r w:rsidRPr="001870F3">
        <w:rPr>
          <w:rFonts w:eastAsia="TimesNewRoman"/>
          <w:szCs w:val="22"/>
          <w:lang w:val="sr-Latn-ME"/>
        </w:rPr>
        <w:t xml:space="preserve"> ili sa insulinom mogu biti izloženi riziku od</w:t>
      </w:r>
      <w:r w:rsidR="005605A1" w:rsidRPr="001870F3">
        <w:rPr>
          <w:rFonts w:eastAsia="TimesNewRoman"/>
          <w:szCs w:val="22"/>
          <w:lang w:val="sr-Latn-ME"/>
        </w:rPr>
        <w:t xml:space="preserve"> </w:t>
      </w:r>
      <w:r w:rsidRPr="001870F3">
        <w:rPr>
          <w:rFonts w:eastAsia="TimesNewRoman"/>
          <w:szCs w:val="22"/>
          <w:lang w:val="sr-Latn-ME"/>
        </w:rPr>
        <w:t>hipoglikemije.</w:t>
      </w:r>
      <w:r w:rsidR="007608AD" w:rsidRPr="001870F3">
        <w:rPr>
          <w:rFonts w:eastAsia="TimesNewRoman"/>
          <w:szCs w:val="22"/>
          <w:lang w:val="sr-Latn-ME"/>
        </w:rPr>
        <w:t xml:space="preserve"> </w:t>
      </w:r>
      <w:r w:rsidR="007B6487" w:rsidRPr="001870F3">
        <w:rPr>
          <w:rFonts w:eastAsia="TimesNewRoman"/>
          <w:szCs w:val="22"/>
          <w:lang w:val="sr-Latn-ME"/>
        </w:rPr>
        <w:t>Zbog toga</w:t>
      </w:r>
      <w:r w:rsidR="00DF0DA5" w:rsidRPr="001870F3">
        <w:rPr>
          <w:rFonts w:eastAsia="TimesNewRoman"/>
          <w:szCs w:val="22"/>
          <w:lang w:val="sr-Latn-ME"/>
        </w:rPr>
        <w:t>,</w:t>
      </w:r>
      <w:r w:rsidR="007B6487" w:rsidRPr="001870F3">
        <w:rPr>
          <w:rFonts w:eastAsia="TimesNewRoman"/>
          <w:szCs w:val="22"/>
          <w:lang w:val="sr-Latn-ME"/>
        </w:rPr>
        <w:t xml:space="preserve"> </w:t>
      </w:r>
      <w:r w:rsidRPr="001870F3">
        <w:rPr>
          <w:rFonts w:eastAsia="TimesNewRoman"/>
          <w:szCs w:val="22"/>
          <w:lang w:val="sr-Latn-ME"/>
        </w:rPr>
        <w:t xml:space="preserve">može biti potrebno smanjenje doze </w:t>
      </w:r>
      <w:r w:rsidR="006B5C2A" w:rsidRPr="001870F3">
        <w:rPr>
          <w:rFonts w:eastAsia="TimesNewRoman"/>
          <w:szCs w:val="22"/>
          <w:lang w:val="sr-Latn-ME"/>
        </w:rPr>
        <w:t xml:space="preserve">derivata </w:t>
      </w:r>
      <w:r w:rsidRPr="001870F3">
        <w:rPr>
          <w:rFonts w:eastAsia="TimesNewRoman"/>
          <w:szCs w:val="22"/>
          <w:lang w:val="sr-Latn-ME"/>
        </w:rPr>
        <w:t>sulfoniluree ili insulina.</w:t>
      </w:r>
    </w:p>
    <w:p w14:paraId="43CECA88" w14:textId="075E6BD1" w:rsidR="00BB1CFC" w:rsidRPr="001870F3" w:rsidRDefault="00BB1CFC" w:rsidP="001870F3">
      <w:pPr>
        <w:widowControl w:val="0"/>
        <w:tabs>
          <w:tab w:val="clear" w:pos="284"/>
        </w:tabs>
        <w:autoSpaceDE w:val="0"/>
        <w:autoSpaceDN w:val="0"/>
        <w:adjustRightInd w:val="0"/>
        <w:rPr>
          <w:rFonts w:eastAsia="TimesNewRoman"/>
          <w:szCs w:val="22"/>
          <w:u w:val="single"/>
          <w:lang w:val="sr-Latn-ME"/>
        </w:rPr>
      </w:pPr>
    </w:p>
    <w:p w14:paraId="2E86A110" w14:textId="075FA50D"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Reakcije preos</w:t>
      </w:r>
      <w:r w:rsidR="00C10C4B" w:rsidRPr="001870F3">
        <w:rPr>
          <w:rFonts w:eastAsia="TimesNewRoman"/>
          <w:szCs w:val="22"/>
          <w:u w:val="single"/>
          <w:lang w:val="sr-Latn-ME"/>
        </w:rPr>
        <w:t>j</w:t>
      </w:r>
      <w:r w:rsidRPr="001870F3">
        <w:rPr>
          <w:rFonts w:eastAsia="TimesNewRoman"/>
          <w:szCs w:val="22"/>
          <w:u w:val="single"/>
          <w:lang w:val="sr-Latn-ME"/>
        </w:rPr>
        <w:t>etljivosti</w:t>
      </w:r>
    </w:p>
    <w:p w14:paraId="7B4B9EEA" w14:textId="77777777" w:rsidR="0013370A" w:rsidRPr="001870F3" w:rsidRDefault="0013370A" w:rsidP="001870F3">
      <w:pPr>
        <w:widowControl w:val="0"/>
        <w:tabs>
          <w:tab w:val="clear" w:pos="284"/>
        </w:tabs>
        <w:autoSpaceDE w:val="0"/>
        <w:autoSpaceDN w:val="0"/>
        <w:adjustRightInd w:val="0"/>
        <w:rPr>
          <w:rFonts w:eastAsia="TimesNewRoman"/>
          <w:szCs w:val="22"/>
          <w:u w:val="single"/>
          <w:lang w:val="sr-Latn-ME"/>
        </w:rPr>
      </w:pPr>
    </w:p>
    <w:p w14:paraId="2E86A111" w14:textId="357EC616"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Postmarketinški su prijavljene ozbiljne reakcije preos</w:t>
      </w:r>
      <w:r w:rsidR="00C10C4B" w:rsidRPr="001870F3">
        <w:rPr>
          <w:rFonts w:eastAsia="TimesNewRoman"/>
          <w:szCs w:val="22"/>
          <w:lang w:val="sr-Latn-ME"/>
        </w:rPr>
        <w:t>j</w:t>
      </w:r>
      <w:r w:rsidRPr="001870F3">
        <w:rPr>
          <w:rFonts w:eastAsia="TimesNewRoman"/>
          <w:szCs w:val="22"/>
          <w:lang w:val="sr-Latn-ME"/>
        </w:rPr>
        <w:t>etljivosti kod pacijenata l</w:t>
      </w:r>
      <w:r w:rsidR="00C10C4B" w:rsidRPr="001870F3">
        <w:rPr>
          <w:rFonts w:eastAsia="TimesNewRoman"/>
          <w:szCs w:val="22"/>
          <w:lang w:val="sr-Latn-ME"/>
        </w:rPr>
        <w:t>ij</w:t>
      </w:r>
      <w:r w:rsidRPr="001870F3">
        <w:rPr>
          <w:rFonts w:eastAsia="TimesNewRoman"/>
          <w:szCs w:val="22"/>
          <w:lang w:val="sr-Latn-ME"/>
        </w:rPr>
        <w:t>ečenih sitagliptinom. Te reakcije</w:t>
      </w:r>
      <w:r w:rsidR="005605A1" w:rsidRPr="001870F3">
        <w:rPr>
          <w:rFonts w:eastAsia="TimesNewRoman"/>
          <w:szCs w:val="22"/>
          <w:lang w:val="sr-Latn-ME"/>
        </w:rPr>
        <w:t xml:space="preserve"> </w:t>
      </w:r>
      <w:r w:rsidRPr="001870F3">
        <w:rPr>
          <w:rFonts w:eastAsia="TimesNewRoman"/>
          <w:szCs w:val="22"/>
          <w:lang w:val="sr-Latn-ME"/>
        </w:rPr>
        <w:t xml:space="preserve">obuhvataju anafilaksu, angioedem i eksfolijativna stanja kože uključujući i </w:t>
      </w:r>
      <w:r w:rsidRPr="001870F3">
        <w:rPr>
          <w:rFonts w:eastAsia="TimesNewRoman"/>
          <w:i/>
          <w:szCs w:val="22"/>
          <w:lang w:val="sr-Latn-ME"/>
        </w:rPr>
        <w:t>Stevens-Johnson</w:t>
      </w:r>
      <w:r w:rsidRPr="001870F3">
        <w:rPr>
          <w:rFonts w:eastAsia="TimesNewRoman"/>
          <w:szCs w:val="22"/>
          <w:lang w:val="sr-Latn-ME"/>
        </w:rPr>
        <w:t>-ov sindrom. Ove</w:t>
      </w:r>
      <w:r w:rsidR="005605A1" w:rsidRPr="001870F3">
        <w:rPr>
          <w:rFonts w:eastAsia="TimesNewRoman"/>
          <w:szCs w:val="22"/>
          <w:lang w:val="sr-Latn-ME"/>
        </w:rPr>
        <w:t xml:space="preserve"> </w:t>
      </w:r>
      <w:r w:rsidRPr="001870F3">
        <w:rPr>
          <w:rFonts w:eastAsia="TimesNewRoman"/>
          <w:szCs w:val="22"/>
          <w:lang w:val="sr-Latn-ME"/>
        </w:rPr>
        <w:t>reakcije su se javile u prva 3 m</w:t>
      </w:r>
      <w:r w:rsidR="00C10C4B" w:rsidRPr="001870F3">
        <w:rPr>
          <w:rFonts w:eastAsia="TimesNewRoman"/>
          <w:szCs w:val="22"/>
          <w:lang w:val="sr-Latn-ME"/>
        </w:rPr>
        <w:t>j</w:t>
      </w:r>
      <w:r w:rsidRPr="001870F3">
        <w:rPr>
          <w:rFonts w:eastAsia="TimesNewRoman"/>
          <w:szCs w:val="22"/>
          <w:lang w:val="sr-Latn-ME"/>
        </w:rPr>
        <w:t>eseca po uvođenju terapije sitagliptinom, pri čemu su se neke reakcije javile posl</w:t>
      </w:r>
      <w:r w:rsidR="00C10C4B" w:rsidRPr="001870F3">
        <w:rPr>
          <w:rFonts w:eastAsia="TimesNewRoman"/>
          <w:szCs w:val="22"/>
          <w:lang w:val="sr-Latn-ME"/>
        </w:rPr>
        <w:t>ij</w:t>
      </w:r>
      <w:r w:rsidRPr="001870F3">
        <w:rPr>
          <w:rFonts w:eastAsia="TimesNewRoman"/>
          <w:szCs w:val="22"/>
          <w:lang w:val="sr-Latn-ME"/>
        </w:rPr>
        <w:t>e</w:t>
      </w:r>
      <w:r w:rsidR="005605A1" w:rsidRPr="001870F3">
        <w:rPr>
          <w:rFonts w:eastAsia="TimesNewRoman"/>
          <w:szCs w:val="22"/>
          <w:lang w:val="sr-Latn-ME"/>
        </w:rPr>
        <w:t xml:space="preserve"> </w:t>
      </w:r>
      <w:r w:rsidRPr="001870F3">
        <w:rPr>
          <w:rFonts w:eastAsia="TimesNewRoman"/>
          <w:szCs w:val="22"/>
          <w:lang w:val="sr-Latn-ME"/>
        </w:rPr>
        <w:t>prve doze. Ukoliko se sumnja na reakciju preos</w:t>
      </w:r>
      <w:r w:rsidR="00C10C4B" w:rsidRPr="001870F3">
        <w:rPr>
          <w:rFonts w:eastAsia="TimesNewRoman"/>
          <w:szCs w:val="22"/>
          <w:lang w:val="sr-Latn-ME"/>
        </w:rPr>
        <w:t>j</w:t>
      </w:r>
      <w:r w:rsidRPr="001870F3">
        <w:rPr>
          <w:rFonts w:eastAsia="TimesNewRoman"/>
          <w:szCs w:val="22"/>
          <w:lang w:val="sr-Latn-ME"/>
        </w:rPr>
        <w:t>etljivosti, uzimanje l</w:t>
      </w:r>
      <w:r w:rsidR="00C10C4B" w:rsidRPr="001870F3">
        <w:rPr>
          <w:rFonts w:eastAsia="TimesNewRoman"/>
          <w:szCs w:val="22"/>
          <w:lang w:val="sr-Latn-ME"/>
        </w:rPr>
        <w:t>ij</w:t>
      </w:r>
      <w:r w:rsidRPr="001870F3">
        <w:rPr>
          <w:rFonts w:eastAsia="TimesNewRoman"/>
          <w:szCs w:val="22"/>
          <w:lang w:val="sr-Latn-ME"/>
        </w:rPr>
        <w:t xml:space="preserve">eka </w:t>
      </w:r>
      <w:r w:rsidR="005605A1" w:rsidRPr="001870F3">
        <w:rPr>
          <w:rFonts w:eastAsia="TimesNewRoman"/>
          <w:szCs w:val="22"/>
          <w:lang w:val="sr-Latn-ME"/>
        </w:rPr>
        <w:lastRenderedPageBreak/>
        <w:t>Dolista Duo</w:t>
      </w:r>
      <w:r w:rsidRPr="001870F3">
        <w:rPr>
          <w:rFonts w:eastAsia="TimesNewRoman"/>
          <w:szCs w:val="22"/>
          <w:lang w:val="sr-Latn-ME"/>
        </w:rPr>
        <w:t xml:space="preserve"> b</w:t>
      </w:r>
      <w:r w:rsidR="005605A1" w:rsidRPr="001870F3">
        <w:rPr>
          <w:rFonts w:eastAsia="TimesNewRoman"/>
          <w:szCs w:val="22"/>
          <w:lang w:val="sr-Latn-ME"/>
        </w:rPr>
        <w:t xml:space="preserve">i trebalo prekinuti, trebalo bi </w:t>
      </w:r>
      <w:r w:rsidRPr="001870F3">
        <w:rPr>
          <w:rFonts w:eastAsia="TimesNewRoman"/>
          <w:szCs w:val="22"/>
          <w:lang w:val="sr-Latn-ME"/>
        </w:rPr>
        <w:t>izvršiti proc</w:t>
      </w:r>
      <w:r w:rsidR="00C10C4B" w:rsidRPr="001870F3">
        <w:rPr>
          <w:rFonts w:eastAsia="TimesNewRoman"/>
          <w:szCs w:val="22"/>
          <w:lang w:val="sr-Latn-ME"/>
        </w:rPr>
        <w:t>j</w:t>
      </w:r>
      <w:r w:rsidRPr="001870F3">
        <w:rPr>
          <w:rFonts w:eastAsia="TimesNewRoman"/>
          <w:szCs w:val="22"/>
          <w:lang w:val="sr-Latn-ME"/>
        </w:rPr>
        <w:t>enu drugih potencijalnih uzroka ove reakcije i trebalo bi uvesti alternativnu terapiju za dijabetes</w:t>
      </w:r>
      <w:r w:rsidR="005605A1" w:rsidRPr="001870F3">
        <w:rPr>
          <w:rFonts w:eastAsia="TimesNewRoman"/>
          <w:szCs w:val="22"/>
          <w:lang w:val="sr-Latn-ME"/>
        </w:rPr>
        <w:t xml:space="preserve"> </w:t>
      </w:r>
      <w:r w:rsidRPr="001870F3">
        <w:rPr>
          <w:rFonts w:eastAsia="TimesNewRoman"/>
          <w:szCs w:val="22"/>
          <w:lang w:val="sr-Latn-ME"/>
        </w:rPr>
        <w:t>(</w:t>
      </w:r>
      <w:r w:rsidR="000220E4" w:rsidRPr="001870F3">
        <w:rPr>
          <w:rFonts w:eastAsia="TimesNewRoman"/>
          <w:szCs w:val="22"/>
          <w:lang w:val="sr-Latn-ME"/>
        </w:rPr>
        <w:t>pogledati dio</w:t>
      </w:r>
      <w:r w:rsidRPr="001870F3">
        <w:rPr>
          <w:rFonts w:eastAsia="TimesNewRoman"/>
          <w:szCs w:val="22"/>
          <w:lang w:val="sr-Latn-ME"/>
        </w:rPr>
        <w:t xml:space="preserve"> 4.8).</w:t>
      </w:r>
    </w:p>
    <w:p w14:paraId="2E86A112" w14:textId="77777777" w:rsidR="00F1694A" w:rsidRPr="001870F3" w:rsidRDefault="00F1694A" w:rsidP="001870F3">
      <w:pPr>
        <w:widowControl w:val="0"/>
        <w:tabs>
          <w:tab w:val="clear" w:pos="284"/>
        </w:tabs>
        <w:autoSpaceDE w:val="0"/>
        <w:autoSpaceDN w:val="0"/>
        <w:adjustRightInd w:val="0"/>
        <w:rPr>
          <w:rFonts w:eastAsia="TimesNewRoman"/>
          <w:szCs w:val="22"/>
          <w:lang w:val="sr-Latn-ME"/>
        </w:rPr>
      </w:pPr>
    </w:p>
    <w:p w14:paraId="2E86A113" w14:textId="77777777" w:rsidR="00F1694A" w:rsidRPr="001870F3" w:rsidRDefault="00F1694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Bulozni pemfigoid</w:t>
      </w:r>
    </w:p>
    <w:p w14:paraId="2E86A114" w14:textId="0B9749D5" w:rsidR="00F1694A" w:rsidRPr="001870F3" w:rsidRDefault="0066727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Postoje post-marketinški izv</w:t>
      </w:r>
      <w:r w:rsidR="007B6487" w:rsidRPr="001870F3">
        <w:rPr>
          <w:rFonts w:eastAsia="TimesNewRoman"/>
          <w:szCs w:val="22"/>
          <w:lang w:val="sr-Latn-ME"/>
        </w:rPr>
        <w:t>j</w:t>
      </w:r>
      <w:r w:rsidRPr="001870F3">
        <w:rPr>
          <w:rFonts w:eastAsia="TimesNewRoman"/>
          <w:szCs w:val="22"/>
          <w:lang w:val="sr-Latn-ME"/>
        </w:rPr>
        <w:t xml:space="preserve">eštaji o buloznom pemfigoidu kod pacijenata koji uzimaju DPP-4 inhibitore uključujući sitagliptin. Ukoliko </w:t>
      </w:r>
      <w:r w:rsidR="00C40EB2" w:rsidRPr="001870F3">
        <w:rPr>
          <w:rFonts w:eastAsia="TimesNewRoman"/>
          <w:szCs w:val="22"/>
          <w:lang w:val="sr-Latn-ME"/>
        </w:rPr>
        <w:t>se sumnja na</w:t>
      </w:r>
      <w:r w:rsidRPr="001870F3">
        <w:rPr>
          <w:rFonts w:eastAsia="TimesNewRoman"/>
          <w:szCs w:val="22"/>
          <w:lang w:val="sr-Latn-ME"/>
        </w:rPr>
        <w:t xml:space="preserve"> bulozni pemfigoid treba prekinuti sa uzimanjem l</w:t>
      </w:r>
      <w:r w:rsidR="00C10C4B" w:rsidRPr="001870F3">
        <w:rPr>
          <w:rFonts w:eastAsia="TimesNewRoman"/>
          <w:szCs w:val="22"/>
          <w:lang w:val="sr-Latn-ME"/>
        </w:rPr>
        <w:t>ij</w:t>
      </w:r>
      <w:r w:rsidRPr="001870F3">
        <w:rPr>
          <w:rFonts w:eastAsia="TimesNewRoman"/>
          <w:szCs w:val="22"/>
          <w:lang w:val="sr-Latn-ME"/>
        </w:rPr>
        <w:t>eka Dolista Duo.</w:t>
      </w:r>
    </w:p>
    <w:p w14:paraId="2E86A115"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16"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Hirurška intervencija</w:t>
      </w:r>
    </w:p>
    <w:p w14:paraId="2E86A117" w14:textId="32CFBBB3" w:rsidR="00FC2D5A" w:rsidRPr="001870F3" w:rsidRDefault="00D55BF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w:t>
      </w:r>
      <w:r w:rsidR="00FC2D5A" w:rsidRPr="001870F3">
        <w:rPr>
          <w:rFonts w:eastAsia="TimesNewRoman"/>
          <w:szCs w:val="22"/>
          <w:lang w:val="sr-Latn-ME"/>
        </w:rPr>
        <w:t>erapiju</w:t>
      </w:r>
      <w:r w:rsidRPr="001870F3">
        <w:rPr>
          <w:rFonts w:eastAsia="TimesNewRoman"/>
          <w:szCs w:val="22"/>
          <w:lang w:val="sr-Latn-ME"/>
        </w:rPr>
        <w:t xml:space="preserve"> l</w:t>
      </w:r>
      <w:r w:rsidR="00C10C4B" w:rsidRPr="001870F3">
        <w:rPr>
          <w:rFonts w:eastAsia="TimesNewRoman"/>
          <w:szCs w:val="22"/>
          <w:lang w:val="sr-Latn-ME"/>
        </w:rPr>
        <w:t>ij</w:t>
      </w:r>
      <w:r w:rsidRPr="001870F3">
        <w:rPr>
          <w:rFonts w:eastAsia="TimesNewRoman"/>
          <w:szCs w:val="22"/>
          <w:lang w:val="sr-Latn-ME"/>
        </w:rPr>
        <w:t>ekom Dolista Duo</w:t>
      </w:r>
      <w:r w:rsidR="00FC2D5A" w:rsidRPr="001870F3">
        <w:rPr>
          <w:rFonts w:eastAsia="TimesNewRoman"/>
          <w:szCs w:val="22"/>
          <w:lang w:val="sr-Latn-ME"/>
        </w:rPr>
        <w:t xml:space="preserve"> treba</w:t>
      </w:r>
      <w:r w:rsidRPr="001870F3">
        <w:rPr>
          <w:rFonts w:eastAsia="TimesNewRoman"/>
          <w:szCs w:val="22"/>
          <w:lang w:val="sr-Latn-ME"/>
        </w:rPr>
        <w:t xml:space="preserve"> prekinuti pr</w:t>
      </w:r>
      <w:r w:rsidR="00C10C4B" w:rsidRPr="001870F3">
        <w:rPr>
          <w:rFonts w:eastAsia="TimesNewRoman"/>
          <w:szCs w:val="22"/>
          <w:lang w:val="sr-Latn-ME"/>
        </w:rPr>
        <w:t>ij</w:t>
      </w:r>
      <w:r w:rsidRPr="001870F3">
        <w:rPr>
          <w:rFonts w:eastAsia="TimesNewRoman"/>
          <w:szCs w:val="22"/>
          <w:lang w:val="sr-Latn-ME"/>
        </w:rPr>
        <w:t>e</w:t>
      </w:r>
      <w:r w:rsidR="00FC2D5A" w:rsidRPr="001870F3">
        <w:rPr>
          <w:rFonts w:eastAsia="TimesNewRoman"/>
          <w:szCs w:val="22"/>
          <w:lang w:val="sr-Latn-ME"/>
        </w:rPr>
        <w:t xml:space="preserve"> hirurške</w:t>
      </w:r>
      <w:r w:rsidRPr="001870F3">
        <w:rPr>
          <w:rFonts w:eastAsia="TimesNewRoman"/>
          <w:szCs w:val="22"/>
          <w:lang w:val="sr-Latn-ME"/>
        </w:rPr>
        <w:t xml:space="preserve"> </w:t>
      </w:r>
      <w:r w:rsidR="00FC2D5A" w:rsidRPr="001870F3">
        <w:rPr>
          <w:rFonts w:eastAsia="TimesNewRoman"/>
          <w:szCs w:val="22"/>
          <w:lang w:val="sr-Latn-ME"/>
        </w:rPr>
        <w:t>intervencije uz opštu, spinalnu ili epiduralnu anesteziju. Terapiju l</w:t>
      </w:r>
      <w:r w:rsidR="00C10C4B" w:rsidRPr="001870F3">
        <w:rPr>
          <w:rFonts w:eastAsia="TimesNewRoman"/>
          <w:szCs w:val="22"/>
          <w:lang w:val="sr-Latn-ME"/>
        </w:rPr>
        <w:t>ij</w:t>
      </w:r>
      <w:r w:rsidR="00FC2D5A" w:rsidRPr="001870F3">
        <w:rPr>
          <w:rFonts w:eastAsia="TimesNewRoman"/>
          <w:szCs w:val="22"/>
          <w:lang w:val="sr-Latn-ME"/>
        </w:rPr>
        <w:t xml:space="preserve">ekom </w:t>
      </w:r>
      <w:r w:rsidR="005605A1" w:rsidRPr="001870F3">
        <w:rPr>
          <w:rFonts w:eastAsia="TimesNewRoman"/>
          <w:szCs w:val="22"/>
          <w:lang w:val="sr-Latn-ME"/>
        </w:rPr>
        <w:t>Dolista Duo</w:t>
      </w:r>
      <w:r w:rsidR="00FC2D5A" w:rsidRPr="001870F3">
        <w:rPr>
          <w:rFonts w:eastAsia="TimesNewRoman"/>
          <w:szCs w:val="22"/>
          <w:lang w:val="sr-Latn-ME"/>
        </w:rPr>
        <w:t xml:space="preserve"> obič</w:t>
      </w:r>
      <w:r w:rsidR="005605A1" w:rsidRPr="001870F3">
        <w:rPr>
          <w:rFonts w:eastAsia="TimesNewRoman"/>
          <w:szCs w:val="22"/>
          <w:lang w:val="sr-Latn-ME"/>
        </w:rPr>
        <w:t xml:space="preserve">no </w:t>
      </w:r>
      <w:r w:rsidR="007B6487" w:rsidRPr="001870F3">
        <w:rPr>
          <w:rFonts w:eastAsia="TimesNewRoman"/>
          <w:szCs w:val="22"/>
          <w:lang w:val="sr-Latn-ME"/>
        </w:rPr>
        <w:t xml:space="preserve">ne bi trebalo </w:t>
      </w:r>
      <w:r w:rsidR="005605A1" w:rsidRPr="001870F3">
        <w:rPr>
          <w:rFonts w:eastAsia="TimesNewRoman"/>
          <w:szCs w:val="22"/>
          <w:lang w:val="sr-Latn-ME"/>
        </w:rPr>
        <w:t>nastav</w:t>
      </w:r>
      <w:r w:rsidR="007B6487" w:rsidRPr="001870F3">
        <w:rPr>
          <w:rFonts w:eastAsia="TimesNewRoman"/>
          <w:szCs w:val="22"/>
          <w:lang w:val="sr-Latn-ME"/>
        </w:rPr>
        <w:t xml:space="preserve">ljati </w:t>
      </w:r>
      <w:r w:rsidR="005605A1" w:rsidRPr="001870F3">
        <w:rPr>
          <w:rFonts w:eastAsia="TimesNewRoman"/>
          <w:szCs w:val="22"/>
          <w:lang w:val="sr-Latn-ME"/>
        </w:rPr>
        <w:t>pr</w:t>
      </w:r>
      <w:r w:rsidR="00C10C4B" w:rsidRPr="001870F3">
        <w:rPr>
          <w:rFonts w:eastAsia="TimesNewRoman"/>
          <w:szCs w:val="22"/>
          <w:lang w:val="sr-Latn-ME"/>
        </w:rPr>
        <w:t>ij</w:t>
      </w:r>
      <w:r w:rsidR="005605A1" w:rsidRPr="001870F3">
        <w:rPr>
          <w:rFonts w:eastAsia="TimesNewRoman"/>
          <w:szCs w:val="22"/>
          <w:lang w:val="sr-Latn-ME"/>
        </w:rPr>
        <w:t xml:space="preserve">e </w:t>
      </w:r>
      <w:r w:rsidR="00FC2D5A" w:rsidRPr="001870F3">
        <w:rPr>
          <w:rFonts w:eastAsia="TimesNewRoman"/>
          <w:szCs w:val="22"/>
          <w:lang w:val="sr-Latn-ME"/>
        </w:rPr>
        <w:t>isteka 48 sati nakon intervencije i</w:t>
      </w:r>
      <w:r w:rsidR="00037C26" w:rsidRPr="001870F3">
        <w:rPr>
          <w:rFonts w:eastAsia="TimesNewRoman"/>
          <w:szCs w:val="22"/>
          <w:lang w:val="sr-Latn-ME"/>
        </w:rPr>
        <w:t>li nastavka oralne ishrane i</w:t>
      </w:r>
      <w:r w:rsidR="00FC2D5A" w:rsidRPr="001870F3">
        <w:rPr>
          <w:rFonts w:eastAsia="TimesNewRoman"/>
          <w:szCs w:val="22"/>
          <w:lang w:val="sr-Latn-ME"/>
        </w:rPr>
        <w:t xml:space="preserve"> to tek nakon što se ponovo proc</w:t>
      </w:r>
      <w:r w:rsidR="00E936B4" w:rsidRPr="001870F3">
        <w:rPr>
          <w:rFonts w:eastAsia="TimesNewRoman"/>
          <w:szCs w:val="22"/>
          <w:lang w:val="sr-Latn-ME"/>
        </w:rPr>
        <w:t>i</w:t>
      </w:r>
      <w:r w:rsidR="00C10C4B" w:rsidRPr="001870F3">
        <w:rPr>
          <w:rFonts w:eastAsia="TimesNewRoman"/>
          <w:szCs w:val="22"/>
          <w:lang w:val="sr-Latn-ME"/>
        </w:rPr>
        <w:t>j</w:t>
      </w:r>
      <w:r w:rsidR="00FC2D5A" w:rsidRPr="001870F3">
        <w:rPr>
          <w:rFonts w:eastAsia="TimesNewRoman"/>
          <w:szCs w:val="22"/>
          <w:lang w:val="sr-Latn-ME"/>
        </w:rPr>
        <w:t>eni funkcija bubrega i konstatuje se da je</w:t>
      </w:r>
      <w:r w:rsidR="005605A1" w:rsidRPr="001870F3">
        <w:rPr>
          <w:rFonts w:eastAsia="TimesNewRoman"/>
          <w:szCs w:val="22"/>
          <w:lang w:val="sr-Latn-ME"/>
        </w:rPr>
        <w:t xml:space="preserve"> </w:t>
      </w:r>
      <w:r w:rsidR="00FC2D5A" w:rsidRPr="001870F3">
        <w:rPr>
          <w:rFonts w:eastAsia="TimesNewRoman"/>
          <w:szCs w:val="22"/>
          <w:lang w:val="sr-Latn-ME"/>
        </w:rPr>
        <w:t>normalna</w:t>
      </w:r>
      <w:r w:rsidR="005605A1" w:rsidRPr="001870F3">
        <w:rPr>
          <w:rFonts w:eastAsia="TimesNewRoman"/>
          <w:szCs w:val="22"/>
          <w:lang w:val="sr-Latn-ME"/>
        </w:rPr>
        <w:t>.</w:t>
      </w:r>
    </w:p>
    <w:p w14:paraId="2E86A118"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19"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Prim</w:t>
      </w:r>
      <w:r w:rsidR="00C10C4B" w:rsidRPr="001870F3">
        <w:rPr>
          <w:rFonts w:eastAsia="TimesNewRoman"/>
          <w:szCs w:val="22"/>
          <w:u w:val="single"/>
          <w:lang w:val="sr-Latn-ME"/>
        </w:rPr>
        <w:t>j</w:t>
      </w:r>
      <w:r w:rsidRPr="001870F3">
        <w:rPr>
          <w:rFonts w:eastAsia="TimesNewRoman"/>
          <w:szCs w:val="22"/>
          <w:u w:val="single"/>
          <w:lang w:val="sr-Latn-ME"/>
        </w:rPr>
        <w:t>ena kontrastnog sredstva na bazi joda</w:t>
      </w:r>
    </w:p>
    <w:p w14:paraId="2E86A11A" w14:textId="66609678" w:rsidR="00D55BF9"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Intravaskularna prim</w:t>
      </w:r>
      <w:r w:rsidR="00C10C4B" w:rsidRPr="001870F3">
        <w:rPr>
          <w:rFonts w:eastAsia="TimesNewRoman"/>
          <w:szCs w:val="22"/>
          <w:lang w:val="sr-Latn-ME"/>
        </w:rPr>
        <w:t>j</w:t>
      </w:r>
      <w:r w:rsidRPr="001870F3">
        <w:rPr>
          <w:rFonts w:eastAsia="TimesNewRoman"/>
          <w:szCs w:val="22"/>
          <w:lang w:val="sr-Latn-ME"/>
        </w:rPr>
        <w:t>ena kontrastnog sredstva na b</w:t>
      </w:r>
      <w:r w:rsidR="00D55BF9" w:rsidRPr="001870F3">
        <w:rPr>
          <w:rFonts w:eastAsia="TimesNewRoman"/>
          <w:szCs w:val="22"/>
          <w:lang w:val="sr-Latn-ME"/>
        </w:rPr>
        <w:t>azi joda</w:t>
      </w:r>
      <w:r w:rsidRPr="001870F3">
        <w:rPr>
          <w:rFonts w:eastAsia="TimesNewRoman"/>
          <w:szCs w:val="22"/>
          <w:lang w:val="sr-Latn-ME"/>
        </w:rPr>
        <w:t xml:space="preserve"> može dovesti do </w:t>
      </w:r>
      <w:r w:rsidR="00D55BF9" w:rsidRPr="001870F3">
        <w:rPr>
          <w:rFonts w:eastAsia="TimesNewRoman"/>
          <w:szCs w:val="22"/>
          <w:lang w:val="sr-Latn-ME"/>
        </w:rPr>
        <w:t>pojave nefropatije, koja ima kao posl</w:t>
      </w:r>
      <w:r w:rsidR="00E936B4" w:rsidRPr="001870F3">
        <w:rPr>
          <w:rFonts w:eastAsia="TimesNewRoman"/>
          <w:szCs w:val="22"/>
          <w:lang w:val="sr-Latn-ME"/>
        </w:rPr>
        <w:t>j</w:t>
      </w:r>
      <w:r w:rsidR="00D55BF9" w:rsidRPr="001870F3">
        <w:rPr>
          <w:rFonts w:eastAsia="TimesNewRoman"/>
          <w:szCs w:val="22"/>
          <w:lang w:val="sr-Latn-ME"/>
        </w:rPr>
        <w:t>edicu akumulaciju metformina i povećan rizik od laktoacidoze. Sa prim</w:t>
      </w:r>
      <w:r w:rsidR="00C10C4B" w:rsidRPr="001870F3">
        <w:rPr>
          <w:rFonts w:eastAsia="TimesNewRoman"/>
          <w:szCs w:val="22"/>
          <w:lang w:val="sr-Latn-ME"/>
        </w:rPr>
        <w:t>j</w:t>
      </w:r>
      <w:r w:rsidR="00D55BF9" w:rsidRPr="001870F3">
        <w:rPr>
          <w:rFonts w:eastAsia="TimesNewRoman"/>
          <w:szCs w:val="22"/>
          <w:lang w:val="sr-Latn-ME"/>
        </w:rPr>
        <w:t>enom l</w:t>
      </w:r>
      <w:r w:rsidR="00C10C4B" w:rsidRPr="001870F3">
        <w:rPr>
          <w:rFonts w:eastAsia="TimesNewRoman"/>
          <w:szCs w:val="22"/>
          <w:lang w:val="sr-Latn-ME"/>
        </w:rPr>
        <w:t>ij</w:t>
      </w:r>
      <w:r w:rsidR="00D55BF9" w:rsidRPr="001870F3">
        <w:rPr>
          <w:rFonts w:eastAsia="TimesNewRoman"/>
          <w:szCs w:val="22"/>
          <w:lang w:val="sr-Latn-ME"/>
        </w:rPr>
        <w:t>eka Dolista Duo treba prestati pr</w:t>
      </w:r>
      <w:r w:rsidR="00C10C4B" w:rsidRPr="001870F3">
        <w:rPr>
          <w:rFonts w:eastAsia="TimesNewRoman"/>
          <w:szCs w:val="22"/>
          <w:lang w:val="sr-Latn-ME"/>
        </w:rPr>
        <w:t>ij</w:t>
      </w:r>
      <w:r w:rsidR="00D55BF9" w:rsidRPr="001870F3">
        <w:rPr>
          <w:rFonts w:eastAsia="TimesNewRoman"/>
          <w:szCs w:val="22"/>
          <w:lang w:val="sr-Latn-ME"/>
        </w:rPr>
        <w:t>e ili za vr</w:t>
      </w:r>
      <w:r w:rsidR="00C10C4B" w:rsidRPr="001870F3">
        <w:rPr>
          <w:rFonts w:eastAsia="TimesNewRoman"/>
          <w:szCs w:val="22"/>
          <w:lang w:val="sr-Latn-ME"/>
        </w:rPr>
        <w:t>ij</w:t>
      </w:r>
      <w:r w:rsidR="00D55BF9" w:rsidRPr="001870F3">
        <w:rPr>
          <w:rFonts w:eastAsia="TimesNewRoman"/>
          <w:szCs w:val="22"/>
          <w:lang w:val="sr-Latn-ME"/>
        </w:rPr>
        <w:t>eme pr</w:t>
      </w:r>
      <w:r w:rsidR="006E1037" w:rsidRPr="001870F3">
        <w:rPr>
          <w:rFonts w:eastAsia="TimesNewRoman"/>
          <w:szCs w:val="22"/>
          <w:lang w:val="sr-Latn-ME"/>
        </w:rPr>
        <w:t>egleda</w:t>
      </w:r>
      <w:r w:rsidR="00D55BF9" w:rsidRPr="001870F3">
        <w:rPr>
          <w:rFonts w:eastAsia="TimesNewRoman"/>
          <w:szCs w:val="22"/>
          <w:lang w:val="sr-Latn-ME"/>
        </w:rPr>
        <w:t xml:space="preserve"> i ne </w:t>
      </w:r>
      <w:r w:rsidR="006E1037" w:rsidRPr="001870F3">
        <w:rPr>
          <w:rFonts w:eastAsia="TimesNewRoman"/>
          <w:szCs w:val="22"/>
          <w:lang w:val="sr-Latn-ME"/>
        </w:rPr>
        <w:t>uvoditi ponovo l</w:t>
      </w:r>
      <w:r w:rsidR="00C10C4B" w:rsidRPr="001870F3">
        <w:rPr>
          <w:rFonts w:eastAsia="TimesNewRoman"/>
          <w:szCs w:val="22"/>
          <w:lang w:val="sr-Latn-ME"/>
        </w:rPr>
        <w:t>ij</w:t>
      </w:r>
      <w:r w:rsidR="006E1037" w:rsidRPr="001870F3">
        <w:rPr>
          <w:rFonts w:eastAsia="TimesNewRoman"/>
          <w:szCs w:val="22"/>
          <w:lang w:val="sr-Latn-ME"/>
        </w:rPr>
        <w:t>ek</w:t>
      </w:r>
      <w:r w:rsidR="00D55BF9" w:rsidRPr="001870F3">
        <w:rPr>
          <w:rFonts w:eastAsia="TimesNewRoman"/>
          <w:szCs w:val="22"/>
          <w:lang w:val="sr-Latn-ME"/>
        </w:rPr>
        <w:t xml:space="preserve"> </w:t>
      </w:r>
      <w:r w:rsidR="006E1037" w:rsidRPr="001870F3">
        <w:rPr>
          <w:rFonts w:eastAsia="TimesNewRoman"/>
          <w:szCs w:val="22"/>
          <w:lang w:val="sr-Latn-ME"/>
        </w:rPr>
        <w:t>pr</w:t>
      </w:r>
      <w:r w:rsidR="00C10C4B" w:rsidRPr="001870F3">
        <w:rPr>
          <w:rFonts w:eastAsia="TimesNewRoman"/>
          <w:szCs w:val="22"/>
          <w:lang w:val="sr-Latn-ME"/>
        </w:rPr>
        <w:t>ij</w:t>
      </w:r>
      <w:r w:rsidR="006E1037" w:rsidRPr="001870F3">
        <w:rPr>
          <w:rFonts w:eastAsia="TimesNewRoman"/>
          <w:szCs w:val="22"/>
          <w:lang w:val="sr-Latn-ME"/>
        </w:rPr>
        <w:t>e isteka</w:t>
      </w:r>
      <w:r w:rsidR="00D55BF9" w:rsidRPr="001870F3">
        <w:rPr>
          <w:rFonts w:eastAsia="TimesNewRoman"/>
          <w:szCs w:val="22"/>
          <w:lang w:val="sr-Latn-ME"/>
        </w:rPr>
        <w:t xml:space="preserve"> 48 sati </w:t>
      </w:r>
      <w:r w:rsidR="006E1037" w:rsidRPr="001870F3">
        <w:rPr>
          <w:rFonts w:eastAsia="TimesNewRoman"/>
          <w:szCs w:val="22"/>
          <w:lang w:val="sr-Latn-ME"/>
        </w:rPr>
        <w:t>od pregleda, i tek nakon što se ponovo proc</w:t>
      </w:r>
      <w:r w:rsidR="00F91471" w:rsidRPr="001870F3">
        <w:rPr>
          <w:rFonts w:eastAsia="TimesNewRoman"/>
          <w:szCs w:val="22"/>
          <w:lang w:val="sr-Latn-ME"/>
        </w:rPr>
        <w:t>ij</w:t>
      </w:r>
      <w:r w:rsidR="006E1037" w:rsidRPr="001870F3">
        <w:rPr>
          <w:rFonts w:eastAsia="TimesNewRoman"/>
          <w:szCs w:val="22"/>
          <w:lang w:val="sr-Latn-ME"/>
        </w:rPr>
        <w:t>eni funkcija bubrega i konstatuje se da je normalna (vid</w:t>
      </w:r>
      <w:r w:rsidR="00C10C4B" w:rsidRPr="001870F3">
        <w:rPr>
          <w:rFonts w:eastAsia="TimesNewRoman"/>
          <w:szCs w:val="22"/>
          <w:lang w:val="sr-Latn-ME"/>
        </w:rPr>
        <w:t>j</w:t>
      </w:r>
      <w:r w:rsidR="006E1037" w:rsidRPr="001870F3">
        <w:rPr>
          <w:rFonts w:eastAsia="TimesNewRoman"/>
          <w:szCs w:val="22"/>
          <w:lang w:val="sr-Latn-ME"/>
        </w:rPr>
        <w:t xml:space="preserve">eti </w:t>
      </w:r>
      <w:r w:rsidR="00200B67" w:rsidRPr="001870F3">
        <w:rPr>
          <w:rFonts w:eastAsia="TimesNewRoman"/>
          <w:szCs w:val="22"/>
          <w:lang w:val="sr-Latn-ME"/>
        </w:rPr>
        <w:t>d</w:t>
      </w:r>
      <w:r w:rsidR="00037C26" w:rsidRPr="001870F3">
        <w:rPr>
          <w:rFonts w:eastAsia="TimesNewRoman"/>
          <w:szCs w:val="22"/>
          <w:lang w:val="sr-Latn-ME"/>
        </w:rPr>
        <w:t>jelove</w:t>
      </w:r>
      <w:r w:rsidR="006E1037" w:rsidRPr="001870F3">
        <w:rPr>
          <w:rFonts w:eastAsia="TimesNewRoman"/>
          <w:szCs w:val="22"/>
          <w:lang w:val="sr-Latn-ME"/>
        </w:rPr>
        <w:t xml:space="preserve"> 4.3 i 4.5).</w:t>
      </w:r>
    </w:p>
    <w:p w14:paraId="2E86A11B"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1C"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Prom</w:t>
      </w:r>
      <w:r w:rsidR="00C10C4B" w:rsidRPr="001870F3">
        <w:rPr>
          <w:rFonts w:eastAsia="TimesNewRoman"/>
          <w:szCs w:val="22"/>
          <w:u w:val="single"/>
          <w:lang w:val="sr-Latn-ME"/>
        </w:rPr>
        <w:t>j</w:t>
      </w:r>
      <w:r w:rsidRPr="001870F3">
        <w:rPr>
          <w:rFonts w:eastAsia="TimesNewRoman"/>
          <w:szCs w:val="22"/>
          <w:u w:val="single"/>
          <w:lang w:val="sr-Latn-ME"/>
        </w:rPr>
        <w:t>ena kliničkog statusa kod pacijenata sa ranije kontrolisanim dijabetesom tip 2</w:t>
      </w:r>
    </w:p>
    <w:p w14:paraId="2E86A11D" w14:textId="0E9C1FEA"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pacijenta sa dijabetesom tip 2 koji je ranije bio dobro kontrolisan l</w:t>
      </w:r>
      <w:r w:rsidR="00C10C4B" w:rsidRPr="001870F3">
        <w:rPr>
          <w:rFonts w:eastAsia="TimesNewRoman"/>
          <w:szCs w:val="22"/>
          <w:lang w:val="sr-Latn-ME"/>
        </w:rPr>
        <w:t>ij</w:t>
      </w:r>
      <w:r w:rsidRPr="001870F3">
        <w:rPr>
          <w:rFonts w:eastAsia="TimesNewRoman"/>
          <w:szCs w:val="22"/>
          <w:lang w:val="sr-Latn-ME"/>
        </w:rPr>
        <w:t xml:space="preserve">ekom </w:t>
      </w:r>
      <w:r w:rsidR="005605A1" w:rsidRPr="001870F3">
        <w:rPr>
          <w:rFonts w:eastAsia="TimesNewRoman"/>
          <w:szCs w:val="22"/>
          <w:lang w:val="sr-Latn-ME"/>
        </w:rPr>
        <w:t>Dolista Duo</w:t>
      </w:r>
      <w:r w:rsidRPr="001870F3">
        <w:rPr>
          <w:rFonts w:eastAsia="TimesNewRoman"/>
          <w:szCs w:val="22"/>
          <w:lang w:val="sr-Latn-ME"/>
        </w:rPr>
        <w:t xml:space="preserve"> i kod kojeg su se razvile</w:t>
      </w:r>
      <w:r w:rsidR="005605A1" w:rsidRPr="001870F3">
        <w:rPr>
          <w:rFonts w:eastAsia="TimesNewRoman"/>
          <w:szCs w:val="22"/>
          <w:lang w:val="sr-Latn-ME"/>
        </w:rPr>
        <w:t xml:space="preserve"> </w:t>
      </w:r>
      <w:r w:rsidRPr="001870F3">
        <w:rPr>
          <w:rFonts w:eastAsia="TimesNewRoman"/>
          <w:szCs w:val="22"/>
          <w:lang w:val="sr-Latn-ME"/>
        </w:rPr>
        <w:t>atipične laboratorijske vr</w:t>
      </w:r>
      <w:r w:rsidR="00C10C4B" w:rsidRPr="001870F3">
        <w:rPr>
          <w:rFonts w:eastAsia="TimesNewRoman"/>
          <w:szCs w:val="22"/>
          <w:lang w:val="sr-Latn-ME"/>
        </w:rPr>
        <w:t>ij</w:t>
      </w:r>
      <w:r w:rsidRPr="001870F3">
        <w:rPr>
          <w:rFonts w:eastAsia="TimesNewRoman"/>
          <w:szCs w:val="22"/>
          <w:lang w:val="sr-Latn-ME"/>
        </w:rPr>
        <w:t>ednosti ili kliničko oboljenje (naročito neodređe</w:t>
      </w:r>
      <w:r w:rsidR="007D46B0" w:rsidRPr="001870F3">
        <w:rPr>
          <w:rFonts w:eastAsia="TimesNewRoman"/>
          <w:szCs w:val="22"/>
          <w:lang w:val="sr-Latn-ME"/>
        </w:rPr>
        <w:t>na ili nedovoljno defini</w:t>
      </w:r>
      <w:r w:rsidRPr="001870F3">
        <w:rPr>
          <w:rFonts w:eastAsia="TimesNewRoman"/>
          <w:szCs w:val="22"/>
          <w:lang w:val="sr-Latn-ME"/>
        </w:rPr>
        <w:t>sana bolest)</w:t>
      </w:r>
      <w:r w:rsidR="005605A1" w:rsidRPr="001870F3">
        <w:rPr>
          <w:rFonts w:eastAsia="TimesNewRoman"/>
          <w:szCs w:val="22"/>
          <w:lang w:val="sr-Latn-ME"/>
        </w:rPr>
        <w:t xml:space="preserve"> </w:t>
      </w:r>
      <w:r w:rsidRPr="001870F3">
        <w:rPr>
          <w:rFonts w:eastAsia="TimesNewRoman"/>
          <w:szCs w:val="22"/>
          <w:lang w:val="sr-Latn-ME"/>
        </w:rPr>
        <w:t>treba odmah izvršiti evaluaciju radi otkrivanja znakova ketoacidoze ili laktoaci</w:t>
      </w:r>
      <w:r w:rsidR="005605A1" w:rsidRPr="001870F3">
        <w:rPr>
          <w:rFonts w:eastAsia="TimesNewRoman"/>
          <w:szCs w:val="22"/>
          <w:lang w:val="sr-Latn-ME"/>
        </w:rPr>
        <w:t>doze. Proc</w:t>
      </w:r>
      <w:r w:rsidR="00C10C4B" w:rsidRPr="001870F3">
        <w:rPr>
          <w:rFonts w:eastAsia="TimesNewRoman"/>
          <w:szCs w:val="22"/>
          <w:lang w:val="sr-Latn-ME"/>
        </w:rPr>
        <w:t>j</w:t>
      </w:r>
      <w:r w:rsidR="005605A1" w:rsidRPr="001870F3">
        <w:rPr>
          <w:rFonts w:eastAsia="TimesNewRoman"/>
          <w:szCs w:val="22"/>
          <w:lang w:val="sr-Latn-ME"/>
        </w:rPr>
        <w:t xml:space="preserve">ena treba da obuhvati </w:t>
      </w:r>
      <w:r w:rsidRPr="001870F3">
        <w:rPr>
          <w:rFonts w:eastAsia="TimesNewRoman"/>
          <w:szCs w:val="22"/>
          <w:lang w:val="sr-Latn-ME"/>
        </w:rPr>
        <w:t>serumske elektrolite i ketone, šećer u krvi i, ukoliko je indikovano, pH vr</w:t>
      </w:r>
      <w:r w:rsidR="00C10C4B" w:rsidRPr="001870F3">
        <w:rPr>
          <w:rFonts w:eastAsia="TimesNewRoman"/>
          <w:szCs w:val="22"/>
          <w:lang w:val="sr-Latn-ME"/>
        </w:rPr>
        <w:t>ij</w:t>
      </w:r>
      <w:r w:rsidRPr="001870F3">
        <w:rPr>
          <w:rFonts w:eastAsia="TimesNewRoman"/>
          <w:szCs w:val="22"/>
          <w:lang w:val="sr-Latn-ME"/>
        </w:rPr>
        <w:t xml:space="preserve">ednost krvi, nivoe laktata, piruvata </w:t>
      </w:r>
      <w:r w:rsidR="005605A1" w:rsidRPr="001870F3">
        <w:rPr>
          <w:rFonts w:eastAsia="TimesNewRoman"/>
          <w:szCs w:val="22"/>
          <w:lang w:val="sr-Latn-ME"/>
        </w:rPr>
        <w:t xml:space="preserve">i </w:t>
      </w:r>
      <w:r w:rsidRPr="001870F3">
        <w:rPr>
          <w:rFonts w:eastAsia="TimesNewRoman"/>
          <w:szCs w:val="22"/>
          <w:lang w:val="sr-Latn-ME"/>
        </w:rPr>
        <w:t>metformina. Ukoliko se javi acidoza u bilo kom obliku, treba odmah prekinuti terapiju l</w:t>
      </w:r>
      <w:r w:rsidR="00C10C4B" w:rsidRPr="001870F3">
        <w:rPr>
          <w:rFonts w:eastAsia="TimesNewRoman"/>
          <w:szCs w:val="22"/>
          <w:lang w:val="sr-Latn-ME"/>
        </w:rPr>
        <w:t>ij</w:t>
      </w:r>
      <w:r w:rsidRPr="001870F3">
        <w:rPr>
          <w:rFonts w:eastAsia="TimesNewRoman"/>
          <w:szCs w:val="22"/>
          <w:lang w:val="sr-Latn-ME"/>
        </w:rPr>
        <w:t xml:space="preserve">ekom </w:t>
      </w:r>
      <w:r w:rsidR="005605A1" w:rsidRPr="001870F3">
        <w:rPr>
          <w:rFonts w:eastAsia="TimesNewRoman"/>
          <w:szCs w:val="22"/>
          <w:lang w:val="sr-Latn-ME"/>
        </w:rPr>
        <w:t>Dolista Duo</w:t>
      </w:r>
      <w:r w:rsidRPr="001870F3">
        <w:rPr>
          <w:rFonts w:eastAsia="TimesNewRoman"/>
          <w:szCs w:val="22"/>
          <w:lang w:val="sr-Latn-ME"/>
        </w:rPr>
        <w:t xml:space="preserve"> i uvesti</w:t>
      </w:r>
      <w:r w:rsidR="005605A1" w:rsidRPr="001870F3">
        <w:rPr>
          <w:rFonts w:eastAsia="TimesNewRoman"/>
          <w:szCs w:val="22"/>
          <w:lang w:val="sr-Latn-ME"/>
        </w:rPr>
        <w:t xml:space="preserve"> </w:t>
      </w:r>
      <w:r w:rsidRPr="001870F3">
        <w:rPr>
          <w:rFonts w:eastAsia="TimesNewRoman"/>
          <w:szCs w:val="22"/>
          <w:lang w:val="sr-Latn-ME"/>
        </w:rPr>
        <w:t>druge odgovarajuće korektivne m</w:t>
      </w:r>
      <w:r w:rsidR="00C10C4B" w:rsidRPr="001870F3">
        <w:rPr>
          <w:rFonts w:eastAsia="TimesNewRoman"/>
          <w:szCs w:val="22"/>
          <w:lang w:val="sr-Latn-ME"/>
        </w:rPr>
        <w:t>j</w:t>
      </w:r>
      <w:r w:rsidRPr="001870F3">
        <w:rPr>
          <w:rFonts w:eastAsia="TimesNewRoman"/>
          <w:szCs w:val="22"/>
          <w:lang w:val="sr-Latn-ME"/>
        </w:rPr>
        <w:t>ere.</w:t>
      </w:r>
    </w:p>
    <w:p w14:paraId="16810C6F" w14:textId="6FC6A92E" w:rsidR="00B723A5" w:rsidRPr="001870F3" w:rsidRDefault="00B723A5" w:rsidP="001870F3">
      <w:pPr>
        <w:widowControl w:val="0"/>
        <w:tabs>
          <w:tab w:val="clear" w:pos="284"/>
        </w:tabs>
        <w:autoSpaceDE w:val="0"/>
        <w:autoSpaceDN w:val="0"/>
        <w:adjustRightInd w:val="0"/>
        <w:rPr>
          <w:rFonts w:eastAsia="TimesNewRoman"/>
          <w:szCs w:val="22"/>
          <w:lang w:val="sr-Latn-ME"/>
        </w:rPr>
      </w:pPr>
    </w:p>
    <w:p w14:paraId="3573CFB2" w14:textId="77777777" w:rsidR="008D08F2" w:rsidRPr="001870F3" w:rsidRDefault="008D08F2" w:rsidP="001870F3">
      <w:pPr>
        <w:widowControl w:val="0"/>
        <w:overflowPunct w:val="0"/>
        <w:autoSpaceDE w:val="0"/>
        <w:autoSpaceDN w:val="0"/>
        <w:adjustRightInd w:val="0"/>
        <w:textAlignment w:val="baseline"/>
        <w:rPr>
          <w:szCs w:val="22"/>
          <w:u w:val="single"/>
          <w:lang w:val="sr-Latn-ME"/>
        </w:rPr>
      </w:pPr>
      <w:r w:rsidRPr="001870F3">
        <w:rPr>
          <w:szCs w:val="22"/>
          <w:u w:val="single"/>
          <w:lang w:val="sr-Latn-ME"/>
        </w:rPr>
        <w:t>Nedostatak vitamina B12</w:t>
      </w:r>
    </w:p>
    <w:p w14:paraId="36F3BE00" w14:textId="366BB856" w:rsidR="008D08F2" w:rsidRPr="001870F3" w:rsidRDefault="008D08F2" w:rsidP="001870F3">
      <w:pPr>
        <w:widowControl w:val="0"/>
        <w:tabs>
          <w:tab w:val="clear" w:pos="284"/>
        </w:tabs>
        <w:autoSpaceDE w:val="0"/>
        <w:autoSpaceDN w:val="0"/>
        <w:adjustRightInd w:val="0"/>
        <w:rPr>
          <w:lang w:val="sr-Latn-ME"/>
        </w:rPr>
      </w:pPr>
      <w:r w:rsidRPr="001870F3">
        <w:rPr>
          <w:szCs w:val="22"/>
          <w:lang w:val="sr-Latn-ME"/>
        </w:rPr>
        <w:t xml:space="preserve">Metformin može smanjiti </w:t>
      </w:r>
      <w:r w:rsidRPr="001870F3">
        <w:rPr>
          <w:lang w:val="sr-Latn-ME"/>
        </w:rPr>
        <w:t>koncentraciju</w:t>
      </w:r>
      <w:r w:rsidRPr="001870F3">
        <w:rPr>
          <w:szCs w:val="22"/>
          <w:lang w:val="sr-Latn-ME"/>
        </w:rPr>
        <w:t xml:space="preserve"> vitamina </w:t>
      </w:r>
      <w:r w:rsidRPr="001870F3">
        <w:rPr>
          <w:lang w:val="sr-Latn-ME"/>
        </w:rPr>
        <w:t>B</w:t>
      </w:r>
      <w:r w:rsidRPr="001870F3">
        <w:rPr>
          <w:vertAlign w:val="subscript"/>
          <w:lang w:val="sr-Latn-ME"/>
        </w:rPr>
        <w:t>12</w:t>
      </w:r>
      <w:r w:rsidRPr="001870F3">
        <w:rPr>
          <w:szCs w:val="22"/>
          <w:lang w:val="sr-Latn-ME"/>
        </w:rPr>
        <w:t xml:space="preserve"> u serumu. Rizik od nastanka </w:t>
      </w:r>
      <w:r w:rsidRPr="001870F3">
        <w:rPr>
          <w:lang w:val="sr-Latn-ME"/>
        </w:rPr>
        <w:t xml:space="preserve">smanjene koncentracije vitamin </w:t>
      </w:r>
      <w:r w:rsidRPr="001870F3">
        <w:rPr>
          <w:szCs w:val="22"/>
          <w:lang w:val="sr-Latn-ME"/>
        </w:rPr>
        <w:t>B</w:t>
      </w:r>
      <w:r w:rsidRPr="001870F3">
        <w:rPr>
          <w:szCs w:val="22"/>
          <w:vertAlign w:val="subscript"/>
          <w:lang w:val="sr-Latn-ME"/>
        </w:rPr>
        <w:t xml:space="preserve">12 </w:t>
      </w:r>
      <w:r w:rsidRPr="001870F3">
        <w:rPr>
          <w:szCs w:val="22"/>
          <w:lang w:val="sr-Latn-ME"/>
        </w:rPr>
        <w:t>se povećava sa povećanjem doze metformina, trajanjem terapije i/ili kod pacijenata koji imaju već prisutne faktore rizika za koje je poznato da uzrokuju nedostatak vitamina B</w:t>
      </w:r>
      <w:r w:rsidRPr="001870F3">
        <w:rPr>
          <w:szCs w:val="22"/>
          <w:vertAlign w:val="subscript"/>
          <w:lang w:val="sr-Latn-ME"/>
        </w:rPr>
        <w:t>12</w:t>
      </w:r>
      <w:r w:rsidRPr="001870F3">
        <w:rPr>
          <w:szCs w:val="22"/>
          <w:lang w:val="sr-Latn-ME"/>
        </w:rPr>
        <w:t>. U slučaju sumnje na nedostatak vitamina B</w:t>
      </w:r>
      <w:r w:rsidRPr="001870F3">
        <w:rPr>
          <w:szCs w:val="22"/>
          <w:vertAlign w:val="subscript"/>
          <w:lang w:val="sr-Latn-ME"/>
        </w:rPr>
        <w:t xml:space="preserve">12 </w:t>
      </w:r>
      <w:r w:rsidRPr="001870F3">
        <w:rPr>
          <w:szCs w:val="22"/>
          <w:lang w:val="sr-Latn-ME"/>
        </w:rPr>
        <w:t xml:space="preserve">(kao što su postojanje anemije ili neuropatije), </w:t>
      </w:r>
      <w:r w:rsidRPr="001870F3">
        <w:rPr>
          <w:lang w:val="sr-Latn-ME"/>
        </w:rPr>
        <w:t xml:space="preserve">potrebno je pratiti koncentraciju </w:t>
      </w:r>
      <w:r w:rsidRPr="001870F3">
        <w:rPr>
          <w:szCs w:val="22"/>
          <w:lang w:val="sr-Latn-ME"/>
        </w:rPr>
        <w:t>vitamina B</w:t>
      </w:r>
      <w:r w:rsidRPr="001870F3">
        <w:rPr>
          <w:szCs w:val="22"/>
          <w:vertAlign w:val="subscript"/>
          <w:lang w:val="sr-Latn-ME"/>
        </w:rPr>
        <w:t xml:space="preserve">12 </w:t>
      </w:r>
      <w:r w:rsidRPr="001870F3">
        <w:rPr>
          <w:szCs w:val="22"/>
          <w:lang w:val="sr-Latn-ME"/>
        </w:rPr>
        <w:t>u serumu.</w:t>
      </w:r>
      <w:r w:rsidRPr="001870F3">
        <w:rPr>
          <w:szCs w:val="22"/>
          <w:vertAlign w:val="subscript"/>
          <w:lang w:val="sr-Latn-ME"/>
        </w:rPr>
        <w:t xml:space="preserve"> </w:t>
      </w:r>
      <w:r w:rsidRPr="001870F3">
        <w:rPr>
          <w:lang w:val="sr-Latn-ME"/>
        </w:rPr>
        <w:t>Kod pacijenata sa faktorima rizika za nedostatak vitamina B</w:t>
      </w:r>
      <w:r w:rsidRPr="001870F3">
        <w:rPr>
          <w:vertAlign w:val="subscript"/>
          <w:lang w:val="sr-Latn-ME"/>
        </w:rPr>
        <w:t>12</w:t>
      </w:r>
      <w:r w:rsidRPr="001870F3">
        <w:rPr>
          <w:lang w:val="sr-Latn-ME"/>
        </w:rPr>
        <w:t xml:space="preserve"> može biti potrebno periodično praćenje koncentracije vitamina B</w:t>
      </w:r>
      <w:r w:rsidRPr="001870F3">
        <w:rPr>
          <w:vertAlign w:val="subscript"/>
          <w:lang w:val="sr-Latn-ME"/>
        </w:rPr>
        <w:t>12</w:t>
      </w:r>
      <w:r w:rsidRPr="001870F3">
        <w:rPr>
          <w:lang w:val="sr-Latn-ME"/>
        </w:rPr>
        <w:t xml:space="preserve">. </w:t>
      </w:r>
      <w:r w:rsidRPr="001870F3">
        <w:rPr>
          <w:szCs w:val="22"/>
          <w:lang w:val="sr-Latn-ME"/>
        </w:rPr>
        <w:t>Sa terapijom metforminom treba nastaviti onoliko dugo dok se l</w:t>
      </w:r>
      <w:r w:rsidR="00115CDF" w:rsidRPr="001870F3">
        <w:rPr>
          <w:szCs w:val="22"/>
          <w:lang w:val="sr-Latn-ME"/>
        </w:rPr>
        <w:t>ij</w:t>
      </w:r>
      <w:r w:rsidRPr="001870F3">
        <w:rPr>
          <w:szCs w:val="22"/>
          <w:lang w:val="sr-Latn-ME"/>
        </w:rPr>
        <w:t xml:space="preserve">ek dobro podnosi ili </w:t>
      </w:r>
      <w:r w:rsidRPr="001870F3">
        <w:rPr>
          <w:lang w:val="sr-Latn-ME"/>
        </w:rPr>
        <w:t>dok nije kontraindikovana</w:t>
      </w:r>
      <w:r w:rsidRPr="001870F3">
        <w:rPr>
          <w:szCs w:val="22"/>
          <w:lang w:val="sr-Latn-ME"/>
        </w:rPr>
        <w:t xml:space="preserve"> kao i dok je odgovarajuća korektivna terapija </w:t>
      </w:r>
      <w:r w:rsidRPr="001870F3">
        <w:rPr>
          <w:lang w:val="sr-Latn-ME"/>
        </w:rPr>
        <w:t>za nedostatak vitamina B</w:t>
      </w:r>
      <w:r w:rsidRPr="001870F3">
        <w:rPr>
          <w:vertAlign w:val="subscript"/>
          <w:lang w:val="sr-Latn-ME"/>
        </w:rPr>
        <w:t>12</w:t>
      </w:r>
      <w:r w:rsidRPr="001870F3">
        <w:rPr>
          <w:lang w:val="sr-Latn-ME"/>
        </w:rPr>
        <w:t xml:space="preserve"> pružena u skladu sa trenutnim kliničkim vodičima.</w:t>
      </w:r>
    </w:p>
    <w:p w14:paraId="50CAA697" w14:textId="77777777" w:rsidR="008D08F2" w:rsidRPr="001870F3" w:rsidRDefault="008D08F2" w:rsidP="001870F3">
      <w:pPr>
        <w:widowControl w:val="0"/>
        <w:tabs>
          <w:tab w:val="clear" w:pos="284"/>
        </w:tabs>
        <w:autoSpaceDE w:val="0"/>
        <w:autoSpaceDN w:val="0"/>
        <w:adjustRightInd w:val="0"/>
        <w:rPr>
          <w:rFonts w:eastAsia="TimesNewRoman"/>
          <w:szCs w:val="22"/>
          <w:lang w:val="sr-Latn-ME"/>
        </w:rPr>
      </w:pPr>
    </w:p>
    <w:p w14:paraId="6CA8B527" w14:textId="77777777" w:rsidR="00B723A5" w:rsidRPr="001870F3" w:rsidRDefault="00B723A5"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Posebna upozorenja o pomoćnim supstancama</w:t>
      </w:r>
    </w:p>
    <w:p w14:paraId="52A98A1F" w14:textId="75C10261" w:rsidR="007A5886" w:rsidRPr="001870F3" w:rsidRDefault="007A5886" w:rsidP="001870F3">
      <w:pPr>
        <w:widowControl w:val="0"/>
        <w:tabs>
          <w:tab w:val="clear" w:pos="284"/>
          <w:tab w:val="left" w:pos="7450"/>
        </w:tabs>
        <w:kinsoku w:val="0"/>
        <w:overflowPunct w:val="0"/>
        <w:autoSpaceDE w:val="0"/>
        <w:autoSpaceDN w:val="0"/>
        <w:adjustRightInd w:val="0"/>
        <w:spacing w:line="250" w:lineRule="exact"/>
        <w:ind w:right="119"/>
        <w:rPr>
          <w:rFonts w:eastAsiaTheme="minorEastAsia"/>
          <w:szCs w:val="22"/>
          <w:lang w:val="sr-Latn-ME"/>
        </w:rPr>
      </w:pPr>
      <w:r w:rsidRPr="001870F3">
        <w:rPr>
          <w:rFonts w:eastAsiaTheme="minorEastAsia"/>
          <w:szCs w:val="22"/>
          <w:lang w:val="sr-Latn-ME"/>
        </w:rPr>
        <w:t>Lijek Dolista Duo, 850 mg+50 mg, film tablete sadrži 27,6 g natrijuma u jednoj tableti, što odgovara 1,38% maksimalnog dnevnog unosa od 2 g natrijuma prema preporukama SZO za odraslu osobu</w:t>
      </w:r>
    </w:p>
    <w:p w14:paraId="4D24A30C" w14:textId="77777777" w:rsidR="007A5886" w:rsidRPr="001870F3" w:rsidRDefault="007A5886" w:rsidP="001870F3">
      <w:pPr>
        <w:widowControl w:val="0"/>
        <w:tabs>
          <w:tab w:val="clear" w:pos="284"/>
          <w:tab w:val="left" w:pos="7450"/>
        </w:tabs>
        <w:kinsoku w:val="0"/>
        <w:overflowPunct w:val="0"/>
        <w:autoSpaceDE w:val="0"/>
        <w:autoSpaceDN w:val="0"/>
        <w:adjustRightInd w:val="0"/>
        <w:spacing w:line="250" w:lineRule="exact"/>
        <w:ind w:right="119"/>
        <w:rPr>
          <w:rFonts w:eastAsiaTheme="minorEastAsia"/>
          <w:szCs w:val="22"/>
          <w:lang w:val="sr-Latn-ME"/>
        </w:rPr>
      </w:pPr>
      <w:r w:rsidRPr="001870F3">
        <w:rPr>
          <w:rFonts w:eastAsiaTheme="minorEastAsia"/>
          <w:szCs w:val="22"/>
          <w:lang w:val="sr-Latn-ME"/>
        </w:rPr>
        <w:t>Lijek Dolista Duo, 1000 mg+50 mg, film tablete sadrži 32.5 g natrijuma u jednoj tableti, što odgovara 1,63% maksimalnog dnevnog unosa od 2 g natrijuma prema preporukama SZO za odraslu osobu</w:t>
      </w:r>
    </w:p>
    <w:p w14:paraId="2E86A11E"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p>
    <w:p w14:paraId="2E86A11F" w14:textId="77777777" w:rsidR="00CE09F3" w:rsidRPr="001870F3" w:rsidRDefault="00CE09F3" w:rsidP="001870F3">
      <w:pPr>
        <w:widowControl w:val="0"/>
        <w:rPr>
          <w:b/>
          <w:bCs/>
          <w:szCs w:val="22"/>
          <w:lang w:val="sr-Latn-ME"/>
        </w:rPr>
      </w:pPr>
      <w:r w:rsidRPr="001870F3">
        <w:rPr>
          <w:b/>
          <w:bCs/>
          <w:szCs w:val="22"/>
          <w:lang w:val="sr-Latn-ME"/>
        </w:rPr>
        <w:t>4.5. Interakcije sa drugim l</w:t>
      </w:r>
      <w:r w:rsidR="00C10C4B" w:rsidRPr="001870F3">
        <w:rPr>
          <w:b/>
          <w:bCs/>
          <w:szCs w:val="22"/>
          <w:lang w:val="sr-Latn-ME"/>
        </w:rPr>
        <w:t>j</w:t>
      </w:r>
      <w:r w:rsidRPr="001870F3">
        <w:rPr>
          <w:b/>
          <w:bCs/>
          <w:szCs w:val="22"/>
          <w:lang w:val="sr-Latn-ME"/>
        </w:rPr>
        <w:t>ekovima i druge vrste interakcija</w:t>
      </w:r>
    </w:p>
    <w:p w14:paraId="2E86A120" w14:textId="77777777" w:rsidR="00CE09F3" w:rsidRPr="001870F3" w:rsidRDefault="00CE09F3" w:rsidP="001870F3">
      <w:pPr>
        <w:widowControl w:val="0"/>
        <w:rPr>
          <w:szCs w:val="22"/>
          <w:lang w:val="sr-Latn-ME"/>
        </w:rPr>
      </w:pPr>
    </w:p>
    <w:p w14:paraId="2E86A121"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Istovremena prim</w:t>
      </w:r>
      <w:r w:rsidR="00C10C4B" w:rsidRPr="001870F3">
        <w:rPr>
          <w:rFonts w:eastAsia="TimesNewRoman"/>
          <w:szCs w:val="22"/>
          <w:lang w:val="sr-Latn-ME"/>
        </w:rPr>
        <w:t>j</w:t>
      </w:r>
      <w:r w:rsidRPr="001870F3">
        <w:rPr>
          <w:rFonts w:eastAsia="TimesNewRoman"/>
          <w:szCs w:val="22"/>
          <w:lang w:val="sr-Latn-ME"/>
        </w:rPr>
        <w:t>ena više doza sitagliptina (50 mg dva puta dnevno) i metformina (1000 mg dva puta dnevno) nije značajno izm</w:t>
      </w:r>
      <w:r w:rsidR="00C10C4B" w:rsidRPr="001870F3">
        <w:rPr>
          <w:rFonts w:eastAsia="TimesNewRoman"/>
          <w:szCs w:val="22"/>
          <w:lang w:val="sr-Latn-ME"/>
        </w:rPr>
        <w:t>j</w:t>
      </w:r>
      <w:r w:rsidRPr="001870F3">
        <w:rPr>
          <w:rFonts w:eastAsia="TimesNewRoman"/>
          <w:szCs w:val="22"/>
          <w:lang w:val="sr-Latn-ME"/>
        </w:rPr>
        <w:t>enila farmakokinetiku ni sitagliptina ni metformina kod pacijenata sa dijabetesom tip 2.</w:t>
      </w:r>
    </w:p>
    <w:p w14:paraId="2E86A122"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23" w14:textId="00A4C34E"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F91471" w:rsidRPr="001870F3">
        <w:rPr>
          <w:rFonts w:eastAsia="TimesNewRoman"/>
          <w:szCs w:val="22"/>
          <w:lang w:val="sr-Latn-ME"/>
        </w:rPr>
        <w:t>je</w:t>
      </w:r>
      <w:r w:rsidRPr="001870F3">
        <w:rPr>
          <w:rFonts w:eastAsia="TimesNewRoman"/>
          <w:szCs w:val="22"/>
          <w:lang w:val="sr-Latn-ME"/>
        </w:rPr>
        <w:t>su sprovođene farmakokinetičke studije interakcije l</w:t>
      </w:r>
      <w:r w:rsidR="00C10C4B" w:rsidRPr="001870F3">
        <w:rPr>
          <w:rFonts w:eastAsia="TimesNewRoman"/>
          <w:szCs w:val="22"/>
          <w:lang w:val="sr-Latn-ME"/>
        </w:rPr>
        <w:t>ij</w:t>
      </w:r>
      <w:r w:rsidRPr="001870F3">
        <w:rPr>
          <w:rFonts w:eastAsia="TimesNewRoman"/>
          <w:szCs w:val="22"/>
          <w:lang w:val="sr-Latn-ME"/>
        </w:rPr>
        <w:t xml:space="preserve">eka sa </w:t>
      </w:r>
      <w:r w:rsidR="00121440" w:rsidRPr="001870F3">
        <w:rPr>
          <w:rFonts w:eastAsia="TimesNewRoman"/>
          <w:szCs w:val="22"/>
          <w:lang w:val="sr-Latn-ME"/>
        </w:rPr>
        <w:t>kombinacijom sitagliptin/metformin</w:t>
      </w:r>
      <w:r w:rsidRPr="001870F3">
        <w:rPr>
          <w:rFonts w:eastAsia="TimesNewRoman"/>
          <w:szCs w:val="22"/>
          <w:lang w:val="sr-Latn-ME"/>
        </w:rPr>
        <w:t>; međ</w:t>
      </w:r>
      <w:r w:rsidR="008635D1" w:rsidRPr="001870F3">
        <w:rPr>
          <w:rFonts w:eastAsia="TimesNewRoman"/>
          <w:szCs w:val="22"/>
          <w:lang w:val="sr-Latn-ME"/>
        </w:rPr>
        <w:t xml:space="preserve">utim, takva ispitivanja su </w:t>
      </w:r>
      <w:r w:rsidRPr="001870F3">
        <w:rPr>
          <w:rFonts w:eastAsia="TimesNewRoman"/>
          <w:szCs w:val="22"/>
          <w:lang w:val="sr-Latn-ME"/>
        </w:rPr>
        <w:t>vršena sa pojedinačnim aktivnim supstancama</w:t>
      </w:r>
      <w:r w:rsidR="006C47B3" w:rsidRPr="001870F3">
        <w:rPr>
          <w:rFonts w:eastAsia="TimesNewRoman"/>
          <w:szCs w:val="22"/>
          <w:lang w:val="sr-Latn-ME"/>
        </w:rPr>
        <w:t xml:space="preserve">, </w:t>
      </w:r>
      <w:r w:rsidRPr="001870F3">
        <w:rPr>
          <w:rFonts w:eastAsia="TimesNewRoman"/>
          <w:szCs w:val="22"/>
          <w:lang w:val="sr-Latn-ME"/>
        </w:rPr>
        <w:t>sa sitagliptinom i metforminom.</w:t>
      </w:r>
    </w:p>
    <w:p w14:paraId="2E86A124"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25" w14:textId="77777777" w:rsidR="007A1309" w:rsidRPr="001870F3" w:rsidRDefault="007A1309"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Kombinacije čija se prim</w:t>
      </w:r>
      <w:r w:rsidR="00C10C4B" w:rsidRPr="001870F3">
        <w:rPr>
          <w:rFonts w:eastAsia="TimesNewRoman"/>
          <w:szCs w:val="22"/>
          <w:u w:val="single"/>
          <w:lang w:val="sr-Latn-ME"/>
        </w:rPr>
        <w:t>j</w:t>
      </w:r>
      <w:r w:rsidRPr="001870F3">
        <w:rPr>
          <w:rFonts w:eastAsia="TimesNewRoman"/>
          <w:szCs w:val="22"/>
          <w:u w:val="single"/>
          <w:lang w:val="sr-Latn-ME"/>
        </w:rPr>
        <w:t>ena ne preporučuje</w:t>
      </w:r>
    </w:p>
    <w:p w14:paraId="2E86A126" w14:textId="77777777" w:rsidR="007A1309" w:rsidRPr="001870F3" w:rsidRDefault="007A1309" w:rsidP="001870F3">
      <w:pPr>
        <w:widowControl w:val="0"/>
        <w:tabs>
          <w:tab w:val="clear" w:pos="284"/>
        </w:tabs>
        <w:autoSpaceDE w:val="0"/>
        <w:autoSpaceDN w:val="0"/>
        <w:adjustRightInd w:val="0"/>
        <w:rPr>
          <w:rFonts w:eastAsia="TimesNewRoman"/>
          <w:szCs w:val="22"/>
          <w:u w:val="single"/>
          <w:lang w:val="sr-Latn-ME"/>
        </w:rPr>
      </w:pPr>
    </w:p>
    <w:p w14:paraId="2E86A127" w14:textId="77777777" w:rsidR="007A1309" w:rsidRPr="001870F3" w:rsidRDefault="007A1309"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lastRenderedPageBreak/>
        <w:t>Alkohol</w:t>
      </w:r>
    </w:p>
    <w:p w14:paraId="2E86A129" w14:textId="2269E8AA" w:rsidR="007A1309" w:rsidRPr="001870F3" w:rsidRDefault="007A130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Intoksikacija alkoholom je udružena sa povećanim rizikom od nastanka laktoacidoze, posebno u slučajevima gladovanja, malnutricije ili insuficijencije jetre.</w:t>
      </w:r>
    </w:p>
    <w:p w14:paraId="540F7F5A" w14:textId="71957603" w:rsidR="0027652B" w:rsidRPr="001870F3" w:rsidRDefault="0027652B" w:rsidP="001870F3">
      <w:pPr>
        <w:widowControl w:val="0"/>
        <w:tabs>
          <w:tab w:val="clear" w:pos="284"/>
        </w:tabs>
        <w:autoSpaceDE w:val="0"/>
        <w:autoSpaceDN w:val="0"/>
        <w:adjustRightInd w:val="0"/>
        <w:rPr>
          <w:rFonts w:eastAsia="TimesNewRoman"/>
          <w:szCs w:val="22"/>
          <w:lang w:val="sr-Latn-ME"/>
        </w:rPr>
      </w:pPr>
    </w:p>
    <w:p w14:paraId="02661CC2" w14:textId="77777777" w:rsidR="0027652B" w:rsidRPr="001870F3" w:rsidRDefault="0002411C"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Jodna kontrastna sredstva</w:t>
      </w:r>
    </w:p>
    <w:p w14:paraId="2E86A12D" w14:textId="219FA336" w:rsidR="0002411C" w:rsidRPr="001870F3" w:rsidRDefault="0002411C" w:rsidP="001870F3">
      <w:pPr>
        <w:widowControl w:val="0"/>
        <w:tabs>
          <w:tab w:val="clear" w:pos="284"/>
        </w:tabs>
        <w:autoSpaceDE w:val="0"/>
        <w:autoSpaceDN w:val="0"/>
        <w:adjustRightInd w:val="0"/>
        <w:rPr>
          <w:rFonts w:eastAsia="TimesNewRoman"/>
          <w:i/>
          <w:szCs w:val="22"/>
          <w:lang w:val="sr-Latn-ME"/>
        </w:rPr>
      </w:pPr>
      <w:r w:rsidRPr="001870F3">
        <w:rPr>
          <w:rFonts w:eastAsia="TimesNewRoman"/>
          <w:szCs w:val="22"/>
          <w:lang w:val="sr-Latn-ME"/>
        </w:rPr>
        <w:t>Sa prim</w:t>
      </w:r>
      <w:r w:rsidR="00C10C4B" w:rsidRPr="001870F3">
        <w:rPr>
          <w:rFonts w:eastAsia="TimesNewRoman"/>
          <w:szCs w:val="22"/>
          <w:lang w:val="sr-Latn-ME"/>
        </w:rPr>
        <w:t>j</w:t>
      </w:r>
      <w:r w:rsidRPr="001870F3">
        <w:rPr>
          <w:rFonts w:eastAsia="TimesNewRoman"/>
          <w:szCs w:val="22"/>
          <w:lang w:val="sr-Latn-ME"/>
        </w:rPr>
        <w:t>enom l</w:t>
      </w:r>
      <w:r w:rsidR="00C10C4B" w:rsidRPr="001870F3">
        <w:rPr>
          <w:rFonts w:eastAsia="TimesNewRoman"/>
          <w:szCs w:val="22"/>
          <w:lang w:val="sr-Latn-ME"/>
        </w:rPr>
        <w:t>ij</w:t>
      </w:r>
      <w:r w:rsidRPr="001870F3">
        <w:rPr>
          <w:rFonts w:eastAsia="TimesNewRoman"/>
          <w:szCs w:val="22"/>
          <w:lang w:val="sr-Latn-ME"/>
        </w:rPr>
        <w:t>eka Dolista Duo treba prestati pr</w:t>
      </w:r>
      <w:r w:rsidR="00C10C4B" w:rsidRPr="001870F3">
        <w:rPr>
          <w:rFonts w:eastAsia="TimesNewRoman"/>
          <w:szCs w:val="22"/>
          <w:lang w:val="sr-Latn-ME"/>
        </w:rPr>
        <w:t>ij</w:t>
      </w:r>
      <w:r w:rsidRPr="001870F3">
        <w:rPr>
          <w:rFonts w:eastAsia="TimesNewRoman"/>
          <w:szCs w:val="22"/>
          <w:lang w:val="sr-Latn-ME"/>
        </w:rPr>
        <w:t>e ili za vr</w:t>
      </w:r>
      <w:r w:rsidR="00C10C4B" w:rsidRPr="001870F3">
        <w:rPr>
          <w:rFonts w:eastAsia="TimesNewRoman"/>
          <w:szCs w:val="22"/>
          <w:lang w:val="sr-Latn-ME"/>
        </w:rPr>
        <w:t>ij</w:t>
      </w:r>
      <w:r w:rsidRPr="001870F3">
        <w:rPr>
          <w:rFonts w:eastAsia="TimesNewRoman"/>
          <w:szCs w:val="22"/>
          <w:lang w:val="sr-Latn-ME"/>
        </w:rPr>
        <w:t>eme pregleda i ne uvoditi ponovo l</w:t>
      </w:r>
      <w:r w:rsidR="00C10C4B" w:rsidRPr="001870F3">
        <w:rPr>
          <w:rFonts w:eastAsia="TimesNewRoman"/>
          <w:szCs w:val="22"/>
          <w:lang w:val="sr-Latn-ME"/>
        </w:rPr>
        <w:t>ij</w:t>
      </w:r>
      <w:r w:rsidRPr="001870F3">
        <w:rPr>
          <w:rFonts w:eastAsia="TimesNewRoman"/>
          <w:szCs w:val="22"/>
          <w:lang w:val="sr-Latn-ME"/>
        </w:rPr>
        <w:t>ek pr</w:t>
      </w:r>
      <w:r w:rsidR="00C10C4B" w:rsidRPr="001870F3">
        <w:rPr>
          <w:rFonts w:eastAsia="TimesNewRoman"/>
          <w:szCs w:val="22"/>
          <w:lang w:val="sr-Latn-ME"/>
        </w:rPr>
        <w:t>ij</w:t>
      </w:r>
      <w:r w:rsidRPr="001870F3">
        <w:rPr>
          <w:rFonts w:eastAsia="TimesNewRoman"/>
          <w:szCs w:val="22"/>
          <w:lang w:val="sr-Latn-ME"/>
        </w:rPr>
        <w:t>e isteka 48 sati od pregleda, i tek nakon što se ponovo proc</w:t>
      </w:r>
      <w:r w:rsidR="00C10C4B" w:rsidRPr="001870F3">
        <w:rPr>
          <w:rFonts w:eastAsia="TimesNewRoman"/>
          <w:szCs w:val="22"/>
          <w:lang w:val="sr-Latn-ME"/>
        </w:rPr>
        <w:t>j</w:t>
      </w:r>
      <w:r w:rsidRPr="001870F3">
        <w:rPr>
          <w:rFonts w:eastAsia="TimesNewRoman"/>
          <w:szCs w:val="22"/>
          <w:lang w:val="sr-Latn-ME"/>
        </w:rPr>
        <w:t>eni funkcija bubrega i konstatuje se da je normalna (vid</w:t>
      </w:r>
      <w:r w:rsidR="00C10C4B"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w:t>
      </w:r>
      <w:r w:rsidR="000D78A3" w:rsidRPr="001870F3">
        <w:rPr>
          <w:rFonts w:eastAsia="TimesNewRoman"/>
          <w:szCs w:val="22"/>
          <w:lang w:val="sr-Latn-ME"/>
        </w:rPr>
        <w:t>jelove</w:t>
      </w:r>
      <w:r w:rsidRPr="001870F3">
        <w:rPr>
          <w:rFonts w:eastAsia="TimesNewRoman"/>
          <w:szCs w:val="22"/>
          <w:lang w:val="sr-Latn-ME"/>
        </w:rPr>
        <w:t xml:space="preserve"> 4.3 i 4.4).</w:t>
      </w:r>
    </w:p>
    <w:p w14:paraId="2E86A12E" w14:textId="77777777" w:rsidR="0002411C" w:rsidRPr="001870F3" w:rsidRDefault="0002411C" w:rsidP="001870F3">
      <w:pPr>
        <w:widowControl w:val="0"/>
        <w:tabs>
          <w:tab w:val="clear" w:pos="284"/>
        </w:tabs>
        <w:autoSpaceDE w:val="0"/>
        <w:autoSpaceDN w:val="0"/>
        <w:adjustRightInd w:val="0"/>
        <w:rPr>
          <w:rFonts w:eastAsia="TimesNewRoman"/>
          <w:szCs w:val="22"/>
          <w:lang w:val="sr-Latn-ME"/>
        </w:rPr>
      </w:pPr>
    </w:p>
    <w:p w14:paraId="2E86A12F" w14:textId="77777777" w:rsidR="007400B8" w:rsidRPr="001870F3" w:rsidRDefault="007400B8"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Kombinacije koje zaht</w:t>
      </w:r>
      <w:r w:rsidR="00C10C4B" w:rsidRPr="001870F3">
        <w:rPr>
          <w:rFonts w:eastAsia="TimesNewRoman"/>
          <w:szCs w:val="22"/>
          <w:u w:val="single"/>
          <w:lang w:val="sr-Latn-ME"/>
        </w:rPr>
        <w:t>ij</w:t>
      </w:r>
      <w:r w:rsidRPr="001870F3">
        <w:rPr>
          <w:rFonts w:eastAsia="TimesNewRoman"/>
          <w:szCs w:val="22"/>
          <w:u w:val="single"/>
          <w:lang w:val="sr-Latn-ME"/>
        </w:rPr>
        <w:t xml:space="preserve">evaju </w:t>
      </w:r>
      <w:r w:rsidR="007F67AF" w:rsidRPr="001870F3">
        <w:rPr>
          <w:rFonts w:eastAsia="TimesNewRoman"/>
          <w:szCs w:val="22"/>
          <w:u w:val="single"/>
          <w:lang w:val="sr-Latn-ME"/>
        </w:rPr>
        <w:t>m</w:t>
      </w:r>
      <w:r w:rsidR="00C10C4B" w:rsidRPr="001870F3">
        <w:rPr>
          <w:rFonts w:eastAsia="TimesNewRoman"/>
          <w:szCs w:val="22"/>
          <w:u w:val="single"/>
          <w:lang w:val="sr-Latn-ME"/>
        </w:rPr>
        <w:t>j</w:t>
      </w:r>
      <w:r w:rsidR="007F67AF" w:rsidRPr="001870F3">
        <w:rPr>
          <w:rFonts w:eastAsia="TimesNewRoman"/>
          <w:szCs w:val="22"/>
          <w:u w:val="single"/>
          <w:lang w:val="sr-Latn-ME"/>
        </w:rPr>
        <w:t xml:space="preserve">ere </w:t>
      </w:r>
      <w:r w:rsidRPr="001870F3">
        <w:rPr>
          <w:rFonts w:eastAsia="TimesNewRoman"/>
          <w:szCs w:val="22"/>
          <w:u w:val="single"/>
          <w:lang w:val="sr-Latn-ME"/>
        </w:rPr>
        <w:t>oprez</w:t>
      </w:r>
      <w:r w:rsidR="007F67AF" w:rsidRPr="001870F3">
        <w:rPr>
          <w:rFonts w:eastAsia="TimesNewRoman"/>
          <w:szCs w:val="22"/>
          <w:u w:val="single"/>
          <w:lang w:val="sr-Latn-ME"/>
        </w:rPr>
        <w:t>a</w:t>
      </w:r>
      <w:r w:rsidRPr="001870F3">
        <w:rPr>
          <w:rFonts w:eastAsia="TimesNewRoman"/>
          <w:szCs w:val="22"/>
          <w:u w:val="single"/>
          <w:lang w:val="sr-Latn-ME"/>
        </w:rPr>
        <w:t xml:space="preserve"> pri istovremenoj prim</w:t>
      </w:r>
      <w:r w:rsidR="00C10C4B" w:rsidRPr="001870F3">
        <w:rPr>
          <w:rFonts w:eastAsia="TimesNewRoman"/>
          <w:szCs w:val="22"/>
          <w:u w:val="single"/>
          <w:lang w:val="sr-Latn-ME"/>
        </w:rPr>
        <w:t>j</w:t>
      </w:r>
      <w:r w:rsidRPr="001870F3">
        <w:rPr>
          <w:rFonts w:eastAsia="TimesNewRoman"/>
          <w:szCs w:val="22"/>
          <w:u w:val="single"/>
          <w:lang w:val="sr-Latn-ME"/>
        </w:rPr>
        <w:t>eni</w:t>
      </w:r>
    </w:p>
    <w:p w14:paraId="2E86A130" w14:textId="77777777" w:rsidR="0002411C" w:rsidRPr="001870F3" w:rsidRDefault="0002411C" w:rsidP="001870F3">
      <w:pPr>
        <w:widowControl w:val="0"/>
        <w:tabs>
          <w:tab w:val="clear" w:pos="284"/>
        </w:tabs>
        <w:autoSpaceDE w:val="0"/>
        <w:autoSpaceDN w:val="0"/>
        <w:adjustRightInd w:val="0"/>
        <w:rPr>
          <w:rFonts w:eastAsia="TimesNewRoman"/>
          <w:i/>
          <w:szCs w:val="22"/>
          <w:lang w:val="sr-Latn-ME"/>
        </w:rPr>
      </w:pPr>
    </w:p>
    <w:p w14:paraId="2E86A131" w14:textId="08E11105" w:rsidR="007400B8" w:rsidRPr="001870F3" w:rsidRDefault="007400B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Neki l</w:t>
      </w:r>
      <w:r w:rsidR="00C10C4B" w:rsidRPr="001870F3">
        <w:rPr>
          <w:rFonts w:eastAsia="TimesNewRoman"/>
          <w:szCs w:val="22"/>
          <w:lang w:val="sr-Latn-ME"/>
        </w:rPr>
        <w:t>j</w:t>
      </w:r>
      <w:r w:rsidRPr="001870F3">
        <w:rPr>
          <w:rFonts w:eastAsia="TimesNewRoman"/>
          <w:szCs w:val="22"/>
          <w:lang w:val="sr-Latn-ME"/>
        </w:rPr>
        <w:t>ekovi mogu negativno da utiču na bubrežnu funkciju, što može povećati rizik od laktoacidoze, npr. NSAIL, uključujući selektivne inhibitore ciklo-oksigenaze (COX) II, ACE inhibitore, antagoniste receptora angiotenzina II i diuretike, posebno diuretike Henle-ove petlje. Kada se započinje terapija ovim l</w:t>
      </w:r>
      <w:r w:rsidR="00452FA6" w:rsidRPr="001870F3">
        <w:rPr>
          <w:rFonts w:eastAsia="TimesNewRoman"/>
          <w:szCs w:val="22"/>
          <w:lang w:val="sr-Latn-ME"/>
        </w:rPr>
        <w:t>j</w:t>
      </w:r>
      <w:r w:rsidRPr="001870F3">
        <w:rPr>
          <w:rFonts w:eastAsia="TimesNewRoman"/>
          <w:szCs w:val="22"/>
          <w:lang w:val="sr-Latn-ME"/>
        </w:rPr>
        <w:t xml:space="preserve">ekovima ili se </w:t>
      </w:r>
      <w:r w:rsidR="000D78A3" w:rsidRPr="001870F3">
        <w:rPr>
          <w:rFonts w:eastAsia="TimesNewRoman"/>
          <w:szCs w:val="22"/>
          <w:lang w:val="sr-Latn-ME"/>
        </w:rPr>
        <w:t xml:space="preserve">oni </w:t>
      </w:r>
      <w:r w:rsidRPr="001870F3">
        <w:rPr>
          <w:rFonts w:eastAsia="TimesNewRoman"/>
          <w:szCs w:val="22"/>
          <w:lang w:val="sr-Latn-ME"/>
        </w:rPr>
        <w:t>prim</w:t>
      </w:r>
      <w:r w:rsidR="00452FA6" w:rsidRPr="001870F3">
        <w:rPr>
          <w:rFonts w:eastAsia="TimesNewRoman"/>
          <w:szCs w:val="22"/>
          <w:lang w:val="sr-Latn-ME"/>
        </w:rPr>
        <w:t>j</w:t>
      </w:r>
      <w:r w:rsidRPr="001870F3">
        <w:rPr>
          <w:rFonts w:eastAsia="TimesNewRoman"/>
          <w:szCs w:val="22"/>
          <w:lang w:val="sr-Latn-ME"/>
        </w:rPr>
        <w:t>enjuju u kombinaciji sa metforminom</w:t>
      </w:r>
      <w:r w:rsidR="00AF75D9" w:rsidRPr="001870F3">
        <w:rPr>
          <w:rFonts w:eastAsia="TimesNewRoman"/>
          <w:szCs w:val="22"/>
          <w:lang w:val="sr-Latn-ME"/>
        </w:rPr>
        <w:t>, neophodan je strogi nadzor bubrežne funkcije.</w:t>
      </w:r>
    </w:p>
    <w:p w14:paraId="2E86A132" w14:textId="77777777" w:rsidR="00AF75D9" w:rsidRPr="001870F3" w:rsidRDefault="00AF75D9" w:rsidP="001870F3">
      <w:pPr>
        <w:widowControl w:val="0"/>
        <w:tabs>
          <w:tab w:val="clear" w:pos="284"/>
        </w:tabs>
        <w:autoSpaceDE w:val="0"/>
        <w:autoSpaceDN w:val="0"/>
        <w:adjustRightInd w:val="0"/>
        <w:rPr>
          <w:rFonts w:eastAsia="TimesNewRoman"/>
          <w:szCs w:val="22"/>
          <w:lang w:val="sr-Latn-ME"/>
        </w:rPr>
      </w:pPr>
    </w:p>
    <w:p w14:paraId="2E86A133" w14:textId="709395E4" w:rsidR="002455A8" w:rsidRPr="001870F3" w:rsidRDefault="00AF75D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Istovremena prim</w:t>
      </w:r>
      <w:r w:rsidR="00452FA6" w:rsidRPr="001870F3">
        <w:rPr>
          <w:rFonts w:eastAsia="TimesNewRoman"/>
          <w:szCs w:val="22"/>
          <w:lang w:val="sr-Latn-ME"/>
        </w:rPr>
        <w:t>j</w:t>
      </w:r>
      <w:r w:rsidRPr="001870F3">
        <w:rPr>
          <w:rFonts w:eastAsia="TimesNewRoman"/>
          <w:szCs w:val="22"/>
          <w:lang w:val="sr-Latn-ME"/>
        </w:rPr>
        <w:t>ena l</w:t>
      </w:r>
      <w:r w:rsidR="00452FA6" w:rsidRPr="001870F3">
        <w:rPr>
          <w:rFonts w:eastAsia="TimesNewRoman"/>
          <w:szCs w:val="22"/>
          <w:lang w:val="sr-Latn-ME"/>
        </w:rPr>
        <w:t>j</w:t>
      </w:r>
      <w:r w:rsidRPr="001870F3">
        <w:rPr>
          <w:rFonts w:eastAsia="TimesNewRoman"/>
          <w:szCs w:val="22"/>
          <w:lang w:val="sr-Latn-ME"/>
        </w:rPr>
        <w:t>ekova koji interferiraju sa zajedničkim bubrežnim tubularnim transportnim sistemima uključenim u proces renalne eliminacije metformina (npr. organski transporteri katjona-2 [</w:t>
      </w:r>
      <w:r w:rsidR="00E00612" w:rsidRPr="001870F3">
        <w:rPr>
          <w:rFonts w:eastAsia="TimesNewRoman"/>
          <w:szCs w:val="22"/>
          <w:lang w:val="sr-Latn-ME"/>
        </w:rPr>
        <w:t xml:space="preserve">engl. </w:t>
      </w:r>
      <w:r w:rsidR="00FC0A25" w:rsidRPr="001870F3">
        <w:rPr>
          <w:rFonts w:eastAsia="TimesNewRoman"/>
          <w:i/>
          <w:szCs w:val="22"/>
          <w:lang w:val="sr-Latn-ME"/>
        </w:rPr>
        <w:t>organic cationic transporter-2,</w:t>
      </w:r>
      <w:r w:rsidR="00FC0A25" w:rsidRPr="001870F3">
        <w:rPr>
          <w:rFonts w:eastAsia="TimesNewRoman"/>
          <w:szCs w:val="22"/>
          <w:lang w:val="sr-Latn-ME"/>
        </w:rPr>
        <w:t xml:space="preserve"> </w:t>
      </w:r>
      <w:r w:rsidRPr="001870F3">
        <w:rPr>
          <w:rFonts w:eastAsia="TimesNewRoman"/>
          <w:szCs w:val="22"/>
          <w:lang w:val="sr-Latn-ME"/>
        </w:rPr>
        <w:t>OCT2]/</w:t>
      </w:r>
      <w:r w:rsidR="00C66968" w:rsidRPr="001870F3">
        <w:rPr>
          <w:rFonts w:eastAsia="TimesNewRoman"/>
          <w:szCs w:val="22"/>
          <w:lang w:val="sr-Latn-ME"/>
        </w:rPr>
        <w:t>inhibitori ekstruzije više l</w:t>
      </w:r>
      <w:r w:rsidR="00452FA6" w:rsidRPr="001870F3">
        <w:rPr>
          <w:rFonts w:eastAsia="TimesNewRoman"/>
          <w:szCs w:val="22"/>
          <w:lang w:val="sr-Latn-ME"/>
        </w:rPr>
        <w:t>j</w:t>
      </w:r>
      <w:r w:rsidR="00C66968" w:rsidRPr="001870F3">
        <w:rPr>
          <w:rFonts w:eastAsia="TimesNewRoman"/>
          <w:szCs w:val="22"/>
          <w:lang w:val="sr-Latn-ME"/>
        </w:rPr>
        <w:t>ekova i toksina [</w:t>
      </w:r>
      <w:r w:rsidR="00FC0A25" w:rsidRPr="001870F3">
        <w:rPr>
          <w:rFonts w:eastAsia="TimesNewRoman"/>
          <w:szCs w:val="22"/>
          <w:lang w:val="sr-Latn-ME"/>
        </w:rPr>
        <w:t xml:space="preserve">engl. </w:t>
      </w:r>
      <w:r w:rsidR="00474B46" w:rsidRPr="001870F3">
        <w:rPr>
          <w:rFonts w:eastAsia="TimesNewRoman"/>
          <w:i/>
          <w:szCs w:val="22"/>
          <w:lang w:val="sr-Latn-ME"/>
        </w:rPr>
        <w:t>multidrug and toxin extrusion</w:t>
      </w:r>
      <w:r w:rsidR="00474B46" w:rsidRPr="001870F3">
        <w:rPr>
          <w:rFonts w:eastAsia="TimesNewRoman"/>
          <w:szCs w:val="22"/>
          <w:lang w:val="sr-Latn-ME"/>
        </w:rPr>
        <w:t xml:space="preserve">, </w:t>
      </w:r>
      <w:r w:rsidR="00C66968" w:rsidRPr="001870F3">
        <w:rPr>
          <w:rFonts w:eastAsia="TimesNewRoman"/>
          <w:szCs w:val="22"/>
          <w:lang w:val="sr-Latn-ME"/>
        </w:rPr>
        <w:t>MATE]</w:t>
      </w:r>
      <w:r w:rsidR="00247000" w:rsidRPr="001870F3">
        <w:rPr>
          <w:rFonts w:eastAsia="TimesNewRoman"/>
          <w:szCs w:val="22"/>
          <w:lang w:val="sr-Latn-ME"/>
        </w:rPr>
        <w:t xml:space="preserve"> kao što su ranolazin, vandetanib, dolutegravir </w:t>
      </w:r>
      <w:r w:rsidR="002455A8" w:rsidRPr="001870F3">
        <w:rPr>
          <w:rFonts w:eastAsia="TimesNewRoman"/>
          <w:szCs w:val="22"/>
          <w:lang w:val="sr-Latn-ME"/>
        </w:rPr>
        <w:t>i</w:t>
      </w:r>
      <w:r w:rsidR="00247000" w:rsidRPr="001870F3">
        <w:rPr>
          <w:rFonts w:eastAsia="TimesNewRoman"/>
          <w:szCs w:val="22"/>
          <w:lang w:val="sr-Latn-ME"/>
        </w:rPr>
        <w:t xml:space="preserve"> </w:t>
      </w:r>
      <w:r w:rsidR="002455A8" w:rsidRPr="001870F3">
        <w:rPr>
          <w:rFonts w:eastAsia="TimesNewRoman"/>
          <w:szCs w:val="22"/>
          <w:lang w:val="sr-Latn-ME"/>
        </w:rPr>
        <w:t>cimetidin</w:t>
      </w:r>
      <w:r w:rsidR="00247000" w:rsidRPr="001870F3">
        <w:rPr>
          <w:rFonts w:eastAsia="TimesNewRoman"/>
          <w:szCs w:val="22"/>
          <w:lang w:val="sr-Latn-ME"/>
        </w:rPr>
        <w:t>)</w:t>
      </w:r>
      <w:r w:rsidR="002455A8" w:rsidRPr="001870F3">
        <w:rPr>
          <w:rFonts w:eastAsia="TimesNewRoman"/>
          <w:szCs w:val="22"/>
          <w:lang w:val="sr-Latn-ME"/>
        </w:rPr>
        <w:t xml:space="preserve"> mogu povećati sistemsku izloženost metforminu i mogu povećati rizik za nastanak laktoacidoze. Treba razmotriti korist i rizik od istovremene prim</w:t>
      </w:r>
      <w:r w:rsidR="00452FA6" w:rsidRPr="001870F3">
        <w:rPr>
          <w:rFonts w:eastAsia="TimesNewRoman"/>
          <w:szCs w:val="22"/>
          <w:lang w:val="sr-Latn-ME"/>
        </w:rPr>
        <w:t>j</w:t>
      </w:r>
      <w:r w:rsidR="002455A8" w:rsidRPr="001870F3">
        <w:rPr>
          <w:rFonts w:eastAsia="TimesNewRoman"/>
          <w:szCs w:val="22"/>
          <w:lang w:val="sr-Latn-ME"/>
        </w:rPr>
        <w:t xml:space="preserve">ene. Pažljivo praćenje kontrole glikemije, prilagođavanje doze u okvirima preporučenog doziranja i </w:t>
      </w:r>
      <w:r w:rsidR="004E4374" w:rsidRPr="001870F3">
        <w:rPr>
          <w:rFonts w:eastAsia="TimesNewRoman"/>
          <w:szCs w:val="22"/>
          <w:lang w:val="sr-Latn-ME"/>
        </w:rPr>
        <w:t>prom</w:t>
      </w:r>
      <w:r w:rsidR="00452FA6" w:rsidRPr="001870F3">
        <w:rPr>
          <w:rFonts w:eastAsia="TimesNewRoman"/>
          <w:szCs w:val="22"/>
          <w:lang w:val="sr-Latn-ME"/>
        </w:rPr>
        <w:t>j</w:t>
      </w:r>
      <w:r w:rsidR="004E4374" w:rsidRPr="001870F3">
        <w:rPr>
          <w:rFonts w:eastAsia="TimesNewRoman"/>
          <w:szCs w:val="22"/>
          <w:lang w:val="sr-Latn-ME"/>
        </w:rPr>
        <w:t>enu</w:t>
      </w:r>
      <w:r w:rsidR="002455A8" w:rsidRPr="001870F3">
        <w:rPr>
          <w:rFonts w:eastAsia="TimesNewRoman"/>
          <w:szCs w:val="22"/>
          <w:lang w:val="sr-Latn-ME"/>
        </w:rPr>
        <w:t xml:space="preserve"> anti-dijabetske terapije treba razmotriti kada se ovi l</w:t>
      </w:r>
      <w:r w:rsidR="00452FA6" w:rsidRPr="001870F3">
        <w:rPr>
          <w:rFonts w:eastAsia="TimesNewRoman"/>
          <w:szCs w:val="22"/>
          <w:lang w:val="sr-Latn-ME"/>
        </w:rPr>
        <w:t>j</w:t>
      </w:r>
      <w:r w:rsidR="002455A8" w:rsidRPr="001870F3">
        <w:rPr>
          <w:rFonts w:eastAsia="TimesNewRoman"/>
          <w:szCs w:val="22"/>
          <w:lang w:val="sr-Latn-ME"/>
        </w:rPr>
        <w:t>ekovi istovremeno prim</w:t>
      </w:r>
      <w:r w:rsidR="00E936B4" w:rsidRPr="001870F3">
        <w:rPr>
          <w:rFonts w:eastAsia="TimesNewRoman"/>
          <w:szCs w:val="22"/>
          <w:lang w:val="sr-Latn-ME"/>
        </w:rPr>
        <w:t>j</w:t>
      </w:r>
      <w:r w:rsidR="002455A8" w:rsidRPr="001870F3">
        <w:rPr>
          <w:rFonts w:eastAsia="TimesNewRoman"/>
          <w:szCs w:val="22"/>
          <w:lang w:val="sr-Latn-ME"/>
        </w:rPr>
        <w:t>enjuju.</w:t>
      </w:r>
    </w:p>
    <w:p w14:paraId="2E86A134" w14:textId="77777777" w:rsidR="00AF75D9" w:rsidRPr="001870F3" w:rsidRDefault="002455A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p>
    <w:p w14:paraId="2E86A137" w14:textId="5011EE31"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Glukokortikoidi (koji se daju sistemskim i lokalnim putevima), beta-2-agonisti i diuretici imaju unutrašnje</w:t>
      </w:r>
      <w:r w:rsidR="009D4ABB" w:rsidRPr="001870F3">
        <w:rPr>
          <w:rFonts w:eastAsia="TimesNewRoman"/>
          <w:szCs w:val="22"/>
          <w:lang w:val="sr-Latn-ME"/>
        </w:rPr>
        <w:t xml:space="preserve"> </w:t>
      </w:r>
      <w:r w:rsidRPr="001870F3">
        <w:rPr>
          <w:rFonts w:eastAsia="TimesNewRoman"/>
          <w:szCs w:val="22"/>
          <w:lang w:val="sr-Latn-ME"/>
        </w:rPr>
        <w:t>hiperglikemijsko dejstvo. Pacijenta treba informisati i treba češće vršiti kontrolu šećera u krvi, naročito na</w:t>
      </w:r>
      <w:r w:rsidR="009D4ABB" w:rsidRPr="001870F3">
        <w:rPr>
          <w:rFonts w:eastAsia="TimesNewRoman"/>
          <w:szCs w:val="22"/>
          <w:lang w:val="sr-Latn-ME"/>
        </w:rPr>
        <w:t xml:space="preserve"> </w:t>
      </w:r>
      <w:r w:rsidRPr="001870F3">
        <w:rPr>
          <w:rFonts w:eastAsia="TimesNewRoman"/>
          <w:szCs w:val="22"/>
          <w:lang w:val="sr-Latn-ME"/>
        </w:rPr>
        <w:t>početku terapije tim l</w:t>
      </w:r>
      <w:r w:rsidR="00452FA6" w:rsidRPr="001870F3">
        <w:rPr>
          <w:rFonts w:eastAsia="TimesNewRoman"/>
          <w:szCs w:val="22"/>
          <w:lang w:val="sr-Latn-ME"/>
        </w:rPr>
        <w:t>j</w:t>
      </w:r>
      <w:r w:rsidRPr="001870F3">
        <w:rPr>
          <w:rFonts w:eastAsia="TimesNewRoman"/>
          <w:szCs w:val="22"/>
          <w:lang w:val="sr-Latn-ME"/>
        </w:rPr>
        <w:t>ekovima. Ukoliko je potrebno, dozu antihiperglikemijskog l</w:t>
      </w:r>
      <w:r w:rsidR="00452FA6" w:rsidRPr="001870F3">
        <w:rPr>
          <w:rFonts w:eastAsia="TimesNewRoman"/>
          <w:szCs w:val="22"/>
          <w:lang w:val="sr-Latn-ME"/>
        </w:rPr>
        <w:t>ij</w:t>
      </w:r>
      <w:r w:rsidRPr="001870F3">
        <w:rPr>
          <w:rFonts w:eastAsia="TimesNewRoman"/>
          <w:szCs w:val="22"/>
          <w:lang w:val="sr-Latn-ME"/>
        </w:rPr>
        <w:t>eka treba korigovati u toku</w:t>
      </w:r>
      <w:r w:rsidR="00452FA6" w:rsidRPr="001870F3">
        <w:rPr>
          <w:rFonts w:eastAsia="TimesNewRoman"/>
          <w:szCs w:val="22"/>
          <w:lang w:val="sr-Latn-ME"/>
        </w:rPr>
        <w:t xml:space="preserve"> </w:t>
      </w:r>
      <w:r w:rsidRPr="001870F3">
        <w:rPr>
          <w:rFonts w:eastAsia="TimesNewRoman"/>
          <w:szCs w:val="22"/>
          <w:lang w:val="sr-Latn-ME"/>
        </w:rPr>
        <w:t>terapije drugim l</w:t>
      </w:r>
      <w:r w:rsidR="00452FA6" w:rsidRPr="001870F3">
        <w:rPr>
          <w:rFonts w:eastAsia="TimesNewRoman"/>
          <w:szCs w:val="22"/>
          <w:lang w:val="sr-Latn-ME"/>
        </w:rPr>
        <w:t>ij</w:t>
      </w:r>
      <w:r w:rsidRPr="001870F3">
        <w:rPr>
          <w:rFonts w:eastAsia="TimesNewRoman"/>
          <w:szCs w:val="22"/>
          <w:lang w:val="sr-Latn-ME"/>
        </w:rPr>
        <w:t>ekom i pri njegovom ukidanju.</w:t>
      </w:r>
    </w:p>
    <w:p w14:paraId="2E86A138"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6FD9A938" w14:textId="0515833B" w:rsidR="00DF0DA5"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ACE inhibitori mogu sniziti nivo glukoze u krvi. </w:t>
      </w:r>
      <w:r w:rsidR="00DF0DA5" w:rsidRPr="001870F3">
        <w:rPr>
          <w:rFonts w:eastAsiaTheme="minorHAnsi"/>
          <w:szCs w:val="22"/>
          <w:lang w:val="sr-Latn-ME"/>
        </w:rPr>
        <w:t xml:space="preserve"> </w:t>
      </w:r>
      <w:r w:rsidR="00DF0DA5" w:rsidRPr="001870F3">
        <w:rPr>
          <w:rFonts w:eastAsia="TimesNewRoman"/>
          <w:szCs w:val="22"/>
          <w:lang w:val="sr-Latn-ME"/>
        </w:rPr>
        <w:t>Ukoliko je neophodno, u toku terapije drugim</w:t>
      </w:r>
      <w:r w:rsidR="009A67C0" w:rsidRPr="001870F3">
        <w:rPr>
          <w:rFonts w:eastAsia="TimesNewRoman"/>
          <w:szCs w:val="22"/>
          <w:lang w:val="sr-Latn-ME"/>
        </w:rPr>
        <w:t xml:space="preserve"> </w:t>
      </w:r>
      <w:r w:rsidR="00DF0DA5" w:rsidRPr="001870F3">
        <w:rPr>
          <w:rFonts w:eastAsia="TimesNewRoman"/>
          <w:szCs w:val="22"/>
          <w:lang w:val="sr-Latn-ME"/>
        </w:rPr>
        <w:t xml:space="preserve">lijekom i po njegovom ukidanju treba prilagoditi dozu antihiperglikemijskog lijeka. </w:t>
      </w:r>
    </w:p>
    <w:p w14:paraId="2E86A13B"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3C" w14:textId="77777777" w:rsidR="000D3D69" w:rsidRPr="001870F3" w:rsidRDefault="000D3D69"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Uticaj drugih l</w:t>
      </w:r>
      <w:r w:rsidR="00452FA6" w:rsidRPr="001870F3">
        <w:rPr>
          <w:rFonts w:eastAsia="TimesNewRoman"/>
          <w:szCs w:val="22"/>
          <w:u w:val="single"/>
          <w:lang w:val="sr-Latn-ME"/>
        </w:rPr>
        <w:t>j</w:t>
      </w:r>
      <w:r w:rsidRPr="001870F3">
        <w:rPr>
          <w:rFonts w:eastAsia="TimesNewRoman"/>
          <w:szCs w:val="22"/>
          <w:u w:val="single"/>
          <w:lang w:val="sr-Latn-ME"/>
        </w:rPr>
        <w:t>ekova na sitagliptin</w:t>
      </w:r>
    </w:p>
    <w:p w14:paraId="2E86A13E" w14:textId="2F674CD7"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i/>
          <w:iCs/>
          <w:szCs w:val="22"/>
          <w:lang w:val="sr-Latn-ME"/>
        </w:rPr>
        <w:t xml:space="preserve">In vitro </w:t>
      </w:r>
      <w:r w:rsidRPr="001870F3">
        <w:rPr>
          <w:rFonts w:eastAsia="TimesNewRoman"/>
          <w:szCs w:val="22"/>
          <w:lang w:val="sr-Latn-ME"/>
        </w:rPr>
        <w:t>i klinički podaci navedeni u daljem tekstu navode na zaključak da je mali rizik od klinički značajnih</w:t>
      </w:r>
      <w:r w:rsidR="00297559" w:rsidRPr="001870F3">
        <w:rPr>
          <w:rFonts w:eastAsia="TimesNewRoman"/>
          <w:szCs w:val="22"/>
          <w:lang w:val="sr-Latn-ME"/>
        </w:rPr>
        <w:t xml:space="preserve"> </w:t>
      </w:r>
      <w:r w:rsidRPr="001870F3">
        <w:rPr>
          <w:rFonts w:eastAsia="TimesNewRoman"/>
          <w:szCs w:val="22"/>
          <w:lang w:val="sr-Latn-ME"/>
        </w:rPr>
        <w:t>interakcija pri istovremenoj prim</w:t>
      </w:r>
      <w:r w:rsidR="00452FA6" w:rsidRPr="001870F3">
        <w:rPr>
          <w:rFonts w:eastAsia="TimesNewRoman"/>
          <w:szCs w:val="22"/>
          <w:lang w:val="sr-Latn-ME"/>
        </w:rPr>
        <w:t>j</w:t>
      </w:r>
      <w:r w:rsidRPr="001870F3">
        <w:rPr>
          <w:rFonts w:eastAsia="TimesNewRoman"/>
          <w:szCs w:val="22"/>
          <w:lang w:val="sr-Latn-ME"/>
        </w:rPr>
        <w:t>eni drugih l</w:t>
      </w:r>
      <w:r w:rsidR="00452FA6" w:rsidRPr="001870F3">
        <w:rPr>
          <w:rFonts w:eastAsia="TimesNewRoman"/>
          <w:szCs w:val="22"/>
          <w:lang w:val="sr-Latn-ME"/>
        </w:rPr>
        <w:t>j</w:t>
      </w:r>
      <w:r w:rsidRPr="001870F3">
        <w:rPr>
          <w:rFonts w:eastAsia="TimesNewRoman"/>
          <w:szCs w:val="22"/>
          <w:lang w:val="sr-Latn-ME"/>
        </w:rPr>
        <w:t>ekova.</w:t>
      </w:r>
    </w:p>
    <w:p w14:paraId="2E86A13F" w14:textId="77777777" w:rsidR="000D3D69" w:rsidRPr="001870F3" w:rsidRDefault="000D3D69" w:rsidP="001870F3">
      <w:pPr>
        <w:widowControl w:val="0"/>
        <w:rPr>
          <w:rFonts w:eastAsia="TimesNewRoman"/>
          <w:szCs w:val="22"/>
          <w:lang w:val="sr-Latn-ME"/>
        </w:rPr>
      </w:pPr>
    </w:p>
    <w:p w14:paraId="2E86A140" w14:textId="259D6B51"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Studije </w:t>
      </w:r>
      <w:r w:rsidRPr="001870F3">
        <w:rPr>
          <w:rFonts w:eastAsia="TimesNewRoman"/>
          <w:i/>
          <w:iCs/>
          <w:szCs w:val="22"/>
          <w:lang w:val="sr-Latn-ME"/>
        </w:rPr>
        <w:t xml:space="preserve">in vitro </w:t>
      </w:r>
      <w:r w:rsidR="00913275" w:rsidRPr="001870F3">
        <w:rPr>
          <w:rFonts w:eastAsia="TimesNewRoman"/>
          <w:iCs/>
          <w:szCs w:val="22"/>
          <w:lang w:val="sr-Latn-ME"/>
        </w:rPr>
        <w:t xml:space="preserve">su </w:t>
      </w:r>
      <w:r w:rsidR="00913275" w:rsidRPr="001870F3">
        <w:rPr>
          <w:rFonts w:eastAsia="TimesNewRoman"/>
          <w:szCs w:val="22"/>
          <w:lang w:val="sr-Latn-ME"/>
        </w:rPr>
        <w:t>pokazale</w:t>
      </w:r>
      <w:r w:rsidRPr="001870F3">
        <w:rPr>
          <w:rFonts w:eastAsia="TimesNewRoman"/>
          <w:szCs w:val="22"/>
          <w:lang w:val="sr-Latn-ME"/>
        </w:rPr>
        <w:t xml:space="preserve"> da je CYP3A4 primarni enzim odgovoran za ograničen metabolizam sitagliptina, uz pomoć CYP2C8. Metabolizam, uključujući i metabolizam preko CYP3A4, igra malu ulogu u klirensu</w:t>
      </w:r>
      <w:r w:rsidR="00850E97" w:rsidRPr="001870F3">
        <w:rPr>
          <w:rFonts w:eastAsia="TimesNewRoman"/>
          <w:szCs w:val="22"/>
          <w:lang w:val="sr-Latn-ME"/>
        </w:rPr>
        <w:t xml:space="preserve"> </w:t>
      </w:r>
      <w:r w:rsidRPr="001870F3">
        <w:rPr>
          <w:rFonts w:eastAsia="TimesNewRoman"/>
          <w:szCs w:val="22"/>
          <w:lang w:val="sr-Latn-ME"/>
        </w:rPr>
        <w:t>sitagliptina kod pacijenata sa normalnom funkcijom bubrega. Metabolizam može igrati značajniju ulogu u</w:t>
      </w:r>
      <w:r w:rsidR="008E227D" w:rsidRPr="001870F3">
        <w:rPr>
          <w:rFonts w:eastAsia="TimesNewRoman"/>
          <w:szCs w:val="22"/>
          <w:lang w:val="sr-Latn-ME"/>
        </w:rPr>
        <w:t xml:space="preserve"> </w:t>
      </w:r>
      <w:r w:rsidRPr="001870F3">
        <w:rPr>
          <w:rFonts w:eastAsia="TimesNewRoman"/>
          <w:szCs w:val="22"/>
          <w:lang w:val="sr-Latn-ME"/>
        </w:rPr>
        <w:t>eliminaciji sitagliptina u slučaju teške renalne insuficijencije ili poslednjeg stadijuma renalne bolesti (</w:t>
      </w:r>
      <w:r w:rsidR="00312BF3" w:rsidRPr="001870F3">
        <w:rPr>
          <w:rFonts w:eastAsia="TimesNewRoman"/>
          <w:szCs w:val="22"/>
          <w:lang w:val="sr-Latn-ME"/>
        </w:rPr>
        <w:t xml:space="preserve">eng. </w:t>
      </w:r>
      <w:r w:rsidRPr="001870F3">
        <w:rPr>
          <w:rFonts w:eastAsia="TimesNewRoman"/>
          <w:i/>
          <w:iCs/>
          <w:szCs w:val="22"/>
          <w:lang w:val="sr-Latn-ME"/>
        </w:rPr>
        <w:t>end-stage renal disease</w:t>
      </w:r>
      <w:r w:rsidRPr="001870F3">
        <w:rPr>
          <w:rFonts w:eastAsia="TimesNewRoman"/>
          <w:szCs w:val="22"/>
          <w:lang w:val="sr-Latn-ME"/>
        </w:rPr>
        <w:t xml:space="preserve"> - ESRD). Zato je moguće da snažni inhibitori CYP3A4 (npr. ketokonazol, itrakonazol, ritonavir, klaritromicin) mogu da izm</w:t>
      </w:r>
      <w:r w:rsidR="00E936B4" w:rsidRPr="001870F3">
        <w:rPr>
          <w:rFonts w:eastAsia="TimesNewRoman"/>
          <w:szCs w:val="22"/>
          <w:lang w:val="sr-Latn-ME"/>
        </w:rPr>
        <w:t>ij</w:t>
      </w:r>
      <w:r w:rsidR="00452FA6" w:rsidRPr="001870F3">
        <w:rPr>
          <w:rFonts w:eastAsia="TimesNewRoman"/>
          <w:szCs w:val="22"/>
          <w:lang w:val="sr-Latn-ME"/>
        </w:rPr>
        <w:t>j</w:t>
      </w:r>
      <w:r w:rsidRPr="001870F3">
        <w:rPr>
          <w:rFonts w:eastAsia="TimesNewRoman"/>
          <w:szCs w:val="22"/>
          <w:lang w:val="sr-Latn-ME"/>
        </w:rPr>
        <w:t>ene farmakokinetiku sitagliptina kod pacijenata sa teškom renalnom insuficijencijom ili ESRD. Proc</w:t>
      </w:r>
      <w:r w:rsidR="00E936B4" w:rsidRPr="001870F3">
        <w:rPr>
          <w:rFonts w:eastAsia="TimesNewRoman"/>
          <w:szCs w:val="22"/>
          <w:lang w:val="sr-Latn-ME"/>
        </w:rPr>
        <w:t>j</w:t>
      </w:r>
      <w:r w:rsidRPr="001870F3">
        <w:rPr>
          <w:rFonts w:eastAsia="TimesNewRoman"/>
          <w:szCs w:val="22"/>
          <w:lang w:val="sr-Latn-ME"/>
        </w:rPr>
        <w:t>ena dejstva snažnih inhibitora CYP3A4 u slučaju renalne insuficijencije nije izvršena u kliničkom ispitivanju.</w:t>
      </w:r>
    </w:p>
    <w:p w14:paraId="2E86A141"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44" w14:textId="174C9A2F"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i/>
          <w:iCs/>
          <w:szCs w:val="22"/>
          <w:lang w:val="sr-Latn-ME"/>
        </w:rPr>
        <w:t xml:space="preserve">In vitro </w:t>
      </w:r>
      <w:r w:rsidRPr="001870F3">
        <w:rPr>
          <w:rFonts w:eastAsia="TimesNewRoman"/>
          <w:szCs w:val="22"/>
          <w:lang w:val="sr-Latn-ME"/>
        </w:rPr>
        <w:t>studije prenosa l</w:t>
      </w:r>
      <w:r w:rsidR="00E936B4" w:rsidRPr="001870F3">
        <w:rPr>
          <w:rFonts w:eastAsia="TimesNewRoman"/>
          <w:szCs w:val="22"/>
          <w:lang w:val="sr-Latn-ME"/>
        </w:rPr>
        <w:t>ij</w:t>
      </w:r>
      <w:r w:rsidRPr="001870F3">
        <w:rPr>
          <w:rFonts w:eastAsia="TimesNewRoman"/>
          <w:szCs w:val="22"/>
          <w:lang w:val="sr-Latn-ME"/>
        </w:rPr>
        <w:t>eka pokazale su da je sitagliptin supstrat p-glikoproteina i organskog anjonskog</w:t>
      </w:r>
      <w:r w:rsidR="00312BF3" w:rsidRPr="001870F3">
        <w:rPr>
          <w:rFonts w:eastAsia="TimesNewRoman"/>
          <w:szCs w:val="22"/>
          <w:lang w:val="sr-Latn-ME"/>
        </w:rPr>
        <w:t xml:space="preserve"> </w:t>
      </w:r>
      <w:r w:rsidRPr="001870F3">
        <w:rPr>
          <w:rFonts w:eastAsia="TimesNewRoman"/>
          <w:szCs w:val="22"/>
          <w:lang w:val="sr-Latn-ME"/>
        </w:rPr>
        <w:t xml:space="preserve">transportera-3 (OAT3). Transport sitagliptina posredovan OAT3 je inhibiran </w:t>
      </w:r>
      <w:r w:rsidRPr="001870F3">
        <w:rPr>
          <w:rFonts w:eastAsia="TimesNewRoman"/>
          <w:i/>
          <w:iCs/>
          <w:szCs w:val="22"/>
          <w:lang w:val="sr-Latn-ME"/>
        </w:rPr>
        <w:t xml:space="preserve">in vitro </w:t>
      </w:r>
      <w:r w:rsidRPr="001870F3">
        <w:rPr>
          <w:rFonts w:eastAsia="TimesNewRoman"/>
          <w:szCs w:val="22"/>
          <w:lang w:val="sr-Latn-ME"/>
        </w:rPr>
        <w:t>probenecidom, iako se</w:t>
      </w:r>
      <w:r w:rsidR="00312BF3" w:rsidRPr="001870F3">
        <w:rPr>
          <w:rFonts w:eastAsia="TimesNewRoman"/>
          <w:szCs w:val="22"/>
          <w:lang w:val="sr-Latn-ME"/>
        </w:rPr>
        <w:t xml:space="preserve"> </w:t>
      </w:r>
      <w:r w:rsidRPr="001870F3">
        <w:rPr>
          <w:rFonts w:eastAsia="TimesNewRoman"/>
          <w:szCs w:val="22"/>
          <w:lang w:val="sr-Latn-ME"/>
        </w:rPr>
        <w:t>smatra da je rizik od klinički značajnih interakcija mali. Istovremena prim</w:t>
      </w:r>
      <w:r w:rsidR="00452FA6" w:rsidRPr="001870F3">
        <w:rPr>
          <w:rFonts w:eastAsia="TimesNewRoman"/>
          <w:szCs w:val="22"/>
          <w:lang w:val="sr-Latn-ME"/>
        </w:rPr>
        <w:t>j</w:t>
      </w:r>
      <w:r w:rsidRPr="001870F3">
        <w:rPr>
          <w:rFonts w:eastAsia="TimesNewRoman"/>
          <w:szCs w:val="22"/>
          <w:lang w:val="sr-Latn-ME"/>
        </w:rPr>
        <w:t>ena inhibitora OAT3 nije proc</w:t>
      </w:r>
      <w:r w:rsidR="00452FA6" w:rsidRPr="001870F3">
        <w:rPr>
          <w:rFonts w:eastAsia="TimesNewRoman"/>
          <w:szCs w:val="22"/>
          <w:lang w:val="sr-Latn-ME"/>
        </w:rPr>
        <w:t>j</w:t>
      </w:r>
      <w:r w:rsidRPr="001870F3">
        <w:rPr>
          <w:rFonts w:eastAsia="TimesNewRoman"/>
          <w:szCs w:val="22"/>
          <w:lang w:val="sr-Latn-ME"/>
        </w:rPr>
        <w:t xml:space="preserve">enjivana </w:t>
      </w:r>
      <w:r w:rsidRPr="001870F3">
        <w:rPr>
          <w:rFonts w:eastAsia="TimesNewRoman"/>
          <w:i/>
          <w:iCs/>
          <w:szCs w:val="22"/>
          <w:lang w:val="sr-Latn-ME"/>
        </w:rPr>
        <w:t>in vivo</w:t>
      </w:r>
      <w:r w:rsidRPr="001870F3">
        <w:rPr>
          <w:rFonts w:eastAsia="TimesNewRoman"/>
          <w:szCs w:val="22"/>
          <w:lang w:val="sr-Latn-ME"/>
        </w:rPr>
        <w:t>.</w:t>
      </w:r>
    </w:p>
    <w:p w14:paraId="2E86A145" w14:textId="77777777" w:rsidR="000D5727" w:rsidRPr="001870F3" w:rsidRDefault="000D5727" w:rsidP="001870F3">
      <w:pPr>
        <w:widowControl w:val="0"/>
        <w:tabs>
          <w:tab w:val="clear" w:pos="284"/>
        </w:tabs>
        <w:autoSpaceDE w:val="0"/>
        <w:autoSpaceDN w:val="0"/>
        <w:adjustRightInd w:val="0"/>
        <w:rPr>
          <w:rFonts w:eastAsia="TimesNewRoman"/>
          <w:i/>
          <w:iCs/>
          <w:szCs w:val="22"/>
          <w:lang w:val="sr-Latn-ME"/>
        </w:rPr>
      </w:pPr>
    </w:p>
    <w:p w14:paraId="74C40655" w14:textId="77777777" w:rsidR="009E6315" w:rsidRPr="001870F3" w:rsidRDefault="000D3D69"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Ciklosporin</w:t>
      </w:r>
    </w:p>
    <w:p w14:paraId="2E86A147" w14:textId="3345FB02" w:rsidR="000D3D69" w:rsidRPr="001870F3" w:rsidRDefault="000D3D69" w:rsidP="001870F3">
      <w:pPr>
        <w:widowControl w:val="0"/>
        <w:tabs>
          <w:tab w:val="clear" w:pos="284"/>
        </w:tabs>
        <w:autoSpaceDE w:val="0"/>
        <w:autoSpaceDN w:val="0"/>
        <w:adjustRightInd w:val="0"/>
        <w:rPr>
          <w:rFonts w:eastAsia="TimesNewRoman"/>
          <w:i/>
          <w:iCs/>
          <w:szCs w:val="22"/>
          <w:lang w:val="sr-Latn-ME"/>
        </w:rPr>
      </w:pPr>
      <w:r w:rsidRPr="001870F3">
        <w:rPr>
          <w:rFonts w:eastAsia="TimesNewRoman"/>
          <w:szCs w:val="22"/>
          <w:lang w:val="sr-Latn-ME"/>
        </w:rPr>
        <w:t>Urađena je studija u cilju proc</w:t>
      </w:r>
      <w:r w:rsidR="00452FA6" w:rsidRPr="001870F3">
        <w:rPr>
          <w:rFonts w:eastAsia="TimesNewRoman"/>
          <w:szCs w:val="22"/>
          <w:lang w:val="sr-Latn-ME"/>
        </w:rPr>
        <w:t>j</w:t>
      </w:r>
      <w:r w:rsidRPr="001870F3">
        <w:rPr>
          <w:rFonts w:eastAsia="TimesNewRoman"/>
          <w:szCs w:val="22"/>
          <w:lang w:val="sr-Latn-ME"/>
        </w:rPr>
        <w:t>ene dejstva ciklosporina, snažnog inhibitora p-glikoproteina, na</w:t>
      </w:r>
      <w:r w:rsidR="00380EF8" w:rsidRPr="001870F3">
        <w:rPr>
          <w:rFonts w:eastAsia="TimesNewRoman"/>
          <w:szCs w:val="22"/>
          <w:lang w:val="sr-Latn-ME"/>
        </w:rPr>
        <w:t xml:space="preserve"> </w:t>
      </w:r>
      <w:r w:rsidRPr="001870F3">
        <w:rPr>
          <w:rFonts w:eastAsia="TimesNewRoman"/>
          <w:szCs w:val="22"/>
          <w:lang w:val="sr-Latn-ME"/>
        </w:rPr>
        <w:t>farmakokinetiku sitagliptina. Istovremena prim</w:t>
      </w:r>
      <w:r w:rsidR="00452FA6" w:rsidRPr="001870F3">
        <w:rPr>
          <w:rFonts w:eastAsia="TimesNewRoman"/>
          <w:szCs w:val="22"/>
          <w:lang w:val="sr-Latn-ME"/>
        </w:rPr>
        <w:t>j</w:t>
      </w:r>
      <w:r w:rsidRPr="001870F3">
        <w:rPr>
          <w:rFonts w:eastAsia="TimesNewRoman"/>
          <w:szCs w:val="22"/>
          <w:lang w:val="sr-Latn-ME"/>
        </w:rPr>
        <w:t>ena jedne oralne doze sitagliptina od 100 mg i jedne oralne doze ciklosporina od 600 mg povećava PIK sitagliptina za oko 29% i C</w:t>
      </w:r>
      <w:r w:rsidRPr="001870F3">
        <w:rPr>
          <w:rFonts w:eastAsia="TimesNewRoman"/>
          <w:szCs w:val="22"/>
          <w:vertAlign w:val="subscript"/>
          <w:lang w:val="sr-Latn-ME"/>
        </w:rPr>
        <w:t>max</w:t>
      </w:r>
      <w:r w:rsidRPr="001870F3">
        <w:rPr>
          <w:rFonts w:eastAsia="TimesNewRoman"/>
          <w:szCs w:val="22"/>
          <w:lang w:val="sr-Latn-ME"/>
        </w:rPr>
        <w:t xml:space="preserve"> sitagliptina za oko 68%. Smatralo se da ove prom</w:t>
      </w:r>
      <w:r w:rsidR="00452FA6" w:rsidRPr="001870F3">
        <w:rPr>
          <w:rFonts w:eastAsia="TimesNewRoman"/>
          <w:szCs w:val="22"/>
          <w:lang w:val="sr-Latn-ME"/>
        </w:rPr>
        <w:t>j</w:t>
      </w:r>
      <w:r w:rsidRPr="001870F3">
        <w:rPr>
          <w:rFonts w:eastAsia="TimesNewRoman"/>
          <w:szCs w:val="22"/>
          <w:lang w:val="sr-Latn-ME"/>
        </w:rPr>
        <w:t>ene u farmakokinetici sitagliptina ni</w:t>
      </w:r>
      <w:r w:rsidR="00E936B4" w:rsidRPr="001870F3">
        <w:rPr>
          <w:rFonts w:eastAsia="TimesNewRoman"/>
          <w:szCs w:val="22"/>
          <w:lang w:val="sr-Latn-ME"/>
        </w:rPr>
        <w:t>je</w:t>
      </w:r>
      <w:r w:rsidRPr="001870F3">
        <w:rPr>
          <w:rFonts w:eastAsia="TimesNewRoman"/>
          <w:szCs w:val="22"/>
          <w:lang w:val="sr-Latn-ME"/>
        </w:rPr>
        <w:t xml:space="preserve">su od kliničkog značaja. Renalni </w:t>
      </w:r>
      <w:r w:rsidRPr="001870F3">
        <w:rPr>
          <w:rFonts w:eastAsia="TimesNewRoman"/>
          <w:szCs w:val="22"/>
          <w:lang w:val="sr-Latn-ME"/>
        </w:rPr>
        <w:lastRenderedPageBreak/>
        <w:t>klirens sitagliptina nije bio značajno izm</w:t>
      </w:r>
      <w:r w:rsidR="00452FA6" w:rsidRPr="001870F3">
        <w:rPr>
          <w:rFonts w:eastAsia="TimesNewRoman"/>
          <w:szCs w:val="22"/>
          <w:lang w:val="sr-Latn-ME"/>
        </w:rPr>
        <w:t>ij</w:t>
      </w:r>
      <w:r w:rsidRPr="001870F3">
        <w:rPr>
          <w:rFonts w:eastAsia="TimesNewRoman"/>
          <w:szCs w:val="22"/>
          <w:lang w:val="sr-Latn-ME"/>
        </w:rPr>
        <w:t>enjen. Prema tome, značajne interakcije sa drugim inhibitorima p-glikoproteina se ne očekuju.</w:t>
      </w:r>
    </w:p>
    <w:p w14:paraId="2E86A148"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49" w14:textId="3E53FAAD" w:rsidR="000D3D69" w:rsidRPr="001870F3" w:rsidRDefault="000D3D69"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Uticaj sitagliptina na druge l</w:t>
      </w:r>
      <w:r w:rsidR="00452FA6" w:rsidRPr="001870F3">
        <w:rPr>
          <w:rFonts w:eastAsia="TimesNewRoman"/>
          <w:szCs w:val="22"/>
          <w:u w:val="single"/>
          <w:lang w:val="sr-Latn-ME"/>
        </w:rPr>
        <w:t>j</w:t>
      </w:r>
      <w:r w:rsidRPr="001870F3">
        <w:rPr>
          <w:rFonts w:eastAsia="TimesNewRoman"/>
          <w:szCs w:val="22"/>
          <w:u w:val="single"/>
          <w:lang w:val="sr-Latn-ME"/>
        </w:rPr>
        <w:t>ekove</w:t>
      </w:r>
    </w:p>
    <w:p w14:paraId="2E86A14A" w14:textId="77777777" w:rsidR="00943DD5" w:rsidRPr="001870F3" w:rsidRDefault="00943DD5" w:rsidP="001870F3">
      <w:pPr>
        <w:widowControl w:val="0"/>
        <w:tabs>
          <w:tab w:val="clear" w:pos="284"/>
        </w:tabs>
        <w:autoSpaceDE w:val="0"/>
        <w:autoSpaceDN w:val="0"/>
        <w:adjustRightInd w:val="0"/>
        <w:rPr>
          <w:rFonts w:eastAsia="TimesNewRoman"/>
          <w:szCs w:val="22"/>
          <w:u w:val="single"/>
          <w:lang w:val="sr-Latn-ME"/>
        </w:rPr>
      </w:pPr>
    </w:p>
    <w:p w14:paraId="72733012" w14:textId="77777777" w:rsidR="003B7CBA" w:rsidRPr="001870F3" w:rsidRDefault="00EB7344" w:rsidP="001870F3">
      <w:pPr>
        <w:widowControl w:val="0"/>
        <w:tabs>
          <w:tab w:val="clear" w:pos="284"/>
        </w:tabs>
        <w:autoSpaceDE w:val="0"/>
        <w:autoSpaceDN w:val="0"/>
        <w:adjustRightInd w:val="0"/>
        <w:rPr>
          <w:i/>
          <w:iCs/>
          <w:szCs w:val="22"/>
          <w:lang w:val="sr-Latn-ME"/>
        </w:rPr>
      </w:pPr>
      <w:r w:rsidRPr="001870F3">
        <w:rPr>
          <w:i/>
          <w:iCs/>
          <w:szCs w:val="22"/>
          <w:lang w:val="sr-Latn-ME"/>
        </w:rPr>
        <w:t>Digoksin</w:t>
      </w:r>
    </w:p>
    <w:p w14:paraId="2E86A14B" w14:textId="6387F948" w:rsidR="00EB7344" w:rsidRPr="001870F3" w:rsidRDefault="00EB734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je imao mali uticaj na koncentracije digoksina u plazmi. Nakon prim</w:t>
      </w:r>
      <w:r w:rsidR="00452FA6" w:rsidRPr="001870F3">
        <w:rPr>
          <w:rFonts w:eastAsia="TimesNewRoman"/>
          <w:szCs w:val="22"/>
          <w:lang w:val="sr-Latn-ME"/>
        </w:rPr>
        <w:t>j</w:t>
      </w:r>
      <w:r w:rsidRPr="001870F3">
        <w:rPr>
          <w:rFonts w:eastAsia="TimesNewRoman"/>
          <w:szCs w:val="22"/>
          <w:lang w:val="sr-Latn-ME"/>
        </w:rPr>
        <w:t>ene 0,25 mg digoksina istovremeno sa 100 mg sitagliptina dnevno tokom 10 dana, PIK digoksina u plazmi se pros</w:t>
      </w:r>
      <w:r w:rsidR="00452FA6" w:rsidRPr="001870F3">
        <w:rPr>
          <w:rFonts w:eastAsia="TimesNewRoman"/>
          <w:szCs w:val="22"/>
          <w:lang w:val="sr-Latn-ME"/>
        </w:rPr>
        <w:t>j</w:t>
      </w:r>
      <w:r w:rsidRPr="001870F3">
        <w:rPr>
          <w:rFonts w:eastAsia="TimesNewRoman"/>
          <w:szCs w:val="22"/>
          <w:lang w:val="sr-Latn-ME"/>
        </w:rPr>
        <w:t>ečno povećao za 11%, a C</w:t>
      </w:r>
      <w:r w:rsidRPr="001870F3">
        <w:rPr>
          <w:rFonts w:eastAsia="TimesNewRoman"/>
          <w:szCs w:val="22"/>
          <w:vertAlign w:val="subscript"/>
          <w:lang w:val="sr-Latn-ME"/>
        </w:rPr>
        <w:t>max</w:t>
      </w:r>
      <w:r w:rsidRPr="001870F3">
        <w:rPr>
          <w:rFonts w:eastAsia="TimesNewRoman"/>
          <w:szCs w:val="22"/>
          <w:lang w:val="sr-Latn-ME"/>
        </w:rPr>
        <w:t xml:space="preserve"> za 18%. Ne preporučuje se korekcija doze digoksina. Međutim, kada se istovremeno prim</w:t>
      </w:r>
      <w:r w:rsidR="00452FA6" w:rsidRPr="001870F3">
        <w:rPr>
          <w:rFonts w:eastAsia="TimesNewRoman"/>
          <w:szCs w:val="22"/>
          <w:lang w:val="sr-Latn-ME"/>
        </w:rPr>
        <w:t>j</w:t>
      </w:r>
      <w:r w:rsidRPr="001870F3">
        <w:rPr>
          <w:rFonts w:eastAsia="TimesNewRoman"/>
          <w:szCs w:val="22"/>
          <w:lang w:val="sr-Latn-ME"/>
        </w:rPr>
        <w:t>enjuju sitagliptin i digoksin, treba pratiti pacijente koji su izloženi riziku od toksičnosti digoksina.</w:t>
      </w:r>
    </w:p>
    <w:p w14:paraId="2E86A14C" w14:textId="77777777" w:rsidR="00EB7344" w:rsidRPr="001870F3" w:rsidRDefault="00EB7344" w:rsidP="001870F3">
      <w:pPr>
        <w:widowControl w:val="0"/>
        <w:tabs>
          <w:tab w:val="clear" w:pos="284"/>
        </w:tabs>
        <w:autoSpaceDE w:val="0"/>
        <w:autoSpaceDN w:val="0"/>
        <w:adjustRightInd w:val="0"/>
        <w:rPr>
          <w:rFonts w:eastAsia="TimesNewRoman"/>
          <w:szCs w:val="22"/>
          <w:lang w:val="sr-Latn-ME"/>
        </w:rPr>
      </w:pPr>
    </w:p>
    <w:p w14:paraId="2E86A14E" w14:textId="02368FAE"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Podaci dobijeni </w:t>
      </w:r>
      <w:r w:rsidRPr="001870F3">
        <w:rPr>
          <w:rFonts w:eastAsia="TimesNewRoman"/>
          <w:i/>
          <w:iCs/>
          <w:szCs w:val="22"/>
          <w:lang w:val="sr-Latn-ME"/>
        </w:rPr>
        <w:t xml:space="preserve">in vitro </w:t>
      </w:r>
      <w:r w:rsidRPr="001870F3">
        <w:rPr>
          <w:rFonts w:eastAsia="TimesNewRoman"/>
          <w:szCs w:val="22"/>
          <w:lang w:val="sr-Latn-ME"/>
        </w:rPr>
        <w:t>navode na zaključak da sitagliptin ne inhibira niti indukuje izoenzime CYP450.</w:t>
      </w:r>
      <w:r w:rsidR="002C62FE" w:rsidRPr="001870F3">
        <w:rPr>
          <w:rFonts w:eastAsia="TimesNewRoman"/>
          <w:szCs w:val="22"/>
          <w:lang w:val="sr-Latn-ME"/>
        </w:rPr>
        <w:t xml:space="preserve"> </w:t>
      </w:r>
      <w:r w:rsidRPr="001870F3">
        <w:rPr>
          <w:rFonts w:eastAsia="TimesNewRoman"/>
          <w:szCs w:val="22"/>
          <w:lang w:val="sr-Latn-ME"/>
        </w:rPr>
        <w:t>Sitagliptin u kliničkim studijama nije značajno izm</w:t>
      </w:r>
      <w:r w:rsidR="00452FA6" w:rsidRPr="001870F3">
        <w:rPr>
          <w:rFonts w:eastAsia="TimesNewRoman"/>
          <w:szCs w:val="22"/>
          <w:lang w:val="sr-Latn-ME"/>
        </w:rPr>
        <w:t>j</w:t>
      </w:r>
      <w:r w:rsidRPr="001870F3">
        <w:rPr>
          <w:rFonts w:eastAsia="TimesNewRoman"/>
          <w:szCs w:val="22"/>
          <w:lang w:val="sr-Latn-ME"/>
        </w:rPr>
        <w:t>enio farmakokinetiku metformina, gliburida, simvastatina,</w:t>
      </w:r>
      <w:r w:rsidR="006361B1" w:rsidRPr="001870F3">
        <w:rPr>
          <w:rFonts w:eastAsia="TimesNewRoman"/>
          <w:szCs w:val="22"/>
          <w:lang w:val="sr-Latn-ME"/>
        </w:rPr>
        <w:t xml:space="preserve"> </w:t>
      </w:r>
      <w:r w:rsidRPr="001870F3">
        <w:rPr>
          <w:rFonts w:eastAsia="TimesNewRoman"/>
          <w:szCs w:val="22"/>
          <w:lang w:val="sr-Latn-ME"/>
        </w:rPr>
        <w:t xml:space="preserve">rosiglitazona, varfarina ili oralnih kontraceptiva, pružajući </w:t>
      </w:r>
      <w:r w:rsidRPr="001870F3">
        <w:rPr>
          <w:rFonts w:eastAsia="TimesNewRoman"/>
          <w:i/>
          <w:iCs/>
          <w:szCs w:val="22"/>
          <w:lang w:val="sr-Latn-ME"/>
        </w:rPr>
        <w:t xml:space="preserve">in vivo </w:t>
      </w:r>
      <w:r w:rsidRPr="001870F3">
        <w:rPr>
          <w:rFonts w:eastAsia="TimesNewRoman"/>
          <w:szCs w:val="22"/>
          <w:lang w:val="sr-Latn-ME"/>
        </w:rPr>
        <w:t>dokaz o maloj sklonosti ka izazivanju</w:t>
      </w:r>
      <w:r w:rsidR="00452FA6" w:rsidRPr="001870F3">
        <w:rPr>
          <w:rFonts w:eastAsia="TimesNewRoman"/>
          <w:szCs w:val="22"/>
          <w:lang w:val="sr-Latn-ME"/>
        </w:rPr>
        <w:t xml:space="preserve"> </w:t>
      </w:r>
      <w:r w:rsidRPr="001870F3">
        <w:rPr>
          <w:rFonts w:eastAsia="TimesNewRoman"/>
          <w:szCs w:val="22"/>
          <w:lang w:val="sr-Latn-ME"/>
        </w:rPr>
        <w:t>interakcija sa supstratima CYP3A4, CYP2C8, CYP2C9 i organskim katjonskim transporterom (OCT).</w:t>
      </w:r>
      <w:r w:rsidR="00A272AF" w:rsidRPr="001870F3">
        <w:rPr>
          <w:rFonts w:eastAsia="TimesNewRoman"/>
          <w:szCs w:val="22"/>
          <w:lang w:val="sr-Latn-ME"/>
        </w:rPr>
        <w:t xml:space="preserve"> </w:t>
      </w:r>
      <w:r w:rsidRPr="001870F3">
        <w:rPr>
          <w:rFonts w:eastAsia="TimesNewRoman"/>
          <w:szCs w:val="22"/>
          <w:lang w:val="sr-Latn-ME"/>
        </w:rPr>
        <w:t>Sitagliptin je imao mali uticaj na koncentracije digoksina u plazmi i može biti blagi inhibitor p</w:t>
      </w:r>
      <w:r w:rsidR="00A272AF" w:rsidRPr="001870F3">
        <w:rPr>
          <w:rFonts w:eastAsia="TimesNewRoman"/>
          <w:szCs w:val="22"/>
          <w:lang w:val="sr-Latn-ME"/>
        </w:rPr>
        <w:t>-</w:t>
      </w:r>
      <w:r w:rsidRPr="001870F3">
        <w:rPr>
          <w:rFonts w:eastAsia="TimesNewRoman"/>
          <w:szCs w:val="22"/>
          <w:lang w:val="sr-Latn-ME"/>
        </w:rPr>
        <w:t xml:space="preserve">glikoproteina </w:t>
      </w:r>
      <w:r w:rsidRPr="001870F3">
        <w:rPr>
          <w:rFonts w:eastAsia="TimesNewRoman"/>
          <w:i/>
          <w:iCs/>
          <w:szCs w:val="22"/>
          <w:lang w:val="sr-Latn-ME"/>
        </w:rPr>
        <w:t>in vivo.</w:t>
      </w:r>
    </w:p>
    <w:p w14:paraId="2E86A14F" w14:textId="77777777" w:rsidR="000D3D69" w:rsidRPr="001870F3" w:rsidRDefault="000D3D69" w:rsidP="001870F3">
      <w:pPr>
        <w:widowControl w:val="0"/>
        <w:rPr>
          <w:szCs w:val="22"/>
          <w:lang w:val="sr-Latn-ME"/>
        </w:rPr>
      </w:pPr>
    </w:p>
    <w:p w14:paraId="2E86A150" w14:textId="77777777" w:rsidR="00CE09F3" w:rsidRPr="001870F3" w:rsidRDefault="00CE09F3" w:rsidP="001870F3">
      <w:pPr>
        <w:widowControl w:val="0"/>
        <w:rPr>
          <w:b/>
          <w:bCs/>
          <w:szCs w:val="22"/>
          <w:lang w:val="sr-Latn-ME"/>
        </w:rPr>
      </w:pPr>
      <w:r w:rsidRPr="001870F3">
        <w:rPr>
          <w:b/>
          <w:bCs/>
          <w:szCs w:val="22"/>
          <w:lang w:val="sr-Latn-ME"/>
        </w:rPr>
        <w:t>4.6. Plodnost, trudnoća i dojenje</w:t>
      </w:r>
    </w:p>
    <w:p w14:paraId="2E86A151" w14:textId="77777777" w:rsidR="00297B21" w:rsidRPr="001870F3" w:rsidRDefault="00297B21" w:rsidP="001870F3">
      <w:pPr>
        <w:widowControl w:val="0"/>
        <w:tabs>
          <w:tab w:val="clear" w:pos="284"/>
        </w:tabs>
        <w:autoSpaceDE w:val="0"/>
        <w:autoSpaceDN w:val="0"/>
        <w:adjustRightInd w:val="0"/>
        <w:rPr>
          <w:rFonts w:eastAsia="TimesNewRoman"/>
          <w:szCs w:val="22"/>
          <w:u w:val="single"/>
          <w:lang w:val="sr-Latn-ME"/>
        </w:rPr>
      </w:pPr>
    </w:p>
    <w:p w14:paraId="39F63474" w14:textId="77777777" w:rsidR="000D78A3" w:rsidRPr="001870F3" w:rsidRDefault="000D78A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Plodnost</w:t>
      </w:r>
    </w:p>
    <w:p w14:paraId="35470A7A" w14:textId="7ECD7146" w:rsidR="000D78A3" w:rsidRPr="001870F3" w:rsidRDefault="000D78A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Podaci iz studija na životinjama ne ukazuju na to da sitagliptin utiče na plodnost kod mužjaka i ženki. Podaci na ljudima nijesu dostupni.</w:t>
      </w:r>
    </w:p>
    <w:p w14:paraId="2A7F8DC8" w14:textId="77777777" w:rsidR="000D78A3" w:rsidRPr="001870F3" w:rsidRDefault="000D78A3" w:rsidP="001870F3">
      <w:pPr>
        <w:widowControl w:val="0"/>
        <w:tabs>
          <w:tab w:val="clear" w:pos="284"/>
        </w:tabs>
        <w:autoSpaceDE w:val="0"/>
        <w:autoSpaceDN w:val="0"/>
        <w:adjustRightInd w:val="0"/>
        <w:rPr>
          <w:rFonts w:eastAsia="TimesNewRoman"/>
          <w:szCs w:val="22"/>
          <w:lang w:val="sr-Latn-ME"/>
        </w:rPr>
      </w:pPr>
    </w:p>
    <w:p w14:paraId="2E86A152" w14:textId="77777777" w:rsidR="00B8334F" w:rsidRPr="001870F3" w:rsidRDefault="00B8334F"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Trudnoća</w:t>
      </w:r>
    </w:p>
    <w:p w14:paraId="2E86A154" w14:textId="273444E8"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Nema adekvatnih podataka o upotrebi sitaglitpina kod trudnica. Studije na životinjama pokazale su</w:t>
      </w:r>
      <w:r w:rsidR="00A272AF" w:rsidRPr="001870F3">
        <w:rPr>
          <w:rFonts w:eastAsia="TimesNewRoman"/>
          <w:szCs w:val="22"/>
          <w:lang w:val="sr-Latn-ME"/>
        </w:rPr>
        <w:t xml:space="preserve"> </w:t>
      </w:r>
      <w:r w:rsidRPr="001870F3">
        <w:rPr>
          <w:rFonts w:eastAsia="TimesNewRoman"/>
          <w:szCs w:val="22"/>
          <w:lang w:val="sr-Latn-ME"/>
        </w:rPr>
        <w:t>reproduktivnu toksičnost kod velikih doza sitagliptina (</w:t>
      </w:r>
      <w:bookmarkStart w:id="2" w:name="_Hlk116393758"/>
      <w:r w:rsidR="000220E4" w:rsidRPr="001870F3">
        <w:rPr>
          <w:rFonts w:eastAsia="TimesNewRoman"/>
          <w:szCs w:val="22"/>
          <w:lang w:val="sr-Latn-ME"/>
        </w:rPr>
        <w:t>pogledati dio</w:t>
      </w:r>
      <w:r w:rsidRPr="001870F3">
        <w:rPr>
          <w:rFonts w:eastAsia="TimesNewRoman"/>
          <w:szCs w:val="22"/>
          <w:lang w:val="sr-Latn-ME"/>
        </w:rPr>
        <w:t xml:space="preserve"> </w:t>
      </w:r>
      <w:bookmarkEnd w:id="2"/>
      <w:r w:rsidRPr="001870F3">
        <w:rPr>
          <w:rFonts w:eastAsia="TimesNewRoman"/>
          <w:szCs w:val="22"/>
          <w:lang w:val="sr-Latn-ME"/>
        </w:rPr>
        <w:t>5.3).</w:t>
      </w:r>
    </w:p>
    <w:p w14:paraId="1B44526C" w14:textId="77777777" w:rsidR="009A67C0" w:rsidRPr="001870F3" w:rsidRDefault="009A67C0" w:rsidP="001870F3">
      <w:pPr>
        <w:widowControl w:val="0"/>
        <w:tabs>
          <w:tab w:val="clear" w:pos="284"/>
        </w:tabs>
        <w:autoSpaceDE w:val="0"/>
        <w:autoSpaceDN w:val="0"/>
        <w:adjustRightInd w:val="0"/>
        <w:rPr>
          <w:rFonts w:eastAsia="TimesNewRoman"/>
          <w:szCs w:val="22"/>
          <w:lang w:val="sr-Latn-ME"/>
        </w:rPr>
      </w:pPr>
    </w:p>
    <w:p w14:paraId="2E86A155" w14:textId="2F3A1752"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Ograničeni podaci navode na zaključak da se metformin kod trudnica ne dovodi u vezu sa povećanim rizikom od kongenitalnih deformacija. Ispitivanja na životinjama ne ukazuju na štetne efekte tokom trudnoće, razvoja embriona i fetusa, porođaja i postnatalnog razvoja (</w:t>
      </w:r>
      <w:r w:rsidR="00797A1A" w:rsidRPr="001870F3">
        <w:rPr>
          <w:rFonts w:eastAsia="TimesNewRoman"/>
          <w:szCs w:val="22"/>
          <w:lang w:val="sr-Latn-ME"/>
        </w:rPr>
        <w:t xml:space="preserve">pogledati dio </w:t>
      </w:r>
      <w:r w:rsidRPr="001870F3">
        <w:rPr>
          <w:rFonts w:eastAsia="TimesNewRoman"/>
          <w:szCs w:val="22"/>
          <w:lang w:val="sr-Latn-ME"/>
        </w:rPr>
        <w:t>5.3).</w:t>
      </w:r>
    </w:p>
    <w:p w14:paraId="4B93DC5A" w14:textId="77777777" w:rsidR="006E5121" w:rsidRPr="001870F3" w:rsidRDefault="006E5121" w:rsidP="001870F3">
      <w:pPr>
        <w:widowControl w:val="0"/>
        <w:tabs>
          <w:tab w:val="clear" w:pos="284"/>
        </w:tabs>
        <w:autoSpaceDE w:val="0"/>
        <w:autoSpaceDN w:val="0"/>
        <w:adjustRightInd w:val="0"/>
        <w:rPr>
          <w:rFonts w:eastAsia="TimesNewRoman"/>
          <w:szCs w:val="22"/>
          <w:lang w:val="sr-Latn-ME"/>
        </w:rPr>
      </w:pPr>
    </w:p>
    <w:p w14:paraId="2E86A156" w14:textId="77777777"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452FA6" w:rsidRPr="001870F3">
        <w:rPr>
          <w:rFonts w:eastAsia="TimesNewRoman"/>
          <w:szCs w:val="22"/>
          <w:lang w:val="sr-Latn-ME"/>
        </w:rPr>
        <w:t>ij</w:t>
      </w:r>
      <w:r w:rsidRPr="001870F3">
        <w:rPr>
          <w:rFonts w:eastAsia="TimesNewRoman"/>
          <w:szCs w:val="22"/>
          <w:lang w:val="sr-Latn-ME"/>
        </w:rPr>
        <w:t>ek Dolista Duo ne treba koristiti u toku trudnoće. Ukoliko pacijentkinja želi da zatrudni ili ako dođe do trudnoće, treba prekinuti terapiju l</w:t>
      </w:r>
      <w:r w:rsidR="00452FA6" w:rsidRPr="001870F3">
        <w:rPr>
          <w:rFonts w:eastAsia="TimesNewRoman"/>
          <w:szCs w:val="22"/>
          <w:lang w:val="sr-Latn-ME"/>
        </w:rPr>
        <w:t>ij</w:t>
      </w:r>
      <w:r w:rsidRPr="001870F3">
        <w:rPr>
          <w:rFonts w:eastAsia="TimesNewRoman"/>
          <w:szCs w:val="22"/>
          <w:lang w:val="sr-Latn-ME"/>
        </w:rPr>
        <w:t>ekom Dolista Duo i što pr</w:t>
      </w:r>
      <w:r w:rsidR="00452FA6" w:rsidRPr="001870F3">
        <w:rPr>
          <w:rFonts w:eastAsia="TimesNewRoman"/>
          <w:szCs w:val="22"/>
          <w:lang w:val="sr-Latn-ME"/>
        </w:rPr>
        <w:t>ij</w:t>
      </w:r>
      <w:r w:rsidRPr="001870F3">
        <w:rPr>
          <w:rFonts w:eastAsia="TimesNewRoman"/>
          <w:szCs w:val="22"/>
          <w:lang w:val="sr-Latn-ME"/>
        </w:rPr>
        <w:t>e preći na insulinsku terapiju.</w:t>
      </w:r>
    </w:p>
    <w:p w14:paraId="2E86A157" w14:textId="77777777" w:rsidR="00B8334F" w:rsidRPr="001870F3" w:rsidRDefault="00B8334F" w:rsidP="001870F3">
      <w:pPr>
        <w:widowControl w:val="0"/>
        <w:tabs>
          <w:tab w:val="clear" w:pos="284"/>
        </w:tabs>
        <w:autoSpaceDE w:val="0"/>
        <w:autoSpaceDN w:val="0"/>
        <w:adjustRightInd w:val="0"/>
        <w:rPr>
          <w:rFonts w:eastAsia="TimesNewRoman"/>
          <w:szCs w:val="22"/>
          <w:lang w:val="sr-Latn-ME"/>
        </w:rPr>
      </w:pPr>
    </w:p>
    <w:p w14:paraId="2E86A158" w14:textId="77777777" w:rsidR="00B8334F" w:rsidRPr="001870F3" w:rsidRDefault="00B8334F"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Dojenje</w:t>
      </w:r>
    </w:p>
    <w:p w14:paraId="2E86A159" w14:textId="38CD8DA4"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Ispitivanja kombinovanih aktivnih supstanci l</w:t>
      </w:r>
      <w:r w:rsidR="00452FA6" w:rsidRPr="001870F3">
        <w:rPr>
          <w:rFonts w:eastAsia="TimesNewRoman"/>
          <w:szCs w:val="22"/>
          <w:lang w:val="sr-Latn-ME"/>
        </w:rPr>
        <w:t>ij</w:t>
      </w:r>
      <w:r w:rsidRPr="001870F3">
        <w:rPr>
          <w:rFonts w:eastAsia="TimesNewRoman"/>
          <w:szCs w:val="22"/>
          <w:lang w:val="sr-Latn-ME"/>
        </w:rPr>
        <w:t>eka Dolista Duo ni</w:t>
      </w:r>
      <w:r w:rsidR="00E936B4" w:rsidRPr="001870F3">
        <w:rPr>
          <w:rFonts w:eastAsia="TimesNewRoman"/>
          <w:szCs w:val="22"/>
          <w:lang w:val="sr-Latn-ME"/>
        </w:rPr>
        <w:t>je</w:t>
      </w:r>
      <w:r w:rsidRPr="001870F3">
        <w:rPr>
          <w:rFonts w:eastAsia="TimesNewRoman"/>
          <w:szCs w:val="22"/>
          <w:lang w:val="sr-Latn-ME"/>
        </w:rPr>
        <w:t>su vršena na životinjama u periodu laktacije. U studijama sp</w:t>
      </w:r>
      <w:r w:rsidR="007F3506" w:rsidRPr="001870F3">
        <w:rPr>
          <w:rFonts w:eastAsia="TimesNewRoman"/>
          <w:szCs w:val="22"/>
          <w:lang w:val="sr-Latn-ME"/>
        </w:rPr>
        <w:t>r</w:t>
      </w:r>
      <w:r w:rsidRPr="001870F3">
        <w:rPr>
          <w:rFonts w:eastAsia="TimesNewRoman"/>
          <w:szCs w:val="22"/>
          <w:lang w:val="sr-Latn-ME"/>
        </w:rPr>
        <w:t>ovedenim sa pojedinačnim aktivnim supstancama, pokazano je da se i sitagliptin i metformin</w:t>
      </w:r>
      <w:r w:rsidR="006D5252" w:rsidRPr="001870F3">
        <w:rPr>
          <w:rFonts w:eastAsia="TimesNewRoman"/>
          <w:szCs w:val="22"/>
          <w:lang w:val="sr-Latn-ME"/>
        </w:rPr>
        <w:t xml:space="preserve"> </w:t>
      </w:r>
      <w:r w:rsidRPr="001870F3">
        <w:rPr>
          <w:rFonts w:eastAsia="TimesNewRoman"/>
          <w:szCs w:val="22"/>
          <w:lang w:val="sr-Latn-ME"/>
        </w:rPr>
        <w:t>izlučuju u ml</w:t>
      </w:r>
      <w:r w:rsidR="00452FA6" w:rsidRPr="001870F3">
        <w:rPr>
          <w:rFonts w:eastAsia="TimesNewRoman"/>
          <w:szCs w:val="22"/>
          <w:lang w:val="sr-Latn-ME"/>
        </w:rPr>
        <w:t>ij</w:t>
      </w:r>
      <w:r w:rsidRPr="001870F3">
        <w:rPr>
          <w:rFonts w:eastAsia="TimesNewRoman"/>
          <w:szCs w:val="22"/>
          <w:lang w:val="sr-Latn-ME"/>
        </w:rPr>
        <w:t>eku pacova. Metformin se u malim količinama izlučuje u humanom ml</w:t>
      </w:r>
      <w:r w:rsidR="00452FA6" w:rsidRPr="001870F3">
        <w:rPr>
          <w:rFonts w:eastAsia="TimesNewRoman"/>
          <w:szCs w:val="22"/>
          <w:lang w:val="sr-Latn-ME"/>
        </w:rPr>
        <w:t>ij</w:t>
      </w:r>
      <w:r w:rsidRPr="001870F3">
        <w:rPr>
          <w:rFonts w:eastAsia="TimesNewRoman"/>
          <w:szCs w:val="22"/>
          <w:lang w:val="sr-Latn-ME"/>
        </w:rPr>
        <w:t>eku. Nije poznato da li se sitagliptin izlučuje u humanom ml</w:t>
      </w:r>
      <w:r w:rsidR="00452FA6" w:rsidRPr="001870F3">
        <w:rPr>
          <w:rFonts w:eastAsia="TimesNewRoman"/>
          <w:szCs w:val="22"/>
          <w:lang w:val="sr-Latn-ME"/>
        </w:rPr>
        <w:t>ij</w:t>
      </w:r>
      <w:r w:rsidRPr="001870F3">
        <w:rPr>
          <w:rFonts w:eastAsia="TimesNewRoman"/>
          <w:szCs w:val="22"/>
          <w:lang w:val="sr-Latn-ME"/>
        </w:rPr>
        <w:t>eku. L</w:t>
      </w:r>
      <w:r w:rsidR="00452FA6" w:rsidRPr="001870F3">
        <w:rPr>
          <w:rFonts w:eastAsia="TimesNewRoman"/>
          <w:szCs w:val="22"/>
          <w:lang w:val="sr-Latn-ME"/>
        </w:rPr>
        <w:t>ij</w:t>
      </w:r>
      <w:r w:rsidRPr="001870F3">
        <w:rPr>
          <w:rFonts w:eastAsia="TimesNewRoman"/>
          <w:szCs w:val="22"/>
          <w:lang w:val="sr-Latn-ME"/>
        </w:rPr>
        <w:t>ek Dolista Duo se, stoga, ne sm</w:t>
      </w:r>
      <w:r w:rsidR="00452FA6" w:rsidRPr="001870F3">
        <w:rPr>
          <w:rFonts w:eastAsia="TimesNewRoman"/>
          <w:szCs w:val="22"/>
          <w:lang w:val="sr-Latn-ME"/>
        </w:rPr>
        <w:t>ij</w:t>
      </w:r>
      <w:r w:rsidRPr="001870F3">
        <w:rPr>
          <w:rFonts w:eastAsia="TimesNewRoman"/>
          <w:szCs w:val="22"/>
          <w:lang w:val="sr-Latn-ME"/>
        </w:rPr>
        <w:t>e koristiti kod žena koje doje (</w:t>
      </w:r>
      <w:r w:rsidR="00797A1A" w:rsidRPr="001870F3">
        <w:rPr>
          <w:rFonts w:eastAsia="TimesNewRoman"/>
          <w:szCs w:val="22"/>
          <w:lang w:val="sr-Latn-ME"/>
        </w:rPr>
        <w:t xml:space="preserve">pogledati dio </w:t>
      </w:r>
      <w:r w:rsidRPr="001870F3">
        <w:rPr>
          <w:rFonts w:eastAsia="TimesNewRoman"/>
          <w:szCs w:val="22"/>
          <w:lang w:val="sr-Latn-ME"/>
        </w:rPr>
        <w:t>4.3).</w:t>
      </w:r>
    </w:p>
    <w:p w14:paraId="2E86A15D" w14:textId="39BAC749" w:rsidR="00B8334F" w:rsidRPr="001870F3" w:rsidRDefault="00B8334F" w:rsidP="001870F3">
      <w:pPr>
        <w:widowControl w:val="0"/>
        <w:rPr>
          <w:szCs w:val="22"/>
          <w:lang w:val="sr-Latn-ME"/>
        </w:rPr>
      </w:pPr>
    </w:p>
    <w:p w14:paraId="2E86A15E" w14:textId="25582FEC" w:rsidR="00CE09F3" w:rsidRPr="001870F3" w:rsidRDefault="00CE09F3" w:rsidP="001870F3">
      <w:pPr>
        <w:widowControl w:val="0"/>
        <w:rPr>
          <w:b/>
          <w:bCs/>
          <w:spacing w:val="-8"/>
          <w:szCs w:val="22"/>
          <w:lang w:val="sr-Latn-ME"/>
        </w:rPr>
      </w:pPr>
      <w:r w:rsidRPr="001870F3">
        <w:rPr>
          <w:b/>
          <w:bCs/>
          <w:spacing w:val="-8"/>
          <w:szCs w:val="22"/>
          <w:lang w:val="sr-Latn-ME"/>
        </w:rPr>
        <w:t>4.7. Uticaj l</w:t>
      </w:r>
      <w:r w:rsidR="00452FA6" w:rsidRPr="001870F3">
        <w:rPr>
          <w:b/>
          <w:bCs/>
          <w:spacing w:val="-8"/>
          <w:szCs w:val="22"/>
          <w:lang w:val="sr-Latn-ME"/>
        </w:rPr>
        <w:t>ij</w:t>
      </w:r>
      <w:r w:rsidRPr="001870F3">
        <w:rPr>
          <w:b/>
          <w:bCs/>
          <w:spacing w:val="-8"/>
          <w:szCs w:val="22"/>
          <w:lang w:val="sr-Latn-ME"/>
        </w:rPr>
        <w:t>eka na sposobnost upravljanja vozilima i rukovanj</w:t>
      </w:r>
      <w:r w:rsidR="000D78A3" w:rsidRPr="001870F3">
        <w:rPr>
          <w:b/>
          <w:bCs/>
          <w:spacing w:val="-8"/>
          <w:szCs w:val="22"/>
          <w:lang w:val="sr-Latn-ME"/>
        </w:rPr>
        <w:t>e</w:t>
      </w:r>
      <w:r w:rsidRPr="001870F3">
        <w:rPr>
          <w:b/>
          <w:bCs/>
          <w:spacing w:val="-8"/>
          <w:szCs w:val="22"/>
          <w:lang w:val="sr-Latn-ME"/>
        </w:rPr>
        <w:t xml:space="preserve"> mašinama</w:t>
      </w:r>
    </w:p>
    <w:p w14:paraId="2E86A15F" w14:textId="77777777" w:rsidR="00CE09F3" w:rsidRPr="001870F3" w:rsidRDefault="00CE09F3" w:rsidP="001870F3">
      <w:pPr>
        <w:widowControl w:val="0"/>
        <w:rPr>
          <w:szCs w:val="22"/>
          <w:lang w:val="sr-Latn-ME"/>
        </w:rPr>
      </w:pPr>
    </w:p>
    <w:p w14:paraId="2E86A160" w14:textId="55CACB1A" w:rsidR="008E36E3" w:rsidRPr="001870F3" w:rsidRDefault="008E36E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452FA6" w:rsidRPr="001870F3">
        <w:rPr>
          <w:rFonts w:eastAsia="TimesNewRoman"/>
          <w:szCs w:val="22"/>
          <w:lang w:val="sr-Latn-ME"/>
        </w:rPr>
        <w:t>ij</w:t>
      </w:r>
      <w:r w:rsidRPr="001870F3">
        <w:rPr>
          <w:rFonts w:eastAsia="TimesNewRoman"/>
          <w:szCs w:val="22"/>
          <w:lang w:val="sr-Latn-ME"/>
        </w:rPr>
        <w:t>ek Dolista Duo nema ili ima zanemarljiv uticaj na psihofizičke sposobnosti prilikom upravljanja</w:t>
      </w:r>
      <w:r w:rsidR="005E1A7D" w:rsidRPr="001870F3">
        <w:rPr>
          <w:rFonts w:eastAsia="TimesNewRoman"/>
          <w:szCs w:val="22"/>
          <w:lang w:val="sr-Latn-ME"/>
        </w:rPr>
        <w:t xml:space="preserve"> </w:t>
      </w:r>
      <w:r w:rsidRPr="001870F3">
        <w:rPr>
          <w:rFonts w:eastAsia="TimesNewRoman"/>
          <w:szCs w:val="22"/>
          <w:lang w:val="sr-Latn-ME"/>
        </w:rPr>
        <w:t>motornim vozilom i rukovanja mašinama. Međutim, prilikom upravljanja motornim vozilom i rukovanja mašinama treba uzeti u obzir da su kod sitagliptina prijavljene vrtoglavica i pospanost.</w:t>
      </w:r>
    </w:p>
    <w:p w14:paraId="5FDE7E48" w14:textId="77777777" w:rsidR="00EB6ECC" w:rsidRPr="001870F3" w:rsidRDefault="00EB6ECC" w:rsidP="001870F3">
      <w:pPr>
        <w:widowControl w:val="0"/>
        <w:tabs>
          <w:tab w:val="clear" w:pos="284"/>
        </w:tabs>
        <w:autoSpaceDE w:val="0"/>
        <w:autoSpaceDN w:val="0"/>
        <w:adjustRightInd w:val="0"/>
        <w:rPr>
          <w:rFonts w:eastAsia="TimesNewRoman"/>
          <w:szCs w:val="22"/>
          <w:lang w:val="sr-Latn-ME"/>
        </w:rPr>
      </w:pPr>
    </w:p>
    <w:p w14:paraId="2E86A161" w14:textId="721B8C21" w:rsidR="00CE09F3" w:rsidRPr="001870F3" w:rsidRDefault="008E36E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Osim toga, pacijente treba upozoriti na rizik od hipoglikemije kada se l</w:t>
      </w:r>
      <w:r w:rsidR="00452FA6" w:rsidRPr="001870F3">
        <w:rPr>
          <w:rFonts w:eastAsia="TimesNewRoman"/>
          <w:szCs w:val="22"/>
          <w:lang w:val="sr-Latn-ME"/>
        </w:rPr>
        <w:t>ij</w:t>
      </w:r>
      <w:r w:rsidRPr="001870F3">
        <w:rPr>
          <w:rFonts w:eastAsia="TimesNewRoman"/>
          <w:szCs w:val="22"/>
          <w:lang w:val="sr-Latn-ME"/>
        </w:rPr>
        <w:t xml:space="preserve">ek Dolista Duo koristi u kombinaciji sa </w:t>
      </w:r>
      <w:r w:rsidR="006E2CEC" w:rsidRPr="001870F3">
        <w:rPr>
          <w:rFonts w:eastAsia="TimesNewRoman"/>
          <w:szCs w:val="22"/>
          <w:lang w:val="sr-Latn-ME"/>
        </w:rPr>
        <w:t xml:space="preserve">derivatima </w:t>
      </w:r>
      <w:r w:rsidRPr="001870F3">
        <w:rPr>
          <w:rFonts w:eastAsia="TimesNewRoman"/>
          <w:szCs w:val="22"/>
          <w:lang w:val="sr-Latn-ME"/>
        </w:rPr>
        <w:t>sulfonilure</w:t>
      </w:r>
      <w:r w:rsidR="006E2CEC" w:rsidRPr="001870F3">
        <w:rPr>
          <w:rFonts w:eastAsia="TimesNewRoman"/>
          <w:szCs w:val="22"/>
          <w:lang w:val="sr-Latn-ME"/>
        </w:rPr>
        <w:t>e</w:t>
      </w:r>
      <w:r w:rsidRPr="001870F3">
        <w:rPr>
          <w:rFonts w:eastAsia="TimesNewRoman"/>
          <w:szCs w:val="22"/>
          <w:lang w:val="sr-Latn-ME"/>
        </w:rPr>
        <w:t xml:space="preserve"> ili sa insulinom.</w:t>
      </w:r>
    </w:p>
    <w:p w14:paraId="2E86A162" w14:textId="77777777" w:rsidR="008E36E3" w:rsidRPr="001870F3" w:rsidRDefault="008E36E3" w:rsidP="001870F3">
      <w:pPr>
        <w:widowControl w:val="0"/>
        <w:rPr>
          <w:szCs w:val="22"/>
          <w:lang w:val="sr-Latn-ME"/>
        </w:rPr>
      </w:pPr>
    </w:p>
    <w:p w14:paraId="2E86A163" w14:textId="77777777" w:rsidR="00CE09F3" w:rsidRPr="001870F3" w:rsidRDefault="00CE09F3" w:rsidP="001870F3">
      <w:pPr>
        <w:widowControl w:val="0"/>
        <w:rPr>
          <w:b/>
          <w:bCs/>
          <w:szCs w:val="22"/>
          <w:lang w:val="sr-Latn-ME"/>
        </w:rPr>
      </w:pPr>
      <w:r w:rsidRPr="001870F3">
        <w:rPr>
          <w:b/>
          <w:bCs/>
          <w:szCs w:val="22"/>
          <w:lang w:val="sr-Latn-ME"/>
        </w:rPr>
        <w:t>4.8. Neželjena dejstva</w:t>
      </w:r>
    </w:p>
    <w:p w14:paraId="2E86A164" w14:textId="77777777" w:rsidR="00CE09F3" w:rsidRPr="001870F3" w:rsidRDefault="00CE09F3" w:rsidP="001870F3">
      <w:pPr>
        <w:widowControl w:val="0"/>
        <w:rPr>
          <w:szCs w:val="22"/>
          <w:u w:val="single"/>
          <w:lang w:val="sr-Latn-ME"/>
        </w:rPr>
      </w:pPr>
    </w:p>
    <w:p w14:paraId="2E86A165" w14:textId="77777777" w:rsidR="00BD4AB7" w:rsidRPr="001870F3" w:rsidRDefault="00BD4AB7" w:rsidP="001870F3">
      <w:pPr>
        <w:widowControl w:val="0"/>
        <w:tabs>
          <w:tab w:val="clear" w:pos="284"/>
        </w:tabs>
        <w:autoSpaceDE w:val="0"/>
        <w:autoSpaceDN w:val="0"/>
        <w:adjustRightInd w:val="0"/>
        <w:rPr>
          <w:i/>
          <w:iCs/>
          <w:szCs w:val="22"/>
          <w:lang w:val="sr-Latn-ME"/>
        </w:rPr>
      </w:pPr>
      <w:r w:rsidRPr="001870F3">
        <w:rPr>
          <w:i/>
          <w:iCs/>
          <w:szCs w:val="22"/>
          <w:lang w:val="sr-Latn-ME"/>
        </w:rPr>
        <w:t>Sažetak profila bezb</w:t>
      </w:r>
      <w:r w:rsidR="00452FA6" w:rsidRPr="001870F3">
        <w:rPr>
          <w:i/>
          <w:iCs/>
          <w:szCs w:val="22"/>
          <w:lang w:val="sr-Latn-ME"/>
        </w:rPr>
        <w:t>j</w:t>
      </w:r>
      <w:r w:rsidRPr="001870F3">
        <w:rPr>
          <w:i/>
          <w:iCs/>
          <w:szCs w:val="22"/>
          <w:lang w:val="sr-Latn-ME"/>
        </w:rPr>
        <w:t>ednosti</w:t>
      </w:r>
    </w:p>
    <w:p w14:paraId="2D22A3B5" w14:textId="332D8312" w:rsidR="00350407" w:rsidRPr="001870F3" w:rsidRDefault="0035040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E936B4" w:rsidRPr="001870F3">
        <w:rPr>
          <w:rFonts w:eastAsia="TimesNewRoman"/>
          <w:szCs w:val="22"/>
          <w:lang w:val="sr-Latn-ME"/>
        </w:rPr>
        <w:t>je</w:t>
      </w:r>
      <w:r w:rsidRPr="001870F3">
        <w:rPr>
          <w:rFonts w:eastAsia="TimesNewRoman"/>
          <w:szCs w:val="22"/>
          <w:lang w:val="sr-Latn-ME"/>
        </w:rPr>
        <w:t>su sprovedena terapijska klinička ispitivanja kombinacije metformin/sitagliptin, ali je utvrđena bioekvivalencija kombinacije metformin/sitagliptin u jednoj tableti i istovremeno prim</w:t>
      </w:r>
      <w:r w:rsidR="00E936B4"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enjenih sitagliptina i metformina u odvojenim tabletama (</w:t>
      </w:r>
      <w:r w:rsidR="00797A1A" w:rsidRPr="001870F3">
        <w:rPr>
          <w:rFonts w:eastAsia="TimesNewRoman"/>
          <w:szCs w:val="22"/>
          <w:lang w:val="sr-Latn-ME"/>
        </w:rPr>
        <w:t xml:space="preserve">pogledati dio </w:t>
      </w:r>
      <w:r w:rsidRPr="001870F3">
        <w:rPr>
          <w:rFonts w:eastAsia="TimesNewRoman"/>
          <w:szCs w:val="22"/>
          <w:lang w:val="sr-Latn-ME"/>
        </w:rPr>
        <w:t>5.2). Prijavljen</w:t>
      </w:r>
      <w:r w:rsidR="000D78A3" w:rsidRPr="001870F3">
        <w:rPr>
          <w:rFonts w:eastAsia="TimesNewRoman"/>
          <w:szCs w:val="22"/>
          <w:lang w:val="sr-Latn-ME"/>
        </w:rPr>
        <w:t>a</w:t>
      </w:r>
      <w:r w:rsidRPr="001870F3">
        <w:rPr>
          <w:rFonts w:eastAsia="TimesNewRoman"/>
          <w:szCs w:val="22"/>
          <w:lang w:val="sr-Latn-ME"/>
        </w:rPr>
        <w:t xml:space="preserve"> su ozbiljn</w:t>
      </w:r>
      <w:r w:rsidR="000D78A3" w:rsidRPr="001870F3">
        <w:rPr>
          <w:rFonts w:eastAsia="TimesNewRoman"/>
          <w:szCs w:val="22"/>
          <w:lang w:val="sr-Latn-ME"/>
        </w:rPr>
        <w:t>a</w:t>
      </w:r>
      <w:r w:rsidRPr="001870F3">
        <w:rPr>
          <w:rFonts w:eastAsia="TimesNewRoman"/>
          <w:szCs w:val="22"/>
          <w:lang w:val="sr-Latn-ME"/>
        </w:rPr>
        <w:t xml:space="preserve"> neželjen</w:t>
      </w:r>
      <w:r w:rsidR="000D78A3" w:rsidRPr="001870F3">
        <w:rPr>
          <w:rFonts w:eastAsia="TimesNewRoman"/>
          <w:szCs w:val="22"/>
          <w:lang w:val="sr-Latn-ME"/>
        </w:rPr>
        <w:t xml:space="preserve">a </w:t>
      </w:r>
      <w:r w:rsidR="000D78A3" w:rsidRPr="001870F3">
        <w:rPr>
          <w:rFonts w:eastAsia="TimesNewRoman"/>
          <w:szCs w:val="22"/>
          <w:lang w:val="sr-Latn-ME"/>
        </w:rPr>
        <w:lastRenderedPageBreak/>
        <w:t>dejstva</w:t>
      </w:r>
      <w:r w:rsidRPr="001870F3">
        <w:rPr>
          <w:rFonts w:eastAsia="TimesNewRoman"/>
          <w:szCs w:val="22"/>
          <w:lang w:val="sr-Latn-ME"/>
        </w:rPr>
        <w:t>, uključujući pankreatitis i reakcije preos</w:t>
      </w:r>
      <w:r w:rsidR="00797A1A" w:rsidRPr="001870F3">
        <w:rPr>
          <w:rFonts w:eastAsia="TimesNewRoman"/>
          <w:szCs w:val="22"/>
          <w:lang w:val="sr-Latn-ME"/>
        </w:rPr>
        <w:t>j</w:t>
      </w:r>
      <w:r w:rsidRPr="001870F3">
        <w:rPr>
          <w:rFonts w:eastAsia="TimesNewRoman"/>
          <w:szCs w:val="22"/>
          <w:lang w:val="sr-Latn-ME"/>
        </w:rPr>
        <w:t>etljivosti. Prijavljena je hipoglikemija kada je l</w:t>
      </w:r>
      <w:r w:rsidR="00797A1A" w:rsidRPr="001870F3">
        <w:rPr>
          <w:rFonts w:eastAsia="TimesNewRoman"/>
          <w:szCs w:val="22"/>
          <w:lang w:val="sr-Latn-ME"/>
        </w:rPr>
        <w:t>ij</w:t>
      </w:r>
      <w:r w:rsidRPr="001870F3">
        <w:rPr>
          <w:rFonts w:eastAsia="TimesNewRoman"/>
          <w:szCs w:val="22"/>
          <w:lang w:val="sr-Latn-ME"/>
        </w:rPr>
        <w:t>ek prim</w:t>
      </w:r>
      <w:r w:rsidR="00797A1A" w:rsidRPr="001870F3">
        <w:rPr>
          <w:rFonts w:eastAsia="TimesNewRoman"/>
          <w:szCs w:val="22"/>
          <w:lang w:val="sr-Latn-ME"/>
        </w:rPr>
        <w:t>j</w:t>
      </w:r>
      <w:r w:rsidRPr="001870F3">
        <w:rPr>
          <w:rFonts w:eastAsia="TimesNewRoman"/>
          <w:szCs w:val="22"/>
          <w:lang w:val="sr-Latn-ME"/>
        </w:rPr>
        <w:t>enjivan zajedno sa derivatima sulfoniluree (13,8%) i insulinom (10,9%).</w:t>
      </w:r>
    </w:p>
    <w:p w14:paraId="2E86A16A" w14:textId="77777777" w:rsidR="00BD4AB7" w:rsidRPr="001870F3" w:rsidRDefault="00BD4AB7" w:rsidP="001870F3">
      <w:pPr>
        <w:widowControl w:val="0"/>
        <w:tabs>
          <w:tab w:val="clear" w:pos="284"/>
        </w:tabs>
        <w:autoSpaceDE w:val="0"/>
        <w:autoSpaceDN w:val="0"/>
        <w:adjustRightInd w:val="0"/>
        <w:rPr>
          <w:rFonts w:eastAsia="TimesNewRoman"/>
          <w:szCs w:val="22"/>
          <w:lang w:val="sr-Latn-ME"/>
        </w:rPr>
      </w:pPr>
    </w:p>
    <w:p w14:paraId="2E86A16B" w14:textId="10151C31" w:rsidR="00BD4AB7" w:rsidRPr="001870F3" w:rsidRDefault="00BD4AB7"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Tabelarni prikaz neželjenih dejstava</w:t>
      </w:r>
    </w:p>
    <w:p w14:paraId="14E72EBD" w14:textId="77777777" w:rsidR="009A67C0" w:rsidRPr="001870F3" w:rsidRDefault="009A67C0" w:rsidP="001870F3">
      <w:pPr>
        <w:widowControl w:val="0"/>
        <w:tabs>
          <w:tab w:val="clear" w:pos="284"/>
        </w:tabs>
        <w:autoSpaceDE w:val="0"/>
        <w:autoSpaceDN w:val="0"/>
        <w:adjustRightInd w:val="0"/>
        <w:rPr>
          <w:rFonts w:eastAsia="TimesNewRoman"/>
          <w:szCs w:val="22"/>
          <w:u w:val="single"/>
          <w:lang w:val="sr-Latn-ME"/>
        </w:rPr>
      </w:pPr>
    </w:p>
    <w:p w14:paraId="76C46284" w14:textId="77777777" w:rsidR="00E936B4" w:rsidRPr="001870F3" w:rsidRDefault="00E936B4"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 i sitagliptin</w:t>
      </w:r>
    </w:p>
    <w:p w14:paraId="55377A73" w14:textId="77777777" w:rsidR="00E936B4" w:rsidRPr="001870F3" w:rsidRDefault="00E936B4" w:rsidP="001870F3">
      <w:pPr>
        <w:widowControl w:val="0"/>
        <w:tabs>
          <w:tab w:val="clear" w:pos="284"/>
        </w:tabs>
        <w:autoSpaceDE w:val="0"/>
        <w:autoSpaceDN w:val="0"/>
        <w:adjustRightInd w:val="0"/>
        <w:rPr>
          <w:rFonts w:eastAsia="TimesNewRoman"/>
          <w:szCs w:val="22"/>
          <w:u w:val="single"/>
          <w:lang w:val="sr-Latn-ME"/>
        </w:rPr>
      </w:pPr>
    </w:p>
    <w:p w14:paraId="2C3DF7AB" w14:textId="36980D03" w:rsidR="0016214B" w:rsidRPr="001870F3" w:rsidRDefault="00BD4AB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Neželjena dejstva su navedena u </w:t>
      </w:r>
      <w:r w:rsidR="00386053" w:rsidRPr="001870F3">
        <w:rPr>
          <w:rFonts w:eastAsia="TimesNewRoman"/>
          <w:szCs w:val="22"/>
          <w:lang w:val="sr-Latn-ME"/>
        </w:rPr>
        <w:t>nastavku</w:t>
      </w:r>
      <w:r w:rsidRPr="001870F3">
        <w:rPr>
          <w:rFonts w:eastAsia="TimesNewRoman"/>
          <w:szCs w:val="22"/>
          <w:lang w:val="sr-Latn-ME"/>
        </w:rPr>
        <w:t xml:space="preserve"> </w:t>
      </w:r>
      <w:r w:rsidR="0016214B" w:rsidRPr="001870F3">
        <w:rPr>
          <w:rFonts w:eastAsia="TimesNewRoman"/>
          <w:szCs w:val="22"/>
          <w:lang w:val="sr-Latn-ME"/>
        </w:rPr>
        <w:t>na osnovu preporučene terminologije MedDRA, prema klasama sistema organa i apsolutnoj učestalosti (</w:t>
      </w:r>
      <w:r w:rsidR="0016214B" w:rsidRPr="001870F3">
        <w:rPr>
          <w:rFonts w:eastAsia="TimesNewRoman"/>
          <w:i/>
          <w:iCs/>
          <w:szCs w:val="22"/>
          <w:lang w:val="sr-Latn-ME"/>
        </w:rPr>
        <w:t>Tabela 1</w:t>
      </w:r>
      <w:r w:rsidR="0016214B" w:rsidRPr="001870F3">
        <w:rPr>
          <w:rFonts w:eastAsia="TimesNewRoman"/>
          <w:szCs w:val="22"/>
          <w:lang w:val="sr-Latn-ME"/>
        </w:rPr>
        <w:t>).</w:t>
      </w:r>
    </w:p>
    <w:p w14:paraId="594CAACB" w14:textId="77777777" w:rsidR="009A67C0" w:rsidRPr="001870F3" w:rsidRDefault="009A67C0" w:rsidP="001870F3">
      <w:pPr>
        <w:widowControl w:val="0"/>
        <w:tabs>
          <w:tab w:val="clear" w:pos="284"/>
        </w:tabs>
        <w:autoSpaceDE w:val="0"/>
        <w:autoSpaceDN w:val="0"/>
        <w:adjustRightInd w:val="0"/>
        <w:rPr>
          <w:rFonts w:eastAsia="TimesNewRoman"/>
          <w:szCs w:val="22"/>
          <w:lang w:val="sr-Latn-ME"/>
        </w:rPr>
      </w:pPr>
    </w:p>
    <w:p w14:paraId="6EDF5DA2" w14:textId="2C1DC9BC" w:rsidR="00CF3BBD" w:rsidRPr="001870F3" w:rsidRDefault="00CF3BBD" w:rsidP="001870F3">
      <w:pPr>
        <w:widowControl w:val="0"/>
        <w:rPr>
          <w:szCs w:val="22"/>
          <w:lang w:val="sr-Latn-ME"/>
        </w:rPr>
      </w:pPr>
      <w:r w:rsidRPr="001870F3">
        <w:rPr>
          <w:szCs w:val="22"/>
          <w:lang w:val="sr-Latn-ME"/>
        </w:rPr>
        <w:t>Učestalosti se definišu kao: veoma čest</w:t>
      </w:r>
      <w:r w:rsidR="000D78A3" w:rsidRPr="001870F3">
        <w:rPr>
          <w:szCs w:val="22"/>
          <w:lang w:val="sr-Latn-ME"/>
        </w:rPr>
        <w:t>o</w:t>
      </w:r>
      <w:r w:rsidRPr="001870F3">
        <w:rPr>
          <w:szCs w:val="22"/>
          <w:lang w:val="sr-Latn-ME"/>
        </w:rPr>
        <w:t xml:space="preserve"> (≥1/10), čest</w:t>
      </w:r>
      <w:r w:rsidR="000D78A3" w:rsidRPr="001870F3">
        <w:rPr>
          <w:szCs w:val="22"/>
          <w:lang w:val="sr-Latn-ME"/>
        </w:rPr>
        <w:t>o</w:t>
      </w:r>
      <w:r w:rsidRPr="001870F3">
        <w:rPr>
          <w:szCs w:val="22"/>
          <w:lang w:val="sr-Latn-ME"/>
        </w:rPr>
        <w:t xml:space="preserve"> (≥1/100 do &lt;1/10), povremen</w:t>
      </w:r>
      <w:r w:rsidR="000D78A3" w:rsidRPr="001870F3">
        <w:rPr>
          <w:szCs w:val="22"/>
          <w:lang w:val="sr-Latn-ME"/>
        </w:rPr>
        <w:t>o</w:t>
      </w:r>
      <w:r w:rsidRPr="001870F3">
        <w:rPr>
          <w:szCs w:val="22"/>
          <w:lang w:val="sr-Latn-ME"/>
        </w:rPr>
        <w:t xml:space="preserve"> (≥1/1000 do &lt;1/100), rijetk</w:t>
      </w:r>
      <w:r w:rsidR="000D78A3" w:rsidRPr="001870F3">
        <w:rPr>
          <w:szCs w:val="22"/>
          <w:lang w:val="sr-Latn-ME"/>
        </w:rPr>
        <w:t>o</w:t>
      </w:r>
      <w:r w:rsidRPr="001870F3">
        <w:rPr>
          <w:szCs w:val="22"/>
          <w:lang w:val="sr-Latn-ME"/>
        </w:rPr>
        <w:t xml:space="preserve"> (≥1/10000 do &lt;1/1000) i veoma rijetk</w:t>
      </w:r>
      <w:r w:rsidR="000D78A3" w:rsidRPr="001870F3">
        <w:rPr>
          <w:szCs w:val="22"/>
          <w:lang w:val="sr-Latn-ME"/>
        </w:rPr>
        <w:t>o</w:t>
      </w:r>
      <w:r w:rsidRPr="001870F3">
        <w:rPr>
          <w:szCs w:val="22"/>
          <w:lang w:val="sr-Latn-ME"/>
        </w:rPr>
        <w:t xml:space="preserve"> (&lt;1/10000) i nepoznat</w:t>
      </w:r>
      <w:r w:rsidR="000D78A3" w:rsidRPr="001870F3">
        <w:rPr>
          <w:szCs w:val="22"/>
          <w:lang w:val="sr-Latn-ME"/>
        </w:rPr>
        <w:t>o</w:t>
      </w:r>
      <w:r w:rsidRPr="001870F3">
        <w:rPr>
          <w:szCs w:val="22"/>
          <w:lang w:val="sr-Latn-ME"/>
        </w:rPr>
        <w:t xml:space="preserve"> (</w:t>
      </w:r>
      <w:r w:rsidR="000D78A3" w:rsidRPr="001870F3">
        <w:rPr>
          <w:szCs w:val="22"/>
          <w:lang w:val="sr-Latn-ME"/>
        </w:rPr>
        <w:t xml:space="preserve">učestalost se </w:t>
      </w:r>
      <w:r w:rsidRPr="001870F3">
        <w:rPr>
          <w:szCs w:val="22"/>
          <w:lang w:val="sr-Latn-ME"/>
        </w:rPr>
        <w:t>ne može proc</w:t>
      </w:r>
      <w:r w:rsidR="000D78A3" w:rsidRPr="001870F3">
        <w:rPr>
          <w:szCs w:val="22"/>
          <w:lang w:val="sr-Latn-ME"/>
        </w:rPr>
        <w:t>i</w:t>
      </w:r>
      <w:r w:rsidR="00CD16EF" w:rsidRPr="001870F3">
        <w:rPr>
          <w:szCs w:val="22"/>
          <w:lang w:val="sr-Latn-ME"/>
        </w:rPr>
        <w:t>j</w:t>
      </w:r>
      <w:r w:rsidRPr="001870F3">
        <w:rPr>
          <w:szCs w:val="22"/>
          <w:lang w:val="sr-Latn-ME"/>
        </w:rPr>
        <w:t>eniti na osnovu raspoloživih podataka).</w:t>
      </w:r>
    </w:p>
    <w:p w14:paraId="2E86A16E" w14:textId="77777777" w:rsidR="00BD4AB7" w:rsidRPr="001870F3" w:rsidRDefault="00BD4AB7" w:rsidP="001870F3">
      <w:pPr>
        <w:widowControl w:val="0"/>
        <w:rPr>
          <w:szCs w:val="22"/>
          <w:u w:val="single"/>
          <w:lang w:val="sr-Latn-ME"/>
        </w:rPr>
      </w:pPr>
    </w:p>
    <w:p w14:paraId="2E86A16F" w14:textId="52688DCD" w:rsidR="00BD4AB7" w:rsidRPr="001870F3" w:rsidRDefault="00BD4AB7" w:rsidP="001870F3">
      <w:pPr>
        <w:widowControl w:val="0"/>
        <w:rPr>
          <w:b/>
          <w:bCs/>
          <w:szCs w:val="22"/>
          <w:lang w:val="sr-Latn-ME"/>
        </w:rPr>
      </w:pPr>
      <w:r w:rsidRPr="001870F3">
        <w:rPr>
          <w:b/>
          <w:bCs/>
          <w:i/>
          <w:iCs/>
          <w:szCs w:val="22"/>
          <w:lang w:val="sr-Latn-ME"/>
        </w:rPr>
        <w:t>Tabela</w:t>
      </w:r>
      <w:r w:rsidRPr="001870F3">
        <w:rPr>
          <w:b/>
          <w:bCs/>
          <w:szCs w:val="22"/>
          <w:lang w:val="sr-Latn-ME"/>
        </w:rPr>
        <w:t xml:space="preserve"> 1. Učestalost než</w:t>
      </w:r>
      <w:r w:rsidR="00ED6F7E" w:rsidRPr="001870F3">
        <w:rPr>
          <w:b/>
          <w:bCs/>
          <w:szCs w:val="22"/>
          <w:lang w:val="sr-Latn-ME"/>
        </w:rPr>
        <w:t>eljenih dejs</w:t>
      </w:r>
      <w:r w:rsidR="007A39F4" w:rsidRPr="001870F3">
        <w:rPr>
          <w:b/>
          <w:bCs/>
          <w:szCs w:val="22"/>
          <w:lang w:val="sr-Latn-ME"/>
        </w:rPr>
        <w:t>tav</w:t>
      </w:r>
      <w:r w:rsidRPr="001870F3">
        <w:rPr>
          <w:b/>
          <w:bCs/>
          <w:szCs w:val="22"/>
          <w:lang w:val="sr-Latn-ME"/>
        </w:rPr>
        <w:t>a utvrđena u placebom-kontrolisanim kliničkim ispitivanjima</w:t>
      </w:r>
      <w:r w:rsidR="00F645A6" w:rsidRPr="001870F3">
        <w:rPr>
          <w:b/>
          <w:bCs/>
          <w:szCs w:val="22"/>
          <w:lang w:val="sr-Latn-ME"/>
        </w:rPr>
        <w:t xml:space="preserve"> sitagliptina i metformina</w:t>
      </w:r>
      <w:r w:rsidRPr="001870F3">
        <w:rPr>
          <w:b/>
          <w:bCs/>
          <w:szCs w:val="22"/>
          <w:lang w:val="sr-Latn-ME"/>
        </w:rPr>
        <w:t xml:space="preserve"> </w:t>
      </w:r>
      <w:r w:rsidR="00D13240" w:rsidRPr="001870F3">
        <w:rPr>
          <w:b/>
          <w:bCs/>
          <w:szCs w:val="22"/>
          <w:lang w:val="sr-Latn-ME"/>
        </w:rPr>
        <w:t xml:space="preserve">korišćenih pojedinačno </w:t>
      </w:r>
      <w:r w:rsidRPr="001870F3">
        <w:rPr>
          <w:b/>
          <w:bCs/>
          <w:szCs w:val="22"/>
          <w:lang w:val="sr-Latn-ME"/>
        </w:rPr>
        <w:t>i u period</w:t>
      </w:r>
      <w:r w:rsidR="00E936B4" w:rsidRPr="001870F3">
        <w:rPr>
          <w:b/>
          <w:bCs/>
          <w:szCs w:val="22"/>
          <w:lang w:val="sr-Latn-ME"/>
        </w:rPr>
        <w:t>u</w:t>
      </w:r>
      <w:r w:rsidRPr="001870F3">
        <w:rPr>
          <w:b/>
          <w:bCs/>
          <w:szCs w:val="22"/>
          <w:lang w:val="sr-Latn-ME"/>
        </w:rPr>
        <w:t xml:space="preserve"> nakon stavljanja l</w:t>
      </w:r>
      <w:r w:rsidR="00452FA6" w:rsidRPr="001870F3">
        <w:rPr>
          <w:b/>
          <w:bCs/>
          <w:szCs w:val="22"/>
          <w:lang w:val="sr-Latn-ME"/>
        </w:rPr>
        <w:t>ij</w:t>
      </w:r>
      <w:r w:rsidRPr="001870F3">
        <w:rPr>
          <w:b/>
          <w:bCs/>
          <w:szCs w:val="22"/>
          <w:lang w:val="sr-Latn-ME"/>
        </w:rPr>
        <w:t>eka u promet</w:t>
      </w:r>
    </w:p>
    <w:p w14:paraId="2E86A170" w14:textId="77777777" w:rsidR="00092280" w:rsidRPr="001870F3" w:rsidRDefault="00092280" w:rsidP="001870F3">
      <w:pPr>
        <w:widowControl w:val="0"/>
        <w:rPr>
          <w:b/>
          <w:bCs/>
          <w:szCs w:val="22"/>
          <w:lang w:val="sr-Latn-ME"/>
        </w:rPr>
      </w:pPr>
    </w:p>
    <w:tbl>
      <w:tblPr>
        <w:tblStyle w:val="TableGrid"/>
        <w:tblW w:w="5000" w:type="pct"/>
        <w:tblLook w:val="04A0" w:firstRow="1" w:lastRow="0" w:firstColumn="1" w:lastColumn="0" w:noHBand="0" w:noVBand="1"/>
      </w:tblPr>
      <w:tblGrid>
        <w:gridCol w:w="5011"/>
        <w:gridCol w:w="4050"/>
      </w:tblGrid>
      <w:tr w:rsidR="00F645A6" w:rsidRPr="001870F3" w14:paraId="2E86A173" w14:textId="77777777" w:rsidTr="005B56A9">
        <w:tc>
          <w:tcPr>
            <w:tcW w:w="2765" w:type="pct"/>
          </w:tcPr>
          <w:p w14:paraId="2E86A171" w14:textId="77777777" w:rsidR="00F645A6" w:rsidRPr="001870F3" w:rsidRDefault="00A311C0" w:rsidP="001870F3">
            <w:pPr>
              <w:widowControl w:val="0"/>
              <w:rPr>
                <w:b/>
                <w:bCs/>
                <w:szCs w:val="22"/>
                <w:lang w:val="sr-Latn-ME"/>
              </w:rPr>
            </w:pPr>
            <w:r w:rsidRPr="001870F3">
              <w:rPr>
                <w:b/>
                <w:szCs w:val="22"/>
                <w:lang w:val="sr-Latn-ME"/>
              </w:rPr>
              <w:t>Neželjeno dejstvo</w:t>
            </w:r>
          </w:p>
        </w:tc>
        <w:tc>
          <w:tcPr>
            <w:tcW w:w="2235" w:type="pct"/>
          </w:tcPr>
          <w:p w14:paraId="2E86A172" w14:textId="77777777" w:rsidR="00F645A6" w:rsidRPr="001870F3" w:rsidRDefault="00A311C0" w:rsidP="001870F3">
            <w:pPr>
              <w:widowControl w:val="0"/>
              <w:rPr>
                <w:b/>
                <w:bCs/>
                <w:szCs w:val="22"/>
                <w:lang w:val="sr-Latn-ME"/>
              </w:rPr>
            </w:pPr>
            <w:r w:rsidRPr="001870F3">
              <w:rPr>
                <w:b/>
                <w:szCs w:val="22"/>
                <w:lang w:val="sr-Latn-ME"/>
              </w:rPr>
              <w:t>Učestalost neželjenih dejstava</w:t>
            </w:r>
          </w:p>
        </w:tc>
      </w:tr>
      <w:tr w:rsidR="00F645A6" w:rsidRPr="001870F3" w14:paraId="2E86A176" w14:textId="77777777" w:rsidTr="005B56A9">
        <w:tc>
          <w:tcPr>
            <w:tcW w:w="2765" w:type="pct"/>
          </w:tcPr>
          <w:p w14:paraId="2E86A174" w14:textId="77777777" w:rsidR="00F645A6" w:rsidRPr="001870F3" w:rsidRDefault="00A311C0" w:rsidP="001870F3">
            <w:pPr>
              <w:widowControl w:val="0"/>
              <w:rPr>
                <w:b/>
                <w:bCs/>
                <w:szCs w:val="22"/>
                <w:lang w:val="sr-Latn-ME"/>
              </w:rPr>
            </w:pPr>
            <w:r w:rsidRPr="001870F3">
              <w:rPr>
                <w:b/>
                <w:bCs/>
                <w:szCs w:val="22"/>
                <w:lang w:val="sr-Latn-ME"/>
              </w:rPr>
              <w:t>Poremećaji krvi i limfnog sistema</w:t>
            </w:r>
          </w:p>
        </w:tc>
        <w:tc>
          <w:tcPr>
            <w:tcW w:w="2235" w:type="pct"/>
          </w:tcPr>
          <w:p w14:paraId="2E86A175" w14:textId="77777777" w:rsidR="00F645A6" w:rsidRPr="001870F3" w:rsidRDefault="00F645A6" w:rsidP="001870F3">
            <w:pPr>
              <w:widowControl w:val="0"/>
              <w:rPr>
                <w:b/>
                <w:bCs/>
                <w:szCs w:val="22"/>
                <w:lang w:val="sr-Latn-ME"/>
              </w:rPr>
            </w:pPr>
          </w:p>
        </w:tc>
      </w:tr>
      <w:tr w:rsidR="00F645A6" w:rsidRPr="001870F3" w14:paraId="2E86A179" w14:textId="77777777" w:rsidTr="005B56A9">
        <w:tc>
          <w:tcPr>
            <w:tcW w:w="2765" w:type="pct"/>
          </w:tcPr>
          <w:p w14:paraId="2E86A177" w14:textId="7A5BDAC2" w:rsidR="00F645A6" w:rsidRPr="001870F3" w:rsidRDefault="0007106A" w:rsidP="001870F3">
            <w:pPr>
              <w:widowControl w:val="0"/>
              <w:rPr>
                <w:bCs/>
                <w:szCs w:val="22"/>
                <w:lang w:val="sr-Latn-ME"/>
              </w:rPr>
            </w:pPr>
            <w:r w:rsidRPr="001870F3">
              <w:rPr>
                <w:bCs/>
                <w:szCs w:val="22"/>
                <w:lang w:val="sr-Latn-ME"/>
              </w:rPr>
              <w:t>T</w:t>
            </w:r>
            <w:r w:rsidR="00A311C0" w:rsidRPr="001870F3">
              <w:rPr>
                <w:bCs/>
                <w:szCs w:val="22"/>
                <w:lang w:val="sr-Latn-ME"/>
              </w:rPr>
              <w:t>rombocitopenija</w:t>
            </w:r>
          </w:p>
        </w:tc>
        <w:tc>
          <w:tcPr>
            <w:tcW w:w="2235" w:type="pct"/>
          </w:tcPr>
          <w:p w14:paraId="2E86A178" w14:textId="41118E9D" w:rsidR="00F645A6" w:rsidRPr="001870F3" w:rsidRDefault="0007106A" w:rsidP="001870F3">
            <w:pPr>
              <w:widowControl w:val="0"/>
              <w:rPr>
                <w:bCs/>
                <w:szCs w:val="22"/>
                <w:lang w:val="sr-Latn-ME"/>
              </w:rPr>
            </w:pPr>
            <w:r w:rsidRPr="001870F3">
              <w:rPr>
                <w:bCs/>
                <w:szCs w:val="22"/>
                <w:lang w:val="sr-Latn-ME"/>
              </w:rPr>
              <w:t>R</w:t>
            </w:r>
            <w:r w:rsidR="00452FA6" w:rsidRPr="001870F3">
              <w:rPr>
                <w:bCs/>
                <w:szCs w:val="22"/>
                <w:lang w:val="sr-Latn-ME"/>
              </w:rPr>
              <w:t>ij</w:t>
            </w:r>
            <w:r w:rsidR="00A311C0" w:rsidRPr="001870F3">
              <w:rPr>
                <w:bCs/>
                <w:szCs w:val="22"/>
                <w:lang w:val="sr-Latn-ME"/>
              </w:rPr>
              <w:t>etko</w:t>
            </w:r>
          </w:p>
        </w:tc>
      </w:tr>
      <w:tr w:rsidR="00F645A6" w:rsidRPr="001870F3" w14:paraId="2E86A17C" w14:textId="77777777" w:rsidTr="005B56A9">
        <w:tc>
          <w:tcPr>
            <w:tcW w:w="2765" w:type="pct"/>
          </w:tcPr>
          <w:p w14:paraId="2E86A17A" w14:textId="0DD1024C" w:rsidR="00F645A6" w:rsidRPr="001870F3" w:rsidRDefault="00A311C0" w:rsidP="001870F3">
            <w:pPr>
              <w:widowControl w:val="0"/>
              <w:rPr>
                <w:b/>
                <w:bCs/>
                <w:szCs w:val="22"/>
                <w:lang w:val="sr-Latn-ME"/>
              </w:rPr>
            </w:pPr>
            <w:r w:rsidRPr="001870F3">
              <w:rPr>
                <w:b/>
                <w:bCs/>
                <w:szCs w:val="22"/>
                <w:lang w:val="sr-Latn-ME"/>
              </w:rPr>
              <w:t>Poremećaji imunog sistema</w:t>
            </w:r>
          </w:p>
        </w:tc>
        <w:tc>
          <w:tcPr>
            <w:tcW w:w="2235" w:type="pct"/>
          </w:tcPr>
          <w:p w14:paraId="2E86A17B" w14:textId="77777777" w:rsidR="00F645A6" w:rsidRPr="001870F3" w:rsidRDefault="00F645A6" w:rsidP="001870F3">
            <w:pPr>
              <w:widowControl w:val="0"/>
              <w:rPr>
                <w:b/>
                <w:bCs/>
                <w:szCs w:val="22"/>
                <w:lang w:val="sr-Latn-ME"/>
              </w:rPr>
            </w:pPr>
          </w:p>
        </w:tc>
      </w:tr>
      <w:tr w:rsidR="00F645A6" w:rsidRPr="001870F3" w14:paraId="2E86A17F" w14:textId="77777777" w:rsidTr="005B56A9">
        <w:tc>
          <w:tcPr>
            <w:tcW w:w="2765" w:type="pct"/>
          </w:tcPr>
          <w:p w14:paraId="2E86A17D" w14:textId="77777777" w:rsidR="00F645A6" w:rsidRPr="001870F3" w:rsidRDefault="009A00BA" w:rsidP="001870F3">
            <w:pPr>
              <w:widowControl w:val="0"/>
              <w:rPr>
                <w:b/>
                <w:bCs/>
                <w:szCs w:val="22"/>
                <w:lang w:val="sr-Latn-ME"/>
              </w:rPr>
            </w:pPr>
            <w:r w:rsidRPr="001870F3">
              <w:rPr>
                <w:szCs w:val="22"/>
                <w:lang w:val="sr-Latn-ME"/>
              </w:rPr>
              <w:t>Reakcije preos</w:t>
            </w:r>
            <w:r w:rsidR="00452FA6" w:rsidRPr="001870F3">
              <w:rPr>
                <w:szCs w:val="22"/>
                <w:lang w:val="sr-Latn-ME"/>
              </w:rPr>
              <w:t>j</w:t>
            </w:r>
            <w:r w:rsidRPr="001870F3">
              <w:rPr>
                <w:szCs w:val="22"/>
                <w:lang w:val="sr-Latn-ME"/>
              </w:rPr>
              <w:t>etljivosti uključujući anafilaktičke reakcije * †</w:t>
            </w:r>
          </w:p>
        </w:tc>
        <w:tc>
          <w:tcPr>
            <w:tcW w:w="2235" w:type="pct"/>
          </w:tcPr>
          <w:p w14:paraId="2E86A17E" w14:textId="2651DEA6" w:rsidR="00F645A6" w:rsidRPr="001870F3" w:rsidRDefault="0007106A" w:rsidP="001870F3">
            <w:pPr>
              <w:widowControl w:val="0"/>
              <w:rPr>
                <w:b/>
                <w:bCs/>
                <w:szCs w:val="22"/>
                <w:lang w:val="sr-Latn-ME"/>
              </w:rPr>
            </w:pPr>
            <w:r w:rsidRPr="001870F3">
              <w:rPr>
                <w:szCs w:val="22"/>
                <w:lang w:val="sr-Latn-ME"/>
              </w:rPr>
              <w:t>N</w:t>
            </w:r>
            <w:r w:rsidR="00466BAF" w:rsidRPr="001870F3">
              <w:rPr>
                <w:szCs w:val="22"/>
                <w:lang w:val="sr-Latn-ME"/>
              </w:rPr>
              <w:t>epoznat</w:t>
            </w:r>
            <w:r w:rsidR="00D13240" w:rsidRPr="001870F3">
              <w:rPr>
                <w:szCs w:val="22"/>
                <w:lang w:val="sr-Latn-ME"/>
              </w:rPr>
              <w:t>o</w:t>
            </w:r>
          </w:p>
        </w:tc>
      </w:tr>
      <w:tr w:rsidR="00F645A6" w:rsidRPr="001870F3" w14:paraId="2E86A182" w14:textId="77777777" w:rsidTr="005B56A9">
        <w:tc>
          <w:tcPr>
            <w:tcW w:w="2765" w:type="pct"/>
          </w:tcPr>
          <w:p w14:paraId="2E86A180" w14:textId="77777777" w:rsidR="00F645A6" w:rsidRPr="001870F3" w:rsidRDefault="00280D96" w:rsidP="001870F3">
            <w:pPr>
              <w:widowControl w:val="0"/>
              <w:rPr>
                <w:b/>
                <w:bCs/>
                <w:szCs w:val="22"/>
                <w:lang w:val="sr-Latn-ME"/>
              </w:rPr>
            </w:pPr>
            <w:r w:rsidRPr="001870F3">
              <w:rPr>
                <w:b/>
                <w:szCs w:val="22"/>
                <w:lang w:val="sr-Latn-ME"/>
              </w:rPr>
              <w:t>Poremećaji metabolizma i ishrane</w:t>
            </w:r>
          </w:p>
        </w:tc>
        <w:tc>
          <w:tcPr>
            <w:tcW w:w="2235" w:type="pct"/>
          </w:tcPr>
          <w:p w14:paraId="2E86A181" w14:textId="77777777" w:rsidR="00F645A6" w:rsidRPr="001870F3" w:rsidRDefault="00F645A6" w:rsidP="001870F3">
            <w:pPr>
              <w:widowControl w:val="0"/>
              <w:rPr>
                <w:b/>
                <w:bCs/>
                <w:szCs w:val="22"/>
                <w:lang w:val="sr-Latn-ME"/>
              </w:rPr>
            </w:pPr>
          </w:p>
        </w:tc>
      </w:tr>
      <w:tr w:rsidR="00A311C0" w:rsidRPr="001870F3" w14:paraId="2E86A185" w14:textId="77777777" w:rsidTr="005B56A9">
        <w:tc>
          <w:tcPr>
            <w:tcW w:w="2765" w:type="pct"/>
          </w:tcPr>
          <w:p w14:paraId="2E86A183" w14:textId="77777777" w:rsidR="00A311C0" w:rsidRPr="001870F3" w:rsidRDefault="00280D96" w:rsidP="001870F3">
            <w:pPr>
              <w:widowControl w:val="0"/>
              <w:rPr>
                <w:b/>
                <w:bCs/>
                <w:szCs w:val="22"/>
                <w:lang w:val="sr-Latn-ME"/>
              </w:rPr>
            </w:pPr>
            <w:r w:rsidRPr="001870F3">
              <w:rPr>
                <w:szCs w:val="22"/>
                <w:lang w:val="sr-Latn-ME"/>
              </w:rPr>
              <w:t>Hipoglikemija †</w:t>
            </w:r>
          </w:p>
        </w:tc>
        <w:tc>
          <w:tcPr>
            <w:tcW w:w="2235" w:type="pct"/>
          </w:tcPr>
          <w:p w14:paraId="2E86A184" w14:textId="45F911FA" w:rsidR="00A311C0" w:rsidRPr="001870F3" w:rsidRDefault="0007106A" w:rsidP="001870F3">
            <w:pPr>
              <w:widowControl w:val="0"/>
              <w:rPr>
                <w:b/>
                <w:bCs/>
                <w:szCs w:val="22"/>
                <w:lang w:val="sr-Latn-ME"/>
              </w:rPr>
            </w:pPr>
            <w:r w:rsidRPr="001870F3">
              <w:rPr>
                <w:szCs w:val="22"/>
                <w:lang w:val="sr-Latn-ME"/>
              </w:rPr>
              <w:t>Č</w:t>
            </w:r>
            <w:r w:rsidR="00280D96" w:rsidRPr="001870F3">
              <w:rPr>
                <w:szCs w:val="22"/>
                <w:lang w:val="sr-Latn-ME"/>
              </w:rPr>
              <w:t>esto</w:t>
            </w:r>
          </w:p>
        </w:tc>
      </w:tr>
      <w:tr w:rsidR="0068413C" w:rsidRPr="001870F3" w14:paraId="0F57CE8F" w14:textId="77777777" w:rsidTr="005B56A9">
        <w:tc>
          <w:tcPr>
            <w:tcW w:w="2765" w:type="pct"/>
          </w:tcPr>
          <w:p w14:paraId="4F88FE75" w14:textId="126C73A0" w:rsidR="0068413C" w:rsidRPr="001870F3" w:rsidRDefault="0068413C" w:rsidP="001870F3">
            <w:pPr>
              <w:widowControl w:val="0"/>
              <w:rPr>
                <w:b/>
                <w:szCs w:val="22"/>
                <w:lang w:val="sr-Latn-ME"/>
              </w:rPr>
            </w:pPr>
            <w:r w:rsidRPr="001870F3">
              <w:rPr>
                <w:szCs w:val="22"/>
                <w:lang w:val="sr-Latn-ME"/>
              </w:rPr>
              <w:t>Smanjenje/nedostatak vitamina B12</w:t>
            </w:r>
          </w:p>
        </w:tc>
        <w:tc>
          <w:tcPr>
            <w:tcW w:w="2235" w:type="pct"/>
          </w:tcPr>
          <w:p w14:paraId="5596A57F" w14:textId="659C8F7F"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88" w14:textId="77777777" w:rsidTr="005B56A9">
        <w:tc>
          <w:tcPr>
            <w:tcW w:w="2765" w:type="pct"/>
          </w:tcPr>
          <w:p w14:paraId="2E86A186" w14:textId="77777777" w:rsidR="0068413C" w:rsidRPr="001870F3" w:rsidRDefault="0068413C" w:rsidP="001870F3">
            <w:pPr>
              <w:widowControl w:val="0"/>
              <w:rPr>
                <w:b/>
                <w:bCs/>
                <w:szCs w:val="22"/>
                <w:lang w:val="sr-Latn-ME"/>
              </w:rPr>
            </w:pPr>
            <w:r w:rsidRPr="001870F3">
              <w:rPr>
                <w:b/>
                <w:szCs w:val="22"/>
                <w:lang w:val="sr-Latn-ME"/>
              </w:rPr>
              <w:t>Poremećaji nervnog sistema</w:t>
            </w:r>
          </w:p>
        </w:tc>
        <w:tc>
          <w:tcPr>
            <w:tcW w:w="2235" w:type="pct"/>
          </w:tcPr>
          <w:p w14:paraId="2E86A187" w14:textId="77777777" w:rsidR="0068413C" w:rsidRPr="001870F3" w:rsidRDefault="0068413C" w:rsidP="001870F3">
            <w:pPr>
              <w:widowControl w:val="0"/>
              <w:rPr>
                <w:b/>
                <w:bCs/>
                <w:szCs w:val="22"/>
                <w:lang w:val="sr-Latn-ME"/>
              </w:rPr>
            </w:pPr>
          </w:p>
        </w:tc>
      </w:tr>
      <w:tr w:rsidR="0068413C" w:rsidRPr="001870F3" w14:paraId="2E86A18B" w14:textId="77777777" w:rsidTr="005B56A9">
        <w:tc>
          <w:tcPr>
            <w:tcW w:w="2765" w:type="pct"/>
          </w:tcPr>
          <w:p w14:paraId="2E86A189" w14:textId="77777777" w:rsidR="0068413C" w:rsidRPr="001870F3" w:rsidRDefault="0068413C" w:rsidP="001870F3">
            <w:pPr>
              <w:widowControl w:val="0"/>
              <w:rPr>
                <w:b/>
                <w:bCs/>
                <w:szCs w:val="22"/>
                <w:lang w:val="sr-Latn-ME"/>
              </w:rPr>
            </w:pPr>
            <w:r w:rsidRPr="001870F3">
              <w:rPr>
                <w:szCs w:val="22"/>
                <w:lang w:val="sr-Latn-ME"/>
              </w:rPr>
              <w:t>Pospanost</w:t>
            </w:r>
          </w:p>
        </w:tc>
        <w:tc>
          <w:tcPr>
            <w:tcW w:w="2235" w:type="pct"/>
          </w:tcPr>
          <w:p w14:paraId="2E86A18A" w14:textId="72D64BAE"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8E" w14:textId="77777777" w:rsidTr="005B56A9">
        <w:tc>
          <w:tcPr>
            <w:tcW w:w="2765" w:type="pct"/>
          </w:tcPr>
          <w:p w14:paraId="2E86A18C" w14:textId="77777777" w:rsidR="0068413C" w:rsidRPr="001870F3" w:rsidRDefault="0068413C" w:rsidP="001870F3">
            <w:pPr>
              <w:widowControl w:val="0"/>
              <w:rPr>
                <w:b/>
                <w:bCs/>
                <w:szCs w:val="22"/>
                <w:lang w:val="sr-Latn-ME"/>
              </w:rPr>
            </w:pPr>
            <w:r w:rsidRPr="001870F3">
              <w:rPr>
                <w:b/>
                <w:szCs w:val="22"/>
                <w:lang w:val="sr-Latn-ME"/>
              </w:rPr>
              <w:t>Respiratorni, torakalni i medijastinalni poremećaji</w:t>
            </w:r>
          </w:p>
        </w:tc>
        <w:tc>
          <w:tcPr>
            <w:tcW w:w="2235" w:type="pct"/>
          </w:tcPr>
          <w:p w14:paraId="2E86A18D" w14:textId="77777777" w:rsidR="0068413C" w:rsidRPr="001870F3" w:rsidRDefault="0068413C" w:rsidP="001870F3">
            <w:pPr>
              <w:widowControl w:val="0"/>
              <w:rPr>
                <w:b/>
                <w:bCs/>
                <w:szCs w:val="22"/>
                <w:lang w:val="sr-Latn-ME"/>
              </w:rPr>
            </w:pPr>
          </w:p>
        </w:tc>
      </w:tr>
      <w:tr w:rsidR="0068413C" w:rsidRPr="001870F3" w14:paraId="2E86A191" w14:textId="77777777" w:rsidTr="005B56A9">
        <w:tc>
          <w:tcPr>
            <w:tcW w:w="2765" w:type="pct"/>
          </w:tcPr>
          <w:p w14:paraId="2E86A18F" w14:textId="77777777" w:rsidR="0068413C" w:rsidRPr="001870F3" w:rsidRDefault="0068413C" w:rsidP="001870F3">
            <w:pPr>
              <w:widowControl w:val="0"/>
              <w:rPr>
                <w:b/>
                <w:bCs/>
                <w:szCs w:val="22"/>
                <w:lang w:val="sr-Latn-ME"/>
              </w:rPr>
            </w:pPr>
            <w:r w:rsidRPr="001870F3">
              <w:rPr>
                <w:szCs w:val="22"/>
                <w:lang w:val="sr-Latn-ME"/>
              </w:rPr>
              <w:t>Intersticijalna bolest pluća *</w:t>
            </w:r>
          </w:p>
        </w:tc>
        <w:tc>
          <w:tcPr>
            <w:tcW w:w="2235" w:type="pct"/>
          </w:tcPr>
          <w:p w14:paraId="2E86A190" w14:textId="2DD75342"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94" w14:textId="77777777" w:rsidTr="005B56A9">
        <w:tc>
          <w:tcPr>
            <w:tcW w:w="2765" w:type="pct"/>
          </w:tcPr>
          <w:p w14:paraId="2E86A192" w14:textId="77777777" w:rsidR="0068413C" w:rsidRPr="001870F3" w:rsidRDefault="0068413C" w:rsidP="001870F3">
            <w:pPr>
              <w:widowControl w:val="0"/>
              <w:rPr>
                <w:b/>
                <w:bCs/>
                <w:szCs w:val="22"/>
                <w:lang w:val="sr-Latn-ME"/>
              </w:rPr>
            </w:pPr>
            <w:r w:rsidRPr="001870F3">
              <w:rPr>
                <w:b/>
                <w:szCs w:val="22"/>
                <w:lang w:val="sr-Latn-ME"/>
              </w:rPr>
              <w:t>Gastrointestinalni poremećaji</w:t>
            </w:r>
          </w:p>
        </w:tc>
        <w:tc>
          <w:tcPr>
            <w:tcW w:w="2235" w:type="pct"/>
          </w:tcPr>
          <w:p w14:paraId="2E86A193" w14:textId="77777777" w:rsidR="0068413C" w:rsidRPr="001870F3" w:rsidRDefault="0068413C" w:rsidP="001870F3">
            <w:pPr>
              <w:widowControl w:val="0"/>
              <w:rPr>
                <w:b/>
                <w:bCs/>
                <w:szCs w:val="22"/>
                <w:lang w:val="sr-Latn-ME"/>
              </w:rPr>
            </w:pPr>
          </w:p>
        </w:tc>
      </w:tr>
      <w:tr w:rsidR="0068413C" w:rsidRPr="001870F3" w14:paraId="2E86A197" w14:textId="77777777" w:rsidTr="005B56A9">
        <w:tc>
          <w:tcPr>
            <w:tcW w:w="2765" w:type="pct"/>
          </w:tcPr>
          <w:p w14:paraId="2E86A195" w14:textId="38A1D35C" w:rsidR="0068413C" w:rsidRPr="001870F3" w:rsidRDefault="0068413C" w:rsidP="001870F3">
            <w:pPr>
              <w:widowControl w:val="0"/>
              <w:rPr>
                <w:szCs w:val="22"/>
                <w:lang w:val="sr-Latn-ME"/>
              </w:rPr>
            </w:pPr>
            <w:r w:rsidRPr="001870F3">
              <w:rPr>
                <w:szCs w:val="22"/>
                <w:lang w:val="sr-Latn-ME"/>
              </w:rPr>
              <w:t>Mučnina</w:t>
            </w:r>
          </w:p>
        </w:tc>
        <w:tc>
          <w:tcPr>
            <w:tcW w:w="2235" w:type="pct"/>
          </w:tcPr>
          <w:p w14:paraId="2E86A196" w14:textId="333635BB"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9A" w14:textId="77777777" w:rsidTr="005B56A9">
        <w:tc>
          <w:tcPr>
            <w:tcW w:w="2765" w:type="pct"/>
          </w:tcPr>
          <w:p w14:paraId="2E86A198" w14:textId="41B82172" w:rsidR="0068413C" w:rsidRPr="001870F3" w:rsidRDefault="0068413C" w:rsidP="001870F3">
            <w:pPr>
              <w:widowControl w:val="0"/>
              <w:rPr>
                <w:szCs w:val="22"/>
                <w:lang w:val="sr-Latn-ME"/>
              </w:rPr>
            </w:pPr>
            <w:r w:rsidRPr="001870F3">
              <w:rPr>
                <w:szCs w:val="22"/>
                <w:lang w:val="sr-Latn-ME"/>
              </w:rPr>
              <w:t>Flatulencija</w:t>
            </w:r>
          </w:p>
        </w:tc>
        <w:tc>
          <w:tcPr>
            <w:tcW w:w="2235" w:type="pct"/>
          </w:tcPr>
          <w:p w14:paraId="2E86A199" w14:textId="4FE7FC70"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9D" w14:textId="77777777" w:rsidTr="005B56A9">
        <w:tc>
          <w:tcPr>
            <w:tcW w:w="2765" w:type="pct"/>
          </w:tcPr>
          <w:p w14:paraId="2E86A19B" w14:textId="11CC2F5B" w:rsidR="0068413C" w:rsidRPr="001870F3" w:rsidRDefault="0068413C" w:rsidP="001870F3">
            <w:pPr>
              <w:widowControl w:val="0"/>
              <w:rPr>
                <w:szCs w:val="22"/>
                <w:lang w:val="sr-Latn-ME"/>
              </w:rPr>
            </w:pPr>
            <w:r w:rsidRPr="001870F3">
              <w:rPr>
                <w:szCs w:val="22"/>
                <w:lang w:val="sr-Latn-ME"/>
              </w:rPr>
              <w:t>Povraćanje</w:t>
            </w:r>
          </w:p>
        </w:tc>
        <w:tc>
          <w:tcPr>
            <w:tcW w:w="2235" w:type="pct"/>
          </w:tcPr>
          <w:p w14:paraId="2E86A19C" w14:textId="6141614A"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A0" w14:textId="77777777" w:rsidTr="005B56A9">
        <w:tc>
          <w:tcPr>
            <w:tcW w:w="2765" w:type="pct"/>
          </w:tcPr>
          <w:p w14:paraId="2E86A19E" w14:textId="243E4CAB" w:rsidR="0068413C" w:rsidRPr="001870F3" w:rsidRDefault="0068413C" w:rsidP="001870F3">
            <w:pPr>
              <w:widowControl w:val="0"/>
              <w:rPr>
                <w:szCs w:val="22"/>
                <w:lang w:val="sr-Latn-ME"/>
              </w:rPr>
            </w:pPr>
            <w:r w:rsidRPr="001870F3">
              <w:rPr>
                <w:szCs w:val="22"/>
                <w:lang w:val="sr-Latn-ME"/>
              </w:rPr>
              <w:t>Dijareja</w:t>
            </w:r>
          </w:p>
        </w:tc>
        <w:tc>
          <w:tcPr>
            <w:tcW w:w="2235" w:type="pct"/>
          </w:tcPr>
          <w:p w14:paraId="2E86A19F" w14:textId="05100E79"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A3" w14:textId="77777777" w:rsidTr="005B56A9">
        <w:tc>
          <w:tcPr>
            <w:tcW w:w="2765" w:type="pct"/>
          </w:tcPr>
          <w:p w14:paraId="2E86A1A1" w14:textId="58988521" w:rsidR="0068413C" w:rsidRPr="001870F3" w:rsidRDefault="0068413C" w:rsidP="001870F3">
            <w:pPr>
              <w:widowControl w:val="0"/>
              <w:rPr>
                <w:szCs w:val="22"/>
                <w:lang w:val="sr-Latn-ME"/>
              </w:rPr>
            </w:pPr>
            <w:r w:rsidRPr="001870F3">
              <w:rPr>
                <w:szCs w:val="22"/>
                <w:lang w:val="sr-Latn-ME"/>
              </w:rPr>
              <w:t>Konstipacija</w:t>
            </w:r>
          </w:p>
        </w:tc>
        <w:tc>
          <w:tcPr>
            <w:tcW w:w="2235" w:type="pct"/>
          </w:tcPr>
          <w:p w14:paraId="2E86A1A2" w14:textId="6E3815A2"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A6" w14:textId="77777777" w:rsidTr="005B56A9">
        <w:tc>
          <w:tcPr>
            <w:tcW w:w="2765" w:type="pct"/>
          </w:tcPr>
          <w:p w14:paraId="2E86A1A4" w14:textId="78A2CF1A" w:rsidR="0068413C" w:rsidRPr="001870F3" w:rsidRDefault="0068413C" w:rsidP="001870F3">
            <w:pPr>
              <w:widowControl w:val="0"/>
              <w:rPr>
                <w:szCs w:val="22"/>
                <w:lang w:val="sr-Latn-ME"/>
              </w:rPr>
            </w:pPr>
            <w:r w:rsidRPr="001870F3">
              <w:rPr>
                <w:szCs w:val="22"/>
                <w:lang w:val="sr-Latn-ME"/>
              </w:rPr>
              <w:t>Bol u gornjem dijelu abdomena</w:t>
            </w:r>
          </w:p>
        </w:tc>
        <w:tc>
          <w:tcPr>
            <w:tcW w:w="2235" w:type="pct"/>
          </w:tcPr>
          <w:p w14:paraId="2E86A1A5" w14:textId="18EFFDFA"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A9" w14:textId="77777777" w:rsidTr="005B56A9">
        <w:tc>
          <w:tcPr>
            <w:tcW w:w="2765" w:type="pct"/>
          </w:tcPr>
          <w:p w14:paraId="2E86A1A7" w14:textId="77777777" w:rsidR="0068413C" w:rsidRPr="001870F3" w:rsidRDefault="0068413C" w:rsidP="001870F3">
            <w:pPr>
              <w:widowControl w:val="0"/>
              <w:rPr>
                <w:szCs w:val="22"/>
                <w:lang w:val="sr-Latn-ME"/>
              </w:rPr>
            </w:pPr>
            <w:r w:rsidRPr="001870F3">
              <w:rPr>
                <w:szCs w:val="22"/>
                <w:lang w:val="sr-Latn-ME"/>
              </w:rPr>
              <w:t>Akutni pankreatitis* † ‡</w:t>
            </w:r>
          </w:p>
        </w:tc>
        <w:tc>
          <w:tcPr>
            <w:tcW w:w="2235" w:type="pct"/>
          </w:tcPr>
          <w:p w14:paraId="2E86A1A8" w14:textId="49EF1817"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AC" w14:textId="77777777" w:rsidTr="005B56A9">
        <w:tc>
          <w:tcPr>
            <w:tcW w:w="2765" w:type="pct"/>
          </w:tcPr>
          <w:p w14:paraId="2E86A1AA" w14:textId="77777777" w:rsidR="0068413C" w:rsidRPr="001870F3" w:rsidRDefault="0068413C" w:rsidP="001870F3">
            <w:pPr>
              <w:widowControl w:val="0"/>
              <w:rPr>
                <w:szCs w:val="22"/>
                <w:lang w:val="sr-Latn-ME"/>
              </w:rPr>
            </w:pPr>
            <w:r w:rsidRPr="001870F3">
              <w:rPr>
                <w:szCs w:val="22"/>
                <w:lang w:val="sr-Latn-ME"/>
              </w:rPr>
              <w:t xml:space="preserve">Fatalni i nefatalni hemoragijski i nekrotizirajući pankreatitis * † </w:t>
            </w:r>
          </w:p>
        </w:tc>
        <w:tc>
          <w:tcPr>
            <w:tcW w:w="2235" w:type="pct"/>
          </w:tcPr>
          <w:p w14:paraId="2E86A1AB" w14:textId="747C1400"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AF" w14:textId="77777777" w:rsidTr="005B56A9">
        <w:tc>
          <w:tcPr>
            <w:tcW w:w="2765" w:type="pct"/>
          </w:tcPr>
          <w:p w14:paraId="2E86A1AD" w14:textId="77777777" w:rsidR="0068413C" w:rsidRPr="001870F3" w:rsidRDefault="0068413C" w:rsidP="001870F3">
            <w:pPr>
              <w:widowControl w:val="0"/>
              <w:rPr>
                <w:szCs w:val="22"/>
                <w:lang w:val="sr-Latn-ME"/>
              </w:rPr>
            </w:pPr>
            <w:r w:rsidRPr="001870F3">
              <w:rPr>
                <w:b/>
                <w:szCs w:val="22"/>
                <w:lang w:val="sr-Latn-ME"/>
              </w:rPr>
              <w:t>Poremećaji kože i potkožnog tkiva</w:t>
            </w:r>
          </w:p>
        </w:tc>
        <w:tc>
          <w:tcPr>
            <w:tcW w:w="2235" w:type="pct"/>
          </w:tcPr>
          <w:p w14:paraId="2E86A1AE" w14:textId="77777777" w:rsidR="0068413C" w:rsidRPr="001870F3" w:rsidRDefault="0068413C" w:rsidP="001870F3">
            <w:pPr>
              <w:widowControl w:val="0"/>
              <w:rPr>
                <w:b/>
                <w:bCs/>
                <w:szCs w:val="22"/>
                <w:lang w:val="sr-Latn-ME"/>
              </w:rPr>
            </w:pPr>
          </w:p>
        </w:tc>
      </w:tr>
      <w:tr w:rsidR="0068413C" w:rsidRPr="001870F3" w14:paraId="2E86A1B2" w14:textId="77777777" w:rsidTr="005B56A9">
        <w:tc>
          <w:tcPr>
            <w:tcW w:w="2765" w:type="pct"/>
          </w:tcPr>
          <w:p w14:paraId="2E86A1B0" w14:textId="77777777" w:rsidR="0068413C" w:rsidRPr="001870F3" w:rsidRDefault="0068413C" w:rsidP="001870F3">
            <w:pPr>
              <w:widowControl w:val="0"/>
              <w:rPr>
                <w:szCs w:val="22"/>
                <w:lang w:val="sr-Latn-ME"/>
              </w:rPr>
            </w:pPr>
            <w:r w:rsidRPr="001870F3">
              <w:rPr>
                <w:szCs w:val="22"/>
                <w:lang w:val="sr-Latn-ME"/>
              </w:rPr>
              <w:t>Pruritus *</w:t>
            </w:r>
          </w:p>
        </w:tc>
        <w:tc>
          <w:tcPr>
            <w:tcW w:w="2235" w:type="pct"/>
          </w:tcPr>
          <w:p w14:paraId="2E86A1B1" w14:textId="0B8A9D41"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B5" w14:textId="77777777" w:rsidTr="005B56A9">
        <w:tc>
          <w:tcPr>
            <w:tcW w:w="2765" w:type="pct"/>
          </w:tcPr>
          <w:p w14:paraId="2E86A1B3" w14:textId="77777777" w:rsidR="0068413C" w:rsidRPr="001870F3" w:rsidRDefault="0068413C" w:rsidP="001870F3">
            <w:pPr>
              <w:widowControl w:val="0"/>
              <w:rPr>
                <w:szCs w:val="22"/>
                <w:lang w:val="sr-Latn-ME"/>
              </w:rPr>
            </w:pPr>
            <w:r w:rsidRPr="001870F3">
              <w:rPr>
                <w:szCs w:val="22"/>
                <w:lang w:val="sr-Latn-ME"/>
              </w:rPr>
              <w:t>Angioedem * †</w:t>
            </w:r>
          </w:p>
        </w:tc>
        <w:tc>
          <w:tcPr>
            <w:tcW w:w="2235" w:type="pct"/>
          </w:tcPr>
          <w:p w14:paraId="2E86A1B4" w14:textId="5718488C"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B8" w14:textId="77777777" w:rsidTr="005B56A9">
        <w:tc>
          <w:tcPr>
            <w:tcW w:w="2765" w:type="pct"/>
          </w:tcPr>
          <w:p w14:paraId="2E86A1B6" w14:textId="77777777" w:rsidR="0068413C" w:rsidRPr="001870F3" w:rsidRDefault="0068413C" w:rsidP="001870F3">
            <w:pPr>
              <w:widowControl w:val="0"/>
              <w:rPr>
                <w:szCs w:val="22"/>
                <w:lang w:val="sr-Latn-ME"/>
              </w:rPr>
            </w:pPr>
            <w:r w:rsidRPr="001870F3">
              <w:rPr>
                <w:szCs w:val="22"/>
                <w:lang w:val="sr-Latn-ME"/>
              </w:rPr>
              <w:t>Osip * †</w:t>
            </w:r>
          </w:p>
        </w:tc>
        <w:tc>
          <w:tcPr>
            <w:tcW w:w="2235" w:type="pct"/>
          </w:tcPr>
          <w:p w14:paraId="2E86A1B7" w14:textId="04FF5B3C"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BB" w14:textId="77777777" w:rsidTr="005B56A9">
        <w:tc>
          <w:tcPr>
            <w:tcW w:w="2765" w:type="pct"/>
          </w:tcPr>
          <w:p w14:paraId="2E86A1B9" w14:textId="77777777" w:rsidR="0068413C" w:rsidRPr="001870F3" w:rsidRDefault="0068413C" w:rsidP="001870F3">
            <w:pPr>
              <w:widowControl w:val="0"/>
              <w:rPr>
                <w:szCs w:val="22"/>
                <w:lang w:val="sr-Latn-ME"/>
              </w:rPr>
            </w:pPr>
            <w:r w:rsidRPr="001870F3">
              <w:rPr>
                <w:szCs w:val="22"/>
                <w:lang w:val="sr-Latn-ME"/>
              </w:rPr>
              <w:t>Urtikarija * †</w:t>
            </w:r>
          </w:p>
        </w:tc>
        <w:tc>
          <w:tcPr>
            <w:tcW w:w="2235" w:type="pct"/>
          </w:tcPr>
          <w:p w14:paraId="2E86A1BA" w14:textId="535BC644"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BE" w14:textId="77777777" w:rsidTr="005B56A9">
        <w:tc>
          <w:tcPr>
            <w:tcW w:w="2765" w:type="pct"/>
          </w:tcPr>
          <w:p w14:paraId="2E86A1BC" w14:textId="77777777" w:rsidR="0068413C" w:rsidRPr="001870F3" w:rsidRDefault="0068413C" w:rsidP="001870F3">
            <w:pPr>
              <w:widowControl w:val="0"/>
              <w:rPr>
                <w:szCs w:val="22"/>
                <w:lang w:val="sr-Latn-ME"/>
              </w:rPr>
            </w:pPr>
            <w:r w:rsidRPr="001870F3">
              <w:rPr>
                <w:szCs w:val="22"/>
                <w:lang w:val="sr-Latn-ME"/>
              </w:rPr>
              <w:t>Kožni vaskulitis * †</w:t>
            </w:r>
          </w:p>
        </w:tc>
        <w:tc>
          <w:tcPr>
            <w:tcW w:w="2235" w:type="pct"/>
          </w:tcPr>
          <w:p w14:paraId="2E86A1BD" w14:textId="02D204C2"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1" w14:textId="77777777" w:rsidTr="005B56A9">
        <w:tc>
          <w:tcPr>
            <w:tcW w:w="2765" w:type="pct"/>
          </w:tcPr>
          <w:p w14:paraId="2E86A1BF" w14:textId="510E8B58" w:rsidR="0068413C" w:rsidRPr="001870F3" w:rsidRDefault="0068413C" w:rsidP="001870F3">
            <w:pPr>
              <w:widowControl w:val="0"/>
              <w:rPr>
                <w:szCs w:val="22"/>
                <w:lang w:val="sr-Latn-ME"/>
              </w:rPr>
            </w:pPr>
            <w:r w:rsidRPr="001870F3">
              <w:rPr>
                <w:szCs w:val="22"/>
                <w:lang w:val="sr-Latn-ME"/>
              </w:rPr>
              <w:t>Eksfolijativne promjene na koži uključujući Stivens-Džonsonov sindrom * †</w:t>
            </w:r>
          </w:p>
        </w:tc>
        <w:tc>
          <w:tcPr>
            <w:tcW w:w="2235" w:type="pct"/>
          </w:tcPr>
          <w:p w14:paraId="2E86A1C0" w14:textId="4E0D4916"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4" w14:textId="77777777" w:rsidTr="005B56A9">
        <w:tc>
          <w:tcPr>
            <w:tcW w:w="2765" w:type="pct"/>
          </w:tcPr>
          <w:p w14:paraId="2E86A1C2" w14:textId="77777777" w:rsidR="0068413C" w:rsidRPr="001870F3" w:rsidRDefault="0068413C" w:rsidP="001870F3">
            <w:pPr>
              <w:widowControl w:val="0"/>
              <w:rPr>
                <w:szCs w:val="22"/>
                <w:lang w:val="sr-Latn-ME"/>
              </w:rPr>
            </w:pPr>
            <w:r w:rsidRPr="001870F3">
              <w:rPr>
                <w:szCs w:val="22"/>
                <w:lang w:val="sr-Latn-ME"/>
              </w:rPr>
              <w:t>Bulozni pemfigoid *</w:t>
            </w:r>
          </w:p>
        </w:tc>
        <w:tc>
          <w:tcPr>
            <w:tcW w:w="2235" w:type="pct"/>
          </w:tcPr>
          <w:p w14:paraId="2E86A1C3" w14:textId="6EB9BD30"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7" w14:textId="77777777" w:rsidTr="005B56A9">
        <w:tc>
          <w:tcPr>
            <w:tcW w:w="2765" w:type="pct"/>
          </w:tcPr>
          <w:p w14:paraId="2E86A1C5" w14:textId="77777777" w:rsidR="0068413C" w:rsidRPr="001870F3" w:rsidRDefault="0068413C" w:rsidP="001870F3">
            <w:pPr>
              <w:widowControl w:val="0"/>
              <w:rPr>
                <w:b/>
                <w:szCs w:val="22"/>
                <w:lang w:val="sr-Latn-ME"/>
              </w:rPr>
            </w:pPr>
            <w:r w:rsidRPr="001870F3">
              <w:rPr>
                <w:b/>
                <w:szCs w:val="22"/>
                <w:lang w:val="sr-Latn-ME"/>
              </w:rPr>
              <w:t>Poremećaji mišićno-koštanog sistema i vezivnog tkiva</w:t>
            </w:r>
          </w:p>
        </w:tc>
        <w:tc>
          <w:tcPr>
            <w:tcW w:w="2235" w:type="pct"/>
          </w:tcPr>
          <w:p w14:paraId="2E86A1C6" w14:textId="77777777" w:rsidR="0068413C" w:rsidRPr="001870F3" w:rsidRDefault="0068413C" w:rsidP="001870F3">
            <w:pPr>
              <w:widowControl w:val="0"/>
              <w:rPr>
                <w:b/>
                <w:bCs/>
                <w:szCs w:val="22"/>
                <w:lang w:val="sr-Latn-ME"/>
              </w:rPr>
            </w:pPr>
          </w:p>
        </w:tc>
      </w:tr>
      <w:tr w:rsidR="0068413C" w:rsidRPr="001870F3" w14:paraId="2E86A1CA" w14:textId="77777777" w:rsidTr="005B56A9">
        <w:tc>
          <w:tcPr>
            <w:tcW w:w="2765" w:type="pct"/>
          </w:tcPr>
          <w:p w14:paraId="2E86A1C8" w14:textId="77777777" w:rsidR="0068413C" w:rsidRPr="001870F3" w:rsidRDefault="0068413C" w:rsidP="001870F3">
            <w:pPr>
              <w:widowControl w:val="0"/>
              <w:rPr>
                <w:szCs w:val="22"/>
                <w:lang w:val="sr-Latn-ME"/>
              </w:rPr>
            </w:pPr>
            <w:r w:rsidRPr="001870F3">
              <w:rPr>
                <w:szCs w:val="22"/>
                <w:lang w:val="sr-Latn-ME"/>
              </w:rPr>
              <w:t>Artralgija *</w:t>
            </w:r>
          </w:p>
        </w:tc>
        <w:tc>
          <w:tcPr>
            <w:tcW w:w="2235" w:type="pct"/>
          </w:tcPr>
          <w:p w14:paraId="2E86A1C9" w14:textId="669BD65E"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D" w14:textId="77777777" w:rsidTr="005B56A9">
        <w:tc>
          <w:tcPr>
            <w:tcW w:w="2765" w:type="pct"/>
          </w:tcPr>
          <w:p w14:paraId="2E86A1CB" w14:textId="77777777" w:rsidR="0068413C" w:rsidRPr="001870F3" w:rsidRDefault="0068413C" w:rsidP="001870F3">
            <w:pPr>
              <w:widowControl w:val="0"/>
              <w:rPr>
                <w:szCs w:val="22"/>
                <w:lang w:val="sr-Latn-ME"/>
              </w:rPr>
            </w:pPr>
            <w:r w:rsidRPr="001870F3">
              <w:rPr>
                <w:szCs w:val="22"/>
                <w:lang w:val="sr-Latn-ME"/>
              </w:rPr>
              <w:t>Mijalgija *</w:t>
            </w:r>
          </w:p>
        </w:tc>
        <w:tc>
          <w:tcPr>
            <w:tcW w:w="2235" w:type="pct"/>
          </w:tcPr>
          <w:p w14:paraId="2E86A1CC" w14:textId="037BBEC7"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0" w14:textId="77777777" w:rsidTr="005B56A9">
        <w:tc>
          <w:tcPr>
            <w:tcW w:w="2765" w:type="pct"/>
          </w:tcPr>
          <w:p w14:paraId="2E86A1CE" w14:textId="77777777" w:rsidR="0068413C" w:rsidRPr="001870F3" w:rsidRDefault="0068413C" w:rsidP="001870F3">
            <w:pPr>
              <w:widowControl w:val="0"/>
              <w:rPr>
                <w:szCs w:val="22"/>
                <w:lang w:val="sr-Latn-ME"/>
              </w:rPr>
            </w:pPr>
            <w:r w:rsidRPr="001870F3">
              <w:rPr>
                <w:szCs w:val="22"/>
                <w:lang w:val="sr-Latn-ME"/>
              </w:rPr>
              <w:t>Bol u ekstremitetima *</w:t>
            </w:r>
          </w:p>
        </w:tc>
        <w:tc>
          <w:tcPr>
            <w:tcW w:w="2235" w:type="pct"/>
          </w:tcPr>
          <w:p w14:paraId="2E86A1CF" w14:textId="3D52779D"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3" w14:textId="77777777" w:rsidTr="005B56A9">
        <w:tc>
          <w:tcPr>
            <w:tcW w:w="2765" w:type="pct"/>
          </w:tcPr>
          <w:p w14:paraId="2E86A1D1" w14:textId="77777777" w:rsidR="0068413C" w:rsidRPr="001870F3" w:rsidRDefault="0068413C" w:rsidP="001870F3">
            <w:pPr>
              <w:widowControl w:val="0"/>
              <w:rPr>
                <w:szCs w:val="22"/>
                <w:lang w:val="sr-Latn-ME"/>
              </w:rPr>
            </w:pPr>
            <w:r w:rsidRPr="001870F3">
              <w:rPr>
                <w:szCs w:val="22"/>
                <w:lang w:val="sr-Latn-ME"/>
              </w:rPr>
              <w:t>Bol u leđima *</w:t>
            </w:r>
          </w:p>
        </w:tc>
        <w:tc>
          <w:tcPr>
            <w:tcW w:w="2235" w:type="pct"/>
          </w:tcPr>
          <w:p w14:paraId="2E86A1D2" w14:textId="1FC39907"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6" w14:textId="77777777" w:rsidTr="005B56A9">
        <w:tc>
          <w:tcPr>
            <w:tcW w:w="2765" w:type="pct"/>
          </w:tcPr>
          <w:p w14:paraId="2E86A1D4" w14:textId="77777777" w:rsidR="0068413C" w:rsidRPr="001870F3" w:rsidRDefault="0068413C" w:rsidP="001870F3">
            <w:pPr>
              <w:widowControl w:val="0"/>
              <w:rPr>
                <w:szCs w:val="22"/>
                <w:lang w:val="sr-Latn-ME"/>
              </w:rPr>
            </w:pPr>
            <w:r w:rsidRPr="001870F3">
              <w:rPr>
                <w:szCs w:val="22"/>
                <w:lang w:val="sr-Latn-ME"/>
              </w:rPr>
              <w:lastRenderedPageBreak/>
              <w:t>Artropatija *</w:t>
            </w:r>
          </w:p>
        </w:tc>
        <w:tc>
          <w:tcPr>
            <w:tcW w:w="2235" w:type="pct"/>
          </w:tcPr>
          <w:p w14:paraId="2E86A1D5" w14:textId="2DD276F6"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9" w14:textId="77777777" w:rsidTr="005B56A9">
        <w:tc>
          <w:tcPr>
            <w:tcW w:w="2765" w:type="pct"/>
          </w:tcPr>
          <w:p w14:paraId="2E86A1D7" w14:textId="77777777" w:rsidR="0068413C" w:rsidRPr="001870F3" w:rsidRDefault="0068413C" w:rsidP="001870F3">
            <w:pPr>
              <w:widowControl w:val="0"/>
              <w:rPr>
                <w:b/>
                <w:szCs w:val="22"/>
                <w:lang w:val="sr-Latn-ME"/>
              </w:rPr>
            </w:pPr>
            <w:r w:rsidRPr="001870F3">
              <w:rPr>
                <w:b/>
                <w:szCs w:val="22"/>
                <w:lang w:val="sr-Latn-ME"/>
              </w:rPr>
              <w:t>Poremećaji bubrega i urinarnog sistema</w:t>
            </w:r>
          </w:p>
        </w:tc>
        <w:tc>
          <w:tcPr>
            <w:tcW w:w="2235" w:type="pct"/>
          </w:tcPr>
          <w:p w14:paraId="2E86A1D8" w14:textId="77777777" w:rsidR="0068413C" w:rsidRPr="001870F3" w:rsidRDefault="0068413C" w:rsidP="001870F3">
            <w:pPr>
              <w:widowControl w:val="0"/>
              <w:rPr>
                <w:b/>
                <w:bCs/>
                <w:szCs w:val="22"/>
                <w:lang w:val="sr-Latn-ME"/>
              </w:rPr>
            </w:pPr>
          </w:p>
        </w:tc>
      </w:tr>
      <w:tr w:rsidR="0068413C" w:rsidRPr="001870F3" w14:paraId="2E86A1DC" w14:textId="77777777" w:rsidTr="005B56A9">
        <w:tc>
          <w:tcPr>
            <w:tcW w:w="2765" w:type="pct"/>
          </w:tcPr>
          <w:p w14:paraId="2E86A1DA" w14:textId="77777777" w:rsidR="0068413C" w:rsidRPr="001870F3" w:rsidRDefault="0068413C" w:rsidP="001870F3">
            <w:pPr>
              <w:widowControl w:val="0"/>
              <w:rPr>
                <w:szCs w:val="22"/>
                <w:lang w:val="sr-Latn-ME"/>
              </w:rPr>
            </w:pPr>
            <w:r w:rsidRPr="001870F3">
              <w:rPr>
                <w:szCs w:val="22"/>
                <w:lang w:val="sr-Latn-ME"/>
              </w:rPr>
              <w:t>Poremećaj funkcije bubrega *</w:t>
            </w:r>
          </w:p>
        </w:tc>
        <w:tc>
          <w:tcPr>
            <w:tcW w:w="2235" w:type="pct"/>
          </w:tcPr>
          <w:p w14:paraId="2E86A1DB" w14:textId="7E2A97E6"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F" w14:textId="77777777" w:rsidTr="005B56A9">
        <w:tc>
          <w:tcPr>
            <w:tcW w:w="2765" w:type="pct"/>
          </w:tcPr>
          <w:p w14:paraId="2E86A1DD" w14:textId="77777777" w:rsidR="0068413C" w:rsidRPr="001870F3" w:rsidRDefault="0068413C" w:rsidP="001870F3">
            <w:pPr>
              <w:widowControl w:val="0"/>
              <w:rPr>
                <w:szCs w:val="22"/>
                <w:lang w:val="sr-Latn-ME"/>
              </w:rPr>
            </w:pPr>
            <w:r w:rsidRPr="001870F3">
              <w:rPr>
                <w:szCs w:val="22"/>
                <w:lang w:val="sr-Latn-ME"/>
              </w:rPr>
              <w:t>Akutna bubrežna insuficijencija *</w:t>
            </w:r>
          </w:p>
        </w:tc>
        <w:tc>
          <w:tcPr>
            <w:tcW w:w="2235" w:type="pct"/>
          </w:tcPr>
          <w:p w14:paraId="2E86A1DE" w14:textId="32DDB8B4" w:rsidR="0068413C" w:rsidRPr="001870F3" w:rsidRDefault="0068413C" w:rsidP="001870F3">
            <w:pPr>
              <w:widowControl w:val="0"/>
              <w:rPr>
                <w:b/>
                <w:bCs/>
                <w:szCs w:val="22"/>
                <w:lang w:val="sr-Latn-ME"/>
              </w:rPr>
            </w:pPr>
            <w:r w:rsidRPr="001870F3">
              <w:rPr>
                <w:szCs w:val="22"/>
                <w:lang w:val="sr-Latn-ME"/>
              </w:rPr>
              <w:t>Nepoznato</w:t>
            </w:r>
          </w:p>
        </w:tc>
      </w:tr>
    </w:tbl>
    <w:p w14:paraId="2E86A1E1" w14:textId="70C6DB89" w:rsidR="00BD4AB7" w:rsidRPr="005B56A9" w:rsidRDefault="009D2DCC" w:rsidP="001870F3">
      <w:pPr>
        <w:widowControl w:val="0"/>
        <w:rPr>
          <w:sz w:val="20"/>
          <w:szCs w:val="22"/>
          <w:lang w:val="sr-Latn-ME"/>
        </w:rPr>
      </w:pPr>
      <w:r w:rsidRPr="005B56A9">
        <w:rPr>
          <w:sz w:val="20"/>
          <w:szCs w:val="22"/>
          <w:lang w:val="sr-Latn-ME"/>
        </w:rPr>
        <w:t>*  Neželjena dejstva identifikovana tokom post-marketinškog praćenja</w:t>
      </w:r>
      <w:r w:rsidR="00A13D84" w:rsidRPr="005B56A9">
        <w:rPr>
          <w:sz w:val="20"/>
          <w:szCs w:val="22"/>
          <w:lang w:val="sr-Latn-ME"/>
        </w:rPr>
        <w:t>.</w:t>
      </w:r>
    </w:p>
    <w:p w14:paraId="2E86A1E3" w14:textId="2B5076C4" w:rsidR="009D2DCC" w:rsidRPr="005B56A9" w:rsidRDefault="009D2DCC" w:rsidP="001870F3">
      <w:pPr>
        <w:widowControl w:val="0"/>
        <w:rPr>
          <w:b/>
          <w:bCs/>
          <w:sz w:val="20"/>
          <w:szCs w:val="22"/>
          <w:lang w:val="sr-Latn-ME"/>
        </w:rPr>
      </w:pPr>
      <w:r w:rsidRPr="005B56A9">
        <w:rPr>
          <w:sz w:val="20"/>
          <w:szCs w:val="22"/>
          <w:lang w:val="sr-Latn-ME"/>
        </w:rPr>
        <w:t>† Vid</w:t>
      </w:r>
      <w:r w:rsidR="00452FA6" w:rsidRPr="005B56A9">
        <w:rPr>
          <w:sz w:val="20"/>
          <w:szCs w:val="22"/>
          <w:lang w:val="sr-Latn-ME"/>
        </w:rPr>
        <w:t>jeti di</w:t>
      </w:r>
      <w:r w:rsidRPr="005B56A9">
        <w:rPr>
          <w:sz w:val="20"/>
          <w:szCs w:val="22"/>
          <w:lang w:val="sr-Latn-ME"/>
        </w:rPr>
        <w:t>o 4.4</w:t>
      </w:r>
      <w:r w:rsidR="00910461" w:rsidRPr="005B56A9">
        <w:rPr>
          <w:sz w:val="20"/>
          <w:szCs w:val="22"/>
          <w:lang w:val="sr-Latn-ME"/>
        </w:rPr>
        <w:t>.</w:t>
      </w:r>
    </w:p>
    <w:p w14:paraId="2E86A1E5" w14:textId="239D2433" w:rsidR="00BD4AB7" w:rsidRPr="005B56A9" w:rsidRDefault="009D2DCC" w:rsidP="001870F3">
      <w:pPr>
        <w:widowControl w:val="0"/>
        <w:rPr>
          <w:sz w:val="20"/>
          <w:szCs w:val="22"/>
          <w:lang w:val="sr-Latn-ME"/>
        </w:rPr>
      </w:pPr>
      <w:r w:rsidRPr="005B56A9">
        <w:rPr>
          <w:sz w:val="20"/>
          <w:szCs w:val="22"/>
          <w:lang w:val="sr-Latn-ME"/>
        </w:rPr>
        <w:t>‡ Vid</w:t>
      </w:r>
      <w:r w:rsidR="00452FA6" w:rsidRPr="005B56A9">
        <w:rPr>
          <w:sz w:val="20"/>
          <w:szCs w:val="22"/>
          <w:lang w:val="sr-Latn-ME"/>
        </w:rPr>
        <w:t>j</w:t>
      </w:r>
      <w:r w:rsidRPr="005B56A9">
        <w:rPr>
          <w:sz w:val="20"/>
          <w:szCs w:val="22"/>
          <w:lang w:val="sr-Latn-ME"/>
        </w:rPr>
        <w:t>eti studiju TECOS niže</w:t>
      </w:r>
      <w:r w:rsidR="00910461" w:rsidRPr="005B56A9">
        <w:rPr>
          <w:sz w:val="20"/>
          <w:szCs w:val="22"/>
          <w:lang w:val="sr-Latn-ME"/>
        </w:rPr>
        <w:t>.</w:t>
      </w:r>
    </w:p>
    <w:p w14:paraId="2E86A1E6" w14:textId="77777777" w:rsidR="009D2DCC" w:rsidRPr="001870F3" w:rsidRDefault="009D2DCC" w:rsidP="001870F3">
      <w:pPr>
        <w:widowControl w:val="0"/>
        <w:rPr>
          <w:szCs w:val="22"/>
          <w:lang w:val="sr-Latn-ME"/>
        </w:rPr>
      </w:pPr>
    </w:p>
    <w:p w14:paraId="2E86A1E7" w14:textId="77777777" w:rsidR="009D2DCC" w:rsidRPr="001870F3" w:rsidRDefault="00360C99" w:rsidP="001870F3">
      <w:pPr>
        <w:widowControl w:val="0"/>
        <w:rPr>
          <w:szCs w:val="22"/>
          <w:u w:val="single"/>
          <w:lang w:val="sr-Latn-ME"/>
        </w:rPr>
      </w:pPr>
      <w:r w:rsidRPr="001870F3">
        <w:rPr>
          <w:szCs w:val="22"/>
          <w:u w:val="single"/>
          <w:lang w:val="sr-Latn-ME"/>
        </w:rPr>
        <w:t>Opis odabranih neželjenih dejstava</w:t>
      </w:r>
    </w:p>
    <w:p w14:paraId="2E86A1E8" w14:textId="77777777" w:rsidR="00360C99" w:rsidRPr="001870F3" w:rsidRDefault="00360C99" w:rsidP="001870F3">
      <w:pPr>
        <w:widowControl w:val="0"/>
        <w:rPr>
          <w:szCs w:val="22"/>
          <w:lang w:val="sr-Latn-ME"/>
        </w:rPr>
      </w:pPr>
    </w:p>
    <w:p w14:paraId="2E86A1E9" w14:textId="476B8F08" w:rsidR="00360C99" w:rsidRPr="001870F3" w:rsidRDefault="00C34DA5" w:rsidP="001870F3">
      <w:pPr>
        <w:widowControl w:val="0"/>
        <w:rPr>
          <w:szCs w:val="22"/>
          <w:lang w:val="sr-Latn-ME"/>
        </w:rPr>
      </w:pPr>
      <w:r w:rsidRPr="001870F3">
        <w:rPr>
          <w:szCs w:val="22"/>
          <w:lang w:val="sr-Latn-ME"/>
        </w:rPr>
        <w:t>Neka neželjena dejstva su prijavljena češće u studijama u kojima je prim</w:t>
      </w:r>
      <w:r w:rsidR="00E936B4" w:rsidRPr="001870F3">
        <w:rPr>
          <w:szCs w:val="22"/>
          <w:lang w:val="sr-Latn-ME"/>
        </w:rPr>
        <w:t>j</w:t>
      </w:r>
      <w:r w:rsidRPr="001870F3">
        <w:rPr>
          <w:szCs w:val="22"/>
          <w:lang w:val="sr-Latn-ME"/>
        </w:rPr>
        <w:t xml:space="preserve">enjivana kombinacija metformin </w:t>
      </w:r>
      <w:r w:rsidR="00DD260A" w:rsidRPr="001870F3">
        <w:rPr>
          <w:szCs w:val="22"/>
          <w:lang w:val="sr-Latn-ME"/>
        </w:rPr>
        <w:t xml:space="preserve">i sitagliptin </w:t>
      </w:r>
      <w:r w:rsidRPr="001870F3">
        <w:rPr>
          <w:szCs w:val="22"/>
          <w:lang w:val="sr-Latn-ME"/>
        </w:rPr>
        <w:t>u odnosu na druge antidijabet</w:t>
      </w:r>
      <w:r w:rsidR="006842B4" w:rsidRPr="001870F3">
        <w:rPr>
          <w:szCs w:val="22"/>
          <w:lang w:val="sr-Latn-ME"/>
        </w:rPr>
        <w:t>esne</w:t>
      </w:r>
      <w:r w:rsidRPr="001870F3">
        <w:rPr>
          <w:szCs w:val="22"/>
          <w:lang w:val="sr-Latn-ME"/>
        </w:rPr>
        <w:t xml:space="preserve"> l</w:t>
      </w:r>
      <w:r w:rsidR="000A06EA" w:rsidRPr="001870F3">
        <w:rPr>
          <w:szCs w:val="22"/>
          <w:lang w:val="sr-Latn-ME"/>
        </w:rPr>
        <w:t>j</w:t>
      </w:r>
      <w:r w:rsidRPr="001870F3">
        <w:rPr>
          <w:szCs w:val="22"/>
          <w:lang w:val="sr-Latn-ME"/>
        </w:rPr>
        <w:t>ekove nego u studijama u kojima su prim</w:t>
      </w:r>
      <w:r w:rsidR="00E936B4" w:rsidRPr="001870F3">
        <w:rPr>
          <w:szCs w:val="22"/>
          <w:lang w:val="sr-Latn-ME"/>
        </w:rPr>
        <w:t>j</w:t>
      </w:r>
      <w:r w:rsidRPr="001870F3">
        <w:rPr>
          <w:szCs w:val="22"/>
          <w:lang w:val="sr-Latn-ME"/>
        </w:rPr>
        <w:t>enjivani sitagliptin i metformin kao monokomponentni l</w:t>
      </w:r>
      <w:r w:rsidR="000A06EA" w:rsidRPr="001870F3">
        <w:rPr>
          <w:szCs w:val="22"/>
          <w:lang w:val="sr-Latn-ME"/>
        </w:rPr>
        <w:t>j</w:t>
      </w:r>
      <w:r w:rsidRPr="001870F3">
        <w:rPr>
          <w:szCs w:val="22"/>
          <w:lang w:val="sr-Latn-ME"/>
        </w:rPr>
        <w:t xml:space="preserve">ekovi. Ovo je uključivalo hipoglikemiju (učestalost veoma česta sa </w:t>
      </w:r>
      <w:r w:rsidR="00BA4462" w:rsidRPr="001870F3">
        <w:rPr>
          <w:szCs w:val="22"/>
          <w:lang w:val="sr-Latn-ME"/>
        </w:rPr>
        <w:t xml:space="preserve">derivatima </w:t>
      </w:r>
      <w:r w:rsidRPr="001870F3">
        <w:rPr>
          <w:szCs w:val="22"/>
          <w:lang w:val="sr-Latn-ME"/>
        </w:rPr>
        <w:t>sulfonilur</w:t>
      </w:r>
      <w:r w:rsidR="009A17BC" w:rsidRPr="001870F3">
        <w:rPr>
          <w:szCs w:val="22"/>
          <w:lang w:val="sr-Latn-ME"/>
        </w:rPr>
        <w:t>e</w:t>
      </w:r>
      <w:r w:rsidR="00BA4462" w:rsidRPr="001870F3">
        <w:rPr>
          <w:szCs w:val="22"/>
          <w:lang w:val="sr-Latn-ME"/>
        </w:rPr>
        <w:t>e</w:t>
      </w:r>
      <w:r w:rsidR="009A17BC" w:rsidRPr="001870F3">
        <w:rPr>
          <w:szCs w:val="22"/>
          <w:lang w:val="sr-Latn-ME"/>
        </w:rPr>
        <w:t xml:space="preserve"> ili insulinom), konstipaciju</w:t>
      </w:r>
      <w:r w:rsidRPr="001870F3">
        <w:rPr>
          <w:szCs w:val="22"/>
          <w:lang w:val="sr-Latn-ME"/>
        </w:rPr>
        <w:t xml:space="preserve"> (često sa </w:t>
      </w:r>
      <w:r w:rsidR="00BA4462" w:rsidRPr="001870F3">
        <w:rPr>
          <w:szCs w:val="22"/>
          <w:lang w:val="sr-Latn-ME"/>
        </w:rPr>
        <w:t xml:space="preserve">derivatima </w:t>
      </w:r>
      <w:r w:rsidRPr="001870F3">
        <w:rPr>
          <w:szCs w:val="22"/>
          <w:lang w:val="sr-Latn-ME"/>
        </w:rPr>
        <w:t>sulfonilure</w:t>
      </w:r>
      <w:r w:rsidR="00BA4462" w:rsidRPr="001870F3">
        <w:rPr>
          <w:szCs w:val="22"/>
          <w:lang w:val="sr-Latn-ME"/>
        </w:rPr>
        <w:t>e</w:t>
      </w:r>
      <w:r w:rsidRPr="001870F3">
        <w:rPr>
          <w:szCs w:val="22"/>
          <w:lang w:val="sr-Latn-ME"/>
        </w:rPr>
        <w:t>), periferni edem (često</w:t>
      </w:r>
      <w:r w:rsidR="001E09C6" w:rsidRPr="001870F3">
        <w:rPr>
          <w:szCs w:val="22"/>
          <w:lang w:val="sr-Latn-ME"/>
        </w:rPr>
        <w:t xml:space="preserve"> sa pioglitazonom), glavobolj</w:t>
      </w:r>
      <w:r w:rsidR="009A17BC" w:rsidRPr="001870F3">
        <w:rPr>
          <w:szCs w:val="22"/>
          <w:lang w:val="sr-Latn-ME"/>
        </w:rPr>
        <w:t>u i suvoću</w:t>
      </w:r>
      <w:r w:rsidR="001E09C6" w:rsidRPr="001870F3">
        <w:rPr>
          <w:szCs w:val="22"/>
          <w:lang w:val="sr-Latn-ME"/>
        </w:rPr>
        <w:t xml:space="preserve"> usta (povremeno sa insulinom).</w:t>
      </w:r>
    </w:p>
    <w:p w14:paraId="5A587534" w14:textId="0E9522D0" w:rsidR="00C32D44" w:rsidRPr="001870F3" w:rsidRDefault="00C32D44" w:rsidP="001870F3">
      <w:pPr>
        <w:widowControl w:val="0"/>
        <w:rPr>
          <w:szCs w:val="22"/>
          <w:lang w:val="sr-Latn-ME"/>
        </w:rPr>
      </w:pPr>
    </w:p>
    <w:p w14:paraId="669519F6" w14:textId="77777777" w:rsidR="00C32D44" w:rsidRPr="001870F3" w:rsidRDefault="00C32D44" w:rsidP="001870F3">
      <w:pPr>
        <w:widowControl w:val="0"/>
        <w:rPr>
          <w:i/>
          <w:szCs w:val="22"/>
          <w:lang w:val="sr-Latn-ME"/>
        </w:rPr>
      </w:pPr>
      <w:r w:rsidRPr="001870F3">
        <w:rPr>
          <w:i/>
          <w:szCs w:val="22"/>
          <w:lang w:val="sr-Latn-ME"/>
        </w:rPr>
        <w:t>Metformin</w:t>
      </w:r>
    </w:p>
    <w:p w14:paraId="0111D859" w14:textId="61CED7F6" w:rsidR="00C32D44" w:rsidRPr="001870F3" w:rsidRDefault="00C32D44" w:rsidP="001870F3">
      <w:pPr>
        <w:widowControl w:val="0"/>
        <w:rPr>
          <w:szCs w:val="22"/>
          <w:lang w:val="sr-Latn-ME"/>
        </w:rPr>
      </w:pPr>
      <w:r w:rsidRPr="001870F3">
        <w:rPr>
          <w:szCs w:val="22"/>
          <w:lang w:val="sr-Latn-ME"/>
        </w:rPr>
        <w:t>Gastrointestinalni simptomi su prijavljeni veoma često tokom kliničkih studija i post-marketinške primjene metformina. Gastrointestinalni simptomi kao što su mučnina, povraćanje, dijareja, abdominalni bol i gubitak apetita se javljaju najčešće tokom početka terapije i spontano prestaju u većini slučajeva. Dodatn</w:t>
      </w:r>
      <w:r w:rsidR="00F92D41" w:rsidRPr="001870F3">
        <w:rPr>
          <w:szCs w:val="22"/>
          <w:lang w:val="sr-Latn-ME"/>
        </w:rPr>
        <w:t>a</w:t>
      </w:r>
      <w:r w:rsidRPr="001870F3">
        <w:rPr>
          <w:szCs w:val="22"/>
          <w:lang w:val="sr-Latn-ME"/>
        </w:rPr>
        <w:t xml:space="preserve"> neželjen</w:t>
      </w:r>
      <w:r w:rsidR="00F92D41" w:rsidRPr="001870F3">
        <w:rPr>
          <w:szCs w:val="22"/>
          <w:lang w:val="sr-Latn-ME"/>
        </w:rPr>
        <w:t>a dejstva</w:t>
      </w:r>
      <w:r w:rsidRPr="001870F3">
        <w:rPr>
          <w:szCs w:val="22"/>
          <w:lang w:val="sr-Latn-ME"/>
        </w:rPr>
        <w:t xml:space="preserve"> udružen</w:t>
      </w:r>
      <w:r w:rsidR="00F92D41" w:rsidRPr="001870F3">
        <w:rPr>
          <w:szCs w:val="22"/>
          <w:lang w:val="sr-Latn-ME"/>
        </w:rPr>
        <w:t>a</w:t>
      </w:r>
      <w:r w:rsidRPr="001870F3">
        <w:rPr>
          <w:szCs w:val="22"/>
          <w:lang w:val="sr-Latn-ME"/>
        </w:rPr>
        <w:t xml:space="preserve"> sa primjenom metformina uključuju metalni ukus u ustima (često); laktoacidozu, poremećaje funkcije jetre, hepatitis, urtikariju, eritem i svrab (veoma rijetko).). Stope učestalosti su zasnovane na informacijama u vezi metformina navedenim u Sažetku karakteristika lijeka odobrenom u Evropskoj uniji.</w:t>
      </w:r>
    </w:p>
    <w:p w14:paraId="2E86A1EA" w14:textId="77777777" w:rsidR="001E09C6" w:rsidRPr="001870F3" w:rsidRDefault="001E09C6" w:rsidP="001870F3">
      <w:pPr>
        <w:widowControl w:val="0"/>
        <w:rPr>
          <w:szCs w:val="22"/>
          <w:lang w:val="sr-Latn-ME"/>
        </w:rPr>
      </w:pPr>
    </w:p>
    <w:p w14:paraId="2E86A1EB" w14:textId="77777777" w:rsidR="001E09C6" w:rsidRPr="001870F3" w:rsidRDefault="001E09C6" w:rsidP="001870F3">
      <w:pPr>
        <w:widowControl w:val="0"/>
        <w:rPr>
          <w:i/>
          <w:szCs w:val="22"/>
          <w:lang w:val="sr-Latn-ME"/>
        </w:rPr>
      </w:pPr>
      <w:r w:rsidRPr="001870F3">
        <w:rPr>
          <w:i/>
          <w:szCs w:val="22"/>
          <w:lang w:val="sr-Latn-ME"/>
        </w:rPr>
        <w:t>Sitagliptin</w:t>
      </w:r>
    </w:p>
    <w:p w14:paraId="2E86A1ED" w14:textId="7395DAC9" w:rsidR="001E09C6" w:rsidRPr="001870F3" w:rsidRDefault="001E09C6" w:rsidP="001870F3">
      <w:pPr>
        <w:widowControl w:val="0"/>
        <w:rPr>
          <w:szCs w:val="22"/>
          <w:lang w:val="sr-Latn-ME"/>
        </w:rPr>
      </w:pPr>
      <w:r w:rsidRPr="001870F3">
        <w:rPr>
          <w:szCs w:val="22"/>
          <w:lang w:val="sr-Latn-ME"/>
        </w:rPr>
        <w:t xml:space="preserve">U studijama monoterapije sitagliptinom </w:t>
      </w:r>
      <w:r w:rsidR="00DD3C72" w:rsidRPr="001870F3">
        <w:rPr>
          <w:szCs w:val="22"/>
          <w:lang w:val="sr-Latn-ME"/>
        </w:rPr>
        <w:t>u dozi od 100 mg jednom dnevno u odnosu na placebo, prijavljen</w:t>
      </w:r>
      <w:r w:rsidR="00F52D97" w:rsidRPr="001870F3">
        <w:rPr>
          <w:szCs w:val="22"/>
          <w:lang w:val="sr-Latn-ME"/>
        </w:rPr>
        <w:t>a</w:t>
      </w:r>
      <w:r w:rsidR="00DD3C72" w:rsidRPr="001870F3">
        <w:rPr>
          <w:szCs w:val="22"/>
          <w:lang w:val="sr-Latn-ME"/>
        </w:rPr>
        <w:t xml:space="preserve"> su sl</w:t>
      </w:r>
      <w:r w:rsidR="00E936B4" w:rsidRPr="001870F3">
        <w:rPr>
          <w:szCs w:val="22"/>
          <w:lang w:val="sr-Latn-ME"/>
        </w:rPr>
        <w:t>j</w:t>
      </w:r>
      <w:r w:rsidR="00DD3C72" w:rsidRPr="001870F3">
        <w:rPr>
          <w:szCs w:val="22"/>
          <w:lang w:val="sr-Latn-ME"/>
        </w:rPr>
        <w:t>edeć</w:t>
      </w:r>
      <w:r w:rsidR="00F52D97" w:rsidRPr="001870F3">
        <w:rPr>
          <w:szCs w:val="22"/>
          <w:lang w:val="sr-Latn-ME"/>
        </w:rPr>
        <w:t>a</w:t>
      </w:r>
      <w:r w:rsidR="00DD3C72" w:rsidRPr="001870F3">
        <w:rPr>
          <w:szCs w:val="22"/>
          <w:lang w:val="sr-Latn-ME"/>
        </w:rPr>
        <w:t xml:space="preserve"> neželjen</w:t>
      </w:r>
      <w:r w:rsidR="00F52D97" w:rsidRPr="001870F3">
        <w:rPr>
          <w:szCs w:val="22"/>
          <w:lang w:val="sr-Latn-ME"/>
        </w:rPr>
        <w:t>a dejstva</w:t>
      </w:r>
      <w:r w:rsidR="00DD3C72" w:rsidRPr="001870F3">
        <w:rPr>
          <w:szCs w:val="22"/>
          <w:lang w:val="sr-Latn-ME"/>
        </w:rPr>
        <w:t>: glavobolja, hipoglikemija, konstipacija i vrtoglavica.</w:t>
      </w:r>
    </w:p>
    <w:p w14:paraId="0AEDDE0C" w14:textId="77777777" w:rsidR="004A458C" w:rsidRPr="001870F3" w:rsidRDefault="004A458C" w:rsidP="001870F3">
      <w:pPr>
        <w:widowControl w:val="0"/>
        <w:rPr>
          <w:szCs w:val="22"/>
          <w:lang w:val="sr-Latn-ME"/>
        </w:rPr>
      </w:pPr>
    </w:p>
    <w:p w14:paraId="2E86A1EE" w14:textId="0C215896" w:rsidR="00DD3C72" w:rsidRPr="001870F3" w:rsidRDefault="00DD3C72" w:rsidP="001870F3">
      <w:pPr>
        <w:widowControl w:val="0"/>
        <w:rPr>
          <w:szCs w:val="22"/>
          <w:lang w:val="sr-Latn-ME"/>
        </w:rPr>
      </w:pPr>
      <w:r w:rsidRPr="001870F3">
        <w:rPr>
          <w:szCs w:val="22"/>
          <w:lang w:val="sr-Latn-ME"/>
        </w:rPr>
        <w:t>Među ovim pacijentima, neželjena dejstva koja su prijavljena nezavisno od uzročno-posl</w:t>
      </w:r>
      <w:r w:rsidR="00E936B4" w:rsidRPr="001870F3">
        <w:rPr>
          <w:szCs w:val="22"/>
          <w:lang w:val="sr-Latn-ME"/>
        </w:rPr>
        <w:t>j</w:t>
      </w:r>
      <w:r w:rsidRPr="001870F3">
        <w:rPr>
          <w:szCs w:val="22"/>
          <w:lang w:val="sr-Latn-ME"/>
        </w:rPr>
        <w:t>edične veze sa l</w:t>
      </w:r>
      <w:r w:rsidR="00072DCE" w:rsidRPr="001870F3">
        <w:rPr>
          <w:szCs w:val="22"/>
          <w:lang w:val="sr-Latn-ME"/>
        </w:rPr>
        <w:t>ij</w:t>
      </w:r>
      <w:r w:rsidRPr="001870F3">
        <w:rPr>
          <w:szCs w:val="22"/>
          <w:lang w:val="sr-Latn-ME"/>
        </w:rPr>
        <w:t xml:space="preserve">ekom </w:t>
      </w:r>
      <w:r w:rsidR="008D6C6C" w:rsidRPr="001870F3">
        <w:rPr>
          <w:szCs w:val="22"/>
          <w:lang w:val="sr-Latn-ME"/>
        </w:rPr>
        <w:t>kod najmanje 5% pacijenata su uključivala infekcije respiratornog trakta i nazofaringitis. Dodatno, prijavljeni su osteoartritis i bol u ekstremitetima sa povremenom učestalošću ( &gt; 0,5 % većom učestalošću među onima koji su uzimali sitagliptin u odnosu na one u kontrolonoj grupi).</w:t>
      </w:r>
    </w:p>
    <w:p w14:paraId="747B3A58" w14:textId="367A2A92" w:rsidR="00723BB2" w:rsidRPr="001870F3" w:rsidRDefault="00723BB2" w:rsidP="001870F3">
      <w:pPr>
        <w:widowControl w:val="0"/>
        <w:rPr>
          <w:szCs w:val="22"/>
          <w:lang w:val="sr-Latn-ME"/>
        </w:rPr>
      </w:pPr>
    </w:p>
    <w:p w14:paraId="68DCB1DC" w14:textId="77777777" w:rsidR="00723BB2" w:rsidRPr="001870F3" w:rsidRDefault="00723BB2" w:rsidP="001870F3">
      <w:pPr>
        <w:widowControl w:val="0"/>
        <w:rPr>
          <w:szCs w:val="22"/>
          <w:u w:val="single"/>
          <w:lang w:val="sr-Latn-ME"/>
        </w:rPr>
      </w:pPr>
      <w:r w:rsidRPr="001870F3">
        <w:rPr>
          <w:szCs w:val="22"/>
          <w:u w:val="single"/>
          <w:lang w:val="sr-Latn-ME"/>
        </w:rPr>
        <w:t>Pedijatrijska populacija</w:t>
      </w:r>
    </w:p>
    <w:p w14:paraId="07BFEC66" w14:textId="3842562D" w:rsidR="00723BB2" w:rsidRPr="001870F3" w:rsidRDefault="00723BB2" w:rsidP="001870F3">
      <w:pPr>
        <w:widowControl w:val="0"/>
        <w:rPr>
          <w:szCs w:val="22"/>
          <w:lang w:val="sr-Latn-ME"/>
        </w:rPr>
      </w:pPr>
      <w:r w:rsidRPr="001870F3">
        <w:rPr>
          <w:szCs w:val="22"/>
          <w:lang w:val="sr-Latn-ME"/>
        </w:rPr>
        <w:t>U kliničkim ispitivanjima kombinacije metformin/sitagliptin sprovedenim kod pedijatrijskih pacijenata sa dijabetesom tipa 2 uzrasta  od 10 do 17 godina, neželjen</w:t>
      </w:r>
      <w:r w:rsidR="00F52D97" w:rsidRPr="001870F3">
        <w:rPr>
          <w:szCs w:val="22"/>
          <w:lang w:val="sr-Latn-ME"/>
        </w:rPr>
        <w:t>a dejstva</w:t>
      </w:r>
      <w:r w:rsidRPr="001870F3">
        <w:rPr>
          <w:szCs w:val="22"/>
          <w:lang w:val="sr-Latn-ME"/>
        </w:rPr>
        <w:t xml:space="preserve"> su, u principu, bil</w:t>
      </w:r>
      <w:r w:rsidR="00F52D97" w:rsidRPr="001870F3">
        <w:rPr>
          <w:szCs w:val="22"/>
          <w:lang w:val="sr-Latn-ME"/>
        </w:rPr>
        <w:t>a</w:t>
      </w:r>
      <w:r w:rsidRPr="001870F3">
        <w:rPr>
          <w:szCs w:val="22"/>
          <w:lang w:val="sr-Latn-ME"/>
        </w:rPr>
        <w:t xml:space="preserve"> uporediv</w:t>
      </w:r>
      <w:r w:rsidR="00F52D97" w:rsidRPr="001870F3">
        <w:rPr>
          <w:szCs w:val="22"/>
          <w:lang w:val="sr-Latn-ME"/>
        </w:rPr>
        <w:t>a</w:t>
      </w:r>
      <w:r w:rsidRPr="001870F3">
        <w:rPr>
          <w:szCs w:val="22"/>
          <w:lang w:val="sr-Latn-ME"/>
        </w:rPr>
        <w:t xml:space="preserve"> sa neželjenim </w:t>
      </w:r>
      <w:r w:rsidR="00F52D97" w:rsidRPr="001870F3">
        <w:rPr>
          <w:szCs w:val="22"/>
          <w:lang w:val="sr-Latn-ME"/>
        </w:rPr>
        <w:t>dejstvima</w:t>
      </w:r>
      <w:r w:rsidRPr="001870F3">
        <w:rPr>
          <w:szCs w:val="22"/>
          <w:lang w:val="sr-Latn-ME"/>
        </w:rPr>
        <w:t xml:space="preserve"> uočenim kod odraslih pacijenata. Kod pedijatrijskih pacijenata koji s</w:t>
      </w:r>
      <w:r w:rsidR="00E936B4" w:rsidRPr="001870F3">
        <w:rPr>
          <w:szCs w:val="22"/>
          <w:lang w:val="sr-Latn-ME"/>
        </w:rPr>
        <w:t>u</w:t>
      </w:r>
      <w:r w:rsidR="009843AF" w:rsidRPr="001870F3">
        <w:rPr>
          <w:szCs w:val="22"/>
          <w:lang w:val="sr-Latn-ME"/>
        </w:rPr>
        <w:t xml:space="preserve"> primali,</w:t>
      </w:r>
      <w:r w:rsidRPr="001870F3">
        <w:rPr>
          <w:szCs w:val="22"/>
          <w:lang w:val="sr-Latn-ME"/>
        </w:rPr>
        <w:t xml:space="preserve"> ili ni</w:t>
      </w:r>
      <w:r w:rsidR="00F52D97" w:rsidRPr="001870F3">
        <w:rPr>
          <w:szCs w:val="22"/>
          <w:lang w:val="sr-Latn-ME"/>
        </w:rPr>
        <w:t>je</w:t>
      </w:r>
      <w:r w:rsidRPr="001870F3">
        <w:rPr>
          <w:szCs w:val="22"/>
          <w:lang w:val="sr-Latn-ME"/>
        </w:rPr>
        <w:t>su primali insulin, upotreba sitagliptina je bila povezana sa povećanim rizikom od pojave hipoglikemije.</w:t>
      </w:r>
    </w:p>
    <w:p w14:paraId="2E86A1F3" w14:textId="77777777" w:rsidR="00311375" w:rsidRPr="001870F3" w:rsidRDefault="00311375" w:rsidP="001870F3">
      <w:pPr>
        <w:widowControl w:val="0"/>
        <w:rPr>
          <w:szCs w:val="22"/>
          <w:lang w:val="sr-Latn-ME"/>
        </w:rPr>
      </w:pPr>
    </w:p>
    <w:p w14:paraId="2E86A1F4" w14:textId="388B7026" w:rsidR="00311375" w:rsidRPr="001870F3" w:rsidRDefault="00311375" w:rsidP="001870F3">
      <w:pPr>
        <w:widowControl w:val="0"/>
        <w:rPr>
          <w:i/>
          <w:szCs w:val="22"/>
          <w:lang w:val="sr-Latn-ME"/>
        </w:rPr>
      </w:pPr>
      <w:r w:rsidRPr="001870F3">
        <w:rPr>
          <w:i/>
          <w:szCs w:val="22"/>
          <w:lang w:val="sr-Latn-ME"/>
        </w:rPr>
        <w:t>TECOS Kardiovaskularna studija bezb</w:t>
      </w:r>
      <w:r w:rsidR="00E936B4" w:rsidRPr="001870F3">
        <w:rPr>
          <w:i/>
          <w:szCs w:val="22"/>
          <w:lang w:val="sr-Latn-ME"/>
        </w:rPr>
        <w:t>j</w:t>
      </w:r>
      <w:r w:rsidRPr="001870F3">
        <w:rPr>
          <w:i/>
          <w:szCs w:val="22"/>
          <w:lang w:val="sr-Latn-ME"/>
        </w:rPr>
        <w:t>ednosti prim</w:t>
      </w:r>
      <w:r w:rsidR="00E936B4" w:rsidRPr="001870F3">
        <w:rPr>
          <w:i/>
          <w:szCs w:val="22"/>
          <w:lang w:val="sr-Latn-ME"/>
        </w:rPr>
        <w:t>j</w:t>
      </w:r>
      <w:r w:rsidRPr="001870F3">
        <w:rPr>
          <w:i/>
          <w:szCs w:val="22"/>
          <w:lang w:val="sr-Latn-ME"/>
        </w:rPr>
        <w:t>ene</w:t>
      </w:r>
    </w:p>
    <w:p w14:paraId="2E86A1F5" w14:textId="77777777" w:rsidR="00311375" w:rsidRPr="001870F3" w:rsidRDefault="00311375" w:rsidP="001870F3">
      <w:pPr>
        <w:widowControl w:val="0"/>
        <w:rPr>
          <w:i/>
          <w:szCs w:val="22"/>
          <w:lang w:val="sr-Latn-ME"/>
        </w:rPr>
      </w:pPr>
    </w:p>
    <w:p w14:paraId="2E86A1F6" w14:textId="19F7012D" w:rsidR="00FA0617" w:rsidRPr="001870F3" w:rsidRDefault="005F6BF9" w:rsidP="001870F3">
      <w:pPr>
        <w:widowControl w:val="0"/>
        <w:rPr>
          <w:szCs w:val="22"/>
          <w:lang w:val="sr-Latn-ME"/>
        </w:rPr>
      </w:pPr>
      <w:r w:rsidRPr="001870F3">
        <w:rPr>
          <w:szCs w:val="22"/>
          <w:lang w:val="sr-Latn-ME"/>
        </w:rPr>
        <w:t xml:space="preserve">Studija </w:t>
      </w:r>
      <w:r w:rsidR="00275330" w:rsidRPr="001870F3">
        <w:rPr>
          <w:szCs w:val="22"/>
          <w:lang w:val="sr-Latn-ME"/>
        </w:rPr>
        <w:t>proc</w:t>
      </w:r>
      <w:r w:rsidR="00797A1A" w:rsidRPr="001870F3">
        <w:rPr>
          <w:szCs w:val="22"/>
          <w:lang w:val="sr-Latn-ME"/>
        </w:rPr>
        <w:t>j</w:t>
      </w:r>
      <w:r w:rsidR="00275330" w:rsidRPr="001870F3">
        <w:rPr>
          <w:szCs w:val="22"/>
          <w:lang w:val="sr-Latn-ME"/>
        </w:rPr>
        <w:t>ene</w:t>
      </w:r>
      <w:r w:rsidRPr="001870F3">
        <w:rPr>
          <w:szCs w:val="22"/>
          <w:lang w:val="sr-Latn-ME"/>
        </w:rPr>
        <w:t xml:space="preserve"> kardiovaskularn</w:t>
      </w:r>
      <w:r w:rsidR="00275330" w:rsidRPr="001870F3">
        <w:rPr>
          <w:szCs w:val="22"/>
          <w:lang w:val="sr-Latn-ME"/>
        </w:rPr>
        <w:t>ih</w:t>
      </w:r>
      <w:r w:rsidRPr="001870F3">
        <w:rPr>
          <w:szCs w:val="22"/>
          <w:lang w:val="sr-Latn-ME"/>
        </w:rPr>
        <w:t xml:space="preserve"> ishod</w:t>
      </w:r>
      <w:r w:rsidR="00275330" w:rsidRPr="001870F3">
        <w:rPr>
          <w:szCs w:val="22"/>
          <w:lang w:val="sr-Latn-ME"/>
        </w:rPr>
        <w:t>a</w:t>
      </w:r>
      <w:r w:rsidRPr="001870F3">
        <w:rPr>
          <w:szCs w:val="22"/>
          <w:lang w:val="sr-Latn-ME"/>
        </w:rPr>
        <w:t xml:space="preserve"> prim</w:t>
      </w:r>
      <w:r w:rsidR="00072DCE" w:rsidRPr="001870F3">
        <w:rPr>
          <w:szCs w:val="22"/>
          <w:lang w:val="sr-Latn-ME"/>
        </w:rPr>
        <w:t>j</w:t>
      </w:r>
      <w:r w:rsidRPr="001870F3">
        <w:rPr>
          <w:szCs w:val="22"/>
          <w:lang w:val="sr-Latn-ME"/>
        </w:rPr>
        <w:t>enom s</w:t>
      </w:r>
      <w:r w:rsidR="00E00134" w:rsidRPr="001870F3">
        <w:rPr>
          <w:szCs w:val="22"/>
          <w:lang w:val="sr-Latn-ME"/>
        </w:rPr>
        <w:t>itagliptina (</w:t>
      </w:r>
      <w:r w:rsidR="00275330" w:rsidRPr="001870F3">
        <w:rPr>
          <w:rFonts w:eastAsia="TimesNewRoman"/>
          <w:szCs w:val="22"/>
          <w:lang w:val="sr-Latn-ME"/>
        </w:rPr>
        <w:t xml:space="preserve">engl. </w:t>
      </w:r>
      <w:r w:rsidR="00275330" w:rsidRPr="001870F3">
        <w:rPr>
          <w:i/>
          <w:iCs/>
          <w:szCs w:val="22"/>
          <w:lang w:val="sr-Latn-ME"/>
        </w:rPr>
        <w:t>Trial Evaluating Cardiovascular Outcomes with Sitagliptin</w:t>
      </w:r>
      <w:r w:rsidR="00275330" w:rsidRPr="001870F3">
        <w:rPr>
          <w:rFonts w:eastAsia="TimesNewRoman"/>
          <w:szCs w:val="22"/>
          <w:lang w:val="sr-Latn-ME"/>
        </w:rPr>
        <w:t xml:space="preserve">, </w:t>
      </w:r>
      <w:r w:rsidR="00E00134" w:rsidRPr="001870F3">
        <w:rPr>
          <w:szCs w:val="22"/>
          <w:lang w:val="sr-Latn-ME"/>
        </w:rPr>
        <w:t>TECOS) je uključi</w:t>
      </w:r>
      <w:r w:rsidRPr="001870F3">
        <w:rPr>
          <w:szCs w:val="22"/>
          <w:lang w:val="sr-Latn-ME"/>
        </w:rPr>
        <w:t>la 7332 pacijenta na terapiji sitagliptinom,</w:t>
      </w:r>
      <w:r w:rsidR="00275330" w:rsidRPr="001870F3">
        <w:rPr>
          <w:szCs w:val="22"/>
          <w:lang w:val="sr-Latn-ME"/>
        </w:rPr>
        <w:t xml:space="preserve"> u dozi od</w:t>
      </w:r>
      <w:r w:rsidRPr="001870F3">
        <w:rPr>
          <w:szCs w:val="22"/>
          <w:lang w:val="sr-Latn-ME"/>
        </w:rPr>
        <w:t xml:space="preserve"> 100 mg na dan (ili 50 mg na dan ukoliko je </w:t>
      </w:r>
      <w:r w:rsidR="005F40C0" w:rsidRPr="001870F3">
        <w:rPr>
          <w:szCs w:val="22"/>
          <w:lang w:val="sr-Latn-ME"/>
        </w:rPr>
        <w:t>početna brzina glomerularne filtracije</w:t>
      </w:r>
      <w:r w:rsidR="00CA316D" w:rsidRPr="001870F3">
        <w:rPr>
          <w:szCs w:val="22"/>
          <w:lang w:val="sr-Latn-ME"/>
        </w:rPr>
        <w:t xml:space="preserve"> </w:t>
      </w:r>
      <w:r w:rsidR="005F40C0" w:rsidRPr="001870F3">
        <w:rPr>
          <w:szCs w:val="22"/>
          <w:lang w:val="sr-Latn-ME"/>
        </w:rPr>
        <w:t>(</w:t>
      </w:r>
      <w:r w:rsidR="0049437A" w:rsidRPr="001870F3">
        <w:rPr>
          <w:szCs w:val="22"/>
          <w:lang w:val="sr-Latn-ME"/>
        </w:rPr>
        <w:t xml:space="preserve">engl. </w:t>
      </w:r>
      <w:r w:rsidR="0049437A" w:rsidRPr="001870F3">
        <w:rPr>
          <w:i/>
          <w:szCs w:val="22"/>
          <w:lang w:val="sr-Latn-ME"/>
        </w:rPr>
        <w:t>estimated glomerulat filtration rate,</w:t>
      </w:r>
      <w:r w:rsidRPr="001870F3">
        <w:rPr>
          <w:szCs w:val="22"/>
          <w:lang w:val="sr-Latn-ME"/>
        </w:rPr>
        <w:t xml:space="preserve"> eGFR</w:t>
      </w:r>
      <w:r w:rsidR="0049437A" w:rsidRPr="001870F3">
        <w:rPr>
          <w:szCs w:val="22"/>
          <w:lang w:val="sr-Latn-ME"/>
        </w:rPr>
        <w:t>)</w:t>
      </w:r>
      <w:r w:rsidRPr="001870F3">
        <w:rPr>
          <w:szCs w:val="22"/>
          <w:lang w:val="sr-Latn-ME"/>
        </w:rPr>
        <w:t xml:space="preserve"> bi</w:t>
      </w:r>
      <w:r w:rsidR="0049437A" w:rsidRPr="001870F3">
        <w:rPr>
          <w:szCs w:val="22"/>
          <w:lang w:val="sr-Latn-ME"/>
        </w:rPr>
        <w:t>la</w:t>
      </w:r>
      <w:r w:rsidRPr="001870F3">
        <w:rPr>
          <w:szCs w:val="22"/>
          <w:lang w:val="sr-Latn-ME"/>
        </w:rPr>
        <w:t xml:space="preserve"> ≥ 30 i &lt; 50 m</w:t>
      </w:r>
      <w:r w:rsidR="009843AF" w:rsidRPr="001870F3">
        <w:rPr>
          <w:szCs w:val="22"/>
          <w:lang w:val="sr-Latn-ME"/>
        </w:rPr>
        <w:t>l</w:t>
      </w:r>
      <w:r w:rsidRPr="001870F3">
        <w:rPr>
          <w:szCs w:val="22"/>
          <w:lang w:val="sr-Latn-ME"/>
        </w:rPr>
        <w:t>/min/1,73 m</w:t>
      </w:r>
      <w:r w:rsidRPr="001870F3">
        <w:rPr>
          <w:szCs w:val="22"/>
          <w:vertAlign w:val="superscript"/>
          <w:lang w:val="sr-Latn-ME"/>
        </w:rPr>
        <w:t>2</w:t>
      </w:r>
      <w:r w:rsidR="00022157" w:rsidRPr="001870F3">
        <w:rPr>
          <w:szCs w:val="22"/>
          <w:lang w:val="sr-Latn-ME"/>
        </w:rPr>
        <w:t xml:space="preserve">), i 7339 pacijenata </w:t>
      </w:r>
      <w:r w:rsidR="0049437A" w:rsidRPr="001870F3">
        <w:rPr>
          <w:szCs w:val="22"/>
          <w:lang w:val="sr-Latn-ME"/>
        </w:rPr>
        <w:t>koji su primali</w:t>
      </w:r>
      <w:r w:rsidR="00022157" w:rsidRPr="001870F3">
        <w:rPr>
          <w:szCs w:val="22"/>
          <w:lang w:val="sr-Latn-ME"/>
        </w:rPr>
        <w:t xml:space="preserve"> placeb</w:t>
      </w:r>
      <w:r w:rsidR="0049437A" w:rsidRPr="001870F3">
        <w:rPr>
          <w:szCs w:val="22"/>
          <w:lang w:val="sr-Latn-ME"/>
        </w:rPr>
        <w:t>o</w:t>
      </w:r>
      <w:r w:rsidR="00022157" w:rsidRPr="001870F3">
        <w:rPr>
          <w:szCs w:val="22"/>
          <w:lang w:val="sr-Latn-ME"/>
        </w:rPr>
        <w:t xml:space="preserve"> u </w:t>
      </w:r>
      <w:r w:rsidR="003A3E1C" w:rsidRPr="001870F3">
        <w:rPr>
          <w:szCs w:val="22"/>
          <w:lang w:val="sr-Latn-ME"/>
        </w:rPr>
        <w:t>c</w:t>
      </w:r>
      <w:r w:rsidR="00797A1A" w:rsidRPr="001870F3">
        <w:rPr>
          <w:szCs w:val="22"/>
          <w:lang w:val="sr-Latn-ME"/>
        </w:rPr>
        <w:t>j</w:t>
      </w:r>
      <w:r w:rsidR="003A3E1C" w:rsidRPr="001870F3">
        <w:rPr>
          <w:szCs w:val="22"/>
          <w:lang w:val="sr-Latn-ME"/>
        </w:rPr>
        <w:t xml:space="preserve">elokupnoj </w:t>
      </w:r>
      <w:r w:rsidR="00B623FF" w:rsidRPr="001870F3">
        <w:rPr>
          <w:szCs w:val="22"/>
          <w:lang w:val="sr-Latn-ME"/>
        </w:rPr>
        <w:t>populaciji</w:t>
      </w:r>
      <w:r w:rsidR="003A3E1C" w:rsidRPr="001870F3">
        <w:rPr>
          <w:szCs w:val="22"/>
          <w:lang w:val="sr-Latn-ME"/>
        </w:rPr>
        <w:t xml:space="preserve"> </w:t>
      </w:r>
      <w:r w:rsidR="00B55EBB" w:rsidRPr="001870F3">
        <w:rPr>
          <w:szCs w:val="22"/>
          <w:lang w:val="sr-Latn-ME"/>
        </w:rPr>
        <w:t>pacijenata predviđenoj za l</w:t>
      </w:r>
      <w:r w:rsidR="00E936B4" w:rsidRPr="001870F3">
        <w:rPr>
          <w:szCs w:val="22"/>
          <w:lang w:val="sr-Latn-ME"/>
        </w:rPr>
        <w:t>ij</w:t>
      </w:r>
      <w:r w:rsidR="00B55EBB" w:rsidRPr="001870F3">
        <w:rPr>
          <w:szCs w:val="22"/>
          <w:lang w:val="sr-Latn-ME"/>
        </w:rPr>
        <w:t>ečenje</w:t>
      </w:r>
      <w:r w:rsidR="00B623FF" w:rsidRPr="001870F3">
        <w:rPr>
          <w:szCs w:val="22"/>
          <w:lang w:val="sr-Latn-ME"/>
        </w:rPr>
        <w:t xml:space="preserve">. Oba terapijska režima su bila dodata </w:t>
      </w:r>
      <w:r w:rsidR="00DB07C7" w:rsidRPr="001870F3">
        <w:rPr>
          <w:szCs w:val="22"/>
          <w:lang w:val="sr-Latn-ME"/>
        </w:rPr>
        <w:t>standardnoj terapiji</w:t>
      </w:r>
      <w:r w:rsidR="00B623FF" w:rsidRPr="001870F3">
        <w:rPr>
          <w:szCs w:val="22"/>
          <w:lang w:val="sr-Latn-ME"/>
        </w:rPr>
        <w:t xml:space="preserve"> </w:t>
      </w:r>
      <w:r w:rsidR="00DB07C7" w:rsidRPr="001870F3">
        <w:rPr>
          <w:szCs w:val="22"/>
          <w:lang w:val="sr-Latn-ME"/>
        </w:rPr>
        <w:t>u</w:t>
      </w:r>
      <w:r w:rsidR="00B623FF" w:rsidRPr="001870F3">
        <w:rPr>
          <w:szCs w:val="22"/>
          <w:lang w:val="sr-Latn-ME"/>
        </w:rPr>
        <w:t xml:space="preserve"> cilj</w:t>
      </w:r>
      <w:r w:rsidR="00DB07C7" w:rsidRPr="001870F3">
        <w:rPr>
          <w:szCs w:val="22"/>
          <w:lang w:val="sr-Latn-ME"/>
        </w:rPr>
        <w:t>u postizanja</w:t>
      </w:r>
      <w:r w:rsidR="00B623FF" w:rsidRPr="001870F3">
        <w:rPr>
          <w:szCs w:val="22"/>
          <w:lang w:val="sr-Latn-ME"/>
        </w:rPr>
        <w:t xml:space="preserve"> regionaln</w:t>
      </w:r>
      <w:r w:rsidR="002D2531" w:rsidRPr="001870F3">
        <w:rPr>
          <w:szCs w:val="22"/>
          <w:lang w:val="sr-Latn-ME"/>
        </w:rPr>
        <w:t>ih</w:t>
      </w:r>
      <w:r w:rsidR="00B623FF" w:rsidRPr="001870F3">
        <w:rPr>
          <w:szCs w:val="22"/>
          <w:lang w:val="sr-Latn-ME"/>
        </w:rPr>
        <w:t xml:space="preserve"> standard</w:t>
      </w:r>
      <w:r w:rsidR="002D2531" w:rsidRPr="001870F3">
        <w:rPr>
          <w:szCs w:val="22"/>
          <w:lang w:val="sr-Latn-ME"/>
        </w:rPr>
        <w:t>nih vr</w:t>
      </w:r>
      <w:r w:rsidR="009843AF" w:rsidRPr="001870F3">
        <w:rPr>
          <w:szCs w:val="22"/>
          <w:lang w:val="sr-Latn-ME"/>
        </w:rPr>
        <w:t>ij</w:t>
      </w:r>
      <w:r w:rsidR="002D2531" w:rsidRPr="001870F3">
        <w:rPr>
          <w:szCs w:val="22"/>
          <w:lang w:val="sr-Latn-ME"/>
        </w:rPr>
        <w:t>ednosti</w:t>
      </w:r>
      <w:r w:rsidR="00B623FF" w:rsidRPr="001870F3">
        <w:rPr>
          <w:szCs w:val="22"/>
          <w:lang w:val="sr-Latn-ME"/>
        </w:rPr>
        <w:t xml:space="preserve"> HbA</w:t>
      </w:r>
      <w:r w:rsidR="00B623FF" w:rsidRPr="001870F3">
        <w:rPr>
          <w:szCs w:val="22"/>
          <w:vertAlign w:val="subscript"/>
          <w:lang w:val="sr-Latn-ME"/>
        </w:rPr>
        <w:t xml:space="preserve">1c </w:t>
      </w:r>
      <w:r w:rsidR="00B623FF" w:rsidRPr="001870F3">
        <w:rPr>
          <w:szCs w:val="22"/>
          <w:lang w:val="sr-Latn-ME"/>
        </w:rPr>
        <w:t>i kardiovaskular</w:t>
      </w:r>
      <w:r w:rsidR="009843AF" w:rsidRPr="001870F3">
        <w:rPr>
          <w:szCs w:val="22"/>
          <w:lang w:val="sr-Latn-ME"/>
        </w:rPr>
        <w:t>nih</w:t>
      </w:r>
      <w:r w:rsidR="00B623FF" w:rsidRPr="001870F3">
        <w:rPr>
          <w:szCs w:val="22"/>
          <w:lang w:val="sr-Latn-ME"/>
        </w:rPr>
        <w:t xml:space="preserve"> faktor</w:t>
      </w:r>
      <w:r w:rsidR="009843AF" w:rsidRPr="001870F3">
        <w:rPr>
          <w:szCs w:val="22"/>
          <w:lang w:val="sr-Latn-ME"/>
        </w:rPr>
        <w:t>a</w:t>
      </w:r>
      <w:r w:rsidR="00B623FF" w:rsidRPr="001870F3">
        <w:rPr>
          <w:szCs w:val="22"/>
          <w:lang w:val="sr-Latn-ME"/>
        </w:rPr>
        <w:t xml:space="preserve"> rizika. Ukupna incidenca ozbiljnih neželjenih događaja kod pacijenata </w:t>
      </w:r>
      <w:r w:rsidR="002F73D6" w:rsidRPr="001870F3">
        <w:rPr>
          <w:szCs w:val="22"/>
          <w:lang w:val="sr-Latn-ME"/>
        </w:rPr>
        <w:t xml:space="preserve">na terapiji </w:t>
      </w:r>
      <w:r w:rsidR="00B623FF" w:rsidRPr="001870F3">
        <w:rPr>
          <w:szCs w:val="22"/>
          <w:lang w:val="sr-Latn-ME"/>
        </w:rPr>
        <w:t>sitagliptin</w:t>
      </w:r>
      <w:r w:rsidR="002F73D6" w:rsidRPr="001870F3">
        <w:rPr>
          <w:szCs w:val="22"/>
          <w:lang w:val="sr-Latn-ME"/>
        </w:rPr>
        <w:t>om</w:t>
      </w:r>
      <w:r w:rsidR="00B623FF" w:rsidRPr="001870F3">
        <w:rPr>
          <w:szCs w:val="22"/>
          <w:lang w:val="sr-Latn-ME"/>
        </w:rPr>
        <w:t xml:space="preserve"> je bila slična onoj kod pacijenata </w:t>
      </w:r>
      <w:r w:rsidR="002F73D6" w:rsidRPr="001870F3">
        <w:rPr>
          <w:szCs w:val="22"/>
          <w:lang w:val="sr-Latn-ME"/>
        </w:rPr>
        <w:t xml:space="preserve">koji su primali </w:t>
      </w:r>
      <w:r w:rsidR="00B623FF" w:rsidRPr="001870F3">
        <w:rPr>
          <w:szCs w:val="22"/>
          <w:lang w:val="sr-Latn-ME"/>
        </w:rPr>
        <w:t>placeb</w:t>
      </w:r>
      <w:r w:rsidR="002F73D6" w:rsidRPr="001870F3">
        <w:rPr>
          <w:szCs w:val="22"/>
          <w:lang w:val="sr-Latn-ME"/>
        </w:rPr>
        <w:t>o</w:t>
      </w:r>
      <w:r w:rsidR="00B623FF" w:rsidRPr="001870F3">
        <w:rPr>
          <w:szCs w:val="22"/>
          <w:lang w:val="sr-Latn-ME"/>
        </w:rPr>
        <w:t>.</w:t>
      </w:r>
    </w:p>
    <w:p w14:paraId="22CB9888" w14:textId="77777777" w:rsidR="002F73D6" w:rsidRPr="001870F3" w:rsidRDefault="002F73D6" w:rsidP="001870F3">
      <w:pPr>
        <w:widowControl w:val="0"/>
        <w:rPr>
          <w:szCs w:val="22"/>
          <w:lang w:val="sr-Latn-ME"/>
        </w:rPr>
      </w:pPr>
    </w:p>
    <w:p w14:paraId="2E86A1F7" w14:textId="2AE06E48" w:rsidR="008D6C6C" w:rsidRPr="001870F3" w:rsidRDefault="00FA0617" w:rsidP="001870F3">
      <w:pPr>
        <w:widowControl w:val="0"/>
        <w:rPr>
          <w:szCs w:val="22"/>
          <w:lang w:val="sr-Latn-ME"/>
        </w:rPr>
      </w:pPr>
      <w:r w:rsidRPr="001870F3">
        <w:rPr>
          <w:szCs w:val="22"/>
          <w:lang w:val="sr-Latn-ME"/>
        </w:rPr>
        <w:t xml:space="preserve">U </w:t>
      </w:r>
      <w:r w:rsidR="002F73D6" w:rsidRPr="001870F3">
        <w:rPr>
          <w:szCs w:val="22"/>
          <w:lang w:val="sr-Latn-ME"/>
        </w:rPr>
        <w:t>populaciji pacijenata predviđenoj za l</w:t>
      </w:r>
      <w:r w:rsidR="00797A1A" w:rsidRPr="001870F3">
        <w:rPr>
          <w:szCs w:val="22"/>
          <w:lang w:val="sr-Latn-ME"/>
        </w:rPr>
        <w:t>ij</w:t>
      </w:r>
      <w:r w:rsidR="002F73D6" w:rsidRPr="001870F3">
        <w:rPr>
          <w:szCs w:val="22"/>
          <w:lang w:val="sr-Latn-ME"/>
        </w:rPr>
        <w:t xml:space="preserve">ečenje, </w:t>
      </w:r>
      <w:r w:rsidR="007E3DFF" w:rsidRPr="001870F3">
        <w:rPr>
          <w:szCs w:val="22"/>
          <w:lang w:val="sr-Latn-ME"/>
        </w:rPr>
        <w:t xml:space="preserve">kod </w:t>
      </w:r>
      <w:r w:rsidRPr="001870F3">
        <w:rPr>
          <w:szCs w:val="22"/>
          <w:lang w:val="sr-Latn-ME"/>
        </w:rPr>
        <w:t>pacijen</w:t>
      </w:r>
      <w:r w:rsidR="007E3DFF" w:rsidRPr="001870F3">
        <w:rPr>
          <w:szCs w:val="22"/>
          <w:lang w:val="sr-Latn-ME"/>
        </w:rPr>
        <w:t>ata</w:t>
      </w:r>
      <w:r w:rsidRPr="001870F3">
        <w:rPr>
          <w:szCs w:val="22"/>
          <w:lang w:val="sr-Latn-ME"/>
        </w:rPr>
        <w:t xml:space="preserve"> koji su </w:t>
      </w:r>
      <w:r w:rsidR="007E3DFF" w:rsidRPr="001870F3">
        <w:rPr>
          <w:szCs w:val="22"/>
          <w:lang w:val="sr-Latn-ME"/>
        </w:rPr>
        <w:t>primenjivali</w:t>
      </w:r>
      <w:r w:rsidRPr="001870F3">
        <w:rPr>
          <w:szCs w:val="22"/>
          <w:lang w:val="sr-Latn-ME"/>
        </w:rPr>
        <w:t xml:space="preserve"> insulin i/ili </w:t>
      </w:r>
      <w:r w:rsidR="007E3DFF" w:rsidRPr="001870F3">
        <w:rPr>
          <w:szCs w:val="22"/>
          <w:lang w:val="sr-Latn-ME"/>
        </w:rPr>
        <w:t>derivate</w:t>
      </w:r>
      <w:r w:rsidRPr="001870F3">
        <w:rPr>
          <w:szCs w:val="22"/>
          <w:lang w:val="sr-Latn-ME"/>
        </w:rPr>
        <w:t xml:space="preserve"> sulfoniluree na početku </w:t>
      </w:r>
      <w:r w:rsidR="004722F3" w:rsidRPr="001870F3">
        <w:rPr>
          <w:szCs w:val="22"/>
          <w:lang w:val="sr-Latn-ME"/>
        </w:rPr>
        <w:t>ispitivanja</w:t>
      </w:r>
      <w:r w:rsidRPr="001870F3">
        <w:rPr>
          <w:szCs w:val="22"/>
          <w:lang w:val="sr-Latn-ME"/>
        </w:rPr>
        <w:t xml:space="preserve">, incidenca teške hipoglikemije je bila 2,7% kod pacijenata na terapiji sitagliptinom i 2,5% kod pacijenata </w:t>
      </w:r>
      <w:r w:rsidR="00B30AAE" w:rsidRPr="001870F3">
        <w:rPr>
          <w:szCs w:val="22"/>
          <w:lang w:val="sr-Latn-ME"/>
        </w:rPr>
        <w:t xml:space="preserve">koji su primali </w:t>
      </w:r>
      <w:r w:rsidRPr="001870F3">
        <w:rPr>
          <w:szCs w:val="22"/>
          <w:lang w:val="sr-Latn-ME"/>
        </w:rPr>
        <w:t>placeb</w:t>
      </w:r>
      <w:r w:rsidR="00B30AAE" w:rsidRPr="001870F3">
        <w:rPr>
          <w:szCs w:val="22"/>
          <w:lang w:val="sr-Latn-ME"/>
        </w:rPr>
        <w:t>o</w:t>
      </w:r>
      <w:r w:rsidRPr="001870F3">
        <w:rPr>
          <w:szCs w:val="22"/>
          <w:lang w:val="sr-Latn-ME"/>
        </w:rPr>
        <w:t>; među pacijentima koji ni</w:t>
      </w:r>
      <w:r w:rsidR="009843AF" w:rsidRPr="001870F3">
        <w:rPr>
          <w:szCs w:val="22"/>
          <w:lang w:val="sr-Latn-ME"/>
        </w:rPr>
        <w:t>je</w:t>
      </w:r>
      <w:r w:rsidRPr="001870F3">
        <w:rPr>
          <w:szCs w:val="22"/>
          <w:lang w:val="sr-Latn-ME"/>
        </w:rPr>
        <w:t xml:space="preserve">su </w:t>
      </w:r>
      <w:r w:rsidR="00B30AAE" w:rsidRPr="001870F3">
        <w:rPr>
          <w:szCs w:val="22"/>
          <w:lang w:val="sr-Latn-ME"/>
        </w:rPr>
        <w:t>primali</w:t>
      </w:r>
      <w:r w:rsidRPr="001870F3">
        <w:rPr>
          <w:szCs w:val="22"/>
          <w:lang w:val="sr-Latn-ME"/>
        </w:rPr>
        <w:t xml:space="preserve"> insulin i/ili </w:t>
      </w:r>
      <w:r w:rsidR="00B30AAE" w:rsidRPr="001870F3">
        <w:rPr>
          <w:szCs w:val="22"/>
          <w:lang w:val="sr-Latn-ME"/>
        </w:rPr>
        <w:t xml:space="preserve">derivate </w:t>
      </w:r>
      <w:r w:rsidRPr="001870F3">
        <w:rPr>
          <w:szCs w:val="22"/>
          <w:lang w:val="sr-Latn-ME"/>
        </w:rPr>
        <w:t xml:space="preserve">sulfoniluree na početku studije, incidenca teške hipoglikemije je bila 1,0% kod pacijenata </w:t>
      </w:r>
      <w:r w:rsidRPr="001870F3">
        <w:rPr>
          <w:szCs w:val="22"/>
          <w:lang w:val="sr-Latn-ME"/>
        </w:rPr>
        <w:lastRenderedPageBreak/>
        <w:t xml:space="preserve">na sitagliptinu i 0,7% kod pacijenata na placebu. Incidenca </w:t>
      </w:r>
      <w:r w:rsidR="00B427CD" w:rsidRPr="001870F3">
        <w:rPr>
          <w:szCs w:val="22"/>
          <w:lang w:val="sr-Latn-ME"/>
        </w:rPr>
        <w:t>događaja povezanih sa pankreatitisom je bila 0,3% kod pacijenata na sitagliptinu i 0,2% kod pacijenata na placebu.</w:t>
      </w:r>
      <w:r w:rsidRPr="001870F3">
        <w:rPr>
          <w:szCs w:val="22"/>
          <w:lang w:val="sr-Latn-ME"/>
        </w:rPr>
        <w:t xml:space="preserve"> </w:t>
      </w:r>
      <w:r w:rsidR="005F6BF9" w:rsidRPr="001870F3">
        <w:rPr>
          <w:szCs w:val="22"/>
          <w:lang w:val="sr-Latn-ME"/>
        </w:rPr>
        <w:t xml:space="preserve"> </w:t>
      </w:r>
      <w:r w:rsidR="00E23D02" w:rsidRPr="001870F3">
        <w:rPr>
          <w:szCs w:val="22"/>
          <w:lang w:val="sr-Latn-ME"/>
        </w:rPr>
        <w:t xml:space="preserve">  </w:t>
      </w:r>
    </w:p>
    <w:p w14:paraId="2E86A1F8" w14:textId="77777777" w:rsidR="00BD4AB7" w:rsidRPr="001870F3" w:rsidRDefault="00BD4AB7" w:rsidP="001870F3">
      <w:pPr>
        <w:widowControl w:val="0"/>
        <w:rPr>
          <w:szCs w:val="22"/>
          <w:u w:val="single"/>
          <w:lang w:val="sr-Latn-ME"/>
        </w:rPr>
      </w:pPr>
    </w:p>
    <w:p w14:paraId="2E86A1F9" w14:textId="77777777" w:rsidR="00072DCE" w:rsidRPr="001870F3" w:rsidRDefault="00072DCE" w:rsidP="001870F3">
      <w:pPr>
        <w:widowControl w:val="0"/>
        <w:spacing w:line="276" w:lineRule="auto"/>
        <w:rPr>
          <w:rFonts w:eastAsia="Calibri"/>
          <w:szCs w:val="22"/>
          <w:u w:val="single"/>
          <w:lang w:val="sr-Latn-ME"/>
        </w:rPr>
      </w:pPr>
      <w:r w:rsidRPr="001870F3">
        <w:rPr>
          <w:rFonts w:eastAsia="Calibri"/>
          <w:szCs w:val="22"/>
          <w:u w:val="single"/>
          <w:lang w:val="sr-Latn-ME"/>
        </w:rPr>
        <w:t>Prijavljivanje sumnji na neželjena dejstva</w:t>
      </w:r>
    </w:p>
    <w:p w14:paraId="2E86A1FA" w14:textId="564CC307" w:rsidR="00072DCE" w:rsidRPr="001870F3" w:rsidRDefault="00072DCE" w:rsidP="001870F3">
      <w:pPr>
        <w:widowControl w:val="0"/>
        <w:rPr>
          <w:rFonts w:eastAsia="Calibri"/>
          <w:szCs w:val="22"/>
          <w:lang w:val="sr-Latn-ME"/>
        </w:rPr>
      </w:pPr>
      <w:r w:rsidRPr="001870F3">
        <w:rPr>
          <w:rFonts w:eastAsia="Calibri"/>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E936B4" w:rsidRPr="001870F3">
        <w:rPr>
          <w:rFonts w:eastAsia="Calibri"/>
          <w:szCs w:val="22"/>
          <w:lang w:val="sr-Latn-ME"/>
        </w:rPr>
        <w:t>Institut</w:t>
      </w:r>
      <w:r w:rsidR="009843AF" w:rsidRPr="001870F3">
        <w:rPr>
          <w:rFonts w:eastAsia="Calibri"/>
          <w:szCs w:val="22"/>
          <w:lang w:val="sr-Latn-ME"/>
        </w:rPr>
        <w:t>u</w:t>
      </w:r>
      <w:r w:rsidR="00E936B4" w:rsidRPr="001870F3">
        <w:rPr>
          <w:rFonts w:eastAsia="Calibri"/>
          <w:szCs w:val="22"/>
          <w:lang w:val="sr-Latn-ME"/>
        </w:rPr>
        <w:t xml:space="preserve"> </w:t>
      </w:r>
      <w:r w:rsidRPr="001870F3">
        <w:rPr>
          <w:rFonts w:eastAsia="Calibri"/>
          <w:szCs w:val="22"/>
          <w:lang w:val="sr-Latn-ME"/>
        </w:rPr>
        <w:t>za ljekove i medicinska sredstva Crne Gore (C</w:t>
      </w:r>
      <w:r w:rsidR="009843AF" w:rsidRPr="001870F3">
        <w:rPr>
          <w:rFonts w:eastAsia="Calibri"/>
          <w:szCs w:val="22"/>
          <w:lang w:val="sr-Latn-ME"/>
        </w:rPr>
        <w:t>I</w:t>
      </w:r>
      <w:r w:rsidR="00E936B4" w:rsidRPr="001870F3">
        <w:rPr>
          <w:rFonts w:eastAsia="Calibri"/>
          <w:szCs w:val="22"/>
          <w:lang w:val="sr-Latn-ME"/>
        </w:rPr>
        <w:t>nMED</w:t>
      </w:r>
      <w:r w:rsidRPr="001870F3">
        <w:rPr>
          <w:rFonts w:eastAsia="Calibri"/>
          <w:szCs w:val="22"/>
          <w:lang w:val="sr-Latn-ME"/>
        </w:rPr>
        <w:t>):</w:t>
      </w:r>
    </w:p>
    <w:p w14:paraId="2E86A1FB" w14:textId="6EAE149C" w:rsidR="00072DCE" w:rsidRPr="001870F3" w:rsidRDefault="00E936B4" w:rsidP="001870F3">
      <w:pPr>
        <w:pStyle w:val="NoSpacing"/>
        <w:widowControl w:val="0"/>
        <w:jc w:val="both"/>
        <w:rPr>
          <w:rFonts w:eastAsia="Calibri"/>
          <w:sz w:val="22"/>
          <w:szCs w:val="22"/>
          <w:lang w:val="sr-Latn-ME"/>
        </w:rPr>
      </w:pPr>
      <w:r w:rsidRPr="001870F3">
        <w:rPr>
          <w:rFonts w:eastAsia="Calibri"/>
          <w:sz w:val="22"/>
          <w:szCs w:val="22"/>
          <w:lang w:val="sr-Latn-ME"/>
        </w:rPr>
        <w:t xml:space="preserve">Institut </w:t>
      </w:r>
      <w:r w:rsidR="00072DCE" w:rsidRPr="001870F3">
        <w:rPr>
          <w:rFonts w:eastAsia="Calibri"/>
          <w:sz w:val="22"/>
          <w:szCs w:val="22"/>
          <w:lang w:val="sr-Latn-ME"/>
        </w:rPr>
        <w:t>za ljekove i medicinska sredstva</w:t>
      </w:r>
    </w:p>
    <w:p w14:paraId="2E86A1FC" w14:textId="77777777" w:rsidR="00072DCE" w:rsidRPr="001870F3" w:rsidRDefault="00072DCE" w:rsidP="001870F3">
      <w:pPr>
        <w:pStyle w:val="NoSpacing"/>
        <w:widowControl w:val="0"/>
        <w:jc w:val="both"/>
        <w:rPr>
          <w:rFonts w:eastAsia="Calibri"/>
          <w:sz w:val="22"/>
          <w:szCs w:val="22"/>
          <w:lang w:val="sr-Latn-ME"/>
        </w:rPr>
      </w:pPr>
      <w:r w:rsidRPr="001870F3">
        <w:rPr>
          <w:rFonts w:eastAsia="Calibri"/>
          <w:sz w:val="22"/>
          <w:szCs w:val="22"/>
          <w:lang w:val="sr-Latn-ME"/>
        </w:rPr>
        <w:t>Odjeljenje za farmakovigilancu</w:t>
      </w:r>
    </w:p>
    <w:p w14:paraId="2E86A1FD" w14:textId="77777777" w:rsidR="00072DCE" w:rsidRPr="001870F3" w:rsidRDefault="00072DCE" w:rsidP="001870F3">
      <w:pPr>
        <w:pStyle w:val="NoSpacing"/>
        <w:widowControl w:val="0"/>
        <w:jc w:val="both"/>
        <w:rPr>
          <w:rFonts w:eastAsia="Calibri"/>
          <w:sz w:val="22"/>
          <w:szCs w:val="22"/>
          <w:lang w:val="sr-Latn-ME"/>
        </w:rPr>
      </w:pPr>
      <w:r w:rsidRPr="001870F3">
        <w:rPr>
          <w:rFonts w:eastAsia="Calibri"/>
          <w:sz w:val="22"/>
          <w:szCs w:val="22"/>
          <w:lang w:val="sr-Latn-ME"/>
        </w:rPr>
        <w:t>Bulevar Ivana Crnojevića 64a, 81000 Podgorica</w:t>
      </w:r>
    </w:p>
    <w:p w14:paraId="2E86A1FE" w14:textId="77777777" w:rsidR="00072DCE" w:rsidRPr="001870F3" w:rsidRDefault="00072DCE" w:rsidP="001870F3">
      <w:pPr>
        <w:pStyle w:val="NoSpacing"/>
        <w:widowControl w:val="0"/>
        <w:jc w:val="both"/>
        <w:rPr>
          <w:rFonts w:eastAsia="Calibri"/>
          <w:sz w:val="22"/>
          <w:szCs w:val="22"/>
          <w:lang w:val="sr-Latn-ME"/>
        </w:rPr>
      </w:pPr>
    </w:p>
    <w:p w14:paraId="3EF5A2E4" w14:textId="77777777" w:rsidR="009843AF" w:rsidRPr="001870F3" w:rsidRDefault="009843AF" w:rsidP="001870F3">
      <w:pPr>
        <w:widowControl w:val="0"/>
        <w:tabs>
          <w:tab w:val="clear" w:pos="284"/>
        </w:tabs>
        <w:rPr>
          <w:rFonts w:eastAsia="Calibri"/>
          <w:szCs w:val="22"/>
          <w:lang w:val="sr-Latn-ME"/>
        </w:rPr>
      </w:pPr>
      <w:r w:rsidRPr="001870F3">
        <w:rPr>
          <w:rFonts w:eastAsia="Calibri"/>
          <w:szCs w:val="22"/>
          <w:lang w:val="sr-Latn-ME"/>
        </w:rPr>
        <w:t>tel: +382 (0) 20 310 280</w:t>
      </w:r>
    </w:p>
    <w:p w14:paraId="7076CF4E" w14:textId="77777777" w:rsidR="009843AF" w:rsidRPr="001870F3" w:rsidRDefault="009843AF" w:rsidP="001870F3">
      <w:pPr>
        <w:widowControl w:val="0"/>
        <w:tabs>
          <w:tab w:val="clear" w:pos="284"/>
        </w:tabs>
        <w:rPr>
          <w:rFonts w:eastAsia="Calibri"/>
          <w:szCs w:val="22"/>
          <w:lang w:val="sr-Latn-ME"/>
        </w:rPr>
      </w:pPr>
      <w:r w:rsidRPr="001870F3">
        <w:rPr>
          <w:rFonts w:eastAsia="Calibri"/>
          <w:szCs w:val="22"/>
          <w:lang w:val="sr-Latn-ME"/>
        </w:rPr>
        <w:t>fax: +382 (0) 20 310 581</w:t>
      </w:r>
    </w:p>
    <w:p w14:paraId="18FBD24F" w14:textId="77777777" w:rsidR="009843AF" w:rsidRPr="001870F3" w:rsidRDefault="009152C7" w:rsidP="001870F3">
      <w:pPr>
        <w:widowControl w:val="0"/>
        <w:tabs>
          <w:tab w:val="clear" w:pos="284"/>
        </w:tabs>
        <w:rPr>
          <w:rFonts w:eastAsia="Calibri"/>
          <w:szCs w:val="22"/>
          <w:lang w:val="sr-Latn-ME"/>
        </w:rPr>
      </w:pPr>
      <w:hyperlink r:id="rId10" w:history="1">
        <w:r w:rsidR="009843AF" w:rsidRPr="001870F3">
          <w:rPr>
            <w:rFonts w:eastAsia="Calibri"/>
            <w:color w:val="0563C1"/>
            <w:szCs w:val="22"/>
            <w:u w:val="single"/>
            <w:lang w:val="sr-Latn-ME"/>
          </w:rPr>
          <w:t>www.cinmed.me</w:t>
        </w:r>
      </w:hyperlink>
    </w:p>
    <w:p w14:paraId="0FBFD4A1" w14:textId="77777777" w:rsidR="009843AF" w:rsidRPr="001870F3" w:rsidRDefault="009152C7" w:rsidP="001870F3">
      <w:pPr>
        <w:widowControl w:val="0"/>
        <w:tabs>
          <w:tab w:val="clear" w:pos="284"/>
        </w:tabs>
        <w:rPr>
          <w:rFonts w:eastAsia="Calibri"/>
          <w:color w:val="0000FF"/>
          <w:szCs w:val="22"/>
          <w:u w:val="single"/>
          <w:lang w:val="sr-Latn-ME"/>
        </w:rPr>
      </w:pPr>
      <w:hyperlink r:id="rId11" w:history="1">
        <w:r w:rsidR="009843AF" w:rsidRPr="001870F3">
          <w:rPr>
            <w:rFonts w:eastAsia="Calibri"/>
            <w:color w:val="0563C1"/>
            <w:szCs w:val="22"/>
            <w:u w:val="single"/>
            <w:lang w:val="sr-Latn-ME"/>
          </w:rPr>
          <w:t>nezeljenadejstva@cinmed.me</w:t>
        </w:r>
      </w:hyperlink>
    </w:p>
    <w:p w14:paraId="4D4CD33E" w14:textId="77777777" w:rsidR="009843AF" w:rsidRPr="001870F3" w:rsidRDefault="009843AF" w:rsidP="001870F3">
      <w:pPr>
        <w:widowControl w:val="0"/>
        <w:tabs>
          <w:tab w:val="clear" w:pos="284"/>
        </w:tabs>
        <w:rPr>
          <w:rFonts w:eastAsia="Calibri"/>
          <w:szCs w:val="22"/>
          <w:lang w:val="sr-Latn-ME"/>
        </w:rPr>
      </w:pPr>
      <w:r w:rsidRPr="001870F3">
        <w:rPr>
          <w:rFonts w:eastAsia="Calibri"/>
          <w:szCs w:val="22"/>
          <w:lang w:val="sr-Latn-ME"/>
        </w:rPr>
        <w:t>putem IS zdravstvene zaštite</w:t>
      </w:r>
    </w:p>
    <w:p w14:paraId="628B688D" w14:textId="77777777" w:rsidR="00B57251" w:rsidRPr="001870F3" w:rsidRDefault="00B57251" w:rsidP="001870F3">
      <w:pPr>
        <w:pStyle w:val="NoSpacing"/>
        <w:widowControl w:val="0"/>
        <w:jc w:val="both"/>
        <w:rPr>
          <w:rFonts w:eastAsia="Calibri"/>
          <w:sz w:val="22"/>
          <w:szCs w:val="22"/>
          <w:lang w:val="sr-Latn-ME"/>
        </w:rPr>
      </w:pPr>
      <w:r w:rsidRPr="001870F3">
        <w:rPr>
          <w:rFonts w:eastAsia="Calibri"/>
          <w:sz w:val="22"/>
          <w:szCs w:val="22"/>
          <w:lang w:val="sr-Latn-ME"/>
        </w:rPr>
        <w:t>QR kod za online prijavu sumnje na neželjeno dejstvo lijeka:</w:t>
      </w:r>
    </w:p>
    <w:p w14:paraId="1936D92B" w14:textId="77777777" w:rsidR="00B57251" w:rsidRPr="001870F3" w:rsidRDefault="00B57251" w:rsidP="001870F3">
      <w:pPr>
        <w:pStyle w:val="NoSpacing"/>
        <w:widowControl w:val="0"/>
        <w:jc w:val="both"/>
        <w:rPr>
          <w:rFonts w:eastAsia="Calibri"/>
          <w:sz w:val="22"/>
          <w:szCs w:val="22"/>
          <w:lang w:val="sr-Latn-ME"/>
        </w:rPr>
      </w:pPr>
    </w:p>
    <w:p w14:paraId="68360855" w14:textId="2A00EE13" w:rsidR="00B57251" w:rsidRPr="001870F3" w:rsidRDefault="007012CF" w:rsidP="001870F3">
      <w:pPr>
        <w:pStyle w:val="NoSpacing"/>
        <w:widowControl w:val="0"/>
        <w:rPr>
          <w:rFonts w:eastAsia="Calibri"/>
          <w:sz w:val="22"/>
          <w:szCs w:val="22"/>
          <w:lang w:val="sr-Latn-ME"/>
        </w:rPr>
      </w:pPr>
      <w:r w:rsidRPr="001870F3">
        <w:rPr>
          <w:b/>
          <w:bCs/>
          <w:noProof/>
          <w:sz w:val="22"/>
          <w:szCs w:val="22"/>
        </w:rPr>
        <w:drawing>
          <wp:inline distT="0" distB="0" distL="0" distR="0" wp14:anchorId="00BA2A8B" wp14:editId="00FECF98">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E86A203" w14:textId="77777777" w:rsidR="00CE09F3" w:rsidRPr="001870F3" w:rsidRDefault="00CE09F3" w:rsidP="001870F3">
      <w:pPr>
        <w:widowControl w:val="0"/>
        <w:rPr>
          <w:szCs w:val="22"/>
          <w:lang w:val="sr-Latn-ME"/>
        </w:rPr>
      </w:pPr>
    </w:p>
    <w:p w14:paraId="2E86A204" w14:textId="77777777" w:rsidR="00CE09F3" w:rsidRPr="001870F3" w:rsidRDefault="00CE09F3" w:rsidP="001870F3">
      <w:pPr>
        <w:widowControl w:val="0"/>
        <w:rPr>
          <w:b/>
          <w:bCs/>
          <w:szCs w:val="22"/>
          <w:lang w:val="sr-Latn-ME"/>
        </w:rPr>
      </w:pPr>
      <w:r w:rsidRPr="001870F3">
        <w:rPr>
          <w:b/>
          <w:bCs/>
          <w:szCs w:val="22"/>
          <w:lang w:val="sr-Latn-ME"/>
        </w:rPr>
        <w:t>4.9. Predoziranje</w:t>
      </w:r>
    </w:p>
    <w:p w14:paraId="2E86A205" w14:textId="77777777" w:rsidR="00CE09F3" w:rsidRPr="001870F3" w:rsidRDefault="00CE09F3" w:rsidP="001870F3">
      <w:pPr>
        <w:widowControl w:val="0"/>
        <w:rPr>
          <w:szCs w:val="22"/>
          <w:lang w:val="sr-Latn-ME"/>
        </w:rPr>
      </w:pPr>
    </w:p>
    <w:p w14:paraId="2E86A207" w14:textId="6CCBED23" w:rsidR="00B30535"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Pojedinačne doze do 800 mg sitagliptina </w:t>
      </w:r>
      <w:r w:rsidR="009843AF" w:rsidRPr="001870F3">
        <w:rPr>
          <w:rFonts w:eastAsia="TimesNewRoman"/>
          <w:szCs w:val="22"/>
          <w:lang w:val="sr-Latn-ME"/>
        </w:rPr>
        <w:t xml:space="preserve">primjenjivane su </w:t>
      </w:r>
      <w:r w:rsidRPr="001870F3">
        <w:rPr>
          <w:rFonts w:eastAsia="TimesNewRoman"/>
          <w:szCs w:val="22"/>
          <w:lang w:val="sr-Latn-ME"/>
        </w:rPr>
        <w:t>u toku kontrolisanih kliničkih</w:t>
      </w:r>
      <w:r w:rsidR="006907D7" w:rsidRPr="001870F3">
        <w:rPr>
          <w:rFonts w:eastAsia="TimesNewRoman"/>
          <w:szCs w:val="22"/>
          <w:lang w:val="sr-Latn-ME"/>
        </w:rPr>
        <w:t xml:space="preserve"> </w:t>
      </w:r>
      <w:r w:rsidRPr="001870F3">
        <w:rPr>
          <w:rFonts w:eastAsia="TimesNewRoman"/>
          <w:szCs w:val="22"/>
          <w:lang w:val="sr-Latn-ME"/>
        </w:rPr>
        <w:t>ispitivanja zdravih ispitanika. U jednoj studiji su prim</w:t>
      </w:r>
      <w:r w:rsidR="00072DCE" w:rsidRPr="001870F3">
        <w:rPr>
          <w:rFonts w:eastAsia="TimesNewRoman"/>
          <w:szCs w:val="22"/>
          <w:lang w:val="sr-Latn-ME"/>
        </w:rPr>
        <w:t>j</w:t>
      </w:r>
      <w:r w:rsidRPr="001870F3">
        <w:rPr>
          <w:rFonts w:eastAsia="TimesNewRoman"/>
          <w:szCs w:val="22"/>
          <w:lang w:val="sr-Latn-ME"/>
        </w:rPr>
        <w:t>ećena minimalna povećanja QTc, za koja se smatra da ni</w:t>
      </w:r>
      <w:r w:rsidR="009843AF" w:rsidRPr="001870F3">
        <w:rPr>
          <w:rFonts w:eastAsia="TimesNewRoman"/>
          <w:szCs w:val="22"/>
          <w:lang w:val="sr-Latn-ME"/>
        </w:rPr>
        <w:t>je</w:t>
      </w:r>
      <w:r w:rsidRPr="001870F3">
        <w:rPr>
          <w:rFonts w:eastAsia="TimesNewRoman"/>
          <w:szCs w:val="22"/>
          <w:lang w:val="sr-Latn-ME"/>
        </w:rPr>
        <w:t>su klinički relevantna, kod doze od 800 mg sitagliptina. Nema iskustva sa dozama preko 800 mg u kliničkim studijama. U ispitivanjima više doza (faza 1), ni</w:t>
      </w:r>
      <w:r w:rsidR="00E936B4" w:rsidRPr="001870F3">
        <w:rPr>
          <w:rFonts w:eastAsia="TimesNewRoman"/>
          <w:szCs w:val="22"/>
          <w:lang w:val="sr-Latn-ME"/>
        </w:rPr>
        <w:t>je</w:t>
      </w:r>
      <w:r w:rsidRPr="001870F3">
        <w:rPr>
          <w:rFonts w:eastAsia="TimesNewRoman"/>
          <w:szCs w:val="22"/>
          <w:lang w:val="sr-Latn-ME"/>
        </w:rPr>
        <w:t>su prim</w:t>
      </w:r>
      <w:r w:rsidR="00E936B4" w:rsidRPr="001870F3">
        <w:rPr>
          <w:rFonts w:eastAsia="TimesNewRoman"/>
          <w:szCs w:val="22"/>
          <w:lang w:val="sr-Latn-ME"/>
        </w:rPr>
        <w:t>i</w:t>
      </w:r>
      <w:r w:rsidR="00072DCE" w:rsidRPr="001870F3">
        <w:rPr>
          <w:rFonts w:eastAsia="TimesNewRoman"/>
          <w:szCs w:val="22"/>
          <w:lang w:val="sr-Latn-ME"/>
        </w:rPr>
        <w:t>j</w:t>
      </w:r>
      <w:r w:rsidRPr="001870F3">
        <w:rPr>
          <w:rFonts w:eastAsia="TimesNewRoman"/>
          <w:szCs w:val="22"/>
          <w:lang w:val="sr-Latn-ME"/>
        </w:rPr>
        <w:t>ećene dozno-zavisn</w:t>
      </w:r>
      <w:r w:rsidR="009843AF" w:rsidRPr="001870F3">
        <w:rPr>
          <w:rFonts w:eastAsia="TimesNewRoman"/>
          <w:szCs w:val="22"/>
          <w:lang w:val="sr-Latn-ME"/>
        </w:rPr>
        <w:t>a</w:t>
      </w:r>
      <w:r w:rsidRPr="001870F3">
        <w:rPr>
          <w:rFonts w:eastAsia="TimesNewRoman"/>
          <w:szCs w:val="22"/>
          <w:lang w:val="sr-Latn-ME"/>
        </w:rPr>
        <w:t xml:space="preserve"> neželjen</w:t>
      </w:r>
      <w:r w:rsidR="009843AF" w:rsidRPr="001870F3">
        <w:rPr>
          <w:rFonts w:eastAsia="TimesNewRoman"/>
          <w:szCs w:val="22"/>
          <w:lang w:val="sr-Latn-ME"/>
        </w:rPr>
        <w:t>a dejstva</w:t>
      </w:r>
      <w:r w:rsidRPr="001870F3">
        <w:rPr>
          <w:rFonts w:eastAsia="TimesNewRoman"/>
          <w:szCs w:val="22"/>
          <w:lang w:val="sr-Latn-ME"/>
        </w:rPr>
        <w:t xml:space="preserve"> sitagliptina pri prim</w:t>
      </w:r>
      <w:r w:rsidR="00072DCE" w:rsidRPr="001870F3">
        <w:rPr>
          <w:rFonts w:eastAsia="TimesNewRoman"/>
          <w:szCs w:val="22"/>
          <w:lang w:val="sr-Latn-ME"/>
        </w:rPr>
        <w:t>j</w:t>
      </w:r>
      <w:r w:rsidRPr="001870F3">
        <w:rPr>
          <w:rFonts w:eastAsia="TimesNewRoman"/>
          <w:szCs w:val="22"/>
          <w:lang w:val="sr-Latn-ME"/>
        </w:rPr>
        <w:t>eni doza do 600 mg/dan tokom najduže 10 dana i doza do 400 mg/dan tokom najduže 28 dana.</w:t>
      </w:r>
    </w:p>
    <w:p w14:paraId="62BC8214" w14:textId="77777777" w:rsidR="006907D7" w:rsidRPr="001870F3" w:rsidRDefault="006907D7" w:rsidP="001870F3">
      <w:pPr>
        <w:widowControl w:val="0"/>
        <w:tabs>
          <w:tab w:val="clear" w:pos="284"/>
        </w:tabs>
        <w:autoSpaceDE w:val="0"/>
        <w:autoSpaceDN w:val="0"/>
        <w:adjustRightInd w:val="0"/>
        <w:rPr>
          <w:rFonts w:eastAsia="TimesNewRoman"/>
          <w:szCs w:val="22"/>
          <w:lang w:val="sr-Latn-ME"/>
        </w:rPr>
      </w:pPr>
    </w:p>
    <w:p w14:paraId="2E86A208" w14:textId="4ED73BA0" w:rsidR="00B30535"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Visoke doze metformina (ili već postojeći rizici od laktoacidoze) mogu dovesti do laktoacidoze koja predstavlja hitan medicinski slučaj i mora se l</w:t>
      </w:r>
      <w:r w:rsidR="00072DCE" w:rsidRPr="001870F3">
        <w:rPr>
          <w:rFonts w:eastAsia="TimesNewRoman"/>
          <w:szCs w:val="22"/>
          <w:lang w:val="sr-Latn-ME"/>
        </w:rPr>
        <w:t>ij</w:t>
      </w:r>
      <w:r w:rsidRPr="001870F3">
        <w:rPr>
          <w:rFonts w:eastAsia="TimesNewRoman"/>
          <w:szCs w:val="22"/>
          <w:lang w:val="sr-Latn-ME"/>
        </w:rPr>
        <w:t>ečiti u bolnici. Najefikasniji način odstranjivanja laktata i metformina jeste hemodijaliza.</w:t>
      </w:r>
    </w:p>
    <w:p w14:paraId="32175758" w14:textId="77777777" w:rsidR="00E73DB2" w:rsidRPr="001870F3" w:rsidRDefault="00E73DB2" w:rsidP="001870F3">
      <w:pPr>
        <w:widowControl w:val="0"/>
        <w:tabs>
          <w:tab w:val="clear" w:pos="284"/>
        </w:tabs>
        <w:autoSpaceDE w:val="0"/>
        <w:autoSpaceDN w:val="0"/>
        <w:adjustRightInd w:val="0"/>
        <w:rPr>
          <w:rFonts w:eastAsia="TimesNewRoman"/>
          <w:szCs w:val="22"/>
          <w:lang w:val="sr-Latn-ME"/>
        </w:rPr>
      </w:pPr>
    </w:p>
    <w:p w14:paraId="2E86A209" w14:textId="2823720B" w:rsidR="00B30535"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kliničkim studijama, oko 13,5% doze je odstranjeno u toku tročasovne do četvoročasovne hemodijalize. Može se razmotriti produžena dijaliza ukoliko je klinički opravdano. Nije poznato da li se sitagliptin može odstraniti peritonealnom dijalizom.</w:t>
      </w:r>
    </w:p>
    <w:p w14:paraId="72DACC29" w14:textId="77777777" w:rsidR="00E73DB2" w:rsidRPr="001870F3" w:rsidRDefault="00E73DB2" w:rsidP="001870F3">
      <w:pPr>
        <w:widowControl w:val="0"/>
        <w:tabs>
          <w:tab w:val="clear" w:pos="284"/>
        </w:tabs>
        <w:autoSpaceDE w:val="0"/>
        <w:autoSpaceDN w:val="0"/>
        <w:adjustRightInd w:val="0"/>
        <w:rPr>
          <w:rFonts w:eastAsia="TimesNewRoman"/>
          <w:szCs w:val="22"/>
          <w:lang w:val="sr-Latn-ME"/>
        </w:rPr>
      </w:pPr>
    </w:p>
    <w:p w14:paraId="2E86A20A" w14:textId="66554256" w:rsidR="00CE09F3"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slučaju predoziranja treba preduzeti uobičajene pomoćne m</w:t>
      </w:r>
      <w:r w:rsidR="00072DCE" w:rsidRPr="001870F3">
        <w:rPr>
          <w:rFonts w:eastAsia="TimesNewRoman"/>
          <w:szCs w:val="22"/>
          <w:lang w:val="sr-Latn-ME"/>
        </w:rPr>
        <w:t>j</w:t>
      </w:r>
      <w:r w:rsidRPr="001870F3">
        <w:rPr>
          <w:rFonts w:eastAsia="TimesNewRoman"/>
          <w:szCs w:val="22"/>
          <w:lang w:val="sr-Latn-ME"/>
        </w:rPr>
        <w:t xml:space="preserve">ere, odnosno ukloniti neresorbovan materijal </w:t>
      </w:r>
      <w:r w:rsidR="00072DCE" w:rsidRPr="001870F3">
        <w:rPr>
          <w:rFonts w:eastAsia="TimesNewRoman"/>
          <w:szCs w:val="22"/>
          <w:lang w:val="sr-Latn-ME"/>
        </w:rPr>
        <w:t>i</w:t>
      </w:r>
      <w:r w:rsidR="00E936B4" w:rsidRPr="001870F3">
        <w:rPr>
          <w:rFonts w:eastAsia="TimesNewRoman"/>
          <w:szCs w:val="22"/>
          <w:lang w:val="sr-Latn-ME"/>
        </w:rPr>
        <w:t>z</w:t>
      </w:r>
      <w:r w:rsidR="00072DCE" w:rsidRPr="001870F3">
        <w:rPr>
          <w:rFonts w:eastAsia="TimesNewRoman"/>
          <w:szCs w:val="22"/>
          <w:lang w:val="sr-Latn-ME"/>
        </w:rPr>
        <w:t xml:space="preserve"> </w:t>
      </w:r>
      <w:r w:rsidRPr="001870F3">
        <w:rPr>
          <w:rFonts w:eastAsia="TimesNewRoman"/>
          <w:szCs w:val="22"/>
          <w:lang w:val="sr-Latn-ME"/>
        </w:rPr>
        <w:t>gastroi</w:t>
      </w:r>
      <w:r w:rsidR="005F0475" w:rsidRPr="001870F3">
        <w:rPr>
          <w:rFonts w:eastAsia="TimesNewRoman"/>
          <w:szCs w:val="22"/>
          <w:lang w:val="sr-Latn-ME"/>
        </w:rPr>
        <w:t>n</w:t>
      </w:r>
      <w:r w:rsidRPr="001870F3">
        <w:rPr>
          <w:rFonts w:eastAsia="TimesNewRoman"/>
          <w:szCs w:val="22"/>
          <w:lang w:val="sr-Latn-ME"/>
        </w:rPr>
        <w:t>testinalnog trakta, uvesti kliničko praćenje (uključujući i EKG) i po potrebi pomoćnu terapiju.</w:t>
      </w:r>
    </w:p>
    <w:p w14:paraId="2E86A20B" w14:textId="5AA144DE" w:rsidR="000C663F" w:rsidRDefault="000C663F" w:rsidP="001870F3">
      <w:pPr>
        <w:widowControl w:val="0"/>
        <w:rPr>
          <w:szCs w:val="22"/>
          <w:lang w:val="sr-Latn-ME"/>
        </w:rPr>
      </w:pPr>
    </w:p>
    <w:p w14:paraId="77DBD329" w14:textId="77777777" w:rsidR="001870F3" w:rsidRPr="001870F3" w:rsidRDefault="001870F3" w:rsidP="001870F3">
      <w:pPr>
        <w:widowControl w:val="0"/>
        <w:rPr>
          <w:szCs w:val="22"/>
          <w:lang w:val="sr-Latn-ME"/>
        </w:rPr>
      </w:pPr>
    </w:p>
    <w:p w14:paraId="2E86A20C" w14:textId="77777777" w:rsidR="00CE09F3" w:rsidRPr="001870F3" w:rsidRDefault="00CE09F3" w:rsidP="001870F3">
      <w:pPr>
        <w:pStyle w:val="NASLOV123"/>
        <w:widowControl w:val="0"/>
        <w:spacing w:before="0" w:after="0"/>
        <w:jc w:val="both"/>
        <w:rPr>
          <w:lang w:val="sr-Latn-ME"/>
        </w:rPr>
      </w:pPr>
      <w:r w:rsidRPr="001870F3">
        <w:rPr>
          <w:lang w:val="sr-Latn-ME"/>
        </w:rPr>
        <w:t>5. FARMAKOLOŠKI PODACI</w:t>
      </w:r>
    </w:p>
    <w:p w14:paraId="0AB990C6" w14:textId="77777777" w:rsidR="001870F3" w:rsidRDefault="001870F3" w:rsidP="001870F3">
      <w:pPr>
        <w:widowControl w:val="0"/>
        <w:rPr>
          <w:b/>
          <w:bCs/>
          <w:szCs w:val="22"/>
          <w:lang w:val="sr-Latn-ME"/>
        </w:rPr>
      </w:pPr>
    </w:p>
    <w:p w14:paraId="2E86A20D" w14:textId="4EEA39D5" w:rsidR="00CE09F3" w:rsidRPr="001870F3" w:rsidRDefault="00CE09F3" w:rsidP="001870F3">
      <w:pPr>
        <w:widowControl w:val="0"/>
        <w:rPr>
          <w:b/>
          <w:bCs/>
          <w:szCs w:val="22"/>
          <w:lang w:val="sr-Latn-ME"/>
        </w:rPr>
      </w:pPr>
      <w:r w:rsidRPr="001870F3">
        <w:rPr>
          <w:b/>
          <w:bCs/>
          <w:szCs w:val="22"/>
          <w:lang w:val="sr-Latn-ME"/>
        </w:rPr>
        <w:t>5.1. Farmakodinamski podaci</w:t>
      </w:r>
    </w:p>
    <w:p w14:paraId="2E86A20E" w14:textId="77777777" w:rsidR="00237BF7" w:rsidRPr="001870F3" w:rsidRDefault="00237BF7" w:rsidP="001870F3">
      <w:pPr>
        <w:widowControl w:val="0"/>
        <w:rPr>
          <w:b/>
          <w:bCs/>
          <w:szCs w:val="22"/>
          <w:lang w:val="sr-Latn-ME"/>
        </w:rPr>
      </w:pPr>
    </w:p>
    <w:p w14:paraId="2E86A20F" w14:textId="3F964838" w:rsidR="00CE09F3" w:rsidRPr="001870F3" w:rsidRDefault="00CE09F3" w:rsidP="001870F3">
      <w:pPr>
        <w:widowControl w:val="0"/>
        <w:rPr>
          <w:b/>
          <w:bCs/>
          <w:szCs w:val="22"/>
          <w:lang w:val="sr-Latn-ME"/>
        </w:rPr>
      </w:pPr>
      <w:r w:rsidRPr="001870F3">
        <w:rPr>
          <w:b/>
          <w:bCs/>
          <w:szCs w:val="22"/>
          <w:lang w:val="sr-Latn-ME"/>
        </w:rPr>
        <w:t>Farmakoterapijska grupa:</w:t>
      </w:r>
      <w:r w:rsidR="001F1D5A" w:rsidRPr="001870F3">
        <w:rPr>
          <w:b/>
          <w:bCs/>
          <w:szCs w:val="22"/>
          <w:lang w:val="sr-Latn-ME"/>
        </w:rPr>
        <w:t xml:space="preserve"> </w:t>
      </w:r>
      <w:r w:rsidR="007A5F91" w:rsidRPr="001870F3">
        <w:rPr>
          <w:bCs/>
          <w:szCs w:val="22"/>
          <w:lang w:val="sr-Latn-ME"/>
        </w:rPr>
        <w:t>L</w:t>
      </w:r>
      <w:r w:rsidR="00797A1A" w:rsidRPr="001870F3">
        <w:rPr>
          <w:bCs/>
          <w:szCs w:val="22"/>
          <w:lang w:val="sr-Latn-ME"/>
        </w:rPr>
        <w:t>j</w:t>
      </w:r>
      <w:r w:rsidR="007A5F91" w:rsidRPr="001870F3">
        <w:rPr>
          <w:bCs/>
          <w:szCs w:val="22"/>
          <w:lang w:val="sr-Latn-ME"/>
        </w:rPr>
        <w:t>ekovi koji se upotrebljavaju u dijabetesu (antidijabetici); kombinacije l</w:t>
      </w:r>
      <w:r w:rsidR="00797A1A" w:rsidRPr="001870F3">
        <w:rPr>
          <w:bCs/>
          <w:szCs w:val="22"/>
          <w:lang w:val="sr-Latn-ME"/>
        </w:rPr>
        <w:t>j</w:t>
      </w:r>
      <w:r w:rsidR="007A5F91" w:rsidRPr="001870F3">
        <w:rPr>
          <w:bCs/>
          <w:szCs w:val="22"/>
          <w:lang w:val="sr-Latn-ME"/>
        </w:rPr>
        <w:t>ekova koji snižavaju glukozu u krvi za oralnu prim</w:t>
      </w:r>
      <w:r w:rsidR="009843AF" w:rsidRPr="001870F3">
        <w:rPr>
          <w:bCs/>
          <w:szCs w:val="22"/>
          <w:lang w:val="sr-Latn-ME"/>
        </w:rPr>
        <w:t>j</w:t>
      </w:r>
      <w:r w:rsidR="007A5F91" w:rsidRPr="001870F3">
        <w:rPr>
          <w:bCs/>
          <w:szCs w:val="22"/>
          <w:lang w:val="sr-Latn-ME"/>
        </w:rPr>
        <w:t>enu.</w:t>
      </w:r>
    </w:p>
    <w:p w14:paraId="2E86A210" w14:textId="77777777" w:rsidR="00CE09F3" w:rsidRPr="001870F3" w:rsidRDefault="00CE09F3" w:rsidP="001870F3">
      <w:pPr>
        <w:widowControl w:val="0"/>
        <w:rPr>
          <w:szCs w:val="22"/>
          <w:lang w:val="sr-Latn-ME"/>
        </w:rPr>
      </w:pPr>
    </w:p>
    <w:p w14:paraId="2E86A211" w14:textId="6FDEC95C" w:rsidR="00CE09F3" w:rsidRPr="001870F3" w:rsidRDefault="00CE09F3" w:rsidP="001870F3">
      <w:pPr>
        <w:widowControl w:val="0"/>
        <w:rPr>
          <w:b/>
          <w:bCs/>
          <w:szCs w:val="22"/>
          <w:lang w:val="sr-Latn-ME"/>
        </w:rPr>
      </w:pPr>
      <w:r w:rsidRPr="001870F3">
        <w:rPr>
          <w:b/>
          <w:bCs/>
          <w:szCs w:val="22"/>
          <w:lang w:val="sr-Latn-ME"/>
        </w:rPr>
        <w:t xml:space="preserve">ATC </w:t>
      </w:r>
      <w:r w:rsidR="009843AF" w:rsidRPr="001870F3">
        <w:rPr>
          <w:b/>
          <w:bCs/>
          <w:szCs w:val="22"/>
          <w:lang w:val="sr-Latn-ME"/>
        </w:rPr>
        <w:t>kod</w:t>
      </w:r>
      <w:r w:rsidRPr="001870F3">
        <w:rPr>
          <w:b/>
          <w:bCs/>
          <w:szCs w:val="22"/>
          <w:lang w:val="sr-Latn-ME"/>
        </w:rPr>
        <w:t>:</w:t>
      </w:r>
      <w:r w:rsidR="001F1D5A" w:rsidRPr="001870F3">
        <w:rPr>
          <w:b/>
          <w:bCs/>
          <w:szCs w:val="22"/>
          <w:lang w:val="sr-Latn-ME"/>
        </w:rPr>
        <w:t xml:space="preserve"> </w:t>
      </w:r>
      <w:r w:rsidR="001F1D5A" w:rsidRPr="001870F3">
        <w:rPr>
          <w:bCs/>
          <w:szCs w:val="22"/>
          <w:lang w:val="sr-Latn-ME"/>
        </w:rPr>
        <w:t>A10BD07</w:t>
      </w:r>
    </w:p>
    <w:p w14:paraId="2E86A212" w14:textId="77777777" w:rsidR="00CE09F3" w:rsidRPr="001870F3" w:rsidRDefault="00CE09F3" w:rsidP="001870F3">
      <w:pPr>
        <w:widowControl w:val="0"/>
        <w:rPr>
          <w:szCs w:val="22"/>
          <w:lang w:val="sr-Latn-ME"/>
        </w:rPr>
      </w:pPr>
    </w:p>
    <w:p w14:paraId="2E86A215" w14:textId="4F1775B5" w:rsidR="00CE09F3" w:rsidRPr="001870F3" w:rsidRDefault="001F1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L</w:t>
      </w:r>
      <w:r w:rsidR="00072DCE" w:rsidRPr="001870F3">
        <w:rPr>
          <w:rFonts w:eastAsia="TimesNewRoman"/>
          <w:szCs w:val="22"/>
          <w:lang w:val="sr-Latn-ME"/>
        </w:rPr>
        <w:t>ij</w:t>
      </w:r>
      <w:r w:rsidRPr="001870F3">
        <w:rPr>
          <w:rFonts w:eastAsia="TimesNewRoman"/>
          <w:szCs w:val="22"/>
          <w:lang w:val="sr-Latn-ME"/>
        </w:rPr>
        <w:t>ek Dolista Duo je kombinacija dva antihiperglikemika sa komplementarnim mehanizmima dejstva u cilju</w:t>
      </w:r>
      <w:r w:rsidR="00E44910" w:rsidRPr="001870F3">
        <w:rPr>
          <w:rFonts w:eastAsia="TimesNewRoman"/>
          <w:szCs w:val="22"/>
          <w:lang w:val="sr-Latn-ME"/>
        </w:rPr>
        <w:t xml:space="preserve"> </w:t>
      </w:r>
      <w:r w:rsidRPr="001870F3">
        <w:rPr>
          <w:rFonts w:eastAsia="TimesNewRoman"/>
          <w:szCs w:val="22"/>
          <w:lang w:val="sr-Latn-ME"/>
        </w:rPr>
        <w:t>poboljšanja kontrole glikemije kod pacijenata sa dijabetesom tip 2: sitagliptin-fosfat, inhibitor dipeptidil</w:t>
      </w:r>
      <w:r w:rsidR="00E44910" w:rsidRPr="001870F3">
        <w:rPr>
          <w:rFonts w:eastAsia="TimesNewRoman"/>
          <w:szCs w:val="22"/>
          <w:lang w:val="sr-Latn-ME"/>
        </w:rPr>
        <w:t xml:space="preserve"> </w:t>
      </w:r>
      <w:r w:rsidRPr="001870F3">
        <w:rPr>
          <w:rFonts w:eastAsia="TimesNewRoman"/>
          <w:szCs w:val="22"/>
          <w:lang w:val="sr-Latn-ME"/>
        </w:rPr>
        <w:t>peptidaze 4 (DPP-4), i metformin-hidrohlorid, l</w:t>
      </w:r>
      <w:r w:rsidR="00072DCE" w:rsidRPr="001870F3">
        <w:rPr>
          <w:rFonts w:eastAsia="TimesNewRoman"/>
          <w:szCs w:val="22"/>
          <w:lang w:val="sr-Latn-ME"/>
        </w:rPr>
        <w:t>ij</w:t>
      </w:r>
      <w:r w:rsidRPr="001870F3">
        <w:rPr>
          <w:rFonts w:eastAsia="TimesNewRoman"/>
          <w:szCs w:val="22"/>
          <w:lang w:val="sr-Latn-ME"/>
        </w:rPr>
        <w:t>ek iz klase bigvanida.</w:t>
      </w:r>
    </w:p>
    <w:p w14:paraId="520B75B4" w14:textId="1CAF5B5A"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37D389D0" w14:textId="77777777" w:rsidR="000A6605" w:rsidRPr="001870F3" w:rsidRDefault="000A6605"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w:t>
      </w:r>
    </w:p>
    <w:p w14:paraId="38EBBBEC" w14:textId="77777777" w:rsidR="000A6605" w:rsidRPr="001870F3" w:rsidRDefault="000A6605"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Mehanizam dejstva</w:t>
      </w:r>
    </w:p>
    <w:p w14:paraId="60BC80AE" w14:textId="742ED36A"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je bigvanid</w:t>
      </w:r>
      <w:r w:rsidR="00FF6CDA" w:rsidRPr="001870F3">
        <w:rPr>
          <w:rFonts w:eastAsia="TimesNewRoman"/>
          <w:szCs w:val="22"/>
          <w:lang w:val="sr-Latn-ME"/>
        </w:rPr>
        <w:t>in</w:t>
      </w:r>
      <w:r w:rsidRPr="001870F3">
        <w:rPr>
          <w:rFonts w:eastAsia="TimesNewRoman"/>
          <w:szCs w:val="22"/>
          <w:lang w:val="sr-Latn-ME"/>
        </w:rPr>
        <w:t xml:space="preserve"> sa antihiperglikemijskim dejstvom koji snižava i bazalnu i postprandijalnu glukozu u</w:t>
      </w:r>
      <w:r w:rsidR="00297559" w:rsidRPr="001870F3">
        <w:rPr>
          <w:rFonts w:eastAsia="TimesNewRoman"/>
          <w:szCs w:val="22"/>
          <w:lang w:val="sr-Latn-ME"/>
        </w:rPr>
        <w:t xml:space="preserve"> </w:t>
      </w:r>
      <w:r w:rsidRPr="001870F3">
        <w:rPr>
          <w:rFonts w:eastAsia="TimesNewRoman"/>
          <w:szCs w:val="22"/>
          <w:lang w:val="sr-Latn-ME"/>
        </w:rPr>
        <w:t>plazmi. On ne stimuliše lučenje insulina i zato ne izaziva hipoglikemiju.</w:t>
      </w:r>
    </w:p>
    <w:p w14:paraId="5BCCF373" w14:textId="77777777" w:rsidR="00FF6CDA" w:rsidRPr="001870F3" w:rsidRDefault="00FF6CDA" w:rsidP="001870F3">
      <w:pPr>
        <w:widowControl w:val="0"/>
        <w:tabs>
          <w:tab w:val="clear" w:pos="284"/>
        </w:tabs>
        <w:autoSpaceDE w:val="0"/>
        <w:autoSpaceDN w:val="0"/>
        <w:adjustRightInd w:val="0"/>
        <w:rPr>
          <w:rFonts w:eastAsia="TimesNewRoman"/>
          <w:szCs w:val="22"/>
          <w:lang w:val="sr-Latn-ME"/>
        </w:rPr>
      </w:pPr>
    </w:p>
    <w:p w14:paraId="3AA176F1"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može da djeluje preko tri mehanizma:</w:t>
      </w:r>
    </w:p>
    <w:p w14:paraId="5F5CCC52" w14:textId="0BA0683B"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smanjenjem proizvodnje glukoze u jetri inhi</w:t>
      </w:r>
      <w:r w:rsidR="009843AF" w:rsidRPr="001870F3">
        <w:rPr>
          <w:rFonts w:eastAsia="TimesNewRoman"/>
          <w:szCs w:val="22"/>
          <w:lang w:val="sr-Latn-ME"/>
        </w:rPr>
        <w:t>bicijom</w:t>
      </w:r>
      <w:r w:rsidRPr="001870F3">
        <w:rPr>
          <w:rFonts w:eastAsia="TimesNewRoman"/>
          <w:szCs w:val="22"/>
          <w:lang w:val="sr-Latn-ME"/>
        </w:rPr>
        <w:t xml:space="preserve"> glukoneogeneze i gl</w:t>
      </w:r>
      <w:r w:rsidR="009843AF" w:rsidRPr="001870F3">
        <w:rPr>
          <w:rFonts w:eastAsia="TimesNewRoman"/>
          <w:szCs w:val="22"/>
          <w:lang w:val="sr-Latn-ME"/>
        </w:rPr>
        <w:t>i</w:t>
      </w:r>
      <w:r w:rsidRPr="001870F3">
        <w:rPr>
          <w:rFonts w:eastAsia="TimesNewRoman"/>
          <w:szCs w:val="22"/>
          <w:lang w:val="sr-Latn-ME"/>
        </w:rPr>
        <w:t>kogenolize</w:t>
      </w:r>
      <w:r w:rsidR="00376655" w:rsidRPr="001870F3">
        <w:rPr>
          <w:rFonts w:eastAsia="TimesNewRoman"/>
          <w:szCs w:val="22"/>
          <w:lang w:val="sr-Latn-ME"/>
        </w:rPr>
        <w:t>;</w:t>
      </w:r>
    </w:p>
    <w:p w14:paraId="06175EA7"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u mišićima, umjerenim povećavanjem osjetljivosti na insulin, poboljšanjem perifernog preuzimanja i</w:t>
      </w:r>
    </w:p>
    <w:p w14:paraId="4996DF9E" w14:textId="1B426566"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korišćenja glukoze</w:t>
      </w:r>
      <w:r w:rsidR="00376655" w:rsidRPr="001870F3">
        <w:rPr>
          <w:rFonts w:eastAsia="TimesNewRoman"/>
          <w:szCs w:val="22"/>
          <w:lang w:val="sr-Latn-ME"/>
        </w:rPr>
        <w:t>;</w:t>
      </w:r>
    </w:p>
    <w:p w14:paraId="3C0D9E05" w14:textId="08722565"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odlaganjem resorpcije glukoze u cr</w:t>
      </w:r>
      <w:r w:rsidR="00E936B4" w:rsidRPr="001870F3">
        <w:rPr>
          <w:rFonts w:eastAsia="TimesNewRoman"/>
          <w:szCs w:val="22"/>
          <w:lang w:val="sr-Latn-ME"/>
        </w:rPr>
        <w:t>ij</w:t>
      </w:r>
      <w:r w:rsidRPr="001870F3">
        <w:rPr>
          <w:rFonts w:eastAsia="TimesNewRoman"/>
          <w:szCs w:val="22"/>
          <w:lang w:val="sr-Latn-ME"/>
        </w:rPr>
        <w:t>evima.</w:t>
      </w:r>
    </w:p>
    <w:p w14:paraId="7173F5B0"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496A4C66" w14:textId="71ABEC4D"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stimuliše intracelularnu sintezu glikogena djelovanjem na glikogen sintazu. Metformin povećava</w:t>
      </w:r>
      <w:r w:rsidR="00297559" w:rsidRPr="001870F3">
        <w:rPr>
          <w:rFonts w:eastAsia="TimesNewRoman"/>
          <w:szCs w:val="22"/>
          <w:lang w:val="sr-Latn-ME"/>
        </w:rPr>
        <w:t xml:space="preserve"> </w:t>
      </w:r>
      <w:r w:rsidRPr="001870F3">
        <w:rPr>
          <w:rFonts w:eastAsia="TimesNewRoman"/>
          <w:szCs w:val="22"/>
          <w:lang w:val="sr-Latn-ME"/>
        </w:rPr>
        <w:t>transportni kapacitet specifičnih tipova membranskih transportera glukoze (GLUT-1 i GLUT-4).</w:t>
      </w:r>
    </w:p>
    <w:p w14:paraId="0E01AECA"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719B24AA" w14:textId="02DD85DD" w:rsidR="000A6605" w:rsidRPr="001870F3" w:rsidRDefault="000A6605" w:rsidP="001870F3">
      <w:pPr>
        <w:widowControl w:val="0"/>
        <w:tabs>
          <w:tab w:val="clear" w:pos="284"/>
        </w:tabs>
        <w:autoSpaceDE w:val="0"/>
        <w:autoSpaceDN w:val="0"/>
        <w:adjustRightInd w:val="0"/>
        <w:rPr>
          <w:i/>
          <w:iCs/>
          <w:szCs w:val="22"/>
          <w:lang w:val="sr-Latn-ME"/>
        </w:rPr>
      </w:pPr>
      <w:r w:rsidRPr="001870F3">
        <w:rPr>
          <w:i/>
          <w:iCs/>
          <w:szCs w:val="22"/>
          <w:lang w:val="sr-Latn-ME"/>
        </w:rPr>
        <w:t>Klinička efikasnost i bezb</w:t>
      </w:r>
      <w:r w:rsidR="00797A1A" w:rsidRPr="001870F3">
        <w:rPr>
          <w:i/>
          <w:iCs/>
          <w:szCs w:val="22"/>
          <w:lang w:val="sr-Latn-ME"/>
        </w:rPr>
        <w:t>j</w:t>
      </w:r>
      <w:r w:rsidRPr="001870F3">
        <w:rPr>
          <w:i/>
          <w:iCs/>
          <w:szCs w:val="22"/>
          <w:lang w:val="sr-Latn-ME"/>
        </w:rPr>
        <w:t>ednost</w:t>
      </w:r>
    </w:p>
    <w:p w14:paraId="67DA912E"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kod ljudi ima povoljan uticaj na metabolizam masti, nezavisno od njegovog uticaja na glikemiju. To je pokazano u terapijskim dozama u kontrolisanim srednjeročnim ili dugoročnim kliničkim studijama: metformin smanjuje nivo ukupnog holesterola, LDLc i triglicerida.</w:t>
      </w:r>
    </w:p>
    <w:p w14:paraId="470082A1"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79A02A0F" w14:textId="6D81E7B9"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Prospektivnom randomizovanom (UKPDS) studijom utvrđena je dugoročna korist od intenzivne kontrole glukoze u krvi kod dijabetesa tip 2. Analiza rezultata kod pacijenata sa prekom</w:t>
      </w:r>
      <w:r w:rsidR="000731B3" w:rsidRPr="001870F3">
        <w:rPr>
          <w:rFonts w:eastAsia="TimesNewRoman"/>
          <w:szCs w:val="22"/>
          <w:lang w:val="sr-Latn-ME"/>
        </w:rPr>
        <w:t>j</w:t>
      </w:r>
      <w:r w:rsidRPr="001870F3">
        <w:rPr>
          <w:rFonts w:eastAsia="TimesNewRoman"/>
          <w:szCs w:val="22"/>
          <w:lang w:val="sr-Latn-ME"/>
        </w:rPr>
        <w:t>ernom tjelesnom masom liječenih metforminom nakon neuspjeha dijete kao monoterapije pokazala je:</w:t>
      </w:r>
    </w:p>
    <w:p w14:paraId="107A7DE9" w14:textId="6B953B62"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značajno smanjenje apsolutnog rizika svih komplikacija u vezi sa dijabetesom kod grupe koja je dobijala metformin (29,8 događaja/1.000 pacijent godina) u odnosu na </w:t>
      </w:r>
      <w:r w:rsidR="000731B3" w:rsidRPr="001870F3">
        <w:rPr>
          <w:rFonts w:eastAsia="TimesNewRoman"/>
          <w:szCs w:val="22"/>
          <w:lang w:val="sr-Latn-ME"/>
        </w:rPr>
        <w:t xml:space="preserve">grupu koja je bila samo na </w:t>
      </w:r>
      <w:r w:rsidRPr="001870F3">
        <w:rPr>
          <w:rFonts w:eastAsia="TimesNewRoman"/>
          <w:szCs w:val="22"/>
          <w:lang w:val="sr-Latn-ME"/>
        </w:rPr>
        <w:t>dijet</w:t>
      </w:r>
      <w:r w:rsidR="000731B3" w:rsidRPr="001870F3">
        <w:rPr>
          <w:rFonts w:eastAsia="TimesNewRoman"/>
          <w:szCs w:val="22"/>
          <w:lang w:val="sr-Latn-ME"/>
        </w:rPr>
        <w:t>i</w:t>
      </w:r>
      <w:r w:rsidRPr="001870F3">
        <w:rPr>
          <w:rFonts w:eastAsia="TimesNewRoman"/>
          <w:szCs w:val="22"/>
          <w:lang w:val="sr-Latn-ME"/>
        </w:rPr>
        <w:t xml:space="preserve"> (43,3 događaja/1000 pacijent godina), </w:t>
      </w:r>
      <w:r w:rsidR="0052765C" w:rsidRPr="001870F3">
        <w:rPr>
          <w:rFonts w:eastAsia="TimesNewRoman"/>
          <w:szCs w:val="22"/>
          <w:lang w:val="sr-Latn-ME"/>
        </w:rPr>
        <w:t>(</w:t>
      </w:r>
      <w:r w:rsidRPr="001870F3">
        <w:rPr>
          <w:rFonts w:eastAsia="TimesNewRoman"/>
          <w:szCs w:val="22"/>
          <w:lang w:val="sr-Latn-ME"/>
        </w:rPr>
        <w:t>p=0,0023</w:t>
      </w:r>
      <w:r w:rsidR="0052765C" w:rsidRPr="001870F3">
        <w:rPr>
          <w:rFonts w:eastAsia="TimesNewRoman"/>
          <w:szCs w:val="22"/>
          <w:lang w:val="sr-Latn-ME"/>
        </w:rPr>
        <w:t>)</w:t>
      </w:r>
      <w:r w:rsidRPr="001870F3">
        <w:rPr>
          <w:rFonts w:eastAsia="TimesNewRoman"/>
          <w:szCs w:val="22"/>
          <w:lang w:val="sr-Latn-ME"/>
        </w:rPr>
        <w:t xml:space="preserve">, </w:t>
      </w:r>
      <w:r w:rsidR="000731B3" w:rsidRPr="001870F3">
        <w:rPr>
          <w:rFonts w:eastAsia="TimesNewRoman"/>
          <w:szCs w:val="22"/>
          <w:lang w:val="sr-Latn-ME"/>
        </w:rPr>
        <w:t xml:space="preserve">i u odnosu na objedinjene podatke grupa u kojima su ispitanici primjenjivali ili sulfonilureu ili insulin kao monoterapiju </w:t>
      </w:r>
      <w:r w:rsidRPr="001870F3">
        <w:rPr>
          <w:rFonts w:eastAsia="TimesNewRoman"/>
          <w:szCs w:val="22"/>
          <w:lang w:val="sr-Latn-ME"/>
        </w:rPr>
        <w:t xml:space="preserve">(40,1 događaj/1000 pacijent godina), </w:t>
      </w:r>
      <w:r w:rsidR="0052765C" w:rsidRPr="001870F3">
        <w:rPr>
          <w:rFonts w:eastAsia="TimesNewRoman"/>
          <w:szCs w:val="22"/>
          <w:lang w:val="sr-Latn-ME"/>
        </w:rPr>
        <w:t>(</w:t>
      </w:r>
      <w:r w:rsidRPr="001870F3">
        <w:rPr>
          <w:rFonts w:eastAsia="TimesNewRoman"/>
          <w:szCs w:val="22"/>
          <w:lang w:val="sr-Latn-ME"/>
        </w:rPr>
        <w:t>p=0,034</w:t>
      </w:r>
      <w:r w:rsidR="0052765C" w:rsidRPr="001870F3">
        <w:rPr>
          <w:rFonts w:eastAsia="TimesNewRoman"/>
          <w:szCs w:val="22"/>
          <w:lang w:val="sr-Latn-ME"/>
        </w:rPr>
        <w:t>)</w:t>
      </w:r>
      <w:r w:rsidR="00F90F5E" w:rsidRPr="001870F3">
        <w:rPr>
          <w:rFonts w:eastAsia="TimesNewRoman"/>
          <w:szCs w:val="22"/>
          <w:lang w:val="sr-Latn-ME"/>
        </w:rPr>
        <w:t>;</w:t>
      </w:r>
    </w:p>
    <w:p w14:paraId="463CFBE2" w14:textId="67FEE4F0"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značajno smanjenje apsolutnog rizika smrtnosti uzrokovane dijabetesom: metformin </w:t>
      </w:r>
      <w:r w:rsidR="0052765C" w:rsidRPr="001870F3">
        <w:rPr>
          <w:rFonts w:eastAsia="TimesNewRoman"/>
          <w:szCs w:val="22"/>
          <w:lang w:val="sr-Latn-ME"/>
        </w:rPr>
        <w:t>(</w:t>
      </w:r>
      <w:r w:rsidRPr="001870F3">
        <w:rPr>
          <w:rFonts w:eastAsia="TimesNewRoman"/>
          <w:szCs w:val="22"/>
          <w:lang w:val="sr-Latn-ME"/>
        </w:rPr>
        <w:t xml:space="preserve">7,5 događaja/1000 godina po pacijentu, samo dijeta 12,7 događaja/1000 pacijent godina, </w:t>
      </w:r>
      <w:r w:rsidR="0052765C" w:rsidRPr="001870F3">
        <w:rPr>
          <w:rFonts w:eastAsia="TimesNewRoman"/>
          <w:szCs w:val="22"/>
          <w:lang w:val="sr-Latn-ME"/>
        </w:rPr>
        <w:t>(</w:t>
      </w:r>
      <w:r w:rsidRPr="001870F3">
        <w:rPr>
          <w:rFonts w:eastAsia="TimesNewRoman"/>
          <w:szCs w:val="22"/>
          <w:lang w:val="sr-Latn-ME"/>
        </w:rPr>
        <w:t>p=0,017</w:t>
      </w:r>
      <w:r w:rsidR="0052765C" w:rsidRPr="001870F3">
        <w:rPr>
          <w:rFonts w:eastAsia="TimesNewRoman"/>
          <w:szCs w:val="22"/>
          <w:lang w:val="sr-Latn-ME"/>
        </w:rPr>
        <w:t>)</w:t>
      </w:r>
      <w:r w:rsidR="006934F7" w:rsidRPr="001870F3">
        <w:rPr>
          <w:rFonts w:eastAsia="TimesNewRoman"/>
          <w:szCs w:val="22"/>
          <w:lang w:val="sr-Latn-ME"/>
        </w:rPr>
        <w:t>;</w:t>
      </w:r>
    </w:p>
    <w:p w14:paraId="2C97D555" w14:textId="44243E7D"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značajno smanjenje apsolutnog rizika od ukupne smrtnosti: metformin 13,5 događaja/1000 godina po pacijentu u odnosu na </w:t>
      </w:r>
      <w:r w:rsidR="000731B3" w:rsidRPr="001870F3">
        <w:rPr>
          <w:rFonts w:eastAsia="TimesNewRoman"/>
          <w:szCs w:val="22"/>
          <w:lang w:val="sr-Latn-ME"/>
        </w:rPr>
        <w:t xml:space="preserve">grupu koja je bila samo na </w:t>
      </w:r>
      <w:r w:rsidRPr="001870F3">
        <w:rPr>
          <w:rFonts w:eastAsia="TimesNewRoman"/>
          <w:szCs w:val="22"/>
          <w:lang w:val="sr-Latn-ME"/>
        </w:rPr>
        <w:t>dijet</w:t>
      </w:r>
      <w:r w:rsidR="000731B3" w:rsidRPr="001870F3">
        <w:rPr>
          <w:rFonts w:eastAsia="TimesNewRoman"/>
          <w:szCs w:val="22"/>
          <w:lang w:val="sr-Latn-ME"/>
        </w:rPr>
        <w:t>i</w:t>
      </w:r>
      <w:r w:rsidRPr="001870F3">
        <w:rPr>
          <w:rFonts w:eastAsia="TimesNewRoman"/>
          <w:szCs w:val="22"/>
          <w:lang w:val="sr-Latn-ME"/>
        </w:rPr>
        <w:t xml:space="preserve"> 20,6 događaja/1000 pacijent godina</w:t>
      </w:r>
      <w:r w:rsidR="0052765C" w:rsidRPr="001870F3">
        <w:rPr>
          <w:rFonts w:eastAsia="TimesNewRoman"/>
          <w:szCs w:val="22"/>
          <w:lang w:val="sr-Latn-ME"/>
        </w:rPr>
        <w:t>,</w:t>
      </w:r>
      <w:r w:rsidRPr="001870F3">
        <w:rPr>
          <w:rFonts w:eastAsia="TimesNewRoman"/>
          <w:szCs w:val="22"/>
          <w:lang w:val="sr-Latn-ME"/>
        </w:rPr>
        <w:t xml:space="preserve"> (p=0,011) </w:t>
      </w:r>
      <w:r w:rsidR="000731B3" w:rsidRPr="001870F3">
        <w:rPr>
          <w:szCs w:val="22"/>
          <w:lang w:val="sr-Latn-ME" w:eastAsia="sr-Latn-ME"/>
        </w:rPr>
        <w:t xml:space="preserve">i u odnosu na objedinjene podatke grupa u kojima su ispitanici primjenjivali ili sulfonilureu ili insulin kao monoterapiju </w:t>
      </w:r>
      <w:r w:rsidRPr="001870F3">
        <w:rPr>
          <w:rFonts w:eastAsia="TimesNewRoman"/>
          <w:szCs w:val="22"/>
          <w:lang w:val="sr-Latn-ME"/>
        </w:rPr>
        <w:t>18,9 događaja/1000 pacijent godina</w:t>
      </w:r>
      <w:r w:rsidR="0052765C" w:rsidRPr="001870F3">
        <w:rPr>
          <w:rFonts w:eastAsia="TimesNewRoman"/>
          <w:szCs w:val="22"/>
          <w:lang w:val="sr-Latn-ME"/>
        </w:rPr>
        <w:t>,</w:t>
      </w:r>
      <w:r w:rsidRPr="001870F3">
        <w:rPr>
          <w:rFonts w:eastAsia="TimesNewRoman"/>
          <w:szCs w:val="22"/>
          <w:lang w:val="sr-Latn-ME"/>
        </w:rPr>
        <w:t xml:space="preserve"> (p=0,021)</w:t>
      </w:r>
      <w:r w:rsidR="00AB6D82" w:rsidRPr="001870F3">
        <w:rPr>
          <w:rFonts w:eastAsia="TimesNewRoman"/>
          <w:szCs w:val="22"/>
          <w:lang w:val="sr-Latn-ME"/>
        </w:rPr>
        <w:t>;</w:t>
      </w:r>
    </w:p>
    <w:p w14:paraId="57DFFB9D" w14:textId="2A63D25D"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značajno smanjenje apsolutnog rizika od infarkta miokarda: metformin 11 događaja/1000 pacijent godina, samo dijeta 18 događaja/1000 pacijent godina (p=0,01).</w:t>
      </w:r>
    </w:p>
    <w:p w14:paraId="46C498CA"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2E86A217" w14:textId="77777777" w:rsidR="001F1D5A" w:rsidRPr="001870F3" w:rsidRDefault="001F1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Sitagliptin</w:t>
      </w:r>
    </w:p>
    <w:p w14:paraId="2E86A219" w14:textId="77777777" w:rsidR="001F1D5A" w:rsidRPr="001870F3" w:rsidRDefault="001F1D5A" w:rsidP="001870F3">
      <w:pPr>
        <w:widowControl w:val="0"/>
        <w:rPr>
          <w:rFonts w:eastAsia="TimesNewRoman"/>
          <w:i/>
          <w:iCs/>
          <w:szCs w:val="22"/>
          <w:lang w:val="sr-Latn-ME"/>
        </w:rPr>
      </w:pPr>
      <w:r w:rsidRPr="001870F3">
        <w:rPr>
          <w:rFonts w:eastAsia="TimesNewRoman"/>
          <w:i/>
          <w:iCs/>
          <w:szCs w:val="22"/>
          <w:lang w:val="sr-Latn-ME"/>
        </w:rPr>
        <w:t>Mehanizam dejstva</w:t>
      </w:r>
    </w:p>
    <w:p w14:paraId="2E86A21F" w14:textId="571410B7" w:rsidR="001F1D5A" w:rsidRPr="001870F3" w:rsidRDefault="001F1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predstavlja oralno aktivan, snažan i vrlo selektivan inhibitor enzima dipeptidil peptidaze 4</w:t>
      </w:r>
      <w:r w:rsidR="00A528B5" w:rsidRPr="001870F3">
        <w:rPr>
          <w:rFonts w:eastAsia="TimesNewRoman"/>
          <w:szCs w:val="22"/>
          <w:lang w:val="sr-Latn-ME"/>
        </w:rPr>
        <w:t xml:space="preserve"> </w:t>
      </w:r>
      <w:r w:rsidRPr="001870F3">
        <w:rPr>
          <w:rFonts w:eastAsia="TimesNewRoman"/>
          <w:szCs w:val="22"/>
          <w:lang w:val="sr-Latn-ME"/>
        </w:rPr>
        <w:t>(DPP-4) za l</w:t>
      </w:r>
      <w:r w:rsidR="004C113D" w:rsidRPr="001870F3">
        <w:rPr>
          <w:rFonts w:eastAsia="TimesNewRoman"/>
          <w:szCs w:val="22"/>
          <w:lang w:val="sr-Latn-ME"/>
        </w:rPr>
        <w:t>ij</w:t>
      </w:r>
      <w:r w:rsidRPr="001870F3">
        <w:rPr>
          <w:rFonts w:eastAsia="TimesNewRoman"/>
          <w:szCs w:val="22"/>
          <w:lang w:val="sr-Latn-ME"/>
        </w:rPr>
        <w:t>ečenje dijabetesa tip 2. DPP-4 inhibitori su klasa l</w:t>
      </w:r>
      <w:r w:rsidR="004C113D" w:rsidRPr="001870F3">
        <w:rPr>
          <w:rFonts w:eastAsia="TimesNewRoman"/>
          <w:szCs w:val="22"/>
          <w:lang w:val="sr-Latn-ME"/>
        </w:rPr>
        <w:t>j</w:t>
      </w:r>
      <w:r w:rsidRPr="001870F3">
        <w:rPr>
          <w:rFonts w:eastAsia="TimesNewRoman"/>
          <w:szCs w:val="22"/>
          <w:lang w:val="sr-Latn-ME"/>
        </w:rPr>
        <w:t xml:space="preserve">ekova koji </w:t>
      </w:r>
      <w:r w:rsidR="00BB683A" w:rsidRPr="001870F3">
        <w:rPr>
          <w:rFonts w:eastAsia="TimesNewRoman"/>
          <w:szCs w:val="22"/>
          <w:lang w:val="sr-Latn-ME"/>
        </w:rPr>
        <w:t>po</w:t>
      </w:r>
      <w:r w:rsidR="0040221A" w:rsidRPr="001870F3">
        <w:rPr>
          <w:rFonts w:eastAsia="TimesNewRoman"/>
          <w:szCs w:val="22"/>
          <w:lang w:val="sr-Latn-ME"/>
        </w:rPr>
        <w:t>j</w:t>
      </w:r>
      <w:r w:rsidR="00BB683A" w:rsidRPr="001870F3">
        <w:rPr>
          <w:rFonts w:eastAsia="TimesNewRoman"/>
          <w:szCs w:val="22"/>
          <w:lang w:val="sr-Latn-ME"/>
        </w:rPr>
        <w:t xml:space="preserve">ačavaju djelovanje </w:t>
      </w:r>
      <w:r w:rsidRPr="001870F3">
        <w:rPr>
          <w:rFonts w:eastAsia="TimesNewRoman"/>
          <w:szCs w:val="22"/>
          <w:lang w:val="sr-Latn-ME"/>
        </w:rPr>
        <w:t>inkretina.</w:t>
      </w:r>
      <w:r w:rsidR="00A528B5" w:rsidRPr="001870F3">
        <w:rPr>
          <w:rFonts w:eastAsia="TimesNewRoman"/>
          <w:szCs w:val="22"/>
          <w:lang w:val="sr-Latn-ME"/>
        </w:rPr>
        <w:t xml:space="preserve"> </w:t>
      </w:r>
      <w:r w:rsidRPr="001870F3">
        <w:rPr>
          <w:rFonts w:eastAsia="TimesNewRoman"/>
          <w:szCs w:val="22"/>
          <w:lang w:val="sr-Latn-ME"/>
        </w:rPr>
        <w:t>Inhibiranjem enzima DPP-4, sitagliptin povećava nivo dva poznata aktivna hormona inkretina, glukagon</w:t>
      </w:r>
      <w:r w:rsidR="00A528B5" w:rsidRPr="001870F3">
        <w:rPr>
          <w:rFonts w:eastAsia="TimesNewRoman"/>
          <w:szCs w:val="22"/>
          <w:lang w:val="sr-Latn-ME"/>
        </w:rPr>
        <w:t xml:space="preserve"> </w:t>
      </w:r>
      <w:r w:rsidRPr="001870F3">
        <w:rPr>
          <w:rFonts w:eastAsia="TimesNewRoman"/>
          <w:szCs w:val="22"/>
          <w:lang w:val="sr-Latn-ME"/>
        </w:rPr>
        <w:t>sličnog peptida 1 (</w:t>
      </w:r>
      <w:r w:rsidR="00664F74" w:rsidRPr="001870F3">
        <w:rPr>
          <w:rFonts w:eastAsia="TimesNewRoman"/>
          <w:szCs w:val="22"/>
          <w:lang w:val="sr-Latn-ME"/>
        </w:rPr>
        <w:t>eng</w:t>
      </w:r>
      <w:r w:rsidR="00AD38B2" w:rsidRPr="001870F3">
        <w:rPr>
          <w:rFonts w:eastAsia="TimesNewRoman"/>
          <w:szCs w:val="22"/>
          <w:lang w:val="sr-Latn-ME"/>
        </w:rPr>
        <w:t xml:space="preserve">. </w:t>
      </w:r>
      <w:r w:rsidR="00AD38B2" w:rsidRPr="001870F3">
        <w:rPr>
          <w:i/>
          <w:szCs w:val="22"/>
          <w:lang w:val="sr-Latn-ME" w:eastAsia="sr-Latn-ME"/>
        </w:rPr>
        <w:t xml:space="preserve">glucagon-like peptide-1, </w:t>
      </w:r>
      <w:r w:rsidRPr="001870F3">
        <w:rPr>
          <w:rFonts w:eastAsia="TimesNewRoman"/>
          <w:szCs w:val="22"/>
          <w:lang w:val="sr-Latn-ME"/>
        </w:rPr>
        <w:t>GLP-1) i insulinotropnog polipeptida zavisnog od glukoze (</w:t>
      </w:r>
      <w:r w:rsidR="00664F74" w:rsidRPr="001870F3">
        <w:rPr>
          <w:rFonts w:eastAsia="TimesNewRoman"/>
          <w:szCs w:val="22"/>
          <w:lang w:val="sr-Latn-ME"/>
        </w:rPr>
        <w:t>eng</w:t>
      </w:r>
      <w:r w:rsidR="00AD38B2" w:rsidRPr="001870F3">
        <w:rPr>
          <w:rFonts w:eastAsia="TimesNewRoman"/>
          <w:szCs w:val="22"/>
          <w:lang w:val="sr-Latn-ME"/>
        </w:rPr>
        <w:t xml:space="preserve">. </w:t>
      </w:r>
      <w:r w:rsidR="00AD38B2" w:rsidRPr="001870F3">
        <w:rPr>
          <w:i/>
          <w:szCs w:val="22"/>
          <w:lang w:val="sr-Latn-ME" w:eastAsia="sr-Latn-ME"/>
        </w:rPr>
        <w:t xml:space="preserve">glucose-dependent insulinotropic polypeptide, </w:t>
      </w:r>
      <w:r w:rsidRPr="001870F3">
        <w:rPr>
          <w:rFonts w:eastAsia="TimesNewRoman"/>
          <w:szCs w:val="22"/>
          <w:lang w:val="sr-Latn-ME"/>
        </w:rPr>
        <w:t>GIP). Ink</w:t>
      </w:r>
      <w:r w:rsidR="004C113D" w:rsidRPr="001870F3">
        <w:rPr>
          <w:rFonts w:eastAsia="TimesNewRoman"/>
          <w:szCs w:val="22"/>
          <w:lang w:val="sr-Latn-ME"/>
        </w:rPr>
        <w:t>retini su di</w:t>
      </w:r>
      <w:r w:rsidR="00A854F0" w:rsidRPr="001870F3">
        <w:rPr>
          <w:rFonts w:eastAsia="TimesNewRoman"/>
          <w:szCs w:val="22"/>
          <w:lang w:val="sr-Latn-ME"/>
        </w:rPr>
        <w:t>o endogenog</w:t>
      </w:r>
      <w:r w:rsidR="00A528B5" w:rsidRPr="001870F3">
        <w:rPr>
          <w:rFonts w:eastAsia="TimesNewRoman"/>
          <w:szCs w:val="22"/>
          <w:lang w:val="sr-Latn-ME"/>
        </w:rPr>
        <w:t xml:space="preserve"> </w:t>
      </w:r>
      <w:r w:rsidR="00A854F0" w:rsidRPr="001870F3">
        <w:rPr>
          <w:rFonts w:eastAsia="TimesNewRoman"/>
          <w:szCs w:val="22"/>
          <w:lang w:val="sr-Latn-ME"/>
        </w:rPr>
        <w:t>s</w:t>
      </w:r>
      <w:r w:rsidRPr="001870F3">
        <w:rPr>
          <w:rFonts w:eastAsia="TimesNewRoman"/>
          <w:szCs w:val="22"/>
          <w:lang w:val="sr-Latn-ME"/>
        </w:rPr>
        <w:t>istema uključenog u fiziološku regulaciju homeostaze glukoze. Kada su koncentracije glukoze u krvi</w:t>
      </w:r>
      <w:r w:rsidR="00A528B5" w:rsidRPr="001870F3">
        <w:rPr>
          <w:rFonts w:eastAsia="TimesNewRoman"/>
          <w:szCs w:val="22"/>
          <w:lang w:val="sr-Latn-ME"/>
        </w:rPr>
        <w:t xml:space="preserve"> </w:t>
      </w:r>
      <w:r w:rsidRPr="001870F3">
        <w:rPr>
          <w:rFonts w:eastAsia="TimesNewRoman"/>
          <w:szCs w:val="22"/>
          <w:lang w:val="sr-Latn-ME"/>
        </w:rPr>
        <w:t>normalne ili povišene, GLP-1 i GIP povećavaju sintezu insulina i njegovo oslobađanje iz beta ćelija pankreasa.</w:t>
      </w:r>
      <w:r w:rsidR="00A528B5" w:rsidRPr="001870F3">
        <w:rPr>
          <w:rFonts w:eastAsia="TimesNewRoman"/>
          <w:szCs w:val="22"/>
          <w:lang w:val="sr-Latn-ME"/>
        </w:rPr>
        <w:t xml:space="preserve"> </w:t>
      </w:r>
      <w:r w:rsidRPr="001870F3">
        <w:rPr>
          <w:rFonts w:eastAsia="TimesNewRoman"/>
          <w:szCs w:val="22"/>
          <w:lang w:val="sr-Latn-ME"/>
        </w:rPr>
        <w:t>GLP-1 smanjuje i izlučivanje glukagona iz alfa ćelija pankreasa, što dovodi do smanjene proizvodnje glukoze</w:t>
      </w:r>
      <w:r w:rsidR="00A528B5" w:rsidRPr="001870F3">
        <w:rPr>
          <w:rFonts w:eastAsia="TimesNewRoman"/>
          <w:szCs w:val="22"/>
          <w:lang w:val="sr-Latn-ME"/>
        </w:rPr>
        <w:t xml:space="preserve"> </w:t>
      </w:r>
      <w:r w:rsidRPr="001870F3">
        <w:rPr>
          <w:rFonts w:eastAsia="TimesNewRoman"/>
          <w:szCs w:val="22"/>
          <w:lang w:val="sr-Latn-ME"/>
        </w:rPr>
        <w:t>u jetri.</w:t>
      </w:r>
      <w:r w:rsidR="00ED57D5" w:rsidRPr="001870F3">
        <w:rPr>
          <w:rFonts w:eastAsia="TimesNewRoman"/>
          <w:szCs w:val="22"/>
          <w:lang w:val="sr-Latn-ME"/>
        </w:rPr>
        <w:t xml:space="preserve"> </w:t>
      </w:r>
      <w:r w:rsidRPr="001870F3">
        <w:rPr>
          <w:rFonts w:eastAsia="TimesNewRoman"/>
          <w:szCs w:val="22"/>
          <w:lang w:val="sr-Latn-ME"/>
        </w:rPr>
        <w:t xml:space="preserve">Kada je </w:t>
      </w:r>
      <w:r w:rsidR="00AD38B2" w:rsidRPr="001870F3">
        <w:rPr>
          <w:rFonts w:eastAsia="TimesNewRoman"/>
          <w:szCs w:val="22"/>
          <w:lang w:val="sr-Latn-ME"/>
        </w:rPr>
        <w:t xml:space="preserve">koncentracija </w:t>
      </w:r>
      <w:r w:rsidRPr="001870F3">
        <w:rPr>
          <w:rFonts w:eastAsia="TimesNewRoman"/>
          <w:szCs w:val="22"/>
          <w:lang w:val="sr-Latn-ME"/>
        </w:rPr>
        <w:t>glukoz</w:t>
      </w:r>
      <w:r w:rsidR="00664F74" w:rsidRPr="001870F3">
        <w:rPr>
          <w:rFonts w:eastAsia="TimesNewRoman"/>
          <w:szCs w:val="22"/>
          <w:lang w:val="sr-Latn-ME"/>
        </w:rPr>
        <w:t>e</w:t>
      </w:r>
      <w:r w:rsidRPr="001870F3">
        <w:rPr>
          <w:rFonts w:eastAsia="TimesNewRoman"/>
          <w:szCs w:val="22"/>
          <w:lang w:val="sr-Latn-ME"/>
        </w:rPr>
        <w:t xml:space="preserve"> u krvi niska, ne pojačava se oslobađanje insulina i ne sprečava se izlučivanje glukagona.</w:t>
      </w:r>
      <w:r w:rsidR="00F73C2C" w:rsidRPr="001870F3">
        <w:rPr>
          <w:rFonts w:eastAsia="TimesNewRoman"/>
          <w:szCs w:val="22"/>
          <w:lang w:val="sr-Latn-ME"/>
        </w:rPr>
        <w:t xml:space="preserve"> </w:t>
      </w:r>
      <w:r w:rsidRPr="001870F3">
        <w:rPr>
          <w:rFonts w:eastAsia="TimesNewRoman"/>
          <w:szCs w:val="22"/>
          <w:lang w:val="sr-Latn-ME"/>
        </w:rPr>
        <w:t xml:space="preserve">Sitagliptin je snažan i vrlo selektivan inhibitor enzima DPP-4 i u terapijskim koncentracijama ne inhibira srodne enzime DPP-8 ili DPP-9. Sitagliptin se po hemijskoj strukturi i farmakološkom dejstvu razlikuje od analoga GLP-1, insulina, </w:t>
      </w:r>
      <w:r w:rsidR="00F73C2C" w:rsidRPr="001870F3">
        <w:rPr>
          <w:rFonts w:eastAsia="TimesNewRoman"/>
          <w:szCs w:val="22"/>
          <w:lang w:val="sr-Latn-ME"/>
        </w:rPr>
        <w:t xml:space="preserve">derivata </w:t>
      </w:r>
      <w:r w:rsidRPr="001870F3">
        <w:rPr>
          <w:rFonts w:eastAsia="TimesNewRoman"/>
          <w:szCs w:val="22"/>
          <w:lang w:val="sr-Latn-ME"/>
        </w:rPr>
        <w:t>sulfoniluree ili meglitinida, bigvanida, agonista receptora gama aktiviranog proliferatorom peroksizoma (PPARγ), inhibitora alfa-glukozidaze i analoga amilina.</w:t>
      </w:r>
    </w:p>
    <w:p w14:paraId="2E86A220" w14:textId="77777777" w:rsidR="00A854F0" w:rsidRPr="001870F3" w:rsidRDefault="00A854F0" w:rsidP="001870F3">
      <w:pPr>
        <w:widowControl w:val="0"/>
        <w:tabs>
          <w:tab w:val="clear" w:pos="284"/>
        </w:tabs>
        <w:autoSpaceDE w:val="0"/>
        <w:autoSpaceDN w:val="0"/>
        <w:adjustRightInd w:val="0"/>
        <w:rPr>
          <w:rFonts w:eastAsia="TimesNewRoman"/>
          <w:szCs w:val="22"/>
          <w:lang w:val="sr-Latn-ME"/>
        </w:rPr>
      </w:pPr>
    </w:p>
    <w:p w14:paraId="2E86A221" w14:textId="77777777" w:rsidR="001F1D5A" w:rsidRPr="001870F3" w:rsidRDefault="001F1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dvodnevnoj studiji na zdravim osobama, sam sitagliptin je povećao koncentracije aktivnog GLP-1, dok je sam metformin povećao koncentracije aktivnog i ukupnog GLP-1 do sličnih granica.</w:t>
      </w:r>
      <w:r w:rsidR="00A854F0" w:rsidRPr="001870F3">
        <w:rPr>
          <w:rFonts w:eastAsia="TimesNewRoman"/>
          <w:szCs w:val="22"/>
          <w:lang w:val="sr-Latn-ME"/>
        </w:rPr>
        <w:t xml:space="preserve"> </w:t>
      </w:r>
      <w:r w:rsidRPr="001870F3">
        <w:rPr>
          <w:rFonts w:eastAsia="TimesNewRoman"/>
          <w:szCs w:val="22"/>
          <w:lang w:val="sr-Latn-ME"/>
        </w:rPr>
        <w:t>Istovremena prim</w:t>
      </w:r>
      <w:r w:rsidR="004C113D" w:rsidRPr="001870F3">
        <w:rPr>
          <w:rFonts w:eastAsia="TimesNewRoman"/>
          <w:szCs w:val="22"/>
          <w:lang w:val="sr-Latn-ME"/>
        </w:rPr>
        <w:t>j</w:t>
      </w:r>
      <w:r w:rsidRPr="001870F3">
        <w:rPr>
          <w:rFonts w:eastAsia="TimesNewRoman"/>
          <w:szCs w:val="22"/>
          <w:lang w:val="sr-Latn-ME"/>
        </w:rPr>
        <w:t>ena sitagliptina i metformina je pokazala zbirni efekat na koncentracije aktivnog GLP-1.</w:t>
      </w:r>
      <w:r w:rsidR="00A854F0" w:rsidRPr="001870F3">
        <w:rPr>
          <w:rFonts w:eastAsia="TimesNewRoman"/>
          <w:szCs w:val="22"/>
          <w:lang w:val="sr-Latn-ME"/>
        </w:rPr>
        <w:t xml:space="preserve"> </w:t>
      </w:r>
      <w:r w:rsidRPr="001870F3">
        <w:rPr>
          <w:rFonts w:eastAsia="TimesNewRoman"/>
          <w:szCs w:val="22"/>
          <w:lang w:val="sr-Latn-ME"/>
        </w:rPr>
        <w:t>Sitagliptin, a ne metformin, je povećao koncentracije aktivnog GIP.</w:t>
      </w:r>
    </w:p>
    <w:p w14:paraId="2E86A222" w14:textId="77777777" w:rsidR="00157ECB" w:rsidRPr="001870F3" w:rsidRDefault="00157ECB" w:rsidP="001870F3">
      <w:pPr>
        <w:widowControl w:val="0"/>
        <w:rPr>
          <w:rFonts w:eastAsia="TimesNewRoman"/>
          <w:szCs w:val="22"/>
          <w:lang w:val="sr-Latn-ME"/>
        </w:rPr>
      </w:pPr>
    </w:p>
    <w:p w14:paraId="2E86A223" w14:textId="0765113B" w:rsidR="00157ECB" w:rsidRPr="001870F3" w:rsidRDefault="00157ECB"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Klinička efikasnost i bezb</w:t>
      </w:r>
      <w:r w:rsidR="00797A1A" w:rsidRPr="001870F3">
        <w:rPr>
          <w:rFonts w:eastAsia="TimesNewRoman"/>
          <w:szCs w:val="22"/>
          <w:u w:val="single"/>
          <w:lang w:val="sr-Latn-ME"/>
        </w:rPr>
        <w:t>j</w:t>
      </w:r>
      <w:r w:rsidRPr="001870F3">
        <w:rPr>
          <w:rFonts w:eastAsia="TimesNewRoman"/>
          <w:szCs w:val="22"/>
          <w:u w:val="single"/>
          <w:lang w:val="sr-Latn-ME"/>
        </w:rPr>
        <w:t>ednost</w:t>
      </w:r>
    </w:p>
    <w:p w14:paraId="2E86A224" w14:textId="24818A48" w:rsidR="00157ECB" w:rsidRPr="001870F3" w:rsidRDefault="00157EC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Uopšte, sitagliptin je poboljšao kontrolu glikemije kada se koristio kao monoterapija ili u kombinovanoj terapiji</w:t>
      </w:r>
      <w:r w:rsidR="00F8547F" w:rsidRPr="001870F3">
        <w:rPr>
          <w:rFonts w:eastAsia="TimesNewRoman"/>
          <w:szCs w:val="22"/>
          <w:lang w:val="sr-Latn-ME"/>
        </w:rPr>
        <w:t xml:space="preserve"> kod pacijenata sa dijabetesom tipa 2</w:t>
      </w:r>
      <w:r w:rsidRPr="001870F3">
        <w:rPr>
          <w:rFonts w:eastAsia="TimesNewRoman"/>
          <w:szCs w:val="22"/>
          <w:lang w:val="sr-Latn-ME"/>
        </w:rPr>
        <w:t>.</w:t>
      </w:r>
    </w:p>
    <w:p w14:paraId="18A2A734" w14:textId="77777777" w:rsidR="00F8547F" w:rsidRPr="001870F3" w:rsidRDefault="00F8547F" w:rsidP="001870F3">
      <w:pPr>
        <w:widowControl w:val="0"/>
        <w:tabs>
          <w:tab w:val="clear" w:pos="284"/>
        </w:tabs>
        <w:autoSpaceDE w:val="0"/>
        <w:autoSpaceDN w:val="0"/>
        <w:adjustRightInd w:val="0"/>
        <w:rPr>
          <w:rFonts w:eastAsia="TimesNewRoman"/>
          <w:szCs w:val="22"/>
          <w:lang w:val="sr-Latn-ME"/>
        </w:rPr>
      </w:pPr>
    </w:p>
    <w:p w14:paraId="2E86A226" w14:textId="2B852638" w:rsidR="00157ECB" w:rsidRPr="001870F3" w:rsidRDefault="00157EC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je kao monoterapija u kliničkim ispitivanjima poboljšao kontrolu glikemije uz znatno smanjenje</w:t>
      </w:r>
      <w:r w:rsidR="009E4F22" w:rsidRPr="001870F3">
        <w:rPr>
          <w:rFonts w:eastAsia="TimesNewRoman"/>
          <w:szCs w:val="22"/>
          <w:lang w:val="sr-Latn-ME"/>
        </w:rPr>
        <w:t xml:space="preserve"> </w:t>
      </w:r>
      <w:r w:rsidRPr="001870F3">
        <w:rPr>
          <w:rFonts w:eastAsia="TimesNewRoman"/>
          <w:szCs w:val="22"/>
          <w:lang w:val="sr-Latn-ME"/>
        </w:rPr>
        <w:t>hemoglobin</w:t>
      </w:r>
      <w:r w:rsidR="00C74B9F" w:rsidRPr="001870F3">
        <w:rPr>
          <w:rFonts w:eastAsia="TimesNewRoman"/>
          <w:szCs w:val="22"/>
          <w:lang w:val="sr-Latn-ME"/>
        </w:rPr>
        <w:t>a</w:t>
      </w:r>
      <w:r w:rsidRPr="001870F3">
        <w:rPr>
          <w:rFonts w:eastAsia="TimesNewRoman"/>
          <w:szCs w:val="22"/>
          <w:lang w:val="sr-Latn-ME"/>
        </w:rPr>
        <w:t xml:space="preserve"> A</w:t>
      </w:r>
      <w:r w:rsidRPr="001870F3">
        <w:rPr>
          <w:rFonts w:eastAsia="TimesNewRoman"/>
          <w:szCs w:val="22"/>
          <w:vertAlign w:val="subscript"/>
          <w:lang w:val="sr-Latn-ME"/>
        </w:rPr>
        <w:t>1c</w:t>
      </w:r>
      <w:r w:rsidR="009E4F22" w:rsidRPr="001870F3">
        <w:rPr>
          <w:rFonts w:eastAsia="TimesNewRoman"/>
          <w:szCs w:val="22"/>
          <w:lang w:val="sr-Latn-ME"/>
        </w:rPr>
        <w:t xml:space="preserve"> </w:t>
      </w:r>
      <w:r w:rsidRPr="001870F3">
        <w:rPr>
          <w:rFonts w:eastAsia="TimesNewRoman"/>
          <w:szCs w:val="22"/>
          <w:lang w:val="sr-Latn-ME"/>
        </w:rPr>
        <w:t>(HbA</w:t>
      </w:r>
      <w:r w:rsidRPr="001870F3">
        <w:rPr>
          <w:rFonts w:eastAsia="TimesNewRoman"/>
          <w:szCs w:val="22"/>
          <w:vertAlign w:val="subscript"/>
          <w:lang w:val="sr-Latn-ME"/>
        </w:rPr>
        <w:t>1c</w:t>
      </w:r>
      <w:r w:rsidRPr="001870F3">
        <w:rPr>
          <w:rFonts w:eastAsia="TimesNewRoman"/>
          <w:szCs w:val="22"/>
          <w:lang w:val="sr-Latn-ME"/>
        </w:rPr>
        <w:t>) i glukoze pri gladovanju i postprandijalne glukoze. Smanjenje glukoze pri gladovanju u plazmi (</w:t>
      </w:r>
      <w:r w:rsidR="00AD38B2" w:rsidRPr="001870F3">
        <w:rPr>
          <w:rFonts w:eastAsia="TimesNewRoman"/>
          <w:szCs w:val="22"/>
          <w:lang w:val="sr-Latn-ME"/>
        </w:rPr>
        <w:t xml:space="preserve">eng. </w:t>
      </w:r>
      <w:r w:rsidR="00AD38B2" w:rsidRPr="001870F3">
        <w:rPr>
          <w:rFonts w:eastAsia="TimesNewRoman"/>
          <w:i/>
          <w:szCs w:val="22"/>
          <w:lang w:val="sr-Latn-ME"/>
        </w:rPr>
        <w:t>fasting plasma glucose</w:t>
      </w:r>
      <w:r w:rsidR="00AD38B2" w:rsidRPr="001870F3">
        <w:rPr>
          <w:rFonts w:eastAsia="TimesNewRoman"/>
          <w:szCs w:val="22"/>
          <w:lang w:val="sr-Latn-ME"/>
        </w:rPr>
        <w:t xml:space="preserve">, </w:t>
      </w:r>
      <w:r w:rsidRPr="001870F3">
        <w:rPr>
          <w:rFonts w:eastAsia="TimesNewRoman"/>
          <w:szCs w:val="22"/>
          <w:lang w:val="sr-Latn-ME"/>
        </w:rPr>
        <w:t>FPG) uočeno je 3. ned</w:t>
      </w:r>
      <w:r w:rsidR="004C113D" w:rsidRPr="001870F3">
        <w:rPr>
          <w:rFonts w:eastAsia="TimesNewRoman"/>
          <w:szCs w:val="22"/>
          <w:lang w:val="sr-Latn-ME"/>
        </w:rPr>
        <w:t>j</w:t>
      </w:r>
      <w:r w:rsidRPr="001870F3">
        <w:rPr>
          <w:rFonts w:eastAsia="TimesNewRoman"/>
          <w:szCs w:val="22"/>
          <w:lang w:val="sr-Latn-ME"/>
        </w:rPr>
        <w:t>elje, u prvoj vremenskoj tački u kojoj je m</w:t>
      </w:r>
      <w:r w:rsidR="004C113D" w:rsidRPr="001870F3">
        <w:rPr>
          <w:rFonts w:eastAsia="TimesNewRoman"/>
          <w:szCs w:val="22"/>
          <w:lang w:val="sr-Latn-ME"/>
        </w:rPr>
        <w:t>j</w:t>
      </w:r>
      <w:r w:rsidRPr="001870F3">
        <w:rPr>
          <w:rFonts w:eastAsia="TimesNewRoman"/>
          <w:szCs w:val="22"/>
          <w:lang w:val="sr-Latn-ME"/>
        </w:rPr>
        <w:t>erena FPG. Incidenca hipoglikemije uočena kod pacijenata l</w:t>
      </w:r>
      <w:r w:rsidR="0052765C" w:rsidRPr="001870F3">
        <w:rPr>
          <w:rFonts w:eastAsia="TimesNewRoman"/>
          <w:szCs w:val="22"/>
          <w:lang w:val="sr-Latn-ME"/>
        </w:rPr>
        <w:t>ij</w:t>
      </w:r>
      <w:r w:rsidRPr="001870F3">
        <w:rPr>
          <w:rFonts w:eastAsia="TimesNewRoman"/>
          <w:szCs w:val="22"/>
          <w:lang w:val="sr-Latn-ME"/>
        </w:rPr>
        <w:t>ečenih sitagliptinom bila je slična kao i kod pacijenata koji su uzimali placebo. Nije bilo povećanja t</w:t>
      </w:r>
      <w:r w:rsidR="004C113D" w:rsidRPr="001870F3">
        <w:rPr>
          <w:rFonts w:eastAsia="TimesNewRoman"/>
          <w:szCs w:val="22"/>
          <w:lang w:val="sr-Latn-ME"/>
        </w:rPr>
        <w:t>j</w:t>
      </w:r>
      <w:r w:rsidRPr="001870F3">
        <w:rPr>
          <w:rFonts w:eastAsia="TimesNewRoman"/>
          <w:szCs w:val="22"/>
          <w:lang w:val="sr-Latn-ME"/>
        </w:rPr>
        <w:t>elesne mase uz terapiju sitagliptinom u odnosu na početne vr</w:t>
      </w:r>
      <w:r w:rsidR="004C113D" w:rsidRPr="001870F3">
        <w:rPr>
          <w:rFonts w:eastAsia="TimesNewRoman"/>
          <w:szCs w:val="22"/>
          <w:lang w:val="sr-Latn-ME"/>
        </w:rPr>
        <w:t>ij</w:t>
      </w:r>
      <w:r w:rsidRPr="001870F3">
        <w:rPr>
          <w:rFonts w:eastAsia="TimesNewRoman"/>
          <w:szCs w:val="22"/>
          <w:lang w:val="sr-Latn-ME"/>
        </w:rPr>
        <w:t xml:space="preserve">ednosti. Uočeno je poboljšanje surogat pokazatelja funkcije beta ćelija, uključujući i </w:t>
      </w:r>
      <w:r w:rsidR="00ED128F" w:rsidRPr="001870F3">
        <w:rPr>
          <w:rFonts w:eastAsia="TimesNewRoman"/>
          <w:szCs w:val="22"/>
          <w:lang w:val="sr-Latn-ME"/>
        </w:rPr>
        <w:t>m</w:t>
      </w:r>
      <w:r w:rsidRPr="001870F3">
        <w:rPr>
          <w:rFonts w:eastAsia="TimesNewRoman"/>
          <w:szCs w:val="22"/>
          <w:lang w:val="sr-Latn-ME"/>
        </w:rPr>
        <w:t>odel proc</w:t>
      </w:r>
      <w:r w:rsidR="004C113D" w:rsidRPr="001870F3">
        <w:rPr>
          <w:rFonts w:eastAsia="TimesNewRoman"/>
          <w:szCs w:val="22"/>
          <w:lang w:val="sr-Latn-ME"/>
        </w:rPr>
        <w:t>j</w:t>
      </w:r>
      <w:r w:rsidRPr="001870F3">
        <w:rPr>
          <w:rFonts w:eastAsia="TimesNewRoman"/>
          <w:szCs w:val="22"/>
          <w:lang w:val="sr-Latn-ME"/>
        </w:rPr>
        <w:t>enjivanja homeostaze β</w:t>
      </w:r>
      <w:r w:rsidR="00ED128F" w:rsidRPr="001870F3">
        <w:rPr>
          <w:rFonts w:eastAsia="TimesNewRoman"/>
          <w:szCs w:val="22"/>
          <w:lang w:val="sr-Latn-ME"/>
        </w:rPr>
        <w:t xml:space="preserve"> (eng.</w:t>
      </w:r>
      <w:r w:rsidR="00341B0C" w:rsidRPr="001870F3">
        <w:rPr>
          <w:rFonts w:eastAsia="TimesNewRoman"/>
          <w:szCs w:val="22"/>
          <w:lang w:val="sr-Latn-ME"/>
        </w:rPr>
        <w:t xml:space="preserve"> </w:t>
      </w:r>
      <w:r w:rsidR="00341B0C" w:rsidRPr="001870F3">
        <w:rPr>
          <w:i/>
          <w:iCs/>
          <w:szCs w:val="22"/>
          <w:lang w:val="sr-Latn-ME"/>
        </w:rPr>
        <w:t>Homeostasis Model Assessment-β,</w:t>
      </w:r>
      <w:r w:rsidR="00341B0C" w:rsidRPr="001870F3">
        <w:rPr>
          <w:szCs w:val="22"/>
          <w:lang w:val="sr-Latn-ME"/>
        </w:rPr>
        <w:t xml:space="preserve"> HOMA- β</w:t>
      </w:r>
      <w:r w:rsidR="00ED128F" w:rsidRPr="001870F3">
        <w:rPr>
          <w:rFonts w:eastAsia="TimesNewRoman"/>
          <w:szCs w:val="22"/>
          <w:lang w:val="sr-Latn-ME"/>
        </w:rPr>
        <w:t>)</w:t>
      </w:r>
      <w:r w:rsidRPr="001870F3">
        <w:rPr>
          <w:rFonts w:eastAsia="TimesNewRoman"/>
          <w:szCs w:val="22"/>
          <w:lang w:val="sr-Latn-ME"/>
        </w:rPr>
        <w:t>, odnosa proinsulina i insulina, i izm</w:t>
      </w:r>
      <w:r w:rsidR="0052765C" w:rsidRPr="001870F3">
        <w:rPr>
          <w:rFonts w:eastAsia="TimesNewRoman"/>
          <w:szCs w:val="22"/>
          <w:lang w:val="sr-Latn-ME"/>
        </w:rPr>
        <w:t>j</w:t>
      </w:r>
      <w:r w:rsidRPr="001870F3">
        <w:rPr>
          <w:rFonts w:eastAsia="TimesNewRoman"/>
          <w:szCs w:val="22"/>
          <w:lang w:val="sr-Latn-ME"/>
        </w:rPr>
        <w:t>erenih vr</w:t>
      </w:r>
      <w:r w:rsidR="004C113D" w:rsidRPr="001870F3">
        <w:rPr>
          <w:rFonts w:eastAsia="TimesNewRoman"/>
          <w:szCs w:val="22"/>
          <w:lang w:val="sr-Latn-ME"/>
        </w:rPr>
        <w:t>ij</w:t>
      </w:r>
      <w:r w:rsidRPr="001870F3">
        <w:rPr>
          <w:rFonts w:eastAsia="TimesNewRoman"/>
          <w:szCs w:val="22"/>
          <w:lang w:val="sr-Latn-ME"/>
        </w:rPr>
        <w:t>ednosti os</w:t>
      </w:r>
      <w:r w:rsidR="004C113D" w:rsidRPr="001870F3">
        <w:rPr>
          <w:rFonts w:eastAsia="TimesNewRoman"/>
          <w:szCs w:val="22"/>
          <w:lang w:val="sr-Latn-ME"/>
        </w:rPr>
        <w:t>j</w:t>
      </w:r>
      <w:r w:rsidRPr="001870F3">
        <w:rPr>
          <w:rFonts w:eastAsia="TimesNewRoman"/>
          <w:szCs w:val="22"/>
          <w:lang w:val="sr-Latn-ME"/>
        </w:rPr>
        <w:t>etljivosti beta ćelija na osnovu često uzimanih uzoraka za ispitivanje podnošljivosti obroka.</w:t>
      </w:r>
    </w:p>
    <w:p w14:paraId="2E86A227" w14:textId="77777777" w:rsidR="008D3222" w:rsidRPr="001870F3" w:rsidRDefault="008D3222" w:rsidP="001870F3">
      <w:pPr>
        <w:widowControl w:val="0"/>
        <w:tabs>
          <w:tab w:val="clear" w:pos="284"/>
        </w:tabs>
        <w:autoSpaceDE w:val="0"/>
        <w:autoSpaceDN w:val="0"/>
        <w:adjustRightInd w:val="0"/>
        <w:rPr>
          <w:rFonts w:eastAsia="TimesNewRoman"/>
          <w:szCs w:val="22"/>
          <w:lang w:val="sr-Latn-ME"/>
        </w:rPr>
      </w:pPr>
    </w:p>
    <w:p w14:paraId="2E86A228" w14:textId="77777777" w:rsidR="008D3222" w:rsidRPr="001870F3" w:rsidRDefault="008D3222"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Studije sitagliptina u kombinaciji sa metforminom</w:t>
      </w:r>
    </w:p>
    <w:p w14:paraId="2E86A229" w14:textId="1983773D" w:rsidR="008D3222" w:rsidRPr="001870F3" w:rsidRDefault="008D322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je omogućio znatno poboljšanje glikemijskih parametara u odnosu na placebo u 24-ned</w:t>
      </w:r>
      <w:r w:rsidR="004C113D" w:rsidRPr="001870F3">
        <w:rPr>
          <w:rFonts w:eastAsia="TimesNewRoman"/>
          <w:szCs w:val="22"/>
          <w:lang w:val="sr-Latn-ME"/>
        </w:rPr>
        <w:t>j</w:t>
      </w:r>
      <w:r w:rsidRPr="001870F3">
        <w:rPr>
          <w:rFonts w:eastAsia="TimesNewRoman"/>
          <w:szCs w:val="22"/>
          <w:lang w:val="sr-Latn-ME"/>
        </w:rPr>
        <w:t>eljnoj placebo kontrolisanoj kliničkoj studiji u cilju evaluacije efikasnosti i bezb</w:t>
      </w:r>
      <w:r w:rsidR="004C113D" w:rsidRPr="001870F3">
        <w:rPr>
          <w:rFonts w:eastAsia="TimesNewRoman"/>
          <w:szCs w:val="22"/>
          <w:lang w:val="sr-Latn-ME"/>
        </w:rPr>
        <w:t>j</w:t>
      </w:r>
      <w:r w:rsidRPr="001870F3">
        <w:rPr>
          <w:rFonts w:eastAsia="TimesNewRoman"/>
          <w:szCs w:val="22"/>
          <w:lang w:val="sr-Latn-ME"/>
        </w:rPr>
        <w:t>ednosti dodatka sitagliptina od 100 mg jednom dnevno postojećoj terapiji metforminom. Prom</w:t>
      </w:r>
      <w:r w:rsidR="004C113D" w:rsidRPr="001870F3">
        <w:rPr>
          <w:rFonts w:eastAsia="TimesNewRoman"/>
          <w:szCs w:val="22"/>
          <w:lang w:val="sr-Latn-ME"/>
        </w:rPr>
        <w:t>j</w:t>
      </w:r>
      <w:r w:rsidRPr="001870F3">
        <w:rPr>
          <w:rFonts w:eastAsia="TimesNewRoman"/>
          <w:szCs w:val="22"/>
          <w:lang w:val="sr-Latn-ME"/>
        </w:rPr>
        <w:t>ena početnih vr</w:t>
      </w:r>
      <w:r w:rsidR="004C113D" w:rsidRPr="001870F3">
        <w:rPr>
          <w:rFonts w:eastAsia="TimesNewRoman"/>
          <w:szCs w:val="22"/>
          <w:lang w:val="sr-Latn-ME"/>
        </w:rPr>
        <w:t>ij</w:t>
      </w:r>
      <w:r w:rsidRPr="001870F3">
        <w:rPr>
          <w:rFonts w:eastAsia="TimesNewRoman"/>
          <w:szCs w:val="22"/>
          <w:lang w:val="sr-Latn-ME"/>
        </w:rPr>
        <w:t>ednosti t</w:t>
      </w:r>
      <w:r w:rsidR="004C113D" w:rsidRPr="001870F3">
        <w:rPr>
          <w:rFonts w:eastAsia="TimesNewRoman"/>
          <w:szCs w:val="22"/>
          <w:lang w:val="sr-Latn-ME"/>
        </w:rPr>
        <w:t>j</w:t>
      </w:r>
      <w:r w:rsidRPr="001870F3">
        <w:rPr>
          <w:rFonts w:eastAsia="TimesNewRoman"/>
          <w:szCs w:val="22"/>
          <w:lang w:val="sr-Latn-ME"/>
        </w:rPr>
        <w:t>elesne mase kod pacijenata l</w:t>
      </w:r>
      <w:r w:rsidR="004C113D" w:rsidRPr="001870F3">
        <w:rPr>
          <w:rFonts w:eastAsia="TimesNewRoman"/>
          <w:szCs w:val="22"/>
          <w:lang w:val="sr-Latn-ME"/>
        </w:rPr>
        <w:t>ij</w:t>
      </w:r>
      <w:r w:rsidRPr="001870F3">
        <w:rPr>
          <w:rFonts w:eastAsia="TimesNewRoman"/>
          <w:szCs w:val="22"/>
          <w:lang w:val="sr-Latn-ME"/>
        </w:rPr>
        <w:t>ečenih sitagliptinom bila je slična kao i kod pacijenata l</w:t>
      </w:r>
      <w:r w:rsidR="004C113D" w:rsidRPr="001870F3">
        <w:rPr>
          <w:rFonts w:eastAsia="TimesNewRoman"/>
          <w:szCs w:val="22"/>
          <w:lang w:val="sr-Latn-ME"/>
        </w:rPr>
        <w:t>ij</w:t>
      </w:r>
      <w:r w:rsidRPr="001870F3">
        <w:rPr>
          <w:rFonts w:eastAsia="TimesNewRoman"/>
          <w:szCs w:val="22"/>
          <w:lang w:val="sr-Latn-ME"/>
        </w:rPr>
        <w:t>ečenih placebom. U ovoj studiji je prijavljena slična incidence hipoglikemije kod pacijenata l</w:t>
      </w:r>
      <w:r w:rsidR="004C113D" w:rsidRPr="001870F3">
        <w:rPr>
          <w:rFonts w:eastAsia="TimesNewRoman"/>
          <w:szCs w:val="22"/>
          <w:lang w:val="sr-Latn-ME"/>
        </w:rPr>
        <w:t>ij</w:t>
      </w:r>
      <w:r w:rsidRPr="001870F3">
        <w:rPr>
          <w:rFonts w:eastAsia="TimesNewRoman"/>
          <w:szCs w:val="22"/>
          <w:lang w:val="sr-Latn-ME"/>
        </w:rPr>
        <w:t>ečenih sitagliptinom i kod pacijenata l</w:t>
      </w:r>
      <w:r w:rsidR="004C113D" w:rsidRPr="001870F3">
        <w:rPr>
          <w:rFonts w:eastAsia="TimesNewRoman"/>
          <w:szCs w:val="22"/>
          <w:lang w:val="sr-Latn-ME"/>
        </w:rPr>
        <w:t>ij</w:t>
      </w:r>
      <w:r w:rsidRPr="001870F3">
        <w:rPr>
          <w:rFonts w:eastAsia="TimesNewRoman"/>
          <w:szCs w:val="22"/>
          <w:lang w:val="sr-Latn-ME"/>
        </w:rPr>
        <w:t>ečenih placebom.</w:t>
      </w:r>
    </w:p>
    <w:p w14:paraId="63821781" w14:textId="77777777" w:rsidR="009F68AA" w:rsidRPr="001870F3" w:rsidRDefault="009F68AA" w:rsidP="001870F3">
      <w:pPr>
        <w:widowControl w:val="0"/>
        <w:tabs>
          <w:tab w:val="clear" w:pos="284"/>
        </w:tabs>
        <w:autoSpaceDE w:val="0"/>
        <w:autoSpaceDN w:val="0"/>
        <w:adjustRightInd w:val="0"/>
        <w:rPr>
          <w:rFonts w:eastAsia="TimesNewRoman"/>
          <w:szCs w:val="22"/>
          <w:lang w:val="sr-Latn-ME"/>
        </w:rPr>
      </w:pPr>
    </w:p>
    <w:p w14:paraId="2E86A22E" w14:textId="4FA84965" w:rsidR="008D3222" w:rsidRPr="001870F3" w:rsidRDefault="008D322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50 mg dva puta dnevno u kombinaciji sa metforminom (500 mg ili 1000 mg dva puta dnevno)</w:t>
      </w:r>
      <w:r w:rsidR="00297559" w:rsidRPr="001870F3">
        <w:rPr>
          <w:rFonts w:eastAsia="TimesNewRoman"/>
          <w:szCs w:val="22"/>
          <w:lang w:val="sr-Latn-ME"/>
        </w:rPr>
        <w:t xml:space="preserve"> </w:t>
      </w:r>
      <w:r w:rsidRPr="001870F3">
        <w:rPr>
          <w:rFonts w:eastAsia="TimesNewRoman"/>
          <w:szCs w:val="22"/>
          <w:lang w:val="sr-Latn-ME"/>
        </w:rPr>
        <w:t xml:space="preserve">omogućio je znatno poboljšanje glikemijskih parametara u odnosu </w:t>
      </w:r>
      <w:r w:rsidR="00BB683A" w:rsidRPr="001870F3">
        <w:rPr>
          <w:rFonts w:eastAsia="TimesNewRoman"/>
          <w:szCs w:val="22"/>
          <w:lang w:val="sr-Latn-ME"/>
        </w:rPr>
        <w:t>na monoterapiju tim ljekovima</w:t>
      </w:r>
      <w:r w:rsidRPr="001870F3">
        <w:rPr>
          <w:rFonts w:eastAsia="TimesNewRoman"/>
          <w:szCs w:val="22"/>
          <w:lang w:val="sr-Latn-ME"/>
        </w:rPr>
        <w:t>, u 24-ned</w:t>
      </w:r>
      <w:r w:rsidR="004C113D" w:rsidRPr="001870F3">
        <w:rPr>
          <w:rFonts w:eastAsia="TimesNewRoman"/>
          <w:szCs w:val="22"/>
          <w:lang w:val="sr-Latn-ME"/>
        </w:rPr>
        <w:t>j</w:t>
      </w:r>
      <w:r w:rsidRPr="001870F3">
        <w:rPr>
          <w:rFonts w:eastAsia="TimesNewRoman"/>
          <w:szCs w:val="22"/>
          <w:lang w:val="sr-Latn-ME"/>
        </w:rPr>
        <w:t>eljnoj placebo</w:t>
      </w:r>
      <w:r w:rsidR="00E31BEE" w:rsidRPr="001870F3">
        <w:rPr>
          <w:rFonts w:eastAsia="TimesNewRoman"/>
          <w:szCs w:val="22"/>
          <w:lang w:val="sr-Latn-ME"/>
        </w:rPr>
        <w:t xml:space="preserve"> </w:t>
      </w:r>
      <w:r w:rsidRPr="001870F3">
        <w:rPr>
          <w:rFonts w:eastAsia="TimesNewRoman"/>
          <w:szCs w:val="22"/>
          <w:lang w:val="sr-Latn-ME"/>
        </w:rPr>
        <w:t>kontrolisanoj faktorijalnoj studiji inicijalne terapije. Smanjenje t</w:t>
      </w:r>
      <w:r w:rsidR="004C113D" w:rsidRPr="001870F3">
        <w:rPr>
          <w:rFonts w:eastAsia="TimesNewRoman"/>
          <w:szCs w:val="22"/>
          <w:lang w:val="sr-Latn-ME"/>
        </w:rPr>
        <w:t>j</w:t>
      </w:r>
      <w:r w:rsidRPr="001870F3">
        <w:rPr>
          <w:rFonts w:eastAsia="TimesNewRoman"/>
          <w:szCs w:val="22"/>
          <w:lang w:val="sr-Latn-ME"/>
        </w:rPr>
        <w:t>elesne mase kod kombinacije sitagliptina i</w:t>
      </w:r>
      <w:r w:rsidR="00E31BEE" w:rsidRPr="001870F3">
        <w:rPr>
          <w:rFonts w:eastAsia="TimesNewRoman"/>
          <w:szCs w:val="22"/>
          <w:lang w:val="sr-Latn-ME"/>
        </w:rPr>
        <w:t xml:space="preserve"> </w:t>
      </w:r>
      <w:r w:rsidRPr="001870F3">
        <w:rPr>
          <w:rFonts w:eastAsia="TimesNewRoman"/>
          <w:szCs w:val="22"/>
          <w:lang w:val="sr-Latn-ME"/>
        </w:rPr>
        <w:t>metformina bilo je slično kao i ono uočeno kod metformina kao monoterapije ili placeba; kod pacijenata na</w:t>
      </w:r>
      <w:r w:rsidR="00E31BEE" w:rsidRPr="001870F3">
        <w:rPr>
          <w:rFonts w:eastAsia="TimesNewRoman"/>
          <w:szCs w:val="22"/>
          <w:lang w:val="sr-Latn-ME"/>
        </w:rPr>
        <w:t xml:space="preserve"> </w:t>
      </w:r>
      <w:r w:rsidRPr="001870F3">
        <w:rPr>
          <w:rFonts w:eastAsia="TimesNewRoman"/>
          <w:szCs w:val="22"/>
          <w:lang w:val="sr-Latn-ME"/>
        </w:rPr>
        <w:t>sitagliptinu kao monoterapiji nije bilo prom</w:t>
      </w:r>
      <w:r w:rsidR="004C113D" w:rsidRPr="001870F3">
        <w:rPr>
          <w:rFonts w:eastAsia="TimesNewRoman"/>
          <w:szCs w:val="22"/>
          <w:lang w:val="sr-Latn-ME"/>
        </w:rPr>
        <w:t>j</w:t>
      </w:r>
      <w:r w:rsidRPr="001870F3">
        <w:rPr>
          <w:rFonts w:eastAsia="TimesNewRoman"/>
          <w:szCs w:val="22"/>
          <w:lang w:val="sr-Latn-ME"/>
        </w:rPr>
        <w:t>ene u odnosu na početne vr</w:t>
      </w:r>
      <w:r w:rsidR="004C113D" w:rsidRPr="001870F3">
        <w:rPr>
          <w:rFonts w:eastAsia="TimesNewRoman"/>
          <w:szCs w:val="22"/>
          <w:lang w:val="sr-Latn-ME"/>
        </w:rPr>
        <w:t>ij</w:t>
      </w:r>
      <w:r w:rsidRPr="001870F3">
        <w:rPr>
          <w:rFonts w:eastAsia="TimesNewRoman"/>
          <w:szCs w:val="22"/>
          <w:lang w:val="sr-Latn-ME"/>
        </w:rPr>
        <w:t>ednosti. Incidenca hipoglikemije bila je slična u svim terapijskim grupama.</w:t>
      </w:r>
    </w:p>
    <w:p w14:paraId="2E86A22F" w14:textId="77777777" w:rsidR="001F1D5A" w:rsidRPr="001870F3" w:rsidRDefault="001F1D5A" w:rsidP="001870F3">
      <w:pPr>
        <w:widowControl w:val="0"/>
        <w:rPr>
          <w:szCs w:val="22"/>
          <w:lang w:val="sr-Latn-ME"/>
        </w:rPr>
      </w:pPr>
    </w:p>
    <w:p w14:paraId="2E86A230" w14:textId="5011AD8B" w:rsidR="008D3222" w:rsidRPr="001870F3" w:rsidRDefault="008D3222"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 xml:space="preserve">Studija sitagliptina u kombinaciji sa metforminom i </w:t>
      </w:r>
      <w:r w:rsidR="00E01466" w:rsidRPr="001870F3">
        <w:rPr>
          <w:rFonts w:eastAsia="TimesNewRoman"/>
          <w:szCs w:val="22"/>
          <w:u w:val="single"/>
          <w:lang w:val="sr-Latn-ME"/>
        </w:rPr>
        <w:t xml:space="preserve">derivatima </w:t>
      </w:r>
      <w:r w:rsidRPr="001870F3">
        <w:rPr>
          <w:rFonts w:eastAsia="TimesNewRoman"/>
          <w:szCs w:val="22"/>
          <w:u w:val="single"/>
          <w:lang w:val="sr-Latn-ME"/>
        </w:rPr>
        <w:t>sulfonilure</w:t>
      </w:r>
      <w:r w:rsidR="00E01466" w:rsidRPr="001870F3">
        <w:rPr>
          <w:rFonts w:eastAsia="TimesNewRoman"/>
          <w:szCs w:val="22"/>
          <w:u w:val="single"/>
          <w:lang w:val="sr-Latn-ME"/>
        </w:rPr>
        <w:t>e</w:t>
      </w:r>
    </w:p>
    <w:p w14:paraId="2E86A231" w14:textId="77777777" w:rsidR="008D3222" w:rsidRPr="001870F3" w:rsidRDefault="00D6548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Dizajnirana</w:t>
      </w:r>
      <w:r w:rsidR="008D3222" w:rsidRPr="001870F3">
        <w:rPr>
          <w:rFonts w:eastAsia="TimesNewRoman"/>
          <w:szCs w:val="22"/>
          <w:lang w:val="sr-Latn-ME"/>
        </w:rPr>
        <w:t xml:space="preserve"> je 24-ned</w:t>
      </w:r>
      <w:r w:rsidR="004C113D" w:rsidRPr="001870F3">
        <w:rPr>
          <w:rFonts w:eastAsia="TimesNewRoman"/>
          <w:szCs w:val="22"/>
          <w:lang w:val="sr-Latn-ME"/>
        </w:rPr>
        <w:t>j</w:t>
      </w:r>
      <w:r w:rsidR="008D3222" w:rsidRPr="001870F3">
        <w:rPr>
          <w:rFonts w:eastAsia="TimesNewRoman"/>
          <w:szCs w:val="22"/>
          <w:lang w:val="sr-Latn-ME"/>
        </w:rPr>
        <w:t>eljna placebo kontrolisana studija u cilju evaluacije efikasnosti i bezb</w:t>
      </w:r>
      <w:r w:rsidR="004C113D" w:rsidRPr="001870F3">
        <w:rPr>
          <w:rFonts w:eastAsia="TimesNewRoman"/>
          <w:szCs w:val="22"/>
          <w:lang w:val="sr-Latn-ME"/>
        </w:rPr>
        <w:t>j</w:t>
      </w:r>
      <w:r w:rsidR="008D3222" w:rsidRPr="001870F3">
        <w:rPr>
          <w:rFonts w:eastAsia="TimesNewRoman"/>
          <w:szCs w:val="22"/>
          <w:lang w:val="sr-Latn-ME"/>
        </w:rPr>
        <w:t>edno</w:t>
      </w:r>
      <w:r w:rsidR="00875FAB" w:rsidRPr="001870F3">
        <w:rPr>
          <w:rFonts w:eastAsia="TimesNewRoman"/>
          <w:szCs w:val="22"/>
          <w:lang w:val="sr-Latn-ME"/>
        </w:rPr>
        <w:t xml:space="preserve">sti </w:t>
      </w:r>
      <w:r w:rsidR="008D3222" w:rsidRPr="001870F3">
        <w:rPr>
          <w:rFonts w:eastAsia="TimesNewRoman"/>
          <w:szCs w:val="22"/>
          <w:lang w:val="sr-Latn-ME"/>
        </w:rPr>
        <w:t>sitagliptina (100 mg jednom dnevno) dodatog glimepiridu (kao mo</w:t>
      </w:r>
      <w:r w:rsidR="00875FAB" w:rsidRPr="001870F3">
        <w:rPr>
          <w:rFonts w:eastAsia="TimesNewRoman"/>
          <w:szCs w:val="22"/>
          <w:lang w:val="sr-Latn-ME"/>
        </w:rPr>
        <w:t xml:space="preserve">noterapiji ili u kombinaciji sa </w:t>
      </w:r>
      <w:r w:rsidR="008D3222" w:rsidRPr="001870F3">
        <w:rPr>
          <w:rFonts w:eastAsia="TimesNewRoman"/>
          <w:szCs w:val="22"/>
          <w:lang w:val="sr-Latn-ME"/>
        </w:rPr>
        <w:t>metforminom).</w:t>
      </w:r>
    </w:p>
    <w:p w14:paraId="2E86A232" w14:textId="77777777" w:rsidR="008D3222" w:rsidRPr="001870F3" w:rsidRDefault="008D3222" w:rsidP="001870F3">
      <w:pPr>
        <w:widowControl w:val="0"/>
        <w:rPr>
          <w:rFonts w:eastAsia="TimesNewRoman"/>
          <w:szCs w:val="22"/>
          <w:lang w:val="sr-Latn-ME"/>
        </w:rPr>
      </w:pPr>
      <w:r w:rsidRPr="001870F3">
        <w:rPr>
          <w:rFonts w:eastAsia="TimesNewRoman"/>
          <w:szCs w:val="22"/>
          <w:lang w:val="sr-Latn-ME"/>
        </w:rPr>
        <w:t>Dodavanjem sitagliptina glimepiridu i metforminu omogućeno je znatno poboljšanje glikemijskih parametara.</w:t>
      </w:r>
    </w:p>
    <w:p w14:paraId="2E86A233" w14:textId="77777777" w:rsidR="008D3222" w:rsidRPr="001870F3" w:rsidRDefault="008D322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Pacijenti l</w:t>
      </w:r>
      <w:r w:rsidR="004C113D" w:rsidRPr="001870F3">
        <w:rPr>
          <w:rFonts w:eastAsia="TimesNewRoman"/>
          <w:szCs w:val="22"/>
          <w:lang w:val="sr-Latn-ME"/>
        </w:rPr>
        <w:t>ij</w:t>
      </w:r>
      <w:r w:rsidRPr="001870F3">
        <w:rPr>
          <w:rFonts w:eastAsia="TimesNewRoman"/>
          <w:szCs w:val="22"/>
          <w:lang w:val="sr-Latn-ME"/>
        </w:rPr>
        <w:t>ečeni sitagliptinom imali su umereno povećanje t</w:t>
      </w:r>
      <w:r w:rsidR="004C113D" w:rsidRPr="001870F3">
        <w:rPr>
          <w:rFonts w:eastAsia="TimesNewRoman"/>
          <w:szCs w:val="22"/>
          <w:lang w:val="sr-Latn-ME"/>
        </w:rPr>
        <w:t>j</w:t>
      </w:r>
      <w:r w:rsidRPr="001870F3">
        <w:rPr>
          <w:rFonts w:eastAsia="TimesNewRoman"/>
          <w:szCs w:val="22"/>
          <w:lang w:val="sr-Latn-ME"/>
        </w:rPr>
        <w:t>elesne mase (+1,1 kg) u odnosu na pacijente koji su dobijali placebo.</w:t>
      </w:r>
    </w:p>
    <w:p w14:paraId="2E86A234" w14:textId="77777777" w:rsidR="00F56ED7" w:rsidRPr="001870F3" w:rsidRDefault="00F56ED7" w:rsidP="001870F3">
      <w:pPr>
        <w:widowControl w:val="0"/>
        <w:tabs>
          <w:tab w:val="clear" w:pos="284"/>
        </w:tabs>
        <w:autoSpaceDE w:val="0"/>
        <w:autoSpaceDN w:val="0"/>
        <w:adjustRightInd w:val="0"/>
        <w:rPr>
          <w:rFonts w:eastAsia="TimesNewRoman"/>
          <w:szCs w:val="22"/>
          <w:lang w:val="sr-Latn-ME"/>
        </w:rPr>
      </w:pPr>
    </w:p>
    <w:p w14:paraId="2E86A235" w14:textId="77777777" w:rsidR="00CA49DC" w:rsidRPr="001870F3" w:rsidRDefault="00CA49DC"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Studija sitagliptina u kombinaciji sa metforminom i PPARγ agonistom</w:t>
      </w:r>
    </w:p>
    <w:p w14:paraId="2E86A236" w14:textId="2B0744C7" w:rsidR="00F56ED7" w:rsidRPr="001870F3" w:rsidRDefault="00D6160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Dizajnirana je </w:t>
      </w:r>
      <w:r w:rsidR="00CA49DC" w:rsidRPr="001870F3">
        <w:rPr>
          <w:rFonts w:eastAsia="TimesNewRoman"/>
          <w:szCs w:val="22"/>
          <w:lang w:val="sr-Latn-ME"/>
        </w:rPr>
        <w:t>26-nedeljna placebom kontrolisana studija koja je za cilj imala da proc</w:t>
      </w:r>
      <w:r w:rsidR="004C113D" w:rsidRPr="001870F3">
        <w:rPr>
          <w:rFonts w:eastAsia="TimesNewRoman"/>
          <w:szCs w:val="22"/>
          <w:lang w:val="sr-Latn-ME"/>
        </w:rPr>
        <w:t>j</w:t>
      </w:r>
      <w:r w:rsidR="00CA49DC" w:rsidRPr="001870F3">
        <w:rPr>
          <w:rFonts w:eastAsia="TimesNewRoman"/>
          <w:szCs w:val="22"/>
          <w:lang w:val="sr-Latn-ME"/>
        </w:rPr>
        <w:t>eni efikasnost i bezb</w:t>
      </w:r>
      <w:r w:rsidR="004C113D" w:rsidRPr="001870F3">
        <w:rPr>
          <w:rFonts w:eastAsia="TimesNewRoman"/>
          <w:szCs w:val="22"/>
          <w:lang w:val="sr-Latn-ME"/>
        </w:rPr>
        <w:t>j</w:t>
      </w:r>
      <w:r w:rsidR="00CA49DC" w:rsidRPr="001870F3">
        <w:rPr>
          <w:rFonts w:eastAsia="TimesNewRoman"/>
          <w:szCs w:val="22"/>
          <w:lang w:val="sr-Latn-ME"/>
        </w:rPr>
        <w:t>ednost sitagliptina</w:t>
      </w:r>
      <w:r w:rsidRPr="001870F3">
        <w:rPr>
          <w:rFonts w:eastAsia="TimesNewRoman"/>
          <w:szCs w:val="22"/>
          <w:lang w:val="sr-Latn-ME"/>
        </w:rPr>
        <w:t xml:space="preserve"> </w:t>
      </w:r>
      <w:r w:rsidR="00CA49DC" w:rsidRPr="001870F3">
        <w:rPr>
          <w:rFonts w:eastAsia="TimesNewRoman"/>
          <w:szCs w:val="22"/>
          <w:lang w:val="sr-Latn-ME"/>
        </w:rPr>
        <w:t>(100 mg jednom dnevno) kada se daje u kombinaciji sa pioglitazonom i metforminom. Dodavanje sitagliptina kombinaciji pioglitazon</w:t>
      </w:r>
      <w:r w:rsidR="00BB683A" w:rsidRPr="001870F3">
        <w:rPr>
          <w:rFonts w:eastAsia="TimesNewRoman"/>
          <w:szCs w:val="22"/>
          <w:lang w:val="sr-Latn-ME"/>
        </w:rPr>
        <w:t>a</w:t>
      </w:r>
      <w:r w:rsidR="00CA49DC" w:rsidRPr="001870F3">
        <w:rPr>
          <w:rFonts w:eastAsia="TimesNewRoman"/>
          <w:szCs w:val="22"/>
          <w:lang w:val="sr-Latn-ME"/>
        </w:rPr>
        <w:t xml:space="preserve"> i metformin</w:t>
      </w:r>
      <w:r w:rsidR="00BB683A" w:rsidRPr="001870F3">
        <w:rPr>
          <w:rFonts w:eastAsia="TimesNewRoman"/>
          <w:szCs w:val="22"/>
          <w:lang w:val="sr-Latn-ME"/>
        </w:rPr>
        <w:t>a</w:t>
      </w:r>
      <w:r w:rsidR="00CA49DC" w:rsidRPr="001870F3">
        <w:rPr>
          <w:rFonts w:eastAsia="TimesNewRoman"/>
          <w:szCs w:val="22"/>
          <w:lang w:val="sr-Latn-ME"/>
        </w:rPr>
        <w:t xml:space="preserve"> dovelo je do značajnog poboljšanja glikemijskih parametara. Prom</w:t>
      </w:r>
      <w:r w:rsidR="004C113D" w:rsidRPr="001870F3">
        <w:rPr>
          <w:rFonts w:eastAsia="TimesNewRoman"/>
          <w:szCs w:val="22"/>
          <w:lang w:val="sr-Latn-ME"/>
        </w:rPr>
        <w:t>j</w:t>
      </w:r>
      <w:r w:rsidR="00CA49DC" w:rsidRPr="001870F3">
        <w:rPr>
          <w:rFonts w:eastAsia="TimesNewRoman"/>
          <w:szCs w:val="22"/>
          <w:lang w:val="sr-Latn-ME"/>
        </w:rPr>
        <w:t>ena t</w:t>
      </w:r>
      <w:r w:rsidR="004C113D" w:rsidRPr="001870F3">
        <w:rPr>
          <w:rFonts w:eastAsia="TimesNewRoman"/>
          <w:szCs w:val="22"/>
          <w:lang w:val="sr-Latn-ME"/>
        </w:rPr>
        <w:t>j</w:t>
      </w:r>
      <w:r w:rsidR="00CA49DC" w:rsidRPr="001870F3">
        <w:rPr>
          <w:rFonts w:eastAsia="TimesNewRoman"/>
          <w:szCs w:val="22"/>
          <w:lang w:val="sr-Latn-ME"/>
        </w:rPr>
        <w:t>elesne mase u odnosu na početnu bila je slična kod pacijenata l</w:t>
      </w:r>
      <w:r w:rsidR="004C113D" w:rsidRPr="001870F3">
        <w:rPr>
          <w:rFonts w:eastAsia="TimesNewRoman"/>
          <w:szCs w:val="22"/>
          <w:lang w:val="sr-Latn-ME"/>
        </w:rPr>
        <w:t>ij</w:t>
      </w:r>
      <w:r w:rsidR="00CA49DC" w:rsidRPr="001870F3">
        <w:rPr>
          <w:rFonts w:eastAsia="TimesNewRoman"/>
          <w:szCs w:val="22"/>
          <w:lang w:val="sr-Latn-ME"/>
        </w:rPr>
        <w:t>ečenih l</w:t>
      </w:r>
      <w:r w:rsidR="004C113D" w:rsidRPr="001870F3">
        <w:rPr>
          <w:rFonts w:eastAsia="TimesNewRoman"/>
          <w:szCs w:val="22"/>
          <w:lang w:val="sr-Latn-ME"/>
        </w:rPr>
        <w:t>ij</w:t>
      </w:r>
      <w:r w:rsidR="00CA49DC" w:rsidRPr="001870F3">
        <w:rPr>
          <w:rFonts w:eastAsia="TimesNewRoman"/>
          <w:szCs w:val="22"/>
          <w:lang w:val="sr-Latn-ME"/>
        </w:rPr>
        <w:t>ekom sitagliptin u odnosu na placebo.</w:t>
      </w:r>
      <w:r w:rsidR="00B0671E" w:rsidRPr="001870F3">
        <w:rPr>
          <w:rFonts w:eastAsia="TimesNewRoman"/>
          <w:szCs w:val="22"/>
          <w:lang w:val="sr-Latn-ME"/>
        </w:rPr>
        <w:t xml:space="preserve"> </w:t>
      </w:r>
      <w:r w:rsidR="00CA49DC" w:rsidRPr="001870F3">
        <w:rPr>
          <w:rFonts w:eastAsia="TimesNewRoman"/>
          <w:szCs w:val="22"/>
          <w:lang w:val="sr-Latn-ME"/>
        </w:rPr>
        <w:t>Učestalost hipoglikemije je takođe bila slična kod pacijenata l</w:t>
      </w:r>
      <w:r w:rsidR="004C113D" w:rsidRPr="001870F3">
        <w:rPr>
          <w:rFonts w:eastAsia="TimesNewRoman"/>
          <w:szCs w:val="22"/>
          <w:lang w:val="sr-Latn-ME"/>
        </w:rPr>
        <w:t>ij</w:t>
      </w:r>
      <w:r w:rsidR="00CA49DC" w:rsidRPr="001870F3">
        <w:rPr>
          <w:rFonts w:eastAsia="TimesNewRoman"/>
          <w:szCs w:val="22"/>
          <w:lang w:val="sr-Latn-ME"/>
        </w:rPr>
        <w:t>ečenih sitagliptinom u odnosu na placebo.</w:t>
      </w:r>
    </w:p>
    <w:p w14:paraId="2E86A237" w14:textId="77777777" w:rsidR="00670DB7" w:rsidRPr="001870F3" w:rsidRDefault="00670DB7" w:rsidP="001870F3">
      <w:pPr>
        <w:widowControl w:val="0"/>
        <w:tabs>
          <w:tab w:val="clear" w:pos="284"/>
        </w:tabs>
        <w:autoSpaceDE w:val="0"/>
        <w:autoSpaceDN w:val="0"/>
        <w:adjustRightInd w:val="0"/>
        <w:rPr>
          <w:rFonts w:eastAsia="TimesNewRoman"/>
          <w:szCs w:val="22"/>
          <w:lang w:val="sr-Latn-ME"/>
        </w:rPr>
      </w:pPr>
    </w:p>
    <w:p w14:paraId="2E86A238" w14:textId="77777777" w:rsidR="00670DB7" w:rsidRPr="001870F3" w:rsidRDefault="00670DB7"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Studija sitagliptina u kombinaciji sa metforminom i insulinom</w:t>
      </w:r>
    </w:p>
    <w:p w14:paraId="2E86A239" w14:textId="3B20953E" w:rsidR="00670DB7" w:rsidRPr="001870F3" w:rsidRDefault="00D6548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Dizajnirana</w:t>
      </w:r>
      <w:r w:rsidR="00670DB7" w:rsidRPr="001870F3">
        <w:rPr>
          <w:rFonts w:eastAsia="TimesNewRoman"/>
          <w:szCs w:val="22"/>
          <w:lang w:val="sr-Latn-ME"/>
        </w:rPr>
        <w:t xml:space="preserve"> je 24-ned</w:t>
      </w:r>
      <w:r w:rsidR="004C113D" w:rsidRPr="001870F3">
        <w:rPr>
          <w:rFonts w:eastAsia="TimesNewRoman"/>
          <w:szCs w:val="22"/>
          <w:lang w:val="sr-Latn-ME"/>
        </w:rPr>
        <w:t>j</w:t>
      </w:r>
      <w:r w:rsidR="00670DB7" w:rsidRPr="001870F3">
        <w:rPr>
          <w:rFonts w:eastAsia="TimesNewRoman"/>
          <w:szCs w:val="22"/>
          <w:lang w:val="sr-Latn-ME"/>
        </w:rPr>
        <w:t>eljna placebo kontrolisana studija u cilju evaluacije efikasnosti i bezb</w:t>
      </w:r>
      <w:r w:rsidR="004C113D" w:rsidRPr="001870F3">
        <w:rPr>
          <w:rFonts w:eastAsia="TimesNewRoman"/>
          <w:szCs w:val="22"/>
          <w:lang w:val="sr-Latn-ME"/>
        </w:rPr>
        <w:t>j</w:t>
      </w:r>
      <w:r w:rsidR="00670DB7" w:rsidRPr="001870F3">
        <w:rPr>
          <w:rFonts w:eastAsia="TimesNewRoman"/>
          <w:szCs w:val="22"/>
          <w:lang w:val="sr-Latn-ME"/>
        </w:rPr>
        <w:t>ednosti sitagliptina (100 mg jednom dnevno) dodatog insulinu (u stabilnoj dozi za period o</w:t>
      </w:r>
      <w:r w:rsidR="0052765C" w:rsidRPr="001870F3">
        <w:rPr>
          <w:rFonts w:eastAsia="TimesNewRoman"/>
          <w:szCs w:val="22"/>
          <w:lang w:val="sr-Latn-ME"/>
        </w:rPr>
        <w:t>d</w:t>
      </w:r>
      <w:r w:rsidR="00670DB7" w:rsidRPr="001870F3">
        <w:rPr>
          <w:rFonts w:eastAsia="TimesNewRoman"/>
          <w:szCs w:val="22"/>
          <w:lang w:val="sr-Latn-ME"/>
        </w:rPr>
        <w:t xml:space="preserve"> najmanje 10 nedelja) sa ili bez metformina (najmanje 1500 mg). Kod pacijenata ko</w:t>
      </w:r>
      <w:r w:rsidR="00D53E46" w:rsidRPr="001870F3">
        <w:rPr>
          <w:rFonts w:eastAsia="TimesNewRoman"/>
          <w:szCs w:val="22"/>
          <w:lang w:val="sr-Latn-ME"/>
        </w:rPr>
        <w:t>ji uzimaju "</w:t>
      </w:r>
      <w:r w:rsidR="00CF7318" w:rsidRPr="001870F3">
        <w:rPr>
          <w:rFonts w:eastAsia="TimesNewRoman"/>
          <w:szCs w:val="22"/>
          <w:lang w:val="sr-Latn-ME"/>
        </w:rPr>
        <w:t>pre-mixed" insulin</w:t>
      </w:r>
      <w:r w:rsidR="00670DB7" w:rsidRPr="001870F3">
        <w:rPr>
          <w:rFonts w:eastAsia="TimesNewRoman"/>
          <w:szCs w:val="22"/>
          <w:lang w:val="sr-Latn-ME"/>
        </w:rPr>
        <w:t>, srednja dnevna doza 70,9</w:t>
      </w:r>
      <w:r w:rsidR="00BB683A" w:rsidRPr="001870F3">
        <w:rPr>
          <w:rFonts w:eastAsia="TimesNewRoman"/>
          <w:szCs w:val="22"/>
          <w:lang w:val="sr-Latn-ME"/>
        </w:rPr>
        <w:t xml:space="preserve"> </w:t>
      </w:r>
      <w:r w:rsidR="00670DB7" w:rsidRPr="001870F3">
        <w:rPr>
          <w:rFonts w:eastAsia="TimesNewRoman"/>
          <w:szCs w:val="22"/>
          <w:lang w:val="sr-Latn-ME"/>
        </w:rPr>
        <w:t>U/dnevno, dok kod pacijenata koji uzimaju "non-pre-mixed" (srednje d</w:t>
      </w:r>
      <w:r w:rsidR="0052765C" w:rsidRPr="001870F3">
        <w:rPr>
          <w:rFonts w:eastAsia="TimesNewRoman"/>
          <w:szCs w:val="22"/>
          <w:lang w:val="sr-Latn-ME"/>
        </w:rPr>
        <w:t>j</w:t>
      </w:r>
      <w:r w:rsidR="00670DB7" w:rsidRPr="001870F3">
        <w:rPr>
          <w:rFonts w:eastAsia="TimesNewRoman"/>
          <w:szCs w:val="22"/>
          <w:lang w:val="sr-Latn-ME"/>
        </w:rPr>
        <w:t xml:space="preserve">elujući </w:t>
      </w:r>
      <w:r w:rsidR="00670DB7" w:rsidRPr="001870F3">
        <w:rPr>
          <w:rFonts w:eastAsia="TimesNewRoman"/>
          <w:szCs w:val="22"/>
          <w:lang w:val="sr-Latn-ME"/>
        </w:rPr>
        <w:lastRenderedPageBreak/>
        <w:t>ili dugod</w:t>
      </w:r>
      <w:r w:rsidR="0052765C" w:rsidRPr="001870F3">
        <w:rPr>
          <w:rFonts w:eastAsia="TimesNewRoman"/>
          <w:szCs w:val="22"/>
          <w:lang w:val="sr-Latn-ME"/>
        </w:rPr>
        <w:t>j</w:t>
      </w:r>
      <w:r w:rsidR="00670DB7" w:rsidRPr="001870F3">
        <w:rPr>
          <w:rFonts w:eastAsia="TimesNewRoman"/>
          <w:szCs w:val="22"/>
          <w:lang w:val="sr-Latn-ME"/>
        </w:rPr>
        <w:t>elujući insulin), srednja dnevna doza je bila 44.3</w:t>
      </w:r>
      <w:r w:rsidR="00BB683A" w:rsidRPr="001870F3">
        <w:rPr>
          <w:rFonts w:eastAsia="TimesNewRoman"/>
          <w:szCs w:val="22"/>
          <w:lang w:val="sr-Latn-ME"/>
        </w:rPr>
        <w:t xml:space="preserve"> </w:t>
      </w:r>
      <w:r w:rsidR="00670DB7" w:rsidRPr="001870F3">
        <w:rPr>
          <w:rFonts w:eastAsia="TimesNewRoman"/>
          <w:szCs w:val="22"/>
          <w:lang w:val="sr-Latn-ME"/>
        </w:rPr>
        <w:t xml:space="preserve">U/dnevno. Podaci dobijeni od 73% pacijenata koji su uzimali metformin prikazani su u tabeli </w:t>
      </w:r>
      <w:r w:rsidR="00E06738" w:rsidRPr="001870F3">
        <w:rPr>
          <w:rFonts w:eastAsia="TimesNewRoman"/>
          <w:szCs w:val="22"/>
          <w:lang w:val="sr-Latn-ME"/>
        </w:rPr>
        <w:t>2</w:t>
      </w:r>
      <w:r w:rsidR="00670DB7" w:rsidRPr="001870F3">
        <w:rPr>
          <w:rFonts w:eastAsia="TimesNewRoman"/>
          <w:szCs w:val="22"/>
          <w:lang w:val="sr-Latn-ME"/>
        </w:rPr>
        <w:t>. Dodavanjem sitagliptina terapiji insulinom omogućeno je znatno poboljšanje glikemijskih p</w:t>
      </w:r>
      <w:r w:rsidR="00806529" w:rsidRPr="001870F3">
        <w:rPr>
          <w:rFonts w:eastAsia="TimesNewRoman"/>
          <w:szCs w:val="22"/>
          <w:lang w:val="sr-Latn-ME"/>
        </w:rPr>
        <w:t>arametara. Prom</w:t>
      </w:r>
      <w:r w:rsidR="0052765C" w:rsidRPr="001870F3">
        <w:rPr>
          <w:rFonts w:eastAsia="TimesNewRoman"/>
          <w:szCs w:val="22"/>
          <w:lang w:val="sr-Latn-ME"/>
        </w:rPr>
        <w:t>j</w:t>
      </w:r>
      <w:r w:rsidR="00806529" w:rsidRPr="001870F3">
        <w:rPr>
          <w:rFonts w:eastAsia="TimesNewRoman"/>
          <w:szCs w:val="22"/>
          <w:lang w:val="sr-Latn-ME"/>
        </w:rPr>
        <w:t>ena t</w:t>
      </w:r>
      <w:r w:rsidR="004C113D" w:rsidRPr="001870F3">
        <w:rPr>
          <w:rFonts w:eastAsia="TimesNewRoman"/>
          <w:szCs w:val="22"/>
          <w:lang w:val="sr-Latn-ME"/>
        </w:rPr>
        <w:t>j</w:t>
      </w:r>
      <w:r w:rsidR="00806529" w:rsidRPr="001870F3">
        <w:rPr>
          <w:rFonts w:eastAsia="TimesNewRoman"/>
          <w:szCs w:val="22"/>
          <w:lang w:val="sr-Latn-ME"/>
        </w:rPr>
        <w:t>elesne mas</w:t>
      </w:r>
      <w:r w:rsidR="00670DB7" w:rsidRPr="001870F3">
        <w:rPr>
          <w:rFonts w:eastAsia="TimesNewRoman"/>
          <w:szCs w:val="22"/>
          <w:lang w:val="sr-Latn-ME"/>
        </w:rPr>
        <w:t>e u odnosu na početnu je bila slična u ob</w:t>
      </w:r>
      <w:r w:rsidR="004C113D" w:rsidRPr="001870F3">
        <w:rPr>
          <w:rFonts w:eastAsia="TimesNewRoman"/>
          <w:szCs w:val="22"/>
          <w:lang w:val="sr-Latn-ME"/>
        </w:rPr>
        <w:t>j</w:t>
      </w:r>
      <w:r w:rsidR="00670DB7" w:rsidRPr="001870F3">
        <w:rPr>
          <w:rFonts w:eastAsia="TimesNewRoman"/>
          <w:szCs w:val="22"/>
          <w:lang w:val="sr-Latn-ME"/>
        </w:rPr>
        <w:t>e grupe.</w:t>
      </w:r>
    </w:p>
    <w:p w14:paraId="2E86A23A" w14:textId="77777777" w:rsidR="00237BF7" w:rsidRPr="001870F3" w:rsidRDefault="00237BF7" w:rsidP="001870F3">
      <w:pPr>
        <w:widowControl w:val="0"/>
        <w:tabs>
          <w:tab w:val="clear" w:pos="284"/>
        </w:tabs>
        <w:autoSpaceDE w:val="0"/>
        <w:autoSpaceDN w:val="0"/>
        <w:adjustRightInd w:val="0"/>
        <w:rPr>
          <w:rFonts w:eastAsia="TimesNewRoman"/>
          <w:szCs w:val="22"/>
          <w:lang w:val="sr-Latn-ME"/>
        </w:rPr>
      </w:pPr>
    </w:p>
    <w:p w14:paraId="2E86A23D" w14:textId="33886BAF" w:rsidR="00670DB7" w:rsidRPr="001870F3" w:rsidRDefault="00670DB7" w:rsidP="001870F3">
      <w:pPr>
        <w:widowControl w:val="0"/>
        <w:tabs>
          <w:tab w:val="clear" w:pos="284"/>
        </w:tabs>
        <w:autoSpaceDE w:val="0"/>
        <w:autoSpaceDN w:val="0"/>
        <w:adjustRightInd w:val="0"/>
        <w:rPr>
          <w:b/>
          <w:bCs/>
          <w:szCs w:val="22"/>
          <w:lang w:val="sr-Latn-ME"/>
        </w:rPr>
      </w:pPr>
      <w:r w:rsidRPr="001870F3">
        <w:rPr>
          <w:rFonts w:eastAsia="TimesNewRoman"/>
          <w:b/>
          <w:i/>
          <w:iCs/>
          <w:szCs w:val="22"/>
          <w:lang w:val="sr-Latn-ME"/>
        </w:rPr>
        <w:t>Tabela 2</w:t>
      </w:r>
      <w:r w:rsidRPr="001870F3">
        <w:rPr>
          <w:rFonts w:eastAsia="TimesNewRoman"/>
          <w:b/>
          <w:szCs w:val="22"/>
          <w:lang w:val="sr-Latn-ME"/>
        </w:rPr>
        <w:t xml:space="preserve">: </w:t>
      </w:r>
      <w:r w:rsidRPr="001870F3">
        <w:rPr>
          <w:b/>
          <w:bCs/>
          <w:szCs w:val="22"/>
          <w:lang w:val="sr-Latn-ME"/>
        </w:rPr>
        <w:t>Rezultati HbA</w:t>
      </w:r>
      <w:r w:rsidRPr="001870F3">
        <w:rPr>
          <w:b/>
          <w:bCs/>
          <w:szCs w:val="22"/>
          <w:vertAlign w:val="subscript"/>
          <w:lang w:val="sr-Latn-ME"/>
        </w:rPr>
        <w:t>1c</w:t>
      </w:r>
      <w:r w:rsidRPr="001870F3">
        <w:rPr>
          <w:b/>
          <w:bCs/>
          <w:szCs w:val="22"/>
          <w:lang w:val="sr-Latn-ME"/>
        </w:rPr>
        <w:t xml:space="preserve"> u placebo kontrolisanim studijama kombinovane terapije sitagliptin</w:t>
      </w:r>
      <w:r w:rsidR="00BB683A" w:rsidRPr="001870F3">
        <w:rPr>
          <w:b/>
          <w:bCs/>
          <w:szCs w:val="22"/>
          <w:lang w:val="sr-Latn-ME"/>
        </w:rPr>
        <w:t>om</w:t>
      </w:r>
      <w:r w:rsidRPr="001870F3">
        <w:rPr>
          <w:b/>
          <w:bCs/>
          <w:szCs w:val="22"/>
          <w:lang w:val="sr-Latn-ME"/>
        </w:rPr>
        <w:t xml:space="preserve"> </w:t>
      </w:r>
      <w:r w:rsidR="00297559" w:rsidRPr="001870F3">
        <w:rPr>
          <w:b/>
          <w:bCs/>
          <w:szCs w:val="22"/>
          <w:lang w:val="sr-Latn-ME"/>
        </w:rPr>
        <w:t xml:space="preserve">i </w:t>
      </w:r>
      <w:r w:rsidRPr="001870F3">
        <w:rPr>
          <w:b/>
          <w:bCs/>
          <w:szCs w:val="22"/>
          <w:lang w:val="sr-Latn-ME"/>
        </w:rPr>
        <w:t>metformin</w:t>
      </w:r>
      <w:r w:rsidR="00BB683A" w:rsidRPr="001870F3">
        <w:rPr>
          <w:b/>
          <w:bCs/>
          <w:szCs w:val="22"/>
          <w:lang w:val="sr-Latn-ME"/>
        </w:rPr>
        <w:t>om</w:t>
      </w:r>
      <w:r w:rsidRPr="001870F3">
        <w:rPr>
          <w:b/>
          <w:bCs/>
          <w:szCs w:val="22"/>
          <w:lang w:val="sr-Latn-ME"/>
        </w:rPr>
        <w:t>*</w:t>
      </w:r>
    </w:p>
    <w:p w14:paraId="2E86A23E" w14:textId="77777777" w:rsidR="00670DB7" w:rsidRPr="001870F3" w:rsidRDefault="00670DB7" w:rsidP="001870F3">
      <w:pPr>
        <w:widowControl w:val="0"/>
        <w:tabs>
          <w:tab w:val="clear" w:pos="284"/>
        </w:tabs>
        <w:autoSpaceDE w:val="0"/>
        <w:autoSpaceDN w:val="0"/>
        <w:adjustRightInd w:val="0"/>
        <w:rPr>
          <w:b/>
          <w:bCs/>
          <w:szCs w:val="22"/>
          <w:lang w:val="sr-Latn-ME"/>
        </w:rPr>
      </w:pPr>
    </w:p>
    <w:tbl>
      <w:tblPr>
        <w:tblStyle w:val="TableGrid"/>
        <w:tblW w:w="5000" w:type="pct"/>
        <w:tblLook w:val="04A0" w:firstRow="1" w:lastRow="0" w:firstColumn="1" w:lastColumn="0" w:noHBand="0" w:noVBand="1"/>
      </w:tblPr>
      <w:tblGrid>
        <w:gridCol w:w="3311"/>
        <w:gridCol w:w="1516"/>
        <w:gridCol w:w="1930"/>
        <w:gridCol w:w="2304"/>
      </w:tblGrid>
      <w:tr w:rsidR="00670DB7" w:rsidRPr="001870F3" w14:paraId="2E86A249" w14:textId="77777777" w:rsidTr="005B56A9">
        <w:tc>
          <w:tcPr>
            <w:tcW w:w="0" w:type="auto"/>
          </w:tcPr>
          <w:p w14:paraId="2E86A23F" w14:textId="77777777" w:rsidR="00670DB7" w:rsidRPr="001870F3" w:rsidRDefault="009C5A18" w:rsidP="001870F3">
            <w:pPr>
              <w:widowControl w:val="0"/>
              <w:tabs>
                <w:tab w:val="clear" w:pos="284"/>
              </w:tabs>
              <w:autoSpaceDE w:val="0"/>
              <w:autoSpaceDN w:val="0"/>
              <w:adjustRightInd w:val="0"/>
              <w:rPr>
                <w:rFonts w:eastAsia="TimesNewRoman"/>
                <w:b/>
                <w:szCs w:val="22"/>
                <w:lang w:val="sr-Latn-ME"/>
              </w:rPr>
            </w:pPr>
            <w:r w:rsidRPr="001870F3">
              <w:rPr>
                <w:b/>
                <w:bCs/>
                <w:szCs w:val="22"/>
                <w:lang w:val="sr-Latn-ME"/>
              </w:rPr>
              <w:t>Studija</w:t>
            </w:r>
          </w:p>
        </w:tc>
        <w:tc>
          <w:tcPr>
            <w:tcW w:w="0" w:type="auto"/>
          </w:tcPr>
          <w:p w14:paraId="2E86A240" w14:textId="77777777" w:rsidR="009C5A18" w:rsidRPr="001870F3" w:rsidRDefault="009C5A18" w:rsidP="001870F3">
            <w:pPr>
              <w:widowControl w:val="0"/>
              <w:tabs>
                <w:tab w:val="clear" w:pos="284"/>
              </w:tabs>
              <w:autoSpaceDE w:val="0"/>
              <w:autoSpaceDN w:val="0"/>
              <w:adjustRightInd w:val="0"/>
              <w:rPr>
                <w:b/>
                <w:bCs/>
                <w:szCs w:val="22"/>
                <w:lang w:val="sr-Latn-ME"/>
              </w:rPr>
            </w:pPr>
            <w:r w:rsidRPr="001870F3">
              <w:rPr>
                <w:b/>
                <w:bCs/>
                <w:szCs w:val="22"/>
                <w:lang w:val="sr-Latn-ME"/>
              </w:rPr>
              <w:t>Srednji početni</w:t>
            </w:r>
          </w:p>
          <w:p w14:paraId="2E86A241" w14:textId="77777777" w:rsidR="00670DB7" w:rsidRPr="001870F3" w:rsidRDefault="009C5A18" w:rsidP="001870F3">
            <w:pPr>
              <w:widowControl w:val="0"/>
              <w:tabs>
                <w:tab w:val="clear" w:pos="284"/>
              </w:tabs>
              <w:autoSpaceDE w:val="0"/>
              <w:autoSpaceDN w:val="0"/>
              <w:adjustRightInd w:val="0"/>
              <w:rPr>
                <w:rFonts w:eastAsia="TimesNewRoman"/>
                <w:b/>
                <w:szCs w:val="22"/>
                <w:lang w:val="sr-Latn-ME"/>
              </w:rPr>
            </w:pPr>
            <w:r w:rsidRPr="001870F3">
              <w:rPr>
                <w:b/>
                <w:bCs/>
                <w:szCs w:val="22"/>
                <w:lang w:val="sr-Latn-ME"/>
              </w:rPr>
              <w:t>HbA</w:t>
            </w:r>
            <w:r w:rsidRPr="001870F3">
              <w:rPr>
                <w:b/>
                <w:bCs/>
                <w:szCs w:val="22"/>
                <w:vertAlign w:val="subscript"/>
                <w:lang w:val="sr-Latn-ME"/>
              </w:rPr>
              <w:t>1c</w:t>
            </w:r>
            <w:r w:rsidRPr="001870F3">
              <w:rPr>
                <w:b/>
                <w:bCs/>
                <w:szCs w:val="22"/>
                <w:lang w:val="sr-Latn-ME"/>
              </w:rPr>
              <w:t xml:space="preserve"> (%)</w:t>
            </w:r>
          </w:p>
        </w:tc>
        <w:tc>
          <w:tcPr>
            <w:tcW w:w="0" w:type="auto"/>
          </w:tcPr>
          <w:p w14:paraId="2E86A242" w14:textId="77777777" w:rsidR="009C5A18" w:rsidRPr="001870F3" w:rsidRDefault="009C5A18" w:rsidP="001870F3">
            <w:pPr>
              <w:widowControl w:val="0"/>
              <w:tabs>
                <w:tab w:val="clear" w:pos="284"/>
              </w:tabs>
              <w:autoSpaceDE w:val="0"/>
              <w:autoSpaceDN w:val="0"/>
              <w:adjustRightInd w:val="0"/>
              <w:rPr>
                <w:b/>
                <w:bCs/>
                <w:szCs w:val="22"/>
                <w:lang w:val="sr-Latn-ME"/>
              </w:rPr>
            </w:pPr>
            <w:r w:rsidRPr="001870F3">
              <w:rPr>
                <w:b/>
                <w:bCs/>
                <w:szCs w:val="22"/>
                <w:lang w:val="sr-Latn-ME"/>
              </w:rPr>
              <w:t>Srednja prom</w:t>
            </w:r>
            <w:r w:rsidR="004C113D" w:rsidRPr="001870F3">
              <w:rPr>
                <w:b/>
                <w:bCs/>
                <w:szCs w:val="22"/>
                <w:lang w:val="sr-Latn-ME"/>
              </w:rPr>
              <w:t>j</w:t>
            </w:r>
            <w:r w:rsidRPr="001870F3">
              <w:rPr>
                <w:b/>
                <w:bCs/>
                <w:szCs w:val="22"/>
                <w:lang w:val="sr-Latn-ME"/>
              </w:rPr>
              <w:t>ena u</w:t>
            </w:r>
          </w:p>
          <w:p w14:paraId="2E86A243" w14:textId="77777777" w:rsidR="009C5A18" w:rsidRPr="001870F3" w:rsidRDefault="009C5A18" w:rsidP="001870F3">
            <w:pPr>
              <w:widowControl w:val="0"/>
              <w:tabs>
                <w:tab w:val="clear" w:pos="284"/>
              </w:tabs>
              <w:autoSpaceDE w:val="0"/>
              <w:autoSpaceDN w:val="0"/>
              <w:adjustRightInd w:val="0"/>
              <w:rPr>
                <w:b/>
                <w:bCs/>
                <w:szCs w:val="22"/>
                <w:lang w:val="sr-Latn-ME"/>
              </w:rPr>
            </w:pPr>
            <w:r w:rsidRPr="001870F3">
              <w:rPr>
                <w:b/>
                <w:bCs/>
                <w:szCs w:val="22"/>
                <w:lang w:val="sr-Latn-ME"/>
              </w:rPr>
              <w:t>odnosu na početni</w:t>
            </w:r>
          </w:p>
          <w:p w14:paraId="2E86A244" w14:textId="77777777" w:rsidR="00670DB7" w:rsidRPr="001870F3" w:rsidRDefault="009C5A18" w:rsidP="001870F3">
            <w:pPr>
              <w:widowControl w:val="0"/>
              <w:tabs>
                <w:tab w:val="clear" w:pos="284"/>
              </w:tabs>
              <w:autoSpaceDE w:val="0"/>
              <w:autoSpaceDN w:val="0"/>
              <w:adjustRightInd w:val="0"/>
              <w:rPr>
                <w:rFonts w:eastAsia="TimesNewRoman"/>
                <w:b/>
                <w:szCs w:val="22"/>
                <w:lang w:val="sr-Latn-ME"/>
              </w:rPr>
            </w:pPr>
            <w:r w:rsidRPr="001870F3">
              <w:rPr>
                <w:b/>
                <w:bCs/>
                <w:szCs w:val="22"/>
                <w:lang w:val="sr-Latn-ME"/>
              </w:rPr>
              <w:t>HbA</w:t>
            </w:r>
            <w:r w:rsidRPr="001870F3">
              <w:rPr>
                <w:b/>
                <w:bCs/>
                <w:szCs w:val="22"/>
                <w:vertAlign w:val="subscript"/>
                <w:lang w:val="sr-Latn-ME"/>
              </w:rPr>
              <w:t>1c</w:t>
            </w:r>
            <w:r w:rsidRPr="001870F3">
              <w:rPr>
                <w:b/>
                <w:bCs/>
                <w:szCs w:val="22"/>
                <w:lang w:val="sr-Latn-ME"/>
              </w:rPr>
              <w:t xml:space="preserve"> (%)</w:t>
            </w:r>
          </w:p>
        </w:tc>
        <w:tc>
          <w:tcPr>
            <w:tcW w:w="0" w:type="auto"/>
          </w:tcPr>
          <w:p w14:paraId="2E86A245" w14:textId="77777777" w:rsidR="00FE1A35" w:rsidRPr="001870F3" w:rsidRDefault="00FE1A35" w:rsidP="001870F3">
            <w:pPr>
              <w:widowControl w:val="0"/>
              <w:tabs>
                <w:tab w:val="clear" w:pos="284"/>
              </w:tabs>
              <w:autoSpaceDE w:val="0"/>
              <w:autoSpaceDN w:val="0"/>
              <w:adjustRightInd w:val="0"/>
              <w:jc w:val="left"/>
              <w:rPr>
                <w:b/>
                <w:bCs/>
                <w:szCs w:val="22"/>
                <w:lang w:val="sr-Latn-ME"/>
              </w:rPr>
            </w:pPr>
            <w:r w:rsidRPr="001870F3">
              <w:rPr>
                <w:b/>
                <w:bCs/>
                <w:szCs w:val="22"/>
                <w:lang w:val="sr-Latn-ME"/>
              </w:rPr>
              <w:t>Placebom korigovana</w:t>
            </w:r>
          </w:p>
          <w:p w14:paraId="2E86A246" w14:textId="77777777" w:rsidR="00FE1A35" w:rsidRPr="001870F3" w:rsidRDefault="00FE1A35" w:rsidP="001870F3">
            <w:pPr>
              <w:widowControl w:val="0"/>
              <w:tabs>
                <w:tab w:val="clear" w:pos="284"/>
              </w:tabs>
              <w:autoSpaceDE w:val="0"/>
              <w:autoSpaceDN w:val="0"/>
              <w:adjustRightInd w:val="0"/>
              <w:jc w:val="left"/>
              <w:rPr>
                <w:b/>
                <w:bCs/>
                <w:szCs w:val="22"/>
                <w:lang w:val="sr-Latn-ME"/>
              </w:rPr>
            </w:pPr>
            <w:r w:rsidRPr="001870F3">
              <w:rPr>
                <w:b/>
                <w:bCs/>
                <w:szCs w:val="22"/>
                <w:lang w:val="sr-Latn-ME"/>
              </w:rPr>
              <w:t>srednja prom</w:t>
            </w:r>
            <w:r w:rsidR="004C113D" w:rsidRPr="001870F3">
              <w:rPr>
                <w:b/>
                <w:bCs/>
                <w:szCs w:val="22"/>
                <w:lang w:val="sr-Latn-ME"/>
              </w:rPr>
              <w:t>j</w:t>
            </w:r>
            <w:r w:rsidRPr="001870F3">
              <w:rPr>
                <w:b/>
                <w:bCs/>
                <w:szCs w:val="22"/>
                <w:lang w:val="sr-Latn-ME"/>
              </w:rPr>
              <w:t>ena HbA</w:t>
            </w:r>
            <w:r w:rsidRPr="001870F3">
              <w:rPr>
                <w:b/>
                <w:bCs/>
                <w:szCs w:val="22"/>
                <w:vertAlign w:val="subscript"/>
                <w:lang w:val="sr-Latn-ME"/>
              </w:rPr>
              <w:t>1c</w:t>
            </w:r>
          </w:p>
          <w:p w14:paraId="2E86A247" w14:textId="77777777" w:rsidR="00FE1A35" w:rsidRPr="001870F3" w:rsidRDefault="00FE1A35" w:rsidP="001870F3">
            <w:pPr>
              <w:widowControl w:val="0"/>
              <w:tabs>
                <w:tab w:val="clear" w:pos="284"/>
              </w:tabs>
              <w:autoSpaceDE w:val="0"/>
              <w:autoSpaceDN w:val="0"/>
              <w:adjustRightInd w:val="0"/>
              <w:jc w:val="left"/>
              <w:rPr>
                <w:b/>
                <w:bCs/>
                <w:szCs w:val="22"/>
                <w:lang w:val="sr-Latn-ME"/>
              </w:rPr>
            </w:pPr>
            <w:r w:rsidRPr="001870F3">
              <w:rPr>
                <w:b/>
                <w:bCs/>
                <w:szCs w:val="22"/>
                <w:lang w:val="sr-Latn-ME"/>
              </w:rPr>
              <w:t>(%)</w:t>
            </w:r>
          </w:p>
          <w:p w14:paraId="2E86A248" w14:textId="77777777" w:rsidR="00670DB7" w:rsidRPr="001870F3" w:rsidRDefault="00FE1A35" w:rsidP="001870F3">
            <w:pPr>
              <w:widowControl w:val="0"/>
              <w:tabs>
                <w:tab w:val="clear" w:pos="284"/>
              </w:tabs>
              <w:autoSpaceDE w:val="0"/>
              <w:autoSpaceDN w:val="0"/>
              <w:adjustRightInd w:val="0"/>
              <w:jc w:val="left"/>
              <w:rPr>
                <w:rFonts w:eastAsia="TimesNewRoman"/>
                <w:b/>
                <w:szCs w:val="22"/>
                <w:lang w:val="sr-Latn-ME"/>
              </w:rPr>
            </w:pPr>
            <w:r w:rsidRPr="001870F3">
              <w:rPr>
                <w:b/>
                <w:bCs/>
                <w:szCs w:val="22"/>
                <w:lang w:val="sr-Latn-ME"/>
              </w:rPr>
              <w:t>(95% CI)</w:t>
            </w:r>
          </w:p>
        </w:tc>
      </w:tr>
      <w:tr w:rsidR="00670DB7" w:rsidRPr="001870F3" w14:paraId="2E86A259" w14:textId="77777777" w:rsidTr="005B56A9">
        <w:tc>
          <w:tcPr>
            <w:tcW w:w="0" w:type="auto"/>
          </w:tcPr>
          <w:p w14:paraId="2E86A24A"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4B"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4C"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metforminom </w:t>
            </w:r>
            <w:r w:rsidRPr="001870F3">
              <w:rPr>
                <w:rFonts w:eastAsia="TimesNewRoman"/>
                <w:szCs w:val="22"/>
                <w:vertAlign w:val="superscript"/>
                <w:lang w:val="sr-Latn-ME"/>
              </w:rPr>
              <w:t>%</w:t>
            </w:r>
          </w:p>
          <w:p w14:paraId="2E86A24D" w14:textId="77777777" w:rsidR="00670DB7" w:rsidRPr="001870F3" w:rsidRDefault="00AE7C36"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(N=453)</w:t>
            </w:r>
          </w:p>
        </w:tc>
        <w:tc>
          <w:tcPr>
            <w:tcW w:w="0" w:type="auto"/>
          </w:tcPr>
          <w:p w14:paraId="2E86A24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4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50"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8,0</w:t>
            </w:r>
          </w:p>
        </w:tc>
        <w:tc>
          <w:tcPr>
            <w:tcW w:w="0" w:type="auto"/>
          </w:tcPr>
          <w:p w14:paraId="2E86A251"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5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53" w14:textId="77777777" w:rsidR="004865E2" w:rsidRPr="001870F3" w:rsidRDefault="004865E2" w:rsidP="001870F3">
            <w:pPr>
              <w:pStyle w:val="ListParagraph"/>
              <w:widowControl w:val="0"/>
              <w:tabs>
                <w:tab w:val="clear" w:pos="284"/>
              </w:tabs>
              <w:autoSpaceDE w:val="0"/>
              <w:autoSpaceDN w:val="0"/>
              <w:adjustRightInd w:val="0"/>
              <w:ind w:left="0"/>
              <w:rPr>
                <w:rFonts w:eastAsia="TimesNewRoman"/>
                <w:szCs w:val="22"/>
                <w:lang w:val="sr-Latn-ME"/>
              </w:rPr>
            </w:pPr>
            <w:r w:rsidRPr="001870F3">
              <w:rPr>
                <w:rFonts w:eastAsia="TimesNewRoman"/>
                <w:szCs w:val="22"/>
                <w:lang w:val="sr-Latn-ME"/>
              </w:rPr>
              <w:t xml:space="preserve">   -0,7</w:t>
            </w:r>
            <w:r w:rsidRPr="001870F3">
              <w:rPr>
                <w:rFonts w:eastAsia="TimesNewRoman"/>
                <w:szCs w:val="22"/>
                <w:vertAlign w:val="superscript"/>
                <w:lang w:val="sr-Latn-ME"/>
              </w:rPr>
              <w:t>†</w:t>
            </w:r>
          </w:p>
        </w:tc>
        <w:tc>
          <w:tcPr>
            <w:tcW w:w="0" w:type="auto"/>
          </w:tcPr>
          <w:p w14:paraId="2E86A25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55" w14:textId="77777777" w:rsidR="004F08F2" w:rsidRPr="001870F3" w:rsidRDefault="004F08F2" w:rsidP="001870F3">
            <w:pPr>
              <w:widowControl w:val="0"/>
              <w:tabs>
                <w:tab w:val="clear" w:pos="284"/>
              </w:tabs>
              <w:autoSpaceDE w:val="0"/>
              <w:autoSpaceDN w:val="0"/>
              <w:adjustRightInd w:val="0"/>
              <w:rPr>
                <w:rFonts w:eastAsia="TimesNewRoman"/>
                <w:b/>
                <w:szCs w:val="22"/>
                <w:lang w:val="sr-Latn-ME"/>
              </w:rPr>
            </w:pPr>
          </w:p>
          <w:p w14:paraId="2E86A256" w14:textId="77777777" w:rsidR="004F08F2" w:rsidRPr="001870F3" w:rsidRDefault="004F08F2"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-0,7</w:t>
            </w:r>
            <w:r w:rsidRPr="001870F3">
              <w:rPr>
                <w:rFonts w:eastAsia="TimesNewRoman"/>
                <w:szCs w:val="22"/>
                <w:vertAlign w:val="superscript"/>
                <w:lang w:val="sr-Latn-ME"/>
              </w:rPr>
              <w:t>†,‡</w:t>
            </w:r>
          </w:p>
          <w:p w14:paraId="2E86A257" w14:textId="77777777" w:rsidR="004F08F2" w:rsidRPr="001870F3" w:rsidRDefault="004F08F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(-0,8, -0,5)</w:t>
            </w:r>
          </w:p>
          <w:p w14:paraId="2E86A258" w14:textId="77777777" w:rsidR="004F08F2" w:rsidRPr="001870F3" w:rsidRDefault="004F08F2" w:rsidP="001870F3">
            <w:pPr>
              <w:widowControl w:val="0"/>
              <w:tabs>
                <w:tab w:val="clear" w:pos="284"/>
              </w:tabs>
              <w:autoSpaceDE w:val="0"/>
              <w:autoSpaceDN w:val="0"/>
              <w:adjustRightInd w:val="0"/>
              <w:rPr>
                <w:rFonts w:eastAsia="TimesNewRoman"/>
                <w:b/>
                <w:szCs w:val="22"/>
                <w:lang w:val="sr-Latn-ME"/>
              </w:rPr>
            </w:pPr>
          </w:p>
        </w:tc>
      </w:tr>
      <w:tr w:rsidR="00670DB7" w:rsidRPr="001870F3" w14:paraId="2E86A269" w14:textId="77777777" w:rsidTr="005B56A9">
        <w:tc>
          <w:tcPr>
            <w:tcW w:w="0" w:type="auto"/>
          </w:tcPr>
          <w:p w14:paraId="2E86A25A"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5B"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5C"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w:t>
            </w:r>
            <w:r w:rsidR="00AB6056" w:rsidRPr="001870F3">
              <w:rPr>
                <w:rFonts w:eastAsia="TimesNewRoman"/>
                <w:szCs w:val="22"/>
                <w:lang w:val="sr-Latn-ME"/>
              </w:rPr>
              <w:t>glimepirid</w:t>
            </w:r>
            <w:r w:rsidRPr="001870F3">
              <w:rPr>
                <w:rFonts w:eastAsia="TimesNewRoman"/>
                <w:szCs w:val="22"/>
                <w:lang w:val="sr-Latn-ME"/>
              </w:rPr>
              <w:t xml:space="preserve"> + metformin </w:t>
            </w:r>
            <w:r w:rsidRPr="001870F3">
              <w:rPr>
                <w:rFonts w:eastAsia="TimesNewRoman"/>
                <w:szCs w:val="22"/>
                <w:vertAlign w:val="superscript"/>
                <w:lang w:val="sr-Latn-ME"/>
              </w:rPr>
              <w:t>%</w:t>
            </w:r>
          </w:p>
          <w:p w14:paraId="2E86A25D" w14:textId="77777777" w:rsidR="00670DB7" w:rsidRPr="001870F3" w:rsidRDefault="00AE7C36"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(N=115)</w:t>
            </w:r>
          </w:p>
        </w:tc>
        <w:tc>
          <w:tcPr>
            <w:tcW w:w="0" w:type="auto"/>
          </w:tcPr>
          <w:p w14:paraId="2E86A25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5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60"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8,3</w:t>
            </w:r>
          </w:p>
        </w:tc>
        <w:tc>
          <w:tcPr>
            <w:tcW w:w="0" w:type="auto"/>
          </w:tcPr>
          <w:p w14:paraId="2E86A261"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p>
          <w:p w14:paraId="2E86A262"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p>
          <w:p w14:paraId="2E86A263" w14:textId="77777777" w:rsidR="00670DB7"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-0,6</w:t>
            </w:r>
            <w:r w:rsidRPr="001870F3">
              <w:rPr>
                <w:rFonts w:eastAsia="TimesNewRoman"/>
                <w:szCs w:val="22"/>
                <w:vertAlign w:val="superscript"/>
                <w:lang w:val="sr-Latn-ME"/>
              </w:rPr>
              <w:t>†</w:t>
            </w:r>
          </w:p>
        </w:tc>
        <w:tc>
          <w:tcPr>
            <w:tcW w:w="0" w:type="auto"/>
          </w:tcPr>
          <w:p w14:paraId="2E86A26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65"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66"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-0,9</w:t>
            </w:r>
            <w:r w:rsidRPr="001870F3">
              <w:rPr>
                <w:rFonts w:eastAsia="TimesNewRoman"/>
                <w:szCs w:val="22"/>
                <w:vertAlign w:val="superscript"/>
                <w:lang w:val="sr-Latn-ME"/>
              </w:rPr>
              <w:t>†,‡</w:t>
            </w:r>
          </w:p>
          <w:p w14:paraId="2E86A267"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 -0,7)</w:t>
            </w:r>
          </w:p>
          <w:p w14:paraId="2E86A268"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670DB7" w:rsidRPr="001870F3" w14:paraId="2E86A279" w14:textId="77777777" w:rsidTr="005B56A9">
        <w:tc>
          <w:tcPr>
            <w:tcW w:w="0" w:type="auto"/>
          </w:tcPr>
          <w:p w14:paraId="2E86A26A" w14:textId="77777777" w:rsidR="00DE4B50" w:rsidRPr="001870F3" w:rsidRDefault="00DE4B5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6B" w14:textId="77777777" w:rsidR="00DE4B50" w:rsidRPr="001870F3" w:rsidRDefault="00DE4B5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6C" w14:textId="77777777" w:rsidR="00DE4B50" w:rsidRPr="001870F3" w:rsidRDefault="00DE4B5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pioglitazon + metformin </w:t>
            </w:r>
          </w:p>
          <w:p w14:paraId="2E86A26D" w14:textId="77777777" w:rsidR="00670DB7" w:rsidRPr="001870F3" w:rsidRDefault="00DE4B50"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(N=152)</w:t>
            </w:r>
            <w:r w:rsidR="004F0216" w:rsidRPr="001870F3">
              <w:rPr>
                <w:rFonts w:eastAsia="TimesNewRoman"/>
                <w:szCs w:val="22"/>
                <w:lang w:val="sr-Latn-ME"/>
              </w:rPr>
              <w:t xml:space="preserve"> </w:t>
            </w:r>
            <w:r w:rsidR="004F0216" w:rsidRPr="001870F3">
              <w:rPr>
                <w:rFonts w:eastAsia="TimesNewRoman"/>
                <w:szCs w:val="22"/>
                <w:vertAlign w:val="superscript"/>
                <w:lang w:val="sr-Latn-ME"/>
              </w:rPr>
              <w:t>¶</w:t>
            </w:r>
          </w:p>
        </w:tc>
        <w:tc>
          <w:tcPr>
            <w:tcW w:w="0" w:type="auto"/>
          </w:tcPr>
          <w:p w14:paraId="2E86A26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6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70"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8,8</w:t>
            </w:r>
          </w:p>
        </w:tc>
        <w:tc>
          <w:tcPr>
            <w:tcW w:w="0" w:type="auto"/>
          </w:tcPr>
          <w:p w14:paraId="2E86A271"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7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73"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-1,2</w:t>
            </w:r>
            <w:r w:rsidRPr="001870F3">
              <w:rPr>
                <w:rFonts w:eastAsia="TimesNewRoman"/>
                <w:szCs w:val="22"/>
                <w:vertAlign w:val="superscript"/>
                <w:lang w:val="sr-Latn-ME"/>
              </w:rPr>
              <w:t>†</w:t>
            </w:r>
          </w:p>
        </w:tc>
        <w:tc>
          <w:tcPr>
            <w:tcW w:w="0" w:type="auto"/>
          </w:tcPr>
          <w:p w14:paraId="2E86A27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75"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76"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-0,7</w:t>
            </w:r>
            <w:r w:rsidRPr="001870F3">
              <w:rPr>
                <w:rFonts w:eastAsia="TimesNewRoman"/>
                <w:szCs w:val="22"/>
                <w:vertAlign w:val="superscript"/>
                <w:lang w:val="sr-Latn-ME"/>
              </w:rPr>
              <w:t>†,‡</w:t>
            </w:r>
          </w:p>
          <w:p w14:paraId="2E86A277"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 -0,5)</w:t>
            </w:r>
          </w:p>
          <w:p w14:paraId="2E86A278"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670DB7" w:rsidRPr="001870F3" w14:paraId="2E86A289" w14:textId="77777777" w:rsidTr="005B56A9">
        <w:tc>
          <w:tcPr>
            <w:tcW w:w="0" w:type="auto"/>
          </w:tcPr>
          <w:p w14:paraId="2E86A27A" w14:textId="77777777" w:rsidR="004F0216"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7B" w14:textId="77777777" w:rsidR="004F0216"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7C" w14:textId="77777777" w:rsidR="004F0216"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insulin + metformin </w:t>
            </w:r>
            <w:r w:rsidRPr="001870F3">
              <w:rPr>
                <w:rFonts w:eastAsia="TimesNewRoman"/>
                <w:szCs w:val="22"/>
                <w:vertAlign w:val="superscript"/>
                <w:lang w:val="sr-Latn-ME"/>
              </w:rPr>
              <w:t>%</w:t>
            </w:r>
          </w:p>
          <w:p w14:paraId="2E86A27D" w14:textId="77777777" w:rsidR="00670DB7" w:rsidRPr="001870F3" w:rsidRDefault="004F0216"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(N=223)</w:t>
            </w:r>
          </w:p>
        </w:tc>
        <w:tc>
          <w:tcPr>
            <w:tcW w:w="0" w:type="auto"/>
          </w:tcPr>
          <w:p w14:paraId="2E86A27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7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80"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8,7</w:t>
            </w:r>
          </w:p>
        </w:tc>
        <w:tc>
          <w:tcPr>
            <w:tcW w:w="0" w:type="auto"/>
          </w:tcPr>
          <w:p w14:paraId="2E86A281"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8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83" w14:textId="7C08DCCB"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-0,7</w:t>
            </w:r>
            <w:r w:rsidR="008642CA" w:rsidRPr="001870F3">
              <w:rPr>
                <w:rFonts w:eastAsia="TimesNewRoman"/>
                <w:szCs w:val="22"/>
                <w:vertAlign w:val="superscript"/>
                <w:lang w:val="sr-Latn-ME"/>
              </w:rPr>
              <w:t>†</w:t>
            </w:r>
          </w:p>
        </w:tc>
        <w:tc>
          <w:tcPr>
            <w:tcW w:w="0" w:type="auto"/>
          </w:tcPr>
          <w:p w14:paraId="2E86A28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85"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86"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-0,5</w:t>
            </w:r>
            <w:r w:rsidRPr="001870F3">
              <w:rPr>
                <w:rFonts w:eastAsia="TimesNewRoman"/>
                <w:szCs w:val="22"/>
                <w:vertAlign w:val="superscript"/>
                <w:lang w:val="sr-Latn-ME"/>
              </w:rPr>
              <w:t>§,‡</w:t>
            </w:r>
          </w:p>
          <w:p w14:paraId="2E86A287"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(-0,7, -0,4)</w:t>
            </w:r>
          </w:p>
          <w:p w14:paraId="2E86A288"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670DB7" w:rsidRPr="001870F3" w14:paraId="2E86A298" w14:textId="77777777" w:rsidTr="005B56A9">
        <w:tc>
          <w:tcPr>
            <w:tcW w:w="0" w:type="auto"/>
          </w:tcPr>
          <w:p w14:paraId="2E86A28A" w14:textId="77777777" w:rsidR="00670DB7"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Inicijalna terapija (dva puta dnevno) </w:t>
            </w:r>
            <w:r w:rsidRPr="001870F3">
              <w:rPr>
                <w:rFonts w:eastAsia="TimesNewRoman"/>
                <w:szCs w:val="22"/>
                <w:vertAlign w:val="superscript"/>
                <w:lang w:val="sr-Latn-ME"/>
              </w:rPr>
              <w:t>%</w:t>
            </w:r>
            <w:r w:rsidRPr="001870F3">
              <w:rPr>
                <w:rFonts w:eastAsia="TimesNewRoman"/>
                <w:szCs w:val="22"/>
                <w:lang w:val="sr-Latn-ME"/>
              </w:rPr>
              <w:t xml:space="preserve"> :</w:t>
            </w:r>
          </w:p>
          <w:p w14:paraId="2E86A28B"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50 mg + metformin 500 mg</w:t>
            </w:r>
          </w:p>
          <w:p w14:paraId="2E86A28C"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 = 183)</w:t>
            </w:r>
          </w:p>
        </w:tc>
        <w:tc>
          <w:tcPr>
            <w:tcW w:w="0" w:type="auto"/>
          </w:tcPr>
          <w:p w14:paraId="2E86A28D"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8E"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8F"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8,8</w:t>
            </w:r>
          </w:p>
        </w:tc>
        <w:tc>
          <w:tcPr>
            <w:tcW w:w="0" w:type="auto"/>
          </w:tcPr>
          <w:p w14:paraId="2E86A290"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91"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9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-1,4</w:t>
            </w:r>
            <w:r w:rsidRPr="001870F3">
              <w:rPr>
                <w:rFonts w:eastAsia="TimesNewRoman"/>
                <w:szCs w:val="22"/>
                <w:vertAlign w:val="superscript"/>
                <w:lang w:val="sr-Latn-ME"/>
              </w:rPr>
              <w:t>†</w:t>
            </w:r>
          </w:p>
        </w:tc>
        <w:tc>
          <w:tcPr>
            <w:tcW w:w="0" w:type="auto"/>
          </w:tcPr>
          <w:p w14:paraId="2E86A293"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94"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95"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-1,6</w:t>
            </w:r>
            <w:r w:rsidRPr="001870F3">
              <w:rPr>
                <w:rFonts w:eastAsia="TimesNewRoman"/>
                <w:szCs w:val="22"/>
                <w:vertAlign w:val="superscript"/>
                <w:lang w:val="sr-Latn-ME"/>
              </w:rPr>
              <w:t>†,‡</w:t>
            </w:r>
          </w:p>
          <w:p w14:paraId="2E86A296"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(-1,8, -1,3)</w:t>
            </w:r>
          </w:p>
          <w:p w14:paraId="2E86A297"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AE7C36" w:rsidRPr="001870F3" w14:paraId="2E86A2A7" w14:textId="77777777" w:rsidTr="005B56A9">
        <w:tc>
          <w:tcPr>
            <w:tcW w:w="0" w:type="auto"/>
          </w:tcPr>
          <w:p w14:paraId="2E86A299"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Inicijalna terapija (dva puta dnevno) </w:t>
            </w:r>
            <w:r w:rsidRPr="001870F3">
              <w:rPr>
                <w:rFonts w:eastAsia="TimesNewRoman"/>
                <w:szCs w:val="22"/>
                <w:vertAlign w:val="superscript"/>
                <w:lang w:val="sr-Latn-ME"/>
              </w:rPr>
              <w:t>%</w:t>
            </w:r>
            <w:r w:rsidRPr="001870F3">
              <w:rPr>
                <w:rFonts w:eastAsia="TimesNewRoman"/>
                <w:szCs w:val="22"/>
                <w:lang w:val="sr-Latn-ME"/>
              </w:rPr>
              <w:t xml:space="preserve"> :</w:t>
            </w:r>
          </w:p>
          <w:p w14:paraId="2E86A29A"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50 mg + metformin 1000 mg</w:t>
            </w:r>
          </w:p>
          <w:p w14:paraId="2E86A29B" w14:textId="77777777" w:rsidR="00AE7C36"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 = 178)</w:t>
            </w:r>
          </w:p>
        </w:tc>
        <w:tc>
          <w:tcPr>
            <w:tcW w:w="0" w:type="auto"/>
          </w:tcPr>
          <w:p w14:paraId="2E86A29C" w14:textId="77777777" w:rsidR="00AE7C36" w:rsidRPr="001870F3" w:rsidRDefault="00AE7C36" w:rsidP="001870F3">
            <w:pPr>
              <w:widowControl w:val="0"/>
              <w:tabs>
                <w:tab w:val="clear" w:pos="284"/>
              </w:tabs>
              <w:autoSpaceDE w:val="0"/>
              <w:autoSpaceDN w:val="0"/>
              <w:adjustRightInd w:val="0"/>
              <w:rPr>
                <w:rFonts w:eastAsia="TimesNewRoman"/>
                <w:b/>
                <w:szCs w:val="22"/>
                <w:lang w:val="sr-Latn-ME"/>
              </w:rPr>
            </w:pPr>
          </w:p>
          <w:p w14:paraId="2E86A29D"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9E"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8,8</w:t>
            </w:r>
          </w:p>
        </w:tc>
        <w:tc>
          <w:tcPr>
            <w:tcW w:w="0" w:type="auto"/>
          </w:tcPr>
          <w:p w14:paraId="2E86A29F" w14:textId="77777777" w:rsidR="00AE7C36" w:rsidRPr="001870F3" w:rsidRDefault="00AE7C36" w:rsidP="001870F3">
            <w:pPr>
              <w:widowControl w:val="0"/>
              <w:tabs>
                <w:tab w:val="clear" w:pos="284"/>
              </w:tabs>
              <w:autoSpaceDE w:val="0"/>
              <w:autoSpaceDN w:val="0"/>
              <w:adjustRightInd w:val="0"/>
              <w:rPr>
                <w:rFonts w:eastAsia="TimesNewRoman"/>
                <w:b/>
                <w:szCs w:val="22"/>
                <w:lang w:val="sr-Latn-ME"/>
              </w:rPr>
            </w:pPr>
          </w:p>
          <w:p w14:paraId="2E86A2A0"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A1"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-1,9</w:t>
            </w:r>
            <w:r w:rsidRPr="001870F3">
              <w:rPr>
                <w:rFonts w:eastAsia="TimesNewRoman"/>
                <w:szCs w:val="22"/>
                <w:vertAlign w:val="superscript"/>
                <w:lang w:val="sr-Latn-ME"/>
              </w:rPr>
              <w:t>†</w:t>
            </w:r>
          </w:p>
        </w:tc>
        <w:tc>
          <w:tcPr>
            <w:tcW w:w="0" w:type="auto"/>
          </w:tcPr>
          <w:p w14:paraId="2E86A2A2" w14:textId="77777777" w:rsidR="00AE7C36" w:rsidRPr="001870F3" w:rsidRDefault="00AE7C36" w:rsidP="001870F3">
            <w:pPr>
              <w:widowControl w:val="0"/>
              <w:tabs>
                <w:tab w:val="clear" w:pos="284"/>
              </w:tabs>
              <w:autoSpaceDE w:val="0"/>
              <w:autoSpaceDN w:val="0"/>
              <w:adjustRightInd w:val="0"/>
              <w:rPr>
                <w:rFonts w:eastAsia="TimesNewRoman"/>
                <w:b/>
                <w:szCs w:val="22"/>
                <w:lang w:val="sr-Latn-ME"/>
              </w:rPr>
            </w:pPr>
          </w:p>
          <w:p w14:paraId="2E86A2A3"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A4"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-2,1</w:t>
            </w:r>
            <w:r w:rsidRPr="001870F3">
              <w:rPr>
                <w:rFonts w:eastAsia="TimesNewRoman"/>
                <w:szCs w:val="22"/>
                <w:vertAlign w:val="superscript"/>
                <w:lang w:val="sr-Latn-ME"/>
              </w:rPr>
              <w:t>†,‡</w:t>
            </w:r>
          </w:p>
          <w:p w14:paraId="2E86A2A5"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(-2,3, -1,8)</w:t>
            </w:r>
          </w:p>
          <w:p w14:paraId="2E86A2A6"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bl>
    <w:p w14:paraId="2E86A2A9" w14:textId="77777777" w:rsidR="00DB349D" w:rsidRPr="005B56A9" w:rsidRDefault="00DB349D" w:rsidP="001870F3">
      <w:pPr>
        <w:widowControl w:val="0"/>
        <w:tabs>
          <w:tab w:val="clear" w:pos="284"/>
        </w:tabs>
        <w:autoSpaceDE w:val="0"/>
        <w:autoSpaceDN w:val="0"/>
        <w:adjustRightInd w:val="0"/>
        <w:rPr>
          <w:rFonts w:eastAsia="TimesNewRoman"/>
          <w:sz w:val="20"/>
          <w:szCs w:val="22"/>
          <w:lang w:val="sr-Latn-ME"/>
        </w:rPr>
      </w:pPr>
      <w:r w:rsidRPr="005B56A9">
        <w:rPr>
          <w:rFonts w:eastAsia="TimesNewRoman"/>
          <w:sz w:val="20"/>
          <w:szCs w:val="22"/>
          <w:lang w:val="sr-Latn-ME"/>
        </w:rPr>
        <w:t>* Populacija svih l</w:t>
      </w:r>
      <w:r w:rsidR="004C113D" w:rsidRPr="005B56A9">
        <w:rPr>
          <w:rFonts w:eastAsia="TimesNewRoman"/>
          <w:sz w:val="20"/>
          <w:szCs w:val="22"/>
          <w:lang w:val="sr-Latn-ME"/>
        </w:rPr>
        <w:t>ij</w:t>
      </w:r>
      <w:r w:rsidRPr="005B56A9">
        <w:rPr>
          <w:rFonts w:eastAsia="TimesNewRoman"/>
          <w:sz w:val="20"/>
          <w:szCs w:val="22"/>
          <w:lang w:val="sr-Latn-ME"/>
        </w:rPr>
        <w:t xml:space="preserve">ečenih pacijenata (analiza pacijenata </w:t>
      </w:r>
      <w:r w:rsidR="003664DD" w:rsidRPr="005B56A9">
        <w:rPr>
          <w:rFonts w:eastAsia="TimesNewRoman"/>
          <w:sz w:val="20"/>
          <w:szCs w:val="22"/>
          <w:lang w:val="sr-Latn-ME"/>
        </w:rPr>
        <w:t>analiza sa nam</w:t>
      </w:r>
      <w:r w:rsidR="004C113D" w:rsidRPr="005B56A9">
        <w:rPr>
          <w:rFonts w:eastAsia="TimesNewRoman"/>
          <w:sz w:val="20"/>
          <w:szCs w:val="22"/>
          <w:lang w:val="sr-Latn-ME"/>
        </w:rPr>
        <w:t>j</w:t>
      </w:r>
      <w:r w:rsidR="003664DD" w:rsidRPr="005B56A9">
        <w:rPr>
          <w:rFonts w:eastAsia="TimesNewRoman"/>
          <w:sz w:val="20"/>
          <w:szCs w:val="22"/>
          <w:lang w:val="sr-Latn-ME"/>
        </w:rPr>
        <w:t>erom l</w:t>
      </w:r>
      <w:r w:rsidR="004C113D" w:rsidRPr="005B56A9">
        <w:rPr>
          <w:rFonts w:eastAsia="TimesNewRoman"/>
          <w:sz w:val="20"/>
          <w:szCs w:val="22"/>
          <w:lang w:val="sr-Latn-ME"/>
        </w:rPr>
        <w:t>ij</w:t>
      </w:r>
      <w:r w:rsidR="003664DD" w:rsidRPr="005B56A9">
        <w:rPr>
          <w:rFonts w:eastAsia="TimesNewRoman"/>
          <w:sz w:val="20"/>
          <w:szCs w:val="22"/>
          <w:lang w:val="sr-Latn-ME"/>
        </w:rPr>
        <w:t>ečenja</w:t>
      </w:r>
      <w:r w:rsidRPr="005B56A9">
        <w:rPr>
          <w:rFonts w:eastAsia="TimesNewRoman"/>
          <w:sz w:val="20"/>
          <w:szCs w:val="22"/>
          <w:lang w:val="sr-Latn-ME"/>
        </w:rPr>
        <w:t>).</w:t>
      </w:r>
    </w:p>
    <w:p w14:paraId="2E86A2AA" w14:textId="77777777" w:rsidR="00DB349D" w:rsidRPr="005B56A9" w:rsidRDefault="00DB349D" w:rsidP="001870F3">
      <w:pPr>
        <w:widowControl w:val="0"/>
        <w:tabs>
          <w:tab w:val="clear" w:pos="284"/>
        </w:tabs>
        <w:autoSpaceDE w:val="0"/>
        <w:autoSpaceDN w:val="0"/>
        <w:adjustRightInd w:val="0"/>
        <w:rPr>
          <w:rFonts w:eastAsia="TimesNewRoman"/>
          <w:sz w:val="20"/>
          <w:szCs w:val="22"/>
          <w:lang w:val="sr-Latn-ME"/>
        </w:rPr>
      </w:pPr>
      <w:r w:rsidRPr="005B56A9">
        <w:rPr>
          <w:rFonts w:eastAsia="TimesNewRoman"/>
          <w:sz w:val="20"/>
          <w:szCs w:val="22"/>
          <w:lang w:val="sr-Latn-ME"/>
        </w:rPr>
        <w:t>† Najmanji srednji kvadrati korigovani za status antihiperglikemijske terapije i početnu vr</w:t>
      </w:r>
      <w:r w:rsidR="004C113D" w:rsidRPr="005B56A9">
        <w:rPr>
          <w:rFonts w:eastAsia="TimesNewRoman"/>
          <w:sz w:val="20"/>
          <w:szCs w:val="22"/>
          <w:lang w:val="sr-Latn-ME"/>
        </w:rPr>
        <w:t>ij</w:t>
      </w:r>
      <w:r w:rsidRPr="005B56A9">
        <w:rPr>
          <w:rFonts w:eastAsia="TimesNewRoman"/>
          <w:sz w:val="20"/>
          <w:szCs w:val="22"/>
          <w:lang w:val="sr-Latn-ME"/>
        </w:rPr>
        <w:t>ednost.</w:t>
      </w:r>
    </w:p>
    <w:p w14:paraId="2E86A2AB" w14:textId="77777777" w:rsidR="00DB349D" w:rsidRPr="005B56A9" w:rsidRDefault="00DB349D" w:rsidP="001870F3">
      <w:pPr>
        <w:widowControl w:val="0"/>
        <w:tabs>
          <w:tab w:val="clear" w:pos="284"/>
        </w:tabs>
        <w:autoSpaceDE w:val="0"/>
        <w:autoSpaceDN w:val="0"/>
        <w:adjustRightInd w:val="0"/>
        <w:rPr>
          <w:rFonts w:eastAsia="TimesNewRoman"/>
          <w:b/>
          <w:sz w:val="20"/>
          <w:szCs w:val="22"/>
          <w:lang w:val="sr-Latn-ME"/>
        </w:rPr>
      </w:pPr>
      <w:r w:rsidRPr="005B56A9">
        <w:rPr>
          <w:rFonts w:eastAsia="TimesNewRoman"/>
          <w:sz w:val="20"/>
          <w:szCs w:val="22"/>
          <w:lang w:val="sr-Latn-ME"/>
        </w:rPr>
        <w:t>‡ p &lt; 0,001 u odnosu na placebo ili placebo + kombinovana terapija.</w:t>
      </w:r>
    </w:p>
    <w:p w14:paraId="2E86A2AC" w14:textId="77777777" w:rsidR="0052636C" w:rsidRPr="005B56A9" w:rsidRDefault="00DB349D" w:rsidP="001870F3">
      <w:pPr>
        <w:widowControl w:val="0"/>
        <w:rPr>
          <w:rFonts w:eastAsia="TimesNewRoman"/>
          <w:sz w:val="20"/>
          <w:szCs w:val="22"/>
          <w:lang w:val="sr-Latn-ME"/>
        </w:rPr>
      </w:pPr>
      <w:r w:rsidRPr="005B56A9">
        <w:rPr>
          <w:sz w:val="20"/>
          <w:szCs w:val="22"/>
          <w:lang w:val="sr-Latn-ME"/>
        </w:rPr>
        <w:t xml:space="preserve"> % </w:t>
      </w:r>
      <w:r w:rsidRPr="005B56A9">
        <w:rPr>
          <w:rFonts w:eastAsia="TimesNewRoman"/>
          <w:sz w:val="20"/>
          <w:szCs w:val="22"/>
          <w:lang w:val="sr-Latn-ME"/>
        </w:rPr>
        <w:t>HbA</w:t>
      </w:r>
      <w:r w:rsidRPr="005B56A9">
        <w:rPr>
          <w:rFonts w:eastAsia="TimesNewRoman"/>
          <w:sz w:val="20"/>
          <w:szCs w:val="22"/>
          <w:vertAlign w:val="subscript"/>
          <w:lang w:val="sr-Latn-ME"/>
        </w:rPr>
        <w:t>1c</w:t>
      </w:r>
      <w:r w:rsidRPr="005B56A9">
        <w:rPr>
          <w:rFonts w:eastAsia="TimesNewRoman"/>
          <w:sz w:val="20"/>
          <w:szCs w:val="22"/>
          <w:lang w:val="sr-Latn-ME"/>
        </w:rPr>
        <w:t xml:space="preserve"> (%) u ned</w:t>
      </w:r>
      <w:r w:rsidR="004C113D" w:rsidRPr="005B56A9">
        <w:rPr>
          <w:rFonts w:eastAsia="TimesNewRoman"/>
          <w:sz w:val="20"/>
          <w:szCs w:val="22"/>
          <w:lang w:val="sr-Latn-ME"/>
        </w:rPr>
        <w:t>j</w:t>
      </w:r>
      <w:r w:rsidRPr="005B56A9">
        <w:rPr>
          <w:rFonts w:eastAsia="TimesNewRoman"/>
          <w:sz w:val="20"/>
          <w:szCs w:val="22"/>
          <w:lang w:val="sr-Latn-ME"/>
        </w:rPr>
        <w:t>elji 24.</w:t>
      </w:r>
    </w:p>
    <w:p w14:paraId="2E86A2AD" w14:textId="77777777" w:rsidR="00DB349D" w:rsidRPr="005B56A9" w:rsidRDefault="00DB349D" w:rsidP="001870F3">
      <w:pPr>
        <w:widowControl w:val="0"/>
        <w:rPr>
          <w:rFonts w:eastAsia="TimesNewRoman"/>
          <w:sz w:val="20"/>
          <w:szCs w:val="22"/>
          <w:lang w:val="sr-Latn-ME"/>
        </w:rPr>
      </w:pPr>
      <w:r w:rsidRPr="005B56A9">
        <w:rPr>
          <w:rFonts w:eastAsia="TimesNewRoman"/>
          <w:sz w:val="20"/>
          <w:szCs w:val="22"/>
          <w:lang w:val="sr-Latn-ME"/>
        </w:rPr>
        <w:t>¶   HbA</w:t>
      </w:r>
      <w:r w:rsidRPr="005B56A9">
        <w:rPr>
          <w:rFonts w:eastAsia="TimesNewRoman"/>
          <w:sz w:val="20"/>
          <w:szCs w:val="22"/>
          <w:vertAlign w:val="subscript"/>
          <w:lang w:val="sr-Latn-ME"/>
        </w:rPr>
        <w:t>1c</w:t>
      </w:r>
      <w:r w:rsidRPr="005B56A9">
        <w:rPr>
          <w:rFonts w:eastAsia="TimesNewRoman"/>
          <w:sz w:val="20"/>
          <w:szCs w:val="22"/>
          <w:lang w:val="sr-Latn-ME"/>
        </w:rPr>
        <w:t xml:space="preserve"> (%) u ned</w:t>
      </w:r>
      <w:r w:rsidR="004C113D" w:rsidRPr="005B56A9">
        <w:rPr>
          <w:rFonts w:eastAsia="TimesNewRoman"/>
          <w:sz w:val="20"/>
          <w:szCs w:val="22"/>
          <w:lang w:val="sr-Latn-ME"/>
        </w:rPr>
        <w:t>j</w:t>
      </w:r>
      <w:r w:rsidRPr="005B56A9">
        <w:rPr>
          <w:rFonts w:eastAsia="TimesNewRoman"/>
          <w:sz w:val="20"/>
          <w:szCs w:val="22"/>
          <w:lang w:val="sr-Latn-ME"/>
        </w:rPr>
        <w:t>elji 26.</w:t>
      </w:r>
    </w:p>
    <w:p w14:paraId="2E86A2AE" w14:textId="7A9C153B" w:rsidR="00DB349D" w:rsidRPr="005B56A9" w:rsidRDefault="00DB349D" w:rsidP="001870F3">
      <w:pPr>
        <w:widowControl w:val="0"/>
        <w:tabs>
          <w:tab w:val="clear" w:pos="284"/>
        </w:tabs>
        <w:autoSpaceDE w:val="0"/>
        <w:autoSpaceDN w:val="0"/>
        <w:adjustRightInd w:val="0"/>
        <w:rPr>
          <w:rFonts w:eastAsia="TimesNewRoman"/>
          <w:sz w:val="20"/>
          <w:szCs w:val="22"/>
          <w:lang w:val="sr-Latn-ME"/>
        </w:rPr>
      </w:pPr>
      <w:r w:rsidRPr="005B56A9">
        <w:rPr>
          <w:rFonts w:eastAsia="TimesNewRoman"/>
          <w:sz w:val="20"/>
          <w:szCs w:val="22"/>
          <w:lang w:val="sr-Latn-ME"/>
        </w:rPr>
        <w:t>§  Najmanji srednji kvadrati korigovani za upotrebu insulina pri Pos</w:t>
      </w:r>
      <w:r w:rsidR="008642CA" w:rsidRPr="005B56A9">
        <w:rPr>
          <w:rFonts w:eastAsia="TimesNewRoman"/>
          <w:sz w:val="20"/>
          <w:szCs w:val="22"/>
          <w:lang w:val="sr-Latn-ME"/>
        </w:rPr>
        <w:t>j</w:t>
      </w:r>
      <w:r w:rsidRPr="005B56A9">
        <w:rPr>
          <w:rFonts w:eastAsia="TimesNewRoman"/>
          <w:sz w:val="20"/>
          <w:szCs w:val="22"/>
          <w:lang w:val="sr-Latn-ME"/>
        </w:rPr>
        <w:t xml:space="preserve">eti 1 ("pre-mixed" </w:t>
      </w:r>
      <w:r w:rsidR="008642CA" w:rsidRPr="005B56A9">
        <w:rPr>
          <w:rFonts w:eastAsia="TimesNewRoman"/>
          <w:sz w:val="20"/>
          <w:szCs w:val="22"/>
          <w:lang w:val="sr-Latn-ME"/>
        </w:rPr>
        <w:t>u odnosu na</w:t>
      </w:r>
      <w:r w:rsidRPr="005B56A9">
        <w:rPr>
          <w:rFonts w:eastAsia="TimesNewRoman"/>
          <w:sz w:val="20"/>
          <w:szCs w:val="22"/>
          <w:lang w:val="sr-Latn-ME"/>
        </w:rPr>
        <w:t xml:space="preserve"> "non-pre-mixed" [srednjed</w:t>
      </w:r>
      <w:r w:rsidR="00797A1A" w:rsidRPr="005B56A9">
        <w:rPr>
          <w:rFonts w:eastAsia="TimesNewRoman"/>
          <w:sz w:val="20"/>
          <w:szCs w:val="22"/>
          <w:lang w:val="sr-Latn-ME"/>
        </w:rPr>
        <w:t>j</w:t>
      </w:r>
      <w:r w:rsidRPr="005B56A9">
        <w:rPr>
          <w:rFonts w:eastAsia="TimesNewRoman"/>
          <w:sz w:val="20"/>
          <w:szCs w:val="22"/>
          <w:lang w:val="sr-Latn-ME"/>
        </w:rPr>
        <w:t>elujući ili dugod</w:t>
      </w:r>
      <w:r w:rsidR="00797A1A" w:rsidRPr="005B56A9">
        <w:rPr>
          <w:rFonts w:eastAsia="TimesNewRoman"/>
          <w:sz w:val="20"/>
          <w:szCs w:val="22"/>
          <w:lang w:val="sr-Latn-ME"/>
        </w:rPr>
        <w:t>j</w:t>
      </w:r>
      <w:r w:rsidRPr="005B56A9">
        <w:rPr>
          <w:rFonts w:eastAsia="TimesNewRoman"/>
          <w:sz w:val="20"/>
          <w:szCs w:val="22"/>
          <w:lang w:val="sr-Latn-ME"/>
        </w:rPr>
        <w:t>elujući insulin]), i početna vr</w:t>
      </w:r>
      <w:r w:rsidR="004C113D" w:rsidRPr="005B56A9">
        <w:rPr>
          <w:rFonts w:eastAsia="TimesNewRoman"/>
          <w:sz w:val="20"/>
          <w:szCs w:val="22"/>
          <w:lang w:val="sr-Latn-ME"/>
        </w:rPr>
        <w:t>ij</w:t>
      </w:r>
      <w:r w:rsidRPr="005B56A9">
        <w:rPr>
          <w:rFonts w:eastAsia="TimesNewRoman"/>
          <w:sz w:val="20"/>
          <w:szCs w:val="22"/>
          <w:lang w:val="sr-Latn-ME"/>
        </w:rPr>
        <w:t>ednost.</w:t>
      </w:r>
    </w:p>
    <w:p w14:paraId="2E86A2AF" w14:textId="77777777" w:rsidR="00793E95" w:rsidRPr="001870F3" w:rsidRDefault="00793E95" w:rsidP="001870F3">
      <w:pPr>
        <w:widowControl w:val="0"/>
        <w:tabs>
          <w:tab w:val="clear" w:pos="284"/>
        </w:tabs>
        <w:autoSpaceDE w:val="0"/>
        <w:autoSpaceDN w:val="0"/>
        <w:adjustRightInd w:val="0"/>
        <w:rPr>
          <w:rFonts w:eastAsia="TimesNewRoman"/>
          <w:szCs w:val="22"/>
          <w:lang w:val="sr-Latn-ME"/>
        </w:rPr>
      </w:pPr>
    </w:p>
    <w:p w14:paraId="2E86A2B0" w14:textId="1397E6A7" w:rsidR="00793E95" w:rsidRPr="001870F3" w:rsidRDefault="00793E9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Dejstvo sitagliptina je bilo slično glipizidu u smanjivanju HbA</w:t>
      </w:r>
      <w:r w:rsidRPr="001870F3">
        <w:rPr>
          <w:rFonts w:eastAsia="TimesNewRoman"/>
          <w:szCs w:val="22"/>
          <w:vertAlign w:val="subscript"/>
          <w:lang w:val="sr-Latn-ME"/>
        </w:rPr>
        <w:t>1c</w:t>
      </w:r>
      <w:r w:rsidRPr="001870F3">
        <w:rPr>
          <w:rFonts w:eastAsia="TimesNewRoman"/>
          <w:szCs w:val="22"/>
          <w:lang w:val="sr-Latn-ME"/>
        </w:rPr>
        <w:t xml:space="preserve"> (-0,7% srednje prom</w:t>
      </w:r>
      <w:r w:rsidR="004C113D" w:rsidRPr="001870F3">
        <w:rPr>
          <w:rFonts w:eastAsia="TimesNewRoman"/>
          <w:szCs w:val="22"/>
          <w:lang w:val="sr-Latn-ME"/>
        </w:rPr>
        <w:t>j</w:t>
      </w:r>
      <w:r w:rsidRPr="001870F3">
        <w:rPr>
          <w:rFonts w:eastAsia="TimesNewRoman"/>
          <w:szCs w:val="22"/>
          <w:lang w:val="sr-Latn-ME"/>
        </w:rPr>
        <w:t>ene u odnosu na početne vr</w:t>
      </w:r>
      <w:r w:rsidR="004C113D" w:rsidRPr="001870F3">
        <w:rPr>
          <w:rFonts w:eastAsia="TimesNewRoman"/>
          <w:szCs w:val="22"/>
          <w:lang w:val="sr-Latn-ME"/>
        </w:rPr>
        <w:t>ij</w:t>
      </w:r>
      <w:r w:rsidRPr="001870F3">
        <w:rPr>
          <w:rFonts w:eastAsia="TimesNewRoman"/>
          <w:szCs w:val="22"/>
          <w:lang w:val="sr-Latn-ME"/>
        </w:rPr>
        <w:t>ednosti u 52. ned</w:t>
      </w:r>
      <w:r w:rsidR="004C113D" w:rsidRPr="001870F3">
        <w:rPr>
          <w:rFonts w:eastAsia="TimesNewRoman"/>
          <w:szCs w:val="22"/>
          <w:lang w:val="sr-Latn-ME"/>
        </w:rPr>
        <w:t>j</w:t>
      </w:r>
      <w:r w:rsidRPr="001870F3">
        <w:rPr>
          <w:rFonts w:eastAsia="TimesNewRoman"/>
          <w:szCs w:val="22"/>
          <w:lang w:val="sr-Latn-ME"/>
        </w:rPr>
        <w:t>elji, uz početni HbA1c od oko 7,5% u ob</w:t>
      </w:r>
      <w:r w:rsidR="008642CA" w:rsidRPr="001870F3">
        <w:rPr>
          <w:rFonts w:eastAsia="TimesNewRoman"/>
          <w:szCs w:val="22"/>
          <w:lang w:val="sr-Latn-ME"/>
        </w:rPr>
        <w:t>ij</w:t>
      </w:r>
      <w:r w:rsidRPr="001870F3">
        <w:rPr>
          <w:rFonts w:eastAsia="TimesNewRoman"/>
          <w:szCs w:val="22"/>
          <w:lang w:val="sr-Latn-ME"/>
        </w:rPr>
        <w:t>e grupe) u 52-ned</w:t>
      </w:r>
      <w:r w:rsidR="004C113D" w:rsidRPr="001870F3">
        <w:rPr>
          <w:rFonts w:eastAsia="TimesNewRoman"/>
          <w:szCs w:val="22"/>
          <w:lang w:val="sr-Latn-ME"/>
        </w:rPr>
        <w:t>j</w:t>
      </w:r>
      <w:r w:rsidRPr="001870F3">
        <w:rPr>
          <w:rFonts w:eastAsia="TimesNewRoman"/>
          <w:szCs w:val="22"/>
          <w:lang w:val="sr-Latn-ME"/>
        </w:rPr>
        <w:t>eljnoj studiji kojom se vršilo upoređivanje efikasnosti i bezb</w:t>
      </w:r>
      <w:r w:rsidR="004C113D" w:rsidRPr="001870F3">
        <w:rPr>
          <w:rFonts w:eastAsia="TimesNewRoman"/>
          <w:szCs w:val="22"/>
          <w:lang w:val="sr-Latn-ME"/>
        </w:rPr>
        <w:t>j</w:t>
      </w:r>
      <w:r w:rsidRPr="001870F3">
        <w:rPr>
          <w:rFonts w:eastAsia="TimesNewRoman"/>
          <w:szCs w:val="22"/>
          <w:lang w:val="sr-Latn-ME"/>
        </w:rPr>
        <w:t>ednosti dodavanja sitagliptina od 100 mg jednom dnevno ili glipizida (l</w:t>
      </w:r>
      <w:r w:rsidR="004C113D" w:rsidRPr="001870F3">
        <w:rPr>
          <w:rFonts w:eastAsia="TimesNewRoman"/>
          <w:szCs w:val="22"/>
          <w:lang w:val="sr-Latn-ME"/>
        </w:rPr>
        <w:t>ij</w:t>
      </w:r>
      <w:r w:rsidRPr="001870F3">
        <w:rPr>
          <w:rFonts w:eastAsia="TimesNewRoman"/>
          <w:szCs w:val="22"/>
          <w:lang w:val="sr-Latn-ME"/>
        </w:rPr>
        <w:t xml:space="preserve">eka </w:t>
      </w:r>
      <w:r w:rsidR="00BA4462" w:rsidRPr="001870F3">
        <w:rPr>
          <w:rFonts w:eastAsia="TimesNewRoman"/>
          <w:szCs w:val="22"/>
          <w:lang w:val="sr-Latn-ME"/>
        </w:rPr>
        <w:t>i</w:t>
      </w:r>
      <w:r w:rsidR="00297559" w:rsidRPr="001870F3">
        <w:rPr>
          <w:rFonts w:eastAsia="TimesNewRoman"/>
          <w:szCs w:val="22"/>
          <w:lang w:val="sr-Latn-ME"/>
        </w:rPr>
        <w:t>z</w:t>
      </w:r>
      <w:r w:rsidR="00BA4462" w:rsidRPr="001870F3">
        <w:rPr>
          <w:rFonts w:eastAsia="TimesNewRoman"/>
          <w:szCs w:val="22"/>
          <w:lang w:val="sr-Latn-ME"/>
        </w:rPr>
        <w:t xml:space="preserve"> grupe derivata </w:t>
      </w:r>
      <w:r w:rsidRPr="001870F3">
        <w:rPr>
          <w:rFonts w:eastAsia="TimesNewRoman"/>
          <w:szCs w:val="22"/>
          <w:lang w:val="sr-Latn-ME"/>
        </w:rPr>
        <w:t>sulfonilureje) kod pacijenata sa neadekvatnom kontrolom glikemije koji su bili na monoterapiji</w:t>
      </w:r>
      <w:r w:rsidR="004C113D" w:rsidRPr="001870F3">
        <w:rPr>
          <w:rFonts w:eastAsia="TimesNewRoman"/>
          <w:szCs w:val="22"/>
          <w:lang w:val="sr-Latn-ME"/>
        </w:rPr>
        <w:t xml:space="preserve"> </w:t>
      </w:r>
      <w:r w:rsidRPr="001870F3">
        <w:rPr>
          <w:rFonts w:eastAsia="TimesNewRoman"/>
          <w:szCs w:val="22"/>
          <w:lang w:val="sr-Latn-ME"/>
        </w:rPr>
        <w:t>metforminom. Srednja doza glipizida koja se koristila u grupi za upoređivanje iznosila je 10 mg na dan, a oko 40% pacijenata je u toku čitave studije zaht</w:t>
      </w:r>
      <w:r w:rsidR="00797A1A" w:rsidRPr="001870F3">
        <w:rPr>
          <w:rFonts w:eastAsia="TimesNewRoman"/>
          <w:szCs w:val="22"/>
          <w:lang w:val="sr-Latn-ME"/>
        </w:rPr>
        <w:t>ij</w:t>
      </w:r>
      <w:r w:rsidRPr="001870F3">
        <w:rPr>
          <w:rFonts w:eastAsia="TimesNewRoman"/>
          <w:szCs w:val="22"/>
          <w:lang w:val="sr-Latn-ME"/>
        </w:rPr>
        <w:t xml:space="preserve">evalo dozu </w:t>
      </w:r>
      <w:r w:rsidRPr="001870F3">
        <w:rPr>
          <w:rFonts w:eastAsia="TimesNewRoman"/>
          <w:szCs w:val="22"/>
          <w:lang w:val="sr-Latn-ME"/>
        </w:rPr>
        <w:lastRenderedPageBreak/>
        <w:t>glipizida ≤ 5 mg na dan. Međutim, više pacijenata je prekinulo terapiju usl</w:t>
      </w:r>
      <w:r w:rsidR="0052765C" w:rsidRPr="001870F3">
        <w:rPr>
          <w:rFonts w:eastAsia="TimesNewRoman"/>
          <w:szCs w:val="22"/>
          <w:lang w:val="sr-Latn-ME"/>
        </w:rPr>
        <w:t>j</w:t>
      </w:r>
      <w:r w:rsidRPr="001870F3">
        <w:rPr>
          <w:rFonts w:eastAsia="TimesNewRoman"/>
          <w:szCs w:val="22"/>
          <w:lang w:val="sr-Latn-ME"/>
        </w:rPr>
        <w:t>ed neefikasnosti u grupi sa sitagliptinom nego u grupi sa glipizidom. Pacijenti l</w:t>
      </w:r>
      <w:r w:rsidR="00797A1A" w:rsidRPr="001870F3">
        <w:rPr>
          <w:rFonts w:eastAsia="TimesNewRoman"/>
          <w:szCs w:val="22"/>
          <w:lang w:val="sr-Latn-ME"/>
        </w:rPr>
        <w:t>ij</w:t>
      </w:r>
      <w:r w:rsidRPr="001870F3">
        <w:rPr>
          <w:rFonts w:eastAsia="TimesNewRoman"/>
          <w:szCs w:val="22"/>
          <w:lang w:val="sr-Latn-ME"/>
        </w:rPr>
        <w:t>ečeni</w:t>
      </w:r>
      <w:r w:rsidR="004C113D" w:rsidRPr="001870F3">
        <w:rPr>
          <w:rFonts w:eastAsia="TimesNewRoman"/>
          <w:szCs w:val="22"/>
          <w:lang w:val="sr-Latn-ME"/>
        </w:rPr>
        <w:t xml:space="preserve"> </w:t>
      </w:r>
      <w:r w:rsidRPr="001870F3">
        <w:rPr>
          <w:rFonts w:eastAsia="TimesNewRoman"/>
          <w:szCs w:val="22"/>
          <w:lang w:val="sr-Latn-ME"/>
        </w:rPr>
        <w:t>sitagliptinom pokazivali su znatno smanjenje srednje vr</w:t>
      </w:r>
      <w:r w:rsidR="004C113D" w:rsidRPr="001870F3">
        <w:rPr>
          <w:rFonts w:eastAsia="TimesNewRoman"/>
          <w:szCs w:val="22"/>
          <w:lang w:val="sr-Latn-ME"/>
        </w:rPr>
        <w:t>ij</w:t>
      </w:r>
      <w:r w:rsidRPr="001870F3">
        <w:rPr>
          <w:rFonts w:eastAsia="TimesNewRoman"/>
          <w:szCs w:val="22"/>
          <w:lang w:val="sr-Latn-ME"/>
        </w:rPr>
        <w:t>ednosti t</w:t>
      </w:r>
      <w:r w:rsidR="004C113D" w:rsidRPr="001870F3">
        <w:rPr>
          <w:rFonts w:eastAsia="TimesNewRoman"/>
          <w:szCs w:val="22"/>
          <w:lang w:val="sr-Latn-ME"/>
        </w:rPr>
        <w:t>j</w:t>
      </w:r>
      <w:r w:rsidRPr="001870F3">
        <w:rPr>
          <w:rFonts w:eastAsia="TimesNewRoman"/>
          <w:szCs w:val="22"/>
          <w:lang w:val="sr-Latn-ME"/>
        </w:rPr>
        <w:t>elesne mase u odnosu na početne vr</w:t>
      </w:r>
      <w:r w:rsidR="004C113D" w:rsidRPr="001870F3">
        <w:rPr>
          <w:rFonts w:eastAsia="TimesNewRoman"/>
          <w:szCs w:val="22"/>
          <w:lang w:val="sr-Latn-ME"/>
        </w:rPr>
        <w:t>ij</w:t>
      </w:r>
      <w:r w:rsidRPr="001870F3">
        <w:rPr>
          <w:rFonts w:eastAsia="TimesNewRoman"/>
          <w:szCs w:val="22"/>
          <w:lang w:val="sr-Latn-ME"/>
        </w:rPr>
        <w:t>ednosti (-1,5 kg) u odnosu na znatno povećanje t</w:t>
      </w:r>
      <w:r w:rsidR="004C113D" w:rsidRPr="001870F3">
        <w:rPr>
          <w:rFonts w:eastAsia="TimesNewRoman"/>
          <w:szCs w:val="22"/>
          <w:lang w:val="sr-Latn-ME"/>
        </w:rPr>
        <w:t>j</w:t>
      </w:r>
      <w:r w:rsidRPr="001870F3">
        <w:rPr>
          <w:rFonts w:eastAsia="TimesNewRoman"/>
          <w:szCs w:val="22"/>
          <w:lang w:val="sr-Latn-ME"/>
        </w:rPr>
        <w:t>elesne mase kod pacijenata koji su dobijali glipizid (+1,1 kg). Prim</w:t>
      </w:r>
      <w:r w:rsidR="004C113D" w:rsidRPr="001870F3">
        <w:rPr>
          <w:rFonts w:eastAsia="TimesNewRoman"/>
          <w:szCs w:val="22"/>
          <w:lang w:val="sr-Latn-ME"/>
        </w:rPr>
        <w:t>j</w:t>
      </w:r>
      <w:r w:rsidRPr="001870F3">
        <w:rPr>
          <w:rFonts w:eastAsia="TimesNewRoman"/>
          <w:szCs w:val="22"/>
          <w:lang w:val="sr-Latn-ME"/>
        </w:rPr>
        <w:t>enom sitagliptina u ovoj studiji poboljšani su odnos proinsulina i insulina, marker efikasnosti sinteze i oslobađanja insulina, a pogoršani su prim</w:t>
      </w:r>
      <w:r w:rsidR="0052765C" w:rsidRPr="001870F3">
        <w:rPr>
          <w:rFonts w:eastAsia="TimesNewRoman"/>
          <w:szCs w:val="22"/>
          <w:lang w:val="sr-Latn-ME"/>
        </w:rPr>
        <w:t>j</w:t>
      </w:r>
      <w:r w:rsidRPr="001870F3">
        <w:rPr>
          <w:rFonts w:eastAsia="TimesNewRoman"/>
          <w:szCs w:val="22"/>
          <w:lang w:val="sr-Latn-ME"/>
        </w:rPr>
        <w:t>enom glipizida. Incidenca hipoglikemije u grupi sa sitagliptinom (4,9%) bila je znatno manja u odnosu na incidencu hipoglikemije u grupi sa glipizidom (32,0%).</w:t>
      </w:r>
    </w:p>
    <w:p w14:paraId="2E86A2B1" w14:textId="77777777" w:rsidR="005B22A1" w:rsidRPr="001870F3" w:rsidRDefault="005B22A1" w:rsidP="001870F3">
      <w:pPr>
        <w:widowControl w:val="0"/>
        <w:tabs>
          <w:tab w:val="clear" w:pos="284"/>
        </w:tabs>
        <w:autoSpaceDE w:val="0"/>
        <w:autoSpaceDN w:val="0"/>
        <w:adjustRightInd w:val="0"/>
        <w:rPr>
          <w:rFonts w:eastAsia="TimesNewRoman"/>
          <w:szCs w:val="22"/>
          <w:lang w:val="sr-Latn-ME"/>
        </w:rPr>
      </w:pPr>
    </w:p>
    <w:p w14:paraId="2E86A2B5" w14:textId="5157C646" w:rsidR="005B22A1" w:rsidRPr="001870F3" w:rsidRDefault="00A1028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24-</w:t>
      </w:r>
      <w:r w:rsidR="004A5599" w:rsidRPr="001870F3">
        <w:rPr>
          <w:rFonts w:eastAsia="TimesNewRoman"/>
          <w:szCs w:val="22"/>
          <w:lang w:val="sr-Latn-ME"/>
        </w:rPr>
        <w:t>ned</w:t>
      </w:r>
      <w:r w:rsidR="004C113D" w:rsidRPr="001870F3">
        <w:rPr>
          <w:rFonts w:eastAsia="TimesNewRoman"/>
          <w:szCs w:val="22"/>
          <w:lang w:val="sr-Latn-ME"/>
        </w:rPr>
        <w:t>j</w:t>
      </w:r>
      <w:r w:rsidR="004A5599" w:rsidRPr="001870F3">
        <w:rPr>
          <w:rFonts w:eastAsia="TimesNewRoman"/>
          <w:szCs w:val="22"/>
          <w:lang w:val="sr-Latn-ME"/>
        </w:rPr>
        <w:t>eljno placebom kontroli</w:t>
      </w:r>
      <w:r w:rsidR="005B22A1" w:rsidRPr="001870F3">
        <w:rPr>
          <w:rFonts w:eastAsia="TimesNewRoman"/>
          <w:szCs w:val="22"/>
          <w:lang w:val="sr-Latn-ME"/>
        </w:rPr>
        <w:t>san</w:t>
      </w:r>
      <w:r w:rsidR="004A5599" w:rsidRPr="001870F3">
        <w:rPr>
          <w:rFonts w:eastAsia="TimesNewRoman"/>
          <w:szCs w:val="22"/>
          <w:lang w:val="sr-Latn-ME"/>
        </w:rPr>
        <w:t>o ispitivanje, koje je uključi</w:t>
      </w:r>
      <w:r w:rsidR="005B22A1" w:rsidRPr="001870F3">
        <w:rPr>
          <w:rFonts w:eastAsia="TimesNewRoman"/>
          <w:szCs w:val="22"/>
          <w:lang w:val="sr-Latn-ME"/>
        </w:rPr>
        <w:t>lo 660 pacijenata, dizajnirano je kako bi se</w:t>
      </w:r>
      <w:r w:rsidR="00284322" w:rsidRPr="001870F3">
        <w:rPr>
          <w:rFonts w:eastAsia="TimesNewRoman"/>
          <w:szCs w:val="22"/>
          <w:lang w:val="sr-Latn-ME"/>
        </w:rPr>
        <w:t xml:space="preserve"> </w:t>
      </w:r>
      <w:r w:rsidR="005B22A1" w:rsidRPr="001870F3">
        <w:rPr>
          <w:rFonts w:eastAsia="TimesNewRoman"/>
          <w:szCs w:val="22"/>
          <w:lang w:val="sr-Latn-ME"/>
        </w:rPr>
        <w:t>proc</w:t>
      </w:r>
      <w:r w:rsidR="0052765C" w:rsidRPr="001870F3">
        <w:rPr>
          <w:rFonts w:eastAsia="TimesNewRoman"/>
          <w:szCs w:val="22"/>
          <w:lang w:val="sr-Latn-ME"/>
        </w:rPr>
        <w:t>i</w:t>
      </w:r>
      <w:r w:rsidR="004C113D" w:rsidRPr="001870F3">
        <w:rPr>
          <w:rFonts w:eastAsia="TimesNewRoman"/>
          <w:szCs w:val="22"/>
          <w:lang w:val="sr-Latn-ME"/>
        </w:rPr>
        <w:t>j</w:t>
      </w:r>
      <w:r w:rsidR="005B22A1" w:rsidRPr="001870F3">
        <w:rPr>
          <w:rFonts w:eastAsia="TimesNewRoman"/>
          <w:szCs w:val="22"/>
          <w:lang w:val="sr-Latn-ME"/>
        </w:rPr>
        <w:t>enio stepen uštede insulina i bezb</w:t>
      </w:r>
      <w:r w:rsidR="004C113D" w:rsidRPr="001870F3">
        <w:rPr>
          <w:rFonts w:eastAsia="TimesNewRoman"/>
          <w:szCs w:val="22"/>
          <w:lang w:val="sr-Latn-ME"/>
        </w:rPr>
        <w:t>j</w:t>
      </w:r>
      <w:r w:rsidR="005B22A1" w:rsidRPr="001870F3">
        <w:rPr>
          <w:rFonts w:eastAsia="TimesNewRoman"/>
          <w:szCs w:val="22"/>
          <w:lang w:val="sr-Latn-ME"/>
        </w:rPr>
        <w:t>ednost prim</w:t>
      </w:r>
      <w:r w:rsidR="004C113D" w:rsidRPr="001870F3">
        <w:rPr>
          <w:rFonts w:eastAsia="TimesNewRoman"/>
          <w:szCs w:val="22"/>
          <w:lang w:val="sr-Latn-ME"/>
        </w:rPr>
        <w:t>j</w:t>
      </w:r>
      <w:r w:rsidR="005B22A1" w:rsidRPr="001870F3">
        <w:rPr>
          <w:rFonts w:eastAsia="TimesNewRoman"/>
          <w:szCs w:val="22"/>
          <w:lang w:val="sr-Latn-ME"/>
        </w:rPr>
        <w:t>ene sitagliptina (u dozi 100 mg jednom dnevno) kada je</w:t>
      </w:r>
      <w:r w:rsidR="00284322" w:rsidRPr="001870F3">
        <w:rPr>
          <w:rFonts w:eastAsia="TimesNewRoman"/>
          <w:szCs w:val="22"/>
          <w:lang w:val="sr-Latn-ME"/>
        </w:rPr>
        <w:t xml:space="preserve"> </w:t>
      </w:r>
      <w:r w:rsidR="005B22A1" w:rsidRPr="001870F3">
        <w:rPr>
          <w:rFonts w:eastAsia="TimesNewRoman"/>
          <w:szCs w:val="22"/>
          <w:lang w:val="sr-Latn-ME"/>
        </w:rPr>
        <w:t xml:space="preserve">korišćen kao dodatna terapija terapiji insulinom glargin, sa ili </w:t>
      </w:r>
      <w:r w:rsidR="00BD577C" w:rsidRPr="001870F3">
        <w:rPr>
          <w:rFonts w:eastAsia="TimesNewRoman"/>
          <w:szCs w:val="22"/>
          <w:lang w:val="sr-Latn-ME"/>
        </w:rPr>
        <w:t>bez metformina (najmanja doza 1</w:t>
      </w:r>
      <w:r w:rsidR="005B22A1" w:rsidRPr="001870F3">
        <w:rPr>
          <w:rFonts w:eastAsia="TimesNewRoman"/>
          <w:szCs w:val="22"/>
          <w:lang w:val="sr-Latn-ME"/>
        </w:rPr>
        <w:t>500 mg) u toku intenziviranja insulinske terapije. Kod pacijenata koji su uzimali metformin, početne vr</w:t>
      </w:r>
      <w:r w:rsidR="004C113D" w:rsidRPr="001870F3">
        <w:rPr>
          <w:rFonts w:eastAsia="TimesNewRoman"/>
          <w:szCs w:val="22"/>
          <w:lang w:val="sr-Latn-ME"/>
        </w:rPr>
        <w:t>ij</w:t>
      </w:r>
      <w:r w:rsidR="005B22A1" w:rsidRPr="001870F3">
        <w:rPr>
          <w:rFonts w:eastAsia="TimesNewRoman"/>
          <w:szCs w:val="22"/>
          <w:lang w:val="sr-Latn-ME"/>
        </w:rPr>
        <w:t>ednosti HbA</w:t>
      </w:r>
      <w:r w:rsidR="005B22A1" w:rsidRPr="001870F3">
        <w:rPr>
          <w:rFonts w:eastAsia="TimesNewRoman"/>
          <w:szCs w:val="22"/>
          <w:vertAlign w:val="subscript"/>
          <w:lang w:val="sr-Latn-ME"/>
        </w:rPr>
        <w:t>1c</w:t>
      </w:r>
      <w:r w:rsidR="005B22A1" w:rsidRPr="001870F3">
        <w:rPr>
          <w:rFonts w:eastAsia="TimesNewRoman"/>
          <w:szCs w:val="22"/>
          <w:lang w:val="sr-Latn-ME"/>
        </w:rPr>
        <w:t xml:space="preserve"> su bile 8,70%, a početna doza insulina je bila 37 i.j./dnevno. Pacijentima je data instrukcija da titriraju dozu</w:t>
      </w:r>
      <w:r w:rsidR="00284322" w:rsidRPr="001870F3">
        <w:rPr>
          <w:rFonts w:eastAsia="TimesNewRoman"/>
          <w:szCs w:val="22"/>
          <w:lang w:val="sr-Latn-ME"/>
        </w:rPr>
        <w:t xml:space="preserve"> </w:t>
      </w:r>
      <w:r w:rsidR="005B22A1" w:rsidRPr="001870F3">
        <w:rPr>
          <w:rFonts w:eastAsia="TimesNewRoman"/>
          <w:szCs w:val="22"/>
          <w:lang w:val="sr-Latn-ME"/>
        </w:rPr>
        <w:t>insulina glargin na osnovu vr</w:t>
      </w:r>
      <w:r w:rsidR="004C113D" w:rsidRPr="001870F3">
        <w:rPr>
          <w:rFonts w:eastAsia="TimesNewRoman"/>
          <w:szCs w:val="22"/>
          <w:lang w:val="sr-Latn-ME"/>
        </w:rPr>
        <w:t>ij</w:t>
      </w:r>
      <w:r w:rsidR="005B22A1" w:rsidRPr="001870F3">
        <w:rPr>
          <w:rFonts w:eastAsia="TimesNewRoman"/>
          <w:szCs w:val="22"/>
          <w:lang w:val="sr-Latn-ME"/>
        </w:rPr>
        <w:t>ednosti glukoze natašte, određene u uzorku krvi iz prsta. Među pacijentima koji su primali metformin, u 24. ned</w:t>
      </w:r>
      <w:r w:rsidR="004C113D" w:rsidRPr="001870F3">
        <w:rPr>
          <w:rFonts w:eastAsia="TimesNewRoman"/>
          <w:szCs w:val="22"/>
          <w:lang w:val="sr-Latn-ME"/>
        </w:rPr>
        <w:t>j</w:t>
      </w:r>
      <w:r w:rsidR="005B22A1" w:rsidRPr="001870F3">
        <w:rPr>
          <w:rFonts w:eastAsia="TimesNewRoman"/>
          <w:szCs w:val="22"/>
          <w:lang w:val="sr-Latn-ME"/>
        </w:rPr>
        <w:t>elji, povećanje dnevne doze insulina je bilo 19 i.j./dnevno kod pacijenata na terapiji sitagliptinom i 24 i.j./dnevno kod pacijenata koji su dobijali placebo. Smanjenje vr</w:t>
      </w:r>
      <w:r w:rsidR="004C113D" w:rsidRPr="001870F3">
        <w:rPr>
          <w:rFonts w:eastAsia="TimesNewRoman"/>
          <w:szCs w:val="22"/>
          <w:lang w:val="sr-Latn-ME"/>
        </w:rPr>
        <w:t>ij</w:t>
      </w:r>
      <w:r w:rsidR="005B22A1" w:rsidRPr="001870F3">
        <w:rPr>
          <w:rFonts w:eastAsia="TimesNewRoman"/>
          <w:szCs w:val="22"/>
          <w:lang w:val="sr-Latn-ME"/>
        </w:rPr>
        <w:t>ednosti HbA</w:t>
      </w:r>
      <w:r w:rsidR="005B22A1" w:rsidRPr="001870F3">
        <w:rPr>
          <w:rFonts w:eastAsia="TimesNewRoman"/>
          <w:szCs w:val="22"/>
          <w:vertAlign w:val="subscript"/>
          <w:lang w:val="sr-Latn-ME"/>
        </w:rPr>
        <w:t>1c</w:t>
      </w:r>
      <w:r w:rsidR="005B22A1" w:rsidRPr="001870F3">
        <w:rPr>
          <w:rFonts w:eastAsia="TimesNewRoman"/>
          <w:szCs w:val="22"/>
          <w:lang w:val="sr-Latn-ME"/>
        </w:rPr>
        <w:t xml:space="preserve"> kod pacijenata na terapiji sitagliptinom, metforminom i insulinom je bilo -1,35% u poređenju sa -0,90% kod</w:t>
      </w:r>
      <w:r w:rsidR="004C113D" w:rsidRPr="001870F3">
        <w:rPr>
          <w:rFonts w:eastAsia="TimesNewRoman"/>
          <w:szCs w:val="22"/>
          <w:lang w:val="sr-Latn-ME"/>
        </w:rPr>
        <w:t xml:space="preserve"> </w:t>
      </w:r>
      <w:r w:rsidR="005B22A1" w:rsidRPr="001870F3">
        <w:rPr>
          <w:rFonts w:eastAsia="TimesNewRoman"/>
          <w:szCs w:val="22"/>
          <w:lang w:val="sr-Latn-ME"/>
        </w:rPr>
        <w:t>pacijenata na terapiji placebom, metforminom i insulinom, razlika od -0,45% [95%</w:t>
      </w:r>
      <w:r w:rsidR="001F0538" w:rsidRPr="001870F3">
        <w:rPr>
          <w:rFonts w:eastAsia="TimesNewRoman"/>
          <w:szCs w:val="22"/>
          <w:lang w:val="sr-Latn-ME"/>
        </w:rPr>
        <w:t xml:space="preserve"> </w:t>
      </w:r>
      <w:r w:rsidR="005B22A1" w:rsidRPr="001870F3">
        <w:rPr>
          <w:rFonts w:eastAsia="TimesNewRoman"/>
          <w:szCs w:val="22"/>
          <w:lang w:val="sr-Latn-ME"/>
        </w:rPr>
        <w:t>CI: -0,62, -0.29]. Učestalost pojave hipoglikemije je bila 24,9% kod pacijenata na terapiji sitagliptinom, metforminom i insulinom i 37,8% kod pacijenata na terapiji placebom, metforminom i insulinom. Razlika je uglavnom posl</w:t>
      </w:r>
      <w:r w:rsidR="0052765C" w:rsidRPr="001870F3">
        <w:rPr>
          <w:rFonts w:eastAsia="TimesNewRoman"/>
          <w:szCs w:val="22"/>
          <w:lang w:val="sr-Latn-ME"/>
        </w:rPr>
        <w:t>j</w:t>
      </w:r>
      <w:r w:rsidR="005B22A1" w:rsidRPr="001870F3">
        <w:rPr>
          <w:rFonts w:eastAsia="TimesNewRoman"/>
          <w:szCs w:val="22"/>
          <w:lang w:val="sr-Latn-ME"/>
        </w:rPr>
        <w:t>edica većeg procenta pacijenata u placebo grupi koji su doživeli tri ili više epizoda hipoglikemije (9</w:t>
      </w:r>
      <w:r w:rsidR="003D663D" w:rsidRPr="001870F3">
        <w:rPr>
          <w:rFonts w:eastAsia="TimesNewRoman"/>
          <w:szCs w:val="22"/>
          <w:lang w:val="sr-Latn-ME"/>
        </w:rPr>
        <w:t>,1</w:t>
      </w:r>
      <w:r w:rsidR="001F0538" w:rsidRPr="001870F3">
        <w:rPr>
          <w:rFonts w:eastAsia="TimesNewRoman"/>
          <w:szCs w:val="22"/>
          <w:lang w:val="sr-Latn-ME"/>
        </w:rPr>
        <w:t xml:space="preserve"> u odnosu na</w:t>
      </w:r>
      <w:r w:rsidR="003D663D" w:rsidRPr="001870F3">
        <w:rPr>
          <w:rFonts w:eastAsia="TimesNewRoman"/>
          <w:szCs w:val="22"/>
          <w:lang w:val="sr-Latn-ME"/>
        </w:rPr>
        <w:t xml:space="preserve"> 19,8</w:t>
      </w:r>
      <w:r w:rsidR="005B22A1" w:rsidRPr="001870F3">
        <w:rPr>
          <w:rFonts w:eastAsia="TimesNewRoman"/>
          <w:szCs w:val="22"/>
          <w:lang w:val="sr-Latn-ME"/>
        </w:rPr>
        <w:t>%). Nema razlike u učestalosti pojave teških hipoglikemija.</w:t>
      </w:r>
    </w:p>
    <w:p w14:paraId="2E86A2B6" w14:textId="77777777" w:rsidR="009150F8" w:rsidRPr="001870F3" w:rsidRDefault="009150F8" w:rsidP="001870F3">
      <w:pPr>
        <w:widowControl w:val="0"/>
        <w:tabs>
          <w:tab w:val="clear" w:pos="284"/>
        </w:tabs>
        <w:autoSpaceDE w:val="0"/>
        <w:autoSpaceDN w:val="0"/>
        <w:adjustRightInd w:val="0"/>
        <w:rPr>
          <w:rFonts w:eastAsia="TimesNewRoman"/>
          <w:szCs w:val="22"/>
          <w:lang w:val="sr-Latn-ME"/>
        </w:rPr>
      </w:pPr>
    </w:p>
    <w:p w14:paraId="2E86A2CC" w14:textId="4A6E98D7" w:rsidR="00102B98" w:rsidRPr="001870F3" w:rsidRDefault="00655E8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TECOS studija je bila randomizovana studija na 14 671 pacijentu</w:t>
      </w:r>
      <w:r w:rsidR="00D53E46" w:rsidRPr="001870F3">
        <w:rPr>
          <w:rFonts w:eastAsia="TimesNewRoman"/>
          <w:szCs w:val="22"/>
          <w:lang w:val="sr-Latn-ME"/>
        </w:rPr>
        <w:t xml:space="preserve"> </w:t>
      </w:r>
      <w:r w:rsidR="00BF6B63" w:rsidRPr="001870F3">
        <w:rPr>
          <w:rFonts w:eastAsia="TimesNewRoman"/>
          <w:szCs w:val="22"/>
          <w:lang w:val="sr-Latn-ME"/>
        </w:rPr>
        <w:t>(ukupno analizirana populacija) sa HbA</w:t>
      </w:r>
      <w:r w:rsidR="00BF6B63" w:rsidRPr="001870F3">
        <w:rPr>
          <w:rFonts w:eastAsia="TimesNewRoman"/>
          <w:szCs w:val="22"/>
          <w:vertAlign w:val="subscript"/>
          <w:lang w:val="sr-Latn-ME"/>
        </w:rPr>
        <w:t xml:space="preserve">1c </w:t>
      </w:r>
      <w:r w:rsidR="00BF6B63" w:rsidRPr="001870F3">
        <w:rPr>
          <w:rFonts w:eastAsia="TimesNewRoman"/>
          <w:szCs w:val="22"/>
          <w:lang w:val="sr-Latn-ME"/>
        </w:rPr>
        <w:t>≥ 6,5 do 8,0%</w:t>
      </w:r>
      <w:r w:rsidR="00A10288" w:rsidRPr="001870F3">
        <w:rPr>
          <w:rFonts w:eastAsia="TimesNewRoman"/>
          <w:szCs w:val="22"/>
          <w:lang w:val="sr-Latn-ME"/>
        </w:rPr>
        <w:t xml:space="preserve"> i</w:t>
      </w:r>
      <w:r w:rsidR="00BF6B63" w:rsidRPr="001870F3">
        <w:rPr>
          <w:rFonts w:eastAsia="TimesNewRoman"/>
          <w:szCs w:val="22"/>
          <w:lang w:val="sr-Latn-ME"/>
        </w:rPr>
        <w:t xml:space="preserve"> sa utvrđenom kardiovaskularnom bolešću koji su dobijali sitagliptin (</w:t>
      </w:r>
      <w:r w:rsidR="00965090" w:rsidRPr="001870F3">
        <w:rPr>
          <w:rFonts w:eastAsia="TimesNewRoman"/>
          <w:szCs w:val="22"/>
          <w:lang w:val="sr-Latn-ME"/>
        </w:rPr>
        <w:t>7332 pacijenta) 100 mg na dan (ili 50 mg na dan ukoliko je na početku eGFR bio ≥ 30 i &lt; 50 m</w:t>
      </w:r>
      <w:r w:rsidR="00D81E57" w:rsidRPr="001870F3">
        <w:rPr>
          <w:rFonts w:eastAsia="TimesNewRoman"/>
          <w:szCs w:val="22"/>
          <w:lang w:val="sr-Latn-ME"/>
        </w:rPr>
        <w:t>l</w:t>
      </w:r>
      <w:r w:rsidR="00965090" w:rsidRPr="001870F3">
        <w:rPr>
          <w:rFonts w:eastAsia="TimesNewRoman"/>
          <w:szCs w:val="22"/>
          <w:lang w:val="sr-Latn-ME"/>
        </w:rPr>
        <w:t>/min/1,73 m</w:t>
      </w:r>
      <w:r w:rsidR="00965090" w:rsidRPr="001870F3">
        <w:rPr>
          <w:rFonts w:eastAsia="TimesNewRoman"/>
          <w:szCs w:val="22"/>
          <w:vertAlign w:val="superscript"/>
          <w:lang w:val="sr-Latn-ME"/>
        </w:rPr>
        <w:t>2</w:t>
      </w:r>
      <w:r w:rsidR="00A10288" w:rsidRPr="001870F3">
        <w:rPr>
          <w:rFonts w:eastAsia="TimesNewRoman"/>
          <w:szCs w:val="22"/>
          <w:lang w:val="sr-Latn-ME"/>
        </w:rPr>
        <w:t>)</w:t>
      </w:r>
      <w:r w:rsidR="00965090" w:rsidRPr="001870F3">
        <w:rPr>
          <w:rFonts w:eastAsia="TimesNewRoman"/>
          <w:szCs w:val="22"/>
          <w:vertAlign w:val="superscript"/>
          <w:lang w:val="sr-Latn-ME"/>
        </w:rPr>
        <w:t xml:space="preserve"> </w:t>
      </w:r>
      <w:r w:rsidR="00965090" w:rsidRPr="001870F3">
        <w:rPr>
          <w:rFonts w:eastAsia="TimesNewRoman"/>
          <w:szCs w:val="22"/>
          <w:lang w:val="sr-Latn-ME"/>
        </w:rPr>
        <w:t>ili placebo (7339 pacijenata) z</w:t>
      </w:r>
      <w:r w:rsidR="00A10288" w:rsidRPr="001870F3">
        <w:rPr>
          <w:rFonts w:eastAsia="TimesNewRoman"/>
          <w:szCs w:val="22"/>
          <w:lang w:val="sr-Latn-ME"/>
        </w:rPr>
        <w:t>ajedno sa uobičajenim tretmanom,</w:t>
      </w:r>
      <w:r w:rsidR="00B54FE9" w:rsidRPr="001870F3">
        <w:rPr>
          <w:rFonts w:eastAsia="TimesNewRoman"/>
          <w:szCs w:val="22"/>
          <w:lang w:val="sr-Latn-ME"/>
        </w:rPr>
        <w:t xml:space="preserve"> ciljajući regionalne standard</w:t>
      </w:r>
      <w:r w:rsidR="00D81E57" w:rsidRPr="001870F3">
        <w:rPr>
          <w:rFonts w:eastAsia="TimesNewRoman"/>
          <w:szCs w:val="22"/>
          <w:lang w:val="sr-Latn-ME"/>
        </w:rPr>
        <w:t>e</w:t>
      </w:r>
      <w:r w:rsidR="00B54FE9" w:rsidRPr="001870F3">
        <w:rPr>
          <w:rFonts w:eastAsia="TimesNewRoman"/>
          <w:szCs w:val="22"/>
          <w:lang w:val="sr-Latn-ME"/>
        </w:rPr>
        <w:t xml:space="preserve"> za HbA</w:t>
      </w:r>
      <w:r w:rsidR="00B54FE9" w:rsidRPr="001870F3">
        <w:rPr>
          <w:rFonts w:eastAsia="TimesNewRoman"/>
          <w:szCs w:val="22"/>
          <w:vertAlign w:val="subscript"/>
          <w:lang w:val="sr-Latn-ME"/>
        </w:rPr>
        <w:t xml:space="preserve">1c </w:t>
      </w:r>
      <w:r w:rsidR="00B54FE9" w:rsidRPr="001870F3">
        <w:rPr>
          <w:rFonts w:eastAsia="TimesNewRoman"/>
          <w:szCs w:val="22"/>
          <w:lang w:val="sr-Latn-ME"/>
        </w:rPr>
        <w:t>i kardiovaskularne faktore rizika. Pacijenti sa eGFR &lt; 30 m</w:t>
      </w:r>
      <w:r w:rsidR="00D81E57" w:rsidRPr="001870F3">
        <w:rPr>
          <w:rFonts w:eastAsia="TimesNewRoman"/>
          <w:szCs w:val="22"/>
          <w:lang w:val="sr-Latn-ME"/>
        </w:rPr>
        <w:t>l</w:t>
      </w:r>
      <w:r w:rsidR="00B54FE9" w:rsidRPr="001870F3">
        <w:rPr>
          <w:rFonts w:eastAsia="TimesNewRoman"/>
          <w:szCs w:val="22"/>
          <w:lang w:val="sr-Latn-ME"/>
        </w:rPr>
        <w:t>/min</w:t>
      </w:r>
      <w:r w:rsidR="00102B98" w:rsidRPr="001870F3">
        <w:rPr>
          <w:rFonts w:eastAsia="TimesNewRoman"/>
          <w:szCs w:val="22"/>
          <w:lang w:val="sr-Latn-ME"/>
        </w:rPr>
        <w:t>/1,73 m</w:t>
      </w:r>
      <w:r w:rsidR="00102B98" w:rsidRPr="001870F3">
        <w:rPr>
          <w:rFonts w:eastAsia="TimesNewRoman"/>
          <w:szCs w:val="22"/>
          <w:vertAlign w:val="superscript"/>
          <w:lang w:val="sr-Latn-ME"/>
        </w:rPr>
        <w:t xml:space="preserve">2 </w:t>
      </w:r>
      <w:r w:rsidR="00102B98" w:rsidRPr="001870F3">
        <w:rPr>
          <w:rFonts w:eastAsia="TimesNewRoman"/>
          <w:szCs w:val="22"/>
          <w:lang w:val="sr-Latn-ME"/>
        </w:rPr>
        <w:t>ni</w:t>
      </w:r>
      <w:r w:rsidR="00D81E57" w:rsidRPr="001870F3">
        <w:rPr>
          <w:rFonts w:eastAsia="TimesNewRoman"/>
          <w:szCs w:val="22"/>
          <w:lang w:val="sr-Latn-ME"/>
        </w:rPr>
        <w:t>je</w:t>
      </w:r>
      <w:r w:rsidR="00102B98" w:rsidRPr="001870F3">
        <w:rPr>
          <w:rFonts w:eastAsia="TimesNewRoman"/>
          <w:szCs w:val="22"/>
          <w:lang w:val="sr-Latn-ME"/>
        </w:rPr>
        <w:t>su bili uključivani u studiju. Ispitivana populacija je uključiv</w:t>
      </w:r>
      <w:r w:rsidR="000F0775" w:rsidRPr="001870F3">
        <w:rPr>
          <w:rFonts w:eastAsia="TimesNewRoman"/>
          <w:szCs w:val="22"/>
          <w:lang w:val="sr-Latn-ME"/>
        </w:rPr>
        <w:t>ala 2004 pacijenta ≥ 75 godina i</w:t>
      </w:r>
      <w:r w:rsidR="00102B98" w:rsidRPr="001870F3">
        <w:rPr>
          <w:rFonts w:eastAsia="TimesNewRoman"/>
          <w:szCs w:val="22"/>
          <w:lang w:val="sr-Latn-ME"/>
        </w:rPr>
        <w:t xml:space="preserve"> 3324 pacijenta sa oštećenjem bubrežne funkcije (eGFR &lt; </w:t>
      </w:r>
      <w:r w:rsidR="006C7A2C" w:rsidRPr="001870F3">
        <w:rPr>
          <w:rFonts w:eastAsia="TimesNewRoman"/>
          <w:szCs w:val="22"/>
          <w:lang w:val="sr-Latn-ME"/>
        </w:rPr>
        <w:t xml:space="preserve">60 </w:t>
      </w:r>
      <w:r w:rsidR="00102B98" w:rsidRPr="001870F3">
        <w:rPr>
          <w:rFonts w:eastAsia="TimesNewRoman"/>
          <w:szCs w:val="22"/>
          <w:lang w:val="sr-Latn-ME"/>
        </w:rPr>
        <w:t>m</w:t>
      </w:r>
      <w:r w:rsidR="00D81E57" w:rsidRPr="001870F3">
        <w:rPr>
          <w:rFonts w:eastAsia="TimesNewRoman"/>
          <w:szCs w:val="22"/>
          <w:lang w:val="sr-Latn-ME"/>
        </w:rPr>
        <w:t>l</w:t>
      </w:r>
      <w:r w:rsidR="00102B98" w:rsidRPr="001870F3">
        <w:rPr>
          <w:rFonts w:eastAsia="TimesNewRoman"/>
          <w:szCs w:val="22"/>
          <w:lang w:val="sr-Latn-ME"/>
        </w:rPr>
        <w:t>/min/1,73 m</w:t>
      </w:r>
      <w:r w:rsidR="00102B98" w:rsidRPr="001870F3">
        <w:rPr>
          <w:rFonts w:eastAsia="TimesNewRoman"/>
          <w:szCs w:val="22"/>
          <w:vertAlign w:val="superscript"/>
          <w:lang w:val="sr-Latn-ME"/>
        </w:rPr>
        <w:t>2</w:t>
      </w:r>
      <w:r w:rsidR="00102B98" w:rsidRPr="001870F3">
        <w:rPr>
          <w:rFonts w:eastAsia="TimesNewRoman"/>
          <w:szCs w:val="22"/>
          <w:lang w:val="sr-Latn-ME"/>
        </w:rPr>
        <w:t>).</w:t>
      </w:r>
    </w:p>
    <w:p w14:paraId="2E86A2CD" w14:textId="77777777" w:rsidR="002D28CE" w:rsidRPr="001870F3" w:rsidRDefault="002D28CE" w:rsidP="001870F3">
      <w:pPr>
        <w:widowControl w:val="0"/>
        <w:tabs>
          <w:tab w:val="clear" w:pos="284"/>
        </w:tabs>
        <w:autoSpaceDE w:val="0"/>
        <w:autoSpaceDN w:val="0"/>
        <w:adjustRightInd w:val="0"/>
        <w:rPr>
          <w:rFonts w:eastAsia="TimesNewRoman"/>
          <w:szCs w:val="22"/>
          <w:lang w:val="sr-Latn-ME"/>
        </w:rPr>
      </w:pPr>
    </w:p>
    <w:p w14:paraId="2E86A2CE" w14:textId="33AF3B69" w:rsidR="00F661C3" w:rsidRPr="001870F3" w:rsidRDefault="00102B9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Tokom studije, ukupna proc</w:t>
      </w:r>
      <w:r w:rsidR="00D81E57" w:rsidRPr="001870F3">
        <w:rPr>
          <w:rFonts w:eastAsia="TimesNewRoman"/>
          <w:szCs w:val="22"/>
          <w:lang w:val="sr-Latn-ME"/>
        </w:rPr>
        <w:t>i</w:t>
      </w:r>
      <w:r w:rsidR="00933743" w:rsidRPr="001870F3">
        <w:rPr>
          <w:rFonts w:eastAsia="TimesNewRoman"/>
          <w:szCs w:val="22"/>
          <w:lang w:val="sr-Latn-ME"/>
        </w:rPr>
        <w:t>j</w:t>
      </w:r>
      <w:r w:rsidRPr="001870F3">
        <w:rPr>
          <w:rFonts w:eastAsia="TimesNewRoman"/>
          <w:szCs w:val="22"/>
          <w:lang w:val="sr-Latn-ME"/>
        </w:rPr>
        <w:t xml:space="preserve">enjena </w:t>
      </w:r>
      <w:r w:rsidR="00882A71" w:rsidRPr="001870F3">
        <w:rPr>
          <w:rFonts w:eastAsia="TimesNewRoman"/>
          <w:szCs w:val="22"/>
          <w:lang w:val="sr-Latn-ME"/>
        </w:rPr>
        <w:t>pros</w:t>
      </w:r>
      <w:r w:rsidR="00933743" w:rsidRPr="001870F3">
        <w:rPr>
          <w:rFonts w:eastAsia="TimesNewRoman"/>
          <w:szCs w:val="22"/>
          <w:lang w:val="sr-Latn-ME"/>
        </w:rPr>
        <w:t>j</w:t>
      </w:r>
      <w:r w:rsidR="00882A71" w:rsidRPr="001870F3">
        <w:rPr>
          <w:rFonts w:eastAsia="TimesNewRoman"/>
          <w:szCs w:val="22"/>
          <w:lang w:val="sr-Latn-ME"/>
        </w:rPr>
        <w:t>ečna</w:t>
      </w:r>
      <w:r w:rsidRPr="001870F3">
        <w:rPr>
          <w:rFonts w:eastAsia="TimesNewRoman"/>
          <w:szCs w:val="22"/>
          <w:lang w:val="sr-Latn-ME"/>
        </w:rPr>
        <w:t xml:space="preserve"> (SD) razlika</w:t>
      </w:r>
      <w:r w:rsidR="00F661C3" w:rsidRPr="001870F3">
        <w:rPr>
          <w:rFonts w:eastAsia="TimesNewRoman"/>
          <w:szCs w:val="22"/>
          <w:lang w:val="sr-Latn-ME"/>
        </w:rPr>
        <w:t xml:space="preserve"> vr</w:t>
      </w:r>
      <w:r w:rsidR="00933743" w:rsidRPr="001870F3">
        <w:rPr>
          <w:rFonts w:eastAsia="TimesNewRoman"/>
          <w:szCs w:val="22"/>
          <w:lang w:val="sr-Latn-ME"/>
        </w:rPr>
        <w:t>ij</w:t>
      </w:r>
      <w:r w:rsidR="00F661C3" w:rsidRPr="001870F3">
        <w:rPr>
          <w:rFonts w:eastAsia="TimesNewRoman"/>
          <w:szCs w:val="22"/>
          <w:lang w:val="sr-Latn-ME"/>
        </w:rPr>
        <w:t>ednosti</w:t>
      </w:r>
      <w:r w:rsidRPr="001870F3">
        <w:rPr>
          <w:rFonts w:eastAsia="TimesNewRoman"/>
          <w:szCs w:val="22"/>
          <w:lang w:val="sr-Latn-ME"/>
        </w:rPr>
        <w:t xml:space="preserve"> HbA</w:t>
      </w:r>
      <w:r w:rsidRPr="001870F3">
        <w:rPr>
          <w:rFonts w:eastAsia="TimesNewRoman"/>
          <w:szCs w:val="22"/>
          <w:vertAlign w:val="subscript"/>
          <w:lang w:val="sr-Latn-ME"/>
        </w:rPr>
        <w:t>1c</w:t>
      </w:r>
      <w:r w:rsidR="00F661C3" w:rsidRPr="001870F3">
        <w:rPr>
          <w:rFonts w:eastAsia="TimesNewRoman"/>
          <w:szCs w:val="22"/>
          <w:vertAlign w:val="subscript"/>
          <w:lang w:val="sr-Latn-ME"/>
        </w:rPr>
        <w:t xml:space="preserve"> </w:t>
      </w:r>
      <w:r w:rsidR="00F661C3" w:rsidRPr="001870F3">
        <w:rPr>
          <w:rFonts w:eastAsia="TimesNewRoman"/>
          <w:szCs w:val="22"/>
          <w:lang w:val="sr-Latn-ME"/>
        </w:rPr>
        <w:t>između grupa na sitagliptinu i placebo je bila 0,29% (0.01), 95% CI (-0,32, -0,27); p &lt; 0,001.</w:t>
      </w:r>
    </w:p>
    <w:p w14:paraId="2E86A2CF" w14:textId="77777777" w:rsidR="00F661C3" w:rsidRPr="001870F3" w:rsidRDefault="00F661C3" w:rsidP="001870F3">
      <w:pPr>
        <w:widowControl w:val="0"/>
        <w:tabs>
          <w:tab w:val="clear" w:pos="284"/>
        </w:tabs>
        <w:autoSpaceDE w:val="0"/>
        <w:autoSpaceDN w:val="0"/>
        <w:adjustRightInd w:val="0"/>
        <w:rPr>
          <w:rFonts w:eastAsia="TimesNewRoman"/>
          <w:szCs w:val="22"/>
          <w:lang w:val="sr-Latn-ME"/>
        </w:rPr>
      </w:pPr>
    </w:p>
    <w:p w14:paraId="2E86A2D0" w14:textId="681283D5" w:rsidR="00882A71" w:rsidRPr="001870F3" w:rsidRDefault="00F661C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Primarni kardiovaskularni </w:t>
      </w:r>
      <w:r w:rsidR="00D81E57" w:rsidRPr="001870F3">
        <w:rPr>
          <w:rFonts w:eastAsia="TimesNewRoman"/>
          <w:szCs w:val="22"/>
          <w:lang w:val="sr-Latn-ME"/>
        </w:rPr>
        <w:t>parametar praćenja</w:t>
      </w:r>
      <w:r w:rsidRPr="001870F3">
        <w:rPr>
          <w:rFonts w:eastAsia="TimesNewRoman"/>
          <w:szCs w:val="22"/>
          <w:lang w:val="sr-Latn-ME"/>
        </w:rPr>
        <w:t xml:space="preserve"> je bio kombinovan od prve pojave sl</w:t>
      </w:r>
      <w:r w:rsidR="0052765C" w:rsidRPr="001870F3">
        <w:rPr>
          <w:rFonts w:eastAsia="TimesNewRoman"/>
          <w:szCs w:val="22"/>
          <w:lang w:val="sr-Latn-ME"/>
        </w:rPr>
        <w:t>j</w:t>
      </w:r>
      <w:r w:rsidRPr="001870F3">
        <w:rPr>
          <w:rFonts w:eastAsia="TimesNewRoman"/>
          <w:szCs w:val="22"/>
          <w:lang w:val="sr-Latn-ME"/>
        </w:rPr>
        <w:t>edećih događaja: smrt od kardiovask</w:t>
      </w:r>
      <w:r w:rsidR="009C38B5" w:rsidRPr="001870F3">
        <w:rPr>
          <w:rFonts w:eastAsia="TimesNewRoman"/>
          <w:szCs w:val="22"/>
          <w:lang w:val="sr-Latn-ME"/>
        </w:rPr>
        <w:t>ularnog uzroka, nefatalni infark</w:t>
      </w:r>
      <w:r w:rsidRPr="001870F3">
        <w:rPr>
          <w:rFonts w:eastAsia="TimesNewRoman"/>
          <w:szCs w:val="22"/>
          <w:lang w:val="sr-Latn-ME"/>
        </w:rPr>
        <w:t xml:space="preserve">t miokarda, nefatalni moždani udar ili hospitalizacija zbog nestabilne angine. Sekundarni kardiovaskularni </w:t>
      </w:r>
      <w:r w:rsidR="00D81E57" w:rsidRPr="001870F3">
        <w:rPr>
          <w:rFonts w:eastAsia="TimesNewRoman"/>
          <w:szCs w:val="22"/>
          <w:lang w:val="sr-Latn-ME"/>
        </w:rPr>
        <w:t>parametri praćenja</w:t>
      </w:r>
      <w:r w:rsidRPr="001870F3">
        <w:rPr>
          <w:rFonts w:eastAsia="TimesNewRoman"/>
          <w:szCs w:val="22"/>
          <w:lang w:val="sr-Latn-ME"/>
        </w:rPr>
        <w:t xml:space="preserve"> su uključivali prvu pojavu: smrti od kardiovaskularnih uzroka, </w:t>
      </w:r>
      <w:r w:rsidR="005B27C9" w:rsidRPr="001870F3">
        <w:rPr>
          <w:rFonts w:eastAsia="TimesNewRoman"/>
          <w:szCs w:val="22"/>
          <w:lang w:val="sr-Latn-ME"/>
        </w:rPr>
        <w:t xml:space="preserve">nefatalnog infarkta miokarda ili nefatalnog moždanog udara; prvu pojavu neke individualne komponente primarnih </w:t>
      </w:r>
      <w:r w:rsidR="00D81E57" w:rsidRPr="001870F3">
        <w:rPr>
          <w:rFonts w:eastAsia="TimesNewRoman"/>
          <w:szCs w:val="22"/>
          <w:lang w:val="sr-Latn-ME"/>
        </w:rPr>
        <w:t>kombinovanih parametara praćenja</w:t>
      </w:r>
      <w:r w:rsidR="005B27C9" w:rsidRPr="001870F3">
        <w:rPr>
          <w:rFonts w:eastAsia="TimesNewRoman"/>
          <w:szCs w:val="22"/>
          <w:lang w:val="sr-Latn-ME"/>
        </w:rPr>
        <w:t>, mortalitet svih uzroka, i bolnički prijem zbog kongestivne srčane insuficijencije.</w:t>
      </w:r>
    </w:p>
    <w:p w14:paraId="2E86A2D1" w14:textId="77777777" w:rsidR="00882A71" w:rsidRPr="001870F3" w:rsidRDefault="00882A71" w:rsidP="001870F3">
      <w:pPr>
        <w:widowControl w:val="0"/>
        <w:tabs>
          <w:tab w:val="clear" w:pos="284"/>
        </w:tabs>
        <w:autoSpaceDE w:val="0"/>
        <w:autoSpaceDN w:val="0"/>
        <w:adjustRightInd w:val="0"/>
        <w:rPr>
          <w:rFonts w:eastAsia="TimesNewRoman"/>
          <w:szCs w:val="22"/>
          <w:lang w:val="sr-Latn-ME"/>
        </w:rPr>
      </w:pPr>
    </w:p>
    <w:p w14:paraId="2E86A2D2" w14:textId="29586D3A"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Posl</w:t>
      </w:r>
      <w:r w:rsidR="00933743" w:rsidRPr="001870F3">
        <w:rPr>
          <w:rFonts w:eastAsia="TimesNewRoman"/>
          <w:szCs w:val="22"/>
          <w:lang w:val="sr-Latn-ME"/>
        </w:rPr>
        <w:t>ij</w:t>
      </w:r>
      <w:r w:rsidRPr="001870F3">
        <w:rPr>
          <w:rFonts w:eastAsia="TimesNewRoman"/>
          <w:szCs w:val="22"/>
          <w:lang w:val="sr-Latn-ME"/>
        </w:rPr>
        <w:t xml:space="preserve">e </w:t>
      </w:r>
      <w:r w:rsidR="00D81E57" w:rsidRPr="001870F3">
        <w:rPr>
          <w:rFonts w:eastAsia="TimesNewRoman"/>
          <w:szCs w:val="22"/>
          <w:lang w:val="sr-Latn-ME"/>
        </w:rPr>
        <w:t>medijane</w:t>
      </w:r>
      <w:r w:rsidRPr="001870F3">
        <w:rPr>
          <w:rFonts w:eastAsia="TimesNewRoman"/>
          <w:szCs w:val="22"/>
          <w:lang w:val="sr-Latn-ME"/>
        </w:rPr>
        <w:t xml:space="preserve"> praćenja od 3 godine, sitagliptin, dodat uobičajenom tretmanu, nije povećao rizik od velikih kardiovaskularnih događaja ili rizika od hospitalizacije od srčane insuficijencije u odnosu na prim</w:t>
      </w:r>
      <w:r w:rsidR="00933743" w:rsidRPr="001870F3">
        <w:rPr>
          <w:rFonts w:eastAsia="TimesNewRoman"/>
          <w:szCs w:val="22"/>
          <w:lang w:val="sr-Latn-ME"/>
        </w:rPr>
        <w:t>j</w:t>
      </w:r>
      <w:r w:rsidRPr="001870F3">
        <w:rPr>
          <w:rFonts w:eastAsia="TimesNewRoman"/>
          <w:szCs w:val="22"/>
          <w:lang w:val="sr-Latn-ME"/>
        </w:rPr>
        <w:t>enu uobičajenog tretmana bez sitagliptina kod pacijenata sa dijabetesom tip 2 (</w:t>
      </w:r>
      <w:r w:rsidRPr="001870F3">
        <w:rPr>
          <w:rFonts w:eastAsia="TimesNewRoman"/>
          <w:i/>
          <w:iCs/>
          <w:szCs w:val="22"/>
          <w:lang w:val="sr-Latn-ME"/>
        </w:rPr>
        <w:t>Tabela 3</w:t>
      </w:r>
      <w:r w:rsidRPr="001870F3">
        <w:rPr>
          <w:rFonts w:eastAsia="TimesNewRoman"/>
          <w:szCs w:val="22"/>
          <w:lang w:val="sr-Latn-ME"/>
        </w:rPr>
        <w:t>).</w:t>
      </w:r>
    </w:p>
    <w:p w14:paraId="2E86A2D3"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D4" w14:textId="77777777" w:rsidR="006A552E" w:rsidRPr="001870F3" w:rsidRDefault="00504DA5" w:rsidP="001870F3">
      <w:pPr>
        <w:widowControl w:val="0"/>
        <w:tabs>
          <w:tab w:val="clear" w:pos="284"/>
        </w:tabs>
        <w:autoSpaceDE w:val="0"/>
        <w:autoSpaceDN w:val="0"/>
        <w:adjustRightInd w:val="0"/>
        <w:rPr>
          <w:rFonts w:eastAsia="TimesNewRoman"/>
          <w:b/>
          <w:szCs w:val="22"/>
          <w:lang w:val="sr-Latn-ME"/>
        </w:rPr>
      </w:pPr>
      <w:r w:rsidRPr="001870F3">
        <w:rPr>
          <w:rFonts w:eastAsia="TimesNewRoman"/>
          <w:b/>
          <w:i/>
          <w:iCs/>
          <w:szCs w:val="22"/>
          <w:lang w:val="sr-Latn-ME"/>
        </w:rPr>
        <w:t>Tabela 3</w:t>
      </w:r>
      <w:r w:rsidRPr="001870F3">
        <w:rPr>
          <w:rFonts w:eastAsia="TimesNewRoman"/>
          <w:b/>
          <w:szCs w:val="22"/>
          <w:lang w:val="sr-Latn-ME"/>
        </w:rPr>
        <w:t>: Vr</w:t>
      </w:r>
      <w:r w:rsidR="00933743" w:rsidRPr="001870F3">
        <w:rPr>
          <w:rFonts w:eastAsia="TimesNewRoman"/>
          <w:b/>
          <w:szCs w:val="22"/>
          <w:lang w:val="sr-Latn-ME"/>
        </w:rPr>
        <w:t>ij</w:t>
      </w:r>
      <w:r w:rsidRPr="001870F3">
        <w:rPr>
          <w:rFonts w:eastAsia="TimesNewRoman"/>
          <w:b/>
          <w:szCs w:val="22"/>
          <w:lang w:val="sr-Latn-ME"/>
        </w:rPr>
        <w:t xml:space="preserve">ednosti kombinovanih kardiovaskularnih ishoda i ključni sekundarni ishodi </w:t>
      </w:r>
      <w:r w:rsidR="00F661C3" w:rsidRPr="001870F3">
        <w:rPr>
          <w:rFonts w:eastAsia="TimesNewRoman"/>
          <w:b/>
          <w:szCs w:val="22"/>
          <w:lang w:val="sr-Latn-ME"/>
        </w:rPr>
        <w:t xml:space="preserve"> </w:t>
      </w:r>
      <w:r w:rsidR="00102B98" w:rsidRPr="001870F3">
        <w:rPr>
          <w:rFonts w:eastAsia="TimesNewRoman"/>
          <w:b/>
          <w:szCs w:val="22"/>
          <w:vertAlign w:val="subscript"/>
          <w:lang w:val="sr-Latn-ME"/>
        </w:rPr>
        <w:t xml:space="preserve"> </w:t>
      </w:r>
      <w:r w:rsidR="00B54FE9" w:rsidRPr="001870F3">
        <w:rPr>
          <w:rFonts w:eastAsia="TimesNewRoman"/>
          <w:b/>
          <w:szCs w:val="22"/>
          <w:lang w:val="sr-Latn-ME"/>
        </w:rPr>
        <w:t xml:space="preserve"> </w:t>
      </w:r>
      <w:r w:rsidR="00A10288" w:rsidRPr="001870F3">
        <w:rPr>
          <w:rFonts w:eastAsia="TimesNewRoman"/>
          <w:b/>
          <w:szCs w:val="22"/>
          <w:lang w:val="sr-Latn-ME"/>
        </w:rPr>
        <w:t xml:space="preserve"> </w:t>
      </w:r>
      <w:r w:rsidR="00965090" w:rsidRPr="001870F3">
        <w:rPr>
          <w:rFonts w:eastAsia="TimesNewRoman"/>
          <w:b/>
          <w:szCs w:val="22"/>
          <w:lang w:val="sr-Latn-ME"/>
        </w:rPr>
        <w:t xml:space="preserve"> </w:t>
      </w:r>
      <w:r w:rsidR="00655E80" w:rsidRPr="001870F3">
        <w:rPr>
          <w:rFonts w:eastAsia="TimesNewRoman"/>
          <w:b/>
          <w:szCs w:val="22"/>
          <w:lang w:val="sr-Latn-ME"/>
        </w:rPr>
        <w:t xml:space="preserve"> </w:t>
      </w:r>
    </w:p>
    <w:p w14:paraId="2E86A2D5" w14:textId="77777777" w:rsidR="006A552E" w:rsidRPr="001870F3" w:rsidRDefault="006A552E" w:rsidP="001870F3">
      <w:pPr>
        <w:widowControl w:val="0"/>
        <w:tabs>
          <w:tab w:val="clear" w:pos="284"/>
        </w:tabs>
        <w:autoSpaceDE w:val="0"/>
        <w:autoSpaceDN w:val="0"/>
        <w:adjustRightInd w:val="0"/>
        <w:rPr>
          <w:rFonts w:eastAsia="TimesNewRoman"/>
          <w:szCs w:val="22"/>
          <w:lang w:val="sr-Latn-ME"/>
        </w:rPr>
      </w:pPr>
    </w:p>
    <w:tbl>
      <w:tblPr>
        <w:tblStyle w:val="TableGrid"/>
        <w:tblW w:w="5000" w:type="pct"/>
        <w:tblLook w:val="04A0" w:firstRow="1" w:lastRow="0" w:firstColumn="1" w:lastColumn="0" w:noHBand="0" w:noVBand="1"/>
      </w:tblPr>
      <w:tblGrid>
        <w:gridCol w:w="2674"/>
        <w:gridCol w:w="794"/>
        <w:gridCol w:w="1339"/>
        <w:gridCol w:w="794"/>
        <w:gridCol w:w="1339"/>
        <w:gridCol w:w="893"/>
        <w:gridCol w:w="1228"/>
      </w:tblGrid>
      <w:tr w:rsidR="00504DA5" w:rsidRPr="001870F3" w14:paraId="2E86A2DE" w14:textId="77777777" w:rsidTr="005B56A9">
        <w:tc>
          <w:tcPr>
            <w:tcW w:w="0" w:type="auto"/>
            <w:vMerge w:val="restart"/>
          </w:tcPr>
          <w:p w14:paraId="2E86A2D6"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c>
          <w:tcPr>
            <w:tcW w:w="0" w:type="auto"/>
            <w:gridSpan w:val="2"/>
          </w:tcPr>
          <w:p w14:paraId="2E86A2D7"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100 mg</w:t>
            </w:r>
          </w:p>
        </w:tc>
        <w:tc>
          <w:tcPr>
            <w:tcW w:w="0" w:type="auto"/>
            <w:gridSpan w:val="2"/>
          </w:tcPr>
          <w:p w14:paraId="2E86A2D8"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Placebo</w:t>
            </w:r>
          </w:p>
        </w:tc>
        <w:tc>
          <w:tcPr>
            <w:tcW w:w="0" w:type="auto"/>
            <w:vMerge w:val="restart"/>
          </w:tcPr>
          <w:p w14:paraId="2E86A2D9"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DA" w14:textId="77777777" w:rsidR="009D76D5" w:rsidRPr="001870F3" w:rsidRDefault="009D76D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Odnos rizika</w:t>
            </w:r>
          </w:p>
          <w:p w14:paraId="2E86A2DB" w14:textId="77777777" w:rsidR="009D76D5" w:rsidRPr="001870F3" w:rsidRDefault="009D76D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(95% CI)</w:t>
            </w:r>
          </w:p>
        </w:tc>
        <w:tc>
          <w:tcPr>
            <w:tcW w:w="0" w:type="auto"/>
            <w:vMerge w:val="restart"/>
          </w:tcPr>
          <w:p w14:paraId="2E86A2DC"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DD" w14:textId="02A21CF6" w:rsidR="009D76D5" w:rsidRPr="001870F3" w:rsidRDefault="009D76D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p-vr</w:t>
            </w:r>
            <w:r w:rsidR="00D81E57" w:rsidRPr="001870F3">
              <w:rPr>
                <w:rFonts w:eastAsia="TimesNewRoman"/>
                <w:szCs w:val="22"/>
                <w:lang w:val="sr-Latn-ME"/>
              </w:rPr>
              <w:t>ij</w:t>
            </w:r>
            <w:r w:rsidRPr="001870F3">
              <w:rPr>
                <w:rFonts w:eastAsia="TimesNewRoman"/>
                <w:szCs w:val="22"/>
                <w:lang w:val="sr-Latn-ME"/>
              </w:rPr>
              <w:t>ednost†</w:t>
            </w:r>
          </w:p>
        </w:tc>
      </w:tr>
      <w:tr w:rsidR="00504DA5" w:rsidRPr="001870F3" w14:paraId="2E86A2E8" w14:textId="77777777" w:rsidTr="005B56A9">
        <w:tc>
          <w:tcPr>
            <w:tcW w:w="0" w:type="auto"/>
            <w:vMerge/>
          </w:tcPr>
          <w:p w14:paraId="2E86A2DF"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c>
          <w:tcPr>
            <w:tcW w:w="0" w:type="auto"/>
          </w:tcPr>
          <w:p w14:paraId="2E86A2E0"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E1"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 (%)</w:t>
            </w:r>
          </w:p>
        </w:tc>
        <w:tc>
          <w:tcPr>
            <w:tcW w:w="0" w:type="auto"/>
          </w:tcPr>
          <w:p w14:paraId="2E86A2E2"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Incidenca na 100 pacijent-godina *</w:t>
            </w:r>
          </w:p>
        </w:tc>
        <w:tc>
          <w:tcPr>
            <w:tcW w:w="0" w:type="auto"/>
          </w:tcPr>
          <w:p w14:paraId="2E86A2E3"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E4"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 (%)</w:t>
            </w:r>
          </w:p>
        </w:tc>
        <w:tc>
          <w:tcPr>
            <w:tcW w:w="0" w:type="auto"/>
          </w:tcPr>
          <w:p w14:paraId="2E86A2E5" w14:textId="77777777" w:rsidR="00504DA5" w:rsidRPr="001870F3" w:rsidRDefault="0026342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Incidenca na 100 pacijent-godina *</w:t>
            </w:r>
          </w:p>
        </w:tc>
        <w:tc>
          <w:tcPr>
            <w:tcW w:w="0" w:type="auto"/>
            <w:vMerge/>
          </w:tcPr>
          <w:p w14:paraId="2E86A2E6"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c>
          <w:tcPr>
            <w:tcW w:w="0" w:type="auto"/>
            <w:vMerge/>
          </w:tcPr>
          <w:p w14:paraId="2E86A2E7"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r>
      <w:tr w:rsidR="00504DA5" w:rsidRPr="001870F3" w14:paraId="2E86A2EA" w14:textId="77777777" w:rsidTr="005B56A9">
        <w:tc>
          <w:tcPr>
            <w:tcW w:w="0" w:type="auto"/>
            <w:gridSpan w:val="7"/>
          </w:tcPr>
          <w:p w14:paraId="2E86A2E9" w14:textId="77777777" w:rsidR="00504DA5" w:rsidRPr="001870F3" w:rsidRDefault="009C38B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Analiza </w:t>
            </w:r>
            <w:r w:rsidR="001E159C" w:rsidRPr="001870F3">
              <w:rPr>
                <w:rFonts w:eastAsia="TimesNewRoman"/>
                <w:szCs w:val="22"/>
                <w:lang w:val="sr-Latn-ME"/>
              </w:rPr>
              <w:t xml:space="preserve">ukupne </w:t>
            </w:r>
            <w:r w:rsidRPr="001870F3">
              <w:rPr>
                <w:rFonts w:eastAsia="TimesNewRoman"/>
                <w:szCs w:val="22"/>
                <w:lang w:val="sr-Latn-ME"/>
              </w:rPr>
              <w:t>populacije</w:t>
            </w:r>
            <w:r w:rsidR="001E159C" w:rsidRPr="001870F3">
              <w:rPr>
                <w:rFonts w:eastAsia="TimesNewRoman"/>
                <w:szCs w:val="22"/>
                <w:lang w:val="sr-Latn-ME"/>
              </w:rPr>
              <w:t xml:space="preserve"> (ʺintent to treatʺ)</w:t>
            </w:r>
            <w:r w:rsidRPr="001870F3">
              <w:rPr>
                <w:rFonts w:eastAsia="TimesNewRoman"/>
                <w:szCs w:val="22"/>
                <w:lang w:val="sr-Latn-ME"/>
              </w:rPr>
              <w:t xml:space="preserve"> </w:t>
            </w:r>
          </w:p>
        </w:tc>
      </w:tr>
      <w:tr w:rsidR="00152D4B" w:rsidRPr="001870F3" w14:paraId="2E86A2FA" w14:textId="77777777" w:rsidTr="005B56A9">
        <w:tc>
          <w:tcPr>
            <w:tcW w:w="0" w:type="auto"/>
          </w:tcPr>
          <w:p w14:paraId="2E86A2EB" w14:textId="77777777" w:rsidR="00152D4B" w:rsidRPr="001870F3" w:rsidRDefault="00152D4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Broj pacijenata</w:t>
            </w:r>
          </w:p>
        </w:tc>
        <w:tc>
          <w:tcPr>
            <w:tcW w:w="0" w:type="auto"/>
            <w:gridSpan w:val="2"/>
          </w:tcPr>
          <w:p w14:paraId="2E86A2EC" w14:textId="77777777" w:rsidR="00152D4B"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7332</w:t>
            </w:r>
          </w:p>
        </w:tc>
        <w:tc>
          <w:tcPr>
            <w:tcW w:w="0" w:type="auto"/>
            <w:gridSpan w:val="2"/>
          </w:tcPr>
          <w:p w14:paraId="2E86A2ED" w14:textId="77777777" w:rsidR="00152D4B"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7339</w:t>
            </w:r>
          </w:p>
        </w:tc>
        <w:tc>
          <w:tcPr>
            <w:tcW w:w="0" w:type="auto"/>
            <w:vMerge w:val="restart"/>
          </w:tcPr>
          <w:p w14:paraId="2E86A2EE" w14:textId="77777777" w:rsidR="00152D4B" w:rsidRPr="001870F3" w:rsidRDefault="00152D4B" w:rsidP="001870F3">
            <w:pPr>
              <w:widowControl w:val="0"/>
              <w:tabs>
                <w:tab w:val="clear" w:pos="284"/>
              </w:tabs>
              <w:autoSpaceDE w:val="0"/>
              <w:autoSpaceDN w:val="0"/>
              <w:adjustRightInd w:val="0"/>
              <w:rPr>
                <w:rFonts w:eastAsia="TimesNewRoman"/>
                <w:szCs w:val="22"/>
                <w:lang w:val="sr-Latn-ME"/>
              </w:rPr>
            </w:pPr>
          </w:p>
          <w:p w14:paraId="2E86A2EF"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0"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1"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2"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3"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0,98 (0,89-1,08)</w:t>
            </w:r>
          </w:p>
        </w:tc>
        <w:tc>
          <w:tcPr>
            <w:tcW w:w="0" w:type="auto"/>
            <w:vMerge w:val="restart"/>
          </w:tcPr>
          <w:p w14:paraId="2E86A2F4" w14:textId="77777777" w:rsidR="00152D4B" w:rsidRPr="001870F3" w:rsidRDefault="00152D4B" w:rsidP="001870F3">
            <w:pPr>
              <w:widowControl w:val="0"/>
              <w:tabs>
                <w:tab w:val="clear" w:pos="284"/>
              </w:tabs>
              <w:autoSpaceDE w:val="0"/>
              <w:autoSpaceDN w:val="0"/>
              <w:adjustRightInd w:val="0"/>
              <w:rPr>
                <w:rFonts w:eastAsia="TimesNewRoman"/>
                <w:szCs w:val="22"/>
                <w:lang w:val="sr-Latn-ME"/>
              </w:rPr>
            </w:pPr>
          </w:p>
          <w:p w14:paraId="2E86A2F5"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6"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7"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8"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9"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&lt; 0,001</w:t>
            </w:r>
          </w:p>
        </w:tc>
      </w:tr>
      <w:tr w:rsidR="00C95DDA" w:rsidRPr="001870F3" w14:paraId="2E86A317" w14:textId="77777777" w:rsidTr="005B56A9">
        <w:tc>
          <w:tcPr>
            <w:tcW w:w="0" w:type="auto"/>
          </w:tcPr>
          <w:p w14:paraId="2E86A2FB" w14:textId="406324A9" w:rsidR="00C95DDA"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Primarni kombinovani </w:t>
            </w:r>
            <w:r w:rsidR="00D81E57" w:rsidRPr="001870F3">
              <w:rPr>
                <w:rFonts w:eastAsia="TimesNewRoman"/>
                <w:szCs w:val="22"/>
                <w:lang w:val="sr-Latn-ME"/>
              </w:rPr>
              <w:t>parametri praćenja</w:t>
            </w:r>
          </w:p>
          <w:p w14:paraId="2E86A2FC"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(KV smrt, nefatalni infarkt miokarda</w:t>
            </w:r>
            <w:r w:rsidR="00A04ADB" w:rsidRPr="001870F3">
              <w:rPr>
                <w:rFonts w:eastAsia="TimesNewRoman"/>
                <w:szCs w:val="22"/>
                <w:lang w:val="sr-Latn-ME"/>
              </w:rPr>
              <w:t>, nefatalni moždani udar</w:t>
            </w:r>
            <w:r w:rsidRPr="001870F3">
              <w:rPr>
                <w:rFonts w:eastAsia="TimesNewRoman"/>
                <w:szCs w:val="22"/>
                <w:lang w:val="sr-Latn-ME"/>
              </w:rPr>
              <w:t xml:space="preserve"> ili hospitalizacija zbog nestabilne angine</w:t>
            </w:r>
          </w:p>
        </w:tc>
        <w:tc>
          <w:tcPr>
            <w:tcW w:w="0" w:type="auto"/>
          </w:tcPr>
          <w:p w14:paraId="2E86A2FD"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2FE"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F"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0"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1"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2"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839 (11,4)</w:t>
            </w:r>
          </w:p>
        </w:tc>
        <w:tc>
          <w:tcPr>
            <w:tcW w:w="0" w:type="auto"/>
          </w:tcPr>
          <w:p w14:paraId="2E86A303"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304"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5"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6"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7"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8"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4,1</w:t>
            </w:r>
          </w:p>
        </w:tc>
        <w:tc>
          <w:tcPr>
            <w:tcW w:w="0" w:type="auto"/>
          </w:tcPr>
          <w:p w14:paraId="2E86A309"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30A"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B"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C"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D"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E"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851 (11,6)</w:t>
            </w:r>
          </w:p>
        </w:tc>
        <w:tc>
          <w:tcPr>
            <w:tcW w:w="0" w:type="auto"/>
          </w:tcPr>
          <w:p w14:paraId="2E86A30F"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310"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1"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2"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3"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4"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4,2</w:t>
            </w:r>
          </w:p>
        </w:tc>
        <w:tc>
          <w:tcPr>
            <w:tcW w:w="0" w:type="auto"/>
            <w:vMerge/>
          </w:tcPr>
          <w:p w14:paraId="2E86A315"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tc>
        <w:tc>
          <w:tcPr>
            <w:tcW w:w="0" w:type="auto"/>
            <w:vMerge/>
          </w:tcPr>
          <w:p w14:paraId="2E86A316"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tc>
      </w:tr>
      <w:tr w:rsidR="00504DA5" w:rsidRPr="001870F3" w14:paraId="2E86A332" w14:textId="77777777" w:rsidTr="005B56A9">
        <w:tc>
          <w:tcPr>
            <w:tcW w:w="0" w:type="auto"/>
          </w:tcPr>
          <w:p w14:paraId="2E86A318" w14:textId="36823206" w:rsidR="00CA4ED3" w:rsidRPr="001870F3" w:rsidRDefault="00CA4ED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Sekundarni kombinovani</w:t>
            </w:r>
            <w:r w:rsidR="00D81E57" w:rsidRPr="001870F3">
              <w:rPr>
                <w:rFonts w:eastAsia="TimesNewRoman"/>
                <w:szCs w:val="22"/>
                <w:lang w:val="sr-Latn-ME"/>
              </w:rPr>
              <w:t xml:space="preserve"> parametri praćenja</w:t>
            </w:r>
          </w:p>
          <w:p w14:paraId="2E86A319" w14:textId="77777777" w:rsidR="00504DA5" w:rsidRPr="001870F3" w:rsidRDefault="000E52A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(KV smrt, nefatalni infarkt miokarda</w:t>
            </w:r>
            <w:r w:rsidR="00A04ADB" w:rsidRPr="001870F3">
              <w:rPr>
                <w:rFonts w:eastAsia="TimesNewRoman"/>
                <w:szCs w:val="22"/>
                <w:lang w:val="sr-Latn-ME"/>
              </w:rPr>
              <w:t xml:space="preserve"> ili nefatalni moždani udar</w:t>
            </w:r>
            <w:r w:rsidRPr="001870F3">
              <w:rPr>
                <w:rFonts w:eastAsia="TimesNewRoman"/>
                <w:szCs w:val="22"/>
                <w:lang w:val="sr-Latn-ME"/>
              </w:rPr>
              <w:t>)</w:t>
            </w:r>
          </w:p>
        </w:tc>
        <w:tc>
          <w:tcPr>
            <w:tcW w:w="0" w:type="auto"/>
          </w:tcPr>
          <w:p w14:paraId="2E86A31A"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1B"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1C"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1D"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745 (10,2)</w:t>
            </w:r>
          </w:p>
        </w:tc>
        <w:tc>
          <w:tcPr>
            <w:tcW w:w="0" w:type="auto"/>
          </w:tcPr>
          <w:p w14:paraId="2E86A31E"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1F"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0"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1"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3,6</w:t>
            </w:r>
          </w:p>
        </w:tc>
        <w:tc>
          <w:tcPr>
            <w:tcW w:w="0" w:type="auto"/>
          </w:tcPr>
          <w:p w14:paraId="2E86A322"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3"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4"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5"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746 (10,2)</w:t>
            </w:r>
          </w:p>
        </w:tc>
        <w:tc>
          <w:tcPr>
            <w:tcW w:w="0" w:type="auto"/>
          </w:tcPr>
          <w:p w14:paraId="2E86A326"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7"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8"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9"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3,6</w:t>
            </w:r>
          </w:p>
        </w:tc>
        <w:tc>
          <w:tcPr>
            <w:tcW w:w="0" w:type="auto"/>
          </w:tcPr>
          <w:p w14:paraId="2E86A32A"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B"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C"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D"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0,99 (0,89-1,10)</w:t>
            </w:r>
          </w:p>
        </w:tc>
        <w:tc>
          <w:tcPr>
            <w:tcW w:w="0" w:type="auto"/>
          </w:tcPr>
          <w:p w14:paraId="2E86A32E"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F"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30"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31"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&lt; 0,001</w:t>
            </w:r>
          </w:p>
        </w:tc>
      </w:tr>
      <w:tr w:rsidR="00742CD3" w:rsidRPr="001870F3" w14:paraId="2E86A334" w14:textId="77777777" w:rsidTr="005B56A9">
        <w:tc>
          <w:tcPr>
            <w:tcW w:w="0" w:type="auto"/>
            <w:gridSpan w:val="7"/>
          </w:tcPr>
          <w:p w14:paraId="2E86A333" w14:textId="77777777" w:rsidR="00742CD3" w:rsidRPr="001870F3" w:rsidRDefault="00742CD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Sekundarni ishod</w:t>
            </w:r>
          </w:p>
        </w:tc>
      </w:tr>
      <w:tr w:rsidR="00504DA5" w:rsidRPr="001870F3" w14:paraId="2E86A33C" w14:textId="77777777" w:rsidTr="005B56A9">
        <w:tc>
          <w:tcPr>
            <w:tcW w:w="0" w:type="auto"/>
          </w:tcPr>
          <w:p w14:paraId="2E86A335"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Kardiovaskularna smrt</w:t>
            </w:r>
          </w:p>
        </w:tc>
        <w:tc>
          <w:tcPr>
            <w:tcW w:w="0" w:type="auto"/>
          </w:tcPr>
          <w:p w14:paraId="2E86A336"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380 (5,2)</w:t>
            </w:r>
          </w:p>
        </w:tc>
        <w:tc>
          <w:tcPr>
            <w:tcW w:w="0" w:type="auto"/>
          </w:tcPr>
          <w:p w14:paraId="2E86A337"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1,7</w:t>
            </w:r>
          </w:p>
        </w:tc>
        <w:tc>
          <w:tcPr>
            <w:tcW w:w="0" w:type="auto"/>
          </w:tcPr>
          <w:p w14:paraId="2E86A338"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366 (5,0)</w:t>
            </w:r>
          </w:p>
        </w:tc>
        <w:tc>
          <w:tcPr>
            <w:tcW w:w="0" w:type="auto"/>
          </w:tcPr>
          <w:p w14:paraId="2E86A339"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1,7</w:t>
            </w:r>
          </w:p>
        </w:tc>
        <w:tc>
          <w:tcPr>
            <w:tcW w:w="0" w:type="auto"/>
          </w:tcPr>
          <w:p w14:paraId="2E86A33A"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1,03 (0,89-1,19)</w:t>
            </w:r>
          </w:p>
        </w:tc>
        <w:tc>
          <w:tcPr>
            <w:tcW w:w="0" w:type="auto"/>
          </w:tcPr>
          <w:p w14:paraId="2E86A33B"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0,711</w:t>
            </w:r>
          </w:p>
        </w:tc>
      </w:tr>
      <w:tr w:rsidR="00504DA5" w:rsidRPr="001870F3" w14:paraId="2E86A344" w14:textId="77777777" w:rsidTr="005B56A9">
        <w:tc>
          <w:tcPr>
            <w:tcW w:w="0" w:type="auto"/>
          </w:tcPr>
          <w:p w14:paraId="2E86A33D"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Svi infarkti miokarda (fatalni i nefatalni)</w:t>
            </w:r>
          </w:p>
        </w:tc>
        <w:tc>
          <w:tcPr>
            <w:tcW w:w="0" w:type="auto"/>
          </w:tcPr>
          <w:p w14:paraId="2E86A33E"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300 (4,1)</w:t>
            </w:r>
          </w:p>
        </w:tc>
        <w:tc>
          <w:tcPr>
            <w:tcW w:w="0" w:type="auto"/>
          </w:tcPr>
          <w:p w14:paraId="2E86A33F"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1,4</w:t>
            </w:r>
          </w:p>
        </w:tc>
        <w:tc>
          <w:tcPr>
            <w:tcW w:w="0" w:type="auto"/>
          </w:tcPr>
          <w:p w14:paraId="2E86A340"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316 (4,3)</w:t>
            </w:r>
          </w:p>
        </w:tc>
        <w:tc>
          <w:tcPr>
            <w:tcW w:w="0" w:type="auto"/>
          </w:tcPr>
          <w:p w14:paraId="2E86A341"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1,5</w:t>
            </w:r>
          </w:p>
        </w:tc>
        <w:tc>
          <w:tcPr>
            <w:tcW w:w="0" w:type="auto"/>
          </w:tcPr>
          <w:p w14:paraId="2E86A342"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0,95 (0,81-1,11)</w:t>
            </w:r>
          </w:p>
        </w:tc>
        <w:tc>
          <w:tcPr>
            <w:tcW w:w="0" w:type="auto"/>
          </w:tcPr>
          <w:p w14:paraId="2E86A343"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0,487</w:t>
            </w:r>
          </w:p>
        </w:tc>
      </w:tr>
      <w:tr w:rsidR="00504DA5" w:rsidRPr="001870F3" w14:paraId="2E86A34C" w14:textId="77777777" w:rsidTr="005B56A9">
        <w:tc>
          <w:tcPr>
            <w:tcW w:w="0" w:type="auto"/>
          </w:tcPr>
          <w:p w14:paraId="2E86A345" w14:textId="77777777" w:rsidR="00504DA5" w:rsidRPr="001870F3" w:rsidRDefault="001A702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Svi moždani udari (fatalni i nefatalni)</w:t>
            </w:r>
          </w:p>
        </w:tc>
        <w:tc>
          <w:tcPr>
            <w:tcW w:w="0" w:type="auto"/>
          </w:tcPr>
          <w:p w14:paraId="2E86A346"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178 (2,4)</w:t>
            </w:r>
          </w:p>
        </w:tc>
        <w:tc>
          <w:tcPr>
            <w:tcW w:w="0" w:type="auto"/>
          </w:tcPr>
          <w:p w14:paraId="2E86A347"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0,8</w:t>
            </w:r>
          </w:p>
        </w:tc>
        <w:tc>
          <w:tcPr>
            <w:tcW w:w="0" w:type="auto"/>
          </w:tcPr>
          <w:p w14:paraId="2E86A348"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183 (2,5)</w:t>
            </w:r>
          </w:p>
        </w:tc>
        <w:tc>
          <w:tcPr>
            <w:tcW w:w="0" w:type="auto"/>
          </w:tcPr>
          <w:p w14:paraId="2E86A349"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w:t>
            </w:r>
          </w:p>
        </w:tc>
        <w:tc>
          <w:tcPr>
            <w:tcW w:w="0" w:type="auto"/>
          </w:tcPr>
          <w:p w14:paraId="2E86A34A"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0,97 (0,79-1,19)</w:t>
            </w:r>
          </w:p>
        </w:tc>
        <w:tc>
          <w:tcPr>
            <w:tcW w:w="0" w:type="auto"/>
          </w:tcPr>
          <w:p w14:paraId="2E86A34B"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0,760</w:t>
            </w:r>
          </w:p>
        </w:tc>
      </w:tr>
      <w:tr w:rsidR="00504DA5" w:rsidRPr="001870F3" w14:paraId="2E86A354" w14:textId="77777777" w:rsidTr="005B56A9">
        <w:tc>
          <w:tcPr>
            <w:tcW w:w="0" w:type="auto"/>
          </w:tcPr>
          <w:p w14:paraId="2E86A34D"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Hospitalizacija zbog nestabilne angine</w:t>
            </w:r>
          </w:p>
        </w:tc>
        <w:tc>
          <w:tcPr>
            <w:tcW w:w="0" w:type="auto"/>
          </w:tcPr>
          <w:p w14:paraId="2E86A34E"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116 (1,6)</w:t>
            </w:r>
          </w:p>
        </w:tc>
        <w:tc>
          <w:tcPr>
            <w:tcW w:w="0" w:type="auto"/>
          </w:tcPr>
          <w:p w14:paraId="2E86A34F"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0,5</w:t>
            </w:r>
          </w:p>
        </w:tc>
        <w:tc>
          <w:tcPr>
            <w:tcW w:w="0" w:type="auto"/>
          </w:tcPr>
          <w:p w14:paraId="2E86A350"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129 (1,8)</w:t>
            </w:r>
          </w:p>
        </w:tc>
        <w:tc>
          <w:tcPr>
            <w:tcW w:w="0" w:type="auto"/>
          </w:tcPr>
          <w:p w14:paraId="2E86A351"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0,6</w:t>
            </w:r>
          </w:p>
        </w:tc>
        <w:tc>
          <w:tcPr>
            <w:tcW w:w="0" w:type="auto"/>
          </w:tcPr>
          <w:p w14:paraId="2E86A352"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0,90 (0,70-1,16)</w:t>
            </w:r>
          </w:p>
        </w:tc>
        <w:tc>
          <w:tcPr>
            <w:tcW w:w="0" w:type="auto"/>
          </w:tcPr>
          <w:p w14:paraId="2E86A353"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0,419</w:t>
            </w:r>
          </w:p>
        </w:tc>
      </w:tr>
      <w:tr w:rsidR="00504DA5" w:rsidRPr="001870F3" w14:paraId="2E86A35C" w14:textId="77777777" w:rsidTr="005B56A9">
        <w:tc>
          <w:tcPr>
            <w:tcW w:w="0" w:type="auto"/>
          </w:tcPr>
          <w:p w14:paraId="2E86A355"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Smrt zbog bilo kog uzroka</w:t>
            </w:r>
          </w:p>
        </w:tc>
        <w:tc>
          <w:tcPr>
            <w:tcW w:w="0" w:type="auto"/>
          </w:tcPr>
          <w:p w14:paraId="2E86A356"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547 (7,5)</w:t>
            </w:r>
          </w:p>
        </w:tc>
        <w:tc>
          <w:tcPr>
            <w:tcW w:w="0" w:type="auto"/>
          </w:tcPr>
          <w:p w14:paraId="2E86A357"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2,5</w:t>
            </w:r>
          </w:p>
        </w:tc>
        <w:tc>
          <w:tcPr>
            <w:tcW w:w="0" w:type="auto"/>
          </w:tcPr>
          <w:p w14:paraId="2E86A358"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537 (7,3)</w:t>
            </w:r>
          </w:p>
        </w:tc>
        <w:tc>
          <w:tcPr>
            <w:tcW w:w="0" w:type="auto"/>
          </w:tcPr>
          <w:p w14:paraId="2E86A359"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2,5</w:t>
            </w:r>
          </w:p>
        </w:tc>
        <w:tc>
          <w:tcPr>
            <w:tcW w:w="0" w:type="auto"/>
          </w:tcPr>
          <w:p w14:paraId="2E86A35A"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1,01 (0,90-1,14)</w:t>
            </w:r>
          </w:p>
        </w:tc>
        <w:tc>
          <w:tcPr>
            <w:tcW w:w="0" w:type="auto"/>
          </w:tcPr>
          <w:p w14:paraId="2E86A35B"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0,875</w:t>
            </w:r>
          </w:p>
        </w:tc>
      </w:tr>
      <w:tr w:rsidR="00F8028A" w:rsidRPr="001870F3" w14:paraId="2E86A364" w14:textId="77777777" w:rsidTr="005B56A9">
        <w:tc>
          <w:tcPr>
            <w:tcW w:w="0" w:type="auto"/>
          </w:tcPr>
          <w:p w14:paraId="2E86A35D"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Hospitalizacija zbog srčane insuficijencije ‡</w:t>
            </w:r>
          </w:p>
        </w:tc>
        <w:tc>
          <w:tcPr>
            <w:tcW w:w="0" w:type="auto"/>
          </w:tcPr>
          <w:p w14:paraId="2E86A35E"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228 (3,1)</w:t>
            </w:r>
          </w:p>
        </w:tc>
        <w:tc>
          <w:tcPr>
            <w:tcW w:w="0" w:type="auto"/>
          </w:tcPr>
          <w:p w14:paraId="2E86A35F"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w:t>
            </w:r>
          </w:p>
        </w:tc>
        <w:tc>
          <w:tcPr>
            <w:tcW w:w="0" w:type="auto"/>
          </w:tcPr>
          <w:p w14:paraId="2E86A360"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229 (3,1)</w:t>
            </w:r>
          </w:p>
        </w:tc>
        <w:tc>
          <w:tcPr>
            <w:tcW w:w="0" w:type="auto"/>
          </w:tcPr>
          <w:p w14:paraId="2E86A361"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w:t>
            </w:r>
          </w:p>
        </w:tc>
        <w:tc>
          <w:tcPr>
            <w:tcW w:w="0" w:type="auto"/>
          </w:tcPr>
          <w:p w14:paraId="2E86A362"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1,00 (0,83-1,20)</w:t>
            </w:r>
          </w:p>
        </w:tc>
        <w:tc>
          <w:tcPr>
            <w:tcW w:w="0" w:type="auto"/>
          </w:tcPr>
          <w:p w14:paraId="2E86A363"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0,983</w:t>
            </w:r>
          </w:p>
        </w:tc>
      </w:tr>
    </w:tbl>
    <w:p w14:paraId="2E86A366" w14:textId="77777777" w:rsidR="006A552E" w:rsidRPr="005B56A9" w:rsidRDefault="0083424C" w:rsidP="001870F3">
      <w:pPr>
        <w:widowControl w:val="0"/>
        <w:tabs>
          <w:tab w:val="clear" w:pos="284"/>
        </w:tabs>
        <w:autoSpaceDE w:val="0"/>
        <w:autoSpaceDN w:val="0"/>
        <w:adjustRightInd w:val="0"/>
        <w:rPr>
          <w:rFonts w:eastAsia="TimesNewRoman"/>
          <w:sz w:val="20"/>
          <w:szCs w:val="22"/>
          <w:lang w:val="sr-Latn-ME"/>
        </w:rPr>
      </w:pPr>
      <w:r w:rsidRPr="005B56A9">
        <w:rPr>
          <w:rFonts w:eastAsia="TimesNewRoman"/>
          <w:sz w:val="20"/>
          <w:szCs w:val="22"/>
          <w:lang w:val="sr-Latn-ME"/>
        </w:rPr>
        <w:t>* Incidenca na 100 pacijent-godina je izračunata kao 100 x (ukupan broj pacijenata sa ≥ 1 događajem tokom izabranog perioda i</w:t>
      </w:r>
      <w:r w:rsidR="009854A1" w:rsidRPr="005B56A9">
        <w:rPr>
          <w:rFonts w:eastAsia="TimesNewRoman"/>
          <w:sz w:val="20"/>
          <w:szCs w:val="22"/>
          <w:lang w:val="sr-Latn-ME"/>
        </w:rPr>
        <w:t>zloženosti prema</w:t>
      </w:r>
      <w:r w:rsidR="00DF05FD" w:rsidRPr="005B56A9">
        <w:rPr>
          <w:rFonts w:eastAsia="TimesNewRoman"/>
          <w:sz w:val="20"/>
          <w:szCs w:val="22"/>
          <w:lang w:val="sr-Latn-ME"/>
        </w:rPr>
        <w:t xml:space="preserve"> ukupno</w:t>
      </w:r>
      <w:r w:rsidR="009854A1" w:rsidRPr="005B56A9">
        <w:rPr>
          <w:rFonts w:eastAsia="TimesNewRoman"/>
          <w:sz w:val="20"/>
          <w:szCs w:val="22"/>
          <w:lang w:val="sr-Latn-ME"/>
        </w:rPr>
        <w:t>m praćenju</w:t>
      </w:r>
      <w:r w:rsidRPr="005B56A9">
        <w:rPr>
          <w:rFonts w:eastAsia="TimesNewRoman"/>
          <w:sz w:val="20"/>
          <w:szCs w:val="22"/>
          <w:lang w:val="sr-Latn-ME"/>
        </w:rPr>
        <w:t xml:space="preserve"> pacijent-godina)</w:t>
      </w:r>
      <w:r w:rsidR="0052617E" w:rsidRPr="005B56A9">
        <w:rPr>
          <w:rFonts w:eastAsia="TimesNewRoman"/>
          <w:sz w:val="20"/>
          <w:szCs w:val="22"/>
          <w:lang w:val="sr-Latn-ME"/>
        </w:rPr>
        <w:t>.</w:t>
      </w:r>
      <w:r w:rsidRPr="005B56A9">
        <w:rPr>
          <w:rFonts w:eastAsia="TimesNewRoman"/>
          <w:sz w:val="20"/>
          <w:szCs w:val="22"/>
          <w:lang w:val="sr-Latn-ME"/>
        </w:rPr>
        <w:t xml:space="preserve"> </w:t>
      </w:r>
    </w:p>
    <w:p w14:paraId="2E86A367" w14:textId="3231192E" w:rsidR="008073FA" w:rsidRPr="005B56A9" w:rsidRDefault="008073FA" w:rsidP="001870F3">
      <w:pPr>
        <w:widowControl w:val="0"/>
        <w:tabs>
          <w:tab w:val="clear" w:pos="284"/>
        </w:tabs>
        <w:autoSpaceDE w:val="0"/>
        <w:autoSpaceDN w:val="0"/>
        <w:adjustRightInd w:val="0"/>
        <w:rPr>
          <w:rFonts w:eastAsia="TimesNewRoman"/>
          <w:sz w:val="20"/>
          <w:szCs w:val="22"/>
          <w:lang w:val="sr-Latn-ME"/>
        </w:rPr>
      </w:pPr>
      <w:r w:rsidRPr="005B56A9">
        <w:rPr>
          <w:rFonts w:eastAsia="TimesNewRoman"/>
          <w:sz w:val="20"/>
          <w:szCs w:val="22"/>
          <w:lang w:val="sr-Latn-ME"/>
        </w:rPr>
        <w:t>† Zasnovano na Cox modelu</w:t>
      </w:r>
      <w:r w:rsidR="001D6475" w:rsidRPr="005B56A9">
        <w:rPr>
          <w:rFonts w:eastAsia="TimesNewRoman"/>
          <w:sz w:val="20"/>
          <w:szCs w:val="22"/>
          <w:lang w:val="sr-Latn-ME"/>
        </w:rPr>
        <w:t xml:space="preserve"> stratifikovanom prema regionu</w:t>
      </w:r>
      <w:r w:rsidRPr="005B56A9">
        <w:rPr>
          <w:rFonts w:eastAsia="TimesNewRoman"/>
          <w:sz w:val="20"/>
          <w:szCs w:val="22"/>
          <w:lang w:val="sr-Latn-ME"/>
        </w:rPr>
        <w:t xml:space="preserve">. Za kombinovane </w:t>
      </w:r>
      <w:r w:rsidR="00D81E57" w:rsidRPr="005B56A9">
        <w:rPr>
          <w:rFonts w:eastAsia="TimesNewRoman"/>
          <w:sz w:val="20"/>
          <w:szCs w:val="22"/>
          <w:lang w:val="sr-Latn-ME"/>
        </w:rPr>
        <w:t>parametre praćenja</w:t>
      </w:r>
      <w:r w:rsidRPr="005B56A9">
        <w:rPr>
          <w:rFonts w:eastAsia="TimesNewRoman"/>
          <w:sz w:val="20"/>
          <w:szCs w:val="22"/>
          <w:lang w:val="sr-Latn-ME"/>
        </w:rPr>
        <w:t>, p-vr</w:t>
      </w:r>
      <w:r w:rsidR="00933743" w:rsidRPr="005B56A9">
        <w:rPr>
          <w:rFonts w:eastAsia="TimesNewRoman"/>
          <w:sz w:val="20"/>
          <w:szCs w:val="22"/>
          <w:lang w:val="sr-Latn-ME"/>
        </w:rPr>
        <w:t>ij</w:t>
      </w:r>
      <w:r w:rsidRPr="005B56A9">
        <w:rPr>
          <w:rFonts w:eastAsia="TimesNewRoman"/>
          <w:sz w:val="20"/>
          <w:szCs w:val="22"/>
          <w:lang w:val="sr-Latn-ME"/>
        </w:rPr>
        <w:t xml:space="preserve">ednosti odgovaraju testu ne-inferiornosti </w:t>
      </w:r>
      <w:r w:rsidR="003E33D7" w:rsidRPr="005B56A9">
        <w:rPr>
          <w:rFonts w:eastAsia="TimesNewRoman"/>
          <w:sz w:val="20"/>
          <w:szCs w:val="22"/>
          <w:lang w:val="sr-Latn-ME"/>
        </w:rPr>
        <w:t xml:space="preserve">koji treba da pokaže da je odnos rizika manji od 1,3. Za sve druge </w:t>
      </w:r>
      <w:r w:rsidR="00D81E57" w:rsidRPr="005B56A9">
        <w:rPr>
          <w:rFonts w:eastAsia="TimesNewRoman"/>
          <w:sz w:val="20"/>
          <w:szCs w:val="22"/>
          <w:lang w:val="sr-Latn-ME"/>
        </w:rPr>
        <w:t>parametre praćenjua</w:t>
      </w:r>
      <w:r w:rsidR="003E33D7" w:rsidRPr="005B56A9">
        <w:rPr>
          <w:rFonts w:eastAsia="TimesNewRoman"/>
          <w:sz w:val="20"/>
          <w:szCs w:val="22"/>
          <w:lang w:val="sr-Latn-ME"/>
        </w:rPr>
        <w:t>, p-vr</w:t>
      </w:r>
      <w:r w:rsidR="00797A1A" w:rsidRPr="005B56A9">
        <w:rPr>
          <w:rFonts w:eastAsia="TimesNewRoman"/>
          <w:sz w:val="20"/>
          <w:szCs w:val="22"/>
          <w:lang w:val="sr-Latn-ME"/>
        </w:rPr>
        <w:t>ije</w:t>
      </w:r>
      <w:r w:rsidR="003E33D7" w:rsidRPr="005B56A9">
        <w:rPr>
          <w:rFonts w:eastAsia="TimesNewRoman"/>
          <w:sz w:val="20"/>
          <w:szCs w:val="22"/>
          <w:lang w:val="sr-Latn-ME"/>
        </w:rPr>
        <w:t xml:space="preserve">dnosti odgovaraju testu razlika </w:t>
      </w:r>
      <w:r w:rsidR="0052617E" w:rsidRPr="005B56A9">
        <w:rPr>
          <w:rFonts w:eastAsia="TimesNewRoman"/>
          <w:sz w:val="20"/>
          <w:szCs w:val="22"/>
          <w:lang w:val="sr-Latn-ME"/>
        </w:rPr>
        <w:t>prema odnosu rizika.</w:t>
      </w:r>
    </w:p>
    <w:p w14:paraId="2E86A368" w14:textId="77777777" w:rsidR="003E33D7" w:rsidRPr="005B56A9" w:rsidRDefault="003E33D7" w:rsidP="001870F3">
      <w:pPr>
        <w:widowControl w:val="0"/>
        <w:tabs>
          <w:tab w:val="clear" w:pos="284"/>
        </w:tabs>
        <w:autoSpaceDE w:val="0"/>
        <w:autoSpaceDN w:val="0"/>
        <w:adjustRightInd w:val="0"/>
        <w:rPr>
          <w:rFonts w:eastAsia="TimesNewRoman"/>
          <w:sz w:val="20"/>
          <w:szCs w:val="22"/>
          <w:lang w:val="sr-Latn-ME"/>
        </w:rPr>
      </w:pPr>
      <w:r w:rsidRPr="005B56A9">
        <w:rPr>
          <w:rFonts w:eastAsia="TimesNewRoman"/>
          <w:sz w:val="20"/>
          <w:szCs w:val="22"/>
          <w:lang w:val="sr-Latn-ME"/>
        </w:rPr>
        <w:t>‡ Analiza hospitalizacije zbog srčane insuficijencije je bila usaglašena sa anamnestičkim podacima o srčanoj insuficijenciji na početku.</w:t>
      </w:r>
    </w:p>
    <w:p w14:paraId="2E86A369" w14:textId="77777777" w:rsidR="00F8028A" w:rsidRPr="001870F3" w:rsidRDefault="00F8028A" w:rsidP="001870F3">
      <w:pPr>
        <w:widowControl w:val="0"/>
        <w:tabs>
          <w:tab w:val="clear" w:pos="284"/>
        </w:tabs>
        <w:autoSpaceDE w:val="0"/>
        <w:autoSpaceDN w:val="0"/>
        <w:adjustRightInd w:val="0"/>
        <w:rPr>
          <w:rFonts w:eastAsia="TimesNewRoman"/>
          <w:szCs w:val="22"/>
          <w:lang w:val="sr-Latn-ME"/>
        </w:rPr>
      </w:pPr>
    </w:p>
    <w:p w14:paraId="2E86A36A" w14:textId="77777777" w:rsidR="006A552E" w:rsidRPr="001870F3" w:rsidRDefault="006A552E"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Pedijatrijska populacija</w:t>
      </w:r>
    </w:p>
    <w:p w14:paraId="2E86A36B" w14:textId="3952EBF0" w:rsidR="006A552E" w:rsidRPr="001870F3" w:rsidRDefault="006A552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Evropska agencija za l</w:t>
      </w:r>
      <w:r w:rsidR="004E4460" w:rsidRPr="001870F3">
        <w:rPr>
          <w:rFonts w:eastAsia="TimesNewRoman"/>
          <w:szCs w:val="22"/>
          <w:lang w:val="sr-Latn-ME"/>
        </w:rPr>
        <w:t>j</w:t>
      </w:r>
      <w:r w:rsidRPr="001870F3">
        <w:rPr>
          <w:rFonts w:eastAsia="TimesNewRoman"/>
          <w:szCs w:val="22"/>
          <w:lang w:val="sr-Latn-ME"/>
        </w:rPr>
        <w:t xml:space="preserve">ekove je odustala od dostavljanja rezultata studija </w:t>
      </w:r>
      <w:r w:rsidR="00D91A51" w:rsidRPr="001870F3">
        <w:rPr>
          <w:rFonts w:eastAsia="TimesNewRoman"/>
          <w:szCs w:val="22"/>
          <w:lang w:val="sr-Latn-ME"/>
        </w:rPr>
        <w:t xml:space="preserve">referentnog lijeka koji sadrži </w:t>
      </w:r>
      <w:r w:rsidR="006F38E8" w:rsidRPr="001870F3">
        <w:rPr>
          <w:rFonts w:eastAsia="TimesNewRoman"/>
          <w:szCs w:val="22"/>
          <w:lang w:val="sr-Latn-ME"/>
        </w:rPr>
        <w:t>kombinacij</w:t>
      </w:r>
      <w:r w:rsidR="00D91A51" w:rsidRPr="001870F3">
        <w:rPr>
          <w:rFonts w:eastAsia="TimesNewRoman"/>
          <w:szCs w:val="22"/>
          <w:lang w:val="sr-Latn-ME"/>
        </w:rPr>
        <w:t>u</w:t>
      </w:r>
      <w:r w:rsidR="007D4DCA" w:rsidRPr="001870F3">
        <w:rPr>
          <w:rFonts w:eastAsia="TimesNewRoman"/>
          <w:szCs w:val="22"/>
          <w:lang w:val="sr-Latn-ME"/>
        </w:rPr>
        <w:t xml:space="preserve"> </w:t>
      </w:r>
      <w:r w:rsidRPr="001870F3">
        <w:rPr>
          <w:rFonts w:eastAsia="TimesNewRoman"/>
          <w:szCs w:val="22"/>
          <w:lang w:val="sr-Latn-ME"/>
        </w:rPr>
        <w:t>metformin</w:t>
      </w:r>
      <w:r w:rsidR="007D4DCA" w:rsidRPr="001870F3">
        <w:rPr>
          <w:rFonts w:eastAsia="TimesNewRoman"/>
          <w:szCs w:val="22"/>
          <w:lang w:val="sr-Latn-ME"/>
        </w:rPr>
        <w:t>/sitagliptin</w:t>
      </w:r>
      <w:r w:rsidRPr="001870F3">
        <w:rPr>
          <w:rFonts w:eastAsia="TimesNewRoman"/>
          <w:szCs w:val="22"/>
          <w:lang w:val="sr-Latn-ME"/>
        </w:rPr>
        <w:t xml:space="preserve"> </w:t>
      </w:r>
      <w:r w:rsidR="00D91A51" w:rsidRPr="001870F3">
        <w:rPr>
          <w:rFonts w:eastAsia="TimesNewRoman"/>
          <w:szCs w:val="22"/>
          <w:lang w:val="sr-Latn-ME"/>
        </w:rPr>
        <w:t xml:space="preserve">u svim podgrupama </w:t>
      </w:r>
      <w:r w:rsidRPr="001870F3">
        <w:rPr>
          <w:rFonts w:eastAsia="TimesNewRoman"/>
          <w:szCs w:val="22"/>
          <w:lang w:val="sr-Latn-ME"/>
        </w:rPr>
        <w:t>pedijatrijsk</w:t>
      </w:r>
      <w:r w:rsidR="00D91A51" w:rsidRPr="001870F3">
        <w:rPr>
          <w:rFonts w:eastAsia="TimesNewRoman"/>
          <w:szCs w:val="22"/>
          <w:lang w:val="sr-Latn-ME"/>
        </w:rPr>
        <w:t>e</w:t>
      </w:r>
      <w:r w:rsidRPr="001870F3">
        <w:rPr>
          <w:rFonts w:eastAsia="TimesNewRoman"/>
          <w:szCs w:val="22"/>
          <w:lang w:val="sr-Latn-ME"/>
        </w:rPr>
        <w:t xml:space="preserve"> populacij</w:t>
      </w:r>
      <w:r w:rsidR="00D91A51" w:rsidRPr="001870F3">
        <w:rPr>
          <w:rFonts w:eastAsia="TimesNewRoman"/>
          <w:szCs w:val="22"/>
          <w:lang w:val="sr-Latn-ME"/>
        </w:rPr>
        <w:t>e</w:t>
      </w:r>
      <w:r w:rsidRPr="001870F3">
        <w:rPr>
          <w:rFonts w:eastAsia="TimesNewRoman"/>
          <w:szCs w:val="22"/>
          <w:lang w:val="sr-Latn-ME"/>
        </w:rPr>
        <w:t xml:space="preserve"> sa dijabetes melitusom tip 2 (</w:t>
      </w:r>
      <w:r w:rsidR="000220E4" w:rsidRPr="001870F3">
        <w:rPr>
          <w:rFonts w:eastAsia="TimesNewRoman"/>
          <w:szCs w:val="22"/>
          <w:lang w:val="sr-Latn-ME"/>
        </w:rPr>
        <w:t>pogledati dio</w:t>
      </w:r>
      <w:r w:rsidRPr="001870F3">
        <w:rPr>
          <w:rFonts w:eastAsia="TimesNewRoman"/>
          <w:szCs w:val="22"/>
          <w:lang w:val="sr-Latn-ME"/>
        </w:rPr>
        <w:t xml:space="preserve"> 4.2 za informacije o prim</w:t>
      </w:r>
      <w:r w:rsidR="004E4460" w:rsidRPr="001870F3">
        <w:rPr>
          <w:rFonts w:eastAsia="TimesNewRoman"/>
          <w:szCs w:val="22"/>
          <w:lang w:val="sr-Latn-ME"/>
        </w:rPr>
        <w:t>j</w:t>
      </w:r>
      <w:r w:rsidRPr="001870F3">
        <w:rPr>
          <w:rFonts w:eastAsia="TimesNewRoman"/>
          <w:szCs w:val="22"/>
          <w:lang w:val="sr-Latn-ME"/>
        </w:rPr>
        <w:t>eni l</w:t>
      </w:r>
      <w:r w:rsidR="004E4460" w:rsidRPr="001870F3">
        <w:rPr>
          <w:rFonts w:eastAsia="TimesNewRoman"/>
          <w:szCs w:val="22"/>
          <w:lang w:val="sr-Latn-ME"/>
        </w:rPr>
        <w:t>ij</w:t>
      </w:r>
      <w:r w:rsidRPr="001870F3">
        <w:rPr>
          <w:rFonts w:eastAsia="TimesNewRoman"/>
          <w:szCs w:val="22"/>
          <w:lang w:val="sr-Latn-ME"/>
        </w:rPr>
        <w:t>eka u pedijatrijskoj populaciji).</w:t>
      </w:r>
      <w:r w:rsidR="00965090" w:rsidRPr="001870F3">
        <w:rPr>
          <w:rFonts w:eastAsia="TimesNewRoman"/>
          <w:szCs w:val="22"/>
          <w:lang w:val="sr-Latn-ME"/>
        </w:rPr>
        <w:t xml:space="preserve"> </w:t>
      </w:r>
    </w:p>
    <w:p w14:paraId="49F66C0D" w14:textId="0D9C059B" w:rsidR="00A664D7" w:rsidRPr="001870F3" w:rsidRDefault="00A664D7" w:rsidP="001870F3">
      <w:pPr>
        <w:widowControl w:val="0"/>
        <w:tabs>
          <w:tab w:val="clear" w:pos="284"/>
        </w:tabs>
        <w:autoSpaceDE w:val="0"/>
        <w:autoSpaceDN w:val="0"/>
        <w:adjustRightInd w:val="0"/>
        <w:rPr>
          <w:rFonts w:eastAsia="TimesNewRoman"/>
          <w:szCs w:val="22"/>
          <w:lang w:val="sr-Latn-ME"/>
        </w:rPr>
      </w:pPr>
    </w:p>
    <w:p w14:paraId="673ACF51" w14:textId="78F6AE60" w:rsidR="00A664D7" w:rsidRPr="001870F3" w:rsidRDefault="00A664D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Bezb</w:t>
      </w:r>
      <w:r w:rsidR="00797A1A" w:rsidRPr="001870F3">
        <w:rPr>
          <w:rFonts w:eastAsia="TimesNewRoman"/>
          <w:szCs w:val="22"/>
          <w:lang w:val="sr-Latn-ME"/>
        </w:rPr>
        <w:t>j</w:t>
      </w:r>
      <w:r w:rsidRPr="001870F3">
        <w:rPr>
          <w:rFonts w:eastAsia="TimesNewRoman"/>
          <w:szCs w:val="22"/>
          <w:lang w:val="sr-Latn-ME"/>
        </w:rPr>
        <w:t>ednost i efikasnost dodavanja sitagliptina, kod pedijatrijskih pacijenata uzrasta od 10 do 17 godina, sa dijabetesom tipa 2 i neadekvatnom kontrolom glikemije, na terapiji metforminom sa ili bez insulina, proc</w:t>
      </w:r>
      <w:r w:rsidR="00797A1A" w:rsidRPr="001870F3">
        <w:rPr>
          <w:rFonts w:eastAsia="TimesNewRoman"/>
          <w:szCs w:val="22"/>
          <w:lang w:val="sr-Latn-ME"/>
        </w:rPr>
        <w:t>j</w:t>
      </w:r>
      <w:r w:rsidRPr="001870F3">
        <w:rPr>
          <w:rFonts w:eastAsia="TimesNewRoman"/>
          <w:szCs w:val="22"/>
          <w:lang w:val="sr-Latn-ME"/>
        </w:rPr>
        <w:t>enjena je u dv</w:t>
      </w:r>
      <w:r w:rsidR="00797A1A" w:rsidRPr="001870F3">
        <w:rPr>
          <w:rFonts w:eastAsia="TimesNewRoman"/>
          <w:szCs w:val="22"/>
          <w:lang w:val="sr-Latn-ME"/>
        </w:rPr>
        <w:t>ij</w:t>
      </w:r>
      <w:r w:rsidRPr="001870F3">
        <w:rPr>
          <w:rFonts w:eastAsia="TimesNewRoman"/>
          <w:szCs w:val="22"/>
          <w:lang w:val="sr-Latn-ME"/>
        </w:rPr>
        <w:t>e studije tokom 54 ned</w:t>
      </w:r>
      <w:r w:rsidR="00797A1A" w:rsidRPr="001870F3">
        <w:rPr>
          <w:rFonts w:eastAsia="TimesNewRoman"/>
          <w:szCs w:val="22"/>
          <w:lang w:val="sr-Latn-ME"/>
        </w:rPr>
        <w:t>j</w:t>
      </w:r>
      <w:r w:rsidRPr="001870F3">
        <w:rPr>
          <w:rFonts w:eastAsia="TimesNewRoman"/>
          <w:szCs w:val="22"/>
          <w:lang w:val="sr-Latn-ME"/>
        </w:rPr>
        <w:t>elje. Vršeno je upoređivanje dodavanja sitagliptina (prim</w:t>
      </w:r>
      <w:r w:rsidR="00A95939"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enjenog kao sitagliptin u kombinaciji sa metforminom ili kao sitagliptin u kombinaciji sa metforminom sa produženim oslobađanjem (XR)) sa dodavanjem placeba metforminu ili metforminu sa produženim oslobađanjem.</w:t>
      </w:r>
    </w:p>
    <w:p w14:paraId="56305175" w14:textId="77777777" w:rsidR="00A664D7" w:rsidRPr="001870F3" w:rsidRDefault="00A664D7" w:rsidP="001870F3">
      <w:pPr>
        <w:widowControl w:val="0"/>
        <w:tabs>
          <w:tab w:val="clear" w:pos="284"/>
        </w:tabs>
        <w:autoSpaceDE w:val="0"/>
        <w:autoSpaceDN w:val="0"/>
        <w:adjustRightInd w:val="0"/>
        <w:rPr>
          <w:rFonts w:eastAsia="TimesNewRoman"/>
          <w:szCs w:val="22"/>
          <w:lang w:val="sr-Latn-ME"/>
        </w:rPr>
      </w:pPr>
    </w:p>
    <w:p w14:paraId="16B1D916" w14:textId="3D323246" w:rsidR="00A664D7" w:rsidRPr="001870F3" w:rsidRDefault="00A664D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Dok je superiornost smanjenja HbA</w:t>
      </w:r>
      <w:r w:rsidRPr="001870F3">
        <w:rPr>
          <w:rFonts w:eastAsia="TimesNewRoman"/>
          <w:szCs w:val="22"/>
          <w:vertAlign w:val="subscript"/>
          <w:lang w:val="sr-Latn-ME"/>
        </w:rPr>
        <w:t>1c</w:t>
      </w:r>
      <w:r w:rsidRPr="001870F3">
        <w:rPr>
          <w:rFonts w:eastAsia="TimesNewRoman"/>
          <w:szCs w:val="22"/>
          <w:lang w:val="sr-Latn-ME"/>
        </w:rPr>
        <w:t xml:space="preserve"> prikazana za sitagliptin u kombinaciji sa metforminom /</w:t>
      </w:r>
      <w:r w:rsidR="00D91A51" w:rsidRPr="001870F3">
        <w:rPr>
          <w:rFonts w:eastAsia="TimesNewRoman"/>
          <w:szCs w:val="22"/>
          <w:lang w:val="sr-Latn-ME"/>
        </w:rPr>
        <w:t xml:space="preserve"> </w:t>
      </w:r>
      <w:r w:rsidRPr="001870F3">
        <w:rPr>
          <w:rFonts w:eastAsia="TimesNewRoman"/>
          <w:szCs w:val="22"/>
          <w:lang w:val="sr-Latn-ME"/>
        </w:rPr>
        <w:t>sitagliptin u kombinaciji sa metforminom XR, u odnosu na metformin u 20. ned</w:t>
      </w:r>
      <w:r w:rsidR="00A95939" w:rsidRPr="001870F3">
        <w:rPr>
          <w:rFonts w:eastAsia="TimesNewRoman"/>
          <w:szCs w:val="22"/>
          <w:lang w:val="sr-Latn-ME"/>
        </w:rPr>
        <w:t>j</w:t>
      </w:r>
      <w:r w:rsidRPr="001870F3">
        <w:rPr>
          <w:rFonts w:eastAsia="TimesNewRoman"/>
          <w:szCs w:val="22"/>
          <w:lang w:val="sr-Latn-ME"/>
        </w:rPr>
        <w:t>elji, u objedinjenoj analizi ove</w:t>
      </w:r>
      <w:r w:rsidR="00D91A51" w:rsidRPr="001870F3">
        <w:rPr>
          <w:rFonts w:eastAsia="TimesNewRoman"/>
          <w:szCs w:val="22"/>
          <w:lang w:val="sr-Latn-ME"/>
        </w:rPr>
        <w:t xml:space="preserve"> dvije</w:t>
      </w:r>
      <w:r w:rsidRPr="001870F3">
        <w:rPr>
          <w:rFonts w:eastAsia="TimesNewRoman"/>
          <w:szCs w:val="22"/>
          <w:lang w:val="sr-Latn-ME"/>
        </w:rPr>
        <w:t xml:space="preserve"> studije, rezultati pojedinačnih studija ni</w:t>
      </w:r>
      <w:r w:rsidR="00A95939" w:rsidRPr="001870F3">
        <w:rPr>
          <w:rFonts w:eastAsia="TimesNewRoman"/>
          <w:szCs w:val="22"/>
          <w:lang w:val="sr-Latn-ME"/>
        </w:rPr>
        <w:t>je</w:t>
      </w:r>
      <w:r w:rsidRPr="001870F3">
        <w:rPr>
          <w:rFonts w:eastAsia="TimesNewRoman"/>
          <w:szCs w:val="22"/>
          <w:lang w:val="sr-Latn-ME"/>
        </w:rPr>
        <w:t>su bili dosl</w:t>
      </w:r>
      <w:r w:rsidR="00A95939" w:rsidRPr="001870F3">
        <w:rPr>
          <w:rFonts w:eastAsia="TimesNewRoman"/>
          <w:szCs w:val="22"/>
          <w:lang w:val="sr-Latn-ME"/>
        </w:rPr>
        <w:t>j</w:t>
      </w:r>
      <w:r w:rsidRPr="001870F3">
        <w:rPr>
          <w:rFonts w:eastAsia="TimesNewRoman"/>
          <w:szCs w:val="22"/>
          <w:lang w:val="sr-Latn-ME"/>
        </w:rPr>
        <w:t>edni. Štaviše, nije prim</w:t>
      </w:r>
      <w:r w:rsidR="00A95939"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ećena veća efikasnost za sitagliptin u kombinaciji sa metforminom / sitagliptin u kombinaciji sa metforminom XR u poređenju sa metforminom u 54. ned</w:t>
      </w:r>
      <w:r w:rsidR="00A95939" w:rsidRPr="001870F3">
        <w:rPr>
          <w:rFonts w:eastAsia="TimesNewRoman"/>
          <w:szCs w:val="22"/>
          <w:lang w:val="sr-Latn-ME"/>
        </w:rPr>
        <w:t>j</w:t>
      </w:r>
      <w:r w:rsidRPr="001870F3">
        <w:rPr>
          <w:rFonts w:eastAsia="TimesNewRoman"/>
          <w:szCs w:val="22"/>
          <w:lang w:val="sr-Latn-ME"/>
        </w:rPr>
        <w:t xml:space="preserve">elji. </w:t>
      </w:r>
      <w:r w:rsidR="00A95939" w:rsidRPr="001870F3">
        <w:rPr>
          <w:rFonts w:eastAsia="TimesNewRoman"/>
          <w:szCs w:val="22"/>
          <w:lang w:val="sr-Latn-ME"/>
        </w:rPr>
        <w:t>Zbog toga,</w:t>
      </w:r>
      <w:r w:rsidRPr="001870F3">
        <w:rPr>
          <w:rFonts w:eastAsia="TimesNewRoman"/>
          <w:szCs w:val="22"/>
          <w:lang w:val="sr-Latn-ME"/>
        </w:rPr>
        <w:t xml:space="preserve"> l</w:t>
      </w:r>
      <w:r w:rsidR="00797A1A" w:rsidRPr="001870F3">
        <w:rPr>
          <w:rFonts w:eastAsia="TimesNewRoman"/>
          <w:szCs w:val="22"/>
          <w:lang w:val="sr-Latn-ME"/>
        </w:rPr>
        <w:t>ij</w:t>
      </w:r>
      <w:r w:rsidRPr="001870F3">
        <w:rPr>
          <w:rFonts w:eastAsia="TimesNewRoman"/>
          <w:szCs w:val="22"/>
          <w:lang w:val="sr-Latn-ME"/>
        </w:rPr>
        <w:t>ek Dolista Duo ne bi trebalo prim</w:t>
      </w:r>
      <w:r w:rsidR="00797A1A" w:rsidRPr="001870F3">
        <w:rPr>
          <w:rFonts w:eastAsia="TimesNewRoman"/>
          <w:szCs w:val="22"/>
          <w:lang w:val="sr-Latn-ME"/>
        </w:rPr>
        <w:t>j</w:t>
      </w:r>
      <w:r w:rsidRPr="001870F3">
        <w:rPr>
          <w:rFonts w:eastAsia="TimesNewRoman"/>
          <w:szCs w:val="22"/>
          <w:lang w:val="sr-Latn-ME"/>
        </w:rPr>
        <w:t xml:space="preserve">enjivati kod pedijatrijskih pacijenata uzrasta od 10 do 17 godina, zbog nedovoljne efikasnosti (za informacije o upotrebi u pedijatrijskoj populaciji </w:t>
      </w:r>
      <w:r w:rsidR="00797A1A" w:rsidRPr="001870F3">
        <w:rPr>
          <w:rFonts w:eastAsia="TimesNewRoman"/>
          <w:szCs w:val="22"/>
          <w:lang w:val="sr-Latn-ME"/>
        </w:rPr>
        <w:t xml:space="preserve">pogledati dio </w:t>
      </w:r>
      <w:r w:rsidRPr="001870F3">
        <w:rPr>
          <w:rFonts w:eastAsia="TimesNewRoman"/>
          <w:szCs w:val="22"/>
          <w:lang w:val="sr-Latn-ME"/>
        </w:rPr>
        <w:t>4.2).</w:t>
      </w:r>
    </w:p>
    <w:p w14:paraId="358FC30E" w14:textId="77777777" w:rsidR="00A664D7" w:rsidRPr="001870F3" w:rsidRDefault="00A664D7" w:rsidP="001870F3">
      <w:pPr>
        <w:widowControl w:val="0"/>
        <w:tabs>
          <w:tab w:val="clear" w:pos="284"/>
        </w:tabs>
        <w:autoSpaceDE w:val="0"/>
        <w:autoSpaceDN w:val="0"/>
        <w:adjustRightInd w:val="0"/>
        <w:rPr>
          <w:rFonts w:eastAsia="TimesNewRoman"/>
          <w:szCs w:val="22"/>
          <w:lang w:val="sr-Latn-ME"/>
        </w:rPr>
      </w:pPr>
    </w:p>
    <w:p w14:paraId="2E86A36D" w14:textId="46BBEE2C" w:rsidR="00CE09F3" w:rsidRPr="001870F3" w:rsidRDefault="00CE09F3" w:rsidP="001870F3">
      <w:pPr>
        <w:widowControl w:val="0"/>
        <w:rPr>
          <w:b/>
          <w:bCs/>
          <w:szCs w:val="22"/>
          <w:lang w:val="sr-Latn-ME"/>
        </w:rPr>
      </w:pPr>
      <w:r w:rsidRPr="001870F3">
        <w:rPr>
          <w:b/>
          <w:bCs/>
          <w:szCs w:val="22"/>
          <w:lang w:val="sr-Latn-ME"/>
        </w:rPr>
        <w:t>5.2. Farmakokinetički podaci</w:t>
      </w:r>
    </w:p>
    <w:p w14:paraId="32ACE2A8" w14:textId="2D800440" w:rsidR="007F147D" w:rsidRPr="001870F3" w:rsidRDefault="007F147D" w:rsidP="001870F3">
      <w:pPr>
        <w:widowControl w:val="0"/>
        <w:rPr>
          <w:b/>
          <w:bCs/>
          <w:szCs w:val="22"/>
          <w:lang w:val="sr-Latn-ME"/>
        </w:rPr>
      </w:pPr>
    </w:p>
    <w:p w14:paraId="7C01FCBA" w14:textId="77777777" w:rsidR="007F147D" w:rsidRPr="001870F3" w:rsidRDefault="007F147D"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Kombinacija metformin/sitagliptin</w:t>
      </w:r>
    </w:p>
    <w:p w14:paraId="73496A7F" w14:textId="77777777" w:rsidR="007F147D" w:rsidRPr="001870F3" w:rsidRDefault="007F147D" w:rsidP="001870F3">
      <w:pPr>
        <w:widowControl w:val="0"/>
        <w:tabs>
          <w:tab w:val="clear" w:pos="284"/>
        </w:tabs>
        <w:autoSpaceDE w:val="0"/>
        <w:autoSpaceDN w:val="0"/>
        <w:adjustRightInd w:val="0"/>
        <w:rPr>
          <w:rFonts w:eastAsia="TimesNewRoman"/>
          <w:szCs w:val="22"/>
          <w:lang w:val="sr-Latn-ME"/>
        </w:rPr>
      </w:pPr>
    </w:p>
    <w:p w14:paraId="62877EF3" w14:textId="2D578E0F" w:rsidR="007F147D" w:rsidRPr="001870F3" w:rsidRDefault="007F147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Studija bioekvivalenc</w:t>
      </w:r>
      <w:r w:rsidR="006842B4" w:rsidRPr="001870F3">
        <w:rPr>
          <w:rFonts w:eastAsia="TimesNewRoman"/>
          <w:szCs w:val="22"/>
          <w:lang w:val="sr-Latn-ME"/>
        </w:rPr>
        <w:t>ij</w:t>
      </w:r>
      <w:r w:rsidRPr="001870F3">
        <w:rPr>
          <w:rFonts w:eastAsia="TimesNewRoman"/>
          <w:szCs w:val="22"/>
          <w:lang w:val="sr-Latn-ME"/>
        </w:rPr>
        <w:t>e sprovedena kod zdravih ispitanika je pokazala da je kombinacija metformin/sitagliptin u jednoj tableti bioekvivalentna istovremeno prim</w:t>
      </w:r>
      <w:r w:rsidR="00A95939"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enjenim sitagliptinu i metforminu u odvojenim tabletama.</w:t>
      </w:r>
    </w:p>
    <w:p w14:paraId="031E1104" w14:textId="77777777" w:rsidR="007F147D" w:rsidRPr="001870F3" w:rsidRDefault="007F147D" w:rsidP="001870F3">
      <w:pPr>
        <w:widowControl w:val="0"/>
        <w:tabs>
          <w:tab w:val="clear" w:pos="284"/>
        </w:tabs>
        <w:autoSpaceDE w:val="0"/>
        <w:autoSpaceDN w:val="0"/>
        <w:adjustRightInd w:val="0"/>
        <w:rPr>
          <w:rFonts w:eastAsia="TimesNewRoman"/>
          <w:szCs w:val="22"/>
          <w:lang w:val="sr-Latn-ME"/>
        </w:rPr>
      </w:pPr>
    </w:p>
    <w:p w14:paraId="337F66AC" w14:textId="7656FF76" w:rsidR="007F147D" w:rsidRPr="001870F3" w:rsidRDefault="007F147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nastavku su navedene farmakokinetičke osobine pojedinačno prim</w:t>
      </w:r>
      <w:r w:rsidR="00D91A51"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enjenih aktivnih supstanci metformin i sitagliptin.</w:t>
      </w:r>
    </w:p>
    <w:p w14:paraId="46B1A927" w14:textId="28B323E5"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4E3B3CA3" w14:textId="77777777" w:rsidR="000E7534" w:rsidRPr="001870F3" w:rsidRDefault="000E7534"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w:t>
      </w:r>
    </w:p>
    <w:p w14:paraId="6E1F78AB"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Resorpcija</w:t>
      </w:r>
    </w:p>
    <w:p w14:paraId="486517A8" w14:textId="54FD564A"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w:t>
      </w:r>
      <w:r w:rsidRPr="001870F3">
        <w:rPr>
          <w:rFonts w:eastAsia="TimesNewRoman"/>
          <w:szCs w:val="22"/>
          <w:vertAlign w:val="subscript"/>
          <w:lang w:val="sr-Latn-ME"/>
        </w:rPr>
        <w:t>max</w:t>
      </w:r>
      <w:r w:rsidRPr="001870F3">
        <w:rPr>
          <w:rFonts w:eastAsia="TimesNewRoman"/>
          <w:szCs w:val="22"/>
          <w:lang w:val="sr-Latn-ME"/>
        </w:rPr>
        <w:t xml:space="preserve"> se dostiže 2,5 h nakon oralne doze metformina. Apsolutna bioraspoloživost tablete od 500 mg metformina iznosi oko 50-60% kod zdravih ispitanika. Neresorbovan dio nakon oralne doze koja se nadoknadila u fecesu iznosio je 20-30%.</w:t>
      </w:r>
    </w:p>
    <w:p w14:paraId="15E429EE"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3CE69495" w14:textId="2D1897D6"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Resorpcija metformina nakon oralne primjene je zasićena i nepotpuna. Pretpostavlja se da je farmakokinetika</w:t>
      </w:r>
      <w:r w:rsidR="00297559" w:rsidRPr="001870F3">
        <w:rPr>
          <w:rFonts w:eastAsia="TimesNewRoman"/>
          <w:szCs w:val="22"/>
          <w:lang w:val="sr-Latn-ME"/>
        </w:rPr>
        <w:t xml:space="preserve"> </w:t>
      </w:r>
      <w:r w:rsidR="00D91A51" w:rsidRPr="001870F3">
        <w:rPr>
          <w:rFonts w:eastAsia="TimesNewRoman"/>
          <w:szCs w:val="22"/>
          <w:lang w:val="sr-Latn-ME"/>
        </w:rPr>
        <w:t>re</w:t>
      </w:r>
      <w:r w:rsidRPr="001870F3">
        <w:rPr>
          <w:rFonts w:eastAsia="TimesNewRoman"/>
          <w:szCs w:val="22"/>
          <w:lang w:val="sr-Latn-ME"/>
        </w:rPr>
        <w:t xml:space="preserve">sorpcije metformina nelinearna. </w:t>
      </w:r>
      <w:r w:rsidR="0008292E" w:rsidRPr="001870F3">
        <w:rPr>
          <w:rFonts w:eastAsia="TimesNewRoman"/>
          <w:szCs w:val="22"/>
          <w:lang w:val="sr-Latn-ME"/>
        </w:rPr>
        <w:t>Ravnotežne k</w:t>
      </w:r>
      <w:r w:rsidRPr="001870F3">
        <w:rPr>
          <w:rFonts w:eastAsia="TimesNewRoman"/>
          <w:szCs w:val="22"/>
          <w:lang w:val="sr-Latn-ME"/>
        </w:rPr>
        <w:t>oncentracije u plazmi dostižu se za 24-48 h kod uobičajenih doza metformina i rasporeda doza i obično iznose manje od 1 mikrogram/m</w:t>
      </w:r>
      <w:r w:rsidR="0008292E" w:rsidRPr="001870F3">
        <w:rPr>
          <w:rFonts w:eastAsia="TimesNewRoman"/>
          <w:szCs w:val="22"/>
          <w:lang w:val="sr-Latn-ME"/>
        </w:rPr>
        <w:t>l</w:t>
      </w:r>
      <w:r w:rsidRPr="001870F3">
        <w:rPr>
          <w:rFonts w:eastAsia="TimesNewRoman"/>
          <w:szCs w:val="22"/>
          <w:lang w:val="sr-Latn-ME"/>
        </w:rPr>
        <w:t>. Maksimalan nivo metformina u plazmi (C</w:t>
      </w:r>
      <w:r w:rsidRPr="001870F3">
        <w:rPr>
          <w:rFonts w:eastAsia="TimesNewRoman"/>
          <w:szCs w:val="22"/>
          <w:vertAlign w:val="subscript"/>
          <w:lang w:val="sr-Latn-ME"/>
        </w:rPr>
        <w:t>max</w:t>
      </w:r>
      <w:r w:rsidRPr="001870F3">
        <w:rPr>
          <w:rFonts w:eastAsia="TimesNewRoman"/>
          <w:szCs w:val="22"/>
          <w:lang w:val="sr-Latn-ME"/>
        </w:rPr>
        <w:t>) u kontrolisanim kliničkim ispitivanjima nije prelazio 5 mikrograma/ml čak ni kod maksimalnih doza.</w:t>
      </w:r>
    </w:p>
    <w:p w14:paraId="74DEFEB4"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29DE32C8" w14:textId="68E9E861"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Hrana umanjuje stopu resorpcije metformina i neznatno je odlaže. Nakon primjene doze od 850 mg prim</w:t>
      </w:r>
      <w:r w:rsidR="0008292E" w:rsidRPr="001870F3">
        <w:rPr>
          <w:rFonts w:eastAsia="TimesNewRoman"/>
          <w:szCs w:val="22"/>
          <w:lang w:val="sr-Latn-ME"/>
        </w:rPr>
        <w:t>i</w:t>
      </w:r>
      <w:r w:rsidRPr="001870F3">
        <w:rPr>
          <w:rFonts w:eastAsia="TimesNewRoman"/>
          <w:szCs w:val="22"/>
          <w:lang w:val="sr-Latn-ME"/>
        </w:rPr>
        <w:t>jećena je maksimalna koncentracija u plazmi manja za 40%, smanjenje PIK za 25% i produženo vrijeme do maksimalne koncentracije u plazmi za 35 minuta. Nije poznat klinički značaj ovog smanjenja.</w:t>
      </w:r>
    </w:p>
    <w:p w14:paraId="4C4EF201"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0BA6F7EB"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Distribucija</w:t>
      </w:r>
    </w:p>
    <w:p w14:paraId="1F81A6E6" w14:textId="2385C84E"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Vezivanje za proteine plazme je zanemarljivo. Metformin </w:t>
      </w:r>
      <w:r w:rsidR="0008292E" w:rsidRPr="001870F3">
        <w:rPr>
          <w:rFonts w:eastAsia="TimesNewRoman"/>
          <w:szCs w:val="22"/>
          <w:lang w:val="sr-Latn-ME"/>
        </w:rPr>
        <w:t>ulazi</w:t>
      </w:r>
      <w:r w:rsidRPr="001870F3">
        <w:rPr>
          <w:rFonts w:eastAsia="TimesNewRoman"/>
          <w:szCs w:val="22"/>
          <w:lang w:val="sr-Latn-ME"/>
        </w:rPr>
        <w:t xml:space="preserve"> u eritrocite. Maksimalna vrijednost u krvi je niža od maksimalne vrijednosti u plazmi i do njih dolazi skoro u isto vrijeme. </w:t>
      </w:r>
      <w:r w:rsidR="0008292E" w:rsidRPr="001870F3">
        <w:rPr>
          <w:rFonts w:eastAsia="TimesNewRoman"/>
          <w:szCs w:val="22"/>
          <w:lang w:val="sr-Latn-ME"/>
        </w:rPr>
        <w:t xml:space="preserve">Eritrociti </w:t>
      </w:r>
      <w:r w:rsidRPr="001870F3">
        <w:rPr>
          <w:rFonts w:eastAsia="TimesNewRoman"/>
          <w:szCs w:val="22"/>
          <w:lang w:val="sr-Latn-ME"/>
        </w:rPr>
        <w:t xml:space="preserve">najvjerovatnije predstavljaju </w:t>
      </w:r>
      <w:r w:rsidR="006B4258" w:rsidRPr="001870F3">
        <w:rPr>
          <w:rFonts w:eastAsia="TimesNewRoman"/>
          <w:szCs w:val="22"/>
          <w:lang w:val="sr-Latn-ME"/>
        </w:rPr>
        <w:t>sekundarn</w:t>
      </w:r>
      <w:r w:rsidR="0008292E" w:rsidRPr="001870F3">
        <w:rPr>
          <w:rFonts w:eastAsia="TimesNewRoman"/>
          <w:szCs w:val="22"/>
          <w:lang w:val="sr-Latn-ME"/>
        </w:rPr>
        <w:t>i prostor distribucije</w:t>
      </w:r>
      <w:r w:rsidRPr="001870F3">
        <w:rPr>
          <w:rFonts w:eastAsia="TimesNewRoman"/>
          <w:szCs w:val="22"/>
          <w:lang w:val="sr-Latn-ME"/>
        </w:rPr>
        <w:t>. Srednji Vd bio je u rasponu od 63 do 276</w:t>
      </w:r>
      <w:r w:rsidR="0008292E" w:rsidRPr="001870F3">
        <w:rPr>
          <w:rFonts w:eastAsia="TimesNewRoman"/>
          <w:szCs w:val="22"/>
          <w:lang w:val="sr-Latn-ME"/>
        </w:rPr>
        <w:t>l</w:t>
      </w:r>
      <w:r w:rsidRPr="001870F3">
        <w:rPr>
          <w:rFonts w:eastAsia="TimesNewRoman"/>
          <w:szCs w:val="22"/>
          <w:lang w:val="sr-Latn-ME"/>
        </w:rPr>
        <w:t>.</w:t>
      </w:r>
    </w:p>
    <w:p w14:paraId="4BEC85B1"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4BD1C3B9"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Metabolizam</w:t>
      </w:r>
    </w:p>
    <w:p w14:paraId="494E63AD" w14:textId="4A0731D3"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se izlučuje u urinu u neizm</w:t>
      </w:r>
      <w:r w:rsidR="0008292E" w:rsidRPr="001870F3">
        <w:rPr>
          <w:rFonts w:eastAsia="TimesNewRoman"/>
          <w:szCs w:val="22"/>
          <w:lang w:val="sr-Latn-ME"/>
        </w:rPr>
        <w:t>i</w:t>
      </w:r>
      <w:r w:rsidRPr="001870F3">
        <w:rPr>
          <w:rFonts w:eastAsia="TimesNewRoman"/>
          <w:szCs w:val="22"/>
          <w:lang w:val="sr-Latn-ME"/>
        </w:rPr>
        <w:t>jenjenom obliku. Kod ljudi ni</w:t>
      </w:r>
      <w:r w:rsidR="00A95939" w:rsidRPr="001870F3">
        <w:rPr>
          <w:rFonts w:eastAsia="TimesNewRoman"/>
          <w:szCs w:val="22"/>
          <w:lang w:val="sr-Latn-ME"/>
        </w:rPr>
        <w:t>je</w:t>
      </w:r>
      <w:r w:rsidRPr="001870F3">
        <w:rPr>
          <w:rFonts w:eastAsia="TimesNewRoman"/>
          <w:szCs w:val="22"/>
          <w:lang w:val="sr-Latn-ME"/>
        </w:rPr>
        <w:t>su otkriveni metaboliti.</w:t>
      </w:r>
    </w:p>
    <w:p w14:paraId="5F52CB06"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06438398"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Eliminacija</w:t>
      </w:r>
    </w:p>
    <w:p w14:paraId="671C0C99" w14:textId="2B6000B7"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Klirens metformina preko bubrega iznosi &gt; 400 m</w:t>
      </w:r>
      <w:r w:rsidR="0008292E" w:rsidRPr="001870F3">
        <w:rPr>
          <w:rFonts w:eastAsia="TimesNewRoman"/>
          <w:szCs w:val="22"/>
          <w:lang w:val="sr-Latn-ME"/>
        </w:rPr>
        <w:t>l</w:t>
      </w:r>
      <w:r w:rsidRPr="001870F3">
        <w:rPr>
          <w:rFonts w:eastAsia="TimesNewRoman"/>
          <w:szCs w:val="22"/>
          <w:lang w:val="sr-Latn-ME"/>
        </w:rPr>
        <w:t>/min, što ukazuje da se metformin eliminiše glomerularnom filtracijom i tubularnom sekrecijom. Prividno krajnje poluvrijeme eliminacije nakon oralne doze iznosi oko 6,5 sati. Kada je oštećena funkcija bubrega, smanjuje se klirens preko bubrega proporcionalno klirensu kreatinina, pa se produžava poluvrijeme eliminacije što dovodi do povišenih nivoa metformina u plazmi.</w:t>
      </w:r>
    </w:p>
    <w:p w14:paraId="7B74E327"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2E86A36F" w14:textId="77777777" w:rsidR="00BE630C" w:rsidRPr="001870F3" w:rsidRDefault="00BE630C"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Sitagliptin</w:t>
      </w:r>
    </w:p>
    <w:p w14:paraId="2E86A370"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71" w14:textId="77777777"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Resorpcija</w:t>
      </w:r>
    </w:p>
    <w:p w14:paraId="2E86A374" w14:textId="2104BAE8"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se brzo resorbovao nakon oralne prim</w:t>
      </w:r>
      <w:r w:rsidR="004E4460" w:rsidRPr="001870F3">
        <w:rPr>
          <w:rFonts w:eastAsia="TimesNewRoman"/>
          <w:szCs w:val="22"/>
          <w:lang w:val="sr-Latn-ME"/>
        </w:rPr>
        <w:t>j</w:t>
      </w:r>
      <w:r w:rsidRPr="001870F3">
        <w:rPr>
          <w:rFonts w:eastAsia="TimesNewRoman"/>
          <w:szCs w:val="22"/>
          <w:lang w:val="sr-Latn-ME"/>
        </w:rPr>
        <w:t xml:space="preserve">ene doze od 100 mg kod zdravih ispitanika, uz </w:t>
      </w:r>
      <w:r w:rsidR="001F5C5F" w:rsidRPr="001870F3">
        <w:rPr>
          <w:rFonts w:eastAsia="TimesNewRoman"/>
          <w:szCs w:val="22"/>
          <w:lang w:val="sr-Latn-ME"/>
        </w:rPr>
        <w:t xml:space="preserve">maksymalne </w:t>
      </w:r>
      <w:r w:rsidRPr="001870F3">
        <w:rPr>
          <w:rFonts w:eastAsia="TimesNewRoman"/>
          <w:szCs w:val="22"/>
          <w:lang w:val="sr-Latn-ME"/>
        </w:rPr>
        <w:t>koncentracije u plazmi (srednje T</w:t>
      </w:r>
      <w:r w:rsidRPr="001870F3">
        <w:rPr>
          <w:rFonts w:eastAsia="TimesNewRoman"/>
          <w:szCs w:val="22"/>
          <w:vertAlign w:val="subscript"/>
          <w:lang w:val="sr-Latn-ME"/>
        </w:rPr>
        <w:t>max</w:t>
      </w:r>
      <w:r w:rsidRPr="001870F3">
        <w:rPr>
          <w:rFonts w:eastAsia="TimesNewRoman"/>
          <w:szCs w:val="22"/>
          <w:lang w:val="sr-Latn-ME"/>
        </w:rPr>
        <w:t xml:space="preserve">) koje su se javljale od 1 do 4 sata nakon doze, srednja </w:t>
      </w:r>
      <w:r w:rsidR="0008292E" w:rsidRPr="001870F3">
        <w:rPr>
          <w:rFonts w:eastAsia="TimesNewRoman"/>
          <w:szCs w:val="22"/>
          <w:lang w:val="sr-Latn-ME"/>
        </w:rPr>
        <w:t xml:space="preserve">vrijednost </w:t>
      </w:r>
      <w:r w:rsidRPr="001870F3">
        <w:rPr>
          <w:rFonts w:eastAsia="TimesNewRoman"/>
          <w:szCs w:val="22"/>
          <w:lang w:val="sr-Latn-ME"/>
        </w:rPr>
        <w:t>PIK sitagliptina u plazmi iznosila je 8,53 mikroM· hr, C</w:t>
      </w:r>
      <w:r w:rsidRPr="001870F3">
        <w:rPr>
          <w:rFonts w:eastAsia="TimesNewRoman"/>
          <w:szCs w:val="22"/>
          <w:vertAlign w:val="subscript"/>
          <w:lang w:val="sr-Latn-ME"/>
        </w:rPr>
        <w:t xml:space="preserve">max </w:t>
      </w:r>
      <w:r w:rsidRPr="001870F3">
        <w:rPr>
          <w:rFonts w:eastAsia="TimesNewRoman"/>
          <w:szCs w:val="22"/>
          <w:lang w:val="sr-Latn-ME"/>
        </w:rPr>
        <w:t>je iznosila 950 nM. Apsolutna bioraspoloživost sitagliptina iznosi oko 87%. Pošto istovremena prim</w:t>
      </w:r>
      <w:r w:rsidR="004E4460" w:rsidRPr="001870F3">
        <w:rPr>
          <w:rFonts w:eastAsia="TimesNewRoman"/>
          <w:szCs w:val="22"/>
          <w:lang w:val="sr-Latn-ME"/>
        </w:rPr>
        <w:t>j</w:t>
      </w:r>
      <w:r w:rsidRPr="001870F3">
        <w:rPr>
          <w:rFonts w:eastAsia="TimesNewRoman"/>
          <w:szCs w:val="22"/>
          <w:lang w:val="sr-Latn-ME"/>
        </w:rPr>
        <w:t>ena obroka bogatog mastima uz sitagliptin nije imala uticaja na farmakokinetiku, sitagliptin se može prim</w:t>
      </w:r>
      <w:r w:rsidR="00A95939" w:rsidRPr="001870F3">
        <w:rPr>
          <w:rFonts w:eastAsia="TimesNewRoman"/>
          <w:szCs w:val="22"/>
          <w:lang w:val="sr-Latn-ME"/>
        </w:rPr>
        <w:t>j</w:t>
      </w:r>
      <w:r w:rsidRPr="001870F3">
        <w:rPr>
          <w:rFonts w:eastAsia="TimesNewRoman"/>
          <w:szCs w:val="22"/>
          <w:lang w:val="sr-Latn-ME"/>
        </w:rPr>
        <w:t>enjivati uz hranu ili bez nje.</w:t>
      </w:r>
    </w:p>
    <w:p w14:paraId="3A9F5C03" w14:textId="77777777" w:rsidR="00F67E88" w:rsidRPr="001870F3" w:rsidRDefault="00F67E88" w:rsidP="001870F3">
      <w:pPr>
        <w:widowControl w:val="0"/>
        <w:tabs>
          <w:tab w:val="clear" w:pos="284"/>
        </w:tabs>
        <w:autoSpaceDE w:val="0"/>
        <w:autoSpaceDN w:val="0"/>
        <w:adjustRightInd w:val="0"/>
        <w:rPr>
          <w:rFonts w:eastAsia="TimesNewRoman"/>
          <w:szCs w:val="22"/>
          <w:lang w:val="sr-Latn-ME"/>
        </w:rPr>
      </w:pPr>
    </w:p>
    <w:p w14:paraId="2E86A375"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PIK sitagliptina u plazmi se povećavao proporcionalno dozi. Proporcionalnost u odnosu na dozu nije utvrđena kod C</w:t>
      </w:r>
      <w:r w:rsidRPr="001870F3">
        <w:rPr>
          <w:rFonts w:eastAsia="TimesNewRoman"/>
          <w:szCs w:val="22"/>
          <w:vertAlign w:val="subscript"/>
          <w:lang w:val="sr-Latn-ME"/>
        </w:rPr>
        <w:t>max</w:t>
      </w:r>
      <w:r w:rsidRPr="001870F3">
        <w:rPr>
          <w:rFonts w:eastAsia="TimesNewRoman"/>
          <w:szCs w:val="22"/>
          <w:lang w:val="sr-Latn-ME"/>
        </w:rPr>
        <w:t xml:space="preserve"> i C</w:t>
      </w:r>
      <w:r w:rsidRPr="001870F3">
        <w:rPr>
          <w:rFonts w:eastAsia="TimesNewRoman"/>
          <w:szCs w:val="22"/>
          <w:vertAlign w:val="subscript"/>
          <w:lang w:val="sr-Latn-ME"/>
        </w:rPr>
        <w:t>24hr</w:t>
      </w:r>
      <w:r w:rsidRPr="001870F3">
        <w:rPr>
          <w:rFonts w:eastAsia="TimesNewRoman"/>
          <w:szCs w:val="22"/>
          <w:lang w:val="sr-Latn-ME"/>
        </w:rPr>
        <w:t xml:space="preserve"> (C</w:t>
      </w:r>
      <w:r w:rsidRPr="001870F3">
        <w:rPr>
          <w:rFonts w:eastAsia="TimesNewRoman"/>
          <w:szCs w:val="22"/>
          <w:vertAlign w:val="subscript"/>
          <w:lang w:val="sr-Latn-ME"/>
        </w:rPr>
        <w:t>max</w:t>
      </w:r>
      <w:r w:rsidRPr="001870F3">
        <w:rPr>
          <w:rFonts w:eastAsia="TimesNewRoman"/>
          <w:szCs w:val="22"/>
          <w:lang w:val="sr-Latn-ME"/>
        </w:rPr>
        <w:t xml:space="preserve"> se povećala više nego proporcionalno dozi, a C</w:t>
      </w:r>
      <w:r w:rsidRPr="001870F3">
        <w:rPr>
          <w:rFonts w:eastAsia="TimesNewRoman"/>
          <w:szCs w:val="22"/>
          <w:vertAlign w:val="subscript"/>
          <w:lang w:val="sr-Latn-ME"/>
        </w:rPr>
        <w:t>24hr</w:t>
      </w:r>
      <w:r w:rsidRPr="001870F3">
        <w:rPr>
          <w:rFonts w:eastAsia="TimesNewRoman"/>
          <w:szCs w:val="22"/>
          <w:lang w:val="sr-Latn-ME"/>
        </w:rPr>
        <w:t xml:space="preserve"> se povećala manje nego proporcionalno dozi).</w:t>
      </w:r>
    </w:p>
    <w:p w14:paraId="2E86A376"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77" w14:textId="47C6B685"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lastRenderedPageBreak/>
        <w:t>Distribucija</w:t>
      </w:r>
    </w:p>
    <w:p w14:paraId="2E86A378" w14:textId="39424657"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Srednja vr</w:t>
      </w:r>
      <w:r w:rsidR="004E4460" w:rsidRPr="001870F3">
        <w:rPr>
          <w:rFonts w:eastAsia="TimesNewRoman"/>
          <w:szCs w:val="22"/>
          <w:lang w:val="sr-Latn-ME"/>
        </w:rPr>
        <w:t>ij</w:t>
      </w:r>
      <w:r w:rsidRPr="001870F3">
        <w:rPr>
          <w:rFonts w:eastAsia="TimesNewRoman"/>
          <w:szCs w:val="22"/>
          <w:lang w:val="sr-Latn-ME"/>
        </w:rPr>
        <w:t>ednost volumena distribucije u stanju ravnoteže nakon prim</w:t>
      </w:r>
      <w:r w:rsidR="00797A1A" w:rsidRPr="001870F3">
        <w:rPr>
          <w:rFonts w:eastAsia="TimesNewRoman"/>
          <w:szCs w:val="22"/>
          <w:lang w:val="sr-Latn-ME"/>
        </w:rPr>
        <w:t>j</w:t>
      </w:r>
      <w:r w:rsidRPr="001870F3">
        <w:rPr>
          <w:rFonts w:eastAsia="TimesNewRoman"/>
          <w:szCs w:val="22"/>
          <w:lang w:val="sr-Latn-ME"/>
        </w:rPr>
        <w:t xml:space="preserve">ene jedne intravenske doze sitagliptina od 100 mg kod zdravih </w:t>
      </w:r>
      <w:r w:rsidR="0008292E" w:rsidRPr="001870F3">
        <w:rPr>
          <w:rFonts w:eastAsia="TimesNewRoman"/>
          <w:szCs w:val="22"/>
          <w:lang w:val="sr-Latn-ME"/>
        </w:rPr>
        <w:t>ispitanika</w:t>
      </w:r>
      <w:r w:rsidR="004E4460" w:rsidRPr="001870F3">
        <w:rPr>
          <w:rFonts w:eastAsia="TimesNewRoman"/>
          <w:szCs w:val="22"/>
          <w:lang w:val="sr-Latn-ME"/>
        </w:rPr>
        <w:t xml:space="preserve"> iznosila je oko 198 litara. Di</w:t>
      </w:r>
      <w:r w:rsidRPr="001870F3">
        <w:rPr>
          <w:rFonts w:eastAsia="TimesNewRoman"/>
          <w:szCs w:val="22"/>
          <w:lang w:val="sr-Latn-ME"/>
        </w:rPr>
        <w:t>o sitagliptina koji se reverzibilno vezuje za protein</w:t>
      </w:r>
      <w:r w:rsidR="0008292E" w:rsidRPr="001870F3">
        <w:rPr>
          <w:rFonts w:eastAsia="TimesNewRoman"/>
          <w:szCs w:val="22"/>
          <w:lang w:val="sr-Latn-ME"/>
        </w:rPr>
        <w:t>e</w:t>
      </w:r>
      <w:r w:rsidRPr="001870F3">
        <w:rPr>
          <w:rFonts w:eastAsia="TimesNewRoman"/>
          <w:szCs w:val="22"/>
          <w:lang w:val="sr-Latn-ME"/>
        </w:rPr>
        <w:t xml:space="preserve"> plazme je mali (38%).</w:t>
      </w:r>
    </w:p>
    <w:p w14:paraId="2E86A379"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7A" w14:textId="77777777"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Metabolizam</w:t>
      </w:r>
    </w:p>
    <w:p w14:paraId="2E86A37B" w14:textId="4B5F0550"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se primarno eliminiše preko urina u neizm</w:t>
      </w:r>
      <w:r w:rsidR="00A95939" w:rsidRPr="001870F3">
        <w:rPr>
          <w:rFonts w:eastAsia="TimesNewRoman"/>
          <w:szCs w:val="22"/>
          <w:lang w:val="sr-Latn-ME"/>
        </w:rPr>
        <w:t>i</w:t>
      </w:r>
      <w:r w:rsidR="004E4460" w:rsidRPr="001870F3">
        <w:rPr>
          <w:rFonts w:eastAsia="TimesNewRoman"/>
          <w:szCs w:val="22"/>
          <w:lang w:val="sr-Latn-ME"/>
        </w:rPr>
        <w:t>j</w:t>
      </w:r>
      <w:r w:rsidRPr="001870F3">
        <w:rPr>
          <w:rFonts w:eastAsia="TimesNewRoman"/>
          <w:szCs w:val="22"/>
          <w:lang w:val="sr-Latn-ME"/>
        </w:rPr>
        <w:t>enjenom obliku, a metabolizam predstavlja sporedni put eliminacije. Oko 79% sitagliptina se izlučuje u urinu u neizm</w:t>
      </w:r>
      <w:r w:rsidR="00A95939" w:rsidRPr="001870F3">
        <w:rPr>
          <w:rFonts w:eastAsia="TimesNewRoman"/>
          <w:szCs w:val="22"/>
          <w:lang w:val="sr-Latn-ME"/>
        </w:rPr>
        <w:t>i</w:t>
      </w:r>
      <w:r w:rsidR="004E4460" w:rsidRPr="001870F3">
        <w:rPr>
          <w:rFonts w:eastAsia="TimesNewRoman"/>
          <w:szCs w:val="22"/>
          <w:lang w:val="sr-Latn-ME"/>
        </w:rPr>
        <w:t>j</w:t>
      </w:r>
      <w:r w:rsidRPr="001870F3">
        <w:rPr>
          <w:rFonts w:eastAsia="TimesNewRoman"/>
          <w:szCs w:val="22"/>
          <w:lang w:val="sr-Latn-ME"/>
        </w:rPr>
        <w:t>enjenom obliku.</w:t>
      </w:r>
    </w:p>
    <w:p w14:paraId="4A774CD7" w14:textId="77777777" w:rsidR="00490096" w:rsidRPr="001870F3" w:rsidRDefault="00490096" w:rsidP="001870F3">
      <w:pPr>
        <w:widowControl w:val="0"/>
        <w:tabs>
          <w:tab w:val="clear" w:pos="284"/>
        </w:tabs>
        <w:autoSpaceDE w:val="0"/>
        <w:autoSpaceDN w:val="0"/>
        <w:adjustRightInd w:val="0"/>
        <w:rPr>
          <w:rFonts w:eastAsia="TimesNewRoman"/>
          <w:szCs w:val="22"/>
          <w:lang w:val="sr-Latn-ME"/>
        </w:rPr>
      </w:pPr>
    </w:p>
    <w:p w14:paraId="2E86A37C" w14:textId="17146341"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Oko 16% radioaktivnosti se izlučivalo u obliku metabolita sitagliptina nakon oralne doze [</w:t>
      </w:r>
      <w:r w:rsidRPr="001870F3">
        <w:rPr>
          <w:rFonts w:eastAsia="TimesNewRoman"/>
          <w:szCs w:val="22"/>
          <w:vertAlign w:val="superscript"/>
          <w:lang w:val="sr-Latn-ME"/>
        </w:rPr>
        <w:t>14</w:t>
      </w:r>
      <w:r w:rsidRPr="001870F3">
        <w:rPr>
          <w:rFonts w:eastAsia="TimesNewRoman"/>
          <w:szCs w:val="22"/>
          <w:lang w:val="sr-Latn-ME"/>
        </w:rPr>
        <w:t>C]</w:t>
      </w:r>
      <w:r w:rsidR="00297559" w:rsidRPr="001870F3">
        <w:rPr>
          <w:rFonts w:eastAsia="TimesNewRoman"/>
          <w:szCs w:val="22"/>
          <w:lang w:val="sr-Latn-ME"/>
        </w:rPr>
        <w:t xml:space="preserve"> </w:t>
      </w:r>
      <w:r w:rsidRPr="001870F3">
        <w:rPr>
          <w:rFonts w:eastAsia="TimesNewRoman"/>
          <w:szCs w:val="22"/>
          <w:lang w:val="sr-Latn-ME"/>
        </w:rPr>
        <w:t>sitagliptina.</w:t>
      </w:r>
    </w:p>
    <w:p w14:paraId="2E86A37E" w14:textId="3E915544"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Otkriveno je šest metabolita u tragovima i ne očekuje se da će oni doprin</w:t>
      </w:r>
      <w:r w:rsidR="00A95939" w:rsidRPr="001870F3">
        <w:rPr>
          <w:rFonts w:eastAsia="TimesNewRoman"/>
          <w:szCs w:val="22"/>
          <w:lang w:val="sr-Latn-ME"/>
        </w:rPr>
        <w:t>ij</w:t>
      </w:r>
      <w:r w:rsidRPr="001870F3">
        <w:rPr>
          <w:rFonts w:eastAsia="TimesNewRoman"/>
          <w:szCs w:val="22"/>
          <w:lang w:val="sr-Latn-ME"/>
        </w:rPr>
        <w:t xml:space="preserve">eti inhibitornom dejstvu sitagliptina na DDP-4 u plazmi. Studije </w:t>
      </w:r>
      <w:r w:rsidRPr="001870F3">
        <w:rPr>
          <w:rFonts w:eastAsia="TimesNewRoman"/>
          <w:i/>
          <w:iCs/>
          <w:szCs w:val="22"/>
          <w:lang w:val="sr-Latn-ME"/>
        </w:rPr>
        <w:t xml:space="preserve">in vitro </w:t>
      </w:r>
      <w:r w:rsidRPr="001870F3">
        <w:rPr>
          <w:rFonts w:eastAsia="TimesNewRoman"/>
          <w:szCs w:val="22"/>
          <w:lang w:val="sr-Latn-ME"/>
        </w:rPr>
        <w:t>ukazale su da je CYP3A4 primarni enzim odgovoran za ograničeni</w:t>
      </w:r>
      <w:r w:rsidR="000B4D27" w:rsidRPr="001870F3">
        <w:rPr>
          <w:rFonts w:eastAsia="TimesNewRoman"/>
          <w:szCs w:val="22"/>
          <w:lang w:val="sr-Latn-ME"/>
        </w:rPr>
        <w:t xml:space="preserve"> </w:t>
      </w:r>
      <w:r w:rsidRPr="001870F3">
        <w:rPr>
          <w:rFonts w:eastAsia="TimesNewRoman"/>
          <w:szCs w:val="22"/>
          <w:lang w:val="sr-Latn-ME"/>
        </w:rPr>
        <w:t>metabolizam sitagliptina, uz pomoć CYP2C8.</w:t>
      </w:r>
    </w:p>
    <w:p w14:paraId="6BA769FE" w14:textId="77777777" w:rsidR="00490096" w:rsidRPr="001870F3" w:rsidRDefault="00490096" w:rsidP="001870F3">
      <w:pPr>
        <w:widowControl w:val="0"/>
        <w:tabs>
          <w:tab w:val="clear" w:pos="284"/>
        </w:tabs>
        <w:autoSpaceDE w:val="0"/>
        <w:autoSpaceDN w:val="0"/>
        <w:adjustRightInd w:val="0"/>
        <w:rPr>
          <w:rFonts w:eastAsia="TimesNewRoman"/>
          <w:szCs w:val="22"/>
          <w:lang w:val="sr-Latn-ME"/>
        </w:rPr>
      </w:pPr>
    </w:p>
    <w:p w14:paraId="2E86A37F"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Podaci dobijeni </w:t>
      </w:r>
      <w:r w:rsidRPr="001870F3">
        <w:rPr>
          <w:rFonts w:eastAsia="TimesNewRoman"/>
          <w:i/>
          <w:iCs/>
          <w:szCs w:val="22"/>
          <w:lang w:val="sr-Latn-ME"/>
        </w:rPr>
        <w:t xml:space="preserve">in vitro </w:t>
      </w:r>
      <w:r w:rsidRPr="001870F3">
        <w:rPr>
          <w:rFonts w:eastAsia="TimesNewRoman"/>
          <w:szCs w:val="22"/>
          <w:lang w:val="sr-Latn-ME"/>
        </w:rPr>
        <w:t>pokazali su da sitagliptin nije inhibitor CYP izoenzima CYP3A4, 2C8, 2C9, 2D6, 1A2, 2C19 ili 2B6 i da nije induktor CYP3A4 i CYP1A2.</w:t>
      </w:r>
    </w:p>
    <w:p w14:paraId="2E86A380"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81" w14:textId="77777777"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Eliminacija</w:t>
      </w:r>
    </w:p>
    <w:p w14:paraId="2E86A385" w14:textId="5A18120C"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Oko 100% prim</w:t>
      </w:r>
      <w:r w:rsidR="00A95939" w:rsidRPr="001870F3">
        <w:rPr>
          <w:rFonts w:eastAsia="TimesNewRoman"/>
          <w:szCs w:val="22"/>
          <w:lang w:val="sr-Latn-ME"/>
        </w:rPr>
        <w:t>i</w:t>
      </w:r>
      <w:r w:rsidR="004E4460" w:rsidRPr="001870F3">
        <w:rPr>
          <w:rFonts w:eastAsia="TimesNewRoman"/>
          <w:szCs w:val="22"/>
          <w:lang w:val="sr-Latn-ME"/>
        </w:rPr>
        <w:t>j</w:t>
      </w:r>
      <w:r w:rsidRPr="001870F3">
        <w:rPr>
          <w:rFonts w:eastAsia="TimesNewRoman"/>
          <w:szCs w:val="22"/>
          <w:lang w:val="sr-Latn-ME"/>
        </w:rPr>
        <w:t>enjene radioaktivnosti se izlučivalo preko fecesa (13%) ili urina (87%) u periodu od jedne</w:t>
      </w:r>
      <w:r w:rsidR="00490096" w:rsidRPr="001870F3">
        <w:rPr>
          <w:rFonts w:eastAsia="TimesNewRoman"/>
          <w:szCs w:val="22"/>
          <w:lang w:val="sr-Latn-ME"/>
        </w:rPr>
        <w:t xml:space="preserve"> </w:t>
      </w:r>
      <w:r w:rsidRPr="001870F3">
        <w:rPr>
          <w:rFonts w:eastAsia="TimesNewRoman"/>
          <w:szCs w:val="22"/>
          <w:lang w:val="sr-Latn-ME"/>
        </w:rPr>
        <w:t>ned</w:t>
      </w:r>
      <w:r w:rsidR="004E4460" w:rsidRPr="001870F3">
        <w:rPr>
          <w:rFonts w:eastAsia="TimesNewRoman"/>
          <w:szCs w:val="22"/>
          <w:lang w:val="sr-Latn-ME"/>
        </w:rPr>
        <w:t>j</w:t>
      </w:r>
      <w:r w:rsidRPr="001870F3">
        <w:rPr>
          <w:rFonts w:eastAsia="TimesNewRoman"/>
          <w:szCs w:val="22"/>
          <w:lang w:val="sr-Latn-ME"/>
        </w:rPr>
        <w:t>elje nakon prim</w:t>
      </w:r>
      <w:r w:rsidR="004E4460" w:rsidRPr="001870F3">
        <w:rPr>
          <w:rFonts w:eastAsia="TimesNewRoman"/>
          <w:szCs w:val="22"/>
          <w:lang w:val="sr-Latn-ME"/>
        </w:rPr>
        <w:t>j</w:t>
      </w:r>
      <w:r w:rsidRPr="001870F3">
        <w:rPr>
          <w:rFonts w:eastAsia="TimesNewRoman"/>
          <w:szCs w:val="22"/>
          <w:lang w:val="sr-Latn-ME"/>
        </w:rPr>
        <w:t>ene oralne doze [</w:t>
      </w:r>
      <w:r w:rsidRPr="001870F3">
        <w:rPr>
          <w:rFonts w:eastAsia="TimesNewRoman"/>
          <w:szCs w:val="22"/>
          <w:vertAlign w:val="superscript"/>
          <w:lang w:val="sr-Latn-ME"/>
        </w:rPr>
        <w:t>14</w:t>
      </w:r>
      <w:r w:rsidRPr="001870F3">
        <w:rPr>
          <w:rFonts w:eastAsia="TimesNewRoman"/>
          <w:szCs w:val="22"/>
          <w:lang w:val="sr-Latn-ME"/>
        </w:rPr>
        <w:t>C]</w:t>
      </w:r>
      <w:r w:rsidR="00EE636A" w:rsidRPr="001870F3">
        <w:rPr>
          <w:rFonts w:eastAsia="TimesNewRoman"/>
          <w:szCs w:val="22"/>
          <w:lang w:val="sr-Latn-ME"/>
        </w:rPr>
        <w:t xml:space="preserve"> </w:t>
      </w:r>
      <w:r w:rsidRPr="001870F3">
        <w:rPr>
          <w:rFonts w:eastAsia="TimesNewRoman"/>
          <w:szCs w:val="22"/>
          <w:lang w:val="sr-Latn-ME"/>
        </w:rPr>
        <w:t>sitagliptina kod zdravih ispitanika. Prividno krajnje poluvr</w:t>
      </w:r>
      <w:r w:rsidR="004E4460" w:rsidRPr="001870F3">
        <w:rPr>
          <w:rFonts w:eastAsia="TimesNewRoman"/>
          <w:szCs w:val="22"/>
          <w:lang w:val="sr-Latn-ME"/>
        </w:rPr>
        <w:t>ij</w:t>
      </w:r>
      <w:r w:rsidRPr="001870F3">
        <w:rPr>
          <w:rFonts w:eastAsia="TimesNewRoman"/>
          <w:szCs w:val="22"/>
          <w:lang w:val="sr-Latn-ME"/>
        </w:rPr>
        <w:t>eme</w:t>
      </w:r>
      <w:r w:rsidR="00490096" w:rsidRPr="001870F3">
        <w:rPr>
          <w:rFonts w:eastAsia="TimesNewRoman"/>
          <w:szCs w:val="22"/>
          <w:lang w:val="sr-Latn-ME"/>
        </w:rPr>
        <w:t xml:space="preserve"> </w:t>
      </w:r>
      <w:r w:rsidRPr="001870F3">
        <w:rPr>
          <w:rFonts w:eastAsia="TimesNewRoman"/>
          <w:szCs w:val="22"/>
          <w:lang w:val="sr-Latn-ME"/>
        </w:rPr>
        <w:t>eliminacije</w:t>
      </w:r>
      <w:r w:rsidR="00ED4506" w:rsidRPr="001870F3">
        <w:rPr>
          <w:rFonts w:eastAsia="TimesNewRoman"/>
          <w:szCs w:val="22"/>
          <w:lang w:val="sr-Latn-ME"/>
        </w:rPr>
        <w:t xml:space="preserve"> </w:t>
      </w:r>
      <w:r w:rsidRPr="001870F3">
        <w:rPr>
          <w:rFonts w:eastAsia="TimesNewRoman"/>
          <w:szCs w:val="22"/>
          <w:lang w:val="sr-Latn-ME"/>
        </w:rPr>
        <w:t>(t</w:t>
      </w:r>
      <w:r w:rsidRPr="001870F3">
        <w:rPr>
          <w:rFonts w:eastAsia="TimesNewRoman"/>
          <w:szCs w:val="22"/>
          <w:vertAlign w:val="subscript"/>
          <w:lang w:val="sr-Latn-ME"/>
        </w:rPr>
        <w:t>1/2</w:t>
      </w:r>
      <w:r w:rsidRPr="001870F3">
        <w:rPr>
          <w:rFonts w:eastAsia="TimesNewRoman"/>
          <w:szCs w:val="22"/>
          <w:lang w:val="sr-Latn-ME"/>
        </w:rPr>
        <w:t>) nakon oralne doze sitagliptina od 100 mg iznosilo je oko 12,4 sata. Sitagliptin se minimalno</w:t>
      </w:r>
      <w:r w:rsidR="00490096" w:rsidRPr="001870F3">
        <w:rPr>
          <w:rFonts w:eastAsia="TimesNewRoman"/>
          <w:szCs w:val="22"/>
          <w:lang w:val="sr-Latn-ME"/>
        </w:rPr>
        <w:t xml:space="preserve"> </w:t>
      </w:r>
      <w:r w:rsidRPr="001870F3">
        <w:rPr>
          <w:rFonts w:eastAsia="TimesNewRoman"/>
          <w:szCs w:val="22"/>
          <w:lang w:val="sr-Latn-ME"/>
        </w:rPr>
        <w:t xml:space="preserve">akumulira tek </w:t>
      </w:r>
      <w:r w:rsidR="00B94356" w:rsidRPr="001870F3">
        <w:rPr>
          <w:rFonts w:eastAsia="TimesNewRoman"/>
          <w:szCs w:val="22"/>
          <w:lang w:val="sr-Latn-ME"/>
        </w:rPr>
        <w:t>prim</w:t>
      </w:r>
      <w:r w:rsidR="004E4460" w:rsidRPr="001870F3">
        <w:rPr>
          <w:rFonts w:eastAsia="TimesNewRoman"/>
          <w:szCs w:val="22"/>
          <w:lang w:val="sr-Latn-ME"/>
        </w:rPr>
        <w:t>j</w:t>
      </w:r>
      <w:r w:rsidR="00B94356" w:rsidRPr="001870F3">
        <w:rPr>
          <w:rFonts w:eastAsia="TimesNewRoman"/>
          <w:szCs w:val="22"/>
          <w:lang w:val="sr-Latn-ME"/>
        </w:rPr>
        <w:t>enom</w:t>
      </w:r>
      <w:r w:rsidRPr="001870F3">
        <w:rPr>
          <w:rFonts w:eastAsia="TimesNewRoman"/>
          <w:szCs w:val="22"/>
          <w:lang w:val="sr-Latn-ME"/>
        </w:rPr>
        <w:t xml:space="preserve"> više doza.</w:t>
      </w:r>
      <w:r w:rsidR="00AB0AA0" w:rsidRPr="001870F3">
        <w:rPr>
          <w:rFonts w:eastAsia="TimesNewRoman"/>
          <w:szCs w:val="22"/>
          <w:lang w:val="sr-Latn-ME"/>
        </w:rPr>
        <w:t xml:space="preserve"> </w:t>
      </w:r>
      <w:r w:rsidRPr="001870F3">
        <w:rPr>
          <w:rFonts w:eastAsia="TimesNewRoman"/>
          <w:szCs w:val="22"/>
          <w:lang w:val="sr-Latn-ME"/>
        </w:rPr>
        <w:t>Renalni klirens je iznosio oko 350 m</w:t>
      </w:r>
      <w:r w:rsidR="00AB0AA0" w:rsidRPr="001870F3">
        <w:rPr>
          <w:rFonts w:eastAsia="TimesNewRoman"/>
          <w:szCs w:val="22"/>
          <w:lang w:val="sr-Latn-ME"/>
        </w:rPr>
        <w:t>l</w:t>
      </w:r>
      <w:r w:rsidRPr="001870F3">
        <w:rPr>
          <w:rFonts w:eastAsia="TimesNewRoman"/>
          <w:szCs w:val="22"/>
          <w:lang w:val="sr-Latn-ME"/>
        </w:rPr>
        <w:t>/min.</w:t>
      </w:r>
    </w:p>
    <w:p w14:paraId="06B1DEB1" w14:textId="77777777" w:rsidR="00490096" w:rsidRPr="001870F3" w:rsidRDefault="00490096" w:rsidP="001870F3">
      <w:pPr>
        <w:widowControl w:val="0"/>
        <w:tabs>
          <w:tab w:val="clear" w:pos="284"/>
        </w:tabs>
        <w:autoSpaceDE w:val="0"/>
        <w:autoSpaceDN w:val="0"/>
        <w:adjustRightInd w:val="0"/>
        <w:rPr>
          <w:rFonts w:eastAsia="TimesNewRoman"/>
          <w:szCs w:val="22"/>
          <w:lang w:val="sr-Latn-ME"/>
        </w:rPr>
      </w:pPr>
    </w:p>
    <w:p w14:paraId="2E86A38B" w14:textId="42CDA122"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Eliminacija sitagliptina se primarno odvija putem renalne ekskrecije i obuhvata aktivnu tubularnu sekreciju.</w:t>
      </w:r>
      <w:r w:rsidR="00490096" w:rsidRPr="001870F3">
        <w:rPr>
          <w:rFonts w:eastAsia="TimesNewRoman"/>
          <w:szCs w:val="22"/>
          <w:lang w:val="sr-Latn-ME"/>
        </w:rPr>
        <w:t xml:space="preserve"> </w:t>
      </w:r>
      <w:r w:rsidRPr="001870F3">
        <w:rPr>
          <w:rFonts w:eastAsia="TimesNewRoman"/>
          <w:szCs w:val="22"/>
          <w:lang w:val="sr-Latn-ME"/>
        </w:rPr>
        <w:t>Sitagliptin je supstrat za humani organski anjonski transporter-3 (hOAT-3), koji može biti uključen u renalnu</w:t>
      </w:r>
      <w:r w:rsidR="00EE636A" w:rsidRPr="001870F3">
        <w:rPr>
          <w:rFonts w:eastAsia="TimesNewRoman"/>
          <w:szCs w:val="22"/>
          <w:lang w:val="sr-Latn-ME"/>
        </w:rPr>
        <w:t xml:space="preserve"> </w:t>
      </w:r>
      <w:r w:rsidRPr="001870F3">
        <w:rPr>
          <w:rFonts w:eastAsia="TimesNewRoman"/>
          <w:szCs w:val="22"/>
          <w:lang w:val="sr-Latn-ME"/>
        </w:rPr>
        <w:t>eliminaciju sitagliptina. Nije utvrđen klinički značaj hOAT-3 u transportu sitagliptina. Sitagliptin je i supstrat</w:t>
      </w:r>
      <w:r w:rsidR="00490096" w:rsidRPr="001870F3">
        <w:rPr>
          <w:rFonts w:eastAsia="TimesNewRoman"/>
          <w:szCs w:val="22"/>
          <w:lang w:val="sr-Latn-ME"/>
        </w:rPr>
        <w:t xml:space="preserve"> </w:t>
      </w:r>
      <w:r w:rsidRPr="001870F3">
        <w:rPr>
          <w:rFonts w:eastAsia="TimesNewRoman"/>
          <w:szCs w:val="22"/>
          <w:lang w:val="sr-Latn-ME"/>
        </w:rPr>
        <w:t>p</w:t>
      </w:r>
      <w:r w:rsidR="00886A25" w:rsidRPr="001870F3">
        <w:rPr>
          <w:rFonts w:eastAsia="TimesNewRoman"/>
          <w:szCs w:val="22"/>
          <w:lang w:val="sr-Latn-ME"/>
        </w:rPr>
        <w:t>-</w:t>
      </w:r>
      <w:r w:rsidRPr="001870F3">
        <w:rPr>
          <w:rFonts w:eastAsia="TimesNewRoman"/>
          <w:szCs w:val="22"/>
          <w:lang w:val="sr-Latn-ME"/>
        </w:rPr>
        <w:t>glikoproteina, koji takođe može biti uključen u posredovanje renalne eliminacije sitagliptina. Međutim,</w:t>
      </w:r>
      <w:r w:rsidR="00490096" w:rsidRPr="001870F3">
        <w:rPr>
          <w:rFonts w:eastAsia="TimesNewRoman"/>
          <w:szCs w:val="22"/>
          <w:lang w:val="sr-Latn-ME"/>
        </w:rPr>
        <w:t xml:space="preserve"> </w:t>
      </w:r>
      <w:r w:rsidRPr="001870F3">
        <w:rPr>
          <w:rFonts w:eastAsia="TimesNewRoman"/>
          <w:szCs w:val="22"/>
          <w:lang w:val="sr-Latn-ME"/>
        </w:rPr>
        <w:t>ciklosporin, inhibitor p-glikoproteina, nije smanjio renalni klirens sitagliptina. Sitagliptin nije supstrat za</w:t>
      </w:r>
      <w:r w:rsidR="00490096" w:rsidRPr="001870F3">
        <w:rPr>
          <w:rFonts w:eastAsia="TimesNewRoman"/>
          <w:szCs w:val="22"/>
          <w:lang w:val="sr-Latn-ME"/>
        </w:rPr>
        <w:t xml:space="preserve"> </w:t>
      </w:r>
      <w:r w:rsidRPr="001870F3">
        <w:rPr>
          <w:rFonts w:eastAsia="TimesNewRoman"/>
          <w:szCs w:val="22"/>
          <w:lang w:val="sr-Latn-ME"/>
        </w:rPr>
        <w:t xml:space="preserve">transportere OCT2, OAT1 ili PEPT1/2. Sitagliptin </w:t>
      </w:r>
      <w:r w:rsidRPr="001870F3">
        <w:rPr>
          <w:rFonts w:eastAsia="TimesNewRoman"/>
          <w:i/>
          <w:iCs/>
          <w:szCs w:val="22"/>
          <w:lang w:val="sr-Latn-ME"/>
        </w:rPr>
        <w:t xml:space="preserve">in vitro </w:t>
      </w:r>
      <w:r w:rsidRPr="001870F3">
        <w:rPr>
          <w:rFonts w:eastAsia="TimesNewRoman"/>
          <w:szCs w:val="22"/>
          <w:lang w:val="sr-Latn-ME"/>
        </w:rPr>
        <w:t>nije inhibirao OAT3 (IC50=160 μM) ili p</w:t>
      </w:r>
      <w:r w:rsidR="00490096" w:rsidRPr="001870F3">
        <w:rPr>
          <w:rFonts w:eastAsia="TimesNewRoman"/>
          <w:szCs w:val="22"/>
          <w:lang w:val="sr-Latn-ME"/>
        </w:rPr>
        <w:t xml:space="preserve"> </w:t>
      </w:r>
      <w:r w:rsidRPr="001870F3">
        <w:rPr>
          <w:rFonts w:eastAsia="TimesNewRoman"/>
          <w:szCs w:val="22"/>
          <w:lang w:val="sr-Latn-ME"/>
        </w:rPr>
        <w:t>glikoproteinom (do 250 μM) posredovani transport pri terapijski relevantnim koncentracijama u plazmi.</w:t>
      </w:r>
      <w:r w:rsidR="00830377" w:rsidRPr="001870F3">
        <w:rPr>
          <w:rFonts w:eastAsia="TimesNewRoman"/>
          <w:szCs w:val="22"/>
          <w:lang w:val="sr-Latn-ME"/>
        </w:rPr>
        <w:t xml:space="preserve"> </w:t>
      </w:r>
      <w:r w:rsidRPr="001870F3">
        <w:rPr>
          <w:rFonts w:eastAsia="TimesNewRoman"/>
          <w:szCs w:val="22"/>
          <w:lang w:val="sr-Latn-ME"/>
        </w:rPr>
        <w:t xml:space="preserve">Sitagiliptin je u kliničkoj studiji imao mali uticaj na koncentracije digoksina </w:t>
      </w:r>
      <w:r w:rsidR="000B4D27" w:rsidRPr="001870F3">
        <w:rPr>
          <w:rFonts w:eastAsia="TimesNewRoman"/>
          <w:szCs w:val="22"/>
          <w:lang w:val="sr-Latn-ME"/>
        </w:rPr>
        <w:t>što je ukazivalo</w:t>
      </w:r>
      <w:r w:rsidRPr="001870F3">
        <w:rPr>
          <w:rFonts w:eastAsia="TimesNewRoman"/>
          <w:szCs w:val="22"/>
          <w:lang w:val="sr-Latn-ME"/>
        </w:rPr>
        <w:t xml:space="preserve"> da sitagliptin može biti blagi inhibitor p-glikoproteina.</w:t>
      </w:r>
    </w:p>
    <w:p w14:paraId="2E86A38C" w14:textId="77777777" w:rsidR="00007767" w:rsidRPr="001870F3" w:rsidRDefault="00007767" w:rsidP="001870F3">
      <w:pPr>
        <w:widowControl w:val="0"/>
        <w:tabs>
          <w:tab w:val="clear" w:pos="284"/>
        </w:tabs>
        <w:autoSpaceDE w:val="0"/>
        <w:autoSpaceDN w:val="0"/>
        <w:adjustRightInd w:val="0"/>
        <w:rPr>
          <w:rFonts w:eastAsia="TimesNewRoman"/>
          <w:szCs w:val="22"/>
          <w:lang w:val="sr-Latn-ME"/>
        </w:rPr>
      </w:pPr>
    </w:p>
    <w:p w14:paraId="2E86A38D" w14:textId="77777777" w:rsidR="00007767" w:rsidRPr="001870F3" w:rsidRDefault="00007767" w:rsidP="001870F3">
      <w:pPr>
        <w:widowControl w:val="0"/>
        <w:tabs>
          <w:tab w:val="clear" w:pos="284"/>
        </w:tabs>
        <w:autoSpaceDE w:val="0"/>
        <w:autoSpaceDN w:val="0"/>
        <w:adjustRightInd w:val="0"/>
        <w:rPr>
          <w:i/>
          <w:iCs/>
          <w:szCs w:val="22"/>
          <w:lang w:val="sr-Latn-ME"/>
        </w:rPr>
      </w:pPr>
      <w:r w:rsidRPr="001870F3">
        <w:rPr>
          <w:i/>
          <w:iCs/>
          <w:szCs w:val="22"/>
          <w:lang w:val="sr-Latn-ME"/>
        </w:rPr>
        <w:t>Karakteristike kod pacijenata</w:t>
      </w:r>
    </w:p>
    <w:p w14:paraId="2E86A38E" w14:textId="77777777" w:rsidR="00007767" w:rsidRPr="001870F3" w:rsidRDefault="0000776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Farmakokinetika sitagliptina bila je generalno slična kod zdravih ispitanika i kod pacijenata sa dijabetesom tip 2.</w:t>
      </w:r>
    </w:p>
    <w:p w14:paraId="2E86A38F" w14:textId="77777777" w:rsidR="00007767" w:rsidRPr="001870F3" w:rsidRDefault="00007767" w:rsidP="001870F3">
      <w:pPr>
        <w:widowControl w:val="0"/>
        <w:tabs>
          <w:tab w:val="clear" w:pos="284"/>
        </w:tabs>
        <w:autoSpaceDE w:val="0"/>
        <w:autoSpaceDN w:val="0"/>
        <w:adjustRightInd w:val="0"/>
        <w:rPr>
          <w:rFonts w:eastAsia="TimesNewRoman"/>
          <w:szCs w:val="22"/>
          <w:lang w:val="sr-Latn-ME"/>
        </w:rPr>
      </w:pPr>
    </w:p>
    <w:p w14:paraId="2E86A390" w14:textId="517BAA54" w:rsidR="00007767" w:rsidRPr="001870F3" w:rsidRDefault="002A51BA" w:rsidP="001870F3">
      <w:pPr>
        <w:widowControl w:val="0"/>
        <w:tabs>
          <w:tab w:val="clear" w:pos="284"/>
        </w:tabs>
        <w:autoSpaceDE w:val="0"/>
        <w:autoSpaceDN w:val="0"/>
        <w:adjustRightInd w:val="0"/>
        <w:rPr>
          <w:i/>
          <w:iCs/>
          <w:szCs w:val="22"/>
          <w:lang w:val="sr-Latn-ME"/>
        </w:rPr>
      </w:pPr>
      <w:r w:rsidRPr="001870F3">
        <w:rPr>
          <w:i/>
          <w:iCs/>
          <w:szCs w:val="22"/>
          <w:lang w:val="sr-Latn-ME"/>
        </w:rPr>
        <w:t>Oštećenje funkcije bubrega</w:t>
      </w:r>
    </w:p>
    <w:p w14:paraId="28AE9171" w14:textId="3523C1CE" w:rsidR="00A660E0" w:rsidRPr="001870F3" w:rsidRDefault="00A660E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Otvorena studija pojedinačne doze sprovedena je u cilju procene farmakokinetike smanjene doze sitagliptina (50 mg) kod pacijenata sa varijabilnim stepenom hroničn</w:t>
      </w:r>
      <w:r w:rsidR="00AB0AA0" w:rsidRPr="001870F3">
        <w:rPr>
          <w:rFonts w:eastAsia="TimesNewRoman"/>
          <w:szCs w:val="22"/>
          <w:lang w:val="sr-Latn-ME"/>
        </w:rPr>
        <w:t>og</w:t>
      </w:r>
      <w:r w:rsidRPr="001870F3">
        <w:rPr>
          <w:rFonts w:eastAsia="TimesNewRoman"/>
          <w:szCs w:val="22"/>
          <w:lang w:val="sr-Latn-ME"/>
        </w:rPr>
        <w:t xml:space="preserve"> oštećenja funkcije bubrega u odnosu na zdrave kontrolne ispitanike. Studija je obuhvatala pacijente sa blagim, um</w:t>
      </w:r>
      <w:r w:rsidR="00797A1A" w:rsidRPr="001870F3">
        <w:rPr>
          <w:rFonts w:eastAsia="TimesNewRoman"/>
          <w:szCs w:val="22"/>
          <w:lang w:val="sr-Latn-ME"/>
        </w:rPr>
        <w:t>j</w:t>
      </w:r>
      <w:r w:rsidRPr="001870F3">
        <w:rPr>
          <w:rFonts w:eastAsia="TimesNewRoman"/>
          <w:szCs w:val="22"/>
          <w:lang w:val="sr-Latn-ME"/>
        </w:rPr>
        <w:t>erenim i teškim oštećenjima funkcije bubrega kao i pacijente sa ESRD na hemodijalizi. Dodatno, uticaji oštećenja funkcije bubrega na farmakokinetiku sitagliptina kod pacijenata sa dijabeteson tipa 2 i blagim, um</w:t>
      </w:r>
      <w:r w:rsidR="00797A1A" w:rsidRPr="001870F3">
        <w:rPr>
          <w:rFonts w:eastAsia="TimesNewRoman"/>
          <w:szCs w:val="22"/>
          <w:lang w:val="sr-Latn-ME"/>
        </w:rPr>
        <w:t>j</w:t>
      </w:r>
      <w:r w:rsidRPr="001870F3">
        <w:rPr>
          <w:rFonts w:eastAsia="TimesNewRoman"/>
          <w:szCs w:val="22"/>
          <w:lang w:val="sr-Latn-ME"/>
        </w:rPr>
        <w:t>erenim ili teškim oštećenjem funkcije bubrega (uključujući ESRD) bili su proc</w:t>
      </w:r>
      <w:r w:rsidR="00A95939" w:rsidRPr="001870F3">
        <w:rPr>
          <w:rFonts w:eastAsia="TimesNewRoman"/>
          <w:szCs w:val="22"/>
          <w:lang w:val="sr-Latn-ME"/>
        </w:rPr>
        <w:t>ij</w:t>
      </w:r>
      <w:r w:rsidRPr="001870F3">
        <w:rPr>
          <w:rFonts w:eastAsia="TimesNewRoman"/>
          <w:szCs w:val="22"/>
          <w:lang w:val="sr-Latn-ME"/>
        </w:rPr>
        <w:t>enjeni korišćenjem populacione farmakokinetičke analize.</w:t>
      </w:r>
    </w:p>
    <w:p w14:paraId="2E86A393" w14:textId="77777777" w:rsidR="00BB6B1E" w:rsidRPr="001870F3" w:rsidRDefault="00BB6B1E" w:rsidP="001870F3">
      <w:pPr>
        <w:widowControl w:val="0"/>
        <w:tabs>
          <w:tab w:val="clear" w:pos="284"/>
        </w:tabs>
        <w:autoSpaceDE w:val="0"/>
        <w:autoSpaceDN w:val="0"/>
        <w:adjustRightInd w:val="0"/>
        <w:rPr>
          <w:rFonts w:eastAsia="TimesNewRoman"/>
          <w:szCs w:val="22"/>
          <w:lang w:val="sr-Latn-ME"/>
        </w:rPr>
      </w:pPr>
    </w:p>
    <w:p w14:paraId="2E86A394" w14:textId="41DFD930" w:rsidR="00BB6B1E" w:rsidRPr="001870F3" w:rsidRDefault="00BB6B1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U poređenju sa zdravim kontrolnim ispitanicima, PIK sitagliptina u plazmi je bio povećan za oko 1,2 puta </w:t>
      </w:r>
      <w:r w:rsidR="00020666" w:rsidRPr="001870F3">
        <w:rPr>
          <w:rFonts w:eastAsia="TimesNewRoman"/>
          <w:szCs w:val="22"/>
          <w:lang w:val="sr-Latn-ME"/>
        </w:rPr>
        <w:t>i</w:t>
      </w:r>
      <w:r w:rsidRPr="001870F3">
        <w:rPr>
          <w:rFonts w:eastAsia="TimesNewRoman"/>
          <w:szCs w:val="22"/>
          <w:lang w:val="sr-Latn-ME"/>
        </w:rPr>
        <w:t xml:space="preserve"> 1,6 puta kod pacijenata sa blagom bubrežnom insuficijencijom (GFR ≥ 60 do &lt; 90 m</w:t>
      </w:r>
      <w:r w:rsidR="00797A1A" w:rsidRPr="001870F3">
        <w:rPr>
          <w:rFonts w:eastAsia="TimesNewRoman"/>
          <w:szCs w:val="22"/>
          <w:lang w:val="sr-Latn-ME"/>
        </w:rPr>
        <w:t>l</w:t>
      </w:r>
      <w:r w:rsidRPr="001870F3">
        <w:rPr>
          <w:rFonts w:eastAsia="TimesNewRoman"/>
          <w:szCs w:val="22"/>
          <w:lang w:val="sr-Latn-ME"/>
        </w:rPr>
        <w:t>/min) i pacijenata sa um</w:t>
      </w:r>
      <w:r w:rsidR="00C032D7" w:rsidRPr="001870F3">
        <w:rPr>
          <w:rFonts w:eastAsia="TimesNewRoman"/>
          <w:szCs w:val="22"/>
          <w:lang w:val="sr-Latn-ME"/>
        </w:rPr>
        <w:t>j</w:t>
      </w:r>
      <w:r w:rsidRPr="001870F3">
        <w:rPr>
          <w:rFonts w:eastAsia="TimesNewRoman"/>
          <w:szCs w:val="22"/>
          <w:lang w:val="sr-Latn-ME"/>
        </w:rPr>
        <w:t>erenom bubrežnom insuficijencijom (GFR ≥ 45 do &lt; 60 m</w:t>
      </w:r>
      <w:r w:rsidR="00797A1A" w:rsidRPr="001870F3">
        <w:rPr>
          <w:rFonts w:eastAsia="TimesNewRoman"/>
          <w:szCs w:val="22"/>
          <w:lang w:val="sr-Latn-ME"/>
        </w:rPr>
        <w:t>l</w:t>
      </w:r>
      <w:r w:rsidRPr="001870F3">
        <w:rPr>
          <w:rFonts w:eastAsia="TimesNewRoman"/>
          <w:szCs w:val="22"/>
          <w:lang w:val="sr-Latn-ME"/>
        </w:rPr>
        <w:t>/min)</w:t>
      </w:r>
      <w:r w:rsidR="00AB0AA0" w:rsidRPr="001870F3">
        <w:rPr>
          <w:rFonts w:eastAsia="TimesNewRoman"/>
          <w:szCs w:val="22"/>
          <w:lang w:val="sr-Latn-ME"/>
        </w:rPr>
        <w:t>,</w:t>
      </w:r>
      <w:r w:rsidR="00F714DC" w:rsidRPr="001870F3">
        <w:rPr>
          <w:rFonts w:eastAsia="TimesNewRoman"/>
          <w:szCs w:val="22"/>
          <w:lang w:val="sr-Latn-ME"/>
        </w:rPr>
        <w:t xml:space="preserve"> redom.</w:t>
      </w:r>
      <w:r w:rsidR="00392B7B" w:rsidRPr="001870F3">
        <w:rPr>
          <w:rFonts w:eastAsia="TimesNewRoman"/>
          <w:szCs w:val="22"/>
          <w:lang w:val="sr-Latn-ME"/>
        </w:rPr>
        <w:t xml:space="preserve"> </w:t>
      </w:r>
      <w:r w:rsidR="00340BCA" w:rsidRPr="001870F3">
        <w:rPr>
          <w:rFonts w:eastAsia="TimesNewRoman"/>
          <w:szCs w:val="22"/>
          <w:lang w:val="sr-Latn-ME"/>
        </w:rPr>
        <w:t>S</w:t>
      </w:r>
      <w:r w:rsidR="00F714DC" w:rsidRPr="001870F3">
        <w:rPr>
          <w:rFonts w:eastAsia="TimesNewRoman"/>
          <w:szCs w:val="22"/>
          <w:lang w:val="sr-Latn-ME"/>
        </w:rPr>
        <w:t xml:space="preserve"> </w:t>
      </w:r>
      <w:r w:rsidR="00340BCA" w:rsidRPr="001870F3">
        <w:rPr>
          <w:rFonts w:eastAsia="TimesNewRoman"/>
          <w:szCs w:val="22"/>
          <w:lang w:val="sr-Latn-ME"/>
        </w:rPr>
        <w:t>o</w:t>
      </w:r>
      <w:r w:rsidR="004228B7" w:rsidRPr="001870F3">
        <w:rPr>
          <w:rFonts w:eastAsia="TimesNewRoman"/>
          <w:szCs w:val="22"/>
          <w:lang w:val="sr-Latn-ME"/>
        </w:rPr>
        <w:t>bzirom da ova povećanja ni</w:t>
      </w:r>
      <w:r w:rsidR="00340BCA" w:rsidRPr="001870F3">
        <w:rPr>
          <w:rFonts w:eastAsia="TimesNewRoman"/>
          <w:szCs w:val="22"/>
          <w:lang w:val="sr-Latn-ME"/>
        </w:rPr>
        <w:t>je</w:t>
      </w:r>
      <w:r w:rsidR="004228B7" w:rsidRPr="001870F3">
        <w:rPr>
          <w:rFonts w:eastAsia="TimesNewRoman"/>
          <w:szCs w:val="22"/>
          <w:lang w:val="sr-Latn-ME"/>
        </w:rPr>
        <w:t>su klinički relevantna, prilagođavanja doze kod ovih pacijenata ni</w:t>
      </w:r>
      <w:r w:rsidR="00340BCA" w:rsidRPr="001870F3">
        <w:rPr>
          <w:rFonts w:eastAsia="TimesNewRoman"/>
          <w:szCs w:val="22"/>
          <w:lang w:val="sr-Latn-ME"/>
        </w:rPr>
        <w:t>je</w:t>
      </w:r>
      <w:r w:rsidR="004228B7" w:rsidRPr="001870F3">
        <w:rPr>
          <w:rFonts w:eastAsia="TimesNewRoman"/>
          <w:szCs w:val="22"/>
          <w:lang w:val="sr-Latn-ME"/>
        </w:rPr>
        <w:t>su neophodna.</w:t>
      </w:r>
    </w:p>
    <w:p w14:paraId="2E86A395" w14:textId="77777777" w:rsidR="004228B7" w:rsidRPr="001870F3" w:rsidRDefault="004228B7" w:rsidP="001870F3">
      <w:pPr>
        <w:widowControl w:val="0"/>
        <w:tabs>
          <w:tab w:val="clear" w:pos="284"/>
        </w:tabs>
        <w:autoSpaceDE w:val="0"/>
        <w:autoSpaceDN w:val="0"/>
        <w:adjustRightInd w:val="0"/>
        <w:rPr>
          <w:rFonts w:eastAsia="TimesNewRoman"/>
          <w:szCs w:val="22"/>
          <w:lang w:val="sr-Latn-ME"/>
        </w:rPr>
      </w:pPr>
    </w:p>
    <w:p w14:paraId="2E86A396" w14:textId="5D4AF4CF" w:rsidR="00BB6B1E" w:rsidRPr="001870F3" w:rsidRDefault="0002066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Vr</w:t>
      </w:r>
      <w:r w:rsidR="00C032D7" w:rsidRPr="001870F3">
        <w:rPr>
          <w:rFonts w:eastAsia="TimesNewRoman"/>
          <w:szCs w:val="22"/>
          <w:lang w:val="sr-Latn-ME"/>
        </w:rPr>
        <w:t>ij</w:t>
      </w:r>
      <w:r w:rsidRPr="001870F3">
        <w:rPr>
          <w:rFonts w:eastAsia="TimesNewRoman"/>
          <w:szCs w:val="22"/>
          <w:lang w:val="sr-Latn-ME"/>
        </w:rPr>
        <w:t>ednosti PIK sitagliptina u plazmi su bile povećane oko 2 puta kod pacijenata sa um</w:t>
      </w:r>
      <w:r w:rsidR="00C032D7" w:rsidRPr="001870F3">
        <w:rPr>
          <w:rFonts w:eastAsia="TimesNewRoman"/>
          <w:szCs w:val="22"/>
          <w:lang w:val="sr-Latn-ME"/>
        </w:rPr>
        <w:t>j</w:t>
      </w:r>
      <w:r w:rsidRPr="001870F3">
        <w:rPr>
          <w:rFonts w:eastAsia="TimesNewRoman"/>
          <w:szCs w:val="22"/>
          <w:lang w:val="sr-Latn-ME"/>
        </w:rPr>
        <w:t>erenim oštećenjem bubrežne funkcije (GFR ≥ 30 do &lt; 45 m</w:t>
      </w:r>
      <w:r w:rsidR="00797A1A" w:rsidRPr="001870F3">
        <w:rPr>
          <w:rFonts w:eastAsia="TimesNewRoman"/>
          <w:szCs w:val="22"/>
          <w:lang w:val="sr-Latn-ME"/>
        </w:rPr>
        <w:t>l</w:t>
      </w:r>
      <w:r w:rsidRPr="001870F3">
        <w:rPr>
          <w:rFonts w:eastAsia="TimesNewRoman"/>
          <w:szCs w:val="22"/>
          <w:lang w:val="sr-Latn-ME"/>
        </w:rPr>
        <w:t xml:space="preserve">/min) i oko 4 puta kod pacijenata sa teškim oštećenjem funkcije bubrega (GFR &lt; 30 </w:t>
      </w:r>
      <w:r w:rsidR="00AB0AA0" w:rsidRPr="001870F3">
        <w:rPr>
          <w:rFonts w:eastAsia="TimesNewRoman"/>
          <w:szCs w:val="22"/>
          <w:lang w:val="sr-Latn-ME"/>
        </w:rPr>
        <w:t>ml</w:t>
      </w:r>
      <w:r w:rsidRPr="001870F3">
        <w:rPr>
          <w:rFonts w:eastAsia="TimesNewRoman"/>
          <w:szCs w:val="22"/>
          <w:lang w:val="sr-Latn-ME"/>
        </w:rPr>
        <w:t>/min)</w:t>
      </w:r>
      <w:r w:rsidR="00700799" w:rsidRPr="001870F3">
        <w:rPr>
          <w:rFonts w:eastAsia="TimesNewRoman"/>
          <w:szCs w:val="22"/>
          <w:lang w:val="sr-Latn-ME"/>
        </w:rPr>
        <w:t>, uključujući pacijente sa ESRD na hemodijalizi. Sitagliptin je bio uklonjen u um</w:t>
      </w:r>
      <w:r w:rsidR="00C032D7" w:rsidRPr="001870F3">
        <w:rPr>
          <w:rFonts w:eastAsia="TimesNewRoman"/>
          <w:szCs w:val="22"/>
          <w:lang w:val="sr-Latn-ME"/>
        </w:rPr>
        <w:t>j</w:t>
      </w:r>
      <w:r w:rsidR="00700799" w:rsidRPr="001870F3">
        <w:rPr>
          <w:rFonts w:eastAsia="TimesNewRoman"/>
          <w:szCs w:val="22"/>
          <w:lang w:val="sr-Latn-ME"/>
        </w:rPr>
        <w:t>erenom obimu putem hemodijalize (13,5% tokom 3 do 4-časovne hemodijalize koja započinje 4 sata posl</w:t>
      </w:r>
      <w:r w:rsidR="00C032D7" w:rsidRPr="001870F3">
        <w:rPr>
          <w:rFonts w:eastAsia="TimesNewRoman"/>
          <w:szCs w:val="22"/>
          <w:lang w:val="sr-Latn-ME"/>
        </w:rPr>
        <w:t>ij</w:t>
      </w:r>
      <w:r w:rsidR="00700799" w:rsidRPr="001870F3">
        <w:rPr>
          <w:rFonts w:eastAsia="TimesNewRoman"/>
          <w:szCs w:val="22"/>
          <w:lang w:val="sr-Latn-ME"/>
        </w:rPr>
        <w:t>e doziranja).</w:t>
      </w:r>
    </w:p>
    <w:p w14:paraId="2E86A397" w14:textId="77777777" w:rsidR="00700799" w:rsidRPr="001870F3" w:rsidRDefault="00700799" w:rsidP="001870F3">
      <w:pPr>
        <w:widowControl w:val="0"/>
        <w:tabs>
          <w:tab w:val="clear" w:pos="284"/>
        </w:tabs>
        <w:autoSpaceDE w:val="0"/>
        <w:autoSpaceDN w:val="0"/>
        <w:adjustRightInd w:val="0"/>
        <w:rPr>
          <w:rFonts w:eastAsia="TimesNewRoman"/>
          <w:szCs w:val="22"/>
          <w:lang w:val="sr-Latn-ME"/>
        </w:rPr>
      </w:pPr>
    </w:p>
    <w:p w14:paraId="2E86A398" w14:textId="74D141D3" w:rsidR="00BB6B1E" w:rsidRPr="001870F3" w:rsidRDefault="00A660E0" w:rsidP="001870F3">
      <w:pPr>
        <w:widowControl w:val="0"/>
        <w:tabs>
          <w:tab w:val="clear" w:pos="284"/>
        </w:tabs>
        <w:autoSpaceDE w:val="0"/>
        <w:autoSpaceDN w:val="0"/>
        <w:adjustRightInd w:val="0"/>
        <w:rPr>
          <w:i/>
          <w:iCs/>
          <w:szCs w:val="22"/>
          <w:lang w:val="sr-Latn-ME"/>
        </w:rPr>
      </w:pPr>
      <w:r w:rsidRPr="001870F3">
        <w:rPr>
          <w:i/>
          <w:iCs/>
          <w:szCs w:val="22"/>
          <w:lang w:val="sr-Latn-ME"/>
        </w:rPr>
        <w:t>Oštećenje funkcije jetre</w:t>
      </w:r>
    </w:p>
    <w:p w14:paraId="2E86A39A" w14:textId="686BD1DE" w:rsidR="00277593"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pacijenata sa blagom do um</w:t>
      </w:r>
      <w:r w:rsidR="00C032D7" w:rsidRPr="001870F3">
        <w:rPr>
          <w:rFonts w:eastAsia="TimesNewRoman"/>
          <w:szCs w:val="22"/>
          <w:lang w:val="sr-Latn-ME"/>
        </w:rPr>
        <w:t>j</w:t>
      </w:r>
      <w:r w:rsidRPr="001870F3">
        <w:rPr>
          <w:rFonts w:eastAsia="TimesNewRoman"/>
          <w:szCs w:val="22"/>
          <w:lang w:val="sr-Latn-ME"/>
        </w:rPr>
        <w:t>erenom insuficijencijom jetre (</w:t>
      </w:r>
      <w:r w:rsidRPr="001870F3">
        <w:rPr>
          <w:rFonts w:eastAsia="TimesNewRoman"/>
          <w:i/>
          <w:iCs/>
          <w:szCs w:val="22"/>
          <w:lang w:val="sr-Latn-ME"/>
        </w:rPr>
        <w:t>Child-Pugh</w:t>
      </w:r>
      <w:r w:rsidRPr="001870F3">
        <w:rPr>
          <w:rFonts w:eastAsia="TimesNewRoman"/>
          <w:szCs w:val="22"/>
          <w:lang w:val="sr-Latn-ME"/>
        </w:rPr>
        <w:t xml:space="preserve"> skor ≤ 9) nije potrebna korekcija</w:t>
      </w:r>
      <w:r w:rsidR="00EE636A" w:rsidRPr="001870F3">
        <w:rPr>
          <w:rFonts w:eastAsia="TimesNewRoman"/>
          <w:szCs w:val="22"/>
          <w:lang w:val="sr-Latn-ME"/>
        </w:rPr>
        <w:t xml:space="preserve"> </w:t>
      </w:r>
      <w:r w:rsidRPr="001870F3">
        <w:rPr>
          <w:rFonts w:eastAsia="TimesNewRoman"/>
          <w:szCs w:val="22"/>
          <w:lang w:val="sr-Latn-ME"/>
        </w:rPr>
        <w:t>doze sitagliptina. Nema kliničkog iskustva sa pacijentima sa teškom insuficijencijom jetre (</w:t>
      </w:r>
      <w:r w:rsidRPr="001870F3">
        <w:rPr>
          <w:rFonts w:eastAsia="TimesNewRoman"/>
          <w:i/>
          <w:iCs/>
          <w:szCs w:val="22"/>
          <w:lang w:val="sr-Latn-ME"/>
        </w:rPr>
        <w:t>Child-Pugh</w:t>
      </w:r>
      <w:r w:rsidRPr="001870F3">
        <w:rPr>
          <w:rFonts w:eastAsia="TimesNewRoman"/>
          <w:szCs w:val="22"/>
          <w:lang w:val="sr-Latn-ME"/>
        </w:rPr>
        <w:t xml:space="preserve"> skor &gt; 9). Međutim, pošto se sitagliptin primarno eliminiše preko bubrega, ne očekuje se da teška insuficijencija jetre utiče na farmakokinetiku sitagliptina.</w:t>
      </w:r>
    </w:p>
    <w:p w14:paraId="2E86A39B"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p>
    <w:p w14:paraId="2E86A39C" w14:textId="77777777" w:rsidR="00277593" w:rsidRPr="001870F3" w:rsidRDefault="00277593"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Stariji pacijenti</w:t>
      </w:r>
    </w:p>
    <w:p w14:paraId="2E86A39E" w14:textId="1F77A3E9" w:rsidR="00277593"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Nije potrebna korekcija doze u zavisnosti od životnog doba. Sudeći po podacima iz </w:t>
      </w:r>
      <w:r w:rsidR="000B4D27" w:rsidRPr="001870F3">
        <w:rPr>
          <w:rFonts w:eastAsia="TimesNewRoman"/>
          <w:szCs w:val="22"/>
          <w:lang w:val="sr-Latn-ME"/>
        </w:rPr>
        <w:t xml:space="preserve">populacione </w:t>
      </w:r>
      <w:r w:rsidRPr="001870F3">
        <w:rPr>
          <w:rFonts w:eastAsia="TimesNewRoman"/>
          <w:szCs w:val="22"/>
          <w:lang w:val="sr-Latn-ME"/>
        </w:rPr>
        <w:t>farmakokinetičke studije</w:t>
      </w:r>
      <w:r w:rsidR="000B4D27" w:rsidRPr="001870F3">
        <w:rPr>
          <w:rFonts w:eastAsia="TimesNewRoman"/>
          <w:szCs w:val="22"/>
          <w:lang w:val="sr-Latn-ME"/>
        </w:rPr>
        <w:t xml:space="preserve"> </w:t>
      </w:r>
      <w:r w:rsidRPr="001870F3">
        <w:rPr>
          <w:rFonts w:eastAsia="TimesNewRoman"/>
          <w:szCs w:val="22"/>
          <w:lang w:val="sr-Latn-ME"/>
        </w:rPr>
        <w:t>u fazi I i fazi II, životno doba nema klinički značajan uticaj na farmakokinetiku sitagliptina.</w:t>
      </w:r>
    </w:p>
    <w:p w14:paraId="2E86A39F"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Koncentracije sitagliptina u plazmi bile su oko 19% više kod starijih ispitanika (od 65 do 80 godina) nego kod mlađih ispitanika.</w:t>
      </w:r>
    </w:p>
    <w:p w14:paraId="2E86A3A0"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p>
    <w:p w14:paraId="2E86A3A1" w14:textId="77777777" w:rsidR="00277593" w:rsidRPr="001870F3" w:rsidRDefault="00277593" w:rsidP="001870F3">
      <w:pPr>
        <w:widowControl w:val="0"/>
        <w:tabs>
          <w:tab w:val="clear" w:pos="284"/>
        </w:tabs>
        <w:autoSpaceDE w:val="0"/>
        <w:autoSpaceDN w:val="0"/>
        <w:adjustRightInd w:val="0"/>
        <w:rPr>
          <w:i/>
          <w:iCs/>
          <w:szCs w:val="22"/>
          <w:lang w:val="sr-Latn-ME"/>
        </w:rPr>
      </w:pPr>
      <w:r w:rsidRPr="001870F3">
        <w:rPr>
          <w:i/>
          <w:iCs/>
          <w:szCs w:val="22"/>
          <w:lang w:val="sr-Latn-ME"/>
        </w:rPr>
        <w:t>Pedijatrijski pacijenti</w:t>
      </w:r>
    </w:p>
    <w:p w14:paraId="279ADFB3" w14:textId="6992A724" w:rsidR="0048268A" w:rsidRPr="001870F3" w:rsidRDefault="004826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Farmakokinetika sitagliptina (pojedinačne doze od 50 mg, 100 mg ili 200 mg) je ispitivana kod pedijatrijskih pacijenata (uzrasta od 10 do 17 godina) sa dijabetesom tipa 2. U ovoj populaciji, vr</w:t>
      </w:r>
      <w:r w:rsidR="00797A1A" w:rsidRPr="001870F3">
        <w:rPr>
          <w:rFonts w:eastAsia="TimesNewRoman"/>
          <w:szCs w:val="22"/>
          <w:lang w:val="sr-Latn-ME"/>
        </w:rPr>
        <w:t>ije</w:t>
      </w:r>
      <w:r w:rsidRPr="001870F3">
        <w:rPr>
          <w:rFonts w:eastAsia="TimesNewRoman"/>
          <w:szCs w:val="22"/>
          <w:lang w:val="sr-Latn-ME"/>
        </w:rPr>
        <w:t>dnost PIK</w:t>
      </w:r>
      <w:r w:rsidR="00AB0AA0" w:rsidRPr="001870F3">
        <w:rPr>
          <w:rFonts w:eastAsia="TimesNewRoman"/>
          <w:szCs w:val="22"/>
          <w:lang w:val="sr-Latn-ME"/>
        </w:rPr>
        <w:t>-a</w:t>
      </w:r>
      <w:r w:rsidRPr="001870F3">
        <w:rPr>
          <w:rFonts w:eastAsia="TimesNewRoman"/>
          <w:szCs w:val="22"/>
          <w:lang w:val="sr-Latn-ME"/>
        </w:rPr>
        <w:t xml:space="preserve"> prilagođena dozi sitagliptina u plazmi je bila približno 18% manja u poređenju sa odraslim pacijentima sa dijabetesom tipa 2, pri dozi od 100 mg. Studije sa sitagliptinom ni</w:t>
      </w:r>
      <w:r w:rsidR="00A95939" w:rsidRPr="001870F3">
        <w:rPr>
          <w:rFonts w:eastAsia="TimesNewRoman"/>
          <w:szCs w:val="22"/>
          <w:lang w:val="sr-Latn-ME"/>
        </w:rPr>
        <w:t>je</w:t>
      </w:r>
      <w:r w:rsidRPr="001870F3">
        <w:rPr>
          <w:rFonts w:eastAsia="TimesNewRoman"/>
          <w:szCs w:val="22"/>
          <w:lang w:val="sr-Latn-ME"/>
        </w:rPr>
        <w:t>su sprovođene kod pedijatrijskih pacijenata mlađih od 10 godina.</w:t>
      </w:r>
    </w:p>
    <w:p w14:paraId="2E86A3A3"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p>
    <w:p w14:paraId="2E86A3A4" w14:textId="77777777" w:rsidR="00277593" w:rsidRPr="001870F3" w:rsidRDefault="00277593" w:rsidP="001870F3">
      <w:pPr>
        <w:widowControl w:val="0"/>
        <w:tabs>
          <w:tab w:val="clear" w:pos="284"/>
        </w:tabs>
        <w:autoSpaceDE w:val="0"/>
        <w:autoSpaceDN w:val="0"/>
        <w:adjustRightInd w:val="0"/>
        <w:rPr>
          <w:i/>
          <w:iCs/>
          <w:szCs w:val="22"/>
          <w:lang w:val="sr-Latn-ME"/>
        </w:rPr>
      </w:pPr>
      <w:r w:rsidRPr="001870F3">
        <w:rPr>
          <w:i/>
          <w:iCs/>
          <w:szCs w:val="22"/>
          <w:lang w:val="sr-Latn-ME"/>
        </w:rPr>
        <w:t>Ostale karakteristike pacijenata</w:t>
      </w:r>
    </w:p>
    <w:p w14:paraId="2E86A3A6" w14:textId="4AE589D4" w:rsidR="00CA725C"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AB0AA0" w:rsidRPr="001870F3">
        <w:rPr>
          <w:rFonts w:eastAsia="TimesNewRoman"/>
          <w:szCs w:val="22"/>
          <w:lang w:val="sr-Latn-ME"/>
        </w:rPr>
        <w:t>je</w:t>
      </w:r>
      <w:r w:rsidRPr="001870F3">
        <w:rPr>
          <w:rFonts w:eastAsia="TimesNewRoman"/>
          <w:szCs w:val="22"/>
          <w:lang w:val="sr-Latn-ME"/>
        </w:rPr>
        <w:t>su neophodne korekcije doza u zavisnosti od pola, rase ili indeksa t</w:t>
      </w:r>
      <w:r w:rsidR="00C032D7" w:rsidRPr="001870F3">
        <w:rPr>
          <w:rFonts w:eastAsia="TimesNewRoman"/>
          <w:szCs w:val="22"/>
          <w:lang w:val="sr-Latn-ME"/>
        </w:rPr>
        <w:t>j</w:t>
      </w:r>
      <w:r w:rsidRPr="001870F3">
        <w:rPr>
          <w:rFonts w:eastAsia="TimesNewRoman"/>
          <w:szCs w:val="22"/>
          <w:lang w:val="sr-Latn-ME"/>
        </w:rPr>
        <w:t xml:space="preserve">elesne mase (BMI). Sudeći po </w:t>
      </w:r>
      <w:r w:rsidR="00A03F20" w:rsidRPr="001870F3">
        <w:rPr>
          <w:rFonts w:eastAsia="TimesNewRoman"/>
          <w:szCs w:val="22"/>
          <w:lang w:val="sr-Latn-ME"/>
        </w:rPr>
        <w:t>podacima iz studije sastava u fazi I</w:t>
      </w:r>
      <w:r w:rsidRPr="001870F3">
        <w:rPr>
          <w:rFonts w:eastAsia="TimesNewRoman"/>
          <w:szCs w:val="22"/>
          <w:lang w:val="sr-Latn-ME"/>
        </w:rPr>
        <w:t>i poda</w:t>
      </w:r>
      <w:r w:rsidR="00A03F20" w:rsidRPr="001870F3">
        <w:rPr>
          <w:rFonts w:eastAsia="TimesNewRoman"/>
          <w:szCs w:val="22"/>
          <w:lang w:val="sr-Latn-ME"/>
        </w:rPr>
        <w:t>cima</w:t>
      </w:r>
      <w:r w:rsidRPr="001870F3">
        <w:rPr>
          <w:rFonts w:eastAsia="TimesNewRoman"/>
          <w:szCs w:val="22"/>
          <w:lang w:val="sr-Latn-ME"/>
        </w:rPr>
        <w:t xml:space="preserve"> iz farmakokinetičke </w:t>
      </w:r>
      <w:r w:rsidR="00A03F20" w:rsidRPr="001870F3">
        <w:rPr>
          <w:rFonts w:eastAsia="TimesNewRoman"/>
          <w:szCs w:val="22"/>
          <w:lang w:val="sr-Latn-ME"/>
        </w:rPr>
        <w:t xml:space="preserve">studije populacije </w:t>
      </w:r>
      <w:r w:rsidRPr="001870F3">
        <w:rPr>
          <w:rFonts w:eastAsia="TimesNewRoman"/>
          <w:szCs w:val="22"/>
          <w:lang w:val="sr-Latn-ME"/>
        </w:rPr>
        <w:t>u fazi I i fazi II, ove karakteristike ni</w:t>
      </w:r>
      <w:r w:rsidR="00A95939" w:rsidRPr="001870F3">
        <w:rPr>
          <w:rFonts w:eastAsia="TimesNewRoman"/>
          <w:szCs w:val="22"/>
          <w:lang w:val="sr-Latn-ME"/>
        </w:rPr>
        <w:t>je</w:t>
      </w:r>
      <w:r w:rsidRPr="001870F3">
        <w:rPr>
          <w:rFonts w:eastAsia="TimesNewRoman"/>
          <w:szCs w:val="22"/>
          <w:lang w:val="sr-Latn-ME"/>
        </w:rPr>
        <w:t>su imale klinički značajan uticaj na farmakokinetiku sitagliptina.</w:t>
      </w:r>
    </w:p>
    <w:p w14:paraId="2E86A3B9" w14:textId="77777777" w:rsidR="00BE630C" w:rsidRPr="001870F3" w:rsidRDefault="00BE630C" w:rsidP="001870F3">
      <w:pPr>
        <w:widowControl w:val="0"/>
        <w:rPr>
          <w:szCs w:val="22"/>
          <w:lang w:val="sr-Latn-ME"/>
        </w:rPr>
      </w:pPr>
    </w:p>
    <w:p w14:paraId="2E86A3BA" w14:textId="34EA4AEB" w:rsidR="00CE09F3" w:rsidRPr="001870F3" w:rsidRDefault="00CE09F3" w:rsidP="001870F3">
      <w:pPr>
        <w:widowControl w:val="0"/>
        <w:rPr>
          <w:b/>
          <w:bCs/>
          <w:szCs w:val="22"/>
          <w:lang w:val="sr-Latn-ME"/>
        </w:rPr>
      </w:pPr>
      <w:r w:rsidRPr="001870F3">
        <w:rPr>
          <w:b/>
          <w:bCs/>
          <w:szCs w:val="22"/>
          <w:lang w:val="sr-Latn-ME"/>
        </w:rPr>
        <w:t>5.3. Pretklinički podaci o bezb</w:t>
      </w:r>
      <w:r w:rsidR="00C032D7" w:rsidRPr="001870F3">
        <w:rPr>
          <w:b/>
          <w:bCs/>
          <w:szCs w:val="22"/>
          <w:lang w:val="sr-Latn-ME"/>
        </w:rPr>
        <w:t>j</w:t>
      </w:r>
      <w:r w:rsidRPr="001870F3">
        <w:rPr>
          <w:b/>
          <w:bCs/>
          <w:szCs w:val="22"/>
          <w:lang w:val="sr-Latn-ME"/>
        </w:rPr>
        <w:t>ednosti</w:t>
      </w:r>
    </w:p>
    <w:p w14:paraId="2E86A3BB" w14:textId="77777777" w:rsidR="00CE09F3" w:rsidRPr="001870F3" w:rsidRDefault="00CE09F3" w:rsidP="001870F3">
      <w:pPr>
        <w:widowControl w:val="0"/>
        <w:rPr>
          <w:szCs w:val="22"/>
          <w:lang w:val="sr-Latn-ME"/>
        </w:rPr>
      </w:pPr>
    </w:p>
    <w:p w14:paraId="2E86A3BC" w14:textId="7BB6A242" w:rsidR="0048736E" w:rsidRPr="001870F3" w:rsidRDefault="0048736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A95939" w:rsidRPr="001870F3">
        <w:rPr>
          <w:rFonts w:eastAsia="TimesNewRoman"/>
          <w:szCs w:val="22"/>
          <w:lang w:val="sr-Latn-ME"/>
        </w:rPr>
        <w:t>je</w:t>
      </w:r>
      <w:r w:rsidRPr="001870F3">
        <w:rPr>
          <w:rFonts w:eastAsia="TimesNewRoman"/>
          <w:szCs w:val="22"/>
          <w:lang w:val="sr-Latn-ME"/>
        </w:rPr>
        <w:t>su sprovedene studije sa kombinacijom metformin</w:t>
      </w:r>
      <w:r w:rsidR="00720D88" w:rsidRPr="001870F3">
        <w:rPr>
          <w:rFonts w:eastAsia="TimesNewRoman"/>
          <w:szCs w:val="22"/>
          <w:lang w:val="sr-Latn-ME"/>
        </w:rPr>
        <w:t>/sitagliptin</w:t>
      </w:r>
      <w:r w:rsidRPr="001870F3">
        <w:rPr>
          <w:rFonts w:eastAsia="TimesNewRoman"/>
          <w:szCs w:val="22"/>
          <w:lang w:val="sr-Latn-ME"/>
        </w:rPr>
        <w:t xml:space="preserve"> na životinjama.</w:t>
      </w:r>
    </w:p>
    <w:p w14:paraId="2E86A3BD"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BE" w14:textId="4BD7E202" w:rsidR="0048736E" w:rsidRPr="001870F3" w:rsidRDefault="0048736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Nije prim</w:t>
      </w:r>
      <w:r w:rsidR="00A95939"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ećena dodatna toksičnost kombinacij</w:t>
      </w:r>
      <w:r w:rsidR="00DB0478" w:rsidRPr="001870F3">
        <w:rPr>
          <w:rFonts w:eastAsia="TimesNewRoman"/>
          <w:szCs w:val="22"/>
          <w:lang w:val="sr-Latn-ME"/>
        </w:rPr>
        <w:t>e metformina i sitagliptina u 16</w:t>
      </w:r>
      <w:r w:rsidRPr="001870F3">
        <w:rPr>
          <w:rFonts w:eastAsia="TimesNewRoman"/>
          <w:szCs w:val="22"/>
          <w:lang w:val="sr-Latn-ME"/>
        </w:rPr>
        <w:t>-nedeljnim studijama na psima pri prim</w:t>
      </w:r>
      <w:r w:rsidR="00C032D7" w:rsidRPr="001870F3">
        <w:rPr>
          <w:rFonts w:eastAsia="TimesNewRoman"/>
          <w:szCs w:val="22"/>
          <w:lang w:val="sr-Latn-ME"/>
        </w:rPr>
        <w:t>j</w:t>
      </w:r>
      <w:r w:rsidRPr="001870F3">
        <w:rPr>
          <w:rFonts w:eastAsia="TimesNewRoman"/>
          <w:szCs w:val="22"/>
          <w:lang w:val="sr-Latn-ME"/>
        </w:rPr>
        <w:t>eni metformina ili kombinacije metformina i sitagliptina. NOEL u tim studijama je prim</w:t>
      </w:r>
      <w:r w:rsidR="00A95939"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 pri</w:t>
      </w:r>
      <w:r w:rsidR="00FB5FBE" w:rsidRPr="001870F3">
        <w:rPr>
          <w:rFonts w:eastAsia="TimesNewRoman"/>
          <w:szCs w:val="22"/>
          <w:lang w:val="sr-Latn-ME"/>
        </w:rPr>
        <w:t xml:space="preserve"> </w:t>
      </w:r>
      <w:r w:rsidRPr="001870F3">
        <w:rPr>
          <w:rFonts w:eastAsia="TimesNewRoman"/>
          <w:szCs w:val="22"/>
          <w:lang w:val="sr-Latn-ME"/>
        </w:rPr>
        <w:t xml:space="preserve">izloženosti sitagliptinu koja je </w:t>
      </w:r>
      <w:r w:rsidR="003F2BB0" w:rsidRPr="001870F3">
        <w:rPr>
          <w:rFonts w:eastAsia="TimesNewRoman"/>
          <w:szCs w:val="22"/>
          <w:lang w:val="sr-Latn-ME"/>
        </w:rPr>
        <w:t xml:space="preserve">bila </w:t>
      </w:r>
      <w:r w:rsidRPr="001870F3">
        <w:rPr>
          <w:rFonts w:eastAsia="TimesNewRoman"/>
          <w:szCs w:val="22"/>
          <w:lang w:val="sr-Latn-ME"/>
        </w:rPr>
        <w:t xml:space="preserve">oko 6 puta veća od izloženosti </w:t>
      </w:r>
      <w:r w:rsidR="003F2BB0" w:rsidRPr="001870F3">
        <w:rPr>
          <w:rFonts w:eastAsia="TimesNewRoman"/>
          <w:szCs w:val="22"/>
          <w:lang w:val="sr-Latn-ME"/>
        </w:rPr>
        <w:t xml:space="preserve">kod </w:t>
      </w:r>
      <w:r w:rsidRPr="001870F3">
        <w:rPr>
          <w:rFonts w:eastAsia="TimesNewRoman"/>
          <w:szCs w:val="22"/>
          <w:lang w:val="sr-Latn-ME"/>
        </w:rPr>
        <w:t>ljudi i pri izloženosti metforminu koja je bila oko 2,5 veća od izloženosti</w:t>
      </w:r>
      <w:r w:rsidR="003F2BB0" w:rsidRPr="001870F3">
        <w:rPr>
          <w:rFonts w:eastAsia="TimesNewRoman"/>
          <w:szCs w:val="22"/>
          <w:lang w:val="sr-Latn-ME"/>
        </w:rPr>
        <w:t xml:space="preserve"> kod</w:t>
      </w:r>
      <w:r w:rsidRPr="001870F3">
        <w:rPr>
          <w:rFonts w:eastAsia="TimesNewRoman"/>
          <w:szCs w:val="22"/>
          <w:lang w:val="sr-Latn-ME"/>
        </w:rPr>
        <w:t xml:space="preserve"> ljudi.</w:t>
      </w:r>
    </w:p>
    <w:p w14:paraId="2E86A3BF"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0" w14:textId="0B236C7B" w:rsidR="00CE09F3" w:rsidRPr="001870F3" w:rsidRDefault="0048736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Sl</w:t>
      </w:r>
      <w:r w:rsidR="00A95939" w:rsidRPr="001870F3">
        <w:rPr>
          <w:rFonts w:eastAsia="TimesNewRoman"/>
          <w:szCs w:val="22"/>
          <w:lang w:val="sr-Latn-ME"/>
        </w:rPr>
        <w:t>j</w:t>
      </w:r>
      <w:r w:rsidRPr="001870F3">
        <w:rPr>
          <w:rFonts w:eastAsia="TimesNewRoman"/>
          <w:szCs w:val="22"/>
          <w:lang w:val="sr-Latn-ME"/>
        </w:rPr>
        <w:t>edeći podaci predstavljaju saznanja dobijena u studijama koje su sprovođene pojedinačno sa sitagliptinom ili metforminom.</w:t>
      </w:r>
    </w:p>
    <w:p w14:paraId="5CB048B2" w14:textId="71E1B911" w:rsidR="00720D88" w:rsidRPr="001870F3" w:rsidRDefault="00720D88" w:rsidP="001870F3">
      <w:pPr>
        <w:widowControl w:val="0"/>
        <w:tabs>
          <w:tab w:val="clear" w:pos="284"/>
        </w:tabs>
        <w:autoSpaceDE w:val="0"/>
        <w:autoSpaceDN w:val="0"/>
        <w:adjustRightInd w:val="0"/>
        <w:rPr>
          <w:rFonts w:eastAsia="TimesNewRoman"/>
          <w:szCs w:val="22"/>
          <w:lang w:val="sr-Latn-ME"/>
        </w:rPr>
      </w:pPr>
    </w:p>
    <w:p w14:paraId="51E31FD1" w14:textId="77777777" w:rsidR="00720D88" w:rsidRPr="001870F3" w:rsidRDefault="00720D88"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w:t>
      </w:r>
    </w:p>
    <w:p w14:paraId="098DE3DA" w14:textId="3327CF2C" w:rsidR="00BB1CFC" w:rsidRPr="001870F3" w:rsidRDefault="00720D8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Pretklinički podaci o metforminu ne otkrivaju poseban rizik za ljude na osnovu konvencionalnih farmakoloških studija bezbjednosti, toksičnosti ponovljenih doza, genotoksičnosti, kancerogenosti i reproduktivne toksičnosti.</w:t>
      </w:r>
    </w:p>
    <w:p w14:paraId="21046119" w14:textId="77777777" w:rsidR="00BB1CFC" w:rsidRPr="001870F3" w:rsidRDefault="00BB1CFC" w:rsidP="001870F3">
      <w:pPr>
        <w:widowControl w:val="0"/>
        <w:tabs>
          <w:tab w:val="clear" w:pos="284"/>
        </w:tabs>
        <w:autoSpaceDE w:val="0"/>
        <w:autoSpaceDN w:val="0"/>
        <w:adjustRightInd w:val="0"/>
        <w:rPr>
          <w:rFonts w:eastAsia="TimesNewRoman"/>
          <w:szCs w:val="22"/>
          <w:u w:val="single"/>
          <w:lang w:val="sr-Latn-ME"/>
        </w:rPr>
      </w:pPr>
    </w:p>
    <w:p w14:paraId="2E86A3C2" w14:textId="270FB7A1" w:rsidR="00DB0478" w:rsidRPr="001870F3" w:rsidRDefault="00DB0478"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Sitagliptin</w:t>
      </w:r>
    </w:p>
    <w:p w14:paraId="2E86A3C3" w14:textId="43B78015" w:rsidR="00DB0478" w:rsidRPr="001870F3" w:rsidRDefault="00C93DD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glodara je prim</w:t>
      </w:r>
      <w:r w:rsidR="00C032D7" w:rsidRPr="001870F3">
        <w:rPr>
          <w:rFonts w:eastAsia="TimesNewRoman"/>
          <w:szCs w:val="22"/>
          <w:lang w:val="sr-Latn-ME"/>
        </w:rPr>
        <w:t>j</w:t>
      </w:r>
      <w:r w:rsidRPr="001870F3">
        <w:rPr>
          <w:rFonts w:eastAsia="TimesNewRoman"/>
          <w:szCs w:val="22"/>
          <w:lang w:val="sr-Latn-ME"/>
        </w:rPr>
        <w:t xml:space="preserve">ećena toksičnost </w:t>
      </w:r>
      <w:r w:rsidR="009F57A3" w:rsidRPr="001870F3">
        <w:rPr>
          <w:rFonts w:eastAsia="TimesNewRoman"/>
          <w:szCs w:val="22"/>
          <w:lang w:val="sr-Latn-ME"/>
        </w:rPr>
        <w:t xml:space="preserve">za </w:t>
      </w:r>
      <w:r w:rsidRPr="001870F3">
        <w:rPr>
          <w:rFonts w:eastAsia="TimesNewRoman"/>
          <w:szCs w:val="22"/>
          <w:lang w:val="sr-Latn-ME"/>
        </w:rPr>
        <w:t>bubrege i jetru pri sistemskoj izloženosti 58 puta višoj od one kod ljudi, a otkriveno je da je izloženost bez</w:t>
      </w:r>
      <w:r w:rsidR="00221DD4" w:rsidRPr="001870F3">
        <w:rPr>
          <w:rFonts w:eastAsia="TimesNewRoman"/>
          <w:szCs w:val="22"/>
          <w:lang w:val="sr-Latn-ME"/>
        </w:rPr>
        <w:t xml:space="preserve"> efekta</w:t>
      </w:r>
      <w:r w:rsidRPr="001870F3">
        <w:rPr>
          <w:rFonts w:eastAsia="TimesNewRoman"/>
          <w:szCs w:val="22"/>
          <w:lang w:val="sr-Latn-ME"/>
        </w:rPr>
        <w:t xml:space="preserve"> 19 puta viša od one kod ljudi. Kod pacova su prim</w:t>
      </w:r>
      <w:r w:rsidR="003F2BB0"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ećene abnormalnosti sekutića pri izloženosti 67 puta višoj od nivoa kliničke izloženosti; na osnovu podataka iz 14-ned</w:t>
      </w:r>
      <w:r w:rsidR="009A67C0" w:rsidRPr="001870F3">
        <w:rPr>
          <w:rFonts w:eastAsia="TimesNewRoman"/>
          <w:szCs w:val="22"/>
          <w:lang w:val="sr-Latn-ME"/>
        </w:rPr>
        <w:t>j</w:t>
      </w:r>
      <w:r w:rsidRPr="001870F3">
        <w:rPr>
          <w:rFonts w:eastAsia="TimesNewRoman"/>
          <w:szCs w:val="22"/>
          <w:lang w:val="sr-Latn-ME"/>
        </w:rPr>
        <w:t>eljne studije na pacovima izloženost bez uticaja je bila 58 puta viša. Nije poznat značaj ovih saznanja za ljude. Pri izloženosti oko 23 puta višoj od nivoa kliničke izloženosti, kod pasa su prim</w:t>
      </w:r>
      <w:r w:rsidR="00A95939" w:rsidRPr="001870F3">
        <w:rPr>
          <w:rFonts w:eastAsia="TimesNewRoman"/>
          <w:szCs w:val="22"/>
          <w:lang w:val="sr-Latn-ME"/>
        </w:rPr>
        <w:t>ij</w:t>
      </w:r>
      <w:r w:rsidRPr="001870F3">
        <w:rPr>
          <w:rFonts w:eastAsia="TimesNewRoman"/>
          <w:szCs w:val="22"/>
          <w:lang w:val="sr-Latn-ME"/>
        </w:rPr>
        <w:t>ećeni prolazni fizikalni znaci u vezi sa terapijom, od kojih neki navode na zaključak o neurotoksičnosti, kao što su disanje otvorenih usta, pojačana salivacija, povraćanje p</w:t>
      </w:r>
      <w:r w:rsidR="003F2BB0" w:rsidRPr="001870F3">
        <w:rPr>
          <w:rFonts w:eastAsia="TimesNewRoman"/>
          <w:szCs w:val="22"/>
          <w:lang w:val="sr-Latn-ME"/>
        </w:rPr>
        <w:t>j</w:t>
      </w:r>
      <w:r w:rsidRPr="001870F3">
        <w:rPr>
          <w:rFonts w:eastAsia="TimesNewRoman"/>
          <w:szCs w:val="22"/>
          <w:lang w:val="sr-Latn-ME"/>
        </w:rPr>
        <w:t>enastog b</w:t>
      </w:r>
      <w:r w:rsidR="00A95939" w:rsidRPr="001870F3">
        <w:rPr>
          <w:rFonts w:eastAsia="TimesNewRoman"/>
          <w:szCs w:val="22"/>
          <w:lang w:val="sr-Latn-ME"/>
        </w:rPr>
        <w:t>ij</w:t>
      </w:r>
      <w:r w:rsidRPr="001870F3">
        <w:rPr>
          <w:rFonts w:eastAsia="TimesNewRoman"/>
          <w:szCs w:val="22"/>
          <w:lang w:val="sr-Latn-ME"/>
        </w:rPr>
        <w:t>elog sadržaja, ataksija, drhtanje, smanjena aktivnost i/ili pogureno držanje.</w:t>
      </w:r>
      <w:r w:rsidR="00F40652" w:rsidRPr="001870F3">
        <w:rPr>
          <w:rFonts w:eastAsia="TimesNewRoman"/>
          <w:szCs w:val="22"/>
          <w:lang w:val="sr-Latn-ME"/>
        </w:rPr>
        <w:t xml:space="preserve"> </w:t>
      </w:r>
      <w:r w:rsidRPr="001870F3">
        <w:rPr>
          <w:rFonts w:eastAsia="TimesNewRoman"/>
          <w:szCs w:val="22"/>
          <w:lang w:val="sr-Latn-ME"/>
        </w:rPr>
        <w:t>Osim toga, histološki je prim</w:t>
      </w:r>
      <w:r w:rsidR="00A95939"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ećena i vrlo blaga ili blaga degeneracija skeletnih mišića pri dozama koje su</w:t>
      </w:r>
      <w:r w:rsidR="00F40652" w:rsidRPr="001870F3">
        <w:rPr>
          <w:rFonts w:eastAsia="TimesNewRoman"/>
          <w:szCs w:val="22"/>
          <w:lang w:val="sr-Latn-ME"/>
        </w:rPr>
        <w:t xml:space="preserve"> </w:t>
      </w:r>
      <w:r w:rsidRPr="001870F3">
        <w:rPr>
          <w:rFonts w:eastAsia="TimesNewRoman"/>
          <w:szCs w:val="22"/>
          <w:lang w:val="sr-Latn-ME"/>
        </w:rPr>
        <w:t xml:space="preserve">dovodile do sistemske izloženosti oko 23 puta veće od one kod ljudi. Nivo bez </w:t>
      </w:r>
      <w:r w:rsidR="003F2BB0" w:rsidRPr="001870F3">
        <w:rPr>
          <w:rFonts w:eastAsia="TimesNewRoman"/>
          <w:szCs w:val="22"/>
          <w:lang w:val="sr-Latn-ME"/>
        </w:rPr>
        <w:t>efekta</w:t>
      </w:r>
      <w:r w:rsidRPr="001870F3">
        <w:rPr>
          <w:rFonts w:eastAsia="TimesNewRoman"/>
          <w:szCs w:val="22"/>
          <w:lang w:val="sr-Latn-ME"/>
        </w:rPr>
        <w:t xml:space="preserve"> kod ovog rezultata</w:t>
      </w:r>
      <w:r w:rsidR="00F40652" w:rsidRPr="001870F3">
        <w:rPr>
          <w:rFonts w:eastAsia="TimesNewRoman"/>
          <w:szCs w:val="22"/>
          <w:lang w:val="sr-Latn-ME"/>
        </w:rPr>
        <w:t xml:space="preserve"> </w:t>
      </w:r>
      <w:r w:rsidRPr="001870F3">
        <w:rPr>
          <w:rFonts w:eastAsia="TimesNewRoman"/>
          <w:szCs w:val="22"/>
          <w:lang w:val="sr-Latn-ME"/>
        </w:rPr>
        <w:t>otkriven je pri izloženosti koja je 6 puta veća od nivoa kliničke izloženosti.</w:t>
      </w:r>
    </w:p>
    <w:p w14:paraId="2E86A3C4"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5" w14:textId="71B97979"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U pretkliničkim studijama nije pokazana genotoksičnost sitagliptina. Sitagliptin nije bio kancerogen kod </w:t>
      </w:r>
      <w:r w:rsidRPr="001870F3">
        <w:rPr>
          <w:rFonts w:eastAsia="TimesNewRoman"/>
          <w:szCs w:val="22"/>
          <w:lang w:val="sr-Latn-ME"/>
        </w:rPr>
        <w:lastRenderedPageBreak/>
        <w:t>miševa. Kod pacova je bila povećana incidenca adenoma i karcinoma jetre pri sistemskoj izloženosti 58 puta većoj od izloženosti kod ljudi. Pošto je utvrđena korelacija između hepatotoksičnosti l</w:t>
      </w:r>
      <w:r w:rsidR="00C032D7" w:rsidRPr="001870F3">
        <w:rPr>
          <w:rFonts w:eastAsia="TimesNewRoman"/>
          <w:szCs w:val="22"/>
          <w:lang w:val="sr-Latn-ME"/>
        </w:rPr>
        <w:t>ij</w:t>
      </w:r>
      <w:r w:rsidRPr="001870F3">
        <w:rPr>
          <w:rFonts w:eastAsia="TimesNewRoman"/>
          <w:szCs w:val="22"/>
          <w:lang w:val="sr-Latn-ME"/>
        </w:rPr>
        <w:t>eka i nastanka neoplazija u jetri pacova, pri tako visokoj dozi v</w:t>
      </w:r>
      <w:r w:rsidR="00C032D7" w:rsidRPr="001870F3">
        <w:rPr>
          <w:rFonts w:eastAsia="TimesNewRoman"/>
          <w:szCs w:val="22"/>
          <w:lang w:val="sr-Latn-ME"/>
        </w:rPr>
        <w:t>j</w:t>
      </w:r>
      <w:r w:rsidRPr="001870F3">
        <w:rPr>
          <w:rFonts w:eastAsia="TimesNewRoman"/>
          <w:szCs w:val="22"/>
          <w:lang w:val="sr-Latn-ME"/>
        </w:rPr>
        <w:t>erovatno je povećana učestalost tumora jetre posl</w:t>
      </w:r>
      <w:r w:rsidR="00A95939" w:rsidRPr="001870F3">
        <w:rPr>
          <w:rFonts w:eastAsia="TimesNewRoman"/>
          <w:szCs w:val="22"/>
          <w:lang w:val="sr-Latn-ME"/>
        </w:rPr>
        <w:t>j</w:t>
      </w:r>
      <w:r w:rsidRPr="001870F3">
        <w:rPr>
          <w:rFonts w:eastAsia="TimesNewRoman"/>
          <w:szCs w:val="22"/>
          <w:lang w:val="sr-Latn-ME"/>
        </w:rPr>
        <w:t>edica hroničkog d</w:t>
      </w:r>
      <w:r w:rsidR="00C032D7" w:rsidRPr="001870F3">
        <w:rPr>
          <w:rFonts w:eastAsia="TimesNewRoman"/>
          <w:szCs w:val="22"/>
          <w:lang w:val="sr-Latn-ME"/>
        </w:rPr>
        <w:t>j</w:t>
      </w:r>
      <w:r w:rsidRPr="001870F3">
        <w:rPr>
          <w:rFonts w:eastAsia="TimesNewRoman"/>
          <w:szCs w:val="22"/>
          <w:lang w:val="sr-Latn-ME"/>
        </w:rPr>
        <w:t xml:space="preserve">elovanja na jetru. Budući da su sigurnosne granice visoke (19 puta više od koncentracije bez efekta), ove neoplazije </w:t>
      </w:r>
      <w:r w:rsidR="000B4D27" w:rsidRPr="001870F3">
        <w:rPr>
          <w:rFonts w:eastAsia="TimesNewRoman"/>
          <w:szCs w:val="22"/>
          <w:lang w:val="sr-Latn-ME"/>
        </w:rPr>
        <w:t xml:space="preserve">se </w:t>
      </w:r>
      <w:r w:rsidRPr="001870F3">
        <w:rPr>
          <w:rFonts w:eastAsia="TimesNewRoman"/>
          <w:szCs w:val="22"/>
          <w:lang w:val="sr-Latn-ME"/>
        </w:rPr>
        <w:t>ne smatraju relevantnim za prim</w:t>
      </w:r>
      <w:r w:rsidR="00C032D7" w:rsidRPr="001870F3">
        <w:rPr>
          <w:rFonts w:eastAsia="TimesNewRoman"/>
          <w:szCs w:val="22"/>
          <w:lang w:val="sr-Latn-ME"/>
        </w:rPr>
        <w:t>j</w:t>
      </w:r>
      <w:r w:rsidRPr="001870F3">
        <w:rPr>
          <w:rFonts w:eastAsia="TimesNewRoman"/>
          <w:szCs w:val="22"/>
          <w:lang w:val="sr-Latn-ME"/>
        </w:rPr>
        <w:t>enu l</w:t>
      </w:r>
      <w:r w:rsidR="00C032D7" w:rsidRPr="001870F3">
        <w:rPr>
          <w:rFonts w:eastAsia="TimesNewRoman"/>
          <w:szCs w:val="22"/>
          <w:lang w:val="sr-Latn-ME"/>
        </w:rPr>
        <w:t>ij</w:t>
      </w:r>
      <w:r w:rsidRPr="001870F3">
        <w:rPr>
          <w:rFonts w:eastAsia="TimesNewRoman"/>
          <w:szCs w:val="22"/>
          <w:lang w:val="sr-Latn-ME"/>
        </w:rPr>
        <w:t>eka kod ljudi.</w:t>
      </w:r>
    </w:p>
    <w:p w14:paraId="2E86A3C6"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7" w14:textId="644B4FF0"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mužjaka i ženki pacova koji su sitagliptin primali pr</w:t>
      </w:r>
      <w:r w:rsidR="00C032D7" w:rsidRPr="001870F3">
        <w:rPr>
          <w:rFonts w:eastAsia="TimesNewRoman"/>
          <w:szCs w:val="22"/>
          <w:lang w:val="sr-Latn-ME"/>
        </w:rPr>
        <w:t>ij</w:t>
      </w:r>
      <w:r w:rsidRPr="001870F3">
        <w:rPr>
          <w:rFonts w:eastAsia="TimesNewRoman"/>
          <w:szCs w:val="22"/>
          <w:lang w:val="sr-Latn-ME"/>
        </w:rPr>
        <w:t>e i u toku parenja ni</w:t>
      </w:r>
      <w:r w:rsidR="00A95939" w:rsidRPr="001870F3">
        <w:rPr>
          <w:rFonts w:eastAsia="TimesNewRoman"/>
          <w:szCs w:val="22"/>
          <w:lang w:val="sr-Latn-ME"/>
        </w:rPr>
        <w:t>je</w:t>
      </w:r>
      <w:r w:rsidRPr="001870F3">
        <w:rPr>
          <w:rFonts w:eastAsia="TimesNewRoman"/>
          <w:szCs w:val="22"/>
          <w:lang w:val="sr-Latn-ME"/>
        </w:rPr>
        <w:t>su prim</w:t>
      </w:r>
      <w:r w:rsidR="00221DD4"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ećeni uticaji na plodnost</w:t>
      </w:r>
      <w:r w:rsidR="00C032D7" w:rsidRPr="001870F3">
        <w:rPr>
          <w:rFonts w:eastAsia="TimesNewRoman"/>
          <w:szCs w:val="22"/>
          <w:lang w:val="sr-Latn-ME"/>
        </w:rPr>
        <w:t xml:space="preserve"> </w:t>
      </w:r>
      <w:r w:rsidRPr="001870F3">
        <w:rPr>
          <w:rFonts w:eastAsia="TimesNewRoman"/>
          <w:szCs w:val="22"/>
          <w:lang w:val="sr-Latn-ME"/>
        </w:rPr>
        <w:t>povezani sa prim</w:t>
      </w:r>
      <w:r w:rsidR="00C032D7" w:rsidRPr="001870F3">
        <w:rPr>
          <w:rFonts w:eastAsia="TimesNewRoman"/>
          <w:szCs w:val="22"/>
          <w:lang w:val="sr-Latn-ME"/>
        </w:rPr>
        <w:t>j</w:t>
      </w:r>
      <w:r w:rsidRPr="001870F3">
        <w:rPr>
          <w:rFonts w:eastAsia="TimesNewRoman"/>
          <w:szCs w:val="22"/>
          <w:lang w:val="sr-Latn-ME"/>
        </w:rPr>
        <w:t>enom l</w:t>
      </w:r>
      <w:r w:rsidR="00C032D7" w:rsidRPr="001870F3">
        <w:rPr>
          <w:rFonts w:eastAsia="TimesNewRoman"/>
          <w:szCs w:val="22"/>
          <w:lang w:val="sr-Latn-ME"/>
        </w:rPr>
        <w:t>ij</w:t>
      </w:r>
      <w:r w:rsidRPr="001870F3">
        <w:rPr>
          <w:rFonts w:eastAsia="TimesNewRoman"/>
          <w:szCs w:val="22"/>
          <w:lang w:val="sr-Latn-ME"/>
        </w:rPr>
        <w:t>eka.</w:t>
      </w:r>
    </w:p>
    <w:p w14:paraId="2E86A3C8"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A" w14:textId="13047489"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nije pokazivao neželjena dejstva u studiji prenatalnog/postnatalnog razvoja koja je sprovedena na</w:t>
      </w:r>
      <w:r w:rsidR="00297559" w:rsidRPr="001870F3">
        <w:rPr>
          <w:rFonts w:eastAsia="TimesNewRoman"/>
          <w:szCs w:val="22"/>
          <w:lang w:val="sr-Latn-ME"/>
        </w:rPr>
        <w:t xml:space="preserve"> </w:t>
      </w:r>
      <w:r w:rsidRPr="001870F3">
        <w:rPr>
          <w:rFonts w:eastAsia="TimesNewRoman"/>
          <w:szCs w:val="22"/>
          <w:lang w:val="sr-Latn-ME"/>
        </w:rPr>
        <w:t>pacovima.</w:t>
      </w:r>
    </w:p>
    <w:p w14:paraId="7DC34694" w14:textId="77777777" w:rsidR="00ED5322" w:rsidRPr="001870F3" w:rsidRDefault="00ED5322" w:rsidP="001870F3">
      <w:pPr>
        <w:widowControl w:val="0"/>
        <w:tabs>
          <w:tab w:val="clear" w:pos="284"/>
        </w:tabs>
        <w:autoSpaceDE w:val="0"/>
        <w:autoSpaceDN w:val="0"/>
        <w:adjustRightInd w:val="0"/>
        <w:rPr>
          <w:rFonts w:eastAsia="TimesNewRoman"/>
          <w:szCs w:val="22"/>
          <w:lang w:val="sr-Latn-ME"/>
        </w:rPr>
      </w:pPr>
    </w:p>
    <w:p w14:paraId="2E86A3CC" w14:textId="101C22FE"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Studije reproduktivne toksičnosti pokazale su neznatno povećanu učestalost perinatalnih malformacija povezanih sa prim</w:t>
      </w:r>
      <w:r w:rsidR="00C032D7" w:rsidRPr="001870F3">
        <w:rPr>
          <w:rFonts w:eastAsia="TimesNewRoman"/>
          <w:szCs w:val="22"/>
          <w:lang w:val="sr-Latn-ME"/>
        </w:rPr>
        <w:t>j</w:t>
      </w:r>
      <w:r w:rsidRPr="001870F3">
        <w:rPr>
          <w:rFonts w:eastAsia="TimesNewRoman"/>
          <w:szCs w:val="22"/>
          <w:lang w:val="sr-Latn-ME"/>
        </w:rPr>
        <w:t>enom l</w:t>
      </w:r>
      <w:r w:rsidR="00C032D7" w:rsidRPr="001870F3">
        <w:rPr>
          <w:rFonts w:eastAsia="TimesNewRoman"/>
          <w:szCs w:val="22"/>
          <w:lang w:val="sr-Latn-ME"/>
        </w:rPr>
        <w:t>ij</w:t>
      </w:r>
      <w:r w:rsidRPr="001870F3">
        <w:rPr>
          <w:rFonts w:eastAsia="TimesNewRoman"/>
          <w:szCs w:val="22"/>
          <w:lang w:val="sr-Latn-ME"/>
        </w:rPr>
        <w:t xml:space="preserve">eka (nedostatak rebara, hipoplastična ili talasasta rebra) kod mladunčadi pacova pri sistemskoj izloženosti 29 puta većoj od izloženosti koja se postiže kod ljudi. Toksičnost </w:t>
      </w:r>
      <w:r w:rsidR="00221DD4" w:rsidRPr="001870F3">
        <w:rPr>
          <w:rFonts w:eastAsia="TimesNewRoman"/>
          <w:szCs w:val="22"/>
          <w:lang w:val="sr-Latn-ME"/>
        </w:rPr>
        <w:t>za</w:t>
      </w:r>
      <w:r w:rsidRPr="001870F3">
        <w:rPr>
          <w:rFonts w:eastAsia="TimesNewRoman"/>
          <w:szCs w:val="22"/>
          <w:lang w:val="sr-Latn-ME"/>
        </w:rPr>
        <w:t xml:space="preserve"> majku je uočena kod zečeva pri 29 puta višem nivou izloženosti nego kod ljudi. Budući da je granica </w:t>
      </w:r>
      <w:r w:rsidR="00221DD4" w:rsidRPr="001870F3">
        <w:rPr>
          <w:rFonts w:eastAsia="TimesNewRoman"/>
          <w:szCs w:val="22"/>
          <w:lang w:val="sr-Latn-ME"/>
        </w:rPr>
        <w:t>bezbjednosti</w:t>
      </w:r>
      <w:r w:rsidRPr="001870F3">
        <w:rPr>
          <w:rFonts w:eastAsia="TimesNewRoman"/>
          <w:szCs w:val="22"/>
          <w:lang w:val="sr-Latn-ME"/>
        </w:rPr>
        <w:t xml:space="preserve"> visoka, ova saznanja ne upućuju na to da postoji značajan rizik za reprodukciju kod ljudi. Sitagliptin se u znatnim količinama izlučuje u ml</w:t>
      </w:r>
      <w:r w:rsidR="00C032D7" w:rsidRPr="001870F3">
        <w:rPr>
          <w:rFonts w:eastAsia="TimesNewRoman"/>
          <w:szCs w:val="22"/>
          <w:lang w:val="sr-Latn-ME"/>
        </w:rPr>
        <w:t>ij</w:t>
      </w:r>
      <w:r w:rsidRPr="001870F3">
        <w:rPr>
          <w:rFonts w:eastAsia="TimesNewRoman"/>
          <w:szCs w:val="22"/>
          <w:lang w:val="sr-Latn-ME"/>
        </w:rPr>
        <w:t>eko ženki pacova (odnos ml</w:t>
      </w:r>
      <w:r w:rsidR="00C032D7" w:rsidRPr="001870F3">
        <w:rPr>
          <w:rFonts w:eastAsia="TimesNewRoman"/>
          <w:szCs w:val="22"/>
          <w:lang w:val="sr-Latn-ME"/>
        </w:rPr>
        <w:t>ij</w:t>
      </w:r>
      <w:r w:rsidRPr="001870F3">
        <w:rPr>
          <w:rFonts w:eastAsia="TimesNewRoman"/>
          <w:szCs w:val="22"/>
          <w:lang w:val="sr-Latn-ME"/>
        </w:rPr>
        <w:t>eko/plazma: 4:1).</w:t>
      </w:r>
    </w:p>
    <w:p w14:paraId="2E86A3D0" w14:textId="671AC7C1" w:rsidR="00EA1688" w:rsidRDefault="00EA1688" w:rsidP="001870F3">
      <w:pPr>
        <w:widowControl w:val="0"/>
        <w:tabs>
          <w:tab w:val="clear" w:pos="284"/>
        </w:tabs>
        <w:autoSpaceDE w:val="0"/>
        <w:autoSpaceDN w:val="0"/>
        <w:adjustRightInd w:val="0"/>
        <w:rPr>
          <w:rFonts w:eastAsia="TimesNewRoman"/>
          <w:szCs w:val="22"/>
          <w:lang w:val="sr-Latn-ME"/>
        </w:rPr>
      </w:pPr>
    </w:p>
    <w:p w14:paraId="096E2F60" w14:textId="77777777" w:rsidR="001870F3" w:rsidRPr="001870F3" w:rsidRDefault="001870F3" w:rsidP="001870F3">
      <w:pPr>
        <w:widowControl w:val="0"/>
        <w:tabs>
          <w:tab w:val="clear" w:pos="284"/>
        </w:tabs>
        <w:autoSpaceDE w:val="0"/>
        <w:autoSpaceDN w:val="0"/>
        <w:adjustRightInd w:val="0"/>
        <w:rPr>
          <w:rFonts w:eastAsia="TimesNewRoman"/>
          <w:szCs w:val="22"/>
          <w:lang w:val="sr-Latn-ME"/>
        </w:rPr>
      </w:pPr>
    </w:p>
    <w:p w14:paraId="2E86A3D1" w14:textId="1268438E" w:rsidR="00CE09F3" w:rsidRDefault="00CE09F3" w:rsidP="001870F3">
      <w:pPr>
        <w:pStyle w:val="NASLOV123"/>
        <w:widowControl w:val="0"/>
        <w:spacing w:before="0" w:after="0"/>
        <w:jc w:val="both"/>
        <w:rPr>
          <w:lang w:val="sr-Latn-ME"/>
        </w:rPr>
      </w:pPr>
      <w:r w:rsidRPr="001870F3">
        <w:rPr>
          <w:lang w:val="sr-Latn-ME"/>
        </w:rPr>
        <w:t>6. FARMACEUTSKI PODACI</w:t>
      </w:r>
    </w:p>
    <w:p w14:paraId="44F465C5" w14:textId="77777777" w:rsidR="001870F3" w:rsidRPr="001870F3" w:rsidRDefault="001870F3" w:rsidP="001870F3">
      <w:pPr>
        <w:pStyle w:val="NASLOV123"/>
        <w:widowControl w:val="0"/>
        <w:spacing w:before="0" w:after="0"/>
        <w:jc w:val="both"/>
        <w:rPr>
          <w:lang w:val="sr-Latn-ME"/>
        </w:rPr>
      </w:pPr>
    </w:p>
    <w:p w14:paraId="2E86A3D2" w14:textId="03D5F76C" w:rsidR="00CE09F3" w:rsidRPr="001870F3" w:rsidRDefault="00CE09F3" w:rsidP="001870F3">
      <w:pPr>
        <w:widowControl w:val="0"/>
        <w:rPr>
          <w:b/>
          <w:bCs/>
          <w:szCs w:val="22"/>
          <w:lang w:val="sr-Latn-ME"/>
        </w:rPr>
      </w:pPr>
      <w:r w:rsidRPr="001870F3">
        <w:rPr>
          <w:b/>
          <w:bCs/>
          <w:szCs w:val="22"/>
          <w:lang w:val="sr-Latn-ME"/>
        </w:rPr>
        <w:t>6.1. Lista pomoćnih supstanci</w:t>
      </w:r>
      <w:r w:rsidR="00AE1EC7" w:rsidRPr="001870F3">
        <w:rPr>
          <w:b/>
          <w:bCs/>
          <w:szCs w:val="22"/>
          <w:lang w:val="sr-Latn-ME"/>
        </w:rPr>
        <w:t xml:space="preserve"> </w:t>
      </w:r>
      <w:r w:rsidR="00C6740C" w:rsidRPr="001870F3">
        <w:rPr>
          <w:b/>
          <w:bCs/>
          <w:szCs w:val="22"/>
          <w:lang w:val="sr-Latn-ME"/>
        </w:rPr>
        <w:t>(ekscipijenasa)</w:t>
      </w:r>
    </w:p>
    <w:p w14:paraId="2E86A3D3" w14:textId="77777777" w:rsidR="00CE09F3" w:rsidRPr="001870F3" w:rsidRDefault="00CE09F3" w:rsidP="001870F3">
      <w:pPr>
        <w:widowControl w:val="0"/>
        <w:rPr>
          <w:szCs w:val="22"/>
          <w:lang w:val="sr-Latn-ME"/>
        </w:rPr>
      </w:pPr>
    </w:p>
    <w:p w14:paraId="2E86A3D4" w14:textId="505B0DCC" w:rsidR="00307C4F" w:rsidRPr="001870F3" w:rsidRDefault="00307C4F" w:rsidP="001870F3">
      <w:pPr>
        <w:widowControl w:val="0"/>
        <w:rPr>
          <w:bCs/>
          <w:i/>
          <w:szCs w:val="22"/>
          <w:u w:val="single"/>
          <w:lang w:val="sr-Latn-ME"/>
        </w:rPr>
      </w:pPr>
      <w:r w:rsidRPr="001870F3">
        <w:rPr>
          <w:bCs/>
          <w:i/>
          <w:szCs w:val="22"/>
          <w:u w:val="single"/>
          <w:lang w:val="sr-Latn-ME"/>
        </w:rPr>
        <w:t>Dolista Duo, 850 mg</w:t>
      </w:r>
      <w:r w:rsidR="00994192" w:rsidRPr="001870F3">
        <w:rPr>
          <w:bCs/>
          <w:i/>
          <w:szCs w:val="22"/>
          <w:u w:val="single"/>
          <w:lang w:val="sr-Latn-ME"/>
        </w:rPr>
        <w:t xml:space="preserve"> </w:t>
      </w:r>
      <w:r w:rsidR="00ED5322" w:rsidRPr="001870F3">
        <w:rPr>
          <w:bCs/>
          <w:i/>
          <w:szCs w:val="22"/>
          <w:u w:val="single"/>
          <w:lang w:val="sr-Latn-ME"/>
        </w:rPr>
        <w:t>+</w:t>
      </w:r>
      <w:r w:rsidR="00994192" w:rsidRPr="001870F3">
        <w:rPr>
          <w:bCs/>
          <w:i/>
          <w:szCs w:val="22"/>
          <w:u w:val="single"/>
          <w:lang w:val="sr-Latn-ME"/>
        </w:rPr>
        <w:t xml:space="preserve"> </w:t>
      </w:r>
      <w:r w:rsidR="00ED5322" w:rsidRPr="001870F3">
        <w:rPr>
          <w:bCs/>
          <w:i/>
          <w:szCs w:val="22"/>
          <w:u w:val="single"/>
          <w:lang w:val="sr-Latn-ME"/>
        </w:rPr>
        <w:t>50 mg</w:t>
      </w:r>
      <w:r w:rsidRPr="001870F3">
        <w:rPr>
          <w:bCs/>
          <w:i/>
          <w:szCs w:val="22"/>
          <w:u w:val="single"/>
          <w:lang w:val="sr-Latn-ME"/>
        </w:rPr>
        <w:t>, film tablet</w:t>
      </w:r>
      <w:r w:rsidR="004041E9" w:rsidRPr="001870F3">
        <w:rPr>
          <w:bCs/>
          <w:i/>
          <w:szCs w:val="22"/>
          <w:u w:val="single"/>
          <w:lang w:val="sr-Latn-ME"/>
        </w:rPr>
        <w:t>a</w:t>
      </w:r>
    </w:p>
    <w:p w14:paraId="6085E651" w14:textId="77777777" w:rsidR="0013370A" w:rsidRPr="001870F3" w:rsidRDefault="0013370A" w:rsidP="001870F3">
      <w:pPr>
        <w:widowControl w:val="0"/>
        <w:rPr>
          <w:szCs w:val="22"/>
          <w:lang w:val="sr-Latn-ME"/>
        </w:rPr>
      </w:pPr>
    </w:p>
    <w:p w14:paraId="2E86A3D6" w14:textId="044830D4" w:rsidR="00307C4F" w:rsidRPr="001870F3" w:rsidRDefault="00307C4F" w:rsidP="001870F3">
      <w:pPr>
        <w:widowControl w:val="0"/>
        <w:rPr>
          <w:szCs w:val="22"/>
          <w:lang w:val="sr-Latn-ME"/>
        </w:rPr>
      </w:pPr>
      <w:r w:rsidRPr="001870F3">
        <w:rPr>
          <w:szCs w:val="22"/>
          <w:u w:val="single"/>
          <w:lang w:val="sr-Latn-ME"/>
        </w:rPr>
        <w:t>Jezgro</w:t>
      </w:r>
      <w:r w:rsidR="006365BC" w:rsidRPr="001870F3">
        <w:rPr>
          <w:szCs w:val="22"/>
          <w:u w:val="single"/>
          <w:lang w:val="sr-Latn-ME"/>
        </w:rPr>
        <w:t xml:space="preserve"> tablete</w:t>
      </w:r>
      <w:r w:rsidRPr="001870F3">
        <w:rPr>
          <w:szCs w:val="22"/>
          <w:lang w:val="sr-Latn-ME"/>
        </w:rPr>
        <w:t>:</w:t>
      </w:r>
    </w:p>
    <w:p w14:paraId="2E86A3D7" w14:textId="776E528F" w:rsidR="00307C4F" w:rsidRPr="001870F3" w:rsidRDefault="00956D6F" w:rsidP="001870F3">
      <w:pPr>
        <w:widowControl w:val="0"/>
        <w:rPr>
          <w:szCs w:val="22"/>
          <w:lang w:val="sr-Latn-ME"/>
        </w:rPr>
      </w:pPr>
      <w:r w:rsidRPr="001870F3">
        <w:rPr>
          <w:szCs w:val="22"/>
          <w:lang w:val="sr-Latn-ME"/>
        </w:rPr>
        <w:t>- c</w:t>
      </w:r>
      <w:r w:rsidR="00307C4F" w:rsidRPr="001870F3">
        <w:rPr>
          <w:szCs w:val="22"/>
          <w:lang w:val="sr-Latn-ME"/>
        </w:rPr>
        <w:t>eluloza, mikrokristalna</w:t>
      </w:r>
    </w:p>
    <w:p w14:paraId="2E86A3D8" w14:textId="54697780" w:rsidR="00307C4F" w:rsidRPr="001870F3" w:rsidRDefault="00956D6F" w:rsidP="001870F3">
      <w:pPr>
        <w:widowControl w:val="0"/>
        <w:rPr>
          <w:szCs w:val="22"/>
          <w:lang w:val="sr-Latn-ME"/>
        </w:rPr>
      </w:pPr>
      <w:r w:rsidRPr="001870F3">
        <w:rPr>
          <w:szCs w:val="22"/>
          <w:lang w:val="sr-Latn-ME"/>
        </w:rPr>
        <w:t>- p</w:t>
      </w:r>
      <w:r w:rsidR="00307C4F" w:rsidRPr="001870F3">
        <w:rPr>
          <w:szCs w:val="22"/>
          <w:lang w:val="sr-Latn-ME"/>
        </w:rPr>
        <w:t>ovidon K29/32</w:t>
      </w:r>
    </w:p>
    <w:p w14:paraId="2E86A3D9" w14:textId="167F8B40" w:rsidR="00307C4F" w:rsidRPr="001870F3" w:rsidRDefault="00956D6F" w:rsidP="001870F3">
      <w:pPr>
        <w:widowControl w:val="0"/>
        <w:rPr>
          <w:szCs w:val="22"/>
          <w:lang w:val="sr-Latn-ME"/>
        </w:rPr>
      </w:pPr>
      <w:r w:rsidRPr="001870F3">
        <w:rPr>
          <w:szCs w:val="22"/>
          <w:lang w:val="sr-Latn-ME"/>
        </w:rPr>
        <w:t>- n</w:t>
      </w:r>
      <w:r w:rsidR="00307C4F" w:rsidRPr="001870F3">
        <w:rPr>
          <w:szCs w:val="22"/>
          <w:lang w:val="sr-Latn-ME"/>
        </w:rPr>
        <w:t>atrijum laurilsulfat</w:t>
      </w:r>
    </w:p>
    <w:p w14:paraId="707FE2B7" w14:textId="285E36D3" w:rsidR="00AA4EA3" w:rsidRPr="001870F3" w:rsidRDefault="00956D6F" w:rsidP="001870F3">
      <w:pPr>
        <w:widowControl w:val="0"/>
        <w:rPr>
          <w:szCs w:val="22"/>
          <w:lang w:val="sr-Latn-ME"/>
        </w:rPr>
      </w:pPr>
      <w:r w:rsidRPr="001870F3">
        <w:rPr>
          <w:szCs w:val="22"/>
          <w:lang w:val="sr-Latn-ME"/>
        </w:rPr>
        <w:t xml:space="preserve">- </w:t>
      </w:r>
      <w:r w:rsidR="001870F3">
        <w:rPr>
          <w:szCs w:val="22"/>
          <w:lang w:val="sr-Latn-ME"/>
        </w:rPr>
        <w:t>magnezijum stearat</w:t>
      </w:r>
    </w:p>
    <w:p w14:paraId="2E86A3DB" w14:textId="77777777" w:rsidR="00307C4F" w:rsidRPr="001870F3" w:rsidRDefault="00307C4F" w:rsidP="001870F3">
      <w:pPr>
        <w:widowControl w:val="0"/>
        <w:rPr>
          <w:szCs w:val="22"/>
          <w:lang w:val="sr-Latn-ME"/>
        </w:rPr>
      </w:pPr>
    </w:p>
    <w:p w14:paraId="2E86A3DC" w14:textId="5BD4D130" w:rsidR="00307C4F" w:rsidRPr="001870F3" w:rsidRDefault="00307C4F" w:rsidP="001870F3">
      <w:pPr>
        <w:widowControl w:val="0"/>
        <w:rPr>
          <w:szCs w:val="22"/>
          <w:lang w:val="sr-Latn-ME"/>
        </w:rPr>
      </w:pPr>
      <w:r w:rsidRPr="001870F3">
        <w:rPr>
          <w:szCs w:val="22"/>
          <w:u w:val="single"/>
          <w:lang w:val="sr-Latn-ME"/>
        </w:rPr>
        <w:t>Film</w:t>
      </w:r>
      <w:r w:rsidR="005E7E7E" w:rsidRPr="001870F3">
        <w:rPr>
          <w:szCs w:val="22"/>
          <w:u w:val="single"/>
          <w:lang w:val="sr-Latn-ME"/>
        </w:rPr>
        <w:t xml:space="preserve"> (obloga) tablete</w:t>
      </w:r>
      <w:r w:rsidRPr="001870F3">
        <w:rPr>
          <w:szCs w:val="22"/>
          <w:lang w:val="sr-Latn-ME"/>
        </w:rPr>
        <w:t>:</w:t>
      </w:r>
    </w:p>
    <w:p w14:paraId="7E6A3F97" w14:textId="3B4E70C5" w:rsidR="00CD59FE" w:rsidRPr="001870F3" w:rsidRDefault="00CD59FE" w:rsidP="001870F3">
      <w:pPr>
        <w:widowControl w:val="0"/>
        <w:rPr>
          <w:szCs w:val="22"/>
          <w:lang w:val="sr-Latn-ME"/>
        </w:rPr>
      </w:pPr>
      <w:r w:rsidRPr="001870F3">
        <w:rPr>
          <w:szCs w:val="22"/>
          <w:lang w:val="sr-Latn-ME"/>
        </w:rPr>
        <w:t>Opadry QX Pink (321A640002) koji sadrži:</w:t>
      </w:r>
      <w:r w:rsidR="00956D6F" w:rsidRPr="001870F3">
        <w:rPr>
          <w:szCs w:val="22"/>
          <w:lang w:val="sr-Latn-ME"/>
        </w:rPr>
        <w:t xml:space="preserve"> </w:t>
      </w:r>
      <w:r w:rsidR="00C73E35" w:rsidRPr="001870F3">
        <w:rPr>
          <w:szCs w:val="22"/>
          <w:lang w:val="sr-Latn-ME"/>
        </w:rPr>
        <w:t>m</w:t>
      </w:r>
      <w:r w:rsidRPr="001870F3">
        <w:rPr>
          <w:szCs w:val="22"/>
          <w:lang w:val="sr-Latn-ME"/>
        </w:rPr>
        <w:t xml:space="preserve">akrogol (PEG) polivinil alkohol Graft kopolimer (E1209), </w:t>
      </w:r>
      <w:r w:rsidR="00C73E35" w:rsidRPr="001870F3">
        <w:rPr>
          <w:szCs w:val="22"/>
          <w:lang w:val="sr-Latn-ME"/>
        </w:rPr>
        <w:t>t</w:t>
      </w:r>
      <w:r w:rsidRPr="001870F3">
        <w:rPr>
          <w:szCs w:val="22"/>
          <w:lang w:val="sr-Latn-ME"/>
        </w:rPr>
        <w:t xml:space="preserve">alk (E553b), </w:t>
      </w:r>
      <w:r w:rsidR="00C73E35" w:rsidRPr="001870F3">
        <w:rPr>
          <w:szCs w:val="22"/>
          <w:lang w:val="sr-Latn-ME"/>
        </w:rPr>
        <w:t>t</w:t>
      </w:r>
      <w:r w:rsidRPr="001870F3">
        <w:rPr>
          <w:szCs w:val="22"/>
          <w:lang w:val="sr-Latn-ME"/>
        </w:rPr>
        <w:t>itan</w:t>
      </w:r>
      <w:r w:rsidR="001D131C">
        <w:rPr>
          <w:szCs w:val="22"/>
          <w:lang w:val="sr-Latn-ME"/>
        </w:rPr>
        <w:t xml:space="preserve"> </w:t>
      </w:r>
      <w:r w:rsidRPr="001870F3">
        <w:rPr>
          <w:szCs w:val="22"/>
          <w:lang w:val="sr-Latn-ME"/>
        </w:rPr>
        <w:t xml:space="preserve">dioksid (E171), GMDCC, GMCC Type 1 mono/digliceridi, glicerol (E471), </w:t>
      </w:r>
      <w:r w:rsidR="001870F3">
        <w:rPr>
          <w:szCs w:val="22"/>
          <w:lang w:val="sr-Latn-ME"/>
        </w:rPr>
        <w:t>p</w:t>
      </w:r>
      <w:r w:rsidRPr="001870F3">
        <w:rPr>
          <w:szCs w:val="22"/>
          <w:lang w:val="sr-Latn-ME"/>
        </w:rPr>
        <w:t xml:space="preserve">olivinil </w:t>
      </w:r>
      <w:r w:rsidR="00C73E35" w:rsidRPr="001870F3">
        <w:rPr>
          <w:szCs w:val="22"/>
          <w:lang w:val="sr-Latn-ME"/>
        </w:rPr>
        <w:t>al</w:t>
      </w:r>
      <w:r w:rsidR="00297559" w:rsidRPr="001870F3">
        <w:rPr>
          <w:szCs w:val="22"/>
          <w:lang w:val="sr-Latn-ME"/>
        </w:rPr>
        <w:t>k</w:t>
      </w:r>
      <w:r w:rsidR="00C73E35" w:rsidRPr="001870F3">
        <w:rPr>
          <w:szCs w:val="22"/>
          <w:lang w:val="sr-Latn-ME"/>
        </w:rPr>
        <w:t xml:space="preserve">ohol </w:t>
      </w:r>
      <w:r w:rsidRPr="001870F3">
        <w:rPr>
          <w:szCs w:val="22"/>
          <w:lang w:val="sr-Latn-ME"/>
        </w:rPr>
        <w:t>- d</w:t>
      </w:r>
      <w:r w:rsidR="001870F3">
        <w:rPr>
          <w:szCs w:val="22"/>
          <w:lang w:val="sr-Latn-ME"/>
        </w:rPr>
        <w:t>j</w:t>
      </w:r>
      <w:r w:rsidRPr="001870F3">
        <w:rPr>
          <w:szCs w:val="22"/>
          <w:lang w:val="sr-Latn-ME"/>
        </w:rPr>
        <w:t xml:space="preserve">elimično hidrolizovani (E1203), </w:t>
      </w:r>
      <w:r w:rsidR="001870F3">
        <w:rPr>
          <w:szCs w:val="22"/>
          <w:lang w:val="sr-Latn-ME"/>
        </w:rPr>
        <w:t>gv</w:t>
      </w:r>
      <w:r w:rsidRPr="001870F3">
        <w:rPr>
          <w:szCs w:val="22"/>
          <w:lang w:val="sr-Latn-ME"/>
        </w:rPr>
        <w:t>ožđe</w:t>
      </w:r>
      <w:r w:rsidR="001870F3">
        <w:rPr>
          <w:szCs w:val="22"/>
          <w:lang w:val="sr-Latn-ME"/>
        </w:rPr>
        <w:t xml:space="preserve"> </w:t>
      </w:r>
      <w:r w:rsidRPr="001870F3">
        <w:rPr>
          <w:szCs w:val="22"/>
          <w:lang w:val="sr-Latn-ME"/>
        </w:rPr>
        <w:t>oksid, crveni (E 172).</w:t>
      </w:r>
    </w:p>
    <w:p w14:paraId="2E86A3E3" w14:textId="33ECE5CB" w:rsidR="00307C4F" w:rsidRPr="001870F3" w:rsidRDefault="00307C4F" w:rsidP="001870F3">
      <w:pPr>
        <w:widowControl w:val="0"/>
        <w:rPr>
          <w:szCs w:val="22"/>
          <w:lang w:val="sr-Latn-ME"/>
        </w:rPr>
      </w:pPr>
    </w:p>
    <w:p w14:paraId="2E86A3E4" w14:textId="71EBED8C" w:rsidR="00307C4F" w:rsidRPr="001870F3" w:rsidRDefault="00307C4F" w:rsidP="001870F3">
      <w:pPr>
        <w:widowControl w:val="0"/>
        <w:rPr>
          <w:bCs/>
          <w:i/>
          <w:szCs w:val="22"/>
          <w:u w:val="single"/>
          <w:lang w:val="sr-Latn-ME"/>
        </w:rPr>
      </w:pPr>
      <w:r w:rsidRPr="001870F3">
        <w:rPr>
          <w:bCs/>
          <w:i/>
          <w:szCs w:val="22"/>
          <w:u w:val="single"/>
          <w:lang w:val="sr-Latn-ME"/>
        </w:rPr>
        <w:t>Dolista Duo, 1000 mg</w:t>
      </w:r>
      <w:r w:rsidR="00994192" w:rsidRPr="001870F3">
        <w:rPr>
          <w:bCs/>
          <w:i/>
          <w:szCs w:val="22"/>
          <w:u w:val="single"/>
          <w:lang w:val="sr-Latn-ME"/>
        </w:rPr>
        <w:t xml:space="preserve"> </w:t>
      </w:r>
      <w:r w:rsidR="00ED5322" w:rsidRPr="001870F3">
        <w:rPr>
          <w:bCs/>
          <w:i/>
          <w:szCs w:val="22"/>
          <w:u w:val="single"/>
          <w:lang w:val="sr-Latn-ME"/>
        </w:rPr>
        <w:t>+</w:t>
      </w:r>
      <w:r w:rsidR="00994192" w:rsidRPr="001870F3">
        <w:rPr>
          <w:bCs/>
          <w:i/>
          <w:szCs w:val="22"/>
          <w:u w:val="single"/>
          <w:lang w:val="sr-Latn-ME"/>
        </w:rPr>
        <w:t xml:space="preserve"> </w:t>
      </w:r>
      <w:r w:rsidR="00ED5322" w:rsidRPr="001870F3">
        <w:rPr>
          <w:bCs/>
          <w:i/>
          <w:szCs w:val="22"/>
          <w:u w:val="single"/>
          <w:lang w:val="sr-Latn-ME"/>
        </w:rPr>
        <w:t>50 mg</w:t>
      </w:r>
      <w:r w:rsidRPr="001870F3">
        <w:rPr>
          <w:bCs/>
          <w:i/>
          <w:szCs w:val="22"/>
          <w:u w:val="single"/>
          <w:lang w:val="sr-Latn-ME"/>
        </w:rPr>
        <w:t>, film tablet</w:t>
      </w:r>
      <w:r w:rsidR="00994192" w:rsidRPr="001870F3">
        <w:rPr>
          <w:bCs/>
          <w:i/>
          <w:szCs w:val="22"/>
          <w:u w:val="single"/>
          <w:lang w:val="sr-Latn-ME"/>
        </w:rPr>
        <w:t>a</w:t>
      </w:r>
    </w:p>
    <w:p w14:paraId="35168E18" w14:textId="77777777" w:rsidR="0013370A" w:rsidRPr="001870F3" w:rsidRDefault="0013370A" w:rsidP="001870F3">
      <w:pPr>
        <w:widowControl w:val="0"/>
        <w:rPr>
          <w:szCs w:val="22"/>
          <w:lang w:val="sr-Latn-ME"/>
        </w:rPr>
      </w:pPr>
    </w:p>
    <w:p w14:paraId="2E86A3E6" w14:textId="751155D4" w:rsidR="00307C4F" w:rsidRPr="001870F3" w:rsidRDefault="00307C4F" w:rsidP="001870F3">
      <w:pPr>
        <w:widowControl w:val="0"/>
        <w:rPr>
          <w:szCs w:val="22"/>
          <w:lang w:val="sr-Latn-ME"/>
        </w:rPr>
      </w:pPr>
      <w:r w:rsidRPr="001870F3">
        <w:rPr>
          <w:szCs w:val="22"/>
          <w:u w:val="single"/>
          <w:lang w:val="sr-Latn-ME"/>
        </w:rPr>
        <w:t>Jezgro</w:t>
      </w:r>
      <w:r w:rsidR="006365BC" w:rsidRPr="001870F3">
        <w:rPr>
          <w:szCs w:val="22"/>
          <w:u w:val="single"/>
          <w:lang w:val="sr-Latn-ME"/>
        </w:rPr>
        <w:t xml:space="preserve"> tablete</w:t>
      </w:r>
      <w:r w:rsidRPr="001870F3">
        <w:rPr>
          <w:szCs w:val="22"/>
          <w:lang w:val="sr-Latn-ME"/>
        </w:rPr>
        <w:t>:</w:t>
      </w:r>
    </w:p>
    <w:p w14:paraId="2E86A3E7" w14:textId="5D177417" w:rsidR="00307C4F" w:rsidRPr="001870F3" w:rsidRDefault="00C73E35" w:rsidP="001870F3">
      <w:pPr>
        <w:widowControl w:val="0"/>
        <w:rPr>
          <w:szCs w:val="22"/>
          <w:lang w:val="sr-Latn-ME"/>
        </w:rPr>
      </w:pPr>
      <w:r w:rsidRPr="001870F3">
        <w:rPr>
          <w:szCs w:val="22"/>
          <w:lang w:val="sr-Latn-ME"/>
        </w:rPr>
        <w:t>- c</w:t>
      </w:r>
      <w:r w:rsidR="00307C4F" w:rsidRPr="001870F3">
        <w:rPr>
          <w:szCs w:val="22"/>
          <w:lang w:val="sr-Latn-ME"/>
        </w:rPr>
        <w:t>eluloza, mikrokristalna</w:t>
      </w:r>
    </w:p>
    <w:p w14:paraId="2E86A3E8" w14:textId="2835DB46" w:rsidR="00307C4F" w:rsidRPr="001870F3" w:rsidRDefault="00C73E35" w:rsidP="001870F3">
      <w:pPr>
        <w:widowControl w:val="0"/>
        <w:rPr>
          <w:szCs w:val="22"/>
          <w:lang w:val="sr-Latn-ME"/>
        </w:rPr>
      </w:pPr>
      <w:r w:rsidRPr="001870F3">
        <w:rPr>
          <w:szCs w:val="22"/>
          <w:lang w:val="sr-Latn-ME"/>
        </w:rPr>
        <w:t>- p</w:t>
      </w:r>
      <w:r w:rsidR="00307C4F" w:rsidRPr="001870F3">
        <w:rPr>
          <w:szCs w:val="22"/>
          <w:lang w:val="sr-Latn-ME"/>
        </w:rPr>
        <w:t>ovidon K29/32</w:t>
      </w:r>
    </w:p>
    <w:p w14:paraId="2E86A3E9" w14:textId="480EAAA3" w:rsidR="00307C4F" w:rsidRPr="001870F3" w:rsidRDefault="00C73E35" w:rsidP="001870F3">
      <w:pPr>
        <w:widowControl w:val="0"/>
        <w:rPr>
          <w:szCs w:val="22"/>
          <w:lang w:val="sr-Latn-ME"/>
        </w:rPr>
      </w:pPr>
      <w:r w:rsidRPr="001870F3">
        <w:rPr>
          <w:szCs w:val="22"/>
          <w:lang w:val="sr-Latn-ME"/>
        </w:rPr>
        <w:t xml:space="preserve">- natrijum </w:t>
      </w:r>
      <w:r w:rsidR="00307C4F" w:rsidRPr="001870F3">
        <w:rPr>
          <w:szCs w:val="22"/>
          <w:lang w:val="sr-Latn-ME"/>
        </w:rPr>
        <w:t>laurilsulfat</w:t>
      </w:r>
    </w:p>
    <w:p w14:paraId="2E86A3EA" w14:textId="4B491639" w:rsidR="00307C4F" w:rsidRPr="001870F3" w:rsidRDefault="00C73E35" w:rsidP="001870F3">
      <w:pPr>
        <w:widowControl w:val="0"/>
        <w:rPr>
          <w:szCs w:val="22"/>
          <w:lang w:val="sr-Latn-ME"/>
        </w:rPr>
      </w:pPr>
      <w:r w:rsidRPr="001870F3">
        <w:rPr>
          <w:szCs w:val="22"/>
          <w:lang w:val="sr-Latn-ME"/>
        </w:rPr>
        <w:t xml:space="preserve">- </w:t>
      </w:r>
      <w:r w:rsidR="001870F3">
        <w:rPr>
          <w:szCs w:val="22"/>
          <w:lang w:val="sr-Latn-ME"/>
        </w:rPr>
        <w:t>magnezijum stearat</w:t>
      </w:r>
    </w:p>
    <w:p w14:paraId="2E86A3EB" w14:textId="77777777" w:rsidR="00307C4F" w:rsidRPr="001870F3" w:rsidRDefault="00307C4F" w:rsidP="001870F3">
      <w:pPr>
        <w:widowControl w:val="0"/>
        <w:rPr>
          <w:szCs w:val="22"/>
          <w:lang w:val="sr-Latn-ME"/>
        </w:rPr>
      </w:pPr>
    </w:p>
    <w:p w14:paraId="2E86A3EC" w14:textId="41CC719C" w:rsidR="00307C4F" w:rsidRPr="001870F3" w:rsidRDefault="00307C4F" w:rsidP="001870F3">
      <w:pPr>
        <w:widowControl w:val="0"/>
        <w:rPr>
          <w:szCs w:val="22"/>
          <w:lang w:val="sr-Latn-ME"/>
        </w:rPr>
      </w:pPr>
      <w:r w:rsidRPr="001870F3">
        <w:rPr>
          <w:szCs w:val="22"/>
          <w:u w:val="single"/>
          <w:lang w:val="sr-Latn-ME"/>
        </w:rPr>
        <w:t>Film</w:t>
      </w:r>
      <w:r w:rsidR="006365BC" w:rsidRPr="001870F3">
        <w:rPr>
          <w:szCs w:val="22"/>
          <w:u w:val="single"/>
          <w:lang w:val="sr-Latn-ME"/>
        </w:rPr>
        <w:t xml:space="preserve"> (obloga) tablete</w:t>
      </w:r>
      <w:r w:rsidRPr="001870F3">
        <w:rPr>
          <w:szCs w:val="22"/>
          <w:lang w:val="sr-Latn-ME"/>
        </w:rPr>
        <w:t>:</w:t>
      </w:r>
    </w:p>
    <w:p w14:paraId="2E86A3F4" w14:textId="4FFA8FEB" w:rsidR="00CE09F3" w:rsidRPr="001870F3" w:rsidRDefault="009151BC" w:rsidP="001870F3">
      <w:pPr>
        <w:widowControl w:val="0"/>
        <w:rPr>
          <w:szCs w:val="22"/>
          <w:lang w:val="sr-Latn-ME"/>
        </w:rPr>
      </w:pPr>
      <w:r w:rsidRPr="001870F3">
        <w:rPr>
          <w:szCs w:val="22"/>
          <w:lang w:val="sr-Latn-ME"/>
        </w:rPr>
        <w:t>Opadry QX Brown (321A265038) koji sadrži:</w:t>
      </w:r>
      <w:r w:rsidR="00956D6F" w:rsidRPr="001870F3">
        <w:rPr>
          <w:szCs w:val="22"/>
          <w:lang w:val="sr-Latn-ME"/>
        </w:rPr>
        <w:t xml:space="preserve"> m</w:t>
      </w:r>
      <w:r w:rsidRPr="001870F3">
        <w:rPr>
          <w:szCs w:val="22"/>
          <w:lang w:val="sr-Latn-ME"/>
        </w:rPr>
        <w:t xml:space="preserve">akrogol (PEG) polivinil alkohol Graft kopolimer (E1209), </w:t>
      </w:r>
      <w:r w:rsidR="00956D6F" w:rsidRPr="001870F3">
        <w:rPr>
          <w:szCs w:val="22"/>
          <w:lang w:val="sr-Latn-ME"/>
        </w:rPr>
        <w:t>t</w:t>
      </w:r>
      <w:r w:rsidRPr="001870F3">
        <w:rPr>
          <w:szCs w:val="22"/>
          <w:lang w:val="sr-Latn-ME"/>
        </w:rPr>
        <w:t xml:space="preserve">alk (E553b), </w:t>
      </w:r>
      <w:r w:rsidR="00956D6F" w:rsidRPr="001870F3">
        <w:rPr>
          <w:szCs w:val="22"/>
          <w:lang w:val="sr-Latn-ME"/>
        </w:rPr>
        <w:t xml:space="preserve">titan </w:t>
      </w:r>
      <w:r w:rsidRPr="001870F3">
        <w:rPr>
          <w:szCs w:val="22"/>
          <w:lang w:val="sr-Latn-ME"/>
        </w:rPr>
        <w:t xml:space="preserve">dioksid (E 171), GMDCC, GMCC Type 1 mono/digliceridi, glicerol (E471), </w:t>
      </w:r>
      <w:r w:rsidR="00956D6F" w:rsidRPr="001870F3">
        <w:rPr>
          <w:szCs w:val="22"/>
          <w:lang w:val="sr-Latn-ME"/>
        </w:rPr>
        <w:t>p</w:t>
      </w:r>
      <w:r w:rsidRPr="001870F3">
        <w:rPr>
          <w:szCs w:val="22"/>
          <w:lang w:val="sr-Latn-ME"/>
        </w:rPr>
        <w:t xml:space="preserve">olivinil </w:t>
      </w:r>
      <w:r w:rsidR="00956D6F" w:rsidRPr="001870F3">
        <w:rPr>
          <w:szCs w:val="22"/>
          <w:lang w:val="sr-Latn-ME"/>
        </w:rPr>
        <w:t>al</w:t>
      </w:r>
      <w:r w:rsidR="00297559" w:rsidRPr="001870F3">
        <w:rPr>
          <w:szCs w:val="22"/>
          <w:lang w:val="sr-Latn-ME"/>
        </w:rPr>
        <w:t>k</w:t>
      </w:r>
      <w:r w:rsidR="00956D6F" w:rsidRPr="001870F3">
        <w:rPr>
          <w:szCs w:val="22"/>
          <w:lang w:val="sr-Latn-ME"/>
        </w:rPr>
        <w:t xml:space="preserve">ohol </w:t>
      </w:r>
      <w:r w:rsidRPr="001870F3">
        <w:rPr>
          <w:szCs w:val="22"/>
          <w:lang w:val="sr-Latn-ME"/>
        </w:rPr>
        <w:t>- d</w:t>
      </w:r>
      <w:r w:rsidR="001870F3">
        <w:rPr>
          <w:szCs w:val="22"/>
          <w:lang w:val="sr-Latn-ME"/>
        </w:rPr>
        <w:t>j</w:t>
      </w:r>
      <w:r w:rsidRPr="001870F3">
        <w:rPr>
          <w:szCs w:val="22"/>
          <w:lang w:val="sr-Latn-ME"/>
        </w:rPr>
        <w:t>elimično hidrolizovani (E1203),</w:t>
      </w:r>
      <w:r w:rsidR="00956D6F" w:rsidRPr="001870F3">
        <w:rPr>
          <w:szCs w:val="22"/>
          <w:lang w:val="sr-Latn-ME"/>
        </w:rPr>
        <w:t xml:space="preserve"> g</w:t>
      </w:r>
      <w:r w:rsidRPr="001870F3">
        <w:rPr>
          <w:szCs w:val="22"/>
          <w:lang w:val="sr-Latn-ME"/>
        </w:rPr>
        <w:t>vožđe</w:t>
      </w:r>
      <w:r w:rsidR="00956D6F" w:rsidRPr="001870F3">
        <w:rPr>
          <w:szCs w:val="22"/>
          <w:lang w:val="sr-Latn-ME"/>
        </w:rPr>
        <w:t xml:space="preserve"> </w:t>
      </w:r>
      <w:r w:rsidRPr="001870F3">
        <w:rPr>
          <w:szCs w:val="22"/>
          <w:lang w:val="sr-Latn-ME"/>
        </w:rPr>
        <w:t>oksid, crni (E 172).</w:t>
      </w:r>
    </w:p>
    <w:p w14:paraId="49336A09" w14:textId="77777777" w:rsidR="00956D6F" w:rsidRPr="001870F3" w:rsidRDefault="00956D6F" w:rsidP="001870F3">
      <w:pPr>
        <w:widowControl w:val="0"/>
        <w:rPr>
          <w:szCs w:val="22"/>
          <w:lang w:val="sr-Latn-ME"/>
        </w:rPr>
      </w:pPr>
    </w:p>
    <w:p w14:paraId="2E86A3F5" w14:textId="77777777" w:rsidR="00CE09F3" w:rsidRPr="001870F3" w:rsidRDefault="00CE09F3" w:rsidP="001870F3">
      <w:pPr>
        <w:widowControl w:val="0"/>
        <w:rPr>
          <w:b/>
          <w:bCs/>
          <w:szCs w:val="22"/>
          <w:lang w:val="sr-Latn-ME"/>
        </w:rPr>
      </w:pPr>
      <w:r w:rsidRPr="001870F3">
        <w:rPr>
          <w:b/>
          <w:bCs/>
          <w:szCs w:val="22"/>
          <w:lang w:val="sr-Latn-ME"/>
        </w:rPr>
        <w:t>6.2. Inkompatibilnost</w:t>
      </w:r>
    </w:p>
    <w:p w14:paraId="2E86A3F6" w14:textId="77777777" w:rsidR="00CE09F3" w:rsidRPr="001870F3" w:rsidRDefault="00CE09F3" w:rsidP="001870F3">
      <w:pPr>
        <w:widowControl w:val="0"/>
        <w:rPr>
          <w:szCs w:val="22"/>
          <w:lang w:val="sr-Latn-ME"/>
        </w:rPr>
      </w:pPr>
    </w:p>
    <w:p w14:paraId="2E86A3F7" w14:textId="77777777" w:rsidR="00CE09F3" w:rsidRPr="001870F3" w:rsidRDefault="00307C4F" w:rsidP="001870F3">
      <w:pPr>
        <w:widowControl w:val="0"/>
        <w:rPr>
          <w:szCs w:val="22"/>
          <w:lang w:val="sr-Latn-ME"/>
        </w:rPr>
      </w:pPr>
      <w:r w:rsidRPr="001870F3">
        <w:rPr>
          <w:szCs w:val="22"/>
          <w:lang w:val="sr-Latn-ME"/>
        </w:rPr>
        <w:t>Nije prim</w:t>
      </w:r>
      <w:r w:rsidR="00C032D7" w:rsidRPr="001870F3">
        <w:rPr>
          <w:szCs w:val="22"/>
          <w:lang w:val="sr-Latn-ME"/>
        </w:rPr>
        <w:t>j</w:t>
      </w:r>
      <w:r w:rsidRPr="001870F3">
        <w:rPr>
          <w:szCs w:val="22"/>
          <w:lang w:val="sr-Latn-ME"/>
        </w:rPr>
        <w:t>enljivo.</w:t>
      </w:r>
    </w:p>
    <w:p w14:paraId="2E86A3F8" w14:textId="77777777" w:rsidR="00307C4F" w:rsidRPr="001870F3" w:rsidRDefault="00307C4F" w:rsidP="001870F3">
      <w:pPr>
        <w:widowControl w:val="0"/>
        <w:rPr>
          <w:szCs w:val="22"/>
          <w:lang w:val="sr-Latn-ME"/>
        </w:rPr>
      </w:pPr>
    </w:p>
    <w:p w14:paraId="2E86A3F9" w14:textId="77777777" w:rsidR="00CE09F3" w:rsidRPr="001870F3" w:rsidRDefault="00CE09F3" w:rsidP="001870F3">
      <w:pPr>
        <w:widowControl w:val="0"/>
        <w:rPr>
          <w:b/>
          <w:bCs/>
          <w:szCs w:val="22"/>
          <w:lang w:val="sr-Latn-ME"/>
        </w:rPr>
      </w:pPr>
      <w:r w:rsidRPr="001870F3">
        <w:rPr>
          <w:b/>
          <w:bCs/>
          <w:szCs w:val="22"/>
          <w:lang w:val="sr-Latn-ME"/>
        </w:rPr>
        <w:t>6.3. Rok upotrebe</w:t>
      </w:r>
    </w:p>
    <w:p w14:paraId="2E86A3FA" w14:textId="77777777" w:rsidR="00CE09F3" w:rsidRPr="001870F3" w:rsidRDefault="00CE09F3" w:rsidP="001870F3">
      <w:pPr>
        <w:widowControl w:val="0"/>
        <w:rPr>
          <w:szCs w:val="22"/>
          <w:lang w:val="sr-Latn-ME"/>
        </w:rPr>
      </w:pPr>
    </w:p>
    <w:p w14:paraId="2E86A3FB" w14:textId="77777777" w:rsidR="00CE09F3" w:rsidRPr="001870F3" w:rsidRDefault="005C3105" w:rsidP="001870F3">
      <w:pPr>
        <w:widowControl w:val="0"/>
        <w:rPr>
          <w:szCs w:val="22"/>
          <w:lang w:val="sr-Latn-ME"/>
        </w:rPr>
      </w:pPr>
      <w:r w:rsidRPr="001870F3">
        <w:rPr>
          <w:szCs w:val="22"/>
          <w:lang w:val="sr-Latn-ME"/>
        </w:rPr>
        <w:t>24 m</w:t>
      </w:r>
      <w:r w:rsidR="00C032D7" w:rsidRPr="001870F3">
        <w:rPr>
          <w:szCs w:val="22"/>
          <w:lang w:val="sr-Latn-ME"/>
        </w:rPr>
        <w:t>j</w:t>
      </w:r>
      <w:r w:rsidRPr="001870F3">
        <w:rPr>
          <w:szCs w:val="22"/>
          <w:lang w:val="sr-Latn-ME"/>
        </w:rPr>
        <w:t xml:space="preserve">eseca. </w:t>
      </w:r>
    </w:p>
    <w:p w14:paraId="2E86A3FC" w14:textId="77777777" w:rsidR="005C3105" w:rsidRPr="001870F3" w:rsidRDefault="005C3105" w:rsidP="001870F3">
      <w:pPr>
        <w:widowControl w:val="0"/>
        <w:rPr>
          <w:szCs w:val="22"/>
          <w:lang w:val="sr-Latn-ME"/>
        </w:rPr>
      </w:pPr>
    </w:p>
    <w:p w14:paraId="2E86A3FD" w14:textId="73FD3DEE" w:rsidR="00CE09F3" w:rsidRPr="001870F3" w:rsidRDefault="00CE09F3" w:rsidP="001870F3">
      <w:pPr>
        <w:widowControl w:val="0"/>
        <w:rPr>
          <w:b/>
          <w:bCs/>
          <w:szCs w:val="22"/>
          <w:lang w:val="sr-Latn-ME"/>
        </w:rPr>
      </w:pPr>
      <w:r w:rsidRPr="001870F3">
        <w:rPr>
          <w:b/>
          <w:bCs/>
          <w:szCs w:val="22"/>
          <w:lang w:val="sr-Latn-ME"/>
        </w:rPr>
        <w:t>6.4. Posebne m</w:t>
      </w:r>
      <w:r w:rsidR="00C032D7" w:rsidRPr="001870F3">
        <w:rPr>
          <w:b/>
          <w:bCs/>
          <w:szCs w:val="22"/>
          <w:lang w:val="sr-Latn-ME"/>
        </w:rPr>
        <w:t>j</w:t>
      </w:r>
      <w:r w:rsidRPr="001870F3">
        <w:rPr>
          <w:b/>
          <w:bCs/>
          <w:szCs w:val="22"/>
          <w:lang w:val="sr-Latn-ME"/>
        </w:rPr>
        <w:t xml:space="preserve">ere </w:t>
      </w:r>
      <w:r w:rsidR="00F517BC" w:rsidRPr="001870F3">
        <w:rPr>
          <w:b/>
          <w:bCs/>
          <w:szCs w:val="22"/>
          <w:lang w:val="sr-Latn-ME"/>
        </w:rPr>
        <w:t>upozorenja pri čuvanju lijeka</w:t>
      </w:r>
    </w:p>
    <w:p w14:paraId="2E86A3FE" w14:textId="77777777" w:rsidR="00CE09F3" w:rsidRPr="001870F3" w:rsidRDefault="00CE09F3" w:rsidP="001870F3">
      <w:pPr>
        <w:widowControl w:val="0"/>
        <w:rPr>
          <w:szCs w:val="22"/>
          <w:lang w:val="sr-Latn-ME"/>
        </w:rPr>
      </w:pPr>
    </w:p>
    <w:p w14:paraId="2E86A3FF" w14:textId="44C64073" w:rsidR="00CE09F3" w:rsidRPr="001870F3" w:rsidRDefault="005C3105" w:rsidP="001870F3">
      <w:pPr>
        <w:widowControl w:val="0"/>
        <w:rPr>
          <w:szCs w:val="22"/>
          <w:lang w:val="sr-Latn-ME"/>
        </w:rPr>
      </w:pPr>
      <w:r w:rsidRPr="001870F3">
        <w:rPr>
          <w:szCs w:val="22"/>
          <w:lang w:val="sr-Latn-ME"/>
        </w:rPr>
        <w:t>Čuvati na temperaturi do 30</w:t>
      </w:r>
      <w:r w:rsidR="000E0716" w:rsidRPr="001870F3">
        <w:rPr>
          <w:szCs w:val="22"/>
          <w:lang w:val="sr-Latn-ME"/>
        </w:rPr>
        <w:t>°</w:t>
      </w:r>
      <w:r w:rsidRPr="001870F3">
        <w:rPr>
          <w:szCs w:val="22"/>
          <w:lang w:val="sr-Latn-ME"/>
        </w:rPr>
        <w:t>C.</w:t>
      </w:r>
    </w:p>
    <w:p w14:paraId="2E86A400" w14:textId="77777777" w:rsidR="005C3105" w:rsidRPr="001870F3" w:rsidRDefault="005C3105" w:rsidP="001870F3">
      <w:pPr>
        <w:widowControl w:val="0"/>
        <w:rPr>
          <w:szCs w:val="22"/>
          <w:lang w:val="sr-Latn-ME"/>
        </w:rPr>
      </w:pPr>
    </w:p>
    <w:p w14:paraId="2E86A401" w14:textId="77777777" w:rsidR="00CE09F3" w:rsidRPr="001870F3" w:rsidRDefault="0022223A" w:rsidP="001870F3">
      <w:pPr>
        <w:widowControl w:val="0"/>
        <w:rPr>
          <w:b/>
          <w:bCs/>
          <w:szCs w:val="22"/>
          <w:lang w:val="sr-Latn-ME"/>
        </w:rPr>
      </w:pPr>
      <w:r w:rsidRPr="001870F3">
        <w:rPr>
          <w:b/>
          <w:bCs/>
          <w:szCs w:val="22"/>
          <w:lang w:val="sr-Latn-ME"/>
        </w:rPr>
        <w:t xml:space="preserve">6.5. </w:t>
      </w:r>
      <w:r w:rsidR="00C032D7" w:rsidRPr="001870F3">
        <w:rPr>
          <w:b/>
          <w:bCs/>
          <w:szCs w:val="22"/>
          <w:lang w:val="sr-Latn-ME"/>
        </w:rPr>
        <w:t>Vrsta</w:t>
      </w:r>
      <w:r w:rsidR="00CE09F3" w:rsidRPr="001870F3">
        <w:rPr>
          <w:b/>
          <w:bCs/>
          <w:szCs w:val="22"/>
          <w:lang w:val="sr-Latn-ME"/>
        </w:rPr>
        <w:t xml:space="preserve"> i sadržaj pakovanja</w:t>
      </w:r>
      <w:r w:rsidR="00F42610" w:rsidRPr="001870F3">
        <w:rPr>
          <w:b/>
          <w:bCs/>
          <w:szCs w:val="22"/>
          <w:lang w:val="sr-Latn-ME"/>
        </w:rPr>
        <w:t xml:space="preserve"> </w:t>
      </w:r>
    </w:p>
    <w:p w14:paraId="2E86A402" w14:textId="77777777" w:rsidR="00A01D86" w:rsidRPr="001870F3" w:rsidRDefault="00A01D86" w:rsidP="001870F3">
      <w:pPr>
        <w:widowControl w:val="0"/>
        <w:rPr>
          <w:b/>
          <w:bCs/>
          <w:szCs w:val="22"/>
          <w:lang w:val="sr-Latn-ME"/>
        </w:rPr>
      </w:pPr>
    </w:p>
    <w:p w14:paraId="70316D6E" w14:textId="0728E37D" w:rsidR="00CD0C29" w:rsidRPr="001870F3" w:rsidRDefault="00CD0C29" w:rsidP="001870F3">
      <w:pPr>
        <w:widowControl w:val="0"/>
        <w:rPr>
          <w:szCs w:val="22"/>
          <w:lang w:val="sr-Latn-ME"/>
        </w:rPr>
      </w:pPr>
      <w:r w:rsidRPr="001870F3">
        <w:rPr>
          <w:szCs w:val="22"/>
          <w:lang w:val="sr-Latn-ME"/>
        </w:rPr>
        <w:t>Unutrašnje pakovanje l</w:t>
      </w:r>
      <w:r w:rsidR="000E0716" w:rsidRPr="001870F3">
        <w:rPr>
          <w:szCs w:val="22"/>
          <w:lang w:val="sr-Latn-ME"/>
        </w:rPr>
        <w:t>ij</w:t>
      </w:r>
      <w:r w:rsidRPr="001870F3">
        <w:rPr>
          <w:szCs w:val="22"/>
          <w:lang w:val="sr-Latn-ME"/>
        </w:rPr>
        <w:t xml:space="preserve">eka je PVC/PVDC-Al blister (neprovidan) koji sadrži </w:t>
      </w:r>
      <w:r w:rsidR="00F41B7C" w:rsidRPr="001870F3">
        <w:rPr>
          <w:szCs w:val="22"/>
          <w:lang w:val="sr-Latn-ME"/>
        </w:rPr>
        <w:t xml:space="preserve">15 </w:t>
      </w:r>
      <w:r w:rsidRPr="001870F3">
        <w:rPr>
          <w:szCs w:val="22"/>
          <w:lang w:val="sr-Latn-ME"/>
        </w:rPr>
        <w:t>film tableta.</w:t>
      </w:r>
    </w:p>
    <w:p w14:paraId="2E86A404" w14:textId="4D1D55F0" w:rsidR="00CE09F3" w:rsidRPr="001870F3" w:rsidRDefault="00CD0C29" w:rsidP="001870F3">
      <w:pPr>
        <w:widowControl w:val="0"/>
        <w:rPr>
          <w:szCs w:val="22"/>
          <w:lang w:val="sr-Latn-ME"/>
        </w:rPr>
      </w:pPr>
      <w:r w:rsidRPr="001870F3">
        <w:rPr>
          <w:szCs w:val="22"/>
          <w:lang w:val="sr-Latn-ME"/>
        </w:rPr>
        <w:t>Spoljašnje pakovanje l</w:t>
      </w:r>
      <w:r w:rsidR="000E0716" w:rsidRPr="001870F3">
        <w:rPr>
          <w:szCs w:val="22"/>
          <w:lang w:val="sr-Latn-ME"/>
        </w:rPr>
        <w:t>ij</w:t>
      </w:r>
      <w:r w:rsidRPr="001870F3">
        <w:rPr>
          <w:szCs w:val="22"/>
          <w:lang w:val="sr-Latn-ME"/>
        </w:rPr>
        <w:t xml:space="preserve">eka je složiva kartonska kutija koja sadrži </w:t>
      </w:r>
      <w:r w:rsidR="00F41B7C" w:rsidRPr="001870F3">
        <w:rPr>
          <w:szCs w:val="22"/>
          <w:lang w:val="sr-Latn-ME"/>
        </w:rPr>
        <w:t xml:space="preserve">4 </w:t>
      </w:r>
      <w:r w:rsidRPr="001870F3">
        <w:rPr>
          <w:szCs w:val="22"/>
          <w:lang w:val="sr-Latn-ME"/>
        </w:rPr>
        <w:t xml:space="preserve">blistera sa po </w:t>
      </w:r>
      <w:r w:rsidR="00F41B7C" w:rsidRPr="001870F3">
        <w:rPr>
          <w:szCs w:val="22"/>
          <w:lang w:val="sr-Latn-ME"/>
        </w:rPr>
        <w:t xml:space="preserve">15 </w:t>
      </w:r>
      <w:r w:rsidRPr="001870F3">
        <w:rPr>
          <w:szCs w:val="22"/>
          <w:lang w:val="sr-Latn-ME"/>
        </w:rPr>
        <w:t>film tableta (ukupno 60 film tableta) i Uputstvo za l</w:t>
      </w:r>
      <w:r w:rsidR="000E0716" w:rsidRPr="001870F3">
        <w:rPr>
          <w:szCs w:val="22"/>
          <w:lang w:val="sr-Latn-ME"/>
        </w:rPr>
        <w:t>ij</w:t>
      </w:r>
      <w:r w:rsidRPr="001870F3">
        <w:rPr>
          <w:szCs w:val="22"/>
          <w:lang w:val="sr-Latn-ME"/>
        </w:rPr>
        <w:t>ek.</w:t>
      </w:r>
    </w:p>
    <w:p w14:paraId="462FB768" w14:textId="77777777" w:rsidR="00CD0C29" w:rsidRPr="001870F3" w:rsidRDefault="00CD0C29" w:rsidP="001870F3">
      <w:pPr>
        <w:widowControl w:val="0"/>
        <w:rPr>
          <w:szCs w:val="22"/>
          <w:lang w:val="sr-Latn-ME"/>
        </w:rPr>
      </w:pPr>
    </w:p>
    <w:p w14:paraId="2E86A405" w14:textId="77777777" w:rsidR="00CE09F3" w:rsidRPr="001870F3" w:rsidRDefault="00CE09F3" w:rsidP="001870F3">
      <w:pPr>
        <w:widowControl w:val="0"/>
        <w:rPr>
          <w:b/>
          <w:bCs/>
          <w:szCs w:val="22"/>
          <w:lang w:val="sr-Latn-ME"/>
        </w:rPr>
      </w:pPr>
      <w:r w:rsidRPr="001870F3">
        <w:rPr>
          <w:b/>
          <w:bCs/>
          <w:szCs w:val="22"/>
          <w:lang w:val="sr-Latn-ME"/>
        </w:rPr>
        <w:t>6.6. Posebne m</w:t>
      </w:r>
      <w:r w:rsidR="00C032D7" w:rsidRPr="001870F3">
        <w:rPr>
          <w:b/>
          <w:bCs/>
          <w:szCs w:val="22"/>
          <w:lang w:val="sr-Latn-ME"/>
        </w:rPr>
        <w:t>j</w:t>
      </w:r>
      <w:r w:rsidRPr="001870F3">
        <w:rPr>
          <w:b/>
          <w:bCs/>
          <w:szCs w:val="22"/>
          <w:lang w:val="sr-Latn-ME"/>
        </w:rPr>
        <w:t>ere opreza pri odlaganju materijala koji treba odbaciti nakon prim</w:t>
      </w:r>
      <w:r w:rsidR="00C032D7" w:rsidRPr="001870F3">
        <w:rPr>
          <w:b/>
          <w:bCs/>
          <w:szCs w:val="22"/>
          <w:lang w:val="sr-Latn-ME"/>
        </w:rPr>
        <w:t>j</w:t>
      </w:r>
      <w:r w:rsidRPr="001870F3">
        <w:rPr>
          <w:b/>
          <w:bCs/>
          <w:szCs w:val="22"/>
          <w:lang w:val="sr-Latn-ME"/>
        </w:rPr>
        <w:t>ene l</w:t>
      </w:r>
      <w:r w:rsidR="00C032D7" w:rsidRPr="001870F3">
        <w:rPr>
          <w:b/>
          <w:bCs/>
          <w:szCs w:val="22"/>
          <w:lang w:val="sr-Latn-ME"/>
        </w:rPr>
        <w:t>ij</w:t>
      </w:r>
      <w:r w:rsidRPr="001870F3">
        <w:rPr>
          <w:b/>
          <w:bCs/>
          <w:szCs w:val="22"/>
          <w:lang w:val="sr-Latn-ME"/>
        </w:rPr>
        <w:t>eka (i druga uputstva za rukovanje l</w:t>
      </w:r>
      <w:r w:rsidR="00C032D7" w:rsidRPr="001870F3">
        <w:rPr>
          <w:b/>
          <w:bCs/>
          <w:szCs w:val="22"/>
          <w:lang w:val="sr-Latn-ME"/>
        </w:rPr>
        <w:t>ij</w:t>
      </w:r>
      <w:r w:rsidRPr="001870F3">
        <w:rPr>
          <w:b/>
          <w:bCs/>
          <w:szCs w:val="22"/>
          <w:lang w:val="sr-Latn-ME"/>
        </w:rPr>
        <w:t>ekom)</w:t>
      </w:r>
    </w:p>
    <w:p w14:paraId="2E86A406" w14:textId="77777777" w:rsidR="00CE09F3" w:rsidRPr="001870F3" w:rsidRDefault="00CE09F3" w:rsidP="001870F3">
      <w:pPr>
        <w:widowControl w:val="0"/>
        <w:rPr>
          <w:szCs w:val="22"/>
          <w:lang w:val="sr-Latn-ME"/>
        </w:rPr>
      </w:pPr>
    </w:p>
    <w:p w14:paraId="2E86A407" w14:textId="77777777" w:rsidR="006A40C5" w:rsidRPr="001870F3" w:rsidRDefault="006A40C5" w:rsidP="001870F3">
      <w:pPr>
        <w:widowControl w:val="0"/>
        <w:rPr>
          <w:rFonts w:eastAsia="TimesNewRoman"/>
          <w:szCs w:val="22"/>
          <w:lang w:val="sr-Latn-ME"/>
        </w:rPr>
      </w:pPr>
      <w:r w:rsidRPr="001870F3">
        <w:rPr>
          <w:rFonts w:eastAsia="TimesNewRoman"/>
          <w:szCs w:val="22"/>
          <w:lang w:val="sr-Latn-ME"/>
        </w:rPr>
        <w:t>Svu neiskorišćenu količinu l</w:t>
      </w:r>
      <w:r w:rsidR="00C6740C" w:rsidRPr="001870F3">
        <w:rPr>
          <w:rFonts w:eastAsia="TimesNewRoman"/>
          <w:szCs w:val="22"/>
          <w:lang w:val="sr-Latn-ME"/>
        </w:rPr>
        <w:t>ij</w:t>
      </w:r>
      <w:r w:rsidRPr="001870F3">
        <w:rPr>
          <w:rFonts w:eastAsia="TimesNewRoman"/>
          <w:szCs w:val="22"/>
          <w:lang w:val="sr-Latn-ME"/>
        </w:rPr>
        <w:t>eka ili otpadnog materijala nakon njegove upotrebe treba ukloniti, u skladu sa važećim propisima.</w:t>
      </w:r>
    </w:p>
    <w:p w14:paraId="2E86A408" w14:textId="77777777" w:rsidR="00CE09F3" w:rsidRPr="001870F3" w:rsidRDefault="00CE09F3" w:rsidP="001870F3">
      <w:pPr>
        <w:widowControl w:val="0"/>
        <w:rPr>
          <w:szCs w:val="22"/>
          <w:lang w:val="sr-Latn-ME"/>
        </w:rPr>
      </w:pPr>
    </w:p>
    <w:p w14:paraId="2E86A409" w14:textId="77777777" w:rsidR="00C6740C" w:rsidRPr="001870F3" w:rsidRDefault="00C6740C" w:rsidP="001870F3">
      <w:pPr>
        <w:widowControl w:val="0"/>
        <w:tabs>
          <w:tab w:val="left" w:pos="540"/>
          <w:tab w:val="left" w:pos="569"/>
        </w:tabs>
        <w:rPr>
          <w:bCs/>
          <w:szCs w:val="22"/>
          <w:lang w:val="sr-Latn-ME"/>
        </w:rPr>
      </w:pPr>
    </w:p>
    <w:p w14:paraId="2E86A40A" w14:textId="77777777"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7. </w:t>
      </w:r>
      <w:r w:rsidRPr="001870F3">
        <w:rPr>
          <w:b/>
          <w:bCs/>
          <w:szCs w:val="22"/>
          <w:lang w:val="sr-Latn-ME"/>
        </w:rPr>
        <w:tab/>
        <w:t xml:space="preserve">NOSILAC DOZVOLE </w:t>
      </w:r>
    </w:p>
    <w:p w14:paraId="2E86A40B" w14:textId="77777777" w:rsidR="00C6740C" w:rsidRPr="001870F3" w:rsidRDefault="00C6740C" w:rsidP="001870F3">
      <w:pPr>
        <w:widowControl w:val="0"/>
        <w:tabs>
          <w:tab w:val="left" w:pos="540"/>
          <w:tab w:val="left" w:pos="569"/>
        </w:tabs>
        <w:rPr>
          <w:b/>
          <w:bCs/>
          <w:szCs w:val="22"/>
          <w:lang w:val="sr-Latn-ME"/>
        </w:rPr>
      </w:pPr>
    </w:p>
    <w:p w14:paraId="2E86A40C" w14:textId="6C2950F2" w:rsidR="00C6740C" w:rsidRPr="001870F3" w:rsidRDefault="00C6740C" w:rsidP="001870F3">
      <w:pPr>
        <w:widowControl w:val="0"/>
        <w:tabs>
          <w:tab w:val="left" w:pos="540"/>
          <w:tab w:val="left" w:pos="569"/>
        </w:tabs>
        <w:rPr>
          <w:bCs/>
          <w:szCs w:val="22"/>
          <w:lang w:val="sr-Latn-ME"/>
        </w:rPr>
      </w:pPr>
      <w:r w:rsidRPr="001870F3">
        <w:rPr>
          <w:bCs/>
          <w:szCs w:val="22"/>
          <w:lang w:val="sr-Latn-ME"/>
        </w:rPr>
        <w:t>Hemofarm A</w:t>
      </w:r>
      <w:r w:rsidR="00994192" w:rsidRPr="001870F3">
        <w:rPr>
          <w:bCs/>
          <w:szCs w:val="22"/>
          <w:lang w:val="sr-Latn-ME"/>
        </w:rPr>
        <w:t>.</w:t>
      </w:r>
      <w:r w:rsidRPr="001870F3">
        <w:rPr>
          <w:bCs/>
          <w:szCs w:val="22"/>
          <w:lang w:val="sr-Latn-ME"/>
        </w:rPr>
        <w:t>D</w:t>
      </w:r>
      <w:r w:rsidR="00994192" w:rsidRPr="001870F3">
        <w:rPr>
          <w:bCs/>
          <w:szCs w:val="22"/>
          <w:lang w:val="sr-Latn-ME"/>
        </w:rPr>
        <w:t>.</w:t>
      </w:r>
      <w:r w:rsidRPr="001870F3">
        <w:rPr>
          <w:bCs/>
          <w:szCs w:val="22"/>
          <w:lang w:val="sr-Latn-ME"/>
        </w:rPr>
        <w:t xml:space="preserve"> Vršac P</w:t>
      </w:r>
      <w:r w:rsidR="00994192" w:rsidRPr="001870F3">
        <w:rPr>
          <w:bCs/>
          <w:szCs w:val="22"/>
          <w:lang w:val="sr-Latn-ME"/>
        </w:rPr>
        <w:t>.</w:t>
      </w:r>
      <w:r w:rsidRPr="001870F3">
        <w:rPr>
          <w:bCs/>
          <w:szCs w:val="22"/>
          <w:lang w:val="sr-Latn-ME"/>
        </w:rPr>
        <w:t>J</w:t>
      </w:r>
      <w:r w:rsidR="00994192" w:rsidRPr="001870F3">
        <w:rPr>
          <w:bCs/>
          <w:szCs w:val="22"/>
          <w:lang w:val="sr-Latn-ME"/>
        </w:rPr>
        <w:t>.</w:t>
      </w:r>
      <w:r w:rsidRPr="001870F3">
        <w:rPr>
          <w:bCs/>
          <w:szCs w:val="22"/>
          <w:lang w:val="sr-Latn-ME"/>
        </w:rPr>
        <w:t xml:space="preserve"> Podgorica</w:t>
      </w:r>
    </w:p>
    <w:p w14:paraId="2E86A40D" w14:textId="2BF77082" w:rsidR="00C6740C" w:rsidRPr="001870F3" w:rsidRDefault="00C6740C" w:rsidP="001870F3">
      <w:pPr>
        <w:widowControl w:val="0"/>
        <w:tabs>
          <w:tab w:val="left" w:pos="540"/>
          <w:tab w:val="left" w:pos="569"/>
        </w:tabs>
        <w:rPr>
          <w:bCs/>
          <w:szCs w:val="22"/>
          <w:lang w:val="sr-Latn-ME"/>
        </w:rPr>
      </w:pPr>
      <w:r w:rsidRPr="001870F3">
        <w:rPr>
          <w:bCs/>
          <w:szCs w:val="22"/>
          <w:lang w:val="sr-Latn-ME"/>
        </w:rPr>
        <w:t>8 marta 55A,</w:t>
      </w:r>
      <w:r w:rsidR="00994192" w:rsidRPr="001870F3">
        <w:rPr>
          <w:bCs/>
          <w:szCs w:val="22"/>
          <w:lang w:val="sr-Latn-ME"/>
        </w:rPr>
        <w:t xml:space="preserve"> </w:t>
      </w:r>
      <w:r w:rsidRPr="001870F3">
        <w:rPr>
          <w:bCs/>
          <w:szCs w:val="22"/>
          <w:lang w:val="sr-Latn-ME"/>
        </w:rPr>
        <w:t>Podgorica,</w:t>
      </w:r>
      <w:r w:rsidR="00994192" w:rsidRPr="001870F3">
        <w:rPr>
          <w:bCs/>
          <w:szCs w:val="22"/>
          <w:lang w:val="sr-Latn-ME"/>
        </w:rPr>
        <w:t xml:space="preserve"> </w:t>
      </w:r>
      <w:r w:rsidRPr="001870F3">
        <w:rPr>
          <w:bCs/>
          <w:szCs w:val="22"/>
          <w:lang w:val="sr-Latn-ME"/>
        </w:rPr>
        <w:t>Crna Gora</w:t>
      </w:r>
    </w:p>
    <w:p w14:paraId="2E86A40E" w14:textId="77777777" w:rsidR="00C6740C" w:rsidRPr="001870F3" w:rsidRDefault="00C6740C" w:rsidP="001870F3">
      <w:pPr>
        <w:widowControl w:val="0"/>
        <w:tabs>
          <w:tab w:val="left" w:pos="540"/>
          <w:tab w:val="left" w:pos="569"/>
        </w:tabs>
        <w:rPr>
          <w:bCs/>
          <w:szCs w:val="22"/>
          <w:lang w:val="sr-Latn-ME"/>
        </w:rPr>
      </w:pPr>
    </w:p>
    <w:p w14:paraId="2E86A40F" w14:textId="77777777" w:rsidR="00C6740C" w:rsidRPr="001870F3" w:rsidRDefault="00C6740C" w:rsidP="001870F3">
      <w:pPr>
        <w:widowControl w:val="0"/>
        <w:tabs>
          <w:tab w:val="left" w:pos="540"/>
          <w:tab w:val="left" w:pos="569"/>
        </w:tabs>
        <w:rPr>
          <w:bCs/>
          <w:szCs w:val="22"/>
          <w:lang w:val="sr-Latn-ME"/>
        </w:rPr>
      </w:pPr>
    </w:p>
    <w:p w14:paraId="2E86A410" w14:textId="77777777"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8. </w:t>
      </w:r>
      <w:r w:rsidRPr="001870F3">
        <w:rPr>
          <w:b/>
          <w:bCs/>
          <w:szCs w:val="22"/>
          <w:lang w:val="sr-Latn-ME"/>
        </w:rPr>
        <w:tab/>
        <w:t>BROJ DOZVOLE ZA STAVLJANJE LIJEKA U PROMET</w:t>
      </w:r>
    </w:p>
    <w:p w14:paraId="552958D2" w14:textId="77777777" w:rsidR="004041E9" w:rsidRPr="001870F3" w:rsidRDefault="004041E9" w:rsidP="001870F3">
      <w:pPr>
        <w:widowControl w:val="0"/>
        <w:rPr>
          <w:szCs w:val="22"/>
          <w:lang w:val="sr-Latn-ME"/>
        </w:rPr>
      </w:pPr>
    </w:p>
    <w:p w14:paraId="6B778F1B" w14:textId="426D774C" w:rsidR="00416019" w:rsidRPr="001870F3" w:rsidRDefault="00416019" w:rsidP="001870F3">
      <w:pPr>
        <w:widowControl w:val="0"/>
        <w:rPr>
          <w:szCs w:val="22"/>
          <w:lang w:val="sr-Latn-ME"/>
        </w:rPr>
      </w:pPr>
      <w:r w:rsidRPr="001870F3">
        <w:rPr>
          <w:szCs w:val="22"/>
          <w:lang w:val="sr-Latn-ME"/>
        </w:rPr>
        <w:t>Dolista Duo, 850 mg</w:t>
      </w:r>
      <w:r w:rsidR="0013370A" w:rsidRPr="001870F3">
        <w:rPr>
          <w:szCs w:val="22"/>
          <w:lang w:val="sr-Latn-ME"/>
        </w:rPr>
        <w:t xml:space="preserve"> </w:t>
      </w:r>
      <w:r w:rsidRPr="001870F3">
        <w:rPr>
          <w:szCs w:val="22"/>
          <w:lang w:val="sr-Latn-ME"/>
        </w:rPr>
        <w:t>+</w:t>
      </w:r>
      <w:r w:rsidR="0013370A" w:rsidRPr="001870F3">
        <w:rPr>
          <w:szCs w:val="22"/>
          <w:lang w:val="sr-Latn-ME"/>
        </w:rPr>
        <w:t xml:space="preserve"> </w:t>
      </w:r>
      <w:r w:rsidRPr="001870F3">
        <w:rPr>
          <w:szCs w:val="22"/>
          <w:lang w:val="sr-Latn-ME"/>
        </w:rPr>
        <w:t xml:space="preserve">50 mg, film tablete: </w:t>
      </w:r>
      <w:r w:rsidR="004E45E2" w:rsidRPr="001870F3">
        <w:rPr>
          <w:szCs w:val="22"/>
          <w:lang w:val="sr-Latn-ME"/>
        </w:rPr>
        <w:t>2030/22/3525 - 2588</w:t>
      </w:r>
    </w:p>
    <w:p w14:paraId="2E86A411" w14:textId="2A59AFF2" w:rsidR="00C6740C" w:rsidRPr="001870F3" w:rsidRDefault="00416019" w:rsidP="001870F3">
      <w:pPr>
        <w:widowControl w:val="0"/>
        <w:rPr>
          <w:szCs w:val="22"/>
          <w:lang w:val="sr-Latn-ME"/>
        </w:rPr>
      </w:pPr>
      <w:r w:rsidRPr="001870F3">
        <w:rPr>
          <w:szCs w:val="22"/>
          <w:lang w:val="sr-Latn-ME"/>
        </w:rPr>
        <w:t>Dolista Duo, 1000 mg</w:t>
      </w:r>
      <w:r w:rsidR="0013370A" w:rsidRPr="001870F3">
        <w:rPr>
          <w:szCs w:val="22"/>
          <w:lang w:val="sr-Latn-ME"/>
        </w:rPr>
        <w:t xml:space="preserve"> </w:t>
      </w:r>
      <w:r w:rsidRPr="001870F3">
        <w:rPr>
          <w:szCs w:val="22"/>
          <w:lang w:val="sr-Latn-ME"/>
        </w:rPr>
        <w:t>+</w:t>
      </w:r>
      <w:r w:rsidR="0013370A" w:rsidRPr="001870F3">
        <w:rPr>
          <w:szCs w:val="22"/>
          <w:lang w:val="sr-Latn-ME"/>
        </w:rPr>
        <w:t xml:space="preserve"> </w:t>
      </w:r>
      <w:r w:rsidRPr="001870F3">
        <w:rPr>
          <w:szCs w:val="22"/>
          <w:lang w:val="sr-Latn-ME"/>
        </w:rPr>
        <w:t xml:space="preserve">50 mg, film tablete: </w:t>
      </w:r>
      <w:r w:rsidR="004E45E2" w:rsidRPr="001870F3">
        <w:rPr>
          <w:szCs w:val="22"/>
          <w:lang w:val="sr-Latn-ME"/>
        </w:rPr>
        <w:t>2030/22/3526 - 2589</w:t>
      </w:r>
    </w:p>
    <w:p w14:paraId="2E86A412" w14:textId="30892378" w:rsidR="00C6740C" w:rsidRPr="001870F3" w:rsidRDefault="00C6740C" w:rsidP="001870F3">
      <w:pPr>
        <w:widowControl w:val="0"/>
        <w:tabs>
          <w:tab w:val="left" w:pos="540"/>
          <w:tab w:val="left" w:pos="569"/>
        </w:tabs>
        <w:rPr>
          <w:bCs/>
          <w:szCs w:val="22"/>
          <w:lang w:val="sr-Latn-ME"/>
        </w:rPr>
      </w:pPr>
    </w:p>
    <w:p w14:paraId="18227F8C" w14:textId="77777777" w:rsidR="004E45E2" w:rsidRPr="001870F3" w:rsidRDefault="004E45E2" w:rsidP="001870F3">
      <w:pPr>
        <w:widowControl w:val="0"/>
        <w:tabs>
          <w:tab w:val="left" w:pos="540"/>
          <w:tab w:val="left" w:pos="569"/>
        </w:tabs>
        <w:rPr>
          <w:bCs/>
          <w:szCs w:val="22"/>
          <w:lang w:val="sr-Latn-ME"/>
        </w:rPr>
      </w:pPr>
    </w:p>
    <w:p w14:paraId="2E86A413" w14:textId="77777777"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9. </w:t>
      </w:r>
      <w:r w:rsidRPr="001870F3">
        <w:rPr>
          <w:b/>
          <w:bCs/>
          <w:szCs w:val="22"/>
          <w:lang w:val="sr-Latn-ME"/>
        </w:rPr>
        <w:tab/>
        <w:t>DATUM PRVE DOZVOLE/OBNOVE DOZVOLE ZA STAVLJANJE LIJEKA U PROMET</w:t>
      </w:r>
    </w:p>
    <w:p w14:paraId="7FE0B041" w14:textId="77777777" w:rsidR="004E45E2" w:rsidRPr="001870F3" w:rsidRDefault="004E45E2" w:rsidP="001870F3">
      <w:pPr>
        <w:widowControl w:val="0"/>
        <w:tabs>
          <w:tab w:val="left" w:pos="540"/>
          <w:tab w:val="left" w:pos="569"/>
        </w:tabs>
        <w:rPr>
          <w:szCs w:val="22"/>
          <w:lang w:val="sr-Latn-ME"/>
        </w:rPr>
      </w:pPr>
    </w:p>
    <w:p w14:paraId="2E86A415" w14:textId="053C9304" w:rsidR="00C6740C" w:rsidRPr="001870F3" w:rsidRDefault="004E45E2" w:rsidP="001870F3">
      <w:pPr>
        <w:widowControl w:val="0"/>
        <w:tabs>
          <w:tab w:val="left" w:pos="540"/>
          <w:tab w:val="left" w:pos="569"/>
        </w:tabs>
        <w:rPr>
          <w:bCs/>
          <w:szCs w:val="22"/>
          <w:lang w:val="sr-Latn-ME"/>
        </w:rPr>
      </w:pPr>
      <w:r w:rsidRPr="001870F3">
        <w:rPr>
          <w:szCs w:val="22"/>
          <w:lang w:val="sr-Latn-ME"/>
        </w:rPr>
        <w:t>30.11.2022. godine</w:t>
      </w:r>
    </w:p>
    <w:p w14:paraId="077FD987" w14:textId="77777777" w:rsidR="004E45E2" w:rsidRPr="001870F3" w:rsidRDefault="004E45E2" w:rsidP="001870F3">
      <w:pPr>
        <w:widowControl w:val="0"/>
        <w:tabs>
          <w:tab w:val="left" w:pos="540"/>
          <w:tab w:val="left" w:pos="569"/>
        </w:tabs>
        <w:rPr>
          <w:b/>
          <w:bCs/>
          <w:szCs w:val="22"/>
          <w:lang w:val="sr-Latn-ME"/>
        </w:rPr>
      </w:pPr>
    </w:p>
    <w:p w14:paraId="3C711868" w14:textId="77777777" w:rsidR="0013370A" w:rsidRPr="001870F3" w:rsidRDefault="0013370A" w:rsidP="001870F3">
      <w:pPr>
        <w:widowControl w:val="0"/>
        <w:tabs>
          <w:tab w:val="left" w:pos="540"/>
          <w:tab w:val="left" w:pos="569"/>
        </w:tabs>
        <w:rPr>
          <w:b/>
          <w:bCs/>
          <w:szCs w:val="22"/>
          <w:lang w:val="sr-Latn-ME"/>
        </w:rPr>
      </w:pPr>
    </w:p>
    <w:p w14:paraId="2E86A416" w14:textId="78284878"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10. </w:t>
      </w:r>
      <w:r w:rsidRPr="001870F3">
        <w:rPr>
          <w:b/>
          <w:bCs/>
          <w:szCs w:val="22"/>
          <w:lang w:val="sr-Latn-ME"/>
        </w:rPr>
        <w:tab/>
        <w:t xml:space="preserve">DATUM REVIZIJE TEKSTA </w:t>
      </w:r>
    </w:p>
    <w:p w14:paraId="77453DB7" w14:textId="77777777" w:rsidR="0013370A" w:rsidRPr="001870F3" w:rsidRDefault="0013370A" w:rsidP="001870F3">
      <w:pPr>
        <w:widowControl w:val="0"/>
        <w:rPr>
          <w:bCs/>
          <w:szCs w:val="22"/>
          <w:lang w:val="sr-Latn-ME"/>
        </w:rPr>
      </w:pPr>
    </w:p>
    <w:p w14:paraId="0DC6ADCD" w14:textId="51EAC2D8" w:rsidR="004E45E2" w:rsidRPr="001870F3" w:rsidRDefault="007012CF" w:rsidP="001870F3">
      <w:pPr>
        <w:widowControl w:val="0"/>
        <w:rPr>
          <w:bCs/>
          <w:szCs w:val="22"/>
          <w:lang w:val="sr-Latn-ME"/>
        </w:rPr>
      </w:pPr>
      <w:r w:rsidRPr="001870F3">
        <w:rPr>
          <w:bCs/>
          <w:szCs w:val="22"/>
          <w:lang w:val="sr-Latn-ME"/>
        </w:rPr>
        <w:t>Novembar</w:t>
      </w:r>
      <w:r w:rsidR="00DF280C" w:rsidRPr="001870F3">
        <w:rPr>
          <w:bCs/>
          <w:szCs w:val="22"/>
          <w:lang w:val="sr-Latn-ME"/>
        </w:rPr>
        <w:t>, 2024.</w:t>
      </w:r>
      <w:r w:rsidR="001870F3">
        <w:rPr>
          <w:bCs/>
          <w:szCs w:val="22"/>
          <w:lang w:val="sr-Latn-ME"/>
        </w:rPr>
        <w:t xml:space="preserve"> </w:t>
      </w:r>
      <w:r w:rsidR="00DF280C" w:rsidRPr="001870F3">
        <w:rPr>
          <w:bCs/>
          <w:szCs w:val="22"/>
          <w:lang w:val="sr-Latn-ME"/>
        </w:rPr>
        <w:t>godine</w:t>
      </w:r>
    </w:p>
    <w:sectPr w:rsidR="004E45E2" w:rsidRPr="001870F3" w:rsidSect="005D1BEE">
      <w:footerReference w:type="even" r:id="rId14"/>
      <w:footerReference w:type="defaul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EE47D" w14:textId="77777777" w:rsidR="009152C7" w:rsidRDefault="009152C7">
      <w:r>
        <w:separator/>
      </w:r>
    </w:p>
  </w:endnote>
  <w:endnote w:type="continuationSeparator" w:id="0">
    <w:p w14:paraId="340BEA3B" w14:textId="77777777" w:rsidR="009152C7" w:rsidRDefault="0091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A41D" w14:textId="77777777" w:rsidR="00B614B7" w:rsidRDefault="00B614B7"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86A41E" w14:textId="77777777" w:rsidR="00B614B7" w:rsidRDefault="00B614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A420" w14:textId="3423B3CF" w:rsidR="00B614B7" w:rsidRPr="005B56A9" w:rsidRDefault="009152C7" w:rsidP="005B56A9">
    <w:pPr>
      <w:pStyle w:val="Footer"/>
      <w:tabs>
        <w:tab w:val="left" w:pos="5448"/>
      </w:tabs>
      <w:jc w:val="center"/>
      <w:rPr>
        <w:sz w:val="28"/>
      </w:rPr>
    </w:pPr>
    <w:sdt>
      <w:sdtPr>
        <w:id w:val="25862803"/>
        <w:docPartObj>
          <w:docPartGallery w:val="Page Numbers (Bottom of Page)"/>
          <w:docPartUnique/>
        </w:docPartObj>
      </w:sdtPr>
      <w:sdtEndPr>
        <w:rPr>
          <w:sz w:val="28"/>
        </w:rPr>
      </w:sdtEndPr>
      <w:sdtContent>
        <w:sdt>
          <w:sdtPr>
            <w:rPr>
              <w:sz w:val="28"/>
            </w:rPr>
            <w:id w:val="565050477"/>
            <w:docPartObj>
              <w:docPartGallery w:val="Page Numbers (Top of Page)"/>
              <w:docPartUnique/>
            </w:docPartObj>
          </w:sdtPr>
          <w:sdtEndPr/>
          <w:sdtContent>
            <w:r w:rsidR="00B614B7" w:rsidRPr="005B56A9">
              <w:rPr>
                <w:szCs w:val="18"/>
              </w:rPr>
              <w:fldChar w:fldCharType="begin"/>
            </w:r>
            <w:r w:rsidR="00B614B7" w:rsidRPr="005B56A9">
              <w:rPr>
                <w:szCs w:val="18"/>
              </w:rPr>
              <w:instrText xml:space="preserve"> PAGE </w:instrText>
            </w:r>
            <w:r w:rsidR="00B614B7" w:rsidRPr="005B56A9">
              <w:rPr>
                <w:szCs w:val="18"/>
              </w:rPr>
              <w:fldChar w:fldCharType="separate"/>
            </w:r>
            <w:r w:rsidR="005B56A9">
              <w:rPr>
                <w:noProof/>
                <w:szCs w:val="18"/>
              </w:rPr>
              <w:t>2</w:t>
            </w:r>
            <w:r w:rsidR="00B614B7" w:rsidRPr="005B56A9">
              <w:rPr>
                <w:szCs w:val="18"/>
              </w:rPr>
              <w:fldChar w:fldCharType="end"/>
            </w:r>
            <w:r w:rsidR="00B614B7" w:rsidRPr="005B56A9">
              <w:rPr>
                <w:szCs w:val="18"/>
              </w:rPr>
              <w:t xml:space="preserve"> / </w:t>
            </w:r>
            <w:r w:rsidR="00B614B7" w:rsidRPr="005B56A9">
              <w:rPr>
                <w:szCs w:val="18"/>
              </w:rPr>
              <w:fldChar w:fldCharType="begin"/>
            </w:r>
            <w:r w:rsidR="00B614B7" w:rsidRPr="005B56A9">
              <w:rPr>
                <w:szCs w:val="18"/>
              </w:rPr>
              <w:instrText xml:space="preserve"> NUMPAGES  </w:instrText>
            </w:r>
            <w:r w:rsidR="00B614B7" w:rsidRPr="005B56A9">
              <w:rPr>
                <w:szCs w:val="18"/>
              </w:rPr>
              <w:fldChar w:fldCharType="separate"/>
            </w:r>
            <w:r w:rsidR="005B56A9">
              <w:rPr>
                <w:noProof/>
                <w:szCs w:val="18"/>
              </w:rPr>
              <w:t>20</w:t>
            </w:r>
            <w:r w:rsidR="00B614B7" w:rsidRPr="005B56A9">
              <w:rPr>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F84CE" w14:textId="77777777" w:rsidR="009152C7" w:rsidRDefault="009152C7">
      <w:r>
        <w:separator/>
      </w:r>
    </w:p>
  </w:footnote>
  <w:footnote w:type="continuationSeparator" w:id="0">
    <w:p w14:paraId="60254F44" w14:textId="77777777" w:rsidR="009152C7" w:rsidRDefault="0091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57E1D2D"/>
    <w:multiLevelType w:val="hybridMultilevel"/>
    <w:tmpl w:val="D62AA0F0"/>
    <w:lvl w:ilvl="0" w:tplc="4746D9BE">
      <w:start w:val="229"/>
      <w:numFmt w:val="bullet"/>
      <w:lvlText w:val=""/>
      <w:lvlJc w:val="left"/>
      <w:pPr>
        <w:ind w:left="720" w:hanging="360"/>
      </w:pPr>
      <w:rPr>
        <w:rFonts w:ascii="Symbol" w:eastAsia="TimesNew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F56B8"/>
    <w:multiLevelType w:val="hybridMultilevel"/>
    <w:tmpl w:val="EF96DB94"/>
    <w:lvl w:ilvl="0" w:tplc="E430C9EC">
      <w:start w:val="412"/>
      <w:numFmt w:val="bullet"/>
      <w:lvlText w:val="-"/>
      <w:lvlJc w:val="left"/>
      <w:pPr>
        <w:ind w:left="720" w:hanging="360"/>
      </w:pPr>
      <w:rPr>
        <w:rFonts w:ascii="Franklin Gothic Book" w:eastAsia="Calibri" w:hAnsi="Franklin Gothic Book"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3A0FB4"/>
    <w:multiLevelType w:val="hybridMultilevel"/>
    <w:tmpl w:val="8834ADF2"/>
    <w:lvl w:ilvl="0" w:tplc="578C0C9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767"/>
    <w:rsid w:val="00012864"/>
    <w:rsid w:val="00017801"/>
    <w:rsid w:val="00020666"/>
    <w:rsid w:val="00021823"/>
    <w:rsid w:val="000220E4"/>
    <w:rsid w:val="00022157"/>
    <w:rsid w:val="0002411C"/>
    <w:rsid w:val="000312D3"/>
    <w:rsid w:val="00037C26"/>
    <w:rsid w:val="000414C4"/>
    <w:rsid w:val="00042AA0"/>
    <w:rsid w:val="00042D24"/>
    <w:rsid w:val="0005798D"/>
    <w:rsid w:val="00064273"/>
    <w:rsid w:val="000657CC"/>
    <w:rsid w:val="00065C24"/>
    <w:rsid w:val="0007106A"/>
    <w:rsid w:val="00072DCE"/>
    <w:rsid w:val="000731B3"/>
    <w:rsid w:val="000748FE"/>
    <w:rsid w:val="0008292E"/>
    <w:rsid w:val="00083BE0"/>
    <w:rsid w:val="000863B4"/>
    <w:rsid w:val="00087BD8"/>
    <w:rsid w:val="00092280"/>
    <w:rsid w:val="00095FB6"/>
    <w:rsid w:val="0009758B"/>
    <w:rsid w:val="000A06EA"/>
    <w:rsid w:val="000A0F4A"/>
    <w:rsid w:val="000A6605"/>
    <w:rsid w:val="000B0EF4"/>
    <w:rsid w:val="000B453E"/>
    <w:rsid w:val="000B4D27"/>
    <w:rsid w:val="000B50B8"/>
    <w:rsid w:val="000B667F"/>
    <w:rsid w:val="000C0910"/>
    <w:rsid w:val="000C663F"/>
    <w:rsid w:val="000D3D69"/>
    <w:rsid w:val="000D5631"/>
    <w:rsid w:val="000D5727"/>
    <w:rsid w:val="000D775A"/>
    <w:rsid w:val="000D78A3"/>
    <w:rsid w:val="000D7D46"/>
    <w:rsid w:val="000E0716"/>
    <w:rsid w:val="000E1F62"/>
    <w:rsid w:val="000E288E"/>
    <w:rsid w:val="000E52AE"/>
    <w:rsid w:val="000E5305"/>
    <w:rsid w:val="000E7534"/>
    <w:rsid w:val="000E75C0"/>
    <w:rsid w:val="000F0775"/>
    <w:rsid w:val="00102B98"/>
    <w:rsid w:val="00113FBA"/>
    <w:rsid w:val="00115CDF"/>
    <w:rsid w:val="00121440"/>
    <w:rsid w:val="00124EFA"/>
    <w:rsid w:val="00126FA0"/>
    <w:rsid w:val="00131189"/>
    <w:rsid w:val="0013370A"/>
    <w:rsid w:val="00141639"/>
    <w:rsid w:val="0014180A"/>
    <w:rsid w:val="00143220"/>
    <w:rsid w:val="00150105"/>
    <w:rsid w:val="00151A24"/>
    <w:rsid w:val="00152D4B"/>
    <w:rsid w:val="00156125"/>
    <w:rsid w:val="00157ECB"/>
    <w:rsid w:val="001600BA"/>
    <w:rsid w:val="0016214B"/>
    <w:rsid w:val="00162CE1"/>
    <w:rsid w:val="00171773"/>
    <w:rsid w:val="00173643"/>
    <w:rsid w:val="00173D18"/>
    <w:rsid w:val="00173DB9"/>
    <w:rsid w:val="00175772"/>
    <w:rsid w:val="00175A7E"/>
    <w:rsid w:val="00181A1E"/>
    <w:rsid w:val="0018601D"/>
    <w:rsid w:val="001870F3"/>
    <w:rsid w:val="001936B7"/>
    <w:rsid w:val="0019375F"/>
    <w:rsid w:val="0019550F"/>
    <w:rsid w:val="0019705D"/>
    <w:rsid w:val="001A2FA3"/>
    <w:rsid w:val="001A702A"/>
    <w:rsid w:val="001B6EF8"/>
    <w:rsid w:val="001B706A"/>
    <w:rsid w:val="001B7E6B"/>
    <w:rsid w:val="001C65CF"/>
    <w:rsid w:val="001D10C9"/>
    <w:rsid w:val="001D131C"/>
    <w:rsid w:val="001D2926"/>
    <w:rsid w:val="001D6475"/>
    <w:rsid w:val="001E09C6"/>
    <w:rsid w:val="001E0A07"/>
    <w:rsid w:val="001E159C"/>
    <w:rsid w:val="001E6145"/>
    <w:rsid w:val="001F0538"/>
    <w:rsid w:val="001F1D5A"/>
    <w:rsid w:val="001F2D4E"/>
    <w:rsid w:val="001F39B6"/>
    <w:rsid w:val="001F5869"/>
    <w:rsid w:val="001F5C5F"/>
    <w:rsid w:val="00200B67"/>
    <w:rsid w:val="00205F13"/>
    <w:rsid w:val="002133F6"/>
    <w:rsid w:val="00215C24"/>
    <w:rsid w:val="00221DD4"/>
    <w:rsid w:val="0022218E"/>
    <w:rsid w:val="0022223A"/>
    <w:rsid w:val="0022267C"/>
    <w:rsid w:val="00227FF9"/>
    <w:rsid w:val="00230C9B"/>
    <w:rsid w:val="00232121"/>
    <w:rsid w:val="00233290"/>
    <w:rsid w:val="00236F7E"/>
    <w:rsid w:val="00237BF7"/>
    <w:rsid w:val="0024132F"/>
    <w:rsid w:val="00242DCD"/>
    <w:rsid w:val="002455A8"/>
    <w:rsid w:val="00247000"/>
    <w:rsid w:val="00247C5C"/>
    <w:rsid w:val="00252100"/>
    <w:rsid w:val="0026342F"/>
    <w:rsid w:val="00263773"/>
    <w:rsid w:val="00273AAB"/>
    <w:rsid w:val="00273BE0"/>
    <w:rsid w:val="00275330"/>
    <w:rsid w:val="0027652B"/>
    <w:rsid w:val="00277593"/>
    <w:rsid w:val="00280D96"/>
    <w:rsid w:val="002833A4"/>
    <w:rsid w:val="00284322"/>
    <w:rsid w:val="0028636E"/>
    <w:rsid w:val="00286CD8"/>
    <w:rsid w:val="00287495"/>
    <w:rsid w:val="00297559"/>
    <w:rsid w:val="00297B21"/>
    <w:rsid w:val="002A4D95"/>
    <w:rsid w:val="002A51BA"/>
    <w:rsid w:val="002B6F6A"/>
    <w:rsid w:val="002B72BE"/>
    <w:rsid w:val="002C0FBF"/>
    <w:rsid w:val="002C27F4"/>
    <w:rsid w:val="002C62FE"/>
    <w:rsid w:val="002D2531"/>
    <w:rsid w:val="002D28CE"/>
    <w:rsid w:val="002D4705"/>
    <w:rsid w:val="002D5426"/>
    <w:rsid w:val="002D780F"/>
    <w:rsid w:val="002D7E06"/>
    <w:rsid w:val="002E3614"/>
    <w:rsid w:val="002E44B1"/>
    <w:rsid w:val="002F0A23"/>
    <w:rsid w:val="002F4BB8"/>
    <w:rsid w:val="002F5E2F"/>
    <w:rsid w:val="002F73D6"/>
    <w:rsid w:val="00307C4F"/>
    <w:rsid w:val="00310FE0"/>
    <w:rsid w:val="00311375"/>
    <w:rsid w:val="00312BF3"/>
    <w:rsid w:val="00312D8C"/>
    <w:rsid w:val="00316FC0"/>
    <w:rsid w:val="0033264C"/>
    <w:rsid w:val="00340BCA"/>
    <w:rsid w:val="00341B0C"/>
    <w:rsid w:val="003435C9"/>
    <w:rsid w:val="0034448A"/>
    <w:rsid w:val="003452C0"/>
    <w:rsid w:val="00345A55"/>
    <w:rsid w:val="003461FB"/>
    <w:rsid w:val="00350407"/>
    <w:rsid w:val="00353AB9"/>
    <w:rsid w:val="00353F0F"/>
    <w:rsid w:val="00355454"/>
    <w:rsid w:val="00360C99"/>
    <w:rsid w:val="00360E24"/>
    <w:rsid w:val="003664DD"/>
    <w:rsid w:val="003752F1"/>
    <w:rsid w:val="00376655"/>
    <w:rsid w:val="00380EF8"/>
    <w:rsid w:val="00383195"/>
    <w:rsid w:val="003855A0"/>
    <w:rsid w:val="003855E9"/>
    <w:rsid w:val="00386053"/>
    <w:rsid w:val="00386814"/>
    <w:rsid w:val="00390019"/>
    <w:rsid w:val="00392A83"/>
    <w:rsid w:val="00392B7B"/>
    <w:rsid w:val="003933B1"/>
    <w:rsid w:val="003A248D"/>
    <w:rsid w:val="003A2DF8"/>
    <w:rsid w:val="003A3E1C"/>
    <w:rsid w:val="003B0CDE"/>
    <w:rsid w:val="003B2082"/>
    <w:rsid w:val="003B7CBA"/>
    <w:rsid w:val="003C0E23"/>
    <w:rsid w:val="003C18A4"/>
    <w:rsid w:val="003C2600"/>
    <w:rsid w:val="003C50CB"/>
    <w:rsid w:val="003D4012"/>
    <w:rsid w:val="003D663D"/>
    <w:rsid w:val="003E0CF9"/>
    <w:rsid w:val="003E33D7"/>
    <w:rsid w:val="003E358F"/>
    <w:rsid w:val="003E3EC7"/>
    <w:rsid w:val="003F026E"/>
    <w:rsid w:val="003F0840"/>
    <w:rsid w:val="003F2BB0"/>
    <w:rsid w:val="0040221A"/>
    <w:rsid w:val="00402907"/>
    <w:rsid w:val="004041E9"/>
    <w:rsid w:val="0040657B"/>
    <w:rsid w:val="004123CD"/>
    <w:rsid w:val="00413742"/>
    <w:rsid w:val="00416019"/>
    <w:rsid w:val="004168DE"/>
    <w:rsid w:val="00417B52"/>
    <w:rsid w:val="00421F51"/>
    <w:rsid w:val="004228B7"/>
    <w:rsid w:val="004234ED"/>
    <w:rsid w:val="00424973"/>
    <w:rsid w:val="004272BF"/>
    <w:rsid w:val="00427D41"/>
    <w:rsid w:val="0044437A"/>
    <w:rsid w:val="00450855"/>
    <w:rsid w:val="004512FC"/>
    <w:rsid w:val="00452FA6"/>
    <w:rsid w:val="00462C33"/>
    <w:rsid w:val="00466BAF"/>
    <w:rsid w:val="00467445"/>
    <w:rsid w:val="004722F3"/>
    <w:rsid w:val="00474B46"/>
    <w:rsid w:val="0048268A"/>
    <w:rsid w:val="00484E9B"/>
    <w:rsid w:val="004865E2"/>
    <w:rsid w:val="0048736E"/>
    <w:rsid w:val="00490096"/>
    <w:rsid w:val="00492248"/>
    <w:rsid w:val="0049437A"/>
    <w:rsid w:val="00497648"/>
    <w:rsid w:val="004A458C"/>
    <w:rsid w:val="004A5599"/>
    <w:rsid w:val="004A6964"/>
    <w:rsid w:val="004B127E"/>
    <w:rsid w:val="004B5A11"/>
    <w:rsid w:val="004B7A50"/>
    <w:rsid w:val="004C113D"/>
    <w:rsid w:val="004D230F"/>
    <w:rsid w:val="004D51A2"/>
    <w:rsid w:val="004E3E9E"/>
    <w:rsid w:val="004E4374"/>
    <w:rsid w:val="004E4460"/>
    <w:rsid w:val="004E45E2"/>
    <w:rsid w:val="004E4979"/>
    <w:rsid w:val="004E552B"/>
    <w:rsid w:val="004F0216"/>
    <w:rsid w:val="004F08F2"/>
    <w:rsid w:val="004F13CE"/>
    <w:rsid w:val="004F2753"/>
    <w:rsid w:val="004F558C"/>
    <w:rsid w:val="0050079A"/>
    <w:rsid w:val="00500E92"/>
    <w:rsid w:val="00503974"/>
    <w:rsid w:val="00504DA5"/>
    <w:rsid w:val="00510C5F"/>
    <w:rsid w:val="0052230B"/>
    <w:rsid w:val="00525A8A"/>
    <w:rsid w:val="0052617E"/>
    <w:rsid w:val="0052636C"/>
    <w:rsid w:val="0052765C"/>
    <w:rsid w:val="005276F0"/>
    <w:rsid w:val="00530909"/>
    <w:rsid w:val="00536595"/>
    <w:rsid w:val="005456BC"/>
    <w:rsid w:val="0055385C"/>
    <w:rsid w:val="005605A1"/>
    <w:rsid w:val="00564A63"/>
    <w:rsid w:val="00573BB5"/>
    <w:rsid w:val="00574EAE"/>
    <w:rsid w:val="00590F3A"/>
    <w:rsid w:val="00595C29"/>
    <w:rsid w:val="00597C45"/>
    <w:rsid w:val="005A0C45"/>
    <w:rsid w:val="005B22A1"/>
    <w:rsid w:val="005B27C9"/>
    <w:rsid w:val="005B3388"/>
    <w:rsid w:val="005B56A9"/>
    <w:rsid w:val="005C3105"/>
    <w:rsid w:val="005C3625"/>
    <w:rsid w:val="005C3F73"/>
    <w:rsid w:val="005C43E4"/>
    <w:rsid w:val="005C5FA8"/>
    <w:rsid w:val="005C7891"/>
    <w:rsid w:val="005D138E"/>
    <w:rsid w:val="005D1BEE"/>
    <w:rsid w:val="005D2C8A"/>
    <w:rsid w:val="005D5C51"/>
    <w:rsid w:val="005E1093"/>
    <w:rsid w:val="005E1A7D"/>
    <w:rsid w:val="005E5EEE"/>
    <w:rsid w:val="005E7041"/>
    <w:rsid w:val="005E7E7E"/>
    <w:rsid w:val="005F0475"/>
    <w:rsid w:val="005F059A"/>
    <w:rsid w:val="005F2A57"/>
    <w:rsid w:val="005F40C0"/>
    <w:rsid w:val="005F609B"/>
    <w:rsid w:val="005F6BF9"/>
    <w:rsid w:val="005F7889"/>
    <w:rsid w:val="00603302"/>
    <w:rsid w:val="00604E4F"/>
    <w:rsid w:val="006051AA"/>
    <w:rsid w:val="006054EE"/>
    <w:rsid w:val="006106AD"/>
    <w:rsid w:val="006118B6"/>
    <w:rsid w:val="00612AE9"/>
    <w:rsid w:val="00614733"/>
    <w:rsid w:val="00615104"/>
    <w:rsid w:val="0061585F"/>
    <w:rsid w:val="0062121B"/>
    <w:rsid w:val="006270C0"/>
    <w:rsid w:val="00630195"/>
    <w:rsid w:val="00634089"/>
    <w:rsid w:val="006347E5"/>
    <w:rsid w:val="006361B1"/>
    <w:rsid w:val="006365BC"/>
    <w:rsid w:val="00644DB2"/>
    <w:rsid w:val="006505DB"/>
    <w:rsid w:val="00653BCD"/>
    <w:rsid w:val="006559AF"/>
    <w:rsid w:val="00655E80"/>
    <w:rsid w:val="00660ED5"/>
    <w:rsid w:val="00664F74"/>
    <w:rsid w:val="00667272"/>
    <w:rsid w:val="00670DB7"/>
    <w:rsid w:val="006736B1"/>
    <w:rsid w:val="00680F60"/>
    <w:rsid w:val="0068413C"/>
    <w:rsid w:val="006842B4"/>
    <w:rsid w:val="00686D48"/>
    <w:rsid w:val="00687B80"/>
    <w:rsid w:val="006907D7"/>
    <w:rsid w:val="006934F7"/>
    <w:rsid w:val="00693874"/>
    <w:rsid w:val="00693F27"/>
    <w:rsid w:val="00693F46"/>
    <w:rsid w:val="00694254"/>
    <w:rsid w:val="006955A6"/>
    <w:rsid w:val="006A40C5"/>
    <w:rsid w:val="006A552E"/>
    <w:rsid w:val="006A784E"/>
    <w:rsid w:val="006B4258"/>
    <w:rsid w:val="006B5C2A"/>
    <w:rsid w:val="006C442F"/>
    <w:rsid w:val="006C47B3"/>
    <w:rsid w:val="006C7A2C"/>
    <w:rsid w:val="006D4FAD"/>
    <w:rsid w:val="006D5252"/>
    <w:rsid w:val="006E1037"/>
    <w:rsid w:val="006E2CEC"/>
    <w:rsid w:val="006E5121"/>
    <w:rsid w:val="006F158F"/>
    <w:rsid w:val="006F38E8"/>
    <w:rsid w:val="006F5FF4"/>
    <w:rsid w:val="00700799"/>
    <w:rsid w:val="007012CF"/>
    <w:rsid w:val="00712C9B"/>
    <w:rsid w:val="00720D88"/>
    <w:rsid w:val="00723206"/>
    <w:rsid w:val="00723BB2"/>
    <w:rsid w:val="007257F7"/>
    <w:rsid w:val="007400B8"/>
    <w:rsid w:val="00742CD3"/>
    <w:rsid w:val="0075617B"/>
    <w:rsid w:val="007574AD"/>
    <w:rsid w:val="007608AD"/>
    <w:rsid w:val="00762F23"/>
    <w:rsid w:val="00764648"/>
    <w:rsid w:val="007672F3"/>
    <w:rsid w:val="00774C57"/>
    <w:rsid w:val="00782EF2"/>
    <w:rsid w:val="00787891"/>
    <w:rsid w:val="0079074F"/>
    <w:rsid w:val="00791CDA"/>
    <w:rsid w:val="00793E95"/>
    <w:rsid w:val="00797A1A"/>
    <w:rsid w:val="007A1309"/>
    <w:rsid w:val="007A39F4"/>
    <w:rsid w:val="007A5886"/>
    <w:rsid w:val="007A5F91"/>
    <w:rsid w:val="007A7E5F"/>
    <w:rsid w:val="007B16C4"/>
    <w:rsid w:val="007B6487"/>
    <w:rsid w:val="007C2D7E"/>
    <w:rsid w:val="007C5E85"/>
    <w:rsid w:val="007D17FD"/>
    <w:rsid w:val="007D46B0"/>
    <w:rsid w:val="007D48C5"/>
    <w:rsid w:val="007D4DCA"/>
    <w:rsid w:val="007E06F0"/>
    <w:rsid w:val="007E3DFF"/>
    <w:rsid w:val="007E58C0"/>
    <w:rsid w:val="007F1454"/>
    <w:rsid w:val="007F147D"/>
    <w:rsid w:val="007F25C9"/>
    <w:rsid w:val="007F3506"/>
    <w:rsid w:val="007F67AF"/>
    <w:rsid w:val="00802DFC"/>
    <w:rsid w:val="00806240"/>
    <w:rsid w:val="00806529"/>
    <w:rsid w:val="008073FA"/>
    <w:rsid w:val="00814781"/>
    <w:rsid w:val="00814CA7"/>
    <w:rsid w:val="00817273"/>
    <w:rsid w:val="00830377"/>
    <w:rsid w:val="0083424C"/>
    <w:rsid w:val="008344B4"/>
    <w:rsid w:val="00834DBB"/>
    <w:rsid w:val="008401AC"/>
    <w:rsid w:val="00840C6B"/>
    <w:rsid w:val="00842FFB"/>
    <w:rsid w:val="00850E97"/>
    <w:rsid w:val="00854FAB"/>
    <w:rsid w:val="00861014"/>
    <w:rsid w:val="0086351A"/>
    <w:rsid w:val="008635D1"/>
    <w:rsid w:val="008642CA"/>
    <w:rsid w:val="00874B61"/>
    <w:rsid w:val="00875B03"/>
    <w:rsid w:val="00875FAB"/>
    <w:rsid w:val="00882A71"/>
    <w:rsid w:val="00886A25"/>
    <w:rsid w:val="008950F6"/>
    <w:rsid w:val="008A18CF"/>
    <w:rsid w:val="008A48B7"/>
    <w:rsid w:val="008B2EF2"/>
    <w:rsid w:val="008B3EB5"/>
    <w:rsid w:val="008B52A6"/>
    <w:rsid w:val="008C1F8F"/>
    <w:rsid w:val="008C2B22"/>
    <w:rsid w:val="008C330B"/>
    <w:rsid w:val="008C47F8"/>
    <w:rsid w:val="008C5809"/>
    <w:rsid w:val="008D08F2"/>
    <w:rsid w:val="008D3222"/>
    <w:rsid w:val="008D6C6C"/>
    <w:rsid w:val="008D78C9"/>
    <w:rsid w:val="008E0FC9"/>
    <w:rsid w:val="008E1021"/>
    <w:rsid w:val="008E227D"/>
    <w:rsid w:val="008E36E3"/>
    <w:rsid w:val="008F449B"/>
    <w:rsid w:val="00901184"/>
    <w:rsid w:val="00910461"/>
    <w:rsid w:val="00913275"/>
    <w:rsid w:val="00913684"/>
    <w:rsid w:val="009150F8"/>
    <w:rsid w:val="009151BC"/>
    <w:rsid w:val="009152C7"/>
    <w:rsid w:val="00917077"/>
    <w:rsid w:val="00923865"/>
    <w:rsid w:val="0093016E"/>
    <w:rsid w:val="00931083"/>
    <w:rsid w:val="00933743"/>
    <w:rsid w:val="00934B4D"/>
    <w:rsid w:val="009357F5"/>
    <w:rsid w:val="00940A26"/>
    <w:rsid w:val="00942955"/>
    <w:rsid w:val="00943DD5"/>
    <w:rsid w:val="00944B8C"/>
    <w:rsid w:val="00955C75"/>
    <w:rsid w:val="00956D6F"/>
    <w:rsid w:val="009621F3"/>
    <w:rsid w:val="00962DE4"/>
    <w:rsid w:val="00965090"/>
    <w:rsid w:val="00966169"/>
    <w:rsid w:val="009677DF"/>
    <w:rsid w:val="00982D80"/>
    <w:rsid w:val="009843AF"/>
    <w:rsid w:val="009854A1"/>
    <w:rsid w:val="00994192"/>
    <w:rsid w:val="009946F8"/>
    <w:rsid w:val="0099557E"/>
    <w:rsid w:val="00996E6B"/>
    <w:rsid w:val="009A00BA"/>
    <w:rsid w:val="009A17BC"/>
    <w:rsid w:val="009A1D64"/>
    <w:rsid w:val="009A5955"/>
    <w:rsid w:val="009A67C0"/>
    <w:rsid w:val="009B1292"/>
    <w:rsid w:val="009B2430"/>
    <w:rsid w:val="009B338B"/>
    <w:rsid w:val="009B41D4"/>
    <w:rsid w:val="009B58AD"/>
    <w:rsid w:val="009B6893"/>
    <w:rsid w:val="009B7935"/>
    <w:rsid w:val="009C0AC8"/>
    <w:rsid w:val="009C3465"/>
    <w:rsid w:val="009C38B5"/>
    <w:rsid w:val="009C51FC"/>
    <w:rsid w:val="009C55D1"/>
    <w:rsid w:val="009C5A18"/>
    <w:rsid w:val="009C6A79"/>
    <w:rsid w:val="009C7BA2"/>
    <w:rsid w:val="009D1161"/>
    <w:rsid w:val="009D2DCC"/>
    <w:rsid w:val="009D4ABB"/>
    <w:rsid w:val="009D667B"/>
    <w:rsid w:val="009D76D5"/>
    <w:rsid w:val="009D7D87"/>
    <w:rsid w:val="009E1F7A"/>
    <w:rsid w:val="009E4F22"/>
    <w:rsid w:val="009E6315"/>
    <w:rsid w:val="009F1203"/>
    <w:rsid w:val="009F1B14"/>
    <w:rsid w:val="009F4449"/>
    <w:rsid w:val="009F47CB"/>
    <w:rsid w:val="009F57A3"/>
    <w:rsid w:val="009F68AA"/>
    <w:rsid w:val="009F68D4"/>
    <w:rsid w:val="00A01D86"/>
    <w:rsid w:val="00A01D9C"/>
    <w:rsid w:val="00A02252"/>
    <w:rsid w:val="00A03F20"/>
    <w:rsid w:val="00A04ADB"/>
    <w:rsid w:val="00A10288"/>
    <w:rsid w:val="00A127F1"/>
    <w:rsid w:val="00A13D84"/>
    <w:rsid w:val="00A14886"/>
    <w:rsid w:val="00A21F96"/>
    <w:rsid w:val="00A25FBF"/>
    <w:rsid w:val="00A27130"/>
    <w:rsid w:val="00A272AF"/>
    <w:rsid w:val="00A304AD"/>
    <w:rsid w:val="00A311C0"/>
    <w:rsid w:val="00A31D00"/>
    <w:rsid w:val="00A32263"/>
    <w:rsid w:val="00A330C6"/>
    <w:rsid w:val="00A33157"/>
    <w:rsid w:val="00A45323"/>
    <w:rsid w:val="00A46073"/>
    <w:rsid w:val="00A528B5"/>
    <w:rsid w:val="00A53EEC"/>
    <w:rsid w:val="00A62491"/>
    <w:rsid w:val="00A660E0"/>
    <w:rsid w:val="00A661CE"/>
    <w:rsid w:val="00A664D7"/>
    <w:rsid w:val="00A7147C"/>
    <w:rsid w:val="00A7660B"/>
    <w:rsid w:val="00A854F0"/>
    <w:rsid w:val="00A86897"/>
    <w:rsid w:val="00A95733"/>
    <w:rsid w:val="00A95939"/>
    <w:rsid w:val="00AA4EA3"/>
    <w:rsid w:val="00AA6711"/>
    <w:rsid w:val="00AB0AA0"/>
    <w:rsid w:val="00AB0AA6"/>
    <w:rsid w:val="00AB5465"/>
    <w:rsid w:val="00AB6056"/>
    <w:rsid w:val="00AB6D82"/>
    <w:rsid w:val="00AD38B2"/>
    <w:rsid w:val="00AD62EA"/>
    <w:rsid w:val="00AE1EC7"/>
    <w:rsid w:val="00AE7C36"/>
    <w:rsid w:val="00AF0162"/>
    <w:rsid w:val="00AF75D9"/>
    <w:rsid w:val="00B0671E"/>
    <w:rsid w:val="00B200AB"/>
    <w:rsid w:val="00B200D2"/>
    <w:rsid w:val="00B22B56"/>
    <w:rsid w:val="00B26FAC"/>
    <w:rsid w:val="00B30102"/>
    <w:rsid w:val="00B30535"/>
    <w:rsid w:val="00B30AAE"/>
    <w:rsid w:val="00B31AA2"/>
    <w:rsid w:val="00B427CD"/>
    <w:rsid w:val="00B4326F"/>
    <w:rsid w:val="00B51457"/>
    <w:rsid w:val="00B5146F"/>
    <w:rsid w:val="00B52158"/>
    <w:rsid w:val="00B5450E"/>
    <w:rsid w:val="00B54FE9"/>
    <w:rsid w:val="00B55EBB"/>
    <w:rsid w:val="00B57251"/>
    <w:rsid w:val="00B5755A"/>
    <w:rsid w:val="00B614B7"/>
    <w:rsid w:val="00B623FF"/>
    <w:rsid w:val="00B630A1"/>
    <w:rsid w:val="00B70BFD"/>
    <w:rsid w:val="00B723A5"/>
    <w:rsid w:val="00B72DFF"/>
    <w:rsid w:val="00B74C0B"/>
    <w:rsid w:val="00B8284B"/>
    <w:rsid w:val="00B8334F"/>
    <w:rsid w:val="00B8400D"/>
    <w:rsid w:val="00B8493D"/>
    <w:rsid w:val="00B90012"/>
    <w:rsid w:val="00B9236F"/>
    <w:rsid w:val="00B93A37"/>
    <w:rsid w:val="00B94356"/>
    <w:rsid w:val="00B96CAD"/>
    <w:rsid w:val="00B97DB2"/>
    <w:rsid w:val="00BA1819"/>
    <w:rsid w:val="00BA4462"/>
    <w:rsid w:val="00BA5A22"/>
    <w:rsid w:val="00BB0570"/>
    <w:rsid w:val="00BB1CFC"/>
    <w:rsid w:val="00BB55E5"/>
    <w:rsid w:val="00BB683A"/>
    <w:rsid w:val="00BB6B1E"/>
    <w:rsid w:val="00BD4AB7"/>
    <w:rsid w:val="00BD4E2B"/>
    <w:rsid w:val="00BD577C"/>
    <w:rsid w:val="00BD725A"/>
    <w:rsid w:val="00BE0249"/>
    <w:rsid w:val="00BE2922"/>
    <w:rsid w:val="00BE3510"/>
    <w:rsid w:val="00BE630C"/>
    <w:rsid w:val="00BF27A4"/>
    <w:rsid w:val="00BF3750"/>
    <w:rsid w:val="00BF6B63"/>
    <w:rsid w:val="00C032D7"/>
    <w:rsid w:val="00C06244"/>
    <w:rsid w:val="00C10C4B"/>
    <w:rsid w:val="00C1794F"/>
    <w:rsid w:val="00C246BC"/>
    <w:rsid w:val="00C313AA"/>
    <w:rsid w:val="00C32D44"/>
    <w:rsid w:val="00C34DA5"/>
    <w:rsid w:val="00C40EB2"/>
    <w:rsid w:val="00C43EE0"/>
    <w:rsid w:val="00C453F1"/>
    <w:rsid w:val="00C51A37"/>
    <w:rsid w:val="00C52167"/>
    <w:rsid w:val="00C52AB0"/>
    <w:rsid w:val="00C536C2"/>
    <w:rsid w:val="00C55F47"/>
    <w:rsid w:val="00C56E2E"/>
    <w:rsid w:val="00C64A31"/>
    <w:rsid w:val="00C65890"/>
    <w:rsid w:val="00C66968"/>
    <w:rsid w:val="00C6740C"/>
    <w:rsid w:val="00C73E35"/>
    <w:rsid w:val="00C74B9F"/>
    <w:rsid w:val="00C8285B"/>
    <w:rsid w:val="00C82E8B"/>
    <w:rsid w:val="00C91497"/>
    <w:rsid w:val="00C92B9B"/>
    <w:rsid w:val="00C93DD8"/>
    <w:rsid w:val="00C95DDA"/>
    <w:rsid w:val="00C97894"/>
    <w:rsid w:val="00CA316D"/>
    <w:rsid w:val="00CA49DC"/>
    <w:rsid w:val="00CA4ED3"/>
    <w:rsid w:val="00CA725C"/>
    <w:rsid w:val="00CB2421"/>
    <w:rsid w:val="00CC4C88"/>
    <w:rsid w:val="00CD0B1F"/>
    <w:rsid w:val="00CD0C29"/>
    <w:rsid w:val="00CD16EF"/>
    <w:rsid w:val="00CD21B8"/>
    <w:rsid w:val="00CD3F96"/>
    <w:rsid w:val="00CD59FE"/>
    <w:rsid w:val="00CE09F3"/>
    <w:rsid w:val="00CE76DA"/>
    <w:rsid w:val="00CF3BBD"/>
    <w:rsid w:val="00CF7318"/>
    <w:rsid w:val="00D0682D"/>
    <w:rsid w:val="00D11E94"/>
    <w:rsid w:val="00D13240"/>
    <w:rsid w:val="00D30389"/>
    <w:rsid w:val="00D337F6"/>
    <w:rsid w:val="00D41318"/>
    <w:rsid w:val="00D43C3B"/>
    <w:rsid w:val="00D52CDB"/>
    <w:rsid w:val="00D53E46"/>
    <w:rsid w:val="00D5462B"/>
    <w:rsid w:val="00D55BF9"/>
    <w:rsid w:val="00D6160B"/>
    <w:rsid w:val="00D61710"/>
    <w:rsid w:val="00D635B9"/>
    <w:rsid w:val="00D65480"/>
    <w:rsid w:val="00D6588C"/>
    <w:rsid w:val="00D6611E"/>
    <w:rsid w:val="00D81E57"/>
    <w:rsid w:val="00D84496"/>
    <w:rsid w:val="00D85F37"/>
    <w:rsid w:val="00D91A51"/>
    <w:rsid w:val="00D97D6B"/>
    <w:rsid w:val="00DB0478"/>
    <w:rsid w:val="00DB07C7"/>
    <w:rsid w:val="00DB349D"/>
    <w:rsid w:val="00DB4534"/>
    <w:rsid w:val="00DB7DF4"/>
    <w:rsid w:val="00DD260A"/>
    <w:rsid w:val="00DD27CE"/>
    <w:rsid w:val="00DD2A82"/>
    <w:rsid w:val="00DD3C72"/>
    <w:rsid w:val="00DD48F4"/>
    <w:rsid w:val="00DD54E4"/>
    <w:rsid w:val="00DE0A06"/>
    <w:rsid w:val="00DE4B50"/>
    <w:rsid w:val="00DE6E88"/>
    <w:rsid w:val="00DE7B80"/>
    <w:rsid w:val="00DF05FD"/>
    <w:rsid w:val="00DF0DA5"/>
    <w:rsid w:val="00DF280C"/>
    <w:rsid w:val="00DF46E4"/>
    <w:rsid w:val="00E00134"/>
    <w:rsid w:val="00E00612"/>
    <w:rsid w:val="00E01466"/>
    <w:rsid w:val="00E016B4"/>
    <w:rsid w:val="00E01B2F"/>
    <w:rsid w:val="00E04856"/>
    <w:rsid w:val="00E06738"/>
    <w:rsid w:val="00E232C4"/>
    <w:rsid w:val="00E23D02"/>
    <w:rsid w:val="00E31BEE"/>
    <w:rsid w:val="00E44910"/>
    <w:rsid w:val="00E50CD3"/>
    <w:rsid w:val="00E520CB"/>
    <w:rsid w:val="00E56089"/>
    <w:rsid w:val="00E603E0"/>
    <w:rsid w:val="00E6138D"/>
    <w:rsid w:val="00E73DB2"/>
    <w:rsid w:val="00E81467"/>
    <w:rsid w:val="00E87BE1"/>
    <w:rsid w:val="00E936B4"/>
    <w:rsid w:val="00EA020F"/>
    <w:rsid w:val="00EA09CC"/>
    <w:rsid w:val="00EA1688"/>
    <w:rsid w:val="00EA1F85"/>
    <w:rsid w:val="00EA3E58"/>
    <w:rsid w:val="00EB6ECC"/>
    <w:rsid w:val="00EB7344"/>
    <w:rsid w:val="00EC3EC3"/>
    <w:rsid w:val="00EC46E0"/>
    <w:rsid w:val="00ED128F"/>
    <w:rsid w:val="00ED1965"/>
    <w:rsid w:val="00ED251D"/>
    <w:rsid w:val="00ED4506"/>
    <w:rsid w:val="00ED4585"/>
    <w:rsid w:val="00ED5322"/>
    <w:rsid w:val="00ED57D5"/>
    <w:rsid w:val="00ED6F7E"/>
    <w:rsid w:val="00ED735F"/>
    <w:rsid w:val="00ED78CE"/>
    <w:rsid w:val="00EE21BB"/>
    <w:rsid w:val="00EE314A"/>
    <w:rsid w:val="00EE636A"/>
    <w:rsid w:val="00F0744D"/>
    <w:rsid w:val="00F13BBA"/>
    <w:rsid w:val="00F1694A"/>
    <w:rsid w:val="00F26161"/>
    <w:rsid w:val="00F3037C"/>
    <w:rsid w:val="00F40652"/>
    <w:rsid w:val="00F41B7C"/>
    <w:rsid w:val="00F42610"/>
    <w:rsid w:val="00F4645D"/>
    <w:rsid w:val="00F517BC"/>
    <w:rsid w:val="00F52D97"/>
    <w:rsid w:val="00F52E26"/>
    <w:rsid w:val="00F56ED7"/>
    <w:rsid w:val="00F572BA"/>
    <w:rsid w:val="00F5775F"/>
    <w:rsid w:val="00F63F24"/>
    <w:rsid w:val="00F645A6"/>
    <w:rsid w:val="00F6586A"/>
    <w:rsid w:val="00F661C3"/>
    <w:rsid w:val="00F67E88"/>
    <w:rsid w:val="00F70E94"/>
    <w:rsid w:val="00F714DC"/>
    <w:rsid w:val="00F728EB"/>
    <w:rsid w:val="00F735FB"/>
    <w:rsid w:val="00F73C2C"/>
    <w:rsid w:val="00F76716"/>
    <w:rsid w:val="00F8028A"/>
    <w:rsid w:val="00F8547F"/>
    <w:rsid w:val="00F90F5E"/>
    <w:rsid w:val="00F91471"/>
    <w:rsid w:val="00F92D41"/>
    <w:rsid w:val="00FA0617"/>
    <w:rsid w:val="00FB271C"/>
    <w:rsid w:val="00FB4AE2"/>
    <w:rsid w:val="00FB5FBE"/>
    <w:rsid w:val="00FC0A25"/>
    <w:rsid w:val="00FC0EA0"/>
    <w:rsid w:val="00FC2D5A"/>
    <w:rsid w:val="00FD31AD"/>
    <w:rsid w:val="00FE11E6"/>
    <w:rsid w:val="00FE1A35"/>
    <w:rsid w:val="00FE403E"/>
    <w:rsid w:val="00FF0D13"/>
    <w:rsid w:val="00FF5760"/>
    <w:rsid w:val="00FF6CDA"/>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6A051"/>
  <w15:docId w15:val="{D5186B5E-23D5-4AC4-902E-CC6EF1F6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A25FBF"/>
    <w:rPr>
      <w:sz w:val="22"/>
      <w:szCs w:val="24"/>
    </w:rPr>
  </w:style>
  <w:style w:type="table" w:styleId="TableGrid">
    <w:name w:val="Table Grid"/>
    <w:basedOn w:val="TableNormal"/>
    <w:rsid w:val="00ED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DCC"/>
    <w:pPr>
      <w:ind w:left="720"/>
      <w:contextualSpacing/>
    </w:pPr>
  </w:style>
  <w:style w:type="paragraph" w:styleId="NoSpacing">
    <w:name w:val="No Spacing"/>
    <w:uiPriority w:val="1"/>
    <w:qFormat/>
    <w:rsid w:val="00072DCE"/>
    <w:rPr>
      <w:sz w:val="24"/>
      <w:szCs w:val="24"/>
    </w:rPr>
  </w:style>
  <w:style w:type="paragraph" w:styleId="Revision">
    <w:name w:val="Revision"/>
    <w:hidden/>
    <w:uiPriority w:val="99"/>
    <w:semiHidden/>
    <w:rsid w:val="003A248D"/>
    <w:rPr>
      <w:sz w:val="22"/>
      <w:szCs w:val="24"/>
    </w:rPr>
  </w:style>
  <w:style w:type="paragraph" w:customStyle="1" w:styleId="Default">
    <w:name w:val="Default"/>
    <w:rsid w:val="00CD59F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1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471DD-6F8C-49F0-96B1-3D4A8478B1DC}">
  <ds:schemaRefs>
    <ds:schemaRef ds:uri="http://schemas.microsoft.com/sharepoint/v3/contenttype/forms"/>
  </ds:schemaRefs>
</ds:datastoreItem>
</file>

<file path=customXml/itemProps2.xml><?xml version="1.0" encoding="utf-8"?>
<ds:datastoreItem xmlns:ds="http://schemas.openxmlformats.org/officeDocument/2006/customXml" ds:itemID="{B9D1F190-7415-45ED-AD63-805972C218AC}">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F1DFEFD6-6BD3-4371-AA31-FCE22794F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9426</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7</cp:revision>
  <cp:lastPrinted>2019-04-15T08:23:00Z</cp:lastPrinted>
  <dcterms:created xsi:type="dcterms:W3CDTF">2024-10-02T09:33:00Z</dcterms:created>
  <dcterms:modified xsi:type="dcterms:W3CDTF">2024-11-18T08:21:00Z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