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E2" w:rsidRPr="00B60703" w:rsidRDefault="00F03789">
      <w:pPr>
        <w:jc w:val="center"/>
        <w:rPr>
          <w:b/>
          <w:bCs/>
          <w:iCs/>
          <w:sz w:val="22"/>
          <w:szCs w:val="22"/>
          <w:u w:val="single"/>
          <w:lang w:val="sr-Latn-ME"/>
        </w:rPr>
      </w:pPr>
      <w:r w:rsidRPr="00B60703">
        <w:rPr>
          <w:b/>
          <w:bCs/>
          <w:iCs/>
          <w:sz w:val="22"/>
          <w:szCs w:val="22"/>
          <w:u w:val="single"/>
          <w:lang w:val="sr-Latn-ME"/>
        </w:rPr>
        <w:t>SAŽETAK KARAKTERISTIKA LIJEKA</w:t>
      </w:r>
    </w:p>
    <w:p w:rsidR="005B62E2" w:rsidRPr="00B60703" w:rsidRDefault="005B62E2">
      <w:pPr>
        <w:rPr>
          <w:b/>
          <w:bCs/>
          <w:i/>
          <w:iCs/>
          <w:sz w:val="22"/>
          <w:szCs w:val="22"/>
          <w:u w:val="single"/>
          <w:lang w:val="sr-Latn-ME"/>
        </w:rPr>
      </w:pPr>
    </w:p>
    <w:p w:rsidR="005B62E2" w:rsidRDefault="005B62E2">
      <w:pPr>
        <w:rPr>
          <w:sz w:val="22"/>
          <w:szCs w:val="22"/>
          <w:lang w:val="sr-Latn-ME"/>
        </w:rPr>
      </w:pPr>
    </w:p>
    <w:p w:rsidR="00B60703" w:rsidRPr="00B60703" w:rsidRDefault="00B60703">
      <w:pPr>
        <w:rPr>
          <w:sz w:val="22"/>
          <w:szCs w:val="22"/>
          <w:lang w:val="sr-Latn-ME"/>
        </w:rPr>
      </w:pPr>
    </w:p>
    <w:p w:rsidR="005B62E2" w:rsidRPr="00B60703" w:rsidRDefault="00F03789">
      <w:pPr>
        <w:tabs>
          <w:tab w:val="left" w:pos="540"/>
          <w:tab w:val="left" w:pos="569"/>
        </w:tabs>
        <w:jc w:val="both"/>
        <w:rPr>
          <w:sz w:val="22"/>
          <w:szCs w:val="22"/>
          <w:lang w:val="sr-Latn-ME"/>
        </w:rPr>
      </w:pPr>
      <w:r w:rsidRPr="00B60703">
        <w:rPr>
          <w:noProof/>
          <w:sz w:val="22"/>
          <w:szCs w:val="22"/>
        </w:rPr>
        <w:drawing>
          <wp:inline distT="0" distB="0" distL="0" distR="0">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085" cy="144780"/>
                    </a:xfrm>
                    <a:prstGeom prst="rect">
                      <a:avLst/>
                    </a:prstGeom>
                    <a:noFill/>
                    <a:ln>
                      <a:noFill/>
                    </a:ln>
                  </pic:spPr>
                </pic:pic>
              </a:graphicData>
            </a:graphic>
          </wp:inline>
        </w:drawing>
      </w:r>
      <w:r w:rsidRPr="00B60703">
        <w:rPr>
          <w:sz w:val="22"/>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dio 4.8. </w:t>
      </w:r>
    </w:p>
    <w:p w:rsidR="005B62E2" w:rsidRPr="00B60703" w:rsidRDefault="005B62E2">
      <w:pPr>
        <w:tabs>
          <w:tab w:val="left" w:pos="540"/>
          <w:tab w:val="left" w:pos="569"/>
        </w:tabs>
        <w:rPr>
          <w:bCs/>
          <w:sz w:val="22"/>
          <w:szCs w:val="22"/>
          <w:lang w:val="sr-Latn-ME"/>
        </w:rPr>
      </w:pP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1.</w:t>
      </w:r>
      <w:r w:rsidRPr="00B60703">
        <w:rPr>
          <w:b/>
          <w:bCs/>
          <w:sz w:val="22"/>
          <w:szCs w:val="22"/>
          <w:lang w:val="sr-Latn-ME"/>
        </w:rPr>
        <w:tab/>
        <w:t>NAZIV LIJEKA</w:t>
      </w:r>
    </w:p>
    <w:p w:rsidR="005B62E2" w:rsidRPr="00B60703" w:rsidRDefault="005B62E2">
      <w:pPr>
        <w:rPr>
          <w:sz w:val="22"/>
          <w:szCs w:val="22"/>
          <w:lang w:val="sr-Latn-ME"/>
        </w:rPr>
      </w:pPr>
    </w:p>
    <w:p w:rsidR="005B62E2" w:rsidRPr="00B60703" w:rsidRDefault="00F03789">
      <w:pPr>
        <w:rPr>
          <w:iCs/>
          <w:sz w:val="22"/>
          <w:szCs w:val="22"/>
          <w:lang w:val="sr-Latn-ME"/>
        </w:rPr>
      </w:pPr>
      <w:r w:rsidRPr="00B60703">
        <w:rPr>
          <w:iCs/>
          <w:sz w:val="22"/>
          <w:szCs w:val="22"/>
          <w:lang w:val="sr-Latn-ME"/>
        </w:rPr>
        <w:t>Hyrimoz, 40 mg/0,8 ml, rastvor za injekciju u napunjenom injekcionom špricu</w:t>
      </w:r>
    </w:p>
    <w:p w:rsidR="005B62E2" w:rsidRPr="00B60703" w:rsidRDefault="00F03789">
      <w:pPr>
        <w:rPr>
          <w:iCs/>
          <w:sz w:val="22"/>
          <w:szCs w:val="22"/>
          <w:lang w:val="sr-Latn-ME"/>
        </w:rPr>
      </w:pPr>
      <w:r w:rsidRPr="00B60703">
        <w:rPr>
          <w:iCs/>
          <w:sz w:val="22"/>
          <w:szCs w:val="22"/>
          <w:lang w:val="sr-Latn-ME"/>
        </w:rPr>
        <w:t>Hyrimoz, 40 mg/0,8 ml, rastvor za injekciju u napunjenom injekcionom penu</w:t>
      </w:r>
    </w:p>
    <w:p w:rsidR="005B62E2" w:rsidRPr="00B60703" w:rsidRDefault="005B62E2">
      <w:pPr>
        <w:rPr>
          <w:bCs/>
          <w:sz w:val="22"/>
          <w:szCs w:val="22"/>
          <w:lang w:val="sr-Latn-ME"/>
        </w:rPr>
      </w:pPr>
    </w:p>
    <w:p w:rsidR="005B62E2" w:rsidRPr="00B60703" w:rsidRDefault="00F03789">
      <w:pPr>
        <w:rPr>
          <w:sz w:val="22"/>
          <w:szCs w:val="22"/>
          <w:lang w:val="sr-Latn-ME"/>
        </w:rPr>
      </w:pPr>
      <w:r w:rsidRPr="00B60703">
        <w:rPr>
          <w:sz w:val="22"/>
          <w:szCs w:val="22"/>
          <w:lang w:val="sr-Latn-ME"/>
        </w:rPr>
        <w:t>INN: adalimumab</w:t>
      </w:r>
    </w:p>
    <w:p w:rsidR="005B62E2" w:rsidRPr="00B60703" w:rsidRDefault="005B62E2">
      <w:pPr>
        <w:rPr>
          <w:bCs/>
          <w:sz w:val="22"/>
          <w:szCs w:val="22"/>
          <w:lang w:val="sr-Latn-ME"/>
        </w:rPr>
      </w:pPr>
    </w:p>
    <w:p w:rsidR="005B62E2" w:rsidRPr="00B60703" w:rsidRDefault="005B62E2">
      <w:pPr>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2. </w:t>
      </w:r>
      <w:r w:rsidRPr="00B60703">
        <w:rPr>
          <w:b/>
          <w:bCs/>
          <w:sz w:val="22"/>
          <w:szCs w:val="22"/>
          <w:lang w:val="sr-Latn-ME"/>
        </w:rPr>
        <w:tab/>
        <w:t>KVALITATIVNI I KVANTITATIVNI SASTAV</w:t>
      </w:r>
    </w:p>
    <w:p w:rsidR="005B62E2" w:rsidRPr="00B60703" w:rsidRDefault="005B62E2">
      <w:pPr>
        <w:rPr>
          <w:sz w:val="22"/>
          <w:szCs w:val="22"/>
          <w:lang w:val="sr-Latn-ME"/>
        </w:rPr>
      </w:pPr>
    </w:p>
    <w:p w:rsidR="005B62E2" w:rsidRPr="00B60703" w:rsidRDefault="00F03789">
      <w:pPr>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špricu</w:t>
      </w:r>
    </w:p>
    <w:p w:rsidR="005B62E2" w:rsidRPr="00B60703" w:rsidRDefault="00F03789">
      <w:pPr>
        <w:rPr>
          <w:sz w:val="22"/>
          <w:szCs w:val="22"/>
          <w:lang w:val="sr-Latn-ME"/>
        </w:rPr>
      </w:pPr>
      <w:r w:rsidRPr="00B60703">
        <w:rPr>
          <w:sz w:val="22"/>
          <w:szCs w:val="22"/>
          <w:lang w:val="sr-Latn-ME"/>
        </w:rPr>
        <w:t>Jedan napunjeni injekcioni špric sa jednokrantom dozom od 0,8 ml sadrži 40 mg adalimumaba.</w:t>
      </w:r>
    </w:p>
    <w:p w:rsidR="005B62E2" w:rsidRPr="00B60703" w:rsidRDefault="005B62E2">
      <w:pPr>
        <w:rPr>
          <w:sz w:val="22"/>
          <w:szCs w:val="22"/>
          <w:lang w:val="sr-Latn-ME"/>
        </w:rPr>
      </w:pPr>
    </w:p>
    <w:p w:rsidR="005B62E2" w:rsidRPr="00B60703" w:rsidRDefault="00F03789">
      <w:pPr>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penu</w:t>
      </w:r>
    </w:p>
    <w:p w:rsidR="005B62E2" w:rsidRPr="00B60703" w:rsidRDefault="00F03789">
      <w:pPr>
        <w:rPr>
          <w:sz w:val="22"/>
          <w:szCs w:val="22"/>
          <w:lang w:val="sr-Latn-ME"/>
        </w:rPr>
      </w:pPr>
      <w:r w:rsidRPr="00B60703">
        <w:rPr>
          <w:sz w:val="22"/>
          <w:szCs w:val="22"/>
          <w:lang w:val="sr-Latn-ME"/>
        </w:rPr>
        <w:t>Jedan napunjeni injekcioni pen sa jednokrantom dozom od od 0,8 ml sadrži 40 mg adalimumaba.</w:t>
      </w:r>
    </w:p>
    <w:p w:rsidR="005B62E2" w:rsidRPr="00B60703" w:rsidRDefault="005B62E2">
      <w:pPr>
        <w:rPr>
          <w:sz w:val="22"/>
          <w:szCs w:val="22"/>
          <w:lang w:val="sr-Latn-ME"/>
        </w:rPr>
      </w:pPr>
    </w:p>
    <w:p w:rsidR="005B62E2" w:rsidRPr="00B60703" w:rsidRDefault="00F03789">
      <w:pPr>
        <w:jc w:val="both"/>
        <w:rPr>
          <w:sz w:val="22"/>
          <w:szCs w:val="22"/>
          <w:lang w:val="sr-Latn-ME"/>
        </w:rPr>
      </w:pPr>
      <w:r w:rsidRPr="00B60703">
        <w:rPr>
          <w:sz w:val="22"/>
          <w:szCs w:val="22"/>
          <w:lang w:val="sr-Latn-ME"/>
        </w:rPr>
        <w:t xml:space="preserve">Adalimumab je rekombinantno humano monoklonsko antitijelo, koje se proizvodi u ćelijama jajnika kineskog hrčka. </w:t>
      </w:r>
    </w:p>
    <w:p w:rsidR="005B62E2" w:rsidRPr="00B60703" w:rsidRDefault="005B62E2">
      <w:pPr>
        <w:rPr>
          <w:sz w:val="22"/>
          <w:szCs w:val="22"/>
          <w:lang w:val="sr-Latn-ME"/>
        </w:rPr>
      </w:pPr>
    </w:p>
    <w:p w:rsidR="005B62E2" w:rsidRPr="00B60703" w:rsidRDefault="00F03789">
      <w:pPr>
        <w:rPr>
          <w:sz w:val="22"/>
          <w:szCs w:val="22"/>
          <w:lang w:val="sr-Latn-ME"/>
        </w:rPr>
      </w:pPr>
      <w:r w:rsidRPr="00B60703">
        <w:rPr>
          <w:sz w:val="22"/>
          <w:szCs w:val="22"/>
          <w:lang w:val="sr-Latn-ME"/>
        </w:rPr>
        <w:t>Za spisak svih ekscipijenasa, pogledati dio 6.1.</w:t>
      </w:r>
    </w:p>
    <w:p w:rsidR="005B62E2" w:rsidRPr="00B60703" w:rsidRDefault="005B62E2">
      <w:pPr>
        <w:rPr>
          <w:sz w:val="22"/>
          <w:szCs w:val="22"/>
          <w:lang w:val="sr-Latn-ME"/>
        </w:rPr>
      </w:pPr>
    </w:p>
    <w:p w:rsidR="005B62E2" w:rsidRPr="00B60703" w:rsidRDefault="005B62E2">
      <w:pPr>
        <w:rPr>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3. </w:t>
      </w:r>
      <w:r w:rsidRPr="00B60703">
        <w:rPr>
          <w:b/>
          <w:bCs/>
          <w:sz w:val="22"/>
          <w:szCs w:val="22"/>
          <w:lang w:val="sr-Latn-ME"/>
        </w:rPr>
        <w:tab/>
        <w:t xml:space="preserve">FARMACEUTSKI OBLIK </w:t>
      </w:r>
    </w:p>
    <w:p w:rsidR="005B62E2" w:rsidRPr="00B60703" w:rsidRDefault="005B62E2">
      <w:pPr>
        <w:rPr>
          <w:bCs/>
          <w:sz w:val="22"/>
          <w:szCs w:val="22"/>
          <w:lang w:val="sr-Latn-ME"/>
        </w:rPr>
      </w:pPr>
    </w:p>
    <w:p w:rsidR="005B62E2" w:rsidRPr="00B60703" w:rsidRDefault="00F03789">
      <w:pPr>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špricu:</w:t>
      </w:r>
    </w:p>
    <w:p w:rsidR="005B62E2" w:rsidRPr="00B60703" w:rsidRDefault="00F03789">
      <w:pPr>
        <w:rPr>
          <w:bCs/>
          <w:iCs/>
          <w:sz w:val="22"/>
          <w:szCs w:val="22"/>
          <w:lang w:val="sr-Latn-ME"/>
        </w:rPr>
      </w:pPr>
      <w:r w:rsidRPr="00B60703">
        <w:rPr>
          <w:bCs/>
          <w:iCs/>
          <w:sz w:val="22"/>
          <w:szCs w:val="22"/>
          <w:lang w:val="sr-Latn-ME"/>
        </w:rPr>
        <w:t>rastvor za injekciju (injekcija) u napunjenom injekcionom špricu</w:t>
      </w:r>
    </w:p>
    <w:p w:rsidR="005B62E2" w:rsidRPr="00B60703" w:rsidRDefault="005B62E2">
      <w:pPr>
        <w:rPr>
          <w:bCs/>
          <w:iCs/>
          <w:sz w:val="22"/>
          <w:szCs w:val="22"/>
          <w:lang w:val="sr-Latn-ME"/>
        </w:rPr>
      </w:pPr>
    </w:p>
    <w:p w:rsidR="005B62E2" w:rsidRPr="00B60703" w:rsidRDefault="00F03789">
      <w:pPr>
        <w:rPr>
          <w:bCs/>
          <w:sz w:val="22"/>
          <w:szCs w:val="22"/>
          <w:lang w:val="sr-Latn-ME"/>
        </w:rPr>
      </w:pPr>
      <w:r w:rsidRPr="00B60703">
        <w:rPr>
          <w:bCs/>
          <w:sz w:val="22"/>
          <w:szCs w:val="22"/>
          <w:lang w:val="sr-Latn-ME"/>
        </w:rPr>
        <w:t>Bistar ili blago opalescentan, bezbojan do blago žućkast rastvor.</w:t>
      </w:r>
    </w:p>
    <w:p w:rsidR="005B62E2" w:rsidRPr="00B60703" w:rsidRDefault="005B62E2">
      <w:pPr>
        <w:rPr>
          <w:sz w:val="22"/>
          <w:szCs w:val="22"/>
          <w:lang w:val="sr-Latn-ME"/>
        </w:rPr>
      </w:pPr>
    </w:p>
    <w:p w:rsidR="005B62E2" w:rsidRPr="00B60703" w:rsidRDefault="00F03789">
      <w:pPr>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penu:</w:t>
      </w:r>
    </w:p>
    <w:p w:rsidR="005B62E2" w:rsidRPr="00B60703" w:rsidRDefault="00F03789">
      <w:pPr>
        <w:rPr>
          <w:bCs/>
          <w:iCs/>
          <w:sz w:val="22"/>
          <w:szCs w:val="22"/>
          <w:lang w:val="sr-Latn-ME"/>
        </w:rPr>
      </w:pPr>
      <w:r w:rsidRPr="00B60703">
        <w:rPr>
          <w:bCs/>
          <w:iCs/>
          <w:sz w:val="22"/>
          <w:szCs w:val="22"/>
          <w:lang w:val="sr-Latn-ME"/>
        </w:rPr>
        <w:t>rastvor za injekciju (injekcija) u napunjenom injekcionom penu</w:t>
      </w:r>
    </w:p>
    <w:p w:rsidR="005B62E2" w:rsidRPr="00B60703" w:rsidRDefault="005B62E2">
      <w:pPr>
        <w:rPr>
          <w:bCs/>
          <w:sz w:val="22"/>
          <w:szCs w:val="22"/>
          <w:lang w:val="sr-Latn-ME"/>
        </w:rPr>
      </w:pPr>
    </w:p>
    <w:p w:rsidR="005B62E2" w:rsidRPr="00B60703" w:rsidRDefault="00F03789">
      <w:pPr>
        <w:rPr>
          <w:bCs/>
          <w:sz w:val="22"/>
          <w:szCs w:val="22"/>
          <w:lang w:val="sr-Latn-ME"/>
        </w:rPr>
      </w:pPr>
      <w:r w:rsidRPr="00B60703">
        <w:rPr>
          <w:bCs/>
          <w:sz w:val="22"/>
          <w:szCs w:val="22"/>
          <w:lang w:val="sr-Latn-ME"/>
        </w:rPr>
        <w:t>Bistar ili blago opalescentan, bezbojan do blago žućkast rastvor.</w:t>
      </w:r>
    </w:p>
    <w:p w:rsidR="005B62E2" w:rsidRPr="00B60703" w:rsidRDefault="005B62E2">
      <w:pPr>
        <w:rPr>
          <w:bCs/>
          <w:sz w:val="22"/>
          <w:szCs w:val="22"/>
          <w:lang w:val="sr-Latn-ME"/>
        </w:rPr>
      </w:pPr>
    </w:p>
    <w:p w:rsidR="005B62E2" w:rsidRPr="00B60703" w:rsidRDefault="005B62E2">
      <w:pPr>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 </w:t>
      </w:r>
      <w:r w:rsidRPr="00B60703">
        <w:rPr>
          <w:b/>
          <w:bCs/>
          <w:sz w:val="22"/>
          <w:szCs w:val="22"/>
          <w:lang w:val="sr-Latn-ME"/>
        </w:rPr>
        <w:tab/>
        <w:t>KLINIČKI PODACI</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4.1. </w:t>
      </w:r>
      <w:r w:rsidRPr="00B60703">
        <w:rPr>
          <w:b/>
          <w:bCs/>
          <w:sz w:val="22"/>
          <w:szCs w:val="22"/>
          <w:lang w:val="sr-Latn-ME"/>
        </w:rPr>
        <w:tab/>
        <w:t>Terapijske indikacije</w:t>
      </w:r>
    </w:p>
    <w:p w:rsidR="005B62E2" w:rsidRPr="00B60703" w:rsidRDefault="005B62E2">
      <w:pPr>
        <w:tabs>
          <w:tab w:val="left" w:pos="540"/>
          <w:tab w:val="left" w:pos="569"/>
        </w:tabs>
        <w:rPr>
          <w:bCs/>
          <w:sz w:val="22"/>
          <w:szCs w:val="22"/>
          <w:lang w:val="sr-Latn-ME"/>
        </w:rPr>
      </w:pPr>
    </w:p>
    <w:p w:rsidR="005B62E2" w:rsidRPr="00B60703" w:rsidRDefault="00F03789">
      <w:pPr>
        <w:tabs>
          <w:tab w:val="left" w:pos="708"/>
          <w:tab w:val="center" w:pos="4536"/>
          <w:tab w:val="right" w:pos="9072"/>
        </w:tabs>
        <w:snapToGrid w:val="0"/>
        <w:jc w:val="both"/>
        <w:rPr>
          <w:bCs/>
          <w:sz w:val="22"/>
          <w:u w:val="single"/>
          <w:lang w:val="sr-Latn-ME"/>
        </w:rPr>
      </w:pPr>
      <w:r w:rsidRPr="00B60703">
        <w:rPr>
          <w:bCs/>
          <w:sz w:val="22"/>
          <w:szCs w:val="22"/>
          <w:u w:val="single"/>
          <w:lang w:val="sr-Latn-ME" w:eastAsia="sr-Latn-ME"/>
        </w:rPr>
        <w:t>Reumatoidni artritis</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Lijek Hyrimoz je, u kombinaciji sa metotreksatom, indikovan za:</w:t>
      </w:r>
    </w:p>
    <w:p w:rsidR="005B62E2" w:rsidRPr="00B60703" w:rsidRDefault="00F03789">
      <w:pPr>
        <w:numPr>
          <w:ilvl w:val="0"/>
          <w:numId w:val="2"/>
        </w:num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liječenje umjerenog do teškog oblika aktivnog reumatoidnog artritisa kod odraslih osoba, kada odgovor na antireumatske ljekove koji modifikuju tok bolesti, uključujući metotreksat, nije bio zadovoljavajući;</w:t>
      </w:r>
    </w:p>
    <w:p w:rsidR="005B62E2" w:rsidRPr="00B60703" w:rsidRDefault="00F03789">
      <w:pPr>
        <w:numPr>
          <w:ilvl w:val="0"/>
          <w:numId w:val="2"/>
        </w:num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liječenje teškog, aktivnog i progresivnog reumatoidnog artritisa odraslih, koji nisu prethodno liječeni metotreksatom.</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lastRenderedPageBreak/>
        <w:t>Lijek Hyrimoz se može primijeniti i kao monoterapija u slučajevima kada pacijenti ne podnose metotreksat ili kada kontinuirana primjena metotreksata nije odgovarajuća.</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Dokazano je da adalimumab, u kombinaciji sa metotreksatom, smanjuje brzinu progresije oštećenja zglobova, što je radiološki potvrđeno, i da poboljšava fizičku funkciju.</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Juvenilni idiopatski artritis</w:t>
      </w:r>
    </w:p>
    <w:p w:rsidR="005B62E2" w:rsidRPr="00B60703" w:rsidRDefault="005B62E2">
      <w:pPr>
        <w:tabs>
          <w:tab w:val="left" w:pos="708"/>
          <w:tab w:val="center" w:pos="4536"/>
          <w:tab w:val="right" w:pos="9072"/>
        </w:tabs>
        <w:snapToGrid w:val="0"/>
        <w:jc w:val="both"/>
        <w:rPr>
          <w:b/>
          <w:sz w:val="22"/>
          <w:szCs w:val="22"/>
          <w:u w:val="single"/>
          <w:lang w:val="sr-Latn-ME" w:eastAsia="sr-Latn-ME"/>
        </w:rPr>
      </w:pPr>
    </w:p>
    <w:p w:rsidR="005B62E2" w:rsidRPr="00B60703" w:rsidRDefault="00F03789">
      <w:pPr>
        <w:tabs>
          <w:tab w:val="left" w:pos="708"/>
          <w:tab w:val="center" w:pos="4536"/>
          <w:tab w:val="right" w:pos="9072"/>
        </w:tabs>
        <w:snapToGrid w:val="0"/>
        <w:jc w:val="both"/>
        <w:rPr>
          <w:i/>
          <w:sz w:val="22"/>
          <w:lang w:val="sr-Latn-ME" w:eastAsia="sr-Latn-ME"/>
        </w:rPr>
      </w:pPr>
      <w:r w:rsidRPr="00B60703">
        <w:rPr>
          <w:i/>
          <w:sz w:val="22"/>
          <w:szCs w:val="22"/>
          <w:lang w:val="sr-Latn-ME" w:eastAsia="sr-Latn-ME"/>
        </w:rPr>
        <w:t>Poliartikularni juvenilni idiopatski artritis</w:t>
      </w:r>
    </w:p>
    <w:p w:rsidR="005B62E2" w:rsidRPr="00B60703" w:rsidRDefault="005B62E2">
      <w:pPr>
        <w:tabs>
          <w:tab w:val="left" w:pos="708"/>
          <w:tab w:val="center" w:pos="4536"/>
          <w:tab w:val="right" w:pos="9072"/>
        </w:tabs>
        <w:snapToGrid w:val="0"/>
        <w:jc w:val="both"/>
        <w:rPr>
          <w:sz w:val="22"/>
          <w:u w:val="single"/>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Lijek Hyrimoz je, u kombinaciji sa metotreksatom, indikovan za terapiju aktivnog poliartikularnog juvenilnog idiopatskog artritisa, kod djece uzrasta od 2 godine, kod kojih odgovor na jedan ili više antireumatskih ljekova koji modifikuju tok bolesti (ARMB), nije bio zadovoljavajući. Lijek Hyrimoz se može primijeniti kao monoterapija u slučajevima kada pacijenti ne podnose metotreksat ili kada se kontinuiranom primjenom metotreksata ne postiže zadovoljavajući terapijski odgovor (za efikasnost u monoterapiji vidjeti dio 5.1). Nije proučavana upotreba adalimumaba kod djece mlađe od 2 godine.</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i/>
          <w:sz w:val="22"/>
          <w:szCs w:val="22"/>
          <w:lang w:val="sr-Latn-ME" w:eastAsia="sr-Latn-ME"/>
        </w:rPr>
      </w:pPr>
      <w:r w:rsidRPr="00B60703">
        <w:rPr>
          <w:i/>
          <w:sz w:val="22"/>
          <w:szCs w:val="22"/>
          <w:lang w:val="sr-Latn-ME" w:eastAsia="sr-Latn-ME"/>
        </w:rPr>
        <w:t>Artritis povezan sa entezitisom</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Lijek Hyrimoz je indikovan za liječenje aktivnog artritisa povezanog sa entezitisom kod pacijenata uzrasta od 6 i više godina, kod kojih nije postignut zadovoljavajući odgovor ili koji ne podnose konvencionalnu terapiju (vidjeti dio 5.1).</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u w:val="single"/>
          <w:lang w:val="sr-Latn-ME" w:eastAsia="sr-Latn-ME"/>
        </w:rPr>
      </w:pPr>
      <w:r w:rsidRPr="00B60703">
        <w:rPr>
          <w:sz w:val="22"/>
          <w:szCs w:val="22"/>
          <w:u w:val="single"/>
          <w:lang w:val="sr-Latn-ME" w:eastAsia="sr-Latn-ME"/>
        </w:rPr>
        <w:t>Aksijalni spondiloartritis</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i/>
          <w:sz w:val="22"/>
          <w:szCs w:val="22"/>
          <w:lang w:val="sr-Latn-ME" w:eastAsia="sr-Latn-ME"/>
        </w:rPr>
      </w:pPr>
      <w:r w:rsidRPr="00B60703">
        <w:rPr>
          <w:i/>
          <w:sz w:val="22"/>
          <w:szCs w:val="22"/>
          <w:lang w:val="sr-Latn-ME" w:eastAsia="sr-Latn-ME"/>
        </w:rPr>
        <w:t>Ankilozirajući spondilitis (AS)</w:t>
      </w:r>
    </w:p>
    <w:p w:rsidR="005B62E2" w:rsidRPr="00B60703" w:rsidRDefault="005B62E2">
      <w:pPr>
        <w:tabs>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Lijek Hyrimoz je indikovan za liječenje teškog aktivnog ankilozirajućeg spondilitisa kod odraslih osoba kod kojih nije postignut zadovoljavajući odgovor na konvencionalnu terapiju.</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i/>
          <w:sz w:val="22"/>
          <w:szCs w:val="22"/>
          <w:lang w:val="sr-Latn-ME" w:eastAsia="sr-Latn-ME"/>
        </w:rPr>
      </w:pPr>
      <w:r w:rsidRPr="00B60703">
        <w:rPr>
          <w:i/>
          <w:sz w:val="22"/>
          <w:szCs w:val="22"/>
          <w:lang w:val="sr-Latn-ME" w:eastAsia="sr-Latn-ME"/>
        </w:rPr>
        <w:t>Aksijalni spondiloartritis bez radiografskog dokaza AS</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Lijek Hyrimoz je indikovan za liječenje teškog oblika aksijalnog spondiloartritisa bez radiografskog dokaza AS, kada su prisutni objektivni znaci inflamacije, povišeni CRP i/ili MRI, kod odraslih osoba kod kojih nije postignut zadovoljavajući odgovor terapijom nesteroidnim antiinflamatornim ljekovima ili kod kojih postoji nepodnošljivost na pomenutu terapiju. </w:t>
      </w:r>
    </w:p>
    <w:p w:rsidR="005B62E2" w:rsidRPr="00B60703" w:rsidRDefault="005B62E2">
      <w:pPr>
        <w:tabs>
          <w:tab w:val="left" w:pos="708"/>
          <w:tab w:val="center" w:pos="4536"/>
          <w:tab w:val="right" w:pos="9072"/>
        </w:tabs>
        <w:snapToGrid w:val="0"/>
        <w:jc w:val="both"/>
        <w:rPr>
          <w:color w:val="FF0000"/>
          <w:sz w:val="22"/>
          <w:lang w:val="sr-Latn-ME" w:eastAsia="sr-Latn-ME"/>
        </w:rPr>
      </w:pPr>
    </w:p>
    <w:p w:rsidR="005B62E2" w:rsidRPr="00B60703" w:rsidRDefault="00F03789">
      <w:pPr>
        <w:tabs>
          <w:tab w:val="left" w:pos="708"/>
          <w:tab w:val="center" w:pos="4536"/>
          <w:tab w:val="right" w:pos="9072"/>
        </w:tabs>
        <w:snapToGrid w:val="0"/>
        <w:jc w:val="both"/>
        <w:rPr>
          <w:sz w:val="22"/>
          <w:u w:val="single"/>
          <w:lang w:val="sr-Latn-ME" w:eastAsia="sr-Latn-ME"/>
        </w:rPr>
      </w:pPr>
      <w:r w:rsidRPr="00B60703">
        <w:rPr>
          <w:sz w:val="22"/>
          <w:szCs w:val="22"/>
          <w:u w:val="single"/>
          <w:lang w:val="sr-Latn-ME" w:eastAsia="sr-Latn-ME"/>
        </w:rPr>
        <w:t>Psorijazni artritis</w:t>
      </w:r>
    </w:p>
    <w:p w:rsidR="005B62E2" w:rsidRPr="00B60703" w:rsidRDefault="005B62E2">
      <w:pPr>
        <w:tabs>
          <w:tab w:val="left" w:pos="708"/>
          <w:tab w:val="center" w:pos="4536"/>
          <w:tab w:val="right" w:pos="9072"/>
        </w:tabs>
        <w:snapToGrid w:val="0"/>
        <w:jc w:val="both"/>
        <w:rPr>
          <w:sz w:val="22"/>
          <w:u w:val="single"/>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Lijek Hyrimoz je indikovan za liječenje aktivnog i progresivnog psorijaznog artritisa odraslih osoba kod kojih prethodna terapija antireumatskim ljekovima koji modifikuju bolest nije dala zadovoljavajući odgovor. Pokazano je da kod pacijenata sa poliartikularnim simetričnim podtipovima bolesti (vidjeti dio 5.1) adalimumab redukuje stepen progresije oštećenja perifernih zglobova, što je potvrđeno radiografski, i da poboljšava fizičku funkciju.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Psorijaza</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Lijek Hyrimoz je indikovan za terapiju umjerene do teške hronične plak psorijaze kod odraslih pacijenata koji su kandidati za sistemsku terapiju.</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Plak psorijaza kod djece</w:t>
      </w: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F03789">
      <w:pPr>
        <w:tabs>
          <w:tab w:val="center" w:pos="4536"/>
          <w:tab w:val="right" w:pos="9072"/>
        </w:tabs>
        <w:snapToGrid w:val="0"/>
        <w:jc w:val="both"/>
        <w:rPr>
          <w:bCs/>
          <w:iCs/>
          <w:sz w:val="22"/>
          <w:szCs w:val="22"/>
          <w:lang w:val="sr-Latn-ME" w:eastAsia="sr-Latn-ME"/>
        </w:rPr>
      </w:pPr>
      <w:r w:rsidRPr="00B60703">
        <w:rPr>
          <w:bCs/>
          <w:iCs/>
          <w:sz w:val="22"/>
          <w:szCs w:val="22"/>
          <w:lang w:val="sr-Latn-ME" w:eastAsia="sr-Latn-ME"/>
        </w:rPr>
        <w:t>Lijek Hyrimoz je indikovan za liječenje teške hronične plak psorijaze kod djece i adolescenata uzrasta od 4 ili više godina kod kojih nije postignut zadovoljavajući odgovor ili koji nisu prikladni kandidati za topikalnu terapiju i fototerapije.</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Gnojno zapaljenje znojnih žlijezda (</w:t>
      </w:r>
      <w:r w:rsidRPr="00B60703">
        <w:rPr>
          <w:i/>
          <w:sz w:val="22"/>
          <w:szCs w:val="22"/>
          <w:u w:val="single"/>
          <w:lang w:val="sr-Latn-ME" w:eastAsia="sr-Latn-ME"/>
        </w:rPr>
        <w:t>Hidradenitis suppurativa</w:t>
      </w:r>
      <w:r w:rsidRPr="00B60703">
        <w:rPr>
          <w:sz w:val="22"/>
          <w:szCs w:val="22"/>
          <w:u w:val="single"/>
          <w:lang w:val="sr-Latn-ME" w:eastAsia="sr-Latn-ME"/>
        </w:rPr>
        <w:t>)</w:t>
      </w: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Lijek Hyrimoz je indikovan za liječenje umjerenog do teškog oblika aktivnog gnojnog zapaljenja znojnih žlijezda (</w:t>
      </w:r>
      <w:r w:rsidRPr="00B60703">
        <w:rPr>
          <w:i/>
          <w:sz w:val="22"/>
          <w:szCs w:val="22"/>
          <w:lang w:val="sr-Latn-ME" w:eastAsia="sr-Latn-ME"/>
        </w:rPr>
        <w:t>hidradenitis suppurativa/acne inversa</w:t>
      </w:r>
      <w:r w:rsidRPr="00B60703">
        <w:rPr>
          <w:sz w:val="22"/>
          <w:szCs w:val="22"/>
          <w:lang w:val="sr-Latn-ME" w:eastAsia="sr-Latn-ME"/>
        </w:rPr>
        <w:t>) kod odraslih pacijenata i adolescenata uzrasta od 12 godina i starijih, kod kojih nije postignut zadovoljavajući odgovor na konvencionalno sistemsko liječenje gnojnog zapaljenja znojnih žlijezda (</w:t>
      </w:r>
      <w:r w:rsidRPr="00B60703">
        <w:rPr>
          <w:i/>
          <w:sz w:val="22"/>
          <w:szCs w:val="22"/>
          <w:lang w:val="sr-Latn-ME" w:eastAsia="sr-Latn-ME"/>
        </w:rPr>
        <w:t>hidradenitis suppurativa</w:t>
      </w:r>
      <w:r w:rsidRPr="00B60703">
        <w:rPr>
          <w:sz w:val="22"/>
          <w:szCs w:val="22"/>
          <w:lang w:val="sr-Latn-ME" w:eastAsia="sr-Latn-ME"/>
        </w:rPr>
        <w:t>) (vidjeti djelove 5.1 i 5.2).</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i/>
          <w:sz w:val="22"/>
          <w:szCs w:val="22"/>
          <w:u w:val="single"/>
          <w:lang w:val="sr-Latn-ME" w:eastAsia="sr-Latn-ME"/>
        </w:rPr>
        <w:t>Crohn</w:t>
      </w:r>
      <w:r w:rsidRPr="00B60703">
        <w:rPr>
          <w:bCs/>
          <w:sz w:val="22"/>
          <w:szCs w:val="22"/>
          <w:u w:val="single"/>
          <w:lang w:val="sr-Latn-ME" w:eastAsia="sr-Latn-ME"/>
        </w:rPr>
        <w:t>-ova bolest</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Lijek Hyrimoz je indikovan za liječenje umjerenog do teškog oblika aktivne</w:t>
      </w:r>
      <w:r w:rsidRPr="00B60703">
        <w:rPr>
          <w:i/>
          <w:sz w:val="22"/>
          <w:szCs w:val="22"/>
          <w:lang w:val="sr-Latn-ME" w:eastAsia="sr-Latn-ME"/>
        </w:rPr>
        <w:t xml:space="preserve"> Crohn</w:t>
      </w:r>
      <w:r w:rsidRPr="00B60703">
        <w:rPr>
          <w:sz w:val="22"/>
          <w:szCs w:val="22"/>
          <w:lang w:val="sr-Latn-ME" w:eastAsia="sr-Latn-ME"/>
        </w:rPr>
        <w:t>-ove bolesti, kod odraslih pacijenata kod kojih prethodno liječenje kortikosteroidima i/ili imunosupresivima nije dalo zadovoljavajući odgovor ili kod kojih postoji</w:t>
      </w:r>
      <w:r w:rsidRPr="00B60703">
        <w:rPr>
          <w:b/>
          <w:bCs/>
          <w:sz w:val="22"/>
          <w:szCs w:val="22"/>
          <w:lang w:val="sr-Latn-ME" w:eastAsia="sr-Latn-ME"/>
        </w:rPr>
        <w:t xml:space="preserve"> </w:t>
      </w:r>
      <w:r w:rsidRPr="00B60703">
        <w:rPr>
          <w:sz w:val="22"/>
          <w:szCs w:val="22"/>
          <w:lang w:val="sr-Latn-ME" w:eastAsia="sr-Latn-ME"/>
        </w:rPr>
        <w:t>intolerancija</w:t>
      </w:r>
      <w:r w:rsidRPr="00B60703">
        <w:rPr>
          <w:b/>
          <w:bCs/>
          <w:sz w:val="22"/>
          <w:szCs w:val="22"/>
          <w:lang w:val="sr-Latn-ME" w:eastAsia="sr-Latn-ME"/>
        </w:rPr>
        <w:t xml:space="preserve"> </w:t>
      </w:r>
      <w:r w:rsidRPr="00B60703">
        <w:rPr>
          <w:sz w:val="22"/>
          <w:szCs w:val="22"/>
          <w:lang w:val="sr-Latn-ME" w:eastAsia="sr-Latn-ME"/>
        </w:rPr>
        <w:t>ili kontraindikacije na pomenutu terapiju.</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 xml:space="preserve">Pedijatrijski oblik </w:t>
      </w:r>
      <w:r w:rsidRPr="00B60703">
        <w:rPr>
          <w:i/>
          <w:sz w:val="22"/>
          <w:szCs w:val="22"/>
          <w:u w:val="single"/>
          <w:lang w:val="sr-Latn-ME" w:eastAsia="sr-Latn-ME"/>
        </w:rPr>
        <w:t>Crohn</w:t>
      </w:r>
      <w:r w:rsidRPr="00B60703">
        <w:rPr>
          <w:sz w:val="22"/>
          <w:szCs w:val="22"/>
          <w:u w:val="single"/>
          <w:lang w:val="sr-Latn-ME" w:eastAsia="sr-Latn-ME"/>
        </w:rPr>
        <w:t>-ove bolesti</w:t>
      </w:r>
    </w:p>
    <w:p w:rsidR="005B62E2" w:rsidRPr="00B60703" w:rsidRDefault="005B62E2">
      <w:pPr>
        <w:tabs>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s>
        <w:snapToGrid w:val="0"/>
        <w:jc w:val="both"/>
        <w:rPr>
          <w:sz w:val="22"/>
          <w:lang w:val="sr-Latn-ME"/>
        </w:rPr>
      </w:pPr>
      <w:r w:rsidRPr="00B60703">
        <w:rPr>
          <w:sz w:val="22"/>
          <w:szCs w:val="22"/>
          <w:lang w:val="sr-Latn-ME"/>
        </w:rPr>
        <w:t xml:space="preserve">Lijek Hyrimoz je indikovan za liječenje umjerenog do teškog oblika aktivne </w:t>
      </w:r>
      <w:r w:rsidRPr="00B60703">
        <w:rPr>
          <w:i/>
          <w:sz w:val="22"/>
          <w:szCs w:val="22"/>
          <w:lang w:val="sr-Latn-ME"/>
        </w:rPr>
        <w:t>Crohn</w:t>
      </w:r>
      <w:r w:rsidRPr="00B60703">
        <w:rPr>
          <w:sz w:val="22"/>
          <w:szCs w:val="22"/>
          <w:lang w:val="sr-Latn-ME"/>
        </w:rPr>
        <w:t>-ove bolesti kod pedijatrijskih pacijenata (uzrasta od 6 ili više godina), kod kojih nije postignut zadovoljavajući odgovor konvencionalnom terapijom, uključujući prvenstveno nutricionu terapiju, kortikosteroid i/ili imunomodulator, ili kod pacijenata kod kojih postoji intolerancija ili kontraindikacije za primjenu pomenute terapije</w:t>
      </w:r>
      <w:r w:rsidRPr="00B60703">
        <w:rPr>
          <w:sz w:val="22"/>
          <w:lang w:val="sr-Latn-ME"/>
        </w:rPr>
        <w:t>.</w:t>
      </w:r>
    </w:p>
    <w:p w:rsidR="005B62E2" w:rsidRPr="00B60703" w:rsidRDefault="00F03789">
      <w:pPr>
        <w:tabs>
          <w:tab w:val="left" w:pos="284"/>
          <w:tab w:val="center" w:pos="4536"/>
          <w:tab w:val="right" w:pos="9072"/>
        </w:tabs>
        <w:jc w:val="both"/>
        <w:rPr>
          <w:sz w:val="22"/>
          <w:szCs w:val="22"/>
          <w:lang w:val="sr-Latn-ME" w:eastAsia="sr-Latn-ME"/>
        </w:rPr>
      </w:pPr>
      <w:r w:rsidRPr="00B60703">
        <w:rPr>
          <w:sz w:val="22"/>
          <w:szCs w:val="22"/>
          <w:lang w:val="sr-Latn-ME" w:eastAsia="sr-Latn-ME"/>
        </w:rPr>
        <w:t xml:space="preserve">   </w:t>
      </w: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Ulcerozni kolitis</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Lijek Hyrimoz je indikovan za liječenje umjerenog do teškog oblika aktivnog ulceroznog kolitisa kod odraslih pacijenata, kod kojih nije postignut zadovoljavajući odgovor na konvencionalnu terapiju, uključujući kortikosteroide i 6-merkaptopurin (6-MP) ili azatioprin (AZA), ili kod kojih postoji</w:t>
      </w:r>
      <w:r w:rsidRPr="00B60703">
        <w:rPr>
          <w:bCs/>
          <w:sz w:val="22"/>
          <w:szCs w:val="22"/>
          <w:lang w:val="sr-Latn-ME" w:eastAsia="sr-Latn-ME"/>
        </w:rPr>
        <w:t xml:space="preserve"> </w:t>
      </w:r>
      <w:r w:rsidRPr="00B60703">
        <w:rPr>
          <w:sz w:val="22"/>
          <w:szCs w:val="22"/>
          <w:lang w:val="sr-Latn-ME" w:eastAsia="sr-Latn-ME"/>
        </w:rPr>
        <w:t>intolerancija</w:t>
      </w:r>
      <w:r w:rsidRPr="00B60703">
        <w:rPr>
          <w:bCs/>
          <w:sz w:val="22"/>
          <w:szCs w:val="22"/>
          <w:lang w:val="sr-Latn-ME" w:eastAsia="sr-Latn-ME"/>
        </w:rPr>
        <w:t xml:space="preserve"> </w:t>
      </w:r>
      <w:r w:rsidRPr="00B60703">
        <w:rPr>
          <w:sz w:val="22"/>
          <w:szCs w:val="22"/>
          <w:lang w:val="sr-Latn-ME" w:eastAsia="sr-Latn-ME"/>
        </w:rPr>
        <w:t>ili kontraindikacije na pomenutu terapiju.</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s>
        <w:autoSpaceDE w:val="0"/>
        <w:autoSpaceDN w:val="0"/>
        <w:adjustRightInd w:val="0"/>
        <w:jc w:val="both"/>
        <w:rPr>
          <w:sz w:val="22"/>
          <w:szCs w:val="22"/>
          <w:u w:val="single"/>
          <w:lang w:val="sr-Latn-ME"/>
        </w:rPr>
      </w:pPr>
      <w:r w:rsidRPr="00B60703">
        <w:rPr>
          <w:sz w:val="22"/>
          <w:szCs w:val="22"/>
          <w:u w:val="single"/>
          <w:lang w:val="sr-Latn-ME"/>
        </w:rPr>
        <w:t>Uveitis</w:t>
      </w:r>
    </w:p>
    <w:p w:rsidR="005B62E2" w:rsidRPr="00B60703" w:rsidRDefault="005B62E2">
      <w:pPr>
        <w:tabs>
          <w:tab w:val="left" w:pos="708"/>
        </w:tabs>
        <w:autoSpaceDE w:val="0"/>
        <w:autoSpaceDN w:val="0"/>
        <w:adjustRightInd w:val="0"/>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Lijek Hyrimoz je indikovan za liječenje neinfektivnog intermedijarnog, posteriornog i panuveitisa kod odraslih pacijenata, kod kojih nije postignut zadovoljavajući odgovor na kortikosteroide, kojima je potrebna poštedna primjena kortikosteroida ili kod kojih liječenje kortikosteroidima nije prikladno.</w:t>
      </w:r>
    </w:p>
    <w:p w:rsidR="005B62E2" w:rsidRPr="00B60703" w:rsidRDefault="005B62E2">
      <w:pPr>
        <w:tabs>
          <w:tab w:val="left" w:pos="284"/>
        </w:tabs>
        <w:jc w:val="both"/>
        <w:rPr>
          <w:sz w:val="22"/>
          <w:szCs w:val="22"/>
          <w:lang w:val="sr-Latn-ME"/>
        </w:rPr>
      </w:pPr>
    </w:p>
    <w:p w:rsidR="005B62E2" w:rsidRPr="00B60703" w:rsidRDefault="00F03789">
      <w:pPr>
        <w:tabs>
          <w:tab w:val="left" w:pos="708"/>
        </w:tabs>
        <w:jc w:val="both"/>
        <w:rPr>
          <w:sz w:val="22"/>
          <w:szCs w:val="22"/>
          <w:u w:val="single"/>
          <w:lang w:val="sr-Latn-ME"/>
        </w:rPr>
      </w:pPr>
      <w:r w:rsidRPr="00B60703">
        <w:rPr>
          <w:sz w:val="22"/>
          <w:szCs w:val="22"/>
          <w:u w:val="single"/>
          <w:lang w:val="sr-Latn-ME"/>
        </w:rPr>
        <w:t>Pedijatrijski uveitis</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Lijek Hyrimoz je indikovan za liječenje hroničnog neinfektivnog anteriornog uveitisa kod pedijatrijskih pacijenata uzrasta od 2 godine i starijih kod kojih nije postignut zadovoljavajući odgovor na konvencionalnu terapiju, koji ne podnose konvencionalnu terapiju ili kod kojih konvencionalna terapija nije prikladna.</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4.2. </w:t>
      </w:r>
      <w:r w:rsidRPr="00B60703">
        <w:rPr>
          <w:b/>
          <w:bCs/>
          <w:sz w:val="22"/>
          <w:szCs w:val="22"/>
          <w:lang w:val="sr-Latn-ME"/>
        </w:rPr>
        <w:tab/>
        <w:t>Doziranje i način primjene</w:t>
      </w:r>
    </w:p>
    <w:p w:rsidR="005B62E2" w:rsidRPr="00B60703" w:rsidRDefault="005B62E2">
      <w:pPr>
        <w:tabs>
          <w:tab w:val="left" w:pos="540"/>
          <w:tab w:val="left" w:pos="569"/>
        </w:tabs>
        <w:rPr>
          <w:bCs/>
          <w:sz w:val="22"/>
          <w:szCs w:val="22"/>
          <w:lang w:val="sr-Latn-ME"/>
        </w:rPr>
      </w:pPr>
    </w:p>
    <w:p w:rsidR="005B62E2" w:rsidRPr="00B60703" w:rsidRDefault="00F03789">
      <w:pPr>
        <w:tabs>
          <w:tab w:val="left" w:pos="708"/>
          <w:tab w:val="center" w:pos="4536"/>
          <w:tab w:val="right" w:pos="9072"/>
        </w:tabs>
        <w:snapToGrid w:val="0"/>
        <w:jc w:val="both"/>
        <w:rPr>
          <w:sz w:val="22"/>
          <w:szCs w:val="22"/>
          <w:lang w:val="sr-Latn-ME"/>
        </w:rPr>
      </w:pPr>
      <w:r w:rsidRPr="00B60703">
        <w:rPr>
          <w:sz w:val="22"/>
          <w:szCs w:val="22"/>
          <w:lang w:val="sr-Latn-ME" w:eastAsia="sr-Latn-ME"/>
        </w:rPr>
        <w:t xml:space="preserve">Liječenje lijekom Hyrimoz treba da započne i sprovodi ljekar specijalista koji ima iskustva u dijagnostici i liječenju stanja za koje je lijek Hyrimoz indikovan. Oftalmolozima se preporučuje da se konsultuju sa odgovarajućim specijalistom prije započinjanja liječenja lijekom Hyrimoz (vidjeti dio 4.4). Pacijentima koji se liječe lijekom Hyrimoz potrebno je dati posebnu Karticu sa upozorenjima za pacijenta.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Nakon odgovarajuće obuke o načinu davanja injekcije, pacijenti mogu sami sebi davati lijek Hyrimoz, ukoliko njihov ljekar odluči da je to prikladno, i uz odgovarajuće medicinsko praćenje.</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Tokom terapije lijekom Hyrimoz, ostalu prateću terapiju (npr. kortikosteroidi i/ili imunomodulatorni agensi) treba prilagoditi.</w:t>
      </w:r>
    </w:p>
    <w:p w:rsidR="005B62E2" w:rsidRPr="00B60703" w:rsidRDefault="005B62E2">
      <w:pPr>
        <w:tabs>
          <w:tab w:val="left" w:pos="540"/>
          <w:tab w:val="left" w:pos="569"/>
        </w:tabs>
        <w:rPr>
          <w:bCs/>
          <w:sz w:val="22"/>
          <w:szCs w:val="22"/>
          <w:u w:val="single"/>
          <w:lang w:val="sr-Latn-ME"/>
        </w:rPr>
      </w:pPr>
    </w:p>
    <w:p w:rsidR="005B62E2" w:rsidRPr="00B60703" w:rsidRDefault="00F03789">
      <w:pPr>
        <w:tabs>
          <w:tab w:val="left" w:pos="540"/>
          <w:tab w:val="left" w:pos="569"/>
        </w:tabs>
        <w:rPr>
          <w:bCs/>
          <w:sz w:val="22"/>
          <w:szCs w:val="22"/>
          <w:u w:val="single"/>
          <w:lang w:val="sr-Latn-ME"/>
        </w:rPr>
      </w:pPr>
      <w:r w:rsidRPr="00B60703">
        <w:rPr>
          <w:bCs/>
          <w:sz w:val="22"/>
          <w:szCs w:val="22"/>
          <w:u w:val="single"/>
          <w:lang w:val="sr-Latn-ME"/>
        </w:rPr>
        <w:t>Doziranje</w:t>
      </w:r>
    </w:p>
    <w:p w:rsidR="005B62E2" w:rsidRPr="00B60703" w:rsidRDefault="005B62E2">
      <w:pPr>
        <w:tabs>
          <w:tab w:val="left" w:pos="540"/>
          <w:tab w:val="left" w:pos="569"/>
        </w:tabs>
        <w:rPr>
          <w:bCs/>
          <w:sz w:val="22"/>
          <w:szCs w:val="22"/>
          <w:u w:val="single"/>
          <w:lang w:val="sr-Latn-ME"/>
        </w:rPr>
      </w:pPr>
    </w:p>
    <w:p w:rsidR="005B62E2" w:rsidRPr="00B60703" w:rsidRDefault="00F03789">
      <w:pPr>
        <w:tabs>
          <w:tab w:val="left" w:pos="284"/>
          <w:tab w:val="left" w:pos="708"/>
          <w:tab w:val="center" w:pos="4536"/>
          <w:tab w:val="right" w:pos="9072"/>
        </w:tabs>
        <w:snapToGrid w:val="0"/>
        <w:jc w:val="both"/>
        <w:rPr>
          <w:bCs/>
          <w:i/>
          <w:sz w:val="22"/>
          <w:szCs w:val="22"/>
          <w:lang w:val="sr-Latn-ME" w:eastAsia="sr-Latn-ME"/>
        </w:rPr>
      </w:pPr>
      <w:r w:rsidRPr="00B60703">
        <w:rPr>
          <w:bCs/>
          <w:i/>
          <w:sz w:val="22"/>
          <w:szCs w:val="22"/>
          <w:lang w:val="sr-Latn-ME" w:eastAsia="sr-Latn-ME"/>
        </w:rPr>
        <w:t>Reumatoidni artritis</w:t>
      </w:r>
    </w:p>
    <w:p w:rsidR="005B62E2" w:rsidRPr="00B60703" w:rsidRDefault="005B62E2">
      <w:pPr>
        <w:tabs>
          <w:tab w:val="left" w:pos="284"/>
          <w:tab w:val="left" w:pos="708"/>
          <w:tab w:val="center" w:pos="4536"/>
          <w:tab w:val="right" w:pos="9072"/>
        </w:tabs>
        <w:snapToGrid w:val="0"/>
        <w:jc w:val="both"/>
        <w:rPr>
          <w:bCs/>
          <w:i/>
          <w:sz w:val="22"/>
          <w:lang w:val="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lastRenderedPageBreak/>
        <w:t>Preporučena doza lijeka Hyrimoz za odrasle pacijente sa reumatoidnim artritisom je 40 mg adalimumaba svake druge nedjelje, kao jednokratna supkutana injekcija. Za vrijeme liječenja lijekom Hyrimoz treba nastaviti primjenu metotreksata.</w:t>
      </w: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 </w:t>
      </w: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Glukokortikoidi, salicilati, nesteroidni antiinflamatorni ljekovi ili analgetici mogu se i dalje primjenjivati za vrijeme liječenja lijekom Hyrimoz. Za informacije o istovremenoj primjeni lijeka Hyrimoz sa drugim antireumatskim ljekovima koji modifikuju tok bolesti, a nisu metotreksat, vidjeti djelove 4.4 i 5.1. </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Za neke pacijente kod kojih je tokom primjene lijeka Hyrimozu dozi od 40 mg svake druge nedjelje kao monoterapije dolazilo do slabljenja odgovora na lijek Hyrimoz može biti korisno povećati doziranje adalimumaba na 40 mg jednom nedjeljno ili 80 mg svake druge nedjelje.</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Dostupni podaci pokazuju da se klinički odgovor obično postiže tokom 12-nedjeljnog liječenja. Nastavak liječenja treba pažljivo razmotriti kod onih pacijenata koji nisu odgovorili na terapiju u ovom vremenskom periodu. </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i/>
          <w:sz w:val="22"/>
          <w:szCs w:val="22"/>
          <w:u w:val="single"/>
          <w:lang w:val="sr-Latn-ME" w:eastAsia="sr-Latn-ME"/>
        </w:rPr>
      </w:pPr>
      <w:r w:rsidRPr="00B60703">
        <w:rPr>
          <w:i/>
          <w:sz w:val="22"/>
          <w:szCs w:val="22"/>
          <w:u w:val="single"/>
          <w:lang w:val="sr-Latn-ME" w:eastAsia="sr-Latn-ME"/>
        </w:rPr>
        <w:t>Prekid terapije</w:t>
      </w:r>
    </w:p>
    <w:p w:rsidR="005B62E2" w:rsidRPr="00B60703" w:rsidRDefault="005B62E2">
      <w:pPr>
        <w:tabs>
          <w:tab w:val="left" w:pos="284"/>
          <w:tab w:val="left" w:pos="708"/>
          <w:tab w:val="center" w:pos="4536"/>
          <w:tab w:val="right" w:pos="9072"/>
        </w:tabs>
        <w:snapToGrid w:val="0"/>
        <w:jc w:val="both"/>
        <w:rPr>
          <w:i/>
          <w:sz w:val="22"/>
          <w:szCs w:val="22"/>
          <w:lang w:val="sr-Latn-ME" w:eastAsia="sr-Latn-ME"/>
        </w:rPr>
      </w:pPr>
    </w:p>
    <w:p w:rsidR="005B62E2" w:rsidRPr="00B60703" w:rsidRDefault="00F03789">
      <w:pPr>
        <w:tabs>
          <w:tab w:val="left" w:pos="172"/>
          <w:tab w:val="left" w:pos="284"/>
          <w:tab w:val="left" w:pos="1344"/>
          <w:tab w:val="center" w:pos="4536"/>
          <w:tab w:val="right" w:pos="9072"/>
        </w:tabs>
        <w:snapToGrid w:val="0"/>
        <w:jc w:val="both"/>
        <w:rPr>
          <w:sz w:val="22"/>
          <w:szCs w:val="22"/>
          <w:lang w:val="sr-Latn-ME" w:eastAsia="sr-Latn-ME"/>
        </w:rPr>
      </w:pPr>
      <w:r w:rsidRPr="00B60703">
        <w:rPr>
          <w:sz w:val="22"/>
          <w:szCs w:val="22"/>
          <w:lang w:val="sr-Latn-ME" w:eastAsia="sr-Latn-ME"/>
        </w:rPr>
        <w:t xml:space="preserve">Može se dogoditi da je potrebno da se prekine terapija, na primjer prije hirurškog zahvata ili u slučaju teške infekcije. </w:t>
      </w:r>
    </w:p>
    <w:p w:rsidR="005B62E2" w:rsidRPr="00B60703" w:rsidRDefault="005B62E2">
      <w:pPr>
        <w:tabs>
          <w:tab w:val="left" w:pos="172"/>
          <w:tab w:val="left" w:pos="284"/>
          <w:tab w:val="left" w:pos="1344"/>
          <w:tab w:val="center" w:pos="4536"/>
          <w:tab w:val="right" w:pos="9072"/>
        </w:tabs>
        <w:snapToGrid w:val="0"/>
        <w:jc w:val="both"/>
        <w:rPr>
          <w:sz w:val="22"/>
          <w:szCs w:val="22"/>
          <w:lang w:val="sr-Latn-ME" w:eastAsia="sr-Latn-ME"/>
        </w:rPr>
      </w:pPr>
    </w:p>
    <w:p w:rsidR="005B62E2" w:rsidRPr="00B60703" w:rsidRDefault="00F03789">
      <w:pPr>
        <w:tabs>
          <w:tab w:val="left" w:pos="172"/>
          <w:tab w:val="left" w:pos="284"/>
          <w:tab w:val="left" w:pos="1344"/>
          <w:tab w:val="center" w:pos="4536"/>
          <w:tab w:val="right" w:pos="9072"/>
        </w:tabs>
        <w:snapToGrid w:val="0"/>
        <w:jc w:val="both"/>
        <w:rPr>
          <w:sz w:val="22"/>
          <w:lang w:val="sr-Latn-ME" w:eastAsia="sr-Latn-ME"/>
        </w:rPr>
      </w:pPr>
      <w:r w:rsidRPr="00B60703">
        <w:rPr>
          <w:sz w:val="22"/>
          <w:szCs w:val="22"/>
          <w:lang w:val="sr-Latn-ME" w:eastAsia="sr-Latn-ME"/>
        </w:rPr>
        <w:t>Dostupni podaci ukazuju na to da pri ponovnom uvođenju adalimumaba nakon prekida terapije tokom 70 dana ili duže dolazi do istovjetnog kliničkog odgovora i sličnog bezbjednosnog profila kao i prije prekida terapije</w:t>
      </w:r>
      <w:r w:rsidRPr="00B60703">
        <w:rPr>
          <w:sz w:val="22"/>
          <w:lang w:val="sr-Latn-ME" w:eastAsia="sr-Latn-ME"/>
        </w:rPr>
        <w:t>.</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bCs/>
          <w:i/>
          <w:sz w:val="22"/>
          <w:lang w:val="sr-Latn-ME" w:eastAsia="sr-Latn-ME"/>
        </w:rPr>
      </w:pPr>
      <w:r w:rsidRPr="00B60703">
        <w:rPr>
          <w:i/>
          <w:sz w:val="22"/>
          <w:lang w:val="sr-Latn-ME" w:eastAsia="sr-Latn-ME"/>
        </w:rPr>
        <w:t>A</w:t>
      </w:r>
      <w:r w:rsidRPr="00B60703">
        <w:rPr>
          <w:bCs/>
          <w:i/>
          <w:sz w:val="22"/>
          <w:szCs w:val="22"/>
          <w:lang w:val="sr-Latn-ME" w:eastAsia="sr-Latn-ME"/>
        </w:rPr>
        <w:t>nkilozirajući spondilitis, aksijalni spondiloartritis bez radiografskog dokaza AS i psorijazni artritis</w:t>
      </w:r>
    </w:p>
    <w:p w:rsidR="005B62E2" w:rsidRPr="00B60703" w:rsidRDefault="005B62E2">
      <w:pPr>
        <w:tabs>
          <w:tab w:val="left" w:pos="284"/>
          <w:tab w:val="left" w:pos="708"/>
          <w:tab w:val="center" w:pos="4536"/>
          <w:tab w:val="right" w:pos="9072"/>
        </w:tabs>
        <w:snapToGrid w:val="0"/>
        <w:jc w:val="both"/>
        <w:rPr>
          <w:b/>
          <w:bCs/>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Preporučena doza lijeka Hyrimoz za odrasle pacijente sa ankilozirajućim spondilitisom, aksijalnim spondiloartritisom bez radiografskog dokaza AS i pacijente sa psorijaznim artritisom je 40 mg adalimumaba svake druge nedjelje, koja se daje kao jednokratna supkutana injekcija. </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Dostupni podaci sugerišu da se klinički odgovor obično postiže tokom 12-nedjeljnog liječenja. Nastavak liječenja treba pažljivo razmotriti kod onih pacijenata koji nisu odgovorili na terapiju u ovom vremenskom periodu. </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bCs/>
          <w:i/>
          <w:sz w:val="22"/>
          <w:lang w:val="sr-Latn-ME" w:eastAsia="sr-Latn-ME"/>
        </w:rPr>
      </w:pPr>
      <w:r w:rsidRPr="00B60703">
        <w:rPr>
          <w:bCs/>
          <w:i/>
          <w:sz w:val="22"/>
          <w:szCs w:val="22"/>
          <w:lang w:val="sr-Latn-ME" w:eastAsia="sr-Latn-ME"/>
        </w:rPr>
        <w:t>Psorijaza</w:t>
      </w:r>
    </w:p>
    <w:p w:rsidR="005B62E2" w:rsidRPr="00B60703" w:rsidRDefault="005B62E2">
      <w:pPr>
        <w:tabs>
          <w:tab w:val="left" w:pos="284"/>
          <w:tab w:val="left" w:pos="708"/>
          <w:tab w:val="center" w:pos="4536"/>
          <w:tab w:val="right" w:pos="9072"/>
        </w:tabs>
        <w:snapToGrid w:val="0"/>
        <w:jc w:val="both"/>
        <w:rPr>
          <w:b/>
          <w:bCs/>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Preporučeno doziranje lijeka Hyrimoz za odrasle pacijente je: inicijalna doza od 80 mg supkutano, a zatim 40 mg supkutano svake druge nedjelje, s tim što se prva doza od 40 mg daje nedjelju dana poslije inicijalne doze.</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Produženje terapije duže od 16 nedjelja treba pažljivo razmotriti kod pacijenata koji ne postignu odgovor unutar 16 nedjelja. </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Poslije 16 nedjelja, pacijenti sa neadekvatnim odgovorom na lijek Hyrimoz u dozi od 40 mg svake druge nedjelje mogu imati koristi ako im se doziranje poveća na 40 mg svake nedjelje ili 80 mg svake druge nedjelje. Koristi i rizici kontinuirane terapije lijekom Hyrimoz u dozi od 40 mg jednom nedjeljno ili 80 mg svake druge nedjelje treba da budu pažljivo razmotreni kod pacijenata sa neodgovarajućim terapijskim odgovorom nakon povećanja učestalosti doziranja (vidjeti dio 5.1). Ako se postigne odgovarajući terapijski odgovor sa dozom od 40 mg jednom nedjeljno ili 80 mg svake druge nedjelje, naknadno se doziranje može redukovati na 40 mg svake druge nedjelje.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center" w:pos="4536"/>
          <w:tab w:val="right" w:pos="9072"/>
        </w:tabs>
        <w:snapToGrid w:val="0"/>
        <w:jc w:val="both"/>
        <w:rPr>
          <w:i/>
          <w:sz w:val="22"/>
          <w:szCs w:val="22"/>
          <w:lang w:val="sr-Latn-ME" w:eastAsia="sr-Latn-ME"/>
        </w:rPr>
      </w:pPr>
      <w:r w:rsidRPr="00B60703">
        <w:rPr>
          <w:i/>
          <w:sz w:val="22"/>
          <w:szCs w:val="22"/>
          <w:lang w:val="sr-Latn-ME" w:eastAsia="sr-Latn-ME"/>
        </w:rPr>
        <w:t xml:space="preserve">Gnojno zapaljenje znojnih žlijezda </w:t>
      </w:r>
      <w:bookmarkStart w:id="0" w:name="_Hlk534296137"/>
      <w:r w:rsidRPr="00B60703">
        <w:rPr>
          <w:i/>
          <w:sz w:val="22"/>
          <w:szCs w:val="22"/>
          <w:lang w:val="sr-Latn-ME" w:eastAsia="sr-Latn-ME"/>
        </w:rPr>
        <w:t>(Hidradenitis suppurativa)</w:t>
      </w:r>
      <w:bookmarkEnd w:id="0"/>
    </w:p>
    <w:p w:rsidR="005B62E2" w:rsidRPr="00B60703" w:rsidRDefault="005B62E2">
      <w:pPr>
        <w:tabs>
          <w:tab w:val="left" w:pos="284"/>
          <w:tab w:val="center" w:pos="4536"/>
          <w:tab w:val="right" w:pos="9072"/>
        </w:tabs>
        <w:snapToGrid w:val="0"/>
        <w:jc w:val="both"/>
        <w:rPr>
          <w:sz w:val="22"/>
          <w:lang w:val="sr-Latn-ME" w:eastAsia="sr-Latn-ME"/>
        </w:rPr>
      </w:pPr>
    </w:p>
    <w:p w:rsidR="005B62E2" w:rsidRPr="00B60703" w:rsidRDefault="00F03789">
      <w:pPr>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 xml:space="preserve">Preporučen režim doziranja lijeka Hyrimoz za odrasle pacijente sa gnojnim zapaljenjem znojnih žlijezda </w:t>
      </w:r>
      <w:r w:rsidRPr="00B60703">
        <w:rPr>
          <w:i/>
          <w:sz w:val="22"/>
          <w:szCs w:val="22"/>
          <w:lang w:val="sr-Latn-ME"/>
        </w:rPr>
        <w:t xml:space="preserve">(Hidradenitis suppurativa) </w:t>
      </w:r>
      <w:r w:rsidRPr="00B60703">
        <w:rPr>
          <w:color w:val="000000"/>
          <w:sz w:val="22"/>
          <w:szCs w:val="22"/>
          <w:lang w:val="sr-Latn-ME"/>
        </w:rPr>
        <w:t xml:space="preserve">je početna doza od 160 mg prvog dana (primijenjena u obliku četiri injekcije </w:t>
      </w:r>
      <w:r w:rsidRPr="00B60703">
        <w:rPr>
          <w:color w:val="000000"/>
          <w:sz w:val="22"/>
          <w:szCs w:val="22"/>
          <w:lang w:val="sr-Latn-ME"/>
        </w:rPr>
        <w:lastRenderedPageBreak/>
        <w:t>od 40 mg u jednom danu ili dvije injekcije od 40 mg na dan tokom dva uzastopna dana), nakon koje slijedi doza od 80 mg dvije nedjelje kasnije, 15. dana (primijenjena u obliku dvije injekcije od 40 mg u jednom danu). Dvije nedjelje kasnije (29. dan), liječenje se nastavlja dozom od 40 mg svake nedjelje ili 80 mg svake druge nedjelje (primijenjena u obliku dvije injekcije od 40 mg u jednom danu). Ako je potrebno, primjena antibiotika može se nastaviti i tokom liječenja lijekom Hyrimoz. Preporučuje se da pacijent tokom liječenja lijekom Hyrimoz svakodnevno koristi lokalni antiseptički rastvor za ispiranje lezija uzrokovanih gnojnim zapaljenjem znojnih žlijezda.</w:t>
      </w:r>
    </w:p>
    <w:p w:rsidR="005B62E2" w:rsidRPr="00B60703" w:rsidRDefault="005B62E2">
      <w:pPr>
        <w:widowControl w:val="0"/>
        <w:tabs>
          <w:tab w:val="left" w:pos="0"/>
          <w:tab w:val="left" w:pos="284"/>
        </w:tabs>
        <w:autoSpaceDE w:val="0"/>
        <w:autoSpaceDN w:val="0"/>
        <w:adjustRightInd w:val="0"/>
        <w:jc w:val="both"/>
        <w:rPr>
          <w:color w:val="000000"/>
          <w:sz w:val="22"/>
          <w:szCs w:val="22"/>
          <w:lang w:val="sr-Latn-ME"/>
        </w:rPr>
      </w:pPr>
    </w:p>
    <w:p w:rsidR="005B62E2" w:rsidRPr="00B60703" w:rsidRDefault="00F03789">
      <w:pPr>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U slučaju da ni nakon 12 nedjelja nema poboljšanja, potrebno je pažljivo razmotriti nastavak liječenja takvog pacijenta.</w:t>
      </w:r>
    </w:p>
    <w:p w:rsidR="005B62E2" w:rsidRPr="00B60703" w:rsidRDefault="005B62E2">
      <w:pPr>
        <w:widowControl w:val="0"/>
        <w:tabs>
          <w:tab w:val="left" w:pos="0"/>
          <w:tab w:val="left" w:pos="284"/>
        </w:tabs>
        <w:autoSpaceDE w:val="0"/>
        <w:autoSpaceDN w:val="0"/>
        <w:adjustRightInd w:val="0"/>
        <w:jc w:val="both"/>
        <w:rPr>
          <w:color w:val="000000"/>
          <w:sz w:val="22"/>
          <w:szCs w:val="22"/>
          <w:lang w:val="sr-Latn-ME"/>
        </w:rPr>
      </w:pPr>
    </w:p>
    <w:p w:rsidR="005B62E2" w:rsidRPr="00B60703" w:rsidRDefault="00F03789">
      <w:pPr>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Ako liječenje treba privremeno prekinuti, lijek Hyrimoz se kasnije može ponovo uvesti u dozi od 40 mg svake nedjelje ili 80 mg svake druge nedjelje (vidjeti dio 5.1).</w:t>
      </w:r>
    </w:p>
    <w:p w:rsidR="005B62E2" w:rsidRPr="00B60703" w:rsidRDefault="005B62E2">
      <w:pPr>
        <w:widowControl w:val="0"/>
        <w:tabs>
          <w:tab w:val="left" w:pos="0"/>
          <w:tab w:val="left" w:pos="284"/>
        </w:tabs>
        <w:autoSpaceDE w:val="0"/>
        <w:autoSpaceDN w:val="0"/>
        <w:adjustRightInd w:val="0"/>
        <w:jc w:val="both"/>
        <w:rPr>
          <w:color w:val="000000"/>
          <w:sz w:val="22"/>
          <w:szCs w:val="22"/>
          <w:lang w:val="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Potrebno je periodično ocjenjivati koristi i rizike kontinuiranog dugotrajnog liječenja (vidjeti dio 5.1).</w:t>
      </w:r>
    </w:p>
    <w:p w:rsidR="005B62E2" w:rsidRPr="00B60703" w:rsidRDefault="005B62E2">
      <w:pPr>
        <w:tabs>
          <w:tab w:val="left" w:pos="284"/>
          <w:tab w:val="left" w:pos="708"/>
          <w:tab w:val="center" w:pos="4536"/>
          <w:tab w:val="right" w:pos="9072"/>
        </w:tabs>
        <w:snapToGrid w:val="0"/>
        <w:jc w:val="both"/>
        <w:rPr>
          <w:bCs/>
          <w:i/>
          <w:sz w:val="22"/>
          <w:szCs w:val="22"/>
          <w:lang w:val="sr-Latn-ME" w:eastAsia="sr-Latn-ME"/>
        </w:rPr>
      </w:pPr>
    </w:p>
    <w:p w:rsidR="005B62E2" w:rsidRPr="00B60703" w:rsidRDefault="00F03789">
      <w:pPr>
        <w:tabs>
          <w:tab w:val="left" w:pos="284"/>
          <w:tab w:val="left" w:pos="708"/>
          <w:tab w:val="center" w:pos="4536"/>
          <w:tab w:val="right" w:pos="9072"/>
        </w:tabs>
        <w:snapToGrid w:val="0"/>
        <w:jc w:val="both"/>
        <w:rPr>
          <w:bCs/>
          <w:i/>
          <w:sz w:val="22"/>
          <w:lang w:val="sr-Latn-ME" w:eastAsia="sr-Latn-ME"/>
        </w:rPr>
      </w:pPr>
      <w:r w:rsidRPr="00B60703">
        <w:rPr>
          <w:bCs/>
          <w:i/>
          <w:sz w:val="22"/>
          <w:szCs w:val="22"/>
          <w:lang w:val="sr-Latn-ME" w:eastAsia="sr-Latn-ME"/>
        </w:rPr>
        <w:t>Crohn-ova bolest</w:t>
      </w:r>
    </w:p>
    <w:p w:rsidR="005B62E2" w:rsidRPr="00B60703" w:rsidRDefault="005B62E2">
      <w:pPr>
        <w:tabs>
          <w:tab w:val="left" w:pos="284"/>
          <w:tab w:val="left" w:pos="708"/>
          <w:tab w:val="center" w:pos="4536"/>
          <w:tab w:val="right" w:pos="9072"/>
        </w:tabs>
        <w:snapToGrid w:val="0"/>
        <w:jc w:val="both"/>
        <w:rPr>
          <w:b/>
          <w:bCs/>
          <w:sz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Preporučena indukciona doza lijeka Hyrimoz kod odraslih pacijenata sa umjerenim do teškim oblikom aktivne </w:t>
      </w:r>
      <w:r w:rsidRPr="00B60703">
        <w:rPr>
          <w:i/>
          <w:sz w:val="22"/>
          <w:szCs w:val="22"/>
          <w:lang w:val="sr-Latn-ME" w:eastAsia="sr-Latn-ME"/>
        </w:rPr>
        <w:t>Crohn-</w:t>
      </w:r>
      <w:r w:rsidRPr="00B60703">
        <w:rPr>
          <w:sz w:val="22"/>
          <w:szCs w:val="22"/>
          <w:lang w:val="sr-Latn-ME" w:eastAsia="sr-Latn-ME"/>
        </w:rPr>
        <w:t>ove bolesti je 80 mg na početku liječenja (označenom - nedjelja 0), a zatim poslije dvije nedjelje slijedi doza od 40 mg (nedjelja 2). U slučaju da postoji potreba za bržim terapijskim odgovorom, liječenje se može započeti dozom od 160 mg u nedjelji 0 (primijenjena u obliku četiri injekcije od 40 mg u jednom danu ili kao dvije injekcije od 40 mg dnevno tokom dva uzastopna dana), a zatim poslije 2 nedjelje (nedjelja 2) treba dati dozu od 80 mg (u obliku dvije injekcije od 40 mg u jednom danu), pri čemu treba</w:t>
      </w:r>
      <w:r w:rsidRPr="00B60703">
        <w:rPr>
          <w:b/>
          <w:bCs/>
          <w:sz w:val="22"/>
          <w:szCs w:val="22"/>
          <w:lang w:val="sr-Latn-ME" w:eastAsia="sr-Latn-ME"/>
        </w:rPr>
        <w:t xml:space="preserve"> </w:t>
      </w:r>
      <w:r w:rsidRPr="00B60703">
        <w:rPr>
          <w:sz w:val="22"/>
          <w:szCs w:val="22"/>
          <w:lang w:val="sr-Latn-ME" w:eastAsia="sr-Latn-ME"/>
        </w:rPr>
        <w:t>imati u vidu veći rizik od pojave</w:t>
      </w:r>
      <w:r w:rsidRPr="00B60703">
        <w:rPr>
          <w:b/>
          <w:bCs/>
          <w:sz w:val="22"/>
          <w:szCs w:val="22"/>
          <w:lang w:val="sr-Latn-ME" w:eastAsia="sr-Latn-ME"/>
        </w:rPr>
        <w:t xml:space="preserve"> </w:t>
      </w:r>
      <w:r w:rsidRPr="00B60703">
        <w:rPr>
          <w:sz w:val="22"/>
          <w:szCs w:val="22"/>
          <w:lang w:val="sr-Latn-ME" w:eastAsia="sr-Latn-ME"/>
        </w:rPr>
        <w:t>neželjenih</w:t>
      </w:r>
      <w:r w:rsidRPr="00B60703">
        <w:rPr>
          <w:b/>
          <w:bCs/>
          <w:sz w:val="22"/>
          <w:szCs w:val="22"/>
          <w:lang w:val="sr-Latn-ME" w:eastAsia="sr-Latn-ME"/>
        </w:rPr>
        <w:t xml:space="preserve"> </w:t>
      </w:r>
      <w:r w:rsidRPr="00B60703">
        <w:rPr>
          <w:bCs/>
          <w:sz w:val="22"/>
          <w:szCs w:val="22"/>
          <w:lang w:val="sr-Latn-ME" w:eastAsia="sr-Latn-ME"/>
        </w:rPr>
        <w:t xml:space="preserve">dejstava </w:t>
      </w:r>
      <w:r w:rsidRPr="00B60703">
        <w:rPr>
          <w:sz w:val="22"/>
          <w:szCs w:val="22"/>
          <w:lang w:val="sr-Latn-ME" w:eastAsia="sr-Latn-ME"/>
        </w:rPr>
        <w:t>tokom indukcionog liječenja.</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Poslije indukcione terapije, preporučena doza za terapiju održavanja je 40 mg svake druge nedjelje kao supkutana injekcija. Ukoliko je pacijent prestao sa primjenom lijeka Hyrimoz, a znaci i simptomi bolesti su se ponovo vratili, lijek Hyrimoz se opet može primijeniti. Postoji malo podataka o ponovnoj primjeni lijeka Hyrimoz ako je prekid terapije trajao duže od 8 nedjelja.</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Tokom terapije održavanja, doza kortikosteroida se može smanjiti u skladu sa vodičima kliničke prakse.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Kod pacijenata kod kojih dođe do slabljenja kliničkog odgovora na terapiju lijekom Hyrimoz u dozi od 40 mg svake druge nedjelje, klinički odgovor se može poboljšati povećanjem doziranja lijeka Hyrimoz na 40 mg jednom nedjeljno ili 80 mg svake druge nedjelje.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Kod nekih pacijenata koji ne reaguju na terapiju do nedjelje 4, terapijski odgovor se može postići produženjem terapije održavanja do nedjelje 12. Nastavak terapije trebalo bi pažljivo razmotriti kod pacijenata koji nisu odgovorili na terapiju u okviru ovog perioda.</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i/>
          <w:sz w:val="22"/>
          <w:szCs w:val="22"/>
          <w:lang w:val="sr-Latn-ME" w:eastAsia="sr-Latn-ME"/>
        </w:rPr>
      </w:pPr>
      <w:r w:rsidRPr="00B60703">
        <w:rPr>
          <w:i/>
          <w:sz w:val="22"/>
          <w:szCs w:val="22"/>
          <w:lang w:val="sr-Latn-ME" w:eastAsia="sr-Latn-ME"/>
        </w:rPr>
        <w:t>Ulcerozni kolitis</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Preporučena indukciona doza lijeka Hyrimoz kod odraslih pacijenata sa umjerenim do teškim ulceroznim kolitisom je 160 mg na početku liječenja - nedjelja 0 (primijenjena u obliku četiri injekcije od 40 mg u jednom danu ili kao dvije injekcije od 40 mg dnevno tokom dva uzastopna dana), a zatim poslije dvije nedjelje slijedi doza od 80 mg (u obliku dvije injekcije od 40 mg u jednom danu) (nedjelja 2). Poslije indukcione terapije, preporučena doza za terapiju održavanja je 40 mg svake druge nedjelje kao supkutana injekcija.</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Tokom terapije održavanja, doza kortikosteroida se može smanjiti u skladu sa vodičima kliničke prakse.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Kod pacijenata kod kojih dođe do slabljenja kliničkog odgovora na terapiju lijekom Hyrimoz u dozi od 40 mg svake druge nedjelje, klinički odgovor se može poboljšati povećanjem doziranja lijeka Hyrimoz na 40 mg jednom nedjeljno ili 80 mg svake druge nedjelje.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lastRenderedPageBreak/>
        <w:t xml:space="preserve">Na osnovu raspoloživih podataka se zaključuje da se klinički odgovor obično postiže tokom 2-8 nedjelja terapije. U slučaju da nakon ovog perioda nema kliničkog odgovora, liječenje lijekom Hyrimoz ne treba nastaviti. </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i/>
          <w:sz w:val="22"/>
          <w:szCs w:val="22"/>
          <w:lang w:val="sr-Latn-ME" w:eastAsia="sr-Latn-ME"/>
        </w:rPr>
      </w:pPr>
      <w:r w:rsidRPr="00B60703">
        <w:rPr>
          <w:i/>
          <w:sz w:val="22"/>
          <w:szCs w:val="22"/>
          <w:lang w:val="sr-Latn-ME" w:eastAsia="sr-Latn-ME"/>
        </w:rPr>
        <w:t>Uveitis</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708"/>
        </w:tabs>
        <w:autoSpaceDE w:val="0"/>
        <w:autoSpaceDN w:val="0"/>
        <w:adjustRightInd w:val="0"/>
        <w:jc w:val="both"/>
        <w:rPr>
          <w:rFonts w:eastAsia="TimesNewRomanPSMT"/>
          <w:sz w:val="22"/>
          <w:szCs w:val="22"/>
          <w:lang w:val="sr-Latn-ME"/>
        </w:rPr>
      </w:pPr>
      <w:r w:rsidRPr="00B60703">
        <w:rPr>
          <w:rFonts w:eastAsia="TimesNewRomanPSMT"/>
          <w:sz w:val="22"/>
          <w:szCs w:val="22"/>
          <w:lang w:val="sr-Latn-ME"/>
        </w:rPr>
        <w:t xml:space="preserve">Preporučena doza lijeka Hyrimoz kod odraslih pacijenata sa uveitisom je početna doza od 80 mg, nakon koje slijedi doza od 40 mg svake druge nedjelje, počevši nedjelju dana nakon početne doze. Iskustvo sa započinjanjem liječenja samo lijekom Hyrimoz je ograničeno. Liječenje lijekom Hyrimoz može se započeti u kombinaciji sa kortikosteroidima i/ili drugim nebiološkim imunomodulatornim ljekovima. </w:t>
      </w:r>
    </w:p>
    <w:p w:rsidR="005B62E2" w:rsidRPr="00B60703" w:rsidRDefault="00F03789">
      <w:pPr>
        <w:tabs>
          <w:tab w:val="left" w:pos="708"/>
        </w:tabs>
        <w:autoSpaceDE w:val="0"/>
        <w:autoSpaceDN w:val="0"/>
        <w:adjustRightInd w:val="0"/>
        <w:jc w:val="both"/>
        <w:rPr>
          <w:rFonts w:eastAsia="TimesNewRomanPSMT"/>
          <w:sz w:val="22"/>
          <w:szCs w:val="22"/>
          <w:lang w:val="sr-Latn-ME"/>
        </w:rPr>
      </w:pPr>
      <w:r w:rsidRPr="00B60703">
        <w:rPr>
          <w:rFonts w:eastAsia="TimesNewRomanPSMT"/>
          <w:sz w:val="22"/>
          <w:szCs w:val="22"/>
          <w:lang w:val="sr-Latn-ME"/>
        </w:rPr>
        <w:t>Doza istovremeno primijenjenih kortikosteroida može se postupno smanjivati u skladu sa kliničkom praksom, počevši dvije nedjelje nakon započinjanja liječenja lijekom Hyrimoz.</w:t>
      </w:r>
    </w:p>
    <w:p w:rsidR="005B62E2" w:rsidRPr="00B60703" w:rsidRDefault="005B62E2">
      <w:pPr>
        <w:tabs>
          <w:tab w:val="left" w:pos="708"/>
        </w:tabs>
        <w:autoSpaceDE w:val="0"/>
        <w:autoSpaceDN w:val="0"/>
        <w:adjustRightInd w:val="0"/>
        <w:jc w:val="both"/>
        <w:rPr>
          <w:rFonts w:eastAsia="TimesNewRomanPSMT"/>
          <w:sz w:val="22"/>
          <w:szCs w:val="22"/>
          <w:lang w:val="sr-Latn-ME"/>
        </w:rPr>
      </w:pPr>
    </w:p>
    <w:p w:rsidR="005B62E2" w:rsidRPr="00B60703" w:rsidRDefault="00F03789">
      <w:pPr>
        <w:tabs>
          <w:tab w:val="left" w:pos="708"/>
        </w:tabs>
        <w:autoSpaceDE w:val="0"/>
        <w:autoSpaceDN w:val="0"/>
        <w:adjustRightInd w:val="0"/>
        <w:jc w:val="both"/>
        <w:rPr>
          <w:rFonts w:eastAsia="TimesNewRomanPSMT"/>
          <w:sz w:val="22"/>
          <w:szCs w:val="22"/>
          <w:lang w:val="sr-Latn-ME"/>
        </w:rPr>
      </w:pPr>
      <w:r w:rsidRPr="00B60703">
        <w:rPr>
          <w:rFonts w:eastAsia="TimesNewRomanPSMT"/>
          <w:sz w:val="22"/>
          <w:szCs w:val="22"/>
          <w:lang w:val="sr-Latn-ME"/>
        </w:rPr>
        <w:t>Preporučuje se da se svake godine procijeni odnos koristi i rizika kontinuiranog dugotrajnog liječenja (vidjeti dio 5.1).</w:t>
      </w:r>
    </w:p>
    <w:p w:rsidR="005B62E2" w:rsidRPr="00B60703" w:rsidRDefault="005B62E2">
      <w:pPr>
        <w:tabs>
          <w:tab w:val="left" w:pos="284"/>
          <w:tab w:val="left" w:pos="708"/>
          <w:tab w:val="center" w:pos="4536"/>
          <w:tab w:val="right" w:pos="9072"/>
        </w:tabs>
        <w:snapToGrid w:val="0"/>
        <w:jc w:val="both"/>
        <w:rPr>
          <w:sz w:val="22"/>
          <w:u w:val="single"/>
          <w:lang w:val="sr-Latn-ME" w:eastAsia="sr-Latn-ME"/>
        </w:rPr>
      </w:pPr>
    </w:p>
    <w:p w:rsidR="005B62E2" w:rsidRPr="00B60703" w:rsidRDefault="00F03789">
      <w:pPr>
        <w:tabs>
          <w:tab w:val="left" w:pos="284"/>
          <w:tab w:val="left" w:pos="708"/>
          <w:tab w:val="center" w:pos="4536"/>
          <w:tab w:val="right" w:pos="9072"/>
        </w:tabs>
        <w:snapToGrid w:val="0"/>
        <w:jc w:val="both"/>
        <w:rPr>
          <w:sz w:val="22"/>
          <w:u w:val="single"/>
          <w:lang w:val="sr-Latn-ME" w:eastAsia="sr-Latn-ME"/>
        </w:rPr>
      </w:pPr>
      <w:r w:rsidRPr="00B60703">
        <w:rPr>
          <w:sz w:val="22"/>
          <w:u w:val="single"/>
          <w:lang w:val="sr-Latn-ME" w:eastAsia="sr-Latn-ME"/>
        </w:rPr>
        <w:t>Posebne populacije</w:t>
      </w:r>
    </w:p>
    <w:p w:rsidR="005B62E2" w:rsidRPr="00B60703" w:rsidRDefault="005B62E2">
      <w:pPr>
        <w:tabs>
          <w:tab w:val="left" w:pos="284"/>
          <w:tab w:val="left" w:pos="708"/>
          <w:tab w:val="center" w:pos="4536"/>
          <w:tab w:val="right" w:pos="9072"/>
        </w:tabs>
        <w:snapToGrid w:val="0"/>
        <w:jc w:val="both"/>
        <w:rPr>
          <w:sz w:val="22"/>
          <w:u w:val="single"/>
          <w:lang w:val="sr-Latn-ME" w:eastAsia="sr-Latn-ME"/>
        </w:rPr>
      </w:pPr>
    </w:p>
    <w:p w:rsidR="005B62E2" w:rsidRPr="00B60703" w:rsidRDefault="00F03789">
      <w:pPr>
        <w:tabs>
          <w:tab w:val="left" w:pos="284"/>
          <w:tab w:val="left" w:pos="708"/>
          <w:tab w:val="center" w:pos="4536"/>
          <w:tab w:val="right" w:pos="9072"/>
        </w:tabs>
        <w:snapToGrid w:val="0"/>
        <w:jc w:val="both"/>
        <w:rPr>
          <w:bCs/>
          <w:i/>
          <w:sz w:val="22"/>
          <w:szCs w:val="22"/>
          <w:lang w:val="sr-Latn-ME" w:eastAsia="sr-Latn-ME"/>
        </w:rPr>
      </w:pPr>
      <w:r w:rsidRPr="00B60703">
        <w:rPr>
          <w:bCs/>
          <w:i/>
          <w:sz w:val="22"/>
          <w:szCs w:val="22"/>
          <w:lang w:val="sr-Latn-ME" w:eastAsia="sr-Latn-ME"/>
        </w:rPr>
        <w:t>Stariji pacijenti</w:t>
      </w:r>
    </w:p>
    <w:p w:rsidR="005B62E2" w:rsidRPr="00B60703" w:rsidRDefault="005B62E2">
      <w:pPr>
        <w:tabs>
          <w:tab w:val="left" w:pos="284"/>
          <w:tab w:val="left" w:pos="708"/>
          <w:tab w:val="center" w:pos="4536"/>
          <w:tab w:val="right" w:pos="9072"/>
        </w:tabs>
        <w:snapToGrid w:val="0"/>
        <w:jc w:val="both"/>
        <w:rPr>
          <w:bCs/>
          <w:sz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Nije potrebno prilagođavanje doze.</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bCs/>
          <w:i/>
          <w:sz w:val="22"/>
          <w:szCs w:val="22"/>
          <w:lang w:val="sr-Latn-ME" w:eastAsia="sr-Latn-ME"/>
        </w:rPr>
      </w:pPr>
      <w:r w:rsidRPr="00B60703">
        <w:rPr>
          <w:bCs/>
          <w:i/>
          <w:sz w:val="22"/>
          <w:szCs w:val="22"/>
          <w:lang w:val="sr-Latn-ME" w:eastAsia="sr-Latn-ME"/>
        </w:rPr>
        <w:t>Oštećena funkcija jetre i/ili bubrega</w:t>
      </w:r>
    </w:p>
    <w:p w:rsidR="005B62E2" w:rsidRPr="00B60703" w:rsidRDefault="005B62E2">
      <w:pPr>
        <w:tabs>
          <w:tab w:val="left" w:pos="284"/>
          <w:tab w:val="left" w:pos="708"/>
          <w:tab w:val="center" w:pos="4536"/>
          <w:tab w:val="right" w:pos="9072"/>
        </w:tabs>
        <w:snapToGrid w:val="0"/>
        <w:jc w:val="both"/>
        <w:rPr>
          <w:bCs/>
          <w:sz w:val="22"/>
          <w:u w:val="single"/>
          <w:lang w:val="sr-Latn-ME" w:eastAsia="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Adalimumab nije ispitivan kod</w:t>
      </w:r>
      <w:r w:rsidRPr="00B60703">
        <w:rPr>
          <w:b/>
          <w:bCs/>
          <w:sz w:val="22"/>
          <w:szCs w:val="22"/>
          <w:lang w:val="sr-Latn-ME" w:eastAsia="sr-Latn-ME"/>
        </w:rPr>
        <w:t xml:space="preserve"> </w:t>
      </w:r>
      <w:r w:rsidRPr="00B60703">
        <w:rPr>
          <w:sz w:val="22"/>
          <w:szCs w:val="22"/>
          <w:lang w:val="sr-Latn-ME" w:eastAsia="sr-Latn-ME"/>
        </w:rPr>
        <w:t>ove populacije pacijenata. Zato se ne mogu dati preporuke</w:t>
      </w:r>
      <w:r w:rsidRPr="00B60703">
        <w:rPr>
          <w:b/>
          <w:bCs/>
          <w:sz w:val="22"/>
          <w:szCs w:val="22"/>
          <w:lang w:val="sr-Latn-ME" w:eastAsia="sr-Latn-ME"/>
        </w:rPr>
        <w:t xml:space="preserve"> </w:t>
      </w:r>
      <w:r w:rsidRPr="00B60703">
        <w:rPr>
          <w:sz w:val="22"/>
          <w:szCs w:val="22"/>
          <w:lang w:val="sr-Latn-ME" w:eastAsia="sr-Latn-ME"/>
        </w:rPr>
        <w:t>za doziranje.</w:t>
      </w:r>
    </w:p>
    <w:p w:rsidR="005B62E2" w:rsidRPr="00B60703" w:rsidRDefault="005B62E2">
      <w:pPr>
        <w:tabs>
          <w:tab w:val="left" w:pos="284"/>
          <w:tab w:val="left" w:pos="708"/>
          <w:tab w:val="center" w:pos="4536"/>
          <w:tab w:val="right" w:pos="9072"/>
        </w:tabs>
        <w:snapToGrid w:val="0"/>
        <w:jc w:val="both"/>
        <w:rPr>
          <w:sz w:val="22"/>
          <w:lang w:val="sr-Latn-ME" w:eastAsia="sr-Latn-ME"/>
        </w:rPr>
      </w:pPr>
    </w:p>
    <w:p w:rsidR="005B62E2" w:rsidRPr="00B60703" w:rsidRDefault="00F03789">
      <w:pPr>
        <w:tabs>
          <w:tab w:val="left" w:pos="284"/>
          <w:tab w:val="left" w:pos="708"/>
          <w:tab w:val="center" w:pos="4536"/>
          <w:tab w:val="right" w:pos="9072"/>
        </w:tabs>
        <w:snapToGrid w:val="0"/>
        <w:jc w:val="both"/>
        <w:rPr>
          <w:i/>
          <w:sz w:val="22"/>
          <w:lang w:val="sr-Latn-ME" w:eastAsia="sr-Latn-ME"/>
        </w:rPr>
      </w:pPr>
      <w:r w:rsidRPr="00B60703">
        <w:rPr>
          <w:i/>
          <w:sz w:val="22"/>
          <w:szCs w:val="22"/>
          <w:lang w:val="sr-Latn-ME" w:eastAsia="sr-Latn-ME"/>
        </w:rPr>
        <w:t>Pedijatrijska populacija</w:t>
      </w:r>
    </w:p>
    <w:p w:rsidR="005B62E2" w:rsidRPr="00B60703" w:rsidRDefault="005B62E2">
      <w:pPr>
        <w:tabs>
          <w:tab w:val="left" w:pos="284"/>
          <w:tab w:val="left" w:pos="708"/>
          <w:tab w:val="center" w:pos="4536"/>
          <w:tab w:val="right" w:pos="9072"/>
        </w:tabs>
        <w:snapToGrid w:val="0"/>
        <w:jc w:val="both"/>
        <w:rPr>
          <w:color w:val="FF0000"/>
          <w:sz w:val="22"/>
          <w:u w:val="single"/>
          <w:lang w:val="sr-Latn-ME" w:eastAsia="sr-Latn-ME"/>
        </w:rPr>
      </w:pPr>
    </w:p>
    <w:p w:rsidR="005B62E2" w:rsidRPr="00B60703" w:rsidRDefault="00F03789">
      <w:pPr>
        <w:tabs>
          <w:tab w:val="left" w:pos="284"/>
          <w:tab w:val="left" w:pos="708"/>
          <w:tab w:val="center" w:pos="4536"/>
          <w:tab w:val="right" w:pos="9072"/>
        </w:tabs>
        <w:snapToGrid w:val="0"/>
        <w:jc w:val="both"/>
        <w:rPr>
          <w:i/>
          <w:sz w:val="22"/>
          <w:u w:val="single"/>
          <w:lang w:val="sr-Latn-ME" w:eastAsia="sr-Latn-ME"/>
        </w:rPr>
      </w:pPr>
      <w:r w:rsidRPr="00B60703">
        <w:rPr>
          <w:i/>
          <w:sz w:val="22"/>
          <w:szCs w:val="22"/>
          <w:u w:val="single"/>
          <w:lang w:val="sr-Latn-ME" w:eastAsia="sr-Latn-ME"/>
        </w:rPr>
        <w:t>Juvenilni idiopatski artritis</w:t>
      </w:r>
    </w:p>
    <w:p w:rsidR="005B62E2" w:rsidRPr="00B60703" w:rsidRDefault="005B62E2">
      <w:pPr>
        <w:tabs>
          <w:tab w:val="left" w:pos="284"/>
          <w:tab w:val="left" w:pos="708"/>
          <w:tab w:val="center" w:pos="4536"/>
          <w:tab w:val="right" w:pos="9072"/>
        </w:tabs>
        <w:snapToGrid w:val="0"/>
        <w:jc w:val="both"/>
        <w:rPr>
          <w:sz w:val="22"/>
          <w:u w:val="single"/>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Poliartikularni juvenilni idiopatski artritis, pacijenti uzrasta od 2 godine i stariji</w:t>
      </w:r>
    </w:p>
    <w:p w:rsidR="005B62E2" w:rsidRPr="00B60703" w:rsidRDefault="005B62E2">
      <w:pPr>
        <w:tabs>
          <w:tab w:val="left" w:pos="284"/>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s>
        <w:jc w:val="both"/>
        <w:rPr>
          <w:sz w:val="22"/>
          <w:szCs w:val="22"/>
          <w:lang w:val="sr-Latn-ME"/>
        </w:rPr>
      </w:pPr>
      <w:r w:rsidRPr="00B60703">
        <w:rPr>
          <w:sz w:val="22"/>
          <w:szCs w:val="22"/>
          <w:lang w:val="sr-Latn-ME"/>
        </w:rPr>
        <w:t xml:space="preserve">Preporučena doza lijeka Hyrimoz kod pacijenata sa poliartikularnim juvenilnim idiopatskim artritisom uzrasta od 2 godine i starijih određuje se na osnovu tjelesne mase (Tabela 1).  Lijek Hyrimoz se primjenjuje svake druge nedjelje supkutanom injekcijom. </w:t>
      </w:r>
    </w:p>
    <w:p w:rsidR="005B62E2" w:rsidRPr="00B60703" w:rsidRDefault="005B62E2">
      <w:pPr>
        <w:tabs>
          <w:tab w:val="left" w:pos="284"/>
          <w:tab w:val="left" w:pos="708"/>
          <w:tab w:val="center" w:pos="4536"/>
          <w:tab w:val="right" w:pos="9072"/>
        </w:tabs>
        <w:snapToGrid w:val="0"/>
        <w:jc w:val="both"/>
        <w:rPr>
          <w:i/>
          <w:sz w:val="22"/>
          <w:szCs w:val="22"/>
          <w:u w:val="single"/>
          <w:lang w:val="sr-Latn-ME" w:eastAsia="sr-Latn-ME"/>
        </w:rPr>
      </w:pPr>
    </w:p>
    <w:p w:rsidR="005B62E2" w:rsidRPr="00B60703" w:rsidRDefault="00F03789">
      <w:pPr>
        <w:tabs>
          <w:tab w:val="left" w:pos="284"/>
          <w:tab w:val="left" w:pos="708"/>
          <w:tab w:val="center" w:pos="4536"/>
          <w:tab w:val="right" w:pos="9072"/>
        </w:tabs>
        <w:snapToGrid w:val="0"/>
        <w:jc w:val="both"/>
        <w:rPr>
          <w:b/>
          <w:sz w:val="22"/>
          <w:szCs w:val="22"/>
          <w:lang w:val="sr-Latn-ME" w:eastAsia="sr-Latn-ME"/>
        </w:rPr>
      </w:pPr>
      <w:r w:rsidRPr="00B60703">
        <w:rPr>
          <w:b/>
          <w:sz w:val="22"/>
          <w:szCs w:val="22"/>
          <w:lang w:val="sr-Latn-ME" w:eastAsia="sr-Latn-ME"/>
        </w:rPr>
        <w:t>Tabela 1. Doza lijeka Hyrimoz za pacijente sa poliartikularnim juvenilnim idiopatskim artritisom</w:t>
      </w:r>
    </w:p>
    <w:p w:rsidR="005B62E2" w:rsidRPr="00B60703" w:rsidRDefault="005B62E2">
      <w:pPr>
        <w:tabs>
          <w:tab w:val="left" w:pos="284"/>
          <w:tab w:val="left" w:pos="708"/>
          <w:tab w:val="center" w:pos="4536"/>
          <w:tab w:val="right" w:pos="9072"/>
        </w:tabs>
        <w:snapToGrid w:val="0"/>
        <w:jc w:val="both"/>
        <w:rPr>
          <w:b/>
          <w:sz w:val="22"/>
          <w:szCs w:val="22"/>
          <w:u w:val="single"/>
          <w:lang w:val="sr-Latn-ME" w:eastAsia="sr-Latn-ME"/>
        </w:rPr>
      </w:pPr>
    </w:p>
    <w:tbl>
      <w:tblPr>
        <w:tblW w:w="5000" w:type="pct"/>
        <w:jc w:val="center"/>
        <w:tblLook w:val="04A0" w:firstRow="1" w:lastRow="0" w:firstColumn="1" w:lastColumn="0" w:noHBand="0" w:noVBand="1"/>
      </w:tblPr>
      <w:tblGrid>
        <w:gridCol w:w="4542"/>
        <w:gridCol w:w="4531"/>
      </w:tblGrid>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Tjelesna masa pacijenta</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Režim doziranja</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10 kg do &lt;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20 mg svake druge nedjelje</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40 mg svake druge nedjelje</w:t>
            </w:r>
          </w:p>
        </w:tc>
      </w:tr>
    </w:tbl>
    <w:p w:rsidR="005B62E2" w:rsidRPr="00B60703" w:rsidRDefault="005B62E2">
      <w:pPr>
        <w:tabs>
          <w:tab w:val="left" w:pos="284"/>
          <w:tab w:val="left" w:pos="708"/>
          <w:tab w:val="center" w:pos="4536"/>
          <w:tab w:val="right" w:pos="9072"/>
        </w:tabs>
        <w:snapToGrid w:val="0"/>
        <w:jc w:val="both"/>
        <w:rPr>
          <w:sz w:val="22"/>
          <w:szCs w:val="22"/>
          <w:lang w:val="sr-Latn-ME"/>
        </w:rPr>
      </w:pPr>
    </w:p>
    <w:p w:rsidR="005B62E2" w:rsidRPr="00B60703" w:rsidRDefault="00F03789">
      <w:pPr>
        <w:tabs>
          <w:tab w:val="left" w:pos="284"/>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Raspoloživi podaci pokazuju da se klinički odgovor obično postiže tokom 12 nedjelja liječenja. </w:t>
      </w: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Nastavak terapije treba pažljivo razmotriti ukoliko pacijent ne odgovori u ovom vremenskom periodu.</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Nema relevantne primjene adalimumaba kod djece mlađe od 2 godine u ovoj indikaciji. </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bookmarkStart w:id="1" w:name="_Hlk523393443"/>
    </w:p>
    <w:bookmarkEnd w:id="1"/>
    <w:p w:rsidR="005B62E2" w:rsidRPr="00B60703" w:rsidRDefault="00F03789">
      <w:pPr>
        <w:tabs>
          <w:tab w:val="left" w:pos="284"/>
          <w:tab w:val="left" w:pos="708"/>
          <w:tab w:val="center" w:pos="4536"/>
          <w:tab w:val="right" w:pos="9072"/>
        </w:tabs>
        <w:snapToGrid w:val="0"/>
        <w:jc w:val="both"/>
        <w:rPr>
          <w:i/>
          <w:sz w:val="22"/>
          <w:szCs w:val="22"/>
          <w:u w:val="single"/>
          <w:lang w:val="sr-Latn-ME" w:eastAsia="sr-Latn-ME"/>
        </w:rPr>
      </w:pPr>
      <w:r w:rsidRPr="00B60703">
        <w:rPr>
          <w:i/>
          <w:sz w:val="22"/>
          <w:szCs w:val="22"/>
          <w:u w:val="single"/>
          <w:lang w:val="sr-Latn-ME" w:eastAsia="sr-Latn-ME"/>
        </w:rPr>
        <w:t>Artritis povezan sa entezitisom</w:t>
      </w:r>
    </w:p>
    <w:p w:rsidR="005B62E2" w:rsidRPr="00B60703" w:rsidRDefault="005B62E2">
      <w:pPr>
        <w:tabs>
          <w:tab w:val="left" w:pos="284"/>
          <w:tab w:val="left" w:pos="708"/>
          <w:tab w:val="center" w:pos="4536"/>
          <w:tab w:val="right" w:pos="9072"/>
        </w:tabs>
        <w:snapToGrid w:val="0"/>
        <w:jc w:val="both"/>
        <w:rPr>
          <w:i/>
          <w:sz w:val="22"/>
          <w:szCs w:val="22"/>
          <w:u w:val="single"/>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Preporučeno doziranje lijeka Hyrimoz kod pacijenata koji boluju od artritisa povezanog sa entezitisom, uzrasta od 6 godina i starijih, određuje se na osnovu tjelesne mase (Tabela 2). Lijek Hyrimoz se primjenjuje svake druge nedjelje supkutanom injekcijom. </w:t>
      </w:r>
    </w:p>
    <w:p w:rsidR="005B62E2" w:rsidRDefault="005B62E2">
      <w:pPr>
        <w:tabs>
          <w:tab w:val="left" w:pos="284"/>
          <w:tab w:val="left" w:pos="708"/>
          <w:tab w:val="center" w:pos="4536"/>
          <w:tab w:val="right" w:pos="9072"/>
        </w:tabs>
        <w:snapToGrid w:val="0"/>
        <w:jc w:val="both"/>
        <w:rPr>
          <w:sz w:val="22"/>
          <w:szCs w:val="22"/>
          <w:lang w:val="sr-Latn-ME" w:eastAsia="sr-Latn-ME"/>
        </w:rPr>
      </w:pPr>
    </w:p>
    <w:p w:rsidR="007104F4" w:rsidRDefault="007104F4">
      <w:pPr>
        <w:tabs>
          <w:tab w:val="left" w:pos="284"/>
          <w:tab w:val="left" w:pos="708"/>
          <w:tab w:val="center" w:pos="4536"/>
          <w:tab w:val="right" w:pos="9072"/>
        </w:tabs>
        <w:snapToGrid w:val="0"/>
        <w:jc w:val="both"/>
        <w:rPr>
          <w:sz w:val="22"/>
          <w:szCs w:val="22"/>
          <w:lang w:val="sr-Latn-ME" w:eastAsia="sr-Latn-ME"/>
        </w:rPr>
      </w:pPr>
    </w:p>
    <w:p w:rsidR="007104F4" w:rsidRDefault="007104F4">
      <w:pPr>
        <w:tabs>
          <w:tab w:val="left" w:pos="284"/>
          <w:tab w:val="left" w:pos="708"/>
          <w:tab w:val="center" w:pos="4536"/>
          <w:tab w:val="right" w:pos="9072"/>
        </w:tabs>
        <w:snapToGrid w:val="0"/>
        <w:jc w:val="both"/>
        <w:rPr>
          <w:sz w:val="22"/>
          <w:szCs w:val="22"/>
          <w:lang w:val="sr-Latn-ME" w:eastAsia="sr-Latn-ME"/>
        </w:rPr>
      </w:pPr>
    </w:p>
    <w:p w:rsidR="007104F4" w:rsidRPr="00B60703" w:rsidRDefault="007104F4">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rPr>
          <w:b/>
          <w:sz w:val="22"/>
          <w:szCs w:val="22"/>
          <w:lang w:val="sr-Latn-ME" w:eastAsia="sr-Latn-ME"/>
        </w:rPr>
      </w:pPr>
      <w:r w:rsidRPr="00B60703">
        <w:rPr>
          <w:b/>
          <w:sz w:val="22"/>
          <w:szCs w:val="22"/>
          <w:lang w:val="sr-Latn-ME" w:eastAsia="sr-Latn-ME"/>
        </w:rPr>
        <w:lastRenderedPageBreak/>
        <w:t>Tabela 2. Doza lijeka Hyrimoz za pacijente sa artritisom povezanim sa entezitisom</w:t>
      </w:r>
    </w:p>
    <w:p w:rsidR="005B62E2" w:rsidRPr="00B60703" w:rsidRDefault="005B62E2">
      <w:pPr>
        <w:tabs>
          <w:tab w:val="left" w:pos="284"/>
          <w:tab w:val="left" w:pos="708"/>
          <w:tab w:val="center" w:pos="4536"/>
          <w:tab w:val="right" w:pos="9072"/>
        </w:tabs>
        <w:snapToGrid w:val="0"/>
        <w:jc w:val="both"/>
        <w:rPr>
          <w:b/>
          <w:sz w:val="22"/>
          <w:szCs w:val="22"/>
          <w:lang w:val="sr-Latn-ME" w:eastAsia="sr-Latn-ME"/>
        </w:rPr>
      </w:pPr>
    </w:p>
    <w:tbl>
      <w:tblPr>
        <w:tblW w:w="5000" w:type="pct"/>
        <w:jc w:val="center"/>
        <w:tblLook w:val="04A0" w:firstRow="1" w:lastRow="0" w:firstColumn="1" w:lastColumn="0" w:noHBand="0" w:noVBand="1"/>
      </w:tblPr>
      <w:tblGrid>
        <w:gridCol w:w="4542"/>
        <w:gridCol w:w="4531"/>
      </w:tblGrid>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Tjelesna masa pacijenta</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Režim doziranja</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15 kg do &lt;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20 mg svake druge nedjelje</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40 mg svake druge nedjelje</w:t>
            </w:r>
          </w:p>
        </w:tc>
      </w:tr>
    </w:tbl>
    <w:p w:rsidR="005B62E2" w:rsidRPr="00B60703" w:rsidRDefault="005B62E2">
      <w:pPr>
        <w:tabs>
          <w:tab w:val="left" w:pos="284"/>
          <w:tab w:val="left" w:pos="708"/>
          <w:tab w:val="center" w:pos="4536"/>
          <w:tab w:val="right" w:pos="9072"/>
        </w:tabs>
        <w:snapToGrid w:val="0"/>
        <w:jc w:val="both"/>
        <w:rPr>
          <w:sz w:val="22"/>
          <w:szCs w:val="22"/>
          <w:lang w:val="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Adalimumab nije proučavan kod pacijenata sa artritisom povezanim sa entezitisom uzrasta ispod 6 godina.</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s>
        <w:jc w:val="both"/>
        <w:rPr>
          <w:i/>
          <w:sz w:val="22"/>
          <w:szCs w:val="22"/>
          <w:u w:val="single"/>
          <w:lang w:val="sr-Latn-ME"/>
        </w:rPr>
      </w:pPr>
      <w:r w:rsidRPr="00B60703">
        <w:rPr>
          <w:i/>
          <w:sz w:val="22"/>
          <w:szCs w:val="22"/>
          <w:u w:val="single"/>
          <w:lang w:val="sr-Latn-ME"/>
        </w:rPr>
        <w:t>Plak psorijaza kod djece</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 xml:space="preserve">Preporučena doza lijeka Hyrimoz kod pacijenata sa plak psorijazom uzrasta od 4 do 17 godina određuje se na osnovu tjelesne mase (Tabela 3). Lijek Hyrimoz se primjenjuje supkutanom injekcijom. </w:t>
      </w:r>
    </w:p>
    <w:p w:rsidR="005B62E2" w:rsidRPr="00B60703" w:rsidRDefault="005B62E2">
      <w:pPr>
        <w:tabs>
          <w:tab w:val="left" w:pos="708"/>
        </w:tabs>
        <w:jc w:val="both"/>
        <w:rPr>
          <w:sz w:val="22"/>
          <w:szCs w:val="22"/>
          <w:lang w:val="sr-Latn-ME"/>
        </w:rPr>
      </w:pPr>
    </w:p>
    <w:p w:rsidR="005B62E2" w:rsidRPr="00B60703" w:rsidRDefault="00F03789">
      <w:pPr>
        <w:tabs>
          <w:tab w:val="left" w:pos="708"/>
        </w:tabs>
        <w:rPr>
          <w:b/>
          <w:sz w:val="22"/>
          <w:szCs w:val="22"/>
          <w:lang w:val="sr-Latn-ME"/>
        </w:rPr>
      </w:pPr>
      <w:r w:rsidRPr="00B60703">
        <w:rPr>
          <w:b/>
          <w:sz w:val="22"/>
          <w:szCs w:val="22"/>
          <w:lang w:val="sr-Latn-ME"/>
        </w:rPr>
        <w:t>Tabela 3. Doza lijeka Hyrimoz za pedijatrijske pacijente sa plak psorijazom</w:t>
      </w:r>
    </w:p>
    <w:p w:rsidR="005B62E2" w:rsidRPr="00B60703" w:rsidRDefault="005B62E2">
      <w:pPr>
        <w:tabs>
          <w:tab w:val="left" w:pos="708"/>
        </w:tabs>
        <w:jc w:val="center"/>
        <w:rPr>
          <w:b/>
          <w:sz w:val="22"/>
          <w:szCs w:val="22"/>
          <w:lang w:val="sr-Latn-ME"/>
        </w:rPr>
      </w:pPr>
    </w:p>
    <w:tbl>
      <w:tblPr>
        <w:tblW w:w="5000" w:type="pct"/>
        <w:jc w:val="center"/>
        <w:tblLook w:val="04A0" w:firstRow="1" w:lastRow="0" w:firstColumn="1" w:lastColumn="0" w:noHBand="0" w:noVBand="1"/>
      </w:tblPr>
      <w:tblGrid>
        <w:gridCol w:w="4542"/>
        <w:gridCol w:w="4531"/>
      </w:tblGrid>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Tjelesna masa pacijenta</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Režim doziranja</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15 kg do &lt;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Početna doza od 20 mg, a zatim 20 mg svake druge nedjelje, počevši nedjelju dana nakon početne doze</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tcPr>
          <w:p w:rsidR="005B62E2" w:rsidRPr="00B60703" w:rsidRDefault="00F03789">
            <w:pPr>
              <w:keepNext/>
              <w:tabs>
                <w:tab w:val="left" w:pos="284"/>
              </w:tabs>
              <w:rPr>
                <w:b/>
                <w:sz w:val="22"/>
                <w:szCs w:val="22"/>
                <w:lang w:val="sr-Latn-ME"/>
              </w:rPr>
            </w:pPr>
            <w:r w:rsidRPr="00B60703">
              <w:rPr>
                <w:sz w:val="22"/>
                <w:szCs w:val="22"/>
                <w:lang w:val="sr-Latn-ME"/>
              </w:rPr>
              <w:t>Početna doza od 40 mg, a zatim 40 mg svake druge nedjelje, počevši nedjelju dana nakon početne doze</w:t>
            </w:r>
          </w:p>
        </w:tc>
      </w:tr>
    </w:tbl>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Ako pacijent ne postigne terapijski odgovor unutar 16 nedjelja, nastavak liječenja nakon tog perioda potrebno je pažljivo razmotriti.</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Ako je indikovano ponovno liječenje adalimumabom, potrebno je pridržavati se prethodno navedenih smjernica za doziranje i trajanje liječenja.</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Bezbjednost adalimumaba kod pedijatrijskih pacijenata sa plak psorijazom procjenjivala se tokom srednjeg razdoblja od 13 mjeseci.</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Nema relevantne primjene adalimumaba kod djece uzrasta ispod 4 godine u ovoj indikaciji.</w:t>
      </w:r>
    </w:p>
    <w:p w:rsidR="005B62E2" w:rsidRPr="00B60703" w:rsidRDefault="005B62E2">
      <w:pPr>
        <w:tabs>
          <w:tab w:val="left" w:pos="708"/>
        </w:tabs>
        <w:jc w:val="both"/>
        <w:rPr>
          <w:sz w:val="22"/>
          <w:szCs w:val="22"/>
          <w:lang w:val="sr-Latn-ME"/>
        </w:rPr>
      </w:pPr>
    </w:p>
    <w:p w:rsidR="005B62E2" w:rsidRPr="00B60703" w:rsidRDefault="00F03789">
      <w:pPr>
        <w:tabs>
          <w:tab w:val="left" w:pos="284"/>
          <w:tab w:val="center" w:pos="4536"/>
          <w:tab w:val="right" w:pos="9072"/>
        </w:tabs>
        <w:snapToGrid w:val="0"/>
        <w:jc w:val="both"/>
        <w:rPr>
          <w:i/>
          <w:sz w:val="22"/>
          <w:szCs w:val="22"/>
          <w:u w:val="single"/>
          <w:lang w:val="sr-Latn-ME" w:eastAsia="sr-Latn-ME"/>
        </w:rPr>
      </w:pPr>
      <w:r w:rsidRPr="00B60703">
        <w:rPr>
          <w:i/>
          <w:sz w:val="22"/>
          <w:szCs w:val="22"/>
          <w:u w:val="single"/>
          <w:lang w:val="sr-Latn-ME" w:eastAsia="sr-Latn-ME"/>
        </w:rPr>
        <w:t>Gnojno zapaljenje znojnih žlijezda (Hidradenitis suppurativa) kod adolescenata uzrasta od 12 godina i starijih, tjelesne mase najmanje 30 kg</w:t>
      </w:r>
    </w:p>
    <w:p w:rsidR="005B62E2" w:rsidRPr="00B60703" w:rsidRDefault="005B62E2">
      <w:pPr>
        <w:tabs>
          <w:tab w:val="left" w:pos="284"/>
          <w:tab w:val="center" w:pos="4536"/>
          <w:tab w:val="right" w:pos="9072"/>
        </w:tabs>
        <w:snapToGrid w:val="0"/>
        <w:jc w:val="both"/>
        <w:rPr>
          <w:sz w:val="22"/>
          <w:szCs w:val="22"/>
          <w:u w:val="single"/>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Nisu sprovedena klinička ispitivanja sa adalimumabom kod adolescentnih pacijenata sa gnojnim zapaljenjem znojnih žlijezda. Doziranje lijeka adalimumab kod tih pacijenata utvrđeno je na osnovu farmakokinetičkog modelovanja i simulacije (vidjeti dio 5.2).</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lang w:val="sr-Latn-ME" w:eastAsia="sr-Latn-ME"/>
        </w:rPr>
      </w:pPr>
      <w:r w:rsidRPr="00B60703">
        <w:rPr>
          <w:sz w:val="22"/>
          <w:szCs w:val="22"/>
          <w:lang w:val="sr-Latn-ME" w:eastAsia="sr-Latn-ME"/>
        </w:rPr>
        <w:t xml:space="preserve">Preporučena doza lijeka Hyrimoz je 80 mg u nedjelji 0, nakon koje se primjenjuje doza od 40 mg svake druge nedjelje, počevši od nedjelje 1, supkutanom injekcijom. </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 xml:space="preserve">Kod adolescentnih pacijenata kod kojih nije postignut zadovoljavajuć odgovor na primjenu lijeka Hyrimoz u dozi od 40 mg svake druge nedjelje, može se razmotriti povećanje doziranja na 40 mg svake nedjelje </w:t>
      </w:r>
      <w:bookmarkStart w:id="2" w:name="_Hlk523393498"/>
      <w:r w:rsidRPr="00B60703">
        <w:rPr>
          <w:sz w:val="22"/>
          <w:szCs w:val="22"/>
          <w:lang w:val="sr-Latn-ME" w:eastAsia="sr-Latn-ME"/>
        </w:rPr>
        <w:t>ili 80 mg svake druge nedjelje</w:t>
      </w:r>
      <w:bookmarkEnd w:id="2"/>
      <w:r w:rsidRPr="00B60703">
        <w:rPr>
          <w:sz w:val="22"/>
          <w:szCs w:val="22"/>
          <w:lang w:val="sr-Latn-ME" w:eastAsia="sr-Latn-ME"/>
        </w:rPr>
        <w:t>.</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Ako je potrebno, primjena antibiotika može se nastaviti i tokom liječenja lijekom Hyrimoz. Preporučuje se da pacijent tokom liječenja lijekom Hyrimoz svakodnevno koristi antiseptični rastvor za lokalnu upotrebu, za ispiranje lezija uzrokovanih gnojnim hidradenitisom.</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U slučaju da ni nakon 12 nedjelja nema poboljšanja, potrebno je pažljivo razmotriti nastavak liječenja takvog pacijenta.</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lastRenderedPageBreak/>
        <w:t>Ako liječenje treba privremeno prekinuti, lijek Hyrimoz se kasnije po potrebi može ponovo uvesti.</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Potrebno je periodično ocjenjivati koristi i rizike kontinuiranog dugotrajnog liječenja (vidjeti podatke za odrasle pacijente u odjeljku 5.1).</w:t>
      </w:r>
    </w:p>
    <w:p w:rsidR="005B62E2" w:rsidRPr="00B60703" w:rsidRDefault="005B62E2">
      <w:pPr>
        <w:tabs>
          <w:tab w:val="left" w:pos="284"/>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Nema relevantne primjene lijeka Hyrimoz kod djece uzrasta ispod 12 godina za ovu indikaciju.</w:t>
      </w:r>
    </w:p>
    <w:p w:rsidR="005B62E2" w:rsidRPr="00B60703" w:rsidRDefault="005B62E2">
      <w:pPr>
        <w:tabs>
          <w:tab w:val="left" w:pos="284"/>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left" w:pos="708"/>
          <w:tab w:val="center" w:pos="4536"/>
          <w:tab w:val="right" w:pos="9072"/>
        </w:tabs>
        <w:snapToGrid w:val="0"/>
        <w:jc w:val="both"/>
        <w:rPr>
          <w:i/>
          <w:sz w:val="22"/>
          <w:szCs w:val="22"/>
          <w:u w:val="single"/>
          <w:lang w:val="sr-Latn-ME" w:eastAsia="sr-Latn-ME"/>
        </w:rPr>
      </w:pPr>
      <w:r w:rsidRPr="00B60703">
        <w:rPr>
          <w:i/>
          <w:sz w:val="22"/>
          <w:szCs w:val="22"/>
          <w:u w:val="single"/>
          <w:lang w:val="sr-Latn-ME" w:eastAsia="sr-Latn-ME"/>
        </w:rPr>
        <w:t>Pedijatrijski oblik Crohn-ove bolesti</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284"/>
          <w:tab w:val="center" w:pos="4536"/>
          <w:tab w:val="right" w:pos="9072"/>
        </w:tabs>
        <w:snapToGrid w:val="0"/>
        <w:jc w:val="both"/>
        <w:rPr>
          <w:sz w:val="22"/>
          <w:szCs w:val="22"/>
          <w:lang w:val="sr-Latn-ME" w:eastAsia="sr-Latn-ME"/>
        </w:rPr>
      </w:pPr>
      <w:r w:rsidRPr="00B60703">
        <w:rPr>
          <w:sz w:val="22"/>
          <w:szCs w:val="22"/>
          <w:lang w:val="sr-Latn-ME" w:eastAsia="sr-Latn-ME"/>
        </w:rPr>
        <w:t xml:space="preserve">Preporučena doza lijeka Hyrimoz kod pacijenata oboljelih od </w:t>
      </w:r>
      <w:bookmarkStart w:id="3" w:name="_Hlk508186710"/>
      <w:r w:rsidRPr="00B60703">
        <w:rPr>
          <w:i/>
          <w:sz w:val="22"/>
          <w:szCs w:val="22"/>
          <w:lang w:val="sr-Latn-ME" w:eastAsia="sr-Latn-ME"/>
        </w:rPr>
        <w:t>Crohn</w:t>
      </w:r>
      <w:r w:rsidRPr="00B60703">
        <w:rPr>
          <w:sz w:val="22"/>
          <w:szCs w:val="22"/>
          <w:lang w:val="sr-Latn-ME" w:eastAsia="sr-Latn-ME"/>
        </w:rPr>
        <w:t xml:space="preserve">-ove bolesti </w:t>
      </w:r>
      <w:bookmarkEnd w:id="3"/>
      <w:r w:rsidRPr="00B60703">
        <w:rPr>
          <w:sz w:val="22"/>
          <w:szCs w:val="22"/>
          <w:lang w:val="sr-Latn-ME" w:eastAsia="sr-Latn-ME"/>
        </w:rPr>
        <w:t xml:space="preserve">uzrasta od 6 do 17 godina određuje se na osnovu tjelesne mase (Tabela 4). Lijek Hyrimoz se primjenjuje supkutanom injekcijom. </w:t>
      </w:r>
    </w:p>
    <w:p w:rsidR="005B62E2" w:rsidRPr="00B60703" w:rsidRDefault="005B62E2">
      <w:pPr>
        <w:tabs>
          <w:tab w:val="left" w:pos="284"/>
          <w:tab w:val="center" w:pos="4536"/>
          <w:tab w:val="right" w:pos="9072"/>
        </w:tabs>
        <w:snapToGrid w:val="0"/>
        <w:jc w:val="both"/>
        <w:rPr>
          <w:sz w:val="22"/>
          <w:lang w:val="sr-Latn-ME" w:eastAsia="sr-Latn-ME"/>
        </w:rPr>
      </w:pPr>
    </w:p>
    <w:p w:rsidR="005B62E2" w:rsidRPr="00B60703" w:rsidRDefault="00F03789">
      <w:pPr>
        <w:tabs>
          <w:tab w:val="left" w:pos="720"/>
          <w:tab w:val="center" w:pos="4536"/>
          <w:tab w:val="right" w:pos="9072"/>
        </w:tabs>
        <w:snapToGrid w:val="0"/>
        <w:rPr>
          <w:b/>
          <w:sz w:val="22"/>
          <w:szCs w:val="22"/>
          <w:lang w:val="sr-Latn-ME"/>
        </w:rPr>
      </w:pPr>
      <w:r w:rsidRPr="00B60703">
        <w:rPr>
          <w:b/>
          <w:sz w:val="22"/>
          <w:szCs w:val="22"/>
          <w:lang w:val="sr-Latn-ME"/>
        </w:rPr>
        <w:t xml:space="preserve">Tabela 4. Doza lijeka Hyrimoz za pedijatrijske pacijente oboljele od </w:t>
      </w:r>
      <w:r w:rsidRPr="00B60703">
        <w:rPr>
          <w:b/>
          <w:i/>
          <w:sz w:val="22"/>
          <w:szCs w:val="22"/>
          <w:lang w:val="sr-Latn-ME"/>
        </w:rPr>
        <w:t>Crohn</w:t>
      </w:r>
      <w:r w:rsidRPr="00B60703">
        <w:rPr>
          <w:b/>
          <w:sz w:val="22"/>
          <w:szCs w:val="22"/>
          <w:lang w:val="sr-Latn-ME"/>
        </w:rPr>
        <w:t>-ove bolesti</w:t>
      </w:r>
    </w:p>
    <w:p w:rsidR="005B62E2" w:rsidRPr="00B60703" w:rsidRDefault="005B62E2">
      <w:pPr>
        <w:tabs>
          <w:tab w:val="left" w:pos="720"/>
          <w:tab w:val="center" w:pos="4536"/>
          <w:tab w:val="right" w:pos="9072"/>
        </w:tabs>
        <w:snapToGrid w:val="0"/>
        <w:jc w:val="center"/>
        <w:rPr>
          <w:b/>
          <w:sz w:val="22"/>
          <w:szCs w:val="22"/>
          <w:lang w:val="sr-Latn-ME"/>
        </w:rPr>
      </w:pP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89"/>
        <w:gridCol w:w="6171"/>
        <w:gridCol w:w="1697"/>
      </w:tblGrid>
      <w:tr w:rsidR="005B62E2" w:rsidRPr="00B60703">
        <w:trPr>
          <w:trHeight w:val="919"/>
          <w:tblHeader/>
        </w:trPr>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B62E2" w:rsidRPr="00B60703" w:rsidRDefault="00F03789">
            <w:pPr>
              <w:keepNext/>
              <w:tabs>
                <w:tab w:val="left" w:pos="284"/>
              </w:tabs>
              <w:rPr>
                <w:b/>
                <w:sz w:val="22"/>
                <w:szCs w:val="22"/>
                <w:lang w:val="sr-Latn-ME"/>
              </w:rPr>
            </w:pPr>
            <w:r w:rsidRPr="00B60703">
              <w:rPr>
                <w:b/>
                <w:sz w:val="22"/>
                <w:szCs w:val="22"/>
                <w:lang w:val="sr-Latn-ME"/>
              </w:rPr>
              <w:t>Tjelesna masa pacijenta</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B62E2" w:rsidRPr="00B60703" w:rsidRDefault="00F03789">
            <w:pPr>
              <w:keepNext/>
              <w:tabs>
                <w:tab w:val="left" w:pos="284"/>
              </w:tabs>
              <w:rPr>
                <w:sz w:val="22"/>
                <w:lang w:val="sr-Latn-ME"/>
              </w:rPr>
            </w:pPr>
            <w:r w:rsidRPr="00B60703">
              <w:rPr>
                <w:b/>
                <w:sz w:val="22"/>
                <w:lang w:val="sr-Latn-ME"/>
              </w:rPr>
              <w:t>Indukciona doza</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B62E2" w:rsidRPr="00B60703" w:rsidRDefault="00F03789">
            <w:pPr>
              <w:tabs>
                <w:tab w:val="left" w:pos="284"/>
              </w:tabs>
              <w:rPr>
                <w:b/>
                <w:sz w:val="22"/>
                <w:lang w:val="sr-Latn-ME"/>
              </w:rPr>
            </w:pPr>
            <w:r w:rsidRPr="00B60703">
              <w:rPr>
                <w:b/>
                <w:sz w:val="22"/>
                <w:lang w:val="sr-Latn-ME"/>
              </w:rPr>
              <w:t xml:space="preserve">Doza održavanja počevši </w:t>
            </w:r>
          </w:p>
          <w:p w:rsidR="005B62E2" w:rsidRPr="00B60703" w:rsidRDefault="00F03789">
            <w:pPr>
              <w:tabs>
                <w:tab w:val="left" w:pos="284"/>
              </w:tabs>
              <w:rPr>
                <w:sz w:val="22"/>
                <w:lang w:val="sr-Latn-ME"/>
              </w:rPr>
            </w:pPr>
            <w:r w:rsidRPr="00B60703">
              <w:rPr>
                <w:b/>
                <w:sz w:val="22"/>
                <w:lang w:val="sr-Latn-ME"/>
              </w:rPr>
              <w:t>od nedjelje 4</w:t>
            </w:r>
          </w:p>
        </w:tc>
      </w:tr>
      <w:tr w:rsidR="005B62E2" w:rsidRPr="00B60703">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keepNext/>
              <w:tabs>
                <w:tab w:val="left" w:pos="284"/>
              </w:tabs>
              <w:rPr>
                <w:sz w:val="22"/>
                <w:lang w:val="sr-Latn-ME"/>
              </w:rPr>
            </w:pPr>
            <w:r w:rsidRPr="00B60703">
              <w:rPr>
                <w:sz w:val="22"/>
                <w:lang w:val="sr-Latn-ME"/>
              </w:rPr>
              <w:t>&lt; 40 kg</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keepNext/>
              <w:numPr>
                <w:ilvl w:val="0"/>
                <w:numId w:val="3"/>
              </w:numPr>
              <w:tabs>
                <w:tab w:val="left" w:pos="284"/>
                <w:tab w:val="left" w:pos="708"/>
              </w:tabs>
              <w:ind w:left="307" w:hanging="180"/>
              <w:jc w:val="both"/>
              <w:rPr>
                <w:sz w:val="22"/>
                <w:szCs w:val="22"/>
                <w:lang w:val="sr-Latn-ME"/>
              </w:rPr>
            </w:pPr>
            <w:r w:rsidRPr="00B60703">
              <w:rPr>
                <w:sz w:val="22"/>
                <w:szCs w:val="22"/>
                <w:lang w:val="sr-Latn-ME"/>
              </w:rPr>
              <w:t>40 mg u nedjelji 0 i 20 mg u nedjelji 2</w:t>
            </w:r>
          </w:p>
          <w:p w:rsidR="005B62E2" w:rsidRPr="00B60703" w:rsidRDefault="005B62E2">
            <w:pPr>
              <w:keepNext/>
              <w:tabs>
                <w:tab w:val="left" w:pos="284"/>
              </w:tabs>
              <w:ind w:left="337"/>
              <w:rPr>
                <w:sz w:val="22"/>
                <w:szCs w:val="22"/>
                <w:lang w:val="sr-Latn-ME"/>
              </w:rPr>
            </w:pPr>
          </w:p>
          <w:p w:rsidR="005B62E2" w:rsidRPr="00B60703" w:rsidRDefault="00F03789">
            <w:pPr>
              <w:keepNext/>
              <w:tabs>
                <w:tab w:val="left" w:pos="708"/>
              </w:tabs>
              <w:ind w:left="307"/>
              <w:rPr>
                <w:iCs/>
                <w:sz w:val="22"/>
                <w:szCs w:val="22"/>
                <w:lang w:val="sr-Latn-ME"/>
              </w:rPr>
            </w:pPr>
            <w:r w:rsidRPr="00B60703">
              <w:rPr>
                <w:sz w:val="22"/>
                <w:szCs w:val="22"/>
                <w:lang w:val="sr-Latn-ME"/>
              </w:rPr>
              <w:t>U slučaju da postoji potreba za bržim terapijskim odgovorom, liječenje se može započeti i dozom navedenom u nastavku, pri čemu treba imati u vidu veći rizik od pojave neželjenih događaja u slučaju primjene veće doze tokom indukcionog liječenja:</w:t>
            </w:r>
          </w:p>
          <w:p w:rsidR="005B62E2" w:rsidRPr="00B60703" w:rsidRDefault="00F03789">
            <w:pPr>
              <w:keepNext/>
              <w:numPr>
                <w:ilvl w:val="0"/>
                <w:numId w:val="4"/>
              </w:numPr>
              <w:tabs>
                <w:tab w:val="left" w:pos="284"/>
                <w:tab w:val="left" w:pos="708"/>
              </w:tabs>
              <w:ind w:left="571" w:hanging="180"/>
              <w:contextualSpacing/>
              <w:jc w:val="both"/>
              <w:rPr>
                <w:iCs/>
                <w:sz w:val="22"/>
                <w:szCs w:val="22"/>
                <w:lang w:val="sr-Latn-ME"/>
              </w:rPr>
            </w:pPr>
            <w:r w:rsidRPr="00B60703">
              <w:rPr>
                <w:sz w:val="22"/>
                <w:szCs w:val="22"/>
                <w:lang w:val="sr-Latn-ME"/>
              </w:rPr>
              <w:t>80 mg u nedjelji 0 i 40 mg u nedjelji 2</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tabs>
                <w:tab w:val="left" w:pos="284"/>
              </w:tabs>
              <w:ind w:left="16"/>
              <w:rPr>
                <w:sz w:val="22"/>
                <w:lang w:val="sr-Latn-ME"/>
              </w:rPr>
            </w:pPr>
            <w:r w:rsidRPr="00B60703">
              <w:rPr>
                <w:sz w:val="22"/>
                <w:lang w:val="sr-Latn-ME"/>
              </w:rPr>
              <w:t>20 mg svake druge nedjelje</w:t>
            </w:r>
          </w:p>
        </w:tc>
      </w:tr>
      <w:tr w:rsidR="005B62E2" w:rsidRPr="00B60703">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keepNext/>
              <w:tabs>
                <w:tab w:val="left" w:pos="284"/>
              </w:tabs>
              <w:rPr>
                <w:sz w:val="22"/>
                <w:lang w:val="sr-Latn-ME"/>
              </w:rPr>
            </w:pPr>
            <w:r w:rsidRPr="00B60703">
              <w:rPr>
                <w:sz w:val="22"/>
                <w:lang w:val="sr-Latn-ME"/>
              </w:rPr>
              <w:t>≥ 40 kg</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keepNext/>
              <w:numPr>
                <w:ilvl w:val="0"/>
                <w:numId w:val="5"/>
              </w:numPr>
              <w:tabs>
                <w:tab w:val="left" w:pos="284"/>
                <w:tab w:val="left" w:pos="708"/>
              </w:tabs>
              <w:ind w:left="307" w:hanging="175"/>
              <w:jc w:val="both"/>
              <w:rPr>
                <w:sz w:val="22"/>
                <w:szCs w:val="22"/>
                <w:lang w:val="sr-Latn-ME"/>
              </w:rPr>
            </w:pPr>
            <w:r w:rsidRPr="00B60703">
              <w:rPr>
                <w:sz w:val="22"/>
                <w:szCs w:val="22"/>
                <w:lang w:val="sr-Latn-ME"/>
              </w:rPr>
              <w:t>80 mg u nedjelji 0 i 40 mg u nedjelji 2</w:t>
            </w:r>
          </w:p>
          <w:p w:rsidR="005B62E2" w:rsidRPr="00B60703" w:rsidRDefault="005B62E2">
            <w:pPr>
              <w:keepNext/>
              <w:tabs>
                <w:tab w:val="left" w:pos="284"/>
              </w:tabs>
              <w:rPr>
                <w:sz w:val="22"/>
                <w:szCs w:val="22"/>
                <w:lang w:val="sr-Latn-ME"/>
              </w:rPr>
            </w:pPr>
          </w:p>
          <w:p w:rsidR="005B62E2" w:rsidRPr="00B60703" w:rsidRDefault="00F03789">
            <w:pPr>
              <w:keepNext/>
              <w:tabs>
                <w:tab w:val="left" w:pos="708"/>
              </w:tabs>
              <w:ind w:left="314"/>
              <w:rPr>
                <w:sz w:val="22"/>
                <w:szCs w:val="22"/>
                <w:lang w:val="sr-Latn-ME"/>
              </w:rPr>
            </w:pPr>
            <w:r w:rsidRPr="00B60703">
              <w:rPr>
                <w:sz w:val="22"/>
                <w:szCs w:val="22"/>
                <w:lang w:val="sr-Latn-ME"/>
              </w:rPr>
              <w:t>U slučaju da postoji potreba za bržim terapijskim odgovorom, liječenje se može započeti i dozom navedenom u nastavku, pri čemu treba imati u vidu veći rizik od pojave neželjenih događaja u slučaju primjene veće doze tokom indukcionog liječenja:</w:t>
            </w:r>
          </w:p>
          <w:p w:rsidR="005B62E2" w:rsidRPr="00B60703" w:rsidRDefault="00F03789">
            <w:pPr>
              <w:keepNext/>
              <w:numPr>
                <w:ilvl w:val="0"/>
                <w:numId w:val="6"/>
              </w:numPr>
              <w:tabs>
                <w:tab w:val="left" w:pos="284"/>
                <w:tab w:val="left" w:pos="708"/>
              </w:tabs>
              <w:ind w:left="474" w:hanging="173"/>
              <w:contextualSpacing/>
              <w:jc w:val="both"/>
              <w:rPr>
                <w:sz w:val="22"/>
                <w:szCs w:val="22"/>
                <w:lang w:val="sr-Latn-ME"/>
              </w:rPr>
            </w:pPr>
            <w:r w:rsidRPr="00B60703">
              <w:rPr>
                <w:sz w:val="22"/>
                <w:szCs w:val="22"/>
                <w:lang w:val="sr-Latn-ME"/>
              </w:rPr>
              <w:t>160 mg u nedjelji 0 i 80 mg u nedjelji 2</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62E2" w:rsidRPr="00B60703" w:rsidRDefault="00F03789">
            <w:pPr>
              <w:tabs>
                <w:tab w:val="left" w:pos="284"/>
              </w:tabs>
              <w:ind w:left="16"/>
              <w:rPr>
                <w:sz w:val="22"/>
                <w:lang w:val="sr-Latn-ME"/>
              </w:rPr>
            </w:pPr>
            <w:r w:rsidRPr="00B60703">
              <w:rPr>
                <w:sz w:val="22"/>
                <w:lang w:val="sr-Latn-ME"/>
              </w:rPr>
              <w:t>40 mg svake druge nedjelje</w:t>
            </w:r>
          </w:p>
        </w:tc>
      </w:tr>
    </w:tbl>
    <w:p w:rsidR="005B62E2" w:rsidRPr="00B60703" w:rsidRDefault="005B62E2">
      <w:pPr>
        <w:tabs>
          <w:tab w:val="left" w:pos="720"/>
          <w:tab w:val="center" w:pos="4536"/>
          <w:tab w:val="right" w:pos="9072"/>
        </w:tabs>
        <w:snapToGrid w:val="0"/>
        <w:jc w:val="both"/>
        <w:rPr>
          <w:sz w:val="22"/>
          <w:szCs w:val="22"/>
          <w:highlight w:val="yellow"/>
          <w:lang w:val="sr-Latn-ME"/>
        </w:rPr>
      </w:pPr>
    </w:p>
    <w:p w:rsidR="005B62E2" w:rsidRPr="00B60703" w:rsidRDefault="00F03789">
      <w:pPr>
        <w:tabs>
          <w:tab w:val="left" w:pos="720"/>
          <w:tab w:val="center" w:pos="4536"/>
          <w:tab w:val="right" w:pos="9072"/>
        </w:tabs>
        <w:snapToGrid w:val="0"/>
        <w:jc w:val="both"/>
        <w:rPr>
          <w:sz w:val="22"/>
          <w:szCs w:val="22"/>
          <w:lang w:val="sr-Latn-ME"/>
        </w:rPr>
      </w:pPr>
      <w:r w:rsidRPr="00B60703">
        <w:rPr>
          <w:sz w:val="22"/>
          <w:szCs w:val="22"/>
          <w:lang w:val="sr-Latn-ME"/>
        </w:rPr>
        <w:t>Pacijenti kod kojih se ne postigne zadovoljavajući odgovor, mogu imati koristi od povećanja doziranja:</w:t>
      </w:r>
    </w:p>
    <w:p w:rsidR="005B62E2" w:rsidRPr="00B60703" w:rsidRDefault="00F03789">
      <w:pPr>
        <w:keepNext/>
        <w:numPr>
          <w:ilvl w:val="0"/>
          <w:numId w:val="7"/>
        </w:numPr>
        <w:tabs>
          <w:tab w:val="left" w:pos="284"/>
          <w:tab w:val="left" w:pos="540"/>
        </w:tabs>
        <w:suppressAutoHyphens/>
        <w:ind w:left="540" w:hanging="540"/>
        <w:jc w:val="both"/>
        <w:rPr>
          <w:sz w:val="22"/>
          <w:lang w:val="sr-Latn-ME"/>
        </w:rPr>
      </w:pPr>
      <w:r w:rsidRPr="00B60703">
        <w:rPr>
          <w:sz w:val="22"/>
          <w:lang w:val="sr-Latn-ME"/>
        </w:rPr>
        <w:t>&lt; 40 kg: 20 mg svake nedjelje,</w:t>
      </w:r>
    </w:p>
    <w:p w:rsidR="005B62E2" w:rsidRPr="00B60703" w:rsidRDefault="00F03789">
      <w:pPr>
        <w:keepNext/>
        <w:numPr>
          <w:ilvl w:val="0"/>
          <w:numId w:val="7"/>
        </w:numPr>
        <w:tabs>
          <w:tab w:val="left" w:pos="284"/>
          <w:tab w:val="left" w:pos="540"/>
        </w:tabs>
        <w:suppressAutoHyphens/>
        <w:snapToGrid w:val="0"/>
        <w:ind w:left="540" w:hanging="540"/>
        <w:jc w:val="both"/>
        <w:rPr>
          <w:sz w:val="22"/>
          <w:szCs w:val="22"/>
          <w:lang w:val="sr-Latn-ME"/>
        </w:rPr>
      </w:pPr>
      <w:r w:rsidRPr="00B60703">
        <w:rPr>
          <w:sz w:val="22"/>
          <w:lang w:val="sr-Latn-ME"/>
        </w:rPr>
        <w:t xml:space="preserve">≥ 40 kg: 40 mg svake nedjelje </w:t>
      </w:r>
      <w:bookmarkStart w:id="4" w:name="_Hlk523393515"/>
      <w:r w:rsidRPr="00B60703">
        <w:rPr>
          <w:sz w:val="22"/>
          <w:lang w:val="sr-Latn-ME"/>
        </w:rPr>
        <w:t>ili 80 mg svake druge nedjelje</w:t>
      </w:r>
      <w:bookmarkEnd w:id="4"/>
      <w:r w:rsidRPr="00B60703">
        <w:rPr>
          <w:sz w:val="22"/>
          <w:lang w:val="sr-Latn-ME"/>
        </w:rPr>
        <w:t>.</w:t>
      </w:r>
    </w:p>
    <w:p w:rsidR="005B62E2" w:rsidRPr="00B60703" w:rsidRDefault="005B62E2">
      <w:pPr>
        <w:keepNext/>
        <w:tabs>
          <w:tab w:val="left" w:pos="540"/>
        </w:tabs>
        <w:suppressAutoHyphens/>
        <w:snapToGrid w:val="0"/>
        <w:ind w:left="540"/>
        <w:rPr>
          <w:sz w:val="22"/>
          <w:szCs w:val="22"/>
          <w:lang w:val="sr-Latn-ME"/>
        </w:rPr>
      </w:pPr>
    </w:p>
    <w:p w:rsidR="005B62E2" w:rsidRPr="00B60703" w:rsidRDefault="00F03789">
      <w:pPr>
        <w:tabs>
          <w:tab w:val="left" w:pos="720"/>
          <w:tab w:val="center" w:pos="4536"/>
          <w:tab w:val="right" w:pos="9072"/>
        </w:tabs>
        <w:snapToGrid w:val="0"/>
        <w:jc w:val="both"/>
        <w:rPr>
          <w:sz w:val="22"/>
          <w:szCs w:val="22"/>
          <w:lang w:val="sr-Latn-ME"/>
        </w:rPr>
      </w:pPr>
      <w:r w:rsidRPr="00B60703">
        <w:rPr>
          <w:sz w:val="22"/>
          <w:szCs w:val="22"/>
          <w:lang w:val="sr-Latn-ME"/>
        </w:rPr>
        <w:t>U slučaju da poslije 12 nedjelja nema kliničkog odgovora, korist daljeg produženja terapije treba pažljivo razmotriti.</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sz w:val="22"/>
          <w:szCs w:val="22"/>
          <w:lang w:val="sr-Latn-ME"/>
        </w:rPr>
      </w:pPr>
      <w:r w:rsidRPr="00B60703">
        <w:rPr>
          <w:sz w:val="22"/>
          <w:szCs w:val="22"/>
          <w:lang w:val="sr-Latn-ME"/>
        </w:rPr>
        <w:t>Nema relevantnih podataka o korišćenju adalimumaba kod djece mlađe od 6 godina u ovoj indikaciji.</w:t>
      </w:r>
    </w:p>
    <w:p w:rsidR="005B62E2" w:rsidRPr="00B60703" w:rsidRDefault="005B62E2">
      <w:pPr>
        <w:tabs>
          <w:tab w:val="left" w:pos="708"/>
        </w:tabs>
        <w:jc w:val="both"/>
        <w:rPr>
          <w:sz w:val="22"/>
          <w:szCs w:val="22"/>
          <w:lang w:val="sr-Latn-ME"/>
        </w:rPr>
      </w:pPr>
    </w:p>
    <w:p w:rsidR="005B62E2" w:rsidRPr="00B60703" w:rsidRDefault="00F03789">
      <w:pPr>
        <w:keepNext/>
        <w:widowControl w:val="0"/>
        <w:tabs>
          <w:tab w:val="left" w:pos="0"/>
          <w:tab w:val="left" w:pos="284"/>
        </w:tabs>
        <w:autoSpaceDE w:val="0"/>
        <w:autoSpaceDN w:val="0"/>
        <w:adjustRightInd w:val="0"/>
        <w:rPr>
          <w:i/>
          <w:color w:val="000000"/>
          <w:sz w:val="22"/>
          <w:szCs w:val="22"/>
          <w:lang w:val="sr-Latn-ME"/>
        </w:rPr>
      </w:pPr>
      <w:r w:rsidRPr="00B60703">
        <w:rPr>
          <w:i/>
          <w:color w:val="000000"/>
          <w:sz w:val="22"/>
          <w:szCs w:val="22"/>
          <w:lang w:val="sr-Latn-ME"/>
        </w:rPr>
        <w:t>Pedijatrijski uveitis</w:t>
      </w:r>
    </w:p>
    <w:p w:rsidR="005B62E2" w:rsidRPr="00B60703" w:rsidRDefault="005B62E2">
      <w:pPr>
        <w:keepNext/>
        <w:widowControl w:val="0"/>
        <w:tabs>
          <w:tab w:val="left" w:pos="0"/>
          <w:tab w:val="left" w:pos="284"/>
        </w:tabs>
        <w:autoSpaceDE w:val="0"/>
        <w:autoSpaceDN w:val="0"/>
        <w:adjustRightInd w:val="0"/>
        <w:jc w:val="both"/>
        <w:rPr>
          <w:color w:val="000000"/>
          <w:sz w:val="22"/>
          <w:szCs w:val="22"/>
          <w:lang w:val="sr-Latn-ME"/>
        </w:rPr>
      </w:pPr>
    </w:p>
    <w:p w:rsidR="005B62E2" w:rsidRPr="00B60703" w:rsidRDefault="00F03789">
      <w:pPr>
        <w:keepNext/>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 xml:space="preserve">Preporučena doza lijeka Hyrimoz kod pedijatrijskih pacijenata oboljelih od uveitisa, uzrasta od 2 godine i starijih određuje se na osnovu tjelesne mase (Tabela 5). Lijek Hyrimoz se primjenjuje supkutanom injekcijom. </w:t>
      </w:r>
    </w:p>
    <w:p w:rsidR="005B62E2" w:rsidRPr="00B60703" w:rsidRDefault="005B62E2">
      <w:pPr>
        <w:keepNext/>
        <w:widowControl w:val="0"/>
        <w:tabs>
          <w:tab w:val="left" w:pos="0"/>
          <w:tab w:val="left" w:pos="284"/>
        </w:tabs>
        <w:autoSpaceDE w:val="0"/>
        <w:autoSpaceDN w:val="0"/>
        <w:adjustRightInd w:val="0"/>
        <w:rPr>
          <w:color w:val="000000"/>
          <w:sz w:val="22"/>
          <w:szCs w:val="22"/>
          <w:lang w:val="sr-Latn-ME"/>
        </w:rPr>
      </w:pPr>
    </w:p>
    <w:p w:rsidR="005B62E2" w:rsidRPr="00B60703" w:rsidRDefault="00F03789">
      <w:pPr>
        <w:keepNext/>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 xml:space="preserve">Kod pedijatrijskog uveitisa, nema podataka o primjeni lijeka Hyrimoz bez istovremene primjene </w:t>
      </w:r>
      <w:r w:rsidRPr="00B60703">
        <w:rPr>
          <w:color w:val="000000"/>
          <w:sz w:val="22"/>
          <w:szCs w:val="22"/>
          <w:lang w:val="sr-Latn-ME"/>
        </w:rPr>
        <w:lastRenderedPageBreak/>
        <w:t xml:space="preserve">metotreksata. </w:t>
      </w:r>
    </w:p>
    <w:p w:rsidR="005B62E2" w:rsidRPr="00B60703" w:rsidRDefault="005B62E2">
      <w:pPr>
        <w:keepNext/>
        <w:widowControl w:val="0"/>
        <w:tabs>
          <w:tab w:val="left" w:pos="0"/>
          <w:tab w:val="left" w:pos="284"/>
        </w:tabs>
        <w:autoSpaceDE w:val="0"/>
        <w:autoSpaceDN w:val="0"/>
        <w:adjustRightInd w:val="0"/>
        <w:rPr>
          <w:i/>
          <w:color w:val="000000"/>
          <w:sz w:val="22"/>
          <w:szCs w:val="22"/>
          <w:lang w:val="sr-Latn-ME"/>
        </w:rPr>
      </w:pPr>
    </w:p>
    <w:p w:rsidR="005B62E2" w:rsidRPr="00B60703" w:rsidRDefault="00F03789">
      <w:pPr>
        <w:keepNext/>
        <w:widowControl w:val="0"/>
        <w:tabs>
          <w:tab w:val="left" w:pos="0"/>
          <w:tab w:val="left" w:pos="284"/>
        </w:tabs>
        <w:autoSpaceDE w:val="0"/>
        <w:autoSpaceDN w:val="0"/>
        <w:adjustRightInd w:val="0"/>
        <w:rPr>
          <w:b/>
          <w:sz w:val="22"/>
          <w:szCs w:val="22"/>
          <w:lang w:val="sr-Latn-ME"/>
        </w:rPr>
      </w:pPr>
      <w:r w:rsidRPr="00B60703">
        <w:rPr>
          <w:b/>
          <w:sz w:val="22"/>
          <w:szCs w:val="22"/>
          <w:lang w:val="sr-Latn-ME"/>
        </w:rPr>
        <w:t>Tabela 5. Doza lijeka Hyrimoz za pedijatrijske pacijente sa uveitisom</w:t>
      </w:r>
    </w:p>
    <w:p w:rsidR="005B62E2" w:rsidRPr="00B60703" w:rsidRDefault="005B62E2">
      <w:pPr>
        <w:keepNext/>
        <w:widowControl w:val="0"/>
        <w:tabs>
          <w:tab w:val="left" w:pos="0"/>
          <w:tab w:val="left" w:pos="284"/>
        </w:tabs>
        <w:autoSpaceDE w:val="0"/>
        <w:autoSpaceDN w:val="0"/>
        <w:adjustRightInd w:val="0"/>
        <w:rPr>
          <w:b/>
          <w:sz w:val="22"/>
          <w:szCs w:val="22"/>
          <w:lang w:val="sr-Latn-ME"/>
        </w:rPr>
      </w:pPr>
    </w:p>
    <w:tbl>
      <w:tblPr>
        <w:tblW w:w="5000" w:type="pct"/>
        <w:jc w:val="center"/>
        <w:tblLook w:val="04A0" w:firstRow="1" w:lastRow="0" w:firstColumn="1" w:lastColumn="0" w:noHBand="0" w:noVBand="1"/>
      </w:tblPr>
      <w:tblGrid>
        <w:gridCol w:w="4542"/>
        <w:gridCol w:w="4531"/>
      </w:tblGrid>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tabs>
                <w:tab w:val="left" w:pos="284"/>
              </w:tabs>
              <w:rPr>
                <w:b/>
                <w:sz w:val="22"/>
                <w:szCs w:val="22"/>
                <w:lang w:val="sr-Latn-ME"/>
              </w:rPr>
            </w:pPr>
            <w:r w:rsidRPr="00B60703">
              <w:rPr>
                <w:b/>
                <w:sz w:val="22"/>
                <w:szCs w:val="22"/>
                <w:lang w:val="sr-Latn-ME"/>
              </w:rPr>
              <w:t>Tjelesna masa pacijenta</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b/>
                <w:sz w:val="22"/>
                <w:szCs w:val="22"/>
                <w:lang w:val="sr-Latn-ME" w:eastAsia="ja-JP"/>
              </w:rPr>
              <w:t>Režim doziranja</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&lt;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20 mg svake druge nedjelje u kombinaciji sa metotreksatom</w:t>
            </w:r>
          </w:p>
        </w:tc>
      </w:tr>
      <w:tr w:rsidR="005B62E2" w:rsidRPr="00B60703">
        <w:trPr>
          <w:tblHeader/>
          <w:jc w:val="center"/>
        </w:trPr>
        <w:tc>
          <w:tcPr>
            <w:tcW w:w="2503"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tcPr>
          <w:p w:rsidR="005B62E2" w:rsidRPr="00B60703" w:rsidRDefault="00F03789">
            <w:pPr>
              <w:keepNext/>
              <w:spacing w:before="40" w:after="40" w:line="240" w:lineRule="exact"/>
              <w:rPr>
                <w:rFonts w:eastAsia="Calibri"/>
                <w:b/>
                <w:sz w:val="22"/>
                <w:szCs w:val="22"/>
                <w:lang w:val="sr-Latn-ME" w:eastAsia="ja-JP"/>
              </w:rPr>
            </w:pPr>
            <w:r w:rsidRPr="00B60703">
              <w:rPr>
                <w:rFonts w:eastAsia="Calibri"/>
                <w:sz w:val="22"/>
                <w:szCs w:val="22"/>
                <w:lang w:val="sr-Latn-ME" w:eastAsia="ja-JP"/>
              </w:rPr>
              <w:t>40 mg svake druge nedjelje u kombinaciji sa metotreksatom</w:t>
            </w:r>
          </w:p>
        </w:tc>
      </w:tr>
    </w:tbl>
    <w:p w:rsidR="005B62E2" w:rsidRPr="00B60703" w:rsidRDefault="005B62E2">
      <w:pPr>
        <w:keepNext/>
        <w:widowControl w:val="0"/>
        <w:tabs>
          <w:tab w:val="left" w:pos="0"/>
          <w:tab w:val="left" w:pos="284"/>
        </w:tabs>
        <w:autoSpaceDE w:val="0"/>
        <w:autoSpaceDN w:val="0"/>
        <w:adjustRightInd w:val="0"/>
        <w:rPr>
          <w:i/>
          <w:color w:val="000000"/>
          <w:sz w:val="22"/>
          <w:szCs w:val="22"/>
          <w:lang w:val="sr-Latn-ME"/>
        </w:rPr>
      </w:pPr>
    </w:p>
    <w:p w:rsidR="005B62E2" w:rsidRPr="00B60703" w:rsidRDefault="00F03789">
      <w:pPr>
        <w:keepNext/>
        <w:widowControl w:val="0"/>
        <w:tabs>
          <w:tab w:val="left" w:pos="0"/>
          <w:tab w:val="left" w:pos="284"/>
        </w:tabs>
        <w:autoSpaceDE w:val="0"/>
        <w:autoSpaceDN w:val="0"/>
        <w:adjustRightInd w:val="0"/>
        <w:jc w:val="both"/>
        <w:rPr>
          <w:sz w:val="22"/>
          <w:szCs w:val="22"/>
          <w:lang w:val="sr-Latn-ME"/>
        </w:rPr>
      </w:pPr>
      <w:r w:rsidRPr="00B60703">
        <w:rPr>
          <w:sz w:val="22"/>
          <w:szCs w:val="22"/>
          <w:lang w:val="sr-Latn-ME"/>
        </w:rPr>
        <w:t>Kad se uvodi liječenje lijekom Hyrimoz, može se primijeniti inicijalna doza od 40 mg za pacijente tjelesne mase &lt; 30 kg, ili 80 mg za pacijente tjelesne mase ≥ 30 kg nedjelju dana prije početka terapije održavanja. Nisu dostupni klinički podaci o primjeni inicijalne doze adalimumaba kod djece mlađe od 6 godina (vidjeti dio 5.2).</w:t>
      </w:r>
    </w:p>
    <w:p w:rsidR="005B62E2" w:rsidRPr="00B60703" w:rsidRDefault="005B62E2">
      <w:pPr>
        <w:keepNext/>
        <w:widowControl w:val="0"/>
        <w:tabs>
          <w:tab w:val="left" w:pos="0"/>
          <w:tab w:val="left" w:pos="284"/>
        </w:tabs>
        <w:autoSpaceDE w:val="0"/>
        <w:autoSpaceDN w:val="0"/>
        <w:adjustRightInd w:val="0"/>
        <w:jc w:val="both"/>
        <w:rPr>
          <w:sz w:val="22"/>
          <w:szCs w:val="22"/>
          <w:lang w:val="sr-Latn-ME"/>
        </w:rPr>
      </w:pPr>
    </w:p>
    <w:p w:rsidR="005B62E2" w:rsidRPr="00B60703" w:rsidRDefault="00F03789">
      <w:pPr>
        <w:keepNext/>
        <w:widowControl w:val="0"/>
        <w:tabs>
          <w:tab w:val="left" w:pos="0"/>
          <w:tab w:val="left" w:pos="284"/>
        </w:tabs>
        <w:autoSpaceDE w:val="0"/>
        <w:autoSpaceDN w:val="0"/>
        <w:adjustRightInd w:val="0"/>
        <w:jc w:val="both"/>
        <w:rPr>
          <w:sz w:val="22"/>
          <w:szCs w:val="22"/>
          <w:lang w:val="sr-Latn-ME"/>
        </w:rPr>
      </w:pPr>
      <w:r w:rsidRPr="00B60703">
        <w:rPr>
          <w:sz w:val="22"/>
          <w:szCs w:val="22"/>
          <w:lang w:val="sr-Latn-ME"/>
        </w:rPr>
        <w:t>Nema relevantne primjene lijeka Hyrimoz kod djece mlađe od 2 godine u ovoj indikaciji.</w:t>
      </w:r>
    </w:p>
    <w:p w:rsidR="005B62E2" w:rsidRPr="00B60703" w:rsidRDefault="005B62E2">
      <w:pPr>
        <w:keepNext/>
        <w:widowControl w:val="0"/>
        <w:tabs>
          <w:tab w:val="left" w:pos="0"/>
          <w:tab w:val="left" w:pos="284"/>
        </w:tabs>
        <w:autoSpaceDE w:val="0"/>
        <w:autoSpaceDN w:val="0"/>
        <w:adjustRightInd w:val="0"/>
        <w:jc w:val="both"/>
        <w:rPr>
          <w:sz w:val="22"/>
          <w:szCs w:val="22"/>
          <w:lang w:val="sr-Latn-ME"/>
        </w:rPr>
      </w:pPr>
    </w:p>
    <w:p w:rsidR="005B62E2" w:rsidRPr="00B60703" w:rsidRDefault="00F03789">
      <w:pPr>
        <w:keepNext/>
        <w:widowControl w:val="0"/>
        <w:tabs>
          <w:tab w:val="left" w:pos="0"/>
          <w:tab w:val="left" w:pos="284"/>
        </w:tabs>
        <w:autoSpaceDE w:val="0"/>
        <w:autoSpaceDN w:val="0"/>
        <w:adjustRightInd w:val="0"/>
        <w:jc w:val="both"/>
        <w:rPr>
          <w:sz w:val="22"/>
          <w:szCs w:val="22"/>
          <w:lang w:val="sr-Latn-ME"/>
        </w:rPr>
      </w:pPr>
      <w:r w:rsidRPr="00B60703">
        <w:rPr>
          <w:sz w:val="22"/>
          <w:szCs w:val="22"/>
          <w:lang w:val="sr-Latn-ME"/>
        </w:rPr>
        <w:t>Preporučuje se da se jednom godišnje sprovede procjena koristi i rizika od kontinuiranog dugotrajnog liječenja (vidjeti dio 5.1).</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i/>
          <w:sz w:val="22"/>
          <w:szCs w:val="22"/>
          <w:u w:val="single"/>
          <w:lang w:val="sr-Latn-ME"/>
        </w:rPr>
      </w:pPr>
      <w:r w:rsidRPr="00B60703">
        <w:rPr>
          <w:i/>
          <w:sz w:val="22"/>
          <w:szCs w:val="22"/>
          <w:u w:val="single"/>
          <w:lang w:val="sr-Latn-ME"/>
        </w:rPr>
        <w:t>Pedijatrijski ulcerozni colitis</w:t>
      </w:r>
    </w:p>
    <w:p w:rsidR="005B62E2" w:rsidRPr="00B60703" w:rsidRDefault="005B62E2">
      <w:pPr>
        <w:tabs>
          <w:tab w:val="left" w:pos="708"/>
        </w:tabs>
        <w:jc w:val="both"/>
        <w:rPr>
          <w:sz w:val="22"/>
          <w:szCs w:val="22"/>
          <w:lang w:val="sr-Latn-ME"/>
        </w:rPr>
      </w:pPr>
    </w:p>
    <w:p w:rsidR="005B62E2" w:rsidRPr="00B60703" w:rsidRDefault="00F03789">
      <w:pPr>
        <w:tabs>
          <w:tab w:val="left" w:pos="708"/>
        </w:tabs>
        <w:jc w:val="both"/>
        <w:rPr>
          <w:i/>
          <w:sz w:val="22"/>
          <w:szCs w:val="22"/>
          <w:u w:val="single"/>
          <w:lang w:val="sr-Latn-ME"/>
        </w:rPr>
      </w:pPr>
      <w:r w:rsidRPr="00B60703">
        <w:rPr>
          <w:sz w:val="22"/>
          <w:szCs w:val="22"/>
          <w:lang w:val="sr-Latn-ME"/>
        </w:rPr>
        <w:t xml:space="preserve">Bezbjednost i efikasnost primjene adalimumaba kod djece uzrasta od 4 do 17 godina nije ustanovljena. Nema dostupnih podataka. Nema relevantnih podataka o primjeni adalimumaba kod djece mlađe od 4 godine u ovoj indikaciji. </w:t>
      </w:r>
    </w:p>
    <w:p w:rsidR="005B62E2" w:rsidRPr="00B60703" w:rsidRDefault="005B62E2">
      <w:pPr>
        <w:tabs>
          <w:tab w:val="left" w:pos="708"/>
        </w:tabs>
        <w:jc w:val="both"/>
        <w:rPr>
          <w:sz w:val="22"/>
          <w:szCs w:val="22"/>
          <w:lang w:val="sr-Latn-ME"/>
        </w:rPr>
      </w:pPr>
    </w:p>
    <w:p w:rsidR="005B62E2" w:rsidRPr="00B60703" w:rsidRDefault="00F03789">
      <w:pPr>
        <w:tabs>
          <w:tab w:val="left" w:pos="284"/>
          <w:tab w:val="left" w:pos="708"/>
          <w:tab w:val="center" w:pos="4536"/>
          <w:tab w:val="right" w:pos="9072"/>
        </w:tabs>
        <w:snapToGrid w:val="0"/>
        <w:jc w:val="both"/>
        <w:rPr>
          <w:bCs/>
          <w:i/>
          <w:sz w:val="22"/>
          <w:szCs w:val="22"/>
          <w:u w:val="single"/>
          <w:lang w:val="sr-Latn-ME" w:eastAsia="sr-Latn-ME"/>
        </w:rPr>
      </w:pPr>
      <w:r w:rsidRPr="00B60703">
        <w:rPr>
          <w:i/>
          <w:sz w:val="22"/>
          <w:szCs w:val="22"/>
          <w:u w:val="single"/>
          <w:lang w:val="sr-Latn-ME" w:eastAsia="sr-Latn-ME"/>
        </w:rPr>
        <w:t>Psorijazni artritis i</w:t>
      </w:r>
      <w:r w:rsidRPr="00B60703">
        <w:rPr>
          <w:i/>
          <w:sz w:val="22"/>
          <w:u w:val="single"/>
          <w:lang w:val="sr-Latn-ME" w:eastAsia="sr-Latn-ME"/>
        </w:rPr>
        <w:t xml:space="preserve"> </w:t>
      </w:r>
      <w:r w:rsidRPr="00B60703">
        <w:rPr>
          <w:bCs/>
          <w:i/>
          <w:sz w:val="22"/>
          <w:szCs w:val="22"/>
          <w:u w:val="single"/>
          <w:lang w:val="sr-Latn-ME" w:eastAsia="sr-Latn-ME"/>
        </w:rPr>
        <w:t>aksijalni spondiloartritis, uključujući ankilozirajući spondilitis</w:t>
      </w:r>
    </w:p>
    <w:p w:rsidR="005B62E2" w:rsidRPr="00B60703" w:rsidRDefault="005B62E2">
      <w:pPr>
        <w:tabs>
          <w:tab w:val="left" w:pos="284"/>
          <w:tab w:val="left" w:pos="708"/>
          <w:tab w:val="center" w:pos="4536"/>
          <w:tab w:val="right" w:pos="9072"/>
        </w:tabs>
        <w:snapToGrid w:val="0"/>
        <w:jc w:val="both"/>
        <w:rPr>
          <w:bCs/>
          <w:sz w:val="22"/>
          <w:szCs w:val="22"/>
          <w:u w:val="single"/>
          <w:lang w:val="sr-Latn-ME" w:eastAsia="sr-Latn-ME"/>
        </w:rPr>
      </w:pPr>
    </w:p>
    <w:p w:rsidR="005B62E2" w:rsidRPr="00B60703" w:rsidRDefault="00F03789">
      <w:pPr>
        <w:tabs>
          <w:tab w:val="left" w:pos="284"/>
          <w:tab w:val="left" w:pos="708"/>
          <w:tab w:val="center" w:pos="4536"/>
          <w:tab w:val="right" w:pos="9072"/>
        </w:tabs>
        <w:snapToGrid w:val="0"/>
        <w:jc w:val="both"/>
        <w:rPr>
          <w:sz w:val="22"/>
          <w:szCs w:val="22"/>
          <w:lang w:val="sr-Latn-ME" w:eastAsia="sr-Latn-ME"/>
        </w:rPr>
      </w:pPr>
      <w:r w:rsidRPr="00B60703">
        <w:rPr>
          <w:sz w:val="22"/>
          <w:szCs w:val="22"/>
          <w:lang w:val="sr-Latn-ME" w:eastAsia="sr-Latn-ME"/>
        </w:rPr>
        <w:t>Primjena adalimumaba kod pedijatrijskih pacijenata, u indikacijama ankilozirajući spondilitis i psorijazni artritis, nije relevantna.</w:t>
      </w:r>
    </w:p>
    <w:p w:rsidR="005B62E2" w:rsidRPr="00B60703" w:rsidRDefault="005B62E2">
      <w:pPr>
        <w:tabs>
          <w:tab w:val="left" w:pos="540"/>
          <w:tab w:val="left" w:pos="569"/>
        </w:tabs>
        <w:rPr>
          <w:bCs/>
          <w:sz w:val="22"/>
          <w:szCs w:val="22"/>
          <w:u w:val="single"/>
          <w:lang w:val="sr-Latn-ME"/>
        </w:rPr>
      </w:pPr>
    </w:p>
    <w:p w:rsidR="005B62E2" w:rsidRPr="00B60703" w:rsidRDefault="00F03789">
      <w:pPr>
        <w:tabs>
          <w:tab w:val="left" w:pos="540"/>
          <w:tab w:val="left" w:pos="569"/>
        </w:tabs>
        <w:rPr>
          <w:bCs/>
          <w:sz w:val="22"/>
          <w:szCs w:val="22"/>
          <w:u w:val="single"/>
          <w:lang w:val="sr-Latn-ME"/>
        </w:rPr>
      </w:pPr>
      <w:r w:rsidRPr="00B60703">
        <w:rPr>
          <w:bCs/>
          <w:sz w:val="22"/>
          <w:szCs w:val="22"/>
          <w:u w:val="single"/>
          <w:lang w:val="sr-Latn-ME"/>
        </w:rPr>
        <w:t>Način primjene</w:t>
      </w:r>
    </w:p>
    <w:p w:rsidR="005B62E2" w:rsidRPr="00B60703" w:rsidRDefault="005B62E2">
      <w:pPr>
        <w:tabs>
          <w:tab w:val="left" w:pos="540"/>
          <w:tab w:val="left" w:pos="569"/>
        </w:tabs>
        <w:rPr>
          <w:bCs/>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Lijek Hyrimoz se primjenjuje u vidu supkutane injekcije. Detaljne instrukcije za primjenu lijeka nalaze se u Uputstvu za lijek.</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Cs/>
          <w:sz w:val="22"/>
          <w:szCs w:val="22"/>
          <w:u w:val="single"/>
          <w:lang w:val="sr-Latn-ME"/>
        </w:rPr>
      </w:pPr>
      <w:r w:rsidRPr="00B60703">
        <w:rPr>
          <w:sz w:val="22"/>
          <w:szCs w:val="22"/>
          <w:lang w:val="sr-Latn-ME"/>
        </w:rPr>
        <w:t>Adalimumab je dostupan i u drugim jačinama i oblicima pakovanja.</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4.3. </w:t>
      </w:r>
      <w:r w:rsidRPr="00B60703">
        <w:rPr>
          <w:b/>
          <w:bCs/>
          <w:sz w:val="22"/>
          <w:szCs w:val="22"/>
          <w:lang w:val="sr-Latn-ME"/>
        </w:rPr>
        <w:tab/>
        <w:t>Kontraindikacije</w:t>
      </w:r>
    </w:p>
    <w:p w:rsidR="005B62E2" w:rsidRPr="00B60703" w:rsidRDefault="005B62E2">
      <w:pPr>
        <w:tabs>
          <w:tab w:val="left" w:pos="540"/>
          <w:tab w:val="left" w:pos="569"/>
        </w:tabs>
        <w:rPr>
          <w:bCs/>
          <w:sz w:val="22"/>
          <w:szCs w:val="22"/>
          <w:lang w:val="sr-Latn-ME"/>
        </w:rPr>
      </w:pPr>
    </w:p>
    <w:p w:rsidR="005B62E2" w:rsidRPr="00B60703" w:rsidRDefault="00F03789">
      <w:pPr>
        <w:tabs>
          <w:tab w:val="left" w:pos="708"/>
          <w:tab w:val="center" w:pos="4536"/>
          <w:tab w:val="right" w:pos="9072"/>
        </w:tabs>
        <w:snapToGrid w:val="0"/>
        <w:jc w:val="both"/>
        <w:rPr>
          <w:sz w:val="22"/>
          <w:szCs w:val="22"/>
          <w:lang w:val="sr-Latn-ME"/>
        </w:rPr>
      </w:pPr>
      <w:r w:rsidRPr="00B60703">
        <w:rPr>
          <w:sz w:val="22"/>
          <w:szCs w:val="22"/>
          <w:lang w:val="sr-Latn-ME" w:eastAsia="sr-Latn-ME"/>
        </w:rPr>
        <w:t>Preosjetljivost na aktivnu supstancu lijeka ili na bilo koju od pomoćnih supstanci navedenih u odjeljku 6.1.</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Aktivna tuberkuloza ili druge teške infekcije, kao što su sepsa i oportunističke infekcije (vidjeti dio 4.4).</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284"/>
          <w:tab w:val="center" w:pos="4536"/>
          <w:tab w:val="right" w:pos="9072"/>
        </w:tabs>
        <w:jc w:val="both"/>
        <w:rPr>
          <w:sz w:val="22"/>
          <w:szCs w:val="22"/>
          <w:lang w:val="sr-Latn-ME" w:eastAsia="sr-Latn-ME"/>
        </w:rPr>
      </w:pPr>
      <w:r w:rsidRPr="00B60703">
        <w:rPr>
          <w:sz w:val="22"/>
          <w:szCs w:val="22"/>
          <w:lang w:val="sr-Latn-ME" w:eastAsia="sr-Latn-ME"/>
        </w:rPr>
        <w:t>Umjerena do teška srčana insuficijencija (NYHA klasa III/IV) (vidjeti dio 4.4).</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4.4. </w:t>
      </w:r>
      <w:r w:rsidRPr="00B60703">
        <w:rPr>
          <w:b/>
          <w:bCs/>
          <w:sz w:val="22"/>
          <w:szCs w:val="22"/>
          <w:lang w:val="sr-Latn-ME"/>
        </w:rPr>
        <w:tab/>
        <w:t>Posebna upozorenja i mjere opreza pri upotrebi lijeka</w:t>
      </w:r>
    </w:p>
    <w:p w:rsidR="005B62E2" w:rsidRPr="00B60703" w:rsidRDefault="005B62E2">
      <w:pPr>
        <w:tabs>
          <w:tab w:val="left" w:pos="540"/>
          <w:tab w:val="left" w:pos="569"/>
        </w:tabs>
        <w:rPr>
          <w:bCs/>
          <w:sz w:val="22"/>
          <w:szCs w:val="22"/>
          <w:lang w:val="sr-Latn-ME"/>
        </w:rPr>
      </w:pPr>
    </w:p>
    <w:p w:rsidR="005B62E2" w:rsidRPr="00B60703" w:rsidRDefault="00F03789">
      <w:pPr>
        <w:tabs>
          <w:tab w:val="left" w:pos="284"/>
        </w:tabs>
        <w:jc w:val="both"/>
        <w:rPr>
          <w:b/>
          <w:bCs/>
          <w:sz w:val="22"/>
          <w:szCs w:val="22"/>
          <w:u w:val="single"/>
          <w:lang w:val="sr-Latn-ME"/>
        </w:rPr>
      </w:pPr>
      <w:r w:rsidRPr="00B60703">
        <w:rPr>
          <w:bCs/>
          <w:sz w:val="22"/>
          <w:szCs w:val="22"/>
          <w:u w:val="single"/>
          <w:lang w:val="sr-Latn-ME"/>
        </w:rPr>
        <w:t>Praćenje</w:t>
      </w:r>
    </w:p>
    <w:p w:rsidR="005B62E2" w:rsidRPr="00B60703" w:rsidRDefault="005B62E2">
      <w:pPr>
        <w:tabs>
          <w:tab w:val="left" w:pos="284"/>
        </w:tabs>
        <w:jc w:val="both"/>
        <w:rPr>
          <w:sz w:val="22"/>
          <w:szCs w:val="22"/>
          <w:lang w:val="sr-Latn-ME"/>
        </w:rPr>
      </w:pPr>
    </w:p>
    <w:p w:rsidR="005B62E2" w:rsidRPr="00B60703" w:rsidRDefault="00F03789">
      <w:pPr>
        <w:tabs>
          <w:tab w:val="left" w:pos="708"/>
          <w:tab w:val="center" w:pos="4536"/>
          <w:tab w:val="right" w:pos="9072"/>
        </w:tabs>
        <w:snapToGrid w:val="0"/>
        <w:jc w:val="both"/>
        <w:rPr>
          <w:bCs/>
          <w:sz w:val="22"/>
          <w:szCs w:val="22"/>
          <w:lang w:val="sr-Latn-ME" w:eastAsia="sr-Latn-ME"/>
        </w:rPr>
      </w:pPr>
      <w:r w:rsidRPr="00B60703">
        <w:rPr>
          <w:bCs/>
          <w:sz w:val="22"/>
          <w:szCs w:val="22"/>
          <w:lang w:val="sr-Latn-ME" w:eastAsia="sr-Latn-ME"/>
        </w:rPr>
        <w:t>U cilju što boljeg praćenja bioloških ljekova, naziv lijeka i broj serije treba evidentirati.</w:t>
      </w:r>
    </w:p>
    <w:p w:rsidR="005B62E2" w:rsidRPr="00B60703" w:rsidRDefault="005B62E2">
      <w:pPr>
        <w:tabs>
          <w:tab w:val="left" w:pos="708"/>
          <w:tab w:val="center" w:pos="4536"/>
          <w:tab w:val="right" w:pos="9072"/>
        </w:tabs>
        <w:snapToGrid w:val="0"/>
        <w:jc w:val="both"/>
        <w:rPr>
          <w:bCs/>
          <w:sz w:val="22"/>
          <w:szCs w:val="22"/>
          <w:u w:val="single"/>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Infekcije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bCs/>
          <w:sz w:val="22"/>
          <w:szCs w:val="22"/>
          <w:lang w:val="sr-Latn-ME" w:eastAsia="sr-Latn-ME"/>
        </w:rPr>
        <w:lastRenderedPageBreak/>
        <w:t xml:space="preserve">Pacijenti koji primaju TNF-antagoniste podložniji su razvoju teških infekcija. Oštećena funkcija pluća može povećati rizik od razvoja infekcija. </w:t>
      </w:r>
      <w:r w:rsidRPr="00B60703">
        <w:rPr>
          <w:sz w:val="22"/>
          <w:szCs w:val="22"/>
          <w:lang w:val="sr-Latn-ME" w:eastAsia="sr-Latn-ME"/>
        </w:rPr>
        <w:t xml:space="preserve">Prije, za vrijeme i nakon liječenja lijekom Hyrimoz stanje pacijenata se mora pažljivo pratiti zbog moguće pojave infekcija, uključujući tuberkulozu. Zbog toga što eliminacija adalimumaba može trajati i do četiri mjeseca, potrebno je nastaviti praćenje i u ovom periodu.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Liječenje lijekom Hyrimoz ne smije se započinjati kod pacijenata sa aktivnim infekcijama uključujući hronične ili lokalizovane infekcije sve dok te infekcije ne budu pod kontrolom. Kod pacijenata koji su bili izloženi tuberkulozi i kod pacijenata koji su putovali u visokorizične oblasti za pojavu tuberkuloze ili endemskih mikoza, kao što su histoplazmoza, kokcidioidomikoza ili blastomikoza, odnos koristi i rizika treba razmotriti prije započinjanja terapije lijekom Hyrimoz (vidjeti </w:t>
      </w:r>
      <w:r w:rsidRPr="00B60703">
        <w:rPr>
          <w:i/>
          <w:sz w:val="22"/>
          <w:szCs w:val="22"/>
          <w:lang w:val="sr-Latn-ME" w:eastAsia="sr-Latn-ME"/>
        </w:rPr>
        <w:t>Ostale</w:t>
      </w:r>
      <w:r w:rsidRPr="00B60703">
        <w:rPr>
          <w:sz w:val="22"/>
          <w:szCs w:val="22"/>
          <w:lang w:val="sr-Latn-ME" w:eastAsia="sr-Latn-ME"/>
        </w:rPr>
        <w:t xml:space="preserve"> </w:t>
      </w:r>
      <w:r w:rsidRPr="00B60703">
        <w:rPr>
          <w:i/>
          <w:sz w:val="22"/>
          <w:szCs w:val="22"/>
          <w:lang w:val="sr-Latn-ME" w:eastAsia="sr-Latn-ME"/>
        </w:rPr>
        <w:t>oportunističke infekcije</w:t>
      </w:r>
      <w:r w:rsidRPr="00B60703">
        <w:rPr>
          <w:sz w:val="22"/>
          <w:szCs w:val="22"/>
          <w:lang w:val="sr-Latn-ME" w:eastAsia="sr-Latn-ME"/>
        </w:rPr>
        <w:t>).</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Potrebno je pažljivo pratiti i kompletno dijagnostički evaluirati stanje pacijenata koji razviju novu infekciju tokom liječenja lijekom Hyrimoz. Ukoliko kod pacijenta dođe do razvoja nove teške infekcije ili sepse, potrebno je prekinuti primjenu lijeka Hyrimoz i započeti odgovarajuću antimikrobnu ili antigljivičnu terapiju, sve dok ta infekcija ne bude pod kontrolom. Potrebno je da ljekar bude na oprezu kada razmatra upotrebu lijeka Hyrimoz kod pacijenata sa rekurentnim infekcijama u istoriji bolesti ili kod pacijenata koji imaju oboljenje koje može predisponirati</w:t>
      </w:r>
      <w:r w:rsidRPr="00B60703">
        <w:rPr>
          <w:b/>
          <w:bCs/>
          <w:sz w:val="22"/>
          <w:szCs w:val="22"/>
          <w:lang w:val="sr-Latn-ME" w:eastAsia="sr-Latn-ME"/>
        </w:rPr>
        <w:t xml:space="preserve"> </w:t>
      </w:r>
      <w:r w:rsidRPr="00B60703">
        <w:rPr>
          <w:sz w:val="22"/>
          <w:szCs w:val="22"/>
          <w:lang w:val="sr-Latn-ME" w:eastAsia="sr-Latn-ME"/>
        </w:rPr>
        <w:t xml:space="preserve">nastanak infekcija, uključujući i istovremenu primjenu imunosupresiva.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i/>
          <w:sz w:val="22"/>
          <w:lang w:val="sr-Latn-ME" w:eastAsia="sr-Latn-ME"/>
        </w:rPr>
      </w:pPr>
      <w:r w:rsidRPr="00B60703">
        <w:rPr>
          <w:bCs/>
          <w:i/>
          <w:sz w:val="22"/>
          <w:szCs w:val="22"/>
          <w:lang w:val="sr-Latn-ME" w:eastAsia="sr-Latn-ME"/>
        </w:rPr>
        <w:t>Ozbiljne infekcije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lang w:val="sr-Latn-ME" w:eastAsia="sr-Latn-ME"/>
        </w:rPr>
        <w:t xml:space="preserve">Kod pacijenata koji su primali adalimumab prijavljene su ozbiljne infekcije, uključujući sepsu, usljed bakterijskih, mikobakterijskih, invazivnih fungalnih, parazitarnih, virusnih i drugih oportunističkih infekcija, kao što su listerioza, legioneloza i pneumocistis. </w:t>
      </w: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lang w:val="sr-Latn-ME" w:eastAsia="sr-Latn-ME"/>
        </w:rPr>
        <w:t>Druge ozbiljne infekcije uočene u kliničkim studijama uključuju pneumoniju, pijelonefritis,</w:t>
      </w:r>
      <w:r w:rsidRPr="00B60703">
        <w:rPr>
          <w:sz w:val="22"/>
          <w:lang w:val="sr-Latn-ME" w:eastAsia="sr-Latn-ME"/>
        </w:rPr>
        <w:t xml:space="preserve"> </w:t>
      </w:r>
      <w:r w:rsidRPr="00B60703">
        <w:rPr>
          <w:sz w:val="22"/>
          <w:szCs w:val="22"/>
          <w:lang w:val="sr-Latn-ME" w:eastAsia="sr-Latn-ME"/>
        </w:rPr>
        <w:t>septični artritis i septikemiju. Prijavljene su hospitalizacije ili smrtni ishodi povezani sa infekcijama.</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i/>
          <w:sz w:val="22"/>
          <w:lang w:val="sr-Latn-ME" w:eastAsia="sr-Latn-ME"/>
        </w:rPr>
      </w:pPr>
      <w:r w:rsidRPr="00B60703">
        <w:rPr>
          <w:bCs/>
          <w:i/>
          <w:sz w:val="22"/>
          <w:szCs w:val="22"/>
          <w:lang w:val="sr-Latn-ME" w:eastAsia="sr-Latn-ME"/>
        </w:rPr>
        <w:t>Tuberkuloza</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Kod pacijenata liječenih adalimumabom su prijavljeni slučajevi tuberkuloze, uključujući i reaktivaciju i novu pojavu tuberkuloze. Prijave uključuju slučajeve pulmonalne i ekstrapulmonalne, tj. diseminovane tuberkuloze.</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Prije započinjanja liječenja lijekom Hyrimoz potrebno je svakog pacijenta ispitati u smislu postojanja eventualne aktivne ili neaktivne (latentne) tuberkulozne infekcije. Ovo ispitivanje treba da uključi detaljnu medicinsku istoriju sa ličnom anamnezom o tuberkulozi ili mogućoj prethodnoj izloženosti pacijentima sa aktivnom tuberkulozom i prethodnoj i/ili trenutnoj imunosupresivnoj terapiji. Potrebno je svim pacijentima uraditi odgovarajuće skrining testove, npr. kožne tuberkulinske probe i rentgenski snimak grudnog koša (u skladu sa lokalnim preporukama). Preporučuje se bilježenje sprovođenja, kao i rezultata ovih testova u Karticu upozorenja za pacijenta. Ljekar koji propisuje lijek treba da ima na umu rizik od lažno negativnih rezultata tuberkulinskih kožnih proba, naročito kod pacijenata koji su teško bolesni ili imunološki kompromitovani.</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Ukoliko se postavi dijagnoza aktivne tuberkuloze, terapija lijekom Hyrimoz se ne smije započeti (vidjeti dio 4.3).</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U svim slučajevima opisanim u nastavku, potrebno je veoma pažljivo razmotriti odnos koristi i rizika od primjene terapije.</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Ako postoji sumnja na latentnu tuberkulozu, treba konsultovati ljekara koji ima iskustvo u liječenju tuberkuloze.</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lang w:val="sr-Latn-ME" w:eastAsia="sr-Latn-ME"/>
        </w:rPr>
        <w:t xml:space="preserve"> </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lastRenderedPageBreak/>
        <w:t>Ako je postavljena dijagnoza latentne tuberkuloze, potrebno je započeti odgovarajuću terapiju antituberkuloznom profilaktičkom terapijom, prije započinjanja terapije lijekom Hyrimoz, u skladu sa lokalnim preporukama.</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Primjenu antituberkulozne profilaktičke terapije, takođe, treba razmotriti prije početka primjene lijeka Hyrimoz kod pacijenata koji imaju nekoliko faktora rizika ili imaju značajne faktore rizika za tuberkulozu, a negativan test na tuberkulozu, kao i kod pacijenata koji su u prošlosti imali latentnu ili aktivnu tuberkulozu, a kod kojih ne može biti utvrđeno da su sproveli adekvatnu antituberkuloznu terapiju.</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Uprkos primijenjenoj profilaktičkoj terapiji tuberkuloze, javili su se slučajevi reaktivacije tuberkuloze kod pacijenata liječenih adalimumabom. Neki pacijenti koji su prethodno uspješno liječeni od aktivne tuberkuloze razvili su ponovo tuberkulozu dok su bili na terapiji adalimumabom.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Potrebno je informisati pacijente da odmah potraže medicinsku pomoć ukoliko se za vrijeme ili nakon liječenja lijekom Hyrimoz jave znaci ili simptomi (npr. perzistentan kašalj, naglo mršavljenje/gubitak tjelesne mase, subfebrilna temperatura, mlitavost) koji ukazuju na tuberkuloznu infekciju.</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bCs/>
          <w:i/>
          <w:sz w:val="22"/>
          <w:lang w:val="sr-Latn-ME" w:eastAsia="sr-Latn-ME"/>
        </w:rPr>
      </w:pPr>
      <w:r w:rsidRPr="00B60703">
        <w:rPr>
          <w:bCs/>
          <w:i/>
          <w:sz w:val="22"/>
          <w:szCs w:val="22"/>
          <w:lang w:val="sr-Latn-ME" w:eastAsia="sr-Latn-ME"/>
        </w:rPr>
        <w:t>Ostale oportunističke infekcije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Prilikom primjene adalimumaba, bilo je izvještaja o oportunističkim infekcijama, uključujući invazivne gljivične infekcije. Budući da ove infekcije nisu uvijek bile prepoznate kod pacijenata koji su bili na terapiji TNF-blokatorima, dolazilo je do kašnjenja u primjeni odgovarajuće terapije, što je ponekad dovodilo do smrtnog ishoda.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Ako se kod pacijenta pojave znaci i simptomi, kao što su povišena tjelesna temperatura, malaksalost, gubitak tjelesne mase, znojenje, kašalj, dispneja, i/ili plućni infiltrati ili druge teške sistemske bolesti sa ili bez istovremene pojave šoka, treba posumnjati na invazivnu gljivičnu infekciju, a primjenu lijeka Hyrimoz treba odmah prekinuti. Dijagnoza i primjena empirijske antifungalne terapije kod ovih pacijenata mora biti urađena u konsultaciji sa ljekarom sa iskustvom u liječenju invazivnih gljivičnih infekcija.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Reaktivacija hepatitisa B</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Kod pacijenata koji su uzimali antagoniste TNF-a, uključujući i adalimumab, može doći do pojave reaktivacije hepatitisa B, ukoliko su bili hronični nosioci virusa </w:t>
      </w:r>
      <w:r w:rsidRPr="00B60703">
        <w:rPr>
          <w:sz w:val="22"/>
          <w:lang w:val="sr-Latn-ME" w:eastAsia="sr-Latn-ME"/>
        </w:rPr>
        <w:t>(tj. pozitivni na površinski Ag)</w:t>
      </w:r>
      <w:r w:rsidRPr="00B60703">
        <w:rPr>
          <w:sz w:val="22"/>
          <w:szCs w:val="22"/>
          <w:lang w:val="sr-Latn-ME" w:eastAsia="sr-Latn-ME"/>
        </w:rPr>
        <w:t>. Neki slučajevi su imali smrtni ishod. Prije početka terapije lijekom Hyrimoz potrebno je pacijente testirati, kako bi se isključilo postojanje HBV infekcije. Ukoliko ispitivanje pokaže pozitivan test na HBV infekciju, preporučuje se konsultacija sa ljekarom specijalistom u liječenju HBV infekcije.</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Nosioci virusa hepatitisa B kod kojih je neophodna primjena lijeka Hyrimoz moraju biti pažljivo kontrolisani </w:t>
      </w:r>
      <w:r w:rsidRPr="00B60703">
        <w:rPr>
          <w:sz w:val="22"/>
          <w:lang w:val="sr-Latn-ME" w:eastAsia="sr-Latn-ME"/>
        </w:rPr>
        <w:t>na znake i simptome aktivne HBV infekcije</w:t>
      </w:r>
      <w:r w:rsidRPr="00B60703">
        <w:rPr>
          <w:sz w:val="22"/>
          <w:szCs w:val="22"/>
          <w:lang w:val="sr-Latn-ME" w:eastAsia="sr-Latn-ME"/>
        </w:rPr>
        <w:t xml:space="preserve"> tokom cijelog trajanja terapije i nekoliko mjeseci nakon prekida terapije. Ne postoje podaci o primjeni antivirusne terapije kod pacijenata koji su nosioci virusa hepatitisa B u kombinaciji sa anti-TNF terapijom u cilju prevencije HBV reaktivacije. Kod pacijenata kod kojih se javi reaktivacija HBV infekcije, treba prekinuti sa primjenom lijeka Hyrimoz i započeti efektivnu antivirusnu terapiju uz odgovarajuću suportivnu terapiju. </w:t>
      </w:r>
    </w:p>
    <w:p w:rsidR="005B62E2" w:rsidRPr="00B60703" w:rsidRDefault="005B62E2">
      <w:pPr>
        <w:tabs>
          <w:tab w:val="left" w:pos="708"/>
          <w:tab w:val="center" w:pos="4536"/>
          <w:tab w:val="right" w:pos="9072"/>
        </w:tabs>
        <w:snapToGrid w:val="0"/>
        <w:jc w:val="both"/>
        <w:rPr>
          <w:bCs/>
          <w:sz w:val="22"/>
          <w:szCs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Neurološke pojave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Antagonisti TNF-a, uključujući adalimumab, u rijetkim slučajevima udruženi su sa pojavom novih ili egzacerbacijom kliničkih simptoma i/ili radiografskim dokazima demijelinizirajućih bolesti centralnog nervnog sistema, uključujući multiplu sklerozu i optički neuritis, i perifernih demijelinizirajućih bolesti, uključujući </w:t>
      </w:r>
      <w:r w:rsidRPr="00B60703">
        <w:rPr>
          <w:i/>
          <w:sz w:val="22"/>
          <w:szCs w:val="22"/>
          <w:lang w:val="sr-Latn-ME" w:eastAsia="sr-Latn-ME"/>
        </w:rPr>
        <w:t>Guillain–Barre</w:t>
      </w:r>
      <w:r w:rsidRPr="00B60703">
        <w:rPr>
          <w:sz w:val="22"/>
          <w:szCs w:val="22"/>
          <w:lang w:val="sr-Latn-ME" w:eastAsia="sr-Latn-ME"/>
        </w:rPr>
        <w:t xml:space="preserve"> sindrom.  Potrebno je da ljekari sa oprezom razmatraju primjenu lijeka Hyrimoz kod pacijenata sa već postojećim ili skoro nastalim demijelinizirajućim oboljenjima centralnog ili perifernog nervnog sistema; ako se razvije bilo koji od tih poremećaja, treba razmotriti prekid liječenja lijekom Hyrimoz. Poznato je da postoji povezanost između intermedijarnog uveitisa i demijelinizirajućih poremećaja centralnog nervnog sistema. Kod pacijenata sa neinfektivnim </w:t>
      </w:r>
      <w:r w:rsidRPr="00B60703">
        <w:rPr>
          <w:sz w:val="22"/>
          <w:szCs w:val="22"/>
          <w:lang w:val="sr-Latn-ME" w:eastAsia="sr-Latn-ME"/>
        </w:rPr>
        <w:lastRenderedPageBreak/>
        <w:t xml:space="preserve">intermedijarnim uveitisom treba uraditi neurološku procjenu prije započinjanja liječenja lijekom Hyrimoz i redovno tokom liječenja kako bi se utvrdili od ranije postojeći ili novorazvijeni demijelinizirajući poremećaji centralnog nervnog sistema.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Alergijske reakcije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Tokom kliničkih istraživanja, ozbiljne alergijske neželjene reakcije pri primjeni adalimumaba bile su rijetke. Alergijske reakcije blažeg oblika udružene sa upotrebom adalimumaba su bile povremene učestalosti tokom kliničkih istraživanja. U postmarketinškim istraživanjima, zabilježene su ozbiljne alergijske reakcije, uključujući anafilaksu, nakon primjene adalimumaba. Ukoliko dođe do pojave anafilaktičke reakcije ili neke druge ozbiljne alergijske reakcije, potrebno je odmah zaustaviti primjenu lijeka Hyrimoz i započeti odgovarajuću terapiju. </w:t>
      </w:r>
    </w:p>
    <w:p w:rsidR="005B62E2" w:rsidRPr="00B60703" w:rsidRDefault="005B62E2">
      <w:pPr>
        <w:tabs>
          <w:tab w:val="left" w:pos="708"/>
          <w:tab w:val="center" w:pos="4536"/>
          <w:tab w:val="right" w:pos="9072"/>
        </w:tabs>
        <w:snapToGrid w:val="0"/>
        <w:jc w:val="both"/>
        <w:rPr>
          <w:bCs/>
          <w:sz w:val="22"/>
          <w:szCs w:val="22"/>
          <w:u w:val="single"/>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Imunosupresija</w:t>
      </w:r>
    </w:p>
    <w:p w:rsidR="005B62E2" w:rsidRPr="00B60703" w:rsidRDefault="005B62E2">
      <w:pPr>
        <w:tabs>
          <w:tab w:val="left" w:pos="708"/>
          <w:tab w:val="center" w:pos="4536"/>
          <w:tab w:val="right" w:pos="9072"/>
        </w:tabs>
        <w:snapToGrid w:val="0"/>
        <w:jc w:val="both"/>
        <w:rPr>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U studiji na 64 pacijenta sa reumatoidnim artritisom na terapiji adalimumabom, nije bilo pojave smanjenja reakcija preosjetljivosti kasnog tipa, sniženja nivoa imunoglobulina ili promjene broja efektornih T- i B-ćelija, NK-ćelija, monocita/makrofaga i neutrofila. </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 </w:t>
      </w: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Maligne bolesti i limfoproliferativni poremećaji</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U kontrolisanim djelovima kliničkih istraživanja sa TNF-antagonistima, više slučajeva maligniteta, uključujući limfome, primijećeno je među pacijentima koji su primali TNF-antagoniste nego kod pacijenata iz kontrolne grupe. Učestalost maligniteta je bila rijetka. U postmarketinškom praćenju, prijavljeni su slučajevi leukemije kod pacijenata koji su liječeni TNF-antagonistima. Postoji povećan rizik za nastanak limfoma i leukemije kod pacijenata sa reumatoidnim artritisom koji dugo boluju od visoko aktivne, inflamatorne bolesti, što dodatno komplikuje procjenu rizika. Sa trenutnim saznanjima, ne može se isključiti mogući rizik za razvoj limfoma, leukemije ili drugih maligniteta kod pacijenata liječenih antagonistom TNF-a.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Nakon stavljanja lijeka u promet zabilježene su maligne bolesti, neke sa smrtnim ishodom, kod djece, adolescenata i mlađih odraslih osoba (starosti do 22 godine) liječenih antagonistima TNF-a (početak terapije u 18. godini života ili ranije), uključujući i adalimumab. Otprilike polovina slučajeva su bili limfomi. Ostali slučajevi su predstavljali mnoštvo različitih malignih bolesti, uključujući rijetke maligne bolesti obično povezane sa imunosupresijom. Rizik od pojave malignih bolesti kod djece i adolescenata liječenih antagonistima TNF-a se ne može isključiti.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Kod pacijenata liječenih adalimumabom je u postmarketinškom praćenju rijetko primjećivan hepatosplenični T-ćelijski limfom. Ovaj rijedak tip T-ćelijskog limfoma ima jako agresivan tok bolesti i obično je sa smrtnim ishodom. Pojedini od hepatospleničnih T-ćelijskih limfoma javili su se kod mlađih, odraslih pacijenata koji su tokom liječenja adalimumabom bili istovremeno na terapiji azatioprinom ili 6-merkaptopurinom, koji su korišćeni za terapiju inflamatornih bolesti crijeva. Potencijalni rizik od istovremene primjene azatioprina ili 6-merkaptopurina i adalimumaba treba pažljivo razmotriti. Ne može se isključiti rizik od nastanka hepatospleničnog T-ćelijskog limfoma kod pacijenata liječenih lijekom Hyrimoz (vidjeti dio 4.8).</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Do sada nisu sprovođene studije koje bi uključile pacijente sa malignitetom u istoriji bolesti niti studije u kojima bi se nastavilo liječenje pacijenata koji su razvili malignitet dok su primali adalimumab. Dodatne mjere opreza treba preduzeti kada se razmatra liječenje ovakvih pacijenata adalimumabom (vidjeti dio 4.8).</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Sve pacijente, a naročito one sa medicinskom istorijom ekstenzivne imunosupresivne terapije ili pacijente sa psorijazom koji su liječeni PUVA terapijom, treba pregledati na prisustvo nemelanomskog karcinoma kože prije i tokom terapije lijekom Hyrimoz. Takođe su prijavljeni slučajevi melanoma i karcinoma Merkelovih ćelija kod pacijenata liječenih antagonistima TNF-a, uključujući adalimumab (vidjeti dio 4.8).</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lastRenderedPageBreak/>
        <w:t>U eksplorativnoj kliničkoj studiji koja je ispitivala primjenu drugog anti-TNF lijeka, infliksimaba, kod pacijenata sa umjerenom do teškom hroničnom opstruktivnom bolešću pluća (HOBP), zabilježena je pojava maligniteta, naročito pluća ili glave i vrata, kod pacijenata liječenih infliksimabom u poređenju sa kontrolnim pacijentima. Anamnestički podaci pokazuju da su svi pacijenti bili teški pušači. Prema tome, potreban je oprez kada se koristi bilo koji TNF-antagonist kod pacijenata sa HOBP, kao i kod pacijenata sa povećanim rizikom od pojave maligniteta zbog istorije teškog pušenja.</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Nije poznato da li terapija adalimumabom povećava rizik od razvoja displazije ili karcinoma kolona, prema trenutnim podacima. Svi pacijenti oboljeli od ulceroznog kolitisa sa povećanim rizikom od razvoja displazije ili karcinoma kolona (npr. pacijenti sa dugogodišnjim ulceroznim kolitisom ili primarnim sklerozirajućim holangitisom) ili pacijenti koji su prethodno bili oboljeli od displazije ili karcinoma kolona, treba da budu testirani u propisanim intervalima, prije započinjanja i tokom liječenja. Ovo testiranje treba da uključi kolonoskopiju i biopsije, prema lokalnim preporukama.</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 </w:t>
      </w: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Hematološke reakcije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Prijavljeni su rijetki slučajevi pancitopenije, uključujući aplastičnu anemiju, vezano za primjenu ljekova koji blokiraju TNF. Neželjeni događaji hematološkog sistema, uključujući medicinski značajnu citopeniju (npr. trombocitopenija, leukopenija) su prijavljivani pri primjeni adalimumaba. Potrebno je posavjetovati sve pacijente koji se liječe lijekom Hyrimoz da potraže neodložnu medicinsku pomoć ukoliko razviju znake i simptome koji ukazuju na poremećaj u broju ćelija krvi - diskraziju (npr. dugotrajna temperatura, pojava modrica, krvarenje, bljedilo). Prekid terapije lijekom Hyrimoz treba razmotriti kod onih pacijenata kod kojih se utvrde značajne hematološke abnormalnosti.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Vakcinacije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U studiji na 226 odraslih pacijenata sa reumatoidnim artritisom sličan odgovor antitijela na 23-valentnu pneumokoknu vakcinu i trovalentnu vakcinu protiv influence je zabilježen kod pacijenata liječenih adalimumabom ili placebom. Ne postoje podaci o sekundarnoj transmisiji živim vakcinama kod pacijenata liječenih adalimumabom.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Preporučuje se da pedijatrijski pacijenti, ukoliko je to moguće, prime sve potrebne vakcine u skladu sa kalendarom obaveznih vakcinacija prije početka terapije adalimumabom.</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Pacijenti koji primaju adalimumab mogu primiti vakcine, ali ne žive. Primjena živih vakcina (npr. BCG vakcina) kod djece koja su bila izložena adalimumabu </w:t>
      </w:r>
      <w:r w:rsidRPr="00B60703">
        <w:rPr>
          <w:i/>
          <w:sz w:val="22"/>
          <w:szCs w:val="22"/>
          <w:lang w:val="sr-Latn-ME" w:eastAsia="sr-Latn-ME"/>
        </w:rPr>
        <w:t>in utero</w:t>
      </w:r>
      <w:r w:rsidRPr="00B60703">
        <w:rPr>
          <w:sz w:val="22"/>
          <w:szCs w:val="22"/>
          <w:lang w:val="sr-Latn-ME" w:eastAsia="sr-Latn-ME"/>
        </w:rPr>
        <w:t xml:space="preserve"> nije preporučena 5 mjeseci nakon posljednje doze adalimumaba koju je majka primila tokom trudnoće.</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 </w:t>
      </w: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Kongestivna srčana insuficijencija</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U kliničkom ispitivanju sa drugim antagonistom TNF-a primijećeno je pogoršanje kongestivne srčane insuficijencije i povećanje smrtnosti usljed kongestivne srčane insuficijencije. Slučajevi pogoršanja kongestivne srčane insuficijencije su takođe zabilježeni kod pacijenata koji su primali adalimumab. Potrebna je obazriva primjena lijeka Hyrimoz kod pacijenata sa blagom srčanom insuficijencijom (NYHA klasa I/II). Lijek Hyrimoz je kontraindikovan kod umjerene do teške srčane insuficijencije (vidjeti dio 4.3). Liječenje lijekom Hyrimoz se mora prekinuti kod pacijenata kod kojih se razviju novi ili pogoršaju simptomi kongestivne srčane insuficijencije.</w:t>
      </w:r>
    </w:p>
    <w:p w:rsidR="005B62E2" w:rsidRPr="00B60703" w:rsidRDefault="005B62E2">
      <w:pPr>
        <w:tabs>
          <w:tab w:val="left" w:pos="708"/>
          <w:tab w:val="center" w:pos="4536"/>
          <w:tab w:val="right" w:pos="9072"/>
        </w:tabs>
        <w:snapToGrid w:val="0"/>
        <w:jc w:val="both"/>
        <w:rPr>
          <w:bCs/>
          <w:sz w:val="22"/>
          <w:szCs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Autoimuni procesi</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Za vrijeme primjene lijeka Hyrimoz mogu se razviti autoimuna antitijela. Uticaj dugotrajnog liječenja adalimumabom na razvoj autoimunih bolesti nije poznat. Ako pacijent nakon primjene lijeka Hyrimoz razvije simptome koji ukazuju na sindrom sličan lupusu i pozitivan je na antitijela usmjerena protiv dvolančane DNK, terapija lijekom Hyrimoz se ne smije nastaviti (vidjeti dio 4.8).</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lastRenderedPageBreak/>
        <w:t>Istovremena primjena bioloških antireumatika koji modifikuju bolest (ARMB) ili TNF-antagonista</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U kliničkim studijama su pri istovremenoj upotrebi anakinre i drugog antagoniste TNF-a, etanercepta, primijećene ozbiljne infekcije, a da nije bilo dodatne kliničke koristi u poređenju sa monoterapijom etanerceptom. Usljed prirode neželjenih dejstava primijećenih pri kombinaciji etanercepta i anakinre, slične toksičnosti mogu nastati i kada se kombinuju anakinra i drugi antagonisti TNF-a. Iz tih razloga, ne preporučuje se kombinacija adalimumaba i anakinre (vidjeti dio 4.5). </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Istovremena primjena adalimumaba sa drugim biološkim </w:t>
      </w:r>
      <w:r w:rsidRPr="00B60703">
        <w:rPr>
          <w:bCs/>
          <w:sz w:val="22"/>
          <w:szCs w:val="22"/>
          <w:lang w:val="sr-Latn-ME" w:eastAsia="sr-Latn-ME"/>
        </w:rPr>
        <w:t>ARMB</w:t>
      </w:r>
      <w:r w:rsidRPr="00B60703">
        <w:rPr>
          <w:sz w:val="22"/>
          <w:szCs w:val="22"/>
          <w:lang w:val="sr-Latn-ME" w:eastAsia="sr-Latn-ME"/>
        </w:rPr>
        <w:t xml:space="preserve"> (npr. anakinra, abatacept) ili drugim antagonistom TNF-a se ne preporučuje, usljed povećanog rizika od nastanka infekcija, uključujući i ozbiljne infekcije, i drugih potencijalnih farmakoloških interakcija (vidjeti dio 4.5). </w:t>
      </w:r>
    </w:p>
    <w:p w:rsidR="005B62E2" w:rsidRPr="00B60703" w:rsidRDefault="005B62E2">
      <w:pPr>
        <w:tabs>
          <w:tab w:val="left" w:pos="708"/>
          <w:tab w:val="center" w:pos="4536"/>
          <w:tab w:val="right" w:pos="9072"/>
        </w:tabs>
        <w:snapToGrid w:val="0"/>
        <w:jc w:val="both"/>
        <w:rPr>
          <w:bCs/>
          <w:sz w:val="22"/>
          <w:szCs w:val="22"/>
          <w:u w:val="single"/>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Hirurške intervencije</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Ograničeno je iskustvo o bezbjednosti hirurških intervencija kod pacijenata na terapiji adalimumabom. Potrebno je uzeti u obzir dugo poluvrijeme eliminacije adalimumaba prije nego što se planira hirurška intervencija. Stanje pacijenta koji je na terapiji lijekom Hyrimoz, a potrebno ga je operisati, treba pažljivo pratiti zbog infekcija i preduzeti odgovarajuće mjere. Ograničeni su podaci o bezbjednosti pacijenata koji se podvrgnu artroplastici dok su na terapiji adalimumabom. </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bCs/>
          <w:sz w:val="22"/>
          <w:u w:val="single"/>
          <w:lang w:val="sr-Latn-ME" w:eastAsia="sr-Latn-ME"/>
        </w:rPr>
      </w:pPr>
      <w:r w:rsidRPr="00B60703">
        <w:rPr>
          <w:bCs/>
          <w:sz w:val="22"/>
          <w:szCs w:val="22"/>
          <w:u w:val="single"/>
          <w:lang w:val="sr-Latn-ME" w:eastAsia="sr-Latn-ME"/>
        </w:rPr>
        <w:t>Opstrukcija tankog crijeva</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U </w:t>
      </w:r>
      <w:r w:rsidRPr="00B60703">
        <w:rPr>
          <w:i/>
          <w:sz w:val="22"/>
          <w:szCs w:val="22"/>
          <w:lang w:val="sr-Latn-ME" w:eastAsia="sr-Latn-ME"/>
        </w:rPr>
        <w:t>Crohn-</w:t>
      </w:r>
      <w:r w:rsidRPr="00B60703">
        <w:rPr>
          <w:sz w:val="22"/>
          <w:szCs w:val="22"/>
          <w:lang w:val="sr-Latn-ME" w:eastAsia="sr-Latn-ME"/>
        </w:rPr>
        <w:t>ovoj bolesti, odsustvo odgovora na terapiju može ukazati na prisustvo fiksiranih fibroznih striktura koje mogu zahtijevati hirurško liječenje. Dostupni podaci pokazuju da adalimumab ne izaziva i ne pogoršava ove strikture.</w:t>
      </w:r>
    </w:p>
    <w:p w:rsidR="005B62E2" w:rsidRPr="00B60703" w:rsidRDefault="005B62E2">
      <w:pPr>
        <w:tabs>
          <w:tab w:val="left" w:pos="284"/>
        </w:tabs>
        <w:jc w:val="both"/>
        <w:rPr>
          <w:sz w:val="22"/>
          <w:lang w:val="sr-Latn-ME"/>
        </w:rPr>
      </w:pPr>
    </w:p>
    <w:p w:rsidR="005B62E2" w:rsidRPr="00B60703" w:rsidRDefault="00F03789">
      <w:pPr>
        <w:tabs>
          <w:tab w:val="left" w:pos="284"/>
        </w:tabs>
        <w:jc w:val="both"/>
        <w:rPr>
          <w:sz w:val="22"/>
          <w:szCs w:val="22"/>
          <w:u w:val="single"/>
          <w:lang w:val="sr-Latn-ME"/>
        </w:rPr>
      </w:pPr>
      <w:r w:rsidRPr="00B60703">
        <w:rPr>
          <w:sz w:val="22"/>
          <w:szCs w:val="22"/>
          <w:u w:val="single"/>
          <w:lang w:val="sr-Latn-ME"/>
        </w:rPr>
        <w:t>Primjena kod starijih pacijenata</w:t>
      </w:r>
    </w:p>
    <w:p w:rsidR="005B62E2" w:rsidRPr="00B60703" w:rsidRDefault="005B62E2">
      <w:pPr>
        <w:tabs>
          <w:tab w:val="left" w:pos="284"/>
        </w:tabs>
        <w:jc w:val="both"/>
        <w:rPr>
          <w:sz w:val="22"/>
          <w:szCs w:val="22"/>
          <w:lang w:val="sr-Latn-ME"/>
        </w:rPr>
      </w:pPr>
    </w:p>
    <w:p w:rsidR="005B62E2" w:rsidRPr="00B60703" w:rsidRDefault="00F03789">
      <w:pPr>
        <w:tabs>
          <w:tab w:val="left" w:pos="284"/>
        </w:tabs>
        <w:jc w:val="both"/>
        <w:rPr>
          <w:sz w:val="22"/>
          <w:szCs w:val="22"/>
          <w:lang w:val="sr-Latn-ME"/>
        </w:rPr>
      </w:pPr>
      <w:r w:rsidRPr="00B60703">
        <w:rPr>
          <w:sz w:val="22"/>
          <w:szCs w:val="22"/>
          <w:lang w:val="sr-Latn-ME"/>
        </w:rPr>
        <w:t>Učestalost ozbiljnih infekcija kod pacijenata starijih od 65 godina koji su primali adalimumab (3,7%), bila je veća nego kod pacijenata mlađih od 65 godina (1,5%). Neki od prijavljenih slučajeva su imali smrtni ishod. Prilikom liječenja starijih pacijenata, posebnu pažnju treba obratiti na povećan rizik od nastanka infekcija.</w:t>
      </w:r>
    </w:p>
    <w:p w:rsidR="005B62E2" w:rsidRPr="00B60703" w:rsidRDefault="005B62E2">
      <w:pPr>
        <w:tabs>
          <w:tab w:val="left" w:pos="284"/>
        </w:tabs>
        <w:jc w:val="both"/>
        <w:rPr>
          <w:sz w:val="22"/>
          <w:szCs w:val="22"/>
          <w:lang w:val="sr-Latn-ME"/>
        </w:rPr>
      </w:pPr>
    </w:p>
    <w:p w:rsidR="005B62E2" w:rsidRPr="00B60703" w:rsidRDefault="00F03789">
      <w:pPr>
        <w:tabs>
          <w:tab w:val="left" w:pos="284"/>
        </w:tabs>
        <w:jc w:val="both"/>
        <w:rPr>
          <w:sz w:val="22"/>
          <w:szCs w:val="22"/>
          <w:u w:val="single"/>
          <w:lang w:val="sr-Latn-ME"/>
        </w:rPr>
      </w:pPr>
      <w:r w:rsidRPr="00B60703">
        <w:rPr>
          <w:sz w:val="22"/>
          <w:szCs w:val="22"/>
          <w:u w:val="single"/>
          <w:lang w:val="sr-Latn-ME"/>
        </w:rPr>
        <w:t>Pedijatrijska populacija</w:t>
      </w:r>
    </w:p>
    <w:p w:rsidR="005B62E2" w:rsidRPr="00B60703" w:rsidRDefault="005B62E2">
      <w:pPr>
        <w:tabs>
          <w:tab w:val="left" w:pos="284"/>
        </w:tabs>
        <w:jc w:val="both"/>
        <w:rPr>
          <w:sz w:val="22"/>
          <w:szCs w:val="22"/>
          <w:lang w:val="sr-Latn-ME"/>
        </w:rPr>
      </w:pPr>
    </w:p>
    <w:p w:rsidR="005B62E2" w:rsidRPr="00B60703" w:rsidRDefault="00F03789">
      <w:pPr>
        <w:tabs>
          <w:tab w:val="left" w:pos="284"/>
        </w:tabs>
        <w:jc w:val="both"/>
        <w:rPr>
          <w:sz w:val="22"/>
          <w:szCs w:val="22"/>
          <w:lang w:val="sr-Latn-ME"/>
        </w:rPr>
      </w:pPr>
      <w:r w:rsidRPr="00B60703">
        <w:rPr>
          <w:sz w:val="22"/>
          <w:szCs w:val="22"/>
          <w:lang w:val="sr-Latn-ME"/>
        </w:rPr>
        <w:t>Vidjeti prethodno naveden dio “Vakcinacije”.</w:t>
      </w:r>
    </w:p>
    <w:p w:rsidR="005B62E2" w:rsidRPr="00B60703" w:rsidRDefault="005B62E2">
      <w:pPr>
        <w:tabs>
          <w:tab w:val="left" w:pos="284"/>
        </w:tabs>
        <w:jc w:val="both"/>
        <w:rPr>
          <w:sz w:val="22"/>
          <w:szCs w:val="22"/>
          <w:lang w:val="sr-Latn-ME"/>
        </w:rPr>
      </w:pPr>
    </w:p>
    <w:p w:rsidR="005B62E2" w:rsidRPr="00B60703" w:rsidRDefault="00F03789">
      <w:pPr>
        <w:tabs>
          <w:tab w:val="left" w:pos="284"/>
        </w:tabs>
        <w:jc w:val="both"/>
        <w:rPr>
          <w:sz w:val="22"/>
          <w:szCs w:val="22"/>
          <w:lang w:val="sr-Latn-ME"/>
        </w:rPr>
      </w:pPr>
      <w:bookmarkStart w:id="5" w:name="_Hlk508270404"/>
      <w:r w:rsidRPr="00B60703">
        <w:rPr>
          <w:sz w:val="22"/>
          <w:u w:val="single"/>
          <w:lang w:val="sr-Latn-ME"/>
        </w:rPr>
        <w:t>Pomoćne supstance sa potvrđenim dejstvom</w:t>
      </w:r>
    </w:p>
    <w:p w:rsidR="005B62E2" w:rsidRPr="00B60703" w:rsidRDefault="005B62E2">
      <w:pPr>
        <w:tabs>
          <w:tab w:val="left" w:pos="284"/>
        </w:tabs>
        <w:jc w:val="both"/>
        <w:rPr>
          <w:sz w:val="22"/>
          <w:lang w:val="sr-Latn-ME"/>
        </w:rPr>
      </w:pPr>
    </w:p>
    <w:p w:rsidR="005B62E2" w:rsidRPr="00B60703" w:rsidRDefault="00F03789">
      <w:pPr>
        <w:tabs>
          <w:tab w:val="left" w:pos="284"/>
        </w:tabs>
        <w:jc w:val="both"/>
        <w:rPr>
          <w:i/>
          <w:sz w:val="22"/>
          <w:lang w:val="sr-Latn-ME"/>
        </w:rPr>
      </w:pPr>
      <w:r w:rsidRPr="00B60703">
        <w:rPr>
          <w:i/>
          <w:sz w:val="22"/>
          <w:lang w:val="sr-Latn-ME"/>
        </w:rPr>
        <w:t>Natrijum</w:t>
      </w:r>
    </w:p>
    <w:p w:rsidR="005B62E2" w:rsidRPr="00B60703" w:rsidRDefault="00F03789">
      <w:pPr>
        <w:tabs>
          <w:tab w:val="left" w:pos="284"/>
        </w:tabs>
        <w:jc w:val="both"/>
        <w:rPr>
          <w:sz w:val="22"/>
          <w:lang w:val="sr-Latn-ME"/>
        </w:rPr>
      </w:pPr>
      <w:r w:rsidRPr="00B60703">
        <w:rPr>
          <w:sz w:val="22"/>
          <w:lang w:val="sr-Latn-ME"/>
        </w:rPr>
        <w:t>Ovaj lijek sadrži manje od 1 mmol natrijuma (23 mg) po dozi u 0,8 ml tj. suštinski je bez natrijuma.</w:t>
      </w:r>
      <w:bookmarkEnd w:id="5"/>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4.5.</w:t>
      </w:r>
      <w:r w:rsidRPr="00B60703">
        <w:rPr>
          <w:b/>
          <w:bCs/>
          <w:sz w:val="22"/>
          <w:szCs w:val="22"/>
          <w:lang w:val="sr-Latn-ME"/>
        </w:rPr>
        <w:tab/>
        <w:t>Interakcije sa drugim ljekovima i druge vrste interakcija</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708"/>
          <w:tab w:val="center" w:pos="4536"/>
          <w:tab w:val="right" w:pos="9072"/>
        </w:tabs>
        <w:snapToGrid w:val="0"/>
        <w:jc w:val="both"/>
        <w:rPr>
          <w:sz w:val="22"/>
          <w:lang w:val="sr-Latn-ME"/>
        </w:rPr>
      </w:pPr>
      <w:r w:rsidRPr="00B60703">
        <w:rPr>
          <w:sz w:val="22"/>
          <w:szCs w:val="22"/>
          <w:lang w:val="sr-Latn-ME" w:eastAsia="sr-Latn-ME"/>
        </w:rPr>
        <w:t xml:space="preserve">Adalimumab je ispitivan kod pacijenata sa reumatoidnim artritisom, poliartikularnim juvenilnim idiopatskim artritisom i psorijaznim artritisom, koji su uzimali adalimumab kao monoterapiju, i kod pacijenata koji su ga uzimali istovremeno sa metotreksatom. Stvaranje antitijela je bilo niže kada se adalimumab davao zajedno sa metotreksatom u poređenju sa monoterapijom. Primjena adalimumaba bez metotreksata rezultirala je povećanim stvaranjem antitijela i povećanim klirensom i smanjenom efikasnošću adalimumaba (vidjeti dio 5.1).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Kombinacija adalimumaba i anakinre se ne preporučuje (vidjeti dio 4.4</w:t>
      </w:r>
      <w:r w:rsidRPr="00B60703">
        <w:rPr>
          <w:bCs/>
          <w:sz w:val="22"/>
          <w:szCs w:val="22"/>
          <w:lang w:val="sr-Latn-ME" w:eastAsia="sr-Latn-ME"/>
        </w:rPr>
        <w:t xml:space="preserve"> “Istovremena primjena bioloških antireumatskih ljekova koji modifikuju tok bolesti (ARMB) ili TNF-antagonista”</w:t>
      </w:r>
      <w:r w:rsidRPr="00B60703">
        <w:rPr>
          <w:sz w:val="22"/>
          <w:szCs w:val="22"/>
          <w:lang w:val="sr-Latn-ME" w:eastAsia="sr-Latn-ME"/>
        </w:rPr>
        <w:t>).</w:t>
      </w:r>
    </w:p>
    <w:p w:rsidR="005B62E2" w:rsidRPr="00B60703" w:rsidRDefault="005B62E2">
      <w:pPr>
        <w:tabs>
          <w:tab w:val="left" w:pos="708"/>
          <w:tab w:val="center" w:pos="4536"/>
          <w:tab w:val="right" w:pos="9072"/>
        </w:tabs>
        <w:snapToGrid w:val="0"/>
        <w:jc w:val="both"/>
        <w:rPr>
          <w:bCs/>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Kombinacija adalimumaba i abatacepta se ne preporučuje (vidjeti dio 4.4 </w:t>
      </w:r>
      <w:r w:rsidRPr="00B60703">
        <w:rPr>
          <w:bCs/>
          <w:sz w:val="22"/>
          <w:szCs w:val="22"/>
          <w:lang w:val="sr-Latn-ME" w:eastAsia="sr-Latn-ME"/>
        </w:rPr>
        <w:t>“Istovremena primjena bioloških antireumatskih ljekova koji modifikuju tok bolesti (ARMB) ili TNF-antagonista”</w:t>
      </w:r>
      <w:r w:rsidRPr="00B60703">
        <w:rPr>
          <w:sz w:val="22"/>
          <w:szCs w:val="22"/>
          <w:lang w:val="sr-Latn-ME" w:eastAsia="sr-Latn-ME"/>
        </w:rPr>
        <w:t>).</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sz w:val="22"/>
          <w:szCs w:val="22"/>
          <w:lang w:val="sr-Latn-ME"/>
        </w:rPr>
      </w:pPr>
      <w:r w:rsidRPr="00B60703">
        <w:rPr>
          <w:b/>
          <w:bCs/>
          <w:sz w:val="22"/>
          <w:szCs w:val="22"/>
          <w:lang w:val="sr-Latn-ME"/>
        </w:rPr>
        <w:lastRenderedPageBreak/>
        <w:t xml:space="preserve">4.6. </w:t>
      </w:r>
      <w:r w:rsidRPr="00B60703">
        <w:rPr>
          <w:b/>
          <w:bCs/>
          <w:sz w:val="22"/>
          <w:szCs w:val="22"/>
          <w:lang w:val="sr-Latn-ME"/>
        </w:rPr>
        <w:tab/>
      </w:r>
      <w:r w:rsidRPr="00B60703">
        <w:rPr>
          <w:b/>
          <w:sz w:val="22"/>
          <w:szCs w:val="22"/>
          <w:lang w:val="sr-Latn-ME"/>
        </w:rPr>
        <w:t>Plodnost, trudnoća i dojenje</w:t>
      </w:r>
    </w:p>
    <w:p w:rsidR="005B62E2" w:rsidRPr="00B60703" w:rsidRDefault="005B62E2">
      <w:pPr>
        <w:tabs>
          <w:tab w:val="left" w:pos="540"/>
          <w:tab w:val="left" w:pos="569"/>
        </w:tabs>
        <w:rPr>
          <w:sz w:val="22"/>
          <w:szCs w:val="22"/>
          <w:u w:val="single"/>
          <w:lang w:val="sr-Latn-ME"/>
        </w:rPr>
      </w:pPr>
    </w:p>
    <w:p w:rsidR="005B62E2" w:rsidRPr="00B60703" w:rsidRDefault="00F03789">
      <w:pPr>
        <w:tabs>
          <w:tab w:val="left" w:pos="540"/>
          <w:tab w:val="left" w:pos="569"/>
        </w:tabs>
        <w:rPr>
          <w:sz w:val="22"/>
          <w:szCs w:val="22"/>
          <w:u w:val="single"/>
          <w:lang w:val="sr-Latn-ME"/>
        </w:rPr>
      </w:pPr>
      <w:r w:rsidRPr="00B60703">
        <w:rPr>
          <w:sz w:val="22"/>
          <w:szCs w:val="22"/>
          <w:u w:val="single"/>
          <w:lang w:val="sr-Latn-ME"/>
        </w:rPr>
        <w:t>Žene u reproduktivnom periodu</w:t>
      </w:r>
    </w:p>
    <w:p w:rsidR="005B62E2" w:rsidRPr="00B60703" w:rsidRDefault="005B62E2">
      <w:pPr>
        <w:tabs>
          <w:tab w:val="left" w:pos="540"/>
          <w:tab w:val="left" w:pos="569"/>
        </w:tabs>
        <w:rPr>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Žene koje se nalaze u reproduktivnom periodu trebalo bi da razmotre korišćenje odgovarajuće kontraceptivne zaštite da bi izbjegle trudnoću i da nastave sa zaštitom još najmanje pet mjeseci nakon posljednje terapije lijekom Hyrimoz.</w:t>
      </w:r>
    </w:p>
    <w:p w:rsidR="005B62E2" w:rsidRPr="00B60703" w:rsidRDefault="005B62E2">
      <w:pPr>
        <w:tabs>
          <w:tab w:val="left" w:pos="540"/>
          <w:tab w:val="left" w:pos="569"/>
        </w:tabs>
        <w:rPr>
          <w:sz w:val="22"/>
          <w:szCs w:val="22"/>
          <w:u w:val="single"/>
          <w:lang w:val="sr-Latn-ME"/>
        </w:rPr>
      </w:pPr>
    </w:p>
    <w:p w:rsidR="005B62E2" w:rsidRPr="00B60703" w:rsidRDefault="00F03789">
      <w:pPr>
        <w:tabs>
          <w:tab w:val="left" w:pos="540"/>
          <w:tab w:val="left" w:pos="569"/>
        </w:tabs>
        <w:rPr>
          <w:sz w:val="22"/>
          <w:szCs w:val="22"/>
          <w:u w:val="single"/>
          <w:lang w:val="sr-Latn-ME"/>
        </w:rPr>
      </w:pPr>
      <w:r w:rsidRPr="00B60703">
        <w:rPr>
          <w:sz w:val="22"/>
          <w:szCs w:val="22"/>
          <w:u w:val="single"/>
          <w:lang w:val="sr-Latn-ME"/>
        </w:rPr>
        <w:t>Trudnoća</w:t>
      </w:r>
    </w:p>
    <w:p w:rsidR="005B62E2" w:rsidRPr="00B60703" w:rsidRDefault="005B62E2">
      <w:pPr>
        <w:tabs>
          <w:tab w:val="left" w:pos="540"/>
          <w:tab w:val="left" w:pos="569"/>
        </w:tabs>
        <w:rPr>
          <w:sz w:val="22"/>
          <w:szCs w:val="22"/>
          <w:u w:val="single"/>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 xml:space="preserve">Prospektivno prikupljeni podaci o velikom broju trudnoća izloženih adalimumabu (približno 2100) koje su se završile rođenjem živog djeteta sa poznatim ishodom, uključujući više od 1500 trudnoća izloženih tokom prvog trimestra, ne ukazuju na povećanu stopu malformacija kod novorođenčeta. </w:t>
      </w:r>
    </w:p>
    <w:p w:rsidR="005B62E2" w:rsidRPr="00B60703" w:rsidRDefault="005B62E2">
      <w:pPr>
        <w:tabs>
          <w:tab w:val="left" w:pos="172"/>
          <w:tab w:val="left" w:pos="1344"/>
          <w:tab w:val="center" w:pos="4536"/>
          <w:tab w:val="right" w:pos="9072"/>
        </w:tabs>
        <w:snapToGrid w:val="0"/>
        <w:jc w:val="both"/>
        <w:rPr>
          <w:sz w:val="22"/>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 xml:space="preserve">U prospektivan kohortni registar uključeno je 257 žena sa reumatoidnim artritisom (RA) ili </w:t>
      </w:r>
      <w:r w:rsidRPr="00B60703">
        <w:rPr>
          <w:i/>
          <w:sz w:val="22"/>
          <w:lang w:val="sr-Latn-ME"/>
        </w:rPr>
        <w:t>Crohn</w:t>
      </w:r>
      <w:r w:rsidRPr="00B60703">
        <w:rPr>
          <w:sz w:val="22"/>
          <w:lang w:val="sr-Latn-ME"/>
        </w:rPr>
        <w:t xml:space="preserve">-ovom bolešću (CD) koje su se liječile adalimumabom najmanje tokom prvog trimestra, i 120 žena sa reumatoidnim artritisom ili </w:t>
      </w:r>
      <w:r w:rsidRPr="00B60703">
        <w:rPr>
          <w:i/>
          <w:sz w:val="22"/>
          <w:lang w:val="sr-Latn-ME"/>
        </w:rPr>
        <w:t>Crohn</w:t>
      </w:r>
      <w:r w:rsidRPr="00B60703">
        <w:rPr>
          <w:sz w:val="22"/>
          <w:lang w:val="sr-Latn-ME"/>
        </w:rPr>
        <w:t>-ovom bolešću koje se nisu liječile adalimumabom. Primarni parametar praćenja bio je prevalenca velikih (</w:t>
      </w:r>
      <w:r w:rsidRPr="00B60703">
        <w:rPr>
          <w:i/>
          <w:sz w:val="22"/>
          <w:lang w:val="sr-Latn-ME"/>
        </w:rPr>
        <w:t>major</w:t>
      </w:r>
      <w:r w:rsidRPr="00B60703">
        <w:rPr>
          <w:sz w:val="22"/>
          <w:lang w:val="sr-Latn-ME"/>
        </w:rPr>
        <w:t xml:space="preserve">) urođenih mana pri porođaju. Stopa trudnoća koje su se završile najmanje jednim rođenjem živog djeteta sa velikom urođenom manom iznosila je 6/69 (8,7%) među ženama liječenim adalimumabom koje su imale reumatoidni artritis i 5/74 (6,8%) među ženama sa reumatoidnim artritisom koje nisu bile liječene (neprilagođen OR: 1,31; 95% CI: 0,38 - 4,52) i 16/152 (10,5%) među ženama liječenim adalimumabom koje su imale </w:t>
      </w:r>
      <w:r w:rsidRPr="00B60703">
        <w:rPr>
          <w:i/>
          <w:sz w:val="22"/>
          <w:lang w:val="sr-Latn-ME"/>
        </w:rPr>
        <w:t>Crohn</w:t>
      </w:r>
      <w:r w:rsidRPr="00B60703">
        <w:rPr>
          <w:sz w:val="22"/>
          <w:lang w:val="sr-Latn-ME"/>
        </w:rPr>
        <w:t xml:space="preserve">-ovu bolest i 3/32 (9,4%) među ženama sa </w:t>
      </w:r>
      <w:r w:rsidRPr="00B60703">
        <w:rPr>
          <w:i/>
          <w:sz w:val="22"/>
          <w:lang w:val="sr-Latn-ME"/>
        </w:rPr>
        <w:t>Crohn</w:t>
      </w:r>
      <w:r w:rsidRPr="00B60703">
        <w:rPr>
          <w:sz w:val="22"/>
          <w:lang w:val="sr-Latn-ME"/>
        </w:rPr>
        <w:t xml:space="preserve">-ovom bolešću koje nisu bile liječene (neprilagođen OR: 1,14; 95% CI: 0,31 - 4,16). Prilagođen OR (kod koga su uzete u obzir početne razlike) iznosio je 1,10 (95% CI: 0,45 - 2,73) za reumatoidni artritis i </w:t>
      </w:r>
      <w:r w:rsidRPr="00B60703">
        <w:rPr>
          <w:i/>
          <w:sz w:val="22"/>
          <w:lang w:val="sr-Latn-ME"/>
        </w:rPr>
        <w:t>Crohn</w:t>
      </w:r>
      <w:r w:rsidRPr="00B60703">
        <w:rPr>
          <w:sz w:val="22"/>
          <w:lang w:val="sr-Latn-ME"/>
        </w:rPr>
        <w:t>-ovu bolest zajedno. Nije bilo velikih razlika između žena liječenih adalimumabom i onih koje ga nisu primale, uzimajući u obzir sekundarne parametre praćenja – spontane pobačaje, male (</w:t>
      </w:r>
      <w:r w:rsidRPr="00B60703">
        <w:rPr>
          <w:i/>
          <w:sz w:val="22"/>
          <w:lang w:val="sr-Latn-ME"/>
        </w:rPr>
        <w:t>minor</w:t>
      </w:r>
      <w:r w:rsidRPr="00B60703">
        <w:rPr>
          <w:sz w:val="22"/>
          <w:lang w:val="sr-Latn-ME"/>
        </w:rPr>
        <w:t>) urođene mane, prevremeni porođaj, porođajnu veličinu i ozbiljne ili oportunističke infekcije, a nije prijavljeno nijedno mrtvorođenje ni maligna bolest. Na interpretaciju podataka mogu uticati metodološka ograničenja ispitivanja, uključujući malu veličinu uzorka i dizajn koji nije uključivao randomizaciju.</w:t>
      </w:r>
    </w:p>
    <w:p w:rsidR="005B62E2" w:rsidRPr="00B60703" w:rsidRDefault="005B62E2">
      <w:pPr>
        <w:tabs>
          <w:tab w:val="left" w:pos="172"/>
          <w:tab w:val="left" w:pos="1344"/>
          <w:tab w:val="center" w:pos="4536"/>
          <w:tab w:val="right" w:pos="9072"/>
        </w:tabs>
        <w:snapToGrid w:val="0"/>
        <w:jc w:val="both"/>
        <w:rPr>
          <w:sz w:val="22"/>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 xml:space="preserve">Studije toksičnosti koje su rađene u razvojnoj fazi lijeka na majmunima nisu ukazale na toksičnost za majku, embriotoksičnost ili teratogenost. Pretklinički podaci o postnatalnoj toksičnosti adalimumaba nisu dostupni (vidjeti dio 5.3). </w:t>
      </w:r>
    </w:p>
    <w:p w:rsidR="005B62E2" w:rsidRPr="00B60703" w:rsidRDefault="005B62E2">
      <w:pPr>
        <w:tabs>
          <w:tab w:val="left" w:pos="172"/>
          <w:tab w:val="left" w:pos="1344"/>
          <w:tab w:val="center" w:pos="4536"/>
          <w:tab w:val="right" w:pos="9072"/>
        </w:tabs>
        <w:snapToGrid w:val="0"/>
        <w:jc w:val="both"/>
        <w:rPr>
          <w:sz w:val="22"/>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 xml:space="preserve">Zbog inhibicije TNFα, adalimumab primijenjen tokom trudnoće mogao bi uticati na normalan imuni odgovor novorođenčeta. Adalimumab se tokom trudnoće smije primjenjivati samo ako je to neophodno. </w:t>
      </w:r>
    </w:p>
    <w:p w:rsidR="005B62E2" w:rsidRPr="00B60703" w:rsidRDefault="005B62E2">
      <w:pPr>
        <w:tabs>
          <w:tab w:val="left" w:pos="172"/>
          <w:tab w:val="left" w:pos="1344"/>
          <w:tab w:val="center" w:pos="4536"/>
          <w:tab w:val="right" w:pos="9072"/>
        </w:tabs>
        <w:snapToGrid w:val="0"/>
        <w:jc w:val="both"/>
        <w:rPr>
          <w:sz w:val="22"/>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Adalimumab može preći putem placente u serum djece čije su majke primale adalimumab tokom trudnoće. Zbog toga, ova djeca mogu imati povećan rizik od infekcija. Kod djece koja su bila izložena adalimumabu u materici nije preporučena primjena živih vakcina (npr. BCG vakcina) 5 mjeseci nakon posljednje doze adalimumaba koju je majka primila tokom trudnoće.</w:t>
      </w:r>
    </w:p>
    <w:p w:rsidR="005B62E2" w:rsidRPr="00B60703" w:rsidRDefault="005B62E2">
      <w:pPr>
        <w:tabs>
          <w:tab w:val="left" w:pos="540"/>
          <w:tab w:val="left" w:pos="569"/>
        </w:tabs>
        <w:rPr>
          <w:sz w:val="22"/>
          <w:szCs w:val="22"/>
          <w:u w:val="single"/>
          <w:lang w:val="sr-Latn-ME"/>
        </w:rPr>
      </w:pPr>
    </w:p>
    <w:p w:rsidR="005B62E2" w:rsidRPr="00B60703" w:rsidRDefault="00F03789">
      <w:pPr>
        <w:tabs>
          <w:tab w:val="left" w:pos="540"/>
          <w:tab w:val="left" w:pos="569"/>
        </w:tabs>
        <w:rPr>
          <w:b/>
          <w:bCs/>
          <w:sz w:val="22"/>
          <w:szCs w:val="22"/>
          <w:lang w:val="sr-Latn-ME"/>
        </w:rPr>
      </w:pPr>
      <w:r w:rsidRPr="00B60703">
        <w:rPr>
          <w:sz w:val="22"/>
          <w:szCs w:val="22"/>
          <w:u w:val="single"/>
          <w:lang w:val="sr-Latn-ME"/>
        </w:rPr>
        <w:t xml:space="preserve">Dojenje </w:t>
      </w:r>
    </w:p>
    <w:p w:rsidR="005B62E2" w:rsidRPr="00B60703" w:rsidRDefault="005B62E2">
      <w:pPr>
        <w:tabs>
          <w:tab w:val="left" w:pos="540"/>
          <w:tab w:val="left" w:pos="569"/>
        </w:tabs>
        <w:ind w:left="540" w:hanging="540"/>
        <w:rPr>
          <w:b/>
          <w:bCs/>
          <w:sz w:val="22"/>
          <w:szCs w:val="22"/>
          <w:lang w:val="sr-Latn-ME"/>
        </w:rPr>
      </w:pPr>
    </w:p>
    <w:p w:rsidR="005B62E2" w:rsidRPr="00B60703" w:rsidRDefault="00F03789">
      <w:pPr>
        <w:tabs>
          <w:tab w:val="left" w:pos="172"/>
          <w:tab w:val="left" w:pos="1344"/>
          <w:tab w:val="center" w:pos="4536"/>
          <w:tab w:val="right" w:pos="9072"/>
        </w:tabs>
        <w:snapToGrid w:val="0"/>
        <w:jc w:val="both"/>
        <w:rPr>
          <w:sz w:val="22"/>
          <w:lang w:val="sr-Latn-ME"/>
        </w:rPr>
      </w:pPr>
      <w:r w:rsidRPr="00B60703">
        <w:rPr>
          <w:sz w:val="22"/>
          <w:lang w:val="sr-Latn-ME"/>
        </w:rPr>
        <w:t xml:space="preserve">Ograničeni podaci iz objavljene literature ukazuju na to da se adalimumab izlučuje u majčino mlijeko u vrlo maloj koncentraciji i da koncentracije adalimumaba u majčinom mlijeku iznose 0,1% do 1% nivoa u serumu majke. Kada se primjenjuju peroralno, imunoglobulin G proteini prolaze proteolizu u crijevima i imaju malu bioraspoloživost. Ne očekuju se efekti na dojenu novorođenčad/odojčad. Zbog toga se adalimumab može primjenjivati tokom dojenja.   </w:t>
      </w:r>
    </w:p>
    <w:p w:rsidR="005B62E2" w:rsidRPr="00B60703" w:rsidRDefault="005B62E2">
      <w:pPr>
        <w:tabs>
          <w:tab w:val="left" w:pos="540"/>
          <w:tab w:val="left" w:pos="569"/>
        </w:tabs>
        <w:ind w:left="540" w:hanging="540"/>
        <w:rPr>
          <w:b/>
          <w:bCs/>
          <w:sz w:val="22"/>
          <w:szCs w:val="22"/>
          <w:lang w:val="sr-Latn-ME"/>
        </w:rPr>
      </w:pPr>
    </w:p>
    <w:p w:rsidR="005B62E2" w:rsidRPr="00B60703" w:rsidRDefault="00F03789">
      <w:pPr>
        <w:tabs>
          <w:tab w:val="left" w:pos="540"/>
          <w:tab w:val="left" w:pos="569"/>
        </w:tabs>
        <w:rPr>
          <w:sz w:val="22"/>
          <w:szCs w:val="22"/>
          <w:u w:val="single"/>
          <w:lang w:val="sr-Latn-ME"/>
        </w:rPr>
      </w:pPr>
      <w:r w:rsidRPr="00B60703">
        <w:rPr>
          <w:sz w:val="22"/>
          <w:szCs w:val="22"/>
          <w:u w:val="single"/>
          <w:lang w:val="sr-Latn-ME"/>
        </w:rPr>
        <w:t>Plodnost</w:t>
      </w:r>
    </w:p>
    <w:p w:rsidR="005B62E2" w:rsidRPr="00B60703" w:rsidRDefault="005B62E2">
      <w:pPr>
        <w:tabs>
          <w:tab w:val="left" w:pos="540"/>
          <w:tab w:val="left" w:pos="569"/>
        </w:tabs>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Pretklinički podaci o uticaju adalimumaba na plodnost nisu dostupni.</w:t>
      </w:r>
    </w:p>
    <w:p w:rsidR="005B62E2" w:rsidRPr="00B60703" w:rsidRDefault="005B62E2">
      <w:pPr>
        <w:tabs>
          <w:tab w:val="left" w:pos="540"/>
          <w:tab w:val="left" w:pos="569"/>
        </w:tabs>
        <w:ind w:left="540" w:hanging="540"/>
        <w:rPr>
          <w:b/>
          <w:bCs/>
          <w:sz w:val="22"/>
          <w:szCs w:val="22"/>
          <w:lang w:val="sr-Latn-ME"/>
        </w:rPr>
      </w:pPr>
    </w:p>
    <w:p w:rsidR="005B62E2" w:rsidRPr="00B60703" w:rsidRDefault="005B62E2">
      <w:pPr>
        <w:tabs>
          <w:tab w:val="left" w:pos="540"/>
          <w:tab w:val="left" w:pos="569"/>
        </w:tabs>
        <w:ind w:left="540" w:hanging="540"/>
        <w:rPr>
          <w:b/>
          <w:bCs/>
          <w:sz w:val="22"/>
          <w:szCs w:val="22"/>
          <w:lang w:val="sr-Latn-ME"/>
        </w:rPr>
      </w:pPr>
    </w:p>
    <w:p w:rsidR="005B62E2" w:rsidRPr="00B60703" w:rsidRDefault="005B62E2">
      <w:pPr>
        <w:tabs>
          <w:tab w:val="left" w:pos="540"/>
          <w:tab w:val="left" w:pos="569"/>
        </w:tabs>
        <w:ind w:left="540" w:hanging="540"/>
        <w:rPr>
          <w:b/>
          <w:bCs/>
          <w:sz w:val="22"/>
          <w:szCs w:val="22"/>
          <w:lang w:val="sr-Latn-ME"/>
        </w:rPr>
      </w:pPr>
    </w:p>
    <w:p w:rsidR="005B62E2" w:rsidRPr="00B60703" w:rsidRDefault="00F03789">
      <w:pPr>
        <w:tabs>
          <w:tab w:val="left" w:pos="540"/>
          <w:tab w:val="left" w:pos="569"/>
        </w:tabs>
        <w:ind w:left="540" w:hanging="540"/>
        <w:rPr>
          <w:b/>
          <w:bCs/>
          <w:sz w:val="22"/>
          <w:szCs w:val="22"/>
          <w:lang w:val="sr-Latn-ME"/>
        </w:rPr>
      </w:pPr>
      <w:r w:rsidRPr="00B60703">
        <w:rPr>
          <w:b/>
          <w:bCs/>
          <w:sz w:val="22"/>
          <w:szCs w:val="22"/>
          <w:lang w:val="sr-Latn-ME"/>
        </w:rPr>
        <w:lastRenderedPageBreak/>
        <w:t xml:space="preserve">4.7. </w:t>
      </w:r>
      <w:r w:rsidRPr="00B60703">
        <w:rPr>
          <w:b/>
          <w:bCs/>
          <w:sz w:val="22"/>
          <w:szCs w:val="22"/>
          <w:lang w:val="sr-Latn-ME"/>
        </w:rPr>
        <w:tab/>
        <w:t>Uticaj na sposobnost upravljanja vozilima i rukovanje mašinama</w:t>
      </w:r>
    </w:p>
    <w:p w:rsidR="005B62E2" w:rsidRPr="00B60703" w:rsidRDefault="005B62E2">
      <w:pPr>
        <w:tabs>
          <w:tab w:val="left" w:pos="540"/>
          <w:tab w:val="left" w:pos="569"/>
        </w:tabs>
        <w:ind w:left="540" w:hanging="540"/>
        <w:rPr>
          <w:b/>
          <w:bCs/>
          <w:sz w:val="22"/>
          <w:szCs w:val="22"/>
          <w:lang w:val="sr-Latn-ME"/>
        </w:rPr>
      </w:pPr>
    </w:p>
    <w:p w:rsidR="005B62E2" w:rsidRPr="00B60703" w:rsidRDefault="00F03789">
      <w:pPr>
        <w:tabs>
          <w:tab w:val="center" w:pos="4536"/>
          <w:tab w:val="right" w:pos="9072"/>
        </w:tabs>
        <w:jc w:val="both"/>
        <w:rPr>
          <w:sz w:val="22"/>
          <w:lang w:val="sr-Latn-ME"/>
        </w:rPr>
      </w:pPr>
      <w:r w:rsidRPr="00B60703">
        <w:rPr>
          <w:sz w:val="22"/>
          <w:szCs w:val="22"/>
          <w:lang w:val="sr-Latn-ME" w:eastAsia="sr-Latn-ME"/>
        </w:rPr>
        <w:t xml:space="preserve">Lijek Hyrimoz može blago uticati na sposobnosti prilikom upravljanja vozilom i rukovanja mašinama. </w:t>
      </w:r>
    </w:p>
    <w:p w:rsidR="005B62E2" w:rsidRPr="00B60703" w:rsidRDefault="00F03789">
      <w:pPr>
        <w:tabs>
          <w:tab w:val="center" w:pos="4536"/>
          <w:tab w:val="right" w:pos="9072"/>
        </w:tabs>
        <w:jc w:val="both"/>
        <w:rPr>
          <w:b/>
          <w:bCs/>
          <w:sz w:val="22"/>
          <w:szCs w:val="22"/>
          <w:lang w:val="sr-Latn-ME"/>
        </w:rPr>
      </w:pPr>
      <w:r w:rsidRPr="00B60703">
        <w:rPr>
          <w:sz w:val="22"/>
          <w:szCs w:val="22"/>
          <w:lang w:val="sr-Latn-ME" w:eastAsia="sr-Latn-ME"/>
        </w:rPr>
        <w:t>Vrtoglavica i smetnje u vidu se mogu javiti tokom primjene lijeka Hyrimoz (vidjeti dio 4.8).</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4.8. </w:t>
      </w:r>
      <w:r w:rsidRPr="00B60703">
        <w:rPr>
          <w:b/>
          <w:bCs/>
          <w:sz w:val="22"/>
          <w:szCs w:val="22"/>
          <w:lang w:val="sr-Latn-ME"/>
        </w:rPr>
        <w:tab/>
        <w:t>Neželjena dejstva</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284"/>
          <w:tab w:val="center" w:pos="4536"/>
          <w:tab w:val="right" w:pos="9072"/>
        </w:tabs>
        <w:jc w:val="both"/>
        <w:rPr>
          <w:bCs/>
          <w:sz w:val="22"/>
          <w:szCs w:val="22"/>
          <w:u w:val="single"/>
          <w:lang w:val="sr-Latn-ME"/>
        </w:rPr>
      </w:pPr>
      <w:r w:rsidRPr="00B60703">
        <w:rPr>
          <w:bCs/>
          <w:sz w:val="22"/>
          <w:szCs w:val="22"/>
          <w:u w:val="single"/>
          <w:lang w:val="sr-Latn-ME" w:eastAsia="sr-Latn-ME"/>
        </w:rPr>
        <w:t>Sažetak bezbjednosnog profila</w:t>
      </w:r>
    </w:p>
    <w:p w:rsidR="005B62E2" w:rsidRPr="00B60703" w:rsidRDefault="005B62E2">
      <w:pPr>
        <w:tabs>
          <w:tab w:val="left" w:pos="284"/>
          <w:tab w:val="center" w:pos="4536"/>
          <w:tab w:val="right" w:pos="9072"/>
        </w:tabs>
        <w:jc w:val="both"/>
        <w:rPr>
          <w:bCs/>
          <w:sz w:val="22"/>
          <w:szCs w:val="22"/>
          <w:u w:val="single"/>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Adalimumab je ispitivan na 9506 pacijenata u pivotalnim kontrolisanim i otvorenim studijama u trajanju do 60 mjeseci ili duže. Ove studije su uključile pacijente koji kraće ili duže vrijeme boluju od reumatoidnog artritisa, pacijente oboljele od juvenilnog idiopatskog artritisa (poliartikularnog juvenilnog idiopatskog artritisa i artritisa povezanog sa entezitisom), kao i pacijente sa aksijalnim spondiloartritisom (ankilozirajućim spondilitisom i aksijalnim spondiloartritisom bez radiografskog dokaza AS), psorijaznim artritisom, </w:t>
      </w:r>
      <w:r w:rsidRPr="00B60703">
        <w:rPr>
          <w:i/>
          <w:sz w:val="22"/>
          <w:szCs w:val="22"/>
          <w:lang w:val="sr-Latn-ME" w:eastAsia="sr-Latn-ME"/>
        </w:rPr>
        <w:t>Crohn</w:t>
      </w:r>
      <w:r w:rsidRPr="00B60703">
        <w:rPr>
          <w:sz w:val="22"/>
          <w:szCs w:val="22"/>
          <w:lang w:val="sr-Latn-ME" w:eastAsia="sr-Latn-ME"/>
        </w:rPr>
        <w:t>-ovom bolešću, ulceroznim kolitisom, psorijazom, gnojnim zapaljenjem znojnih žlijezda (hidradenitis suppurativa) i uveitisom. Pivotalne kontrolisane studije uključivale su 6089 pacijenata koji su primali a</w:t>
      </w:r>
      <w:r w:rsidRPr="00B60703">
        <w:rPr>
          <w:spacing w:val="-8"/>
          <w:sz w:val="22"/>
          <w:szCs w:val="22"/>
          <w:lang w:val="sr-Latn-ME" w:eastAsia="sr-Latn-ME"/>
        </w:rPr>
        <w:t xml:space="preserve">dalimumab </w:t>
      </w:r>
      <w:r w:rsidRPr="00B60703">
        <w:rPr>
          <w:sz w:val="22"/>
          <w:szCs w:val="22"/>
          <w:lang w:val="sr-Latn-ME" w:eastAsia="sr-Latn-ME"/>
        </w:rPr>
        <w:t xml:space="preserve">i 3801 pacijenta koji su primali placebo ili aktivni komparator za vrijeme kontrolisanog perioda.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Odnos pacijenata koji su prekinuli liječenje zbog pojave neželjenih dejstava u dvostruko-slijepim,</w:t>
      </w:r>
      <w:r w:rsidRPr="00B60703">
        <w:rPr>
          <w:b/>
          <w:bCs/>
          <w:sz w:val="22"/>
          <w:szCs w:val="22"/>
          <w:lang w:val="sr-Latn-ME" w:eastAsia="sr-Latn-ME"/>
        </w:rPr>
        <w:t xml:space="preserve"> </w:t>
      </w:r>
      <w:r w:rsidRPr="00B60703">
        <w:rPr>
          <w:sz w:val="22"/>
          <w:szCs w:val="22"/>
          <w:lang w:val="sr-Latn-ME" w:eastAsia="sr-Latn-ME"/>
        </w:rPr>
        <w:t>kontrolisanim pivotalnim studijama iznosio je 5,9% za pacijente koji su uzimali a</w:t>
      </w:r>
      <w:r w:rsidRPr="00B60703">
        <w:rPr>
          <w:spacing w:val="-8"/>
          <w:sz w:val="22"/>
          <w:szCs w:val="22"/>
          <w:lang w:val="sr-Latn-ME" w:eastAsia="sr-Latn-ME"/>
        </w:rPr>
        <w:t>dalimumab</w:t>
      </w:r>
      <w:r w:rsidRPr="00B60703">
        <w:rPr>
          <w:sz w:val="22"/>
          <w:szCs w:val="22"/>
          <w:lang w:val="sr-Latn-ME" w:eastAsia="sr-Latn-ME"/>
        </w:rPr>
        <w:t xml:space="preserve"> i 5,4% za pacijente kontrolne grupe.</w:t>
      </w:r>
    </w:p>
    <w:p w:rsidR="005B62E2" w:rsidRPr="00B60703" w:rsidRDefault="005B62E2">
      <w:pPr>
        <w:tabs>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Najčešće prijavljena neželjena dejstva su infekcije (nazofaringitis, infekcije gornjeg dijela respiratornog trakta i sinuzitis), reakcije na mjestu primjene injekcije (eritem, svrab, hemoragija, bol ili otok), glavobolja i mišićno-skeletni bol.</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Tokom primjene adalimumaba prijavljena su ozbiljna neželjena dejstva. Antagonisti TNF-a, kao što je adalimumab, utiču na imuni sistem i njihova primjena može uticati na odbranu organizma od infekcija i kancera. </w:t>
      </w: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Infekcije sa smrtnim ishodom i infekcije koje ugrožavaju život (uključujući sepsu, oportunističke infekcije i tuberkulozu), HBV reaktivacija i različiti maligniteti (uključujući leukemiju, limfom i hepatosplenični T-ćelijski limfom (HSTCL)) prijavljeni su tokom primjene adalimumaba.</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Takođe su prijavljene ozbiljne hematološke, neurološke i autoimune reakcije koje uključuju rijetke izvještaje o pancitopeniji, aplastičnoj anemiji, demijelinizirajućim oboljenjima centralnog i perifernog nervnog sistema i izvještaje o lupusu, stanjima povezanim sa lupusom i </w:t>
      </w:r>
      <w:r w:rsidRPr="00B60703">
        <w:rPr>
          <w:i/>
          <w:sz w:val="22"/>
          <w:szCs w:val="22"/>
          <w:lang w:val="sr-Latn-ME" w:eastAsia="sr-Latn-ME"/>
        </w:rPr>
        <w:t>Stevens-Johnson</w:t>
      </w:r>
      <w:r w:rsidRPr="00B60703">
        <w:rPr>
          <w:sz w:val="22"/>
          <w:szCs w:val="22"/>
          <w:lang w:val="sr-Latn-ME" w:eastAsia="sr-Latn-ME"/>
        </w:rPr>
        <w:t>-ov sindrom.</w:t>
      </w:r>
    </w:p>
    <w:p w:rsidR="005B62E2" w:rsidRPr="00B60703" w:rsidRDefault="005B62E2">
      <w:pPr>
        <w:tabs>
          <w:tab w:val="left" w:pos="708"/>
          <w:tab w:val="center" w:pos="4536"/>
          <w:tab w:val="right" w:pos="9072"/>
        </w:tabs>
        <w:snapToGrid w:val="0"/>
        <w:jc w:val="both"/>
        <w:rPr>
          <w:i/>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Pedijatrijska populacija</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Uopšteno, neželjena dejstva kod djece su po učestalosti i tipu bila slična neželjenim dejstvima zabilježenim kod odraslih.</w:t>
      </w:r>
    </w:p>
    <w:p w:rsidR="005B62E2" w:rsidRPr="00B60703" w:rsidRDefault="005B62E2">
      <w:pPr>
        <w:tabs>
          <w:tab w:val="left" w:pos="708"/>
          <w:tab w:val="center" w:pos="4536"/>
          <w:tab w:val="right" w:pos="9072"/>
        </w:tabs>
        <w:snapToGrid w:val="0"/>
        <w:jc w:val="both"/>
        <w:rPr>
          <w:b/>
          <w:bCs/>
          <w:sz w:val="22"/>
          <w:lang w:val="sr-Latn-ME" w:eastAsia="sr-Latn-ME"/>
        </w:rPr>
      </w:pPr>
    </w:p>
    <w:p w:rsidR="005B62E2" w:rsidRPr="00B60703" w:rsidRDefault="00F03789">
      <w:pPr>
        <w:tabs>
          <w:tab w:val="left" w:pos="708"/>
          <w:tab w:val="center" w:pos="4536"/>
          <w:tab w:val="right" w:pos="9072"/>
        </w:tabs>
        <w:snapToGrid w:val="0"/>
        <w:jc w:val="both"/>
        <w:rPr>
          <w:bCs/>
          <w:sz w:val="22"/>
          <w:szCs w:val="22"/>
          <w:u w:val="single"/>
          <w:lang w:val="sr-Latn-ME" w:eastAsia="sr-Latn-ME"/>
        </w:rPr>
      </w:pPr>
      <w:r w:rsidRPr="00B60703">
        <w:rPr>
          <w:bCs/>
          <w:sz w:val="22"/>
          <w:szCs w:val="22"/>
          <w:u w:val="single"/>
          <w:lang w:val="sr-Latn-ME" w:eastAsia="sr-Latn-ME"/>
        </w:rPr>
        <w:t>Tabelarna lista neželjenih dejstava</w:t>
      </w:r>
    </w:p>
    <w:p w:rsidR="005B62E2" w:rsidRPr="00B60703" w:rsidRDefault="005B62E2">
      <w:pPr>
        <w:tabs>
          <w:tab w:val="left" w:pos="708"/>
          <w:tab w:val="center" w:pos="4536"/>
          <w:tab w:val="right" w:pos="9072"/>
        </w:tabs>
        <w:snapToGrid w:val="0"/>
        <w:jc w:val="both"/>
        <w:rPr>
          <w:bCs/>
          <w:sz w:val="22"/>
          <w:szCs w:val="22"/>
          <w:u w:val="single"/>
          <w:lang w:val="sr-Latn-ME" w:eastAsia="sr-Latn-ME"/>
        </w:rPr>
      </w:pP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lang w:val="sr-Latn-ME" w:eastAsia="sr-Latn-ME"/>
        </w:rPr>
        <w:t>Sljedeća lista neželjenih dejstava bazirana je na iskustvu iz kliničkih studija i na postmarketinškom iskustvu, a neželjena dejstva su prikazana po sistemima organa i učestalosti u Tabeli 6:</w:t>
      </w: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lang w:val="sr-Latn-ME" w:eastAsia="sr-Latn-ME"/>
        </w:rPr>
        <w:t xml:space="preserve">veoma često (≥1/10); često (≥1/100 i &lt;1/10); povremeno (≥1/1 000 i &lt;1/100); rijetko (≥1/10 000 i &lt;1/1000);i nepoznato (ne može se procijeniti na osnovu dostupnih podataka). </w:t>
      </w:r>
    </w:p>
    <w:p w:rsidR="005B62E2" w:rsidRPr="00B60703" w:rsidRDefault="00F03789">
      <w:pPr>
        <w:tabs>
          <w:tab w:val="center" w:pos="4536"/>
          <w:tab w:val="right" w:pos="9072"/>
        </w:tabs>
        <w:snapToGrid w:val="0"/>
        <w:jc w:val="both"/>
        <w:rPr>
          <w:sz w:val="22"/>
          <w:lang w:val="sr-Latn-ME" w:eastAsia="sr-Latn-ME"/>
        </w:rPr>
      </w:pPr>
      <w:r w:rsidRPr="00B60703">
        <w:rPr>
          <w:sz w:val="22"/>
          <w:szCs w:val="22"/>
          <w:lang w:val="sr-Latn-ME" w:eastAsia="sr-Latn-ME"/>
        </w:rPr>
        <w:t>Unutar svake grupe za određenu učestalost, neželjena dejstva su navedena prema opadajućoj ozbiljnosti. Obuhvaćena su neželjena dejstva koja su se najčešće javljala prilikom terapije različitih indikacija. Zvjezdica (*) se pojavljuje u koloni “Sistem organa“ ukoliko se dodatne</w:t>
      </w:r>
      <w:r w:rsidRPr="00B60703">
        <w:rPr>
          <w:sz w:val="22"/>
          <w:lang w:val="sr-Latn-ME" w:eastAsia="sr-Latn-ME"/>
        </w:rPr>
        <w:t xml:space="preserve"> </w:t>
      </w:r>
      <w:r w:rsidRPr="00B60703">
        <w:rPr>
          <w:sz w:val="22"/>
          <w:szCs w:val="22"/>
          <w:lang w:val="sr-Latn-ME" w:eastAsia="sr-Latn-ME"/>
        </w:rPr>
        <w:t xml:space="preserve">informacije nalaze u odjeljcima 4.3, 4.4 i 4.8. </w:t>
      </w: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rPr>
          <w:b/>
          <w:bCs/>
          <w:sz w:val="22"/>
          <w:szCs w:val="22"/>
          <w:lang w:val="sr-Latn-ME" w:eastAsia="sr-Latn-ME"/>
        </w:rPr>
      </w:pPr>
      <w:r w:rsidRPr="00B60703">
        <w:rPr>
          <w:b/>
          <w:bCs/>
          <w:sz w:val="22"/>
          <w:szCs w:val="22"/>
          <w:lang w:val="sr-Latn-ME" w:eastAsia="sr-Latn-ME"/>
        </w:rPr>
        <w:lastRenderedPageBreak/>
        <w:t xml:space="preserve">Tabela 6: Neželjena dejstva </w:t>
      </w:r>
    </w:p>
    <w:p w:rsidR="005B62E2" w:rsidRPr="00B60703" w:rsidRDefault="005B62E2">
      <w:pPr>
        <w:tabs>
          <w:tab w:val="left" w:pos="708"/>
          <w:tab w:val="center" w:pos="4536"/>
          <w:tab w:val="right" w:pos="9072"/>
        </w:tabs>
        <w:snapToGrid w:val="0"/>
        <w:jc w:val="center"/>
        <w:rPr>
          <w:b/>
          <w:bCs/>
          <w:sz w:val="22"/>
          <w:szCs w:val="22"/>
          <w:lang w:val="sr-Latn-ME" w:eastAsia="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510"/>
        <w:gridCol w:w="4952"/>
      </w:tblGrid>
      <w:tr w:rsidR="005B62E2" w:rsidRPr="00B60703">
        <w:tc>
          <w:tcPr>
            <w:tcW w:w="14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
                <w:bCs/>
                <w:sz w:val="22"/>
                <w:lang w:val="sr-Latn-ME" w:eastAsia="sr-Latn-ME"/>
              </w:rPr>
            </w:pPr>
            <w:r w:rsidRPr="00B60703">
              <w:rPr>
                <w:b/>
                <w:bCs/>
                <w:sz w:val="22"/>
                <w:szCs w:val="22"/>
                <w:lang w:val="sr-Latn-ME" w:eastAsia="sr-Latn-ME"/>
              </w:rPr>
              <w:t>Sistem organa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b/>
                <w:bCs/>
                <w:lang w:val="sr-Latn-ME" w:eastAsia="ar-SA"/>
              </w:rPr>
            </w:pPr>
            <w:r w:rsidRPr="00B60703">
              <w:rPr>
                <w:b/>
                <w:bCs/>
                <w:sz w:val="22"/>
                <w:szCs w:val="22"/>
                <w:lang w:val="sr-Latn-ME" w:eastAsia="ar-SA"/>
              </w:rPr>
              <w:t xml:space="preserve">Učestalost </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b/>
                <w:bCs/>
                <w:lang w:val="sr-Latn-ME" w:eastAsia="ar-SA"/>
              </w:rPr>
            </w:pPr>
            <w:r w:rsidRPr="00B60703">
              <w:rPr>
                <w:b/>
                <w:sz w:val="22"/>
                <w:szCs w:val="22"/>
                <w:lang w:val="sr-Latn-ME" w:eastAsia="ar-SA"/>
              </w:rPr>
              <w:t>Neželjeno dejstvo</w:t>
            </w: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Infekcije i infestacije*</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respiratorne infekcije (uključujući infekcije donjeg i gornjeg respiratornog trakta, pneumoniju, sinuzitis, faringitis, nazofaringitis i pneumoniju uzrokovanu herpes virusom)</w:t>
            </w:r>
          </w:p>
          <w:p w:rsidR="005B62E2" w:rsidRPr="00B60703" w:rsidRDefault="005B62E2">
            <w:pPr>
              <w:suppressLineNumbers/>
              <w:tabs>
                <w:tab w:val="left" w:pos="284"/>
              </w:tabs>
              <w:suppressAutoHyphens/>
              <w:jc w:val="both"/>
              <w:rPr>
                <w:sz w:val="22"/>
                <w:szCs w:val="22"/>
                <w:lang w:val="sr-Latn-ME" w:eastAsia="ar-SA"/>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sistemske infekcije (uključujući sepsu, kandidijazu i</w:t>
            </w:r>
            <w:r w:rsidRPr="00B60703">
              <w:rPr>
                <w:lang w:val="sr-Latn-ME" w:eastAsia="ar-SA"/>
              </w:rPr>
              <w:t xml:space="preserve"> </w:t>
            </w:r>
            <w:r w:rsidRPr="00B60703">
              <w:rPr>
                <w:sz w:val="22"/>
                <w:szCs w:val="22"/>
                <w:lang w:val="sr-Latn-ME" w:eastAsia="ar-SA"/>
              </w:rPr>
              <w:t xml:space="preserve">influencu),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intestinalne infekcije (uključujući virusni gastroenteritis), infekcije kože i mekih tkiva (uključujući paronihiju, celulitis, impetigo, nekrotizirajući fasciitis i herpes zoster),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infekcije uha,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oralne infekcije (uključujući </w:t>
            </w:r>
            <w:r w:rsidRPr="00B60703">
              <w:rPr>
                <w:i/>
                <w:sz w:val="22"/>
                <w:szCs w:val="22"/>
                <w:lang w:val="sr-Latn-ME" w:eastAsia="ar-SA"/>
              </w:rPr>
              <w:t>herpes simplex,</w:t>
            </w:r>
            <w:r w:rsidRPr="00B60703">
              <w:rPr>
                <w:sz w:val="22"/>
                <w:szCs w:val="22"/>
                <w:lang w:val="sr-Latn-ME" w:eastAsia="ar-SA"/>
              </w:rPr>
              <w:t xml:space="preserve"> oralni herpes i infekcije zuba),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infekcije reproduktivnog trakta (uključujući vulvovaginalne mikotične infekcije),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infekcije urinarnog trakta (uključujući pijelonefritis),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gljivične infekcije,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infekcije zglobova</w:t>
            </w: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bCs/>
                <w:sz w:val="22"/>
                <w:szCs w:val="22"/>
                <w:lang w:val="sr-Latn-ME"/>
              </w:rPr>
            </w:pPr>
            <w:r w:rsidRPr="00B60703">
              <w:rPr>
                <w:bCs/>
                <w:sz w:val="22"/>
                <w:szCs w:val="22"/>
                <w:lang w:val="sr-Latn-ME"/>
              </w:rPr>
              <w:t xml:space="preserve">neurološke infekcije (uključujući virusni meningitis), oportunističke infekcije i tuberkuloza (uključujući kokcidioidomikozu, histoplazmozu i infekcije izazvane </w:t>
            </w:r>
            <w:r w:rsidRPr="00B60703">
              <w:rPr>
                <w:i/>
                <w:iCs/>
                <w:sz w:val="22"/>
                <w:szCs w:val="22"/>
                <w:lang w:val="sr-Latn-ME"/>
              </w:rPr>
              <w:t>mycobacterium avium</w:t>
            </w:r>
            <w:r w:rsidRPr="00B60703">
              <w:rPr>
                <w:sz w:val="22"/>
                <w:szCs w:val="22"/>
                <w:lang w:val="sr-Latn-ME"/>
              </w:rPr>
              <w:t>),</w:t>
            </w:r>
            <w:r w:rsidRPr="00B60703">
              <w:rPr>
                <w:bCs/>
                <w:i/>
                <w:sz w:val="22"/>
                <w:szCs w:val="22"/>
                <w:lang w:val="sr-Latn-ME"/>
              </w:rPr>
              <w:t xml:space="preserve"> </w:t>
            </w:r>
          </w:p>
          <w:p w:rsidR="005B62E2" w:rsidRPr="00B60703" w:rsidRDefault="00F03789">
            <w:pPr>
              <w:tabs>
                <w:tab w:val="left" w:pos="284"/>
              </w:tabs>
              <w:suppressAutoHyphens/>
              <w:rPr>
                <w:bCs/>
                <w:sz w:val="22"/>
                <w:szCs w:val="22"/>
                <w:lang w:val="sr-Latn-ME"/>
              </w:rPr>
            </w:pPr>
            <w:r w:rsidRPr="00B60703">
              <w:rPr>
                <w:bCs/>
                <w:sz w:val="22"/>
                <w:szCs w:val="22"/>
                <w:lang w:val="sr-Latn-ME"/>
              </w:rPr>
              <w:t>bakterijske infekcije,</w:t>
            </w:r>
          </w:p>
          <w:p w:rsidR="005B62E2" w:rsidRPr="00B60703" w:rsidRDefault="00F03789">
            <w:pPr>
              <w:tabs>
                <w:tab w:val="left" w:pos="284"/>
              </w:tabs>
              <w:suppressAutoHyphens/>
              <w:rPr>
                <w:bCs/>
                <w:sz w:val="22"/>
                <w:szCs w:val="22"/>
                <w:lang w:val="sr-Latn-ME"/>
              </w:rPr>
            </w:pPr>
            <w:r w:rsidRPr="00B60703">
              <w:rPr>
                <w:bCs/>
                <w:sz w:val="22"/>
                <w:szCs w:val="22"/>
                <w:lang w:val="sr-Latn-ME"/>
              </w:rPr>
              <w:t xml:space="preserve">infekcije oka, </w:t>
            </w:r>
          </w:p>
          <w:p w:rsidR="005B62E2" w:rsidRPr="00B60703" w:rsidRDefault="00F03789">
            <w:pPr>
              <w:tabs>
                <w:tab w:val="left" w:pos="284"/>
              </w:tabs>
              <w:suppressAutoHyphens/>
              <w:rPr>
                <w:bCs/>
                <w:sz w:val="22"/>
                <w:szCs w:val="22"/>
                <w:vertAlign w:val="superscript"/>
                <w:lang w:val="sr-Latn-ME"/>
              </w:rPr>
            </w:pPr>
            <w:r w:rsidRPr="00B60703">
              <w:rPr>
                <w:bCs/>
                <w:sz w:val="22"/>
                <w:szCs w:val="22"/>
                <w:lang w:val="sr-Latn-ME"/>
              </w:rPr>
              <w:t>divertikulitis</w:t>
            </w:r>
            <w:r w:rsidRPr="00B60703">
              <w:rPr>
                <w:bCs/>
                <w:sz w:val="22"/>
                <w:szCs w:val="22"/>
                <w:vertAlign w:val="superscript"/>
                <w:lang w:val="sr-Latn-ME"/>
              </w:rPr>
              <w:t>1)</w:t>
            </w:r>
          </w:p>
          <w:p w:rsidR="005B62E2" w:rsidRPr="00B60703" w:rsidRDefault="005B62E2">
            <w:pPr>
              <w:tabs>
                <w:tab w:val="left" w:pos="284"/>
              </w:tabs>
              <w:suppressAutoHyphens/>
              <w:rPr>
                <w:sz w:val="22"/>
                <w:vertAlign w:val="superscript"/>
                <w:lang w:val="sr-Latn-ME"/>
              </w:rPr>
            </w:pPr>
          </w:p>
        </w:tc>
      </w:tr>
      <w:tr w:rsidR="005B62E2" w:rsidRPr="00B60703">
        <w:trPr>
          <w:trHeight w:val="505"/>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Neoplazme-benigne, maligne i neodređene (uključujući ciste i polipe)*</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Često</w:t>
            </w:r>
          </w:p>
          <w:p w:rsidR="005B62E2" w:rsidRPr="00B60703" w:rsidRDefault="005B62E2">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kancer kože izuzimajući melanom (uključujući karcinom bazalnih ćelija i karcinom skvamoznih ćelija),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benigne neoplazme</w:t>
            </w:r>
          </w:p>
        </w:tc>
      </w:tr>
      <w:tr w:rsidR="005B62E2" w:rsidRPr="00B60703">
        <w:trPr>
          <w:trHeight w:val="505"/>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limfom**, </w:t>
            </w:r>
          </w:p>
          <w:p w:rsidR="005B62E2" w:rsidRPr="00B60703" w:rsidRDefault="00F03789">
            <w:pPr>
              <w:tabs>
                <w:tab w:val="left" w:pos="284"/>
              </w:tabs>
              <w:suppressAutoHyphens/>
              <w:rPr>
                <w:sz w:val="22"/>
                <w:szCs w:val="22"/>
                <w:lang w:val="sr-Latn-ME"/>
              </w:rPr>
            </w:pPr>
            <w:r w:rsidRPr="00B60703">
              <w:rPr>
                <w:sz w:val="22"/>
                <w:szCs w:val="22"/>
                <w:lang w:val="sr-Latn-ME"/>
              </w:rPr>
              <w:t xml:space="preserve">tumori solidnih organa (uključujući kancer dojke, maligne neoplazme pluća i štitaste žlijezde), </w:t>
            </w:r>
          </w:p>
          <w:p w:rsidR="005B62E2" w:rsidRPr="00B60703" w:rsidRDefault="00F03789">
            <w:pPr>
              <w:tabs>
                <w:tab w:val="left" w:pos="284"/>
              </w:tabs>
              <w:suppressAutoHyphens/>
              <w:rPr>
                <w:sz w:val="22"/>
                <w:szCs w:val="22"/>
                <w:lang w:val="sr-Latn-ME"/>
              </w:rPr>
            </w:pPr>
            <w:r w:rsidRPr="00B60703">
              <w:rPr>
                <w:sz w:val="22"/>
                <w:szCs w:val="22"/>
                <w:lang w:val="sr-Latn-ME"/>
              </w:rPr>
              <w:t>melanom**</w:t>
            </w:r>
          </w:p>
          <w:p w:rsidR="005B62E2" w:rsidRPr="00B60703" w:rsidRDefault="005B62E2">
            <w:pPr>
              <w:tabs>
                <w:tab w:val="left" w:pos="284"/>
              </w:tabs>
              <w:suppressAutoHyphens/>
              <w:rPr>
                <w:sz w:val="22"/>
                <w:lang w:val="sr-Latn-ME"/>
              </w:rPr>
            </w:pPr>
          </w:p>
        </w:tc>
      </w:tr>
      <w:tr w:rsidR="005B62E2" w:rsidRPr="00B60703">
        <w:trPr>
          <w:trHeight w:val="274"/>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szCs w:val="22"/>
                <w:vertAlign w:val="superscript"/>
                <w:lang w:val="sr-Latn-ME"/>
              </w:rPr>
            </w:pPr>
            <w:r w:rsidRPr="00B60703">
              <w:rPr>
                <w:sz w:val="22"/>
                <w:szCs w:val="22"/>
                <w:lang w:val="sr-Latn-ME"/>
              </w:rPr>
              <w:t>leukemija</w:t>
            </w:r>
            <w:r w:rsidRPr="00B60703">
              <w:rPr>
                <w:bCs/>
                <w:sz w:val="22"/>
                <w:szCs w:val="22"/>
                <w:vertAlign w:val="superscript"/>
                <w:lang w:val="sr-Latn-ME"/>
              </w:rPr>
              <w:t>1)</w:t>
            </w:r>
          </w:p>
          <w:p w:rsidR="005B62E2" w:rsidRPr="00B60703" w:rsidRDefault="005B62E2">
            <w:pPr>
              <w:tabs>
                <w:tab w:val="left" w:pos="284"/>
              </w:tabs>
              <w:suppressAutoHyphens/>
              <w:jc w:val="both"/>
              <w:rPr>
                <w:sz w:val="22"/>
                <w:lang w:val="sr-Latn-ME"/>
              </w:rPr>
            </w:pPr>
          </w:p>
        </w:tc>
      </w:tr>
      <w:tr w:rsidR="005B62E2" w:rsidRPr="00B60703">
        <w:trPr>
          <w:trHeight w:val="505"/>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hepatosplenični T-ćelijski limfom</w:t>
            </w:r>
            <w:r w:rsidRPr="00B60703">
              <w:rPr>
                <w:bCs/>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bCs/>
                <w:sz w:val="22"/>
                <w:szCs w:val="22"/>
                <w:vertAlign w:val="superscript"/>
                <w:lang w:val="sr-Latn-ME"/>
              </w:rPr>
            </w:pPr>
            <w:r w:rsidRPr="00B60703">
              <w:rPr>
                <w:sz w:val="22"/>
                <w:szCs w:val="22"/>
                <w:lang w:val="sr-Latn-ME"/>
              </w:rPr>
              <w:t>karcinom Merkelovih ćelija (neuroendokrini karcinom kože)</w:t>
            </w:r>
            <w:r w:rsidRPr="00B60703">
              <w:rPr>
                <w:bCs/>
                <w:sz w:val="22"/>
                <w:szCs w:val="22"/>
                <w:vertAlign w:val="superscript"/>
                <w:lang w:val="sr-Latn-ME"/>
              </w:rPr>
              <w:t xml:space="preserve"> 1)</w:t>
            </w:r>
          </w:p>
          <w:p w:rsidR="005B62E2" w:rsidRPr="00B60703" w:rsidRDefault="00F03789">
            <w:pPr>
              <w:tabs>
                <w:tab w:val="left" w:pos="284"/>
              </w:tabs>
              <w:suppressAutoHyphens/>
              <w:rPr>
                <w:bCs/>
                <w:sz w:val="22"/>
                <w:szCs w:val="22"/>
                <w:lang w:val="sr-Latn-ME"/>
              </w:rPr>
            </w:pPr>
            <w:r w:rsidRPr="00B60703">
              <w:rPr>
                <w:bCs/>
                <w:sz w:val="22"/>
                <w:szCs w:val="22"/>
                <w:lang w:val="sr-Latn-ME"/>
              </w:rPr>
              <w:t>Kapošijev sarkom</w:t>
            </w:r>
          </w:p>
          <w:p w:rsidR="005B62E2" w:rsidRPr="00B60703" w:rsidRDefault="005B62E2">
            <w:pPr>
              <w:tabs>
                <w:tab w:val="left" w:pos="284"/>
              </w:tabs>
              <w:suppressAutoHyphens/>
              <w:rPr>
                <w:sz w:val="22"/>
                <w:lang w:val="sr-Latn-ME"/>
              </w:rPr>
            </w:pPr>
          </w:p>
        </w:tc>
      </w:tr>
      <w:tr w:rsidR="005B62E2" w:rsidRPr="00B60703">
        <w:trPr>
          <w:trHeight w:val="7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krvi i limfnog sistema*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leukopenija (uključujući neutropeniju i agranulocitozu),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anemija</w:t>
            </w:r>
          </w:p>
          <w:p w:rsidR="005B62E2" w:rsidRPr="00B60703" w:rsidRDefault="005B62E2">
            <w:pPr>
              <w:suppressLineNumbers/>
              <w:tabs>
                <w:tab w:val="left" w:pos="284"/>
              </w:tabs>
              <w:suppressAutoHyphens/>
              <w:jc w:val="both"/>
              <w:rPr>
                <w:lang w:val="sr-Latn-ME" w:eastAsia="ar-SA"/>
              </w:rPr>
            </w:pP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Često</w:t>
            </w:r>
          </w:p>
          <w:p w:rsidR="005B62E2" w:rsidRPr="00B60703" w:rsidRDefault="005B62E2">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leukocitoza,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trombocitopenija</w:t>
            </w: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idiopatska trombocitopenijska purpura</w:t>
            </w:r>
          </w:p>
          <w:p w:rsidR="005B62E2" w:rsidRPr="00B60703" w:rsidRDefault="005B62E2">
            <w:pPr>
              <w:tabs>
                <w:tab w:val="left" w:pos="284"/>
              </w:tabs>
              <w:suppressAutoHyphens/>
              <w:jc w:val="both"/>
              <w:rPr>
                <w:sz w:val="22"/>
                <w:lang w:val="sr-Latn-ME"/>
              </w:rPr>
            </w:pP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pancitopenija</w:t>
            </w:r>
          </w:p>
          <w:p w:rsidR="005B62E2" w:rsidRPr="00B60703" w:rsidRDefault="005B62E2">
            <w:pPr>
              <w:tabs>
                <w:tab w:val="left" w:pos="284"/>
              </w:tabs>
              <w:suppressAutoHyphens/>
              <w:jc w:val="both"/>
              <w:rPr>
                <w:sz w:val="22"/>
                <w:lang w:val="sr-Latn-ME"/>
              </w:rPr>
            </w:pPr>
          </w:p>
        </w:tc>
      </w:tr>
      <w:tr w:rsidR="005B62E2" w:rsidRPr="00B60703">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sz w:val="22"/>
                <w:lang w:val="sr-Latn-ME"/>
              </w:rPr>
              <w:lastRenderedPageBreak/>
              <w:t>Poremećaji imunog sistema</w:t>
            </w:r>
            <w:r w:rsidRPr="00B60703">
              <w:rPr>
                <w:bCs/>
                <w:sz w:val="22"/>
                <w:szCs w:val="22"/>
                <w:lang w:val="sr-Latn-ME"/>
              </w:rPr>
              <w:t>*</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Često</w:t>
            </w:r>
          </w:p>
          <w:p w:rsidR="005B62E2" w:rsidRPr="00B60703" w:rsidRDefault="005B62E2">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hipersenzitivnost, </w:t>
            </w:r>
          </w:p>
          <w:p w:rsidR="005B62E2" w:rsidRPr="00B60703" w:rsidRDefault="00F03789">
            <w:pPr>
              <w:tabs>
                <w:tab w:val="left" w:pos="284"/>
              </w:tabs>
              <w:suppressAutoHyphens/>
              <w:rPr>
                <w:sz w:val="22"/>
                <w:szCs w:val="22"/>
                <w:lang w:val="sr-Latn-ME"/>
              </w:rPr>
            </w:pPr>
            <w:r w:rsidRPr="00B60703">
              <w:rPr>
                <w:sz w:val="22"/>
                <w:szCs w:val="22"/>
                <w:lang w:val="sr-Latn-ME"/>
              </w:rPr>
              <w:t>alergije (uključujući sezonsku alergiju)</w:t>
            </w:r>
          </w:p>
          <w:p w:rsidR="005B62E2" w:rsidRPr="00B60703" w:rsidRDefault="005B62E2">
            <w:pPr>
              <w:tabs>
                <w:tab w:val="left" w:pos="284"/>
              </w:tabs>
              <w:suppressAutoHyphens/>
              <w:rPr>
                <w:sz w:val="22"/>
                <w:lang w:val="sr-Latn-ME"/>
              </w:rPr>
            </w:pPr>
          </w:p>
        </w:tc>
      </w:tr>
      <w:tr w:rsidR="005B62E2" w:rsidRPr="00B60703">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sarkoidoza</w:t>
            </w:r>
            <w:r w:rsidRPr="00B60703">
              <w:rPr>
                <w:sz w:val="22"/>
                <w:szCs w:val="22"/>
                <w:vertAlign w:val="superscript"/>
                <w:lang w:val="sr-Latn-ME"/>
              </w:rPr>
              <w:t>1)</w:t>
            </w:r>
            <w:r w:rsidRPr="00B60703">
              <w:rPr>
                <w:sz w:val="22"/>
                <w:szCs w:val="22"/>
                <w:lang w:val="sr-Latn-ME"/>
              </w:rPr>
              <w:t>,</w:t>
            </w:r>
          </w:p>
          <w:p w:rsidR="005B62E2" w:rsidRPr="00B60703" w:rsidRDefault="00F03789">
            <w:pPr>
              <w:tabs>
                <w:tab w:val="left" w:pos="284"/>
              </w:tabs>
              <w:suppressAutoHyphens/>
              <w:jc w:val="both"/>
              <w:rPr>
                <w:sz w:val="22"/>
                <w:szCs w:val="22"/>
                <w:lang w:val="sr-Latn-ME"/>
              </w:rPr>
            </w:pPr>
            <w:r w:rsidRPr="00B60703">
              <w:rPr>
                <w:sz w:val="22"/>
                <w:szCs w:val="22"/>
                <w:lang w:val="sr-Latn-ME"/>
              </w:rPr>
              <w:t>vaskulitis</w:t>
            </w:r>
          </w:p>
          <w:p w:rsidR="005B62E2" w:rsidRPr="00B60703" w:rsidRDefault="005B62E2">
            <w:pPr>
              <w:tabs>
                <w:tab w:val="left" w:pos="284"/>
              </w:tabs>
              <w:suppressAutoHyphens/>
              <w:jc w:val="both"/>
              <w:rPr>
                <w:sz w:val="22"/>
                <w:lang w:val="sr-Latn-ME"/>
              </w:rPr>
            </w:pPr>
          </w:p>
        </w:tc>
      </w:tr>
      <w:tr w:rsidR="005B62E2" w:rsidRPr="00B60703">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vertAlign w:val="superscript"/>
                <w:lang w:val="sr-Latn-ME"/>
              </w:rPr>
            </w:pPr>
            <w:r w:rsidRPr="00B60703">
              <w:rPr>
                <w:sz w:val="22"/>
                <w:szCs w:val="22"/>
                <w:lang w:val="sr-Latn-ME"/>
              </w:rPr>
              <w:t>anafilaksa</w:t>
            </w:r>
            <w:r w:rsidRPr="00B60703">
              <w:rPr>
                <w:sz w:val="22"/>
                <w:szCs w:val="22"/>
                <w:vertAlign w:val="superscript"/>
                <w:lang w:val="sr-Latn-ME"/>
              </w:rPr>
              <w:t>1)</w:t>
            </w:r>
          </w:p>
          <w:p w:rsidR="005B62E2" w:rsidRPr="00B60703" w:rsidRDefault="005B62E2">
            <w:pPr>
              <w:tabs>
                <w:tab w:val="left" w:pos="284"/>
              </w:tabs>
              <w:suppressAutoHyphens/>
              <w:jc w:val="both"/>
              <w:rPr>
                <w:sz w:val="22"/>
                <w:vertAlign w:val="superscript"/>
                <w:lang w:val="sr-Latn-ME"/>
              </w:rPr>
            </w:pP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metabolizma i ishrane</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hiperlipidemija</w:t>
            </w:r>
          </w:p>
          <w:p w:rsidR="005B62E2" w:rsidRPr="00B60703" w:rsidRDefault="005B62E2">
            <w:pPr>
              <w:tabs>
                <w:tab w:val="left" w:pos="284"/>
              </w:tabs>
              <w:suppressAutoHyphens/>
              <w:jc w:val="both"/>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hipokalemija,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hiperurikemija,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poremećaj koncentracije natrijuma u krvi,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hipokalcemija,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hiperglikemija,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hipofosfatemija,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dehidratacija</w:t>
            </w:r>
          </w:p>
        </w:tc>
      </w:tr>
      <w:tr w:rsidR="005B62E2" w:rsidRPr="00B60703">
        <w:tc>
          <w:tcPr>
            <w:tcW w:w="14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Psihijatrijski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bCs/>
                <w:sz w:val="22"/>
                <w:szCs w:val="22"/>
                <w:lang w:val="sr-Latn-ME" w:eastAsia="sr-Latn-ME"/>
              </w:rPr>
              <w:t>Često</w:t>
            </w:r>
          </w:p>
          <w:p w:rsidR="005B62E2" w:rsidRPr="00B60703" w:rsidRDefault="005B62E2">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poremećaji raspoloženja (uključujući depresiju), </w:t>
            </w:r>
          </w:p>
          <w:p w:rsidR="005B62E2" w:rsidRPr="00B60703" w:rsidRDefault="00F03789">
            <w:pPr>
              <w:tabs>
                <w:tab w:val="left" w:pos="284"/>
              </w:tabs>
              <w:suppressAutoHyphens/>
              <w:rPr>
                <w:sz w:val="22"/>
                <w:szCs w:val="22"/>
                <w:lang w:val="sr-Latn-ME"/>
              </w:rPr>
            </w:pPr>
            <w:r w:rsidRPr="00B60703">
              <w:rPr>
                <w:sz w:val="22"/>
                <w:szCs w:val="22"/>
                <w:lang w:val="sr-Latn-ME"/>
              </w:rPr>
              <w:t xml:space="preserve">anksioznost, </w:t>
            </w:r>
          </w:p>
          <w:p w:rsidR="005B62E2" w:rsidRPr="00B60703" w:rsidRDefault="00F03789">
            <w:pPr>
              <w:tabs>
                <w:tab w:val="left" w:pos="284"/>
              </w:tabs>
              <w:suppressAutoHyphens/>
              <w:rPr>
                <w:sz w:val="22"/>
                <w:szCs w:val="22"/>
                <w:lang w:val="sr-Latn-ME"/>
              </w:rPr>
            </w:pPr>
            <w:r w:rsidRPr="00B60703">
              <w:rPr>
                <w:sz w:val="22"/>
                <w:szCs w:val="22"/>
                <w:lang w:val="sr-Latn-ME"/>
              </w:rPr>
              <w:t>insomnija</w:t>
            </w:r>
          </w:p>
          <w:p w:rsidR="005B62E2" w:rsidRPr="00B60703" w:rsidRDefault="005B62E2">
            <w:pPr>
              <w:tabs>
                <w:tab w:val="left" w:pos="284"/>
              </w:tabs>
              <w:suppressAutoHyphens/>
              <w:rPr>
                <w:sz w:val="22"/>
                <w:lang w:val="sr-Latn-ME"/>
              </w:rPr>
            </w:pPr>
          </w:p>
        </w:tc>
      </w:tr>
      <w:tr w:rsidR="005B62E2" w:rsidRPr="00B60703">
        <w:trPr>
          <w:trHeight w:val="129"/>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nervnog sistema*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glavobolja</w:t>
            </w:r>
          </w:p>
          <w:p w:rsidR="005B62E2" w:rsidRPr="00B60703" w:rsidRDefault="005B62E2">
            <w:pPr>
              <w:tabs>
                <w:tab w:val="left" w:pos="284"/>
              </w:tabs>
              <w:suppressAutoHyphens/>
              <w:jc w:val="both"/>
              <w:rPr>
                <w:sz w:val="22"/>
                <w:lang w:val="sr-Latn-ME"/>
              </w:rPr>
            </w:pPr>
          </w:p>
        </w:tc>
      </w:tr>
      <w:tr w:rsidR="005B62E2" w:rsidRPr="00B60703">
        <w:trPr>
          <w:trHeight w:val="127"/>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parestezije (uključujući hipoesteziju), </w:t>
            </w:r>
          </w:p>
          <w:p w:rsidR="005B62E2" w:rsidRPr="00B60703" w:rsidRDefault="00F03789">
            <w:pPr>
              <w:tabs>
                <w:tab w:val="left" w:pos="284"/>
              </w:tabs>
              <w:suppressAutoHyphens/>
              <w:rPr>
                <w:sz w:val="22"/>
                <w:szCs w:val="22"/>
                <w:lang w:val="sr-Latn-ME"/>
              </w:rPr>
            </w:pPr>
            <w:r w:rsidRPr="00B60703">
              <w:rPr>
                <w:sz w:val="22"/>
                <w:szCs w:val="22"/>
                <w:lang w:val="sr-Latn-ME"/>
              </w:rPr>
              <w:t xml:space="preserve">migrena, </w:t>
            </w:r>
          </w:p>
          <w:p w:rsidR="005B62E2" w:rsidRPr="00B60703" w:rsidRDefault="00F03789">
            <w:pPr>
              <w:tabs>
                <w:tab w:val="left" w:pos="284"/>
              </w:tabs>
              <w:suppressAutoHyphens/>
              <w:rPr>
                <w:sz w:val="22"/>
                <w:szCs w:val="22"/>
                <w:lang w:val="sr-Latn-ME"/>
              </w:rPr>
            </w:pPr>
            <w:r w:rsidRPr="00B60703">
              <w:rPr>
                <w:sz w:val="22"/>
                <w:szCs w:val="22"/>
                <w:lang w:val="sr-Latn-ME"/>
              </w:rPr>
              <w:t>pritisak na korijen nerva</w:t>
            </w:r>
          </w:p>
          <w:p w:rsidR="005B62E2" w:rsidRPr="00B60703" w:rsidRDefault="005B62E2">
            <w:pPr>
              <w:tabs>
                <w:tab w:val="left" w:pos="284"/>
              </w:tabs>
              <w:suppressAutoHyphens/>
              <w:rPr>
                <w:sz w:val="22"/>
                <w:lang w:val="sr-Latn-ME"/>
              </w:rPr>
            </w:pPr>
          </w:p>
        </w:tc>
      </w:tr>
      <w:tr w:rsidR="005B62E2" w:rsidRPr="00B60703">
        <w:trPr>
          <w:trHeight w:val="127"/>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cerebrovaskularni događaj</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jc w:val="both"/>
              <w:rPr>
                <w:sz w:val="22"/>
                <w:szCs w:val="22"/>
                <w:lang w:val="sr-Latn-ME"/>
              </w:rPr>
            </w:pPr>
            <w:r w:rsidRPr="00B60703">
              <w:rPr>
                <w:sz w:val="22"/>
                <w:szCs w:val="22"/>
                <w:lang w:val="sr-Latn-ME"/>
              </w:rPr>
              <w:t xml:space="preserve">tremor, </w:t>
            </w:r>
          </w:p>
          <w:p w:rsidR="005B62E2" w:rsidRPr="00B60703" w:rsidRDefault="00F03789">
            <w:pPr>
              <w:tabs>
                <w:tab w:val="left" w:pos="284"/>
              </w:tabs>
              <w:suppressAutoHyphens/>
              <w:jc w:val="both"/>
              <w:rPr>
                <w:sz w:val="22"/>
                <w:szCs w:val="22"/>
                <w:lang w:val="sr-Latn-ME"/>
              </w:rPr>
            </w:pPr>
            <w:r w:rsidRPr="00B60703">
              <w:rPr>
                <w:sz w:val="22"/>
                <w:szCs w:val="22"/>
                <w:lang w:val="sr-Latn-ME"/>
              </w:rPr>
              <w:t>neuropatija</w:t>
            </w:r>
          </w:p>
          <w:p w:rsidR="005B62E2" w:rsidRPr="00B60703" w:rsidRDefault="005B62E2">
            <w:pPr>
              <w:tabs>
                <w:tab w:val="left" w:pos="284"/>
              </w:tabs>
              <w:suppressAutoHyphens/>
              <w:jc w:val="both"/>
              <w:rPr>
                <w:sz w:val="22"/>
                <w:lang w:val="sr-Latn-ME"/>
              </w:rPr>
            </w:pPr>
          </w:p>
        </w:tc>
      </w:tr>
      <w:tr w:rsidR="005B62E2" w:rsidRPr="00B60703">
        <w:trPr>
          <w:trHeight w:val="127"/>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multipla skleroza, </w:t>
            </w:r>
          </w:p>
          <w:p w:rsidR="005B62E2" w:rsidRPr="00B60703" w:rsidRDefault="00F03789">
            <w:pPr>
              <w:tabs>
                <w:tab w:val="left" w:pos="284"/>
              </w:tabs>
              <w:suppressAutoHyphens/>
              <w:rPr>
                <w:bCs/>
                <w:sz w:val="22"/>
                <w:szCs w:val="22"/>
                <w:vertAlign w:val="superscript"/>
                <w:lang w:val="sr-Latn-ME"/>
              </w:rPr>
            </w:pPr>
            <w:r w:rsidRPr="00B60703">
              <w:rPr>
                <w:sz w:val="22"/>
                <w:szCs w:val="22"/>
                <w:lang w:val="sr-Latn-ME"/>
              </w:rPr>
              <w:t xml:space="preserve">demijelinizirajući poremećaj (npr. optički neuritis, </w:t>
            </w:r>
            <w:r w:rsidRPr="00B60703">
              <w:rPr>
                <w:i/>
                <w:sz w:val="22"/>
                <w:szCs w:val="22"/>
                <w:lang w:val="sr-Latn-ME"/>
              </w:rPr>
              <w:t>Guillian-Barre</w:t>
            </w:r>
            <w:r w:rsidRPr="00B60703">
              <w:rPr>
                <w:sz w:val="22"/>
                <w:szCs w:val="22"/>
                <w:lang w:val="sr-Latn-ME"/>
              </w:rPr>
              <w:t>-ov sindrom)</w:t>
            </w:r>
            <w:r w:rsidRPr="00B60703">
              <w:rPr>
                <w:bCs/>
                <w:sz w:val="22"/>
                <w:szCs w:val="22"/>
                <w:vertAlign w:val="superscript"/>
                <w:lang w:val="sr-Latn-ME"/>
              </w:rPr>
              <w:t xml:space="preserve"> 1)</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sz w:val="22"/>
                <w:szCs w:val="22"/>
                <w:lang w:val="sr-Latn-ME"/>
              </w:rPr>
              <w:t>Poremećaji oka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poremećaj vida, </w:t>
            </w:r>
          </w:p>
          <w:p w:rsidR="005B62E2" w:rsidRPr="00B60703" w:rsidRDefault="00F03789">
            <w:pPr>
              <w:tabs>
                <w:tab w:val="left" w:pos="284"/>
              </w:tabs>
              <w:suppressAutoHyphens/>
              <w:rPr>
                <w:sz w:val="22"/>
                <w:szCs w:val="22"/>
                <w:lang w:val="sr-Latn-ME"/>
              </w:rPr>
            </w:pPr>
            <w:r w:rsidRPr="00B60703">
              <w:rPr>
                <w:sz w:val="22"/>
                <w:szCs w:val="22"/>
                <w:lang w:val="sr-Latn-ME"/>
              </w:rPr>
              <w:t xml:space="preserve">konjunktivitis, </w:t>
            </w:r>
          </w:p>
          <w:p w:rsidR="005B62E2" w:rsidRPr="00B60703" w:rsidRDefault="00F03789">
            <w:pPr>
              <w:tabs>
                <w:tab w:val="left" w:pos="284"/>
              </w:tabs>
              <w:suppressAutoHyphens/>
              <w:rPr>
                <w:sz w:val="22"/>
                <w:szCs w:val="22"/>
                <w:lang w:val="sr-Latn-ME"/>
              </w:rPr>
            </w:pPr>
            <w:r w:rsidRPr="00B60703">
              <w:rPr>
                <w:sz w:val="22"/>
                <w:szCs w:val="22"/>
                <w:lang w:val="sr-Latn-ME"/>
              </w:rPr>
              <w:t xml:space="preserve">blefaritis, </w:t>
            </w:r>
          </w:p>
          <w:p w:rsidR="005B62E2" w:rsidRPr="00B60703" w:rsidRDefault="00F03789">
            <w:pPr>
              <w:tabs>
                <w:tab w:val="left" w:pos="284"/>
              </w:tabs>
              <w:suppressAutoHyphens/>
              <w:rPr>
                <w:sz w:val="22"/>
                <w:szCs w:val="22"/>
                <w:lang w:val="sr-Latn-ME"/>
              </w:rPr>
            </w:pPr>
            <w:r w:rsidRPr="00B60703">
              <w:rPr>
                <w:sz w:val="22"/>
                <w:szCs w:val="22"/>
                <w:lang w:val="sr-Latn-ME"/>
              </w:rPr>
              <w:t>otok oka</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diplopija</w:t>
            </w:r>
          </w:p>
          <w:p w:rsidR="005B62E2" w:rsidRPr="00B60703" w:rsidRDefault="005B62E2">
            <w:pPr>
              <w:tabs>
                <w:tab w:val="left" w:pos="284"/>
              </w:tabs>
              <w:suppressAutoHyphens/>
              <w:jc w:val="both"/>
              <w:rPr>
                <w:sz w:val="22"/>
                <w:lang w:val="sr-Latn-ME"/>
              </w:rPr>
            </w:pPr>
          </w:p>
        </w:tc>
      </w:tr>
      <w:tr w:rsidR="005B62E2" w:rsidRPr="00B60703">
        <w:trPr>
          <w:trHeight w:val="14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uha i labirinta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bCs/>
                <w:sz w:val="22"/>
                <w:lang w:val="sr-Latn-ME" w:eastAsia="sr-Latn-ME"/>
              </w:rPr>
            </w:pPr>
            <w:r w:rsidRPr="00B60703">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vertigo</w:t>
            </w:r>
          </w:p>
          <w:p w:rsidR="005B62E2" w:rsidRPr="00B60703" w:rsidRDefault="005B62E2">
            <w:pPr>
              <w:tabs>
                <w:tab w:val="left" w:pos="284"/>
              </w:tabs>
              <w:suppressAutoHyphens/>
              <w:jc w:val="both"/>
              <w:rPr>
                <w:sz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 xml:space="preserve">gubitak sluha, </w:t>
            </w:r>
          </w:p>
          <w:p w:rsidR="005B62E2" w:rsidRPr="00B60703" w:rsidRDefault="00F03789">
            <w:pPr>
              <w:tabs>
                <w:tab w:val="left" w:pos="284"/>
              </w:tabs>
              <w:suppressAutoHyphens/>
              <w:jc w:val="both"/>
              <w:rPr>
                <w:sz w:val="22"/>
                <w:szCs w:val="22"/>
                <w:lang w:val="sr-Latn-ME"/>
              </w:rPr>
            </w:pPr>
            <w:r w:rsidRPr="00B60703">
              <w:rPr>
                <w:sz w:val="22"/>
                <w:szCs w:val="22"/>
                <w:lang w:val="sr-Latn-ME"/>
              </w:rPr>
              <w:t>tinitus</w:t>
            </w:r>
          </w:p>
          <w:p w:rsidR="005B62E2" w:rsidRPr="00B60703" w:rsidRDefault="005B62E2">
            <w:pPr>
              <w:tabs>
                <w:tab w:val="left" w:pos="284"/>
              </w:tabs>
              <w:suppressAutoHyphens/>
              <w:jc w:val="both"/>
              <w:rPr>
                <w:sz w:val="22"/>
                <w:lang w:val="sr-Latn-ME"/>
              </w:rPr>
            </w:pP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Kardiološki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tahikardija</w:t>
            </w:r>
          </w:p>
          <w:p w:rsidR="005B62E2" w:rsidRPr="00B60703" w:rsidRDefault="005B62E2">
            <w:pPr>
              <w:tabs>
                <w:tab w:val="left" w:pos="284"/>
              </w:tabs>
              <w:suppressAutoHyphens/>
              <w:jc w:val="both"/>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infarkt miokarda</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lang w:val="sr-Latn-ME"/>
              </w:rPr>
            </w:pPr>
            <w:r w:rsidRPr="00B60703">
              <w:rPr>
                <w:sz w:val="22"/>
                <w:szCs w:val="22"/>
                <w:lang w:val="sr-Latn-ME"/>
              </w:rPr>
              <w:t xml:space="preserve">aritmija, </w:t>
            </w:r>
          </w:p>
          <w:p w:rsidR="005B62E2" w:rsidRPr="00B60703" w:rsidRDefault="00F03789">
            <w:pPr>
              <w:tabs>
                <w:tab w:val="left" w:pos="284"/>
              </w:tabs>
              <w:suppressAutoHyphens/>
              <w:rPr>
                <w:sz w:val="22"/>
                <w:lang w:val="sr-Latn-ME"/>
              </w:rPr>
            </w:pPr>
            <w:r w:rsidRPr="00B60703">
              <w:rPr>
                <w:sz w:val="22"/>
                <w:szCs w:val="22"/>
                <w:lang w:val="sr-Latn-ME"/>
              </w:rPr>
              <w:t>kongestivna srčana insuficijencija</w:t>
            </w: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srčani zastoj</w:t>
            </w:r>
          </w:p>
          <w:p w:rsidR="005B62E2" w:rsidRPr="00B60703" w:rsidRDefault="005B62E2">
            <w:pPr>
              <w:tabs>
                <w:tab w:val="left" w:pos="284"/>
              </w:tabs>
              <w:suppressAutoHyphens/>
              <w:rPr>
                <w:sz w:val="22"/>
                <w:lang w:val="sr-Latn-ME"/>
              </w:rPr>
            </w:pPr>
          </w:p>
        </w:tc>
      </w:tr>
      <w:tr w:rsidR="005B62E2" w:rsidRPr="00B60703">
        <w:trPr>
          <w:trHeight w:val="275"/>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sz w:val="22"/>
                <w:szCs w:val="22"/>
                <w:lang w:val="sr-Latn-ME"/>
              </w:rPr>
              <w:t>Vaskularni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hipertenzija, </w:t>
            </w:r>
          </w:p>
          <w:p w:rsidR="005B62E2" w:rsidRPr="00B60703" w:rsidRDefault="00F03789">
            <w:pPr>
              <w:tabs>
                <w:tab w:val="left" w:pos="284"/>
              </w:tabs>
              <w:suppressAutoHyphens/>
              <w:rPr>
                <w:sz w:val="22"/>
                <w:szCs w:val="22"/>
                <w:lang w:val="sr-Latn-ME"/>
              </w:rPr>
            </w:pPr>
            <w:r w:rsidRPr="00B60703">
              <w:rPr>
                <w:sz w:val="22"/>
                <w:szCs w:val="22"/>
                <w:lang w:val="sr-Latn-ME"/>
              </w:rPr>
              <w:t xml:space="preserve">crvenilo lica, </w:t>
            </w:r>
          </w:p>
          <w:p w:rsidR="005B62E2" w:rsidRPr="00B60703" w:rsidRDefault="00F03789">
            <w:pPr>
              <w:tabs>
                <w:tab w:val="left" w:pos="284"/>
              </w:tabs>
              <w:suppressAutoHyphens/>
              <w:rPr>
                <w:sz w:val="22"/>
                <w:szCs w:val="22"/>
                <w:lang w:val="sr-Latn-ME"/>
              </w:rPr>
            </w:pPr>
            <w:r w:rsidRPr="00B60703">
              <w:rPr>
                <w:sz w:val="22"/>
                <w:szCs w:val="22"/>
                <w:lang w:val="sr-Latn-ME"/>
              </w:rPr>
              <w:lastRenderedPageBreak/>
              <w:t>hematom</w:t>
            </w:r>
          </w:p>
          <w:p w:rsidR="005B62E2" w:rsidRPr="00B60703" w:rsidRDefault="005B62E2">
            <w:pPr>
              <w:tabs>
                <w:tab w:val="left" w:pos="284"/>
              </w:tabs>
              <w:suppressAutoHyphens/>
              <w:rPr>
                <w:sz w:val="22"/>
                <w:lang w:val="sr-Latn-ME"/>
              </w:rPr>
            </w:pPr>
          </w:p>
        </w:tc>
      </w:tr>
      <w:tr w:rsidR="005B62E2" w:rsidRPr="00B60703">
        <w:trPr>
          <w:trHeight w:val="275"/>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aortna aneurizma, </w:t>
            </w:r>
          </w:p>
          <w:p w:rsidR="005B62E2" w:rsidRPr="00B60703" w:rsidRDefault="00F03789">
            <w:pPr>
              <w:tabs>
                <w:tab w:val="left" w:pos="284"/>
              </w:tabs>
              <w:suppressAutoHyphens/>
              <w:rPr>
                <w:sz w:val="22"/>
                <w:szCs w:val="22"/>
                <w:lang w:val="sr-Latn-ME"/>
              </w:rPr>
            </w:pPr>
            <w:r w:rsidRPr="00B60703">
              <w:rPr>
                <w:sz w:val="22"/>
                <w:szCs w:val="22"/>
                <w:lang w:val="sr-Latn-ME"/>
              </w:rPr>
              <w:t xml:space="preserve">vaskularna arterijalna okluzija, </w:t>
            </w:r>
          </w:p>
          <w:p w:rsidR="005B62E2" w:rsidRPr="00B60703" w:rsidRDefault="00F03789">
            <w:pPr>
              <w:tabs>
                <w:tab w:val="left" w:pos="284"/>
              </w:tabs>
              <w:suppressAutoHyphens/>
              <w:rPr>
                <w:sz w:val="22"/>
                <w:szCs w:val="22"/>
                <w:lang w:val="sr-Latn-ME"/>
              </w:rPr>
            </w:pPr>
            <w:r w:rsidRPr="00B60703">
              <w:rPr>
                <w:sz w:val="22"/>
                <w:szCs w:val="22"/>
                <w:lang w:val="sr-Latn-ME"/>
              </w:rPr>
              <w:t>tromboflebitis</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Respiratorni, torakalni i medijastinalni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astma, </w:t>
            </w:r>
          </w:p>
          <w:p w:rsidR="005B62E2" w:rsidRPr="00B60703" w:rsidRDefault="00F03789">
            <w:pPr>
              <w:tabs>
                <w:tab w:val="left" w:pos="284"/>
              </w:tabs>
              <w:suppressAutoHyphens/>
              <w:rPr>
                <w:sz w:val="22"/>
                <w:szCs w:val="22"/>
                <w:lang w:val="sr-Latn-ME"/>
              </w:rPr>
            </w:pPr>
            <w:r w:rsidRPr="00B60703">
              <w:rPr>
                <w:sz w:val="22"/>
                <w:szCs w:val="22"/>
                <w:lang w:val="sr-Latn-ME"/>
              </w:rPr>
              <w:t xml:space="preserve">dispneja, </w:t>
            </w:r>
          </w:p>
          <w:p w:rsidR="005B62E2" w:rsidRPr="00B60703" w:rsidRDefault="00F03789">
            <w:pPr>
              <w:tabs>
                <w:tab w:val="left" w:pos="284"/>
              </w:tabs>
              <w:suppressAutoHyphens/>
              <w:rPr>
                <w:sz w:val="22"/>
                <w:szCs w:val="22"/>
                <w:lang w:val="sr-Latn-ME"/>
              </w:rPr>
            </w:pPr>
            <w:r w:rsidRPr="00B60703">
              <w:rPr>
                <w:sz w:val="22"/>
                <w:szCs w:val="22"/>
                <w:lang w:val="sr-Latn-ME"/>
              </w:rPr>
              <w:t>kašalj</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plućna embolija</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lang w:val="sr-Latn-ME"/>
              </w:rPr>
            </w:pPr>
            <w:r w:rsidRPr="00B60703">
              <w:rPr>
                <w:sz w:val="22"/>
                <w:szCs w:val="22"/>
                <w:lang w:val="sr-Latn-ME"/>
              </w:rPr>
              <w:t xml:space="preserve">intersticijalna bolest pluća, </w:t>
            </w:r>
          </w:p>
          <w:p w:rsidR="005B62E2" w:rsidRPr="00B60703" w:rsidRDefault="00F03789">
            <w:pPr>
              <w:tabs>
                <w:tab w:val="left" w:pos="284"/>
              </w:tabs>
              <w:suppressAutoHyphens/>
              <w:rPr>
                <w:sz w:val="22"/>
                <w:szCs w:val="22"/>
                <w:lang w:val="sr-Latn-ME"/>
              </w:rPr>
            </w:pPr>
            <w:r w:rsidRPr="00B60703">
              <w:rPr>
                <w:sz w:val="22"/>
                <w:szCs w:val="22"/>
                <w:lang w:val="sr-Latn-ME"/>
              </w:rPr>
              <w:t xml:space="preserve">hronična opstruktivna bolest pluća, </w:t>
            </w:r>
          </w:p>
          <w:p w:rsidR="005B62E2" w:rsidRPr="00B60703" w:rsidRDefault="00F03789">
            <w:pPr>
              <w:tabs>
                <w:tab w:val="left" w:pos="284"/>
              </w:tabs>
              <w:suppressAutoHyphens/>
              <w:rPr>
                <w:sz w:val="22"/>
                <w:szCs w:val="22"/>
                <w:lang w:val="sr-Latn-ME"/>
              </w:rPr>
            </w:pPr>
            <w:r w:rsidRPr="00B60703">
              <w:rPr>
                <w:sz w:val="22"/>
                <w:szCs w:val="22"/>
                <w:lang w:val="sr-Latn-ME"/>
              </w:rPr>
              <w:t>pneumonitis,</w:t>
            </w:r>
          </w:p>
          <w:p w:rsidR="005B62E2" w:rsidRPr="00B60703" w:rsidRDefault="00F03789">
            <w:pPr>
              <w:tabs>
                <w:tab w:val="left" w:pos="284"/>
              </w:tabs>
              <w:suppressAutoHyphens/>
              <w:rPr>
                <w:sz w:val="22"/>
                <w:szCs w:val="22"/>
                <w:vertAlign w:val="superscript"/>
                <w:lang w:val="sr-Latn-ME"/>
              </w:rPr>
            </w:pPr>
            <w:r w:rsidRPr="00B60703">
              <w:rPr>
                <w:sz w:val="22"/>
                <w:szCs w:val="22"/>
                <w:lang w:val="sr-Latn-ME"/>
              </w:rPr>
              <w:t>pleuralna efuzija</w:t>
            </w:r>
            <w:r w:rsidRPr="00B60703">
              <w:rPr>
                <w:sz w:val="22"/>
                <w:szCs w:val="22"/>
                <w:vertAlign w:val="superscript"/>
                <w:lang w:val="sr-Latn-ME"/>
              </w:rPr>
              <w:t>1)</w:t>
            </w:r>
          </w:p>
          <w:p w:rsidR="005B62E2" w:rsidRPr="00B60703" w:rsidRDefault="005B62E2">
            <w:pPr>
              <w:tabs>
                <w:tab w:val="left" w:pos="284"/>
              </w:tabs>
              <w:suppressAutoHyphens/>
              <w:rPr>
                <w:sz w:val="22"/>
                <w:szCs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 xml:space="preserve">Rijetko </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vertAlign w:val="superscript"/>
                <w:lang w:val="sr-Latn-ME"/>
              </w:rPr>
            </w:pPr>
            <w:r w:rsidRPr="00B60703">
              <w:rPr>
                <w:sz w:val="22"/>
                <w:szCs w:val="22"/>
                <w:lang w:val="sr-Latn-ME"/>
              </w:rPr>
              <w:t>plućna fibroza</w:t>
            </w:r>
            <w:r w:rsidRPr="00B60703">
              <w:rPr>
                <w:sz w:val="22"/>
                <w:szCs w:val="22"/>
                <w:vertAlign w:val="superscript"/>
                <w:lang w:val="sr-Latn-ME"/>
              </w:rPr>
              <w:t>1)</w:t>
            </w:r>
          </w:p>
          <w:p w:rsidR="005B62E2" w:rsidRPr="00B60703" w:rsidRDefault="005B62E2">
            <w:pPr>
              <w:tabs>
                <w:tab w:val="left" w:pos="284"/>
              </w:tabs>
              <w:suppressAutoHyphens/>
              <w:rPr>
                <w:sz w:val="22"/>
                <w:vertAlign w:val="superscript"/>
                <w:lang w:val="sr-Latn-ME"/>
              </w:rPr>
            </w:pP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Gastrointestinalni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abdominalni bol, </w:t>
            </w:r>
          </w:p>
          <w:p w:rsidR="005B62E2" w:rsidRPr="00B60703" w:rsidRDefault="00F03789">
            <w:pPr>
              <w:tabs>
                <w:tab w:val="left" w:pos="284"/>
              </w:tabs>
              <w:suppressAutoHyphens/>
              <w:rPr>
                <w:sz w:val="22"/>
                <w:szCs w:val="22"/>
                <w:lang w:val="sr-Latn-ME"/>
              </w:rPr>
            </w:pPr>
            <w:r w:rsidRPr="00B60703">
              <w:rPr>
                <w:sz w:val="22"/>
                <w:szCs w:val="22"/>
                <w:lang w:val="sr-Latn-ME"/>
              </w:rPr>
              <w:t>mučnina i povraćanje</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GI hemoragija, </w:t>
            </w:r>
          </w:p>
          <w:p w:rsidR="005B62E2" w:rsidRPr="00B60703" w:rsidRDefault="00F03789">
            <w:pPr>
              <w:tabs>
                <w:tab w:val="left" w:pos="284"/>
              </w:tabs>
              <w:suppressAutoHyphens/>
              <w:rPr>
                <w:sz w:val="22"/>
                <w:szCs w:val="22"/>
                <w:lang w:val="sr-Latn-ME"/>
              </w:rPr>
            </w:pPr>
            <w:r w:rsidRPr="00B60703">
              <w:rPr>
                <w:sz w:val="22"/>
                <w:szCs w:val="22"/>
                <w:lang w:val="sr-Latn-ME"/>
              </w:rPr>
              <w:t xml:space="preserve">dispepsija, </w:t>
            </w:r>
          </w:p>
          <w:p w:rsidR="005B62E2" w:rsidRPr="00B60703" w:rsidRDefault="00F03789">
            <w:pPr>
              <w:tabs>
                <w:tab w:val="left" w:pos="284"/>
              </w:tabs>
              <w:suppressAutoHyphens/>
              <w:rPr>
                <w:sz w:val="22"/>
                <w:szCs w:val="22"/>
                <w:lang w:val="sr-Latn-ME"/>
              </w:rPr>
            </w:pPr>
            <w:r w:rsidRPr="00B60703">
              <w:rPr>
                <w:sz w:val="22"/>
                <w:szCs w:val="22"/>
                <w:lang w:val="sr-Latn-ME"/>
              </w:rPr>
              <w:t xml:space="preserve">gastroezofagealna refluksna bolest, </w:t>
            </w:r>
          </w:p>
          <w:p w:rsidR="005B62E2" w:rsidRPr="00B60703" w:rsidRDefault="00F03789">
            <w:pPr>
              <w:tabs>
                <w:tab w:val="left" w:pos="284"/>
              </w:tabs>
              <w:suppressAutoHyphens/>
              <w:rPr>
                <w:sz w:val="22"/>
                <w:szCs w:val="22"/>
                <w:lang w:val="sr-Latn-ME"/>
              </w:rPr>
            </w:pPr>
            <w:r w:rsidRPr="00B60703">
              <w:rPr>
                <w:i/>
                <w:sz w:val="22"/>
                <w:szCs w:val="22"/>
                <w:lang w:val="sr-Latn-ME"/>
              </w:rPr>
              <w:t>sicca</w:t>
            </w:r>
            <w:r w:rsidRPr="00B60703">
              <w:rPr>
                <w:sz w:val="22"/>
                <w:szCs w:val="22"/>
                <w:lang w:val="sr-Latn-ME"/>
              </w:rPr>
              <w:t xml:space="preserve"> sindrom</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pankreatitis, </w:t>
            </w:r>
          </w:p>
          <w:p w:rsidR="005B62E2" w:rsidRPr="00B60703" w:rsidRDefault="00F03789">
            <w:pPr>
              <w:tabs>
                <w:tab w:val="left" w:pos="284"/>
              </w:tabs>
              <w:suppressAutoHyphens/>
              <w:rPr>
                <w:sz w:val="22"/>
                <w:szCs w:val="22"/>
                <w:lang w:val="sr-Latn-ME"/>
              </w:rPr>
            </w:pPr>
            <w:r w:rsidRPr="00B60703">
              <w:rPr>
                <w:sz w:val="22"/>
                <w:szCs w:val="22"/>
                <w:lang w:val="sr-Latn-ME"/>
              </w:rPr>
              <w:t xml:space="preserve">disfagija, </w:t>
            </w:r>
          </w:p>
          <w:p w:rsidR="005B62E2" w:rsidRPr="00B60703" w:rsidRDefault="00F03789">
            <w:pPr>
              <w:tabs>
                <w:tab w:val="left" w:pos="284"/>
              </w:tabs>
              <w:suppressAutoHyphens/>
              <w:rPr>
                <w:sz w:val="22"/>
                <w:szCs w:val="22"/>
                <w:lang w:val="sr-Latn-ME"/>
              </w:rPr>
            </w:pPr>
            <w:r w:rsidRPr="00B60703">
              <w:rPr>
                <w:sz w:val="22"/>
                <w:szCs w:val="22"/>
                <w:lang w:val="sr-Latn-ME"/>
              </w:rPr>
              <w:t>edem lica</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 xml:space="preserve">Rijetko </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vertAlign w:val="superscript"/>
                <w:lang w:val="sr-Latn-ME"/>
              </w:rPr>
            </w:pPr>
            <w:r w:rsidRPr="00B60703">
              <w:rPr>
                <w:sz w:val="22"/>
                <w:szCs w:val="22"/>
                <w:lang w:val="sr-Latn-ME"/>
              </w:rPr>
              <w:t>intestinalna perforacija</w:t>
            </w:r>
            <w:r w:rsidRPr="00B60703">
              <w:rPr>
                <w:sz w:val="22"/>
                <w:szCs w:val="22"/>
                <w:vertAlign w:val="superscript"/>
                <w:lang w:val="sr-Latn-ME"/>
              </w:rPr>
              <w:t>1)</w:t>
            </w:r>
          </w:p>
          <w:p w:rsidR="005B62E2" w:rsidRPr="00B60703" w:rsidRDefault="005B62E2">
            <w:pPr>
              <w:tabs>
                <w:tab w:val="left" w:pos="284"/>
              </w:tabs>
              <w:suppressAutoHyphens/>
              <w:rPr>
                <w:sz w:val="22"/>
                <w:vertAlign w:val="superscript"/>
                <w:lang w:val="sr-Latn-ME"/>
              </w:rPr>
            </w:pPr>
          </w:p>
        </w:tc>
      </w:tr>
      <w:tr w:rsidR="005B62E2" w:rsidRPr="00B60703">
        <w:trPr>
          <w:trHeight w:val="14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Hepatobilijarni poremećaji*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povećani enzimi jetre</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holecistitis i holelitijaza, </w:t>
            </w:r>
          </w:p>
          <w:p w:rsidR="005B62E2" w:rsidRPr="00B60703" w:rsidRDefault="00F03789">
            <w:pPr>
              <w:tabs>
                <w:tab w:val="left" w:pos="284"/>
              </w:tabs>
              <w:suppressAutoHyphens/>
              <w:rPr>
                <w:sz w:val="22"/>
                <w:szCs w:val="22"/>
                <w:lang w:val="sr-Latn-ME"/>
              </w:rPr>
            </w:pPr>
            <w:r w:rsidRPr="00B60703">
              <w:rPr>
                <w:sz w:val="22"/>
                <w:szCs w:val="22"/>
                <w:lang w:val="sr-Latn-ME"/>
              </w:rPr>
              <w:t>steatoza jetre,</w:t>
            </w:r>
          </w:p>
          <w:p w:rsidR="005B62E2" w:rsidRPr="00B60703" w:rsidRDefault="00F03789">
            <w:pPr>
              <w:tabs>
                <w:tab w:val="left" w:pos="284"/>
              </w:tabs>
              <w:suppressAutoHyphens/>
              <w:rPr>
                <w:sz w:val="22"/>
                <w:szCs w:val="22"/>
                <w:lang w:val="sr-Latn-ME"/>
              </w:rPr>
            </w:pPr>
            <w:r w:rsidRPr="00B60703">
              <w:rPr>
                <w:sz w:val="22"/>
                <w:szCs w:val="22"/>
                <w:lang w:val="sr-Latn-ME"/>
              </w:rPr>
              <w:t>povećan bilirubin u krvi</w:t>
            </w:r>
          </w:p>
          <w:p w:rsidR="005B62E2" w:rsidRPr="00B60703" w:rsidRDefault="005B62E2">
            <w:pPr>
              <w:tabs>
                <w:tab w:val="left" w:pos="284"/>
              </w:tabs>
              <w:suppressAutoHyphens/>
              <w:rPr>
                <w:sz w:val="22"/>
                <w:szCs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 xml:space="preserve">Rijetko </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hepatitis, </w:t>
            </w:r>
          </w:p>
          <w:p w:rsidR="005B62E2" w:rsidRPr="00B60703" w:rsidRDefault="00F03789">
            <w:pPr>
              <w:tabs>
                <w:tab w:val="left" w:pos="284"/>
              </w:tabs>
              <w:suppressAutoHyphens/>
              <w:rPr>
                <w:sz w:val="22"/>
                <w:szCs w:val="22"/>
                <w:lang w:val="sr-Latn-ME"/>
              </w:rPr>
            </w:pPr>
            <w:r w:rsidRPr="00B60703">
              <w:rPr>
                <w:sz w:val="22"/>
                <w:szCs w:val="22"/>
                <w:lang w:val="sr-Latn-ME"/>
              </w:rPr>
              <w:t>reaktivacija hepatitisa B</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vertAlign w:val="superscript"/>
                <w:lang w:val="sr-Latn-ME"/>
              </w:rPr>
            </w:pPr>
            <w:r w:rsidRPr="00B60703">
              <w:rPr>
                <w:sz w:val="22"/>
                <w:szCs w:val="22"/>
                <w:lang w:val="sr-Latn-ME"/>
              </w:rPr>
              <w:t>autoimuni hepatitis</w:t>
            </w:r>
            <w:r w:rsidRPr="00B60703">
              <w:rPr>
                <w:sz w:val="22"/>
                <w:szCs w:val="22"/>
                <w:vertAlign w:val="superscript"/>
                <w:lang w:val="sr-Latn-ME"/>
              </w:rPr>
              <w:t>1)</w:t>
            </w:r>
          </w:p>
          <w:p w:rsidR="005B62E2" w:rsidRPr="00B60703" w:rsidRDefault="005B62E2">
            <w:pPr>
              <w:tabs>
                <w:tab w:val="left" w:pos="284"/>
              </w:tabs>
              <w:suppressAutoHyphens/>
              <w:rPr>
                <w:sz w:val="22"/>
                <w:szCs w:val="22"/>
                <w:vertAlign w:val="superscript"/>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szCs w:val="22"/>
                <w:lang w:val="sr-Latn-ME"/>
              </w:rPr>
            </w:pPr>
            <w:r w:rsidRPr="00B60703">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vertAlign w:val="superscript"/>
                <w:lang w:val="sr-Latn-ME"/>
              </w:rPr>
            </w:pPr>
            <w:r w:rsidRPr="00B60703">
              <w:rPr>
                <w:sz w:val="22"/>
                <w:szCs w:val="22"/>
                <w:lang w:val="sr-Latn-ME"/>
              </w:rPr>
              <w:t>insuficijencija jetre</w:t>
            </w:r>
            <w:r w:rsidRPr="00B60703">
              <w:rPr>
                <w:sz w:val="22"/>
                <w:szCs w:val="22"/>
                <w:vertAlign w:val="superscript"/>
                <w:lang w:val="sr-Latn-ME"/>
              </w:rPr>
              <w:t>1)</w:t>
            </w:r>
          </w:p>
          <w:p w:rsidR="005B62E2" w:rsidRPr="00B60703" w:rsidRDefault="005B62E2">
            <w:pPr>
              <w:tabs>
                <w:tab w:val="left" w:pos="284"/>
              </w:tabs>
              <w:suppressAutoHyphens/>
              <w:rPr>
                <w:sz w:val="22"/>
                <w:szCs w:val="22"/>
                <w:lang w:val="sr-Latn-ME"/>
              </w:rPr>
            </w:pP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kože i potkožnog tkiva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osip (uključujući eksfolijativni osip)</w:t>
            </w:r>
          </w:p>
          <w:p w:rsidR="005B62E2" w:rsidRPr="00B60703" w:rsidRDefault="005B62E2">
            <w:pPr>
              <w:suppressLineNumbers/>
              <w:tabs>
                <w:tab w:val="left" w:pos="284"/>
              </w:tabs>
              <w:suppressAutoHyphens/>
              <w:jc w:val="both"/>
              <w:rPr>
                <w:lang w:val="sr-Latn-ME" w:eastAsia="ar-SA"/>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pogoršanje i nova pojava psorijaze (uključujući palmoplantar-pustularnu psorijazu)</w:t>
            </w:r>
            <w:r w:rsidRPr="00B60703">
              <w:rPr>
                <w:sz w:val="22"/>
                <w:szCs w:val="22"/>
                <w:vertAlign w:val="superscript"/>
                <w:lang w:val="sr-Latn-ME" w:eastAsia="ar-SA"/>
              </w:rPr>
              <w:t>1)</w:t>
            </w:r>
            <w:r w:rsidRPr="00B60703">
              <w:rPr>
                <w:sz w:val="22"/>
                <w:szCs w:val="22"/>
                <w:lang w:val="sr-Latn-ME" w:eastAsia="ar-SA"/>
              </w:rPr>
              <w:t xml:space="preserve">,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urtikarija,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povećano stvaranje modrica (uključujući purpuru),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dermatitis (uključujući ekcem),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lomljenje noktiju,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 xml:space="preserve">hiperhidroza,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alopecija</w:t>
            </w:r>
            <w:r w:rsidRPr="00B60703">
              <w:rPr>
                <w:sz w:val="22"/>
                <w:szCs w:val="22"/>
                <w:vertAlign w:val="superscript"/>
                <w:lang w:val="sr-Latn-ME" w:eastAsia="ar-SA"/>
              </w:rPr>
              <w:t>1)</w:t>
            </w:r>
            <w:r w:rsidRPr="00B60703">
              <w:rPr>
                <w:sz w:val="22"/>
                <w:szCs w:val="22"/>
                <w:lang w:val="sr-Latn-ME" w:eastAsia="ar-SA"/>
              </w:rPr>
              <w:t xml:space="preserve">, </w:t>
            </w:r>
          </w:p>
          <w:p w:rsidR="005B62E2" w:rsidRPr="00B60703" w:rsidRDefault="00F03789">
            <w:pPr>
              <w:suppressLineNumbers/>
              <w:tabs>
                <w:tab w:val="left" w:pos="284"/>
              </w:tabs>
              <w:suppressAutoHyphens/>
              <w:jc w:val="both"/>
              <w:rPr>
                <w:sz w:val="22"/>
                <w:szCs w:val="22"/>
                <w:lang w:val="sr-Latn-ME" w:eastAsia="ar-SA"/>
              </w:rPr>
            </w:pPr>
            <w:r w:rsidRPr="00B60703">
              <w:rPr>
                <w:sz w:val="22"/>
                <w:szCs w:val="22"/>
                <w:lang w:val="sr-Latn-ME" w:eastAsia="ar-SA"/>
              </w:rPr>
              <w:t>pruritus</w:t>
            </w: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noćno znojenje, </w:t>
            </w:r>
          </w:p>
          <w:p w:rsidR="005B62E2" w:rsidRPr="00B60703" w:rsidRDefault="00F03789">
            <w:pPr>
              <w:tabs>
                <w:tab w:val="left" w:pos="284"/>
              </w:tabs>
              <w:suppressAutoHyphens/>
              <w:rPr>
                <w:sz w:val="22"/>
                <w:szCs w:val="22"/>
                <w:lang w:val="sr-Latn-ME"/>
              </w:rPr>
            </w:pPr>
            <w:r w:rsidRPr="00B60703">
              <w:rPr>
                <w:sz w:val="22"/>
                <w:szCs w:val="22"/>
                <w:lang w:val="sr-Latn-ME"/>
              </w:rPr>
              <w:lastRenderedPageBreak/>
              <w:t>ožiljci</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multiformni eritem</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lang w:val="sr-Latn-ME"/>
              </w:rPr>
            </w:pPr>
            <w:r w:rsidRPr="00B60703">
              <w:rPr>
                <w:i/>
                <w:sz w:val="22"/>
                <w:szCs w:val="22"/>
                <w:lang w:val="sr-Latn-ME"/>
              </w:rPr>
              <w:t>Stevens-Johnson</w:t>
            </w:r>
            <w:r w:rsidRPr="00B60703">
              <w:rPr>
                <w:sz w:val="22"/>
                <w:szCs w:val="22"/>
                <w:lang w:val="sr-Latn-ME"/>
              </w:rPr>
              <w:t>-ov sindrom</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lang w:val="sr-Latn-ME"/>
              </w:rPr>
            </w:pPr>
            <w:r w:rsidRPr="00B60703">
              <w:rPr>
                <w:sz w:val="22"/>
                <w:szCs w:val="22"/>
                <w:lang w:val="sr-Latn-ME"/>
              </w:rPr>
              <w:t>angioedem</w:t>
            </w:r>
            <w:r w:rsidRPr="00B60703">
              <w:rPr>
                <w:sz w:val="22"/>
                <w:szCs w:val="22"/>
                <w:vertAlign w:val="superscript"/>
                <w:lang w:val="sr-Latn-ME"/>
              </w:rPr>
              <w:t>1)</w:t>
            </w:r>
            <w:r w:rsidRPr="00B60703">
              <w:rPr>
                <w:sz w:val="22"/>
                <w:szCs w:val="22"/>
                <w:lang w:val="sr-Latn-ME"/>
              </w:rPr>
              <w:t xml:space="preserve">, </w:t>
            </w:r>
          </w:p>
          <w:p w:rsidR="005B62E2" w:rsidRPr="00B60703" w:rsidRDefault="00F03789">
            <w:pPr>
              <w:tabs>
                <w:tab w:val="left" w:pos="284"/>
              </w:tabs>
              <w:suppressAutoHyphens/>
              <w:rPr>
                <w:sz w:val="22"/>
                <w:szCs w:val="22"/>
                <w:vertAlign w:val="superscript"/>
                <w:lang w:val="sr-Latn-ME"/>
              </w:rPr>
            </w:pPr>
            <w:r w:rsidRPr="00B60703">
              <w:rPr>
                <w:sz w:val="22"/>
                <w:szCs w:val="22"/>
                <w:lang w:val="sr-Latn-ME"/>
              </w:rPr>
              <w:t>kožni vaskulitis</w:t>
            </w:r>
            <w:r w:rsidRPr="00B60703">
              <w:rPr>
                <w:sz w:val="22"/>
                <w:szCs w:val="22"/>
                <w:vertAlign w:val="superscript"/>
                <w:lang w:val="sr-Latn-ME"/>
              </w:rPr>
              <w:t>1)</w:t>
            </w:r>
          </w:p>
          <w:p w:rsidR="005B62E2" w:rsidRPr="00B60703" w:rsidRDefault="00F03789">
            <w:pPr>
              <w:tabs>
                <w:tab w:val="left" w:pos="708"/>
                <w:tab w:val="center" w:pos="4536"/>
                <w:tab w:val="right" w:pos="9072"/>
              </w:tabs>
              <w:snapToGrid w:val="0"/>
              <w:jc w:val="both"/>
              <w:rPr>
                <w:sz w:val="22"/>
                <w:szCs w:val="22"/>
                <w:vertAlign w:val="superscript"/>
                <w:lang w:val="sr-Latn-ME" w:eastAsia="sr-Latn-ME"/>
              </w:rPr>
            </w:pPr>
            <w:r w:rsidRPr="00B60703">
              <w:rPr>
                <w:sz w:val="22"/>
                <w:szCs w:val="22"/>
                <w:lang w:val="sr-Latn-ME" w:eastAsia="sr-Latn-ME"/>
              </w:rPr>
              <w:t>lihenoidne kožne reakcije</w:t>
            </w:r>
            <w:r w:rsidRPr="00B60703">
              <w:rPr>
                <w:sz w:val="22"/>
                <w:szCs w:val="22"/>
                <w:vertAlign w:val="superscript"/>
                <w:lang w:val="sr-Latn-ME" w:eastAsia="sr-Latn-ME"/>
              </w:rPr>
              <w:t>1)</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bCs/>
                <w:sz w:val="22"/>
                <w:szCs w:val="22"/>
                <w:lang w:val="sr-Latn-ME"/>
              </w:rPr>
            </w:pPr>
            <w:r w:rsidRPr="00B60703">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vertAlign w:val="superscript"/>
                <w:lang w:val="sr-Latn-ME"/>
              </w:rPr>
            </w:pPr>
            <w:r w:rsidRPr="00B60703">
              <w:rPr>
                <w:sz w:val="22"/>
                <w:szCs w:val="22"/>
                <w:lang w:val="sr-Latn-ME"/>
              </w:rPr>
              <w:t>pogoršanje simptoma dermatomiozitisa¹</w:t>
            </w:r>
            <w:r w:rsidRPr="00B60703">
              <w:rPr>
                <w:sz w:val="22"/>
                <w:szCs w:val="22"/>
                <w:vertAlign w:val="superscript"/>
                <w:lang w:val="sr-Latn-ME"/>
              </w:rPr>
              <w:t>)</w:t>
            </w:r>
          </w:p>
          <w:p w:rsidR="005B62E2" w:rsidRPr="00B60703" w:rsidRDefault="005B62E2">
            <w:pPr>
              <w:tabs>
                <w:tab w:val="left" w:pos="284"/>
              </w:tabs>
              <w:suppressAutoHyphens/>
              <w:rPr>
                <w:sz w:val="22"/>
                <w:szCs w:val="22"/>
                <w:lang w:val="sr-Latn-ME"/>
              </w:rPr>
            </w:pPr>
          </w:p>
        </w:tc>
      </w:tr>
      <w:tr w:rsidR="005B62E2" w:rsidRPr="00B60703">
        <w:trPr>
          <w:trHeight w:val="7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suppressLineNumbers/>
              <w:tabs>
                <w:tab w:val="left" w:pos="284"/>
              </w:tabs>
              <w:suppressAutoHyphens/>
              <w:rPr>
                <w:lang w:val="sr-Latn-ME" w:eastAsia="ar-SA"/>
              </w:rPr>
            </w:pPr>
            <w:r w:rsidRPr="00B60703">
              <w:rPr>
                <w:bCs/>
                <w:sz w:val="22"/>
                <w:szCs w:val="22"/>
                <w:lang w:val="sr-Latn-ME" w:eastAsia="ar-SA"/>
              </w:rPr>
              <w:t xml:space="preserve">Poremećaji mišićno-koštanog sistema i vezivnog tkiva </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mišićno-skeletni bol</w:t>
            </w:r>
          </w:p>
          <w:p w:rsidR="005B62E2" w:rsidRPr="00B60703" w:rsidRDefault="005B62E2">
            <w:pPr>
              <w:tabs>
                <w:tab w:val="left" w:pos="284"/>
              </w:tabs>
              <w:suppressAutoHyphens/>
              <w:rPr>
                <w:sz w:val="22"/>
                <w:lang w:val="sr-Latn-ME"/>
              </w:rPr>
            </w:pP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spazmi mišića (uključujući povećanje koncentracije kreatin-fosfokinaze u krvi)</w:t>
            </w:r>
          </w:p>
          <w:p w:rsidR="005B62E2" w:rsidRPr="00B60703" w:rsidRDefault="005B62E2">
            <w:pPr>
              <w:tabs>
                <w:tab w:val="left" w:pos="284"/>
              </w:tabs>
              <w:suppressAutoHyphens/>
              <w:rPr>
                <w:sz w:val="22"/>
                <w:lang w:val="sr-Latn-ME"/>
              </w:rPr>
            </w:pP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sz w:val="22"/>
                <w:szCs w:val="22"/>
                <w:lang w:val="sr-Latn-ME" w:eastAsia="sr-Latn-ME"/>
              </w:rPr>
            </w:pPr>
            <w:r w:rsidRPr="00B60703">
              <w:rPr>
                <w:sz w:val="22"/>
                <w:szCs w:val="22"/>
                <w:lang w:val="sr-Latn-ME" w:eastAsia="sr-Latn-ME"/>
              </w:rPr>
              <w:t xml:space="preserve">rabdomioliza, </w:t>
            </w:r>
          </w:p>
          <w:p w:rsidR="005B62E2" w:rsidRPr="00B60703" w:rsidRDefault="00F03789">
            <w:pPr>
              <w:tabs>
                <w:tab w:val="left" w:pos="720"/>
                <w:tab w:val="center" w:pos="4536"/>
                <w:tab w:val="right" w:pos="9072"/>
              </w:tabs>
              <w:suppressAutoHyphens/>
              <w:snapToGrid w:val="0"/>
              <w:rPr>
                <w:sz w:val="22"/>
                <w:szCs w:val="22"/>
                <w:lang w:val="sr-Latn-ME" w:eastAsia="sr-Latn-ME"/>
              </w:rPr>
            </w:pPr>
            <w:r w:rsidRPr="00B60703">
              <w:rPr>
                <w:sz w:val="22"/>
                <w:szCs w:val="22"/>
                <w:lang w:val="sr-Latn-ME" w:eastAsia="sr-Latn-ME"/>
              </w:rPr>
              <w:t>sistemski lupus eritematozus</w:t>
            </w:r>
          </w:p>
          <w:p w:rsidR="005B62E2" w:rsidRPr="00B60703" w:rsidRDefault="005B62E2">
            <w:pPr>
              <w:tabs>
                <w:tab w:val="left" w:pos="720"/>
                <w:tab w:val="center" w:pos="4536"/>
                <w:tab w:val="right" w:pos="9072"/>
              </w:tabs>
              <w:suppressAutoHyphens/>
              <w:snapToGrid w:val="0"/>
              <w:rPr>
                <w:sz w:val="22"/>
                <w:szCs w:val="22"/>
                <w:lang w:val="sr-Latn-ME" w:eastAsia="sr-Latn-ME"/>
              </w:rPr>
            </w:pPr>
          </w:p>
        </w:tc>
      </w:tr>
      <w:tr w:rsidR="005B62E2" w:rsidRPr="00B60703">
        <w:trPr>
          <w:trHeight w:val="7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Rijetko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vertAlign w:val="superscript"/>
                <w:lang w:val="sr-Latn-ME"/>
              </w:rPr>
            </w:pPr>
            <w:r w:rsidRPr="00B60703">
              <w:rPr>
                <w:sz w:val="22"/>
                <w:szCs w:val="22"/>
                <w:lang w:val="sr-Latn-ME"/>
              </w:rPr>
              <w:t xml:space="preserve">sindrom sličan lupusu </w:t>
            </w:r>
            <w:r w:rsidRPr="00B60703">
              <w:rPr>
                <w:sz w:val="22"/>
                <w:szCs w:val="22"/>
                <w:vertAlign w:val="superscript"/>
                <w:lang w:val="sr-Latn-ME"/>
              </w:rPr>
              <w:t>1)</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bubrega i urinarnog sistema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284"/>
              </w:tabs>
              <w:suppressAutoHyphens/>
              <w:jc w:val="both"/>
              <w:rPr>
                <w:sz w:val="22"/>
                <w:szCs w:val="22"/>
                <w:lang w:val="sr-Latn-ME"/>
              </w:rPr>
            </w:pPr>
          </w:p>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284"/>
              </w:tabs>
              <w:suppressAutoHyphens/>
              <w:rPr>
                <w:sz w:val="22"/>
                <w:szCs w:val="22"/>
                <w:lang w:val="sr-Latn-ME"/>
              </w:rPr>
            </w:pPr>
          </w:p>
          <w:p w:rsidR="005B62E2" w:rsidRPr="00B60703" w:rsidRDefault="00F03789">
            <w:pPr>
              <w:tabs>
                <w:tab w:val="left" w:pos="284"/>
              </w:tabs>
              <w:suppressAutoHyphens/>
              <w:rPr>
                <w:sz w:val="22"/>
                <w:szCs w:val="22"/>
                <w:lang w:val="sr-Latn-ME"/>
              </w:rPr>
            </w:pPr>
            <w:r w:rsidRPr="00B60703">
              <w:rPr>
                <w:sz w:val="22"/>
                <w:szCs w:val="22"/>
                <w:lang w:val="sr-Latn-ME"/>
              </w:rPr>
              <w:t xml:space="preserve">oslabljena funkcija bubrega, </w:t>
            </w:r>
          </w:p>
          <w:p w:rsidR="005B62E2" w:rsidRPr="00B60703" w:rsidRDefault="00F03789">
            <w:pPr>
              <w:tabs>
                <w:tab w:val="left" w:pos="284"/>
              </w:tabs>
              <w:suppressAutoHyphens/>
              <w:rPr>
                <w:sz w:val="22"/>
                <w:szCs w:val="22"/>
                <w:lang w:val="sr-Latn-ME"/>
              </w:rPr>
            </w:pPr>
            <w:r w:rsidRPr="00B60703">
              <w:rPr>
                <w:sz w:val="22"/>
                <w:szCs w:val="22"/>
                <w:lang w:val="sr-Latn-ME"/>
              </w:rPr>
              <w:t>hematurija</w:t>
            </w:r>
          </w:p>
          <w:p w:rsidR="005B62E2" w:rsidRPr="00B60703" w:rsidRDefault="005B62E2">
            <w:pPr>
              <w:tabs>
                <w:tab w:val="left" w:pos="284"/>
              </w:tabs>
              <w:suppressAutoHyphens/>
              <w:rPr>
                <w:sz w:val="22"/>
                <w:lang w:val="sr-Latn-ME"/>
              </w:rPr>
            </w:pPr>
          </w:p>
        </w:tc>
      </w:tr>
      <w:tr w:rsidR="005B62E2" w:rsidRPr="00B60703">
        <w:trPr>
          <w:trHeight w:val="140"/>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nokturija</w:t>
            </w:r>
          </w:p>
          <w:p w:rsidR="005B62E2" w:rsidRPr="00B60703" w:rsidRDefault="005B62E2">
            <w:pPr>
              <w:tabs>
                <w:tab w:val="left" w:pos="284"/>
              </w:tabs>
              <w:suppressAutoHyphens/>
              <w:rPr>
                <w:sz w:val="22"/>
                <w:lang w:val="sr-Latn-ME"/>
              </w:rPr>
            </w:pPr>
          </w:p>
        </w:tc>
      </w:tr>
      <w:tr w:rsidR="005B62E2" w:rsidRPr="00B60703">
        <w:tc>
          <w:tcPr>
            <w:tcW w:w="14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Poremećaji reproduktivnog sistema i dojki</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sz w:val="22"/>
                <w:szCs w:val="22"/>
                <w:lang w:val="sr-Latn-ME"/>
              </w:rPr>
              <w:t>erektilna disfunkcija</w:t>
            </w:r>
          </w:p>
        </w:tc>
      </w:tr>
      <w:tr w:rsidR="005B62E2" w:rsidRPr="00B60703">
        <w:trPr>
          <w:trHeight w:val="94"/>
        </w:trPr>
        <w:tc>
          <w:tcPr>
            <w:tcW w:w="1435"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Opšti poremećaji i reakcije na mjestu primjene*</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reakcije na mjestu primjene (uključujući eritem na mjestu primjene)</w:t>
            </w:r>
          </w:p>
          <w:p w:rsidR="005B62E2" w:rsidRPr="00B60703" w:rsidRDefault="005B62E2">
            <w:pPr>
              <w:tabs>
                <w:tab w:val="left" w:pos="284"/>
              </w:tabs>
              <w:suppressAutoHyphens/>
              <w:rPr>
                <w:sz w:val="22"/>
                <w:lang w:val="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720"/>
                <w:tab w:val="center" w:pos="4536"/>
                <w:tab w:val="right" w:pos="9072"/>
              </w:tabs>
              <w:suppressAutoHyphens/>
              <w:snapToGrid w:val="0"/>
              <w:rPr>
                <w:sz w:val="22"/>
                <w:szCs w:val="22"/>
                <w:lang w:val="sr-Latn-ME" w:eastAsia="sr-Latn-ME"/>
              </w:rPr>
            </w:pPr>
            <w:r w:rsidRPr="00B60703">
              <w:rPr>
                <w:sz w:val="22"/>
                <w:szCs w:val="22"/>
                <w:lang w:val="sr-Latn-ME" w:eastAsia="sr-Latn-ME"/>
              </w:rPr>
              <w:t xml:space="preserve">bol u grudima, </w:t>
            </w:r>
          </w:p>
          <w:p w:rsidR="005B62E2" w:rsidRPr="00B60703" w:rsidRDefault="00F03789">
            <w:pPr>
              <w:tabs>
                <w:tab w:val="left" w:pos="720"/>
                <w:tab w:val="center" w:pos="4536"/>
                <w:tab w:val="right" w:pos="9072"/>
              </w:tabs>
              <w:suppressAutoHyphens/>
              <w:snapToGrid w:val="0"/>
              <w:rPr>
                <w:sz w:val="22"/>
                <w:szCs w:val="22"/>
                <w:lang w:val="sr-Latn-ME" w:eastAsia="sr-Latn-ME"/>
              </w:rPr>
            </w:pPr>
            <w:r w:rsidRPr="00B60703">
              <w:rPr>
                <w:sz w:val="22"/>
                <w:szCs w:val="22"/>
                <w:lang w:val="sr-Latn-ME" w:eastAsia="sr-Latn-ME"/>
              </w:rPr>
              <w:t xml:space="preserve">edem, </w:t>
            </w:r>
          </w:p>
          <w:p w:rsidR="005B62E2" w:rsidRPr="00B60703" w:rsidRDefault="00F03789">
            <w:pPr>
              <w:tabs>
                <w:tab w:val="left" w:pos="720"/>
                <w:tab w:val="center" w:pos="4536"/>
                <w:tab w:val="right" w:pos="9072"/>
              </w:tabs>
              <w:suppressAutoHyphens/>
              <w:snapToGrid w:val="0"/>
              <w:rPr>
                <w:sz w:val="22"/>
                <w:szCs w:val="22"/>
                <w:vertAlign w:val="superscript"/>
                <w:lang w:val="sr-Latn-ME" w:eastAsia="sr-Latn-ME"/>
              </w:rPr>
            </w:pPr>
            <w:r w:rsidRPr="00B60703">
              <w:rPr>
                <w:sz w:val="22"/>
                <w:szCs w:val="22"/>
                <w:lang w:val="sr-Latn-ME" w:eastAsia="sr-Latn-ME"/>
              </w:rPr>
              <w:t>pireksija</w:t>
            </w:r>
            <w:r w:rsidRPr="00B60703">
              <w:rPr>
                <w:sz w:val="22"/>
                <w:szCs w:val="22"/>
                <w:vertAlign w:val="superscript"/>
                <w:lang w:val="sr-Latn-ME" w:eastAsia="sr-Latn-ME"/>
              </w:rPr>
              <w:t>1)</w:t>
            </w:r>
          </w:p>
          <w:p w:rsidR="005B62E2" w:rsidRPr="00B60703" w:rsidRDefault="005B62E2">
            <w:pPr>
              <w:tabs>
                <w:tab w:val="left" w:pos="720"/>
                <w:tab w:val="center" w:pos="4536"/>
                <w:tab w:val="right" w:pos="9072"/>
              </w:tabs>
              <w:suppressAutoHyphens/>
              <w:snapToGrid w:val="0"/>
              <w:rPr>
                <w:sz w:val="22"/>
                <w:lang w:val="sr-Latn-ME" w:eastAsia="sr-Latn-ME"/>
              </w:rPr>
            </w:pPr>
          </w:p>
        </w:tc>
      </w:tr>
      <w:tr w:rsidR="005B62E2" w:rsidRPr="00B60703">
        <w:trPr>
          <w:trHeight w:val="93"/>
        </w:trPr>
        <w:tc>
          <w:tcPr>
            <w:tcW w:w="1435"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bCs/>
                <w:sz w:val="22"/>
                <w:szCs w:val="22"/>
                <w:lang w:val="sr-Latn-ME"/>
              </w:rPr>
            </w:pPr>
            <w:r w:rsidRPr="00B60703">
              <w:rPr>
                <w:bCs/>
                <w:sz w:val="22"/>
                <w:szCs w:val="22"/>
                <w:lang w:val="sr-Latn-ME"/>
              </w:rPr>
              <w:t>inflamacija</w:t>
            </w:r>
          </w:p>
          <w:p w:rsidR="005B62E2" w:rsidRPr="00B60703" w:rsidRDefault="005B62E2">
            <w:pPr>
              <w:tabs>
                <w:tab w:val="left" w:pos="284"/>
              </w:tabs>
              <w:suppressAutoHyphens/>
              <w:rPr>
                <w:sz w:val="22"/>
                <w:lang w:val="sr-Latn-ME"/>
              </w:rPr>
            </w:pPr>
          </w:p>
        </w:tc>
      </w:tr>
      <w:tr w:rsidR="005B62E2" w:rsidRPr="00B60703">
        <w:trPr>
          <w:trHeight w:val="1470"/>
        </w:trPr>
        <w:tc>
          <w:tcPr>
            <w:tcW w:w="14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Ispitivanja*</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szCs w:val="22"/>
                <w:lang w:val="sr-Latn-ME"/>
              </w:rPr>
              <w:t xml:space="preserve">poremećaji koagulacije i krvarenja (uključujući produženo aktivirano parcijalno tromboplastinsko vrijeme), </w:t>
            </w:r>
          </w:p>
          <w:p w:rsidR="005B62E2" w:rsidRPr="00B60703" w:rsidRDefault="00F03789">
            <w:pPr>
              <w:tabs>
                <w:tab w:val="left" w:pos="284"/>
              </w:tabs>
              <w:suppressAutoHyphens/>
              <w:rPr>
                <w:sz w:val="22"/>
                <w:szCs w:val="22"/>
                <w:lang w:val="sr-Latn-ME"/>
              </w:rPr>
            </w:pPr>
            <w:r w:rsidRPr="00B60703">
              <w:rPr>
                <w:sz w:val="22"/>
                <w:szCs w:val="22"/>
                <w:lang w:val="sr-Latn-ME"/>
              </w:rPr>
              <w:t xml:space="preserve">pozitivan test na autoantitijela (uključujući pozitivna anti-DNK antitijela), </w:t>
            </w:r>
          </w:p>
          <w:p w:rsidR="005B62E2" w:rsidRPr="00B60703" w:rsidRDefault="00F03789">
            <w:pPr>
              <w:tabs>
                <w:tab w:val="left" w:pos="284"/>
              </w:tabs>
              <w:suppressAutoHyphens/>
              <w:rPr>
                <w:sz w:val="22"/>
                <w:lang w:val="sr-Latn-ME"/>
              </w:rPr>
            </w:pPr>
            <w:r w:rsidRPr="00B60703">
              <w:rPr>
                <w:sz w:val="22"/>
                <w:szCs w:val="22"/>
                <w:lang w:val="sr-Latn-ME"/>
              </w:rPr>
              <w:t>povećanje koncentracije laktat-dehidrogenaze u krvi</w:t>
            </w:r>
          </w:p>
        </w:tc>
      </w:tr>
      <w:tr w:rsidR="005B62E2" w:rsidRPr="00B60703">
        <w:trPr>
          <w:trHeight w:val="285"/>
        </w:trPr>
        <w:tc>
          <w:tcPr>
            <w:tcW w:w="1435"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284"/>
              </w:tabs>
              <w:suppressAutoHyphens/>
              <w:rPr>
                <w:bCs/>
                <w:sz w:val="22"/>
                <w:szCs w:val="22"/>
                <w:lang w:val="sr-Latn-ME"/>
              </w:rPr>
            </w:pP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szCs w:val="22"/>
                <w:lang w:val="sr-Latn-ME"/>
              </w:rPr>
            </w:pPr>
            <w:r w:rsidRPr="00B60703">
              <w:rPr>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szCs w:val="22"/>
                <w:lang w:val="sr-Latn-ME"/>
              </w:rPr>
            </w:pPr>
            <w:r w:rsidRPr="00B60703">
              <w:rPr>
                <w:sz w:val="22"/>
                <w:lang w:val="sr-Latn-ME"/>
              </w:rPr>
              <w:t>porast tjelesne težine</w:t>
            </w:r>
            <w:r w:rsidRPr="00B60703">
              <w:rPr>
                <w:sz w:val="22"/>
                <w:vertAlign w:val="superscript"/>
                <w:lang w:val="sr-Latn-ME"/>
              </w:rPr>
              <w:t>2)</w:t>
            </w:r>
          </w:p>
        </w:tc>
      </w:tr>
      <w:tr w:rsidR="005B62E2" w:rsidRPr="00B60703">
        <w:tc>
          <w:tcPr>
            <w:tcW w:w="14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rPr>
                <w:sz w:val="22"/>
                <w:lang w:val="sr-Latn-ME"/>
              </w:rPr>
            </w:pPr>
            <w:r w:rsidRPr="00B60703">
              <w:rPr>
                <w:bCs/>
                <w:sz w:val="22"/>
                <w:szCs w:val="22"/>
                <w:lang w:val="sr-Latn-ME"/>
              </w:rPr>
              <w:t>Povrede, trovanja</w:t>
            </w:r>
            <w:r w:rsidRPr="00B60703">
              <w:rPr>
                <w:sz w:val="22"/>
                <w:lang w:val="sr-Latn-ME"/>
              </w:rPr>
              <w:t xml:space="preserve"> i proceduralne komplikacije</w:t>
            </w:r>
          </w:p>
        </w:tc>
        <w:tc>
          <w:tcPr>
            <w:tcW w:w="8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284"/>
              </w:tabs>
              <w:suppressAutoHyphens/>
              <w:jc w:val="both"/>
              <w:rPr>
                <w:sz w:val="22"/>
                <w:lang w:val="sr-Latn-ME"/>
              </w:rPr>
            </w:pPr>
            <w:r w:rsidRPr="00B60703">
              <w:rPr>
                <w:sz w:val="22"/>
                <w:szCs w:val="22"/>
                <w:lang w:val="sr-Latn-ME"/>
              </w:rPr>
              <w:t>otežano zarastanje rana</w:t>
            </w:r>
          </w:p>
        </w:tc>
      </w:tr>
    </w:tbl>
    <w:p w:rsidR="005B62E2" w:rsidRPr="00B60703" w:rsidRDefault="00F03789">
      <w:pPr>
        <w:tabs>
          <w:tab w:val="left" w:pos="708"/>
          <w:tab w:val="center" w:pos="4536"/>
          <w:tab w:val="right" w:pos="9072"/>
        </w:tabs>
        <w:snapToGrid w:val="0"/>
        <w:rPr>
          <w:sz w:val="22"/>
          <w:lang w:val="sr-Latn-ME"/>
        </w:rPr>
      </w:pPr>
      <w:r w:rsidRPr="00B60703">
        <w:rPr>
          <w:sz w:val="22"/>
          <w:szCs w:val="22"/>
          <w:lang w:val="sr-Latn-ME" w:eastAsia="sr-Latn-ME"/>
        </w:rPr>
        <w:t>* dodatne informacije se nalaze u daljem tekstu, u odjeljcima 4.3, 4.4 i 4.8</w:t>
      </w:r>
    </w:p>
    <w:p w:rsidR="005B62E2" w:rsidRPr="00B60703" w:rsidRDefault="00F03789">
      <w:pPr>
        <w:tabs>
          <w:tab w:val="left" w:pos="708"/>
          <w:tab w:val="center" w:pos="4536"/>
          <w:tab w:val="right" w:pos="9072"/>
        </w:tabs>
        <w:snapToGrid w:val="0"/>
        <w:rPr>
          <w:sz w:val="22"/>
          <w:lang w:val="sr-Latn-ME" w:eastAsia="sr-Latn-ME"/>
        </w:rPr>
      </w:pPr>
      <w:r w:rsidRPr="00B60703">
        <w:rPr>
          <w:sz w:val="22"/>
          <w:szCs w:val="22"/>
          <w:lang w:val="sr-Latn-ME" w:eastAsia="sr-Latn-ME"/>
        </w:rPr>
        <w:t>** uključujući otvorene produžene studije</w:t>
      </w:r>
    </w:p>
    <w:p w:rsidR="005B62E2" w:rsidRPr="00B60703" w:rsidRDefault="00F03789">
      <w:pPr>
        <w:tabs>
          <w:tab w:val="left" w:pos="284"/>
          <w:tab w:val="left" w:pos="708"/>
          <w:tab w:val="center" w:pos="4536"/>
          <w:tab w:val="right" w:pos="9072"/>
        </w:tabs>
        <w:snapToGrid w:val="0"/>
        <w:ind w:left="90"/>
        <w:jc w:val="both"/>
        <w:rPr>
          <w:sz w:val="22"/>
          <w:szCs w:val="22"/>
          <w:lang w:val="sr-Latn-ME" w:eastAsia="sr-Latn-ME"/>
        </w:rPr>
      </w:pPr>
      <w:r w:rsidRPr="00B60703">
        <w:rPr>
          <w:sz w:val="22"/>
          <w:szCs w:val="22"/>
          <w:vertAlign w:val="superscript"/>
          <w:lang w:val="sr-Latn-ME" w:eastAsia="sr-Latn-ME"/>
        </w:rPr>
        <w:t xml:space="preserve">1) </w:t>
      </w:r>
      <w:r w:rsidRPr="00B60703">
        <w:rPr>
          <w:sz w:val="22"/>
          <w:szCs w:val="22"/>
          <w:lang w:val="sr-Latn-ME" w:eastAsia="sr-Latn-ME"/>
        </w:rPr>
        <w:t>uključujući spontane izvještaje</w:t>
      </w:r>
    </w:p>
    <w:p w:rsidR="005B62E2" w:rsidRPr="00B60703" w:rsidRDefault="00F03789">
      <w:pPr>
        <w:tabs>
          <w:tab w:val="left" w:pos="284"/>
          <w:tab w:val="left" w:pos="708"/>
          <w:tab w:val="center" w:pos="4536"/>
          <w:tab w:val="right" w:pos="9072"/>
        </w:tabs>
        <w:snapToGrid w:val="0"/>
        <w:ind w:left="90"/>
        <w:jc w:val="both"/>
        <w:rPr>
          <w:sz w:val="22"/>
          <w:szCs w:val="22"/>
          <w:lang w:val="sr-Latn-ME" w:eastAsia="sr-Latn-ME"/>
        </w:rPr>
      </w:pPr>
      <w:r w:rsidRPr="00B60703">
        <w:rPr>
          <w:sz w:val="22"/>
          <w:szCs w:val="22"/>
          <w:vertAlign w:val="superscript"/>
          <w:lang w:val="sr-Latn-ME" w:eastAsia="sr-Latn-ME"/>
        </w:rPr>
        <w:t xml:space="preserve">2) </w:t>
      </w:r>
      <w:r w:rsidRPr="00B60703">
        <w:rPr>
          <w:sz w:val="22"/>
          <w:szCs w:val="22"/>
          <w:lang w:val="sr-Latn-ME" w:eastAsia="sr-Latn-ME"/>
        </w:rPr>
        <w:t>Srednja vrijednost promjene tjelesne težine od početne vrijednosti za adalimumab bila je u rasponu od 0.3 kg do 1,0 kg u indikacijama za odrasle osobe u poređenju sa (minus) -0,4 kg do 0,4 kg za placebo tokom razdoblja liječenja od 4 do 6 mjeseci. Porast težine za 5 do 6 kg takođe je prim</w:t>
      </w:r>
      <w:r w:rsidR="00634AC7" w:rsidRPr="00B60703">
        <w:rPr>
          <w:sz w:val="22"/>
          <w:szCs w:val="22"/>
          <w:lang w:val="sr-Latn-ME" w:eastAsia="sr-Latn-ME"/>
        </w:rPr>
        <w:t>i</w:t>
      </w:r>
      <w:r w:rsidRPr="00B60703">
        <w:rPr>
          <w:sz w:val="22"/>
          <w:szCs w:val="22"/>
          <w:lang w:val="sr-Latn-ME" w:eastAsia="sr-Latn-ME"/>
        </w:rPr>
        <w:t xml:space="preserve">jećeno u dugoročnim produženim ispitivanja sa srednjim vrijednostima izloženosti od otprilike 1-2 godine bez kontrolne grupe, naročito kod pacijenata sa </w:t>
      </w:r>
      <w:r w:rsidRPr="00B60703">
        <w:rPr>
          <w:i/>
          <w:sz w:val="22"/>
          <w:szCs w:val="22"/>
          <w:lang w:val="sr-Latn-ME" w:eastAsia="sr-Latn-ME"/>
        </w:rPr>
        <w:t>Crohn</w:t>
      </w:r>
      <w:r w:rsidRPr="00B60703">
        <w:rPr>
          <w:sz w:val="22"/>
          <w:szCs w:val="22"/>
          <w:lang w:val="sr-Latn-ME" w:eastAsia="sr-Latn-ME"/>
        </w:rPr>
        <w:t>-ovom bolešću i ulceroznim kolitisom. Mehanizam ovakvog efekta nije jasan ali bi mogao biti povezan sa antiinflamatornim dejstvom adalimumaba.</w:t>
      </w: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u w:val="single"/>
          <w:lang w:val="sr-Latn-ME" w:eastAsia="sr-Latn-ME"/>
        </w:rPr>
        <w:lastRenderedPageBreak/>
        <w:t>Gnojno zapaljenje znojnih žlijezda (</w:t>
      </w:r>
      <w:r w:rsidRPr="00B60703">
        <w:rPr>
          <w:i/>
          <w:sz w:val="22"/>
          <w:szCs w:val="22"/>
          <w:u w:val="single"/>
          <w:lang w:val="sr-Latn-ME" w:eastAsia="sr-Latn-ME"/>
        </w:rPr>
        <w:t>Hidradenitis suppurativa</w:t>
      </w:r>
      <w:r w:rsidRPr="00B60703">
        <w:rPr>
          <w:sz w:val="22"/>
          <w:szCs w:val="22"/>
          <w:u w:val="single"/>
          <w:lang w:val="sr-Latn-ME" w:eastAsia="sr-Latn-ME"/>
        </w:rPr>
        <w:t>)</w:t>
      </w:r>
    </w:p>
    <w:p w:rsidR="005B62E2" w:rsidRPr="00B60703" w:rsidRDefault="005B62E2">
      <w:pPr>
        <w:tabs>
          <w:tab w:val="center" w:pos="4536"/>
          <w:tab w:val="right" w:pos="9072"/>
        </w:tabs>
        <w:snapToGrid w:val="0"/>
        <w:jc w:val="both"/>
        <w:rPr>
          <w:sz w:val="22"/>
          <w:szCs w:val="22"/>
          <w:lang w:val="sr-Latn-ME" w:eastAsia="sr-Latn-ME"/>
        </w:rPr>
      </w:pPr>
    </w:p>
    <w:p w:rsidR="005B62E2" w:rsidRPr="00B60703" w:rsidRDefault="00F03789">
      <w:pPr>
        <w:tabs>
          <w:tab w:val="center" w:pos="4536"/>
          <w:tab w:val="right" w:pos="9072"/>
        </w:tabs>
        <w:snapToGrid w:val="0"/>
        <w:jc w:val="both"/>
        <w:rPr>
          <w:sz w:val="22"/>
          <w:lang w:val="sr-Latn-ME" w:eastAsia="sr-Latn-ME"/>
        </w:rPr>
      </w:pPr>
      <w:r w:rsidRPr="00B60703">
        <w:rPr>
          <w:sz w:val="22"/>
          <w:szCs w:val="22"/>
          <w:lang w:val="sr-Latn-ME" w:eastAsia="sr-Latn-ME"/>
        </w:rPr>
        <w:t>Bezbjednosni profil adalimumaba kod pacijenata sa gnojnim zapaljenjem znojnih žlijezda liječenih jednom nedjeljno bio je u skladu sa poznatim bezbjednosnim profilom adalimumaba.</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left" w:pos="708"/>
        </w:tabs>
        <w:autoSpaceDE w:val="0"/>
        <w:autoSpaceDN w:val="0"/>
        <w:adjustRightInd w:val="0"/>
        <w:jc w:val="both"/>
        <w:rPr>
          <w:sz w:val="22"/>
          <w:szCs w:val="22"/>
          <w:u w:val="single"/>
          <w:lang w:val="sr-Latn-ME"/>
        </w:rPr>
      </w:pPr>
      <w:r w:rsidRPr="00B60703">
        <w:rPr>
          <w:sz w:val="22"/>
          <w:szCs w:val="22"/>
          <w:u w:val="single"/>
          <w:lang w:val="sr-Latn-ME"/>
        </w:rPr>
        <w:t>Uveitis</w:t>
      </w:r>
    </w:p>
    <w:p w:rsidR="005B62E2" w:rsidRPr="00B60703" w:rsidRDefault="005B62E2">
      <w:pPr>
        <w:tabs>
          <w:tab w:val="left" w:pos="708"/>
        </w:tabs>
        <w:autoSpaceDE w:val="0"/>
        <w:autoSpaceDN w:val="0"/>
        <w:adjustRightInd w:val="0"/>
        <w:jc w:val="both"/>
        <w:rPr>
          <w:sz w:val="22"/>
          <w:szCs w:val="22"/>
          <w:u w:val="single"/>
          <w:lang w:val="sr-Latn-ME"/>
        </w:rPr>
      </w:pPr>
    </w:p>
    <w:p w:rsidR="005B62E2" w:rsidRPr="00B60703" w:rsidRDefault="00F03789">
      <w:pPr>
        <w:tabs>
          <w:tab w:val="left" w:pos="708"/>
        </w:tabs>
        <w:autoSpaceDE w:val="0"/>
        <w:autoSpaceDN w:val="0"/>
        <w:adjustRightInd w:val="0"/>
        <w:jc w:val="both"/>
        <w:rPr>
          <w:rFonts w:eastAsia="TimesNewRomanPSMT"/>
          <w:sz w:val="22"/>
          <w:szCs w:val="22"/>
          <w:lang w:val="sr-Latn-ME"/>
        </w:rPr>
      </w:pPr>
      <w:r w:rsidRPr="00B60703">
        <w:rPr>
          <w:rFonts w:eastAsia="TimesNewRomanPSMT"/>
          <w:sz w:val="22"/>
          <w:szCs w:val="22"/>
          <w:lang w:val="sr-Latn-ME"/>
        </w:rPr>
        <w:t xml:space="preserve">Bezbjednosni profil adalimumaba kod pacijenata sa uveitisom liječenih svake druge nedjelje bio je u skladu sa </w:t>
      </w:r>
      <w:r w:rsidRPr="00B60703">
        <w:rPr>
          <w:sz w:val="22"/>
          <w:szCs w:val="22"/>
          <w:lang w:val="sr-Latn-ME"/>
        </w:rPr>
        <w:t>poznatim bezbjednosnim profilom adalimumaba.</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Opis odabranih neželjenih dejstava</w:t>
      </w:r>
    </w:p>
    <w:p w:rsidR="005B62E2" w:rsidRPr="00B60703" w:rsidRDefault="005B62E2">
      <w:pPr>
        <w:tabs>
          <w:tab w:val="center" w:pos="4536"/>
          <w:tab w:val="right" w:pos="9072"/>
        </w:tabs>
        <w:jc w:val="both"/>
        <w:rPr>
          <w:sz w:val="22"/>
          <w:szCs w:val="22"/>
          <w:u w:val="single"/>
          <w:lang w:val="sr-Latn-ME" w:eastAsia="sr-Latn-ME"/>
        </w:rPr>
      </w:pPr>
    </w:p>
    <w:p w:rsidR="005B62E2" w:rsidRPr="00B60703" w:rsidRDefault="00F03789">
      <w:pPr>
        <w:tabs>
          <w:tab w:val="center" w:pos="4536"/>
          <w:tab w:val="right" w:pos="9072"/>
        </w:tabs>
        <w:jc w:val="both"/>
        <w:rPr>
          <w:i/>
          <w:sz w:val="22"/>
          <w:lang w:val="sr-Latn-ME" w:eastAsia="sr-Latn-ME"/>
        </w:rPr>
      </w:pPr>
      <w:r w:rsidRPr="00B60703">
        <w:rPr>
          <w:i/>
          <w:sz w:val="22"/>
          <w:szCs w:val="22"/>
          <w:lang w:val="sr-Latn-ME" w:eastAsia="sr-Latn-ME"/>
        </w:rPr>
        <w:t xml:space="preserve">Reakcije na mjestu primjene </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pivotalnim kontrolisanim studijama odraslih pacijenata i djece liječenih adalimumabom pojavile su se reakcije na mjestu primjene injekcije kod 12,9% pacijenata (eritem i/ili svrab, krvarenje, bol ili otok), u poređenju sa 7,2% pacijenata koji su primali placebo ili aktivnu kontrolu. Liječenje obično nije trebalo prekidati zbog reakcije na mjestu primjene.</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center" w:pos="4536"/>
          <w:tab w:val="right" w:pos="9072"/>
        </w:tabs>
        <w:jc w:val="both"/>
        <w:rPr>
          <w:i/>
          <w:sz w:val="22"/>
          <w:lang w:val="sr-Latn-ME" w:eastAsia="sr-Latn-ME"/>
        </w:rPr>
      </w:pPr>
      <w:r w:rsidRPr="00B60703">
        <w:rPr>
          <w:i/>
          <w:sz w:val="22"/>
          <w:szCs w:val="22"/>
          <w:lang w:val="sr-Latn-ME" w:eastAsia="sr-Latn-ME"/>
        </w:rPr>
        <w:t>Infekcije</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pivotalnim kontrolisanim studijama, kod odraslih i djece, stopa infekcija je bila 1,51 po pacijent-godini kod pacijenata liječenih a</w:t>
      </w:r>
      <w:r w:rsidRPr="00B60703">
        <w:rPr>
          <w:spacing w:val="-8"/>
          <w:sz w:val="22"/>
          <w:szCs w:val="22"/>
          <w:lang w:val="sr-Latn-ME" w:eastAsia="sr-Latn-ME"/>
        </w:rPr>
        <w:t>dalimumabom</w:t>
      </w:r>
      <w:r w:rsidRPr="00B60703">
        <w:rPr>
          <w:sz w:val="22"/>
          <w:szCs w:val="22"/>
          <w:lang w:val="sr-Latn-ME" w:eastAsia="sr-Latn-ME"/>
        </w:rPr>
        <w:t xml:space="preserve"> i 1,46 po pacijent-godini kod pacijenata koji su primali placebo ili aktivnu kontrolu. Najčešće infekcije su bile nazofaringitis, infekcije gornjeg respiratornog trakta i sinuzitis. Nakon saniranja infekcije većina pacijenata je nastavila liječenje a</w:t>
      </w:r>
      <w:r w:rsidRPr="00B60703">
        <w:rPr>
          <w:spacing w:val="-8"/>
          <w:sz w:val="22"/>
          <w:szCs w:val="22"/>
          <w:lang w:val="sr-Latn-ME" w:eastAsia="sr-Latn-ME"/>
        </w:rPr>
        <w:t>dalimumabom</w:t>
      </w:r>
      <w:r w:rsidRPr="00B60703">
        <w:rPr>
          <w:sz w:val="22"/>
          <w:szCs w:val="22"/>
          <w:lang w:val="sr-Latn-ME" w:eastAsia="sr-Latn-ME"/>
        </w:rPr>
        <w:t xml:space="preserve">. </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Incidenca težih infekcija je bila 0,04 po pacijent-godini kod pacijenata liječenih a</w:t>
      </w:r>
      <w:r w:rsidRPr="00B60703">
        <w:rPr>
          <w:spacing w:val="-8"/>
          <w:sz w:val="22"/>
          <w:szCs w:val="22"/>
          <w:lang w:val="sr-Latn-ME" w:eastAsia="sr-Latn-ME"/>
        </w:rPr>
        <w:t>dalimumabom</w:t>
      </w:r>
      <w:r w:rsidRPr="00B60703">
        <w:rPr>
          <w:sz w:val="22"/>
          <w:szCs w:val="22"/>
          <w:lang w:val="sr-Latn-ME" w:eastAsia="sr-Latn-ME"/>
        </w:rPr>
        <w:t xml:space="preserve"> i 0,03 po pacijent-godini kod pacijenata koji su primali placebo ili aktivnu kontrolu. </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kontrolisanim, otvorenim studijama sa a</w:t>
      </w:r>
      <w:r w:rsidRPr="00B60703">
        <w:rPr>
          <w:spacing w:val="-8"/>
          <w:sz w:val="22"/>
          <w:szCs w:val="22"/>
          <w:lang w:val="sr-Latn-ME" w:eastAsia="sr-Latn-ME"/>
        </w:rPr>
        <w:t>dalimumabom</w:t>
      </w:r>
      <w:r w:rsidRPr="00B60703">
        <w:rPr>
          <w:sz w:val="22"/>
          <w:szCs w:val="22"/>
          <w:lang w:val="sr-Latn-ME" w:eastAsia="sr-Latn-ME"/>
        </w:rPr>
        <w:t xml:space="preserve"> kod odraslih i djece, prijavljivane su teške infekcije (uključujući infekcije sa smrtnim ishodom, koje su se rijetko javljale), uključujući izvještaje o tuberkulozi (uključujući milijarnu i ekstra-pulmonalnu lokalizaciju) i invazivne oportunističke infekcije (npr. diseminovana ili ekstrapulmonarna histoplazmoza, blastomikoza, kokcidioidomikoza, pneumocistis, kandidijaza, aspergiloza i listerioza). Većina slučajeva tuberkuloze se javila u prvih osam mjeseci od započete terapije i može predstavljati aktiviranje latentne bolesti. </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i/>
          <w:sz w:val="22"/>
          <w:lang w:val="sr-Latn-ME" w:eastAsia="sr-Latn-ME"/>
        </w:rPr>
      </w:pPr>
      <w:r w:rsidRPr="00B60703">
        <w:rPr>
          <w:i/>
          <w:sz w:val="22"/>
          <w:szCs w:val="22"/>
          <w:lang w:val="sr-Latn-ME" w:eastAsia="sr-Latn-ME"/>
        </w:rPr>
        <w:t>Maligne i limfoproliferativne bolesti</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U studijama sa a</w:t>
      </w:r>
      <w:r w:rsidRPr="00B60703">
        <w:rPr>
          <w:spacing w:val="-8"/>
          <w:sz w:val="22"/>
          <w:szCs w:val="22"/>
          <w:lang w:val="sr-Latn-ME" w:eastAsia="sr-Latn-ME"/>
        </w:rPr>
        <w:t>dalimumabom</w:t>
      </w:r>
      <w:r w:rsidRPr="00B60703">
        <w:rPr>
          <w:sz w:val="22"/>
          <w:szCs w:val="22"/>
          <w:lang w:val="sr-Latn-ME" w:eastAsia="sr-Latn-ME"/>
        </w:rPr>
        <w:t xml:space="preserve"> kod 249 pedijatrijskih pacijenata, sa juvenilnim idiopatskim artritisom (poliartikularnim juvenilnim idiopatskim artritisom i artritisom povezanim sa entezitisom), nisu prijavljivani maligniteti</w:t>
      </w:r>
      <w:r w:rsidRPr="00B60703">
        <w:rPr>
          <w:sz w:val="22"/>
          <w:lang w:val="sr-Latn-ME" w:eastAsia="sr-Latn-ME"/>
        </w:rPr>
        <w:t xml:space="preserve"> </w:t>
      </w:r>
      <w:r w:rsidRPr="00B60703">
        <w:rPr>
          <w:sz w:val="22"/>
          <w:szCs w:val="22"/>
          <w:lang w:val="sr-Latn-ME" w:eastAsia="sr-Latn-ME"/>
        </w:rPr>
        <w:t xml:space="preserve">tokom 655,6 pacijent-godina. Takođe, nisu prijavljivani maligniteti u studiji sa adalimumabom sa 192 pedijatrijska pacijenta sa </w:t>
      </w:r>
      <w:r w:rsidRPr="00B60703">
        <w:rPr>
          <w:i/>
          <w:sz w:val="22"/>
          <w:szCs w:val="22"/>
          <w:lang w:val="sr-Latn-ME" w:eastAsia="sr-Latn-ME"/>
        </w:rPr>
        <w:t>Crohn</w:t>
      </w:r>
      <w:r w:rsidRPr="00B60703">
        <w:rPr>
          <w:sz w:val="22"/>
          <w:szCs w:val="22"/>
          <w:lang w:val="sr-Latn-ME" w:eastAsia="sr-Latn-ME"/>
        </w:rPr>
        <w:t>-ovom bolešću, tokom 498,1 pacijent-godina. Maligne bolesti nisu primjećene ni kod 77 pedijatrijskih pacijenata sa izloženošću od 80,0 pacijent</w:t>
      </w:r>
      <w:r w:rsidRPr="00B60703">
        <w:rPr>
          <w:sz w:val="22"/>
          <w:szCs w:val="22"/>
          <w:lang w:val="sr-Latn-ME" w:eastAsia="sr-Latn-ME"/>
        </w:rPr>
        <w:noBreakHyphen/>
        <w:t>godina u ispitivanju adalimumaba sprovedenim na pedijatrijskim pacijentima sa hroničnom plak psorijazom. Nije primjećena pojava malignih bolesti kod 93 pedijatrijska pacijenata sa izloženošću od 65,3 pacijent-godina u ispitivanju adalimumaba (Humira) sprovedenom kod pedijatrijskih pacijenata sa uveitisom.</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pivotalnim kontrolisanim studijama, kod odraslih, koje su trajale bar 12 nedjelja kod pacijenata sa umjerenim do teškim aktivnim reumatoidnim artritisom, ankilozirajućim spondilitisom, aksijalnim spondiloartritisom bez radiografskog dokaza AS, psorijaznim artritisom, psorijazom, gnojnim zapaljenjem znojnih žlijezda (</w:t>
      </w:r>
      <w:r w:rsidRPr="00B60703">
        <w:rPr>
          <w:i/>
          <w:sz w:val="22"/>
          <w:szCs w:val="22"/>
          <w:lang w:val="sr-Latn-ME" w:eastAsia="sr-Latn-ME"/>
        </w:rPr>
        <w:t>hidradenitis suppurativa</w:t>
      </w:r>
      <w:r w:rsidRPr="00B60703">
        <w:rPr>
          <w:sz w:val="22"/>
          <w:szCs w:val="22"/>
          <w:lang w:val="sr-Latn-ME" w:eastAsia="sr-Latn-ME"/>
        </w:rPr>
        <w:t xml:space="preserve">), </w:t>
      </w:r>
      <w:r w:rsidRPr="00B60703">
        <w:rPr>
          <w:i/>
          <w:sz w:val="22"/>
          <w:szCs w:val="22"/>
          <w:lang w:val="sr-Latn-ME" w:eastAsia="sr-Latn-ME"/>
        </w:rPr>
        <w:t>Crohn</w:t>
      </w:r>
      <w:r w:rsidRPr="00B60703">
        <w:rPr>
          <w:sz w:val="22"/>
          <w:szCs w:val="22"/>
          <w:lang w:val="sr-Latn-ME" w:eastAsia="sr-Latn-ME"/>
        </w:rPr>
        <w:t>-ovom bolešću, ulceroznim kolitisom i uveitisom, primjećena je pojava malignih bolesti, isključujući limfome i nemelanomske kancere kože, u</w:t>
      </w:r>
      <w:r w:rsidRPr="00B60703">
        <w:rPr>
          <w:sz w:val="22"/>
          <w:lang w:val="sr-Latn-ME" w:eastAsia="sr-Latn-ME"/>
        </w:rPr>
        <w:t xml:space="preserve"> </w:t>
      </w:r>
      <w:r w:rsidRPr="00B60703">
        <w:rPr>
          <w:sz w:val="22"/>
          <w:szCs w:val="22"/>
          <w:lang w:val="sr-Latn-ME" w:eastAsia="sr-Latn-ME"/>
        </w:rPr>
        <w:t>učestalosti (interval pouzdanosti 95%) od 6,8 (4,4; 10,5) na 1000 pacijent-godina terapije među 5291 pacijenta</w:t>
      </w:r>
      <w:r w:rsidRPr="00B60703">
        <w:rPr>
          <w:sz w:val="22"/>
          <w:lang w:val="sr-Latn-ME" w:eastAsia="sr-Latn-ME"/>
        </w:rPr>
        <w:t xml:space="preserve"> </w:t>
      </w:r>
      <w:r w:rsidRPr="00B60703">
        <w:rPr>
          <w:sz w:val="22"/>
          <w:szCs w:val="22"/>
          <w:lang w:val="sr-Latn-ME" w:eastAsia="sr-Latn-ME"/>
        </w:rPr>
        <w:t>liječenih a</w:t>
      </w:r>
      <w:r w:rsidRPr="00B60703">
        <w:rPr>
          <w:spacing w:val="-8"/>
          <w:sz w:val="22"/>
          <w:szCs w:val="22"/>
          <w:lang w:val="sr-Latn-ME" w:eastAsia="sr-Latn-ME"/>
        </w:rPr>
        <w:t>dalimumabom</w:t>
      </w:r>
      <w:r w:rsidRPr="00B60703">
        <w:rPr>
          <w:sz w:val="22"/>
          <w:szCs w:val="22"/>
          <w:lang w:val="sr-Latn-ME" w:eastAsia="sr-Latn-ME"/>
        </w:rPr>
        <w:t>, odnosno 6,3 (3,4;11,8) na 1000 pacijent-godina u 3444 pacijenta iz kontrolne grupe (medijana</w:t>
      </w:r>
      <w:r w:rsidRPr="00B60703">
        <w:rPr>
          <w:sz w:val="22"/>
          <w:lang w:val="sr-Latn-ME" w:eastAsia="sr-Latn-ME"/>
        </w:rPr>
        <w:t xml:space="preserve"> </w:t>
      </w:r>
      <w:r w:rsidRPr="00B60703">
        <w:rPr>
          <w:sz w:val="22"/>
          <w:szCs w:val="22"/>
          <w:lang w:val="sr-Latn-ME" w:eastAsia="sr-Latn-ME"/>
        </w:rPr>
        <w:t>trajanja terapije je bila 4,0 mjeseci kod pacijenata koji su primali a</w:t>
      </w:r>
      <w:r w:rsidRPr="00B60703">
        <w:rPr>
          <w:spacing w:val="-8"/>
          <w:sz w:val="22"/>
          <w:szCs w:val="22"/>
          <w:lang w:val="sr-Latn-ME" w:eastAsia="sr-Latn-ME"/>
        </w:rPr>
        <w:t>dalimumab</w:t>
      </w:r>
      <w:r w:rsidRPr="00B60703">
        <w:rPr>
          <w:sz w:val="22"/>
          <w:szCs w:val="22"/>
          <w:lang w:val="sr-Latn-ME" w:eastAsia="sr-Latn-ME"/>
        </w:rPr>
        <w:t xml:space="preserve"> i 3,8 mjeseci u kontrolnoj grupi). Učestalost (interval</w:t>
      </w:r>
      <w:r w:rsidRPr="00B60703">
        <w:rPr>
          <w:sz w:val="22"/>
          <w:lang w:val="sr-Latn-ME" w:eastAsia="sr-Latn-ME"/>
        </w:rPr>
        <w:t xml:space="preserve"> </w:t>
      </w:r>
      <w:r w:rsidRPr="00B60703">
        <w:rPr>
          <w:sz w:val="22"/>
          <w:szCs w:val="22"/>
          <w:lang w:val="sr-Latn-ME" w:eastAsia="sr-Latn-ME"/>
        </w:rPr>
        <w:t xml:space="preserve">pouzdanosti 95%) nemelanomskog kancera kože </w:t>
      </w:r>
      <w:r w:rsidRPr="00B60703">
        <w:rPr>
          <w:sz w:val="22"/>
          <w:szCs w:val="22"/>
          <w:lang w:val="sr-Latn-ME" w:eastAsia="sr-Latn-ME"/>
        </w:rPr>
        <w:lastRenderedPageBreak/>
        <w:t>je bila 8,8 (6,0; 13,0) na 1000 pacijent-godina među</w:t>
      </w:r>
      <w:r w:rsidRPr="00B60703">
        <w:rPr>
          <w:sz w:val="22"/>
          <w:lang w:val="sr-Latn-ME" w:eastAsia="sr-Latn-ME"/>
        </w:rPr>
        <w:t xml:space="preserve"> </w:t>
      </w:r>
      <w:r w:rsidRPr="00B60703">
        <w:rPr>
          <w:sz w:val="22"/>
          <w:szCs w:val="22"/>
          <w:lang w:val="sr-Latn-ME" w:eastAsia="sr-Latn-ME"/>
        </w:rPr>
        <w:t>pacijentima liječenim a</w:t>
      </w:r>
      <w:r w:rsidRPr="00B60703">
        <w:rPr>
          <w:spacing w:val="-8"/>
          <w:sz w:val="22"/>
          <w:szCs w:val="22"/>
          <w:lang w:val="sr-Latn-ME" w:eastAsia="sr-Latn-ME"/>
        </w:rPr>
        <w:t>dalimumabom</w:t>
      </w:r>
      <w:r w:rsidRPr="00B60703">
        <w:rPr>
          <w:sz w:val="22"/>
          <w:szCs w:val="22"/>
          <w:lang w:val="sr-Latn-ME" w:eastAsia="sr-Latn-ME"/>
        </w:rPr>
        <w:t xml:space="preserve"> i 3,2 (1,3; 7,6) na 1000 pacijent-godina među kontrolnim pacijentima. Od ovih</w:t>
      </w:r>
      <w:r w:rsidRPr="00B60703">
        <w:rPr>
          <w:sz w:val="22"/>
          <w:lang w:val="sr-Latn-ME" w:eastAsia="sr-Latn-ME"/>
        </w:rPr>
        <w:t xml:space="preserve"> </w:t>
      </w:r>
      <w:r w:rsidRPr="00B60703">
        <w:rPr>
          <w:sz w:val="22"/>
          <w:szCs w:val="22"/>
          <w:lang w:val="sr-Latn-ME" w:eastAsia="sr-Latn-ME"/>
        </w:rPr>
        <w:t>kancera kože, karcinom skvamoznih ćelija je bio prisutan u učestalosti (interval pouzdanosti 95%) od 2,7 (1,4;</w:t>
      </w:r>
      <w:r w:rsidRPr="00B60703">
        <w:rPr>
          <w:sz w:val="22"/>
          <w:lang w:val="sr-Latn-ME" w:eastAsia="sr-Latn-ME"/>
        </w:rPr>
        <w:t xml:space="preserve"> </w:t>
      </w:r>
      <w:r w:rsidRPr="00B60703">
        <w:rPr>
          <w:sz w:val="22"/>
          <w:szCs w:val="22"/>
          <w:lang w:val="sr-Latn-ME" w:eastAsia="sr-Latn-ME"/>
        </w:rPr>
        <w:t>5,4) na 1000 pacijent-godina kod pacijenata liječenih a</w:t>
      </w:r>
      <w:r w:rsidRPr="00B60703">
        <w:rPr>
          <w:spacing w:val="-8"/>
          <w:sz w:val="22"/>
          <w:szCs w:val="22"/>
          <w:lang w:val="sr-Latn-ME" w:eastAsia="sr-Latn-ME"/>
        </w:rPr>
        <w:t>dalimumabom</w:t>
      </w:r>
      <w:r w:rsidRPr="00B60703">
        <w:rPr>
          <w:sz w:val="22"/>
          <w:szCs w:val="22"/>
          <w:lang w:val="sr-Latn-ME" w:eastAsia="sr-Latn-ME"/>
        </w:rPr>
        <w:t xml:space="preserve"> i kod 0,6 (0,1; 4,5) na 1000 pacijent-godina kod kontrolnih pacijenata. Učestalost (interval pouzdanosti 95%) limfoma je bila 0,7 (0,2; 2,7) na 1000 pacijent-godina među pacijentima liječenim a</w:t>
      </w:r>
      <w:r w:rsidRPr="00B60703">
        <w:rPr>
          <w:spacing w:val="-8"/>
          <w:sz w:val="22"/>
          <w:szCs w:val="22"/>
          <w:lang w:val="sr-Latn-ME" w:eastAsia="sr-Latn-ME"/>
        </w:rPr>
        <w:t>dalimumabom</w:t>
      </w:r>
      <w:r w:rsidRPr="00B60703">
        <w:rPr>
          <w:sz w:val="22"/>
          <w:szCs w:val="22"/>
          <w:lang w:val="sr-Latn-ME" w:eastAsia="sr-Latn-ME"/>
        </w:rPr>
        <w:t xml:space="preserve"> i 0,6 (0,1; 4,5) na 1000 pacijent-godina među kontrolnim pacijentima.</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Analizom zbirnih rezultata ovih studija i tekućih i završenih produženih studija otvorenog tipa prosječnog trajanja 3,3 godina na 6427 pacijenata i preko</w:t>
      </w:r>
      <w:r w:rsidRPr="00B60703">
        <w:rPr>
          <w:sz w:val="22"/>
          <w:lang w:val="sr-Latn-ME" w:eastAsia="sr-Latn-ME"/>
        </w:rPr>
        <w:t xml:space="preserve"> </w:t>
      </w:r>
      <w:r w:rsidRPr="00B60703">
        <w:rPr>
          <w:sz w:val="22"/>
          <w:szCs w:val="22"/>
          <w:lang w:val="sr-Latn-ME" w:eastAsia="sr-Latn-ME"/>
        </w:rPr>
        <w:t>26439 pacijent-godina terapije, zabilježena stopa malignih bolesti, isključujući limfome i nemelanomske</w:t>
      </w:r>
      <w:r w:rsidRPr="00B60703">
        <w:rPr>
          <w:sz w:val="22"/>
          <w:lang w:val="sr-Latn-ME" w:eastAsia="sr-Latn-ME"/>
        </w:rPr>
        <w:t xml:space="preserve"> </w:t>
      </w:r>
      <w:r w:rsidRPr="00B60703">
        <w:rPr>
          <w:sz w:val="22"/>
          <w:szCs w:val="22"/>
          <w:lang w:val="sr-Latn-ME" w:eastAsia="sr-Latn-ME"/>
        </w:rPr>
        <w:t>kancere kože, je približno 8,5 na 1000 pacijent-godina terapije. Zabilježena stopa nemelanomskih kancera</w:t>
      </w:r>
      <w:r w:rsidRPr="00B60703">
        <w:rPr>
          <w:sz w:val="22"/>
          <w:lang w:val="sr-Latn-ME" w:eastAsia="sr-Latn-ME"/>
        </w:rPr>
        <w:t xml:space="preserve"> </w:t>
      </w:r>
      <w:r w:rsidRPr="00B60703">
        <w:rPr>
          <w:sz w:val="22"/>
          <w:szCs w:val="22"/>
          <w:lang w:val="sr-Latn-ME" w:eastAsia="sr-Latn-ME"/>
        </w:rPr>
        <w:t>kože je približno 9,6 na 1000 pacijent-godina terapije, a limfoma približno 1,3 na 1000 pacijent-godina terapije.</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postmarketinškim iskustvima od januara 2003. godine do decembra 2010. godine, prevashodno kod pacijenata sa reumatoidnim</w:t>
      </w:r>
      <w:r w:rsidRPr="00B60703">
        <w:rPr>
          <w:sz w:val="22"/>
          <w:lang w:val="sr-Latn-ME" w:eastAsia="sr-Latn-ME"/>
        </w:rPr>
        <w:t xml:space="preserve"> </w:t>
      </w:r>
      <w:r w:rsidRPr="00B60703">
        <w:rPr>
          <w:sz w:val="22"/>
          <w:szCs w:val="22"/>
          <w:lang w:val="sr-Latn-ME" w:eastAsia="sr-Latn-ME"/>
        </w:rPr>
        <w:t>artritisom, saopštavana stopa maligniteta, isključujući limfome i nemelanomske kancere kože, je oko 2,7 na</w:t>
      </w:r>
      <w:r w:rsidRPr="00B60703">
        <w:rPr>
          <w:sz w:val="22"/>
          <w:lang w:val="sr-Latn-ME" w:eastAsia="sr-Latn-ME"/>
        </w:rPr>
        <w:t xml:space="preserve"> </w:t>
      </w:r>
      <w:r w:rsidRPr="00B60703">
        <w:rPr>
          <w:sz w:val="22"/>
          <w:szCs w:val="22"/>
          <w:lang w:val="sr-Latn-ME" w:eastAsia="sr-Latn-ME"/>
        </w:rPr>
        <w:t>1000 pacijent-godina. Stopa nemelanomskih kancera kože i limfoma bila je približno 0,2 i 0,3 na 1000 pacijent-godina</w:t>
      </w:r>
      <w:r w:rsidRPr="00B60703">
        <w:rPr>
          <w:sz w:val="22"/>
          <w:lang w:val="sr-Latn-ME" w:eastAsia="sr-Latn-ME"/>
        </w:rPr>
        <w:t xml:space="preserve"> </w:t>
      </w:r>
      <w:r w:rsidRPr="00B60703">
        <w:rPr>
          <w:sz w:val="22"/>
          <w:szCs w:val="22"/>
          <w:lang w:val="sr-Latn-ME" w:eastAsia="sr-Latn-ME"/>
        </w:rPr>
        <w:t>terapije (vidjeti dio 4.4).</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Rijetki postmarketinški slučajevi hepatospleničnog T-ćelijskog limfoma su prijavljivani kod pacijenata liječenih</w:t>
      </w:r>
      <w:r w:rsidRPr="00B60703">
        <w:rPr>
          <w:sz w:val="22"/>
          <w:lang w:val="sr-Latn-ME" w:eastAsia="sr-Latn-ME"/>
        </w:rPr>
        <w:t xml:space="preserve"> </w:t>
      </w:r>
      <w:r w:rsidRPr="00B60703">
        <w:rPr>
          <w:sz w:val="22"/>
          <w:szCs w:val="22"/>
          <w:lang w:val="sr-Latn-ME" w:eastAsia="sr-Latn-ME"/>
        </w:rPr>
        <w:t xml:space="preserve">adalimumabom (vidjeti dio 4.4). </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i/>
          <w:sz w:val="22"/>
          <w:lang w:val="sr-Latn-ME" w:eastAsia="sr-Latn-ME"/>
        </w:rPr>
      </w:pPr>
      <w:r w:rsidRPr="00B60703">
        <w:rPr>
          <w:i/>
          <w:sz w:val="22"/>
          <w:szCs w:val="22"/>
          <w:lang w:val="sr-Latn-ME" w:eastAsia="sr-Latn-ME"/>
        </w:rPr>
        <w:t>Autoantitijela</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lang w:val="sr-Latn-ME" w:eastAsia="sr-Latn-ME"/>
        </w:rPr>
      </w:pPr>
      <w:r w:rsidRPr="00B60703">
        <w:rPr>
          <w:sz w:val="22"/>
          <w:szCs w:val="22"/>
          <w:lang w:val="sr-Latn-ME" w:eastAsia="sr-Latn-ME"/>
        </w:rPr>
        <w:t>U studijama I-V reumatoidnog artritisa u više navrata su uzimani uzorci seruma pacijenata za testiranje autoantitijela. U ovim studijama, 11,9% pacijenata liječenih a</w:t>
      </w:r>
      <w:r w:rsidRPr="00B60703">
        <w:rPr>
          <w:spacing w:val="-8"/>
          <w:sz w:val="22"/>
          <w:szCs w:val="22"/>
          <w:lang w:val="sr-Latn-ME" w:eastAsia="sr-Latn-ME"/>
        </w:rPr>
        <w:t>dalimumabom</w:t>
      </w:r>
      <w:r w:rsidRPr="00B60703">
        <w:rPr>
          <w:sz w:val="22"/>
          <w:szCs w:val="22"/>
          <w:lang w:val="sr-Latn-ME" w:eastAsia="sr-Latn-ME"/>
        </w:rPr>
        <w:t xml:space="preserve"> i 8,1% pacijenata koji su primali placebo ili aktivnu kontrolu, koji su imali negativna antinuklearna antitijela na početku, u nedjelji 24 pokazali su pozitivan titar. Dva pacijenta od 3441 liječenih a</w:t>
      </w:r>
      <w:r w:rsidRPr="00B60703">
        <w:rPr>
          <w:spacing w:val="-8"/>
          <w:sz w:val="22"/>
          <w:szCs w:val="22"/>
          <w:lang w:val="sr-Latn-ME" w:eastAsia="sr-Latn-ME"/>
        </w:rPr>
        <w:t>dalimumabom</w:t>
      </w:r>
      <w:r w:rsidRPr="00B60703">
        <w:rPr>
          <w:sz w:val="22"/>
          <w:szCs w:val="22"/>
          <w:lang w:val="sr-Latn-ME" w:eastAsia="sr-Latn-ME"/>
        </w:rPr>
        <w:t xml:space="preserve"> u svim studijama sa reumatoidnim artritisom i psorijaznim artritisom razvili su kliničke znake koji ukazuju na novonastali sindrom sličan lupusu. Stanje pacijenata se poboljšalo nakon prekida terapije. Nijedan pacijent nije razvio lupusni nefritis ili simptome centralnog nervnog sistema. </w:t>
      </w:r>
    </w:p>
    <w:p w:rsidR="005B62E2" w:rsidRPr="00B60703" w:rsidRDefault="005B62E2">
      <w:pPr>
        <w:tabs>
          <w:tab w:val="center" w:pos="4536"/>
          <w:tab w:val="right" w:pos="9072"/>
        </w:tabs>
        <w:jc w:val="both"/>
        <w:rPr>
          <w:sz w:val="22"/>
          <w:szCs w:val="22"/>
          <w:u w:val="single"/>
          <w:lang w:val="sr-Latn-ME" w:eastAsia="sr-Latn-ME"/>
        </w:rPr>
      </w:pPr>
    </w:p>
    <w:p w:rsidR="005B62E2" w:rsidRPr="00B60703" w:rsidRDefault="00F03789">
      <w:pPr>
        <w:tabs>
          <w:tab w:val="center" w:pos="4536"/>
          <w:tab w:val="right" w:pos="9072"/>
        </w:tabs>
        <w:jc w:val="both"/>
        <w:rPr>
          <w:i/>
          <w:sz w:val="22"/>
          <w:lang w:val="sr-Latn-ME" w:eastAsia="sr-Latn-ME"/>
        </w:rPr>
      </w:pPr>
      <w:r w:rsidRPr="00B60703">
        <w:rPr>
          <w:i/>
          <w:sz w:val="22"/>
          <w:szCs w:val="22"/>
          <w:lang w:val="sr-Latn-ME" w:eastAsia="sr-Latn-ME"/>
        </w:rPr>
        <w:t>Hepatobilijarni događaji</w:t>
      </w:r>
    </w:p>
    <w:p w:rsidR="005B62E2" w:rsidRPr="00B60703" w:rsidRDefault="005B62E2">
      <w:pPr>
        <w:tabs>
          <w:tab w:val="center" w:pos="4536"/>
          <w:tab w:val="right" w:pos="9072"/>
        </w:tabs>
        <w:jc w:val="both"/>
        <w:rPr>
          <w:sz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 xml:space="preserve">U kontrolisanim ispitivanjima faze III u kojima su učestvovali pacijenti sa reumatoidnim artritisom i psorijaznim artritisom, tokom kontrolisanog perioda trajanja ispitivanja od 4 do 104 nedjelje, povećanje vrijednosti ALT ≥ 3 x ULN (engl. </w:t>
      </w:r>
      <w:r w:rsidRPr="00B60703">
        <w:rPr>
          <w:i/>
          <w:sz w:val="22"/>
          <w:szCs w:val="22"/>
          <w:lang w:val="sr-Latn-ME" w:eastAsia="sr-Latn-ME"/>
        </w:rPr>
        <w:t>upper limit of normal,</w:t>
      </w:r>
      <w:r w:rsidRPr="00B60703">
        <w:rPr>
          <w:sz w:val="22"/>
          <w:szCs w:val="22"/>
          <w:lang w:val="sr-Latn-ME" w:eastAsia="sr-Latn-ME"/>
        </w:rPr>
        <w:t xml:space="preserve"> gornja granica) javilo se kod 3,7% pacijenata koji su primali </w:t>
      </w:r>
      <w:r w:rsidRPr="00B60703">
        <w:rPr>
          <w:spacing w:val="-8"/>
          <w:sz w:val="22"/>
          <w:szCs w:val="22"/>
          <w:lang w:val="sr-Latn-ME" w:eastAsia="sr-Latn-ME"/>
        </w:rPr>
        <w:t>adalimumab</w:t>
      </w:r>
      <w:r w:rsidRPr="00B60703">
        <w:rPr>
          <w:sz w:val="22"/>
          <w:szCs w:val="22"/>
          <w:lang w:val="sr-Latn-ME" w:eastAsia="sr-Latn-ME"/>
        </w:rPr>
        <w:t xml:space="preserve"> i kod 1,6% pacijenata koji su primali placebo. </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U kontrolisanoj studiji faze III u kojima se adalimumab primjenjivao na pacijentima sa poliartikularnim juvenilnim idiopatskim artritisom, uzrasta od 4 do 17 godina, i artritisom povezanim sa entezitisom, uzrasta od 6 do 17 godina, promjena vrijednosti ALT ≥ 3 x ULN je primjećena kod 6,1% pacijenata liječenih adalimumabom i 1,3% pacijenata iz kontrolne grupe. Većina ALT promjena vrijednosti se desila prilikom istovremene upotrebe metotreksata. Promjene vrijednosti ALT ≥ 3 x ULN nisu primjećene kod pacijenata u studiji faze III sa adalimumabom, sprovedenoj na pacijentima sa poliartikularnim juvenilnim idiopatskim artritisom uzrasta od 2 do &lt;4 godine.</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 xml:space="preserve">U kontrolisanim ispitivanjima faze III u kojima se adalimumab primjenjivao kod pacijenata sa </w:t>
      </w:r>
      <w:r w:rsidRPr="00B60703">
        <w:rPr>
          <w:i/>
          <w:sz w:val="22"/>
          <w:szCs w:val="22"/>
          <w:lang w:val="sr-Latn-ME" w:eastAsia="sr-Latn-ME"/>
        </w:rPr>
        <w:t>Crohn-</w:t>
      </w:r>
      <w:r w:rsidRPr="00B60703">
        <w:rPr>
          <w:sz w:val="22"/>
          <w:szCs w:val="22"/>
          <w:lang w:val="sr-Latn-ME" w:eastAsia="sr-Latn-ME"/>
        </w:rPr>
        <w:t xml:space="preserve">ovom bolešću i ulceroznim kolitisom, tokom kontrolisanog perioda trajanja ispitivanja od 4 do 52 nedjelje, povećanje vrijednosti ALT ≥ 3 x ULN (engl. </w:t>
      </w:r>
      <w:r w:rsidRPr="00B60703">
        <w:rPr>
          <w:i/>
          <w:sz w:val="22"/>
          <w:szCs w:val="22"/>
          <w:lang w:val="sr-Latn-ME" w:eastAsia="sr-Latn-ME"/>
        </w:rPr>
        <w:t>upper limit of normal</w:t>
      </w:r>
      <w:r w:rsidRPr="00B60703">
        <w:rPr>
          <w:sz w:val="22"/>
          <w:szCs w:val="22"/>
          <w:lang w:val="sr-Latn-ME" w:eastAsia="sr-Latn-ME"/>
        </w:rPr>
        <w:t>, gornja granica) javilo se kod</w:t>
      </w:r>
      <w:r w:rsidRPr="00B60703">
        <w:rPr>
          <w:b/>
          <w:color w:val="FF0000"/>
          <w:sz w:val="22"/>
          <w:szCs w:val="22"/>
          <w:lang w:val="sr-Latn-ME" w:eastAsia="sr-Latn-ME"/>
        </w:rPr>
        <w:t xml:space="preserve"> </w:t>
      </w:r>
      <w:r w:rsidRPr="00B60703">
        <w:rPr>
          <w:sz w:val="22"/>
          <w:szCs w:val="22"/>
          <w:lang w:val="sr-Latn-ME" w:eastAsia="sr-Latn-ME"/>
        </w:rPr>
        <w:t>0,9% pacijenata koji su primali a</w:t>
      </w:r>
      <w:r w:rsidRPr="00B60703">
        <w:rPr>
          <w:spacing w:val="-8"/>
          <w:sz w:val="22"/>
          <w:szCs w:val="22"/>
          <w:lang w:val="sr-Latn-ME" w:eastAsia="sr-Latn-ME"/>
        </w:rPr>
        <w:t>dalimumab</w:t>
      </w:r>
      <w:r w:rsidRPr="00B60703">
        <w:rPr>
          <w:sz w:val="22"/>
          <w:szCs w:val="22"/>
          <w:lang w:val="sr-Latn-ME" w:eastAsia="sr-Latn-ME"/>
        </w:rPr>
        <w:t xml:space="preserve"> i kod 0,9% pacijenata koji su primali placebo.</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 xml:space="preserve">U studijama faze III kod pedijatrijskih pacijenata sa </w:t>
      </w:r>
      <w:r w:rsidRPr="00B60703">
        <w:rPr>
          <w:i/>
          <w:sz w:val="22"/>
          <w:szCs w:val="22"/>
          <w:lang w:val="sr-Latn-ME" w:eastAsia="sr-Latn-ME"/>
        </w:rPr>
        <w:t>Crohn-</w:t>
      </w:r>
      <w:r w:rsidRPr="00B60703">
        <w:rPr>
          <w:sz w:val="22"/>
          <w:szCs w:val="22"/>
          <w:lang w:val="sr-Latn-ME" w:eastAsia="sr-Latn-ME"/>
        </w:rPr>
        <w:t>ovom bolešću, u kojima su procjenjivani efikasnost i bezbjednost dva režima doziranja adalimumaba prilagođena tjelesnoj masi poslije primjene inicijalne doze prilagođene tjelesnoj masi tokom 52 nedjelje liječenja, povećane vrijednosti ALT ≥ 3 x ULN su primjećene kod 2,6% (5/192) pacijenata od kojih su 4 pacijenta bila na početku terapije izložena istovremenoj terapiji imunosupresivima.</w:t>
      </w: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lastRenderedPageBreak/>
        <w:t xml:space="preserve">U kontrolisanim ispitivanjima faze III u kojima se adalimumab primjenjivao kod pacijenata sa plak psorijazom, tokom kontrolisanog perioda trajanja ispitivanja od 12 do 24 nedjelje, povećanje vrijednosti ALT ≥ 3 x ULN (engl. </w:t>
      </w:r>
      <w:r w:rsidRPr="00B60703">
        <w:rPr>
          <w:i/>
          <w:sz w:val="22"/>
          <w:szCs w:val="22"/>
          <w:lang w:val="sr-Latn-ME" w:eastAsia="sr-Latn-ME"/>
        </w:rPr>
        <w:t>upper limit of normal,</w:t>
      </w:r>
      <w:r w:rsidRPr="00B60703">
        <w:rPr>
          <w:sz w:val="22"/>
          <w:szCs w:val="22"/>
          <w:lang w:val="sr-Latn-ME" w:eastAsia="sr-Latn-ME"/>
        </w:rPr>
        <w:t xml:space="preserve"> gornja granica) javilo se kod 1,8% pacijenata koji su primali adalimumab i kod 1,8% pacijenata koji su primali placebo.</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U ispitivanju faze III u kojem se adalimumab primjenjivao kod djece sa plak psorijazom, nije primjećeno povećanje vrijednosti ALT-a ≥ 3 x ULN.</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left" w:pos="284"/>
        </w:tabs>
        <w:jc w:val="both"/>
        <w:rPr>
          <w:sz w:val="22"/>
          <w:szCs w:val="22"/>
          <w:lang w:val="sr-Latn-ME"/>
        </w:rPr>
      </w:pPr>
      <w:r w:rsidRPr="00B60703">
        <w:rPr>
          <w:sz w:val="22"/>
          <w:szCs w:val="22"/>
          <w:lang w:val="sr-Latn-ME"/>
        </w:rPr>
        <w:t>U kontrolisanim ispitivanjima adalimumaba (početne doze od 160 mg u nedjelji 0 i 80 mg u nedjelji 2, a zatim 40 mg svake nedjelje, počevši od 4. nedjelje) kod pacijenata sa gnojnim zapaljenjem znojnih žlijezda (</w:t>
      </w:r>
      <w:r w:rsidRPr="00B60703">
        <w:rPr>
          <w:i/>
          <w:sz w:val="22"/>
          <w:szCs w:val="22"/>
          <w:lang w:val="sr-Latn-ME"/>
        </w:rPr>
        <w:t>hidradenitis suppurativa</w:t>
      </w:r>
      <w:r w:rsidRPr="00B60703">
        <w:rPr>
          <w:sz w:val="22"/>
          <w:szCs w:val="22"/>
          <w:lang w:val="sr-Latn-ME"/>
        </w:rPr>
        <w:t>), uz kontrolni period u trajanju od 12 do 16 nedjelja, povećane vrijednosti ALT-a ≥ 3 x ULN zabilježene su kod 0,3% pacijenata liječenih adalimumabom i 0,6% pacijenata iz kontrolne grupe.</w:t>
      </w:r>
    </w:p>
    <w:p w:rsidR="005B62E2" w:rsidRPr="00B60703" w:rsidRDefault="005B62E2">
      <w:pPr>
        <w:tabs>
          <w:tab w:val="left" w:pos="284"/>
        </w:tabs>
        <w:jc w:val="both"/>
        <w:rPr>
          <w:sz w:val="22"/>
          <w:szCs w:val="22"/>
          <w:lang w:val="sr-Latn-ME"/>
        </w:rPr>
      </w:pPr>
    </w:p>
    <w:p w:rsidR="005B62E2" w:rsidRPr="00B60703" w:rsidRDefault="00F03789">
      <w:pPr>
        <w:tabs>
          <w:tab w:val="left" w:pos="708"/>
        </w:tabs>
        <w:autoSpaceDE w:val="0"/>
        <w:autoSpaceDN w:val="0"/>
        <w:adjustRightInd w:val="0"/>
        <w:jc w:val="both"/>
        <w:rPr>
          <w:rFonts w:eastAsia="TimesNewRomanPSMT"/>
          <w:sz w:val="22"/>
          <w:szCs w:val="22"/>
          <w:lang w:val="sr-Latn-ME"/>
        </w:rPr>
      </w:pPr>
      <w:r w:rsidRPr="00B60703">
        <w:rPr>
          <w:rFonts w:eastAsia="TimesNewRomanPSMT"/>
          <w:sz w:val="22"/>
          <w:szCs w:val="22"/>
          <w:lang w:val="sr-Latn-ME"/>
        </w:rPr>
        <w:t>U kontrolisanim ispitivanjima adalimumaba (početne doze od 80 mg u nedjelji 0, nakon kojih slijede doze od 40 mg svake druge nedjelje, počevši od nedjelje 1) kod odraslih pacijenata sa uveitisom u trajanju do 80 nedjelja, sa prosječnom izloženošću od 166,5 dana kod pacijenata liječenih adalimumabom i 105,0 dana kod pacijenata iz kontrolne grupe, povećanje vrijednosti ALT-a ≥ 3 x ULN zabilježena su kod 2,4% pacijenata liječenih adalimumab i 2,4% pacijenata iz kontrolne grupe.</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left" w:pos="284"/>
        </w:tabs>
        <w:jc w:val="both"/>
        <w:rPr>
          <w:sz w:val="22"/>
          <w:szCs w:val="22"/>
          <w:lang w:val="sr-Latn-ME"/>
        </w:rPr>
      </w:pPr>
      <w:r w:rsidRPr="00B60703">
        <w:rPr>
          <w:sz w:val="22"/>
          <w:szCs w:val="22"/>
          <w:lang w:val="sr-Latn-ME"/>
        </w:rPr>
        <w:t>U kontrolisanim studijama za adalimumab, faze 3, kod pacijenata sa pedijatrijskim ulcerativnim kolitisom (N=93) koja je procjenjivala efikasnost i bezbjednost doze od 0,6 mg/kg (maksimum 40 mg) svake druge nedjelje (N=31) i doze održavanja 0,6 mg/kg (maksimum od 40 mg) svake nedjelje (N=32), koju je pratilo podešavanje indukcionog doziranja na osnovu tjelesne težine   od 2,4 mg/kg (maksimum 160 mg) u nedjelji 0 i nedjelji 1, i 1,2 mg/kg (maksimum 80 mg) u nedjelji 2 (N=63), ili indukcione doze od 2,4 mg/kg (maksimum od 160 mg) u nedjelji 0, palcebu i nedjelji 1, i 1,2 mg/kg (maksimum od 80 mg) u nedjelji 2 (N=30), rast ALT ≥ 3 X ULN se dogodio kod 1,1% (1/93) pacijenta.</w:t>
      </w:r>
    </w:p>
    <w:p w:rsidR="005B62E2" w:rsidRPr="00B60703" w:rsidRDefault="005B62E2">
      <w:pPr>
        <w:tabs>
          <w:tab w:val="center" w:pos="4536"/>
          <w:tab w:val="right" w:pos="9072"/>
        </w:tabs>
        <w:jc w:val="both"/>
        <w:rPr>
          <w:sz w:val="22"/>
          <w:szCs w:val="22"/>
          <w:lang w:val="sr-Latn-ME" w:eastAsia="sr-Latn-ME"/>
        </w:rPr>
      </w:pPr>
    </w:p>
    <w:p w:rsidR="005B62E2" w:rsidRPr="00B60703" w:rsidRDefault="00F03789">
      <w:pPr>
        <w:tabs>
          <w:tab w:val="center" w:pos="4536"/>
          <w:tab w:val="right" w:pos="9072"/>
        </w:tabs>
        <w:jc w:val="both"/>
        <w:rPr>
          <w:sz w:val="22"/>
          <w:szCs w:val="22"/>
          <w:lang w:val="sr-Latn-ME" w:eastAsia="sr-Latn-ME"/>
        </w:rPr>
      </w:pPr>
      <w:r w:rsidRPr="00B60703">
        <w:rPr>
          <w:sz w:val="22"/>
          <w:szCs w:val="22"/>
          <w:lang w:val="sr-Latn-ME" w:eastAsia="sr-Latn-ME"/>
        </w:rPr>
        <w:t>U svim ispitivanjima, u svim indikacijama, pacijenti sa povećanim vrijednostima ALT su bili asimptomatični i u većini slučajeva povećanje vrijednosti je bilo prolazno i riješilo se tokom samog liječenja. Međutim, postoje postmarketinški izvještaji insuficijencije jetre, kao i manje ozbiljnih reakcija koje mogu prethoditi otkazivanju funkcije jetre (hepatitis, uključujući autoimuni hepatitis), kod pacijenata koji su primali adalimumab.</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Istovremena primjena sa azatioprinom/6-merkaptopurinom</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U ispitivanjima kod odraslih pacijenata sa </w:t>
      </w:r>
      <w:r w:rsidRPr="00B60703">
        <w:rPr>
          <w:i/>
          <w:sz w:val="22"/>
          <w:szCs w:val="22"/>
          <w:lang w:val="sr-Latn-ME" w:eastAsia="sr-Latn-ME"/>
        </w:rPr>
        <w:t>Crohn-</w:t>
      </w:r>
      <w:r w:rsidRPr="00B60703">
        <w:rPr>
          <w:sz w:val="22"/>
          <w:szCs w:val="22"/>
          <w:lang w:val="sr-Latn-ME" w:eastAsia="sr-Latn-ME"/>
        </w:rPr>
        <w:t>ovom bolešću, uočena je veća incidenca malignih i ozbiljnih neželjenih dejstava povezanih sa infekcijama prilikom istovremene upotrebe a</w:t>
      </w:r>
      <w:r w:rsidRPr="00B60703">
        <w:rPr>
          <w:spacing w:val="-8"/>
          <w:sz w:val="22"/>
          <w:szCs w:val="22"/>
          <w:lang w:val="sr-Latn-ME" w:eastAsia="sr-Latn-ME"/>
        </w:rPr>
        <w:t>dalimumaba</w:t>
      </w:r>
      <w:r w:rsidRPr="00B60703">
        <w:rPr>
          <w:sz w:val="22"/>
          <w:szCs w:val="22"/>
          <w:lang w:val="sr-Latn-ME" w:eastAsia="sr-Latn-ME"/>
        </w:rPr>
        <w:t xml:space="preserve"> i azatioprina/6-merkaptopurina u poređenju sa monoterapijom a</w:t>
      </w:r>
      <w:r w:rsidRPr="00B60703">
        <w:rPr>
          <w:spacing w:val="-8"/>
          <w:sz w:val="22"/>
          <w:szCs w:val="22"/>
          <w:lang w:val="sr-Latn-ME" w:eastAsia="sr-Latn-ME"/>
        </w:rPr>
        <w:t>dalimumabom</w:t>
      </w:r>
      <w:r w:rsidRPr="00B60703">
        <w:rPr>
          <w:sz w:val="22"/>
          <w:szCs w:val="22"/>
          <w:lang w:val="sr-Latn-ME" w:eastAsia="sr-Latn-ME"/>
        </w:rPr>
        <w:t>.</w:t>
      </w:r>
    </w:p>
    <w:p w:rsidR="005B62E2" w:rsidRPr="00B60703" w:rsidRDefault="005B62E2">
      <w:pPr>
        <w:tabs>
          <w:tab w:val="left" w:pos="540"/>
          <w:tab w:val="left" w:pos="569"/>
        </w:tabs>
        <w:rPr>
          <w:b/>
          <w:bCs/>
          <w:sz w:val="22"/>
          <w:szCs w:val="22"/>
          <w:lang w:val="sr-Latn-ME"/>
        </w:rPr>
      </w:pPr>
    </w:p>
    <w:p w:rsidR="005B62E2" w:rsidRPr="00B60703" w:rsidRDefault="00F03789">
      <w:pPr>
        <w:spacing w:after="200" w:line="276" w:lineRule="auto"/>
        <w:rPr>
          <w:rFonts w:eastAsia="Calibri"/>
          <w:sz w:val="22"/>
          <w:szCs w:val="22"/>
          <w:u w:val="single"/>
          <w:lang w:val="sr-Latn-ME"/>
        </w:rPr>
      </w:pPr>
      <w:r w:rsidRPr="00B60703">
        <w:rPr>
          <w:rFonts w:eastAsia="Calibri"/>
          <w:sz w:val="22"/>
          <w:szCs w:val="22"/>
          <w:u w:val="single"/>
          <w:lang w:val="sr-Latn-ME"/>
        </w:rPr>
        <w:t>Prijavljivanje sumnji na neželjena dejstva</w:t>
      </w:r>
    </w:p>
    <w:p w:rsidR="005B62E2" w:rsidRPr="00B60703" w:rsidRDefault="00F03789">
      <w:pPr>
        <w:spacing w:after="200"/>
        <w:jc w:val="both"/>
        <w:rPr>
          <w:rFonts w:eastAsia="Calibri"/>
          <w:sz w:val="22"/>
          <w:szCs w:val="22"/>
          <w:lang w:val="sr-Latn-ME"/>
        </w:rPr>
      </w:pPr>
      <w:r w:rsidRPr="00B60703">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 xml:space="preserve">Institut za ljekove i medicinska sredstva </w:t>
      </w: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Odjeljenje za farmakovigilancu</w:t>
      </w: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Bulevar Ivana Crnojevića 64a, 81000 Podgorica</w:t>
      </w:r>
    </w:p>
    <w:p w:rsidR="005B62E2" w:rsidRPr="00B60703" w:rsidRDefault="005B62E2">
      <w:pPr>
        <w:pStyle w:val="NoSpacing"/>
        <w:rPr>
          <w:rFonts w:eastAsia="Calibri"/>
          <w:sz w:val="22"/>
          <w:szCs w:val="22"/>
          <w:lang w:val="sr-Latn-ME"/>
        </w:rPr>
      </w:pP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tel: +382 (0) 20 310 280</w:t>
      </w: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fax: +382 (0) 20 310 581</w:t>
      </w:r>
    </w:p>
    <w:p w:rsidR="005B62E2" w:rsidRPr="00B60703" w:rsidRDefault="00B67A3C">
      <w:pPr>
        <w:pStyle w:val="NoSpacing"/>
        <w:jc w:val="both"/>
        <w:rPr>
          <w:rFonts w:eastAsia="Calibri"/>
          <w:sz w:val="22"/>
          <w:szCs w:val="22"/>
          <w:lang w:val="sr-Latn-ME"/>
        </w:rPr>
      </w:pPr>
      <w:hyperlink r:id="rId10" w:history="1">
        <w:r w:rsidR="00F03789" w:rsidRPr="00B60703">
          <w:rPr>
            <w:rStyle w:val="Hyperlink"/>
            <w:rFonts w:eastAsia="Calibri"/>
            <w:sz w:val="22"/>
            <w:szCs w:val="22"/>
            <w:lang w:val="sr-Latn-ME"/>
          </w:rPr>
          <w:t>www.cinmed.me</w:t>
        </w:r>
      </w:hyperlink>
    </w:p>
    <w:p w:rsidR="005B62E2" w:rsidRPr="00B60703" w:rsidRDefault="00B67A3C">
      <w:pPr>
        <w:pStyle w:val="NoSpacing"/>
        <w:jc w:val="both"/>
        <w:rPr>
          <w:rFonts w:eastAsia="Calibri"/>
          <w:color w:val="0000FF"/>
          <w:sz w:val="22"/>
          <w:szCs w:val="22"/>
          <w:u w:val="single"/>
          <w:lang w:val="sr-Latn-ME"/>
        </w:rPr>
      </w:pPr>
      <w:hyperlink r:id="rId11" w:history="1">
        <w:r w:rsidR="00F03789" w:rsidRPr="00B60703">
          <w:rPr>
            <w:rStyle w:val="Hyperlink"/>
            <w:rFonts w:eastAsia="Calibri"/>
            <w:sz w:val="22"/>
            <w:szCs w:val="22"/>
            <w:lang w:val="sr-Latn-ME"/>
          </w:rPr>
          <w:t>nezeljenadejstva@cinmed.me</w:t>
        </w:r>
      </w:hyperlink>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putem IS zdravstvene zaštite</w:t>
      </w:r>
    </w:p>
    <w:p w:rsidR="005B62E2" w:rsidRPr="00B60703" w:rsidRDefault="00F03789">
      <w:pPr>
        <w:pStyle w:val="NoSpacing"/>
        <w:jc w:val="both"/>
        <w:rPr>
          <w:rFonts w:eastAsia="Calibri"/>
          <w:sz w:val="22"/>
          <w:szCs w:val="22"/>
          <w:lang w:val="sr-Latn-ME"/>
        </w:rPr>
      </w:pPr>
      <w:r w:rsidRPr="00B60703">
        <w:rPr>
          <w:rFonts w:eastAsia="Calibri"/>
          <w:sz w:val="22"/>
          <w:szCs w:val="22"/>
          <w:lang w:val="sr-Latn-ME"/>
        </w:rPr>
        <w:t>QR kod za online prijavu sumnje na neželjeno dejstvo lijeka:</w:t>
      </w:r>
    </w:p>
    <w:p w:rsidR="005B62E2" w:rsidRPr="00B60703" w:rsidRDefault="005B62E2">
      <w:pPr>
        <w:pStyle w:val="NoSpacing"/>
        <w:jc w:val="both"/>
        <w:rPr>
          <w:rFonts w:eastAsia="Calibri"/>
          <w:sz w:val="22"/>
          <w:szCs w:val="22"/>
          <w:lang w:val="sr-Latn-ME"/>
        </w:rPr>
      </w:pPr>
    </w:p>
    <w:p w:rsidR="005B62E2" w:rsidRPr="00B60703" w:rsidRDefault="00F03789">
      <w:pPr>
        <w:pStyle w:val="NoSpacing"/>
        <w:rPr>
          <w:rFonts w:eastAsia="Calibri"/>
          <w:sz w:val="22"/>
          <w:szCs w:val="22"/>
          <w:lang w:val="sr-Latn-ME"/>
        </w:rPr>
      </w:pPr>
      <w:r w:rsidRPr="00B60703">
        <w:rPr>
          <w:b/>
          <w:bCs/>
          <w:noProof/>
          <w:sz w:val="22"/>
          <w:szCs w:val="22"/>
        </w:rPr>
        <w:lastRenderedPageBreak/>
        <w:drawing>
          <wp:inline distT="0" distB="0" distL="0" distR="0">
            <wp:extent cx="980440" cy="971550"/>
            <wp:effectExtent l="0" t="0" r="1016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3" cstate="print">
                      <a:extLst>
                        <a:ext uri="{28A0092B-C50C-407E-A947-70E740481C1C}">
                          <a14:useLocalDpi xmlns:a14="http://schemas.microsoft.com/office/drawing/2010/main" val="0"/>
                        </a:ext>
                      </a:extLst>
                    </a:blip>
                    <a:srcRect l="10118" t="9757" r="9299" b="10383"/>
                    <a:stretch>
                      <a:fillRect/>
                    </a:stretch>
                  </pic:blipFill>
                  <pic:spPr>
                    <a:xfrm>
                      <a:off x="0" y="0"/>
                      <a:ext cx="980796" cy="972000"/>
                    </a:xfrm>
                    <a:prstGeom prst="rect">
                      <a:avLst/>
                    </a:prstGeom>
                    <a:ln>
                      <a:noFill/>
                    </a:ln>
                  </pic:spPr>
                </pic:pic>
              </a:graphicData>
            </a:graphic>
          </wp:inline>
        </w:drawing>
      </w:r>
    </w:p>
    <w:p w:rsidR="005B62E2" w:rsidRPr="00B60703" w:rsidRDefault="005B62E2">
      <w:pPr>
        <w:pStyle w:val="NoSpacing"/>
        <w:jc w:val="both"/>
        <w:rPr>
          <w:rFonts w:eastAsia="Calibri"/>
          <w:sz w:val="22"/>
          <w:szCs w:val="22"/>
          <w:lang w:val="sr-Latn-ME"/>
        </w:rPr>
      </w:pP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4.9. </w:t>
      </w:r>
      <w:r w:rsidRPr="00B60703">
        <w:rPr>
          <w:b/>
          <w:bCs/>
          <w:sz w:val="22"/>
          <w:szCs w:val="22"/>
          <w:lang w:val="sr-Latn-ME"/>
        </w:rPr>
        <w:tab/>
        <w:t xml:space="preserve">Predoziranje </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708"/>
          <w:tab w:val="center" w:pos="4536"/>
          <w:tab w:val="right" w:pos="9072"/>
        </w:tabs>
        <w:snapToGrid w:val="0"/>
        <w:jc w:val="both"/>
        <w:rPr>
          <w:sz w:val="22"/>
          <w:szCs w:val="22"/>
          <w:lang w:val="sr-Latn-ME"/>
        </w:rPr>
      </w:pPr>
      <w:r w:rsidRPr="00B60703">
        <w:rPr>
          <w:sz w:val="22"/>
          <w:szCs w:val="22"/>
          <w:lang w:val="sr-Latn-ME" w:eastAsia="sr-Latn-ME"/>
        </w:rPr>
        <w:t>Tokom kliničkih studija nije zapažena toksičnost koja bi ograničavala dozu. Najveća procijenjena doza je bila multipla intravenska doza od 10 mg/kg, što je približno 15 puta veće od preporučene doze.</w:t>
      </w:r>
    </w:p>
    <w:p w:rsidR="005B62E2" w:rsidRPr="00B60703" w:rsidRDefault="005B62E2">
      <w:pPr>
        <w:tabs>
          <w:tab w:val="left" w:pos="540"/>
          <w:tab w:val="left" w:pos="569"/>
        </w:tabs>
        <w:rPr>
          <w:b/>
          <w:bCs/>
          <w:sz w:val="22"/>
          <w:szCs w:val="22"/>
          <w:lang w:val="sr-Latn-ME"/>
        </w:rPr>
      </w:pP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jc w:val="both"/>
        <w:rPr>
          <w:b/>
          <w:bCs/>
          <w:sz w:val="22"/>
          <w:szCs w:val="22"/>
          <w:lang w:val="sr-Latn-ME"/>
        </w:rPr>
      </w:pPr>
      <w:r w:rsidRPr="00B60703">
        <w:rPr>
          <w:b/>
          <w:bCs/>
          <w:sz w:val="22"/>
          <w:szCs w:val="22"/>
          <w:lang w:val="sr-Latn-ME"/>
        </w:rPr>
        <w:t xml:space="preserve">5. </w:t>
      </w:r>
      <w:r w:rsidRPr="00B60703">
        <w:rPr>
          <w:b/>
          <w:bCs/>
          <w:sz w:val="22"/>
          <w:szCs w:val="22"/>
          <w:lang w:val="sr-Latn-ME"/>
        </w:rPr>
        <w:tab/>
        <w:t>FARMAKOLOŠKI PODACI</w:t>
      </w:r>
    </w:p>
    <w:p w:rsidR="005B62E2" w:rsidRPr="00B60703" w:rsidRDefault="005B62E2">
      <w:pPr>
        <w:tabs>
          <w:tab w:val="left" w:pos="540"/>
          <w:tab w:val="left" w:pos="569"/>
        </w:tabs>
        <w:jc w:val="both"/>
        <w:rPr>
          <w:b/>
          <w:bCs/>
          <w:sz w:val="22"/>
          <w:szCs w:val="22"/>
          <w:lang w:val="sr-Latn-ME"/>
        </w:rPr>
      </w:pPr>
    </w:p>
    <w:p w:rsidR="005B62E2" w:rsidRPr="00B60703" w:rsidRDefault="00F03789">
      <w:pPr>
        <w:tabs>
          <w:tab w:val="left" w:pos="540"/>
          <w:tab w:val="left" w:pos="569"/>
        </w:tabs>
        <w:jc w:val="both"/>
        <w:rPr>
          <w:b/>
          <w:bCs/>
          <w:sz w:val="22"/>
          <w:szCs w:val="22"/>
          <w:lang w:val="sr-Latn-ME"/>
        </w:rPr>
      </w:pPr>
      <w:r w:rsidRPr="00B60703">
        <w:rPr>
          <w:b/>
          <w:bCs/>
          <w:sz w:val="22"/>
          <w:szCs w:val="22"/>
          <w:lang w:val="sr-Latn-ME"/>
        </w:rPr>
        <w:t xml:space="preserve">5.1. </w:t>
      </w:r>
      <w:r w:rsidRPr="00B60703">
        <w:rPr>
          <w:b/>
          <w:bCs/>
          <w:sz w:val="22"/>
          <w:szCs w:val="22"/>
          <w:lang w:val="sr-Latn-ME"/>
        </w:rPr>
        <w:tab/>
        <w:t xml:space="preserve">Farmakodinamski podaci </w:t>
      </w:r>
    </w:p>
    <w:p w:rsidR="005B62E2" w:rsidRPr="00B60703" w:rsidRDefault="005B62E2">
      <w:pPr>
        <w:tabs>
          <w:tab w:val="left" w:pos="540"/>
          <w:tab w:val="left" w:pos="569"/>
        </w:tabs>
        <w:jc w:val="both"/>
        <w:rPr>
          <w:b/>
          <w:bCs/>
          <w:sz w:val="22"/>
          <w:szCs w:val="22"/>
          <w:lang w:val="sr-Latn-ME"/>
        </w:rPr>
      </w:pPr>
    </w:p>
    <w:p w:rsidR="005B62E2" w:rsidRPr="00B60703" w:rsidRDefault="00F03789">
      <w:pPr>
        <w:tabs>
          <w:tab w:val="left" w:pos="540"/>
          <w:tab w:val="left" w:pos="569"/>
        </w:tabs>
        <w:jc w:val="both"/>
        <w:rPr>
          <w:bCs/>
          <w:sz w:val="22"/>
          <w:szCs w:val="22"/>
          <w:lang w:val="sr-Latn-ME"/>
        </w:rPr>
      </w:pPr>
      <w:r w:rsidRPr="00B60703">
        <w:rPr>
          <w:bCs/>
          <w:sz w:val="22"/>
          <w:szCs w:val="22"/>
          <w:lang w:val="sr-Latn-ME"/>
        </w:rPr>
        <w:t xml:space="preserve">Farmakoterapijska grupa: imunosupresivna sredstva; inhibitori faktora nekroze tumora alfa (TNF-α).   </w:t>
      </w:r>
    </w:p>
    <w:p w:rsidR="005B62E2" w:rsidRPr="00B60703" w:rsidRDefault="005B62E2">
      <w:pPr>
        <w:tabs>
          <w:tab w:val="left" w:pos="540"/>
          <w:tab w:val="left" w:pos="569"/>
        </w:tabs>
        <w:jc w:val="both"/>
        <w:rPr>
          <w:bCs/>
          <w:sz w:val="22"/>
          <w:szCs w:val="22"/>
          <w:lang w:val="sr-Latn-ME"/>
        </w:rPr>
      </w:pPr>
    </w:p>
    <w:p w:rsidR="005B62E2" w:rsidRPr="00B60703" w:rsidRDefault="00F03789">
      <w:pPr>
        <w:tabs>
          <w:tab w:val="left" w:pos="540"/>
          <w:tab w:val="left" w:pos="569"/>
        </w:tabs>
        <w:jc w:val="both"/>
        <w:rPr>
          <w:bCs/>
          <w:sz w:val="22"/>
          <w:szCs w:val="22"/>
          <w:lang w:val="sr-Latn-ME"/>
        </w:rPr>
      </w:pPr>
      <w:r w:rsidRPr="00B60703">
        <w:rPr>
          <w:bCs/>
          <w:sz w:val="22"/>
          <w:szCs w:val="22"/>
          <w:lang w:val="sr-Latn-ME"/>
        </w:rPr>
        <w:t>ATC kod: L04AB04</w:t>
      </w:r>
    </w:p>
    <w:p w:rsidR="005B62E2" w:rsidRPr="00B60703" w:rsidRDefault="005B62E2">
      <w:pPr>
        <w:tabs>
          <w:tab w:val="left" w:pos="540"/>
          <w:tab w:val="left" w:pos="569"/>
        </w:tabs>
        <w:jc w:val="both"/>
        <w:rPr>
          <w:bCs/>
          <w:sz w:val="22"/>
          <w:szCs w:val="22"/>
          <w:lang w:val="sr-Latn-ME"/>
        </w:rPr>
      </w:pPr>
    </w:p>
    <w:p w:rsidR="005B62E2" w:rsidRPr="00B60703" w:rsidRDefault="00F03789">
      <w:pPr>
        <w:tabs>
          <w:tab w:val="left" w:pos="540"/>
          <w:tab w:val="left" w:pos="569"/>
        </w:tabs>
        <w:jc w:val="both"/>
        <w:rPr>
          <w:bCs/>
          <w:sz w:val="22"/>
          <w:szCs w:val="22"/>
          <w:lang w:val="sr-Latn-ME"/>
        </w:rPr>
      </w:pPr>
      <w:r w:rsidRPr="00B60703">
        <w:rPr>
          <w:bCs/>
          <w:sz w:val="22"/>
          <w:szCs w:val="22"/>
          <w:lang w:val="sr-Latn-ME"/>
        </w:rPr>
        <w:t xml:space="preserve">Lijek Hyrimoz je biosličan lijek. Detaljnije informacije su dostupne na internet stranici Evropske agencije za ljekove: </w:t>
      </w:r>
      <w:hyperlink r:id="rId14" w:history="1">
        <w:r w:rsidRPr="00B60703">
          <w:rPr>
            <w:rStyle w:val="Hyperlink"/>
            <w:bCs/>
            <w:sz w:val="22"/>
            <w:szCs w:val="22"/>
            <w:lang w:val="sr-Latn-ME"/>
          </w:rPr>
          <w:t>http://www.ema.europa.eu</w:t>
        </w:r>
      </w:hyperlink>
      <w:r w:rsidRPr="00B60703">
        <w:rPr>
          <w:bCs/>
          <w:sz w:val="22"/>
          <w:szCs w:val="22"/>
          <w:lang w:val="sr-Latn-ME"/>
        </w:rPr>
        <w:t xml:space="preserve">. </w:t>
      </w:r>
    </w:p>
    <w:p w:rsidR="005B62E2" w:rsidRPr="00B60703" w:rsidRDefault="005B62E2">
      <w:pPr>
        <w:tabs>
          <w:tab w:val="left" w:pos="540"/>
          <w:tab w:val="left" w:pos="569"/>
        </w:tabs>
        <w:jc w:val="both"/>
        <w:rPr>
          <w:bCs/>
          <w:sz w:val="22"/>
          <w:szCs w:val="22"/>
          <w:lang w:val="sr-Latn-ME"/>
        </w:rPr>
      </w:pPr>
    </w:p>
    <w:p w:rsidR="005B62E2" w:rsidRPr="00B60703" w:rsidRDefault="00F03789">
      <w:pPr>
        <w:tabs>
          <w:tab w:val="left" w:pos="540"/>
          <w:tab w:val="left" w:pos="569"/>
        </w:tabs>
        <w:jc w:val="both"/>
        <w:rPr>
          <w:sz w:val="22"/>
          <w:szCs w:val="22"/>
          <w:u w:val="single"/>
          <w:lang w:val="sr-Latn-ME"/>
        </w:rPr>
      </w:pPr>
      <w:r w:rsidRPr="00B60703">
        <w:rPr>
          <w:sz w:val="22"/>
          <w:szCs w:val="22"/>
          <w:u w:val="single"/>
          <w:lang w:val="sr-Latn-ME"/>
        </w:rPr>
        <w:t>Mehanizam dejstva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se specifično vezuje za TNF i neutrališe biološke funkcije TNF-a blokirajući njegovu interakciju sa p55 i p75 površinskim ćelijskim TNF receptorima.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Adalimumab, takođe, mijenja biološki odgovor koji indukuje ili reguliše TNF, uključujući promjene u nivou adhezije molekula odgovornih za migraciju leukocita (ELAM-1, VCAM-1 i ICAM-1 sa IC</w:t>
      </w:r>
      <w:r w:rsidRPr="00B60703">
        <w:rPr>
          <w:sz w:val="22"/>
          <w:szCs w:val="22"/>
          <w:vertAlign w:val="subscript"/>
          <w:lang w:val="sr-Latn-ME"/>
        </w:rPr>
        <w:t>50</w:t>
      </w:r>
      <w:r w:rsidRPr="00B60703">
        <w:rPr>
          <w:sz w:val="22"/>
          <w:szCs w:val="22"/>
          <w:lang w:val="sr-Latn-ME"/>
        </w:rPr>
        <w:t xml:space="preserve"> od 0,1-0,2 nM).         </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sz w:val="22"/>
          <w:szCs w:val="22"/>
          <w:u w:val="single"/>
          <w:lang w:val="sr-Latn-ME"/>
        </w:rPr>
      </w:pPr>
      <w:r w:rsidRPr="00B60703">
        <w:rPr>
          <w:sz w:val="22"/>
          <w:szCs w:val="22"/>
          <w:u w:val="single"/>
          <w:lang w:val="sr-Latn-ME"/>
        </w:rPr>
        <w:t xml:space="preserve">Farmakodinamski podaci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Nakon liječenja adalimumabom, brz pad u vrijednostima reaktanata akutne faze zapaljenja (C-reaktivni protein (CRP) i brzina sedimentacije eritrocita (ESR)) i serumskih citokina (IL-6) je primijećen kod pacijenata sa reumatoidnim artritisom u poređenju sa početnim vrijednostima. Serumske vrijednosti matriksnih metaloproteinaza (MMP-1 i MMP-3) koje uzrokuju preoblikovanje tkiva odgovorno za uništenje hrskavice takođe su se smanjili nakon uzimanja adalimumaba. Pacijenti liječeni adalimumabom obično ispoljavaju poboljšanje hematoloških znakova hronične inflamacije.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Kod pacijenata sa poliartikularnim juvenilnim idiopatskim artritisom, </w:t>
      </w:r>
      <w:r w:rsidRPr="00B60703">
        <w:rPr>
          <w:i/>
          <w:sz w:val="22"/>
          <w:szCs w:val="22"/>
          <w:lang w:val="sr-Latn-ME"/>
        </w:rPr>
        <w:t>Crohn</w:t>
      </w:r>
      <w:r w:rsidRPr="00B60703">
        <w:rPr>
          <w:sz w:val="22"/>
          <w:szCs w:val="22"/>
          <w:lang w:val="sr-Latn-ME"/>
        </w:rPr>
        <w:t xml:space="preserve">-ovom bolešću, ulceroznim kolitisom i gnojnim zapaljenjem znojnih žlijezda primijećeno je naglo smanjenje vrijednosti CRP-a nakon liječenja adalimumabom. Kod pacijenata sa </w:t>
      </w:r>
      <w:r w:rsidRPr="00B60703">
        <w:rPr>
          <w:i/>
          <w:sz w:val="22"/>
          <w:szCs w:val="22"/>
          <w:lang w:val="sr-Latn-ME"/>
        </w:rPr>
        <w:t>Crohn</w:t>
      </w:r>
      <w:r w:rsidRPr="00B60703">
        <w:rPr>
          <w:sz w:val="22"/>
          <w:szCs w:val="22"/>
          <w:lang w:val="sr-Latn-ME"/>
        </w:rPr>
        <w:t>-ovom bolešću primijećeno je smanjenje broja ćelija u debelom crijevu koje eksprimiraju markere zapaljenja, uključujući i značajno sniženje ekspresije TNFα. Endoskopska ispitivanja intestinalne mukoze pokazala su znakove zacjeljivanja sluzokože kod pacijenata koji su liječeni adalimumabom.</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u w:val="single"/>
          <w:lang w:val="sr-Latn-ME"/>
        </w:rPr>
      </w:pPr>
      <w:r w:rsidRPr="00B60703">
        <w:rPr>
          <w:sz w:val="22"/>
          <w:szCs w:val="22"/>
          <w:u w:val="single"/>
          <w:lang w:val="sr-Latn-ME"/>
        </w:rPr>
        <w:t>Klinička efikasnost i bezbjednost</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Reumatoidni artritis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je ispitivan kod preko 3000 pacijenata u svim kliničkim istraživanjima reumatoidnog artritisa (RA). Efikasnost i bezbjednost adalimumaba u liječenju reumatoidnog artritisa je procijenjena </w:t>
      </w:r>
      <w:r w:rsidRPr="00B60703">
        <w:rPr>
          <w:sz w:val="22"/>
          <w:szCs w:val="22"/>
          <w:lang w:val="sr-Latn-ME"/>
        </w:rPr>
        <w:lastRenderedPageBreak/>
        <w:t xml:space="preserve">u 5 randomizovanih, dvostruko slijepih i dobro kontrolisanih studija. Neki pacijenti su liječeni kroz razdoblje i do 120 mjeseci.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RA studija I je ispitivala 271 pacijenta sa umjerenim do teškim aktivnim reumatoidnim artritisom, uzrasta ≥18 godina, koji nisu odgovorili na terapiju bar jednim antireumatskim lijekom koji modifikuje tok bolesti i koji su imali nedovoljan odgovor na metotreksat u dozi 12,5 do 25 mg (10 mg ukoliko postoji intolerancija na metotreksat) svake nedjelje i kojima je doza metotreksata ostala konstantna od 10 do 25 mg, svake nedjelje. Doze adalimumaba od 20, 40 ili 80 mg ili placebo su davani svake druge nedjelje tokom 24 nedjelje.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RA studija II je ispitivala 544 pacijenta sa umjerenim do teškim aktivnim reumatoidnim artritisom, uzrasta ≥18 godina, koji nisu odgovorili na terapiju bar jednim antireumatskim lijekom koji modifikuje tok bolesti. Doze od 20 ili 40 mg adalimumaba su date u vidu supkutanih injekcija svake druge nedjelje naizmjenično sa placebom svake druge nedjelje, ili svake nedjelje tokom 26 nedjelja; placebo je primjenjivan svake nedjelje u istom trajanju. Nije bila dozvoljena upotreba drugih antireumatskih ljekova koji modifikuju tok bolesti.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RA studija III je ispitivala 619 pacijenata sa umjerenim do teškim aktivnim reumatoidnim artritisom, uzrasta ≥18 godina, koji su imali nedovoljan odgovor na metotreksat u dozi 12,5 do 25 mg ili je postojala netolerancija na 10 mg metotreksata svake nedjelje. U studiji su postojale tri grupe. Prva grupa je primala placebo injekcije svake nedjelje tokom 52 nedjelje. Druga grupa je primala 20 mg adalimumaba svake nedjelje tokom 52 nedjelje. Treća grupa je primala 40 mg adalimumaba svake druge nedjelje sa placebo injekcijama svake druge nedjelje, naizmjenično. Po završetku prve 52 nedjelje terapije, 457 pacijenata je uključeno u otvorenu, produženu fazu, u kojoj su 40 mg adalimumaba/MTX primali svake druge nedjelje tokom 10 godina.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RA studija IV je primarno procijenila bezbjednost kod 636 pacijenata sa umjerenim do teškim aktivnim reumatoidnim artritisom, uzrasta ≥18 godina. Pacijentima je bilo dozvoljeno da budu ili na antireumatskoj terapiji koja modifikuje tok bolesti, koju primaju prvi put ili da ostanu na prethodnoj antireumatskoj terapiji, pod uslovom da je ta terapija stabilna najmanje 28 dana. Ova terapija uključuje metotreksat, leflunomid, hidroksihlorohin, sulfasalazin i/ili soli zlata. Pacijenti su randomizovani na 40 mg adalimumaba ili placeba svake druge nedjelje tokom 24 nedjelje.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RA studija V je ispitivala 799 odraslih pacijenata koji prvi put primaju metotreksat, sa umjerenim do teškim aktivnim ranim reumatoidnim artritisom (prosječno trajanje bolesti manje od 9 mjeseci). Studija procjenjuje efikasnost kombinovane terapije adalimumabom u dozi od 40 mg svake druge nedjelje/metotreksat, monoterapiju adalimumabom u dozi od 40 mg svake druge nedjelje, i monoterapiju metotreksatom u smanjenju znakova, simptoma i brzine progresije oštećenja zglobova u reumatoidnom artritisu tokom 104 nedjelje. Po završetku prve 104 nedjelje, 497 pacijenata uključeno je u otvoreni produžetak studije, u kojem se adalimumab u dozi od 40 mg primjenjivala svake dvije nedjelje tokom razdoblja do 10 godina.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Primarni parametar praćenja u RA studijama I, II i III i sekundarni parametar praćenja u RA studiji IV je bio procenat pacijenata koji su postigli ACR 20 odgovor u nedjelji 24 ili nedjelji 26. Primarni parametar praćenja u RA studiji V je bio procenat pacijenata koji su postigli ACR 50 odgovor u nedjelji 52. RA studije III i V su imale dodatni parametar praćenja u nedjelji 52 u zaustavljanju progresije bolesti (kao što je primijećeno na rentgenskim snimcima). RA studija III je takođe imala primarni parametar praćenja u promjeni kvaliteta života. </w:t>
      </w:r>
    </w:p>
    <w:p w:rsidR="005B62E2" w:rsidRPr="00B60703" w:rsidRDefault="005B62E2">
      <w:pPr>
        <w:tabs>
          <w:tab w:val="left" w:pos="540"/>
          <w:tab w:val="left" w:pos="569"/>
        </w:tabs>
        <w:jc w:val="both"/>
        <w:rPr>
          <w:i/>
          <w:sz w:val="22"/>
          <w:szCs w:val="22"/>
          <w:u w:val="single"/>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ACR odgovor</w:t>
      </w:r>
    </w:p>
    <w:p w:rsidR="005B62E2" w:rsidRPr="00B60703" w:rsidRDefault="005B62E2">
      <w:pPr>
        <w:tabs>
          <w:tab w:val="left" w:pos="540"/>
          <w:tab w:val="left" w:pos="569"/>
        </w:tabs>
        <w:jc w:val="both"/>
        <w:rPr>
          <w:i/>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Procenat pacijenata liječenih adalimumabom koji su postigli ACR 20, 50 i 70 odgovor je bio stalan tokom RA studija I, II i III. Rezultati primjene doze od 40 mg svake druge nedjelje su prikazani u Tabeli 7.</w:t>
      </w:r>
    </w:p>
    <w:p w:rsidR="005B62E2" w:rsidRDefault="005B62E2">
      <w:pPr>
        <w:tabs>
          <w:tab w:val="left" w:pos="540"/>
          <w:tab w:val="left" w:pos="569"/>
        </w:tabs>
        <w:jc w:val="both"/>
        <w:rPr>
          <w:sz w:val="22"/>
          <w:szCs w:val="22"/>
          <w:lang w:val="sr-Latn-ME"/>
        </w:rPr>
      </w:pPr>
    </w:p>
    <w:p w:rsidR="00184C7F" w:rsidRDefault="00184C7F">
      <w:pPr>
        <w:tabs>
          <w:tab w:val="left" w:pos="540"/>
          <w:tab w:val="left" w:pos="569"/>
        </w:tabs>
        <w:jc w:val="both"/>
        <w:rPr>
          <w:sz w:val="22"/>
          <w:szCs w:val="22"/>
          <w:lang w:val="sr-Latn-ME"/>
        </w:rPr>
      </w:pPr>
    </w:p>
    <w:p w:rsidR="00184C7F" w:rsidRPr="00B60703" w:rsidRDefault="00184C7F">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lastRenderedPageBreak/>
        <w:t>Tabela 7: ACR odgovori u placebo-kontrolisanim studijama (procenat pacijenata)</w:t>
      </w:r>
    </w:p>
    <w:tbl>
      <w:tblPr>
        <w:tblW w:w="5000" w:type="pct"/>
        <w:tblLayout w:type="fixed"/>
        <w:tblLook w:val="04A0" w:firstRow="1" w:lastRow="0" w:firstColumn="1" w:lastColumn="0" w:noHBand="0" w:noVBand="1"/>
      </w:tblPr>
      <w:tblGrid>
        <w:gridCol w:w="992"/>
        <w:gridCol w:w="746"/>
        <w:gridCol w:w="387"/>
        <w:gridCol w:w="1577"/>
        <w:gridCol w:w="1036"/>
        <w:gridCol w:w="1190"/>
        <w:gridCol w:w="855"/>
        <w:gridCol w:w="1671"/>
        <w:gridCol w:w="619"/>
      </w:tblGrid>
      <w:tr w:rsidR="005B62E2" w:rsidRPr="00B60703">
        <w:trPr>
          <w:trHeight w:val="567"/>
        </w:trPr>
        <w:tc>
          <w:tcPr>
            <w:tcW w:w="5000" w:type="pct"/>
            <w:gridSpan w:val="9"/>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37"/>
              <w:gridCol w:w="1495"/>
              <w:gridCol w:w="911"/>
              <w:gridCol w:w="1433"/>
              <w:gridCol w:w="973"/>
              <w:gridCol w:w="1493"/>
            </w:tblGrid>
            <w:tr w:rsidR="005B62E2" w:rsidRPr="00B60703">
              <w:trPr>
                <w:trHeight w:val="510"/>
              </w:trPr>
              <w:tc>
                <w:tcPr>
                  <w:tcW w:w="737"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Odgovor</w:t>
                  </w: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Studija RA I</w:t>
                  </w:r>
                  <w:r w:rsidRPr="00B60703">
                    <w:rPr>
                      <w:sz w:val="22"/>
                      <w:szCs w:val="22"/>
                      <w:vertAlign w:val="superscript"/>
                      <w:lang w:val="sr-Latn-ME"/>
                    </w:rPr>
                    <w:t>a</w:t>
                  </w:r>
                  <w:r w:rsidRPr="00B60703">
                    <w:rPr>
                      <w:sz w:val="22"/>
                      <w:szCs w:val="22"/>
                      <w:lang w:val="sr-Latn-ME"/>
                    </w:rPr>
                    <w:t>**</w:t>
                  </w:r>
                </w:p>
              </w:tc>
              <w:tc>
                <w:tcPr>
                  <w:tcW w:w="1325" w:type="pct"/>
                  <w:gridSpan w:val="2"/>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Studija RA II</w:t>
                  </w:r>
                  <w:r w:rsidRPr="00B60703">
                    <w:rPr>
                      <w:sz w:val="22"/>
                      <w:szCs w:val="22"/>
                      <w:vertAlign w:val="superscript"/>
                      <w:lang w:val="sr-Latn-ME"/>
                    </w:rPr>
                    <w:t>a</w:t>
                  </w:r>
                  <w:r w:rsidRPr="00B60703">
                    <w:rPr>
                      <w:sz w:val="22"/>
                      <w:szCs w:val="22"/>
                      <w:lang w:val="sr-Latn-ME"/>
                    </w:rPr>
                    <w:t>**</w:t>
                  </w:r>
                </w:p>
              </w:tc>
              <w:tc>
                <w:tcPr>
                  <w:tcW w:w="1394" w:type="pct"/>
                  <w:gridSpan w:val="2"/>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Studja RA III</w:t>
                  </w:r>
                  <w:r w:rsidRPr="00B60703">
                    <w:rPr>
                      <w:sz w:val="22"/>
                      <w:szCs w:val="22"/>
                      <w:vertAlign w:val="superscript"/>
                      <w:lang w:val="sr-Latn-ME"/>
                    </w:rPr>
                    <w:t>a</w:t>
                  </w:r>
                  <w:r w:rsidRPr="00B60703">
                    <w:rPr>
                      <w:sz w:val="22"/>
                      <w:szCs w:val="22"/>
                      <w:lang w:val="sr-Latn-ME"/>
                    </w:rPr>
                    <w:t>**</w:t>
                  </w:r>
                </w:p>
              </w:tc>
            </w:tr>
            <w:tr w:rsidR="005B62E2" w:rsidRPr="00B60703">
              <w:trPr>
                <w:cantSplit/>
                <w:trHeight w:val="480"/>
              </w:trPr>
              <w:tc>
                <w:tcPr>
                  <w:tcW w:w="737"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Placebo/ MTX</w:t>
                  </w:r>
                  <w:r w:rsidRPr="00B60703">
                    <w:rPr>
                      <w:sz w:val="22"/>
                      <w:szCs w:val="22"/>
                      <w:vertAlign w:val="superscript"/>
                      <w:lang w:val="sr-Latn-ME"/>
                    </w:rPr>
                    <w:t>c</w:t>
                  </w:r>
                </w:p>
                <w:p w:rsidR="005B62E2" w:rsidRPr="00B60703" w:rsidRDefault="00F03789">
                  <w:pPr>
                    <w:tabs>
                      <w:tab w:val="left" w:pos="540"/>
                      <w:tab w:val="left" w:pos="569"/>
                    </w:tabs>
                    <w:jc w:val="both"/>
                    <w:rPr>
                      <w:sz w:val="22"/>
                      <w:szCs w:val="22"/>
                      <w:lang w:val="sr-Latn-ME"/>
                    </w:rPr>
                  </w:pPr>
                  <w:r w:rsidRPr="00B60703">
                    <w:rPr>
                      <w:sz w:val="22"/>
                      <w:szCs w:val="22"/>
                      <w:lang w:val="sr-Latn-ME"/>
                    </w:rPr>
                    <w:t>n=60</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Adalimumab</w:t>
                  </w:r>
                  <w:r w:rsidRPr="00B60703">
                    <w:rPr>
                      <w:sz w:val="22"/>
                      <w:szCs w:val="22"/>
                      <w:vertAlign w:val="superscript"/>
                      <w:lang w:val="sr-Latn-ME"/>
                    </w:rPr>
                    <w:t>b</w:t>
                  </w:r>
                  <w:r w:rsidRPr="00B60703">
                    <w:rPr>
                      <w:sz w:val="22"/>
                      <w:szCs w:val="22"/>
                      <w:lang w:val="sr-Latn-ME"/>
                    </w:rPr>
                    <w:t>/ MTX</w:t>
                  </w:r>
                  <w:r w:rsidRPr="00B60703">
                    <w:rPr>
                      <w:sz w:val="22"/>
                      <w:szCs w:val="22"/>
                      <w:vertAlign w:val="superscript"/>
                      <w:lang w:val="sr-Latn-ME"/>
                    </w:rPr>
                    <w:t>c</w:t>
                  </w:r>
                </w:p>
                <w:p w:rsidR="005B62E2" w:rsidRPr="00B60703" w:rsidRDefault="00F03789">
                  <w:pPr>
                    <w:tabs>
                      <w:tab w:val="left" w:pos="540"/>
                      <w:tab w:val="left" w:pos="569"/>
                    </w:tabs>
                    <w:jc w:val="both"/>
                    <w:rPr>
                      <w:sz w:val="22"/>
                      <w:szCs w:val="22"/>
                      <w:lang w:val="sr-Latn-ME"/>
                    </w:rPr>
                  </w:pPr>
                  <w:r w:rsidRPr="00B60703">
                    <w:rPr>
                      <w:sz w:val="22"/>
                      <w:szCs w:val="22"/>
                      <w:lang w:val="sr-Latn-ME"/>
                    </w:rPr>
                    <w:t>n=63</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Placebo n=110</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r w:rsidRPr="00B60703">
                    <w:rPr>
                      <w:sz w:val="22"/>
                      <w:szCs w:val="22"/>
                      <w:vertAlign w:val="superscript"/>
                      <w:lang w:val="sr-Latn-ME"/>
                    </w:rPr>
                    <w:t>b</w:t>
                  </w:r>
                  <w:r w:rsidRPr="00B60703">
                    <w:rPr>
                      <w:sz w:val="22"/>
                      <w:szCs w:val="22"/>
                      <w:lang w:val="sr-Latn-ME"/>
                    </w:rPr>
                    <w:t xml:space="preserve"> n=113</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Placebo/ MTX</w:t>
                  </w:r>
                  <w:r w:rsidRPr="00B60703">
                    <w:rPr>
                      <w:sz w:val="22"/>
                      <w:szCs w:val="22"/>
                      <w:vertAlign w:val="superscript"/>
                      <w:lang w:val="sr-Latn-ME"/>
                    </w:rPr>
                    <w:t xml:space="preserve">c </w:t>
                  </w:r>
                  <w:r w:rsidRPr="00B60703">
                    <w:rPr>
                      <w:sz w:val="22"/>
                      <w:szCs w:val="22"/>
                      <w:lang w:val="sr-Latn-ME"/>
                    </w:rPr>
                    <w:t>n=200</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Adalimumab</w:t>
                  </w:r>
                  <w:r w:rsidRPr="00B60703">
                    <w:rPr>
                      <w:sz w:val="22"/>
                      <w:szCs w:val="22"/>
                      <w:vertAlign w:val="superscript"/>
                      <w:lang w:val="sr-Latn-ME"/>
                    </w:rPr>
                    <w:t>b</w:t>
                  </w:r>
                  <w:r w:rsidRPr="00B60703">
                    <w:rPr>
                      <w:sz w:val="22"/>
                      <w:szCs w:val="22"/>
                      <w:lang w:val="sr-Latn-ME"/>
                    </w:rPr>
                    <w:t>/ MTX</w:t>
                  </w:r>
                  <w:r w:rsidRPr="00B60703">
                    <w:rPr>
                      <w:sz w:val="22"/>
                      <w:szCs w:val="22"/>
                      <w:vertAlign w:val="superscript"/>
                      <w:lang w:val="sr-Latn-ME"/>
                    </w:rPr>
                    <w:t xml:space="preserve">c </w:t>
                  </w:r>
                </w:p>
                <w:p w:rsidR="005B62E2" w:rsidRPr="00B60703" w:rsidRDefault="00F03789">
                  <w:pPr>
                    <w:tabs>
                      <w:tab w:val="left" w:pos="540"/>
                      <w:tab w:val="left" w:pos="569"/>
                    </w:tabs>
                    <w:jc w:val="both"/>
                    <w:rPr>
                      <w:sz w:val="22"/>
                      <w:szCs w:val="22"/>
                      <w:lang w:val="sr-Latn-ME"/>
                    </w:rPr>
                  </w:pPr>
                  <w:r w:rsidRPr="00B60703">
                    <w:rPr>
                      <w:sz w:val="22"/>
                      <w:szCs w:val="22"/>
                      <w:lang w:val="sr-Latn-ME"/>
                    </w:rPr>
                    <w:t>n=207</w:t>
                  </w:r>
                </w:p>
              </w:tc>
            </w:tr>
            <w:tr w:rsidR="005B62E2" w:rsidRPr="00B60703">
              <w:trPr>
                <w:cantSplit/>
                <w:trHeight w:val="375"/>
              </w:trPr>
              <w:tc>
                <w:tcPr>
                  <w:tcW w:w="737" w:type="pct"/>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40"/>
                      <w:tab w:val="left" w:pos="569"/>
                    </w:tabs>
                    <w:jc w:val="both"/>
                    <w:rPr>
                      <w:sz w:val="22"/>
                      <w:szCs w:val="22"/>
                      <w:lang w:val="sr-Latn-ME"/>
                    </w:rPr>
                  </w:pPr>
                  <w:r w:rsidRPr="00B60703">
                    <w:rPr>
                      <w:sz w:val="22"/>
                      <w:szCs w:val="22"/>
                      <w:lang w:val="sr-Latn-ME"/>
                    </w:rPr>
                    <w:t>ACR 20</w:t>
                  </w:r>
                </w:p>
              </w:tc>
              <w:tc>
                <w:tcPr>
                  <w:tcW w:w="699"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rPr>
                <w:trHeight w:val="300"/>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 mjeseci </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13,3%</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65,1%</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19,1%</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46,0%</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29,5%</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63,3%</w:t>
                  </w:r>
                </w:p>
              </w:tc>
            </w:tr>
            <w:tr w:rsidR="005B62E2" w:rsidRPr="00B60703">
              <w:trPr>
                <w:trHeight w:val="285"/>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12 mjeseci </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24,0%</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58,9%</w:t>
                  </w:r>
                </w:p>
              </w:tc>
            </w:tr>
            <w:tr w:rsidR="005B62E2" w:rsidRPr="00B60703">
              <w:trPr>
                <w:trHeight w:val="465"/>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ACR 50</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r>
            <w:tr w:rsidR="005B62E2" w:rsidRPr="00B60703">
              <w:trPr>
                <w:trHeight w:val="225"/>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 mjeseci </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6,7%</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52,4%</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8,2%</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22,1%</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9,5%</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39,1%</w:t>
                  </w:r>
                </w:p>
              </w:tc>
            </w:tr>
            <w:tr w:rsidR="005B62E2" w:rsidRPr="00B60703">
              <w:trPr>
                <w:trHeight w:val="240"/>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12 mjeseci </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9,5 %</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41,5 %</w:t>
                  </w:r>
                </w:p>
              </w:tc>
            </w:tr>
            <w:tr w:rsidR="005B62E2" w:rsidRPr="00B60703">
              <w:trPr>
                <w:trHeight w:val="420"/>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70 </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r>
            <w:tr w:rsidR="005B62E2" w:rsidRPr="00B60703">
              <w:trPr>
                <w:trHeight w:val="255"/>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 mjeseci</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3,3%</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23,8%</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1,8%</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12,4%</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2,5%</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20,8%</w:t>
                  </w:r>
                </w:p>
              </w:tc>
            </w:tr>
            <w:tr w:rsidR="005B62E2" w:rsidRPr="00B60703">
              <w:trPr>
                <w:trHeight w:val="225"/>
              </w:trPr>
              <w:tc>
                <w:tcPr>
                  <w:tcW w:w="7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12 mjeseci</w:t>
                  </w:r>
                </w:p>
              </w:tc>
              <w:tc>
                <w:tcPr>
                  <w:tcW w:w="69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4,5%</w:t>
                  </w:r>
                </w:p>
              </w:tc>
              <w:tc>
                <w:tcPr>
                  <w:tcW w:w="84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23,2%</w:t>
                  </w:r>
                </w:p>
              </w:tc>
            </w:tr>
          </w:tbl>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RA Studija I nakon nedjelje 24, RA Studija II nakon nedjelje 26, RA Studija III nakon nedjelje 24 i nakon nedjelje 52</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40 mg adalimumaba primijenjenog svake druge nedjelje</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MTX=metotreksat</w:t>
            </w:r>
          </w:p>
          <w:p w:rsidR="005B62E2" w:rsidRPr="00B60703" w:rsidRDefault="00F03789">
            <w:pPr>
              <w:tabs>
                <w:tab w:val="left" w:pos="540"/>
                <w:tab w:val="left" w:pos="569"/>
              </w:tabs>
              <w:jc w:val="both"/>
              <w:rPr>
                <w:sz w:val="22"/>
                <w:szCs w:val="22"/>
                <w:lang w:val="sr-Latn-ME"/>
              </w:rPr>
            </w:pPr>
            <w:r w:rsidRPr="00B60703">
              <w:rPr>
                <w:sz w:val="22"/>
                <w:szCs w:val="22"/>
                <w:lang w:val="sr-Latn-ME"/>
              </w:rPr>
              <w:t>**p&lt;0,01, adalimumab vs. 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RA studijama I-IV, sve pojedinačne komponente za kriterijum ACR odgovora (broj osjetljivih i oteklih zglobova, procjena ljekara i pacijenata o aktivnosti bolesti i bolu, skor indeksa onesposobljenosti (HAQ) i CRP (mg/dL) su bile poboljšane u nedjelji 24 ili 26 u poređenju sa placebom. U RA studiji III, ova poboljšanja su se zadržala tokom 52 nedjelje.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otvorenom produžetku RA III studije, većina pacijenata sa postignutim ACR odgovorom održala je odgovor i tokom 10 godina. Od ukupno 207 pacijenata randomizovanih u grupu koja je primala adalimumab 40 mg svake druge nedjelje, 114 pacijenata nastavilo je da prima adalimumab u dozi od 40 mg svake druge nedjelje tokom 5 godina. Među ovim pacijentima, 86 (75,4%) pacijenata imalo je ACR 20 odgovor; 72 (63,2%) pacijenta imalo je ACR 50 odgovor, i 41 (36%) pacijent imao je ACR 70 odgovor. Od ukupno 207 pacijenata, 81 pacijent je nastavio da prima adalimumab u dozi od 40 mg svake druge nedjelje tokom 10 godina. Među ovim pacijentima, 64 (79%) pacijenata imalo je ACR 20 odgovor; 56 (69,1%) pacijenata imalo je ACR 50 odgovor, i 43 (53,1%) pacijenta imalo je ACR 70 odgovor.</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RA studiji IV, ACR 20 odgovor pacijenata liječenih adalimumabom plus standardna terapija je bio statistički značajno bolji od pacijenata liječenih placebom plus standardna terapija (p&lt;0,001).</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RA studijama I-IV, pacijenti liječeni adalimumabom postigli su statistički značajan ACR 20 i ACR 50 odgovor u poređenju sa placebom već jednu do dvije nedjelje nakon započete terapije. </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w:t>
            </w:r>
          </w:p>
          <w:p w:rsidR="005B62E2" w:rsidRPr="00B60703" w:rsidRDefault="00F03789">
            <w:pPr>
              <w:tabs>
                <w:tab w:val="left" w:pos="540"/>
                <w:tab w:val="left" w:pos="569"/>
              </w:tabs>
              <w:jc w:val="both"/>
              <w:rPr>
                <w:sz w:val="22"/>
                <w:szCs w:val="22"/>
                <w:lang w:val="sr-Latn-ME"/>
              </w:rPr>
            </w:pPr>
            <w:r w:rsidRPr="00B60703">
              <w:rPr>
                <w:sz w:val="22"/>
                <w:szCs w:val="22"/>
                <w:lang w:val="sr-Latn-ME"/>
              </w:rPr>
              <w:t>U RA studiji V sa pacijentima koji su imali reumatoidni artritis u ranoj fazi, a prethodno nisu primali metotreksat, kombinovana terapija adalimumabom i metotreksatom dovela je do bržeg i značajno većeg ACR odgovora u nedjelji 52, nego monoterapija metotreksatom i monoterapija adalimumabom, i odgovor se održao do nedjelje 104 (vidjeti Tabelu 8).</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8: ACR odgovori u studiji RA V (procenat pacijenata)</w:t>
            </w:r>
          </w:p>
          <w:p w:rsidR="005B62E2" w:rsidRPr="00B60703" w:rsidRDefault="005B62E2">
            <w:pPr>
              <w:tabs>
                <w:tab w:val="left" w:pos="540"/>
                <w:tab w:val="left" w:pos="569"/>
              </w:tabs>
              <w:jc w:val="both"/>
              <w:rPr>
                <w:sz w:val="22"/>
                <w:szCs w:val="22"/>
                <w:lang w:val="sr-Latn-ME"/>
              </w:rPr>
            </w:pPr>
          </w:p>
          <w:tbl>
            <w:tblPr>
              <w:tblW w:w="5000" w:type="pct"/>
              <w:tblLayout w:type="fixed"/>
              <w:tblLook w:val="04A0" w:firstRow="1" w:lastRow="0" w:firstColumn="1" w:lastColumn="0" w:noHBand="0" w:noVBand="1"/>
            </w:tblPr>
            <w:tblGrid>
              <w:gridCol w:w="1323"/>
              <w:gridCol w:w="777"/>
              <w:gridCol w:w="1371"/>
              <w:gridCol w:w="1762"/>
              <w:gridCol w:w="1177"/>
              <w:gridCol w:w="1244"/>
              <w:gridCol w:w="1193"/>
            </w:tblGrid>
            <w:tr w:rsidR="005B62E2" w:rsidRPr="00B60703">
              <w:trPr>
                <w:trHeight w:val="515"/>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Odgovor</w:t>
                  </w:r>
                </w:p>
              </w:tc>
              <w:tc>
                <w:tcPr>
                  <w:tcW w:w="439"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MTX n=257 </w:t>
                  </w:r>
                </w:p>
              </w:tc>
              <w:tc>
                <w:tcPr>
                  <w:tcW w:w="775"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n=274 </w:t>
                  </w:r>
                </w:p>
              </w:tc>
              <w:tc>
                <w:tcPr>
                  <w:tcW w:w="996"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Adalimumab/MTX n=268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p-vrijednost</w:t>
                  </w:r>
                  <w:r w:rsidRPr="00B60703">
                    <w:rPr>
                      <w:sz w:val="22"/>
                      <w:szCs w:val="22"/>
                      <w:vertAlign w:val="superscript"/>
                      <w:lang w:val="sr-Latn-ME"/>
                    </w:rPr>
                    <w:t>a</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p-vrijednost</w:t>
                  </w:r>
                  <w:r w:rsidRPr="00B60703">
                    <w:rPr>
                      <w:sz w:val="22"/>
                      <w:szCs w:val="22"/>
                      <w:vertAlign w:val="superscript"/>
                      <w:lang w:val="sr-Latn-ME"/>
                    </w:rPr>
                    <w:t>b</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p-vrijednost</w:t>
                  </w:r>
                  <w:r w:rsidRPr="00B60703">
                    <w:rPr>
                      <w:sz w:val="22"/>
                      <w:szCs w:val="22"/>
                      <w:vertAlign w:val="superscript"/>
                      <w:lang w:val="sr-Latn-ME"/>
                    </w:rPr>
                    <w:t>c</w:t>
                  </w:r>
                  <w:r w:rsidRPr="00B60703">
                    <w:rPr>
                      <w:sz w:val="22"/>
                      <w:szCs w:val="22"/>
                      <w:lang w:val="sr-Latn-ME"/>
                    </w:rPr>
                    <w:t xml:space="preserve"> </w:t>
                  </w:r>
                </w:p>
              </w:tc>
            </w:tr>
            <w:tr w:rsidR="005B62E2" w:rsidRPr="00B60703">
              <w:trPr>
                <w:trHeight w:val="258"/>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20 </w:t>
                  </w:r>
                </w:p>
              </w:tc>
              <w:tc>
                <w:tcPr>
                  <w:tcW w:w="439"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68"/>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nedjelja 52</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62,6%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54,4%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72,8%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0,013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0,043 </w:t>
                  </w:r>
                </w:p>
              </w:tc>
            </w:tr>
            <w:tr w:rsidR="005B62E2" w:rsidRPr="00B60703">
              <w:trPr>
                <w:trHeight w:val="253"/>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104</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56,0%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49,3%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69,4%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0,002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0,140 </w:t>
                  </w:r>
                </w:p>
              </w:tc>
            </w:tr>
            <w:tr w:rsidR="005B62E2" w:rsidRPr="00B60703">
              <w:trPr>
                <w:trHeight w:val="255"/>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50 </w:t>
                  </w:r>
                </w:p>
              </w:tc>
              <w:tc>
                <w:tcPr>
                  <w:tcW w:w="439"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53"/>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52</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45,9%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41,2%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61,6%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0,317 </w:t>
                  </w:r>
                </w:p>
              </w:tc>
            </w:tr>
            <w:tr w:rsidR="005B62E2" w:rsidRPr="00B60703">
              <w:trPr>
                <w:trHeight w:val="255"/>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104</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42,8%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36,9%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59,0%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0,162 </w:t>
                  </w:r>
                </w:p>
              </w:tc>
            </w:tr>
            <w:tr w:rsidR="005B62E2" w:rsidRPr="00B60703">
              <w:trPr>
                <w:trHeight w:val="253"/>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70 </w:t>
                  </w:r>
                </w:p>
              </w:tc>
              <w:tc>
                <w:tcPr>
                  <w:tcW w:w="439"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55"/>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52</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27,2%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25,9%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45,5%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0,656 </w:t>
                  </w:r>
                </w:p>
              </w:tc>
            </w:tr>
            <w:tr w:rsidR="005B62E2" w:rsidRPr="00B60703">
              <w:trPr>
                <w:trHeight w:val="255"/>
              </w:trPr>
              <w:tc>
                <w:tcPr>
                  <w:tcW w:w="747"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104</w:t>
                  </w:r>
                </w:p>
              </w:tc>
              <w:tc>
                <w:tcPr>
                  <w:tcW w:w="43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28,4% </w:t>
                  </w:r>
                </w:p>
              </w:tc>
              <w:tc>
                <w:tcPr>
                  <w:tcW w:w="77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28,1% </w:t>
                  </w:r>
                </w:p>
              </w:tc>
              <w:tc>
                <w:tcPr>
                  <w:tcW w:w="99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46,6% </w:t>
                  </w:r>
                </w:p>
              </w:tc>
              <w:tc>
                <w:tcPr>
                  <w:tcW w:w="665"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0,864 </w:t>
                  </w:r>
                </w:p>
              </w:tc>
            </w:tr>
          </w:tbl>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p-vrijednost je iz uporednog poređenja monoterapije metotreksatom i kombinovane terapije adalimumab/metotreksat upotrebom </w:t>
            </w:r>
            <w:r w:rsidRPr="00B60703">
              <w:rPr>
                <w:i/>
                <w:sz w:val="22"/>
                <w:szCs w:val="22"/>
                <w:lang w:val="sr-Latn-ME"/>
              </w:rPr>
              <w:t>Mann-Whitney</w:t>
            </w:r>
            <w:r w:rsidRPr="00B60703">
              <w:rPr>
                <w:sz w:val="22"/>
                <w:szCs w:val="22"/>
                <w:lang w:val="sr-Latn-ME"/>
              </w:rPr>
              <w:t xml:space="preserve"> U testa.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p-vrijednost je iz uporednog poređenja monoterapije adalimumabom i kombinovane terapije adalimumab/metotreksat, korišćenjem </w:t>
            </w:r>
            <w:r w:rsidRPr="00B60703">
              <w:rPr>
                <w:i/>
                <w:sz w:val="22"/>
                <w:szCs w:val="22"/>
                <w:lang w:val="sr-Latn-ME"/>
              </w:rPr>
              <w:t>Mann-Whitney</w:t>
            </w:r>
            <w:r w:rsidRPr="00B60703">
              <w:rPr>
                <w:sz w:val="22"/>
                <w:szCs w:val="22"/>
                <w:lang w:val="sr-Latn-ME"/>
              </w:rPr>
              <w:t xml:space="preserve"> U testa.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p-vrijednost je iz uporednog poređenja monoterapije adalimumabom i monoterapije metotreksatom, korišćenjem </w:t>
            </w:r>
            <w:r w:rsidRPr="00B60703">
              <w:rPr>
                <w:i/>
                <w:sz w:val="22"/>
                <w:szCs w:val="22"/>
                <w:lang w:val="sr-Latn-ME"/>
              </w:rPr>
              <w:t>Mann-Whitney</w:t>
            </w:r>
            <w:r w:rsidRPr="00B60703">
              <w:rPr>
                <w:sz w:val="22"/>
                <w:szCs w:val="22"/>
                <w:lang w:val="sr-Latn-ME"/>
              </w:rPr>
              <w:t xml:space="preserve"> U testa.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otvorenom produžetku RA studije V, stope ACR odgovora održale su se tokom praćenja u trajanju do 10 godina. Od 542 pacijenta randomizovana za primanje adalimumaba u dozi od 40 mg svake druge nedjelje, njih 170 je nastavilo liječenje adalimumabom u dozi od 40 mg svake druge nedjelje tokom 10 godina. Među njima, 154 pacijenata (90,6%) je imalo odgovor ACR 20, 127 pacijenata (74,7%) je imalo odgovor ACR 50, a 102 pacijenta (60,0%) je imalo odgovor ACR 70.</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Nakon nedjelje 52, 42,9% pacijenata koji su primali adalimumab/metotreksat kombinovanu terapiju postiglo je kliničku remisiju (DAS28 (CRP) &lt; 2,6) u poređenju sa 20,6% pacijenata koji su primali monoterapiju metotreksatom i 23,4% pacijenata koji su primali monoterapiju adalimumabom. Adalimumab/metotreksat kombinovana terapija je bila klinički i statistički superiornija u odnosu na metotreksat (p&lt;0,001) i monoterapiju adalimumab (p&lt;0,001) u postizanju niske aktivnosti bolesti kod pacijenata sa nedavno dijagnostifikovanim umjerenim do teškim reumatoidnim artritisom. Ovaj odgovor je u obje grupe pacijenata koje su primale monoterapiju bio sličan (p=0,447). Od 342 ispitanika, inicijalno randomizovanih za monoterapiju adalimumabom ili za liječenje kombinacijom adalimumaba i metotreksata, koji su ušli u otvoreni produžetak studije, njih 171 je završilo desetogodišnje liječenje adalimumabom. Među njima, kod 109 ispitanika (63,7%) je stopa kliničke remisije zadržana tokom 10 godina.</w:t>
            </w:r>
          </w:p>
          <w:p w:rsidR="005B62E2" w:rsidRPr="00B60703" w:rsidRDefault="005B62E2">
            <w:pPr>
              <w:tabs>
                <w:tab w:val="left" w:pos="540"/>
                <w:tab w:val="left" w:pos="569"/>
              </w:tabs>
              <w:jc w:val="both"/>
              <w:rPr>
                <w:i/>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Radiografski odgovor</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RA studiji III, u kojoj su pacijenti koji su primali adalimumab bili sa prosječnim trajanjem reumatoidnog artritisa od približno 11 godina, strukturna oštećenja zglobova su procijenjena radiografski i izražena kao promjena u modifikovanom ukupnom </w:t>
            </w:r>
            <w:r w:rsidRPr="00B60703">
              <w:rPr>
                <w:i/>
                <w:sz w:val="22"/>
                <w:szCs w:val="22"/>
                <w:lang w:val="sr-Latn-ME"/>
              </w:rPr>
              <w:t>Sharp</w:t>
            </w:r>
            <w:r w:rsidRPr="00B60703">
              <w:rPr>
                <w:sz w:val="22"/>
                <w:szCs w:val="22"/>
                <w:lang w:val="sr-Latn-ME"/>
              </w:rPr>
              <w:t xml:space="preserve"> skoru (engl. </w:t>
            </w:r>
            <w:r w:rsidRPr="00B60703">
              <w:rPr>
                <w:i/>
                <w:sz w:val="22"/>
                <w:szCs w:val="22"/>
                <w:lang w:val="sr-Latn-ME"/>
              </w:rPr>
              <w:t xml:space="preserve">Total Sharp Score </w:t>
            </w:r>
            <w:r w:rsidRPr="00B60703">
              <w:rPr>
                <w:sz w:val="22"/>
                <w:szCs w:val="22"/>
                <w:lang w:val="sr-Latn-ME"/>
              </w:rPr>
              <w:t xml:space="preserve">- </w:t>
            </w:r>
            <w:r w:rsidRPr="00B60703">
              <w:rPr>
                <w:i/>
                <w:sz w:val="22"/>
                <w:szCs w:val="22"/>
                <w:lang w:val="sr-Latn-ME"/>
              </w:rPr>
              <w:t>TSS</w:t>
            </w:r>
            <w:r w:rsidRPr="00B60703">
              <w:rPr>
                <w:sz w:val="22"/>
                <w:szCs w:val="22"/>
                <w:lang w:val="sr-Latn-ME"/>
              </w:rPr>
              <w:t xml:space="preserve">) i njegovim komponentama, skoru erozija i skoru suženja zglobnog prostora (engl. </w:t>
            </w:r>
            <w:r w:rsidRPr="00B60703">
              <w:rPr>
                <w:i/>
                <w:sz w:val="22"/>
                <w:szCs w:val="22"/>
                <w:lang w:val="sr-Latn-ME"/>
              </w:rPr>
              <w:t xml:space="preserve">Joint Space Narrowing Score </w:t>
            </w:r>
            <w:r w:rsidRPr="00B60703">
              <w:rPr>
                <w:sz w:val="22"/>
                <w:szCs w:val="22"/>
                <w:lang w:val="sr-Latn-ME"/>
              </w:rPr>
              <w:t xml:space="preserve">- </w:t>
            </w:r>
            <w:r w:rsidRPr="00B60703">
              <w:rPr>
                <w:i/>
                <w:sz w:val="22"/>
                <w:szCs w:val="22"/>
                <w:lang w:val="sr-Latn-ME"/>
              </w:rPr>
              <w:t>JSNS</w:t>
            </w:r>
            <w:r w:rsidRPr="00B60703">
              <w:rPr>
                <w:sz w:val="22"/>
                <w:szCs w:val="22"/>
                <w:lang w:val="sr-Latn-ME"/>
              </w:rPr>
              <w:t xml:space="preserve">). Pacijenti koji su primali adalimumab/metotreksat kombinovanu terapiju, pokazali su značajno manju radiografsku progresiju nego pacijenti koji su primali samo metotreksat tokom 6 i 12 mjeseci (vidjeti Tabelu 9).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Podaci iz otvorenog produžetka RA kliničke studije III ukazuju da se smanjenje u brzini progresije strukturnih oštećenja održalo tokom 8 i 10 godina u podgrupi pacijenata. Nakon 8 godina, kod 81 od 207 pacijenata liječenih adalimumabom 40 mg svake druge nedjelje rađena je radiografska evaluacija. Među njima, 48 pacijenata je bilo bez progresije strukturnog oštećenja, definisano kao promjena mTSS od 0,5 ili manje. </w:t>
            </w:r>
          </w:p>
          <w:p w:rsidR="005B62E2" w:rsidRPr="00B60703" w:rsidRDefault="00F03789">
            <w:pPr>
              <w:tabs>
                <w:tab w:val="left" w:pos="540"/>
                <w:tab w:val="left" w:pos="569"/>
              </w:tabs>
              <w:jc w:val="both"/>
              <w:rPr>
                <w:sz w:val="22"/>
                <w:szCs w:val="22"/>
                <w:lang w:val="sr-Latn-ME"/>
              </w:rPr>
            </w:pPr>
            <w:r w:rsidRPr="00B60703">
              <w:rPr>
                <w:sz w:val="22"/>
                <w:szCs w:val="22"/>
                <w:lang w:val="sr-Latn-ME"/>
              </w:rPr>
              <w:t>Nakon 10 godina, kod 79 od 207 pacijenata liječenih adalimumabom 40 mg svake druge nedjelje rađena je radiografska evaluacija. Među njima, 40 pacijenata je bilo bez progresije strukturnog oštećenja, definisano kao promjena mTSS od 0,5 ili manje.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9: Srednje radiografske promjene tokom 12 mjeseci u RA studiji III</w:t>
            </w:r>
          </w:p>
          <w:p w:rsidR="005B62E2" w:rsidRPr="00B60703" w:rsidRDefault="005B62E2">
            <w:pPr>
              <w:tabs>
                <w:tab w:val="left" w:pos="540"/>
                <w:tab w:val="left" w:pos="569"/>
              </w:tabs>
              <w:jc w:val="both"/>
              <w:rPr>
                <w:sz w:val="22"/>
                <w:szCs w:val="22"/>
                <w:lang w:val="sr-Latn-ME"/>
              </w:rPr>
            </w:pPr>
          </w:p>
          <w:tbl>
            <w:tblPr>
              <w:tblW w:w="5000" w:type="pct"/>
              <w:tblLayout w:type="fixed"/>
              <w:tblLook w:val="04A0" w:firstRow="1" w:lastRow="0" w:firstColumn="1" w:lastColumn="0" w:noHBand="0" w:noVBand="1"/>
            </w:tblPr>
            <w:tblGrid>
              <w:gridCol w:w="2094"/>
              <w:gridCol w:w="1072"/>
              <w:gridCol w:w="2139"/>
              <w:gridCol w:w="2056"/>
              <w:gridCol w:w="1486"/>
            </w:tblGrid>
            <w:tr w:rsidR="005B62E2" w:rsidRPr="00B60703">
              <w:trPr>
                <w:trHeight w:val="980"/>
              </w:trPr>
              <w:tc>
                <w:tcPr>
                  <w:tcW w:w="118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606"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 MTX</w:t>
                  </w:r>
                  <w:r w:rsidRPr="00B60703">
                    <w:rPr>
                      <w:sz w:val="22"/>
                      <w:szCs w:val="22"/>
                      <w:vertAlign w:val="superscript"/>
                      <w:lang w:val="sr-Latn-ME"/>
                    </w:rPr>
                    <w:t>a</w:t>
                  </w:r>
                </w:p>
              </w:tc>
              <w:tc>
                <w:tcPr>
                  <w:tcW w:w="1209"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 /MTX 40 mg svake druge nedjelje</w:t>
                  </w:r>
                </w:p>
              </w:tc>
              <w:tc>
                <w:tcPr>
                  <w:tcW w:w="1162"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Placebo/MTX</w:t>
                  </w:r>
                  <w:r w:rsidRPr="00B60703">
                    <w:rPr>
                      <w:sz w:val="22"/>
                      <w:szCs w:val="22"/>
                      <w:lang w:val="sr-Latn-ME"/>
                    </w:rPr>
                    <w:softHyphen/>
                    <w:t xml:space="preserve">adalimumab/MTX (95% Interval pouzdanosti </w:t>
                  </w:r>
                  <w:r w:rsidRPr="00B60703">
                    <w:rPr>
                      <w:sz w:val="22"/>
                      <w:szCs w:val="22"/>
                      <w:vertAlign w:val="superscript"/>
                      <w:lang w:val="sr-Latn-ME"/>
                    </w:rPr>
                    <w:t>b</w:t>
                  </w:r>
                  <w:r w:rsidRPr="00B60703">
                    <w:rPr>
                      <w:sz w:val="22"/>
                      <w:szCs w:val="22"/>
                      <w:lang w:val="sr-Latn-ME"/>
                    </w:rPr>
                    <w:t>)</w:t>
                  </w:r>
                </w:p>
              </w:tc>
              <w:tc>
                <w:tcPr>
                  <w:tcW w:w="840"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p-vrijednost</w:t>
                  </w:r>
                </w:p>
              </w:tc>
            </w:tr>
            <w:tr w:rsidR="005B62E2" w:rsidRPr="00B60703">
              <w:trPr>
                <w:trHeight w:val="248"/>
              </w:trPr>
              <w:tc>
                <w:tcPr>
                  <w:tcW w:w="118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Ukupni </w:t>
                  </w:r>
                  <w:r w:rsidRPr="00B60703">
                    <w:rPr>
                      <w:i/>
                      <w:sz w:val="22"/>
                      <w:szCs w:val="22"/>
                      <w:lang w:val="sr-Latn-ME"/>
                    </w:rPr>
                    <w:t>Sharp</w:t>
                  </w:r>
                  <w:r w:rsidRPr="00B60703">
                    <w:rPr>
                      <w:sz w:val="22"/>
                      <w:szCs w:val="22"/>
                      <w:lang w:val="sr-Latn-ME"/>
                    </w:rPr>
                    <w:t xml:space="preserve"> skor</w:t>
                  </w:r>
                </w:p>
              </w:tc>
              <w:tc>
                <w:tcPr>
                  <w:tcW w:w="60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2,7</w:t>
                  </w:r>
                </w:p>
              </w:tc>
              <w:tc>
                <w:tcPr>
                  <w:tcW w:w="1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0,1</w:t>
                  </w:r>
                </w:p>
              </w:tc>
              <w:tc>
                <w:tcPr>
                  <w:tcW w:w="1162"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2,6 (1,4; 3,8)</w:t>
                  </w:r>
                </w:p>
              </w:tc>
              <w:tc>
                <w:tcPr>
                  <w:tcW w:w="840"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r w:rsidRPr="00B60703">
                    <w:rPr>
                      <w:sz w:val="22"/>
                      <w:szCs w:val="22"/>
                      <w:vertAlign w:val="superscript"/>
                      <w:lang w:val="sr-Latn-ME"/>
                    </w:rPr>
                    <w:t>c</w:t>
                  </w:r>
                </w:p>
              </w:tc>
            </w:tr>
            <w:tr w:rsidR="005B62E2" w:rsidRPr="00B60703">
              <w:trPr>
                <w:trHeight w:val="250"/>
              </w:trPr>
              <w:tc>
                <w:tcPr>
                  <w:tcW w:w="118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Skor erozija</w:t>
                  </w:r>
                </w:p>
              </w:tc>
              <w:tc>
                <w:tcPr>
                  <w:tcW w:w="60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c>
                <w:tcPr>
                  <w:tcW w:w="1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0,0</w:t>
                  </w:r>
                </w:p>
              </w:tc>
              <w:tc>
                <w:tcPr>
                  <w:tcW w:w="1162"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 (0,9; 2,2)</w:t>
                  </w:r>
                </w:p>
              </w:tc>
              <w:tc>
                <w:tcPr>
                  <w:tcW w:w="840"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r>
            <w:tr w:rsidR="005B62E2" w:rsidRPr="00B60703">
              <w:trPr>
                <w:trHeight w:val="250"/>
              </w:trPr>
              <w:tc>
                <w:tcPr>
                  <w:tcW w:w="1183"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JSN</w:t>
                  </w:r>
                  <w:r w:rsidRPr="00B60703">
                    <w:rPr>
                      <w:sz w:val="22"/>
                      <w:szCs w:val="22"/>
                      <w:vertAlign w:val="superscript"/>
                      <w:lang w:val="sr-Latn-ME"/>
                    </w:rPr>
                    <w:t>d</w:t>
                  </w:r>
                  <w:r w:rsidRPr="00B60703">
                    <w:rPr>
                      <w:sz w:val="22"/>
                      <w:szCs w:val="22"/>
                      <w:lang w:val="sr-Latn-ME"/>
                    </w:rPr>
                    <w:t xml:space="preserve"> skor</w:t>
                  </w:r>
                </w:p>
              </w:tc>
              <w:tc>
                <w:tcPr>
                  <w:tcW w:w="606"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1,0</w:t>
                  </w:r>
                </w:p>
              </w:tc>
              <w:tc>
                <w:tcPr>
                  <w:tcW w:w="1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0,1</w:t>
                  </w:r>
                </w:p>
              </w:tc>
              <w:tc>
                <w:tcPr>
                  <w:tcW w:w="1162"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0,9 (0,3; 1,4)</w:t>
                  </w:r>
                </w:p>
              </w:tc>
              <w:tc>
                <w:tcPr>
                  <w:tcW w:w="840"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0,002</w:t>
                  </w:r>
                </w:p>
              </w:tc>
            </w:tr>
          </w:tbl>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metotreksat </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95% interval pouzdanosti za razlike u promjeni skorova između metotreksata i adalimumaba.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 xml:space="preserve">c </w:t>
            </w:r>
            <w:r w:rsidRPr="00B60703">
              <w:rPr>
                <w:sz w:val="22"/>
                <w:szCs w:val="22"/>
                <w:lang w:val="sr-Latn-ME"/>
              </w:rPr>
              <w:t xml:space="preserve">Zasnovano na analizi poretka </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d</w:t>
            </w:r>
            <w:r w:rsidRPr="00B60703">
              <w:rPr>
                <w:sz w:val="22"/>
                <w:szCs w:val="22"/>
                <w:lang w:val="sr-Latn-ME"/>
              </w:rPr>
              <w:t xml:space="preserve"> Suženje zglobnog prostora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RA studiji V, strukturna oštećenja zgloba su procijenjena radiografski i izražena kao promjena u modifikovanom ukupnom </w:t>
            </w:r>
            <w:r w:rsidRPr="00B60703">
              <w:rPr>
                <w:i/>
                <w:sz w:val="22"/>
                <w:szCs w:val="22"/>
                <w:lang w:val="sr-Latn-ME"/>
              </w:rPr>
              <w:t>Sharp</w:t>
            </w:r>
            <w:r w:rsidRPr="00B60703">
              <w:rPr>
                <w:sz w:val="22"/>
                <w:szCs w:val="22"/>
                <w:lang w:val="sr-Latn-ME"/>
              </w:rPr>
              <w:t xml:space="preserve"> skoru (vidjeti Tabelu 10).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10: Srednje radiografske promjene nakon 52 nedjelje u RA studiji V</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292"/>
              <w:gridCol w:w="1293"/>
              <w:gridCol w:w="1738"/>
              <w:gridCol w:w="1175"/>
              <w:gridCol w:w="1127"/>
              <w:gridCol w:w="1189"/>
            </w:tblGrid>
            <w:tr w:rsidR="005B62E2" w:rsidRPr="00B60703">
              <w:trPr>
                <w:trHeight w:val="850"/>
              </w:trPr>
              <w:tc>
                <w:tcPr>
                  <w:tcW w:w="584"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73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MTX n=257</w:t>
                  </w:r>
                </w:p>
                <w:p w:rsidR="005B62E2" w:rsidRPr="00B60703" w:rsidRDefault="00F03789">
                  <w:pPr>
                    <w:tabs>
                      <w:tab w:val="left" w:pos="540"/>
                      <w:tab w:val="left" w:pos="569"/>
                    </w:tabs>
                    <w:jc w:val="both"/>
                    <w:rPr>
                      <w:sz w:val="22"/>
                      <w:szCs w:val="22"/>
                      <w:lang w:val="sr-Latn-ME"/>
                    </w:rPr>
                  </w:pPr>
                  <w:r w:rsidRPr="00B60703">
                    <w:rPr>
                      <w:sz w:val="22"/>
                      <w:szCs w:val="22"/>
                      <w:lang w:val="sr-Latn-ME"/>
                    </w:rPr>
                    <w:t>(95% interval pouzdanosti)</w:t>
                  </w:r>
                </w:p>
              </w:tc>
              <w:tc>
                <w:tcPr>
                  <w:tcW w:w="73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 n=274</w:t>
                  </w:r>
                </w:p>
                <w:p w:rsidR="005B62E2" w:rsidRPr="00B60703" w:rsidRDefault="00F03789">
                  <w:pPr>
                    <w:tabs>
                      <w:tab w:val="left" w:pos="540"/>
                      <w:tab w:val="left" w:pos="569"/>
                    </w:tabs>
                    <w:jc w:val="both"/>
                    <w:rPr>
                      <w:sz w:val="22"/>
                      <w:szCs w:val="22"/>
                      <w:lang w:val="sr-Latn-ME"/>
                    </w:rPr>
                  </w:pPr>
                  <w:r w:rsidRPr="00B60703">
                    <w:rPr>
                      <w:sz w:val="22"/>
                      <w:szCs w:val="22"/>
                      <w:lang w:val="sr-Latn-ME"/>
                    </w:rPr>
                    <w:t>(95% interval pouzdanosti)</w:t>
                  </w:r>
                </w:p>
              </w:tc>
              <w:tc>
                <w:tcPr>
                  <w:tcW w:w="98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Adalimumab/MTX n=268</w:t>
                  </w:r>
                </w:p>
                <w:p w:rsidR="005B62E2" w:rsidRPr="00B60703" w:rsidRDefault="00F03789">
                  <w:pPr>
                    <w:tabs>
                      <w:tab w:val="left" w:pos="540"/>
                      <w:tab w:val="left" w:pos="569"/>
                    </w:tabs>
                    <w:jc w:val="both"/>
                    <w:rPr>
                      <w:sz w:val="22"/>
                      <w:szCs w:val="22"/>
                      <w:lang w:val="sr-Latn-ME"/>
                    </w:rPr>
                  </w:pPr>
                  <w:r w:rsidRPr="00B60703">
                    <w:rPr>
                      <w:sz w:val="22"/>
                      <w:szCs w:val="22"/>
                      <w:lang w:val="sr-Latn-ME"/>
                    </w:rPr>
                    <w:t>(95% interval pouzdanosti)</w:t>
                  </w:r>
                </w:p>
              </w:tc>
              <w:tc>
                <w:tcPr>
                  <w:tcW w:w="66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p-vrijednost</w:t>
                  </w:r>
                  <w:r w:rsidRPr="00B60703">
                    <w:rPr>
                      <w:sz w:val="22"/>
                      <w:szCs w:val="22"/>
                      <w:vertAlign w:val="superscript"/>
                      <w:lang w:val="sr-Latn-ME"/>
                    </w:rPr>
                    <w:t>a</w:t>
                  </w:r>
                </w:p>
              </w:tc>
              <w:tc>
                <w:tcPr>
                  <w:tcW w:w="6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p-vrijednost</w:t>
                  </w:r>
                  <w:r w:rsidRPr="00B60703">
                    <w:rPr>
                      <w:sz w:val="22"/>
                      <w:szCs w:val="22"/>
                      <w:vertAlign w:val="superscript"/>
                      <w:lang w:val="sr-Latn-ME"/>
                    </w:rPr>
                    <w:t>b</w:t>
                  </w:r>
                </w:p>
              </w:tc>
              <w:tc>
                <w:tcPr>
                  <w:tcW w:w="67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p-vrijednost</w:t>
                  </w:r>
                  <w:r w:rsidRPr="00B60703">
                    <w:rPr>
                      <w:sz w:val="22"/>
                      <w:szCs w:val="22"/>
                      <w:vertAlign w:val="superscript"/>
                      <w:lang w:val="sr-Latn-ME"/>
                    </w:rPr>
                    <w:t>c</w:t>
                  </w:r>
                </w:p>
              </w:tc>
            </w:tr>
            <w:tr w:rsidR="005B62E2" w:rsidRPr="00B60703">
              <w:trPr>
                <w:trHeight w:val="287"/>
              </w:trPr>
              <w:tc>
                <w:tcPr>
                  <w:tcW w:w="58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Ukupni </w:t>
                  </w:r>
                  <w:r w:rsidRPr="00B60703">
                    <w:rPr>
                      <w:i/>
                      <w:sz w:val="22"/>
                      <w:szCs w:val="22"/>
                      <w:lang w:val="sr-Latn-ME"/>
                    </w:rPr>
                    <w:t>Sharp</w:t>
                  </w:r>
                  <w:r w:rsidRPr="00B60703">
                    <w:rPr>
                      <w:sz w:val="22"/>
                      <w:szCs w:val="22"/>
                      <w:lang w:val="sr-Latn-ME"/>
                    </w:rPr>
                    <w:t xml:space="preserve"> skor</w:t>
                  </w:r>
                </w:p>
              </w:tc>
              <w:tc>
                <w:tcPr>
                  <w:tcW w:w="73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5,7 (4,2-7,3)</w:t>
                  </w:r>
                </w:p>
              </w:tc>
              <w:tc>
                <w:tcPr>
                  <w:tcW w:w="73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3,0 (1,7-4,3)</w:t>
                  </w:r>
                </w:p>
              </w:tc>
              <w:tc>
                <w:tcPr>
                  <w:tcW w:w="98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1,3 (0,5-2,1)</w:t>
                  </w:r>
                </w:p>
              </w:tc>
              <w:tc>
                <w:tcPr>
                  <w:tcW w:w="66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c>
                <w:tcPr>
                  <w:tcW w:w="6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0,0020</w:t>
                  </w:r>
                </w:p>
              </w:tc>
              <w:tc>
                <w:tcPr>
                  <w:tcW w:w="67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r>
            <w:tr w:rsidR="005B62E2" w:rsidRPr="00B60703">
              <w:trPr>
                <w:trHeight w:val="337"/>
              </w:trPr>
              <w:tc>
                <w:tcPr>
                  <w:tcW w:w="58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Skor erozija</w:t>
                  </w:r>
                </w:p>
              </w:tc>
              <w:tc>
                <w:tcPr>
                  <w:tcW w:w="73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3,7 (2,7-4,7)</w:t>
                  </w:r>
                </w:p>
              </w:tc>
              <w:tc>
                <w:tcPr>
                  <w:tcW w:w="73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1,7 (1,0-2,4)</w:t>
                  </w:r>
                </w:p>
              </w:tc>
              <w:tc>
                <w:tcPr>
                  <w:tcW w:w="98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0,8 (0,4-1,2)</w:t>
                  </w:r>
                </w:p>
              </w:tc>
              <w:tc>
                <w:tcPr>
                  <w:tcW w:w="66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c>
                <w:tcPr>
                  <w:tcW w:w="6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0,0082</w:t>
                  </w:r>
                </w:p>
              </w:tc>
              <w:tc>
                <w:tcPr>
                  <w:tcW w:w="67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r>
            <w:tr w:rsidR="005B62E2" w:rsidRPr="00B60703">
              <w:trPr>
                <w:trHeight w:val="373"/>
              </w:trPr>
              <w:tc>
                <w:tcPr>
                  <w:tcW w:w="58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JSN skor</w:t>
                  </w:r>
                </w:p>
              </w:tc>
              <w:tc>
                <w:tcPr>
                  <w:tcW w:w="73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2,0 (1,2-2,8)</w:t>
                  </w:r>
                </w:p>
              </w:tc>
              <w:tc>
                <w:tcPr>
                  <w:tcW w:w="73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1,3 (0,5-2,1)</w:t>
                  </w:r>
                </w:p>
              </w:tc>
              <w:tc>
                <w:tcPr>
                  <w:tcW w:w="98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0,5 (0-1,0)</w:t>
                  </w:r>
                </w:p>
              </w:tc>
              <w:tc>
                <w:tcPr>
                  <w:tcW w:w="66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&lt;0,001</w:t>
                  </w:r>
                </w:p>
              </w:tc>
              <w:tc>
                <w:tcPr>
                  <w:tcW w:w="63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0,0037</w:t>
                  </w:r>
                </w:p>
              </w:tc>
              <w:tc>
                <w:tcPr>
                  <w:tcW w:w="67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0,151</w:t>
                  </w:r>
                </w:p>
              </w:tc>
            </w:tr>
          </w:tbl>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p-vrijednost je iz uporednog poređenja monoterapije metotreksatom i kombinovane terapije adalimumab/metotreksat korišćenjem </w:t>
            </w:r>
            <w:r w:rsidRPr="00B60703">
              <w:rPr>
                <w:i/>
                <w:sz w:val="22"/>
                <w:szCs w:val="22"/>
                <w:lang w:val="sr-Latn-ME"/>
              </w:rPr>
              <w:t>Mann-Whitney</w:t>
            </w:r>
            <w:r w:rsidRPr="00B60703">
              <w:rPr>
                <w:sz w:val="22"/>
                <w:szCs w:val="22"/>
                <w:lang w:val="sr-Latn-ME"/>
              </w:rPr>
              <w:t xml:space="preserve"> U testa.  </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p-vrijednost je iz uporednog poređenja monoterapije adalimumabom i kombinovane terapije adalimumab/metotreksat korišćenjem </w:t>
            </w:r>
            <w:r w:rsidRPr="00B60703">
              <w:rPr>
                <w:i/>
                <w:sz w:val="22"/>
                <w:szCs w:val="22"/>
                <w:lang w:val="sr-Latn-ME"/>
              </w:rPr>
              <w:t>Mann-Whitney</w:t>
            </w:r>
            <w:r w:rsidRPr="00B60703">
              <w:rPr>
                <w:sz w:val="22"/>
                <w:szCs w:val="22"/>
                <w:lang w:val="sr-Latn-ME"/>
              </w:rPr>
              <w:t xml:space="preserve"> U testa.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p-vrijednost je iz uporednog poređenja adalimumab monoterapije i metotreksat monoterapije korišćenjem </w:t>
            </w:r>
            <w:r w:rsidRPr="00B60703">
              <w:rPr>
                <w:i/>
                <w:sz w:val="22"/>
                <w:szCs w:val="22"/>
                <w:lang w:val="sr-Latn-ME"/>
              </w:rPr>
              <w:t xml:space="preserve">Mann-Whitney </w:t>
            </w:r>
            <w:r w:rsidRPr="00B60703">
              <w:rPr>
                <w:sz w:val="22"/>
                <w:szCs w:val="22"/>
                <w:lang w:val="sr-Latn-ME"/>
              </w:rPr>
              <w:t>U testa.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Nakon 52 nedjelje i 104 nedjelje terapije, procenat pacijenata bez progresije (promjena od početne vrijednosti u modifikovanom ukupnom </w:t>
            </w:r>
            <w:r w:rsidRPr="00B60703">
              <w:rPr>
                <w:i/>
                <w:sz w:val="22"/>
                <w:szCs w:val="22"/>
                <w:lang w:val="sr-Latn-ME"/>
              </w:rPr>
              <w:t>Sharp</w:t>
            </w:r>
            <w:r w:rsidRPr="00B60703">
              <w:rPr>
                <w:sz w:val="22"/>
                <w:szCs w:val="22"/>
                <w:lang w:val="sr-Latn-ME"/>
              </w:rPr>
              <w:t xml:space="preserve"> skoru ≤ 0,5) je bio značajno veći sa kombinovanom terapijom adalimumab/metotreksat (63,8% odnosno 61,2%) u poređenju sa monoterapijom metotreksatom (37,4% odnosno 33,5%, p&lt;0,001) i monoterapijom adalimumabom (50,7%, p&lt;0,002 odnosno 44,5%, p&lt;0,001).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otvorenom produžetku RA studije V, srednja vrijednost promjene ukupnog zbira bodova prema modifikovanoj </w:t>
            </w:r>
            <w:r w:rsidRPr="00B60703">
              <w:rPr>
                <w:i/>
                <w:sz w:val="22"/>
                <w:szCs w:val="22"/>
                <w:lang w:val="sr-Latn-ME"/>
              </w:rPr>
              <w:t>Sharp</w:t>
            </w:r>
            <w:r w:rsidRPr="00B60703">
              <w:rPr>
                <w:sz w:val="22"/>
                <w:szCs w:val="22"/>
                <w:lang w:val="sr-Latn-ME"/>
              </w:rPr>
              <w:t>-ovoj skali od početka ispitivanja do godine 10 iznosila je 10,8 kod pacijenata inicijalno randomizovanih za monoterapiju metotreksatom, 9,2 kod pacijenata inicijalno randomizovanih za monoterapiju adalimumabom i 3,9 kod pacijenata inicijalno randomizovanih za liječenje kombinacijom adalimumaba i metotreksata. Odgovarajući udio pacijenata bez radiološke progresije iznosio je 31,3%, 23,7% odnosno 36,7%.</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Kvalitet života i fizička funkcija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Kvalitet života povezan sa zdravljem i fizička funkcija su procijenjeni upotrebom indeksa onesposobljenosti iz Upitnika procjene zdravlja (engl. </w:t>
            </w:r>
            <w:r w:rsidRPr="00B60703">
              <w:rPr>
                <w:i/>
                <w:sz w:val="22"/>
                <w:szCs w:val="22"/>
                <w:lang w:val="sr-Latn-ME"/>
              </w:rPr>
              <w:t>Health Assessment Questionnaire-HAQ</w:t>
            </w:r>
            <w:r w:rsidRPr="00B60703">
              <w:rPr>
                <w:sz w:val="22"/>
                <w:szCs w:val="22"/>
                <w:lang w:val="sr-Latn-ME"/>
              </w:rPr>
              <w:t xml:space="preserve">) u </w:t>
            </w:r>
            <w:r w:rsidRPr="00B60703">
              <w:rPr>
                <w:sz w:val="22"/>
                <w:szCs w:val="22"/>
                <w:lang w:val="sr-Latn-ME"/>
              </w:rPr>
              <w:lastRenderedPageBreak/>
              <w:t xml:space="preserve">četiri originalna, adekvatna i dobro kontrolisana ispitivanja, koja su imala prethodno određen parametar praćenja u nedjelji 52 u RA studiji III. Sve doze/režimi doziranja adalimumaba u sve četiri studije pokazuju statistički značajno veće poboljšanje indeksa onesposobljenosti iz HAQ od početka do mjeseca 6 u poređenju sa placebom, a i u RA studiji III je isto primijećeno u nedjelji 52. Rezultati Kratke ankete zdravlja (engl. </w:t>
            </w:r>
            <w:r w:rsidRPr="00B60703">
              <w:rPr>
                <w:i/>
                <w:sz w:val="22"/>
                <w:szCs w:val="22"/>
                <w:lang w:val="sr-Latn-ME"/>
              </w:rPr>
              <w:t>Short Form Health Survey-SF 36</w:t>
            </w:r>
            <w:r w:rsidRPr="00B60703">
              <w:rPr>
                <w:sz w:val="22"/>
                <w:szCs w:val="22"/>
                <w:lang w:val="sr-Latn-ME"/>
              </w:rPr>
              <w:t xml:space="preserve">) za sve doze/režime doziranja adalimumab u sve četiri studije podržavaju ove nalaze, sa statistički značajnim skorovima rezimea fizičkih komponenti (engl. </w:t>
            </w:r>
            <w:r w:rsidRPr="00B60703">
              <w:rPr>
                <w:i/>
                <w:sz w:val="22"/>
                <w:szCs w:val="22"/>
                <w:lang w:val="sr-Latn-ME"/>
              </w:rPr>
              <w:t>Physical Component Summary</w:t>
            </w:r>
            <w:r w:rsidRPr="00B60703">
              <w:rPr>
                <w:sz w:val="22"/>
                <w:szCs w:val="22"/>
                <w:lang w:val="sr-Latn-ME"/>
              </w:rPr>
              <w:t xml:space="preserve">-PCS), kao i statistički značajnim skorovima bola i vitalnosti za dozu od 40 mg svake druge nedjelje. Statistički značajno smanjenje malaksalosti mjereno funkcionalnom procjenom skorova terapije hroničnih bolesti (engl. </w:t>
            </w:r>
            <w:r w:rsidRPr="00B60703">
              <w:rPr>
                <w:i/>
                <w:sz w:val="22"/>
                <w:szCs w:val="22"/>
                <w:lang w:val="sr-Latn-ME"/>
              </w:rPr>
              <w:t>Functional Assessment of Chronic Illness Therapy-FACIT</w:t>
            </w:r>
            <w:r w:rsidRPr="00B60703">
              <w:rPr>
                <w:sz w:val="22"/>
                <w:szCs w:val="22"/>
                <w:lang w:val="sr-Latn-ME"/>
              </w:rPr>
              <w:t>) primijećeno je u sve tri studije u kojima je i procjenjivano (RA studije I, III, IV).</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RA studiji III, kod većine pacijenata kod kojih je postignuto poboljšanje fizičke funkcije i koji su nastavili liječenje, poboljšanje se zadržalo do nedjelje 520 (120 mjeseci) otvorenog liječenja. Poboljšanje kvaliteta života je mjereno do nedjelje 156 (36 mjeseci) i poboljšanje je održavano do tog vremena.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RA studiji V, poboljšanje HAQ indeksa onesposobljenosti i fizičkih komponenti SF 36 pokazalo je značajno poboljšanje (p&lt;0,001) u kombinovanoj terapiji adalimumab/metotreksat naspram monoterapije metotreksatom i monoterapije adalimumabom nakon 52 nedjelje, što se održalo do kraja nedjelje 104. Među 250 ispitanika koji su dovršili otvoreni produžetak ispitivanja, poboljšanja fizičke funkcije su se održala tokom 10 godina liječenja.</w:t>
            </w:r>
          </w:p>
          <w:p w:rsidR="005B62E2" w:rsidRPr="00B60703" w:rsidRDefault="005B62E2">
            <w:pPr>
              <w:tabs>
                <w:tab w:val="left" w:pos="540"/>
                <w:tab w:val="left" w:pos="569"/>
              </w:tabs>
              <w:jc w:val="both"/>
              <w:rPr>
                <w:i/>
                <w:sz w:val="22"/>
                <w:szCs w:val="22"/>
                <w:lang w:val="sr-Latn-ME"/>
              </w:rPr>
            </w:pPr>
          </w:p>
          <w:p w:rsidR="005B62E2" w:rsidRPr="00B60703" w:rsidRDefault="00F03789">
            <w:pPr>
              <w:tabs>
                <w:tab w:val="left" w:pos="540"/>
                <w:tab w:val="left" w:pos="569"/>
              </w:tabs>
              <w:jc w:val="both"/>
              <w:rPr>
                <w:sz w:val="22"/>
                <w:szCs w:val="22"/>
                <w:lang w:val="sr-Latn-ME"/>
              </w:rPr>
            </w:pPr>
            <w:r w:rsidRPr="00B60703">
              <w:rPr>
                <w:i/>
                <w:sz w:val="22"/>
                <w:szCs w:val="22"/>
                <w:lang w:val="sr-Latn-ME"/>
              </w:rPr>
              <w:t>Juvenilni idiopatski artritis (JIA)</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Poliartikularni juvenilni idiopatski artritis (pJIA)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Bezbjednost i efikasnost adalimumaba su procjenjivane u dvije studije (pJIA I i II) kod djece sa aktivnim poliartikularnim ili juvenilnim idiopatskim artritisom poliartikularnog toka, koja su imala različite tipove manifestacija JIA (najčešće reumatoid-negativni ili pozitivni poliartritis i prošireni oligoartritis).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pJIA 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su procjenjivane u multicentričnom, randomizovanom, dvostruko-slijepom ispitivanju paralelnih grupa sa 171 djetetom (uzrasta od 4 do 17 godina) sa poliartikularnim juvenilnim idiopatskim artritisom. U otvorenoj inicijalnoj fazi (engl. </w:t>
            </w:r>
            <w:r w:rsidRPr="00B60703">
              <w:rPr>
                <w:i/>
                <w:sz w:val="22"/>
                <w:szCs w:val="22"/>
                <w:lang w:val="sr-Latn-ME"/>
              </w:rPr>
              <w:t>open-label lead in</w:t>
            </w:r>
            <w:r w:rsidRPr="00B60703">
              <w:rPr>
                <w:sz w:val="22"/>
                <w:szCs w:val="22"/>
                <w:lang w:val="sr-Latn-ME"/>
              </w:rPr>
              <w:t>-OL LI), pacijenti su podijeljeni u dvije grupe, liječeni metotreksatom i neliječeni metotreksatom. Pacijenti koji su bili u grupi neliječenih metotreksatom su bili ili pacijenti koji nikada nisu primali metotreksat ili su prestali da primaju metotreksat najmanje 2 nedjelje prije početka ispitivanja. Pacijenti su primali stabilne doze nesteroidnih antiinflamatornih ljekova i/ili prednizona (≤ 0,2 mg/kg/dnevno ili maksimalno 10 mg/dnevno). U OL LI fazi, svi pacijenti su tokom 16 nedjelja primali 24 mg/m</w:t>
            </w:r>
            <w:r w:rsidRPr="00B60703">
              <w:rPr>
                <w:sz w:val="22"/>
                <w:szCs w:val="22"/>
                <w:vertAlign w:val="superscript"/>
                <w:lang w:val="sr-Latn-ME"/>
              </w:rPr>
              <w:t>2</w:t>
            </w:r>
            <w:r w:rsidRPr="00B60703">
              <w:rPr>
                <w:sz w:val="22"/>
                <w:szCs w:val="22"/>
                <w:lang w:val="sr-Latn-ME"/>
              </w:rPr>
              <w:t xml:space="preserve"> do maksimalnih 40 mg adalimumaba svake druge nedjelje. Raspodjela pacijenata prema uzrasnim grupama kao i minimalna, srednja i maksimalna doza primljene u OL LI fazi su prikazani u Tabeli 11.</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11: Raspodjela pacijenata prema uzrasnim grupama i dozi adalimumaba primljenoj u otvorenoj uvodnoj fazi ispitivanja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87"/>
              <w:gridCol w:w="3935"/>
            </w:tblGrid>
            <w:tr w:rsidR="005B62E2" w:rsidRPr="00B60703">
              <w:tc>
                <w:tcPr>
                  <w:tcW w:w="8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Uzrasna grupa</w:t>
                  </w:r>
                </w:p>
              </w:tc>
              <w:tc>
                <w:tcPr>
                  <w:tcW w:w="191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Broj pacijenata na početku n (%)</w:t>
                  </w:r>
                </w:p>
              </w:tc>
              <w:tc>
                <w:tcPr>
                  <w:tcW w:w="222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Minimalna, srednja i maksimalna doza</w:t>
                  </w:r>
                </w:p>
              </w:tc>
            </w:tr>
            <w:tr w:rsidR="005B62E2" w:rsidRPr="00B60703">
              <w:tc>
                <w:tcPr>
                  <w:tcW w:w="8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4-7 godina</w:t>
                  </w:r>
                </w:p>
              </w:tc>
              <w:tc>
                <w:tcPr>
                  <w:tcW w:w="191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31 (18,1)</w:t>
                  </w:r>
                </w:p>
              </w:tc>
              <w:tc>
                <w:tcPr>
                  <w:tcW w:w="222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10, 20 i 25 mg</w:t>
                  </w:r>
                </w:p>
              </w:tc>
            </w:tr>
            <w:tr w:rsidR="005B62E2" w:rsidRPr="00B60703">
              <w:tc>
                <w:tcPr>
                  <w:tcW w:w="8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8-12 godina</w:t>
                  </w:r>
                </w:p>
              </w:tc>
              <w:tc>
                <w:tcPr>
                  <w:tcW w:w="191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71 (41,5)</w:t>
                  </w:r>
                </w:p>
              </w:tc>
              <w:tc>
                <w:tcPr>
                  <w:tcW w:w="222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20, 25 i 40 mg</w:t>
                  </w:r>
                </w:p>
              </w:tc>
            </w:tr>
            <w:tr w:rsidR="005B62E2" w:rsidRPr="00B60703">
              <w:tc>
                <w:tcPr>
                  <w:tcW w:w="8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13-17 godina</w:t>
                  </w:r>
                </w:p>
              </w:tc>
              <w:tc>
                <w:tcPr>
                  <w:tcW w:w="191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69 (40,4)</w:t>
                  </w:r>
                </w:p>
              </w:tc>
              <w:tc>
                <w:tcPr>
                  <w:tcW w:w="222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25, 40 i 40 mg</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Pacijenti sa pedijatrijskim ACR 30 odgovorom u nedjelji 16 su randomizovani u dvostruko slijepoj fazi i primali su ili 24 mg/m</w:t>
            </w:r>
            <w:r w:rsidRPr="00B60703">
              <w:rPr>
                <w:sz w:val="22"/>
                <w:szCs w:val="22"/>
                <w:vertAlign w:val="superscript"/>
                <w:lang w:val="sr-Latn-ME"/>
              </w:rPr>
              <w:t>2</w:t>
            </w:r>
            <w:r w:rsidRPr="00B60703">
              <w:rPr>
                <w:sz w:val="22"/>
                <w:szCs w:val="22"/>
                <w:lang w:val="sr-Latn-ME"/>
              </w:rPr>
              <w:t xml:space="preserve"> do maksimalnih 40 mg adalimumaba ili placebo svake druge nedjelje tokom dodatne 32 nedjelje ili do ponovnog aktiviranja bolesti. Reaktivacija bolesti je definisana kao </w:t>
            </w:r>
            <w:r w:rsidRPr="00B60703">
              <w:rPr>
                <w:sz w:val="22"/>
                <w:szCs w:val="22"/>
                <w:lang w:val="sr-Latn-ME"/>
              </w:rPr>
              <w:lastRenderedPageBreak/>
              <w:t>pogoršanje ≥ 30% od početnog stanja u ≥ 3 od 6 pedijatrijskih ACR glavnih kriterijuma, ≥ 2 aktivna zgloba, i poboljšanju &gt; 30% u ne više od 1 od 6 kriterijuma. Nakon 32 nedjelje ili usljed reaktivacije bolesti, pacijenti su uključivani u otvorenu produženu fazu kliničkog ispitivanja (Tabela 12).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12: Pedijatrijski ACR 30 odgovor u studiji sa poliartikularnim juvenilnim idiopatskim artritisom</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1913"/>
              <w:gridCol w:w="1462"/>
              <w:gridCol w:w="1362"/>
              <w:gridCol w:w="1347"/>
            </w:tblGrid>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Raspodjela</w:t>
                  </w:r>
                </w:p>
              </w:tc>
              <w:tc>
                <w:tcPr>
                  <w:tcW w:w="1907"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MTX</w:t>
                  </w:r>
                </w:p>
              </w:tc>
              <w:tc>
                <w:tcPr>
                  <w:tcW w:w="1531"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Bez MTX</w:t>
                  </w: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Faza</w:t>
                  </w:r>
                </w:p>
              </w:tc>
              <w:tc>
                <w:tcPr>
                  <w:tcW w:w="1907" w:type="pct"/>
                  <w:gridSpan w:val="2"/>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531" w:type="pct"/>
                  <w:gridSpan w:val="2"/>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Otvorena uvodna OL-LI –</w:t>
                  </w:r>
                </w:p>
                <w:p w:rsidR="005B62E2" w:rsidRPr="00B60703" w:rsidRDefault="00F03789">
                  <w:pPr>
                    <w:tabs>
                      <w:tab w:val="left" w:pos="540"/>
                      <w:tab w:val="left" w:pos="569"/>
                    </w:tabs>
                    <w:jc w:val="both"/>
                    <w:rPr>
                      <w:sz w:val="22"/>
                      <w:szCs w:val="22"/>
                      <w:lang w:val="sr-Latn-ME"/>
                    </w:rPr>
                  </w:pPr>
                  <w:r w:rsidRPr="00B60703">
                    <w:rPr>
                      <w:sz w:val="22"/>
                      <w:szCs w:val="22"/>
                      <w:lang w:val="sr-Latn-ME"/>
                    </w:rPr>
                    <w:t>16 nedjelja</w:t>
                  </w:r>
                </w:p>
              </w:tc>
              <w:tc>
                <w:tcPr>
                  <w:tcW w:w="1907" w:type="pct"/>
                  <w:gridSpan w:val="2"/>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531" w:type="pct"/>
                  <w:gridSpan w:val="2"/>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Pedijatrijski ACR 30 </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odgovor (n/N)</w:t>
                  </w:r>
                </w:p>
              </w:tc>
              <w:tc>
                <w:tcPr>
                  <w:tcW w:w="1907"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94,1% (80/85)</w:t>
                  </w:r>
                </w:p>
              </w:tc>
              <w:tc>
                <w:tcPr>
                  <w:tcW w:w="1531"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74,4% (64/86)</w:t>
                  </w: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3438" w:type="pct"/>
                  <w:gridSpan w:val="4"/>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Rezultat efikasnosti</w:t>
                  </w: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Dvostruko slijepo –</w:t>
                  </w:r>
                </w:p>
                <w:p w:rsidR="005B62E2" w:rsidRPr="00B60703" w:rsidRDefault="00F03789">
                  <w:pPr>
                    <w:tabs>
                      <w:tab w:val="left" w:pos="540"/>
                      <w:tab w:val="left" w:pos="569"/>
                    </w:tabs>
                    <w:jc w:val="both"/>
                    <w:rPr>
                      <w:sz w:val="22"/>
                      <w:szCs w:val="22"/>
                      <w:lang w:val="sr-Latn-ME"/>
                    </w:rPr>
                  </w:pPr>
                  <w:r w:rsidRPr="00B60703">
                    <w:rPr>
                      <w:sz w:val="22"/>
                      <w:szCs w:val="22"/>
                      <w:lang w:val="sr-Latn-ME"/>
                    </w:rPr>
                    <w:t>32 nedjelje</w:t>
                  </w:r>
                </w:p>
              </w:tc>
              <w:tc>
                <w:tcPr>
                  <w:tcW w:w="10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Adalimumab/MTX</w:t>
                  </w:r>
                </w:p>
                <w:p w:rsidR="005B62E2" w:rsidRPr="00B60703" w:rsidRDefault="00F03789">
                  <w:pPr>
                    <w:tabs>
                      <w:tab w:val="left" w:pos="540"/>
                      <w:tab w:val="left" w:pos="569"/>
                    </w:tabs>
                    <w:jc w:val="both"/>
                    <w:rPr>
                      <w:sz w:val="22"/>
                      <w:szCs w:val="22"/>
                      <w:lang w:val="sr-Latn-ME"/>
                    </w:rPr>
                  </w:pPr>
                  <w:r w:rsidRPr="00B60703">
                    <w:rPr>
                      <w:sz w:val="22"/>
                      <w:szCs w:val="22"/>
                      <w:lang w:val="sr-Latn-ME"/>
                    </w:rPr>
                    <w:t>(N=38)</w:t>
                  </w:r>
                </w:p>
              </w:tc>
              <w:tc>
                <w:tcPr>
                  <w:tcW w:w="82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Placebo/MTX</w:t>
                  </w:r>
                </w:p>
                <w:p w:rsidR="005B62E2" w:rsidRPr="00B60703" w:rsidRDefault="00F03789">
                  <w:pPr>
                    <w:tabs>
                      <w:tab w:val="left" w:pos="540"/>
                      <w:tab w:val="left" w:pos="569"/>
                    </w:tabs>
                    <w:jc w:val="both"/>
                    <w:rPr>
                      <w:sz w:val="22"/>
                      <w:szCs w:val="22"/>
                      <w:lang w:val="sr-Latn-ME"/>
                    </w:rPr>
                  </w:pPr>
                  <w:r w:rsidRPr="00B60703">
                    <w:rPr>
                      <w:sz w:val="22"/>
                      <w:szCs w:val="22"/>
                      <w:lang w:val="sr-Latn-ME"/>
                    </w:rPr>
                    <w:t>(N=37)</w:t>
                  </w:r>
                </w:p>
              </w:tc>
              <w:tc>
                <w:tcPr>
                  <w:tcW w:w="77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(N=30)</w:t>
                  </w:r>
                </w:p>
              </w:tc>
              <w:tc>
                <w:tcPr>
                  <w:tcW w:w="7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(N=28)</w:t>
                  </w: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Reaktivacija bolesti pri kraju  </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razdoblja od 32 nedjelje</w:t>
                  </w:r>
                  <w:r w:rsidRPr="00B60703">
                    <w:rPr>
                      <w:sz w:val="22"/>
                      <w:szCs w:val="22"/>
                      <w:vertAlign w:val="superscript"/>
                      <w:lang w:val="sr-Latn-ME"/>
                    </w:rPr>
                    <w:t>a</w:t>
                  </w:r>
                  <w:r w:rsidRPr="00B60703">
                    <w:rPr>
                      <w:sz w:val="22"/>
                      <w:szCs w:val="22"/>
                      <w:lang w:val="sr-Latn-ME"/>
                    </w:rPr>
                    <w:t xml:space="preserve"> (n/N)</w:t>
                  </w:r>
                </w:p>
              </w:tc>
              <w:tc>
                <w:tcPr>
                  <w:tcW w:w="10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36,8% (14/38)</w:t>
                  </w:r>
                </w:p>
              </w:tc>
              <w:tc>
                <w:tcPr>
                  <w:tcW w:w="82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64,9% (24/37)</w:t>
                  </w:r>
                  <w:r w:rsidRPr="00B60703">
                    <w:rPr>
                      <w:sz w:val="22"/>
                      <w:szCs w:val="22"/>
                      <w:vertAlign w:val="superscript"/>
                      <w:lang w:val="sr-Latn-ME"/>
                    </w:rPr>
                    <w:t>b</w:t>
                  </w:r>
                </w:p>
              </w:tc>
              <w:tc>
                <w:tcPr>
                  <w:tcW w:w="77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43,3% (13/30)</w:t>
                  </w:r>
                </w:p>
              </w:tc>
              <w:tc>
                <w:tcPr>
                  <w:tcW w:w="7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71,4% (20/28)</w:t>
                  </w:r>
                  <w:r w:rsidRPr="00B60703">
                    <w:rPr>
                      <w:sz w:val="22"/>
                      <w:szCs w:val="22"/>
                      <w:vertAlign w:val="superscript"/>
                      <w:lang w:val="sr-Latn-ME"/>
                    </w:rPr>
                    <w:t>c</w:t>
                  </w:r>
                </w:p>
              </w:tc>
            </w:tr>
            <w:tr w:rsidR="005B62E2" w:rsidRPr="00B60703">
              <w:tc>
                <w:tcPr>
                  <w:tcW w:w="156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Prosječno vrijeme do      </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reaktivacije bolesti</w:t>
                  </w:r>
                </w:p>
              </w:tc>
              <w:tc>
                <w:tcPr>
                  <w:tcW w:w="10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&gt; 32 nedjelje</w:t>
                  </w:r>
                </w:p>
              </w:tc>
              <w:tc>
                <w:tcPr>
                  <w:tcW w:w="82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20 nedjelja</w:t>
                  </w:r>
                </w:p>
              </w:tc>
              <w:tc>
                <w:tcPr>
                  <w:tcW w:w="770"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&gt; 32 nedjelje</w:t>
                  </w:r>
                </w:p>
              </w:tc>
              <w:tc>
                <w:tcPr>
                  <w:tcW w:w="7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14 nedjelja</w:t>
                  </w:r>
                </w:p>
              </w:tc>
            </w:tr>
          </w:tbl>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 xml:space="preserve">a </w:t>
            </w:r>
            <w:r w:rsidRPr="00B60703">
              <w:rPr>
                <w:sz w:val="22"/>
                <w:szCs w:val="22"/>
                <w:lang w:val="sr-Latn-ME"/>
              </w:rPr>
              <w:t>Pedijatrijski ACR 30/50/70 odgovori u nedjelji 48 su značajno veći nego kod pacijenata koji su primali placebo.</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 = 0,015</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p = 0,031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Među pacijentima koji su u nedjelji 16 odgovorili na terapiju (n=144), pedijatrijski ACR 30/50/70/90 odgovori su održavani i do 6 godina u OLE fazi kod pacijenata koji su primali adalimumab do kraja ispitivanja. Ukupno 19 slučajeva, od kojih je na početku terapije 11 bilo u uzrastu od 4 do 12 godina, a 8 u uzrastu od 13 do 17 godina, primali su terapiju 6 ili više godina.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Ukupni odgovori su bili uopšteno bolji, i kod manjeg broja pacijenata su se javila antitijela prilikom kombinovane terapije adalimumabom i metotreksatom u poređenju sa monoterapijom adalimumabom. Uzimajući ove rezultate u obzir, preporučuje se upotreba adalimumaba u kombinaciji sa metotreksatom, i upotreba adalimumaba u monoterapiji kod pacijenata kod kojih se primjena metotreksata ne preporučuje (vidjeti dio 4.2).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pJIA II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su procjenjivane u otvorenoj, multicentričnoj studiji sa 32 djeteta (uzrasta od 2 do &lt;4 godine, ili uzrasta 4 godine i starije, tjelesne mase &lt; 15 kg) sa umjerenim do teškim aktivnim poliartikularnim juvenilnim idiopatskim artritisom. Pacijenti su primali adalimumab u dozi od 24 mg/m² tjelesne površine do maksimalnih 20 mg svake druge nedjelje kao pojedinačnu dozu, supkutanom injekcijom, najmanje 24 nedjelje. Tokom studije, većina ispitanika je istovremeno primala metotreksat, a manji broj je primao kortikosteroide ili NSAIL.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Nakon nedjelje 12 i nakon nedjelje 24, pedijatrijski ACR30 postignut je kod 93,5% i kod 90,0% ispitanika, što je utvrđeno na osnovu zabilježenih podataka. Odnos ispitanika sa pedijatrijskim ACR50/70/90 nakon 12 nedjelja i nakon 24 nedjelje bio je: 90,3%/61,3%/38,7% i 83,3%/73,3%/36,7%. Kod ispitanika kod kojih je postignut odgovor (pedijatrijski ACR 30) u nedjelji 24 (27 od 30 ispitanika), pedijatrijski ACR 30 je zadržan tokom 60 nedjelja u OLE fazi, kod pacijenata koji su primali adalimumab tokom ovog perioda. Ukupno 20 pacijenata je primalo terapiju 60 nedjelja ili duže.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Artritis povezan sa entezitisom</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Bezbjednost i efikasnost adalimumaba su procjenjivane u multicentričnom, randomizovanom, dvostruko-slijepom kliničkom ispitivanju, kod 46 pedijatrijskih pacijenata (uzrasta od 6 do 17 godina) sa umjerenim oblikom artritisa povezanog sa entezitisom. Pacijenti su randomizovani tako da su primjenjivali ili 24 mg/m</w:t>
            </w:r>
            <w:r w:rsidRPr="00B60703">
              <w:rPr>
                <w:sz w:val="22"/>
                <w:szCs w:val="22"/>
                <w:vertAlign w:val="superscript"/>
                <w:lang w:val="sr-Latn-ME"/>
              </w:rPr>
              <w:t>2</w:t>
            </w:r>
            <w:r w:rsidRPr="00B60703">
              <w:rPr>
                <w:sz w:val="22"/>
                <w:szCs w:val="22"/>
                <w:lang w:val="sr-Latn-ME"/>
              </w:rPr>
              <w:t xml:space="preserve"> tjelesne površine do maksimalne doze od 40 mg adalimumaba ili placebo svake druge nedjelje, u dužini trajanja studije od 12 nedjelja. Dvostruko slijepi period je praćen otvorenim periodom tokom kojeg su pacijenti primjenjivali 24 mg/m</w:t>
            </w:r>
            <w:r w:rsidRPr="00B60703">
              <w:rPr>
                <w:sz w:val="22"/>
                <w:szCs w:val="22"/>
                <w:vertAlign w:val="superscript"/>
                <w:lang w:val="sr-Latn-ME"/>
              </w:rPr>
              <w:t xml:space="preserve">2 </w:t>
            </w:r>
            <w:r w:rsidRPr="00B60703">
              <w:rPr>
                <w:sz w:val="22"/>
                <w:szCs w:val="22"/>
                <w:lang w:val="sr-Latn-ME"/>
              </w:rPr>
              <w:t xml:space="preserve">tjelesne površine do maksimalne doze od 40 mg adalimumaba svake druge nedjelje supkutanom injekcijom do dodatne 192 nedjelje. Primarni parametar praćenja je procentualna promjena broja zglobova zahvaćenih artritisom u nedjelji 12 u odnosu na početnu vrijednost (oteklih zglobova, ali ne usljed deformiteta i zglobova koji su izgubili pokretljivost uz pojavu bola i/ili osjetljivosti), što je postignuto smanjenjem srednje vrijednosti broja zahvaćenih zglobova od -62,6% (medijana promjene broja zahvaćenih zglobova u procentima -88,9%) kod pacijenata koji su primjenjivali adalimumab u poređenju sa -11,6% (medijana promjene broja zahvaćenih zglobova u procentima -50,0%) pacijenata iz placebo grupe. Poboljšanje prema broju aktivnih zglobova sa artritisom održano je u otvorenom periodu studije do nedjelje 156 za 26 od 31 (84%) pacijenata u adalimumab grupi koji su ostali uključeni u studiju. Većina pacijenata pokazala je kliničko poboljšanje u sekundarnim parametrima praćenja, kao što su broj mjesta zahvaćenih entezitisom, broj oteklih zglobova, broj osjetljivih zglobova, pedijatrijski ACR 50 odgovor i pedijatrijski ACR 70 odgovor, ali ova poboljšanja nisu bila statistički značajna. </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Aksijalni spondiloartritis</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Ankilozirajući spondilitis (AS)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Djelovanje adalimumaba u dozi od 40 mg svake druge nedjelje je ispitivano u dvije randomizovane, dvostruko slijepe, placebo kontrolisane studije u trajanju od 24 nedjelje, kod 393 pacijenata sa aktivnim ankilozirajućim spondilitisom (srednja početna vrijednost aktivnosti bolesti [engl. </w:t>
            </w:r>
            <w:r w:rsidRPr="00B60703">
              <w:rPr>
                <w:i/>
                <w:sz w:val="22"/>
                <w:szCs w:val="22"/>
                <w:lang w:val="sr-Latn-ME"/>
              </w:rPr>
              <w:t>Bath Ankylosing Spondylitis Disease Activity Index</w:t>
            </w:r>
            <w:r w:rsidRPr="00B60703">
              <w:rPr>
                <w:sz w:val="22"/>
                <w:szCs w:val="22"/>
                <w:lang w:val="sr-Latn-ME"/>
              </w:rPr>
              <w:t xml:space="preserve"> (BASDAI)] je bila 6,3 u svim grupama) koji su imali neadekvatan odgovor na konvencionalnu terapiju. 79 (20,1%) pacijenata primalo je prateću terapiju antireumatskim ljekovima koji modifikuju tok bolesti, a 37 (9,4%) pacijenata je primalo prateću terapiju glukokortikoidima. Poslije perioda maskiranja, slijedio je period otvorenog ispitivanja u kome su pacijenti primali adalimumab 40 mg svake druge nedjelje supkutano u sljedećih 28 nedjelja. Pacijenti (n=215; 54,7%) koji nisu postigli ASAS 20 u nedjelji 12 ili nedjelji 16 ili nedjelji 20, ranije su prebačeni u otvoreni dio ispitivanja i dobijali su adalimumab u dozi od 40 mg svake druge nedjelje supkutano i bili su zatim liječeni u dvostruko slijepoj statističkoj analizi kao pacijenti koji nisu odgovorili na terapiju.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većoj AS studiji I sa 315 pacijenata, rezultati su pokazali statistički značajno poboljšanje znakova i simptoma ankilozirajućeg spondilitisa kod pacijenata liječenih adalimumabom u poređenju sa placebom. Značajan odgovor je prvo zapažen u drugoj nedjelji i zadržao se do kraja nedjelje 24 (Tabela 13).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13: Efikasnost u placebo-kontrolisanoj AS studiji – Studija I Smanjenje znakova i simptoma</w:t>
            </w:r>
          </w:p>
          <w:p w:rsidR="005B62E2" w:rsidRPr="00B60703" w:rsidRDefault="005B62E2">
            <w:pPr>
              <w:tabs>
                <w:tab w:val="left" w:pos="540"/>
                <w:tab w:val="left" w:pos="569"/>
              </w:tabs>
              <w:jc w:val="both"/>
              <w:rPr>
                <w:sz w:val="22"/>
                <w:szCs w:val="22"/>
                <w:lang w:val="sr-Latn-ME"/>
              </w:rPr>
            </w:pPr>
          </w:p>
          <w:tbl>
            <w:tblPr>
              <w:tblW w:w="5000" w:type="pct"/>
              <w:tblLayout w:type="fixed"/>
              <w:tblLook w:val="04A0" w:firstRow="1" w:lastRow="0" w:firstColumn="1" w:lastColumn="0" w:noHBand="0" w:noVBand="1"/>
            </w:tblPr>
            <w:tblGrid>
              <w:gridCol w:w="3909"/>
              <w:gridCol w:w="2597"/>
              <w:gridCol w:w="2341"/>
            </w:tblGrid>
            <w:tr w:rsidR="005B62E2" w:rsidRPr="00B60703">
              <w:trPr>
                <w:trHeight w:val="508"/>
              </w:trPr>
              <w:tc>
                <w:tcPr>
                  <w:tcW w:w="2209"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Odgovor</w:t>
                  </w: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N=107</w:t>
                  </w: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N=208</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ASAS</w:t>
                  </w:r>
                  <w:r w:rsidRPr="00B60703">
                    <w:rPr>
                      <w:sz w:val="22"/>
                      <w:szCs w:val="22"/>
                      <w:vertAlign w:val="superscript"/>
                      <w:lang w:val="sr-Latn-ME"/>
                    </w:rPr>
                    <w:t>a</w:t>
                  </w:r>
                  <w:r w:rsidRPr="00B60703">
                    <w:rPr>
                      <w:sz w:val="22"/>
                      <w:szCs w:val="22"/>
                      <w:lang w:val="sr-Latn-ME"/>
                    </w:rPr>
                    <w:t xml:space="preserve"> 20</w:t>
                  </w: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50"/>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42%***</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21%</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58%***</w:t>
                  </w:r>
                </w:p>
              </w:tc>
            </w:tr>
            <w:tr w:rsidR="005B62E2" w:rsidRPr="00B60703">
              <w:trPr>
                <w:trHeight w:val="250"/>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19%</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51%***</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ASAS 50</w:t>
                  </w: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r>
            <w:tr w:rsidR="005B62E2" w:rsidRPr="00B60703">
              <w:trPr>
                <w:trHeight w:val="253"/>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10%</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38%***</w:t>
                  </w:r>
                </w:p>
              </w:tc>
            </w:tr>
            <w:tr w:rsidR="005B62E2" w:rsidRPr="00B60703">
              <w:trPr>
                <w:trHeight w:val="263"/>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11%</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35%***</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ASAS 70</w:t>
                  </w: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50"/>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     Nedjelja 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7%**</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23%***</w:t>
                  </w:r>
                </w:p>
              </w:tc>
            </w:tr>
            <w:tr w:rsidR="005B62E2" w:rsidRPr="00B60703">
              <w:trPr>
                <w:trHeight w:val="250"/>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8%</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24%***</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50"/>
              </w:trPr>
              <w:tc>
                <w:tcPr>
                  <w:tcW w:w="2209" w:type="pct"/>
                  <w:tcBorders>
                    <w:top w:val="single" w:sz="4" w:space="0" w:color="000000"/>
                    <w:left w:val="single" w:sz="4" w:space="0" w:color="000000"/>
                    <w:bottom w:val="single" w:sz="4" w:space="0" w:color="000000"/>
                    <w:right w:val="single" w:sz="4" w:space="0" w:color="000000"/>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BASDAI</w:t>
                  </w:r>
                  <w:r w:rsidRPr="00B60703">
                    <w:rPr>
                      <w:sz w:val="22"/>
                      <w:szCs w:val="22"/>
                      <w:vertAlign w:val="superscript"/>
                      <w:lang w:val="sr-Latn-ME"/>
                    </w:rPr>
                    <w:t>b</w:t>
                  </w:r>
                  <w:r w:rsidRPr="00B60703">
                    <w:rPr>
                      <w:sz w:val="22"/>
                      <w:szCs w:val="22"/>
                      <w:lang w:val="sr-Latn-ME"/>
                    </w:rPr>
                    <w:t xml:space="preserve"> 50</w:t>
                  </w:r>
                </w:p>
              </w:tc>
              <w:tc>
                <w:tcPr>
                  <w:tcW w:w="1468"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rsidR="005B62E2" w:rsidRPr="00B60703" w:rsidRDefault="005B62E2">
                  <w:pPr>
                    <w:tabs>
                      <w:tab w:val="left" w:pos="540"/>
                      <w:tab w:val="left" w:pos="569"/>
                    </w:tabs>
                    <w:jc w:val="both"/>
                    <w:rPr>
                      <w:sz w:val="22"/>
                      <w:szCs w:val="22"/>
                      <w:lang w:val="sr-Latn-ME"/>
                    </w:rPr>
                  </w:pP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20%***</w:t>
                  </w:r>
                </w:p>
              </w:tc>
            </w:tr>
            <w:tr w:rsidR="005B62E2" w:rsidRPr="00B60703">
              <w:trPr>
                <w:trHeight w:val="248"/>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45%***</w:t>
                  </w:r>
                </w:p>
              </w:tc>
            </w:tr>
            <w:tr w:rsidR="005B62E2" w:rsidRPr="00B60703">
              <w:trPr>
                <w:trHeight w:val="253"/>
              </w:trPr>
              <w:tc>
                <w:tcPr>
                  <w:tcW w:w="2209"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tc>
              <w:tc>
                <w:tcPr>
                  <w:tcW w:w="1468"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15%</w:t>
                  </w:r>
                </w:p>
              </w:tc>
              <w:tc>
                <w:tcPr>
                  <w:tcW w:w="1323" w:type="pct"/>
                  <w:tcBorders>
                    <w:top w:val="single" w:sz="4" w:space="0" w:color="000000"/>
                    <w:left w:val="single" w:sz="4" w:space="0" w:color="000000"/>
                    <w:bottom w:val="single" w:sz="4" w:space="0" w:color="000000"/>
                    <w:right w:val="single" w:sz="4" w:space="0" w:color="000000"/>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42%***</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 Statistički značajan pri p&lt;0,001, &lt;0,01 za sva poređenja adalimumaba i placeba u nedjelji 2, 12 i 24.</w:t>
            </w:r>
          </w:p>
          <w:p w:rsidR="005B62E2" w:rsidRPr="00B60703" w:rsidRDefault="00F03789">
            <w:pPr>
              <w:tabs>
                <w:tab w:val="left" w:pos="540"/>
                <w:tab w:val="left" w:pos="569"/>
              </w:tabs>
              <w:jc w:val="both"/>
              <w:rPr>
                <w:i/>
                <w:sz w:val="22"/>
                <w:szCs w:val="22"/>
                <w:lang w:val="sr-Latn-ME"/>
              </w:rPr>
            </w:pPr>
            <w:r w:rsidRPr="00B60703">
              <w:rPr>
                <w:sz w:val="22"/>
                <w:szCs w:val="22"/>
                <w:vertAlign w:val="superscript"/>
                <w:lang w:val="sr-Latn-ME"/>
              </w:rPr>
              <w:t>a</w:t>
            </w:r>
            <w:r w:rsidRPr="00B60703">
              <w:rPr>
                <w:sz w:val="22"/>
                <w:szCs w:val="22"/>
                <w:lang w:val="sr-Latn-ME"/>
              </w:rPr>
              <w:t xml:space="preserve"> procjena u ankilozirajućem spondilitisu (engl. </w:t>
            </w:r>
            <w:r w:rsidRPr="00B60703">
              <w:rPr>
                <w:i/>
                <w:sz w:val="22"/>
                <w:szCs w:val="22"/>
                <w:lang w:val="sr-Latn-ME"/>
              </w:rPr>
              <w:t>Assessments in Ankylosing Spondylitis, ASAS)</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w:t>
            </w:r>
            <w:r w:rsidRPr="00B60703">
              <w:rPr>
                <w:i/>
                <w:sz w:val="22"/>
                <w:szCs w:val="22"/>
                <w:lang w:val="sr-Latn-ME"/>
              </w:rPr>
              <w:t>Bath</w:t>
            </w:r>
            <w:r w:rsidRPr="00B60703">
              <w:rPr>
                <w:sz w:val="22"/>
                <w:szCs w:val="22"/>
                <w:lang w:val="sr-Latn-ME"/>
              </w:rPr>
              <w:t xml:space="preserve"> indeks aktivnosti ankilozirajućeg spondilitisa (engl. </w:t>
            </w:r>
            <w:r w:rsidRPr="00B60703">
              <w:rPr>
                <w:i/>
                <w:sz w:val="22"/>
                <w:szCs w:val="22"/>
                <w:lang w:val="sr-Latn-ME"/>
              </w:rPr>
              <w:t>Bath Ankylosing Spondylitis Disease Activity Index</w:t>
            </w:r>
            <w:r w:rsidRPr="00B60703">
              <w:rPr>
                <w:sz w:val="22"/>
                <w:szCs w:val="22"/>
                <w:lang w:val="sr-Latn-ME"/>
              </w:rPr>
              <w:t>)</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Pacijenti liječeni adalimumabom su imali značajno poboljšanje kvaliteta života u nedjelji 12, koje se zadržalo do kraja nedjelje 24 prema upitniku SF36 i Upitniku o kvalitetu života sa ankilozirajućim spondilitisom </w:t>
            </w:r>
            <w:r w:rsidRPr="00B60703">
              <w:rPr>
                <w:i/>
                <w:sz w:val="22"/>
                <w:szCs w:val="22"/>
                <w:lang w:val="sr-Latn-ME"/>
              </w:rPr>
              <w:t>(Ankylosing Spondylitis Quality of Life Questionnaire-</w:t>
            </w:r>
            <w:r w:rsidRPr="00B60703">
              <w:rPr>
                <w:sz w:val="22"/>
                <w:szCs w:val="22"/>
                <w:lang w:val="sr-Latn-ME"/>
              </w:rPr>
              <w:t>ASQoL).</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Slični trendovi (nisu svi statistički značajni) viđeni su i u manjoj, randomizovanoj, dvostruko slijepoj, placebo kontrolisanoj studiji (AS studija II) kod 82 odrasla pacijenta sa aktivnim ankilozirajućim spondilitisom.</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Aksijalni spondiloartritis bez radiografskog dokaza AS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procjenjivane su u dva randomizovana, dvostruko slijepa, placebo kontrolisana ispitivanja, sprovedena kod pacijenata sa aksijalnim spondiloartritisom bez radiografskog dokaza AS (nr-axSpA). U ispitivanju nr-axSpA I, procjenjivani su pacijenti koji su imali aktivan nr-axSpA. U ispitivanju nr-axSpA II, procjenjivalo se ukidanje terapije kod pacijenata sa aktivnim nr-axSpA koji su postigli remisiju tokom otvorenog liječenja adalimumabom.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Ispitivanje nr-axSpA 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40 mg svake druge nedjelje ispitivan je u jednoj randomizovanoj, dvostruko slijepoj, placebo kontrolisanoj studiji (nr-axSpA I) u trajanju od 12 nedjelja, kod 185 pacijenata sa aktivnim nr-axSpA (srednja početna vrijednost aktivnosti bolesti [engl. </w:t>
            </w:r>
            <w:r w:rsidRPr="00B60703">
              <w:rPr>
                <w:i/>
                <w:sz w:val="22"/>
                <w:szCs w:val="22"/>
                <w:lang w:val="sr-Latn-ME"/>
              </w:rPr>
              <w:t>Bath Ankylosing Spondilylitis Disease Activity Index</w:t>
            </w:r>
            <w:r w:rsidRPr="00B60703">
              <w:rPr>
                <w:sz w:val="22"/>
                <w:szCs w:val="22"/>
                <w:lang w:val="sr-Latn-ME"/>
              </w:rPr>
              <w:t xml:space="preserve"> (BASDAI)] je bila 6,4 za pacijente koji su primali adalimumab i 6,5 za pacijente koji su primali placebo), a koji su imali neadekvatan odgovor na konvencionalnu terapiju ili su intolerantni na ≥1 NSAIL ili kod kojih je upotreba NSAIL kontraindikovana.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Trideset tri (18%) pacijenta primalo je prateću terapiju antireumatskim ljekovima koji modifikuju tok bolesti, a 146 (79%) pacijenata je primalo prateću terapiju NSAIL. Nakon perioda maskiranja, slijedio je period otvorenog ispitivanja u kome su pacijenti primali adalimumab 40 mg svake druge nedjelje supkutano tokom sljedeće 144 nedjelje. Rezultati izmjereni u nedjelji 12 pokazali su statistički značajno poboljšanje znakova i simptoma aktivnog nr-axSpA kod pacijenata koji su primali adalimumab, u odnosu na pacijente koji su primali placebo (Tabela 14).</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14: Rezultati efikasnosti u placebo kontrolisanom ispitivanju nr-axSpA I</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690"/>
              <w:gridCol w:w="2297"/>
            </w:tblGrid>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Dvostruko slijepo</w:t>
                  </w:r>
                </w:p>
                <w:p w:rsidR="005B62E2" w:rsidRPr="00B60703" w:rsidRDefault="00F03789">
                  <w:pPr>
                    <w:tabs>
                      <w:tab w:val="left" w:pos="540"/>
                      <w:tab w:val="left" w:pos="569"/>
                    </w:tabs>
                    <w:jc w:val="both"/>
                    <w:rPr>
                      <w:sz w:val="22"/>
                      <w:szCs w:val="22"/>
                      <w:lang w:val="sr-Latn-ME"/>
                    </w:rPr>
                  </w:pPr>
                  <w:r w:rsidRPr="00B60703">
                    <w:rPr>
                      <w:sz w:val="22"/>
                      <w:szCs w:val="22"/>
                      <w:lang w:val="sr-Latn-ME"/>
                    </w:rPr>
                    <w:t>Odgovor u 12. nedjelji</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N=94</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N=91</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ASASª 40</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15%</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36%***</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ASAS 20</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31%</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52%**</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ASAS 5/6</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31%***</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ASAS parcijalna remisija</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BASDAI</w:t>
                  </w:r>
                  <w:r w:rsidRPr="00B60703">
                    <w:rPr>
                      <w:sz w:val="22"/>
                      <w:szCs w:val="22"/>
                      <w:vertAlign w:val="superscript"/>
                      <w:lang w:val="sr-Latn-ME"/>
                    </w:rPr>
                    <w:t>b</w:t>
                  </w:r>
                  <w:r w:rsidRPr="00B60703">
                    <w:rPr>
                      <w:sz w:val="22"/>
                      <w:szCs w:val="22"/>
                      <w:lang w:val="sr-Latn-ME"/>
                    </w:rPr>
                    <w:t xml:space="preserve"> 50</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15%</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35%**</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ASDAS</w:t>
                  </w:r>
                  <w:r w:rsidRPr="00B60703">
                    <w:rPr>
                      <w:sz w:val="22"/>
                      <w:szCs w:val="22"/>
                      <w:vertAlign w:val="superscript"/>
                      <w:lang w:val="sr-Latn-ME"/>
                    </w:rPr>
                    <w:t>c,d,e</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-0,3</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-1,0***</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ASDAS inaktivna bolest</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4 %</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24%***</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Hs-CRP</w:t>
                  </w:r>
                  <w:r w:rsidRPr="00B60703">
                    <w:rPr>
                      <w:sz w:val="22"/>
                      <w:szCs w:val="22"/>
                      <w:vertAlign w:val="superscript"/>
                      <w:lang w:val="sr-Latn-ME"/>
                    </w:rPr>
                    <w:t>d,f,g</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-0,3</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-4,7***</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SPARCC</w:t>
                  </w:r>
                  <w:r w:rsidRPr="00B60703">
                    <w:rPr>
                      <w:sz w:val="22"/>
                      <w:szCs w:val="22"/>
                      <w:vertAlign w:val="superscript"/>
                      <w:lang w:val="sr-Latn-ME"/>
                    </w:rPr>
                    <w:t>h</w:t>
                  </w:r>
                  <w:r w:rsidRPr="00B60703">
                    <w:rPr>
                      <w:sz w:val="22"/>
                      <w:szCs w:val="22"/>
                      <w:lang w:val="sr-Latn-ME"/>
                    </w:rPr>
                    <w:t xml:space="preserve"> MR sakroilijačni zglobovi</w:t>
                  </w:r>
                  <w:r w:rsidRPr="00B60703">
                    <w:rPr>
                      <w:sz w:val="22"/>
                      <w:szCs w:val="22"/>
                      <w:vertAlign w:val="superscript"/>
                      <w:lang w:val="sr-Latn-ME"/>
                    </w:rPr>
                    <w:t>d,i</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-0,6</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-3,2**</w:t>
                  </w:r>
                </w:p>
              </w:tc>
            </w:tr>
            <w:tr w:rsidR="005B62E2" w:rsidRPr="00B60703">
              <w:tc>
                <w:tcPr>
                  <w:tcW w:w="274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vertAlign w:val="superscript"/>
                      <w:lang w:val="sr-Latn-ME"/>
                    </w:rPr>
                  </w:pPr>
                  <w:r w:rsidRPr="00B60703">
                    <w:rPr>
                      <w:sz w:val="22"/>
                      <w:szCs w:val="22"/>
                      <w:lang w:val="sr-Latn-ME"/>
                    </w:rPr>
                    <w:t>SPARCC MR kičme</w:t>
                  </w:r>
                  <w:r w:rsidRPr="00B60703">
                    <w:rPr>
                      <w:sz w:val="22"/>
                      <w:szCs w:val="22"/>
                      <w:vertAlign w:val="superscript"/>
                      <w:lang w:val="sr-Latn-ME"/>
                    </w:rPr>
                    <w:t>d,j</w:t>
                  </w:r>
                </w:p>
              </w:tc>
              <w:tc>
                <w:tcPr>
                  <w:tcW w:w="95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-0,2</w:t>
                  </w:r>
                </w:p>
              </w:tc>
              <w:tc>
                <w:tcPr>
                  <w:tcW w:w="129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-1,8**</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ªASAS = engl. </w:t>
            </w:r>
            <w:r w:rsidRPr="00B60703">
              <w:rPr>
                <w:i/>
                <w:sz w:val="22"/>
                <w:szCs w:val="22"/>
                <w:lang w:val="sr-Latn-ME"/>
              </w:rPr>
              <w:t>Assessments in Spondyloarthritis International Society</w:t>
            </w:r>
            <w:r w:rsidRPr="00B60703">
              <w:rPr>
                <w:sz w:val="22"/>
                <w:szCs w:val="22"/>
                <w:lang w:val="sr-Latn-ME"/>
              </w:rPr>
              <w:t xml:space="preserve"> – Međunarodno društvo za ocjenu spondiloartritisa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 xml:space="preserve">b </w:t>
            </w:r>
            <w:r w:rsidRPr="00B60703">
              <w:rPr>
                <w:sz w:val="22"/>
                <w:szCs w:val="22"/>
                <w:lang w:val="sr-Latn-ME"/>
              </w:rPr>
              <w:t xml:space="preserve">BASDAI = engl. </w:t>
            </w:r>
            <w:r w:rsidRPr="00B60703">
              <w:rPr>
                <w:i/>
                <w:sz w:val="22"/>
                <w:szCs w:val="22"/>
                <w:lang w:val="sr-Latn-ME"/>
              </w:rPr>
              <w:t>Bath Ankylosing Spondylitis Disease Activity Index -</w:t>
            </w:r>
            <w:r w:rsidRPr="00B60703">
              <w:rPr>
                <w:sz w:val="22"/>
                <w:szCs w:val="22"/>
                <w:lang w:val="sr-Latn-ME"/>
              </w:rPr>
              <w:t xml:space="preserve"> </w:t>
            </w:r>
            <w:r w:rsidRPr="00B60703">
              <w:rPr>
                <w:i/>
                <w:sz w:val="22"/>
                <w:szCs w:val="22"/>
                <w:lang w:val="sr-Latn-ME"/>
              </w:rPr>
              <w:t>Bath</w:t>
            </w:r>
            <w:r w:rsidRPr="00B60703">
              <w:rPr>
                <w:sz w:val="22"/>
                <w:szCs w:val="22"/>
                <w:lang w:val="sr-Latn-ME"/>
              </w:rPr>
              <w:t xml:space="preserve"> indeks aktivnosti ankilozirajućeg spondilitisa</w:t>
            </w:r>
          </w:p>
          <w:p w:rsidR="005B62E2" w:rsidRPr="00B60703" w:rsidRDefault="00F03789">
            <w:pPr>
              <w:tabs>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engl. </w:t>
            </w:r>
            <w:r w:rsidRPr="00B60703">
              <w:rPr>
                <w:i/>
                <w:sz w:val="22"/>
                <w:szCs w:val="22"/>
                <w:lang w:val="sr-Latn-ME"/>
              </w:rPr>
              <w:t>Ankylosing Spondylitis Disease Activity Score –</w:t>
            </w:r>
            <w:r w:rsidRPr="00B60703">
              <w:rPr>
                <w:sz w:val="22"/>
                <w:szCs w:val="22"/>
                <w:lang w:val="sr-Latn-ME"/>
              </w:rPr>
              <w:t xml:space="preserve"> Rezultati za aktivnost ankilozirajućeg spondilitisa</w:t>
            </w:r>
          </w:p>
          <w:p w:rsidR="005B62E2" w:rsidRPr="00B60703" w:rsidRDefault="00F03789">
            <w:pPr>
              <w:tabs>
                <w:tab w:val="left" w:pos="569"/>
              </w:tabs>
              <w:jc w:val="both"/>
              <w:rPr>
                <w:sz w:val="22"/>
                <w:szCs w:val="22"/>
                <w:lang w:val="sr-Latn-ME"/>
              </w:rPr>
            </w:pPr>
            <w:r w:rsidRPr="00B60703">
              <w:rPr>
                <w:sz w:val="22"/>
                <w:szCs w:val="22"/>
                <w:vertAlign w:val="superscript"/>
                <w:lang w:val="sr-Latn-ME"/>
              </w:rPr>
              <w:t>d</w:t>
            </w:r>
            <w:r w:rsidRPr="00B60703">
              <w:rPr>
                <w:sz w:val="22"/>
                <w:szCs w:val="22"/>
                <w:lang w:val="sr-Latn-ME"/>
              </w:rPr>
              <w:t xml:space="preserve"> srednja promjena od početne vrijednosti</w:t>
            </w:r>
          </w:p>
          <w:p w:rsidR="005B62E2" w:rsidRPr="00B60703" w:rsidRDefault="00F03789">
            <w:pPr>
              <w:tabs>
                <w:tab w:val="left" w:pos="569"/>
              </w:tabs>
              <w:jc w:val="both"/>
              <w:rPr>
                <w:sz w:val="22"/>
                <w:szCs w:val="22"/>
                <w:lang w:val="sr-Latn-ME"/>
              </w:rPr>
            </w:pPr>
            <w:r w:rsidRPr="00B60703">
              <w:rPr>
                <w:sz w:val="22"/>
                <w:szCs w:val="22"/>
                <w:vertAlign w:val="superscript"/>
                <w:lang w:val="sr-Latn-ME"/>
              </w:rPr>
              <w:t>e</w:t>
            </w:r>
            <w:r w:rsidRPr="00B60703">
              <w:rPr>
                <w:sz w:val="22"/>
                <w:szCs w:val="22"/>
                <w:lang w:val="sr-Latn-ME"/>
              </w:rPr>
              <w:t xml:space="preserve"> n=91 placebo i n=87 za adalimumab</w:t>
            </w:r>
          </w:p>
          <w:p w:rsidR="005B62E2" w:rsidRPr="00B60703" w:rsidRDefault="00F03789">
            <w:pPr>
              <w:tabs>
                <w:tab w:val="left" w:pos="569"/>
              </w:tabs>
              <w:jc w:val="both"/>
              <w:rPr>
                <w:sz w:val="22"/>
                <w:szCs w:val="22"/>
                <w:lang w:val="sr-Latn-ME"/>
              </w:rPr>
            </w:pPr>
            <w:r w:rsidRPr="00B60703">
              <w:rPr>
                <w:sz w:val="22"/>
                <w:szCs w:val="22"/>
                <w:vertAlign w:val="superscript"/>
                <w:lang w:val="sr-Latn-ME"/>
              </w:rPr>
              <w:t>f</w:t>
            </w:r>
            <w:r w:rsidRPr="00B60703">
              <w:rPr>
                <w:sz w:val="22"/>
                <w:szCs w:val="22"/>
                <w:lang w:val="sr-Latn-ME"/>
              </w:rPr>
              <w:t xml:space="preserve"> engl. </w:t>
            </w:r>
            <w:r w:rsidRPr="00B60703">
              <w:rPr>
                <w:i/>
                <w:sz w:val="22"/>
                <w:szCs w:val="22"/>
                <w:lang w:val="sr-Latn-ME"/>
              </w:rPr>
              <w:t>high sensitivity C-Reactive Protein</w:t>
            </w:r>
            <w:r w:rsidRPr="00B60703">
              <w:rPr>
                <w:sz w:val="22"/>
                <w:szCs w:val="22"/>
                <w:lang w:val="sr-Latn-ME"/>
              </w:rPr>
              <w:t xml:space="preserve"> (mg/L) – C reaktivni protein visoke osjetljivosti</w:t>
            </w:r>
          </w:p>
          <w:p w:rsidR="005B62E2" w:rsidRPr="00B60703" w:rsidRDefault="00F03789">
            <w:pPr>
              <w:tabs>
                <w:tab w:val="left" w:pos="569"/>
              </w:tabs>
              <w:jc w:val="both"/>
              <w:rPr>
                <w:sz w:val="22"/>
                <w:szCs w:val="22"/>
                <w:lang w:val="sr-Latn-ME"/>
              </w:rPr>
            </w:pPr>
            <w:r w:rsidRPr="00B60703">
              <w:rPr>
                <w:sz w:val="22"/>
                <w:szCs w:val="22"/>
                <w:vertAlign w:val="superscript"/>
                <w:lang w:val="sr-Latn-ME"/>
              </w:rPr>
              <w:t>g</w:t>
            </w:r>
            <w:r w:rsidRPr="00B60703">
              <w:rPr>
                <w:sz w:val="22"/>
                <w:szCs w:val="22"/>
                <w:lang w:val="sr-Latn-ME"/>
              </w:rPr>
              <w:t xml:space="preserve"> n=73 placebo i n=70 za adalimumab</w:t>
            </w:r>
          </w:p>
          <w:p w:rsidR="005B62E2" w:rsidRPr="00B60703" w:rsidRDefault="00F03789">
            <w:pPr>
              <w:tabs>
                <w:tab w:val="left" w:pos="569"/>
              </w:tabs>
              <w:jc w:val="both"/>
              <w:rPr>
                <w:sz w:val="22"/>
                <w:szCs w:val="22"/>
                <w:lang w:val="sr-Latn-ME"/>
              </w:rPr>
            </w:pPr>
            <w:r w:rsidRPr="00B60703">
              <w:rPr>
                <w:sz w:val="22"/>
                <w:szCs w:val="22"/>
                <w:vertAlign w:val="superscript"/>
                <w:lang w:val="sr-Latn-ME"/>
              </w:rPr>
              <w:t>h</w:t>
            </w:r>
            <w:r w:rsidRPr="00B60703">
              <w:rPr>
                <w:sz w:val="22"/>
                <w:szCs w:val="22"/>
                <w:lang w:val="sr-Latn-ME"/>
              </w:rPr>
              <w:t xml:space="preserve"> engl. </w:t>
            </w:r>
            <w:r w:rsidRPr="00B60703">
              <w:rPr>
                <w:i/>
                <w:sz w:val="22"/>
                <w:szCs w:val="22"/>
                <w:lang w:val="sr-Latn-ME"/>
              </w:rPr>
              <w:t>Spondyloarthritis Research Consortium of Canada</w:t>
            </w:r>
            <w:r w:rsidRPr="00B60703">
              <w:rPr>
                <w:sz w:val="22"/>
                <w:szCs w:val="22"/>
                <w:lang w:val="sr-Latn-ME"/>
              </w:rPr>
              <w:t xml:space="preserve"> – Kanadski konzorcijum za istraživanje spondiloartritisa</w:t>
            </w:r>
          </w:p>
          <w:p w:rsidR="005B62E2" w:rsidRPr="00B60703" w:rsidRDefault="00F03789">
            <w:pPr>
              <w:tabs>
                <w:tab w:val="left" w:pos="569"/>
              </w:tabs>
              <w:jc w:val="both"/>
              <w:rPr>
                <w:sz w:val="22"/>
                <w:szCs w:val="22"/>
                <w:lang w:val="sr-Latn-ME"/>
              </w:rPr>
            </w:pPr>
            <w:r w:rsidRPr="00B60703">
              <w:rPr>
                <w:sz w:val="22"/>
                <w:szCs w:val="22"/>
                <w:vertAlign w:val="superscript"/>
                <w:lang w:val="sr-Latn-ME"/>
              </w:rPr>
              <w:t>i</w:t>
            </w:r>
            <w:r w:rsidRPr="00B60703">
              <w:rPr>
                <w:sz w:val="22"/>
                <w:szCs w:val="22"/>
                <w:lang w:val="sr-Latn-ME"/>
              </w:rPr>
              <w:t xml:space="preserve"> n=84 placebo i adalimumab</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j</w:t>
            </w:r>
            <w:r w:rsidRPr="00B60703">
              <w:rPr>
                <w:sz w:val="22"/>
                <w:szCs w:val="22"/>
                <w:lang w:val="sr-Latn-ME"/>
              </w:rPr>
              <w:t xml:space="preserve"> n=82 placebo i n=85 za 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 statistički značajan pri p &lt; 0,001,  odnosno &lt; 0,01, odnosno &lt; 0,05, za sva poređenja između adalimumaba i placeba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U otvorenom produžetku studije, poboljšanje znakova i simptoma je zadržano uz terapiju adalimumabom sve do nedjelje 156.</w:t>
            </w:r>
          </w:p>
          <w:p w:rsidR="005B62E2" w:rsidRPr="00B60703" w:rsidRDefault="005B62E2">
            <w:pPr>
              <w:tabs>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Inhibicija inflamacije</w:t>
            </w:r>
          </w:p>
          <w:p w:rsidR="005B62E2" w:rsidRPr="00B60703" w:rsidRDefault="005B62E2">
            <w:pPr>
              <w:tabs>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Značajno poboljšanje simptoma inflamacije, određeno mjerenjem vrijednosti C-reaktivnog proteina visoke osjetljivosti (hs-CRP) i MRI sakroilijačnih zglobova i kičme zadržano je kod pacijenata liječenih adalimumabom sve do nedjelje 156 i nedjelje 104.</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Kvalitet života i fizička funkcija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Kvalitet života povezan sa zdravljem i fizičkom funkcijom bio je procijenjen korišćenjem HAQ-S i SF-36 upitnika. Adalimumab je pokazao statistički značajno poboljšanje HAQ-S skora i SF-36, skora fizičke komponente (PCS=engl. </w:t>
            </w:r>
            <w:r w:rsidRPr="00B60703">
              <w:rPr>
                <w:i/>
                <w:sz w:val="22"/>
                <w:szCs w:val="22"/>
                <w:lang w:val="sr-Latn-ME"/>
              </w:rPr>
              <w:t>Physical Component Score</w:t>
            </w:r>
            <w:r w:rsidRPr="00B60703">
              <w:rPr>
                <w:sz w:val="22"/>
                <w:szCs w:val="22"/>
                <w:lang w:val="sr-Latn-ME"/>
              </w:rPr>
              <w:t xml:space="preserve">), u periodu od početka studije do nedjelje 12, u poređenju sa placebom. </w:t>
            </w:r>
          </w:p>
          <w:p w:rsidR="005B62E2" w:rsidRPr="00B60703" w:rsidRDefault="00F03789">
            <w:pPr>
              <w:tabs>
                <w:tab w:val="left" w:pos="540"/>
                <w:tab w:val="left" w:pos="569"/>
              </w:tabs>
              <w:jc w:val="both"/>
              <w:rPr>
                <w:sz w:val="22"/>
                <w:szCs w:val="22"/>
                <w:lang w:val="sr-Latn-ME"/>
              </w:rPr>
            </w:pPr>
            <w:r w:rsidRPr="00B60703">
              <w:rPr>
                <w:sz w:val="22"/>
                <w:szCs w:val="22"/>
                <w:lang w:val="sr-Latn-ME"/>
              </w:rPr>
              <w:t>Poboljšanje fizičke funkcije u kvalitetu života je zadržano i tokom otvorenog produžetka studije do nedjelje 156.</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Ispitivanje nr-axSpA II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673 pacijenta sa aktivnim nr-axSpA (srednja početna vrijednost aktivnosti bolesti [BASDAI] iznosila je 7,0) koji nisu imali zadovoljavajući odgovor na </w:t>
            </w:r>
            <w:r w:rsidRPr="00B60703">
              <w:rPr>
                <w:sz w:val="22"/>
                <w:szCs w:val="22"/>
                <w:lang w:val="sr-Latn-ME"/>
              </w:rPr>
              <w:sym w:font="Symbol" w:char="F0B3"/>
            </w:r>
            <w:r w:rsidRPr="00B60703">
              <w:rPr>
                <w:sz w:val="22"/>
                <w:szCs w:val="22"/>
                <w:lang w:val="sr-Latn-ME"/>
              </w:rPr>
              <w:t xml:space="preserve"> 2 NSAIL-a, nisu podnosili NSAIL-ove ili su imali kontraindikaciju za primjenu NSAIL-ova uključena su u otvoreni period ispitivanja nr-axSpA II, u kom su primali adalimumab u dozi od 40 mg svake druge nedjelje tokom 28 nedjelja. Ovi pacijenti su takođe imali i objektivne dokaze zapaljenja sakroilijačnih zglobova ili kičme na MR snimcima (engl. </w:t>
            </w:r>
            <w:r w:rsidRPr="00B60703">
              <w:rPr>
                <w:i/>
                <w:sz w:val="22"/>
                <w:szCs w:val="22"/>
                <w:lang w:val="sr-Latn-ME"/>
              </w:rPr>
              <w:t>Magnetic Resonance Imaging</w:t>
            </w:r>
            <w:r w:rsidRPr="00B60703">
              <w:rPr>
                <w:sz w:val="22"/>
                <w:szCs w:val="22"/>
                <w:lang w:val="sr-Latn-ME"/>
              </w:rPr>
              <w:t xml:space="preserve">, MRI) ili povišene nivoe hs-CRP-a. Pacijenti koji su tokom otvorenog perioda ispitivanja postigli remisiju koja se održala najmanje 12 nedjelja (N=305) (ASDAS rezultat &lt; 1,3 u nedjeljama 16, 20, 24 i 28) su zatim bili randomizovani za nastavak liječenja adalimumabom u dozi od 40 mg svake druge nedjelje (N=152) ili za primanje placeba (N=153) tokom dodatnih 40 nedjelja u dvostruko slijepom, placebo kontrolisanom periodu (ukupno trajanje ispitivanja: 68 nedjelja). Ispitanicima kojima se bolest pogoršala tokom dvostruko slijepog perioda bila je dopuštena primjena terapije spašavanja (engl. </w:t>
            </w:r>
            <w:r w:rsidRPr="00B60703">
              <w:rPr>
                <w:i/>
                <w:sz w:val="22"/>
                <w:szCs w:val="22"/>
                <w:lang w:val="sr-Latn-ME"/>
              </w:rPr>
              <w:t>rescue therapy</w:t>
            </w:r>
            <w:r w:rsidRPr="00B60703">
              <w:rPr>
                <w:sz w:val="22"/>
                <w:szCs w:val="22"/>
                <w:lang w:val="sr-Latn-ME"/>
              </w:rPr>
              <w:t xml:space="preserve">) adalimumabom u dozi od 40 mg svake druge nedjelje tokom najmanje 12 nedjelja.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Primarni parametar praćenja efikasnosti bio je udio pacijenata kojima se bolest nije pogoršala u ispitivanju do nedjelje 68. Pogoršanje bolesti definisalo se kao ASDAS rezultat ≥ 2,1 pri dvije </w:t>
            </w:r>
            <w:r w:rsidRPr="00B60703">
              <w:rPr>
                <w:sz w:val="22"/>
                <w:szCs w:val="22"/>
                <w:lang w:val="sr-Latn-ME"/>
              </w:rPr>
              <w:lastRenderedPageBreak/>
              <w:t>uzastopne posjete u razmaku od četiri nedjelje. Pogoršanje bolesti tokom dvostruko slijepog perioda izostalo je kod većeg udjela pacijenata liječenih adalimumabom nego kod onih koji su primali placebo (70,4% u odnosu na 47,1%, p&lt;0,001) (Slika 1).</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 xml:space="preserve">Slika 1 </w:t>
            </w:r>
            <w:r w:rsidRPr="00B60703">
              <w:rPr>
                <w:b/>
                <w:i/>
                <w:sz w:val="22"/>
                <w:szCs w:val="22"/>
                <w:lang w:val="sr-Latn-ME"/>
              </w:rPr>
              <w:t>Kaplan-Meier</w:t>
            </w:r>
            <w:r w:rsidRPr="00B60703">
              <w:rPr>
                <w:b/>
                <w:sz w:val="22"/>
                <w:szCs w:val="22"/>
                <w:lang w:val="sr-Latn-ME"/>
              </w:rPr>
              <w:t>-ove krive koje sažeto prikazuju vrijeme do pogoršanja bolesti u ispitivanju nr-axSpA II</w:t>
            </w:r>
          </w:p>
          <w:p w:rsidR="005B62E2" w:rsidRPr="00B60703" w:rsidRDefault="00F03789">
            <w:pPr>
              <w:tabs>
                <w:tab w:val="left" w:pos="540"/>
                <w:tab w:val="left" w:pos="569"/>
              </w:tabs>
              <w:jc w:val="both"/>
              <w:rPr>
                <w:sz w:val="22"/>
                <w:szCs w:val="22"/>
                <w:lang w:val="sr-Latn-ME"/>
              </w:rPr>
            </w:pPr>
            <w:r w:rsidRPr="00B60703">
              <w:rPr>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-210185</wp:posOffset>
                      </wp:positionH>
                      <wp:positionV relativeFrom="paragraph">
                        <wp:posOffset>189865</wp:posOffset>
                      </wp:positionV>
                      <wp:extent cx="479425" cy="236791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367915"/>
                              </a:xfrm>
                              <a:prstGeom prst="rect">
                                <a:avLst/>
                              </a:prstGeom>
                              <a:noFill/>
                              <a:ln>
                                <a:noFill/>
                              </a:ln>
                            </wps:spPr>
                            <wps:txbx>
                              <w:txbxContent>
                                <w:p w:rsidR="005B62E2" w:rsidRDefault="00F03789">
                                  <w:pPr>
                                    <w:tabs>
                                      <w:tab w:val="left" w:pos="562"/>
                                    </w:tabs>
                                    <w:ind w:left="113" w:right="113"/>
                                    <w:jc w:val="center"/>
                                    <w:rPr>
                                      <w:b/>
                                      <w:sz w:val="20"/>
                                      <w:lang w:val="hr-HR" w:eastAsia="en-GB"/>
                                    </w:rPr>
                                  </w:pPr>
                                  <w:r>
                                    <w:rPr>
                                      <w:b/>
                                      <w:sz w:val="20"/>
                                      <w:lang w:val="hr-HR" w:eastAsia="en-GB"/>
                                    </w:rPr>
                                    <w:t>VJEROVATNOĆA DA NE DOĐE DO POGORŠANJA BOLESTI</w:t>
                                  </w:r>
                                </w:p>
                                <w:p w:rsidR="005B62E2" w:rsidRDefault="005B62E2">
                                  <w:pPr>
                                    <w:rPr>
                                      <w:sz w:val="22"/>
                                    </w:rPr>
                                  </w:pPr>
                                </w:p>
                              </w:txbxContent>
                            </wps:txbx>
                            <wps:bodyPr rot="0" vert="vert270"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55pt;margin-top:14.95pt;height:186.45pt;width:37.75pt;z-index:251662336;mso-width-relative:page;mso-height-relative:page;" filled="f" stroked="f" coordsize="21600,21600" o:gfxdata="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UHO42gAAAAkBAAAPAAAAAAAAAAEAIAAA&#10;ACIAAABkcnMvZG93bnJldi54bWxQSwECFAAUAAAACACHTuJAsyMZgAoCAAAZBAAADgAAAAAAAAAB&#10;ACAAAAApAQAAZHJzL2Uyb0RvYy54bWxQSwUGAAAAAAYABgBZAQAApQUAAAAA&#10;">
                      <v:fill on="f" focussize="0,0"/>
                      <v:stroke on="f"/>
                      <v:imagedata o:title=""/>
                      <o:lock v:ext="edit" aspectratio="f"/>
                      <v:textbox style="layout-flow:vertical;mso-layout-flow-alt:bottom-to-top;">
                        <w:txbxContent>
                          <w:p>
                            <w:pPr>
                              <w:tabs>
                                <w:tab w:val="left" w:pos="562"/>
                              </w:tabs>
                              <w:ind w:left="113" w:right="113"/>
                              <w:jc w:val="center"/>
                              <w:rPr>
                                <w:b/>
                                <w:sz w:val="20"/>
                                <w:lang w:val="hr-HR" w:eastAsia="en-GB"/>
                              </w:rPr>
                            </w:pPr>
                            <w:r>
                              <w:rPr>
                                <w:b/>
                                <w:sz w:val="20"/>
                                <w:lang w:val="hr-HR" w:eastAsia="en-GB"/>
                              </w:rPr>
                              <w:t>VJEROVATNOĆA DA NE DOĐE DO POGORŠANJA BOLESTI</w:t>
                            </w:r>
                          </w:p>
                          <w:p>
                            <w:pPr>
                              <w:rPr>
                                <w:sz w:val="22"/>
                              </w:rPr>
                            </w:pPr>
                          </w:p>
                        </w:txbxContent>
                      </v:textbox>
                    </v:shape>
                  </w:pict>
                </mc:Fallback>
              </mc:AlternateContent>
            </w:r>
          </w:p>
          <w:p w:rsidR="005B62E2" w:rsidRPr="00B60703" w:rsidRDefault="00F03789">
            <w:pPr>
              <w:tabs>
                <w:tab w:val="left" w:pos="540"/>
                <w:tab w:val="left" w:pos="569"/>
              </w:tabs>
              <w:jc w:val="both"/>
              <w:rPr>
                <w:sz w:val="22"/>
                <w:szCs w:val="22"/>
                <w:lang w:val="sr-Latn-ME"/>
              </w:rPr>
            </w:pPr>
            <w:r w:rsidRPr="00B60703">
              <w:rPr>
                <w:noProof/>
                <w:sz w:val="22"/>
                <w:szCs w:val="22"/>
              </w:rPr>
              <w:drawing>
                <wp:anchor distT="0" distB="0" distL="114300" distR="114300" simplePos="0" relativeHeight="251661312" behindDoc="0" locked="0" layoutInCell="1" allowOverlap="1">
                  <wp:simplePos x="0" y="0"/>
                  <wp:positionH relativeFrom="column">
                    <wp:posOffset>339725</wp:posOffset>
                  </wp:positionH>
                  <wp:positionV relativeFrom="paragraph">
                    <wp:posOffset>36195</wp:posOffset>
                  </wp:positionV>
                  <wp:extent cx="5344160" cy="2867025"/>
                  <wp:effectExtent l="0" t="0" r="889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44160" cy="2867025"/>
                          </a:xfrm>
                          <a:prstGeom prst="rect">
                            <a:avLst/>
                          </a:prstGeom>
                          <a:noFill/>
                        </pic:spPr>
                      </pic:pic>
                    </a:graphicData>
                  </a:graphic>
                </wp:anchor>
              </w:drawing>
            </w: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VRIJEME (NEDJELJE)</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Liječenje     </w:t>
            </w:r>
            <w:r w:rsidRPr="00B60703">
              <w:rPr>
                <w:noProof/>
                <w:sz w:val="22"/>
                <w:szCs w:val="22"/>
              </w:rPr>
              <mc:AlternateContent>
                <mc:Choice Requires="wps">
                  <w:drawing>
                    <wp:inline distT="0" distB="0" distL="0" distR="0">
                      <wp:extent cx="381000" cy="635"/>
                      <wp:effectExtent l="19050" t="19050" r="19050" b="18415"/>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line">
                                <a:avLst/>
                              </a:prstGeom>
                              <a:noFill/>
                              <a:ln w="28575">
                                <a:solidFill>
                                  <a:srgbClr val="595959"/>
                                </a:solidFill>
                                <a:prstDash val="sysDot"/>
                                <a:round/>
                              </a:ln>
                            </wps:spPr>
                            <wps:bodyPr/>
                          </wps:wsp>
                        </a:graphicData>
                      </a:graphic>
                    </wp:inline>
                  </w:drawing>
                </mc:Choice>
                <mc:Fallback xmlns:wpsCustomData="http://www.wps.cn/officeDocument/2013/wpsCustomData">
                  <w:pict>
                    <v:line id="_x0000_s1026" o:spid="_x0000_s1026" o:spt="20" style="height:0.05pt;width:30pt;" filled="f" stroked="t" coordsize="21600,21600" o:gfxdata="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gxKW9MAAAABAQAA&#10;DwAAAAAAAAABACAAAAAiAAAAZHJzL2Rvd25yZXYueG1sUEsBAhQAFAAAAAgAh07iQOTMQIHlAQAA&#10;ywMAAA4AAAAAAAAAAQAgAAAAIgEAAGRycy9lMm9Eb2MueG1sUEsFBgAAAAAGAAYAWQEAAHkFAAAA&#10;AA==&#10;">
                      <v:fill on="f" focussize="0,0"/>
                      <v:stroke weight="2.25pt" color="#595959" joinstyle="round" dashstyle="1 1"/>
                      <v:imagedata o:title=""/>
                      <o:lock v:ext="edit" aspectratio="f"/>
                      <w10:wrap type="none"/>
                      <w10:anchorlock/>
                    </v:line>
                  </w:pict>
                </mc:Fallback>
              </mc:AlternateContent>
            </w:r>
            <w:r w:rsidRPr="00B60703">
              <w:rPr>
                <w:sz w:val="22"/>
                <w:szCs w:val="22"/>
                <w:lang w:val="sr-Latn-ME"/>
              </w:rPr>
              <w:t xml:space="preserve"> Placebo    </w:t>
            </w:r>
            <w:r w:rsidRPr="00B60703">
              <w:rPr>
                <w:noProof/>
                <w:sz w:val="22"/>
                <w:szCs w:val="22"/>
              </w:rPr>
              <mc:AlternateContent>
                <mc:Choice Requires="wps">
                  <w:drawing>
                    <wp:inline distT="0" distB="0" distL="0" distR="0">
                      <wp:extent cx="401320" cy="635"/>
                      <wp:effectExtent l="9525" t="9525" r="17780" b="18415"/>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line">
                                <a:avLst/>
                              </a:prstGeom>
                              <a:noFill/>
                              <a:ln w="19050">
                                <a:solidFill>
                                  <a:srgbClr val="404040"/>
                                </a:solidFill>
                                <a:round/>
                              </a:ln>
                            </wps:spPr>
                            <wps:bodyPr/>
                          </wps:wsp>
                        </a:graphicData>
                      </a:graphic>
                    </wp:inline>
                  </w:drawing>
                </mc:Choice>
                <mc:Fallback xmlns:wpsCustomData="http://www.wps.cn/officeDocument/2013/wpsCustomData">
                  <w:pict>
                    <v:line id="_x0000_s1026" o:spid="_x0000_s1026" o:spt="20" style="height:0.05pt;width:31.6pt;" filled="f" stroked="t" coordsize="21600,21600" o:gfxdata="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8nNxM4AAAABAQAADwAAAAAAAAABACAAAAAiAAAA&#10;ZHJzL2Rvd25yZXYueG1sUEsBAhQAFAAAAAgAh07iQBzen5XYAQAAsQMAAA4AAAAAAAAAAQAgAAAA&#10;HQEAAGRycy9lMm9Eb2MueG1sUEsFBgAAAAAGAAYAWQEAAGcFAAAAAA==&#10;">
                      <v:fill on="f" focussize="0,0"/>
                      <v:stroke weight="1.5pt" color="#404040" joinstyle="round"/>
                      <v:imagedata o:title=""/>
                      <o:lock v:ext="edit" aspectratio="f"/>
                      <w10:wrap type="none"/>
                      <w10:anchorlock/>
                    </v:line>
                  </w:pict>
                </mc:Fallback>
              </mc:AlternateContent>
            </w:r>
            <w:r w:rsidRPr="00B60703">
              <w:rPr>
                <w:sz w:val="22"/>
                <w:szCs w:val="22"/>
                <w:lang w:val="sr-Latn-ME"/>
              </w:rPr>
              <w:t xml:space="preserve"> adalimumab      ∆ Cenzurisano</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Napomena: P = Placebo (broj pacijenata pod rizikom [pacijenti kojima se bolest pogoršala]); A = Adalimumab (broj pacijenata pod rizikom [pacijenti kojima se bolest pogoršala]).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Među 68 pacijenata kojima se bolest pogoršala u grupi u kojoj je terapija ukinuta, 65 pacijenata je primilo terapiju spašavanja (engl. </w:t>
            </w:r>
            <w:r w:rsidRPr="00B60703">
              <w:rPr>
                <w:i/>
                <w:sz w:val="22"/>
                <w:szCs w:val="22"/>
                <w:lang w:val="sr-Latn-ME"/>
              </w:rPr>
              <w:t>rescue therapy</w:t>
            </w:r>
            <w:r w:rsidRPr="00B60703">
              <w:rPr>
                <w:sz w:val="22"/>
                <w:szCs w:val="22"/>
                <w:lang w:val="sr-Latn-ME"/>
              </w:rPr>
              <w:t>) adalimumabom u trajanju od 12 nedjelja, pri čemu je njih 37 (56,9%) ponovo postiglo remisiju bolesti (ASDAS rezultat &lt; 1,3) 12 nedjelja nakon ponovnog započinjanja otvorene terapije.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Pacijenti koji su neprekidno primali adalimumab su do nedjelje 68 pokazali statistički značajno veće poboljšanje znakova i simptoma aktivnog nr-axSpA u poređenju sa pacijentima kojima je terapija obustavljena tokom dvostruko slijepog perioda ispitivanja (Tabela 15).</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15: Efikasnost u placebo kontrolisanom periodu ispitivanja nr-axSpA II</w:t>
            </w:r>
          </w:p>
          <w:p w:rsidR="005B62E2" w:rsidRPr="00B60703" w:rsidRDefault="005B62E2">
            <w:pPr>
              <w:tabs>
                <w:tab w:val="left" w:pos="540"/>
                <w:tab w:val="left" w:pos="569"/>
              </w:tabs>
              <w:jc w:val="both"/>
              <w:rPr>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7"/>
              <w:gridCol w:w="1642"/>
              <w:gridCol w:w="1778"/>
            </w:tblGrid>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Dvostruko slijepo</w:t>
                  </w:r>
                </w:p>
                <w:p w:rsidR="005B62E2" w:rsidRPr="00B60703" w:rsidRDefault="00F03789">
                  <w:pPr>
                    <w:tabs>
                      <w:tab w:val="left" w:pos="569"/>
                    </w:tabs>
                    <w:jc w:val="both"/>
                    <w:rPr>
                      <w:sz w:val="22"/>
                      <w:szCs w:val="22"/>
                      <w:lang w:val="sr-Latn-ME"/>
                    </w:rPr>
                  </w:pPr>
                  <w:r w:rsidRPr="00B60703">
                    <w:rPr>
                      <w:sz w:val="22"/>
                      <w:szCs w:val="22"/>
                      <w:lang w:val="sr-Latn-ME"/>
                    </w:rPr>
                    <w:t>Odgovor u nedjelji 68</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Placebo</w:t>
                  </w:r>
                </w:p>
                <w:p w:rsidR="005B62E2" w:rsidRPr="00B60703" w:rsidRDefault="00F03789">
                  <w:pPr>
                    <w:tabs>
                      <w:tab w:val="left" w:pos="569"/>
                    </w:tabs>
                    <w:jc w:val="both"/>
                    <w:rPr>
                      <w:sz w:val="22"/>
                      <w:szCs w:val="22"/>
                      <w:lang w:val="sr-Latn-ME"/>
                    </w:rPr>
                  </w:pPr>
                  <w:r w:rsidRPr="00B60703">
                    <w:rPr>
                      <w:sz w:val="22"/>
                      <w:szCs w:val="22"/>
                      <w:lang w:val="sr-Latn-ME"/>
                    </w:rPr>
                    <w:t>N=153</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69"/>
                    </w:tabs>
                    <w:jc w:val="both"/>
                    <w:rPr>
                      <w:sz w:val="22"/>
                      <w:szCs w:val="22"/>
                      <w:lang w:val="sr-Latn-ME"/>
                    </w:rPr>
                  </w:pPr>
                  <w:r w:rsidRPr="00B60703">
                    <w:rPr>
                      <w:sz w:val="22"/>
                      <w:szCs w:val="22"/>
                      <w:lang w:val="sr-Latn-ME"/>
                    </w:rPr>
                    <w:t>N=152</w:t>
                  </w:r>
                </w:p>
              </w:tc>
            </w:tr>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ASAS</w:t>
                  </w:r>
                  <w:r w:rsidRPr="00B60703">
                    <w:rPr>
                      <w:sz w:val="22"/>
                      <w:szCs w:val="22"/>
                      <w:vertAlign w:val="superscript"/>
                      <w:lang w:val="sr-Latn-ME"/>
                    </w:rPr>
                    <w:t>a,b</w:t>
                  </w:r>
                  <w:r w:rsidRPr="00B60703">
                    <w:rPr>
                      <w:sz w:val="22"/>
                      <w:szCs w:val="22"/>
                      <w:lang w:val="sr-Latn-ME"/>
                    </w:rPr>
                    <w:t xml:space="preserve"> 20</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47,1%</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70,4%***</w:t>
                  </w:r>
                </w:p>
              </w:tc>
            </w:tr>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ASAS</w:t>
                  </w:r>
                  <w:r w:rsidRPr="00B60703">
                    <w:rPr>
                      <w:sz w:val="22"/>
                      <w:szCs w:val="22"/>
                      <w:vertAlign w:val="superscript"/>
                      <w:lang w:val="sr-Latn-ME"/>
                    </w:rPr>
                    <w:t>a,b</w:t>
                  </w:r>
                  <w:r w:rsidRPr="00B60703">
                    <w:rPr>
                      <w:sz w:val="22"/>
                      <w:szCs w:val="22"/>
                      <w:lang w:val="sr-Latn-ME"/>
                    </w:rPr>
                    <w:t xml:space="preserve"> 40</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45,8%</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65,8%***</w:t>
                  </w:r>
                </w:p>
              </w:tc>
            </w:tr>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ASAS</w:t>
                  </w:r>
                  <w:r w:rsidRPr="00B60703">
                    <w:rPr>
                      <w:sz w:val="22"/>
                      <w:szCs w:val="22"/>
                      <w:vertAlign w:val="superscript"/>
                      <w:lang w:val="sr-Latn-ME"/>
                    </w:rPr>
                    <w:t>a</w:t>
                  </w:r>
                  <w:r w:rsidRPr="00B60703">
                    <w:rPr>
                      <w:sz w:val="22"/>
                      <w:szCs w:val="22"/>
                      <w:lang w:val="sr-Latn-ME"/>
                    </w:rPr>
                    <w:t xml:space="preserve"> djelimična remisija</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26,8%</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42,1%**</w:t>
                  </w:r>
                </w:p>
              </w:tc>
            </w:tr>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ASDAS</w:t>
                  </w:r>
                  <w:r w:rsidRPr="00B60703">
                    <w:rPr>
                      <w:sz w:val="22"/>
                      <w:szCs w:val="22"/>
                      <w:vertAlign w:val="superscript"/>
                      <w:lang w:val="sr-Latn-ME"/>
                    </w:rPr>
                    <w:t>c</w:t>
                  </w:r>
                  <w:r w:rsidRPr="00B60703">
                    <w:rPr>
                      <w:sz w:val="22"/>
                      <w:szCs w:val="22"/>
                      <w:lang w:val="sr-Latn-ME"/>
                    </w:rPr>
                    <w:t xml:space="preserve"> neaktivna bolest</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33,3%</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57,2%***</w:t>
                  </w:r>
                </w:p>
              </w:tc>
            </w:tr>
            <w:tr w:rsidR="005B62E2" w:rsidRPr="00B60703">
              <w:trPr>
                <w:jc w:val="center"/>
              </w:trPr>
              <w:tc>
                <w:tcPr>
                  <w:tcW w:w="306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Djelimično pogoršanje bolesti</w:t>
                  </w:r>
                  <w:r w:rsidRPr="00B60703">
                    <w:rPr>
                      <w:sz w:val="22"/>
                      <w:szCs w:val="22"/>
                      <w:vertAlign w:val="superscript"/>
                      <w:lang w:val="sr-Latn-ME"/>
                    </w:rPr>
                    <w:t>d</w:t>
                  </w:r>
                </w:p>
              </w:tc>
              <w:tc>
                <w:tcPr>
                  <w:tcW w:w="92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64,1%</w:t>
                  </w:r>
                </w:p>
              </w:tc>
              <w:tc>
                <w:tcPr>
                  <w:tcW w:w="100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40,8%***</w:t>
                  </w:r>
                </w:p>
              </w:tc>
            </w:tr>
            <w:tr w:rsidR="005B62E2" w:rsidRPr="00B60703">
              <w:trPr>
                <w:jc w:val="center"/>
              </w:trPr>
              <w:tc>
                <w:tcPr>
                  <w:tcW w:w="5000" w:type="pct"/>
                  <w:gridSpan w:val="3"/>
                  <w:tcBorders>
                    <w:top w:val="single" w:sz="4" w:space="0" w:color="auto"/>
                    <w:left w:val="nil"/>
                    <w:bottom w:val="nil"/>
                    <w:right w:val="nil"/>
                  </w:tcBorders>
                </w:tcPr>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Međunarodno društvo za ocjenu spondiloartritisa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Početna vrijednost definisana je kao vrijednost na početku perioda otvorenog liječenja kada pacijenti imaju aktivnu bolest.</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Rezultat za aktivnost ankilozirajućeg spondilitisa</w:t>
                  </w:r>
                </w:p>
                <w:p w:rsidR="005B62E2" w:rsidRPr="00B60703" w:rsidRDefault="00F03789">
                  <w:pPr>
                    <w:tabs>
                      <w:tab w:val="left" w:pos="540"/>
                      <w:tab w:val="left" w:pos="569"/>
                    </w:tabs>
                    <w:jc w:val="both"/>
                    <w:rPr>
                      <w:sz w:val="22"/>
                      <w:szCs w:val="22"/>
                      <w:vertAlign w:val="superscript"/>
                      <w:lang w:val="sr-Latn-ME"/>
                    </w:rPr>
                  </w:pPr>
                  <w:r w:rsidRPr="00B60703">
                    <w:rPr>
                      <w:sz w:val="22"/>
                      <w:szCs w:val="22"/>
                      <w:vertAlign w:val="superscript"/>
                      <w:lang w:val="sr-Latn-ME"/>
                    </w:rPr>
                    <w:t>d</w:t>
                  </w:r>
                  <w:r w:rsidRPr="00B60703">
                    <w:rPr>
                      <w:sz w:val="22"/>
                      <w:szCs w:val="22"/>
                      <w:lang w:val="sr-Latn-ME"/>
                    </w:rPr>
                    <w:t xml:space="preserve"> Djelimično pogoršanje bolesti definisalo se kao ASDAS rezultat ≥ 1,3, ali &lt; 2,1 pri dvije uzastopne posjete.</w:t>
                  </w: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 Statistički značajno kod p &lt; 0,001 odnosno p &lt; 0,01 za sva poređenja adalimumaba sa placebom.</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Psorijazni artritis</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Adalimumab 40 mg svake druge nedjelje je ispitivan kod pacijenata sa umjereno teškim do teškim aktivnim psorijaznim artritisom u dvije placebo kontrolisane studije, PsA studije I i II. U PsA studiji I, tokom 24 nedjelje tretirano je 313 odraslih pacijenata koji su imali neadekvatan odgovor na nesteroidnu antiinflamatornu terapiju, a od njih je približno 50% uzimalo metotreksat. U PsA studiji II, tokom 12 nedjelja tretirano je 100 pacijenata koji su imali neadekvatan odgovor na ARMB terapiju. Nakon završetka obje studije, 383 pacijenta je uključeno u otvoreno produženo ispitivanje u kome je 40 mg adalimumaba primjenjivano svake druge nedjelje.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Ne postoji dovoljno dokaza o efikasnosti adalimumaba kod pacijenata sa psorijaznom artropatijom sličnoj ankilozirajućem spondilitisu, zbog malog broja ispitivanih pacijenata.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16: ACR odgovor u placebo-kontrolisanoj studiji psorijaznog artritisa (procenat pacijenata)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619"/>
              <w:gridCol w:w="1621"/>
              <w:gridCol w:w="1868"/>
              <w:gridCol w:w="1870"/>
            </w:tblGrid>
            <w:tr w:rsidR="005B62E2" w:rsidRPr="00B60703">
              <w:trPr>
                <w:cantSplit/>
                <w:trHeight w:val="380"/>
              </w:trPr>
              <w:tc>
                <w:tcPr>
                  <w:tcW w:w="1056"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Odgovor</w:t>
                  </w:r>
                </w:p>
              </w:tc>
              <w:tc>
                <w:tcPr>
                  <w:tcW w:w="1831"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PsA studija I</w:t>
                  </w:r>
                </w:p>
              </w:tc>
              <w:tc>
                <w:tcPr>
                  <w:tcW w:w="2113" w:type="pct"/>
                  <w:gridSpan w:val="2"/>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PsA studija II</w:t>
                  </w:r>
                </w:p>
              </w:tc>
            </w:tr>
            <w:tr w:rsidR="005B62E2" w:rsidRPr="00B60703">
              <w:trPr>
                <w:cantSplit/>
                <w:trHeight w:val="480"/>
              </w:trPr>
              <w:tc>
                <w:tcPr>
                  <w:tcW w:w="1056"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 N=162</w:t>
                  </w:r>
                </w:p>
              </w:tc>
              <w:tc>
                <w:tcPr>
                  <w:tcW w:w="91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N=151</w:t>
                  </w:r>
                </w:p>
              </w:tc>
              <w:tc>
                <w:tcPr>
                  <w:tcW w:w="105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N=49</w:t>
                  </w:r>
                </w:p>
              </w:tc>
              <w:tc>
                <w:tcPr>
                  <w:tcW w:w="105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N=51</w:t>
                  </w:r>
                </w:p>
              </w:tc>
            </w:tr>
            <w:tr w:rsidR="005B62E2" w:rsidRPr="00B60703">
              <w:trPr>
                <w:trHeight w:val="292"/>
              </w:trPr>
              <w:tc>
                <w:tcPr>
                  <w:tcW w:w="105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ACR 20</w:t>
                  </w:r>
                </w:p>
              </w:tc>
              <w:tc>
                <w:tcPr>
                  <w:tcW w:w="915"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rPr>
                <w:trHeight w:val="480"/>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14%</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58%***</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16%</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39%*</w:t>
                  </w:r>
                </w:p>
              </w:tc>
            </w:tr>
            <w:tr w:rsidR="005B62E2" w:rsidRPr="00B60703">
              <w:trPr>
                <w:trHeight w:val="409"/>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15%</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57%***</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r>
            <w:tr w:rsidR="005B62E2" w:rsidRPr="00B60703">
              <w:trPr>
                <w:trHeight w:val="319"/>
              </w:trPr>
              <w:tc>
                <w:tcPr>
                  <w:tcW w:w="105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50  </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r>
            <w:tr w:rsidR="005B62E2" w:rsidRPr="00B60703">
              <w:trPr>
                <w:trHeight w:val="480"/>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36%***</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25%***</w:t>
                  </w:r>
                </w:p>
              </w:tc>
            </w:tr>
            <w:tr w:rsidR="005B62E2" w:rsidRPr="00B60703">
              <w:trPr>
                <w:trHeight w:val="480"/>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6%</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39%***</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r>
            <w:tr w:rsidR="005B62E2" w:rsidRPr="00B60703">
              <w:trPr>
                <w:trHeight w:val="301"/>
              </w:trPr>
              <w:tc>
                <w:tcPr>
                  <w:tcW w:w="105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ACR 70 </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r>
            <w:tr w:rsidR="005B62E2" w:rsidRPr="00B60703">
              <w:trPr>
                <w:trHeight w:val="399"/>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12</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20%***</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0%</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14%*</w:t>
                  </w:r>
                </w:p>
              </w:tc>
            </w:tr>
            <w:tr w:rsidR="005B62E2" w:rsidRPr="00B60703">
              <w:trPr>
                <w:trHeight w:val="480"/>
              </w:trPr>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24</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w:t>
                  </w:r>
                </w:p>
              </w:tc>
              <w:tc>
                <w:tcPr>
                  <w:tcW w:w="915"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23%***</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c>
                <w:tcPr>
                  <w:tcW w:w="105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N/P</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 p&lt;0,001 za sva poređenja adalimumaba i placeba</w:t>
            </w:r>
          </w:p>
          <w:p w:rsidR="005B62E2" w:rsidRPr="00B60703" w:rsidRDefault="00F03789">
            <w:pPr>
              <w:tabs>
                <w:tab w:val="left" w:pos="540"/>
                <w:tab w:val="left" w:pos="569"/>
              </w:tabs>
              <w:jc w:val="both"/>
              <w:rPr>
                <w:sz w:val="22"/>
                <w:szCs w:val="22"/>
                <w:lang w:val="sr-Latn-ME"/>
              </w:rPr>
            </w:pPr>
            <w:r w:rsidRPr="00B60703">
              <w:rPr>
                <w:sz w:val="22"/>
                <w:szCs w:val="22"/>
                <w:lang w:val="sr-Latn-ME"/>
              </w:rPr>
              <w:t>* p&lt;0,05 za sva poređenja adalimumaba i placeba</w:t>
            </w:r>
          </w:p>
          <w:p w:rsidR="005B62E2" w:rsidRPr="00B60703" w:rsidRDefault="00F03789">
            <w:pPr>
              <w:tabs>
                <w:tab w:val="left" w:pos="540"/>
                <w:tab w:val="left" w:pos="569"/>
              </w:tabs>
              <w:jc w:val="both"/>
              <w:rPr>
                <w:sz w:val="22"/>
                <w:szCs w:val="22"/>
                <w:lang w:val="sr-Latn-ME"/>
              </w:rPr>
            </w:pPr>
            <w:r w:rsidRPr="00B60703">
              <w:rPr>
                <w:sz w:val="22"/>
                <w:szCs w:val="22"/>
                <w:lang w:val="sr-Latn-ME"/>
              </w:rPr>
              <w:t>N/P - nije primjenjivo</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ACR odgovor u PsA studiji I je bio sličan sa i bez prateće terapije metotreksatom. ACR odgovori su održavani u otvorenoj ekstenzivnoj studiji do 136 nedjelja.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Radiografske promjene su praćene u studijama sa psorijaznim artritisom. Radiografija šake, ručnog zgloba i stopala rađena je prije terapije i poslije 24 nedjelje tokom dvostruko-slijepe terapije kada su pacijenti bili na adalimumabu ili placebu, i poslije 48 nedjelja, kada su svi pacijenti u okviru otvorenog dizajna primali adalimumab. Korišćen je modifikovan ukupni</w:t>
            </w:r>
            <w:r w:rsidRPr="00B60703">
              <w:rPr>
                <w:i/>
                <w:sz w:val="22"/>
                <w:szCs w:val="22"/>
                <w:lang w:val="sr-Latn-ME"/>
              </w:rPr>
              <w:t xml:space="preserve"> Sharp </w:t>
            </w:r>
            <w:r w:rsidRPr="00B60703">
              <w:rPr>
                <w:sz w:val="22"/>
                <w:szCs w:val="22"/>
                <w:lang w:val="sr-Latn-ME"/>
              </w:rPr>
              <w:t>skor (mTSS), koji je uključio distalne interfalangealne zglobove (tj. nije isti kao TSS korišćen za reumatoidni artritis).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Terapija adalimumabom je smanjila učestalost progresije oštećenja perifernih zglobova, u poređenju sa placebom, mjereno promjenom mTSS skora u odnosu na stanje prije početka terapije (srednja vrijednost ± SD): 0,8 ± 2,5 u placebo grupi (nedjelja 24) vs. 0,0 ± 1,9 u adalimumab grupi (nedjelja 48), p&lt;0,001.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Kod pacijenata liječenih adalimumabom koji nisu imali radiografsku progresiju tokom 48 nedjelja terapije (n=102), 84% je i dalje imalo odsustvo radiografske progresije do kraja 144 nedjelje terapije. U poređenju sa placebom, pacijenti liječeni adalimumabom pokazali su statistički značajno poboljšanje fizičke funkcije, mjereno HAQ i SF 36 (engl. </w:t>
            </w:r>
            <w:r w:rsidRPr="00B60703">
              <w:rPr>
                <w:i/>
                <w:sz w:val="22"/>
                <w:szCs w:val="22"/>
                <w:lang w:val="sr-Latn-ME"/>
              </w:rPr>
              <w:t>Short Form Health Survey)</w:t>
            </w:r>
            <w:r w:rsidRPr="00B60703">
              <w:rPr>
                <w:sz w:val="22"/>
                <w:szCs w:val="22"/>
                <w:lang w:val="sr-Latn-ME"/>
              </w:rPr>
              <w:t xml:space="preserve"> upitnicima u nedjelji 24. Poboljšana fizička funkcija nastavljena je i tokom otvorenog ekstenzivnog perioda studije do kraja nedjelje 136.  </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Psorijaza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ispitivani su kod odraslih pacijenata sa hroničnom plak psorijazom (zahvaćeno ≥ 10% površine tijela i rezultat prema ljestvici za ocjenjivanje zahvaćenosti kože i težine kliničke slike  [engl. </w:t>
            </w:r>
            <w:r w:rsidRPr="00B60703">
              <w:rPr>
                <w:i/>
                <w:sz w:val="22"/>
                <w:szCs w:val="22"/>
                <w:lang w:val="sr-Latn-ME"/>
              </w:rPr>
              <w:t>Psoriasis Area and Severity Index</w:t>
            </w:r>
            <w:r w:rsidRPr="00B60703">
              <w:rPr>
                <w:sz w:val="22"/>
                <w:szCs w:val="22"/>
                <w:lang w:val="sr-Latn-ME"/>
              </w:rPr>
              <w:t xml:space="preserve"> (PASI)] ≥ 12 ili ≥ 10) koji su bili kandidati za sistemsku terapiju ili fototerapiju u randomizovanim, dvostruko-slijepim studijama. 73% pacijenata uključenih u studije psorijaze I i II prethodno je primalo sistemsku terapiju ili fototerapiju. Bezbjednost i efikasnost adalimumaba su takođe ispitivane kod odraslih pacijenata sa srednjim do teškim oblikom hronične plak psorijaze sa udruženom psorijazom na šakama i/ili stopalima, koji su bili kandidati za sistemsku terapiju u randomizovanoj, dvostruko slijepoj studiji (studija psorijaze III).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Studija psorijaze I (REVEAL) ispitivala je 1212 pacijenata unutar tri terapijska perioda. U periodu A, pacijenti su primali placebo ili adalimumab u inicijalnoj dozi od 80 mg praćeno dozom od 40 mg svake druge nedjelje sa početkom nedjelju dana poslije inicijalne doze. Poslije 16 nedjelja terapije, pacijenti koji su postigli PASI 75 odgovor (poboljšanje PASI skora od najmanje 75% u odnosu na preterapijsko stanje), ušli su u period B tokom koga su, u okviru otvorenog dizajna studije primali 40 mg adalimumaba svake druge nedjelje. Pacijenti koji su održali odgovor ≥ PASI 75 u nedjelji 33, a primarno su randomizovani na aktivnu terapiju u periodu A, re-randomizovani su u periodu C da prime adalimumab 40 mg svake druge nedjelje ili placebo tokom dodatnih 19 nedjelja. U svim terapijskim grupama, srednji preterapijski PASI skor je bio 18,9, a preterapijski PGA skor (engl. </w:t>
            </w:r>
            <w:r w:rsidRPr="00B60703">
              <w:rPr>
                <w:i/>
                <w:sz w:val="22"/>
                <w:szCs w:val="22"/>
                <w:lang w:val="sr-Latn-ME"/>
              </w:rPr>
              <w:t>Physician's Global Assessment</w:t>
            </w:r>
            <w:r w:rsidRPr="00B60703">
              <w:rPr>
                <w:sz w:val="22"/>
                <w:szCs w:val="22"/>
                <w:lang w:val="sr-Latn-ME"/>
              </w:rPr>
              <w:t>) je bio od “umjerenogˮ (53% uključenih pacijenata) do “teškogˮ (41%) i “veoma teškogˮ (6%).</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Studija psorijaze II (CHAMPION) poredila je efikasnost i bezbjednost adalimumaba vs. metotreksat (MTX) i placebo kod 271 pacijenta. Pacijenti su primili placebo, inicijalnu dozu MTX 7,5 mg, a zatim u rastućoj dozi do nedjelje 12 sa maksimalnom dozom 25 mg ili adalimumab, inicijalna doza 80 mg, a  zatim 40 mg svake druge nedjelje (početak nedjelju dana poslije inicijalne doze) tokom 16 nedjelja. Nema podataka o primjeni adalimumaba i metotreksata duže od 16 nedjelja. Pacijentima na MTX koji su postigli ≥ PASI 50 odgovor poslije 8 nedjelja i/ili 12 nedjelja nije dalje povećavana doza MTX. U svim terapijskim grupama, srednji preterapijski PASI skor je bio 19,7, a preterapijski PGA skor (engl. </w:t>
            </w:r>
            <w:r w:rsidRPr="00B60703">
              <w:rPr>
                <w:i/>
                <w:sz w:val="22"/>
                <w:szCs w:val="22"/>
                <w:lang w:val="sr-Latn-ME"/>
              </w:rPr>
              <w:t>Physician's Global Assessment</w:t>
            </w:r>
            <w:r w:rsidRPr="00B60703">
              <w:rPr>
                <w:sz w:val="22"/>
                <w:szCs w:val="22"/>
                <w:lang w:val="sr-Latn-ME"/>
              </w:rPr>
              <w:t>) je bio od “blagogˮ (&lt;1%), “umjerenogˮ (48%) do “teškogˮ (46%) i “veoma teškogˮ (6%).</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Pacijenti koji su učestvovali u svim studijama psorijaze faze II i faze III mogli su biti izabrani da učestvuju u otvorenoj produženoj studiji, u kojoj je adalimumab primjenjivan još najmanje 108 nedjelja.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studijama psorijaze I i II, primarni parametar praćenja bio je procenat pacijenata koji su postigli PASI 75 odgovor poslije 16 nedjelja u odnosu na početak terapije (vidjeti Tabele 17 i 18).</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17: Studija psorijaze I (REVEAL) - rezultati efikasnosti nakon 16 nedjelja terapije</w:t>
            </w:r>
          </w:p>
          <w:p w:rsidR="005B62E2" w:rsidRPr="00B60703" w:rsidRDefault="005B62E2">
            <w:pPr>
              <w:tabs>
                <w:tab w:val="left" w:pos="540"/>
                <w:tab w:val="left" w:pos="569"/>
              </w:tabs>
              <w:jc w:val="both"/>
              <w:rPr>
                <w:sz w:val="22"/>
                <w:szCs w:val="22"/>
                <w:lang w:val="sr-Latn-ME"/>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456"/>
              <w:gridCol w:w="2987"/>
            </w:tblGrid>
            <w:tr w:rsidR="005B62E2" w:rsidRPr="00B60703">
              <w:trPr>
                <w:trHeight w:val="977"/>
              </w:trPr>
              <w:tc>
                <w:tcPr>
                  <w:tcW w:w="3219"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245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N=398</w:t>
                  </w:r>
                </w:p>
                <w:p w:rsidR="005B62E2" w:rsidRPr="00B60703" w:rsidRDefault="00F03789">
                  <w:pPr>
                    <w:tabs>
                      <w:tab w:val="left" w:pos="540"/>
                      <w:tab w:val="left" w:pos="569"/>
                    </w:tabs>
                    <w:jc w:val="both"/>
                    <w:rPr>
                      <w:sz w:val="22"/>
                      <w:szCs w:val="22"/>
                      <w:lang w:val="sr-Latn-ME"/>
                    </w:rPr>
                  </w:pPr>
                  <w:r w:rsidRPr="00B60703">
                    <w:rPr>
                      <w:sz w:val="22"/>
                      <w:szCs w:val="22"/>
                      <w:lang w:val="sr-Latn-ME"/>
                    </w:rPr>
                    <w:t>n (%)</w:t>
                  </w:r>
                </w:p>
              </w:tc>
              <w:tc>
                <w:tcPr>
                  <w:tcW w:w="298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rPr>
                      <w:sz w:val="22"/>
                      <w:szCs w:val="22"/>
                      <w:lang w:val="sr-Latn-ME"/>
                    </w:rPr>
                  </w:pPr>
                  <w:r w:rsidRPr="00B60703">
                    <w:rPr>
                      <w:sz w:val="22"/>
                      <w:szCs w:val="22"/>
                      <w:lang w:val="sr-Latn-ME"/>
                    </w:rPr>
                    <w:t xml:space="preserve">Adalimumab 40 mg svake druge nedjelje </w:t>
                  </w:r>
                </w:p>
                <w:p w:rsidR="005B62E2" w:rsidRPr="00B60703" w:rsidRDefault="00F03789">
                  <w:pPr>
                    <w:tabs>
                      <w:tab w:val="left" w:pos="540"/>
                      <w:tab w:val="left" w:pos="569"/>
                    </w:tabs>
                    <w:rPr>
                      <w:sz w:val="22"/>
                      <w:szCs w:val="22"/>
                      <w:lang w:val="sr-Latn-ME"/>
                    </w:rPr>
                  </w:pPr>
                  <w:r w:rsidRPr="00B60703">
                    <w:rPr>
                      <w:sz w:val="22"/>
                      <w:szCs w:val="22"/>
                      <w:lang w:val="sr-Latn-ME"/>
                    </w:rPr>
                    <w:t>N=814</w:t>
                  </w:r>
                </w:p>
                <w:p w:rsidR="005B62E2" w:rsidRPr="00B60703" w:rsidRDefault="00F03789">
                  <w:pPr>
                    <w:tabs>
                      <w:tab w:val="left" w:pos="540"/>
                      <w:tab w:val="left" w:pos="569"/>
                    </w:tabs>
                    <w:rPr>
                      <w:sz w:val="22"/>
                      <w:szCs w:val="22"/>
                      <w:lang w:val="sr-Latn-ME"/>
                    </w:rPr>
                  </w:pPr>
                  <w:r w:rsidRPr="00B60703">
                    <w:rPr>
                      <w:sz w:val="22"/>
                      <w:szCs w:val="22"/>
                      <w:lang w:val="sr-Latn-ME"/>
                    </w:rPr>
                    <w:t>n (%)</w:t>
                  </w:r>
                </w:p>
              </w:tc>
            </w:tr>
            <w:tr w:rsidR="005B62E2" w:rsidRPr="00B60703">
              <w:trPr>
                <w:trHeight w:val="246"/>
              </w:trPr>
              <w:tc>
                <w:tcPr>
                  <w:tcW w:w="3219"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PASI 75</w:t>
                  </w:r>
                  <w:r w:rsidRPr="00B60703">
                    <w:rPr>
                      <w:sz w:val="22"/>
                      <w:szCs w:val="22"/>
                      <w:vertAlign w:val="superscript"/>
                      <w:lang w:val="sr-Latn-ME"/>
                    </w:rPr>
                    <w:t>a</w:t>
                  </w:r>
                </w:p>
              </w:tc>
              <w:tc>
                <w:tcPr>
                  <w:tcW w:w="245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26 (6,5)</w:t>
                  </w:r>
                </w:p>
              </w:tc>
              <w:tc>
                <w:tcPr>
                  <w:tcW w:w="298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578 (70,9)</w:t>
                  </w:r>
                  <w:r w:rsidRPr="00B60703">
                    <w:rPr>
                      <w:sz w:val="22"/>
                      <w:szCs w:val="22"/>
                      <w:vertAlign w:val="superscript"/>
                      <w:lang w:val="sr-Latn-ME"/>
                    </w:rPr>
                    <w:t>b</w:t>
                  </w:r>
                </w:p>
              </w:tc>
            </w:tr>
            <w:tr w:rsidR="005B62E2" w:rsidRPr="00B60703">
              <w:trPr>
                <w:trHeight w:val="246"/>
              </w:trPr>
              <w:tc>
                <w:tcPr>
                  <w:tcW w:w="3219"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PASI 100</w:t>
                  </w:r>
                </w:p>
              </w:tc>
              <w:tc>
                <w:tcPr>
                  <w:tcW w:w="245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 (0,8)</w:t>
                  </w:r>
                </w:p>
              </w:tc>
              <w:tc>
                <w:tcPr>
                  <w:tcW w:w="298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163 (20,0)</w:t>
                  </w:r>
                  <w:r w:rsidRPr="00B60703">
                    <w:rPr>
                      <w:sz w:val="22"/>
                      <w:szCs w:val="22"/>
                      <w:vertAlign w:val="superscript"/>
                      <w:lang w:val="sr-Latn-ME"/>
                    </w:rPr>
                    <w:t xml:space="preserve"> b</w:t>
                  </w:r>
                </w:p>
              </w:tc>
            </w:tr>
            <w:tr w:rsidR="005B62E2" w:rsidRPr="00B60703">
              <w:trPr>
                <w:trHeight w:val="492"/>
              </w:trPr>
              <w:tc>
                <w:tcPr>
                  <w:tcW w:w="3219"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PGA: bez </w:t>
                  </w:r>
                </w:p>
                <w:p w:rsidR="005B62E2" w:rsidRPr="00B60703" w:rsidRDefault="00F03789">
                  <w:pPr>
                    <w:tabs>
                      <w:tab w:val="left" w:pos="540"/>
                      <w:tab w:val="left" w:pos="569"/>
                    </w:tabs>
                    <w:jc w:val="both"/>
                    <w:rPr>
                      <w:sz w:val="22"/>
                      <w:szCs w:val="22"/>
                      <w:lang w:val="sr-Latn-ME"/>
                    </w:rPr>
                  </w:pPr>
                  <w:r w:rsidRPr="00B60703">
                    <w:rPr>
                      <w:sz w:val="22"/>
                      <w:szCs w:val="22"/>
                      <w:lang w:val="sr-Latn-ME"/>
                    </w:rPr>
                    <w:t>bolesti/minimalno</w:t>
                  </w:r>
                </w:p>
              </w:tc>
              <w:tc>
                <w:tcPr>
                  <w:tcW w:w="245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17 (4,3)</w:t>
                  </w:r>
                </w:p>
              </w:tc>
              <w:tc>
                <w:tcPr>
                  <w:tcW w:w="298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506 (62,2)</w:t>
                  </w:r>
                  <w:r w:rsidRPr="00B60703">
                    <w:rPr>
                      <w:sz w:val="22"/>
                      <w:szCs w:val="22"/>
                      <w:vertAlign w:val="superscript"/>
                      <w:lang w:val="sr-Latn-ME"/>
                    </w:rPr>
                    <w:t xml:space="preserve"> b</w:t>
                  </w:r>
                </w:p>
              </w:tc>
            </w:tr>
            <w:tr w:rsidR="005B62E2" w:rsidRPr="00B60703">
              <w:trPr>
                <w:cantSplit/>
                <w:trHeight w:val="738"/>
              </w:trPr>
              <w:tc>
                <w:tcPr>
                  <w:tcW w:w="8662" w:type="dxa"/>
                  <w:gridSpan w:val="3"/>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lastRenderedPageBreak/>
                    <w:t>a</w:t>
                  </w:r>
                  <w:r w:rsidRPr="00B60703">
                    <w:rPr>
                      <w:sz w:val="22"/>
                      <w:szCs w:val="22"/>
                      <w:lang w:val="sr-Latn-ME"/>
                    </w:rPr>
                    <w:t xml:space="preserve"> Procenat pacijenata koji su postigli PASI 75 odgovor, izražen kao stopa prilagođena istraživačkom centru </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p&lt;0,001, adalimumab vs. placebo</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18: Studija psorijaze II (CHAMPION) - rezultati efikasnosti nakon 16 nedjelja terapije</w:t>
            </w:r>
          </w:p>
          <w:p w:rsidR="005B62E2" w:rsidRPr="00B60703" w:rsidRDefault="005B62E2">
            <w:pPr>
              <w:tabs>
                <w:tab w:val="left" w:pos="540"/>
                <w:tab w:val="left" w:pos="569"/>
              </w:tabs>
              <w:jc w:val="both"/>
              <w:rPr>
                <w:sz w:val="22"/>
                <w:szCs w:val="22"/>
                <w:lang w:val="sr-Latn-ME"/>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524"/>
              <w:gridCol w:w="1800"/>
              <w:gridCol w:w="2543"/>
            </w:tblGrid>
            <w:tr w:rsidR="005B62E2" w:rsidRPr="00B60703">
              <w:trPr>
                <w:cantSplit/>
                <w:trHeight w:val="932"/>
              </w:trPr>
              <w:tc>
                <w:tcPr>
                  <w:tcW w:w="2795"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52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N=53</w:t>
                  </w:r>
                </w:p>
                <w:p w:rsidR="005B62E2" w:rsidRPr="00B60703" w:rsidRDefault="00F03789">
                  <w:pPr>
                    <w:tabs>
                      <w:tab w:val="left" w:pos="540"/>
                      <w:tab w:val="left" w:pos="569"/>
                    </w:tabs>
                    <w:jc w:val="both"/>
                    <w:rPr>
                      <w:sz w:val="22"/>
                      <w:szCs w:val="22"/>
                      <w:lang w:val="sr-Latn-ME"/>
                    </w:rPr>
                  </w:pPr>
                  <w:r w:rsidRPr="00B60703">
                    <w:rPr>
                      <w:sz w:val="22"/>
                      <w:szCs w:val="22"/>
                      <w:lang w:val="sr-Latn-ME"/>
                    </w:rPr>
                    <w:t>n (%)</w:t>
                  </w:r>
                </w:p>
              </w:tc>
              <w:tc>
                <w:tcPr>
                  <w:tcW w:w="180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MTX</w:t>
                  </w:r>
                </w:p>
                <w:p w:rsidR="005B62E2" w:rsidRPr="00B60703" w:rsidRDefault="00F03789">
                  <w:pPr>
                    <w:tabs>
                      <w:tab w:val="left" w:pos="540"/>
                      <w:tab w:val="left" w:pos="569"/>
                    </w:tabs>
                    <w:jc w:val="both"/>
                    <w:rPr>
                      <w:sz w:val="22"/>
                      <w:szCs w:val="22"/>
                      <w:lang w:val="sr-Latn-ME"/>
                    </w:rPr>
                  </w:pPr>
                  <w:r w:rsidRPr="00B60703">
                    <w:rPr>
                      <w:sz w:val="22"/>
                      <w:szCs w:val="22"/>
                      <w:lang w:val="sr-Latn-ME"/>
                    </w:rPr>
                    <w:t>N=110</w:t>
                  </w:r>
                </w:p>
                <w:p w:rsidR="005B62E2" w:rsidRPr="00B60703" w:rsidRDefault="00F03789">
                  <w:pPr>
                    <w:tabs>
                      <w:tab w:val="left" w:pos="540"/>
                      <w:tab w:val="left" w:pos="569"/>
                    </w:tabs>
                    <w:jc w:val="both"/>
                    <w:rPr>
                      <w:sz w:val="22"/>
                      <w:szCs w:val="22"/>
                      <w:lang w:val="sr-Latn-ME"/>
                    </w:rPr>
                  </w:pPr>
                  <w:r w:rsidRPr="00B60703">
                    <w:rPr>
                      <w:sz w:val="22"/>
                      <w:szCs w:val="22"/>
                      <w:lang w:val="sr-Latn-ME"/>
                    </w:rPr>
                    <w:t>n (%)</w:t>
                  </w:r>
                </w:p>
              </w:tc>
              <w:tc>
                <w:tcPr>
                  <w:tcW w:w="25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40 mg svake druge nedjelje </w:t>
                  </w:r>
                </w:p>
                <w:p w:rsidR="005B62E2" w:rsidRPr="00B60703" w:rsidRDefault="00F03789">
                  <w:pPr>
                    <w:tabs>
                      <w:tab w:val="left" w:pos="540"/>
                      <w:tab w:val="left" w:pos="569"/>
                    </w:tabs>
                    <w:jc w:val="both"/>
                    <w:rPr>
                      <w:sz w:val="22"/>
                      <w:szCs w:val="22"/>
                      <w:lang w:val="sr-Latn-ME"/>
                    </w:rPr>
                  </w:pPr>
                  <w:r w:rsidRPr="00B60703">
                    <w:rPr>
                      <w:sz w:val="22"/>
                      <w:szCs w:val="22"/>
                      <w:lang w:val="sr-Latn-ME"/>
                    </w:rPr>
                    <w:t>N=108</w:t>
                  </w:r>
                </w:p>
                <w:p w:rsidR="005B62E2" w:rsidRPr="00B60703" w:rsidRDefault="00F03789">
                  <w:pPr>
                    <w:tabs>
                      <w:tab w:val="left" w:pos="540"/>
                      <w:tab w:val="left" w:pos="569"/>
                    </w:tabs>
                    <w:jc w:val="both"/>
                    <w:rPr>
                      <w:sz w:val="22"/>
                      <w:szCs w:val="22"/>
                      <w:lang w:val="sr-Latn-ME"/>
                    </w:rPr>
                  </w:pPr>
                  <w:r w:rsidRPr="00B60703">
                    <w:rPr>
                      <w:sz w:val="22"/>
                      <w:szCs w:val="22"/>
                      <w:lang w:val="sr-Latn-ME"/>
                    </w:rPr>
                    <w:t>n (%)</w:t>
                  </w:r>
                </w:p>
              </w:tc>
            </w:tr>
            <w:tr w:rsidR="005B62E2" w:rsidRPr="00B60703">
              <w:trPr>
                <w:cantSplit/>
                <w:trHeight w:val="234"/>
              </w:trPr>
              <w:tc>
                <w:tcPr>
                  <w:tcW w:w="279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PASI 75</w:t>
                  </w:r>
                </w:p>
              </w:tc>
              <w:tc>
                <w:tcPr>
                  <w:tcW w:w="152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10 (18,9)</w:t>
                  </w:r>
                </w:p>
              </w:tc>
              <w:tc>
                <w:tcPr>
                  <w:tcW w:w="180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39 (35,5)</w:t>
                  </w:r>
                </w:p>
              </w:tc>
              <w:tc>
                <w:tcPr>
                  <w:tcW w:w="25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86 (79,6)</w:t>
                  </w:r>
                  <w:r w:rsidRPr="00B60703">
                    <w:rPr>
                      <w:sz w:val="22"/>
                      <w:szCs w:val="22"/>
                      <w:vertAlign w:val="superscript"/>
                      <w:lang w:val="sr-Latn-ME"/>
                    </w:rPr>
                    <w:t>a, b</w:t>
                  </w:r>
                </w:p>
              </w:tc>
            </w:tr>
            <w:tr w:rsidR="005B62E2" w:rsidRPr="00B60703">
              <w:trPr>
                <w:cantSplit/>
                <w:trHeight w:val="234"/>
              </w:trPr>
              <w:tc>
                <w:tcPr>
                  <w:tcW w:w="279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PASI 100</w:t>
                  </w:r>
                </w:p>
              </w:tc>
              <w:tc>
                <w:tcPr>
                  <w:tcW w:w="152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 (1,9)</w:t>
                  </w:r>
                </w:p>
              </w:tc>
              <w:tc>
                <w:tcPr>
                  <w:tcW w:w="180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8 (7,3)</w:t>
                  </w:r>
                </w:p>
              </w:tc>
              <w:tc>
                <w:tcPr>
                  <w:tcW w:w="25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18 (16,7)</w:t>
                  </w:r>
                  <w:r w:rsidRPr="00B60703">
                    <w:rPr>
                      <w:sz w:val="22"/>
                      <w:szCs w:val="22"/>
                      <w:vertAlign w:val="superscript"/>
                      <w:lang w:val="sr-Latn-ME"/>
                    </w:rPr>
                    <w:t xml:space="preserve"> c, d</w:t>
                  </w:r>
                </w:p>
              </w:tc>
            </w:tr>
            <w:tr w:rsidR="005B62E2" w:rsidRPr="00B60703">
              <w:trPr>
                <w:cantSplit/>
                <w:trHeight w:val="234"/>
              </w:trPr>
              <w:tc>
                <w:tcPr>
                  <w:tcW w:w="279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PGA: bez bolesti/ minimalno</w:t>
                  </w:r>
                </w:p>
              </w:tc>
              <w:tc>
                <w:tcPr>
                  <w:tcW w:w="152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 (11,3)</w:t>
                  </w:r>
                </w:p>
              </w:tc>
              <w:tc>
                <w:tcPr>
                  <w:tcW w:w="180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33 (30,0)</w:t>
                  </w:r>
                </w:p>
              </w:tc>
              <w:tc>
                <w:tcPr>
                  <w:tcW w:w="25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79 (73,1)</w:t>
                  </w:r>
                  <w:r w:rsidRPr="00B60703">
                    <w:rPr>
                      <w:sz w:val="22"/>
                      <w:szCs w:val="22"/>
                      <w:vertAlign w:val="superscript"/>
                      <w:lang w:val="sr-Latn-ME"/>
                    </w:rPr>
                    <w:t xml:space="preserve"> a, b</w:t>
                  </w:r>
                </w:p>
              </w:tc>
            </w:tr>
            <w:tr w:rsidR="005B62E2" w:rsidRPr="00B60703">
              <w:trPr>
                <w:cantSplit/>
                <w:trHeight w:val="939"/>
              </w:trPr>
              <w:tc>
                <w:tcPr>
                  <w:tcW w:w="8662" w:type="dxa"/>
                  <w:gridSpan w:val="4"/>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p&lt;0,001, adalimumab vs. placebo</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p&lt;0,001, adalimumab vs. metotreksat</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p&lt;0,01, adalimumab vs. placebo</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d</w:t>
                  </w:r>
                  <w:r w:rsidRPr="00B60703">
                    <w:rPr>
                      <w:sz w:val="22"/>
                      <w:szCs w:val="22"/>
                      <w:lang w:val="sr-Latn-ME"/>
                    </w:rPr>
                    <w:t xml:space="preserve"> p&lt;0,05, adalimumab vs. metotreksat</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studiji psorijaze I, 28% pacijenata koji su postigli PASI 75 odgovor i bili re-randomizovani na placebo u nedjelji 33 u poređenju sa 5% u grupi koja je nastavila terapiju adalimumabom (p&lt;0,001) imalo je tzv. “gubitak adekvatnog odgovoraˮ (PASI skor poslije nedjelje 33 i tokom ili prije nedjelje 52: &lt; PASI 50 odgovor u odnosu na preterapijsko stanje sa minimum 6 jedinica povećanja PASI skora u odnosu na nedjelju 33). U grupi pacijenata koji su izgubili adekvatan odgovor nakon re-randomizacije na placebo, a koji su zatim uključeni u otvoreni produžetak studije i primali adalimumab, 38% (25/66) i 55% (36/66) su ponovo postigli PASI 75 odgovor poslije 12, odnosno 24 nedjelje terapije.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Ukupno 233 pacijenta koji su postigli PASI 75 odgovor u nedjelji 16 i nedjelji 33 primalo je kontinuiranu terapiju adalimumabom tokom 52 nedjelje u studiji psorijaze I, i nastavilo je da prima adalimumab u produžetku studije otvorenog dizajna. Stopa odgovora “bez bolesti” ili “minimalno” na PASI 75 i PGA kod ovih pacijenata bila je 74,7% odnosno 59,0%, nakon dodatnih 108 nedjelja terapije sa otvorenim dizajnom (ukupno 160 nedjelja). Svi pacijenti koji su izašli iz ispitivanja zbog neželjenih dejstava, nedostatka efikasnosti, ili kojima je doza povećavana, smatrani su pacijentima kod kojih nije bilo odgovora na terapiju. Za njih je analiza PASI 75 i PGA za stopu odgovora “bez bolesti” ili “minimalno” nakon dodatnih 108 nedjelja otvorene terapije (ukupno 160 nedjelja) dala rezultate 69,6%, odnosno 55,7%.</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Ukupno 347 pacijenata sa stabilnim odgovorom učestvovalo je u procjeni prekida i ponovnog liječenja u produžetku studije otvorenog dizajna. U vremenu kada je terapija bila ukinuta, simptomi psorijaze su se vremenom vratili, uz medijanu vremena do relapsa oko 5 mjeseci (smanjenje do umjerenog ili lošeg PGA). Ni kod jednog pacijenta se nije javilo povratno dejstvo tokom prekida terapije. Ukupno 76,5% (218/285) pacijenata koji su započeli sa ponovnim liječenjem imalo je “bez bolesti” ili “minimalan” PGA odgovor nakon 16 nedjelja ponovnog liječenja, bez obzira na to da li su imali recidiv tokom prekida terapije (69,1% [123/178] i 88,8% [95/107] kod pacijenata koji su imali, odnosno koji nisu imali recidiv tokom prekida terapije). Uočen je sličan bezbjednosni profil tokom ponovnog liječenja i liječenja prije prekida terapije.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Značajno poboljšanje u nedjelji 16 u odnosu na početno stanje, kada se poredi sa placebom (studije I i II) i MTX (studija II) je pokazano u DLQI (engl. </w:t>
            </w:r>
            <w:r w:rsidRPr="00B60703">
              <w:rPr>
                <w:i/>
                <w:sz w:val="22"/>
                <w:szCs w:val="22"/>
                <w:lang w:val="sr-Latn-ME"/>
              </w:rPr>
              <w:t>Dermatology Life Quality Index</w:t>
            </w:r>
            <w:r w:rsidRPr="00B60703">
              <w:rPr>
                <w:sz w:val="22"/>
                <w:szCs w:val="22"/>
                <w:lang w:val="sr-Latn-ME"/>
              </w:rPr>
              <w:t>). U studiji I takođe je zabilježeno značajno poboljšanje, u odnosu na placebo, fizičkih i mentalnih komponenti ukupnog skora SF-36 upitnika.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produžetku studije otvorenog dizajna, za pacijente čija je doza povećana sa 40 mg svake druge nedjelje na 40 mg svake nedjelje zbog PASI odgovora ispod 50%, odgovor PASI 75 je postignut u nedjelji 12 kod 26,4% (92/349) pacijenata, i u nedjelji 24 kod 37,8% (132/349) pacijenata.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U ispitivanju </w:t>
            </w:r>
            <w:r w:rsidRPr="00B60703">
              <w:rPr>
                <w:i/>
                <w:sz w:val="22"/>
                <w:szCs w:val="22"/>
                <w:lang w:val="sr-Latn-ME"/>
              </w:rPr>
              <w:t>Psoriasis Study</w:t>
            </w:r>
            <w:r w:rsidRPr="00B60703">
              <w:rPr>
                <w:sz w:val="22"/>
                <w:szCs w:val="22"/>
                <w:lang w:val="sr-Latn-ME"/>
              </w:rPr>
              <w:t xml:space="preserve"> III (REACH) upoređivale su se efikasnost i bezbjednost adalimumaba u odnosu na placebo kod 72 pacijenta sa umjerenim do teškim oblikom hronične plak psorijaze i psorijazom na šakama i/ili stopalima. Pacijenti su primili adalimumab u početnoj dozi od 80 mg, a zatim po 40 mg svake druge nedjelje (počevši nedjelju dana nakon početne doze) ili placebo 16 nedjelja. U nedjelji 16, statistički značajno veći udio pacijenata koji su primali adalimumab postigao je PGA rezultat “bez bolesti” ili “gotovo bez bolesti” za šake i/ili stopala, u poređenju sa pacijentima koji su primali placebo (30,6% u odnosu na 4,3%, P=0,014).</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ispitivanju </w:t>
            </w:r>
            <w:r w:rsidRPr="00B60703">
              <w:rPr>
                <w:i/>
                <w:sz w:val="22"/>
                <w:szCs w:val="22"/>
                <w:lang w:val="sr-Latn-ME"/>
              </w:rPr>
              <w:t>Psoriasis Study</w:t>
            </w:r>
            <w:r w:rsidRPr="00B60703">
              <w:rPr>
                <w:sz w:val="22"/>
                <w:szCs w:val="22"/>
                <w:lang w:val="sr-Latn-ME"/>
              </w:rPr>
              <w:t xml:space="preserve"> IV upoređivale su se efikasnost i bezbjednost adalimumaba u odnosu na placebo kod 217 odraslih pacijenata sa umjerenom do teškom psorijazom noktiju. Pacijenti su primili adalimumab u početnoj dozi od 80 mg, a zatim po 40 mg svake druge nedjelje (počevši nedjelju dana nakon početne doze) ili placebo tokom 26 nedjelja, nakon čega je slijedilo otvoreno liječenje adalimumabom tokom dodatnih 26 nedjelja. Ocjena psorijaze noktiju uključivala je modifikovani indeks težine psorijaze noktiju (engl. </w:t>
            </w:r>
            <w:r w:rsidRPr="00B60703">
              <w:rPr>
                <w:i/>
                <w:sz w:val="22"/>
                <w:szCs w:val="22"/>
                <w:lang w:val="sr-Latn-ME"/>
              </w:rPr>
              <w:t>Modified Nail Psoriasis Severity Index</w:t>
            </w:r>
            <w:r w:rsidRPr="00B60703">
              <w:rPr>
                <w:sz w:val="22"/>
                <w:szCs w:val="22"/>
                <w:lang w:val="sr-Latn-ME"/>
              </w:rPr>
              <w:t xml:space="preserve">, mNAPSI), opštu procjenu psorijaze noktiju na rukama od strane ljekara (engl. </w:t>
            </w:r>
            <w:r w:rsidRPr="00B60703">
              <w:rPr>
                <w:i/>
                <w:sz w:val="22"/>
                <w:szCs w:val="22"/>
                <w:lang w:val="sr-Latn-ME"/>
              </w:rPr>
              <w:t>Physician's Global Assessment of Fingernail Psoriasis</w:t>
            </w:r>
            <w:r w:rsidRPr="00B60703">
              <w:rPr>
                <w:sz w:val="22"/>
                <w:szCs w:val="22"/>
                <w:lang w:val="sr-Latn-ME"/>
              </w:rPr>
              <w:t>, PGA</w:t>
            </w:r>
            <w:r w:rsidRPr="00B60703">
              <w:rPr>
                <w:sz w:val="22"/>
                <w:szCs w:val="22"/>
                <w:lang w:val="sr-Latn-ME"/>
              </w:rPr>
              <w:noBreakHyphen/>
              <w:t xml:space="preserve">F) i indeks težine psorijaze noktiju (engl. </w:t>
            </w:r>
            <w:r w:rsidRPr="00B60703">
              <w:rPr>
                <w:i/>
                <w:sz w:val="22"/>
                <w:szCs w:val="22"/>
                <w:lang w:val="sr-Latn-ME"/>
              </w:rPr>
              <w:t>Nail Psoriasis Severity Index</w:t>
            </w:r>
            <w:r w:rsidRPr="00B60703">
              <w:rPr>
                <w:sz w:val="22"/>
                <w:szCs w:val="22"/>
                <w:lang w:val="sr-Latn-ME"/>
              </w:rPr>
              <w:t xml:space="preserve">, NAPSI) (vidjeti Tabelu 19). Adalimumab je ostvario povoljan terapijski efekat kod pacijenata sa psorijazom noktiju i različitim stepenima zahvaćenosti kože (≥ 10% tjelesne površine [60% pacijenata] i &lt; 10% i ≥ 5% tjelesne površine [40% pacijenata]).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19: Ispitivanje Ps IV Rezultati efikasnosti u nedjelji 16, 26 i 52</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879"/>
              <w:gridCol w:w="1279"/>
              <w:gridCol w:w="879"/>
              <w:gridCol w:w="1279"/>
              <w:gridCol w:w="1759"/>
            </w:tblGrid>
            <w:tr w:rsidR="005B62E2" w:rsidRPr="00B60703">
              <w:tc>
                <w:tcPr>
                  <w:tcW w:w="1566" w:type="pct"/>
                  <w:vMerge w:val="restar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Parametar praćenja</w:t>
                  </w:r>
                </w:p>
              </w:tc>
              <w:tc>
                <w:tcPr>
                  <w:tcW w:w="1220"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16</w:t>
                  </w:r>
                </w:p>
                <w:p w:rsidR="005B62E2" w:rsidRPr="00B60703" w:rsidRDefault="00F03789">
                  <w:pPr>
                    <w:tabs>
                      <w:tab w:val="left" w:pos="540"/>
                      <w:tab w:val="left" w:pos="569"/>
                    </w:tabs>
                    <w:jc w:val="both"/>
                    <w:rPr>
                      <w:sz w:val="22"/>
                      <w:szCs w:val="22"/>
                      <w:lang w:val="sr-Latn-ME"/>
                    </w:rPr>
                  </w:pPr>
                  <w:r w:rsidRPr="00B60703">
                    <w:rPr>
                      <w:sz w:val="22"/>
                      <w:szCs w:val="22"/>
                      <w:lang w:val="sr-Latn-ME"/>
                    </w:rPr>
                    <w:t>Placebom</w:t>
                  </w:r>
                </w:p>
                <w:p w:rsidR="005B62E2" w:rsidRPr="00B60703" w:rsidRDefault="00F03789">
                  <w:pPr>
                    <w:tabs>
                      <w:tab w:val="left" w:pos="540"/>
                      <w:tab w:val="left" w:pos="569"/>
                    </w:tabs>
                    <w:jc w:val="both"/>
                    <w:rPr>
                      <w:sz w:val="22"/>
                      <w:szCs w:val="22"/>
                      <w:lang w:val="sr-Latn-ME"/>
                    </w:rPr>
                  </w:pPr>
                  <w:r w:rsidRPr="00B60703">
                    <w:rPr>
                      <w:sz w:val="22"/>
                      <w:szCs w:val="22"/>
                      <w:lang w:val="sr-Latn-ME"/>
                    </w:rPr>
                    <w:t>kontrolisano</w:t>
                  </w:r>
                </w:p>
              </w:tc>
              <w:tc>
                <w:tcPr>
                  <w:tcW w:w="1220"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26</w:t>
                  </w:r>
                </w:p>
                <w:p w:rsidR="005B62E2" w:rsidRPr="00B60703" w:rsidRDefault="00F03789">
                  <w:pPr>
                    <w:tabs>
                      <w:tab w:val="left" w:pos="540"/>
                      <w:tab w:val="left" w:pos="569"/>
                    </w:tabs>
                    <w:jc w:val="both"/>
                    <w:rPr>
                      <w:sz w:val="22"/>
                      <w:szCs w:val="22"/>
                      <w:lang w:val="sr-Latn-ME"/>
                    </w:rPr>
                  </w:pPr>
                  <w:r w:rsidRPr="00B60703">
                    <w:rPr>
                      <w:sz w:val="22"/>
                      <w:szCs w:val="22"/>
                      <w:lang w:val="sr-Latn-ME"/>
                    </w:rPr>
                    <w:t>Placebom</w:t>
                  </w:r>
                </w:p>
                <w:p w:rsidR="005B62E2" w:rsidRPr="00B60703" w:rsidRDefault="00F03789">
                  <w:pPr>
                    <w:tabs>
                      <w:tab w:val="left" w:pos="540"/>
                      <w:tab w:val="left" w:pos="569"/>
                    </w:tabs>
                    <w:jc w:val="both"/>
                    <w:rPr>
                      <w:sz w:val="22"/>
                      <w:szCs w:val="22"/>
                      <w:lang w:val="sr-Latn-ME"/>
                    </w:rPr>
                  </w:pPr>
                  <w:r w:rsidRPr="00B60703">
                    <w:rPr>
                      <w:sz w:val="22"/>
                      <w:szCs w:val="22"/>
                      <w:lang w:val="sr-Latn-ME"/>
                    </w:rPr>
                    <w:t>kontrolisano</w:t>
                  </w:r>
                </w:p>
              </w:tc>
              <w:tc>
                <w:tcPr>
                  <w:tcW w:w="99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52</w:t>
                  </w:r>
                </w:p>
                <w:p w:rsidR="005B62E2" w:rsidRPr="00B60703" w:rsidRDefault="00F03789">
                  <w:pPr>
                    <w:tabs>
                      <w:tab w:val="left" w:pos="540"/>
                      <w:tab w:val="left" w:pos="569"/>
                    </w:tabs>
                    <w:jc w:val="both"/>
                    <w:rPr>
                      <w:sz w:val="22"/>
                      <w:szCs w:val="22"/>
                      <w:lang w:val="sr-Latn-ME"/>
                    </w:rPr>
                  </w:pPr>
                  <w:r w:rsidRPr="00B60703">
                    <w:rPr>
                      <w:sz w:val="22"/>
                      <w:szCs w:val="22"/>
                      <w:lang w:val="sr-Latn-ME"/>
                    </w:rPr>
                    <w:t>Otvoreno</w:t>
                  </w:r>
                </w:p>
              </w:tc>
            </w:tr>
            <w:tr w:rsidR="005B62E2" w:rsidRPr="00B60703">
              <w:tc>
                <w:tcPr>
                  <w:tcW w:w="1566"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r w:rsidRPr="00B60703">
                    <w:rPr>
                      <w:sz w:val="22"/>
                      <w:szCs w:val="22"/>
                      <w:lang w:val="sr-Latn-ME"/>
                    </w:rPr>
                    <w:br/>
                    <w:t>N=108</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40 mg svake druge nedjelje </w:t>
                  </w:r>
                  <w:r w:rsidRPr="00B60703">
                    <w:rPr>
                      <w:sz w:val="22"/>
                      <w:szCs w:val="22"/>
                      <w:lang w:val="sr-Latn-ME"/>
                    </w:rPr>
                    <w:br/>
                    <w:t>N=109</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r w:rsidRPr="00B60703">
                    <w:rPr>
                      <w:sz w:val="22"/>
                      <w:szCs w:val="22"/>
                      <w:lang w:val="sr-Latn-ME"/>
                    </w:rPr>
                    <w:br/>
                    <w:t>N=108</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40 mg svake druge nedjelje </w:t>
                  </w:r>
                  <w:r w:rsidRPr="00B60703">
                    <w:rPr>
                      <w:sz w:val="22"/>
                      <w:szCs w:val="22"/>
                      <w:lang w:val="sr-Latn-ME"/>
                    </w:rPr>
                    <w:br/>
                    <w:t>N=109</w:t>
                  </w:r>
                </w:p>
              </w:tc>
              <w:tc>
                <w:tcPr>
                  <w:tcW w:w="99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rPr>
                      <w:sz w:val="22"/>
                      <w:szCs w:val="22"/>
                      <w:lang w:val="sr-Latn-ME"/>
                    </w:rPr>
                  </w:pPr>
                  <w:r w:rsidRPr="00B60703">
                    <w:rPr>
                      <w:sz w:val="22"/>
                      <w:szCs w:val="22"/>
                      <w:lang w:val="sr-Latn-ME"/>
                    </w:rPr>
                    <w:t>Adalimumab</w:t>
                  </w:r>
                </w:p>
                <w:p w:rsidR="005B62E2" w:rsidRPr="00B60703" w:rsidRDefault="00F03789">
                  <w:pPr>
                    <w:tabs>
                      <w:tab w:val="left" w:pos="540"/>
                      <w:tab w:val="left" w:pos="569"/>
                    </w:tabs>
                    <w:rPr>
                      <w:sz w:val="22"/>
                      <w:szCs w:val="22"/>
                      <w:lang w:val="sr-Latn-ME"/>
                    </w:rPr>
                  </w:pPr>
                  <w:r w:rsidRPr="00B60703">
                    <w:rPr>
                      <w:sz w:val="22"/>
                      <w:szCs w:val="22"/>
                      <w:lang w:val="sr-Latn-ME"/>
                    </w:rPr>
                    <w:t>40 mg svake druge nedjelje</w:t>
                  </w:r>
                  <w:r w:rsidRPr="00B60703">
                    <w:rPr>
                      <w:sz w:val="22"/>
                      <w:szCs w:val="22"/>
                      <w:lang w:val="sr-Latn-ME"/>
                    </w:rPr>
                    <w:br/>
                    <w:t>N=80</w:t>
                  </w:r>
                </w:p>
              </w:tc>
            </w:tr>
            <w:tr w:rsidR="005B62E2" w:rsidRPr="00B60703">
              <w:tc>
                <w:tcPr>
                  <w:tcW w:w="156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mNAPSI 75 (%)</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2,9</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26,0</w:t>
                  </w:r>
                  <w:r w:rsidRPr="00B60703">
                    <w:rPr>
                      <w:sz w:val="22"/>
                      <w:szCs w:val="22"/>
                      <w:vertAlign w:val="superscript"/>
                      <w:lang w:val="sr-Latn-ME"/>
                    </w:rPr>
                    <w:t>a</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3,4</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46,6</w:t>
                  </w:r>
                  <w:r w:rsidRPr="00B60703">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65,0</w:t>
                  </w:r>
                </w:p>
              </w:tc>
            </w:tr>
            <w:tr w:rsidR="005B62E2" w:rsidRPr="00B60703">
              <w:tc>
                <w:tcPr>
                  <w:tcW w:w="156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PGA-F: bez bolesti/minimalno i poboljšanje za ≥ 2 stepena (%)</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2,9</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29,7</w:t>
                  </w:r>
                  <w:r w:rsidRPr="00B60703">
                    <w:rPr>
                      <w:sz w:val="22"/>
                      <w:szCs w:val="22"/>
                      <w:vertAlign w:val="superscript"/>
                      <w:lang w:val="sr-Latn-ME"/>
                    </w:rPr>
                    <w:t>a</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6,9</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48,9</w:t>
                  </w:r>
                  <w:r w:rsidRPr="00B60703">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61,3</w:t>
                  </w:r>
                </w:p>
              </w:tc>
            </w:tr>
            <w:tr w:rsidR="005B62E2" w:rsidRPr="00B60703">
              <w:tc>
                <w:tcPr>
                  <w:tcW w:w="156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Promjena ukupnog NAPSI rezultata za psorijazu noktiju na rukama (%)</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-7,8</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-44,2</w:t>
                  </w:r>
                  <w:r w:rsidRPr="00B60703">
                    <w:rPr>
                      <w:sz w:val="22"/>
                      <w:szCs w:val="22"/>
                      <w:vertAlign w:val="superscript"/>
                      <w:lang w:val="sr-Latn-ME"/>
                    </w:rPr>
                    <w:t xml:space="preserve"> a</w:t>
                  </w:r>
                </w:p>
              </w:tc>
              <w:tc>
                <w:tcPr>
                  <w:tcW w:w="497"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-11,5</w:t>
                  </w:r>
                </w:p>
              </w:tc>
              <w:tc>
                <w:tcPr>
                  <w:tcW w:w="723"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-56,2</w:t>
                  </w:r>
                  <w:r w:rsidRPr="00B60703">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-72,2</w:t>
                  </w:r>
                </w:p>
              </w:tc>
            </w:tr>
            <w:tr w:rsidR="005B62E2" w:rsidRPr="00B60703">
              <w:tc>
                <w:tcPr>
                  <w:tcW w:w="5000" w:type="pct"/>
                  <w:gridSpan w:val="6"/>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p &lt; 0,001, adalimumab vs placebo</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Pacijenti liječeni adalimumabom pokazali su statistički značajna poboljšanja DLQI rezultata u nedjelji 26 u odnosu na placebo. </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Plak psorijaza kod djece</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Efikasnost adalimumaba ocjenjivala se u randomizovanom, dvostruko slijepom, kontrolisanom ispitivanju sprovedenom kod 114 pedijatrijskih pacijenata uzrasta od 4 ili više godina sa teškom hroničnom plak psorijazom (koja se definisala kao PGA rezultat od ≥ 4 ili zahvaćenost površine tijela &gt; 20% ili zahvaćenost površine tijela &gt; 10% sa vrlo debelim lezijama ili PASI rezultat od ≥ 20 ili ≥ 10 uz klinički značajnu zahvaćenost lica, genitalija ili šaka/stopala) kod kojih bolest nije bila dovoljno dobro kontrolisana topikalnom terapijom i helioterapijom ili fototerapijom.</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Pacijenti su primali adalimumab u dozi od 0,8 mg/kg svake druge nedjelje (do najviše 40 mg), 0,4 mg/kg svake druge nedjelje (do najviše 20 mg), ili metotreksat u dozi od 0,1 do 0,4 mg/kg jednom nedjeljno (do najviše 25 mg). U nedjelji 16, pozitivan odgovor s obzirom na efikasnost (npr. PASI 75) postigao je veći broj pacijenata randomizovanih za liječenje adalimumabom u dozi od 0,8 mg/kg </w:t>
            </w:r>
            <w:r w:rsidRPr="00B60703">
              <w:rPr>
                <w:sz w:val="22"/>
                <w:szCs w:val="22"/>
                <w:lang w:val="sr-Latn-ME"/>
              </w:rPr>
              <w:lastRenderedPageBreak/>
              <w:t>nego onih randomizovanih za primanje doze od 0,4 mg/kg svake druge nedjelje ili za liječenje metotreksatom (Tabela 20).</w:t>
            </w: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tbl>
            <w:tblPr>
              <w:tblW w:w="50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269"/>
              <w:gridCol w:w="1787"/>
              <w:gridCol w:w="3801"/>
            </w:tblGrid>
            <w:tr w:rsidR="005B62E2" w:rsidRPr="00B60703">
              <w:trPr>
                <w:cantSplit/>
                <w:jc w:val="center"/>
              </w:trPr>
              <w:tc>
                <w:tcPr>
                  <w:tcW w:w="5000" w:type="pct"/>
                  <w:gridSpan w:val="3"/>
                  <w:tcBorders>
                    <w:top w:val="nil"/>
                    <w:left w:val="nil"/>
                    <w:bottom w:val="nil"/>
                    <w:right w:val="nil"/>
                  </w:tcBorders>
                  <w:tcMar>
                    <w:top w:w="15" w:type="dxa"/>
                    <w:left w:w="15" w:type="dxa"/>
                    <w:bottom w:w="15" w:type="dxa"/>
                    <w:right w:w="15" w:type="dxa"/>
                  </w:tcMar>
                  <w:vAlign w:val="center"/>
                </w:tcPr>
                <w:p w:rsidR="005B62E2" w:rsidRPr="00B60703" w:rsidRDefault="00F03789">
                  <w:pPr>
                    <w:tabs>
                      <w:tab w:val="left" w:pos="540"/>
                      <w:tab w:val="left" w:pos="569"/>
                    </w:tabs>
                    <w:jc w:val="both"/>
                    <w:rPr>
                      <w:b/>
                      <w:sz w:val="22"/>
                      <w:szCs w:val="22"/>
                      <w:lang w:val="sr-Latn-ME"/>
                    </w:rPr>
                  </w:pPr>
                  <w:r w:rsidRPr="00B60703">
                    <w:rPr>
                      <w:b/>
                      <w:sz w:val="22"/>
                      <w:szCs w:val="22"/>
                      <w:lang w:val="sr-Latn-ME"/>
                    </w:rPr>
                    <w:t>Tabela 20: Rezultati efikasnosti kod djece sa plak psorijazom u nedjelji 16</w:t>
                  </w:r>
                </w:p>
                <w:p w:rsidR="005B62E2" w:rsidRPr="00B60703" w:rsidRDefault="005B62E2">
                  <w:pPr>
                    <w:tabs>
                      <w:tab w:val="left" w:pos="540"/>
                      <w:tab w:val="left" w:pos="569"/>
                    </w:tabs>
                    <w:jc w:val="both"/>
                    <w:rPr>
                      <w:sz w:val="22"/>
                      <w:szCs w:val="22"/>
                      <w:lang w:val="sr-Latn-ME"/>
                    </w:rPr>
                  </w:pPr>
                </w:p>
              </w:tc>
            </w:tr>
            <w:tr w:rsidR="005B62E2" w:rsidRPr="00B60703">
              <w:trPr>
                <w:cantSplit/>
                <w:jc w:val="center"/>
              </w:trPr>
              <w:tc>
                <w:tcPr>
                  <w:tcW w:w="1845"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tcPr>
                <w:p w:rsidR="005B62E2" w:rsidRPr="00B60703" w:rsidRDefault="005B62E2">
                  <w:pPr>
                    <w:tabs>
                      <w:tab w:val="left" w:pos="540"/>
                      <w:tab w:val="left" w:pos="569"/>
                    </w:tabs>
                    <w:jc w:val="both"/>
                    <w:rPr>
                      <w:sz w:val="22"/>
                      <w:szCs w:val="22"/>
                      <w:lang w:val="sr-Latn-ME"/>
                    </w:rPr>
                  </w:pPr>
                </w:p>
              </w:tc>
              <w:tc>
                <w:tcPr>
                  <w:tcW w:w="1009"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MTX</w:t>
                  </w:r>
                  <w:r w:rsidRPr="00B60703">
                    <w:rPr>
                      <w:sz w:val="22"/>
                      <w:szCs w:val="22"/>
                      <w:vertAlign w:val="superscript"/>
                      <w:lang w:val="sr-Latn-ME"/>
                    </w:rPr>
                    <w:t>a</w:t>
                  </w:r>
                  <w:r w:rsidRPr="00B60703">
                    <w:rPr>
                      <w:sz w:val="22"/>
                      <w:szCs w:val="22"/>
                      <w:lang w:val="sr-Latn-ME"/>
                    </w:rPr>
                    <w:br/>
                    <w:t>N=37</w:t>
                  </w:r>
                </w:p>
              </w:tc>
              <w:tc>
                <w:tcPr>
                  <w:tcW w:w="2146" w:type="pct"/>
                  <w:tcBorders>
                    <w:top w:val="single" w:sz="6" w:space="0" w:color="000000"/>
                    <w:left w:val="single" w:sz="6" w:space="0" w:color="000000"/>
                    <w:bottom w:val="outset" w:sz="6" w:space="0" w:color="auto"/>
                    <w:right w:val="single" w:sz="6" w:space="0" w:color="000000"/>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0,8 mg/kg svake druge nedjelje </w:t>
                  </w:r>
                </w:p>
                <w:p w:rsidR="005B62E2" w:rsidRPr="00B60703" w:rsidRDefault="00F03789">
                  <w:pPr>
                    <w:tabs>
                      <w:tab w:val="left" w:pos="540"/>
                      <w:tab w:val="left" w:pos="569"/>
                    </w:tabs>
                    <w:jc w:val="both"/>
                    <w:rPr>
                      <w:sz w:val="22"/>
                      <w:szCs w:val="22"/>
                      <w:lang w:val="sr-Latn-ME"/>
                    </w:rPr>
                  </w:pPr>
                  <w:r w:rsidRPr="00B60703">
                    <w:rPr>
                      <w:sz w:val="22"/>
                      <w:szCs w:val="22"/>
                      <w:lang w:val="sr-Latn-ME"/>
                    </w:rPr>
                    <w:t>N=38</w:t>
                  </w:r>
                </w:p>
              </w:tc>
            </w:tr>
            <w:tr w:rsidR="005B62E2" w:rsidRPr="00B60703">
              <w:trPr>
                <w:cantSplit/>
                <w:jc w:val="center"/>
              </w:trPr>
              <w:tc>
                <w:tcPr>
                  <w:tcW w:w="1845"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 PASI 75</w:t>
                  </w:r>
                  <w:r w:rsidRPr="00B60703">
                    <w:rPr>
                      <w:sz w:val="22"/>
                      <w:szCs w:val="22"/>
                      <w:vertAlign w:val="superscript"/>
                      <w:lang w:val="sr-Latn-ME"/>
                    </w:rPr>
                    <w:t>b</w:t>
                  </w:r>
                </w:p>
              </w:tc>
              <w:tc>
                <w:tcPr>
                  <w:tcW w:w="1009"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12 (32,4%)</w:t>
                  </w:r>
                </w:p>
              </w:tc>
              <w:tc>
                <w:tcPr>
                  <w:tcW w:w="2146" w:type="pct"/>
                  <w:tcBorders>
                    <w:top w:val="single" w:sz="6" w:space="0" w:color="000000"/>
                    <w:left w:val="single" w:sz="6" w:space="0" w:color="000000"/>
                    <w:bottom w:val="outset" w:sz="6" w:space="0" w:color="auto"/>
                    <w:right w:val="single" w:sz="6" w:space="0" w:color="000000"/>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22 (57,9%)</w:t>
                  </w:r>
                </w:p>
              </w:tc>
            </w:tr>
            <w:tr w:rsidR="005B62E2" w:rsidRPr="00B60703">
              <w:trPr>
                <w:cantSplit/>
                <w:jc w:val="center"/>
              </w:trPr>
              <w:tc>
                <w:tcPr>
                  <w:tcW w:w="1845" w:type="pct"/>
                  <w:tcBorders>
                    <w:top w:val="single" w:sz="6" w:space="0" w:color="000000"/>
                    <w:left w:val="single" w:sz="6" w:space="0" w:color="000000"/>
                    <w:bottom w:val="single" w:sz="6" w:space="0" w:color="000000"/>
                    <w:right w:val="outset" w:sz="6" w:space="0" w:color="auto"/>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 PGA: bez bolesti/minimalno</w:t>
                  </w:r>
                  <w:r w:rsidRPr="00B60703">
                    <w:rPr>
                      <w:sz w:val="22"/>
                      <w:szCs w:val="22"/>
                      <w:vertAlign w:val="superscript"/>
                      <w:lang w:val="sr-Latn-ME"/>
                    </w:rPr>
                    <w:t>c</w:t>
                  </w:r>
                </w:p>
              </w:tc>
              <w:tc>
                <w:tcPr>
                  <w:tcW w:w="1009" w:type="pct"/>
                  <w:tcBorders>
                    <w:top w:val="single" w:sz="6" w:space="0" w:color="000000"/>
                    <w:left w:val="single" w:sz="6" w:space="0" w:color="000000"/>
                    <w:bottom w:val="single" w:sz="6" w:space="0" w:color="000000"/>
                    <w:right w:val="outset" w:sz="6" w:space="0" w:color="auto"/>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15 (40,5%)</w:t>
                  </w:r>
                </w:p>
              </w:tc>
              <w:tc>
                <w:tcPr>
                  <w:tcW w:w="2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23 (60,5%)</w:t>
                  </w:r>
                </w:p>
              </w:tc>
            </w:tr>
            <w:tr w:rsidR="005B62E2" w:rsidRPr="00B60703">
              <w:trPr>
                <w:cantSplit/>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 xml:space="preserve">a </w:t>
                  </w:r>
                  <w:r w:rsidRPr="00B60703">
                    <w:rPr>
                      <w:sz w:val="22"/>
                      <w:szCs w:val="22"/>
                      <w:lang w:val="sr-Latn-ME"/>
                    </w:rPr>
                    <w:t>MTX = metotreksat</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P=0,027, adalimumab 0,8 mg/kg naspram MTX-a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P=0,083, adalimumab 0,8 mg/kg naspram MTX-a</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Kod pacijenata koji su postigli PASI 75 ili PGA rezultat “bez bolestiˮ ili “minimalnoˮ, liječenje je prekinuto tokom perioda do najviše 36 nedjelja, pa se pratio gubitak kontrole bolesti (tj. pogoršanje PGA rezultata za najmanje 2 stepena). Pacijenti su zatim ponovo započeli liječenje adalimumabom u dozi od 0,8 mg/kg svake druge nedjelje tokom dodatnih 16 nedjelja, a stope odgovora primijećene tokom ponovnog liječenja bile su slične onima prethodno zabilježenima tokom perioda dvostruko slijepog liječenja: PASI 75 odgovor postiglo je 78,9% (15 od 19 ispitanika), a PGA rezultat “bez bolestiˮ ili “minimalnoˮ njih 52,6% (10 od 19 ispitanika).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otvorenom periodu ispitivanja, PASI 75 odgovor i PGA rezultat “bez bolestiˮ ili “minimalnoˮ održali su se tokom dodatne 52 nedjelje, bez novih nalaza povezanih sa bezbjednošću.</w:t>
            </w:r>
          </w:p>
          <w:p w:rsidR="005B62E2" w:rsidRPr="00B60703" w:rsidRDefault="005B62E2">
            <w:pPr>
              <w:tabs>
                <w:tab w:val="left" w:pos="569"/>
              </w:tabs>
              <w:jc w:val="both"/>
              <w:rPr>
                <w:i/>
                <w:sz w:val="22"/>
                <w:szCs w:val="22"/>
                <w:lang w:val="sr-Latn-ME"/>
              </w:rPr>
            </w:pPr>
          </w:p>
          <w:p w:rsidR="005B62E2" w:rsidRPr="00B60703" w:rsidRDefault="00F03789">
            <w:pPr>
              <w:tabs>
                <w:tab w:val="left" w:pos="569"/>
              </w:tabs>
              <w:jc w:val="both"/>
              <w:rPr>
                <w:i/>
                <w:sz w:val="22"/>
                <w:szCs w:val="22"/>
                <w:lang w:val="sr-Latn-ME"/>
              </w:rPr>
            </w:pPr>
            <w:r w:rsidRPr="00B60703">
              <w:rPr>
                <w:i/>
                <w:sz w:val="22"/>
                <w:szCs w:val="22"/>
                <w:lang w:val="sr-Latn-ME"/>
              </w:rPr>
              <w:t>Gnojno zapaljenje znojnih žlijezda (Hidradenitis suppurativa)</w:t>
            </w:r>
          </w:p>
          <w:p w:rsidR="005B62E2" w:rsidRPr="00B60703" w:rsidRDefault="005B62E2">
            <w:pPr>
              <w:tabs>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Bezbjednost i efikasnost adalimumaba procjenjivale su se u randomizovanim, dvostruko slijepim, placebo kontrolisanim ispitivanjima i jednom otvorenom produžetku ispitivanja kod odraslih pacijenata sa umjerenim do teškim gnojnim zapaljenjem znojnih žlijezda (</w:t>
            </w:r>
            <w:r w:rsidRPr="00B60703">
              <w:rPr>
                <w:i/>
                <w:sz w:val="22"/>
                <w:szCs w:val="22"/>
                <w:lang w:val="sr-Latn-ME"/>
              </w:rPr>
              <w:t>Hidradenitis suppurativa</w:t>
            </w:r>
            <w:r w:rsidRPr="00B60703">
              <w:rPr>
                <w:sz w:val="22"/>
                <w:szCs w:val="22"/>
                <w:lang w:val="sr-Latn-ME"/>
              </w:rPr>
              <w:t>,</w:t>
            </w:r>
            <w:r w:rsidRPr="00B60703">
              <w:rPr>
                <w:i/>
                <w:sz w:val="22"/>
                <w:szCs w:val="22"/>
                <w:lang w:val="sr-Latn-ME"/>
              </w:rPr>
              <w:t xml:space="preserve"> </w:t>
            </w:r>
            <w:r w:rsidRPr="00B60703">
              <w:rPr>
                <w:sz w:val="22"/>
                <w:szCs w:val="22"/>
                <w:lang w:val="sr-Latn-ME"/>
              </w:rPr>
              <w:t>HS) koji nisu podnosili sistemske antibiotike, koji su imali kontraindikacije za njihovu primjenu ili nisu postigli zadovoljavajući odgovor na liječenje sistemskim antibioticima tokom najmanje 3 mjeseca. Pacijenti u ispitivanjima HS</w:t>
            </w:r>
            <w:r w:rsidRPr="00B60703">
              <w:rPr>
                <w:sz w:val="22"/>
                <w:szCs w:val="22"/>
                <w:lang w:val="sr-Latn-ME"/>
              </w:rPr>
              <w:noBreakHyphen/>
              <w:t>I i HS</w:t>
            </w:r>
            <w:r w:rsidRPr="00B60703">
              <w:rPr>
                <w:sz w:val="22"/>
                <w:szCs w:val="22"/>
                <w:lang w:val="sr-Latn-ME"/>
              </w:rPr>
              <w:noBreakHyphen/>
              <w:t xml:space="preserve">II imali su bolest stadijuma II ili III prema </w:t>
            </w:r>
            <w:r w:rsidRPr="00B60703">
              <w:rPr>
                <w:i/>
                <w:sz w:val="22"/>
                <w:szCs w:val="22"/>
                <w:lang w:val="sr-Latn-ME"/>
              </w:rPr>
              <w:t>Hurley</w:t>
            </w:r>
            <w:r w:rsidRPr="00B60703">
              <w:rPr>
                <w:sz w:val="22"/>
                <w:szCs w:val="22"/>
                <w:lang w:val="sr-Latn-ME"/>
              </w:rPr>
              <w:t>-evoj klasifikaciji i najmanje 3 apscesa ili zapaljenjska nodusa.</w:t>
            </w:r>
          </w:p>
          <w:p w:rsidR="005B62E2" w:rsidRPr="00B60703" w:rsidRDefault="00F03789">
            <w:pPr>
              <w:tabs>
                <w:tab w:val="left" w:pos="569"/>
              </w:tabs>
              <w:jc w:val="both"/>
              <w:rPr>
                <w:sz w:val="22"/>
                <w:szCs w:val="22"/>
                <w:lang w:val="sr-Latn-ME"/>
              </w:rPr>
            </w:pPr>
            <w:r w:rsidRPr="00B60703">
              <w:rPr>
                <w:sz w:val="22"/>
                <w:szCs w:val="22"/>
                <w:lang w:val="sr-Latn-ME"/>
              </w:rPr>
              <w:t>Ispitivanje HS</w:t>
            </w:r>
            <w:r w:rsidRPr="00B60703">
              <w:rPr>
                <w:sz w:val="22"/>
                <w:szCs w:val="22"/>
                <w:lang w:val="sr-Latn-ME"/>
              </w:rPr>
              <w:noBreakHyphen/>
              <w:t>I (PIONEER I) ocjenjivalo je 307 pacijenata tokom 2 perioda liječenja. Tokom perioda A, pacijenti su primali placebo ili adalimumab u početnoj dozi od 160 mg u nedjelji 0 i 80 mg u nedjelji 2, a zatim u dozi od 40 mg svake nedjelje, počevši od nedjelje 4, pa sve do nedjelje 11. Tokom ispitivanja nije bila dopuštena istovremena primjena antibiotika. Nakon 12 nedjelja terapije, pacijenti koji su tokom perioda A primali adalimumab ponovo su randomizovani u periodu B u jednu od 3 terapijske grupe (adalimumab u dozi od 40 mg svake nedjelje, adalimumab u dozi od 40 mg svake druge nedjelje, ili placebo od nedjelje 12 do nedjelje 35). Pacijentima koji su u periodu A bili randomizovani za primanje placeba je u periodu B dodijeljeno liječenje adalimumabom u dozi od 40 mg svake nedjelje.</w:t>
            </w:r>
          </w:p>
          <w:p w:rsidR="005B62E2" w:rsidRPr="00B60703" w:rsidRDefault="00F03789">
            <w:pPr>
              <w:tabs>
                <w:tab w:val="left" w:pos="569"/>
              </w:tabs>
              <w:jc w:val="both"/>
              <w:rPr>
                <w:sz w:val="22"/>
                <w:szCs w:val="22"/>
                <w:lang w:val="sr-Latn-ME"/>
              </w:rPr>
            </w:pPr>
            <w:r w:rsidRPr="00B60703">
              <w:rPr>
                <w:sz w:val="22"/>
                <w:szCs w:val="22"/>
                <w:lang w:val="sr-Latn-ME"/>
              </w:rPr>
              <w:t>Ispitivanje HS</w:t>
            </w:r>
            <w:r w:rsidRPr="00B60703">
              <w:rPr>
                <w:sz w:val="22"/>
                <w:szCs w:val="22"/>
                <w:lang w:val="sr-Latn-ME"/>
              </w:rPr>
              <w:noBreakHyphen/>
              <w:t>II (PIONEER II) procjenjivalo je 326 pacijenata tokom 2 perioda liječenja. Tokom perioda A, pacijenti su primali placebo ili adalimumab u početnoj dozi od 160 mg u nedjelji 0 i 80 mg u nedjelji 2, a zatim u dozi od 40 mg svake nedjelje, počevši od nedjelje 4, pa sve do nedjelje 11. Tokom ispitivanja, 19,3% pacijenata nastavilo je terapiju oralnim antibioticima koje su uzimali pri uključivanju u ispitivanje. Nakon 12 nedjelja terapije, pacijenti koji su tokom perioda A primali adalimumab ponovo su randomizovani u periodu B u jednu od 3 terapijske grupe (adalimumab u dozi od 40 mg svake nedjelje, adalimumab u dozi od 40 mg svake druge nedjelje ili placebo od nedjelje 12 do nedjelje 35). Pacijenti koji su u periodu A bili randomizovani za primanje placeba nastavili su da primaju placebo i u periodu B.</w:t>
            </w:r>
          </w:p>
          <w:p w:rsidR="005B62E2" w:rsidRPr="00B60703" w:rsidRDefault="00F03789">
            <w:pPr>
              <w:tabs>
                <w:tab w:val="left" w:pos="569"/>
              </w:tabs>
              <w:jc w:val="both"/>
              <w:rPr>
                <w:sz w:val="22"/>
                <w:szCs w:val="22"/>
                <w:lang w:val="sr-Latn-ME"/>
              </w:rPr>
            </w:pPr>
            <w:r w:rsidRPr="00B60703">
              <w:rPr>
                <w:sz w:val="22"/>
                <w:szCs w:val="22"/>
                <w:lang w:val="sr-Latn-ME"/>
              </w:rPr>
              <w:t>Pacijenti koji su učestvovali u ispitivanjima HS</w:t>
            </w:r>
            <w:r w:rsidRPr="00B60703">
              <w:rPr>
                <w:sz w:val="22"/>
                <w:szCs w:val="22"/>
                <w:lang w:val="sr-Latn-ME"/>
              </w:rPr>
              <w:noBreakHyphen/>
              <w:t>I i HS</w:t>
            </w:r>
            <w:r w:rsidRPr="00B60703">
              <w:rPr>
                <w:sz w:val="22"/>
                <w:szCs w:val="22"/>
                <w:lang w:val="sr-Latn-ME"/>
              </w:rPr>
              <w:noBreakHyphen/>
              <w:t xml:space="preserve">II mogli su učestvovati u otvorenom produžetku ispitivanja u kojem se adalimumab primjenjivao svake nedjelje u dozi od 40 mg. Srednja </w:t>
            </w:r>
            <w:r w:rsidRPr="00B60703">
              <w:rPr>
                <w:sz w:val="22"/>
                <w:szCs w:val="22"/>
                <w:lang w:val="sr-Latn-ME"/>
              </w:rPr>
              <w:lastRenderedPageBreak/>
              <w:t>vrijednost izloženosti u cjelokupnoj populaciji liječenoj adalimumabom iznosila je 762 dana. Tokom sva 3 ispitivanja, pacijenti su svakodnevno koristili antiseptični rastvor za lokalnu upotrebu.</w:t>
            </w:r>
          </w:p>
          <w:p w:rsidR="005B62E2" w:rsidRPr="00B60703" w:rsidRDefault="005B62E2">
            <w:pPr>
              <w:tabs>
                <w:tab w:val="left" w:pos="569"/>
              </w:tabs>
              <w:jc w:val="both"/>
              <w:rPr>
                <w:i/>
                <w:sz w:val="22"/>
                <w:szCs w:val="22"/>
                <w:u w:val="single"/>
                <w:lang w:val="sr-Latn-ME"/>
              </w:rPr>
            </w:pPr>
          </w:p>
          <w:p w:rsidR="005B62E2" w:rsidRPr="00B60703" w:rsidRDefault="00F03789">
            <w:pPr>
              <w:tabs>
                <w:tab w:val="left" w:pos="569"/>
              </w:tabs>
              <w:jc w:val="both"/>
              <w:rPr>
                <w:i/>
                <w:sz w:val="22"/>
                <w:szCs w:val="22"/>
                <w:u w:val="single"/>
                <w:lang w:val="sr-Latn-ME"/>
              </w:rPr>
            </w:pPr>
            <w:r w:rsidRPr="00B60703">
              <w:rPr>
                <w:i/>
                <w:sz w:val="22"/>
                <w:szCs w:val="22"/>
                <w:u w:val="single"/>
                <w:lang w:val="sr-Latn-ME"/>
              </w:rPr>
              <w:t>Klinički odgovor</w:t>
            </w:r>
          </w:p>
          <w:p w:rsidR="005B62E2" w:rsidRPr="00B60703" w:rsidRDefault="005B62E2">
            <w:pPr>
              <w:tabs>
                <w:tab w:val="left" w:pos="569"/>
              </w:tabs>
              <w:jc w:val="both"/>
              <w:rPr>
                <w:sz w:val="22"/>
                <w:szCs w:val="22"/>
                <w:u w:val="single"/>
                <w:lang w:val="sr-Latn-ME"/>
              </w:rPr>
            </w:pPr>
          </w:p>
          <w:p w:rsidR="005B62E2" w:rsidRPr="00B60703" w:rsidRDefault="00F03789">
            <w:pPr>
              <w:tabs>
                <w:tab w:val="left" w:pos="569"/>
              </w:tabs>
              <w:jc w:val="both"/>
              <w:rPr>
                <w:sz w:val="22"/>
                <w:szCs w:val="22"/>
                <w:lang w:val="sr-Latn-ME"/>
              </w:rPr>
            </w:pPr>
            <w:r w:rsidRPr="00B60703">
              <w:rPr>
                <w:sz w:val="22"/>
                <w:szCs w:val="22"/>
                <w:lang w:val="sr-Latn-ME"/>
              </w:rPr>
              <w:t xml:space="preserve">Smanjenje zapaljenjskih lezija i prevencija pogoršanja apscesa i drenirajućih fistula ocjenjivali su se na osnovu kliničkog odgovora gnojnog zapaljenja znojnih žlijezda (engl. </w:t>
            </w:r>
            <w:r w:rsidRPr="00B60703">
              <w:rPr>
                <w:i/>
                <w:sz w:val="22"/>
                <w:szCs w:val="22"/>
                <w:lang w:val="sr-Latn-ME"/>
              </w:rPr>
              <w:t>Hidradenitis Suppurativa Clinical Response</w:t>
            </w:r>
            <w:r w:rsidRPr="00B60703">
              <w:rPr>
                <w:sz w:val="22"/>
                <w:szCs w:val="22"/>
                <w:lang w:val="sr-Latn-ME"/>
              </w:rPr>
              <w:t xml:space="preserve"> [HiSCR]; smanjenje ukupnog broja apscesa i zapaljenjskih nodusa za 50%, bez povećanja broja apscesa i bez povećanja broja drenirajućih fistula u odnosu na početnu vrijednost). Smanjenje kožnog bola uzrokovanog gnojnim zapaljenjem znojnih žlijezda ocjenjivalo se uz pomoć numeričke skale kod pacijenata koji su pri uključivanju u ispitivanje imali početni rezultat od 3 ili više na skali od 11 bodova.</w:t>
            </w:r>
          </w:p>
          <w:p w:rsidR="005B62E2" w:rsidRPr="00B60703" w:rsidRDefault="00F03789">
            <w:pPr>
              <w:tabs>
                <w:tab w:val="left" w:pos="569"/>
              </w:tabs>
              <w:jc w:val="both"/>
              <w:rPr>
                <w:sz w:val="22"/>
                <w:szCs w:val="22"/>
                <w:lang w:val="sr-Latn-ME"/>
              </w:rPr>
            </w:pPr>
            <w:r w:rsidRPr="00B60703">
              <w:rPr>
                <w:sz w:val="22"/>
                <w:szCs w:val="22"/>
                <w:lang w:val="sr-Latn-ME"/>
              </w:rPr>
              <w:t>U nedjelji 12, HiSCR je postigao značajno veći udio pacijenata liječenih adalimumabom naspram onih koji su primali placebo. U nedjelji 12 je značajno veći udio pacijenata u ispitivanju HS</w:t>
            </w:r>
            <w:r w:rsidRPr="00B60703">
              <w:rPr>
                <w:sz w:val="22"/>
                <w:szCs w:val="22"/>
                <w:lang w:val="sr-Latn-ME"/>
              </w:rPr>
              <w:noBreakHyphen/>
              <w:t>II doživio klinički značajno smanjenje kožnog bola uzrokovanog gnojnim zapaljenjem znojnih žlijezda (vidjeti Tabelu 21). Kod pacijenata liječenih lijekom adalimumab rizik od pogoršanja bolesti značajno se smanjio tokom prvih 12 nedjelja liječenja.</w:t>
            </w:r>
          </w:p>
          <w:p w:rsidR="005B62E2" w:rsidRPr="00B60703" w:rsidRDefault="005B62E2">
            <w:pPr>
              <w:tabs>
                <w:tab w:val="left" w:pos="569"/>
              </w:tabs>
              <w:jc w:val="both"/>
              <w:rPr>
                <w:sz w:val="22"/>
                <w:szCs w:val="22"/>
                <w:lang w:val="sr-Latn-ME"/>
              </w:rPr>
            </w:pPr>
          </w:p>
          <w:p w:rsidR="005B62E2" w:rsidRPr="00B60703" w:rsidRDefault="00F03789">
            <w:pPr>
              <w:tabs>
                <w:tab w:val="left" w:pos="540"/>
                <w:tab w:val="left" w:pos="569"/>
              </w:tabs>
              <w:jc w:val="both"/>
              <w:rPr>
                <w:b/>
                <w:iCs/>
                <w:sz w:val="22"/>
                <w:szCs w:val="22"/>
                <w:lang w:val="sr-Latn-ME"/>
              </w:rPr>
            </w:pPr>
            <w:r w:rsidRPr="00B60703">
              <w:rPr>
                <w:b/>
                <w:sz w:val="22"/>
                <w:szCs w:val="22"/>
                <w:lang w:val="sr-Latn-ME"/>
              </w:rPr>
              <w:t xml:space="preserve">Tabela 21: </w:t>
            </w:r>
            <w:r w:rsidRPr="00B60703">
              <w:rPr>
                <w:b/>
                <w:iCs/>
                <w:sz w:val="22"/>
                <w:szCs w:val="22"/>
                <w:lang w:val="sr-Latn-ME"/>
              </w:rPr>
              <w:t>Rezultati efikasnosti nakon 12 nedjelja, ispitivanja HS I i II</w:t>
            </w:r>
          </w:p>
          <w:p w:rsidR="005B62E2" w:rsidRPr="00B60703" w:rsidRDefault="005B62E2">
            <w:pPr>
              <w:tabs>
                <w:tab w:val="left" w:pos="540"/>
                <w:tab w:val="left" w:pos="569"/>
              </w:tabs>
              <w:jc w:val="both"/>
              <w:rPr>
                <w:b/>
                <w:iCs/>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79"/>
              <w:gridCol w:w="1240"/>
              <w:gridCol w:w="1709"/>
              <w:gridCol w:w="1301"/>
              <w:gridCol w:w="1718"/>
            </w:tblGrid>
            <w:tr w:rsidR="005B62E2" w:rsidRPr="00B60703">
              <w:trPr>
                <w:jc w:val="center"/>
              </w:trPr>
              <w:tc>
                <w:tcPr>
                  <w:tcW w:w="1627" w:type="pct"/>
                  <w:vMerge w:val="restart"/>
                  <w:tcBorders>
                    <w:top w:val="single" w:sz="4" w:space="0" w:color="auto"/>
                    <w:left w:val="single" w:sz="4" w:space="0" w:color="auto"/>
                    <w:bottom w:val="single" w:sz="4" w:space="0" w:color="auto"/>
                    <w:right w:val="single" w:sz="4" w:space="0" w:color="auto"/>
                  </w:tcBorders>
                  <w:vAlign w:val="bottom"/>
                </w:tcPr>
                <w:p w:rsidR="005B62E2" w:rsidRPr="00B60703" w:rsidRDefault="005B62E2">
                  <w:pPr>
                    <w:tabs>
                      <w:tab w:val="left" w:pos="569"/>
                    </w:tabs>
                    <w:jc w:val="both"/>
                    <w:rPr>
                      <w:sz w:val="22"/>
                      <w:szCs w:val="22"/>
                      <w:lang w:val="sr-Latn-ME"/>
                    </w:rPr>
                  </w:pPr>
                </w:p>
              </w:tc>
              <w:tc>
                <w:tcPr>
                  <w:tcW w:w="1667" w:type="pct"/>
                  <w:gridSpan w:val="2"/>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Ispitivanje HS I</w:t>
                  </w:r>
                </w:p>
              </w:tc>
              <w:tc>
                <w:tcPr>
                  <w:tcW w:w="1706" w:type="pct"/>
                  <w:gridSpan w:val="2"/>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Ispitivanje HS II</w:t>
                  </w:r>
                </w:p>
              </w:tc>
            </w:tr>
            <w:tr w:rsidR="005B62E2" w:rsidRPr="00B60703">
              <w:trPr>
                <w:jc w:val="center"/>
              </w:trPr>
              <w:tc>
                <w:tcPr>
                  <w:tcW w:w="1627" w:type="pct"/>
                  <w:vMerge/>
                  <w:tcBorders>
                    <w:top w:val="single" w:sz="4" w:space="0" w:color="auto"/>
                    <w:left w:val="single" w:sz="4" w:space="0" w:color="auto"/>
                    <w:bottom w:val="single" w:sz="4" w:space="0" w:color="auto"/>
                    <w:right w:val="single" w:sz="4" w:space="0" w:color="auto"/>
                  </w:tcBorders>
                  <w:vAlign w:val="center"/>
                </w:tcPr>
                <w:p w:rsidR="005B62E2" w:rsidRPr="00B60703" w:rsidRDefault="005B62E2">
                  <w:pPr>
                    <w:tabs>
                      <w:tab w:val="left" w:pos="540"/>
                      <w:tab w:val="left" w:pos="569"/>
                    </w:tabs>
                    <w:jc w:val="both"/>
                    <w:rPr>
                      <w:sz w:val="22"/>
                      <w:szCs w:val="22"/>
                      <w:lang w:val="sr-Latn-ME"/>
                    </w:rPr>
                  </w:pPr>
                </w:p>
              </w:tc>
              <w:tc>
                <w:tcPr>
                  <w:tcW w:w="701" w:type="pct"/>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Placebo</w:t>
                  </w:r>
                </w:p>
              </w:tc>
              <w:tc>
                <w:tcPr>
                  <w:tcW w:w="966" w:type="pct"/>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Adalimumab 40 mg svake nedjelje</w:t>
                  </w:r>
                </w:p>
              </w:tc>
              <w:tc>
                <w:tcPr>
                  <w:tcW w:w="735" w:type="pct"/>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 xml:space="preserve">Placebo </w:t>
                  </w:r>
                </w:p>
              </w:tc>
              <w:tc>
                <w:tcPr>
                  <w:tcW w:w="971" w:type="pct"/>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69"/>
                    </w:tabs>
                    <w:jc w:val="both"/>
                    <w:rPr>
                      <w:sz w:val="22"/>
                      <w:szCs w:val="22"/>
                      <w:lang w:val="sr-Latn-ME"/>
                    </w:rPr>
                  </w:pPr>
                  <w:r w:rsidRPr="00B60703">
                    <w:rPr>
                      <w:sz w:val="22"/>
                      <w:szCs w:val="22"/>
                      <w:lang w:val="sr-Latn-ME"/>
                    </w:rPr>
                    <w:t>Adalimumab 40 mg svake nedjelje</w:t>
                  </w:r>
                </w:p>
              </w:tc>
            </w:tr>
            <w:tr w:rsidR="005B62E2" w:rsidRPr="00B60703">
              <w:trPr>
                <w:trHeight w:val="532"/>
                <w:jc w:val="center"/>
              </w:trPr>
              <w:tc>
                <w:tcPr>
                  <w:tcW w:w="162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69"/>
                    </w:tabs>
                    <w:jc w:val="both"/>
                    <w:rPr>
                      <w:sz w:val="22"/>
                      <w:szCs w:val="22"/>
                      <w:lang w:val="sr-Latn-ME"/>
                    </w:rPr>
                  </w:pPr>
                  <w:r w:rsidRPr="00B60703">
                    <w:rPr>
                      <w:sz w:val="22"/>
                      <w:szCs w:val="22"/>
                      <w:lang w:val="sr-Latn-ME"/>
                    </w:rPr>
                    <w:t>Klinički odgovor gnojnog hidradenitisa (HiSCR)</w:t>
                  </w:r>
                  <w:r w:rsidRPr="00B60703">
                    <w:rPr>
                      <w:sz w:val="22"/>
                      <w:szCs w:val="22"/>
                      <w:vertAlign w:val="superscript"/>
                      <w:lang w:val="sr-Latn-ME"/>
                    </w:rPr>
                    <w:t>a</w:t>
                  </w:r>
                  <w:r w:rsidRPr="00B60703">
                    <w:rPr>
                      <w:sz w:val="22"/>
                      <w:szCs w:val="22"/>
                      <w:lang w:val="sr-Latn-ME"/>
                    </w:rPr>
                    <w:t xml:space="preserve"> </w:t>
                  </w:r>
                </w:p>
                <w:p w:rsidR="005B62E2" w:rsidRPr="00B60703" w:rsidRDefault="005B62E2">
                  <w:pPr>
                    <w:tabs>
                      <w:tab w:val="left" w:pos="569"/>
                    </w:tabs>
                    <w:jc w:val="both"/>
                    <w:rPr>
                      <w:sz w:val="22"/>
                      <w:szCs w:val="22"/>
                      <w:lang w:val="sr-Latn-ME"/>
                    </w:rPr>
                  </w:pPr>
                </w:p>
              </w:tc>
              <w:tc>
                <w:tcPr>
                  <w:tcW w:w="70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 = 154</w:t>
                  </w:r>
                  <w:r w:rsidRPr="00B60703">
                    <w:rPr>
                      <w:sz w:val="22"/>
                      <w:szCs w:val="22"/>
                      <w:lang w:val="sr-Latn-ME"/>
                    </w:rPr>
                    <w:br/>
                    <w:t>40 (26,0%)</w:t>
                  </w:r>
                </w:p>
              </w:tc>
              <w:tc>
                <w:tcPr>
                  <w:tcW w:w="96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 = 153</w:t>
                  </w:r>
                  <w:r w:rsidRPr="00B60703">
                    <w:rPr>
                      <w:sz w:val="22"/>
                      <w:szCs w:val="22"/>
                      <w:lang w:val="sr-Latn-ME"/>
                    </w:rPr>
                    <w:br/>
                    <w:t xml:space="preserve">64 (41,8%) </w:t>
                  </w:r>
                  <w:r w:rsidRPr="00B60703">
                    <w:rPr>
                      <w:sz w:val="22"/>
                      <w:szCs w:val="22"/>
                      <w:vertAlign w:val="superscript"/>
                      <w:lang w:val="sr-Latn-ME"/>
                    </w:rPr>
                    <w:t>*</w:t>
                  </w:r>
                </w:p>
              </w:tc>
              <w:tc>
                <w:tcPr>
                  <w:tcW w:w="7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N=163</w:t>
                  </w:r>
                </w:p>
                <w:p w:rsidR="005B62E2" w:rsidRPr="00B60703" w:rsidRDefault="00F03789">
                  <w:pPr>
                    <w:tabs>
                      <w:tab w:val="left" w:pos="569"/>
                    </w:tabs>
                    <w:jc w:val="both"/>
                    <w:rPr>
                      <w:sz w:val="22"/>
                      <w:szCs w:val="22"/>
                      <w:lang w:val="sr-Latn-ME"/>
                    </w:rPr>
                  </w:pPr>
                  <w:r w:rsidRPr="00B60703">
                    <w:rPr>
                      <w:sz w:val="22"/>
                      <w:szCs w:val="22"/>
                      <w:lang w:val="sr-Latn-ME"/>
                    </w:rPr>
                    <w:t>45 (27,6%)</w:t>
                  </w:r>
                </w:p>
              </w:tc>
              <w:tc>
                <w:tcPr>
                  <w:tcW w:w="97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N=163</w:t>
                  </w:r>
                </w:p>
                <w:p w:rsidR="005B62E2" w:rsidRPr="00B60703" w:rsidRDefault="00F03789">
                  <w:pPr>
                    <w:tabs>
                      <w:tab w:val="left" w:pos="569"/>
                    </w:tabs>
                    <w:jc w:val="both"/>
                    <w:rPr>
                      <w:sz w:val="22"/>
                      <w:szCs w:val="22"/>
                      <w:lang w:val="sr-Latn-ME"/>
                    </w:rPr>
                  </w:pPr>
                  <w:r w:rsidRPr="00B60703">
                    <w:rPr>
                      <w:sz w:val="22"/>
                      <w:szCs w:val="22"/>
                      <w:lang w:val="sr-Latn-ME"/>
                    </w:rPr>
                    <w:t xml:space="preserve">96 (58,9%) </w:t>
                  </w:r>
                  <w:r w:rsidRPr="00B60703">
                    <w:rPr>
                      <w:sz w:val="22"/>
                      <w:szCs w:val="22"/>
                      <w:vertAlign w:val="superscript"/>
                      <w:lang w:val="sr-Latn-ME"/>
                    </w:rPr>
                    <w:t>***</w:t>
                  </w:r>
                </w:p>
              </w:tc>
            </w:tr>
            <w:tr w:rsidR="005B62E2" w:rsidRPr="00B60703">
              <w:trPr>
                <w:jc w:val="center"/>
              </w:trPr>
              <w:tc>
                <w:tcPr>
                  <w:tcW w:w="162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69"/>
                    </w:tabs>
                    <w:jc w:val="both"/>
                    <w:rPr>
                      <w:sz w:val="22"/>
                      <w:szCs w:val="22"/>
                      <w:lang w:val="sr-Latn-ME"/>
                    </w:rPr>
                  </w:pPr>
                  <w:r w:rsidRPr="00B60703">
                    <w:rPr>
                      <w:sz w:val="22"/>
                      <w:szCs w:val="22"/>
                      <w:lang w:val="sr-Latn-ME"/>
                    </w:rPr>
                    <w:t>Smanjenje kožnog bola za ≥30%</w:t>
                  </w:r>
                  <w:r w:rsidRPr="00B60703">
                    <w:rPr>
                      <w:sz w:val="22"/>
                      <w:szCs w:val="22"/>
                      <w:vertAlign w:val="superscript"/>
                      <w:lang w:val="sr-Latn-ME"/>
                    </w:rPr>
                    <w:t>b</w:t>
                  </w:r>
                </w:p>
              </w:tc>
              <w:tc>
                <w:tcPr>
                  <w:tcW w:w="70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 = 109</w:t>
                  </w:r>
                  <w:r w:rsidRPr="00B60703">
                    <w:rPr>
                      <w:sz w:val="22"/>
                      <w:szCs w:val="22"/>
                      <w:lang w:val="sr-Latn-ME"/>
                    </w:rPr>
                    <w:br/>
                    <w:t>27 (24,8%)</w:t>
                  </w:r>
                </w:p>
              </w:tc>
              <w:tc>
                <w:tcPr>
                  <w:tcW w:w="96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 = 122</w:t>
                  </w:r>
                  <w:r w:rsidRPr="00B60703">
                    <w:rPr>
                      <w:sz w:val="22"/>
                      <w:szCs w:val="22"/>
                      <w:lang w:val="sr-Latn-ME"/>
                    </w:rPr>
                    <w:br/>
                    <w:t>34 (27,9%)</w:t>
                  </w:r>
                </w:p>
              </w:tc>
              <w:tc>
                <w:tcPr>
                  <w:tcW w:w="735"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N=111</w:t>
                  </w:r>
                </w:p>
                <w:p w:rsidR="005B62E2" w:rsidRPr="00B60703" w:rsidRDefault="00F03789">
                  <w:pPr>
                    <w:tabs>
                      <w:tab w:val="left" w:pos="569"/>
                    </w:tabs>
                    <w:jc w:val="both"/>
                    <w:rPr>
                      <w:sz w:val="22"/>
                      <w:szCs w:val="22"/>
                      <w:lang w:val="sr-Latn-ME"/>
                    </w:rPr>
                  </w:pPr>
                  <w:r w:rsidRPr="00B60703">
                    <w:rPr>
                      <w:sz w:val="22"/>
                      <w:szCs w:val="22"/>
                      <w:lang w:val="sr-Latn-ME"/>
                    </w:rPr>
                    <w:t>23 (20,7%)</w:t>
                  </w:r>
                </w:p>
              </w:tc>
              <w:tc>
                <w:tcPr>
                  <w:tcW w:w="97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69"/>
                    </w:tabs>
                    <w:jc w:val="both"/>
                    <w:rPr>
                      <w:sz w:val="22"/>
                      <w:szCs w:val="22"/>
                      <w:lang w:val="sr-Latn-ME"/>
                    </w:rPr>
                  </w:pPr>
                  <w:r w:rsidRPr="00B60703">
                    <w:rPr>
                      <w:sz w:val="22"/>
                      <w:szCs w:val="22"/>
                      <w:lang w:val="sr-Latn-ME"/>
                    </w:rPr>
                    <w:t>N=105</w:t>
                  </w:r>
                </w:p>
                <w:p w:rsidR="005B62E2" w:rsidRPr="00B60703" w:rsidRDefault="00F03789">
                  <w:pPr>
                    <w:tabs>
                      <w:tab w:val="left" w:pos="569"/>
                    </w:tabs>
                    <w:jc w:val="both"/>
                    <w:rPr>
                      <w:sz w:val="22"/>
                      <w:szCs w:val="22"/>
                      <w:lang w:val="sr-Latn-ME"/>
                    </w:rPr>
                  </w:pPr>
                  <w:r w:rsidRPr="00B60703">
                    <w:rPr>
                      <w:sz w:val="22"/>
                      <w:szCs w:val="22"/>
                      <w:lang w:val="sr-Latn-ME"/>
                    </w:rPr>
                    <w:t xml:space="preserve">48 (45,7%) </w:t>
                  </w:r>
                  <w:r w:rsidRPr="00B60703">
                    <w:rPr>
                      <w:sz w:val="22"/>
                      <w:szCs w:val="22"/>
                      <w:vertAlign w:val="superscript"/>
                      <w:lang w:val="sr-Latn-ME"/>
                    </w:rPr>
                    <w:t>***</w:t>
                  </w:r>
                </w:p>
              </w:tc>
            </w:tr>
            <w:tr w:rsidR="005B62E2" w:rsidRPr="00B60703">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69"/>
                    </w:tabs>
                    <w:jc w:val="both"/>
                    <w:rPr>
                      <w:sz w:val="22"/>
                      <w:szCs w:val="22"/>
                      <w:lang w:val="sr-Latn-ME"/>
                    </w:rPr>
                  </w:pPr>
                  <w:r w:rsidRPr="00B60703">
                    <w:rPr>
                      <w:sz w:val="22"/>
                      <w:szCs w:val="22"/>
                      <w:lang w:val="sr-Latn-ME"/>
                    </w:rPr>
                    <w:t xml:space="preserve">* </w:t>
                  </w:r>
                  <w:r w:rsidRPr="00B60703">
                    <w:rPr>
                      <w:i/>
                      <w:sz w:val="22"/>
                      <w:szCs w:val="22"/>
                      <w:lang w:val="sr-Latn-ME"/>
                    </w:rPr>
                    <w:t>p</w:t>
                  </w:r>
                  <w:r w:rsidRPr="00B60703">
                    <w:rPr>
                      <w:sz w:val="22"/>
                      <w:szCs w:val="22"/>
                      <w:lang w:val="sr-Latn-ME"/>
                    </w:rPr>
                    <w:t xml:space="preserve"> &lt; 0,05, ***</w:t>
                  </w:r>
                  <w:r w:rsidRPr="00B60703">
                    <w:rPr>
                      <w:i/>
                      <w:sz w:val="22"/>
                      <w:szCs w:val="22"/>
                      <w:lang w:val="sr-Latn-ME"/>
                    </w:rPr>
                    <w:t xml:space="preserve">p </w:t>
                  </w:r>
                  <w:r w:rsidRPr="00B60703">
                    <w:rPr>
                      <w:sz w:val="22"/>
                      <w:szCs w:val="22"/>
                      <w:lang w:val="sr-Latn-ME"/>
                    </w:rPr>
                    <w:t xml:space="preserve">&lt; 0,001, adalimumab naspram placeba </w:t>
                  </w:r>
                </w:p>
                <w:p w:rsidR="005B62E2" w:rsidRPr="00B60703" w:rsidRDefault="00F03789">
                  <w:pPr>
                    <w:tabs>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Među svim randomizovanim pacijentima</w:t>
                  </w:r>
                </w:p>
                <w:p w:rsidR="005B62E2" w:rsidRPr="00B60703" w:rsidRDefault="00F03789">
                  <w:pPr>
                    <w:tabs>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Među pacijentima sa procijenjenim početnim kožnim bolom uzrokovanim gnojnim hidradenitisom ≥ 3 prema numeričkoj skali od 0 – 10; 0 = bez kožnog bola, 10 = nezamislivo jak kožni bol </w:t>
                  </w:r>
                </w:p>
              </w:tc>
            </w:tr>
          </w:tbl>
          <w:p w:rsidR="005B62E2" w:rsidRPr="00B60703" w:rsidRDefault="005B62E2">
            <w:pPr>
              <w:tabs>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Liječenje adalimumabom u dozi od 40 mg svake nedjelje značajno je smanjilo rizik od pogoršanja apscesa i drenirajućih fistula. Približno dvostruko veći udio pacijenata u grupi koja je u prvih 12 nedjelja ispitivanja HS-I i HS-II primala placebo, u odnosu na one koji su liječeni adalimumabom, doživio je pogoršanje apscesa (23,0% u odnosu na 11,4%) i drenirajućih fistula (30,0% u odnosu na 13,9%).</w:t>
            </w:r>
          </w:p>
          <w:p w:rsidR="005B62E2" w:rsidRPr="00B60703" w:rsidRDefault="005B62E2">
            <w:pPr>
              <w:tabs>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 xml:space="preserve">Veća poboljšanja od početka ispitivanja do nedjelje 12 u odnosu na placebo zabilježena su za kvalitet života vezan za zdravlje, specifičan za kožne bolesti, koji se određivao indeksom kvaliteta života kod dermatoloških bolesti (engl. </w:t>
            </w:r>
            <w:r w:rsidRPr="00B60703">
              <w:rPr>
                <w:i/>
                <w:sz w:val="22"/>
                <w:szCs w:val="22"/>
                <w:lang w:val="sr-Latn-ME"/>
              </w:rPr>
              <w:t>Dermatology Life Quality Index</w:t>
            </w:r>
            <w:r w:rsidRPr="00B60703">
              <w:rPr>
                <w:sz w:val="22"/>
                <w:szCs w:val="22"/>
                <w:lang w:val="sr-Latn-ME"/>
              </w:rPr>
              <w:t xml:space="preserve"> [DLQI]; ispitivanja HS-I i HS-II), opšte zadovoljstvo pacijenata farmakološkim liječenjem, koje se određivalo upitnikom za procjenu zadovoljstva farmakološkim liječenjem (engl. </w:t>
            </w:r>
            <w:r w:rsidRPr="00B60703">
              <w:rPr>
                <w:i/>
                <w:sz w:val="22"/>
                <w:szCs w:val="22"/>
                <w:lang w:val="sr-Latn-ME"/>
              </w:rPr>
              <w:t>Treatment Satisfaction Questionnaire - medication</w:t>
            </w:r>
            <w:r w:rsidRPr="00B60703">
              <w:rPr>
                <w:sz w:val="22"/>
                <w:szCs w:val="22"/>
                <w:lang w:val="sr-Latn-ME"/>
              </w:rPr>
              <w:t xml:space="preserve"> [TSQM]; ispitivanja HS-I i HS-II) i fizičko zdravlje, koje se određivalo na osnovu rezultata za cjelokupnu fizičku komponentu upitnika SF</w:t>
            </w:r>
            <w:r w:rsidRPr="00B60703">
              <w:rPr>
                <w:sz w:val="22"/>
                <w:szCs w:val="22"/>
                <w:lang w:val="sr-Latn-ME"/>
              </w:rPr>
              <w:noBreakHyphen/>
              <w:t>36 (ispitivanje HS-I).</w:t>
            </w:r>
          </w:p>
          <w:p w:rsidR="005B62E2" w:rsidRPr="00B60703" w:rsidRDefault="005B62E2">
            <w:pPr>
              <w:tabs>
                <w:tab w:val="left" w:pos="569"/>
              </w:tabs>
              <w:jc w:val="both"/>
              <w:rPr>
                <w:sz w:val="22"/>
                <w:szCs w:val="22"/>
                <w:lang w:val="sr-Latn-ME"/>
              </w:rPr>
            </w:pPr>
          </w:p>
          <w:p w:rsidR="005B62E2" w:rsidRPr="00B60703" w:rsidRDefault="00F03789">
            <w:pPr>
              <w:tabs>
                <w:tab w:val="left" w:pos="569"/>
              </w:tabs>
              <w:jc w:val="both"/>
              <w:rPr>
                <w:sz w:val="22"/>
                <w:szCs w:val="22"/>
                <w:lang w:val="sr-Latn-ME"/>
              </w:rPr>
            </w:pPr>
            <w:r w:rsidRPr="00B60703">
              <w:rPr>
                <w:sz w:val="22"/>
                <w:szCs w:val="22"/>
                <w:lang w:val="sr-Latn-ME"/>
              </w:rPr>
              <w:t>Među pacijentima koji su u nedjelji 12 ostvarili bar djelimičan odgovor na liječenje adalimumabom u dozi od 40 mg svake nedjelje, stopa HiSCR</w:t>
            </w:r>
            <w:r w:rsidRPr="00B60703">
              <w:rPr>
                <w:sz w:val="22"/>
                <w:szCs w:val="22"/>
                <w:lang w:val="sr-Latn-ME"/>
              </w:rPr>
              <w:noBreakHyphen/>
              <w:t>a zabilježena u nedjelji 36 bila je veća kod onih pacijenata koji su nastavili da primaju adalimumab svake nedjelje nego kod pacijenata kojima je učestalost doziranja smanjena na jednom svake druge nedjelje ili onih kojima je liječenje ukinuto (vidjeti Tabelu 22).</w:t>
            </w:r>
          </w:p>
          <w:p w:rsidR="005B62E2" w:rsidRPr="00B60703" w:rsidRDefault="005B62E2">
            <w:pPr>
              <w:tabs>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22: Udio pacijenata</w:t>
            </w:r>
            <w:r w:rsidRPr="00B60703">
              <w:rPr>
                <w:b/>
                <w:sz w:val="22"/>
                <w:szCs w:val="22"/>
                <w:vertAlign w:val="superscript"/>
                <w:lang w:val="sr-Latn-ME"/>
              </w:rPr>
              <w:t>a</w:t>
            </w:r>
            <w:r w:rsidRPr="00B60703">
              <w:rPr>
                <w:b/>
                <w:sz w:val="22"/>
                <w:szCs w:val="22"/>
                <w:lang w:val="sr-Latn-ME"/>
              </w:rPr>
              <w:t xml:space="preserve"> koji su postigli HiSCR</w:t>
            </w:r>
            <w:r w:rsidRPr="00B60703">
              <w:rPr>
                <w:b/>
                <w:sz w:val="22"/>
                <w:szCs w:val="22"/>
                <w:vertAlign w:val="superscript"/>
                <w:lang w:val="sr-Latn-ME"/>
              </w:rPr>
              <w:t xml:space="preserve">b </w:t>
            </w:r>
            <w:r w:rsidRPr="00B60703">
              <w:rPr>
                <w:b/>
                <w:sz w:val="22"/>
                <w:szCs w:val="22"/>
                <w:lang w:val="sr-Latn-ME"/>
              </w:rPr>
              <w:t>u nedjelji 24 i nedjelji 36 nakon preraspodjele liječenja u nedjelji 12, do kada su primali adalimumab svake nedjelje</w:t>
            </w: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 </w:t>
            </w:r>
          </w:p>
          <w:tbl>
            <w:tblPr>
              <w:tblpPr w:leftFromText="180" w:rightFromText="180" w:vertAnchor="text" w:horzAnchor="margin" w:tblpY="23"/>
              <w:tblOverlap w:val="neve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974"/>
              <w:gridCol w:w="2715"/>
              <w:gridCol w:w="2552"/>
            </w:tblGrid>
            <w:tr w:rsidR="005B62E2" w:rsidRPr="00B60703">
              <w:trPr>
                <w:trHeight w:val="670"/>
                <w:tblHeader/>
              </w:trPr>
              <w:tc>
                <w:tcPr>
                  <w:tcW w:w="1641" w:type="dxa"/>
                  <w:tcBorders>
                    <w:top w:val="single" w:sz="4" w:space="0" w:color="auto"/>
                    <w:left w:val="single" w:sz="4" w:space="0" w:color="auto"/>
                    <w:bottom w:val="single" w:sz="4" w:space="0" w:color="auto"/>
                    <w:right w:val="single" w:sz="4" w:space="0" w:color="auto"/>
                  </w:tcBorders>
                  <w:vAlign w:val="bottom"/>
                </w:tcPr>
                <w:p w:rsidR="005B62E2" w:rsidRPr="00B60703" w:rsidRDefault="005B62E2">
                  <w:pPr>
                    <w:tabs>
                      <w:tab w:val="left" w:pos="540"/>
                      <w:tab w:val="left" w:pos="569"/>
                    </w:tabs>
                    <w:jc w:val="both"/>
                    <w:rPr>
                      <w:sz w:val="22"/>
                      <w:szCs w:val="22"/>
                      <w:lang w:val="sr-Latn-ME"/>
                    </w:rPr>
                  </w:pPr>
                </w:p>
              </w:tc>
              <w:tc>
                <w:tcPr>
                  <w:tcW w:w="1974" w:type="dxa"/>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40"/>
                      <w:tab w:val="left" w:pos="569"/>
                    </w:tabs>
                    <w:rPr>
                      <w:sz w:val="22"/>
                      <w:szCs w:val="22"/>
                      <w:lang w:val="sr-Latn-ME"/>
                    </w:rPr>
                  </w:pPr>
                  <w:r w:rsidRPr="00B60703">
                    <w:rPr>
                      <w:sz w:val="22"/>
                      <w:szCs w:val="22"/>
                      <w:lang w:val="sr-Latn-ME"/>
                    </w:rPr>
                    <w:t>Placebo</w:t>
                  </w:r>
                  <w:r w:rsidRPr="00B60703">
                    <w:rPr>
                      <w:sz w:val="22"/>
                      <w:szCs w:val="22"/>
                      <w:lang w:val="sr-Latn-ME"/>
                    </w:rPr>
                    <w:br/>
                    <w:t>(ukidanje liječenja)</w:t>
                  </w:r>
                  <w:r w:rsidRPr="00B60703">
                    <w:rPr>
                      <w:sz w:val="22"/>
                      <w:szCs w:val="22"/>
                      <w:lang w:val="sr-Latn-ME"/>
                    </w:rPr>
                    <w:br/>
                    <w:t>N = 73</w:t>
                  </w:r>
                </w:p>
              </w:tc>
              <w:tc>
                <w:tcPr>
                  <w:tcW w:w="2715" w:type="dxa"/>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40"/>
                      <w:tab w:val="left" w:pos="569"/>
                    </w:tabs>
                    <w:rPr>
                      <w:sz w:val="22"/>
                      <w:szCs w:val="22"/>
                      <w:lang w:val="sr-Latn-ME"/>
                    </w:rPr>
                  </w:pPr>
                  <w:r w:rsidRPr="00B60703">
                    <w:rPr>
                      <w:sz w:val="22"/>
                      <w:szCs w:val="22"/>
                      <w:lang w:val="sr-Latn-ME"/>
                    </w:rPr>
                    <w:t>Adalimumab 40 mg</w:t>
                  </w:r>
                  <w:r w:rsidRPr="00B60703">
                    <w:rPr>
                      <w:sz w:val="22"/>
                      <w:szCs w:val="22"/>
                      <w:lang w:val="sr-Latn-ME"/>
                    </w:rPr>
                    <w:br/>
                    <w:t>svake druge nedjelje</w:t>
                  </w:r>
                  <w:r w:rsidRPr="00B60703">
                    <w:rPr>
                      <w:sz w:val="22"/>
                      <w:szCs w:val="22"/>
                      <w:lang w:val="sr-Latn-ME"/>
                    </w:rPr>
                    <w:br/>
                    <w:t>N = 70</w:t>
                  </w:r>
                </w:p>
              </w:tc>
              <w:tc>
                <w:tcPr>
                  <w:tcW w:w="2550" w:type="dxa"/>
                  <w:tcBorders>
                    <w:top w:val="single" w:sz="4" w:space="0" w:color="auto"/>
                    <w:left w:val="single" w:sz="4" w:space="0" w:color="auto"/>
                    <w:bottom w:val="single" w:sz="4" w:space="0" w:color="auto"/>
                    <w:right w:val="single" w:sz="4" w:space="0" w:color="auto"/>
                  </w:tcBorders>
                  <w:vAlign w:val="bottom"/>
                </w:tcPr>
                <w:p w:rsidR="005B62E2" w:rsidRPr="00B60703" w:rsidRDefault="00F03789">
                  <w:pPr>
                    <w:tabs>
                      <w:tab w:val="left" w:pos="540"/>
                      <w:tab w:val="left" w:pos="569"/>
                    </w:tabs>
                    <w:rPr>
                      <w:sz w:val="22"/>
                      <w:szCs w:val="22"/>
                      <w:lang w:val="sr-Latn-ME"/>
                    </w:rPr>
                  </w:pPr>
                  <w:r w:rsidRPr="00B60703">
                    <w:rPr>
                      <w:sz w:val="22"/>
                      <w:szCs w:val="22"/>
                      <w:lang w:val="sr-Latn-ME"/>
                    </w:rPr>
                    <w:t>Adalimumab 40 mg</w:t>
                  </w:r>
                  <w:r w:rsidRPr="00B60703">
                    <w:rPr>
                      <w:sz w:val="22"/>
                      <w:szCs w:val="22"/>
                      <w:lang w:val="sr-Latn-ME"/>
                    </w:rPr>
                    <w:br/>
                    <w:t>svake nedjelje</w:t>
                  </w:r>
                  <w:r w:rsidRPr="00B60703">
                    <w:rPr>
                      <w:sz w:val="22"/>
                      <w:szCs w:val="22"/>
                      <w:lang w:val="sr-Latn-ME"/>
                    </w:rPr>
                    <w:br/>
                    <w:t>N = 70</w:t>
                  </w:r>
                </w:p>
              </w:tc>
            </w:tr>
            <w:tr w:rsidR="005B62E2" w:rsidRPr="00B60703">
              <w:trPr>
                <w:trHeight w:val="223"/>
              </w:trPr>
              <w:tc>
                <w:tcPr>
                  <w:tcW w:w="16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24</w:t>
                  </w:r>
                </w:p>
              </w:tc>
              <w:tc>
                <w:tcPr>
                  <w:tcW w:w="197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24 (32,9%)</w:t>
                  </w:r>
                </w:p>
              </w:tc>
              <w:tc>
                <w:tcPr>
                  <w:tcW w:w="271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36 (51,4%)</w:t>
                  </w:r>
                </w:p>
              </w:tc>
              <w:tc>
                <w:tcPr>
                  <w:tcW w:w="255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40 (57,1%)</w:t>
                  </w:r>
                </w:p>
              </w:tc>
            </w:tr>
            <w:tr w:rsidR="005B62E2" w:rsidRPr="00B60703">
              <w:trPr>
                <w:trHeight w:val="223"/>
              </w:trPr>
              <w:tc>
                <w:tcPr>
                  <w:tcW w:w="1641"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36</w:t>
                  </w:r>
                </w:p>
              </w:tc>
              <w:tc>
                <w:tcPr>
                  <w:tcW w:w="197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22 (30,1%)</w:t>
                  </w:r>
                </w:p>
              </w:tc>
              <w:tc>
                <w:tcPr>
                  <w:tcW w:w="271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28 (40,0%)</w:t>
                  </w:r>
                </w:p>
              </w:tc>
              <w:tc>
                <w:tcPr>
                  <w:tcW w:w="2550"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39 (55,7%)</w:t>
                  </w:r>
                </w:p>
              </w:tc>
            </w:tr>
            <w:tr w:rsidR="005B62E2" w:rsidRPr="00B60703">
              <w:trPr>
                <w:trHeight w:val="888"/>
              </w:trPr>
              <w:tc>
                <w:tcPr>
                  <w:tcW w:w="8882" w:type="dxa"/>
                  <w:gridSpan w:val="4"/>
                  <w:tcBorders>
                    <w:top w:val="single" w:sz="4" w:space="0" w:color="auto"/>
                    <w:left w:val="single" w:sz="4" w:space="0" w:color="auto"/>
                    <w:bottom w:val="single" w:sz="4" w:space="0" w:color="auto"/>
                    <w:right w:val="single" w:sz="4" w:space="0" w:color="auto"/>
                  </w:tcBorders>
                </w:tcPr>
                <w:p w:rsidR="005B62E2" w:rsidRPr="00B60703" w:rsidRDefault="00F03789">
                  <w:pPr>
                    <w:numPr>
                      <w:ilvl w:val="0"/>
                      <w:numId w:val="8"/>
                    </w:numPr>
                    <w:tabs>
                      <w:tab w:val="left" w:pos="569"/>
                    </w:tabs>
                    <w:rPr>
                      <w:sz w:val="22"/>
                      <w:szCs w:val="22"/>
                      <w:lang w:val="sr-Latn-ME"/>
                    </w:rPr>
                  </w:pPr>
                  <w:r w:rsidRPr="00B60703">
                    <w:rPr>
                      <w:sz w:val="22"/>
                      <w:szCs w:val="22"/>
                      <w:lang w:val="sr-Latn-ME"/>
                    </w:rPr>
                    <w:t xml:space="preserve">Pacijenti koji su ostvarili bar djelimičan odgovor na liječenje adalimumabom u dozi od 40 mg </w:t>
                  </w:r>
                </w:p>
                <w:p w:rsidR="005B62E2" w:rsidRPr="00B60703" w:rsidRDefault="00F03789">
                  <w:pPr>
                    <w:tabs>
                      <w:tab w:val="left" w:pos="569"/>
                    </w:tabs>
                    <w:ind w:left="720"/>
                    <w:rPr>
                      <w:sz w:val="22"/>
                      <w:szCs w:val="22"/>
                      <w:lang w:val="sr-Latn-ME"/>
                    </w:rPr>
                  </w:pPr>
                  <w:r w:rsidRPr="00B60703">
                    <w:rPr>
                      <w:sz w:val="22"/>
                      <w:szCs w:val="22"/>
                      <w:lang w:val="sr-Latn-ME"/>
                    </w:rPr>
                    <w:t>svake nedjelje nakon 12 nedjelja liječenja.</w:t>
                  </w:r>
                </w:p>
                <w:p w:rsidR="005B62E2" w:rsidRPr="00B60703" w:rsidRDefault="00F03789">
                  <w:pPr>
                    <w:numPr>
                      <w:ilvl w:val="0"/>
                      <w:numId w:val="8"/>
                    </w:numPr>
                    <w:tabs>
                      <w:tab w:val="left" w:pos="569"/>
                    </w:tabs>
                    <w:rPr>
                      <w:sz w:val="22"/>
                      <w:szCs w:val="22"/>
                      <w:lang w:val="sr-Latn-ME"/>
                    </w:rPr>
                  </w:pPr>
                  <w:r w:rsidRPr="00B60703">
                    <w:rPr>
                      <w:sz w:val="22"/>
                      <w:szCs w:val="22"/>
                      <w:lang w:val="sr-Latn-ME"/>
                    </w:rPr>
                    <w:t>Pacijenti koji su ispunjavali protokolom utvrđene kriterijume za gubitak odgovora ili izostanak poboljšanja morali su da prekinu ispitivanja i vodili su se kao pacijenti bez odgovora.</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Među pacijentima koji su u nedjelji 12 ostvarili bar djelimičan odgovor i koji su nastavili terapiju adalimumabom svake nedjelje, stopa HiSCR-a u nedjelji 48 iznosila je 64,3%, a u nedjelji 96 65,1%. Pri dugoročnijem liječenju adalimumabom u dozi od 40 mg svake nedjelje tokom 96 nedjelja nisu otkriveni novi podaci povezani sa bezbjednošću.</w:t>
            </w:r>
          </w:p>
          <w:p w:rsidR="005B62E2" w:rsidRPr="00B60703" w:rsidRDefault="00F03789">
            <w:pPr>
              <w:tabs>
                <w:tab w:val="left" w:pos="540"/>
                <w:tab w:val="left" w:pos="569"/>
              </w:tabs>
              <w:jc w:val="both"/>
              <w:rPr>
                <w:sz w:val="22"/>
                <w:szCs w:val="22"/>
                <w:lang w:val="sr-Latn-ME"/>
              </w:rPr>
            </w:pPr>
            <w:r w:rsidRPr="00B60703">
              <w:rPr>
                <w:sz w:val="22"/>
                <w:szCs w:val="22"/>
                <w:lang w:val="sr-Latn-ME"/>
              </w:rPr>
              <w:t>Među pacijentima kojima je liječenje adalimumabom ukinuto nakon nedjelje 12 u ispitivanjima HS-I i HS-II, stopa HiSCR-a zabilježena 12 nedjelja nakon ponovnog uvođenja adalimumaba u dozi od 40 mg svake nedjelje vratila se na nivoe slične onima prije prekida liječenja (56,0 %).</w:t>
            </w:r>
          </w:p>
          <w:p w:rsidR="005B62E2" w:rsidRPr="00B60703" w:rsidRDefault="005B62E2">
            <w:pPr>
              <w:tabs>
                <w:tab w:val="left" w:pos="540"/>
                <w:tab w:val="left" w:pos="569"/>
              </w:tabs>
              <w:jc w:val="both"/>
              <w:rPr>
                <w:i/>
                <w:sz w:val="22"/>
                <w:szCs w:val="22"/>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Gnojno zapaljenje znojnih žlijezda (Hidradenitis suppurativa) kod adolescenata</w:t>
            </w:r>
          </w:p>
          <w:p w:rsidR="005B62E2" w:rsidRPr="00B60703" w:rsidRDefault="005B62E2">
            <w:pPr>
              <w:tabs>
                <w:tab w:val="left" w:pos="540"/>
                <w:tab w:val="left" w:pos="569"/>
              </w:tabs>
              <w:jc w:val="both"/>
              <w:rPr>
                <w:i/>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Nisu sprovedena klinička ispitivanja sa adalimumabom kod adolescentnih pacijenata sa gnojnim zapaljenjem znojnih žlijezda. Efikasnost adalimumaba u liječenju adolescentnih pacijenata sa gnojnim zapaljenjem znojnih žlijezda predviđa se na osnovu dokazane efikasnosti i povezanosti izloženosti i odgovora kod odraslih pacijenata sa gnojnim zapaljenjem znojnih žlijezda, kao i na vjerovatnoći da su tok bolesti, patofiziologija i efekti lijeka u suštini slični kao kod odraslih osoba pri istim nivoima izloženosti. Bezbjednost preporučene doze adalimumaba u adolescentnoj populaciji sa gnojnim zapaljenjem znojnih žlijezda zasniva se na bezbjednosnom profilu adalimumaba u drugim indikacijama i kod odraslih i kod pedijatrijskih pacijenata pri sličnoj ili većoj učestalosti doziranja (vidjeti dio 5.2).</w:t>
            </w:r>
          </w:p>
          <w:p w:rsidR="005B62E2" w:rsidRPr="00B60703" w:rsidRDefault="005B62E2">
            <w:pPr>
              <w:tabs>
                <w:tab w:val="left" w:pos="540"/>
                <w:tab w:val="left" w:pos="569"/>
              </w:tabs>
              <w:jc w:val="both"/>
              <w:rPr>
                <w:i/>
                <w:sz w:val="22"/>
                <w:szCs w:val="22"/>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Crohn-ova bolest</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ispitivane su u randomizovanim, dvostruko slijepim, placebo-kontrolisanim studijama na preko 1500 pacijenata sa umjereno do izrazito aktivnom </w:t>
            </w:r>
            <w:r w:rsidRPr="00B60703">
              <w:rPr>
                <w:i/>
                <w:sz w:val="22"/>
                <w:szCs w:val="22"/>
                <w:lang w:val="sr-Latn-ME"/>
              </w:rPr>
              <w:t>Crohn</w:t>
            </w:r>
            <w:r w:rsidRPr="00B60703">
              <w:rPr>
                <w:sz w:val="22"/>
                <w:szCs w:val="22"/>
                <w:lang w:val="sr-Latn-ME"/>
              </w:rPr>
              <w:t xml:space="preserve">-ovom bolešću (engl. </w:t>
            </w:r>
            <w:r w:rsidRPr="00B60703">
              <w:rPr>
                <w:i/>
                <w:sz w:val="22"/>
                <w:szCs w:val="22"/>
                <w:lang w:val="sr-Latn-ME"/>
              </w:rPr>
              <w:t>Crohn's Disease Activity Index</w:t>
            </w:r>
            <w:r w:rsidRPr="00B60703">
              <w:rPr>
                <w:sz w:val="22"/>
                <w:szCs w:val="22"/>
                <w:lang w:val="sr-Latn-ME"/>
              </w:rPr>
              <w:t xml:space="preserve"> (CDAI) ≥ 220 i ≤ 450). Istovremena primjena stabilnih doza aminosalicilata, kortikosteroida i/ili imunomodulatornih ljekova bila je dozvoljena, pa je 80% pacijenata nastavilo da uzima bar jedan od ovih ljekova.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Indukcija kliničke remisije (definisana kao CDAI &lt; 150) ispitivana je u dva ispitivanja, CD studija I (CLASSIC I) i CD studija II (GAIN).  U CD studiji I, 299 pacijenata koji nikad nisu primali terapiju antagonistima TNF-a randomizovano je u 4 terapijske grupe: placebo u nedjelji 0 i poslije 2 nedjelje, adalimumab 160 mg u nedjelji 0 i 80 mg poslije 2 nedjelje, adalimumab 80 mg u nedjelji 0 i 40 mg poslije 2 nedjelje, adalimumab 40 mg u nedjelji 0 i 20 mg poslije 2 nedjelje. U CD studiji II, 325 pacijenata kod kojih je odgovor prestao ili koji nisu reagovali na terapiju infliksimabom randomizovano je u dvije grupe: jedna grupa koja je primala 160 mg adalimumaba u nedjelji 0 i 80 mg adalimumaba dvije nedjelje kasnije, i druga grupa koja je primala placebo u istom periodu. Pacijenti kod kojih nije bilo odgovora nakon prve doze isključeni su iz daljeg toka istraživanja, i stoga nisu bili dalje evaluirani.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Održavanje kliničke remisije ispitivano je u CD studiji III (CHARM), u kojoj je 854 pacijenata primilo 80 mg adalimumaba u nedjelji 0, a 40 mg dvije nedjelje kasnije. U nedjelji 4, pacijenti su randomizovani u grupe koje su primale 40 mg adalimumaba svake nedjelje, 40 mg adalimumaba svake druge nedjelje ili placebo tokom 56 nedjelja. Pacijenti sa kliničkim odgovorom (smanjenje </w:t>
            </w:r>
            <w:r w:rsidRPr="00B60703">
              <w:rPr>
                <w:sz w:val="22"/>
                <w:szCs w:val="22"/>
                <w:lang w:val="sr-Latn-ME"/>
              </w:rPr>
              <w:lastRenderedPageBreak/>
              <w:t>CDAI ≥ 70) u nedjelji 4 stratifikovani su i analizirani odvojeno od pacijenata bez kliničkog odgovora u nedjelji 4. Dozvoljeno je smanjenje doze kortikosteroida nakon 8 nedjelja.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Indukcija remisije i stopa kliničkog odgovora u CD studiji I i CD studiji II prikazani su u Tabeli 23.</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23: Indukcija kliničke remisije i kliničkog odgovora (procenat pacijenata)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408"/>
              <w:gridCol w:w="1408"/>
              <w:gridCol w:w="1410"/>
              <w:gridCol w:w="1509"/>
              <w:gridCol w:w="1511"/>
            </w:tblGrid>
            <w:tr w:rsidR="005B62E2" w:rsidRPr="00B60703">
              <w:trPr>
                <w:trHeight w:val="496"/>
              </w:trPr>
              <w:tc>
                <w:tcPr>
                  <w:tcW w:w="904"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2389" w:type="pct"/>
                  <w:gridSpan w:val="3"/>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CD studija I: pacijenti koji nisu ranije primali infliksimab</w:t>
                  </w:r>
                </w:p>
              </w:tc>
              <w:tc>
                <w:tcPr>
                  <w:tcW w:w="1707" w:type="pct"/>
                  <w:gridSpan w:val="2"/>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CD studija II: pacijenti koji su primali infliksimab</w:t>
                  </w:r>
                </w:p>
              </w:tc>
            </w:tr>
            <w:tr w:rsidR="005B62E2" w:rsidRPr="00B60703">
              <w:trPr>
                <w:cantSplit/>
                <w:trHeight w:val="729"/>
              </w:trPr>
              <w:tc>
                <w:tcPr>
                  <w:tcW w:w="904"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N=74</w:t>
                  </w: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80/40 mg</w:t>
                  </w:r>
                </w:p>
                <w:p w:rsidR="005B62E2" w:rsidRPr="00B60703" w:rsidRDefault="00F03789">
                  <w:pPr>
                    <w:tabs>
                      <w:tab w:val="left" w:pos="540"/>
                      <w:tab w:val="left" w:pos="569"/>
                    </w:tabs>
                    <w:jc w:val="both"/>
                    <w:rPr>
                      <w:sz w:val="22"/>
                      <w:szCs w:val="22"/>
                      <w:lang w:val="sr-Latn-ME"/>
                    </w:rPr>
                  </w:pPr>
                  <w:r w:rsidRPr="00B60703">
                    <w:rPr>
                      <w:sz w:val="22"/>
                      <w:szCs w:val="22"/>
                      <w:lang w:val="sr-Latn-ME"/>
                    </w:rPr>
                    <w:t>N = 75</w:t>
                  </w:r>
                </w:p>
              </w:tc>
              <w:tc>
                <w:tcPr>
                  <w:tcW w:w="79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160/80 mg</w:t>
                  </w:r>
                </w:p>
                <w:p w:rsidR="005B62E2" w:rsidRPr="00B60703" w:rsidRDefault="00F03789">
                  <w:pPr>
                    <w:tabs>
                      <w:tab w:val="left" w:pos="540"/>
                      <w:tab w:val="left" w:pos="569"/>
                    </w:tabs>
                    <w:jc w:val="both"/>
                    <w:rPr>
                      <w:sz w:val="22"/>
                      <w:szCs w:val="22"/>
                      <w:lang w:val="sr-Latn-ME"/>
                    </w:rPr>
                  </w:pPr>
                  <w:r w:rsidRPr="00B60703">
                    <w:rPr>
                      <w:sz w:val="22"/>
                      <w:szCs w:val="22"/>
                      <w:lang w:val="sr-Latn-ME"/>
                    </w:rPr>
                    <w:t>N=76</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N=166</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w:t>
                  </w:r>
                </w:p>
                <w:p w:rsidR="005B62E2" w:rsidRPr="00B60703" w:rsidRDefault="00F03789">
                  <w:pPr>
                    <w:tabs>
                      <w:tab w:val="left" w:pos="540"/>
                      <w:tab w:val="left" w:pos="569"/>
                    </w:tabs>
                    <w:jc w:val="both"/>
                    <w:rPr>
                      <w:sz w:val="22"/>
                      <w:szCs w:val="22"/>
                      <w:lang w:val="sr-Latn-ME"/>
                    </w:rPr>
                  </w:pPr>
                  <w:r w:rsidRPr="00B60703">
                    <w:rPr>
                      <w:sz w:val="22"/>
                      <w:szCs w:val="22"/>
                      <w:lang w:val="sr-Latn-ME"/>
                    </w:rPr>
                    <w:t>160/80 mg</w:t>
                  </w:r>
                </w:p>
                <w:p w:rsidR="005B62E2" w:rsidRPr="00B60703" w:rsidRDefault="00F03789">
                  <w:pPr>
                    <w:tabs>
                      <w:tab w:val="left" w:pos="540"/>
                      <w:tab w:val="left" w:pos="569"/>
                    </w:tabs>
                    <w:jc w:val="both"/>
                    <w:rPr>
                      <w:sz w:val="22"/>
                      <w:szCs w:val="22"/>
                      <w:lang w:val="sr-Latn-ME"/>
                    </w:rPr>
                  </w:pPr>
                  <w:r w:rsidRPr="00B60703">
                    <w:rPr>
                      <w:sz w:val="22"/>
                      <w:szCs w:val="22"/>
                      <w:lang w:val="sr-Latn-ME"/>
                    </w:rPr>
                    <w:t>N=159</w:t>
                  </w:r>
                </w:p>
              </w:tc>
            </w:tr>
            <w:tr w:rsidR="005B62E2" w:rsidRPr="00B60703">
              <w:trPr>
                <w:cantSplit/>
                <w:trHeight w:val="233"/>
              </w:trPr>
              <w:tc>
                <w:tcPr>
                  <w:tcW w:w="90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4</w:t>
                  </w:r>
                </w:p>
              </w:tc>
              <w:tc>
                <w:tcPr>
                  <w:tcW w:w="796"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796"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797"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853"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853"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rPr>
                <w:cantSplit/>
                <w:trHeight w:val="248"/>
              </w:trPr>
              <w:tc>
                <w:tcPr>
                  <w:tcW w:w="90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Klinička remisija</w:t>
                  </w: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12%</w:t>
                  </w: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24%</w:t>
                  </w:r>
                </w:p>
              </w:tc>
              <w:tc>
                <w:tcPr>
                  <w:tcW w:w="79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36%*</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7%</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21%*</w:t>
                  </w:r>
                </w:p>
              </w:tc>
            </w:tr>
            <w:tr w:rsidR="005B62E2" w:rsidRPr="00B60703">
              <w:trPr>
                <w:cantSplit/>
                <w:trHeight w:val="496"/>
              </w:trPr>
              <w:tc>
                <w:tcPr>
                  <w:tcW w:w="90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Klinički odgovor (CR-100)</w:t>
                  </w: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24%</w:t>
                  </w:r>
                </w:p>
              </w:tc>
              <w:tc>
                <w:tcPr>
                  <w:tcW w:w="79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37%</w:t>
                  </w:r>
                </w:p>
              </w:tc>
              <w:tc>
                <w:tcPr>
                  <w:tcW w:w="79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49%**</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25%</w:t>
                  </w:r>
                </w:p>
              </w:tc>
              <w:tc>
                <w:tcPr>
                  <w:tcW w:w="853"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38%**</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Sve p-vrijednosti odnose se na poređenje adalimumaba i placeba.</w:t>
            </w:r>
          </w:p>
          <w:p w:rsidR="005B62E2" w:rsidRPr="00B60703" w:rsidRDefault="00F03789">
            <w:pPr>
              <w:tabs>
                <w:tab w:val="left" w:pos="540"/>
                <w:tab w:val="left" w:pos="569"/>
              </w:tabs>
              <w:jc w:val="both"/>
              <w:rPr>
                <w:sz w:val="22"/>
                <w:szCs w:val="22"/>
                <w:lang w:val="sr-Latn-ME"/>
              </w:rPr>
            </w:pPr>
            <w:r w:rsidRPr="00B60703">
              <w:rPr>
                <w:sz w:val="22"/>
                <w:szCs w:val="22"/>
                <w:lang w:val="sr-Latn-ME"/>
              </w:rPr>
              <w:t>* p &lt; 0,001</w:t>
            </w:r>
          </w:p>
          <w:p w:rsidR="005B62E2" w:rsidRPr="00B60703" w:rsidRDefault="00F03789">
            <w:pPr>
              <w:tabs>
                <w:tab w:val="left" w:pos="540"/>
                <w:tab w:val="left" w:pos="569"/>
              </w:tabs>
              <w:jc w:val="both"/>
              <w:rPr>
                <w:sz w:val="22"/>
                <w:szCs w:val="22"/>
                <w:lang w:val="sr-Latn-ME"/>
              </w:rPr>
            </w:pPr>
            <w:r w:rsidRPr="00B60703">
              <w:rPr>
                <w:sz w:val="22"/>
                <w:szCs w:val="22"/>
                <w:lang w:val="sr-Latn-ME"/>
              </w:rPr>
              <w:t>** p &lt; 0,01</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Slične stope remisije do nedjelje 8 uočene su za grupe koje su primale adalimumab u inicijalnim dozama od 160/80 mg i 80/40 mg, a stopa neželjenih dejstava bila je veća u grupi koja je primala adalimumab 160/80 mg.</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CD studiji III, u nedjelji 4, 58% pacijenata (499/854) imalo je klinički odgovor i uključeno je u primarnu analizu. 48% tih pacijenata već je ranije koristilo neki drugi antagonist TNF-a. Održanje remisije i stopa kliničkog odgovora nalaze se u Tabeli 24. Klinička remisija se održala relativno konstantnom bez obzira na prethodno liječenje antagonistima TNF-a.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Hospitalizacije i hirurške intervencije povezane sa bolešću bile su statistički značajno smanjene prilikom terapije adalimumabom u poređenju sa placebom u nedjelji 56.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24: Održavanje kliničke remisije i kliničkog odgovora (procenat pacijenata)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1040"/>
              <w:gridCol w:w="1922"/>
              <w:gridCol w:w="1900"/>
            </w:tblGrid>
            <w:tr w:rsidR="005B62E2" w:rsidRPr="00B60703">
              <w:trPr>
                <w:trHeight w:val="782"/>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 40 mg svake druge nedjelje</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 40 mg svake nedjelje</w:t>
                  </w:r>
                </w:p>
              </w:tc>
            </w:tr>
            <w:tr w:rsidR="005B62E2" w:rsidRPr="00B60703">
              <w:trPr>
                <w:trHeight w:val="266"/>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sz w:val="22"/>
                      <w:szCs w:val="22"/>
                      <w:lang w:val="sr-Latn-ME"/>
                    </w:rPr>
                    <w:t xml:space="preserve"> </w:t>
                  </w:r>
                  <w:r w:rsidRPr="00B60703">
                    <w:rPr>
                      <w:b/>
                      <w:sz w:val="22"/>
                      <w:szCs w:val="22"/>
                      <w:lang w:val="sr-Latn-ME"/>
                    </w:rPr>
                    <w:t>Nedjelja 26</w:t>
                  </w: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N=170</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N=172</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N=157</w:t>
                  </w:r>
                </w:p>
              </w:tc>
            </w:tr>
            <w:tr w:rsidR="005B62E2" w:rsidRPr="00B60703">
              <w:trPr>
                <w:trHeight w:val="251"/>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Klinička remisija</w:t>
                  </w:r>
                </w:p>
              </w:tc>
              <w:tc>
                <w:tcPr>
                  <w:tcW w:w="58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17%</w:t>
                  </w:r>
                </w:p>
              </w:tc>
              <w:tc>
                <w:tcPr>
                  <w:tcW w:w="108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40%*</w:t>
                  </w:r>
                </w:p>
              </w:tc>
              <w:tc>
                <w:tcPr>
                  <w:tcW w:w="107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47%*</w:t>
                  </w:r>
                </w:p>
              </w:tc>
            </w:tr>
            <w:tr w:rsidR="005B62E2" w:rsidRPr="00B60703">
              <w:trPr>
                <w:trHeight w:val="266"/>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Klinički odgovor (CR-100)</w:t>
                  </w: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27%</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52%*</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52%*</w:t>
                  </w:r>
                </w:p>
              </w:tc>
            </w:tr>
            <w:tr w:rsidR="005B62E2" w:rsidRPr="00B60703">
              <w:trPr>
                <w:trHeight w:val="251"/>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Pacijenti u remisiji bez upotrebe steroida &gt;= 90 dana</w:t>
                  </w:r>
                  <w:r w:rsidRPr="00B60703">
                    <w:rPr>
                      <w:sz w:val="22"/>
                      <w:szCs w:val="22"/>
                      <w:vertAlign w:val="superscript"/>
                      <w:lang w:val="sr-Latn-ME"/>
                    </w:rPr>
                    <w:t>a</w:t>
                  </w: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 (2/66)</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19% (11/58)**</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15% (11/74)**</w:t>
                  </w:r>
                </w:p>
              </w:tc>
            </w:tr>
            <w:tr w:rsidR="005B62E2" w:rsidRPr="00B60703">
              <w:trPr>
                <w:trHeight w:val="266"/>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Nedjelja 56</w:t>
                  </w: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N=170</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N=172</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N=157</w:t>
                  </w:r>
                </w:p>
              </w:tc>
            </w:tr>
            <w:tr w:rsidR="005B62E2" w:rsidRPr="00B60703">
              <w:trPr>
                <w:trHeight w:val="251"/>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Klinička remisija</w:t>
                  </w:r>
                </w:p>
              </w:tc>
              <w:tc>
                <w:tcPr>
                  <w:tcW w:w="58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12%</w:t>
                  </w:r>
                </w:p>
              </w:tc>
              <w:tc>
                <w:tcPr>
                  <w:tcW w:w="108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36%*</w:t>
                  </w:r>
                </w:p>
              </w:tc>
              <w:tc>
                <w:tcPr>
                  <w:tcW w:w="107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41%*</w:t>
                  </w:r>
                </w:p>
              </w:tc>
            </w:tr>
            <w:tr w:rsidR="005B62E2" w:rsidRPr="00B60703">
              <w:trPr>
                <w:trHeight w:val="266"/>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Klinički odgovor (CR-100)</w:t>
                  </w:r>
                </w:p>
              </w:tc>
              <w:tc>
                <w:tcPr>
                  <w:tcW w:w="58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17%</w:t>
                  </w:r>
                </w:p>
              </w:tc>
              <w:tc>
                <w:tcPr>
                  <w:tcW w:w="1086"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41%*</w:t>
                  </w:r>
                </w:p>
              </w:tc>
              <w:tc>
                <w:tcPr>
                  <w:tcW w:w="107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48%*</w:t>
                  </w:r>
                </w:p>
              </w:tc>
            </w:tr>
            <w:tr w:rsidR="005B62E2" w:rsidRPr="00B60703">
              <w:trPr>
                <w:trHeight w:val="266"/>
              </w:trPr>
              <w:tc>
                <w:tcPr>
                  <w:tcW w:w="2252"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Pacijenti u remisiji bez upotrebe steroida &gt;= 90 dana</w:t>
                  </w:r>
                  <w:r w:rsidRPr="00B60703">
                    <w:rPr>
                      <w:sz w:val="22"/>
                      <w:szCs w:val="22"/>
                      <w:vertAlign w:val="superscript"/>
                      <w:lang w:val="sr-Latn-ME"/>
                    </w:rPr>
                    <w:t>a</w:t>
                  </w:r>
                </w:p>
              </w:tc>
              <w:tc>
                <w:tcPr>
                  <w:tcW w:w="588"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 (3/66)</w:t>
                  </w:r>
                </w:p>
              </w:tc>
              <w:tc>
                <w:tcPr>
                  <w:tcW w:w="1086"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29% (17/58)*</w:t>
                  </w:r>
                </w:p>
              </w:tc>
              <w:tc>
                <w:tcPr>
                  <w:tcW w:w="1074"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20% (15/74)**</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 p &lt; 0,001 poređenje adalimumaba i placeba</w:t>
            </w:r>
          </w:p>
          <w:p w:rsidR="005B62E2" w:rsidRPr="00B60703" w:rsidRDefault="00F03789">
            <w:pPr>
              <w:tabs>
                <w:tab w:val="left" w:pos="540"/>
                <w:tab w:val="left" w:pos="569"/>
              </w:tabs>
              <w:jc w:val="both"/>
              <w:rPr>
                <w:sz w:val="22"/>
                <w:szCs w:val="22"/>
                <w:lang w:val="sr-Latn-ME"/>
              </w:rPr>
            </w:pPr>
            <w:r w:rsidRPr="00B60703">
              <w:rPr>
                <w:sz w:val="22"/>
                <w:szCs w:val="22"/>
                <w:lang w:val="sr-Latn-ME"/>
              </w:rPr>
              <w:t>** p &lt; 0,02 poređenje adalimumaba i placeba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samo oni koji su na početku uzimali kortikosteroide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Među pacijentima koji u nedjelji 4 nisu imali klinički odgovor, 43% pacijenata koji su primali adalimumab imalo je klinički odgovor do nedjelje 12 u odnosu na 30% u grupi pacijenata koji su uzimali placebo. Ovi rezultati ukazuju na to da neki pacijenti koji nisu odgovorili na terapiju do </w:t>
            </w:r>
            <w:r w:rsidRPr="00B60703">
              <w:rPr>
                <w:sz w:val="22"/>
                <w:szCs w:val="22"/>
                <w:lang w:val="sr-Latn-ME"/>
              </w:rPr>
              <w:lastRenderedPageBreak/>
              <w:t>nedjelje 4, imaju koristi ukoliko se terapija nastavi do nedjelje 12. Produženje terapije duže od 12 nedjelja nije dalo bolji klinički rezultat (vidjeti dio 4.2).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117/276 pacijenata u CD studiji I i 272/777 pacijenata u CD studijama II i III su praćeni tokom najmanje 3 godine u otvorenom dijelu terapije adalimumabom. 88, odnosno 189 pacijenata je i dalje bilo u kliničkoj remisiji. Klinički odgovor (CD-100) je održan kod 102, odnosno 233 pacijenta.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Kvalitet života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lang w:val="sr-Latn-ME"/>
              </w:rPr>
            </w:pPr>
            <w:r w:rsidRPr="00B60703">
              <w:rPr>
                <w:sz w:val="22"/>
                <w:szCs w:val="22"/>
                <w:lang w:val="sr-Latn-ME"/>
              </w:rPr>
              <w:t xml:space="preserve">U CD studiji I i CD studiji II u nedjelji 4 kod pacijenata koji su randomizovani da primaju adalimumab 80/40 mg i 160/80 mg došlo je do statistički značajnog poboljšanja ukupnog rezultata prema upitniku o zapaljenjskoj bolesti crijeva (engl. </w:t>
            </w:r>
            <w:r w:rsidRPr="00B60703">
              <w:rPr>
                <w:i/>
                <w:sz w:val="22"/>
                <w:szCs w:val="22"/>
                <w:lang w:val="sr-Latn-ME"/>
              </w:rPr>
              <w:t>Inflammatory bowel disease questionnaire</w:t>
            </w:r>
            <w:r w:rsidRPr="00B60703">
              <w:rPr>
                <w:sz w:val="22"/>
                <w:szCs w:val="22"/>
                <w:lang w:val="sr-Latn-ME"/>
              </w:rPr>
              <w:t>; IBDQ) za specifičnu bolest u odnosu na grupu pacijenata koji su uzimali placebo. U CD studiji III, grupe pacijenata koje su uzimale adalimumab imale su u nedjeljama 26 i 56 bolje rezultate od grupe koja je uzimala placebo.</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Pedijatrijski oblik Crohn-ove bolesti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je ispitivan u multicentričnoj, randomizovanoj, dvostruko-slijepoj kliničkoj studiji, dizajniranoj za evaluaciju efikasnosti i bezbjednosti indukcione terapije i terapije održavanja, u dozi koja zavisi od tjelesne mase (&lt;40 kg ili ≥ 40 kg) kod 192 pedijatrijska pacijenta, uzrasta između (i uključujući) 6 i 17 godina, sa umjerenim do teškim oblikom </w:t>
            </w:r>
            <w:r w:rsidRPr="00B60703">
              <w:rPr>
                <w:i/>
                <w:sz w:val="22"/>
                <w:szCs w:val="22"/>
                <w:lang w:val="sr-Latn-ME"/>
              </w:rPr>
              <w:t>Crohn</w:t>
            </w:r>
            <w:r w:rsidRPr="00B60703">
              <w:rPr>
                <w:sz w:val="22"/>
                <w:szCs w:val="22"/>
                <w:lang w:val="sr-Latn-ME"/>
              </w:rPr>
              <w:t xml:space="preserve">-ove bolesti, definisanim rezultatom prema Indeksu aktivnosti </w:t>
            </w:r>
            <w:r w:rsidRPr="00B60703">
              <w:rPr>
                <w:i/>
                <w:sz w:val="22"/>
                <w:szCs w:val="22"/>
                <w:lang w:val="sr-Latn-ME"/>
              </w:rPr>
              <w:t>Crohn</w:t>
            </w:r>
            <w:r w:rsidRPr="00B60703">
              <w:rPr>
                <w:sz w:val="22"/>
                <w:szCs w:val="22"/>
                <w:lang w:val="sr-Latn-ME"/>
              </w:rPr>
              <w:t xml:space="preserve">-ove bolesti kod djece (engl. </w:t>
            </w:r>
            <w:r w:rsidRPr="00B60703">
              <w:rPr>
                <w:i/>
                <w:sz w:val="22"/>
                <w:szCs w:val="22"/>
                <w:lang w:val="sr-Latn-ME"/>
              </w:rPr>
              <w:t>Paediatric Crohn’s Disease Activity Index</w:t>
            </w:r>
            <w:r w:rsidRPr="00B60703">
              <w:rPr>
                <w:sz w:val="22"/>
                <w:szCs w:val="22"/>
                <w:lang w:val="sr-Latn-ME"/>
              </w:rPr>
              <w:t xml:space="preserve"> (PCDAI)) skor &gt;30. Ispitanici su prethodno morali imati neadekvatan odgovor na konvencionalnu terapiju u liječenju </w:t>
            </w:r>
            <w:r w:rsidRPr="00B60703">
              <w:rPr>
                <w:i/>
                <w:sz w:val="22"/>
                <w:szCs w:val="22"/>
                <w:lang w:val="sr-Latn-ME"/>
              </w:rPr>
              <w:t>Crohn</w:t>
            </w:r>
            <w:r w:rsidRPr="00B60703">
              <w:rPr>
                <w:sz w:val="22"/>
                <w:szCs w:val="22"/>
                <w:lang w:val="sr-Latn-ME"/>
              </w:rPr>
              <w:t>-ove bolesti (uključujući kortikosteroide i/ili imunomodulator). Ispitanici su mogli biti i pacijenti koji su imali slabljenje odgovora na infliksimab ili ga nisu podnosili.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Svi ispitanici su primili otvorenu indukcionu terapiju u dozi u odnosu na svoju tjelesnu masu: pacijenti sa tjelesnom masom ≥ 40 kg primili su 160 mg u nedjelji 0 i 80 mg nakon dvije nedjelje, a pacijenti sa tjelesnom masom &lt; 40 kg primili su 80 mg u nedjelji 0 i 40 mg nakon dvije nedjelje.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nedjelji 4 ispitanici su randomizovani 1:1 u odnosu na tjelesnu masu da bi nastavili da primaju nižu dozu ili standardnu dozu u terapiji održavanja, kao što je prikazano u Tabeli 25.</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25: Terapija održavanja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3192"/>
              <w:gridCol w:w="2985"/>
            </w:tblGrid>
            <w:tr w:rsidR="005B62E2" w:rsidRPr="00B60703">
              <w:trPr>
                <w:trHeight w:val="440"/>
              </w:trPr>
              <w:tc>
                <w:tcPr>
                  <w:tcW w:w="150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Tjelesna masa pacijenta</w:t>
                  </w:r>
                </w:p>
              </w:tc>
              <w:tc>
                <w:tcPr>
                  <w:tcW w:w="180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Niska doza</w:t>
                  </w:r>
                </w:p>
              </w:tc>
              <w:tc>
                <w:tcPr>
                  <w:tcW w:w="168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Standardna doza</w:t>
                  </w:r>
                </w:p>
              </w:tc>
            </w:tr>
            <w:tr w:rsidR="005B62E2" w:rsidRPr="00B60703">
              <w:trPr>
                <w:trHeight w:val="219"/>
              </w:trPr>
              <w:tc>
                <w:tcPr>
                  <w:tcW w:w="150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&lt; 40 kg</w:t>
                  </w:r>
                </w:p>
              </w:tc>
              <w:tc>
                <w:tcPr>
                  <w:tcW w:w="180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10 mg svake druge nedjelje</w:t>
                  </w:r>
                </w:p>
              </w:tc>
              <w:tc>
                <w:tcPr>
                  <w:tcW w:w="168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20 mg svake druge nedjelje</w:t>
                  </w:r>
                </w:p>
              </w:tc>
            </w:tr>
            <w:tr w:rsidR="005B62E2" w:rsidRPr="00B60703">
              <w:trPr>
                <w:trHeight w:val="219"/>
              </w:trPr>
              <w:tc>
                <w:tcPr>
                  <w:tcW w:w="150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40 kg</w:t>
                  </w:r>
                </w:p>
              </w:tc>
              <w:tc>
                <w:tcPr>
                  <w:tcW w:w="1804"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20 mg svake druge nedjelje</w:t>
                  </w:r>
                </w:p>
              </w:tc>
              <w:tc>
                <w:tcPr>
                  <w:tcW w:w="1687"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40 mg svake druge nedjelje</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Rezultati efikasnosti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Primarni parametar praćenja bio je klinička remisija u nedjelji 26, definisana kao PCDAI skor ≤ 10.</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Klinička remisija i klinički odgovor (definisan kao redukcija PCDAI skora za najmanje 15 bodova od početne vrijednosti) prikazani su u Tabeli 26. Stepen prekida upotrebe kortikosteroida i imunomodulatora prikazan je u Tabeli 27.</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26: Pedijatrijska CD studija PCDAI klinička remisija i odgovor</w:t>
            </w:r>
          </w:p>
          <w:p w:rsidR="005B62E2" w:rsidRPr="00B60703" w:rsidRDefault="005B62E2">
            <w:pPr>
              <w:tabs>
                <w:tab w:val="left" w:pos="540"/>
                <w:tab w:val="left" w:pos="569"/>
              </w:tabs>
              <w:jc w:val="both"/>
              <w:rPr>
                <w:sz w:val="22"/>
                <w:szCs w:val="22"/>
                <w:lang w:val="sr-Latn-ME"/>
              </w:rPr>
            </w:pP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865"/>
              <w:gridCol w:w="2746"/>
              <w:gridCol w:w="1335"/>
            </w:tblGrid>
            <w:tr w:rsidR="005B62E2" w:rsidRPr="00B60703">
              <w:trPr>
                <w:trHeight w:val="884"/>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tc>
              <w:tc>
                <w:tcPr>
                  <w:tcW w:w="2865" w:type="dxa"/>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Standardna doza: </w:t>
                  </w:r>
                </w:p>
                <w:p w:rsidR="005B62E2" w:rsidRPr="00B60703" w:rsidRDefault="00F03789">
                  <w:pPr>
                    <w:tabs>
                      <w:tab w:val="left" w:pos="540"/>
                      <w:tab w:val="left" w:pos="569"/>
                    </w:tabs>
                    <w:jc w:val="both"/>
                    <w:rPr>
                      <w:sz w:val="22"/>
                      <w:szCs w:val="22"/>
                      <w:lang w:val="sr-Latn-ME"/>
                    </w:rPr>
                  </w:pPr>
                  <w:r w:rsidRPr="00B60703">
                    <w:rPr>
                      <w:sz w:val="22"/>
                      <w:szCs w:val="22"/>
                      <w:lang w:val="sr-Latn-ME"/>
                    </w:rPr>
                    <w:t>40/20 mg svake druge nedjelje</w:t>
                  </w:r>
                </w:p>
                <w:p w:rsidR="005B62E2" w:rsidRPr="00B60703" w:rsidRDefault="00F03789">
                  <w:pPr>
                    <w:tabs>
                      <w:tab w:val="left" w:pos="540"/>
                      <w:tab w:val="left" w:pos="569"/>
                    </w:tabs>
                    <w:jc w:val="both"/>
                    <w:rPr>
                      <w:sz w:val="22"/>
                      <w:szCs w:val="22"/>
                      <w:lang w:val="sr-Latn-ME"/>
                    </w:rPr>
                  </w:pPr>
                  <w:r w:rsidRPr="00B60703">
                    <w:rPr>
                      <w:sz w:val="22"/>
                      <w:szCs w:val="22"/>
                      <w:lang w:val="sr-Latn-ME"/>
                    </w:rPr>
                    <w:t>N=93</w:t>
                  </w:r>
                </w:p>
              </w:tc>
              <w:tc>
                <w:tcPr>
                  <w:tcW w:w="2746" w:type="dxa"/>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Niska doza: </w:t>
                  </w:r>
                </w:p>
                <w:p w:rsidR="005B62E2" w:rsidRPr="00B60703" w:rsidRDefault="00F03789">
                  <w:pPr>
                    <w:tabs>
                      <w:tab w:val="left" w:pos="540"/>
                      <w:tab w:val="left" w:pos="569"/>
                    </w:tabs>
                    <w:jc w:val="both"/>
                    <w:rPr>
                      <w:sz w:val="22"/>
                      <w:szCs w:val="22"/>
                      <w:lang w:val="sr-Latn-ME"/>
                    </w:rPr>
                  </w:pPr>
                  <w:r w:rsidRPr="00B60703">
                    <w:rPr>
                      <w:sz w:val="22"/>
                      <w:szCs w:val="22"/>
                      <w:lang w:val="sr-Latn-ME"/>
                    </w:rPr>
                    <w:t>20/10 mg svake druge nedjelje</w:t>
                  </w:r>
                </w:p>
                <w:p w:rsidR="005B62E2" w:rsidRPr="00B60703" w:rsidRDefault="00F03789">
                  <w:pPr>
                    <w:tabs>
                      <w:tab w:val="left" w:pos="540"/>
                      <w:tab w:val="left" w:pos="569"/>
                    </w:tabs>
                    <w:jc w:val="both"/>
                    <w:rPr>
                      <w:sz w:val="22"/>
                      <w:szCs w:val="22"/>
                      <w:lang w:val="sr-Latn-ME"/>
                    </w:rPr>
                  </w:pPr>
                  <w:r w:rsidRPr="00B60703">
                    <w:rPr>
                      <w:sz w:val="22"/>
                      <w:szCs w:val="22"/>
                      <w:lang w:val="sr-Latn-ME"/>
                    </w:rPr>
                    <w:t>N=95</w:t>
                  </w:r>
                </w:p>
              </w:tc>
              <w:tc>
                <w:tcPr>
                  <w:tcW w:w="1334" w:type="dxa"/>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rPr>
                      <w:sz w:val="22"/>
                      <w:szCs w:val="22"/>
                      <w:lang w:val="sr-Latn-ME"/>
                    </w:rPr>
                  </w:pPr>
                  <w:r w:rsidRPr="00B60703">
                    <w:rPr>
                      <w:sz w:val="22"/>
                      <w:szCs w:val="22"/>
                      <w:lang w:val="sr-Latn-ME"/>
                    </w:rPr>
                    <w:t xml:space="preserve">P* </w:t>
                  </w:r>
                </w:p>
                <w:p w:rsidR="005B62E2" w:rsidRPr="00B60703" w:rsidRDefault="00F03789">
                  <w:pPr>
                    <w:tabs>
                      <w:tab w:val="left" w:pos="540"/>
                      <w:tab w:val="left" w:pos="569"/>
                    </w:tabs>
                    <w:rPr>
                      <w:sz w:val="22"/>
                      <w:szCs w:val="22"/>
                      <w:lang w:val="sr-Latn-ME"/>
                    </w:rPr>
                  </w:pPr>
                  <w:r w:rsidRPr="00B60703">
                    <w:rPr>
                      <w:sz w:val="22"/>
                      <w:szCs w:val="22"/>
                      <w:lang w:val="sr-Latn-ME"/>
                    </w:rPr>
                    <w:t>vrijednost</w:t>
                  </w: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26</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Klinička remisija</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38,7%</w:t>
                  </w: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28,4%</w:t>
                  </w: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0,075</w:t>
                  </w: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  Klinički odgovor</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59,1%</w:t>
                  </w: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48,4%</w:t>
                  </w: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0,073</w:t>
                  </w: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52</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Klinička remisija</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33,3%</w:t>
                  </w: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23,2%</w:t>
                  </w: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0,100</w:t>
                  </w:r>
                </w:p>
              </w:tc>
            </w:tr>
            <w:tr w:rsidR="005B62E2" w:rsidRPr="00B60703">
              <w:trPr>
                <w:trHeight w:val="217"/>
              </w:trPr>
              <w:tc>
                <w:tcPr>
                  <w:tcW w:w="190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Klinički odgovor</w:t>
                  </w:r>
                </w:p>
              </w:tc>
              <w:tc>
                <w:tcPr>
                  <w:tcW w:w="2865"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41,9%</w:t>
                  </w:r>
                </w:p>
              </w:tc>
              <w:tc>
                <w:tcPr>
                  <w:tcW w:w="2746"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28,4%</w:t>
                  </w:r>
                </w:p>
              </w:tc>
              <w:tc>
                <w:tcPr>
                  <w:tcW w:w="1334" w:type="dxa"/>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0,038</w:t>
                  </w:r>
                </w:p>
              </w:tc>
            </w:tr>
            <w:tr w:rsidR="005B62E2" w:rsidRPr="00B60703">
              <w:trPr>
                <w:trHeight w:val="207"/>
              </w:trPr>
              <w:tc>
                <w:tcPr>
                  <w:tcW w:w="8851" w:type="dxa"/>
                  <w:gridSpan w:val="4"/>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*p vrijednost poređenja standardne doze u odnosu na nisku dozu</w:t>
                  </w:r>
                </w:p>
              </w:tc>
            </w:tr>
          </w:tbl>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27: Pedijatrijska CD studija Prekid upotrebe kortikosteroida ili imunomodulatora i remisija fistula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528"/>
              <w:gridCol w:w="2691"/>
              <w:gridCol w:w="1205"/>
            </w:tblGrid>
            <w:tr w:rsidR="005B62E2" w:rsidRPr="00B60703">
              <w:trPr>
                <w:trHeight w:val="757"/>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1429"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Standardna doza:</w:t>
                  </w:r>
                </w:p>
                <w:p w:rsidR="005B62E2" w:rsidRPr="00B60703" w:rsidRDefault="00F03789">
                  <w:pPr>
                    <w:tabs>
                      <w:tab w:val="left" w:pos="540"/>
                      <w:tab w:val="left" w:pos="569"/>
                    </w:tabs>
                    <w:jc w:val="both"/>
                    <w:rPr>
                      <w:sz w:val="22"/>
                      <w:szCs w:val="22"/>
                      <w:lang w:val="sr-Latn-ME"/>
                    </w:rPr>
                  </w:pPr>
                  <w:r w:rsidRPr="00B60703">
                    <w:rPr>
                      <w:sz w:val="22"/>
                      <w:szCs w:val="22"/>
                      <w:lang w:val="sr-Latn-ME"/>
                    </w:rPr>
                    <w:t>40/20 mg svake druge nedjelje</w:t>
                  </w:r>
                </w:p>
              </w:tc>
              <w:tc>
                <w:tcPr>
                  <w:tcW w:w="152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Niska doza:</w:t>
                  </w:r>
                </w:p>
                <w:p w:rsidR="005B62E2" w:rsidRPr="00B60703" w:rsidRDefault="00F03789">
                  <w:pPr>
                    <w:tabs>
                      <w:tab w:val="left" w:pos="540"/>
                      <w:tab w:val="left" w:pos="569"/>
                    </w:tabs>
                    <w:jc w:val="both"/>
                    <w:rPr>
                      <w:sz w:val="22"/>
                      <w:szCs w:val="22"/>
                      <w:lang w:val="sr-Latn-ME"/>
                    </w:rPr>
                  </w:pPr>
                  <w:r w:rsidRPr="00B60703">
                    <w:rPr>
                      <w:sz w:val="22"/>
                      <w:szCs w:val="22"/>
                      <w:lang w:val="sr-Latn-ME"/>
                    </w:rPr>
                    <w:t>20/10 mg svake druge nedjelje</w:t>
                  </w:r>
                </w:p>
              </w:tc>
              <w:tc>
                <w:tcPr>
                  <w:tcW w:w="68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P¹ vrijednost</w:t>
                  </w: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Prekid kortikosteroida</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N=33</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N=38</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b/>
                      <w:sz w:val="22"/>
                      <w:szCs w:val="22"/>
                      <w:lang w:val="sr-Latn-ME"/>
                    </w:rPr>
                  </w:pP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26</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84,8%</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65,8%</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0,066</w:t>
                  </w: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52</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69,7%</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60,5%</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0,420</w:t>
                  </w: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Prekid imunomodulatora²</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N=60</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N=57</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b/>
                      <w:sz w:val="22"/>
                      <w:szCs w:val="22"/>
                      <w:lang w:val="sr-Latn-ME"/>
                    </w:rPr>
                  </w:pP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52</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30,0%</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29,8%</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0,983</w:t>
                  </w: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Remisija fistula³</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N=15</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b/>
                      <w:sz w:val="22"/>
                      <w:szCs w:val="22"/>
                      <w:lang w:val="sr-Latn-ME"/>
                    </w:rPr>
                  </w:pPr>
                  <w:r w:rsidRPr="00B60703">
                    <w:rPr>
                      <w:b/>
                      <w:sz w:val="22"/>
                      <w:szCs w:val="22"/>
                      <w:lang w:val="sr-Latn-ME"/>
                    </w:rPr>
                    <w:t>N=21</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b/>
                      <w:sz w:val="22"/>
                      <w:szCs w:val="22"/>
                      <w:lang w:val="sr-Latn-ME"/>
                    </w:rPr>
                  </w:pPr>
                </w:p>
              </w:tc>
            </w:tr>
            <w:tr w:rsidR="005B62E2" w:rsidRPr="00B60703">
              <w:trPr>
                <w:trHeight w:val="252"/>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26</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46,7%</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38,1%</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0,608</w:t>
                  </w:r>
                </w:p>
              </w:tc>
            </w:tr>
            <w:tr w:rsidR="005B62E2" w:rsidRPr="00B60703">
              <w:trPr>
                <w:trHeight w:val="257"/>
              </w:trPr>
              <w:tc>
                <w:tcPr>
                  <w:tcW w:w="136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Nedjelja 52</w:t>
                  </w:r>
                </w:p>
              </w:tc>
              <w:tc>
                <w:tcPr>
                  <w:tcW w:w="1429"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40,0%</w:t>
                  </w:r>
                </w:p>
              </w:tc>
              <w:tc>
                <w:tcPr>
                  <w:tcW w:w="152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23,8%</w:t>
                  </w:r>
                </w:p>
              </w:tc>
              <w:tc>
                <w:tcPr>
                  <w:tcW w:w="68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0,303</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¹ p vrijednost za standardnu dozu u odnosu na nisku dozu</w:t>
            </w:r>
          </w:p>
          <w:p w:rsidR="005B62E2" w:rsidRPr="00B60703" w:rsidRDefault="00F03789">
            <w:pPr>
              <w:tabs>
                <w:tab w:val="left" w:pos="540"/>
                <w:tab w:val="left" w:pos="569"/>
              </w:tabs>
              <w:jc w:val="both"/>
              <w:rPr>
                <w:sz w:val="22"/>
                <w:szCs w:val="22"/>
                <w:lang w:val="sr-Latn-ME"/>
              </w:rPr>
            </w:pPr>
            <w:r w:rsidRPr="00B60703">
              <w:rPr>
                <w:sz w:val="22"/>
                <w:szCs w:val="22"/>
                <w:lang w:val="sr-Latn-ME"/>
              </w:rPr>
              <w:t>² imunosupresivna terapija mogla je biti prekinuta samo u nedjelji 26 ili nakon nedjelje 26 ukoliko je kod ispitanika ispunjen kriterijum za klinički odgovor</w:t>
            </w:r>
          </w:p>
          <w:p w:rsidR="005B62E2" w:rsidRPr="00B60703" w:rsidRDefault="00F03789">
            <w:pPr>
              <w:tabs>
                <w:tab w:val="left" w:pos="540"/>
                <w:tab w:val="left" w:pos="569"/>
              </w:tabs>
              <w:jc w:val="both"/>
              <w:rPr>
                <w:sz w:val="22"/>
                <w:szCs w:val="22"/>
                <w:lang w:val="sr-Latn-ME"/>
              </w:rPr>
            </w:pPr>
            <w:r w:rsidRPr="00B60703">
              <w:rPr>
                <w:sz w:val="22"/>
                <w:szCs w:val="22"/>
                <w:lang w:val="sr-Latn-ME"/>
              </w:rPr>
              <w:t>³ definisana kao zatvaranje svih fistula koje su bile drenirane na početku studije, tokom najmanje 2 uzastopne posjete nakon početka liječenja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Statistički značajno povećanje (poboljšanje) indeksa tjelesne mase i rasta, u odnosu na početne vrijednosti, uočeno je u obje grupe ispitanika, u nedjelji 26 i u nedjelji 52.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Statistički i klinički značajno poboljšanje parametara kvaliteta života (uključujući IMPACT III), u odnosu na početne vrijednosti, takođe je primijećeno u obje ispitivane grupe pacijenata.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Sto pacijenata (n=100) iz ispitivanja pedijatrijskih pacijenata sa </w:t>
            </w:r>
            <w:r w:rsidRPr="00B60703">
              <w:rPr>
                <w:i/>
                <w:sz w:val="22"/>
                <w:szCs w:val="22"/>
                <w:lang w:val="sr-Latn-ME"/>
              </w:rPr>
              <w:t>Crohn</w:t>
            </w:r>
            <w:r w:rsidRPr="00B60703">
              <w:rPr>
                <w:sz w:val="22"/>
                <w:szCs w:val="22"/>
                <w:lang w:val="sr-Latn-ME"/>
              </w:rPr>
              <w:t xml:space="preserve">-ovom bolešću (engl. </w:t>
            </w:r>
            <w:r w:rsidRPr="00B60703">
              <w:rPr>
                <w:i/>
                <w:iCs/>
                <w:sz w:val="22"/>
                <w:szCs w:val="22"/>
                <w:lang w:val="sr-Latn-ME"/>
              </w:rPr>
              <w:t>Paediatric CD Study</w:t>
            </w:r>
            <w:r w:rsidRPr="00B60703">
              <w:rPr>
                <w:sz w:val="22"/>
                <w:szCs w:val="22"/>
                <w:lang w:val="sr-Latn-ME"/>
              </w:rPr>
              <w:t>) nastavilo je otvoreni dugotrajan produžetak ispitivanja. Nakon 5 godina terapije adalimumabom, 74,0% (37/50) od 50 pacijenata koji su ostali u ispitivanju i dalje je bilo u kliničkoj remisiji, dok je 92,0% (46/50) pacijenata nastavilo da ima klinički odgovor prema PCDAI.</w:t>
            </w:r>
          </w:p>
          <w:p w:rsidR="005B62E2" w:rsidRPr="00B60703" w:rsidRDefault="005B62E2">
            <w:pPr>
              <w:tabs>
                <w:tab w:val="left" w:pos="540"/>
                <w:tab w:val="left" w:pos="569"/>
              </w:tabs>
              <w:jc w:val="both"/>
              <w:rPr>
                <w:sz w:val="22"/>
                <w:szCs w:val="22"/>
                <w:u w:val="single"/>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Ulcerozni kolitis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Bezbjednost i efikasnost višestrukih doza adalimumaba ispitivana je u randomizovanim, dvostruko slijepim, placebo-kontrolisanim studijama, kod odraslih pacijenata sa umjerenim do teškim aktivnim ulceroznim kolitisom (</w:t>
            </w:r>
            <w:r w:rsidRPr="00B60703">
              <w:rPr>
                <w:i/>
                <w:sz w:val="22"/>
                <w:szCs w:val="22"/>
                <w:lang w:val="sr-Latn-ME"/>
              </w:rPr>
              <w:t>Mayo</w:t>
            </w:r>
            <w:r w:rsidRPr="00B60703">
              <w:rPr>
                <w:sz w:val="22"/>
                <w:szCs w:val="22"/>
                <w:lang w:val="sr-Latn-ME"/>
              </w:rPr>
              <w:t xml:space="preserve"> skor od 6-12, uz vrijednost endoskopskog subskora od 2-3).</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studiji UC-I, 390 pacijenata koji nikad nisu primali terapiju antagonistima TNF-a randomizovano je u tri terapijske grupe: placebo u nedjelji 0 i poslije 2 nedjelje, adalimumab 160 mg u nedjelji 0 i 80 mg poslije 2 nedjelje, adalimumab 80 mg u nedjelji 0 i 40 mg poslije 2 nedjelje.</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Nakon nedjelje 2, pacijenti iz obje grupe koji su primali adalimumab, nastavili su da primaju dozu od 40 adalimumaba na svake dvije nedjelje. Klinička remisija (definisana kao </w:t>
            </w:r>
            <w:r w:rsidRPr="00B60703">
              <w:rPr>
                <w:i/>
                <w:sz w:val="22"/>
                <w:szCs w:val="22"/>
                <w:lang w:val="sr-Latn-ME"/>
              </w:rPr>
              <w:t>Mayo</w:t>
            </w:r>
            <w:r w:rsidRPr="00B60703">
              <w:rPr>
                <w:sz w:val="22"/>
                <w:szCs w:val="22"/>
                <w:lang w:val="sr-Latn-ME"/>
              </w:rPr>
              <w:t xml:space="preserve"> skor ≤ 2 bez subskora &gt; 1) mjerena je u nedjelji 8.</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studiji UC-II, 248 pacijenata je primilo 160 mg adalimumaba u nedjelji 0, 80 mg nakon 2 nedjelje, a zatim 40 mg svake druge nedjelje, dok je 246 pacijenata primalo placebo. Klinička remisija je mjerena u nedjelji 8, a održavanje remisije u nedjelji 52.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Kod pacijenata koji su primili indukcionu dozu adalimumaba od 160/80 mg, postignut je statistički značajno veći procenat kliničke remisije u odnosu na placebo, u nedjelji 8, u studiji UC-I (18% odnosno 9%, p=0,031) i u studiji UC-II (17% odnosno 9%, p=0,019). U studiji UC-II, 21/41 (51%) pacijenata liječenih adalimumabom koji su bili u remisiji u nedjelji 8, održalo je remisiju i u nedjelji 52.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Rezultati za ukupnu populaciju pacijenata u studiji UC-II prikazani su u Tabeli 28.</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Tabela 28: Odgovor, remisija i zacjeljenje mukoze u studiji UC-II (procenat pacijenata)</w:t>
            </w:r>
          </w:p>
          <w:p w:rsidR="005B62E2" w:rsidRPr="00B60703" w:rsidRDefault="005B62E2">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1347"/>
              <w:gridCol w:w="3854"/>
            </w:tblGrid>
            <w:tr w:rsidR="005B62E2" w:rsidRPr="00B60703">
              <w:trPr>
                <w:trHeight w:val="480"/>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5B62E2">
                  <w:pPr>
                    <w:tabs>
                      <w:tab w:val="left" w:pos="540"/>
                      <w:tab w:val="left" w:pos="569"/>
                    </w:tabs>
                    <w:jc w:val="both"/>
                    <w:rPr>
                      <w:sz w:val="22"/>
                      <w:szCs w:val="22"/>
                      <w:lang w:val="sr-Latn-ME"/>
                    </w:rPr>
                  </w:pP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Placebo</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Adalimumab 40 mg svake druge nedjelje</w:t>
                  </w:r>
                </w:p>
              </w:tc>
            </w:tr>
            <w:tr w:rsidR="005B62E2" w:rsidRPr="00B60703">
              <w:trPr>
                <w:trHeight w:val="354"/>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52</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b/>
                      <w:sz w:val="22"/>
                      <w:szCs w:val="22"/>
                      <w:lang w:val="sr-Latn-ME"/>
                    </w:rPr>
                  </w:pPr>
                  <w:r w:rsidRPr="00B60703">
                    <w:rPr>
                      <w:b/>
                      <w:sz w:val="22"/>
                      <w:szCs w:val="22"/>
                      <w:lang w:val="sr-Latn-ME"/>
                    </w:rPr>
                    <w:t>N=246</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b/>
                      <w:sz w:val="22"/>
                      <w:szCs w:val="22"/>
                      <w:lang w:val="sr-Latn-ME"/>
                    </w:rPr>
                  </w:pPr>
                  <w:r w:rsidRPr="00B60703">
                    <w:rPr>
                      <w:b/>
                      <w:sz w:val="22"/>
                      <w:szCs w:val="22"/>
                      <w:lang w:val="sr-Latn-ME"/>
                    </w:rPr>
                    <w:t>N=248</w:t>
                  </w:r>
                </w:p>
              </w:tc>
            </w:tr>
            <w:tr w:rsidR="005B62E2" w:rsidRPr="00B60703">
              <w:trPr>
                <w:trHeight w:val="345"/>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Klinički odgovor</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18%</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30%*</w:t>
                  </w:r>
                </w:p>
              </w:tc>
            </w:tr>
            <w:tr w:rsidR="005B62E2" w:rsidRPr="00B60703">
              <w:trPr>
                <w:trHeight w:val="363"/>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Klinička remisija</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9%</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17%*</w:t>
                  </w:r>
                </w:p>
              </w:tc>
            </w:tr>
            <w:tr w:rsidR="005B62E2" w:rsidRPr="00B60703">
              <w:trPr>
                <w:trHeight w:val="381"/>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Zacjeljenje mukoze</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15%</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25%*</w:t>
                  </w:r>
                </w:p>
              </w:tc>
            </w:tr>
            <w:tr w:rsidR="005B62E2" w:rsidRPr="00B60703">
              <w:trPr>
                <w:trHeight w:val="570"/>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Remisija bez steroida ≥ 90 danaª</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6%</w:t>
                  </w:r>
                </w:p>
                <w:p w:rsidR="005B62E2" w:rsidRPr="00B60703" w:rsidRDefault="00F03789">
                  <w:pPr>
                    <w:tabs>
                      <w:tab w:val="left" w:pos="540"/>
                      <w:tab w:val="left" w:pos="569"/>
                    </w:tabs>
                    <w:jc w:val="both"/>
                    <w:rPr>
                      <w:b/>
                      <w:sz w:val="22"/>
                      <w:szCs w:val="22"/>
                      <w:lang w:val="sr-Latn-ME"/>
                    </w:rPr>
                  </w:pPr>
                  <w:r w:rsidRPr="00B60703">
                    <w:rPr>
                      <w:b/>
                      <w:sz w:val="22"/>
                      <w:szCs w:val="22"/>
                      <w:lang w:val="sr-Latn-ME"/>
                    </w:rPr>
                    <w:t>(N=140)</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13%*</w:t>
                  </w:r>
                </w:p>
                <w:p w:rsidR="005B62E2" w:rsidRPr="00B60703" w:rsidRDefault="00F03789">
                  <w:pPr>
                    <w:tabs>
                      <w:tab w:val="left" w:pos="540"/>
                      <w:tab w:val="left" w:pos="569"/>
                    </w:tabs>
                    <w:jc w:val="both"/>
                    <w:rPr>
                      <w:b/>
                      <w:sz w:val="22"/>
                      <w:szCs w:val="22"/>
                      <w:lang w:val="sr-Latn-ME"/>
                    </w:rPr>
                  </w:pPr>
                  <w:r w:rsidRPr="00B60703">
                    <w:rPr>
                      <w:b/>
                      <w:sz w:val="22"/>
                      <w:szCs w:val="22"/>
                      <w:lang w:val="sr-Latn-ME"/>
                    </w:rPr>
                    <w:t>(N=150)</w:t>
                  </w:r>
                </w:p>
              </w:tc>
            </w:tr>
            <w:tr w:rsidR="005B62E2" w:rsidRPr="00B60703">
              <w:trPr>
                <w:trHeight w:val="354"/>
              </w:trPr>
              <w:tc>
                <w:tcPr>
                  <w:tcW w:w="5000" w:type="pct"/>
                  <w:gridSpan w:val="3"/>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Nedjelja 8 i 52</w:t>
                  </w:r>
                </w:p>
              </w:tc>
            </w:tr>
            <w:tr w:rsidR="005B62E2" w:rsidRPr="00B60703">
              <w:trPr>
                <w:trHeight w:val="381"/>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Održavan odgovor</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12%</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24%**</w:t>
                  </w:r>
                </w:p>
              </w:tc>
            </w:tr>
            <w:tr w:rsidR="005B62E2" w:rsidRPr="00B60703">
              <w:trPr>
                <w:trHeight w:val="421"/>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Održavana remisija</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4%</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8%*</w:t>
                  </w:r>
                </w:p>
              </w:tc>
            </w:tr>
            <w:tr w:rsidR="005B62E2" w:rsidRPr="00B60703">
              <w:trPr>
                <w:trHeight w:val="421"/>
              </w:trPr>
              <w:tc>
                <w:tcPr>
                  <w:tcW w:w="2061" w:type="pct"/>
                  <w:tcBorders>
                    <w:top w:val="single" w:sz="4" w:space="0" w:color="auto"/>
                    <w:left w:val="single" w:sz="4" w:space="0" w:color="auto"/>
                    <w:bottom w:val="single" w:sz="4" w:space="0" w:color="auto"/>
                    <w:right w:val="single" w:sz="4" w:space="0" w:color="auto"/>
                  </w:tcBorders>
                </w:tcPr>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  Održavano zacjeljenje mukoze</w:t>
                  </w:r>
                </w:p>
              </w:tc>
              <w:tc>
                <w:tcPr>
                  <w:tcW w:w="761"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11%</w:t>
                  </w:r>
                </w:p>
              </w:tc>
              <w:tc>
                <w:tcPr>
                  <w:tcW w:w="2178" w:type="pct"/>
                  <w:tcBorders>
                    <w:top w:val="single" w:sz="4" w:space="0" w:color="auto"/>
                    <w:left w:val="single" w:sz="4" w:space="0" w:color="auto"/>
                    <w:bottom w:val="single" w:sz="4" w:space="0" w:color="auto"/>
                    <w:right w:val="single" w:sz="4" w:space="0" w:color="auto"/>
                  </w:tcBorders>
                  <w:vAlign w:val="center"/>
                </w:tcPr>
                <w:p w:rsidR="005B62E2" w:rsidRPr="00B60703" w:rsidRDefault="00F03789">
                  <w:pPr>
                    <w:tabs>
                      <w:tab w:val="left" w:pos="540"/>
                      <w:tab w:val="left" w:pos="569"/>
                    </w:tabs>
                    <w:jc w:val="both"/>
                    <w:rPr>
                      <w:sz w:val="22"/>
                      <w:szCs w:val="22"/>
                      <w:lang w:val="sr-Latn-ME"/>
                    </w:rPr>
                  </w:pPr>
                  <w:r w:rsidRPr="00B60703">
                    <w:rPr>
                      <w:sz w:val="22"/>
                      <w:szCs w:val="22"/>
                      <w:lang w:val="sr-Latn-ME"/>
                    </w:rPr>
                    <w:t>19%*</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Klinička remisija je postignuta ako je </w:t>
            </w:r>
            <w:r w:rsidRPr="00B60703">
              <w:rPr>
                <w:i/>
                <w:sz w:val="22"/>
                <w:szCs w:val="22"/>
                <w:lang w:val="sr-Latn-ME"/>
              </w:rPr>
              <w:t xml:space="preserve">Mayo </w:t>
            </w:r>
            <w:r w:rsidRPr="00B60703">
              <w:rPr>
                <w:sz w:val="22"/>
                <w:szCs w:val="22"/>
                <w:lang w:val="sr-Latn-ME"/>
              </w:rPr>
              <w:t>skor ≤ 2 bez subskora &gt; 1.</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Klinički odgovor je postignut ukoliko je smanjenje </w:t>
            </w:r>
            <w:r w:rsidRPr="00B60703">
              <w:rPr>
                <w:i/>
                <w:sz w:val="22"/>
                <w:szCs w:val="22"/>
                <w:lang w:val="sr-Latn-ME"/>
              </w:rPr>
              <w:t>Mayo</w:t>
            </w:r>
            <w:r w:rsidRPr="00B60703">
              <w:rPr>
                <w:sz w:val="22"/>
                <w:szCs w:val="22"/>
                <w:lang w:val="sr-Latn-ME"/>
              </w:rPr>
              <w:t xml:space="preserve"> skora u odnosu na početnu vrijednost ≥3 poena i ≥30% uz smanjenje subskora rektalnog krvarenja (RBS≥1) ili apsolutne vrijednosti RBS od 0 ili 1. </w:t>
            </w:r>
          </w:p>
          <w:p w:rsidR="005B62E2" w:rsidRPr="00B60703" w:rsidRDefault="00F03789">
            <w:pPr>
              <w:tabs>
                <w:tab w:val="left" w:pos="540"/>
                <w:tab w:val="left" w:pos="569"/>
              </w:tabs>
              <w:jc w:val="both"/>
              <w:rPr>
                <w:sz w:val="22"/>
                <w:szCs w:val="22"/>
                <w:lang w:val="sr-Latn-ME"/>
              </w:rPr>
            </w:pPr>
            <w:r w:rsidRPr="00B60703">
              <w:rPr>
                <w:sz w:val="22"/>
                <w:szCs w:val="22"/>
                <w:lang w:val="sr-Latn-ME"/>
              </w:rPr>
              <w:t>*</w:t>
            </w:r>
            <w:r w:rsidRPr="00B60703">
              <w:rPr>
                <w:i/>
                <w:sz w:val="22"/>
                <w:szCs w:val="22"/>
                <w:lang w:val="sr-Latn-ME"/>
              </w:rPr>
              <w:t xml:space="preserve">p&lt; </w:t>
            </w:r>
            <w:r w:rsidRPr="00B60703">
              <w:rPr>
                <w:sz w:val="22"/>
                <w:szCs w:val="22"/>
                <w:lang w:val="sr-Latn-ME"/>
              </w:rPr>
              <w:t>0,05 za poređenje adalimumaba vs. 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w:t>
            </w:r>
            <w:r w:rsidRPr="00B60703">
              <w:rPr>
                <w:i/>
                <w:sz w:val="22"/>
                <w:szCs w:val="22"/>
                <w:lang w:val="sr-Latn-ME"/>
              </w:rPr>
              <w:t xml:space="preserve"> p&lt; </w:t>
            </w:r>
            <w:r w:rsidRPr="00B60703">
              <w:rPr>
                <w:sz w:val="22"/>
                <w:szCs w:val="22"/>
                <w:lang w:val="sr-Latn-ME"/>
              </w:rPr>
              <w:t>0,001 za poređenje adalimumaba vs. placebo</w:t>
            </w:r>
          </w:p>
          <w:p w:rsidR="005B62E2" w:rsidRPr="00B60703" w:rsidRDefault="00F03789">
            <w:pPr>
              <w:tabs>
                <w:tab w:val="left" w:pos="540"/>
                <w:tab w:val="left" w:pos="569"/>
              </w:tabs>
              <w:jc w:val="both"/>
              <w:rPr>
                <w:sz w:val="22"/>
                <w:szCs w:val="22"/>
                <w:lang w:val="sr-Latn-ME"/>
              </w:rPr>
            </w:pPr>
            <w:r w:rsidRPr="00B60703">
              <w:rPr>
                <w:sz w:val="22"/>
                <w:szCs w:val="22"/>
                <w:lang w:val="sr-Latn-ME"/>
              </w:rPr>
              <w:t>ª procenat onih ispitanika koji su primali kortikosteroide na početku studije</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Kod onih pacijenata koji su imali odgovor u nedjelji 8, 47% je imalo odgovor, 29% je bilo u remisiji, u 41% slučajeva je došlo do zacjeljenja mukoze, dok je u nedjelji 52 20% bilo u remisiji bez primjene steroida ≥ 90 dana.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Kod približno 40% pacijenata u studiji UC-II, prethodna terapija infliksimabom nije bila uspješna. Efikasnost adalimumaba kod ovih pacijenata bila je manja u poređenju sa pacijentima koji prethodno nisu primali anti-TNF terapiju. Među pacijentima kod kojih je prethodna primjena anti-TNF terapije bila bezuspješna, remisiju u nedjelji 52 dostiglo je 3% pacijenata koji su primali placebo i 10% pacijenata koji su primali adalimumab.</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Pacijenti iz studija UC I i UC II imali su opciju za prelaz u otvoren, dugoročni produžetak studije UC-III. Nakon trogodišnje primjene adalimumaba, 75% (301/402) pacijenata je i dalje bilo u kliničkoj remisiji prema parcijalnom </w:t>
            </w:r>
            <w:r w:rsidRPr="00B60703">
              <w:rPr>
                <w:i/>
                <w:sz w:val="22"/>
                <w:szCs w:val="22"/>
                <w:lang w:val="sr-Latn-ME"/>
              </w:rPr>
              <w:t>Mayo</w:t>
            </w:r>
            <w:r w:rsidRPr="00B60703">
              <w:rPr>
                <w:sz w:val="22"/>
                <w:szCs w:val="22"/>
                <w:lang w:val="sr-Latn-ME"/>
              </w:rPr>
              <w:t xml:space="preserve">-skoru.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Stopa hospitalizacija</w:t>
            </w:r>
          </w:p>
          <w:p w:rsidR="005B62E2" w:rsidRPr="00B60703" w:rsidRDefault="005B62E2">
            <w:pPr>
              <w:tabs>
                <w:tab w:val="left" w:pos="540"/>
                <w:tab w:val="left" w:pos="569"/>
              </w:tabs>
              <w:jc w:val="both"/>
              <w:rPr>
                <w:i/>
                <w:sz w:val="22"/>
                <w:szCs w:val="22"/>
                <w:u w:val="single"/>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Tokom 52 nedjelje studija UC-I i UC-II, primijećene su niže stope hospitalizacija svih uzroka, kao i hospitalizacija uzrokovanih ulceroznim kolitisom, za pacijente liječene adalimumabom u odnosu na placebo grupu. Broj hospitalizacija svih uzroka kod pacijenata liječenih adalimumabom bio je 0,18 po pacijent-godini, u odnosu na 0,26 po pacijent-godini u placebo grupi, dok su odgovarajuće vrijednosti kod hospitalizacija uzrokovanih ulceroznim kolitisom iznosile 0,12 po pacijent-godini, u odnosu na 0,22 po pacijent-godini.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lastRenderedPageBreak/>
              <w:t>Kvalitet života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U studiji UC-II, liječenje adalimumabom dovelo je do poboljšanja rezultata u IBDQ skoru (engl. </w:t>
            </w:r>
            <w:r w:rsidRPr="00B60703">
              <w:rPr>
                <w:i/>
                <w:sz w:val="22"/>
                <w:szCs w:val="22"/>
                <w:lang w:val="sr-Latn-ME"/>
              </w:rPr>
              <w:t>Inflammatory Bowel Disease Questionnaire</w:t>
            </w:r>
            <w:r w:rsidRPr="00B60703">
              <w:rPr>
                <w:sz w:val="22"/>
                <w:szCs w:val="22"/>
                <w:lang w:val="sr-Latn-ME"/>
              </w:rPr>
              <w:t xml:space="preserve">, upitnik o zapaljenjskoj bolesti crijeva).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iCs/>
                <w:sz w:val="22"/>
                <w:szCs w:val="22"/>
                <w:lang w:val="sr-Latn-ME"/>
              </w:rPr>
            </w:pPr>
            <w:r w:rsidRPr="00B60703">
              <w:rPr>
                <w:i/>
                <w:iCs/>
                <w:sz w:val="22"/>
                <w:szCs w:val="22"/>
                <w:lang w:val="sr-Latn-ME"/>
              </w:rPr>
              <w:t>Uveitis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Bezbjednost i efikasnost adalimumaba procjenjivani su kod odraslih pacijenata sa neinfektivnim intermedijarnim, posteriornim i panuveitisom, isključujući pacijente sa izolovanim anteriornim uveitisom, u dva randomizovana, dvostruko slijepa, placebo kontrolisana ispitivanja (UV I i II). Pacijenti su primali placebo ili adalimumab u početnoj dozi od 80 mg, nakon koje je slijedila doza od 40 mg svake druge nedjelje, počevši nedjelju dana nakon početne doze. Bila je dozvoljena istovremena primjena stabilnih doza jednog nebiološkog imunosupresiva.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Ispitivanje UV I procjenjivalo je 217 pacijenata sa aktivnim uveitisom uprkos liječenju kortikosteroidima (oralni prednizon u dozi od 10 do 60 mg/dan). Svi pacijenti su pri uključivanju u ispitivanje 2 nedjelje primali standardizovanu dozu prednizona od 60 mg/dan, nakon čega je uslijedilo obavezno postupno smanjivanje doze, uz potpuni prestanak primjene kortikosteroida do nedjelje 15.</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Ispitivanje UV II evaluiralo je 226 pacijenata sa neaktivnim uveitisom kojima je na početku ispitivanja za kontrolu bolesti bilo potrebno hronično liječenje kortikosteroidima (oralni prednizon u dozi od 10 do 35 mg/dan). Nakon toga je uslijedilo obavezno postupno smanjivanje doze i potpuni prestanak primjene kortikosteroida do nedjelje 19.</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Primarni parametar praćenja efikasnosti u oba ispitivanja bio je “vrijeme do neuspjeha liječenjaˮ. Neuspjeh liječenja definisao se višekomponentnim ishodom zasnovanim na zapaljenjskim horioretinalnim i/ili zapaljenjskim retinalnim vaskularnim lezijama, stepenu u odnosu na broj ćelija u prednjoj očnoj komori (engl. </w:t>
            </w:r>
            <w:r w:rsidRPr="00B60703">
              <w:rPr>
                <w:i/>
                <w:iCs/>
                <w:sz w:val="22"/>
                <w:szCs w:val="22"/>
                <w:lang w:val="sr-Latn-ME"/>
              </w:rPr>
              <w:t>anterior chamber [AC] cell grade</w:t>
            </w:r>
            <w:r w:rsidRPr="00B60703">
              <w:rPr>
                <w:sz w:val="22"/>
                <w:szCs w:val="22"/>
                <w:lang w:val="sr-Latn-ME"/>
              </w:rPr>
              <w:t xml:space="preserve">), stepenu zamućenja staklastog tela (engl. </w:t>
            </w:r>
            <w:r w:rsidRPr="00B60703">
              <w:rPr>
                <w:i/>
                <w:iCs/>
                <w:sz w:val="22"/>
                <w:szCs w:val="22"/>
                <w:lang w:val="sr-Latn-ME"/>
              </w:rPr>
              <w:t>vitreous haze [VH] grade</w:t>
            </w:r>
            <w:r w:rsidRPr="00B60703">
              <w:rPr>
                <w:sz w:val="22"/>
                <w:szCs w:val="22"/>
                <w:lang w:val="sr-Latn-ME"/>
              </w:rPr>
              <w:t xml:space="preserve">) i najboljoj korigovanoj oštrini vida (engl. </w:t>
            </w:r>
            <w:r w:rsidRPr="00B60703">
              <w:rPr>
                <w:i/>
                <w:iCs/>
                <w:sz w:val="22"/>
                <w:szCs w:val="22"/>
                <w:lang w:val="sr-Latn-ME"/>
              </w:rPr>
              <w:t>best corrected visual acuity</w:t>
            </w:r>
            <w:r w:rsidRPr="00B60703">
              <w:rPr>
                <w:sz w:val="22"/>
                <w:szCs w:val="22"/>
                <w:lang w:val="sr-Latn-ME"/>
              </w:rPr>
              <w:t>, BCVA).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Pacijenti koji su dovršili ispitivanja UV I i UV II zadovoljavali su kriterijume za uključivanje u nekontrolisani dugotrajni produžetak ispitivanja, čije je planirano vrijeme trajanja bilo 78 nedjelja. Pacijenti su smjeli da nastave liječenje ispitivanim lijekom nakon nedjelje 78, do trenutka kada im je omogućen pristup adalimumabu.</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iCs/>
                <w:sz w:val="22"/>
                <w:szCs w:val="22"/>
                <w:u w:val="single"/>
                <w:lang w:val="sr-Latn-ME"/>
              </w:rPr>
            </w:pPr>
            <w:r w:rsidRPr="00B60703">
              <w:rPr>
                <w:i/>
                <w:iCs/>
                <w:sz w:val="22"/>
                <w:szCs w:val="22"/>
                <w:u w:val="single"/>
                <w:lang w:val="sr-Latn-ME"/>
              </w:rPr>
              <w:t>Klinički odgovor</w:t>
            </w:r>
          </w:p>
          <w:p w:rsidR="005B62E2" w:rsidRPr="00B60703" w:rsidRDefault="005B62E2">
            <w:pPr>
              <w:tabs>
                <w:tab w:val="left" w:pos="540"/>
                <w:tab w:val="left" w:pos="569"/>
              </w:tabs>
              <w:jc w:val="both"/>
              <w:rPr>
                <w:i/>
                <w:iCs/>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Rezultati iz oba ispitivanja pokazali su statistički značajno smanjenje rizika od neuspjeha liječenja kod pacijenata liječenih adalimumabom u odnosu na one koji su primali placebo (vidjeti Tabelu 29). Oba ispitivanja su pokazala rano i održano dejstvo adalimumaba na stopu neuspjeha liječenja u odnosu na placebo (vidjeti Sliku 2).</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69"/>
              </w:tabs>
              <w:jc w:val="both"/>
              <w:rPr>
                <w:b/>
                <w:sz w:val="22"/>
                <w:szCs w:val="22"/>
                <w:lang w:val="sr-Latn-ME"/>
              </w:rPr>
            </w:pPr>
            <w:r w:rsidRPr="00B60703">
              <w:rPr>
                <w:b/>
                <w:sz w:val="22"/>
                <w:szCs w:val="22"/>
                <w:lang w:val="sr-Latn-ME"/>
              </w:rPr>
              <w:t>Tabela 29: Vrijeme do neuspjeha liječenja u ispitivanjima UV I i UV II</w:t>
            </w:r>
          </w:p>
          <w:p w:rsidR="005B62E2" w:rsidRPr="00B60703" w:rsidRDefault="005B62E2">
            <w:pPr>
              <w:tabs>
                <w:tab w:val="left" w:pos="569"/>
              </w:tabs>
              <w:jc w:val="both"/>
              <w:rPr>
                <w:sz w:val="22"/>
                <w:szCs w:val="22"/>
                <w:lang w:val="sr-Latn-ME"/>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142"/>
              <w:gridCol w:w="680"/>
              <w:gridCol w:w="1105"/>
              <w:gridCol w:w="1786"/>
              <w:gridCol w:w="680"/>
              <w:gridCol w:w="1105"/>
              <w:gridCol w:w="1359"/>
            </w:tblGrid>
            <w:tr w:rsidR="005B62E2" w:rsidRPr="00B60703">
              <w:tc>
                <w:tcPr>
                  <w:tcW w:w="1209"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Analiza</w:t>
                  </w:r>
                </w:p>
                <w:p w:rsidR="005B62E2" w:rsidRPr="00B60703" w:rsidRDefault="00F03789">
                  <w:pPr>
                    <w:tabs>
                      <w:tab w:val="left" w:pos="569"/>
                    </w:tabs>
                    <w:jc w:val="both"/>
                    <w:rPr>
                      <w:sz w:val="22"/>
                      <w:szCs w:val="22"/>
                      <w:lang w:val="sr-Latn-ME"/>
                    </w:rPr>
                  </w:pPr>
                  <w:r w:rsidRPr="00B60703">
                    <w:rPr>
                      <w:sz w:val="22"/>
                      <w:szCs w:val="22"/>
                      <w:lang w:val="sr-Latn-ME"/>
                    </w:rPr>
                    <w:tab/>
                    <w:t>Liječenje</w:t>
                  </w:r>
                </w:p>
              </w:tc>
              <w:tc>
                <w:tcPr>
                  <w:tcW w:w="384"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N</w:t>
                  </w:r>
                </w:p>
              </w:tc>
              <w:tc>
                <w:tcPr>
                  <w:tcW w:w="624"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Neuspjeh</w:t>
                  </w:r>
                  <w:r w:rsidRPr="00B60703">
                    <w:rPr>
                      <w:sz w:val="22"/>
                      <w:szCs w:val="22"/>
                      <w:lang w:val="sr-Latn-ME"/>
                    </w:rPr>
                    <w:br/>
                    <w:t>N (%)</w:t>
                  </w:r>
                </w:p>
              </w:tc>
              <w:tc>
                <w:tcPr>
                  <w:tcW w:w="1008" w:type="pct"/>
                  <w:tcBorders>
                    <w:top w:val="single" w:sz="4" w:space="0" w:color="auto"/>
                    <w:left w:val="nil"/>
                    <w:bottom w:val="single" w:sz="4" w:space="0" w:color="auto"/>
                    <w:right w:val="nil"/>
                  </w:tcBorders>
                </w:tcPr>
                <w:p w:rsidR="005B62E2" w:rsidRPr="00B60703" w:rsidRDefault="00F03789">
                  <w:pPr>
                    <w:tabs>
                      <w:tab w:val="left" w:pos="569"/>
                    </w:tabs>
                    <w:rPr>
                      <w:sz w:val="22"/>
                      <w:szCs w:val="22"/>
                      <w:lang w:val="sr-Latn-ME"/>
                    </w:rPr>
                  </w:pPr>
                  <w:r w:rsidRPr="00B60703">
                    <w:rPr>
                      <w:sz w:val="22"/>
                      <w:szCs w:val="22"/>
                      <w:lang w:val="sr-Latn-ME"/>
                    </w:rPr>
                    <w:t>Prosječno vrijeme do neuspjeha (mjeseci)</w:t>
                  </w:r>
                </w:p>
              </w:tc>
              <w:tc>
                <w:tcPr>
                  <w:tcW w:w="384"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HR</w:t>
                  </w:r>
                  <w:r w:rsidRPr="00B60703">
                    <w:rPr>
                      <w:sz w:val="22"/>
                      <w:szCs w:val="22"/>
                      <w:vertAlign w:val="superscript"/>
                      <w:lang w:val="sr-Latn-ME"/>
                    </w:rPr>
                    <w:t>a</w:t>
                  </w:r>
                </w:p>
              </w:tc>
              <w:tc>
                <w:tcPr>
                  <w:tcW w:w="624"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CI 95% za HR</w:t>
                  </w:r>
                  <w:r w:rsidRPr="00B60703">
                    <w:rPr>
                      <w:sz w:val="22"/>
                      <w:szCs w:val="22"/>
                      <w:vertAlign w:val="superscript"/>
                      <w:lang w:val="sr-Latn-ME"/>
                    </w:rPr>
                    <w:t>a</w:t>
                  </w:r>
                </w:p>
              </w:tc>
              <w:tc>
                <w:tcPr>
                  <w:tcW w:w="767" w:type="pct"/>
                  <w:tcBorders>
                    <w:top w:val="single" w:sz="4" w:space="0" w:color="auto"/>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i/>
                      <w:sz w:val="22"/>
                      <w:szCs w:val="22"/>
                      <w:lang w:val="sr-Latn-ME"/>
                    </w:rPr>
                    <w:t>p</w:t>
                  </w:r>
                  <w:r w:rsidRPr="00B60703">
                    <w:rPr>
                      <w:sz w:val="22"/>
                      <w:szCs w:val="22"/>
                      <w:lang w:val="sr-Latn-ME"/>
                    </w:rPr>
                    <w:t>-vrijednost</w:t>
                  </w:r>
                  <w:r w:rsidRPr="00B60703">
                    <w:rPr>
                      <w:sz w:val="22"/>
                      <w:szCs w:val="22"/>
                      <w:vertAlign w:val="superscript"/>
                      <w:lang w:val="sr-Latn-ME"/>
                    </w:rPr>
                    <w:t xml:space="preserve"> b</w:t>
                  </w:r>
                </w:p>
              </w:tc>
            </w:tr>
            <w:tr w:rsidR="005B62E2" w:rsidRPr="00B60703">
              <w:tc>
                <w:tcPr>
                  <w:tcW w:w="5000" w:type="pct"/>
                  <w:gridSpan w:val="7"/>
                  <w:tcBorders>
                    <w:top w:val="single" w:sz="4" w:space="0" w:color="auto"/>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 xml:space="preserve">Vruijeme do neuspjeha u nedjelji 6 ili nakon nje u ispitivanju UV I  </w:t>
                  </w:r>
                </w:p>
              </w:tc>
            </w:tr>
            <w:tr w:rsidR="005B62E2" w:rsidRPr="00B60703">
              <w:tc>
                <w:tcPr>
                  <w:tcW w:w="1593" w:type="pct"/>
                  <w:gridSpan w:val="2"/>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Primarna analiza (ITT)</w:t>
                  </w:r>
                </w:p>
              </w:tc>
              <w:tc>
                <w:tcPr>
                  <w:tcW w:w="62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1008"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38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62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767" w:type="pct"/>
                  <w:tcBorders>
                    <w:top w:val="nil"/>
                    <w:left w:val="nil"/>
                    <w:bottom w:val="nil"/>
                    <w:right w:val="nil"/>
                  </w:tcBorders>
                </w:tcPr>
                <w:p w:rsidR="005B62E2" w:rsidRPr="00B60703" w:rsidRDefault="005B62E2">
                  <w:pPr>
                    <w:tabs>
                      <w:tab w:val="left" w:pos="569"/>
                    </w:tabs>
                    <w:jc w:val="both"/>
                    <w:rPr>
                      <w:sz w:val="22"/>
                      <w:szCs w:val="22"/>
                      <w:lang w:val="sr-Latn-ME"/>
                    </w:rPr>
                  </w:pPr>
                </w:p>
              </w:tc>
            </w:tr>
            <w:tr w:rsidR="005B62E2" w:rsidRPr="00B60703">
              <w:tc>
                <w:tcPr>
                  <w:tcW w:w="1209"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ab/>
                    <w:t>Placebo</w:t>
                  </w:r>
                </w:p>
              </w:tc>
              <w:tc>
                <w:tcPr>
                  <w:tcW w:w="38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107</w:t>
                  </w:r>
                </w:p>
              </w:tc>
              <w:tc>
                <w:tcPr>
                  <w:tcW w:w="62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84 (78,5)</w:t>
                  </w:r>
                </w:p>
              </w:tc>
              <w:tc>
                <w:tcPr>
                  <w:tcW w:w="1008"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3,0</w:t>
                  </w:r>
                </w:p>
              </w:tc>
              <w:tc>
                <w:tcPr>
                  <w:tcW w:w="38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w:t>
                  </w:r>
                </w:p>
              </w:tc>
              <w:tc>
                <w:tcPr>
                  <w:tcW w:w="62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w:t>
                  </w:r>
                </w:p>
              </w:tc>
              <w:tc>
                <w:tcPr>
                  <w:tcW w:w="767"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 xml:space="preserve">  --</w:t>
                  </w:r>
                </w:p>
              </w:tc>
            </w:tr>
            <w:tr w:rsidR="005B62E2" w:rsidRPr="00B60703">
              <w:tc>
                <w:tcPr>
                  <w:tcW w:w="1209"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ab/>
                    <w:t>Adalimumab</w:t>
                  </w:r>
                </w:p>
              </w:tc>
              <w:tc>
                <w:tcPr>
                  <w:tcW w:w="38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110</w:t>
                  </w:r>
                </w:p>
              </w:tc>
              <w:tc>
                <w:tcPr>
                  <w:tcW w:w="62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60 (54,5)</w:t>
                  </w:r>
                </w:p>
              </w:tc>
              <w:tc>
                <w:tcPr>
                  <w:tcW w:w="1008"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5,6</w:t>
                  </w:r>
                </w:p>
              </w:tc>
              <w:tc>
                <w:tcPr>
                  <w:tcW w:w="38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0,50</w:t>
                  </w:r>
                </w:p>
              </w:tc>
              <w:tc>
                <w:tcPr>
                  <w:tcW w:w="62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0,36; 0,70</w:t>
                  </w:r>
                  <w:r w:rsidRPr="00B60703">
                    <w:rPr>
                      <w:sz w:val="22"/>
                      <w:szCs w:val="22"/>
                      <w:vertAlign w:val="superscript"/>
                      <w:lang w:val="sr-Latn-ME"/>
                    </w:rPr>
                    <w:t xml:space="preserve"> </w:t>
                  </w:r>
                </w:p>
              </w:tc>
              <w:tc>
                <w:tcPr>
                  <w:tcW w:w="767"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 xml:space="preserve">  &lt; 0,001</w:t>
                  </w:r>
                </w:p>
              </w:tc>
            </w:tr>
            <w:tr w:rsidR="005B62E2" w:rsidRPr="00B60703">
              <w:tc>
                <w:tcPr>
                  <w:tcW w:w="5000" w:type="pct"/>
                  <w:gridSpan w:val="7"/>
                  <w:tcBorders>
                    <w:top w:val="single" w:sz="4" w:space="0" w:color="auto"/>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Vrijeme do neuspjeha u nedjelji 2 ili nakon nje u ispitivanju UV II</w:t>
                  </w:r>
                </w:p>
              </w:tc>
            </w:tr>
            <w:tr w:rsidR="005B62E2" w:rsidRPr="00B60703">
              <w:tc>
                <w:tcPr>
                  <w:tcW w:w="1593" w:type="pct"/>
                  <w:gridSpan w:val="2"/>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Primarna analiza (ITT)</w:t>
                  </w:r>
                </w:p>
              </w:tc>
              <w:tc>
                <w:tcPr>
                  <w:tcW w:w="62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1008"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38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624" w:type="pct"/>
                  <w:tcBorders>
                    <w:top w:val="nil"/>
                    <w:left w:val="nil"/>
                    <w:bottom w:val="nil"/>
                    <w:right w:val="nil"/>
                  </w:tcBorders>
                </w:tcPr>
                <w:p w:rsidR="005B62E2" w:rsidRPr="00B60703" w:rsidRDefault="005B62E2">
                  <w:pPr>
                    <w:tabs>
                      <w:tab w:val="left" w:pos="569"/>
                    </w:tabs>
                    <w:jc w:val="both"/>
                    <w:rPr>
                      <w:sz w:val="22"/>
                      <w:szCs w:val="22"/>
                      <w:lang w:val="sr-Latn-ME"/>
                    </w:rPr>
                  </w:pPr>
                </w:p>
              </w:tc>
              <w:tc>
                <w:tcPr>
                  <w:tcW w:w="767" w:type="pct"/>
                  <w:tcBorders>
                    <w:top w:val="nil"/>
                    <w:left w:val="nil"/>
                    <w:bottom w:val="nil"/>
                    <w:right w:val="nil"/>
                  </w:tcBorders>
                </w:tcPr>
                <w:p w:rsidR="005B62E2" w:rsidRPr="00B60703" w:rsidRDefault="005B62E2">
                  <w:pPr>
                    <w:tabs>
                      <w:tab w:val="left" w:pos="569"/>
                    </w:tabs>
                    <w:jc w:val="both"/>
                    <w:rPr>
                      <w:sz w:val="22"/>
                      <w:szCs w:val="22"/>
                      <w:lang w:val="sr-Latn-ME"/>
                    </w:rPr>
                  </w:pPr>
                </w:p>
              </w:tc>
            </w:tr>
            <w:tr w:rsidR="005B62E2" w:rsidRPr="00B60703">
              <w:tc>
                <w:tcPr>
                  <w:tcW w:w="1209"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ab/>
                    <w:t>Placebo</w:t>
                  </w:r>
                </w:p>
              </w:tc>
              <w:tc>
                <w:tcPr>
                  <w:tcW w:w="38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111</w:t>
                  </w:r>
                </w:p>
              </w:tc>
              <w:tc>
                <w:tcPr>
                  <w:tcW w:w="62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61 (55,0)</w:t>
                  </w:r>
                </w:p>
              </w:tc>
              <w:tc>
                <w:tcPr>
                  <w:tcW w:w="1008"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8,3</w:t>
                  </w:r>
                </w:p>
              </w:tc>
              <w:tc>
                <w:tcPr>
                  <w:tcW w:w="38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w:t>
                  </w:r>
                </w:p>
              </w:tc>
              <w:tc>
                <w:tcPr>
                  <w:tcW w:w="624"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w:t>
                  </w:r>
                </w:p>
              </w:tc>
              <w:tc>
                <w:tcPr>
                  <w:tcW w:w="767" w:type="pct"/>
                  <w:tcBorders>
                    <w:top w:val="nil"/>
                    <w:left w:val="nil"/>
                    <w:bottom w:val="nil"/>
                    <w:right w:val="nil"/>
                  </w:tcBorders>
                </w:tcPr>
                <w:p w:rsidR="005B62E2" w:rsidRPr="00B60703" w:rsidRDefault="00F03789">
                  <w:pPr>
                    <w:tabs>
                      <w:tab w:val="left" w:pos="569"/>
                    </w:tabs>
                    <w:jc w:val="both"/>
                    <w:rPr>
                      <w:sz w:val="22"/>
                      <w:szCs w:val="22"/>
                      <w:lang w:val="sr-Latn-ME"/>
                    </w:rPr>
                  </w:pPr>
                  <w:r w:rsidRPr="00B60703">
                    <w:rPr>
                      <w:sz w:val="22"/>
                      <w:szCs w:val="22"/>
                      <w:lang w:val="sr-Latn-ME"/>
                    </w:rPr>
                    <w:t xml:space="preserve">  --</w:t>
                  </w:r>
                </w:p>
              </w:tc>
            </w:tr>
            <w:tr w:rsidR="005B62E2" w:rsidRPr="00B60703">
              <w:tc>
                <w:tcPr>
                  <w:tcW w:w="1209"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ab/>
                    <w:t>Adalimumab</w:t>
                  </w:r>
                </w:p>
              </w:tc>
              <w:tc>
                <w:tcPr>
                  <w:tcW w:w="38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115</w:t>
                  </w:r>
                </w:p>
              </w:tc>
              <w:tc>
                <w:tcPr>
                  <w:tcW w:w="62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45 (39,1)</w:t>
                  </w:r>
                </w:p>
              </w:tc>
              <w:tc>
                <w:tcPr>
                  <w:tcW w:w="1008"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NP</w:t>
                  </w:r>
                  <w:r w:rsidRPr="00B60703">
                    <w:rPr>
                      <w:sz w:val="22"/>
                      <w:szCs w:val="22"/>
                      <w:vertAlign w:val="superscript"/>
                      <w:lang w:val="sr-Latn-ME"/>
                    </w:rPr>
                    <w:t>c</w:t>
                  </w:r>
                </w:p>
              </w:tc>
              <w:tc>
                <w:tcPr>
                  <w:tcW w:w="38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0,57</w:t>
                  </w:r>
                </w:p>
              </w:tc>
              <w:tc>
                <w:tcPr>
                  <w:tcW w:w="624"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0,39; 0,84</w:t>
                  </w:r>
                </w:p>
              </w:tc>
              <w:tc>
                <w:tcPr>
                  <w:tcW w:w="767" w:type="pct"/>
                  <w:tcBorders>
                    <w:top w:val="nil"/>
                    <w:left w:val="nil"/>
                    <w:bottom w:val="single" w:sz="4" w:space="0" w:color="auto"/>
                    <w:right w:val="nil"/>
                  </w:tcBorders>
                </w:tcPr>
                <w:p w:rsidR="005B62E2" w:rsidRPr="00B60703" w:rsidRDefault="00F03789">
                  <w:pPr>
                    <w:tabs>
                      <w:tab w:val="left" w:pos="569"/>
                    </w:tabs>
                    <w:jc w:val="both"/>
                    <w:rPr>
                      <w:sz w:val="22"/>
                      <w:szCs w:val="22"/>
                      <w:lang w:val="sr-Latn-ME"/>
                    </w:rPr>
                  </w:pPr>
                  <w:r w:rsidRPr="00B60703">
                    <w:rPr>
                      <w:sz w:val="22"/>
                      <w:szCs w:val="22"/>
                      <w:lang w:val="sr-Latn-ME"/>
                    </w:rPr>
                    <w:t xml:space="preserve">  0,004</w:t>
                  </w:r>
                </w:p>
              </w:tc>
            </w:tr>
          </w:tbl>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Napomena: Neuspjeh liječenja u nedjelji 6 ili nakon nje (ispitivanje UV I) odnosno u nedjelji 2 ili nakon nje (ispitivanje UV II) smatrao se događajem. Pacijenti koji su izašli iz ispitivanja zbog razloga koji nisu bili neuspjeh liječenja bili su cenzurisani u trenutku izlaska iz ispitivanja.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a</w:t>
            </w:r>
            <w:r w:rsidRPr="00B60703">
              <w:rPr>
                <w:sz w:val="22"/>
                <w:szCs w:val="22"/>
                <w:lang w:val="sr-Latn-ME"/>
              </w:rPr>
              <w:t xml:space="preserve"> HR za adalimumab </w:t>
            </w:r>
            <w:r w:rsidRPr="00B60703">
              <w:rPr>
                <w:i/>
                <w:sz w:val="22"/>
                <w:szCs w:val="22"/>
                <w:lang w:val="sr-Latn-ME"/>
              </w:rPr>
              <w:t>versus</w:t>
            </w:r>
            <w:r w:rsidRPr="00B60703">
              <w:rPr>
                <w:sz w:val="22"/>
                <w:szCs w:val="22"/>
                <w:lang w:val="sr-Latn-ME"/>
              </w:rPr>
              <w:t xml:space="preserve"> placebo iz regresije proporcionalnih hazarda, uz liječenje kao faktor.</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b</w:t>
            </w:r>
            <w:r w:rsidRPr="00B60703">
              <w:rPr>
                <w:sz w:val="22"/>
                <w:szCs w:val="22"/>
                <w:lang w:val="sr-Latn-ME"/>
              </w:rPr>
              <w:t xml:space="preserve"> Dvostrana </w:t>
            </w:r>
            <w:r w:rsidRPr="00B60703">
              <w:rPr>
                <w:i/>
                <w:iCs/>
                <w:sz w:val="22"/>
                <w:szCs w:val="22"/>
                <w:lang w:val="sr-Latn-ME"/>
              </w:rPr>
              <w:t>p</w:t>
            </w:r>
            <w:r w:rsidRPr="00B60703">
              <w:rPr>
                <w:sz w:val="22"/>
                <w:szCs w:val="22"/>
                <w:lang w:val="sr-Latn-ME"/>
              </w:rPr>
              <w:t>-vrijednost iz log rank testa.</w:t>
            </w:r>
          </w:p>
          <w:p w:rsidR="005B62E2" w:rsidRPr="00B60703" w:rsidRDefault="00F03789">
            <w:pPr>
              <w:tabs>
                <w:tab w:val="left" w:pos="540"/>
                <w:tab w:val="left" w:pos="569"/>
              </w:tabs>
              <w:jc w:val="both"/>
              <w:rPr>
                <w:sz w:val="22"/>
                <w:szCs w:val="22"/>
                <w:lang w:val="sr-Latn-ME"/>
              </w:rPr>
            </w:pPr>
            <w:r w:rsidRPr="00B60703">
              <w:rPr>
                <w:sz w:val="22"/>
                <w:szCs w:val="22"/>
                <w:vertAlign w:val="superscript"/>
                <w:lang w:val="sr-Latn-ME"/>
              </w:rPr>
              <w:t>c</w:t>
            </w:r>
            <w:r w:rsidRPr="00B60703">
              <w:rPr>
                <w:sz w:val="22"/>
                <w:szCs w:val="22"/>
                <w:lang w:val="sr-Latn-ME"/>
              </w:rPr>
              <w:t xml:space="preserve"> NP = ne može se procijeniti. Manje od polovine pacijenata pod rizikom imalo je događaj.</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b/>
                <w:sz w:val="22"/>
                <w:szCs w:val="22"/>
                <w:lang w:val="sr-Latn-ME"/>
              </w:rPr>
            </w:pPr>
            <w:r w:rsidRPr="00B60703">
              <w:rPr>
                <w:b/>
                <w:sz w:val="22"/>
                <w:szCs w:val="22"/>
                <w:lang w:val="sr-Latn-ME"/>
              </w:rPr>
              <w:t xml:space="preserve">Slika 2: </w:t>
            </w:r>
            <w:r w:rsidRPr="00B60703">
              <w:rPr>
                <w:b/>
                <w:i/>
                <w:sz w:val="22"/>
                <w:szCs w:val="22"/>
                <w:lang w:val="sr-Latn-ME"/>
              </w:rPr>
              <w:t>Kaplan-Meier</w:t>
            </w:r>
            <w:r w:rsidRPr="00B60703">
              <w:rPr>
                <w:b/>
                <w:sz w:val="22"/>
                <w:szCs w:val="22"/>
                <w:lang w:val="sr-Latn-ME"/>
              </w:rPr>
              <w:t>-ove krive koje sažeto prikazuju vrijeme do neuspjeha liječenja u nedjelji 6 ili nakon nje (ispitivanje UV I) odnosno u nedjelji 2 ili nakon nje (ispitivanje UV II)</w:t>
            </w:r>
          </w:p>
          <w:p w:rsidR="005B62E2" w:rsidRPr="00B60703" w:rsidRDefault="005B62E2">
            <w:pPr>
              <w:tabs>
                <w:tab w:val="left" w:pos="540"/>
                <w:tab w:val="left" w:pos="569"/>
              </w:tabs>
              <w:jc w:val="both"/>
              <w:rPr>
                <w:sz w:val="22"/>
                <w:szCs w:val="22"/>
                <w:lang w:val="sr-Latn-ME"/>
              </w:rPr>
            </w:pPr>
          </w:p>
        </w:tc>
      </w:tr>
      <w:tr w:rsidR="005B62E2" w:rsidRPr="00B60703">
        <w:trPr>
          <w:gridBefore w:val="1"/>
          <w:gridAfter w:val="1"/>
          <w:wBefore w:w="547" w:type="pct"/>
          <w:wAfter w:w="340" w:type="pct"/>
          <w:cantSplit/>
          <w:trHeight w:val="3806"/>
        </w:trPr>
        <w:tc>
          <w:tcPr>
            <w:tcW w:w="624" w:type="pct"/>
            <w:gridSpan w:val="2"/>
            <w:textDirection w:val="btLr"/>
            <w:vAlign w:val="bottom"/>
          </w:tcPr>
          <w:p w:rsidR="005B62E2" w:rsidRPr="00B60703" w:rsidRDefault="00F03789">
            <w:pPr>
              <w:tabs>
                <w:tab w:val="left" w:pos="569"/>
              </w:tabs>
              <w:rPr>
                <w:sz w:val="22"/>
                <w:szCs w:val="22"/>
                <w:lang w:val="sr-Latn-ME"/>
              </w:rPr>
            </w:pPr>
            <w:r w:rsidRPr="00B60703">
              <w:rPr>
                <w:sz w:val="22"/>
                <w:szCs w:val="22"/>
                <w:lang w:val="sr-Latn-ME"/>
              </w:rPr>
              <w:lastRenderedPageBreak/>
              <w:t>STOPA NEUSPJEHA LIJEČENJA (%)</w:t>
            </w:r>
          </w:p>
        </w:tc>
        <w:tc>
          <w:tcPr>
            <w:tcW w:w="3487" w:type="pct"/>
            <w:gridSpan w:val="5"/>
            <w:vAlign w:val="bottom"/>
          </w:tcPr>
          <w:p w:rsidR="005B62E2" w:rsidRPr="00B60703" w:rsidRDefault="00F03789">
            <w:pPr>
              <w:tabs>
                <w:tab w:val="left" w:pos="569"/>
              </w:tabs>
              <w:ind w:left="-1701"/>
              <w:rPr>
                <w:sz w:val="22"/>
                <w:szCs w:val="22"/>
                <w:lang w:val="sr-Latn-ME"/>
              </w:rPr>
            </w:pPr>
            <w:r w:rsidRPr="00B60703">
              <w:rPr>
                <w:noProof/>
                <w:sz w:val="22"/>
                <w:szCs w:val="22"/>
              </w:rPr>
              <w:drawing>
                <wp:inline distT="0" distB="0" distL="0" distR="0">
                  <wp:extent cx="5124450" cy="2180590"/>
                  <wp:effectExtent l="0" t="0" r="0" b="0"/>
                  <wp:docPr id="24" name="Picture 24" descr="Humira Uveitis Figure 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umira Uveitis Figure 5_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48820" cy="2190960"/>
                          </a:xfrm>
                          <a:prstGeom prst="rect">
                            <a:avLst/>
                          </a:prstGeom>
                          <a:noFill/>
                          <a:ln>
                            <a:noFill/>
                          </a:ln>
                        </pic:spPr>
                      </pic:pic>
                    </a:graphicData>
                  </a:graphic>
                </wp:inline>
              </w:drawing>
            </w:r>
          </w:p>
        </w:tc>
      </w:tr>
      <w:tr w:rsidR="005B62E2" w:rsidRPr="00B60703">
        <w:trPr>
          <w:gridBefore w:val="1"/>
          <w:gridAfter w:val="1"/>
          <w:wBefore w:w="547" w:type="pct"/>
          <w:wAfter w:w="340" w:type="pct"/>
        </w:trPr>
        <w:tc>
          <w:tcPr>
            <w:tcW w:w="624" w:type="pct"/>
            <w:gridSpan w:val="2"/>
          </w:tcPr>
          <w:p w:rsidR="005B62E2" w:rsidRPr="00B60703" w:rsidRDefault="005B62E2">
            <w:pPr>
              <w:tabs>
                <w:tab w:val="left" w:pos="569"/>
              </w:tabs>
              <w:rPr>
                <w:sz w:val="22"/>
                <w:szCs w:val="22"/>
                <w:lang w:val="sr-Latn-ME"/>
              </w:rPr>
            </w:pPr>
          </w:p>
        </w:tc>
        <w:tc>
          <w:tcPr>
            <w:tcW w:w="3487" w:type="pct"/>
            <w:gridSpan w:val="5"/>
          </w:tcPr>
          <w:p w:rsidR="005B62E2" w:rsidRPr="00B60703" w:rsidRDefault="00F03789">
            <w:pPr>
              <w:tabs>
                <w:tab w:val="left" w:pos="569"/>
              </w:tabs>
              <w:rPr>
                <w:sz w:val="22"/>
                <w:szCs w:val="22"/>
                <w:lang w:val="sr-Latn-ME"/>
              </w:rPr>
            </w:pPr>
            <w:r w:rsidRPr="00B60703">
              <w:rPr>
                <w:sz w:val="22"/>
                <w:szCs w:val="22"/>
                <w:lang w:val="sr-Latn-ME"/>
              </w:rPr>
              <w:t xml:space="preserve">                                                              </w:t>
            </w:r>
          </w:p>
          <w:p w:rsidR="005B62E2" w:rsidRPr="00B60703" w:rsidRDefault="00F03789">
            <w:pPr>
              <w:tabs>
                <w:tab w:val="left" w:pos="569"/>
              </w:tabs>
              <w:rPr>
                <w:sz w:val="22"/>
                <w:szCs w:val="22"/>
                <w:lang w:val="sr-Latn-ME"/>
              </w:rPr>
            </w:pPr>
            <w:r w:rsidRPr="00B60703">
              <w:rPr>
                <w:sz w:val="22"/>
                <w:szCs w:val="22"/>
                <w:lang w:val="sr-Latn-ME"/>
              </w:rPr>
              <w:t>VRIJEME (MJESECI)</w:t>
            </w:r>
          </w:p>
          <w:p w:rsidR="005B62E2" w:rsidRPr="00B60703" w:rsidRDefault="00F03789">
            <w:pPr>
              <w:tabs>
                <w:tab w:val="left" w:pos="569"/>
              </w:tabs>
              <w:rPr>
                <w:sz w:val="22"/>
                <w:szCs w:val="22"/>
                <w:lang w:val="sr-Latn-ME"/>
              </w:rPr>
            </w:pPr>
            <w:r w:rsidRPr="00B60703">
              <w:rPr>
                <w:sz w:val="22"/>
                <w:szCs w:val="22"/>
                <w:lang w:val="sr-Latn-ME"/>
              </w:rPr>
              <w:t>Ispitivanje UV I</w:t>
            </w:r>
          </w:p>
        </w:tc>
      </w:tr>
      <w:tr w:rsidR="005B62E2" w:rsidRPr="00B60703">
        <w:trPr>
          <w:gridBefore w:val="2"/>
          <w:gridAfter w:val="1"/>
          <w:wBefore w:w="958" w:type="pct"/>
          <w:wAfter w:w="340" w:type="pct"/>
          <w:trHeight w:val="51"/>
        </w:trPr>
        <w:tc>
          <w:tcPr>
            <w:tcW w:w="213" w:type="pct"/>
          </w:tcPr>
          <w:p w:rsidR="005B62E2" w:rsidRPr="00B60703" w:rsidRDefault="005B62E2">
            <w:pPr>
              <w:tabs>
                <w:tab w:val="left" w:pos="569"/>
              </w:tabs>
              <w:rPr>
                <w:sz w:val="22"/>
                <w:szCs w:val="22"/>
                <w:lang w:val="sr-Latn-ME"/>
              </w:rPr>
            </w:pPr>
          </w:p>
        </w:tc>
        <w:tc>
          <w:tcPr>
            <w:tcW w:w="869" w:type="pct"/>
          </w:tcPr>
          <w:p w:rsidR="005B62E2" w:rsidRPr="00B60703" w:rsidRDefault="00F03789">
            <w:pPr>
              <w:tabs>
                <w:tab w:val="left" w:pos="569"/>
              </w:tabs>
              <w:rPr>
                <w:sz w:val="22"/>
                <w:szCs w:val="22"/>
                <w:lang w:val="sr-Latn-ME"/>
              </w:rPr>
            </w:pPr>
            <w:r w:rsidRPr="00B60703">
              <w:rPr>
                <w:sz w:val="22"/>
                <w:szCs w:val="22"/>
                <w:lang w:val="sr-Latn-ME"/>
              </w:rPr>
              <w:t xml:space="preserve">         Liječenje  </w:t>
            </w:r>
          </w:p>
        </w:tc>
        <w:tc>
          <w:tcPr>
            <w:tcW w:w="571" w:type="pct"/>
          </w:tcPr>
          <w:p w:rsidR="005B62E2" w:rsidRPr="00B60703" w:rsidRDefault="00F03789">
            <w:pPr>
              <w:tabs>
                <w:tab w:val="left" w:pos="569"/>
              </w:tabs>
              <w:rPr>
                <w:sz w:val="22"/>
                <w:szCs w:val="22"/>
                <w:lang w:val="sr-Latn-ME"/>
              </w:rPr>
            </w:pPr>
            <w:r w:rsidRPr="00B60703">
              <w:rPr>
                <w:noProof/>
                <w:sz w:val="22"/>
                <w:szCs w:val="22"/>
              </w:rPr>
              <w:drawing>
                <wp:inline distT="0" distB="0" distL="0" distR="0">
                  <wp:extent cx="400050" cy="180975"/>
                  <wp:effectExtent l="0" t="0" r="0" b="9525"/>
                  <wp:docPr id="23" name="Picture 23"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umira Uveitis Figure 5_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p>
        </w:tc>
        <w:tc>
          <w:tcPr>
            <w:tcW w:w="656" w:type="pct"/>
          </w:tcPr>
          <w:p w:rsidR="005B62E2" w:rsidRPr="00B60703" w:rsidRDefault="00F03789">
            <w:pPr>
              <w:tabs>
                <w:tab w:val="left" w:pos="569"/>
              </w:tabs>
              <w:rPr>
                <w:sz w:val="22"/>
                <w:szCs w:val="22"/>
                <w:lang w:val="sr-Latn-ME"/>
              </w:rPr>
            </w:pPr>
            <w:r w:rsidRPr="00B60703">
              <w:rPr>
                <w:sz w:val="22"/>
                <w:szCs w:val="22"/>
                <w:lang w:val="sr-Latn-ME"/>
              </w:rPr>
              <w:t>Placebo</w:t>
            </w:r>
          </w:p>
        </w:tc>
        <w:tc>
          <w:tcPr>
            <w:tcW w:w="471" w:type="pct"/>
          </w:tcPr>
          <w:p w:rsidR="005B62E2" w:rsidRPr="00B60703" w:rsidRDefault="00F03789">
            <w:pPr>
              <w:tabs>
                <w:tab w:val="left" w:pos="569"/>
              </w:tabs>
              <w:rPr>
                <w:sz w:val="22"/>
                <w:szCs w:val="22"/>
                <w:lang w:val="sr-Latn-ME"/>
              </w:rPr>
            </w:pPr>
            <w:r w:rsidRPr="00B60703">
              <w:rPr>
                <w:noProof/>
                <w:sz w:val="22"/>
                <w:szCs w:val="22"/>
              </w:rPr>
              <w:drawing>
                <wp:inline distT="0" distB="0" distL="0" distR="0">
                  <wp:extent cx="428625" cy="47625"/>
                  <wp:effectExtent l="0" t="0" r="9525" b="9525"/>
                  <wp:docPr id="22" name="Picture 22" descr="ad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da l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8625" cy="47625"/>
                          </a:xfrm>
                          <a:prstGeom prst="rect">
                            <a:avLst/>
                          </a:prstGeom>
                          <a:noFill/>
                          <a:ln>
                            <a:noFill/>
                          </a:ln>
                        </pic:spPr>
                      </pic:pic>
                    </a:graphicData>
                  </a:graphic>
                </wp:inline>
              </w:drawing>
            </w:r>
          </w:p>
        </w:tc>
        <w:tc>
          <w:tcPr>
            <w:tcW w:w="919" w:type="pct"/>
          </w:tcPr>
          <w:p w:rsidR="005B62E2" w:rsidRPr="00B60703" w:rsidRDefault="00F03789">
            <w:pPr>
              <w:tabs>
                <w:tab w:val="left" w:pos="569"/>
              </w:tabs>
              <w:rPr>
                <w:sz w:val="22"/>
                <w:szCs w:val="22"/>
                <w:lang w:val="sr-Latn-ME"/>
              </w:rPr>
            </w:pPr>
            <w:r w:rsidRPr="00B60703">
              <w:rPr>
                <w:sz w:val="22"/>
                <w:szCs w:val="22"/>
                <w:lang w:val="sr-Latn-ME"/>
              </w:rPr>
              <w:t>Adalimumab</w:t>
            </w:r>
          </w:p>
          <w:p w:rsidR="005B62E2" w:rsidRPr="00B60703" w:rsidRDefault="005B62E2">
            <w:pPr>
              <w:tabs>
                <w:tab w:val="left" w:pos="569"/>
              </w:tabs>
              <w:rPr>
                <w:sz w:val="22"/>
                <w:szCs w:val="22"/>
                <w:lang w:val="sr-Latn-ME"/>
              </w:rPr>
            </w:pPr>
          </w:p>
          <w:p w:rsidR="005B62E2" w:rsidRPr="00B60703" w:rsidRDefault="005B62E2">
            <w:pPr>
              <w:tabs>
                <w:tab w:val="left" w:pos="569"/>
              </w:tabs>
              <w:rPr>
                <w:sz w:val="22"/>
                <w:szCs w:val="22"/>
                <w:lang w:val="sr-Latn-ME"/>
              </w:rPr>
            </w:pPr>
          </w:p>
          <w:p w:rsidR="005B62E2" w:rsidRPr="00B60703" w:rsidRDefault="005B62E2">
            <w:pPr>
              <w:tabs>
                <w:tab w:val="left" w:pos="569"/>
              </w:tabs>
              <w:rPr>
                <w:sz w:val="22"/>
                <w:szCs w:val="22"/>
                <w:lang w:val="sr-Latn-ME"/>
              </w:rPr>
            </w:pPr>
          </w:p>
        </w:tc>
      </w:tr>
      <w:tr w:rsidR="005B62E2" w:rsidRPr="00B60703">
        <w:trPr>
          <w:gridBefore w:val="2"/>
          <w:gridAfter w:val="1"/>
          <w:wBefore w:w="958" w:type="pct"/>
          <w:wAfter w:w="340" w:type="pct"/>
          <w:trHeight w:val="3869"/>
        </w:trPr>
        <w:tc>
          <w:tcPr>
            <w:tcW w:w="213" w:type="pct"/>
            <w:textDirection w:val="btLr"/>
            <w:vAlign w:val="bottom"/>
          </w:tcPr>
          <w:p w:rsidR="005B62E2" w:rsidRPr="00B60703" w:rsidRDefault="00F03789">
            <w:pPr>
              <w:tabs>
                <w:tab w:val="left" w:pos="569"/>
              </w:tabs>
              <w:rPr>
                <w:sz w:val="22"/>
                <w:szCs w:val="22"/>
                <w:lang w:val="sr-Latn-ME"/>
              </w:rPr>
            </w:pPr>
            <w:r w:rsidRPr="00B60703">
              <w:rPr>
                <w:sz w:val="20"/>
                <w:szCs w:val="20"/>
                <w:lang w:val="sr-Latn-ME"/>
              </w:rPr>
              <w:t xml:space="preserve">             STOPA NEUSPJEHA LIJEČENJA (%)</w:t>
            </w:r>
          </w:p>
        </w:tc>
        <w:tc>
          <w:tcPr>
            <w:tcW w:w="3487" w:type="pct"/>
            <w:gridSpan w:val="5"/>
            <w:vAlign w:val="bottom"/>
          </w:tcPr>
          <w:p w:rsidR="005B62E2" w:rsidRPr="00B60703" w:rsidRDefault="00F03789">
            <w:pPr>
              <w:tabs>
                <w:tab w:val="left" w:pos="569"/>
              </w:tabs>
              <w:rPr>
                <w:sz w:val="22"/>
                <w:szCs w:val="22"/>
                <w:lang w:val="sr-Latn-ME"/>
              </w:rPr>
            </w:pPr>
            <w:r w:rsidRPr="00B60703">
              <w:rPr>
                <w:noProof/>
                <w:sz w:val="22"/>
                <w:szCs w:val="22"/>
              </w:rPr>
              <w:drawing>
                <wp:anchor distT="0" distB="0" distL="114300" distR="114300" simplePos="0" relativeHeight="251663360" behindDoc="0" locked="0" layoutInCell="1" allowOverlap="1">
                  <wp:simplePos x="0" y="0"/>
                  <wp:positionH relativeFrom="column">
                    <wp:posOffset>25400</wp:posOffset>
                  </wp:positionH>
                  <wp:positionV relativeFrom="paragraph">
                    <wp:posOffset>-2138680</wp:posOffset>
                  </wp:positionV>
                  <wp:extent cx="5276850" cy="2182495"/>
                  <wp:effectExtent l="0" t="0" r="0" b="8255"/>
                  <wp:wrapNone/>
                  <wp:docPr id="26" name="Picture 26" descr="Humira Uveitis Figure 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umira Uveitis Figure 5_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6850" cy="2182495"/>
                          </a:xfrm>
                          <a:prstGeom prst="rect">
                            <a:avLst/>
                          </a:prstGeom>
                          <a:noFill/>
                        </pic:spPr>
                      </pic:pic>
                    </a:graphicData>
                  </a:graphic>
                </wp:anchor>
              </w:drawing>
            </w:r>
            <w:r w:rsidRPr="00B60703">
              <w:rPr>
                <w:sz w:val="22"/>
                <w:szCs w:val="22"/>
                <w:lang w:val="sr-Latn-ME"/>
              </w:rPr>
              <w:t xml:space="preserve">                                                                </w:t>
            </w:r>
          </w:p>
          <w:p w:rsidR="005B62E2" w:rsidRPr="00B60703" w:rsidRDefault="00F03789">
            <w:pPr>
              <w:tabs>
                <w:tab w:val="left" w:pos="569"/>
              </w:tabs>
              <w:rPr>
                <w:sz w:val="22"/>
                <w:szCs w:val="22"/>
                <w:lang w:val="sr-Latn-ME"/>
              </w:rPr>
            </w:pPr>
            <w:r w:rsidRPr="00B60703">
              <w:rPr>
                <w:sz w:val="22"/>
                <w:szCs w:val="22"/>
                <w:lang w:val="sr-Latn-ME"/>
              </w:rPr>
              <w:t>VRIJEME (MJESECI)</w:t>
            </w:r>
          </w:p>
          <w:p w:rsidR="005B62E2" w:rsidRPr="00B60703" w:rsidRDefault="00F03789">
            <w:pPr>
              <w:tabs>
                <w:tab w:val="left" w:pos="569"/>
              </w:tabs>
              <w:rPr>
                <w:sz w:val="22"/>
                <w:szCs w:val="22"/>
                <w:lang w:val="sr-Latn-ME"/>
              </w:rPr>
            </w:pPr>
            <w:r w:rsidRPr="00B60703">
              <w:rPr>
                <w:sz w:val="22"/>
                <w:szCs w:val="22"/>
                <w:lang w:val="sr-Latn-ME"/>
              </w:rPr>
              <w:t>Ispitivanje UV II</w:t>
            </w:r>
          </w:p>
        </w:tc>
      </w:tr>
      <w:tr w:rsidR="005B62E2" w:rsidRPr="00B60703">
        <w:trPr>
          <w:gridBefore w:val="2"/>
          <w:gridAfter w:val="1"/>
          <w:wBefore w:w="958" w:type="pct"/>
          <w:wAfter w:w="340" w:type="pct"/>
          <w:trHeight w:val="369"/>
        </w:trPr>
        <w:tc>
          <w:tcPr>
            <w:tcW w:w="213" w:type="pct"/>
          </w:tcPr>
          <w:p w:rsidR="005B62E2" w:rsidRPr="00B60703" w:rsidRDefault="005B62E2">
            <w:pPr>
              <w:tabs>
                <w:tab w:val="left" w:pos="569"/>
              </w:tabs>
              <w:rPr>
                <w:sz w:val="22"/>
                <w:szCs w:val="22"/>
                <w:lang w:val="sr-Latn-ME"/>
              </w:rPr>
            </w:pPr>
          </w:p>
        </w:tc>
        <w:tc>
          <w:tcPr>
            <w:tcW w:w="869" w:type="pct"/>
          </w:tcPr>
          <w:p w:rsidR="005B62E2" w:rsidRPr="00B60703" w:rsidRDefault="00F03789">
            <w:pPr>
              <w:tabs>
                <w:tab w:val="left" w:pos="569"/>
              </w:tabs>
              <w:rPr>
                <w:sz w:val="22"/>
                <w:szCs w:val="22"/>
                <w:lang w:val="sr-Latn-ME"/>
              </w:rPr>
            </w:pPr>
            <w:r w:rsidRPr="00B60703">
              <w:rPr>
                <w:sz w:val="22"/>
                <w:szCs w:val="22"/>
                <w:lang w:val="sr-Latn-ME"/>
              </w:rPr>
              <w:t xml:space="preserve">        Liječenje</w:t>
            </w:r>
          </w:p>
        </w:tc>
        <w:tc>
          <w:tcPr>
            <w:tcW w:w="571" w:type="pct"/>
          </w:tcPr>
          <w:p w:rsidR="005B62E2" w:rsidRPr="00B60703" w:rsidRDefault="00F03789">
            <w:pPr>
              <w:tabs>
                <w:tab w:val="left" w:pos="569"/>
              </w:tabs>
              <w:rPr>
                <w:sz w:val="22"/>
                <w:szCs w:val="22"/>
                <w:lang w:val="sr-Latn-ME"/>
              </w:rPr>
            </w:pPr>
            <w:r w:rsidRPr="00B60703">
              <w:rPr>
                <w:noProof/>
                <w:sz w:val="22"/>
                <w:szCs w:val="22"/>
              </w:rPr>
              <w:drawing>
                <wp:inline distT="0" distB="0" distL="0" distR="0">
                  <wp:extent cx="400050" cy="180975"/>
                  <wp:effectExtent l="0" t="0" r="0" b="9525"/>
                  <wp:docPr id="21" name="Picture 21"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umira Uveitis Figure 5_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p>
        </w:tc>
        <w:tc>
          <w:tcPr>
            <w:tcW w:w="656" w:type="pct"/>
          </w:tcPr>
          <w:p w:rsidR="005B62E2" w:rsidRPr="00B60703" w:rsidRDefault="00F03789">
            <w:pPr>
              <w:tabs>
                <w:tab w:val="left" w:pos="569"/>
              </w:tabs>
              <w:rPr>
                <w:sz w:val="22"/>
                <w:szCs w:val="22"/>
                <w:lang w:val="sr-Latn-ME"/>
              </w:rPr>
            </w:pPr>
            <w:r w:rsidRPr="00B60703">
              <w:rPr>
                <w:sz w:val="22"/>
                <w:szCs w:val="22"/>
                <w:lang w:val="sr-Latn-ME"/>
              </w:rPr>
              <w:t>Placebo</w:t>
            </w:r>
          </w:p>
        </w:tc>
        <w:tc>
          <w:tcPr>
            <w:tcW w:w="471" w:type="pct"/>
          </w:tcPr>
          <w:p w:rsidR="005B62E2" w:rsidRPr="00B60703" w:rsidRDefault="00F03789">
            <w:pPr>
              <w:tabs>
                <w:tab w:val="left" w:pos="569"/>
              </w:tabs>
              <w:rPr>
                <w:sz w:val="22"/>
                <w:szCs w:val="22"/>
                <w:lang w:val="sr-Latn-ME"/>
              </w:rPr>
            </w:pPr>
            <w:r w:rsidRPr="00B60703">
              <w:rPr>
                <w:noProof/>
                <w:sz w:val="22"/>
                <w:szCs w:val="22"/>
              </w:rPr>
              <w:drawing>
                <wp:inline distT="0" distB="0" distL="0" distR="0">
                  <wp:extent cx="428625" cy="47625"/>
                  <wp:effectExtent l="0" t="0" r="9525" b="9525"/>
                  <wp:docPr id="20" name="Picture 20" descr="ad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da l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8625" cy="47625"/>
                          </a:xfrm>
                          <a:prstGeom prst="rect">
                            <a:avLst/>
                          </a:prstGeom>
                          <a:noFill/>
                          <a:ln>
                            <a:noFill/>
                          </a:ln>
                        </pic:spPr>
                      </pic:pic>
                    </a:graphicData>
                  </a:graphic>
                </wp:inline>
              </w:drawing>
            </w:r>
          </w:p>
        </w:tc>
        <w:tc>
          <w:tcPr>
            <w:tcW w:w="919" w:type="pct"/>
          </w:tcPr>
          <w:p w:rsidR="005B62E2" w:rsidRPr="00B60703" w:rsidRDefault="00F03789">
            <w:pPr>
              <w:tabs>
                <w:tab w:val="left" w:pos="569"/>
              </w:tabs>
              <w:rPr>
                <w:sz w:val="22"/>
                <w:szCs w:val="22"/>
                <w:lang w:val="sr-Latn-ME"/>
              </w:rPr>
            </w:pPr>
            <w:r w:rsidRPr="00B60703">
              <w:rPr>
                <w:sz w:val="22"/>
                <w:szCs w:val="22"/>
                <w:lang w:val="sr-Latn-ME"/>
              </w:rPr>
              <w:t>Adalimumab</w:t>
            </w:r>
          </w:p>
        </w:tc>
      </w:tr>
      <w:tr w:rsidR="005B62E2" w:rsidRPr="00B60703">
        <w:trPr>
          <w:gridBefore w:val="2"/>
          <w:gridAfter w:val="1"/>
          <w:wBefore w:w="958" w:type="pct"/>
          <w:wAfter w:w="340" w:type="pct"/>
          <w:trHeight w:val="629"/>
        </w:trPr>
        <w:tc>
          <w:tcPr>
            <w:tcW w:w="3701" w:type="pct"/>
            <w:gridSpan w:val="6"/>
            <w:vAlign w:val="center"/>
          </w:tcPr>
          <w:p w:rsidR="005B62E2" w:rsidRPr="00B60703" w:rsidRDefault="00F03789">
            <w:pPr>
              <w:tabs>
                <w:tab w:val="left" w:pos="569"/>
              </w:tabs>
              <w:rPr>
                <w:sz w:val="22"/>
                <w:szCs w:val="22"/>
                <w:lang w:val="sr-Latn-ME"/>
              </w:rPr>
            </w:pPr>
            <w:r w:rsidRPr="00B60703">
              <w:rPr>
                <w:sz w:val="22"/>
                <w:szCs w:val="22"/>
                <w:lang w:val="sr-Latn-ME"/>
              </w:rPr>
              <w:t>Napomena: P# = Placebo (broj događaja/broj pacijenata pod rizikom); A# = Adalimumab (broj događaja/broj pacijenata pod rizikom).</w:t>
            </w:r>
          </w:p>
        </w:tc>
      </w:tr>
    </w:tbl>
    <w:p w:rsidR="005B62E2" w:rsidRPr="00B60703" w:rsidRDefault="005B62E2">
      <w:pPr>
        <w:tabs>
          <w:tab w:val="left" w:pos="540"/>
          <w:tab w:val="left" w:pos="569"/>
        </w:tabs>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ispitivanju UV I su primijećene statistički značajne razlike u korist adalimumaba u odnosu na placebo za svaku komponentu neuspeha liječenja. U ispitivanju UV II, statistički značajne razlike primijećene su samo za oštrinu vida, ali su druge komponente brojčano bile u korist adalimumaba.</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lastRenderedPageBreak/>
        <w:t xml:space="preserve">Od ukupno 424 ispitanika uključenih u nekontrolisani dugoročni produžetak studija UV I i UV II, 60 ispitanika nije zadovoljavalo kriterijume (npr. kod njih su se razvile komplikacije kao posljedica dijabetesne retinopatije, zbog operacije katarakte ili vitrektomije) i stoga su bili isključeni iz primarne analize efikasnosti. Od preostalih 364 pacijenata, 269 ocjenjivih pacijenata (74%) je učestvovalo u otvorenom liječenju adalimumabom tokom 78 nedjelja. Na osnovu pristupa zasnovanog na dobijenim podacima, kod 216 (80,3%) pacijenata bolest je bila u fazi mirovanja (bez aktivnih zapaljenskih lezija, stepen u odnosu na broj ćelija u prednjoj očnoj komori (engl. </w:t>
      </w:r>
      <w:r w:rsidRPr="00B60703">
        <w:rPr>
          <w:i/>
          <w:sz w:val="22"/>
          <w:szCs w:val="22"/>
          <w:lang w:val="sr-Latn-ME"/>
        </w:rPr>
        <w:t>Anterior chamber [AC] cell grade</w:t>
      </w:r>
      <w:r w:rsidRPr="00B60703">
        <w:rPr>
          <w:sz w:val="22"/>
          <w:szCs w:val="22"/>
          <w:lang w:val="sr-Latn-ME"/>
        </w:rPr>
        <w:t xml:space="preserve">) ≤ 0,5+, stepen zamućenja staklastog tijela (engl. </w:t>
      </w:r>
      <w:r w:rsidRPr="00B60703">
        <w:rPr>
          <w:i/>
          <w:sz w:val="22"/>
          <w:szCs w:val="22"/>
          <w:lang w:val="sr-Latn-ME"/>
        </w:rPr>
        <w:t>Vitreous haze [VH] grade</w:t>
      </w:r>
      <w:r w:rsidRPr="00B60703">
        <w:rPr>
          <w:sz w:val="22"/>
          <w:szCs w:val="22"/>
          <w:lang w:val="sr-Latn-ME"/>
        </w:rPr>
        <w:t xml:space="preserve">) ≤ 0,5+) uz istovremenu primjenu steroida u dozi od ≤ 7,5 mg na dan, dok je kod njih 178 (66,2%) bolest bila u fazi mirovanja bez primjene steroida. U nedjelji 78, BCVA se ili poboljšao ili održao (pogoršanje za &lt; 5 slova) u 88,6% očiju. </w:t>
      </w:r>
      <w:r w:rsidRPr="00B60703">
        <w:rPr>
          <w:lang w:val="sr-Latn-ME"/>
        </w:rPr>
        <w:t xml:space="preserve">Podaci dobijeni nakon ove nedjelje su uglavnom bili konzistentni iako se broj uključenih ispitanika smanjivao tokom vremena. </w:t>
      </w:r>
      <w:r w:rsidRPr="00B60703">
        <w:rPr>
          <w:sz w:val="22"/>
          <w:szCs w:val="22"/>
          <w:lang w:val="sr-Latn-ME"/>
        </w:rPr>
        <w:t>Među pacijentima koji su se povukli iz daljeg toka ispitivanja prije nedjelje 78, 18% se povuklo usljed pojave neželjenih dejstava, i 8% usljed nedovoljno dobrog odgovora na terapiju adalimumabom.</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iCs/>
          <w:sz w:val="22"/>
          <w:szCs w:val="22"/>
          <w:u w:val="single"/>
          <w:lang w:val="sr-Latn-ME"/>
        </w:rPr>
      </w:pPr>
      <w:r w:rsidRPr="00B60703">
        <w:rPr>
          <w:i/>
          <w:iCs/>
          <w:sz w:val="22"/>
          <w:szCs w:val="22"/>
          <w:u w:val="single"/>
          <w:lang w:val="sr-Latn-ME"/>
        </w:rPr>
        <w:t>Kvalitet života</w:t>
      </w:r>
    </w:p>
    <w:p w:rsidR="005B62E2" w:rsidRPr="00B60703" w:rsidRDefault="005B62E2">
      <w:pPr>
        <w:tabs>
          <w:tab w:val="left" w:pos="540"/>
          <w:tab w:val="left" w:pos="569"/>
        </w:tabs>
        <w:jc w:val="both"/>
        <w:rPr>
          <w:i/>
          <w:iCs/>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U oba klinička ispitivanja, upitnikom NEI VFQ-25 su se određivali ishodi u odnosu na funkcionisanje povezano sa vidom koje su prijavljivali pacijenti. Većina podrezultata brojčano je išla u prilog adalimumabu, a srednje vrijednosti razlike bile su statistički značajne za opšti vid, bol u oku, vid na blizinu, mentalno zdravlje i ukupan rezultat u ispitivanju UV I, i za opšti vid i mentalno zdravlje u ispitivanju UV II. Efekti povezani sa vidom koji nisu brojčano išli u prilog adalimumabu bili su efekti na vid u boji u ispitivanju UV I, odnosno efekti na vid u boji, periferni vid i vid na blizinu u ispitivanju UV II.</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lang w:val="sr-Latn-ME"/>
        </w:rPr>
      </w:pPr>
      <w:r w:rsidRPr="00B60703">
        <w:rPr>
          <w:i/>
          <w:sz w:val="22"/>
          <w:szCs w:val="22"/>
          <w:lang w:val="sr-Latn-ME"/>
        </w:rPr>
        <w:t>Pedijatrijski uveitis</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Bezbjednost i efikasnost adalimumaba procjenjivane su u randomizovanom, dvostruko slijepom, kontrolisanom ispitivanju sprovedenom kod 90 pedijatrijskih pacijenata uzrasta od 2 do &lt;18 godina koji su imali aktivan neinfektivni anteriorni uveitis povezan sa JIA i koji su bili refraktorni na najmanje 12 nedjelja liječenja metotreksatom. Pacijenti su primali ili placebo ili 20 mg adalimumaba (ukoliko im je tjelesna masa bila manja od 30 kg), odnosno 40 mg adalimumaba (ukoliko im je tjelesna masa bila ≥ 30 kg) svake druge nedjelje u kombinaciji sa metotreksatom u dozi koju su primali na početku ispitivanja.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Primarni parametar praćenja bio je “vrijeme do neuspjeha liječenjaˮ. Kriterijumi koji su određivali neuspjeh liječenja bili su pogoršanje ili dugotrajan izostanak poboljšanja zapaljenja oka, djelimično poboljšanje uz razvoj dugotrajnih propratnih bolesti oka ili pogoršanje propratnih očnih bolesti, nedopuštena istovremena primjena drugih ljekova i prekid liječenja na duži period.</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i/>
          <w:sz w:val="22"/>
          <w:szCs w:val="22"/>
          <w:u w:val="single"/>
          <w:lang w:val="sr-Latn-ME"/>
        </w:rPr>
      </w:pPr>
      <w:r w:rsidRPr="00B60703">
        <w:rPr>
          <w:i/>
          <w:sz w:val="22"/>
          <w:szCs w:val="22"/>
          <w:u w:val="single"/>
          <w:lang w:val="sr-Latn-ME"/>
        </w:rPr>
        <w:t>Klinički odgovor</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Adalimumab je značajno odložio vrijeme do neuspjeha liječenja u odnosu na placebo (vidjeti Sliku 3, P&lt;0,0001 iz log-rank testa). Medijana vremena do neuspjeha liječenja iznosila je 24,1 nedjelju kod ispitanika koji su primali placebo, dok se kod ispitanika liječenih adalimumabom medijana vremena do neuspjeha liječenja nije mogla procijeniti, jer je do neuspjeha liječenja došlo kod manje od polovine pomenutih ispitanika. Adalimumab je značajno smanjio rizik od neuspjeha liječenja za 75% u odnosu na placebo, što pokazuje opseg hazarda (engl. </w:t>
      </w:r>
      <w:r w:rsidRPr="00B60703">
        <w:rPr>
          <w:i/>
          <w:sz w:val="22"/>
          <w:szCs w:val="22"/>
          <w:lang w:val="sr-Latn-ME"/>
        </w:rPr>
        <w:t xml:space="preserve">hazard ratio, </w:t>
      </w:r>
      <w:r w:rsidRPr="00B60703">
        <w:rPr>
          <w:sz w:val="22"/>
          <w:szCs w:val="22"/>
          <w:lang w:val="sr-Latn-ME"/>
        </w:rPr>
        <w:t>HR) (HR = 0,25 [95% CI: 0,12; 0,49]).</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jc w:val="both"/>
        <w:rPr>
          <w:b/>
          <w:bCs/>
          <w:sz w:val="22"/>
          <w:szCs w:val="22"/>
          <w:lang w:val="sr-Latn-ME"/>
        </w:rPr>
      </w:pPr>
      <w:r w:rsidRPr="00B60703">
        <w:rPr>
          <w:b/>
          <w:bCs/>
          <w:sz w:val="22"/>
          <w:szCs w:val="22"/>
          <w:lang w:val="sr-Latn-ME"/>
        </w:rPr>
        <w:t xml:space="preserve">Slika 3: </w:t>
      </w:r>
      <w:r w:rsidRPr="00B60703">
        <w:rPr>
          <w:b/>
          <w:bCs/>
          <w:i/>
          <w:sz w:val="22"/>
          <w:szCs w:val="22"/>
          <w:lang w:val="sr-Latn-ME"/>
        </w:rPr>
        <w:t>Kaplan-Meier</w:t>
      </w:r>
      <w:r w:rsidRPr="00B60703">
        <w:rPr>
          <w:b/>
          <w:bCs/>
          <w:sz w:val="22"/>
          <w:szCs w:val="22"/>
          <w:lang w:val="sr-Latn-ME"/>
        </w:rPr>
        <w:t>-ove krive koje sažeto prikazuju vrijeme do neuspjeha liječenja u ispitivanju liječenja pedijatrijskog uveitisa</w:t>
      </w:r>
    </w:p>
    <w:p w:rsidR="005B62E2" w:rsidRPr="00B60703" w:rsidRDefault="00F03789">
      <w:pPr>
        <w:tabs>
          <w:tab w:val="left" w:pos="540"/>
          <w:tab w:val="left" w:pos="569"/>
        </w:tabs>
        <w:rPr>
          <w:b/>
          <w:bCs/>
          <w:sz w:val="22"/>
          <w:szCs w:val="22"/>
          <w:lang w:val="sr-Latn-ME"/>
        </w:rPr>
      </w:pPr>
      <w:r w:rsidRPr="00B60703">
        <w:rPr>
          <w:b/>
          <w:bCs/>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151765</wp:posOffset>
                </wp:positionV>
                <wp:extent cx="504825" cy="34143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14395"/>
                        </a:xfrm>
                        <a:prstGeom prst="rect">
                          <a:avLst/>
                        </a:prstGeom>
                        <a:noFill/>
                        <a:ln>
                          <a:noFill/>
                        </a:ln>
                      </wps:spPr>
                      <wps:txbx>
                        <w:txbxContent>
                          <w:p w:rsidR="005B62E2" w:rsidRDefault="00F03789">
                            <w:pPr>
                              <w:rPr>
                                <w:b/>
                                <w:sz w:val="22"/>
                                <w:szCs w:val="22"/>
                              </w:rPr>
                            </w:pPr>
                            <w:r>
                              <w:rPr>
                                <w:b/>
                                <w:sz w:val="22"/>
                                <w:szCs w:val="22"/>
                              </w:rPr>
                              <w:t>VJEROVATNOĆA NEUSPJEHA LIJEČENJA</w:t>
                            </w:r>
                          </w:p>
                          <w:p w:rsidR="005B62E2" w:rsidRDefault="005B62E2">
                            <w:pPr>
                              <w:rPr>
                                <w:b/>
                                <w:sz w:val="22"/>
                                <w:szCs w:val="22"/>
                              </w:rPr>
                            </w:pPr>
                          </w:p>
                        </w:txbxContent>
                      </wps:txbx>
                      <wps:bodyPr rot="0" vert="vert270"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6pt;margin-top:11.95pt;height:268.85pt;width:39.75pt;z-index:251660288;mso-width-relative:page;mso-height-relative:page;" filled="f" stroked="f" coordsize="21600,21600" o:gfxdata="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xarj2QAAAAgBAAAPAAAAAAAAAAEAIAAAACIA&#10;AABkcnMvZG93bnJldi54bWxQSwECFAAUAAAACACHTuJAWMBzDggCAAAZBAAADgAAAAAAAAABACAA&#10;AAAoAQAAZHJzL2Uyb0RvYy54bWxQSwUGAAAAAAYABgBZAQAAogUAAAAA&#10;">
                <v:fill on="f" focussize="0,0"/>
                <v:stroke on="f"/>
                <v:imagedata o:title=""/>
                <o:lock v:ext="edit" aspectratio="f"/>
                <v:textbox style="layout-flow:vertical;mso-layout-flow-alt:bottom-to-top;">
                  <w:txbxContent>
                    <w:p>
                      <w:pPr>
                        <w:rPr>
                          <w:b/>
                          <w:sz w:val="22"/>
                          <w:szCs w:val="22"/>
                        </w:rPr>
                      </w:pPr>
                      <w:r>
                        <w:rPr>
                          <w:b/>
                          <w:sz w:val="22"/>
                          <w:szCs w:val="22"/>
                        </w:rPr>
                        <w:t>VJEROVATNOĆA NEUSPJEHA LIJEČENJA</w:t>
                      </w:r>
                    </w:p>
                    <w:p>
                      <w:pPr>
                        <w:rPr>
                          <w:b/>
                          <w:sz w:val="22"/>
                          <w:szCs w:val="22"/>
                        </w:rPr>
                      </w:pPr>
                    </w:p>
                  </w:txbxContent>
                </v:textbox>
              </v:shape>
            </w:pict>
          </mc:Fallback>
        </mc:AlternateContent>
      </w:r>
      <w:r w:rsidRPr="00B60703">
        <w:rPr>
          <w:b/>
          <w:bCs/>
          <w:sz w:val="22"/>
          <w:szCs w:val="22"/>
          <w:lang w:val="sr-Latn-ME"/>
        </w:rPr>
        <w:t xml:space="preserve">         </w:t>
      </w:r>
      <w:r w:rsidRPr="00B60703">
        <w:rPr>
          <w:b/>
          <w:bCs/>
          <w:noProof/>
          <w:sz w:val="22"/>
          <w:szCs w:val="22"/>
        </w:rPr>
        <w:drawing>
          <wp:inline distT="0" distB="0" distL="0" distR="0">
            <wp:extent cx="4943475" cy="4076700"/>
            <wp:effectExtent l="0" t="0" r="9525" b="0"/>
            <wp:docPr id="19" name="Picture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43475" cy="4076700"/>
                    </a:xfrm>
                    <a:prstGeom prst="rect">
                      <a:avLst/>
                    </a:prstGeom>
                    <a:noFill/>
                    <a:ln>
                      <a:noFill/>
                    </a:ln>
                  </pic:spPr>
                </pic:pic>
              </a:graphicData>
            </a:graphic>
          </wp:inline>
        </w:drawing>
      </w:r>
    </w:p>
    <w:p w:rsidR="00184C7F" w:rsidRDefault="00F03789">
      <w:pPr>
        <w:tabs>
          <w:tab w:val="left" w:pos="540"/>
          <w:tab w:val="left" w:pos="569"/>
        </w:tabs>
        <w:rPr>
          <w:sz w:val="22"/>
          <w:szCs w:val="22"/>
          <w:lang w:val="sr-Latn-ME"/>
        </w:rPr>
      </w:pPr>
      <w:r w:rsidRPr="00B60703">
        <w:rPr>
          <w:sz w:val="22"/>
          <w:szCs w:val="22"/>
          <w:lang w:val="sr-Latn-ME"/>
        </w:rPr>
        <w:t xml:space="preserve">                                                                </w:t>
      </w:r>
    </w:p>
    <w:p w:rsidR="00184C7F" w:rsidRDefault="00184C7F">
      <w:pPr>
        <w:tabs>
          <w:tab w:val="left" w:pos="540"/>
          <w:tab w:val="left" w:pos="569"/>
        </w:tabs>
        <w:rPr>
          <w:sz w:val="22"/>
          <w:szCs w:val="22"/>
          <w:lang w:val="sr-Latn-ME"/>
        </w:rPr>
      </w:pPr>
    </w:p>
    <w:p w:rsidR="005B62E2" w:rsidRPr="00B60703" w:rsidRDefault="00F03789" w:rsidP="00184C7F">
      <w:pPr>
        <w:tabs>
          <w:tab w:val="left" w:pos="540"/>
          <w:tab w:val="left" w:pos="569"/>
        </w:tabs>
        <w:jc w:val="center"/>
        <w:rPr>
          <w:sz w:val="22"/>
          <w:szCs w:val="22"/>
          <w:lang w:val="sr-Latn-ME"/>
        </w:rPr>
      </w:pPr>
      <w:r w:rsidRPr="00B60703">
        <w:rPr>
          <w:sz w:val="22"/>
          <w:szCs w:val="22"/>
          <w:lang w:val="sr-Latn-ME"/>
        </w:rPr>
        <w:t>VRIJEME (NEDJELJE)</w:t>
      </w:r>
    </w:p>
    <w:p w:rsidR="005B62E2" w:rsidRPr="00B60703" w:rsidRDefault="00F03789">
      <w:pPr>
        <w:tabs>
          <w:tab w:val="left" w:pos="540"/>
          <w:tab w:val="left" w:pos="569"/>
        </w:tabs>
        <w:rPr>
          <w:sz w:val="22"/>
          <w:szCs w:val="22"/>
          <w:lang w:val="sr-Latn-ME"/>
        </w:rPr>
      </w:pPr>
      <w:r w:rsidRPr="00B60703">
        <w:rPr>
          <w:sz w:val="22"/>
          <w:szCs w:val="22"/>
          <w:lang w:val="sr-Latn-ME"/>
        </w:rPr>
        <w:t xml:space="preserve">      Liječenje                                             </w:t>
      </w:r>
      <w:r w:rsidRPr="00B60703">
        <w:rPr>
          <w:noProof/>
          <w:sz w:val="22"/>
          <w:szCs w:val="22"/>
        </w:rPr>
        <w:drawing>
          <wp:inline distT="0" distB="0" distL="0" distR="0">
            <wp:extent cx="457200" cy="123825"/>
            <wp:effectExtent l="0" t="0" r="0" b="9525"/>
            <wp:docPr id="18" name="Picture 18"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umira PED UV KM Curv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57200" cy="123825"/>
                    </a:xfrm>
                    <a:prstGeom prst="rect">
                      <a:avLst/>
                    </a:prstGeom>
                    <a:noFill/>
                    <a:ln>
                      <a:noFill/>
                    </a:ln>
                  </pic:spPr>
                </pic:pic>
              </a:graphicData>
            </a:graphic>
          </wp:inline>
        </w:drawing>
      </w:r>
      <w:r w:rsidRPr="00B60703">
        <w:rPr>
          <w:sz w:val="22"/>
          <w:szCs w:val="22"/>
          <w:lang w:val="sr-Latn-ME"/>
        </w:rPr>
        <w:t xml:space="preserve"> Placebo                </w:t>
      </w:r>
      <w:r w:rsidRPr="00B60703">
        <w:rPr>
          <w:noProof/>
          <w:sz w:val="22"/>
          <w:szCs w:val="22"/>
        </w:rPr>
        <w:drawing>
          <wp:inline distT="0" distB="0" distL="0" distR="0">
            <wp:extent cx="457200" cy="85725"/>
            <wp:effectExtent l="0" t="0" r="0" b="9525"/>
            <wp:docPr id="17" name="Picture 17"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umira PED UV KM Curv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57200" cy="85725"/>
                    </a:xfrm>
                    <a:prstGeom prst="rect">
                      <a:avLst/>
                    </a:prstGeom>
                    <a:noFill/>
                    <a:ln>
                      <a:noFill/>
                    </a:ln>
                  </pic:spPr>
                </pic:pic>
              </a:graphicData>
            </a:graphic>
          </wp:inline>
        </w:drawing>
      </w:r>
      <w:r w:rsidRPr="00B60703">
        <w:rPr>
          <w:sz w:val="22"/>
          <w:szCs w:val="22"/>
          <w:lang w:val="sr-Latn-ME"/>
        </w:rPr>
        <w:t xml:space="preserve"> Adalimumab        </w:t>
      </w:r>
    </w:p>
    <w:p w:rsidR="005B62E2" w:rsidRPr="00B60703" w:rsidRDefault="00F03789">
      <w:pPr>
        <w:tabs>
          <w:tab w:val="left" w:pos="540"/>
          <w:tab w:val="left" w:pos="569"/>
        </w:tabs>
        <w:rPr>
          <w:sz w:val="22"/>
          <w:szCs w:val="22"/>
          <w:lang w:val="sr-Latn-ME"/>
        </w:rPr>
      </w:pPr>
      <w:r w:rsidRPr="00B60703">
        <w:rPr>
          <w:sz w:val="22"/>
          <w:szCs w:val="22"/>
          <w:lang w:val="sr-Latn-ME"/>
        </w:rPr>
        <w:t xml:space="preserve">      </w:t>
      </w:r>
    </w:p>
    <w:p w:rsidR="005B62E2" w:rsidRPr="00B60703" w:rsidRDefault="00F03789">
      <w:pPr>
        <w:tabs>
          <w:tab w:val="left" w:pos="540"/>
          <w:tab w:val="left" w:pos="569"/>
        </w:tabs>
        <w:rPr>
          <w:sz w:val="22"/>
          <w:szCs w:val="22"/>
          <w:lang w:val="sr-Latn-ME"/>
        </w:rPr>
      </w:pPr>
      <w:r w:rsidRPr="00B60703">
        <w:rPr>
          <w:sz w:val="22"/>
          <w:szCs w:val="22"/>
          <w:lang w:val="sr-Latn-ME"/>
        </w:rPr>
        <w:t>Napomena: P = Placebo (broj pacijenata pod rizikom); H = Adalimumab (broj pacijenata pod rizikom).</w:t>
      </w:r>
    </w:p>
    <w:p w:rsidR="005B62E2" w:rsidRPr="00B60703" w:rsidRDefault="005B62E2">
      <w:pPr>
        <w:tabs>
          <w:tab w:val="left" w:pos="540"/>
          <w:tab w:val="left" w:pos="569"/>
        </w:tabs>
        <w:rPr>
          <w:sz w:val="22"/>
          <w:szCs w:val="22"/>
          <w:lang w:val="sr-Latn-ME"/>
        </w:rPr>
      </w:pPr>
    </w:p>
    <w:p w:rsidR="005B62E2" w:rsidRPr="00B60703" w:rsidRDefault="00F03789">
      <w:pPr>
        <w:tabs>
          <w:tab w:val="left" w:pos="540"/>
          <w:tab w:val="left" w:pos="569"/>
        </w:tabs>
        <w:jc w:val="both"/>
        <w:rPr>
          <w:sz w:val="22"/>
          <w:szCs w:val="22"/>
          <w:u w:val="single"/>
          <w:lang w:val="sr-Latn-ME"/>
        </w:rPr>
      </w:pPr>
      <w:r w:rsidRPr="00B60703">
        <w:rPr>
          <w:sz w:val="22"/>
          <w:szCs w:val="22"/>
          <w:u w:val="single"/>
          <w:lang w:val="sr-Latn-ME"/>
        </w:rPr>
        <w:t>Imunogenost</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Antitijela na adalimumab se mogu razviti tokom liječenja adalimumabom.</w:t>
      </w:r>
    </w:p>
    <w:p w:rsidR="005B62E2" w:rsidRPr="00B60703" w:rsidRDefault="00F03789">
      <w:pPr>
        <w:tabs>
          <w:tab w:val="left" w:pos="540"/>
          <w:tab w:val="left" w:pos="569"/>
        </w:tabs>
        <w:jc w:val="both"/>
        <w:rPr>
          <w:sz w:val="22"/>
          <w:szCs w:val="22"/>
          <w:lang w:val="sr-Latn-ME"/>
        </w:rPr>
      </w:pPr>
      <w:r w:rsidRPr="00B60703">
        <w:rPr>
          <w:sz w:val="22"/>
          <w:szCs w:val="22"/>
          <w:lang w:val="sr-Latn-ME"/>
        </w:rPr>
        <w:t xml:space="preserve">Stvaranje antitijela na adalimumab povezano je sa bržim klirensom i slabijim terapijskim dejstvom adalimumaba. Ne postoji očigledna povezanost između prisustva antitijela na adalimumab i pojave neželjenih događaja. </w:t>
      </w:r>
    </w:p>
    <w:p w:rsidR="005B62E2" w:rsidRPr="00B60703" w:rsidRDefault="005B62E2">
      <w:pPr>
        <w:tabs>
          <w:tab w:val="left" w:pos="540"/>
          <w:tab w:val="left" w:pos="569"/>
        </w:tabs>
        <w:jc w:val="both"/>
        <w:rPr>
          <w:sz w:val="22"/>
          <w:szCs w:val="22"/>
          <w:lang w:val="sr-Latn-ME"/>
        </w:rPr>
      </w:pP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u w:val="single"/>
          <w:lang w:val="sr-Latn-ME"/>
        </w:rPr>
      </w:pPr>
      <w:r w:rsidRPr="00B60703">
        <w:rPr>
          <w:sz w:val="22"/>
          <w:szCs w:val="22"/>
          <w:u w:val="single"/>
          <w:lang w:val="sr-Latn-ME"/>
        </w:rPr>
        <w:t xml:space="preserve">Pedijatrijska populacija </w:t>
      </w:r>
    </w:p>
    <w:p w:rsidR="005B62E2" w:rsidRPr="00B60703" w:rsidRDefault="005B62E2">
      <w:pPr>
        <w:tabs>
          <w:tab w:val="left" w:pos="540"/>
          <w:tab w:val="left" w:pos="569"/>
        </w:tabs>
        <w:jc w:val="both"/>
        <w:rPr>
          <w:sz w:val="22"/>
          <w:szCs w:val="22"/>
          <w:lang w:val="sr-Latn-ME"/>
        </w:rPr>
      </w:pPr>
    </w:p>
    <w:p w:rsidR="005B62E2" w:rsidRPr="00B60703" w:rsidRDefault="00F03789">
      <w:pPr>
        <w:tabs>
          <w:tab w:val="left" w:pos="540"/>
          <w:tab w:val="left" w:pos="569"/>
        </w:tabs>
        <w:jc w:val="both"/>
        <w:rPr>
          <w:sz w:val="22"/>
          <w:szCs w:val="22"/>
          <w:lang w:val="sr-Latn-ME"/>
        </w:rPr>
      </w:pPr>
      <w:r w:rsidRPr="00B60703">
        <w:rPr>
          <w:sz w:val="22"/>
          <w:szCs w:val="22"/>
          <w:lang w:val="sr-Latn-ME"/>
        </w:rPr>
        <w:t>Evropska agencija za ljekove je odložila obavezu podnošenja rezultata ispitivanja referentnog lijeka koji sadrži adalimumab u jednoj ili više podgrupa pedijatrijske populacije u indikaciji ulceroznog kolitisa, vidjeti dio 4.2 za informacije o primjeni lijeka u pedijatrijskoj populaciji.</w:t>
      </w:r>
    </w:p>
    <w:p w:rsidR="005B62E2" w:rsidRPr="00B60703" w:rsidRDefault="005B62E2">
      <w:pPr>
        <w:tabs>
          <w:tab w:val="left" w:pos="540"/>
          <w:tab w:val="left" w:pos="569"/>
        </w:tabs>
        <w:jc w:val="both"/>
        <w:rPr>
          <w:b/>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5.2. </w:t>
      </w:r>
      <w:r w:rsidRPr="00B60703">
        <w:rPr>
          <w:b/>
          <w:bCs/>
          <w:sz w:val="22"/>
          <w:szCs w:val="22"/>
          <w:lang w:val="sr-Latn-ME"/>
        </w:rPr>
        <w:tab/>
        <w:t xml:space="preserve">Farmakokinetički podaci </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708"/>
          <w:tab w:val="center" w:pos="4536"/>
          <w:tab w:val="right" w:pos="9072"/>
        </w:tabs>
        <w:snapToGrid w:val="0"/>
        <w:spacing w:after="80"/>
        <w:jc w:val="both"/>
        <w:rPr>
          <w:sz w:val="22"/>
          <w:szCs w:val="22"/>
          <w:u w:val="single"/>
          <w:lang w:val="sr-Latn-ME"/>
        </w:rPr>
      </w:pPr>
      <w:r w:rsidRPr="00B60703">
        <w:rPr>
          <w:sz w:val="22"/>
          <w:szCs w:val="22"/>
          <w:u w:val="single"/>
          <w:lang w:val="sr-Latn-ME" w:eastAsia="sr-Latn-ME"/>
        </w:rPr>
        <w:t>Resorpcija i distribucija</w:t>
      </w:r>
    </w:p>
    <w:p w:rsidR="005B62E2" w:rsidRPr="00B60703" w:rsidRDefault="005B62E2">
      <w:pPr>
        <w:tabs>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Nakon supkutane primjene pojedinačne doze od 40 mg, resorpcija i raspodjela adalimumaba je bila spora sa pikom serumske koncentracije dostignutim 5 dana nakon primjene. Prosječna apsolutna bioraspoloživost adalimumaba je procijenjena u tri studije nakon pojedinačne supkutane doze od 40 mg, i iznosila je 64%. Nakon pojedinačne intravenske doze u rasponu od 0,25 do 10 mg/kg koncentracije su bile dozno proporcionalne. Nakon doze od 0,5 mg/kg (~40 mg), raspon klirensa je iznosio od 11 do 15 </w:t>
      </w:r>
      <w:r w:rsidRPr="00B60703">
        <w:rPr>
          <w:sz w:val="22"/>
          <w:szCs w:val="22"/>
          <w:lang w:val="sr-Latn-ME" w:eastAsia="sr-Latn-ME"/>
        </w:rPr>
        <w:lastRenderedPageBreak/>
        <w:t>ml/h, volumen distribucije (V</w:t>
      </w:r>
      <w:r w:rsidRPr="00B60703">
        <w:rPr>
          <w:sz w:val="22"/>
          <w:szCs w:val="22"/>
          <w:vertAlign w:val="subscript"/>
          <w:lang w:val="sr-Latn-ME" w:eastAsia="sr-Latn-ME"/>
        </w:rPr>
        <w:t>ss</w:t>
      </w:r>
      <w:r w:rsidRPr="00B60703">
        <w:rPr>
          <w:sz w:val="22"/>
          <w:szCs w:val="22"/>
          <w:lang w:val="sr-Latn-ME" w:eastAsia="sr-Latn-ME"/>
        </w:rPr>
        <w:t xml:space="preserve">) u opsegu od 5 do 6 litara, i srednje poluvrijeme eliminacije u terminalnoj fazi iznosilo je približno dvije nedjelje. Koncentracije adalimumaba u sinovijalnoj tečnosti kod nekoliko pacijenata sa reumatoidnim artritisom iznosile su 31-96% koncentracije u serumu. </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Nakon supkutane primjene adalimumaba u dozi od 40 mg svake druge nedjelje kod odraslih pacijenata sa reumatoidnim artritisom, srednja vrijednost najniže koncentracije lijeka u stanju dinamičke ravnoteže je bila približno 5 mikrograma/ml (bez istovremene primjene metotreksata) i 8 do 9 mikrograma/ml (uz metotreksat). Najniže koncentracije adalimumaba u serumu u stanju dinamičke ravnoteže povećavale su se uglavnom srazmjerno dozi nakon supkutane primjene 20, 40 i 80 mg svake dvije nedjelje, odnosno svake nedjelje.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Nakon primjene 24 mg/m</w:t>
      </w:r>
      <w:r w:rsidRPr="00B60703">
        <w:rPr>
          <w:sz w:val="22"/>
          <w:szCs w:val="22"/>
          <w:vertAlign w:val="superscript"/>
          <w:lang w:val="sr-Latn-ME" w:eastAsia="sr-Latn-ME"/>
        </w:rPr>
        <w:t xml:space="preserve">2 </w:t>
      </w:r>
      <w:r w:rsidRPr="00B60703">
        <w:rPr>
          <w:sz w:val="22"/>
          <w:szCs w:val="22"/>
          <w:lang w:val="sr-Latn-ME" w:eastAsia="sr-Latn-ME"/>
        </w:rPr>
        <w:t xml:space="preserve">(do maksimalno 40 mg) supkutano svake druge nedjelje kod pacijenata sa poliartikularnim juvenilnim idiopatskim artritisom, uzrasta od 4 do 17 godina, srednja minimalna koncentracija adalimumaba u serumu u stanju dinamičke ravnoteže (vrijednosti mjerene između nedjelja 20 i 48) je bila 5,6 ± 5,6 mikrograma/ml (102% CV) za adalimumab </w:t>
      </w:r>
      <w:r w:rsidRPr="00B60703">
        <w:rPr>
          <w:spacing w:val="-8"/>
          <w:sz w:val="22"/>
          <w:szCs w:val="22"/>
          <w:lang w:val="sr-Latn-ME" w:eastAsia="sr-Latn-ME"/>
        </w:rPr>
        <w:t>bez istovremene primjene metotreksata,</w:t>
      </w:r>
      <w:r w:rsidRPr="00B60703">
        <w:rPr>
          <w:sz w:val="22"/>
          <w:szCs w:val="22"/>
          <w:lang w:val="sr-Latn-ME" w:eastAsia="sr-Latn-ME"/>
        </w:rPr>
        <w:t xml:space="preserve"> i 10,9 ± 5,2 mikrograma/ml (47,7% CV) pri istovremenoj primjeni metotreksata.</w:t>
      </w: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 </w:t>
      </w:r>
    </w:p>
    <w:p w:rsidR="005B62E2" w:rsidRPr="00B60703" w:rsidRDefault="00F03789">
      <w:pPr>
        <w:tabs>
          <w:tab w:val="left" w:pos="708"/>
        </w:tabs>
        <w:snapToGrid w:val="0"/>
        <w:jc w:val="both"/>
        <w:rPr>
          <w:sz w:val="22"/>
          <w:szCs w:val="22"/>
          <w:lang w:val="sr-Latn-ME"/>
        </w:rPr>
      </w:pPr>
      <w:r w:rsidRPr="00B60703">
        <w:rPr>
          <w:sz w:val="22"/>
          <w:szCs w:val="22"/>
          <w:lang w:val="sr-Latn-ME"/>
        </w:rPr>
        <w:t>Kod pacijenata sa poliartikularnim juvenilnim idiopatskim artritisom, uzrasta od 2 do &lt; 4 godine ili uzrasta 4 i više godina sa tjelesnom masom &lt; 15 kg, nakon primjene 24 mg/m</w:t>
      </w:r>
      <w:r w:rsidRPr="00B60703">
        <w:rPr>
          <w:sz w:val="22"/>
          <w:szCs w:val="22"/>
          <w:vertAlign w:val="superscript"/>
          <w:lang w:val="sr-Latn-ME"/>
        </w:rPr>
        <w:t xml:space="preserve">2 </w:t>
      </w:r>
      <w:r w:rsidRPr="00B60703">
        <w:rPr>
          <w:sz w:val="22"/>
          <w:szCs w:val="22"/>
          <w:lang w:val="sr-Latn-ME"/>
        </w:rPr>
        <w:t xml:space="preserve">adalimumaba je srednja vrijednost minimalne koncentracije adalimumaba u serumu u stanju dinamičke ravnoteže bila 6,0 ± 6,1 mikrograma/ml (101% CV) za adalimumab bez istovremene primjene metotreksata i 7,9 ± 5,6 mikrograma/ml (71,2% CV) pri istovremenoj primjeni metotreksata. </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Nakon primjene 24 mg/m</w:t>
      </w:r>
      <w:r w:rsidRPr="00B60703">
        <w:rPr>
          <w:sz w:val="22"/>
          <w:szCs w:val="22"/>
          <w:vertAlign w:val="superscript"/>
          <w:lang w:val="sr-Latn-ME"/>
        </w:rPr>
        <w:t>2</w:t>
      </w:r>
      <w:r w:rsidRPr="00B60703">
        <w:rPr>
          <w:sz w:val="22"/>
          <w:szCs w:val="22"/>
          <w:lang w:val="sr-Latn-ME"/>
        </w:rPr>
        <w:t xml:space="preserve"> (do maksimalno 40 mg) supkutanom injekcijom svake druge nedjelje kod pacijenata sa artritisom povezanim sa entezitisom, uzrasta od 6 do 17 godina, srednja vrijednost minimalne koncentracije adalimumaba u serumu u stanju dinamičke ravnoteže (vrijednosti mjerene u nedjelji 24) bila je 8,8 ± 6,6 mikrograma/ml za adalimumab bez istovremene primjene metotreksata, i 11,8 ± 4,3 mikrograma/ml uz istovremenu primjenu metotreksata.</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 xml:space="preserve">Nakon supkutane primjene adalimumaba u dozi od 40 mg svake druge nedjelje kod odraslih pacijenata sa </w:t>
      </w:r>
      <w:r w:rsidRPr="00B60703">
        <w:rPr>
          <w:sz w:val="22"/>
          <w:lang w:val="sr-Latn-ME"/>
        </w:rPr>
        <w:t>aksijalnim spondiloartritisom bez radiografskog dokaza AS, srednja vrijednost (</w:t>
      </w:r>
      <w:r w:rsidRPr="00B60703">
        <w:rPr>
          <w:sz w:val="22"/>
          <w:szCs w:val="22"/>
          <w:lang w:val="sr-Latn-ME"/>
        </w:rPr>
        <w:t>± SD</w:t>
      </w:r>
      <w:r w:rsidRPr="00B60703">
        <w:rPr>
          <w:sz w:val="22"/>
          <w:lang w:val="sr-Latn-ME"/>
        </w:rPr>
        <w:t xml:space="preserve">) najniže koncentracije u stanju dinamičke ravnoteže u nedjelji 68 iznosila je </w:t>
      </w:r>
      <w:r w:rsidRPr="00B60703">
        <w:rPr>
          <w:sz w:val="22"/>
          <w:szCs w:val="22"/>
          <w:lang w:val="sr-Latn-ME"/>
        </w:rPr>
        <w:t>8,0 ± 4,6 mikrograma/ml.</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Kod odraslih pacijenata sa psorijazom, srednja vrijednost minimalne koncentracije adalimumaba u stanju dinamičke ravnoteže bila je 5 mikrograma/ml tokom primjene monoterapije dozom adalimumaba od 40 mg svake druge nedjelje.</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center" w:pos="4536"/>
          <w:tab w:val="right" w:pos="9072"/>
        </w:tabs>
        <w:snapToGrid w:val="0"/>
        <w:jc w:val="both"/>
        <w:rPr>
          <w:sz w:val="22"/>
          <w:szCs w:val="22"/>
          <w:lang w:val="sr-Latn-ME" w:eastAsia="sr-Latn-ME"/>
        </w:rPr>
      </w:pPr>
      <w:r w:rsidRPr="00B60703">
        <w:rPr>
          <w:sz w:val="22"/>
          <w:szCs w:val="22"/>
          <w:lang w:val="sr-Latn-ME" w:eastAsia="sr-Latn-ME"/>
        </w:rPr>
        <w:t>Nakon supkutano primijenjene doze od 0,8 mg/kg (do maksimalno 40 mg) svake druge nedjelje kod pedijatrijskih pacijenata sa hroničnom plak psorijazom, srednja vrijednost ± SD najniže koncentracije adalimumaba u stanju dinamičke ravnoteže iznosila je približno 7,4 ± 5,8 mikrograma/ml (79% CV).</w:t>
      </w:r>
    </w:p>
    <w:p w:rsidR="005B62E2" w:rsidRPr="00B60703" w:rsidRDefault="005B62E2">
      <w:pPr>
        <w:tabs>
          <w:tab w:val="left" w:pos="708"/>
          <w:tab w:val="center" w:pos="4536"/>
          <w:tab w:val="right" w:pos="9072"/>
        </w:tabs>
        <w:snapToGrid w:val="0"/>
        <w:spacing w:after="80"/>
        <w:jc w:val="both"/>
        <w:rPr>
          <w:sz w:val="22"/>
          <w:szCs w:val="22"/>
          <w:lang w:val="sr-Latn-ME" w:eastAsia="sr-Latn-ME"/>
        </w:rPr>
      </w:pPr>
    </w:p>
    <w:p w:rsidR="005B62E2" w:rsidRPr="00B60703" w:rsidRDefault="00F03789">
      <w:pPr>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Nakon primjene adalimumaba u dozi od 160 mg u nedjelji 0 i 80 mg u nedjelji 2 kod odraslih pacijenata sa gnojnim zapaljenjem znojnih žlijezda, najniže koncentracije adalimumaba u serumu u nedjelji 2 i nedjelji 4 iznosile su približno 7 do 8 mikrograma/ml. Kada se adalimumab primjenjivao u dozi od 40 mg svake nedjelje, srednja vrijednost najniže koncentracije u stanju dinamičke ravnoteže od nedjelje 12 do nedjelje 36 iznosila je približno 8 do 10 mikrograma/ml.</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widowControl w:val="0"/>
        <w:tabs>
          <w:tab w:val="left" w:pos="0"/>
          <w:tab w:val="left" w:pos="284"/>
        </w:tabs>
        <w:autoSpaceDE w:val="0"/>
        <w:autoSpaceDN w:val="0"/>
        <w:adjustRightInd w:val="0"/>
        <w:jc w:val="both"/>
        <w:rPr>
          <w:color w:val="000000"/>
          <w:sz w:val="22"/>
          <w:szCs w:val="22"/>
          <w:lang w:val="sr-Latn-ME"/>
        </w:rPr>
      </w:pPr>
      <w:r w:rsidRPr="00B60703">
        <w:rPr>
          <w:color w:val="000000"/>
          <w:sz w:val="22"/>
          <w:szCs w:val="22"/>
          <w:lang w:val="sr-Latn-ME"/>
        </w:rPr>
        <w:t xml:space="preserve">Izloženost adalimumabu kod adolescentnih pacijenata sa gnojnim zapaljenjem znojnih žlijezda predviđena je uz pomoć populacionog farmakokinetičkog modelovanja i simulacije na osnovu farmakokinetike u ostalim indikacijama kod drugih pedijatrijskih pacijenata (psorijaza kod djece, juvenilni idiopatski artritis, </w:t>
      </w:r>
      <w:r w:rsidRPr="00B60703">
        <w:rPr>
          <w:i/>
          <w:color w:val="000000"/>
          <w:sz w:val="22"/>
          <w:szCs w:val="22"/>
          <w:lang w:val="sr-Latn-ME"/>
        </w:rPr>
        <w:t>Crohn</w:t>
      </w:r>
      <w:r w:rsidRPr="00B60703">
        <w:rPr>
          <w:color w:val="000000"/>
          <w:sz w:val="22"/>
          <w:szCs w:val="22"/>
          <w:lang w:val="sr-Latn-ME"/>
        </w:rPr>
        <w:t>-ova bolest kod djece i artritis povezan sa entezitisom). Preporučeni režim doziranja za adolescente sa gnojnim zapaljenjem znojnih žlijezda je 40 mg svake druge nedjelje. Budući da veličina tijela može uticati na izloženost adalimumabu, adolescenti sa većom tjelesnom masom kod kojih nije postignut zadovoljavajući odgovor mogli bi imati koristi od primjene preporučene doze za odrasle od 40 mg svake nedjelje.</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lastRenderedPageBreak/>
        <w:t xml:space="preserve">Tokom perioda indukcije kod pacijenata sa </w:t>
      </w:r>
      <w:r w:rsidRPr="00B60703">
        <w:rPr>
          <w:i/>
          <w:sz w:val="22"/>
          <w:szCs w:val="22"/>
          <w:lang w:val="sr-Latn-ME" w:eastAsia="sr-Latn-ME"/>
        </w:rPr>
        <w:t>Crohn</w:t>
      </w:r>
      <w:r w:rsidRPr="00B60703">
        <w:rPr>
          <w:sz w:val="22"/>
          <w:szCs w:val="22"/>
          <w:lang w:val="sr-Latn-ME" w:eastAsia="sr-Latn-ME"/>
        </w:rPr>
        <w:t xml:space="preserve">-ovom bolešću nakon početne doze adalimumaba od 80 mg u nedjelji 0 i druge doze od 40 mg nakon dvije nedjelje postignute su najniže serumske koncentracije adalimumaba oko 5,5 </w:t>
      </w:r>
      <w:r w:rsidRPr="00B60703">
        <w:rPr>
          <w:color w:val="000000"/>
          <w:sz w:val="22"/>
          <w:szCs w:val="22"/>
          <w:lang w:val="sr-Latn-ME" w:eastAsia="sr-Latn-ME"/>
        </w:rPr>
        <w:t>mikrograma</w:t>
      </w:r>
      <w:r w:rsidRPr="00B60703">
        <w:rPr>
          <w:sz w:val="22"/>
          <w:szCs w:val="22"/>
          <w:lang w:val="sr-Latn-ME" w:eastAsia="sr-Latn-ME"/>
        </w:rPr>
        <w:t xml:space="preserve">/ml, odnosno 12 </w:t>
      </w:r>
      <w:r w:rsidRPr="00B60703">
        <w:rPr>
          <w:color w:val="000000"/>
          <w:sz w:val="22"/>
          <w:szCs w:val="22"/>
          <w:lang w:val="sr-Latn-ME" w:eastAsia="sr-Latn-ME"/>
        </w:rPr>
        <w:t>mikrograma</w:t>
      </w:r>
      <w:r w:rsidRPr="00B60703">
        <w:rPr>
          <w:sz w:val="22"/>
          <w:szCs w:val="22"/>
          <w:lang w:val="sr-Latn-ME" w:eastAsia="sr-Latn-ME"/>
        </w:rPr>
        <w:t>/ml ukoliko je prva doza bila 160 mg u nedjelji 0, a druga 80 mg u nedjelji 2. Kod pacijenata sa</w:t>
      </w:r>
      <w:r w:rsidRPr="00B60703">
        <w:rPr>
          <w:i/>
          <w:sz w:val="22"/>
          <w:szCs w:val="22"/>
          <w:lang w:val="sr-Latn-ME" w:eastAsia="sr-Latn-ME"/>
        </w:rPr>
        <w:t xml:space="preserve"> Crohn</w:t>
      </w:r>
      <w:r w:rsidRPr="00B60703">
        <w:rPr>
          <w:sz w:val="22"/>
          <w:szCs w:val="22"/>
          <w:lang w:val="sr-Latn-ME" w:eastAsia="sr-Latn-ME"/>
        </w:rPr>
        <w:t xml:space="preserve">-ovom bolešću koji primaju terapiju održavanja dozom od 40 mg svake druge nedjelje prosječna najniža koncentracija adalimumaba u serumu bila je oko 7 </w:t>
      </w:r>
      <w:r w:rsidRPr="00B60703">
        <w:rPr>
          <w:color w:val="000000"/>
          <w:sz w:val="22"/>
          <w:szCs w:val="22"/>
          <w:lang w:val="sr-Latn-ME" w:eastAsia="sr-Latn-ME"/>
        </w:rPr>
        <w:t>mikrograma</w:t>
      </w:r>
      <w:r w:rsidRPr="00B60703">
        <w:rPr>
          <w:sz w:val="22"/>
          <w:szCs w:val="22"/>
          <w:lang w:val="sr-Latn-ME" w:eastAsia="sr-Latn-ME"/>
        </w:rPr>
        <w:t>/ml.</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 xml:space="preserve">Kod pedijatrijskih pacijenata sa umjerenim do teškim oblikom </w:t>
      </w:r>
      <w:r w:rsidRPr="00B60703">
        <w:rPr>
          <w:i/>
          <w:sz w:val="22"/>
          <w:szCs w:val="22"/>
          <w:lang w:val="sr-Latn-ME"/>
        </w:rPr>
        <w:t>Crohn-</w:t>
      </w:r>
      <w:r w:rsidRPr="00B60703">
        <w:rPr>
          <w:sz w:val="22"/>
          <w:szCs w:val="22"/>
          <w:lang w:val="sr-Latn-ME"/>
        </w:rPr>
        <w:t xml:space="preserve">ove bolesti, indukciona doza u otvorenoj studiji bila je 160/80 mg ili 80/40 mg u nedjelji 0 i nedjelji 2, u zavisnosti od tjelesne mase (granična vrijednost od 40 kg). Nakon 4 nedjelje, pacijenti su randomizovani 1:1, da bi primali ili standardnu dozu održavanja (40/20 mg svake druge nedjelje) ili nisku dozu (20/10 mg svake druge nedjelje), na osnovu tjelesne mase, kao terapiju održavanja. Srednja vrijednost (±SD) najnižih koncentracija adalimumaba u serumu nakon 4 nedjelje bila je 15,7 ± 6,6 </w:t>
      </w:r>
      <w:r w:rsidRPr="00B60703">
        <w:rPr>
          <w:color w:val="000000"/>
          <w:sz w:val="22"/>
          <w:szCs w:val="22"/>
          <w:lang w:val="sr-Latn-ME"/>
        </w:rPr>
        <w:t>mikrograma</w:t>
      </w:r>
      <w:r w:rsidRPr="00B60703">
        <w:rPr>
          <w:sz w:val="22"/>
          <w:szCs w:val="22"/>
          <w:lang w:val="sr-Latn-ME"/>
        </w:rPr>
        <w:t xml:space="preserve">/ml kod ispitanika sa tjelesnom masom ≥40 kg (160/80 mg), i 10,6 ± 6,1 </w:t>
      </w:r>
      <w:r w:rsidRPr="00B60703">
        <w:rPr>
          <w:color w:val="000000"/>
          <w:sz w:val="22"/>
          <w:szCs w:val="22"/>
          <w:lang w:val="sr-Latn-ME"/>
        </w:rPr>
        <w:t>mikrograma</w:t>
      </w:r>
      <w:r w:rsidRPr="00B60703">
        <w:rPr>
          <w:sz w:val="22"/>
          <w:szCs w:val="22"/>
          <w:lang w:val="sr-Latn-ME"/>
        </w:rPr>
        <w:t>/ml kod ispitanika sa tjelesnom masom &lt;40 kg (80/40 mg).</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Kod ispitanika koji su ostali na svojoj randomizovanoj terapiji, srednje vrijednosti (±SD) koncentracije adalimumaba u serumu u nedjelji 52 bile su 9,5 ± 5,6 mikrograma/ml u grupi koja je primala standardnu dozu, i 3,5 ± 2,2 </w:t>
      </w:r>
      <w:r w:rsidRPr="00B60703">
        <w:rPr>
          <w:color w:val="000000"/>
          <w:sz w:val="22"/>
          <w:szCs w:val="22"/>
          <w:lang w:val="sr-Latn-ME" w:eastAsia="sr-Latn-ME"/>
        </w:rPr>
        <w:t>mikrograma</w:t>
      </w:r>
      <w:r w:rsidRPr="00B60703">
        <w:rPr>
          <w:sz w:val="22"/>
          <w:szCs w:val="22"/>
          <w:lang w:val="sr-Latn-ME" w:eastAsia="sr-Latn-ME"/>
        </w:rPr>
        <w:t xml:space="preserve">/ml u grupi koja je primala nisku dozu. Prosječne koncentracije su održane kod pacijenata koji su nastavili da primaju adalimumab terapiju svake druge nedjelje tokom 52 nedjelje. Kod ispitanika kod kojih je doza povećana sa svake dvije nedjelje na svaku nedjelju, srednje vrijednosti (±SD) koncentracija adalimumaba u serumu u nedjelji 52 bile su 15,3 ± 11,4 </w:t>
      </w:r>
      <w:r w:rsidRPr="00B60703">
        <w:rPr>
          <w:color w:val="000000"/>
          <w:sz w:val="22"/>
          <w:szCs w:val="22"/>
          <w:lang w:val="sr-Latn-ME" w:eastAsia="sr-Latn-ME"/>
        </w:rPr>
        <w:t>mikrograma</w:t>
      </w:r>
      <w:r w:rsidRPr="00B60703">
        <w:rPr>
          <w:sz w:val="22"/>
          <w:szCs w:val="22"/>
          <w:lang w:val="sr-Latn-ME" w:eastAsia="sr-Latn-ME"/>
        </w:rPr>
        <w:t xml:space="preserve">/ml (40/20 mg nedjeljno) i 6,7 ± 3,5 </w:t>
      </w:r>
      <w:r w:rsidRPr="00B60703">
        <w:rPr>
          <w:color w:val="000000"/>
          <w:sz w:val="22"/>
          <w:szCs w:val="22"/>
          <w:lang w:val="sr-Latn-ME" w:eastAsia="sr-Latn-ME"/>
        </w:rPr>
        <w:t>mikrograma</w:t>
      </w:r>
      <w:r w:rsidRPr="00B60703">
        <w:rPr>
          <w:sz w:val="22"/>
          <w:szCs w:val="22"/>
          <w:lang w:val="sr-Latn-ME" w:eastAsia="sr-Latn-ME"/>
        </w:rPr>
        <w:t>/ml (20/10 mg nedjeljno).</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szCs w:val="22"/>
          <w:lang w:val="sr-Latn-ME" w:eastAsia="sr-Latn-ME"/>
        </w:rPr>
        <w:t xml:space="preserve">Tokom perioda indukcije kod pacijenata sa ulceroznim kolitisom nakon početne doze adalimumaba od 160 mg  u nedjelji 0 i druge doze od 80 mg nakon dvije nedjelje postignute su najniže serumske koncentracije adalimumaba od oko 12 </w:t>
      </w:r>
      <w:r w:rsidRPr="00B60703">
        <w:rPr>
          <w:color w:val="000000"/>
          <w:sz w:val="22"/>
          <w:szCs w:val="22"/>
          <w:lang w:val="sr-Latn-ME" w:eastAsia="sr-Latn-ME"/>
        </w:rPr>
        <w:t>mikrograma</w:t>
      </w:r>
      <w:r w:rsidRPr="00B60703">
        <w:rPr>
          <w:sz w:val="22"/>
          <w:szCs w:val="22"/>
          <w:lang w:val="sr-Latn-ME" w:eastAsia="sr-Latn-ME"/>
        </w:rPr>
        <w:t xml:space="preserve">/ml. Kod pacijenata sa ulceroznim kolitisom koji su primali terapiju održavanja dozom od 40 mg svake druge nedjelje, srednja vrijednost najniže koncentracije adalimumaba u serumu u stanju dinamičke ravnoteže iznosila je oko 8 </w:t>
      </w:r>
      <w:r w:rsidRPr="00B60703">
        <w:rPr>
          <w:color w:val="000000"/>
          <w:sz w:val="22"/>
          <w:szCs w:val="22"/>
          <w:lang w:val="sr-Latn-ME" w:eastAsia="sr-Latn-ME"/>
        </w:rPr>
        <w:t>mikrograma</w:t>
      </w:r>
      <w:r w:rsidRPr="00B60703">
        <w:rPr>
          <w:sz w:val="22"/>
          <w:szCs w:val="22"/>
          <w:lang w:val="sr-Latn-ME" w:eastAsia="sr-Latn-ME"/>
        </w:rPr>
        <w:t>/ml.</w:t>
      </w:r>
      <w:r w:rsidRPr="00B60703">
        <w:rPr>
          <w:sz w:val="22"/>
          <w:lang w:val="sr-Latn-ME" w:eastAsia="sr-Latn-ME"/>
        </w:rPr>
        <w:t xml:space="preserve"> </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s>
        <w:autoSpaceDE w:val="0"/>
        <w:autoSpaceDN w:val="0"/>
        <w:adjustRightInd w:val="0"/>
        <w:jc w:val="both"/>
        <w:rPr>
          <w:color w:val="000000"/>
          <w:sz w:val="22"/>
          <w:szCs w:val="22"/>
          <w:lang w:val="sr-Latn-ME"/>
        </w:rPr>
      </w:pPr>
      <w:r w:rsidRPr="00B60703">
        <w:rPr>
          <w:sz w:val="22"/>
          <w:szCs w:val="22"/>
          <w:lang w:val="sr-Latn-ME"/>
        </w:rPr>
        <w:t xml:space="preserve">Kod odraslih pacijenata sa uveitisom, inicijalna doza adalimumaba od 80 mg u nedjelji 0 nakon </w:t>
      </w:r>
      <w:r w:rsidRPr="00B60703">
        <w:rPr>
          <w:rFonts w:eastAsia="TimesNewRomanPSMT"/>
          <w:sz w:val="22"/>
          <w:szCs w:val="22"/>
          <w:lang w:val="sr-Latn-ME"/>
        </w:rPr>
        <w:t xml:space="preserve">čega </w:t>
      </w:r>
      <w:r w:rsidRPr="00B60703">
        <w:rPr>
          <w:sz w:val="22"/>
          <w:szCs w:val="22"/>
          <w:lang w:val="sr-Latn-ME"/>
        </w:rPr>
        <w:t xml:space="preserve">slijedi 40 </w:t>
      </w:r>
      <w:r w:rsidRPr="00B60703">
        <w:rPr>
          <w:rFonts w:eastAsia="TimesNewRomanPSMT"/>
          <w:sz w:val="22"/>
          <w:szCs w:val="22"/>
          <w:lang w:val="sr-Latn-ME"/>
        </w:rPr>
        <w:t xml:space="preserve">mg svake druge nedjelje, počevši od </w:t>
      </w:r>
      <w:r w:rsidRPr="00B60703">
        <w:rPr>
          <w:sz w:val="22"/>
          <w:szCs w:val="22"/>
          <w:lang w:val="sr-Latn-ME"/>
        </w:rPr>
        <w:t xml:space="preserve">nedjelje 1, dovela je do srednje vrijednosti koncentracija u stanju </w:t>
      </w:r>
      <w:r w:rsidRPr="00B60703">
        <w:rPr>
          <w:rFonts w:eastAsia="TimesNewRomanPSMT"/>
          <w:sz w:val="22"/>
          <w:szCs w:val="22"/>
          <w:lang w:val="sr-Latn-ME"/>
        </w:rPr>
        <w:t xml:space="preserve">dinamičke ravnoteže od približno 8 </w:t>
      </w:r>
      <w:r w:rsidRPr="00B60703">
        <w:rPr>
          <w:sz w:val="22"/>
          <w:szCs w:val="22"/>
          <w:lang w:val="sr-Latn-ME"/>
        </w:rPr>
        <w:t xml:space="preserve">do 10 </w:t>
      </w:r>
      <w:r w:rsidRPr="00B60703">
        <w:rPr>
          <w:color w:val="000000"/>
          <w:sz w:val="22"/>
          <w:szCs w:val="22"/>
          <w:lang w:val="sr-Latn-ME"/>
        </w:rPr>
        <w:t>mikrograma</w:t>
      </w:r>
      <w:r w:rsidRPr="00B60703">
        <w:rPr>
          <w:sz w:val="22"/>
          <w:szCs w:val="22"/>
          <w:lang w:val="sr-Latn-ME"/>
        </w:rPr>
        <w:t>/ml.</w:t>
      </w:r>
    </w:p>
    <w:p w:rsidR="005B62E2" w:rsidRPr="00B60703" w:rsidRDefault="005B62E2">
      <w:pPr>
        <w:tabs>
          <w:tab w:val="left" w:pos="708"/>
          <w:tab w:val="center" w:pos="4536"/>
          <w:tab w:val="right" w:pos="9072"/>
        </w:tabs>
        <w:snapToGrid w:val="0"/>
        <w:spacing w:after="80"/>
        <w:jc w:val="both"/>
        <w:rPr>
          <w:sz w:val="22"/>
          <w:lang w:val="sr-Latn-ME" w:eastAsia="sr-Latn-ME"/>
        </w:rPr>
      </w:pPr>
    </w:p>
    <w:p w:rsidR="005B62E2" w:rsidRPr="00B60703" w:rsidRDefault="00F03789">
      <w:pPr>
        <w:tabs>
          <w:tab w:val="left" w:pos="708"/>
        </w:tabs>
        <w:autoSpaceDE w:val="0"/>
        <w:autoSpaceDN w:val="0"/>
        <w:adjustRightInd w:val="0"/>
        <w:jc w:val="both"/>
        <w:rPr>
          <w:sz w:val="22"/>
          <w:szCs w:val="22"/>
          <w:lang w:val="sr-Latn-ME"/>
        </w:rPr>
      </w:pPr>
      <w:r w:rsidRPr="00B60703">
        <w:rPr>
          <w:sz w:val="22"/>
          <w:szCs w:val="22"/>
          <w:lang w:val="sr-Latn-ME"/>
        </w:rPr>
        <w:t xml:space="preserve">Izloženost adalimumabu kod pedijatrijskih pacijenata sa uveitisom predviđena je uz pomoć populacionog farmakokinetičkog modelovanja i simulacije na osnovu farmakokinetike u ostalim indikacijama kod drugih pedijatrijskih pacijenata (psorijaza kod djece, juvenilni idiopatski artritis, </w:t>
      </w:r>
      <w:r w:rsidRPr="00B60703">
        <w:rPr>
          <w:i/>
          <w:sz w:val="22"/>
          <w:szCs w:val="22"/>
          <w:lang w:val="sr-Latn-ME"/>
        </w:rPr>
        <w:t>Crohn</w:t>
      </w:r>
      <w:r w:rsidRPr="00B60703">
        <w:rPr>
          <w:sz w:val="22"/>
          <w:szCs w:val="22"/>
          <w:lang w:val="sr-Latn-ME"/>
        </w:rPr>
        <w:t>-ova bolest kod djece i artritis povezan sa entezitisom). Nema dostupnih kliničkih podataka o izloženosti kod primjene inicijalne doze kod djece uzrasta ispod 6 godina. Predviđene izloženosti ukazuju na to da u odsutnosti metotreksata inicijalna doza može dovesti do početnog povećanja sistemske izloženosti.</w:t>
      </w:r>
    </w:p>
    <w:p w:rsidR="005B62E2" w:rsidRPr="00B60703" w:rsidRDefault="005B62E2">
      <w:pPr>
        <w:tabs>
          <w:tab w:val="left" w:pos="708"/>
          <w:tab w:val="center" w:pos="4536"/>
          <w:tab w:val="right" w:pos="9072"/>
        </w:tabs>
        <w:snapToGrid w:val="0"/>
        <w:jc w:val="both"/>
        <w:rPr>
          <w:sz w:val="22"/>
          <w:u w:val="single"/>
          <w:lang w:val="sr-Latn-ME" w:eastAsia="sr-Latn-ME"/>
        </w:rPr>
      </w:pPr>
      <w:bookmarkStart w:id="6" w:name="_Hlk508271079"/>
    </w:p>
    <w:p w:rsidR="005B62E2" w:rsidRPr="00B60703" w:rsidRDefault="00F03789">
      <w:pPr>
        <w:tabs>
          <w:tab w:val="left" w:pos="708"/>
          <w:tab w:val="center" w:pos="4536"/>
          <w:tab w:val="right" w:pos="9072"/>
        </w:tabs>
        <w:snapToGrid w:val="0"/>
        <w:ind w:right="9"/>
        <w:jc w:val="both"/>
        <w:rPr>
          <w:sz w:val="22"/>
          <w:lang w:val="sr-Latn-ME" w:eastAsia="sr-Latn-ME"/>
        </w:rPr>
      </w:pPr>
      <w:bookmarkStart w:id="7" w:name="_Hlk523393623"/>
      <w:r w:rsidRPr="00B60703">
        <w:rPr>
          <w:sz w:val="22"/>
          <w:szCs w:val="22"/>
          <w:lang w:val="sr-Latn-ME" w:eastAsia="sr-Latn-ME"/>
        </w:rPr>
        <w:t xml:space="preserve">Populacionim farmakokinetičkim i farmakokinetičkim/farmakodinamičkim modelovanjem i simulacijom predviđena je uporediva izloženost adalimumabu i efikasnost kod pacijenata liječenih adalimumabom u dozi od 80 mg svake druge nedjelje i onih koji su liječeni dozom od 40 mg svake nedjelje (uključujući odrasle pacijente sa reumatoidnim artritisom, gnojnim zapaljenjem znojnih žlijezda, ulceroznim kolitisom, </w:t>
      </w:r>
      <w:r w:rsidRPr="00B60703">
        <w:rPr>
          <w:i/>
          <w:sz w:val="22"/>
          <w:szCs w:val="22"/>
          <w:lang w:val="sr-Latn-ME" w:eastAsia="sr-Latn-ME"/>
        </w:rPr>
        <w:t>Crohn</w:t>
      </w:r>
      <w:r w:rsidRPr="00B60703">
        <w:rPr>
          <w:sz w:val="22"/>
          <w:szCs w:val="22"/>
          <w:lang w:val="sr-Latn-ME" w:eastAsia="sr-Latn-ME"/>
        </w:rPr>
        <w:t xml:space="preserve">-ovom bolešću ili psorijazom, pacijente sa adolescentnim gnojnim zapaljenjem znojnih žlijezda i pedijatrijske pacijente ≥40 kg sa </w:t>
      </w:r>
      <w:r w:rsidRPr="00B60703">
        <w:rPr>
          <w:i/>
          <w:sz w:val="22"/>
          <w:szCs w:val="22"/>
          <w:lang w:val="sr-Latn-ME" w:eastAsia="sr-Latn-ME"/>
        </w:rPr>
        <w:t>Crohn</w:t>
      </w:r>
      <w:r w:rsidRPr="00B60703">
        <w:rPr>
          <w:sz w:val="22"/>
          <w:szCs w:val="22"/>
          <w:lang w:val="sr-Latn-ME" w:eastAsia="sr-Latn-ME"/>
        </w:rPr>
        <w:t>-ovom bolešću).</w:t>
      </w:r>
    </w:p>
    <w:bookmarkEnd w:id="7"/>
    <w:p w:rsidR="005B62E2" w:rsidRPr="00B60703" w:rsidRDefault="005B62E2">
      <w:pPr>
        <w:tabs>
          <w:tab w:val="left" w:pos="708"/>
          <w:tab w:val="center" w:pos="4536"/>
          <w:tab w:val="right" w:pos="9072"/>
        </w:tabs>
        <w:snapToGrid w:val="0"/>
        <w:jc w:val="both"/>
        <w:rPr>
          <w:sz w:val="22"/>
          <w:u w:val="single"/>
          <w:lang w:val="sr-Latn-ME" w:eastAsia="sr-Latn-ME"/>
        </w:rPr>
      </w:pPr>
    </w:p>
    <w:p w:rsidR="005B62E2" w:rsidRPr="00B60703" w:rsidRDefault="00F03789">
      <w:pPr>
        <w:tabs>
          <w:tab w:val="left" w:pos="708"/>
          <w:tab w:val="center" w:pos="4536"/>
          <w:tab w:val="right" w:pos="9072"/>
        </w:tabs>
        <w:snapToGrid w:val="0"/>
        <w:jc w:val="both"/>
        <w:rPr>
          <w:sz w:val="22"/>
          <w:u w:val="single"/>
          <w:lang w:val="sr-Latn-ME" w:eastAsia="sr-Latn-ME"/>
        </w:rPr>
      </w:pPr>
      <w:r w:rsidRPr="00B60703">
        <w:rPr>
          <w:sz w:val="22"/>
          <w:u w:val="single"/>
          <w:lang w:val="sr-Latn-ME" w:eastAsia="sr-Latn-ME"/>
        </w:rPr>
        <w:t>Veza između izloženosti i odgovora na liječenje u pedijatrijskoj populaciji</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lang w:val="sr-Latn-ME" w:eastAsia="sr-Latn-ME"/>
        </w:rPr>
        <w:t>Na osnovu podataka iz kliničkih ispitivanja kod pacijenata sa juvenilnim idiopatskim artritisom (poliartikularnim juvenilnim idiopatskim artritisom i artritisom povezanim sa entezitisom), utvrđena je veza između plazmatskih koncentracija i PedACR 50 odgovora.  Prividna plazmatska koncentracija adalimumaba uz koju se postiže polovina maksimalne vjerovatnoće postizanja PedACR 50 odgovora (EC50) bila je 3 mikrograma/ml (95% CI: 1-6 mikrograma/ml).</w:t>
      </w:r>
    </w:p>
    <w:p w:rsidR="005B62E2" w:rsidRPr="00B60703" w:rsidRDefault="005B62E2">
      <w:pPr>
        <w:tabs>
          <w:tab w:val="left" w:pos="708"/>
          <w:tab w:val="center" w:pos="4536"/>
          <w:tab w:val="right" w:pos="9072"/>
        </w:tabs>
        <w:snapToGrid w:val="0"/>
        <w:jc w:val="both"/>
        <w:rPr>
          <w:sz w:val="22"/>
          <w:lang w:val="sr-Latn-ME" w:eastAsia="sr-Latn-ME"/>
        </w:rPr>
      </w:pPr>
    </w:p>
    <w:p w:rsidR="005B62E2" w:rsidRPr="00B60703" w:rsidRDefault="00F03789">
      <w:pPr>
        <w:tabs>
          <w:tab w:val="left" w:pos="708"/>
          <w:tab w:val="center" w:pos="4536"/>
          <w:tab w:val="right" w:pos="9072"/>
        </w:tabs>
        <w:snapToGrid w:val="0"/>
        <w:jc w:val="both"/>
        <w:rPr>
          <w:sz w:val="22"/>
          <w:lang w:val="sr-Latn-ME" w:eastAsia="sr-Latn-ME"/>
        </w:rPr>
      </w:pPr>
      <w:r w:rsidRPr="00B60703">
        <w:rPr>
          <w:sz w:val="22"/>
          <w:lang w:val="sr-Latn-ME" w:eastAsia="sr-Latn-ME"/>
        </w:rPr>
        <w:lastRenderedPageBreak/>
        <w:t>Veza između izloženosti i odgovora na liječenje, odnosno između koncentracije adalimumaba i njegove efikasnosti kod pedijatrijskih pacijenata sa teškim oblikom hronične plak psorijaze utvrđena je za PASI 75 odgovor i PGA rezultat “bez bolestiˮ ili “minimalnoˮ. Sa povećanjem koncentracija adalimumaba povećavale su se i stope odgovora PASI 75 i PGA rezultata “bez bolestiˮ ili “minimalnoˮ, u oba slučaja uz prividan EC50 od približno 4,5 mikrograma/ml (95% CI: 0,4-47,6 odnosno 1,9-10,5).</w:t>
      </w:r>
    </w:p>
    <w:bookmarkEnd w:id="6"/>
    <w:p w:rsidR="005B62E2" w:rsidRPr="00B60703" w:rsidRDefault="005B62E2">
      <w:pPr>
        <w:tabs>
          <w:tab w:val="left" w:pos="708"/>
          <w:tab w:val="center" w:pos="4536"/>
          <w:tab w:val="right" w:pos="9072"/>
        </w:tabs>
        <w:snapToGrid w:val="0"/>
        <w:spacing w:after="80"/>
        <w:jc w:val="both"/>
        <w:rPr>
          <w:sz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Eliminacija</w:t>
      </w:r>
    </w:p>
    <w:p w:rsidR="005B62E2" w:rsidRPr="00B60703" w:rsidRDefault="005B62E2">
      <w:pPr>
        <w:tabs>
          <w:tab w:val="left" w:pos="708"/>
          <w:tab w:val="center" w:pos="4536"/>
          <w:tab w:val="right" w:pos="9072"/>
        </w:tabs>
        <w:snapToGrid w:val="0"/>
        <w:jc w:val="both"/>
        <w:rPr>
          <w:sz w:val="22"/>
          <w:szCs w:val="22"/>
          <w:u w:val="single"/>
          <w:lang w:val="sr-Latn-ME" w:eastAsia="sr-Latn-ME"/>
        </w:rPr>
      </w:pPr>
    </w:p>
    <w:p w:rsidR="005B62E2" w:rsidRPr="00B60703" w:rsidRDefault="00F03789">
      <w:pPr>
        <w:tabs>
          <w:tab w:val="left" w:pos="708"/>
          <w:tab w:val="center" w:pos="4536"/>
          <w:tab w:val="right" w:pos="9072"/>
        </w:tabs>
        <w:snapToGrid w:val="0"/>
        <w:jc w:val="both"/>
        <w:rPr>
          <w:sz w:val="22"/>
          <w:szCs w:val="22"/>
          <w:lang w:val="sr-Latn-ME" w:eastAsia="sr-Latn-ME"/>
        </w:rPr>
      </w:pPr>
      <w:r w:rsidRPr="00B60703">
        <w:rPr>
          <w:sz w:val="22"/>
          <w:szCs w:val="22"/>
          <w:lang w:val="sr-Latn-ME" w:eastAsia="sr-Latn-ME"/>
        </w:rPr>
        <w:t xml:space="preserve">Populacione farmakokinetičke analize na osnovu podataka dobijenih kod više od 1300 pacijenata sa reumatoidnim artritisom pokazale su tendenciju da se prividni klirens adalimumaba povećava sa tjelesnom masom pacijenta. Nakon prilagođavanja doze prema tjelesnoj masi, čini se da pol i starost pacijenata imaju minimalno dejstvo na klirens adalimumaba. Primijećeno je da su koncentracije slobodnog adalimumaba u serumu (onog koji nije vezan za antitijela na adalimumab) niže kod pacijenata sa mjerljivim koncentracijama antitijela na adalimumab. </w:t>
      </w:r>
    </w:p>
    <w:p w:rsidR="005B62E2" w:rsidRPr="00B60703" w:rsidRDefault="005B62E2">
      <w:pPr>
        <w:tabs>
          <w:tab w:val="left" w:pos="708"/>
          <w:tab w:val="center" w:pos="4536"/>
          <w:tab w:val="right" w:pos="9072"/>
        </w:tabs>
        <w:snapToGrid w:val="0"/>
        <w:jc w:val="both"/>
        <w:rPr>
          <w:sz w:val="22"/>
          <w:szCs w:val="22"/>
          <w:lang w:val="sr-Latn-ME" w:eastAsia="sr-Latn-ME"/>
        </w:rPr>
      </w:pPr>
    </w:p>
    <w:p w:rsidR="005B62E2" w:rsidRPr="00B60703" w:rsidRDefault="00F03789">
      <w:pPr>
        <w:tabs>
          <w:tab w:val="left" w:pos="708"/>
          <w:tab w:val="center" w:pos="4536"/>
          <w:tab w:val="right" w:pos="9072"/>
        </w:tabs>
        <w:snapToGrid w:val="0"/>
        <w:jc w:val="both"/>
        <w:rPr>
          <w:sz w:val="22"/>
          <w:szCs w:val="22"/>
          <w:u w:val="single"/>
          <w:lang w:val="sr-Latn-ME" w:eastAsia="sr-Latn-ME"/>
        </w:rPr>
      </w:pPr>
      <w:r w:rsidRPr="00B60703">
        <w:rPr>
          <w:sz w:val="22"/>
          <w:szCs w:val="22"/>
          <w:u w:val="single"/>
          <w:lang w:val="sr-Latn-ME" w:eastAsia="sr-Latn-ME"/>
        </w:rPr>
        <w:t>Oštećenje funkcije jetre ili bubrega</w:t>
      </w:r>
    </w:p>
    <w:p w:rsidR="005B62E2" w:rsidRPr="00B60703" w:rsidRDefault="005B62E2">
      <w:pPr>
        <w:tabs>
          <w:tab w:val="left" w:pos="708"/>
          <w:tab w:val="center" w:pos="4536"/>
          <w:tab w:val="right" w:pos="9072"/>
        </w:tabs>
        <w:snapToGrid w:val="0"/>
        <w:spacing w:after="80"/>
        <w:jc w:val="both"/>
        <w:rPr>
          <w:sz w:val="22"/>
          <w:szCs w:val="22"/>
          <w:u w:val="single"/>
          <w:lang w:val="sr-Latn-ME" w:eastAsia="sr-Latn-ME"/>
        </w:rPr>
      </w:pPr>
    </w:p>
    <w:p w:rsidR="005B62E2" w:rsidRPr="00B60703" w:rsidRDefault="00F03789">
      <w:pPr>
        <w:tabs>
          <w:tab w:val="left" w:pos="708"/>
          <w:tab w:val="center" w:pos="4536"/>
          <w:tab w:val="right" w:pos="9072"/>
        </w:tabs>
        <w:snapToGrid w:val="0"/>
        <w:spacing w:before="80" w:after="80"/>
        <w:jc w:val="both"/>
        <w:rPr>
          <w:sz w:val="22"/>
          <w:lang w:val="sr-Latn-ME" w:eastAsia="sr-Latn-ME"/>
        </w:rPr>
      </w:pPr>
      <w:r w:rsidRPr="00B60703">
        <w:rPr>
          <w:sz w:val="22"/>
          <w:szCs w:val="22"/>
          <w:lang w:val="sr-Latn-ME" w:eastAsia="sr-Latn-ME"/>
        </w:rPr>
        <w:t>Adalimumab nije ispitivan kod pacijenata sa oštećenjem funkcije jetre ili bubrega.</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5.3. </w:t>
      </w:r>
      <w:r w:rsidRPr="00B60703">
        <w:rPr>
          <w:b/>
          <w:bCs/>
          <w:sz w:val="22"/>
          <w:szCs w:val="22"/>
          <w:lang w:val="sr-Latn-ME"/>
        </w:rPr>
        <w:tab/>
        <w:t xml:space="preserve">Pretklinički podaci o bezbjednosti </w:t>
      </w:r>
    </w:p>
    <w:p w:rsidR="005B62E2" w:rsidRPr="00B60703" w:rsidRDefault="005B62E2">
      <w:pPr>
        <w:tabs>
          <w:tab w:val="left" w:pos="540"/>
          <w:tab w:val="left" w:pos="569"/>
        </w:tabs>
        <w:rPr>
          <w:bCs/>
          <w:sz w:val="22"/>
          <w:szCs w:val="22"/>
          <w:lang w:val="sr-Latn-ME"/>
        </w:rPr>
      </w:pPr>
    </w:p>
    <w:p w:rsidR="005B62E2" w:rsidRPr="00B60703" w:rsidRDefault="00F03789">
      <w:pPr>
        <w:tabs>
          <w:tab w:val="left" w:pos="708"/>
          <w:tab w:val="center" w:pos="4536"/>
          <w:tab w:val="right" w:pos="9072"/>
        </w:tabs>
        <w:snapToGrid w:val="0"/>
        <w:spacing w:after="80"/>
        <w:jc w:val="both"/>
        <w:rPr>
          <w:sz w:val="22"/>
          <w:lang w:val="sr-Latn-ME"/>
        </w:rPr>
      </w:pPr>
      <w:r w:rsidRPr="00B60703">
        <w:rPr>
          <w:sz w:val="22"/>
          <w:szCs w:val="22"/>
          <w:lang w:val="sr-Latn-ME" w:eastAsia="sr-Latn-ME"/>
        </w:rPr>
        <w:t xml:space="preserve">Pretklinički podaci otkrivaju da ne postoji poseban rizik za ljude na osnovu studija toksičnosti pojedinačne doze, toksičnosti ponavljane doze i genotoksičnosti. </w:t>
      </w:r>
    </w:p>
    <w:p w:rsidR="005B62E2" w:rsidRPr="00B60703" w:rsidRDefault="005B62E2">
      <w:pPr>
        <w:tabs>
          <w:tab w:val="left" w:pos="284"/>
          <w:tab w:val="center" w:pos="4536"/>
          <w:tab w:val="right" w:pos="9072"/>
        </w:tabs>
        <w:jc w:val="both"/>
        <w:rPr>
          <w:sz w:val="22"/>
          <w:szCs w:val="22"/>
          <w:lang w:val="sr-Latn-ME" w:eastAsia="sr-Latn-ME"/>
        </w:rPr>
      </w:pPr>
    </w:p>
    <w:p w:rsidR="005B62E2" w:rsidRPr="00B60703" w:rsidRDefault="00F03789">
      <w:pPr>
        <w:tabs>
          <w:tab w:val="left" w:pos="284"/>
        </w:tabs>
        <w:jc w:val="both"/>
        <w:rPr>
          <w:sz w:val="22"/>
          <w:szCs w:val="22"/>
          <w:lang w:val="sr-Latn-ME"/>
        </w:rPr>
      </w:pPr>
      <w:r w:rsidRPr="00B60703">
        <w:rPr>
          <w:sz w:val="22"/>
          <w:szCs w:val="22"/>
          <w:lang w:val="sr-Latn-ME"/>
        </w:rPr>
        <w:t>Studije embrio-fetalne razvojne toksičnosti/razvojne perinatalne studije su obavljene na makaki majmunima sa 0, 30 i 100 mg/kg (9-17 majmuna/grupa) i ukazuju da ne postoje dokazi o štetnosti adalimumaba za fetus. Studije karcinogenosti i sve standardne procjene postnatalne toksičnosti i toksičnosti na reproduktivni sistem nisu obavljene sa adalimumabom, usljed nedostatka odgovarajućeg modela za antitijela sa ograničenom ukrštenom reaktivnošću sa TNF-om glodara, i razvoju neutrališućih antitijela glodara.</w:t>
      </w:r>
    </w:p>
    <w:p w:rsidR="005B62E2" w:rsidRPr="00B60703" w:rsidRDefault="005B62E2">
      <w:pPr>
        <w:tabs>
          <w:tab w:val="left" w:pos="540"/>
          <w:tab w:val="left" w:pos="569"/>
        </w:tabs>
        <w:rPr>
          <w:b/>
          <w:bCs/>
          <w:sz w:val="22"/>
          <w:szCs w:val="22"/>
          <w:lang w:val="sr-Latn-ME"/>
        </w:rPr>
      </w:pP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 </w:t>
      </w:r>
      <w:r w:rsidRPr="00B60703">
        <w:rPr>
          <w:b/>
          <w:bCs/>
          <w:sz w:val="22"/>
          <w:szCs w:val="22"/>
          <w:lang w:val="sr-Latn-ME"/>
        </w:rPr>
        <w:tab/>
        <w:t>FARMACEUTSKI PODACI</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6.1. </w:t>
      </w:r>
      <w:r w:rsidRPr="00B60703">
        <w:rPr>
          <w:b/>
          <w:bCs/>
          <w:sz w:val="22"/>
          <w:szCs w:val="22"/>
          <w:lang w:val="sr-Latn-ME"/>
        </w:rPr>
        <w:tab/>
        <w:t>Lista pomoćnih supstanci (ekscipijenasa)</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adipinska kisjelina</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limunska kisjelina, monohidrat</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natrijum hlorid</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manitol</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polisorbat 80</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hlorovodonična kisjelina (za podešavanje pH)</w:t>
      </w:r>
    </w:p>
    <w:p w:rsidR="005B62E2" w:rsidRPr="00B60703" w:rsidRDefault="00F03789">
      <w:pPr>
        <w:tabs>
          <w:tab w:val="left" w:pos="708"/>
        </w:tabs>
        <w:rPr>
          <w:rFonts w:eastAsia="Calibri"/>
          <w:sz w:val="22"/>
          <w:szCs w:val="22"/>
          <w:lang w:val="sr-Latn-ME"/>
        </w:rPr>
      </w:pPr>
      <w:r w:rsidRPr="00B60703">
        <w:rPr>
          <w:rFonts w:eastAsia="Calibri"/>
          <w:sz w:val="22"/>
          <w:szCs w:val="22"/>
          <w:lang w:val="sr-Latn-ME"/>
        </w:rPr>
        <w:t>natrijum hidroksid (za podešavanje pH)</w:t>
      </w:r>
    </w:p>
    <w:p w:rsidR="005B62E2" w:rsidRPr="00B60703" w:rsidRDefault="00F03789">
      <w:pPr>
        <w:tabs>
          <w:tab w:val="left" w:pos="540"/>
          <w:tab w:val="left" w:pos="569"/>
        </w:tabs>
        <w:rPr>
          <w:rFonts w:eastAsia="Calibri"/>
          <w:sz w:val="22"/>
          <w:szCs w:val="22"/>
          <w:lang w:val="sr-Latn-ME"/>
        </w:rPr>
      </w:pPr>
      <w:r w:rsidRPr="00B60703">
        <w:rPr>
          <w:rFonts w:eastAsia="Calibri"/>
          <w:sz w:val="22"/>
          <w:szCs w:val="22"/>
          <w:lang w:val="sr-Latn-ME"/>
        </w:rPr>
        <w:t>voda za injekcije</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6.2. </w:t>
      </w:r>
      <w:r w:rsidRPr="00B60703">
        <w:rPr>
          <w:b/>
          <w:bCs/>
          <w:sz w:val="22"/>
          <w:szCs w:val="22"/>
          <w:lang w:val="sr-Latn-ME"/>
        </w:rPr>
        <w:tab/>
        <w:t>Inkompatibilnosti</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284"/>
        </w:tabs>
        <w:jc w:val="both"/>
        <w:rPr>
          <w:sz w:val="22"/>
          <w:szCs w:val="22"/>
          <w:lang w:val="sr-Latn-ME"/>
        </w:rPr>
      </w:pPr>
      <w:r w:rsidRPr="00B60703">
        <w:rPr>
          <w:sz w:val="22"/>
          <w:lang w:val="sr-Latn-ME"/>
        </w:rPr>
        <w:t>U odsustvu ispitivanja kompatibilnosti, ovaj lijek se ne smije miješati sa drugim ljekovima</w:t>
      </w:r>
      <w:r w:rsidRPr="00B60703">
        <w:rPr>
          <w:sz w:val="22"/>
          <w:szCs w:val="22"/>
          <w:lang w:val="sr-Latn-ME"/>
        </w:rPr>
        <w:t>.</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6.3. </w:t>
      </w:r>
      <w:r w:rsidRPr="00B60703">
        <w:rPr>
          <w:b/>
          <w:bCs/>
          <w:sz w:val="22"/>
          <w:szCs w:val="22"/>
          <w:lang w:val="sr-Latn-ME"/>
        </w:rPr>
        <w:tab/>
        <w:t>Rok upotrebe</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rPr>
          <w:sz w:val="22"/>
          <w:szCs w:val="22"/>
          <w:lang w:val="sr-Latn-ME"/>
        </w:rPr>
      </w:pPr>
      <w:r w:rsidRPr="00B60703">
        <w:rPr>
          <w:sz w:val="22"/>
          <w:szCs w:val="22"/>
          <w:lang w:val="sr-Latn-ME"/>
        </w:rPr>
        <w:t>30 mjeseci.</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6.4. </w:t>
      </w:r>
      <w:r w:rsidRPr="00B60703">
        <w:rPr>
          <w:b/>
          <w:bCs/>
          <w:sz w:val="22"/>
          <w:szCs w:val="22"/>
          <w:lang w:val="sr-Latn-ME"/>
        </w:rPr>
        <w:tab/>
        <w:t>Posebne mjere upozorenja pri čuvanju lijeka</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284"/>
          <w:tab w:val="center" w:pos="4536"/>
          <w:tab w:val="right" w:pos="9072"/>
        </w:tabs>
        <w:ind w:right="9"/>
        <w:jc w:val="both"/>
        <w:rPr>
          <w:sz w:val="22"/>
          <w:lang w:val="sr-Latn-ME"/>
        </w:rPr>
      </w:pPr>
      <w:r w:rsidRPr="00B60703">
        <w:rPr>
          <w:sz w:val="22"/>
          <w:lang w:val="sr-Latn-ME"/>
        </w:rPr>
        <w:t xml:space="preserve">Lijek čuvati u frižideru (na temperaturi od 2°C do 8°C). Ne zamrzavati. </w:t>
      </w:r>
    </w:p>
    <w:p w:rsidR="005B62E2" w:rsidRPr="00B60703" w:rsidRDefault="00F03789">
      <w:pPr>
        <w:tabs>
          <w:tab w:val="left" w:pos="284"/>
        </w:tabs>
        <w:ind w:right="9"/>
        <w:jc w:val="both"/>
        <w:rPr>
          <w:sz w:val="22"/>
          <w:lang w:val="sr-Latn-ME"/>
        </w:rPr>
      </w:pPr>
      <w:r w:rsidRPr="00B60703">
        <w:rPr>
          <w:sz w:val="22"/>
          <w:lang w:val="sr-Latn-ME"/>
        </w:rPr>
        <w:lastRenderedPageBreak/>
        <w:t xml:space="preserve">Čuvati u originalnom pakovanju radi zaštite od svjetlosti. </w:t>
      </w:r>
    </w:p>
    <w:p w:rsidR="005B62E2" w:rsidRPr="00B60703" w:rsidRDefault="005B62E2">
      <w:pPr>
        <w:tabs>
          <w:tab w:val="left" w:pos="284"/>
        </w:tabs>
        <w:ind w:right="9"/>
        <w:jc w:val="both"/>
        <w:rPr>
          <w:sz w:val="22"/>
          <w:lang w:val="sr-Latn-ME"/>
        </w:rPr>
      </w:pPr>
    </w:p>
    <w:p w:rsidR="005B62E2" w:rsidRPr="00B60703" w:rsidRDefault="00F03789">
      <w:pPr>
        <w:tabs>
          <w:tab w:val="left" w:pos="284"/>
          <w:tab w:val="center" w:pos="4536"/>
          <w:tab w:val="right" w:pos="9072"/>
        </w:tabs>
        <w:jc w:val="both"/>
        <w:rPr>
          <w:sz w:val="22"/>
          <w:szCs w:val="22"/>
          <w:lang w:val="sr-Latn-ME" w:eastAsia="sr-Latn-ME"/>
        </w:rPr>
      </w:pPr>
      <w:r w:rsidRPr="00B60703">
        <w:rPr>
          <w:sz w:val="22"/>
          <w:szCs w:val="22"/>
          <w:lang w:val="sr-Latn-ME" w:eastAsia="sr-Latn-ME"/>
        </w:rPr>
        <w:t xml:space="preserve">Lijek se može čuvati van frižidera, na temperaturi do 25°C tokom perioda do najviše 21 dan, zaštićen od svjetlosti. </w:t>
      </w:r>
    </w:p>
    <w:p w:rsidR="005B62E2" w:rsidRPr="00B60703" w:rsidRDefault="00F03789">
      <w:pPr>
        <w:tabs>
          <w:tab w:val="left" w:pos="284"/>
          <w:tab w:val="center" w:pos="4536"/>
          <w:tab w:val="right" w:pos="9072"/>
        </w:tabs>
        <w:jc w:val="both"/>
        <w:rPr>
          <w:sz w:val="22"/>
          <w:szCs w:val="22"/>
          <w:lang w:val="sr-Latn-ME" w:eastAsia="sr-Latn-ME"/>
        </w:rPr>
      </w:pPr>
      <w:r w:rsidRPr="00B60703">
        <w:rPr>
          <w:sz w:val="22"/>
          <w:szCs w:val="22"/>
          <w:lang w:val="sr-Latn-ME" w:eastAsia="sr-Latn-ME"/>
        </w:rPr>
        <w:t>Ukoliko se u periodu od 21 dan ne upotrijebi, napunjeni injekcioni špric ili napunjeni injekcioni pen se mora baciti.</w:t>
      </w: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6.5. </w:t>
      </w:r>
      <w:r w:rsidRPr="00B60703">
        <w:rPr>
          <w:b/>
          <w:bCs/>
          <w:sz w:val="22"/>
          <w:szCs w:val="22"/>
          <w:lang w:val="sr-Latn-ME"/>
        </w:rPr>
        <w:tab/>
        <w:t xml:space="preserve">Vrsta i sadržaj pakovanja </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284"/>
        </w:tabs>
        <w:jc w:val="both"/>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špricu</w:t>
      </w:r>
    </w:p>
    <w:p w:rsidR="005B62E2" w:rsidRPr="00B60703" w:rsidRDefault="005B62E2">
      <w:pPr>
        <w:tabs>
          <w:tab w:val="left" w:pos="708"/>
        </w:tabs>
        <w:snapToGrid w:val="0"/>
        <w:rPr>
          <w:sz w:val="22"/>
          <w:szCs w:val="22"/>
          <w:lang w:val="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 xml:space="preserve">Rastvor za injekciju u napunjenom injekcionom špricu za jednokratnu upotrebu se nalazi u providnom napunjenom injekcionom špricu (staklo tip I) sa gumenim čepom i iglom od nerđajućeg čelika sa automatskim štitnikom za iglu, osloncem za prste, gumenim zatvaračem za iglu i plastičnim klipom, a koji sadrži 0,8 ml rastvora. </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Veličina pakovanja: 2 napunjena injekciona šprica u blisteru u kartonskoj kutiji.</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284"/>
        </w:tabs>
        <w:jc w:val="both"/>
        <w:rPr>
          <w:bCs/>
          <w:iCs/>
          <w:sz w:val="22"/>
          <w:szCs w:val="22"/>
          <w:u w:val="single"/>
          <w:lang w:val="sr-Latn-ME"/>
        </w:rPr>
      </w:pPr>
      <w:r w:rsidRPr="00B60703">
        <w:rPr>
          <w:sz w:val="22"/>
          <w:szCs w:val="22"/>
          <w:u w:val="single"/>
          <w:lang w:val="sr-Latn-ME"/>
        </w:rPr>
        <w:t xml:space="preserve">Hyrimoz, 40 mg/0,8 ml, </w:t>
      </w:r>
      <w:r w:rsidRPr="00B60703">
        <w:rPr>
          <w:bCs/>
          <w:iCs/>
          <w:sz w:val="22"/>
          <w:szCs w:val="22"/>
          <w:u w:val="single"/>
          <w:lang w:val="sr-Latn-ME"/>
        </w:rPr>
        <w:t>rastvor za injekciju u napunjenom injekcionom penu</w:t>
      </w:r>
    </w:p>
    <w:p w:rsidR="005B62E2" w:rsidRPr="00B60703" w:rsidRDefault="005B62E2">
      <w:pPr>
        <w:tabs>
          <w:tab w:val="left" w:pos="708"/>
        </w:tabs>
        <w:snapToGrid w:val="0"/>
        <w:jc w:val="both"/>
        <w:rPr>
          <w:sz w:val="22"/>
          <w:szCs w:val="22"/>
          <w:lang w:val="sr-Latn-ME"/>
        </w:rPr>
      </w:pPr>
      <w:bookmarkStart w:id="8" w:name="_Hlk22045676"/>
    </w:p>
    <w:p w:rsidR="005B62E2" w:rsidRPr="00B60703" w:rsidRDefault="00F03789">
      <w:pPr>
        <w:tabs>
          <w:tab w:val="left" w:pos="708"/>
        </w:tabs>
        <w:snapToGrid w:val="0"/>
        <w:jc w:val="both"/>
        <w:rPr>
          <w:sz w:val="22"/>
          <w:szCs w:val="22"/>
          <w:lang w:val="sr-Latn-ME"/>
        </w:rPr>
      </w:pPr>
      <w:r w:rsidRPr="00B60703">
        <w:rPr>
          <w:sz w:val="22"/>
          <w:szCs w:val="22"/>
          <w:lang w:val="sr-Latn-ME"/>
        </w:rPr>
        <w:t>Napunjeni injekcioni špric za jednokratnu upotrebu uložen u pen trouglastog oblika sa prozirnim prozorčićem i naljepnicom (SensoReady). Špric unutar pena je od stakla tip I sa iglom od nerđajućeg čelika, unutrašnjim gumenim zatvaračem za iglu i gumenim čepom, a sadrži 0,8 ml rastvora.</w:t>
      </w:r>
    </w:p>
    <w:p w:rsidR="005B62E2" w:rsidRPr="00B60703" w:rsidRDefault="005B62E2">
      <w:pPr>
        <w:tabs>
          <w:tab w:val="left" w:pos="708"/>
        </w:tabs>
        <w:snapToGrid w:val="0"/>
        <w:jc w:val="both"/>
        <w:rPr>
          <w:sz w:val="22"/>
          <w:szCs w:val="22"/>
          <w:lang w:val="sr-Latn-ME"/>
        </w:rPr>
      </w:pPr>
    </w:p>
    <w:p w:rsidR="005B62E2" w:rsidRPr="00B60703" w:rsidRDefault="00F03789">
      <w:pPr>
        <w:tabs>
          <w:tab w:val="left" w:pos="708"/>
        </w:tabs>
        <w:snapToGrid w:val="0"/>
        <w:jc w:val="both"/>
        <w:rPr>
          <w:sz w:val="22"/>
          <w:szCs w:val="22"/>
          <w:lang w:val="sr-Latn-ME"/>
        </w:rPr>
      </w:pPr>
      <w:r w:rsidRPr="00B60703">
        <w:rPr>
          <w:sz w:val="22"/>
          <w:szCs w:val="22"/>
          <w:lang w:val="sr-Latn-ME"/>
        </w:rPr>
        <w:t xml:space="preserve">Veličina pakovanja: 2 napunjena injekciona pena u kartonskoj kutiji. </w:t>
      </w:r>
      <w:bookmarkEnd w:id="8"/>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jc w:val="both"/>
        <w:rPr>
          <w:b/>
          <w:bCs/>
          <w:sz w:val="22"/>
          <w:szCs w:val="22"/>
          <w:lang w:val="sr-Latn-ME"/>
        </w:rPr>
      </w:pPr>
      <w:r w:rsidRPr="00B60703">
        <w:rPr>
          <w:b/>
          <w:bCs/>
          <w:sz w:val="22"/>
          <w:szCs w:val="22"/>
          <w:lang w:val="sr-Latn-ME"/>
        </w:rPr>
        <w:t xml:space="preserve">6.6. </w:t>
      </w:r>
      <w:r w:rsidRPr="00B60703">
        <w:rPr>
          <w:b/>
          <w:bCs/>
          <w:sz w:val="22"/>
          <w:szCs w:val="22"/>
          <w:lang w:val="sr-Latn-ME"/>
        </w:rPr>
        <w:tab/>
      </w:r>
      <w:r w:rsidRPr="00B60703">
        <w:rPr>
          <w:b/>
          <w:bCs/>
          <w:color w:val="000000"/>
          <w:sz w:val="22"/>
          <w:szCs w:val="22"/>
          <w:lang w:val="sr-Latn-ME"/>
        </w:rPr>
        <w:t>Posebne mjere opreza pri odlaganju materijala koji treba odbaciti nakon primjene lijeka</w:t>
      </w:r>
      <w:r w:rsidRPr="00B60703">
        <w:rPr>
          <w:b/>
          <w:bCs/>
          <w:sz w:val="22"/>
          <w:szCs w:val="22"/>
          <w:lang w:val="sr-Latn-ME"/>
        </w:rPr>
        <w:t xml:space="preserve"> </w:t>
      </w:r>
    </w:p>
    <w:p w:rsidR="005B62E2" w:rsidRPr="00B60703" w:rsidRDefault="00F03789">
      <w:pPr>
        <w:tabs>
          <w:tab w:val="left" w:pos="540"/>
          <w:tab w:val="left" w:pos="569"/>
        </w:tabs>
        <w:jc w:val="both"/>
        <w:rPr>
          <w:b/>
          <w:bCs/>
          <w:sz w:val="22"/>
          <w:szCs w:val="22"/>
          <w:lang w:val="sr-Latn-ME"/>
        </w:rPr>
      </w:pPr>
      <w:r w:rsidRPr="00B60703">
        <w:rPr>
          <w:b/>
          <w:bCs/>
          <w:sz w:val="22"/>
          <w:szCs w:val="22"/>
          <w:lang w:val="sr-Latn-ME"/>
        </w:rPr>
        <w:t xml:space="preserve">(i druga uputstva za rukovanje lijekom) </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284"/>
        </w:tabs>
        <w:jc w:val="both"/>
        <w:rPr>
          <w:sz w:val="22"/>
          <w:szCs w:val="22"/>
          <w:lang w:val="sr-Latn-ME"/>
        </w:rPr>
      </w:pPr>
      <w:r w:rsidRPr="00B60703">
        <w:rPr>
          <w:sz w:val="22"/>
          <w:szCs w:val="22"/>
          <w:lang w:val="sr-Latn-ME"/>
        </w:rPr>
        <w:t xml:space="preserve">Svu neiskorišćenu količinu lijeka ili otpadnog materijala nakon njegove upotrebe treba ukloniti, u skladu sa važećim propisima. </w:t>
      </w:r>
    </w:p>
    <w:p w:rsidR="005B62E2" w:rsidRPr="00B60703" w:rsidRDefault="00F03789">
      <w:pPr>
        <w:tabs>
          <w:tab w:val="left" w:pos="284"/>
        </w:tabs>
        <w:jc w:val="both"/>
        <w:rPr>
          <w:sz w:val="22"/>
          <w:szCs w:val="22"/>
          <w:lang w:val="sr-Latn-ME"/>
        </w:rPr>
      </w:pPr>
      <w:r w:rsidRPr="00B60703">
        <w:rPr>
          <w:sz w:val="22"/>
          <w:szCs w:val="22"/>
          <w:lang w:val="sr-Latn-ME"/>
        </w:rPr>
        <w:t>Detaljna uputstva za primjenu se nalaze u Uputstvu za lijek, dijelu 7 “Uputstvo za upotrebu”.</w:t>
      </w:r>
    </w:p>
    <w:p w:rsidR="005B62E2" w:rsidRPr="00B60703" w:rsidRDefault="005B62E2">
      <w:pPr>
        <w:tabs>
          <w:tab w:val="left" w:pos="540"/>
          <w:tab w:val="left" w:pos="569"/>
        </w:tabs>
        <w:rPr>
          <w:bCs/>
          <w:sz w:val="22"/>
          <w:szCs w:val="22"/>
          <w:lang w:val="sr-Latn-ME"/>
        </w:rPr>
      </w:pPr>
    </w:p>
    <w:p w:rsidR="005B62E2" w:rsidRPr="00B60703" w:rsidRDefault="005B62E2">
      <w:pPr>
        <w:tabs>
          <w:tab w:val="left" w:pos="540"/>
          <w:tab w:val="left" w:pos="569"/>
        </w:tabs>
        <w:rPr>
          <w:bCs/>
          <w:sz w:val="22"/>
          <w:szCs w:val="22"/>
          <w:lang w:val="sr-Latn-ME"/>
        </w:rPr>
      </w:pPr>
      <w:bookmarkStart w:id="9" w:name="_GoBack"/>
      <w:bookmarkEnd w:id="9"/>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7. </w:t>
      </w:r>
      <w:r w:rsidRPr="00B60703">
        <w:rPr>
          <w:b/>
          <w:bCs/>
          <w:sz w:val="22"/>
          <w:szCs w:val="22"/>
          <w:lang w:val="sr-Latn-ME"/>
        </w:rPr>
        <w:tab/>
        <w:t xml:space="preserve">NOSILAC DOZVOLE </w:t>
      </w:r>
    </w:p>
    <w:p w:rsidR="005B62E2" w:rsidRPr="00B60703" w:rsidRDefault="005B62E2">
      <w:pPr>
        <w:tabs>
          <w:tab w:val="left" w:pos="540"/>
          <w:tab w:val="left" w:pos="569"/>
        </w:tabs>
        <w:rPr>
          <w:b/>
          <w:bCs/>
          <w:sz w:val="22"/>
          <w:szCs w:val="22"/>
          <w:lang w:val="sr-Latn-ME"/>
        </w:rPr>
      </w:pPr>
    </w:p>
    <w:p w:rsidR="005B62E2" w:rsidRPr="00B60703" w:rsidRDefault="00F03789">
      <w:pPr>
        <w:tabs>
          <w:tab w:val="left" w:pos="540"/>
          <w:tab w:val="left" w:pos="569"/>
        </w:tabs>
        <w:rPr>
          <w:bCs/>
          <w:sz w:val="22"/>
          <w:szCs w:val="22"/>
          <w:lang w:val="sr-Latn-ME"/>
        </w:rPr>
      </w:pPr>
      <w:r w:rsidRPr="00B60703">
        <w:rPr>
          <w:bCs/>
          <w:sz w:val="22"/>
          <w:szCs w:val="22"/>
          <w:lang w:val="sr-Latn-ME"/>
        </w:rPr>
        <w:t>Glosarij d.o.o.</w:t>
      </w:r>
    </w:p>
    <w:p w:rsidR="005B62E2" w:rsidRPr="00B60703" w:rsidRDefault="00F03789">
      <w:pPr>
        <w:tabs>
          <w:tab w:val="left" w:pos="540"/>
          <w:tab w:val="left" w:pos="569"/>
        </w:tabs>
        <w:rPr>
          <w:bCs/>
          <w:sz w:val="22"/>
          <w:szCs w:val="22"/>
          <w:lang w:val="sr-Latn-ME"/>
        </w:rPr>
      </w:pPr>
      <w:r w:rsidRPr="00B60703">
        <w:rPr>
          <w:bCs/>
          <w:sz w:val="22"/>
          <w:szCs w:val="22"/>
          <w:lang w:val="sr-Latn-ME"/>
        </w:rPr>
        <w:t>Vojislavljevića 76, 81000 Podgorica, Crna Gora</w:t>
      </w:r>
    </w:p>
    <w:p w:rsidR="005B62E2" w:rsidRPr="00B60703" w:rsidRDefault="005B62E2">
      <w:pPr>
        <w:tabs>
          <w:tab w:val="left" w:pos="540"/>
          <w:tab w:val="left" w:pos="569"/>
        </w:tabs>
        <w:rPr>
          <w:bCs/>
          <w:sz w:val="22"/>
          <w:szCs w:val="22"/>
          <w:lang w:val="sr-Latn-ME"/>
        </w:rPr>
      </w:pP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8. </w:t>
      </w:r>
      <w:r w:rsidRPr="00B60703">
        <w:rPr>
          <w:b/>
          <w:bCs/>
          <w:sz w:val="22"/>
          <w:szCs w:val="22"/>
          <w:lang w:val="sr-Latn-ME"/>
        </w:rPr>
        <w:tab/>
        <w:t>BROJ DOZVOLE ZA STAVLJANJE LIJEKA U PROMET</w:t>
      </w:r>
    </w:p>
    <w:p w:rsidR="005B62E2" w:rsidRPr="00B60703" w:rsidRDefault="005B62E2">
      <w:pPr>
        <w:tabs>
          <w:tab w:val="left" w:pos="540"/>
          <w:tab w:val="left" w:pos="569"/>
        </w:tabs>
        <w:rPr>
          <w:bCs/>
          <w:sz w:val="22"/>
          <w:szCs w:val="22"/>
          <w:lang w:val="sr-Latn-ME"/>
        </w:rPr>
      </w:pPr>
    </w:p>
    <w:p w:rsidR="005B62E2" w:rsidRPr="00B60703" w:rsidRDefault="00F03789">
      <w:pPr>
        <w:jc w:val="both"/>
        <w:rPr>
          <w:iCs/>
          <w:sz w:val="22"/>
          <w:szCs w:val="22"/>
          <w:lang w:val="sr-Latn-ME"/>
        </w:rPr>
      </w:pPr>
      <w:r w:rsidRPr="00B60703">
        <w:rPr>
          <w:iCs/>
          <w:sz w:val="22"/>
          <w:szCs w:val="22"/>
          <w:lang w:val="sr-Latn-ME"/>
        </w:rPr>
        <w:t>Hyrimoz, rastvor za injekciju u napunjenom injekcionom špricu, 40 mg/0,8 ml, napunjeni injekcioni špric, 2 x 0,8 ml: 2030/21/1154 - 5864</w:t>
      </w:r>
    </w:p>
    <w:p w:rsidR="005B62E2" w:rsidRPr="00B60703" w:rsidRDefault="00F03789">
      <w:pPr>
        <w:jc w:val="both"/>
        <w:rPr>
          <w:iCs/>
          <w:sz w:val="22"/>
          <w:szCs w:val="22"/>
          <w:lang w:val="sr-Latn-ME"/>
        </w:rPr>
      </w:pPr>
      <w:r w:rsidRPr="00B60703">
        <w:rPr>
          <w:iCs/>
          <w:sz w:val="22"/>
          <w:szCs w:val="22"/>
          <w:lang w:val="sr-Latn-ME"/>
        </w:rPr>
        <w:t>Hyrimoz, rastvor za injekciju u napunjenom injekcionom penu, 40 mg/0,8 ml, napunjeni injekcioni pen, 2 x 0,8 ml: 2030/21/1155 - 5863</w:t>
      </w:r>
    </w:p>
    <w:p w:rsidR="005B62E2" w:rsidRPr="00B60703" w:rsidRDefault="005B62E2">
      <w:pPr>
        <w:tabs>
          <w:tab w:val="left" w:pos="540"/>
          <w:tab w:val="left" w:pos="569"/>
        </w:tabs>
        <w:rPr>
          <w:bCs/>
          <w:sz w:val="22"/>
          <w:szCs w:val="22"/>
          <w:lang w:val="sr-Latn-ME"/>
        </w:rPr>
      </w:pP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rPr>
          <w:b/>
          <w:bCs/>
          <w:sz w:val="22"/>
          <w:szCs w:val="22"/>
          <w:lang w:val="sr-Latn-ME"/>
        </w:rPr>
      </w:pPr>
      <w:r w:rsidRPr="00B60703">
        <w:rPr>
          <w:b/>
          <w:bCs/>
          <w:sz w:val="22"/>
          <w:szCs w:val="22"/>
          <w:lang w:val="sr-Latn-ME"/>
        </w:rPr>
        <w:t xml:space="preserve">9. </w:t>
      </w:r>
      <w:r w:rsidRPr="00B60703">
        <w:rPr>
          <w:b/>
          <w:bCs/>
          <w:sz w:val="22"/>
          <w:szCs w:val="22"/>
          <w:lang w:val="sr-Latn-ME"/>
        </w:rPr>
        <w:tab/>
        <w:t>DATUM PRVE DOZVOLE/OBNOVE DOZVOLE ZA STAVLJANJE LIJEKA U PROMET</w:t>
      </w:r>
    </w:p>
    <w:p w:rsidR="005B62E2" w:rsidRPr="00B60703" w:rsidRDefault="005B62E2">
      <w:pPr>
        <w:tabs>
          <w:tab w:val="left" w:pos="540"/>
          <w:tab w:val="left" w:pos="569"/>
        </w:tabs>
        <w:rPr>
          <w:bCs/>
          <w:sz w:val="22"/>
          <w:szCs w:val="22"/>
          <w:lang w:val="sr-Latn-ME"/>
        </w:rPr>
      </w:pPr>
    </w:p>
    <w:p w:rsidR="005B62E2" w:rsidRPr="00B60703" w:rsidRDefault="00F03789">
      <w:pPr>
        <w:jc w:val="both"/>
        <w:rPr>
          <w:iCs/>
          <w:sz w:val="22"/>
          <w:szCs w:val="22"/>
          <w:lang w:val="sr-Latn-ME"/>
        </w:rPr>
      </w:pPr>
      <w:r w:rsidRPr="00B60703">
        <w:rPr>
          <w:iCs/>
          <w:sz w:val="22"/>
          <w:szCs w:val="22"/>
          <w:lang w:val="sr-Latn-ME"/>
        </w:rPr>
        <w:t xml:space="preserve">Hyrimoz, rastvor za injekciju u napunjenom injekcionom špricu, 40 mg/0,8 ml, napunjeni injekcioni špric, 2 x 0,8 ml: </w:t>
      </w:r>
      <w:r w:rsidRPr="00B60703">
        <w:rPr>
          <w:sz w:val="22"/>
          <w:szCs w:val="22"/>
          <w:lang w:val="sr-Latn-ME" w:eastAsia="sr-Latn-ME"/>
        </w:rPr>
        <w:t>16.12.2021. godine</w:t>
      </w:r>
    </w:p>
    <w:p w:rsidR="005B62E2" w:rsidRPr="00B60703" w:rsidRDefault="00F03789">
      <w:pPr>
        <w:jc w:val="both"/>
        <w:rPr>
          <w:iCs/>
          <w:sz w:val="22"/>
          <w:szCs w:val="22"/>
          <w:lang w:val="sr-Latn-ME"/>
        </w:rPr>
      </w:pPr>
      <w:r w:rsidRPr="00B60703">
        <w:rPr>
          <w:iCs/>
          <w:sz w:val="22"/>
          <w:szCs w:val="22"/>
          <w:lang w:val="sr-Latn-ME"/>
        </w:rPr>
        <w:t>Hyrimoz, rastvor za injekciju u napunjenom injekcionom penu, 40 mg/0,8 ml, napunjeni injekcioni pen, 2 x 0,8 ml: 16.12.2021. godine</w:t>
      </w:r>
    </w:p>
    <w:p w:rsidR="005B62E2" w:rsidRPr="00B60703" w:rsidRDefault="005B62E2">
      <w:pPr>
        <w:tabs>
          <w:tab w:val="left" w:pos="540"/>
          <w:tab w:val="left" w:pos="569"/>
        </w:tabs>
        <w:rPr>
          <w:bCs/>
          <w:sz w:val="22"/>
          <w:szCs w:val="22"/>
          <w:lang w:val="sr-Latn-ME"/>
        </w:rPr>
      </w:pPr>
    </w:p>
    <w:p w:rsidR="005B62E2" w:rsidRPr="00B60703" w:rsidRDefault="005B62E2">
      <w:pPr>
        <w:tabs>
          <w:tab w:val="left" w:pos="540"/>
          <w:tab w:val="left" w:pos="569"/>
        </w:tabs>
        <w:rPr>
          <w:bCs/>
          <w:sz w:val="22"/>
          <w:szCs w:val="22"/>
          <w:lang w:val="sr-Latn-ME"/>
        </w:rPr>
      </w:pPr>
    </w:p>
    <w:p w:rsidR="005B62E2" w:rsidRPr="00B60703" w:rsidRDefault="00F03789">
      <w:pPr>
        <w:tabs>
          <w:tab w:val="left" w:pos="540"/>
          <w:tab w:val="left" w:pos="569"/>
        </w:tabs>
        <w:ind w:left="540" w:hanging="540"/>
        <w:rPr>
          <w:b/>
          <w:bCs/>
          <w:sz w:val="22"/>
          <w:szCs w:val="22"/>
          <w:lang w:val="sr-Latn-ME"/>
        </w:rPr>
      </w:pPr>
      <w:r w:rsidRPr="00B60703">
        <w:rPr>
          <w:b/>
          <w:bCs/>
          <w:sz w:val="22"/>
          <w:szCs w:val="22"/>
          <w:lang w:val="sr-Latn-ME"/>
        </w:rPr>
        <w:lastRenderedPageBreak/>
        <w:t xml:space="preserve">10. </w:t>
      </w:r>
      <w:r w:rsidRPr="00B60703">
        <w:rPr>
          <w:b/>
          <w:bCs/>
          <w:sz w:val="22"/>
          <w:szCs w:val="22"/>
          <w:lang w:val="sr-Latn-ME"/>
        </w:rPr>
        <w:tab/>
        <w:t xml:space="preserve">DATUM REVIZIJE TEKSTA </w:t>
      </w:r>
    </w:p>
    <w:p w:rsidR="00CF11D2" w:rsidRPr="00B60703" w:rsidRDefault="00CF11D2">
      <w:pPr>
        <w:tabs>
          <w:tab w:val="left" w:pos="540"/>
          <w:tab w:val="left" w:pos="569"/>
        </w:tabs>
        <w:ind w:left="540" w:hanging="540"/>
        <w:rPr>
          <w:b/>
          <w:bCs/>
          <w:sz w:val="22"/>
          <w:szCs w:val="22"/>
          <w:lang w:val="sr-Latn-ME"/>
        </w:rPr>
      </w:pPr>
    </w:p>
    <w:p w:rsidR="00CF11D2" w:rsidRPr="00B60703" w:rsidRDefault="00CF11D2">
      <w:pPr>
        <w:tabs>
          <w:tab w:val="left" w:pos="540"/>
          <w:tab w:val="left" w:pos="569"/>
        </w:tabs>
        <w:ind w:left="540" w:hanging="540"/>
        <w:rPr>
          <w:bCs/>
          <w:sz w:val="22"/>
          <w:szCs w:val="22"/>
          <w:lang w:val="sr-Latn-ME"/>
        </w:rPr>
      </w:pPr>
      <w:r w:rsidRPr="00B60703">
        <w:rPr>
          <w:bCs/>
          <w:sz w:val="22"/>
          <w:szCs w:val="22"/>
          <w:lang w:val="sr-Latn-ME"/>
        </w:rPr>
        <w:t>Novembar, 2024. godine</w:t>
      </w:r>
    </w:p>
    <w:p w:rsidR="005B62E2" w:rsidRPr="00B60703" w:rsidRDefault="005B62E2">
      <w:pPr>
        <w:tabs>
          <w:tab w:val="left" w:pos="540"/>
          <w:tab w:val="left" w:pos="569"/>
        </w:tabs>
        <w:rPr>
          <w:bCs/>
          <w:sz w:val="22"/>
          <w:szCs w:val="22"/>
          <w:lang w:val="sr-Latn-ME"/>
        </w:rPr>
      </w:pPr>
    </w:p>
    <w:p w:rsidR="005B62E2" w:rsidRPr="00B60703" w:rsidRDefault="005B62E2">
      <w:pPr>
        <w:rPr>
          <w:sz w:val="22"/>
          <w:szCs w:val="22"/>
          <w:lang w:val="sr-Latn-ME"/>
        </w:rPr>
      </w:pPr>
    </w:p>
    <w:sectPr w:rsidR="005B62E2" w:rsidRPr="00B60703">
      <w:footerReference w:type="default" r:id="rId23"/>
      <w:pgSz w:w="11909" w:h="16834"/>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3C" w:rsidRDefault="00B67A3C">
      <w:r>
        <w:separator/>
      </w:r>
    </w:p>
  </w:endnote>
  <w:endnote w:type="continuationSeparator" w:id="0">
    <w:p w:rsidR="00B67A3C" w:rsidRDefault="00B6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default"/>
    <w:sig w:usb0="00000000" w:usb1="00000000" w:usb2="00000000" w:usb3="00000000" w:csb0="0000001B" w:csb1="00000000"/>
  </w:font>
  <w:font w:name="AEMOKG+TimesNewRoman,Bold">
    <w:altName w:val="Times New Roman"/>
    <w:charset w:val="00"/>
    <w:family w:val="roman"/>
    <w:pitch w:val="default"/>
    <w:sig w:usb0="00000000"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80"/>
    <w:family w:val="auto"/>
    <w:pitch w:val="default"/>
    <w:sig w:usb0="00000000" w:usb1="0000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E2" w:rsidRDefault="00F03789">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184C7F">
      <w:rPr>
        <w:noProof/>
        <w:sz w:val="20"/>
        <w:szCs w:val="20"/>
      </w:rPr>
      <w:t>54</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sidR="00184C7F">
      <w:rPr>
        <w:noProof/>
        <w:sz w:val="20"/>
        <w:szCs w:val="20"/>
      </w:rPr>
      <w:t>54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3C" w:rsidRDefault="00B67A3C">
      <w:r>
        <w:separator/>
      </w:r>
    </w:p>
  </w:footnote>
  <w:footnote w:type="continuationSeparator" w:id="0">
    <w:p w:rsidR="00B67A3C" w:rsidRDefault="00B6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BFE"/>
    <w:multiLevelType w:val="multilevel"/>
    <w:tmpl w:val="03894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12C9F"/>
    <w:multiLevelType w:val="multilevel"/>
    <w:tmpl w:val="0E312C9F"/>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 w15:restartNumberingAfterBreak="0">
    <w:nsid w:val="31567C88"/>
    <w:multiLevelType w:val="multilevel"/>
    <w:tmpl w:val="3156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403F1B"/>
    <w:multiLevelType w:val="multilevel"/>
    <w:tmpl w:val="3B403F1B"/>
    <w:lvl w:ilvl="0">
      <w:start w:val="1"/>
      <w:numFmt w:val="lowerLetter"/>
      <w:lvlText w:val="%1"/>
      <w:lvlJc w:val="left"/>
      <w:pPr>
        <w:ind w:left="720" w:hanging="360"/>
      </w:pPr>
      <w:rPr>
        <w:sz w:val="16"/>
        <w:szCs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C77894"/>
    <w:multiLevelType w:val="multilevel"/>
    <w:tmpl w:val="3BC77894"/>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5" w15:restartNumberingAfterBreak="0">
    <w:nsid w:val="430D0E95"/>
    <w:multiLevelType w:val="multilevel"/>
    <w:tmpl w:val="430D0E95"/>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73357CAB"/>
    <w:multiLevelType w:val="multilevel"/>
    <w:tmpl w:val="73357CAB"/>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7" w15:restartNumberingAfterBreak="0">
    <w:nsid w:val="737B0BE8"/>
    <w:multiLevelType w:val="singleLevel"/>
    <w:tmpl w:val="737B0BE8"/>
    <w:lvl w:ilvl="0">
      <w:start w:val="1"/>
      <w:numFmt w:val="lowerLetter"/>
      <w:pStyle w:val="TableFootnoteLetter"/>
      <w:lvlText w:val="%1."/>
      <w:lvlJc w:val="left"/>
      <w:pPr>
        <w:ind w:left="360" w:hanging="360"/>
      </w:pPr>
      <w:rPr>
        <w:rFonts w:ascii="Times New Roman" w:hAnsi="Times New Roman" w:cs="Times New Roman" w:hint="default"/>
        <w:b w:val="0"/>
        <w:i w:val="0"/>
        <w:caps w:val="0"/>
        <w:strike w:val="0"/>
        <w:dstrike w:val="0"/>
        <w:sz w:val="16"/>
        <w:u w:val="none"/>
        <w:vertAlign w:val="baseline"/>
      </w:rPr>
    </w:lvl>
  </w:abstractNum>
  <w:num w:numId="1">
    <w:abstractNumId w:val="7"/>
  </w:num>
  <w:num w:numId="2">
    <w:abstractNumId w:val="2"/>
  </w:num>
  <w:num w:numId="3">
    <w:abstractNumId w:val="5"/>
  </w:num>
  <w:num w:numId="4">
    <w:abstractNumId w:val="0"/>
  </w:num>
  <w:num w:numId="5">
    <w:abstractNumId w:val="1"/>
  </w:num>
  <w:num w:numId="6">
    <w:abstractNumId w:val="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40D"/>
    <w:rsid w:val="00006787"/>
    <w:rsid w:val="000076B5"/>
    <w:rsid w:val="00014FC9"/>
    <w:rsid w:val="000176CA"/>
    <w:rsid w:val="00036FA0"/>
    <w:rsid w:val="0003793F"/>
    <w:rsid w:val="00046274"/>
    <w:rsid w:val="00054278"/>
    <w:rsid w:val="000546A2"/>
    <w:rsid w:val="00055959"/>
    <w:rsid w:val="00057E35"/>
    <w:rsid w:val="00073B14"/>
    <w:rsid w:val="00074B61"/>
    <w:rsid w:val="00076726"/>
    <w:rsid w:val="00077CB6"/>
    <w:rsid w:val="00080303"/>
    <w:rsid w:val="0009108E"/>
    <w:rsid w:val="0009232C"/>
    <w:rsid w:val="00095E8B"/>
    <w:rsid w:val="000A1B7C"/>
    <w:rsid w:val="000A3F58"/>
    <w:rsid w:val="000A7A2C"/>
    <w:rsid w:val="000B62BB"/>
    <w:rsid w:val="000D2343"/>
    <w:rsid w:val="000D3449"/>
    <w:rsid w:val="000D425A"/>
    <w:rsid w:val="000D5182"/>
    <w:rsid w:val="000D60CC"/>
    <w:rsid w:val="000E2084"/>
    <w:rsid w:val="000E6F55"/>
    <w:rsid w:val="000F77FA"/>
    <w:rsid w:val="00107BF7"/>
    <w:rsid w:val="00114242"/>
    <w:rsid w:val="001143CE"/>
    <w:rsid w:val="001178D6"/>
    <w:rsid w:val="00126F53"/>
    <w:rsid w:val="00135F64"/>
    <w:rsid w:val="0014766D"/>
    <w:rsid w:val="001536CC"/>
    <w:rsid w:val="00153D84"/>
    <w:rsid w:val="00155C25"/>
    <w:rsid w:val="00173797"/>
    <w:rsid w:val="00174045"/>
    <w:rsid w:val="0017456F"/>
    <w:rsid w:val="00184C7F"/>
    <w:rsid w:val="001920C4"/>
    <w:rsid w:val="001940F3"/>
    <w:rsid w:val="00196883"/>
    <w:rsid w:val="001A3FBA"/>
    <w:rsid w:val="001A5518"/>
    <w:rsid w:val="001B1C6A"/>
    <w:rsid w:val="001B737D"/>
    <w:rsid w:val="001C1263"/>
    <w:rsid w:val="001C1417"/>
    <w:rsid w:val="001D54E1"/>
    <w:rsid w:val="001E1B63"/>
    <w:rsid w:val="001E2721"/>
    <w:rsid w:val="001E390B"/>
    <w:rsid w:val="001E7005"/>
    <w:rsid w:val="001F42FB"/>
    <w:rsid w:val="001F719A"/>
    <w:rsid w:val="002031B3"/>
    <w:rsid w:val="00212C47"/>
    <w:rsid w:val="00215931"/>
    <w:rsid w:val="002162B3"/>
    <w:rsid w:val="00224C91"/>
    <w:rsid w:val="00227BDB"/>
    <w:rsid w:val="00234CB1"/>
    <w:rsid w:val="002352F8"/>
    <w:rsid w:val="00242328"/>
    <w:rsid w:val="002431AE"/>
    <w:rsid w:val="002510A5"/>
    <w:rsid w:val="00254A0A"/>
    <w:rsid w:val="002612B5"/>
    <w:rsid w:val="00266046"/>
    <w:rsid w:val="00274B1C"/>
    <w:rsid w:val="00277CAB"/>
    <w:rsid w:val="002846DB"/>
    <w:rsid w:val="00284CCD"/>
    <w:rsid w:val="0029070F"/>
    <w:rsid w:val="002A2FAF"/>
    <w:rsid w:val="002A59AC"/>
    <w:rsid w:val="002A5F16"/>
    <w:rsid w:val="002A7C90"/>
    <w:rsid w:val="002B1722"/>
    <w:rsid w:val="002C4DC6"/>
    <w:rsid w:val="002C6637"/>
    <w:rsid w:val="002D479A"/>
    <w:rsid w:val="002D4CA8"/>
    <w:rsid w:val="002D70B9"/>
    <w:rsid w:val="002E0135"/>
    <w:rsid w:val="002E1462"/>
    <w:rsid w:val="002E37A5"/>
    <w:rsid w:val="002E405C"/>
    <w:rsid w:val="002E4541"/>
    <w:rsid w:val="002E5576"/>
    <w:rsid w:val="00300C84"/>
    <w:rsid w:val="003020B2"/>
    <w:rsid w:val="00310F03"/>
    <w:rsid w:val="00312548"/>
    <w:rsid w:val="003177F1"/>
    <w:rsid w:val="00317EDF"/>
    <w:rsid w:val="00323E09"/>
    <w:rsid w:val="003247D2"/>
    <w:rsid w:val="00325C38"/>
    <w:rsid w:val="00340882"/>
    <w:rsid w:val="00341146"/>
    <w:rsid w:val="003445C1"/>
    <w:rsid w:val="003460B0"/>
    <w:rsid w:val="00350795"/>
    <w:rsid w:val="00355B61"/>
    <w:rsid w:val="00362686"/>
    <w:rsid w:val="00366A9E"/>
    <w:rsid w:val="00371510"/>
    <w:rsid w:val="0039211B"/>
    <w:rsid w:val="00395D17"/>
    <w:rsid w:val="00396DFD"/>
    <w:rsid w:val="003A7059"/>
    <w:rsid w:val="003B2C17"/>
    <w:rsid w:val="003B6AC5"/>
    <w:rsid w:val="003B7A36"/>
    <w:rsid w:val="003C01F8"/>
    <w:rsid w:val="003C17AB"/>
    <w:rsid w:val="003C2444"/>
    <w:rsid w:val="003C7823"/>
    <w:rsid w:val="003D6129"/>
    <w:rsid w:val="003E1DCC"/>
    <w:rsid w:val="003F11A1"/>
    <w:rsid w:val="003F143C"/>
    <w:rsid w:val="003F30A2"/>
    <w:rsid w:val="003F3267"/>
    <w:rsid w:val="003F32C4"/>
    <w:rsid w:val="003F6A59"/>
    <w:rsid w:val="00405453"/>
    <w:rsid w:val="004065C8"/>
    <w:rsid w:val="004109FA"/>
    <w:rsid w:val="00411B4B"/>
    <w:rsid w:val="0041379C"/>
    <w:rsid w:val="00415BEE"/>
    <w:rsid w:val="00422203"/>
    <w:rsid w:val="00427F85"/>
    <w:rsid w:val="00431440"/>
    <w:rsid w:val="00432EF9"/>
    <w:rsid w:val="00436F42"/>
    <w:rsid w:val="004378B4"/>
    <w:rsid w:val="00451314"/>
    <w:rsid w:val="00452E9D"/>
    <w:rsid w:val="004534C7"/>
    <w:rsid w:val="00456F65"/>
    <w:rsid w:val="004671AA"/>
    <w:rsid w:val="004758EF"/>
    <w:rsid w:val="00475991"/>
    <w:rsid w:val="00476954"/>
    <w:rsid w:val="00480FB1"/>
    <w:rsid w:val="00483928"/>
    <w:rsid w:val="004945A1"/>
    <w:rsid w:val="004A2BAA"/>
    <w:rsid w:val="004A4266"/>
    <w:rsid w:val="004B4EDA"/>
    <w:rsid w:val="004B6923"/>
    <w:rsid w:val="004B6D32"/>
    <w:rsid w:val="004C19BC"/>
    <w:rsid w:val="004C1F5C"/>
    <w:rsid w:val="004C331F"/>
    <w:rsid w:val="004C5719"/>
    <w:rsid w:val="004D1648"/>
    <w:rsid w:val="004D31C1"/>
    <w:rsid w:val="004D6103"/>
    <w:rsid w:val="004E0175"/>
    <w:rsid w:val="004E16FD"/>
    <w:rsid w:val="004E3771"/>
    <w:rsid w:val="004E3BCE"/>
    <w:rsid w:val="004E3F03"/>
    <w:rsid w:val="004E70AD"/>
    <w:rsid w:val="004F0E97"/>
    <w:rsid w:val="004F4F56"/>
    <w:rsid w:val="00501DD1"/>
    <w:rsid w:val="00505593"/>
    <w:rsid w:val="0050674D"/>
    <w:rsid w:val="00514E3F"/>
    <w:rsid w:val="00515C21"/>
    <w:rsid w:val="00516724"/>
    <w:rsid w:val="00521A24"/>
    <w:rsid w:val="00521F62"/>
    <w:rsid w:val="00530BD7"/>
    <w:rsid w:val="0053179D"/>
    <w:rsid w:val="005428EE"/>
    <w:rsid w:val="00545CD2"/>
    <w:rsid w:val="005476F3"/>
    <w:rsid w:val="00552C15"/>
    <w:rsid w:val="00572527"/>
    <w:rsid w:val="00573E40"/>
    <w:rsid w:val="00576348"/>
    <w:rsid w:val="00576466"/>
    <w:rsid w:val="0058217E"/>
    <w:rsid w:val="00583FC5"/>
    <w:rsid w:val="00586566"/>
    <w:rsid w:val="005874E4"/>
    <w:rsid w:val="005A0B2E"/>
    <w:rsid w:val="005A23D2"/>
    <w:rsid w:val="005A36CB"/>
    <w:rsid w:val="005B1E82"/>
    <w:rsid w:val="005B49B8"/>
    <w:rsid w:val="005B62E2"/>
    <w:rsid w:val="005C0741"/>
    <w:rsid w:val="005C5EF4"/>
    <w:rsid w:val="005E2E0B"/>
    <w:rsid w:val="005E4B7D"/>
    <w:rsid w:val="005E7A7D"/>
    <w:rsid w:val="005F0BB6"/>
    <w:rsid w:val="005F441C"/>
    <w:rsid w:val="00602457"/>
    <w:rsid w:val="00606C55"/>
    <w:rsid w:val="00622064"/>
    <w:rsid w:val="00622AB8"/>
    <w:rsid w:val="00634AC7"/>
    <w:rsid w:val="00641ACD"/>
    <w:rsid w:val="00644FC3"/>
    <w:rsid w:val="00646BD1"/>
    <w:rsid w:val="00650265"/>
    <w:rsid w:val="006561C2"/>
    <w:rsid w:val="006570F2"/>
    <w:rsid w:val="006622B5"/>
    <w:rsid w:val="00671CB3"/>
    <w:rsid w:val="00672938"/>
    <w:rsid w:val="00674BAF"/>
    <w:rsid w:val="00676410"/>
    <w:rsid w:val="00682200"/>
    <w:rsid w:val="00691EC0"/>
    <w:rsid w:val="00692BF6"/>
    <w:rsid w:val="006A1497"/>
    <w:rsid w:val="006A3FD4"/>
    <w:rsid w:val="006B0BD1"/>
    <w:rsid w:val="006B366E"/>
    <w:rsid w:val="006B5404"/>
    <w:rsid w:val="006B7694"/>
    <w:rsid w:val="006D20A5"/>
    <w:rsid w:val="006D2849"/>
    <w:rsid w:val="006D37BF"/>
    <w:rsid w:val="006E629D"/>
    <w:rsid w:val="006F5461"/>
    <w:rsid w:val="00702E22"/>
    <w:rsid w:val="007104F4"/>
    <w:rsid w:val="00716731"/>
    <w:rsid w:val="0072020E"/>
    <w:rsid w:val="007219BD"/>
    <w:rsid w:val="007258FF"/>
    <w:rsid w:val="00726EF9"/>
    <w:rsid w:val="00727715"/>
    <w:rsid w:val="00740D9F"/>
    <w:rsid w:val="007471EE"/>
    <w:rsid w:val="0075299E"/>
    <w:rsid w:val="0076117B"/>
    <w:rsid w:val="00762851"/>
    <w:rsid w:val="0077033A"/>
    <w:rsid w:val="00775D57"/>
    <w:rsid w:val="0078275B"/>
    <w:rsid w:val="007827AC"/>
    <w:rsid w:val="00786071"/>
    <w:rsid w:val="00792941"/>
    <w:rsid w:val="007A3ECB"/>
    <w:rsid w:val="007B7572"/>
    <w:rsid w:val="007C3886"/>
    <w:rsid w:val="007C5149"/>
    <w:rsid w:val="007D7BB3"/>
    <w:rsid w:val="007E0DCA"/>
    <w:rsid w:val="007E241B"/>
    <w:rsid w:val="007F7F20"/>
    <w:rsid w:val="00824AB9"/>
    <w:rsid w:val="00836B35"/>
    <w:rsid w:val="00843BDE"/>
    <w:rsid w:val="00851815"/>
    <w:rsid w:val="008550A6"/>
    <w:rsid w:val="0087588C"/>
    <w:rsid w:val="00876527"/>
    <w:rsid w:val="0087662D"/>
    <w:rsid w:val="00876F2B"/>
    <w:rsid w:val="00877188"/>
    <w:rsid w:val="00877C82"/>
    <w:rsid w:val="00883415"/>
    <w:rsid w:val="0089212A"/>
    <w:rsid w:val="0089705C"/>
    <w:rsid w:val="008A41B4"/>
    <w:rsid w:val="008A446A"/>
    <w:rsid w:val="008A472B"/>
    <w:rsid w:val="008A6D43"/>
    <w:rsid w:val="008A7E71"/>
    <w:rsid w:val="008B09A0"/>
    <w:rsid w:val="008B1AC7"/>
    <w:rsid w:val="008B491E"/>
    <w:rsid w:val="008B633E"/>
    <w:rsid w:val="008C1A28"/>
    <w:rsid w:val="008C1F13"/>
    <w:rsid w:val="008C2E98"/>
    <w:rsid w:val="008C58D1"/>
    <w:rsid w:val="008D762F"/>
    <w:rsid w:val="008D7DD0"/>
    <w:rsid w:val="008E49BD"/>
    <w:rsid w:val="008E53E9"/>
    <w:rsid w:val="008E5771"/>
    <w:rsid w:val="008E7D09"/>
    <w:rsid w:val="008F06F3"/>
    <w:rsid w:val="008F4ACF"/>
    <w:rsid w:val="00902AFE"/>
    <w:rsid w:val="00907BE9"/>
    <w:rsid w:val="009114AD"/>
    <w:rsid w:val="00924166"/>
    <w:rsid w:val="009311B4"/>
    <w:rsid w:val="00940B9B"/>
    <w:rsid w:val="0095676E"/>
    <w:rsid w:val="00956983"/>
    <w:rsid w:val="00957EA2"/>
    <w:rsid w:val="00963CF0"/>
    <w:rsid w:val="00964BB1"/>
    <w:rsid w:val="009706E9"/>
    <w:rsid w:val="009775D9"/>
    <w:rsid w:val="00997175"/>
    <w:rsid w:val="009978B1"/>
    <w:rsid w:val="009A1847"/>
    <w:rsid w:val="009B062A"/>
    <w:rsid w:val="009B1653"/>
    <w:rsid w:val="009B1F70"/>
    <w:rsid w:val="009D63C7"/>
    <w:rsid w:val="009E7C6F"/>
    <w:rsid w:val="009F0A20"/>
    <w:rsid w:val="009F1793"/>
    <w:rsid w:val="009F2D23"/>
    <w:rsid w:val="009F7492"/>
    <w:rsid w:val="00A0001F"/>
    <w:rsid w:val="00A01D69"/>
    <w:rsid w:val="00A02335"/>
    <w:rsid w:val="00A04672"/>
    <w:rsid w:val="00A073FB"/>
    <w:rsid w:val="00A12135"/>
    <w:rsid w:val="00A16CEC"/>
    <w:rsid w:val="00A21FCD"/>
    <w:rsid w:val="00A25C59"/>
    <w:rsid w:val="00A2657D"/>
    <w:rsid w:val="00A26ECF"/>
    <w:rsid w:val="00A43136"/>
    <w:rsid w:val="00A46C9A"/>
    <w:rsid w:val="00A619F3"/>
    <w:rsid w:val="00A62A73"/>
    <w:rsid w:val="00A675F3"/>
    <w:rsid w:val="00A72AD4"/>
    <w:rsid w:val="00A766F4"/>
    <w:rsid w:val="00A85DBD"/>
    <w:rsid w:val="00A8733F"/>
    <w:rsid w:val="00A87FF6"/>
    <w:rsid w:val="00AA0A3B"/>
    <w:rsid w:val="00AA2763"/>
    <w:rsid w:val="00AA33B6"/>
    <w:rsid w:val="00AB1FE7"/>
    <w:rsid w:val="00AB48F3"/>
    <w:rsid w:val="00AB50CA"/>
    <w:rsid w:val="00AB6D64"/>
    <w:rsid w:val="00AC2FEB"/>
    <w:rsid w:val="00AC53CE"/>
    <w:rsid w:val="00AD2193"/>
    <w:rsid w:val="00AD784A"/>
    <w:rsid w:val="00AE2B14"/>
    <w:rsid w:val="00AE2DAA"/>
    <w:rsid w:val="00AE33A9"/>
    <w:rsid w:val="00AF2AC7"/>
    <w:rsid w:val="00AF4FF3"/>
    <w:rsid w:val="00AF610D"/>
    <w:rsid w:val="00AF74CE"/>
    <w:rsid w:val="00AF75D6"/>
    <w:rsid w:val="00B02B1B"/>
    <w:rsid w:val="00B15424"/>
    <w:rsid w:val="00B15DC8"/>
    <w:rsid w:val="00B208DB"/>
    <w:rsid w:val="00B23F69"/>
    <w:rsid w:val="00B32213"/>
    <w:rsid w:val="00B35394"/>
    <w:rsid w:val="00B60619"/>
    <w:rsid w:val="00B60703"/>
    <w:rsid w:val="00B6191E"/>
    <w:rsid w:val="00B66A70"/>
    <w:rsid w:val="00B67366"/>
    <w:rsid w:val="00B67A3C"/>
    <w:rsid w:val="00B73C7D"/>
    <w:rsid w:val="00B80EE1"/>
    <w:rsid w:val="00B82F4E"/>
    <w:rsid w:val="00B84135"/>
    <w:rsid w:val="00B87C4A"/>
    <w:rsid w:val="00BE49BB"/>
    <w:rsid w:val="00BE6FB2"/>
    <w:rsid w:val="00BF215E"/>
    <w:rsid w:val="00C04D34"/>
    <w:rsid w:val="00C05DF8"/>
    <w:rsid w:val="00C06864"/>
    <w:rsid w:val="00C10F54"/>
    <w:rsid w:val="00C12274"/>
    <w:rsid w:val="00C13FB8"/>
    <w:rsid w:val="00C13FD9"/>
    <w:rsid w:val="00C1458C"/>
    <w:rsid w:val="00C238E0"/>
    <w:rsid w:val="00C23D8D"/>
    <w:rsid w:val="00C3633B"/>
    <w:rsid w:val="00C368C3"/>
    <w:rsid w:val="00C37AA3"/>
    <w:rsid w:val="00C37FD7"/>
    <w:rsid w:val="00C43419"/>
    <w:rsid w:val="00C43752"/>
    <w:rsid w:val="00C44CF3"/>
    <w:rsid w:val="00C47269"/>
    <w:rsid w:val="00C5105C"/>
    <w:rsid w:val="00C53C2B"/>
    <w:rsid w:val="00C558BE"/>
    <w:rsid w:val="00C61BE0"/>
    <w:rsid w:val="00C64917"/>
    <w:rsid w:val="00C66ED4"/>
    <w:rsid w:val="00C6707E"/>
    <w:rsid w:val="00C70B0E"/>
    <w:rsid w:val="00C719CE"/>
    <w:rsid w:val="00C723B9"/>
    <w:rsid w:val="00C75645"/>
    <w:rsid w:val="00C773CA"/>
    <w:rsid w:val="00C83785"/>
    <w:rsid w:val="00C94C0D"/>
    <w:rsid w:val="00CA1FEB"/>
    <w:rsid w:val="00CC5A26"/>
    <w:rsid w:val="00CC7732"/>
    <w:rsid w:val="00CD0056"/>
    <w:rsid w:val="00CD4F85"/>
    <w:rsid w:val="00CD6190"/>
    <w:rsid w:val="00CD6F02"/>
    <w:rsid w:val="00CE246D"/>
    <w:rsid w:val="00CE33D7"/>
    <w:rsid w:val="00CF07A0"/>
    <w:rsid w:val="00CF11D2"/>
    <w:rsid w:val="00CF3E03"/>
    <w:rsid w:val="00CF4D33"/>
    <w:rsid w:val="00D0082A"/>
    <w:rsid w:val="00D01648"/>
    <w:rsid w:val="00D11AF0"/>
    <w:rsid w:val="00D13A7C"/>
    <w:rsid w:val="00D21455"/>
    <w:rsid w:val="00D26723"/>
    <w:rsid w:val="00D27C9B"/>
    <w:rsid w:val="00D47634"/>
    <w:rsid w:val="00D54A4D"/>
    <w:rsid w:val="00D56026"/>
    <w:rsid w:val="00D628F7"/>
    <w:rsid w:val="00D709B3"/>
    <w:rsid w:val="00D81759"/>
    <w:rsid w:val="00D95480"/>
    <w:rsid w:val="00DA2ED6"/>
    <w:rsid w:val="00DA3AD3"/>
    <w:rsid w:val="00DA7A05"/>
    <w:rsid w:val="00DB76B8"/>
    <w:rsid w:val="00DC2EA1"/>
    <w:rsid w:val="00DD5B22"/>
    <w:rsid w:val="00DD6AAF"/>
    <w:rsid w:val="00DE3F5C"/>
    <w:rsid w:val="00DF1D20"/>
    <w:rsid w:val="00E01E18"/>
    <w:rsid w:val="00E17A6F"/>
    <w:rsid w:val="00E21324"/>
    <w:rsid w:val="00E246B9"/>
    <w:rsid w:val="00E31FEA"/>
    <w:rsid w:val="00E45169"/>
    <w:rsid w:val="00E47787"/>
    <w:rsid w:val="00E51B9B"/>
    <w:rsid w:val="00E51C30"/>
    <w:rsid w:val="00E64180"/>
    <w:rsid w:val="00E74AD3"/>
    <w:rsid w:val="00E74AEE"/>
    <w:rsid w:val="00E765B4"/>
    <w:rsid w:val="00E81D08"/>
    <w:rsid w:val="00E8678A"/>
    <w:rsid w:val="00E868E5"/>
    <w:rsid w:val="00E9237A"/>
    <w:rsid w:val="00E93123"/>
    <w:rsid w:val="00E939FA"/>
    <w:rsid w:val="00EA5765"/>
    <w:rsid w:val="00EB1693"/>
    <w:rsid w:val="00EB1DD8"/>
    <w:rsid w:val="00EC2532"/>
    <w:rsid w:val="00EC32F9"/>
    <w:rsid w:val="00EC49B3"/>
    <w:rsid w:val="00ED3BA4"/>
    <w:rsid w:val="00ED7812"/>
    <w:rsid w:val="00EE7C12"/>
    <w:rsid w:val="00EF0096"/>
    <w:rsid w:val="00EF3B86"/>
    <w:rsid w:val="00F01BD0"/>
    <w:rsid w:val="00F03789"/>
    <w:rsid w:val="00F108CD"/>
    <w:rsid w:val="00F16A95"/>
    <w:rsid w:val="00F17747"/>
    <w:rsid w:val="00F24C90"/>
    <w:rsid w:val="00F317E9"/>
    <w:rsid w:val="00F339F9"/>
    <w:rsid w:val="00F34554"/>
    <w:rsid w:val="00F354F4"/>
    <w:rsid w:val="00F44C54"/>
    <w:rsid w:val="00F45F77"/>
    <w:rsid w:val="00F5167F"/>
    <w:rsid w:val="00F52258"/>
    <w:rsid w:val="00F67120"/>
    <w:rsid w:val="00F8570A"/>
    <w:rsid w:val="00F859E4"/>
    <w:rsid w:val="00F9140E"/>
    <w:rsid w:val="00F91766"/>
    <w:rsid w:val="00F91C7B"/>
    <w:rsid w:val="00F931C7"/>
    <w:rsid w:val="00FB36E7"/>
    <w:rsid w:val="00FC3088"/>
    <w:rsid w:val="00FD0C82"/>
    <w:rsid w:val="00FD6FDC"/>
    <w:rsid w:val="00FE46CA"/>
    <w:rsid w:val="00FF2D9C"/>
    <w:rsid w:val="00FF5F82"/>
    <w:rsid w:val="1B5A0961"/>
    <w:rsid w:val="21EC59F0"/>
    <w:rsid w:val="268B6FC8"/>
    <w:rsid w:val="2B297F7E"/>
    <w:rsid w:val="484C6A03"/>
    <w:rsid w:val="4A0F5782"/>
    <w:rsid w:val="5A9A04BB"/>
    <w:rsid w:val="77AC6598"/>
    <w:rsid w:val="7FE66C57"/>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8CF34A"/>
  <w15:docId w15:val="{3BF68FE3-8876-42F9-B3F7-B4A1BEFC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autoRedefine/>
    <w:qFormat/>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autoRedefine/>
    <w:qFormat/>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autoRedefine/>
    <w:semiHidden/>
    <w:unhideWhenUsed/>
    <w:qFormat/>
    <w:pPr>
      <w:keepNext/>
      <w:ind w:left="72" w:hanging="72"/>
      <w:outlineLvl w:val="2"/>
    </w:pPr>
    <w:rPr>
      <w:rFonts w:ascii="Arial" w:hAnsi="Arial" w:cs="Arial"/>
      <w:i/>
      <w:iCs/>
      <w:color w:val="999999"/>
      <w:sz w:val="18"/>
    </w:rPr>
  </w:style>
  <w:style w:type="paragraph" w:styleId="Heading4">
    <w:name w:val="heading 4"/>
    <w:basedOn w:val="Normal"/>
    <w:next w:val="Normal"/>
    <w:link w:val="Heading4Char"/>
    <w:autoRedefine/>
    <w:semiHidden/>
    <w:unhideWhenUsed/>
    <w:qFormat/>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qFormat/>
    <w:rPr>
      <w:rFonts w:ascii="Tahoma" w:hAnsi="Tahoma" w:cs="Tahoma"/>
      <w:sz w:val="16"/>
      <w:szCs w:val="16"/>
    </w:rPr>
  </w:style>
  <w:style w:type="character" w:styleId="CommentReference">
    <w:name w:val="annotation reference"/>
    <w:autoRedefine/>
    <w:semiHidden/>
    <w:qFormat/>
    <w:rPr>
      <w:sz w:val="16"/>
      <w:szCs w:val="16"/>
    </w:rPr>
  </w:style>
  <w:style w:type="paragraph" w:styleId="CommentText">
    <w:name w:val="annotation text"/>
    <w:basedOn w:val="Normal"/>
    <w:link w:val="CommentTextChar"/>
    <w:autoRedefine/>
    <w:semiHidden/>
    <w:qFormat/>
    <w:rPr>
      <w:sz w:val="20"/>
      <w:szCs w:val="20"/>
    </w:rPr>
  </w:style>
  <w:style w:type="paragraph" w:styleId="CommentSubject">
    <w:name w:val="annotation subject"/>
    <w:basedOn w:val="CommentText"/>
    <w:next w:val="CommentText"/>
    <w:link w:val="CommentSubjectChar"/>
    <w:autoRedefine/>
    <w:semiHidden/>
    <w:qFormat/>
    <w:rPr>
      <w:b/>
      <w:bCs/>
    </w:rPr>
  </w:style>
  <w:style w:type="character" w:styleId="FollowedHyperlink">
    <w:name w:val="FollowedHyperlink"/>
    <w:basedOn w:val="DefaultParagraphFont"/>
    <w:autoRedefine/>
    <w:uiPriority w:val="99"/>
    <w:unhideWhenUsed/>
    <w:qFormat/>
    <w:rPr>
      <w:color w:val="954F72" w:themeColor="followedHyperlink"/>
      <w:u w:val="single"/>
    </w:rPr>
  </w:style>
  <w:style w:type="paragraph" w:styleId="Footer">
    <w:name w:val="footer"/>
    <w:basedOn w:val="Normal"/>
    <w:link w:val="FooterChar"/>
    <w:autoRedefine/>
    <w:uiPriority w:val="99"/>
    <w:qFormat/>
    <w:pPr>
      <w:tabs>
        <w:tab w:val="center" w:pos="4320"/>
        <w:tab w:val="right" w:pos="8640"/>
      </w:tabs>
    </w:pPr>
  </w:style>
  <w:style w:type="paragraph" w:styleId="Header">
    <w:name w:val="header"/>
    <w:basedOn w:val="Normal"/>
    <w:link w:val="HeaderChar"/>
    <w:autoRedefine/>
    <w:qFormat/>
    <w:pPr>
      <w:tabs>
        <w:tab w:val="center" w:pos="4320"/>
        <w:tab w:val="right" w:pos="8640"/>
      </w:tabs>
    </w:pPr>
  </w:style>
  <w:style w:type="character" w:styleId="Hyperlink">
    <w:name w:val="Hyperlink"/>
    <w:basedOn w:val="DefaultParagraphFont"/>
    <w:autoRedefine/>
    <w:qFormat/>
    <w:rPr>
      <w:color w:val="0563C1" w:themeColor="hyperlink"/>
      <w:u w:val="single"/>
    </w:rPr>
  </w:style>
  <w:style w:type="character" w:styleId="PageNumber">
    <w:name w:val="page number"/>
    <w:basedOn w:val="DefaultParagraphFont"/>
    <w:autoRedefine/>
    <w:qFormat/>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Pr>
      <w:sz w:val="24"/>
      <w:szCs w:val="24"/>
    </w:rPr>
  </w:style>
  <w:style w:type="character" w:customStyle="1" w:styleId="CommentTextChar">
    <w:name w:val="Comment Text Char"/>
    <w:link w:val="CommentText"/>
    <w:autoRedefine/>
    <w:semiHidden/>
    <w:qFormat/>
    <w:rPr>
      <w:lang w:val="en-US" w:eastAsia="en-US"/>
    </w:rPr>
  </w:style>
  <w:style w:type="character" w:customStyle="1" w:styleId="Heading1Char">
    <w:name w:val="Heading 1 Char"/>
    <w:basedOn w:val="DefaultParagraphFont"/>
    <w:link w:val="Heading1"/>
    <w:autoRedefine/>
    <w:qFormat/>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autoRedefine/>
    <w:semiHidden/>
    <w:qFormat/>
    <w:rPr>
      <w:rFonts w:ascii="Arial" w:hAnsi="Arial" w:cs="Arial"/>
      <w:i/>
      <w:iCs/>
      <w:color w:val="999999"/>
      <w:sz w:val="18"/>
      <w:szCs w:val="24"/>
      <w:lang w:val="en-US" w:eastAsia="en-US"/>
    </w:rPr>
  </w:style>
  <w:style w:type="character" w:customStyle="1" w:styleId="Heading4Char">
    <w:name w:val="Heading 4 Char"/>
    <w:basedOn w:val="DefaultParagraphFont"/>
    <w:link w:val="Heading4"/>
    <w:autoRedefine/>
    <w:semiHidden/>
    <w:qFormat/>
    <w:rPr>
      <w:rFonts w:ascii="Arial" w:hAnsi="Arial" w:cs="Arial"/>
      <w:i/>
      <w:iCs/>
      <w:color w:val="999999"/>
      <w:sz w:val="16"/>
      <w:szCs w:val="24"/>
      <w:lang w:val="en-US" w:eastAsia="en-US"/>
    </w:rPr>
  </w:style>
  <w:style w:type="character" w:customStyle="1" w:styleId="Heading2Char">
    <w:name w:val="Heading 2 Char"/>
    <w:basedOn w:val="DefaultParagraphFont"/>
    <w:link w:val="Heading2"/>
    <w:autoRedefine/>
    <w:qFormat/>
    <w:rPr>
      <w:rFonts w:ascii="Arial" w:hAnsi="Arial" w:cs="Arial"/>
      <w:i/>
      <w:iCs/>
      <w:color w:val="999999"/>
      <w:sz w:val="18"/>
      <w:szCs w:val="24"/>
      <w:lang w:val="en-US" w:eastAsia="en-US"/>
    </w:rPr>
  </w:style>
  <w:style w:type="paragraph" w:customStyle="1" w:styleId="msonormal0">
    <w:name w:val="msonormal"/>
    <w:basedOn w:val="Normal"/>
    <w:autoRedefine/>
    <w:qFormat/>
    <w:pPr>
      <w:spacing w:before="100" w:beforeAutospacing="1" w:after="100" w:afterAutospacing="1"/>
    </w:pPr>
    <w:rPr>
      <w:lang w:val="sr-Latn-ME" w:eastAsia="sr-Latn-ME"/>
    </w:rPr>
  </w:style>
  <w:style w:type="character" w:customStyle="1" w:styleId="HeaderChar">
    <w:name w:val="Header Char"/>
    <w:basedOn w:val="DefaultParagraphFont"/>
    <w:link w:val="Header"/>
    <w:autoRedefine/>
    <w:qFormat/>
    <w:locked/>
    <w:rPr>
      <w:sz w:val="24"/>
      <w:szCs w:val="24"/>
      <w:lang w:val="en-US" w:eastAsia="en-US"/>
    </w:rPr>
  </w:style>
  <w:style w:type="character" w:customStyle="1" w:styleId="HeaderChar1">
    <w:name w:val="Header Char1"/>
    <w:basedOn w:val="DefaultParagraphFont"/>
    <w:autoRedefine/>
    <w:semiHidden/>
    <w:qFormat/>
    <w:rPr>
      <w:sz w:val="22"/>
      <w:szCs w:val="24"/>
      <w:lang w:val="en-US" w:eastAsia="en-US"/>
    </w:rPr>
  </w:style>
  <w:style w:type="character" w:customStyle="1" w:styleId="HeaderChar2">
    <w:name w:val="Header Char2"/>
    <w:basedOn w:val="DefaultParagraphFont"/>
    <w:autoRedefine/>
    <w:semiHidden/>
    <w:qFormat/>
    <w:rPr>
      <w:sz w:val="22"/>
      <w:szCs w:val="24"/>
    </w:rPr>
  </w:style>
  <w:style w:type="character" w:customStyle="1" w:styleId="FooterChar">
    <w:name w:val="Footer Char"/>
    <w:basedOn w:val="DefaultParagraphFont"/>
    <w:link w:val="Footer"/>
    <w:autoRedefine/>
    <w:uiPriority w:val="99"/>
    <w:qFormat/>
    <w:rPr>
      <w:sz w:val="24"/>
      <w:szCs w:val="24"/>
      <w:lang w:val="en-US" w:eastAsia="en-US"/>
    </w:rPr>
  </w:style>
  <w:style w:type="character" w:customStyle="1" w:styleId="CommentSubjectChar">
    <w:name w:val="Comment Subject Char"/>
    <w:basedOn w:val="CommentTextChar"/>
    <w:link w:val="CommentSubject"/>
    <w:autoRedefine/>
    <w:semiHidden/>
    <w:qFormat/>
    <w:rPr>
      <w:b/>
      <w:bCs/>
      <w:lang w:val="en-US"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lang w:val="en-US" w:eastAsia="en-US"/>
    </w:rPr>
  </w:style>
  <w:style w:type="paragraph" w:customStyle="1" w:styleId="Revision1">
    <w:name w:val="Revision1"/>
    <w:autoRedefine/>
    <w:uiPriority w:val="99"/>
    <w:semiHidden/>
    <w:qFormat/>
    <w:rPr>
      <w:sz w:val="22"/>
      <w:szCs w:val="24"/>
    </w:rPr>
  </w:style>
  <w:style w:type="paragraph" w:styleId="ListParagraph">
    <w:name w:val="List Paragraph"/>
    <w:basedOn w:val="Normal"/>
    <w:autoRedefine/>
    <w:uiPriority w:val="34"/>
    <w:qFormat/>
    <w:pPr>
      <w:tabs>
        <w:tab w:val="left" w:pos="284"/>
      </w:tabs>
      <w:ind w:left="720"/>
      <w:contextualSpacing/>
      <w:jc w:val="both"/>
    </w:pPr>
    <w:rPr>
      <w:sz w:val="22"/>
    </w:rPr>
  </w:style>
  <w:style w:type="paragraph" w:customStyle="1" w:styleId="NASLOV123">
    <w:name w:val="NASLOV 123"/>
    <w:basedOn w:val="Normal"/>
    <w:autoRedefine/>
    <w:qFormat/>
    <w:pPr>
      <w:tabs>
        <w:tab w:val="left" w:pos="284"/>
      </w:tabs>
      <w:spacing w:before="200" w:after="200"/>
    </w:pPr>
    <w:rPr>
      <w:b/>
      <w:sz w:val="22"/>
      <w:szCs w:val="22"/>
    </w:rPr>
  </w:style>
  <w:style w:type="paragraph" w:customStyle="1" w:styleId="TableContents">
    <w:name w:val="Table Contents"/>
    <w:basedOn w:val="Normal"/>
    <w:autoRedefine/>
    <w:qFormat/>
    <w:pPr>
      <w:suppressLineNumbers/>
      <w:tabs>
        <w:tab w:val="left" w:pos="284"/>
      </w:tabs>
      <w:suppressAutoHyphens/>
      <w:jc w:val="both"/>
    </w:pPr>
    <w:rPr>
      <w:rFonts w:ascii="Humanist777" w:hAnsi="Humanist777"/>
      <w:lang w:eastAsia="ar-SA"/>
    </w:rPr>
  </w:style>
  <w:style w:type="paragraph" w:customStyle="1" w:styleId="Default">
    <w:name w:val="Default"/>
    <w:autoRedefine/>
    <w:qFormat/>
    <w:pPr>
      <w:widowControl w:val="0"/>
      <w:autoSpaceDE w:val="0"/>
      <w:autoSpaceDN w:val="0"/>
      <w:adjustRightInd w:val="0"/>
    </w:pPr>
    <w:rPr>
      <w:rFonts w:ascii="AEMOKG+TimesNewRoman,Bold" w:hAnsi="AEMOKG+TimesNewRoman,Bold"/>
      <w:color w:val="000000"/>
      <w:sz w:val="24"/>
      <w:szCs w:val="24"/>
    </w:rPr>
  </w:style>
  <w:style w:type="paragraph" w:customStyle="1" w:styleId="TableFootnoteLetter">
    <w:name w:val="Table Footnote Letter"/>
    <w:autoRedefine/>
    <w:qFormat/>
    <w:pPr>
      <w:keepLines/>
      <w:numPr>
        <w:numId w:val="1"/>
      </w:numPr>
      <w:spacing w:before="40" w:line="240" w:lineRule="exact"/>
    </w:pPr>
    <w:rPr>
      <w:rFonts w:ascii="Verdana" w:eastAsia="MS Mincho" w:hAnsi="Verdana"/>
      <w:sz w:val="16"/>
      <w:szCs w:val="18"/>
      <w:lang w:eastAsia="ja-JP"/>
    </w:rPr>
  </w:style>
  <w:style w:type="character" w:customStyle="1" w:styleId="EMEANormalChar">
    <w:name w:val="EMEA Normal Char"/>
    <w:link w:val="EMEANormal"/>
    <w:autoRedefine/>
    <w:qFormat/>
    <w:locked/>
    <w:rPr>
      <w:sz w:val="22"/>
    </w:rPr>
  </w:style>
  <w:style w:type="paragraph" w:customStyle="1" w:styleId="EMEANormal">
    <w:name w:val="EMEA Normal"/>
    <w:link w:val="EMEANormalChar"/>
    <w:autoRedefine/>
    <w:qFormat/>
    <w:pPr>
      <w:tabs>
        <w:tab w:val="left" w:pos="562"/>
      </w:tabs>
      <w:suppressAutoHyphens/>
    </w:pPr>
    <w:rPr>
      <w:sz w:val="22"/>
      <w:lang w:val="sr-Latn-ME" w:eastAsia="sr-Latn-ME"/>
    </w:rPr>
  </w:style>
  <w:style w:type="character" w:customStyle="1" w:styleId="TableLeftChar">
    <w:name w:val="Table Left Char"/>
    <w:link w:val="TableLeft"/>
    <w:autoRedefine/>
    <w:qFormat/>
    <w:locked/>
    <w:rPr>
      <w:rFonts w:ascii="Calibri" w:eastAsia="Calibri" w:hAnsi="Calibri" w:cs="Calibri"/>
      <w:lang w:eastAsia="ja-JP"/>
    </w:rPr>
  </w:style>
  <w:style w:type="paragraph" w:customStyle="1" w:styleId="TableLeft">
    <w:name w:val="Table Left"/>
    <w:basedOn w:val="Normal"/>
    <w:link w:val="TableLeftChar"/>
    <w:autoRedefine/>
    <w:qFormat/>
    <w:pPr>
      <w:keepNext/>
      <w:spacing w:before="40" w:after="40" w:line="240" w:lineRule="exact"/>
    </w:pPr>
    <w:rPr>
      <w:rFonts w:ascii="Calibri" w:eastAsia="Calibri" w:hAnsi="Calibri" w:cs="Calibri"/>
      <w:sz w:val="20"/>
      <w:szCs w:val="20"/>
      <w:lang w:val="sr-Latn-M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s://vigiflow-eforms.who-umc.org/me/meadr"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zeljenadejstva@cinmed.m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www.cinmed.me"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2D2D-AB03-4E0B-926E-49915A06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23945</Words>
  <Characters>136493</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Berina Ljuca</cp:lastModifiedBy>
  <cp:revision>4</cp:revision>
  <dcterms:created xsi:type="dcterms:W3CDTF">2024-11-18T10:10:00Z</dcterms:created>
  <dcterms:modified xsi:type="dcterms:W3CDTF">2024-11-18T10:25:00Z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1033-12.2.0.16731</vt:lpwstr>
  </property>
  <property fmtid="{D5CDD505-2E9C-101B-9397-08002B2CF9AE}" pid="4" name="ICV">
    <vt:lpwstr>CEFBF60790184116BF13812AD0B8BB0E_13</vt:lpwstr>
  </property>
</Properties>
</file>