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0"/>
      </w:tblGrid>
      <w:tr w:rsidR="007176E0" w:rsidRPr="00094BB2" w14:paraId="341F32D5" w14:textId="77777777" w:rsidTr="000520B4">
        <w:trPr>
          <w:trHeight w:val="530"/>
        </w:trPr>
        <w:tc>
          <w:tcPr>
            <w:tcW w:w="9360" w:type="dxa"/>
          </w:tcPr>
          <w:p w14:paraId="75B822E2" w14:textId="41E324A4" w:rsidR="007176E0" w:rsidRPr="00094BB2" w:rsidRDefault="007176E0" w:rsidP="007176E0">
            <w:pPr>
              <w:tabs>
                <w:tab w:val="left" w:pos="284"/>
              </w:tabs>
              <w:jc w:val="center"/>
              <w:rPr>
                <w:b/>
                <w:bCs/>
                <w:iCs/>
                <w:u w:val="single"/>
                <w:lang w:val="sr-Cyrl-ME"/>
              </w:rPr>
            </w:pPr>
            <w:r w:rsidRPr="00094BB2">
              <w:rPr>
                <w:b/>
                <w:bCs/>
                <w:iCs/>
                <w:u w:val="single"/>
                <w:lang w:val="sr-Cyrl-ME"/>
              </w:rPr>
              <w:t>САЖЕТАК КАРАКТЕРИСТИКА ЛИЈЕКА</w:t>
            </w:r>
          </w:p>
        </w:tc>
      </w:tr>
    </w:tbl>
    <w:p w14:paraId="1EBA54F0" w14:textId="32473A34" w:rsidR="007176E0" w:rsidRPr="00094BB2" w:rsidRDefault="007176E0" w:rsidP="007176E0">
      <w:pPr>
        <w:tabs>
          <w:tab w:val="left" w:pos="284"/>
        </w:tabs>
        <w:spacing w:after="0" w:line="240" w:lineRule="auto"/>
        <w:jc w:val="both"/>
        <w:rPr>
          <w:rFonts w:ascii="Times New Roman" w:eastAsia="Times New Roman" w:hAnsi="Times New Roman" w:cs="Times New Roman"/>
          <w:lang w:val="sr-Cyrl-ME" w:eastAsia="en-GB"/>
        </w:rPr>
      </w:pPr>
    </w:p>
    <w:tbl>
      <w:tblPr>
        <w:tblW w:w="9639" w:type="dxa"/>
        <w:tblLook w:val="0000" w:firstRow="0" w:lastRow="0" w:firstColumn="0" w:lastColumn="0" w:noHBand="0" w:noVBand="0"/>
      </w:tblPr>
      <w:tblGrid>
        <w:gridCol w:w="828"/>
        <w:gridCol w:w="360"/>
        <w:gridCol w:w="1620"/>
        <w:gridCol w:w="6831"/>
      </w:tblGrid>
      <w:tr w:rsidR="007176E0" w:rsidRPr="00094BB2" w14:paraId="1217F928" w14:textId="77777777" w:rsidTr="000520B4">
        <w:trPr>
          <w:trHeight w:val="284"/>
        </w:trPr>
        <w:tc>
          <w:tcPr>
            <w:tcW w:w="9639" w:type="dxa"/>
            <w:gridSpan w:val="4"/>
            <w:shd w:val="clear" w:color="auto" w:fill="auto"/>
            <w:vAlign w:val="center"/>
          </w:tcPr>
          <w:p w14:paraId="6D593375" w14:textId="77777777" w:rsidR="007176E0" w:rsidRPr="00094BB2" w:rsidRDefault="007176E0" w:rsidP="007176E0">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lang w:val="sr-Cyrl-ME"/>
              </w:rPr>
              <w:br w:type="page"/>
            </w:r>
            <w:r w:rsidRPr="00094BB2">
              <w:rPr>
                <w:rFonts w:ascii="Times New Roman" w:eastAsia="Times New Roman" w:hAnsi="Times New Roman" w:cs="Times New Roman"/>
                <w:b/>
                <w:bCs/>
                <w:lang w:val="sr-Cyrl-ME"/>
              </w:rPr>
              <w:t>1. НАЗИВ ЛИЈЕКА</w:t>
            </w:r>
          </w:p>
        </w:tc>
      </w:tr>
      <w:tr w:rsidR="007176E0" w:rsidRPr="00094BB2" w14:paraId="58366F78" w14:textId="77777777" w:rsidTr="007176E0">
        <w:trPr>
          <w:trHeight w:val="525"/>
        </w:trPr>
        <w:tc>
          <w:tcPr>
            <w:tcW w:w="9639" w:type="dxa"/>
            <w:gridSpan w:val="4"/>
            <w:vAlign w:val="center"/>
          </w:tcPr>
          <w:p w14:paraId="3CBE2B81" w14:textId="77777777" w:rsidR="007176E0" w:rsidRPr="00094BB2" w:rsidRDefault="007176E0" w:rsidP="007176E0">
            <w:pPr>
              <w:tabs>
                <w:tab w:val="left" w:pos="284"/>
              </w:tabs>
              <w:autoSpaceDE w:val="0"/>
              <w:autoSpaceDN w:val="0"/>
              <w:adjustRightInd w:val="0"/>
              <w:spacing w:after="0" w:line="240" w:lineRule="auto"/>
              <w:rPr>
                <w:rFonts w:ascii="Times New Roman" w:eastAsia="Times New Roman" w:hAnsi="Times New Roman" w:cs="Times New Roman"/>
                <w:bCs/>
                <w:lang w:val="sr-Cyrl-ME"/>
              </w:rPr>
            </w:pPr>
          </w:p>
          <w:p w14:paraId="6697C1A3" w14:textId="77670782" w:rsidR="007176E0" w:rsidRPr="00094BB2" w:rsidRDefault="007176E0" w:rsidP="007176E0">
            <w:pPr>
              <w:tabs>
                <w:tab w:val="left" w:pos="284"/>
              </w:tabs>
              <w:autoSpaceDE w:val="0"/>
              <w:autoSpaceDN w:val="0"/>
              <w:adjustRightInd w:val="0"/>
              <w:spacing w:after="0" w:line="240" w:lineRule="auto"/>
              <w:rPr>
                <w:rFonts w:ascii="Times New Roman" w:eastAsia="Times New Roman" w:hAnsi="Times New Roman" w:cs="Times New Roman"/>
                <w:bCs/>
                <w:lang w:val="sr-Cyrl-ME"/>
              </w:rPr>
            </w:pPr>
            <w:r w:rsidRPr="00094BB2">
              <w:rPr>
                <w:rFonts w:ascii="Times New Roman" w:eastAsia="Times New Roman" w:hAnsi="Times New Roman" w:cs="Times New Roman"/>
                <w:bCs/>
                <w:lang w:val="sr-Cyrl-ME"/>
              </w:rPr>
              <w:t>NIFUROKSAZID ALKALOID, 100 mg, капсула, тврда</w:t>
            </w:r>
          </w:p>
          <w:p w14:paraId="66EC78E2" w14:textId="4697FE30" w:rsidR="007176E0" w:rsidRPr="00094BB2" w:rsidRDefault="007176E0" w:rsidP="007176E0">
            <w:pPr>
              <w:tabs>
                <w:tab w:val="left" w:pos="284"/>
              </w:tabs>
              <w:autoSpaceDE w:val="0"/>
              <w:autoSpaceDN w:val="0"/>
              <w:adjustRightInd w:val="0"/>
              <w:spacing w:after="0" w:line="240" w:lineRule="auto"/>
              <w:rPr>
                <w:rFonts w:ascii="Times New Roman" w:eastAsia="Times New Roman" w:hAnsi="Times New Roman" w:cs="Times New Roman"/>
                <w:bCs/>
                <w:lang w:val="sr-Cyrl-ME"/>
              </w:rPr>
            </w:pPr>
            <w:r w:rsidRPr="00094BB2">
              <w:rPr>
                <w:rFonts w:ascii="Times New Roman" w:eastAsia="Times New Roman" w:hAnsi="Times New Roman" w:cs="Times New Roman"/>
                <w:bCs/>
                <w:lang w:val="sr-Cyrl-ME"/>
              </w:rPr>
              <w:t>NIFUROKSAZID ALKALOID, 200 mg, капсула, тврда</w:t>
            </w:r>
          </w:p>
          <w:p w14:paraId="18E65ACF" w14:textId="77777777" w:rsidR="007176E0" w:rsidRPr="00094BB2" w:rsidRDefault="007176E0" w:rsidP="007176E0">
            <w:pPr>
              <w:tabs>
                <w:tab w:val="left" w:pos="284"/>
              </w:tabs>
              <w:autoSpaceDE w:val="0"/>
              <w:autoSpaceDN w:val="0"/>
              <w:adjustRightInd w:val="0"/>
              <w:spacing w:after="0" w:line="240" w:lineRule="auto"/>
              <w:rPr>
                <w:rFonts w:ascii="Times New Roman" w:eastAsia="Times New Roman" w:hAnsi="Times New Roman" w:cs="Times New Roman"/>
                <w:lang w:val="sr-Cyrl-ME"/>
              </w:rPr>
            </w:pPr>
          </w:p>
        </w:tc>
      </w:tr>
      <w:tr w:rsidR="007176E0" w:rsidRPr="00094BB2" w14:paraId="6E3F85F4" w14:textId="77777777" w:rsidTr="007176E0">
        <w:trPr>
          <w:trHeight w:val="338"/>
        </w:trPr>
        <w:tc>
          <w:tcPr>
            <w:tcW w:w="828" w:type="dxa"/>
            <w:vAlign w:val="center"/>
          </w:tcPr>
          <w:p w14:paraId="3B5F383E" w14:textId="77777777" w:rsidR="007176E0" w:rsidRPr="00094BB2" w:rsidRDefault="007176E0" w:rsidP="007176E0">
            <w:pPr>
              <w:tabs>
                <w:tab w:val="left" w:pos="284"/>
              </w:tabs>
              <w:spacing w:after="0" w:line="240" w:lineRule="auto"/>
              <w:jc w:val="center"/>
              <w:rPr>
                <w:rFonts w:ascii="Times New Roman" w:eastAsia="Times New Roman" w:hAnsi="Times New Roman" w:cs="Times New Roman"/>
                <w:lang w:val="sr-Cyrl-ME"/>
              </w:rPr>
            </w:pPr>
            <w:r w:rsidRPr="00094BB2">
              <w:rPr>
                <w:rFonts w:ascii="Times New Roman" w:eastAsia="Times New Roman" w:hAnsi="Times New Roman" w:cs="Times New Roman"/>
                <w:lang w:val="sr-Cyrl-ME"/>
              </w:rPr>
              <w:t>ИНН:</w:t>
            </w:r>
          </w:p>
        </w:tc>
        <w:tc>
          <w:tcPr>
            <w:tcW w:w="8811" w:type="dxa"/>
            <w:gridSpan w:val="3"/>
            <w:vAlign w:val="center"/>
          </w:tcPr>
          <w:p w14:paraId="4EFD80B5" w14:textId="77777777" w:rsidR="007176E0" w:rsidRPr="00094BB2" w:rsidRDefault="007176E0" w:rsidP="007176E0">
            <w:pPr>
              <w:tabs>
                <w:tab w:val="left" w:pos="284"/>
              </w:tabs>
              <w:spacing w:after="0" w:line="240" w:lineRule="auto"/>
              <w:rPr>
                <w:rFonts w:ascii="Times New Roman" w:eastAsia="Times New Roman" w:hAnsi="Times New Roman" w:cs="Times New Roman"/>
                <w:lang w:val="sr-Cyrl-ME"/>
              </w:rPr>
            </w:pPr>
            <w:r w:rsidRPr="00094BB2">
              <w:rPr>
                <w:rFonts w:ascii="Times New Roman" w:eastAsia="Times New Roman" w:hAnsi="Times New Roman" w:cs="Times New Roman"/>
                <w:lang w:val="sr-Cyrl-ME" w:eastAsia="en-GB"/>
              </w:rPr>
              <w:t>нифуроксазид</w:t>
            </w:r>
          </w:p>
        </w:tc>
      </w:tr>
      <w:tr w:rsidR="007176E0" w:rsidRPr="00094BB2" w14:paraId="063A7D41" w14:textId="77777777" w:rsidTr="007176E0">
        <w:tc>
          <w:tcPr>
            <w:tcW w:w="9639" w:type="dxa"/>
            <w:gridSpan w:val="4"/>
            <w:shd w:val="clear" w:color="auto" w:fill="auto"/>
            <w:vAlign w:val="center"/>
          </w:tcPr>
          <w:p w14:paraId="3E3028AE" w14:textId="77777777" w:rsidR="007176E0" w:rsidRPr="00094BB2" w:rsidRDefault="007176E0" w:rsidP="007176E0">
            <w:pPr>
              <w:tabs>
                <w:tab w:val="left" w:pos="284"/>
              </w:tabs>
              <w:spacing w:after="0" w:line="240" w:lineRule="auto"/>
              <w:rPr>
                <w:rFonts w:ascii="Times New Roman" w:eastAsia="Times New Roman" w:hAnsi="Times New Roman" w:cs="Times New Roman"/>
                <w:b/>
                <w:bCs/>
                <w:lang w:val="sr-Cyrl-ME"/>
              </w:rPr>
            </w:pPr>
          </w:p>
          <w:p w14:paraId="1602D88E" w14:textId="41DFB504" w:rsidR="00870F1F" w:rsidRPr="00094BB2" w:rsidRDefault="00870F1F" w:rsidP="007176E0">
            <w:pPr>
              <w:tabs>
                <w:tab w:val="left" w:pos="284"/>
              </w:tabs>
              <w:spacing w:after="0" w:line="240" w:lineRule="auto"/>
              <w:rPr>
                <w:rFonts w:ascii="Times New Roman" w:eastAsia="Times New Roman" w:hAnsi="Times New Roman" w:cs="Times New Roman"/>
                <w:b/>
                <w:bCs/>
                <w:lang w:val="sr-Cyrl-ME"/>
              </w:rPr>
            </w:pPr>
          </w:p>
        </w:tc>
      </w:tr>
      <w:tr w:rsidR="007176E0" w:rsidRPr="00094BB2" w14:paraId="1F03F592" w14:textId="77777777" w:rsidTr="000520B4">
        <w:trPr>
          <w:trHeight w:val="325"/>
        </w:trPr>
        <w:tc>
          <w:tcPr>
            <w:tcW w:w="9639" w:type="dxa"/>
            <w:gridSpan w:val="4"/>
            <w:shd w:val="clear" w:color="auto" w:fill="auto"/>
            <w:vAlign w:val="center"/>
          </w:tcPr>
          <w:p w14:paraId="0CE3ECE6" w14:textId="77777777" w:rsidR="007176E0" w:rsidRPr="00094BB2" w:rsidRDefault="007176E0" w:rsidP="007176E0">
            <w:pPr>
              <w:tabs>
                <w:tab w:val="left" w:pos="284"/>
              </w:tabs>
              <w:spacing w:after="0" w:line="240" w:lineRule="auto"/>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2. КВАЛИТАТИВНИ И КВАНТИТАТИВНИ САСТАВ</w:t>
            </w:r>
          </w:p>
        </w:tc>
      </w:tr>
      <w:tr w:rsidR="007176E0" w:rsidRPr="00094BB2" w14:paraId="473097F7" w14:textId="77777777" w:rsidTr="000520B4">
        <w:trPr>
          <w:trHeight w:val="1145"/>
        </w:trPr>
        <w:tc>
          <w:tcPr>
            <w:tcW w:w="9639" w:type="dxa"/>
            <w:gridSpan w:val="4"/>
            <w:shd w:val="clear" w:color="auto" w:fill="auto"/>
            <w:vAlign w:val="center"/>
          </w:tcPr>
          <w:p w14:paraId="75F0967C" w14:textId="77777777" w:rsidR="007176E0" w:rsidRPr="00094BB2" w:rsidRDefault="007176E0" w:rsidP="007176E0">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p>
          <w:p w14:paraId="2B6A408B" w14:textId="0FBD8868" w:rsidR="003F6CD9" w:rsidRPr="00094BB2" w:rsidRDefault="003F6CD9" w:rsidP="00C9407B">
            <w:pPr>
              <w:tabs>
                <w:tab w:val="left" w:pos="284"/>
              </w:tabs>
              <w:autoSpaceDE w:val="0"/>
              <w:autoSpaceDN w:val="0"/>
              <w:adjustRightInd w:val="0"/>
              <w:spacing w:after="0" w:line="240" w:lineRule="auto"/>
              <w:rPr>
                <w:rFonts w:ascii="Times New Roman" w:eastAsia="Times New Roman" w:hAnsi="Times New Roman" w:cs="Times New Roman"/>
                <w:bCs/>
                <w:u w:val="single"/>
                <w:lang w:val="sr-Cyrl-ME"/>
              </w:rPr>
            </w:pPr>
            <w:r w:rsidRPr="00094BB2">
              <w:rPr>
                <w:rFonts w:ascii="Times New Roman" w:eastAsia="Times New Roman" w:hAnsi="Times New Roman" w:cs="Times New Roman"/>
                <w:bCs/>
                <w:u w:val="single"/>
                <w:lang w:val="sr-Cyrl-ME"/>
              </w:rPr>
              <w:t>NIFUROKSAZID ALKALOID, 100 mg, капсула, тврда</w:t>
            </w:r>
          </w:p>
          <w:p w14:paraId="29CA18F2" w14:textId="01FB61EF" w:rsidR="007176E0" w:rsidRPr="00094BB2" w:rsidRDefault="007176E0" w:rsidP="007176E0">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Једна капсула, тврда садржи 100 mg нифуроксазида.</w:t>
            </w:r>
          </w:p>
          <w:p w14:paraId="3BC6E491" w14:textId="58B6D5C1" w:rsidR="003F6CD9" w:rsidRPr="00094BB2" w:rsidRDefault="003F6CD9" w:rsidP="007176E0">
            <w:pPr>
              <w:tabs>
                <w:tab w:val="left" w:pos="284"/>
              </w:tabs>
              <w:spacing w:after="0" w:line="240" w:lineRule="auto"/>
              <w:jc w:val="both"/>
              <w:rPr>
                <w:rFonts w:ascii="Times New Roman" w:eastAsia="Times New Roman" w:hAnsi="Times New Roman" w:cs="Times New Roman"/>
                <w:lang w:val="sr-Cyrl-ME"/>
              </w:rPr>
            </w:pPr>
          </w:p>
          <w:p w14:paraId="7A8BE89B" w14:textId="77777777" w:rsidR="003F6CD9" w:rsidRPr="00094BB2" w:rsidRDefault="003F6CD9" w:rsidP="003F6CD9">
            <w:pPr>
              <w:tabs>
                <w:tab w:val="left" w:pos="284"/>
              </w:tabs>
              <w:autoSpaceDE w:val="0"/>
              <w:autoSpaceDN w:val="0"/>
              <w:adjustRightInd w:val="0"/>
              <w:spacing w:after="0" w:line="240" w:lineRule="auto"/>
              <w:rPr>
                <w:rFonts w:ascii="Times New Roman" w:eastAsia="Times New Roman" w:hAnsi="Times New Roman" w:cs="Times New Roman"/>
                <w:bCs/>
                <w:u w:val="single"/>
                <w:lang w:val="sr-Cyrl-ME"/>
              </w:rPr>
            </w:pPr>
            <w:r w:rsidRPr="00094BB2">
              <w:rPr>
                <w:rFonts w:ascii="Times New Roman" w:eastAsia="Times New Roman" w:hAnsi="Times New Roman" w:cs="Times New Roman"/>
                <w:bCs/>
                <w:u w:val="single"/>
                <w:lang w:val="sr-Cyrl-ME"/>
              </w:rPr>
              <w:t>NIFUROKSAZID ALKALOID, 200 mg, капсула, тврда</w:t>
            </w:r>
          </w:p>
          <w:p w14:paraId="0BA24D37" w14:textId="2B827079" w:rsidR="003F6CD9" w:rsidRPr="00094BB2" w:rsidRDefault="003F6CD9" w:rsidP="003F6CD9">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Једна капсула, тврда садржи 200 mg нифуроксазида.</w:t>
            </w:r>
          </w:p>
          <w:p w14:paraId="492BC62B" w14:textId="77777777" w:rsidR="007176E0" w:rsidRPr="00094BB2" w:rsidRDefault="007176E0" w:rsidP="007176E0">
            <w:pPr>
              <w:tabs>
                <w:tab w:val="left" w:pos="284"/>
              </w:tabs>
              <w:spacing w:after="0" w:line="240" w:lineRule="auto"/>
              <w:jc w:val="both"/>
              <w:rPr>
                <w:rFonts w:ascii="Times New Roman" w:eastAsia="Times New Roman" w:hAnsi="Times New Roman" w:cs="Times New Roman"/>
                <w:lang w:val="sr-Cyrl-ME"/>
              </w:rPr>
            </w:pPr>
          </w:p>
          <w:p w14:paraId="0F190633" w14:textId="77777777" w:rsidR="007176E0" w:rsidRPr="00094BB2" w:rsidRDefault="007176E0" w:rsidP="007176E0">
            <w:pPr>
              <w:spacing w:after="0" w:line="240" w:lineRule="auto"/>
              <w:rPr>
                <w:rFonts w:ascii="Times New Roman" w:eastAsia="Times New Roman" w:hAnsi="Times New Roman" w:cs="Times New Roman"/>
                <w:lang w:val="sr-Cyrl-ME"/>
              </w:rPr>
            </w:pPr>
          </w:p>
          <w:p w14:paraId="4E0F7B83" w14:textId="34B82509" w:rsidR="007176E0" w:rsidRPr="00094BB2" w:rsidRDefault="007176E0" w:rsidP="007176E0">
            <w:pPr>
              <w:spacing w:after="0" w:line="240" w:lineRule="auto"/>
              <w:rPr>
                <w:rFonts w:ascii="Times New Roman" w:eastAsia="Times New Roman" w:hAnsi="Times New Roman" w:cs="Times New Roman"/>
                <w:lang w:val="sr-Cyrl-ME"/>
              </w:rPr>
            </w:pPr>
            <w:r w:rsidRPr="00094BB2">
              <w:rPr>
                <w:rFonts w:ascii="Times New Roman" w:eastAsia="Times New Roman" w:hAnsi="Times New Roman" w:cs="Times New Roman"/>
                <w:lang w:val="sr-Cyrl-ME"/>
              </w:rPr>
              <w:t xml:space="preserve">За </w:t>
            </w:r>
            <w:r w:rsidR="002471BF" w:rsidRPr="00094BB2">
              <w:rPr>
                <w:rFonts w:ascii="Times New Roman" w:eastAsia="Times New Roman" w:hAnsi="Times New Roman" w:cs="Times New Roman"/>
                <w:lang w:val="sr-Cyrl-ME"/>
              </w:rPr>
              <w:t>списак</w:t>
            </w:r>
            <w:r w:rsidRPr="00094BB2">
              <w:rPr>
                <w:rFonts w:ascii="Times New Roman" w:eastAsia="Times New Roman" w:hAnsi="Times New Roman" w:cs="Times New Roman"/>
                <w:lang w:val="sr-Cyrl-ME"/>
              </w:rPr>
              <w:t xml:space="preserve"> свих </w:t>
            </w:r>
            <w:r w:rsidR="002471BF" w:rsidRPr="00094BB2">
              <w:rPr>
                <w:rFonts w:ascii="Times New Roman" w:eastAsia="Times New Roman" w:hAnsi="Times New Roman" w:cs="Times New Roman"/>
                <w:lang w:val="sr-Cyrl-ME"/>
              </w:rPr>
              <w:t>ексципијенаса</w:t>
            </w:r>
            <w:r w:rsidRPr="00094BB2">
              <w:rPr>
                <w:rFonts w:ascii="Times New Roman" w:eastAsia="Times New Roman" w:hAnsi="Times New Roman" w:cs="Times New Roman"/>
                <w:lang w:val="sr-Cyrl-ME"/>
              </w:rPr>
              <w:t xml:space="preserve">, </w:t>
            </w:r>
            <w:r w:rsidR="002471BF" w:rsidRPr="00094BB2">
              <w:rPr>
                <w:rFonts w:ascii="Times New Roman" w:eastAsia="Times New Roman" w:hAnsi="Times New Roman" w:cs="Times New Roman"/>
                <w:lang w:val="sr-Cyrl-ME"/>
              </w:rPr>
              <w:t>погледати дио</w:t>
            </w:r>
            <w:r w:rsidRPr="00094BB2">
              <w:rPr>
                <w:rFonts w:ascii="Times New Roman" w:eastAsia="Times New Roman" w:hAnsi="Times New Roman" w:cs="Times New Roman"/>
                <w:lang w:val="sr-Cyrl-ME"/>
              </w:rPr>
              <w:t xml:space="preserve"> 6.1. </w:t>
            </w:r>
          </w:p>
          <w:p w14:paraId="2B252855" w14:textId="77777777" w:rsidR="007176E0" w:rsidRPr="00094BB2" w:rsidRDefault="007176E0" w:rsidP="007176E0">
            <w:pPr>
              <w:tabs>
                <w:tab w:val="left" w:pos="284"/>
                <w:tab w:val="center" w:pos="4536"/>
                <w:tab w:val="right" w:pos="9072"/>
              </w:tabs>
              <w:spacing w:after="0" w:line="240" w:lineRule="auto"/>
              <w:jc w:val="both"/>
              <w:rPr>
                <w:rFonts w:ascii="Times New Roman" w:eastAsia="Times New Roman" w:hAnsi="Times New Roman" w:cs="Times New Roman"/>
                <w:lang w:val="sr-Cyrl-ME"/>
              </w:rPr>
            </w:pPr>
          </w:p>
          <w:p w14:paraId="43023824" w14:textId="452803C3" w:rsidR="00870F1F" w:rsidRPr="00094BB2" w:rsidRDefault="00870F1F" w:rsidP="007176E0">
            <w:pPr>
              <w:tabs>
                <w:tab w:val="left" w:pos="284"/>
                <w:tab w:val="center" w:pos="4536"/>
                <w:tab w:val="right" w:pos="9072"/>
              </w:tabs>
              <w:spacing w:after="0" w:line="240" w:lineRule="auto"/>
              <w:jc w:val="both"/>
              <w:rPr>
                <w:rFonts w:ascii="Times New Roman" w:eastAsia="Times New Roman" w:hAnsi="Times New Roman" w:cs="Times New Roman"/>
                <w:lang w:val="sr-Cyrl-ME"/>
              </w:rPr>
            </w:pPr>
          </w:p>
        </w:tc>
      </w:tr>
      <w:tr w:rsidR="007176E0" w:rsidRPr="00094BB2" w14:paraId="529554DB" w14:textId="77777777" w:rsidTr="000520B4">
        <w:trPr>
          <w:trHeight w:val="387"/>
        </w:trPr>
        <w:tc>
          <w:tcPr>
            <w:tcW w:w="9639" w:type="dxa"/>
            <w:gridSpan w:val="4"/>
            <w:shd w:val="clear" w:color="auto" w:fill="auto"/>
            <w:vAlign w:val="center"/>
          </w:tcPr>
          <w:p w14:paraId="2E42C53C" w14:textId="77777777" w:rsidR="007176E0" w:rsidRPr="00094BB2" w:rsidRDefault="007176E0" w:rsidP="007176E0">
            <w:pPr>
              <w:tabs>
                <w:tab w:val="left" w:pos="284"/>
              </w:tabs>
              <w:spacing w:after="0" w:line="240" w:lineRule="auto"/>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3. ФАРМАЦЕУТСКИ ОБЛИК</w:t>
            </w:r>
          </w:p>
        </w:tc>
      </w:tr>
      <w:tr w:rsidR="007176E0" w:rsidRPr="00094BB2" w14:paraId="3FD1C78B" w14:textId="77777777" w:rsidTr="007176E0">
        <w:trPr>
          <w:trHeight w:val="1145"/>
        </w:trPr>
        <w:tc>
          <w:tcPr>
            <w:tcW w:w="9639" w:type="dxa"/>
            <w:gridSpan w:val="4"/>
            <w:vAlign w:val="center"/>
          </w:tcPr>
          <w:p w14:paraId="45E52907" w14:textId="77777777" w:rsidR="007176E0" w:rsidRPr="00094BB2" w:rsidRDefault="007176E0" w:rsidP="007176E0">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p>
          <w:p w14:paraId="0363D8B9" w14:textId="77777777" w:rsidR="007176E0" w:rsidRPr="00094BB2" w:rsidRDefault="007176E0" w:rsidP="007176E0">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 xml:space="preserve">Капсула, тврда. </w:t>
            </w:r>
          </w:p>
          <w:p w14:paraId="287DE941" w14:textId="77777777" w:rsidR="007176E0" w:rsidRPr="00094BB2" w:rsidRDefault="007176E0" w:rsidP="007176E0">
            <w:pPr>
              <w:tabs>
                <w:tab w:val="left" w:pos="284"/>
              </w:tabs>
              <w:spacing w:after="0" w:line="240" w:lineRule="auto"/>
              <w:jc w:val="both"/>
              <w:rPr>
                <w:rFonts w:ascii="Times New Roman" w:eastAsia="Times New Roman" w:hAnsi="Times New Roman" w:cs="Times New Roman"/>
                <w:u w:val="single"/>
                <w:lang w:val="sr-Cyrl-ME"/>
              </w:rPr>
            </w:pPr>
          </w:p>
          <w:p w14:paraId="016A375C" w14:textId="707C4DFC" w:rsidR="007176E0" w:rsidRPr="00094BB2" w:rsidRDefault="007176E0" w:rsidP="007176E0">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bCs/>
                <w:lang w:val="sr-Cyrl-ME"/>
              </w:rPr>
              <w:t xml:space="preserve">NIFUROKSAZID ALKALOID, </w:t>
            </w:r>
            <w:r w:rsidRPr="00094BB2">
              <w:rPr>
                <w:rFonts w:ascii="Times New Roman" w:eastAsia="Times New Roman" w:hAnsi="Times New Roman" w:cs="Times New Roman"/>
                <w:lang w:val="sr-Cyrl-ME"/>
              </w:rPr>
              <w:t>100 mg, капсула, тврда: жута непрозирна тврда желатинска капсула величине 2, испуњена свијетложутим прашком.</w:t>
            </w:r>
          </w:p>
          <w:p w14:paraId="62DA889B" w14:textId="6BC8B434" w:rsidR="007176E0" w:rsidRPr="00094BB2" w:rsidRDefault="007176E0" w:rsidP="007176E0">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bCs/>
                <w:lang w:val="sr-Cyrl-ME"/>
              </w:rPr>
              <w:t xml:space="preserve">NIFUROKSAZID ALKALOID, </w:t>
            </w:r>
            <w:r w:rsidRPr="00094BB2">
              <w:rPr>
                <w:rFonts w:ascii="Times New Roman" w:eastAsia="Times New Roman" w:hAnsi="Times New Roman" w:cs="Times New Roman"/>
                <w:lang w:val="sr-Cyrl-ME"/>
              </w:rPr>
              <w:t>200 mg, капсула, тврда: жута непрозирна тврда желатинска капсула величине 1, испуњена свијетложутим прашком.</w:t>
            </w:r>
          </w:p>
          <w:p w14:paraId="170252FF" w14:textId="77777777" w:rsidR="007176E0" w:rsidRPr="00094BB2" w:rsidRDefault="007176E0" w:rsidP="007176E0">
            <w:pPr>
              <w:tabs>
                <w:tab w:val="left" w:pos="284"/>
              </w:tabs>
              <w:spacing w:after="0" w:line="240" w:lineRule="auto"/>
              <w:jc w:val="both"/>
              <w:rPr>
                <w:rFonts w:ascii="Times New Roman" w:eastAsia="Times New Roman" w:hAnsi="Times New Roman" w:cs="Times New Roman"/>
                <w:lang w:val="sr-Cyrl-ME"/>
              </w:rPr>
            </w:pPr>
          </w:p>
          <w:p w14:paraId="74B78763" w14:textId="585A3078" w:rsidR="00870F1F" w:rsidRPr="00094BB2" w:rsidRDefault="00870F1F" w:rsidP="007176E0">
            <w:pPr>
              <w:tabs>
                <w:tab w:val="left" w:pos="284"/>
              </w:tabs>
              <w:spacing w:after="0" w:line="240" w:lineRule="auto"/>
              <w:jc w:val="both"/>
              <w:rPr>
                <w:rFonts w:ascii="Times New Roman" w:eastAsia="Times New Roman" w:hAnsi="Times New Roman" w:cs="Times New Roman"/>
                <w:lang w:val="sr-Cyrl-ME"/>
              </w:rPr>
            </w:pPr>
          </w:p>
        </w:tc>
      </w:tr>
      <w:tr w:rsidR="007176E0" w:rsidRPr="00094BB2" w14:paraId="68E17FE6" w14:textId="77777777" w:rsidTr="000520B4">
        <w:tc>
          <w:tcPr>
            <w:tcW w:w="9639" w:type="dxa"/>
            <w:gridSpan w:val="4"/>
            <w:shd w:val="clear" w:color="auto" w:fill="auto"/>
            <w:vAlign w:val="center"/>
          </w:tcPr>
          <w:p w14:paraId="6DE0EC98" w14:textId="77777777" w:rsidR="007176E0" w:rsidRPr="00094BB2" w:rsidRDefault="007176E0" w:rsidP="00C9407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4. КЛИНИЧКИ ПОДАЦИ</w:t>
            </w:r>
          </w:p>
        </w:tc>
      </w:tr>
      <w:tr w:rsidR="007176E0" w:rsidRPr="00094BB2" w14:paraId="179207D0" w14:textId="77777777" w:rsidTr="007176E0">
        <w:tc>
          <w:tcPr>
            <w:tcW w:w="9639" w:type="dxa"/>
            <w:gridSpan w:val="4"/>
            <w:vAlign w:val="center"/>
          </w:tcPr>
          <w:p w14:paraId="73257C12" w14:textId="77777777" w:rsidR="00094BB2" w:rsidRDefault="00094BB2" w:rsidP="00094BB2">
            <w:pPr>
              <w:tabs>
                <w:tab w:val="left" w:pos="284"/>
              </w:tabs>
              <w:spacing w:after="0" w:line="240" w:lineRule="auto"/>
              <w:jc w:val="both"/>
              <w:rPr>
                <w:rFonts w:ascii="Times New Roman" w:eastAsia="Times New Roman" w:hAnsi="Times New Roman" w:cs="Times New Roman"/>
                <w:b/>
                <w:bCs/>
                <w:lang w:val="sr-Cyrl-ME"/>
              </w:rPr>
            </w:pPr>
          </w:p>
          <w:p w14:paraId="2DF47DFC" w14:textId="5EE786A6" w:rsidR="007176E0" w:rsidRPr="00094BB2" w:rsidRDefault="007176E0" w:rsidP="00094BB2">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4.1. Терапијске индикације</w:t>
            </w:r>
          </w:p>
        </w:tc>
      </w:tr>
      <w:tr w:rsidR="007176E0" w:rsidRPr="00094BB2" w14:paraId="461D89E1" w14:textId="77777777" w:rsidTr="00924B9B">
        <w:trPr>
          <w:trHeight w:val="1791"/>
        </w:trPr>
        <w:tc>
          <w:tcPr>
            <w:tcW w:w="9639" w:type="dxa"/>
            <w:gridSpan w:val="4"/>
            <w:vAlign w:val="center"/>
          </w:tcPr>
          <w:p w14:paraId="5842732E" w14:textId="77777777" w:rsidR="007176E0" w:rsidRPr="00094BB2" w:rsidRDefault="007176E0" w:rsidP="00C9407B">
            <w:pPr>
              <w:spacing w:after="0" w:line="240" w:lineRule="auto"/>
              <w:jc w:val="both"/>
              <w:rPr>
                <w:rFonts w:ascii="Times New Roman" w:eastAsia="Times New Roman" w:hAnsi="Times New Roman" w:cs="Times New Roman"/>
                <w:lang w:val="sr-Cyrl-ME"/>
              </w:rPr>
            </w:pPr>
          </w:p>
          <w:p w14:paraId="7E9DC3C1" w14:textId="65E4481D" w:rsidR="000F4E16" w:rsidRPr="00094BB2" w:rsidRDefault="000F4E16">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Као додатак рехидратацији, симптоматска терапијa акутне дијареје, најчешће бактеријског поријекла, без инвазивних симптома (погоршање општег стања, повишена тјелесна температура, знакови интоксикације итд.).</w:t>
            </w:r>
          </w:p>
          <w:p w14:paraId="3ED42028" w14:textId="6211914C" w:rsidR="007176E0" w:rsidRPr="00094BB2" w:rsidRDefault="000F4E16" w:rsidP="00C9407B">
            <w:pPr>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Терапија не искључује дијетарни режим и рехидратацију, уколико је неопходно. Рехидратација (орална или интравенска) мора бити прилагођена стању пацијента, интензитету дијареје, годинама итд.</w:t>
            </w:r>
          </w:p>
          <w:p w14:paraId="62ED5688" w14:textId="0FBC1DE9" w:rsidR="000F4E16" w:rsidRPr="00094BB2" w:rsidRDefault="000F4E16" w:rsidP="00C9407B">
            <w:pPr>
              <w:spacing w:after="0" w:line="240" w:lineRule="auto"/>
              <w:jc w:val="both"/>
              <w:rPr>
                <w:rFonts w:ascii="Times New Roman" w:eastAsia="Times New Roman" w:hAnsi="Times New Roman" w:cs="Times New Roman"/>
                <w:lang w:val="sr-Cyrl-ME"/>
              </w:rPr>
            </w:pPr>
          </w:p>
        </w:tc>
      </w:tr>
      <w:tr w:rsidR="007176E0" w:rsidRPr="00094BB2" w14:paraId="778D1610" w14:textId="77777777" w:rsidTr="007176E0">
        <w:tc>
          <w:tcPr>
            <w:tcW w:w="9639" w:type="dxa"/>
            <w:gridSpan w:val="4"/>
            <w:vAlign w:val="center"/>
          </w:tcPr>
          <w:p w14:paraId="763F5AD8"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4.2. Дозирање и начин примјене</w:t>
            </w:r>
          </w:p>
        </w:tc>
      </w:tr>
      <w:tr w:rsidR="007176E0" w:rsidRPr="00094BB2" w14:paraId="222B8AE5" w14:textId="77777777" w:rsidTr="007176E0">
        <w:trPr>
          <w:trHeight w:val="782"/>
        </w:trPr>
        <w:tc>
          <w:tcPr>
            <w:tcW w:w="9639" w:type="dxa"/>
            <w:gridSpan w:val="4"/>
            <w:vAlign w:val="center"/>
          </w:tcPr>
          <w:p w14:paraId="7A945EEB" w14:textId="77777777" w:rsidR="007176E0" w:rsidRPr="00094BB2" w:rsidRDefault="007176E0" w:rsidP="00AF4EDB">
            <w:pPr>
              <w:spacing w:after="0" w:line="240" w:lineRule="auto"/>
              <w:jc w:val="both"/>
              <w:rPr>
                <w:rFonts w:ascii="Times New Roman" w:eastAsia="Times New Roman" w:hAnsi="Times New Roman" w:cs="Times New Roman"/>
                <w:lang w:val="sr-Cyrl-ME"/>
              </w:rPr>
            </w:pPr>
          </w:p>
          <w:p w14:paraId="290A47FF" w14:textId="0860ADCB" w:rsidR="007176E0" w:rsidRPr="00094BB2" w:rsidRDefault="007176E0" w:rsidP="00AF4EDB">
            <w:pPr>
              <w:tabs>
                <w:tab w:val="left" w:pos="284"/>
              </w:tabs>
              <w:spacing w:after="0" w:line="240" w:lineRule="auto"/>
              <w:jc w:val="both"/>
              <w:rPr>
                <w:rFonts w:ascii="Times New Roman" w:eastAsia="Times New Roman" w:hAnsi="Times New Roman" w:cs="Times New Roman"/>
                <w:u w:val="single"/>
                <w:lang w:val="sr-Cyrl-ME"/>
              </w:rPr>
            </w:pPr>
            <w:r w:rsidRPr="00094BB2">
              <w:rPr>
                <w:rFonts w:ascii="Times New Roman" w:eastAsia="Times New Roman" w:hAnsi="Times New Roman" w:cs="Times New Roman"/>
                <w:u w:val="single"/>
                <w:lang w:val="sr-Cyrl-ME"/>
              </w:rPr>
              <w:t>Дозирање</w:t>
            </w:r>
          </w:p>
          <w:p w14:paraId="7FF808B4" w14:textId="66543215" w:rsidR="00AF4EDB" w:rsidRPr="00094BB2" w:rsidRDefault="00AF4EDB" w:rsidP="00AF4ED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 xml:space="preserve">Лијек се примјењује код одраслих и дјеце старије од 6 година. </w:t>
            </w:r>
          </w:p>
          <w:p w14:paraId="0A78C766"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lang w:val="sr-Cyrl-ME"/>
              </w:rPr>
            </w:pPr>
          </w:p>
          <w:p w14:paraId="56864BA7" w14:textId="367E0529" w:rsidR="007176E0" w:rsidRPr="00094BB2" w:rsidRDefault="007176E0">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i/>
                <w:lang w:val="sr-Cyrl-ME"/>
              </w:rPr>
              <w:t>Одрасли:</w:t>
            </w:r>
            <w:r w:rsidR="00D35F21" w:rsidRPr="00094BB2">
              <w:rPr>
                <w:rFonts w:ascii="Times New Roman" w:eastAsia="Times New Roman" w:hAnsi="Times New Roman" w:cs="Times New Roman"/>
                <w:i/>
                <w:lang w:val="sr-Cyrl-ME"/>
              </w:rPr>
              <w:t xml:space="preserve"> </w:t>
            </w:r>
            <w:r w:rsidR="000F4E16" w:rsidRPr="00094BB2">
              <w:rPr>
                <w:rFonts w:ascii="Times New Roman" w:eastAsia="Times New Roman" w:hAnsi="Times New Roman" w:cs="Times New Roman"/>
                <w:lang w:val="sr-Cyrl-ME"/>
              </w:rPr>
              <w:t>4 пута дневно по</w:t>
            </w:r>
            <w:r w:rsidRPr="00094BB2">
              <w:rPr>
                <w:rFonts w:ascii="Times New Roman" w:eastAsia="Times New Roman" w:hAnsi="Times New Roman" w:cs="Times New Roman"/>
                <w:i/>
                <w:lang w:val="sr-Cyrl-ME"/>
              </w:rPr>
              <w:t xml:space="preserve"> </w:t>
            </w:r>
            <w:r w:rsidRPr="00094BB2">
              <w:rPr>
                <w:rFonts w:ascii="Times New Roman" w:eastAsia="Times New Roman" w:hAnsi="Times New Roman" w:cs="Times New Roman"/>
                <w:lang w:val="sr-Cyrl-ME"/>
              </w:rPr>
              <w:t xml:space="preserve">200 mg (једна капсула од 200 mg или двије капсуле од 100 mg), </w:t>
            </w:r>
            <w:r w:rsidR="00B54E0C" w:rsidRPr="00094BB2">
              <w:rPr>
                <w:rFonts w:ascii="Times New Roman" w:eastAsia="Times New Roman" w:hAnsi="Times New Roman" w:cs="Times New Roman"/>
                <w:lang w:val="sr-Cyrl-ME"/>
              </w:rPr>
              <w:t>(укупно 800 mg нифуроксазида дневно)</w:t>
            </w:r>
            <w:r w:rsidRPr="00094BB2">
              <w:rPr>
                <w:rFonts w:ascii="Times New Roman" w:eastAsia="Times New Roman" w:hAnsi="Times New Roman" w:cs="Times New Roman"/>
                <w:lang w:val="sr-Cyrl-ME"/>
              </w:rPr>
              <w:t>.</w:t>
            </w:r>
          </w:p>
          <w:p w14:paraId="4D1BC4A8" w14:textId="1B98CA6B" w:rsidR="00D35F21" w:rsidRPr="00094BB2" w:rsidRDefault="00D35F21">
            <w:pPr>
              <w:tabs>
                <w:tab w:val="left" w:pos="284"/>
              </w:tabs>
              <w:spacing w:after="0" w:line="240" w:lineRule="auto"/>
              <w:jc w:val="both"/>
              <w:rPr>
                <w:rFonts w:ascii="Times New Roman" w:eastAsia="Times New Roman" w:hAnsi="Times New Roman" w:cs="Times New Roman"/>
                <w:b/>
                <w:lang w:val="sr-Cyrl-ME"/>
              </w:rPr>
            </w:pPr>
            <w:r w:rsidRPr="00094BB2">
              <w:rPr>
                <w:rFonts w:ascii="Times New Roman" w:eastAsia="Times New Roman" w:hAnsi="Times New Roman" w:cs="Times New Roman"/>
                <w:i/>
                <w:lang w:val="sr-Cyrl-ME"/>
              </w:rPr>
              <w:t xml:space="preserve"> </w:t>
            </w:r>
          </w:p>
          <w:p w14:paraId="792C1C68" w14:textId="1E80A3BC" w:rsidR="007176E0" w:rsidRPr="00094BB2" w:rsidRDefault="007176E0">
            <w:pPr>
              <w:tabs>
                <w:tab w:val="left" w:pos="284"/>
              </w:tabs>
              <w:spacing w:after="0" w:line="240" w:lineRule="auto"/>
              <w:jc w:val="both"/>
              <w:rPr>
                <w:rFonts w:ascii="Times New Roman" w:eastAsia="Times New Roman" w:hAnsi="Times New Roman" w:cs="Times New Roman"/>
                <w:i/>
                <w:lang w:val="sr-Cyrl-ME"/>
              </w:rPr>
            </w:pPr>
            <w:r w:rsidRPr="00094BB2">
              <w:rPr>
                <w:rFonts w:ascii="Times New Roman" w:eastAsia="Times New Roman" w:hAnsi="Times New Roman" w:cs="Times New Roman"/>
                <w:i/>
                <w:lang w:val="sr-Cyrl-ME"/>
              </w:rPr>
              <w:t xml:space="preserve">Дјеца (старија од </w:t>
            </w:r>
            <w:r w:rsidR="00D35F21" w:rsidRPr="00094BB2">
              <w:rPr>
                <w:rFonts w:ascii="Times New Roman" w:eastAsia="Times New Roman" w:hAnsi="Times New Roman" w:cs="Times New Roman"/>
                <w:i/>
                <w:lang w:val="sr-Cyrl-ME"/>
              </w:rPr>
              <w:t>6</w:t>
            </w:r>
            <w:r w:rsidRPr="00094BB2">
              <w:rPr>
                <w:rFonts w:ascii="Times New Roman" w:eastAsia="Times New Roman" w:hAnsi="Times New Roman" w:cs="Times New Roman"/>
                <w:i/>
                <w:lang w:val="sr-Cyrl-ME"/>
              </w:rPr>
              <w:t xml:space="preserve"> година):</w:t>
            </w:r>
            <w:r w:rsidR="00D35F21" w:rsidRPr="00094BB2">
              <w:rPr>
                <w:rFonts w:ascii="Times New Roman" w:eastAsia="Times New Roman" w:hAnsi="Times New Roman" w:cs="Times New Roman"/>
                <w:lang w:val="sr-Cyrl-ME"/>
              </w:rPr>
              <w:t xml:space="preserve"> 3-4 пута дневно по 200 mg</w:t>
            </w:r>
            <w:r w:rsidR="00D35F21" w:rsidRPr="00094BB2" w:rsidDel="00D35F21">
              <w:rPr>
                <w:rFonts w:ascii="Times New Roman" w:eastAsia="Times New Roman" w:hAnsi="Times New Roman" w:cs="Times New Roman"/>
                <w:lang w:val="sr-Cyrl-ME"/>
              </w:rPr>
              <w:t xml:space="preserve"> </w:t>
            </w:r>
            <w:r w:rsidR="00D35F21" w:rsidRPr="00094BB2">
              <w:rPr>
                <w:rFonts w:ascii="Times New Roman" w:eastAsia="Times New Roman" w:hAnsi="Times New Roman" w:cs="Times New Roman"/>
                <w:lang w:val="sr-Cyrl-ME"/>
              </w:rPr>
              <w:t xml:space="preserve">(једна капсула од 200 mg или двије капсуле од 100 mg), </w:t>
            </w:r>
            <w:r w:rsidRPr="00094BB2">
              <w:rPr>
                <w:rFonts w:ascii="Times New Roman" w:eastAsia="Times New Roman" w:hAnsi="Times New Roman" w:cs="Times New Roman"/>
                <w:lang w:val="sr-Cyrl-ME"/>
              </w:rPr>
              <w:t>(укупно 600 mg до 800 mg) нифуроксазида дневно.</w:t>
            </w:r>
          </w:p>
          <w:p w14:paraId="489C6DEA" w14:textId="79ADBACB" w:rsidR="007176E0" w:rsidRPr="00094BB2" w:rsidRDefault="007176E0">
            <w:pPr>
              <w:tabs>
                <w:tab w:val="left" w:pos="284"/>
              </w:tabs>
              <w:spacing w:after="0" w:line="240" w:lineRule="auto"/>
              <w:jc w:val="both"/>
              <w:rPr>
                <w:rFonts w:ascii="Times New Roman" w:eastAsia="Times New Roman" w:hAnsi="Times New Roman" w:cs="Times New Roman"/>
                <w:i/>
                <w:lang w:val="sr-Cyrl-ME"/>
              </w:rPr>
            </w:pPr>
            <w:r w:rsidRPr="00094BB2">
              <w:rPr>
                <w:rFonts w:ascii="Times New Roman" w:eastAsia="Times New Roman" w:hAnsi="Times New Roman" w:cs="Times New Roman"/>
                <w:i/>
                <w:lang w:val="sr-Cyrl-ME"/>
              </w:rPr>
              <w:t xml:space="preserve">Напомена: </w:t>
            </w:r>
          </w:p>
          <w:p w14:paraId="34318CC4" w14:textId="77777777" w:rsidR="007176E0" w:rsidRPr="00094BB2" w:rsidRDefault="007176E0">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lastRenderedPageBreak/>
              <w:t xml:space="preserve">Tрајање терапије нифуроксазидом је ограничено на седам дана. </w:t>
            </w:r>
          </w:p>
          <w:p w14:paraId="6BF1FE1D" w14:textId="77777777" w:rsidR="007176E0" w:rsidRPr="00094BB2" w:rsidRDefault="007176E0">
            <w:pPr>
              <w:tabs>
                <w:tab w:val="left" w:pos="284"/>
                <w:tab w:val="left" w:pos="709"/>
              </w:tabs>
              <w:spacing w:after="0" w:line="240" w:lineRule="auto"/>
              <w:jc w:val="both"/>
              <w:rPr>
                <w:rFonts w:ascii="Times New Roman" w:eastAsia="Times New Roman" w:hAnsi="Times New Roman" w:cs="Times New Roman"/>
                <w:lang w:val="sr-Cyrl-ME"/>
              </w:rPr>
            </w:pPr>
          </w:p>
          <w:p w14:paraId="3DAE803E" w14:textId="48162263" w:rsidR="007176E0" w:rsidRPr="00094BB2" w:rsidRDefault="007176E0">
            <w:pPr>
              <w:tabs>
                <w:tab w:val="left" w:pos="284"/>
                <w:tab w:val="left" w:pos="709"/>
              </w:tabs>
              <w:spacing w:after="0" w:line="240" w:lineRule="auto"/>
              <w:jc w:val="both"/>
              <w:rPr>
                <w:rFonts w:ascii="Times New Roman" w:eastAsia="Times New Roman" w:hAnsi="Times New Roman" w:cs="Times New Roman"/>
                <w:u w:val="single"/>
                <w:lang w:val="sr-Cyrl-ME"/>
              </w:rPr>
            </w:pPr>
            <w:r w:rsidRPr="00094BB2">
              <w:rPr>
                <w:rFonts w:ascii="Times New Roman" w:eastAsia="Times New Roman" w:hAnsi="Times New Roman" w:cs="Times New Roman"/>
                <w:u w:val="single"/>
                <w:lang w:val="sr-Cyrl-ME"/>
              </w:rPr>
              <w:t>Начин примјене</w:t>
            </w:r>
          </w:p>
          <w:p w14:paraId="6A7A9EF7" w14:textId="77777777" w:rsidR="007176E0" w:rsidRPr="00094BB2" w:rsidRDefault="007176E0">
            <w:pPr>
              <w:tabs>
                <w:tab w:val="left" w:pos="284"/>
                <w:tab w:val="left" w:pos="709"/>
              </w:tabs>
              <w:spacing w:after="0" w:line="240" w:lineRule="auto"/>
              <w:jc w:val="both"/>
              <w:rPr>
                <w:rFonts w:ascii="Times New Roman" w:eastAsia="Times New Roman" w:hAnsi="Times New Roman" w:cs="Times New Roman"/>
                <w:lang w:val="sr-Cyrl-ME"/>
              </w:rPr>
            </w:pPr>
          </w:p>
          <w:p w14:paraId="7D315EC4" w14:textId="7CEFE6E0" w:rsidR="007176E0" w:rsidRPr="00094BB2" w:rsidRDefault="007176E0">
            <w:pPr>
              <w:tabs>
                <w:tab w:val="left" w:pos="284"/>
                <w:tab w:val="left" w:pos="709"/>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 xml:space="preserve">Лијек </w:t>
            </w:r>
            <w:r w:rsidRPr="00094BB2">
              <w:rPr>
                <w:rFonts w:ascii="Times New Roman" w:eastAsia="Times New Roman" w:hAnsi="Times New Roman" w:cs="Times New Roman"/>
                <w:bCs/>
                <w:lang w:val="sr-Cyrl-ME"/>
              </w:rPr>
              <w:t>NIFUROKSAZID ALKALOID</w:t>
            </w:r>
            <w:r w:rsidRPr="00094BB2">
              <w:rPr>
                <w:rFonts w:ascii="Times New Roman" w:eastAsia="Times New Roman" w:hAnsi="Times New Roman" w:cs="Times New Roman"/>
                <w:bCs/>
                <w:vertAlign w:val="superscript"/>
                <w:lang w:val="sr-Cyrl-ME"/>
              </w:rPr>
              <w:t xml:space="preserve"> </w:t>
            </w:r>
            <w:r w:rsidRPr="00094BB2">
              <w:rPr>
                <w:rFonts w:ascii="Times New Roman" w:eastAsia="Times New Roman" w:hAnsi="Times New Roman" w:cs="Times New Roman"/>
                <w:bCs/>
                <w:lang w:val="sr-Cyrl-ME"/>
              </w:rPr>
              <w:t xml:space="preserve">у облику </w:t>
            </w:r>
            <w:r w:rsidRPr="00094BB2">
              <w:rPr>
                <w:rFonts w:ascii="Times New Roman" w:eastAsia="Times New Roman" w:hAnsi="Times New Roman" w:cs="Times New Roman"/>
                <w:lang w:val="sr-Cyrl-ME"/>
              </w:rPr>
              <w:t>капсула је намијењен за оралну употребу.</w:t>
            </w:r>
          </w:p>
          <w:p w14:paraId="1A791B29" w14:textId="3F11A512" w:rsidR="000F4E16" w:rsidRPr="00094BB2" w:rsidRDefault="00D35F21">
            <w:pPr>
              <w:tabs>
                <w:tab w:val="left" w:pos="284"/>
                <w:tab w:val="left" w:pos="709"/>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Капсуле прогутати цијеле</w:t>
            </w:r>
            <w:r w:rsidR="000F4E16" w:rsidRPr="00094BB2">
              <w:rPr>
                <w:rFonts w:ascii="Times New Roman" w:eastAsia="Times New Roman" w:hAnsi="Times New Roman" w:cs="Times New Roman"/>
                <w:lang w:val="sr-Cyrl-ME"/>
              </w:rPr>
              <w:t xml:space="preserve"> са чашом воде.</w:t>
            </w:r>
          </w:p>
          <w:p w14:paraId="6A0D7AC3" w14:textId="77777777" w:rsidR="007176E0" w:rsidRPr="00094BB2" w:rsidRDefault="007176E0">
            <w:pPr>
              <w:spacing w:after="0" w:line="240" w:lineRule="auto"/>
              <w:jc w:val="both"/>
              <w:rPr>
                <w:rFonts w:ascii="Times New Roman" w:eastAsia="Times New Roman" w:hAnsi="Times New Roman" w:cs="Times New Roman"/>
                <w:lang w:val="sr-Cyrl-ME"/>
              </w:rPr>
            </w:pPr>
          </w:p>
        </w:tc>
      </w:tr>
      <w:tr w:rsidR="007176E0" w:rsidRPr="00094BB2" w14:paraId="675403BA" w14:textId="77777777" w:rsidTr="007176E0">
        <w:tc>
          <w:tcPr>
            <w:tcW w:w="9639" w:type="dxa"/>
            <w:gridSpan w:val="4"/>
            <w:vAlign w:val="center"/>
          </w:tcPr>
          <w:p w14:paraId="7B7C36EC" w14:textId="77777777" w:rsidR="007176E0" w:rsidRPr="00094BB2" w:rsidRDefault="007176E0" w:rsidP="00C9407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lastRenderedPageBreak/>
              <w:t>4.3. Контраиндикације</w:t>
            </w:r>
          </w:p>
        </w:tc>
      </w:tr>
      <w:tr w:rsidR="007176E0" w:rsidRPr="00094BB2" w14:paraId="506F57B3" w14:textId="77777777" w:rsidTr="007176E0">
        <w:trPr>
          <w:trHeight w:val="726"/>
        </w:trPr>
        <w:tc>
          <w:tcPr>
            <w:tcW w:w="9639" w:type="dxa"/>
            <w:gridSpan w:val="4"/>
            <w:vAlign w:val="center"/>
          </w:tcPr>
          <w:p w14:paraId="1D1FEA7D" w14:textId="77777777" w:rsidR="007176E0" w:rsidRPr="00094BB2" w:rsidRDefault="007176E0" w:rsidP="00C9407B">
            <w:pPr>
              <w:tabs>
                <w:tab w:val="left" w:pos="284"/>
              </w:tabs>
              <w:spacing w:after="0" w:line="240" w:lineRule="auto"/>
              <w:jc w:val="both"/>
              <w:rPr>
                <w:rFonts w:ascii="Times New Roman" w:eastAsia="Times New Roman" w:hAnsi="Times New Roman" w:cs="Times New Roman"/>
                <w:lang w:val="sr-Cyrl-ME"/>
              </w:rPr>
            </w:pPr>
          </w:p>
          <w:p w14:paraId="6C7370CF" w14:textId="1755E97F" w:rsidR="007176E0" w:rsidRPr="00094BB2" w:rsidRDefault="007176E0" w:rsidP="00AF4EDB">
            <w:pPr>
              <w:tabs>
                <w:tab w:val="left" w:pos="284"/>
                <w:tab w:val="left" w:pos="720"/>
              </w:tabs>
              <w:autoSpaceDE w:val="0"/>
              <w:autoSpaceDN w:val="0"/>
              <w:adjustRightInd w:val="0"/>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 xml:space="preserve">Преосјетљивост на </w:t>
            </w:r>
            <w:r w:rsidR="000F4E16" w:rsidRPr="00094BB2">
              <w:rPr>
                <w:rFonts w:ascii="Times New Roman" w:eastAsia="Times New Roman" w:hAnsi="Times New Roman" w:cs="Times New Roman"/>
                <w:lang w:val="sr-Cyrl-ME"/>
              </w:rPr>
              <w:t xml:space="preserve">активну супстанцу, </w:t>
            </w:r>
            <w:r w:rsidRPr="00094BB2">
              <w:rPr>
                <w:rFonts w:ascii="Times New Roman" w:eastAsia="Times New Roman" w:hAnsi="Times New Roman" w:cs="Times New Roman"/>
                <w:lang w:val="sr-Cyrl-ME"/>
              </w:rPr>
              <w:t>деривате нитрофурана или било кој</w:t>
            </w:r>
            <w:r w:rsidR="00AC2636" w:rsidRPr="00094BB2">
              <w:rPr>
                <w:rFonts w:ascii="Times New Roman" w:eastAsia="Times New Roman" w:hAnsi="Times New Roman" w:cs="Times New Roman"/>
                <w:lang w:val="sr-Cyrl-ME"/>
              </w:rPr>
              <w:t>у</w:t>
            </w:r>
            <w:r w:rsidRPr="00094BB2">
              <w:rPr>
                <w:rFonts w:ascii="Times New Roman" w:eastAsia="Times New Roman" w:hAnsi="Times New Roman" w:cs="Times New Roman"/>
                <w:lang w:val="sr-Cyrl-ME"/>
              </w:rPr>
              <w:t xml:space="preserve"> од помоћних супстанци лијека (наведено у </w:t>
            </w:r>
            <w:r w:rsidR="002471BF" w:rsidRPr="00094BB2">
              <w:rPr>
                <w:rFonts w:ascii="Times New Roman" w:eastAsia="Times New Roman" w:hAnsi="Times New Roman" w:cs="Times New Roman"/>
                <w:lang w:val="sr-Cyrl-ME"/>
              </w:rPr>
              <w:t>дијелу</w:t>
            </w:r>
            <w:r w:rsidRPr="00094BB2">
              <w:rPr>
                <w:rFonts w:ascii="Times New Roman" w:eastAsia="Times New Roman" w:hAnsi="Times New Roman" w:cs="Times New Roman"/>
                <w:lang w:val="sr-Cyrl-ME"/>
              </w:rPr>
              <w:t xml:space="preserve"> 6.1).</w:t>
            </w:r>
          </w:p>
          <w:p w14:paraId="23BBA645" w14:textId="603DEBE0" w:rsidR="007176E0" w:rsidRPr="00094BB2" w:rsidRDefault="007176E0" w:rsidP="00AF4EDB">
            <w:pPr>
              <w:tabs>
                <w:tab w:val="left" w:pos="284"/>
                <w:tab w:val="left" w:pos="720"/>
              </w:tabs>
              <w:autoSpaceDE w:val="0"/>
              <w:autoSpaceDN w:val="0"/>
              <w:adjustRightInd w:val="0"/>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 xml:space="preserve">Лијек није намијењен за примјену код дјеце млађе од </w:t>
            </w:r>
            <w:r w:rsidR="00D35F21" w:rsidRPr="00094BB2">
              <w:rPr>
                <w:rFonts w:ascii="Times New Roman" w:eastAsia="Times New Roman" w:hAnsi="Times New Roman" w:cs="Times New Roman"/>
                <w:lang w:val="sr-Cyrl-ME"/>
              </w:rPr>
              <w:t>6</w:t>
            </w:r>
            <w:r w:rsidRPr="00094BB2">
              <w:rPr>
                <w:rFonts w:ascii="Times New Roman" w:eastAsia="Times New Roman" w:hAnsi="Times New Roman" w:cs="Times New Roman"/>
                <w:lang w:val="sr-Cyrl-ME"/>
              </w:rPr>
              <w:t xml:space="preserve"> година.</w:t>
            </w:r>
          </w:p>
          <w:p w14:paraId="70E65C49" w14:textId="77777777" w:rsidR="007176E0" w:rsidRPr="00094BB2" w:rsidRDefault="007176E0" w:rsidP="00C9407B">
            <w:pPr>
              <w:tabs>
                <w:tab w:val="left" w:pos="284"/>
              </w:tabs>
              <w:spacing w:after="0" w:line="240" w:lineRule="auto"/>
              <w:jc w:val="both"/>
              <w:rPr>
                <w:rFonts w:ascii="Times New Roman" w:eastAsia="Times New Roman" w:hAnsi="Times New Roman" w:cs="Times New Roman"/>
                <w:lang w:val="sr-Cyrl-ME"/>
              </w:rPr>
            </w:pPr>
          </w:p>
        </w:tc>
      </w:tr>
      <w:tr w:rsidR="007176E0" w:rsidRPr="00094BB2" w14:paraId="23523875" w14:textId="77777777" w:rsidTr="007176E0">
        <w:tc>
          <w:tcPr>
            <w:tcW w:w="9639" w:type="dxa"/>
            <w:gridSpan w:val="4"/>
            <w:vAlign w:val="center"/>
          </w:tcPr>
          <w:p w14:paraId="5A845F8B"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4.4. Посебна упозорења и мјере опреза при употреби лијека</w:t>
            </w:r>
          </w:p>
        </w:tc>
      </w:tr>
      <w:tr w:rsidR="007176E0" w:rsidRPr="00094BB2" w14:paraId="4EA35A2B" w14:textId="77777777" w:rsidTr="007176E0">
        <w:trPr>
          <w:trHeight w:val="1145"/>
        </w:trPr>
        <w:tc>
          <w:tcPr>
            <w:tcW w:w="9639" w:type="dxa"/>
            <w:gridSpan w:val="4"/>
            <w:vAlign w:val="center"/>
          </w:tcPr>
          <w:p w14:paraId="244C95A1" w14:textId="77777777" w:rsidR="007176E0" w:rsidRPr="00094BB2" w:rsidRDefault="007176E0" w:rsidP="00AF4EDB">
            <w:pPr>
              <w:spacing w:after="0" w:line="240" w:lineRule="auto"/>
              <w:jc w:val="both"/>
              <w:rPr>
                <w:rFonts w:ascii="Times New Roman" w:eastAsia="Times New Roman" w:hAnsi="Times New Roman" w:cs="Times New Roman"/>
                <w:lang w:val="sr-Cyrl-ME"/>
              </w:rPr>
            </w:pPr>
          </w:p>
          <w:p w14:paraId="29151303"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i/>
                <w:lang w:val="sr-Cyrl-ME"/>
              </w:rPr>
            </w:pPr>
            <w:r w:rsidRPr="00094BB2">
              <w:rPr>
                <w:rFonts w:ascii="Times New Roman" w:eastAsia="Times New Roman" w:hAnsi="Times New Roman" w:cs="Times New Roman"/>
                <w:i/>
                <w:lang w:val="sr-Cyrl-ME"/>
              </w:rPr>
              <w:t xml:space="preserve">Посебна упозорења: </w:t>
            </w:r>
          </w:p>
          <w:p w14:paraId="2887258B" w14:textId="77777777" w:rsidR="00924B9B" w:rsidRPr="00094BB2" w:rsidRDefault="00924B9B" w:rsidP="00AF4EDB">
            <w:pPr>
              <w:tabs>
                <w:tab w:val="left" w:pos="284"/>
              </w:tabs>
              <w:spacing w:after="0" w:line="240" w:lineRule="auto"/>
              <w:jc w:val="both"/>
              <w:rPr>
                <w:rFonts w:ascii="Times New Roman" w:eastAsia="Times New Roman" w:hAnsi="Times New Roman" w:cs="Times New Roman"/>
                <w:i/>
                <w:lang w:val="sr-Cyrl-ME"/>
              </w:rPr>
            </w:pPr>
          </w:p>
          <w:p w14:paraId="63B81BF6" w14:textId="1432078F" w:rsidR="007176E0" w:rsidRPr="00094BB2" w:rsidRDefault="007176E0" w:rsidP="00B84AA4">
            <w:pPr>
              <w:spacing w:after="0" w:line="240" w:lineRule="auto"/>
              <w:jc w:val="both"/>
              <w:rPr>
                <w:rFonts w:ascii="Times New Roman" w:eastAsia="Times New Roman" w:hAnsi="Times New Roman" w:cs="Times New Roman"/>
                <w:color w:val="000000"/>
                <w:lang w:val="sr-Cyrl-ME" w:eastAsia="fr-FR"/>
              </w:rPr>
            </w:pPr>
            <w:r w:rsidRPr="00094BB2">
              <w:rPr>
                <w:rFonts w:ascii="Times New Roman" w:eastAsia="Times New Roman" w:hAnsi="Times New Roman" w:cs="Times New Roman"/>
                <w:color w:val="000000"/>
                <w:lang w:val="sr-Cyrl-ME" w:eastAsia="fr-FR"/>
              </w:rPr>
              <w:t>Рехидратација је од есенцијалног значаја у терапији акутне дијареје</w:t>
            </w:r>
            <w:r w:rsidR="00B84AA4" w:rsidRPr="00094BB2">
              <w:rPr>
                <w:rFonts w:ascii="Times New Roman" w:eastAsia="Times New Roman" w:hAnsi="Times New Roman" w:cs="Times New Roman"/>
                <w:color w:val="000000"/>
                <w:lang w:val="sr-Cyrl-ME" w:eastAsia="fr-FR"/>
              </w:rPr>
              <w:t>.</w:t>
            </w:r>
          </w:p>
          <w:p w14:paraId="29159DBC" w14:textId="77777777" w:rsidR="00924B9B" w:rsidRPr="00094BB2" w:rsidRDefault="00924B9B">
            <w:pPr>
              <w:spacing w:after="0" w:line="240" w:lineRule="auto"/>
              <w:jc w:val="both"/>
              <w:rPr>
                <w:rFonts w:ascii="Times New Roman" w:eastAsia="Times New Roman" w:hAnsi="Times New Roman" w:cs="Times New Roman"/>
                <w:color w:val="000000"/>
                <w:lang w:val="sr-Cyrl-ME" w:eastAsia="fr-FR"/>
              </w:rPr>
            </w:pPr>
          </w:p>
          <w:p w14:paraId="3D510851" w14:textId="5E58B963" w:rsidR="007176E0" w:rsidRPr="00094BB2" w:rsidRDefault="007176E0">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Уколико се у року од 2 дана послије започињања лијечења дијареја продужава, употребу лијека треба поново процијенити и размотрити потребу за рехидратацијом помоћу оралног раствора за рехидратацију или интравенским путем.</w:t>
            </w:r>
          </w:p>
          <w:p w14:paraId="68B8EF27" w14:textId="71E739A8" w:rsidR="00924B9B" w:rsidRPr="00094BB2" w:rsidRDefault="00924B9B">
            <w:pPr>
              <w:tabs>
                <w:tab w:val="left" w:pos="284"/>
              </w:tabs>
              <w:spacing w:after="0" w:line="240" w:lineRule="auto"/>
              <w:jc w:val="both"/>
              <w:rPr>
                <w:rFonts w:ascii="Times New Roman" w:eastAsia="Times New Roman" w:hAnsi="Times New Roman" w:cs="Times New Roman"/>
                <w:lang w:val="sr-Cyrl-ME"/>
              </w:rPr>
            </w:pPr>
          </w:p>
          <w:p w14:paraId="4E9BD891" w14:textId="6D1727C7" w:rsidR="00B84AA4" w:rsidRPr="00094BB2" w:rsidRDefault="00B84AA4">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 xml:space="preserve">У случају тешке и продужене дијареје, тешког повраћања или одбијања јела, треба размотрити рехидратацију интравенским путем. </w:t>
            </w:r>
          </w:p>
          <w:p w14:paraId="120C30E8" w14:textId="77777777" w:rsidR="00B84AA4" w:rsidRPr="00094BB2" w:rsidRDefault="00B84AA4">
            <w:pPr>
              <w:tabs>
                <w:tab w:val="left" w:pos="284"/>
              </w:tabs>
              <w:spacing w:after="0" w:line="240" w:lineRule="auto"/>
              <w:jc w:val="both"/>
              <w:rPr>
                <w:rFonts w:ascii="Times New Roman" w:eastAsia="Times New Roman" w:hAnsi="Times New Roman" w:cs="Times New Roman"/>
                <w:lang w:val="sr-Cyrl-ME"/>
              </w:rPr>
            </w:pPr>
          </w:p>
          <w:p w14:paraId="19BBA24E" w14:textId="77777777" w:rsidR="007176E0" w:rsidRPr="00094BB2" w:rsidRDefault="007176E0">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У случају инфективне дијареје са клиничким инвазивним симптомима, потребна је употреба антибактеријских љекова са добром системском дистрибуцијом.</w:t>
            </w:r>
          </w:p>
          <w:p w14:paraId="18F4E3EC" w14:textId="77777777" w:rsidR="007176E0" w:rsidRPr="00094BB2" w:rsidRDefault="007176E0" w:rsidP="00C9407B">
            <w:pPr>
              <w:tabs>
                <w:tab w:val="left" w:pos="284"/>
              </w:tabs>
              <w:spacing w:after="0" w:line="240" w:lineRule="auto"/>
              <w:jc w:val="both"/>
              <w:rPr>
                <w:rFonts w:ascii="Times New Roman" w:eastAsia="Times New Roman" w:hAnsi="Times New Roman" w:cs="Times New Roman"/>
                <w:lang w:val="sr-Cyrl-ME"/>
              </w:rPr>
            </w:pPr>
          </w:p>
          <w:p w14:paraId="05D8A49D" w14:textId="77777777" w:rsidR="007176E0" w:rsidRPr="00094BB2" w:rsidRDefault="007176E0">
            <w:pPr>
              <w:tabs>
                <w:tab w:val="left" w:pos="284"/>
              </w:tabs>
              <w:spacing w:after="0" w:line="240" w:lineRule="auto"/>
              <w:jc w:val="both"/>
              <w:rPr>
                <w:rFonts w:ascii="Times New Roman" w:eastAsia="Times New Roman" w:hAnsi="Times New Roman" w:cs="Times New Roman"/>
                <w:i/>
                <w:lang w:val="sr-Cyrl-ME"/>
              </w:rPr>
            </w:pPr>
            <w:r w:rsidRPr="00094BB2">
              <w:rPr>
                <w:rFonts w:ascii="Times New Roman" w:eastAsia="Times New Roman" w:hAnsi="Times New Roman" w:cs="Times New Roman"/>
                <w:i/>
                <w:lang w:val="sr-Cyrl-ME"/>
              </w:rPr>
              <w:t xml:space="preserve">Мјере опреза: </w:t>
            </w:r>
          </w:p>
          <w:p w14:paraId="632FC046" w14:textId="5801B64C" w:rsidR="00924B9B" w:rsidRPr="00094BB2" w:rsidRDefault="00D35F21">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Уколико се прописује рехидратација раствором за рехидратацију, начин употребе и начин реконституције треба да буду јасно и прецизно објашњени.</w:t>
            </w:r>
          </w:p>
          <w:p w14:paraId="54BB5CA5" w14:textId="77777777" w:rsidR="00D35F21" w:rsidRPr="00094BB2" w:rsidRDefault="00D35F21">
            <w:pPr>
              <w:tabs>
                <w:tab w:val="left" w:pos="284"/>
              </w:tabs>
              <w:spacing w:after="0" w:line="240" w:lineRule="auto"/>
              <w:jc w:val="both"/>
              <w:rPr>
                <w:rFonts w:ascii="Times New Roman" w:eastAsia="Times New Roman" w:hAnsi="Times New Roman" w:cs="Times New Roman"/>
                <w:i/>
                <w:lang w:val="sr-Cyrl-ME"/>
              </w:rPr>
            </w:pPr>
          </w:p>
          <w:p w14:paraId="39F021D6" w14:textId="4AEA7986" w:rsidR="007176E0" w:rsidRPr="00094BB2" w:rsidRDefault="00D35F21">
            <w:pPr>
              <w:autoSpaceDE w:val="0"/>
              <w:autoSpaceDN w:val="0"/>
              <w:adjustRightInd w:val="0"/>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У случају да не постоји потреба за таквом рехидратацијом, п</w:t>
            </w:r>
            <w:r w:rsidR="007176E0" w:rsidRPr="00094BB2">
              <w:rPr>
                <w:rFonts w:ascii="Times New Roman" w:eastAsia="Times New Roman" w:hAnsi="Times New Roman" w:cs="Times New Roman"/>
                <w:lang w:val="sr-Cyrl-ME"/>
              </w:rPr>
              <w:t xml:space="preserve">ацијент </w:t>
            </w:r>
            <w:r w:rsidRPr="00094BB2">
              <w:rPr>
                <w:rFonts w:ascii="Times New Roman" w:eastAsia="Times New Roman" w:hAnsi="Times New Roman" w:cs="Times New Roman"/>
                <w:lang w:val="sr-Cyrl-ME"/>
              </w:rPr>
              <w:t xml:space="preserve">ипак </w:t>
            </w:r>
            <w:r w:rsidR="007176E0" w:rsidRPr="00094BB2">
              <w:rPr>
                <w:rFonts w:ascii="Times New Roman" w:eastAsia="Times New Roman" w:hAnsi="Times New Roman" w:cs="Times New Roman"/>
                <w:lang w:val="sr-Cyrl-ME"/>
              </w:rPr>
              <w:t>треба да буде обавијештен о сљедећим потребама:</w:t>
            </w:r>
          </w:p>
          <w:p w14:paraId="4C4ED181" w14:textId="2044D8BB" w:rsidR="007176E0" w:rsidRPr="00094BB2" w:rsidRDefault="007176E0">
            <w:pPr>
              <w:numPr>
                <w:ilvl w:val="0"/>
                <w:numId w:val="2"/>
              </w:numPr>
              <w:tabs>
                <w:tab w:val="left" w:pos="284"/>
              </w:tabs>
              <w:spacing w:after="0" w:line="240" w:lineRule="auto"/>
              <w:contextualSpacing/>
              <w:jc w:val="both"/>
              <w:rPr>
                <w:rFonts w:ascii="Times New Roman" w:eastAsia="Times New Roman" w:hAnsi="Times New Roman" w:cs="Times New Roman"/>
                <w:i/>
                <w:lang w:val="sr-Cyrl-ME"/>
              </w:rPr>
            </w:pPr>
            <w:r w:rsidRPr="00094BB2">
              <w:rPr>
                <w:rFonts w:ascii="Times New Roman" w:eastAsia="Times New Roman" w:hAnsi="Times New Roman" w:cs="Times New Roman"/>
                <w:lang w:val="sr-Cyrl-ME"/>
              </w:rPr>
              <w:t>Рехидратациј</w:t>
            </w:r>
            <w:r w:rsidR="00D35F21" w:rsidRPr="00094BB2">
              <w:rPr>
                <w:rFonts w:ascii="Times New Roman" w:eastAsia="Times New Roman" w:hAnsi="Times New Roman" w:cs="Times New Roman"/>
                <w:lang w:val="sr-Cyrl-ME"/>
              </w:rPr>
              <w:t>и</w:t>
            </w:r>
            <w:r w:rsidRPr="00094BB2">
              <w:rPr>
                <w:rFonts w:ascii="Times New Roman" w:eastAsia="Times New Roman" w:hAnsi="Times New Roman" w:cs="Times New Roman"/>
                <w:lang w:val="sr-Cyrl-ME"/>
              </w:rPr>
              <w:t xml:space="preserve"> великом количином течности, слатким или сланим пићима, у циљу надокнаде изгубљене течности изазване дијарејом (просјечан дневни унос воде за одрасле је 2</w:t>
            </w:r>
            <w:r w:rsidR="00D35F21" w:rsidRPr="00094BB2">
              <w:rPr>
                <w:rFonts w:ascii="Times New Roman" w:eastAsia="Times New Roman" w:hAnsi="Times New Roman" w:cs="Times New Roman"/>
                <w:lang w:val="sr-Cyrl-ME"/>
              </w:rPr>
              <w:t xml:space="preserve"> l</w:t>
            </w:r>
            <w:r w:rsidRPr="00094BB2">
              <w:rPr>
                <w:rFonts w:ascii="Times New Roman" w:eastAsia="Times New Roman" w:hAnsi="Times New Roman" w:cs="Times New Roman"/>
                <w:lang w:val="sr-Cyrl-ME"/>
              </w:rPr>
              <w:t>);</w:t>
            </w:r>
          </w:p>
          <w:p w14:paraId="06C815A3" w14:textId="0C3B499D" w:rsidR="007176E0" w:rsidRPr="00094BB2" w:rsidRDefault="00D35F21">
            <w:pPr>
              <w:numPr>
                <w:ilvl w:val="0"/>
                <w:numId w:val="3"/>
              </w:numPr>
              <w:tabs>
                <w:tab w:val="left" w:pos="284"/>
              </w:tabs>
              <w:autoSpaceDE w:val="0"/>
              <w:autoSpaceDN w:val="0"/>
              <w:adjustRightInd w:val="0"/>
              <w:spacing w:after="0" w:line="240" w:lineRule="auto"/>
              <w:contextualSpacing/>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 xml:space="preserve">начином исхране у току </w:t>
            </w:r>
            <w:r w:rsidR="007176E0" w:rsidRPr="00094BB2">
              <w:rPr>
                <w:rFonts w:ascii="Times New Roman" w:eastAsia="Times New Roman" w:hAnsi="Times New Roman" w:cs="Times New Roman"/>
                <w:lang w:val="sr-Cyrl-ME"/>
              </w:rPr>
              <w:t>дијареје</w:t>
            </w:r>
            <w:r w:rsidRPr="00094BB2">
              <w:rPr>
                <w:rFonts w:ascii="Times New Roman" w:eastAsia="Times New Roman" w:hAnsi="Times New Roman" w:cs="Times New Roman"/>
                <w:lang w:val="sr-Cyrl-ME"/>
              </w:rPr>
              <w:t>, који подразумијева</w:t>
            </w:r>
            <w:r w:rsidR="007176E0" w:rsidRPr="00094BB2">
              <w:rPr>
                <w:rFonts w:ascii="Times New Roman" w:eastAsia="Times New Roman" w:hAnsi="Times New Roman" w:cs="Times New Roman"/>
                <w:lang w:val="sr-Cyrl-ME"/>
              </w:rPr>
              <w:t>:</w:t>
            </w:r>
          </w:p>
          <w:p w14:paraId="44F2C48A" w14:textId="5983D10B" w:rsidR="007176E0" w:rsidRPr="00094BB2" w:rsidRDefault="007176E0">
            <w:pPr>
              <w:numPr>
                <w:ilvl w:val="0"/>
                <w:numId w:val="4"/>
              </w:numPr>
              <w:tabs>
                <w:tab w:val="left" w:pos="284"/>
              </w:tabs>
              <w:autoSpaceDE w:val="0"/>
              <w:autoSpaceDN w:val="0"/>
              <w:adjustRightInd w:val="0"/>
              <w:spacing w:after="0" w:line="240" w:lineRule="auto"/>
              <w:contextualSpacing/>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избјегавањ</w:t>
            </w:r>
            <w:r w:rsidR="00D35F21" w:rsidRPr="00094BB2">
              <w:rPr>
                <w:rFonts w:ascii="Times New Roman" w:eastAsia="Times New Roman" w:hAnsi="Times New Roman" w:cs="Times New Roman"/>
                <w:lang w:val="sr-Cyrl-ME"/>
              </w:rPr>
              <w:t>е</w:t>
            </w:r>
            <w:r w:rsidRPr="00094BB2">
              <w:rPr>
                <w:rFonts w:ascii="Times New Roman" w:eastAsia="Times New Roman" w:hAnsi="Times New Roman" w:cs="Times New Roman"/>
                <w:lang w:val="sr-Cyrl-ME"/>
              </w:rPr>
              <w:t xml:space="preserve"> одређених намирница, посебно сировог поврћа, воћа, зеленог поврћа, зачињене хране, као и замрзнуте хране или пића,</w:t>
            </w:r>
          </w:p>
          <w:p w14:paraId="306AB00F" w14:textId="77777777" w:rsidR="007176E0" w:rsidRPr="00094BB2" w:rsidRDefault="007176E0">
            <w:pPr>
              <w:numPr>
                <w:ilvl w:val="0"/>
                <w:numId w:val="4"/>
              </w:numPr>
              <w:tabs>
                <w:tab w:val="left" w:pos="284"/>
              </w:tabs>
              <w:autoSpaceDE w:val="0"/>
              <w:autoSpaceDN w:val="0"/>
              <w:adjustRightInd w:val="0"/>
              <w:spacing w:after="0" w:line="240" w:lineRule="auto"/>
              <w:contextualSpacing/>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препоручује се месо са роштиља и пиринач,</w:t>
            </w:r>
          </w:p>
          <w:p w14:paraId="07F105B2" w14:textId="77777777" w:rsidR="007176E0" w:rsidRPr="00094BB2" w:rsidRDefault="007176E0">
            <w:pPr>
              <w:numPr>
                <w:ilvl w:val="0"/>
                <w:numId w:val="2"/>
              </w:numPr>
              <w:tabs>
                <w:tab w:val="left" w:pos="284"/>
              </w:tabs>
              <w:spacing w:after="0" w:line="240" w:lineRule="auto"/>
              <w:ind w:left="1418"/>
              <w:contextualSpacing/>
              <w:jc w:val="both"/>
              <w:rPr>
                <w:rFonts w:ascii="Times New Roman" w:eastAsia="Times New Roman" w:hAnsi="Times New Roman" w:cs="Times New Roman"/>
                <w:i/>
                <w:lang w:val="sr-Cyrl-ME"/>
              </w:rPr>
            </w:pPr>
            <w:r w:rsidRPr="00094BB2">
              <w:rPr>
                <w:rFonts w:ascii="Times New Roman" w:eastAsia="Times New Roman" w:hAnsi="Times New Roman" w:cs="Times New Roman"/>
                <w:lang w:val="sr-Cyrl-ME"/>
              </w:rPr>
              <w:t>избјегавање млијека и млијечних производа треба размотрити од случаја до случаја.</w:t>
            </w:r>
          </w:p>
          <w:p w14:paraId="724CC038" w14:textId="77777777" w:rsidR="00D35F21" w:rsidRPr="00094BB2" w:rsidRDefault="00D35F21">
            <w:pPr>
              <w:tabs>
                <w:tab w:val="left" w:pos="284"/>
              </w:tabs>
              <w:spacing w:after="0" w:line="240" w:lineRule="auto"/>
              <w:jc w:val="both"/>
              <w:rPr>
                <w:rFonts w:ascii="Times New Roman" w:eastAsia="Times New Roman" w:hAnsi="Times New Roman" w:cs="Times New Roman"/>
                <w:lang w:val="sr-Cyrl-ME"/>
              </w:rPr>
            </w:pPr>
          </w:p>
          <w:p w14:paraId="447433C3" w14:textId="4BC90129" w:rsidR="007176E0" w:rsidRPr="00094BB2" w:rsidRDefault="009428D0">
            <w:pPr>
              <w:tabs>
                <w:tab w:val="left" w:pos="284"/>
              </w:tabs>
              <w:spacing w:after="0" w:line="240" w:lineRule="auto"/>
              <w:jc w:val="both"/>
              <w:rPr>
                <w:rFonts w:ascii="Times New Roman" w:eastAsia="Times New Roman" w:hAnsi="Times New Roman" w:cs="Times New Roman"/>
                <w:b/>
                <w:lang w:val="sr-Cyrl-ME"/>
              </w:rPr>
            </w:pPr>
            <w:r w:rsidRPr="00094BB2">
              <w:rPr>
                <w:rFonts w:ascii="Times New Roman" w:eastAsia="Times New Roman" w:hAnsi="Times New Roman" w:cs="Times New Roman"/>
                <w:b/>
                <w:lang w:val="sr-Cyrl-ME"/>
              </w:rPr>
              <w:t>Важне информације о неким састојцима лијека</w:t>
            </w:r>
            <w:r w:rsidR="00D35F21" w:rsidRPr="00094BB2">
              <w:rPr>
                <w:rFonts w:ascii="Times New Roman" w:eastAsia="Times New Roman" w:hAnsi="Times New Roman" w:cs="Times New Roman"/>
                <w:b/>
                <w:lang w:val="sr-Cyrl-ME"/>
              </w:rPr>
              <w:t xml:space="preserve"> </w:t>
            </w:r>
            <w:r w:rsidR="00D35F21" w:rsidRPr="00094BB2">
              <w:rPr>
                <w:rFonts w:ascii="Times New Roman" w:eastAsia="Times New Roman" w:hAnsi="Times New Roman" w:cs="Times New Roman"/>
                <w:b/>
                <w:bCs/>
                <w:lang w:val="sr-Cyrl-ME"/>
              </w:rPr>
              <w:t>NIFUROKSAZID ALKALOID</w:t>
            </w:r>
          </w:p>
          <w:p w14:paraId="0E95282F" w14:textId="77777777" w:rsidR="00D35F21" w:rsidRPr="00094BB2" w:rsidRDefault="00D35F21">
            <w:pPr>
              <w:tabs>
                <w:tab w:val="left" w:pos="284"/>
              </w:tabs>
              <w:spacing w:after="0" w:line="240" w:lineRule="auto"/>
              <w:jc w:val="both"/>
              <w:rPr>
                <w:rFonts w:ascii="Times New Roman" w:eastAsia="Times New Roman" w:hAnsi="Times New Roman" w:cs="Times New Roman"/>
                <w:lang w:val="sr-Cyrl-ME"/>
              </w:rPr>
            </w:pPr>
          </w:p>
          <w:p w14:paraId="16F14867" w14:textId="33C8B5B2" w:rsidR="006534B7" w:rsidRPr="00094BB2" w:rsidRDefault="00576496">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Овај лијек садржи мање од 1 mmol (23 mg) натријума по капсули што је у суштини без натријума.</w:t>
            </w:r>
          </w:p>
          <w:p w14:paraId="01770910" w14:textId="77777777" w:rsidR="00924B9B" w:rsidRPr="00094BB2" w:rsidRDefault="00924B9B">
            <w:pPr>
              <w:tabs>
                <w:tab w:val="left" w:pos="284"/>
              </w:tabs>
              <w:spacing w:after="0" w:line="240" w:lineRule="auto"/>
              <w:jc w:val="both"/>
              <w:rPr>
                <w:rFonts w:ascii="Times New Roman" w:eastAsia="Times New Roman" w:hAnsi="Times New Roman" w:cs="Times New Roman"/>
                <w:lang w:val="sr-Cyrl-ME"/>
              </w:rPr>
            </w:pPr>
          </w:p>
        </w:tc>
      </w:tr>
      <w:tr w:rsidR="007176E0" w:rsidRPr="00094BB2" w14:paraId="4ACB8274" w14:textId="77777777" w:rsidTr="007176E0">
        <w:tc>
          <w:tcPr>
            <w:tcW w:w="9639" w:type="dxa"/>
            <w:gridSpan w:val="4"/>
            <w:vAlign w:val="center"/>
          </w:tcPr>
          <w:p w14:paraId="6BC6F5AB" w14:textId="577C46BD" w:rsidR="007176E0" w:rsidRPr="00094BB2" w:rsidRDefault="007176E0">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4.5. Интеракције са другим љековима и друге врсте интеракција</w:t>
            </w:r>
          </w:p>
        </w:tc>
      </w:tr>
      <w:tr w:rsidR="007176E0" w:rsidRPr="00094BB2" w14:paraId="12D2DC61" w14:textId="77777777" w:rsidTr="007176E0">
        <w:trPr>
          <w:trHeight w:val="1145"/>
        </w:trPr>
        <w:tc>
          <w:tcPr>
            <w:tcW w:w="9639" w:type="dxa"/>
            <w:gridSpan w:val="4"/>
            <w:vAlign w:val="center"/>
          </w:tcPr>
          <w:p w14:paraId="5D0E90B8" w14:textId="0418A09C" w:rsidR="007176E0" w:rsidRPr="00094BB2" w:rsidRDefault="007176E0" w:rsidP="00C9407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Не препоручује се употреба нифуроксазида истовремено</w:t>
            </w:r>
            <w:r w:rsidR="00422BB3" w:rsidRPr="00094BB2">
              <w:rPr>
                <w:rFonts w:ascii="Times New Roman" w:eastAsia="Times New Roman" w:hAnsi="Times New Roman" w:cs="Times New Roman"/>
                <w:lang w:val="sr-Cyrl-ME"/>
              </w:rPr>
              <w:t xml:space="preserve"> са љ</w:t>
            </w:r>
            <w:r w:rsidR="000F4E16" w:rsidRPr="00094BB2">
              <w:rPr>
                <w:rFonts w:ascii="Times New Roman" w:eastAsia="Times New Roman" w:hAnsi="Times New Roman" w:cs="Times New Roman"/>
                <w:lang w:val="sr-Cyrl-ME"/>
              </w:rPr>
              <w:t>ековима који могу проузроковати дисулфирамску реакцију и депресорима ЦНС-а.</w:t>
            </w:r>
          </w:p>
        </w:tc>
      </w:tr>
      <w:tr w:rsidR="007176E0" w:rsidRPr="00094BB2" w14:paraId="1A81DD07" w14:textId="77777777" w:rsidTr="007176E0">
        <w:tc>
          <w:tcPr>
            <w:tcW w:w="9639" w:type="dxa"/>
            <w:gridSpan w:val="4"/>
            <w:vAlign w:val="center"/>
          </w:tcPr>
          <w:p w14:paraId="3E5D408B" w14:textId="3F8946C0" w:rsidR="007176E0" w:rsidRPr="00094BB2" w:rsidRDefault="007176E0" w:rsidP="00AF4ED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4.6. П</w:t>
            </w:r>
            <w:r w:rsidR="002471BF" w:rsidRPr="00094BB2">
              <w:rPr>
                <w:rFonts w:ascii="Times New Roman" w:eastAsia="Times New Roman" w:hAnsi="Times New Roman" w:cs="Times New Roman"/>
                <w:b/>
                <w:bCs/>
                <w:lang w:val="sr-Cyrl-ME"/>
              </w:rPr>
              <w:t xml:space="preserve">лодност, </w:t>
            </w:r>
            <w:r w:rsidRPr="00094BB2">
              <w:rPr>
                <w:rFonts w:ascii="Times New Roman" w:eastAsia="Times New Roman" w:hAnsi="Times New Roman" w:cs="Times New Roman"/>
                <w:b/>
                <w:bCs/>
                <w:lang w:val="sr-Cyrl-ME"/>
              </w:rPr>
              <w:t>трудноћ</w:t>
            </w:r>
            <w:r w:rsidR="002471BF" w:rsidRPr="00094BB2">
              <w:rPr>
                <w:rFonts w:ascii="Times New Roman" w:eastAsia="Times New Roman" w:hAnsi="Times New Roman" w:cs="Times New Roman"/>
                <w:b/>
                <w:bCs/>
                <w:lang w:val="sr-Cyrl-ME"/>
              </w:rPr>
              <w:t>а</w:t>
            </w:r>
            <w:r w:rsidRPr="00094BB2">
              <w:rPr>
                <w:rFonts w:ascii="Times New Roman" w:eastAsia="Times New Roman" w:hAnsi="Times New Roman" w:cs="Times New Roman"/>
                <w:b/>
                <w:bCs/>
                <w:lang w:val="sr-Cyrl-ME"/>
              </w:rPr>
              <w:t xml:space="preserve"> и дојењ</w:t>
            </w:r>
            <w:r w:rsidR="002471BF" w:rsidRPr="00094BB2">
              <w:rPr>
                <w:rFonts w:ascii="Times New Roman" w:eastAsia="Times New Roman" w:hAnsi="Times New Roman" w:cs="Times New Roman"/>
                <w:b/>
                <w:bCs/>
                <w:lang w:val="sr-Cyrl-ME"/>
              </w:rPr>
              <w:t>е</w:t>
            </w:r>
          </w:p>
        </w:tc>
      </w:tr>
      <w:tr w:rsidR="007176E0" w:rsidRPr="00094BB2" w14:paraId="48C6CD42" w14:textId="77777777" w:rsidTr="007176E0">
        <w:trPr>
          <w:trHeight w:val="1145"/>
        </w:trPr>
        <w:tc>
          <w:tcPr>
            <w:tcW w:w="9639" w:type="dxa"/>
            <w:gridSpan w:val="4"/>
            <w:vAlign w:val="center"/>
          </w:tcPr>
          <w:p w14:paraId="030928CB" w14:textId="77777777" w:rsidR="007176E0" w:rsidRPr="00094BB2" w:rsidRDefault="007176E0" w:rsidP="00AF4EDB">
            <w:pPr>
              <w:spacing w:after="0" w:line="240" w:lineRule="auto"/>
              <w:jc w:val="both"/>
              <w:rPr>
                <w:rFonts w:ascii="Times New Roman" w:eastAsia="Times New Roman" w:hAnsi="Times New Roman" w:cs="Times New Roman"/>
                <w:lang w:val="sr-Cyrl-ME"/>
              </w:rPr>
            </w:pPr>
          </w:p>
          <w:p w14:paraId="0EEEB1D6" w14:textId="77777777" w:rsidR="00B54E0C" w:rsidRPr="00094BB2" w:rsidRDefault="00B54E0C" w:rsidP="00B54E0C">
            <w:pPr>
              <w:tabs>
                <w:tab w:val="left" w:pos="284"/>
              </w:tabs>
              <w:spacing w:after="0" w:line="240" w:lineRule="auto"/>
              <w:jc w:val="both"/>
              <w:rPr>
                <w:rFonts w:ascii="Times New Roman" w:eastAsia="Times New Roman" w:hAnsi="Times New Roman" w:cs="Times New Roman"/>
                <w:i/>
                <w:lang w:val="sr-Cyrl-ME"/>
              </w:rPr>
            </w:pPr>
            <w:r w:rsidRPr="00094BB2">
              <w:rPr>
                <w:rFonts w:ascii="Times New Roman" w:eastAsia="Times New Roman" w:hAnsi="Times New Roman" w:cs="Times New Roman"/>
                <w:i/>
                <w:lang w:val="sr-Cyrl-ME"/>
              </w:rPr>
              <w:t>Плодност</w:t>
            </w:r>
          </w:p>
          <w:p w14:paraId="76290F38" w14:textId="54BC6B57" w:rsidR="00B54E0C" w:rsidRPr="00094BB2" w:rsidRDefault="00B54E0C" w:rsidP="00B54E0C">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 xml:space="preserve">Нема довољно доступних информација из испитивања на животињама о ефекту лијека </w:t>
            </w:r>
            <w:r w:rsidRPr="00094BB2">
              <w:rPr>
                <w:rFonts w:ascii="Times New Roman" w:eastAsia="Times New Roman" w:hAnsi="Times New Roman" w:cs="Times New Roman"/>
                <w:bCs/>
                <w:lang w:val="sr-Cyrl-ME"/>
              </w:rPr>
              <w:t>NIFUROKSAZID ALKALOID</w:t>
            </w:r>
            <w:r w:rsidRPr="00094BB2">
              <w:rPr>
                <w:rFonts w:ascii="Times New Roman" w:eastAsia="Times New Roman" w:hAnsi="Times New Roman" w:cs="Times New Roman"/>
                <w:lang w:val="sr-Cyrl-ME"/>
              </w:rPr>
              <w:t xml:space="preserve"> на плодност.</w:t>
            </w:r>
          </w:p>
          <w:p w14:paraId="5B6ED89F" w14:textId="77777777" w:rsidR="000F4E16" w:rsidRPr="00094BB2" w:rsidRDefault="000F4E16" w:rsidP="00B54E0C">
            <w:pPr>
              <w:tabs>
                <w:tab w:val="left" w:pos="284"/>
              </w:tabs>
              <w:spacing w:after="0" w:line="240" w:lineRule="auto"/>
              <w:jc w:val="both"/>
              <w:rPr>
                <w:rFonts w:ascii="Times New Roman" w:eastAsia="Times New Roman" w:hAnsi="Times New Roman" w:cs="Times New Roman"/>
                <w:lang w:val="sr-Cyrl-ME"/>
              </w:rPr>
            </w:pPr>
          </w:p>
          <w:p w14:paraId="116E9FA8" w14:textId="77777777" w:rsidR="00924B9B" w:rsidRPr="00094BB2" w:rsidRDefault="007176E0" w:rsidP="00AF4EDB">
            <w:pPr>
              <w:tabs>
                <w:tab w:val="left" w:pos="284"/>
              </w:tabs>
              <w:spacing w:after="0" w:line="240" w:lineRule="auto"/>
              <w:jc w:val="both"/>
              <w:rPr>
                <w:rFonts w:ascii="Times New Roman" w:eastAsia="Times New Roman" w:hAnsi="Times New Roman" w:cs="Times New Roman"/>
                <w:i/>
                <w:lang w:val="sr-Cyrl-ME"/>
              </w:rPr>
            </w:pPr>
            <w:r w:rsidRPr="00094BB2">
              <w:rPr>
                <w:rFonts w:ascii="Times New Roman" w:eastAsia="Times New Roman" w:hAnsi="Times New Roman" w:cs="Times New Roman"/>
                <w:i/>
                <w:lang w:val="sr-Cyrl-ME"/>
              </w:rPr>
              <w:t>Трудноћа</w:t>
            </w:r>
          </w:p>
          <w:p w14:paraId="5D8EC766" w14:textId="19F1CA81" w:rsidR="007176E0" w:rsidRPr="00094BB2" w:rsidRDefault="00B40518" w:rsidP="00AF4ED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По</w:t>
            </w:r>
            <w:r w:rsidR="00B54E0C" w:rsidRPr="00094BB2">
              <w:rPr>
                <w:rFonts w:ascii="Times New Roman" w:eastAsia="Times New Roman" w:hAnsi="Times New Roman" w:cs="Times New Roman"/>
                <w:lang w:val="sr-Cyrl-ME"/>
              </w:rPr>
              <w:t xml:space="preserve">даци о примјени нифуроксазида код трудница су </w:t>
            </w:r>
            <w:r w:rsidRPr="00094BB2">
              <w:rPr>
                <w:rFonts w:ascii="Times New Roman" w:eastAsia="Times New Roman" w:hAnsi="Times New Roman" w:cs="Times New Roman"/>
                <w:lang w:val="sr-Cyrl-ME"/>
              </w:rPr>
              <w:t>ограничен</w:t>
            </w:r>
            <w:r w:rsidR="00B54E0C" w:rsidRPr="00094BB2">
              <w:rPr>
                <w:rFonts w:ascii="Times New Roman" w:eastAsia="Times New Roman" w:hAnsi="Times New Roman" w:cs="Times New Roman"/>
                <w:lang w:val="sr-Cyrl-ME"/>
              </w:rPr>
              <w:t>и</w:t>
            </w:r>
            <w:r w:rsidRPr="00094BB2">
              <w:rPr>
                <w:rFonts w:ascii="Times New Roman" w:eastAsia="Times New Roman" w:hAnsi="Times New Roman" w:cs="Times New Roman"/>
                <w:lang w:val="sr-Cyrl-ME"/>
              </w:rPr>
              <w:t>. Испитивања на животињама у погледу репродуктивне токсичности</w:t>
            </w:r>
            <w:r w:rsidR="007977E4" w:rsidRPr="00094BB2">
              <w:rPr>
                <w:rFonts w:ascii="Times New Roman" w:eastAsia="Times New Roman" w:hAnsi="Times New Roman" w:cs="Times New Roman"/>
                <w:lang w:val="sr-Cyrl-ME"/>
              </w:rPr>
              <w:t xml:space="preserve"> нијесу довољна</w:t>
            </w:r>
            <w:r w:rsidRPr="00094BB2">
              <w:rPr>
                <w:rFonts w:ascii="Times New Roman" w:eastAsia="Times New Roman" w:hAnsi="Times New Roman" w:cs="Times New Roman"/>
                <w:lang w:val="sr-Cyrl-ME"/>
              </w:rPr>
              <w:t xml:space="preserve">. Нифуроксазид показује могући мутагени потенцијал (погледати дио 5.3). Стога се </w:t>
            </w:r>
            <w:r w:rsidR="007977E4" w:rsidRPr="00094BB2">
              <w:rPr>
                <w:rFonts w:ascii="Times New Roman" w:eastAsia="Times New Roman" w:hAnsi="Times New Roman" w:cs="Times New Roman"/>
                <w:lang w:val="sr-Cyrl-ME"/>
              </w:rPr>
              <w:t xml:space="preserve">лијек </w:t>
            </w:r>
            <w:r w:rsidR="007977E4" w:rsidRPr="00094BB2">
              <w:rPr>
                <w:rFonts w:ascii="Times New Roman" w:eastAsia="Times New Roman" w:hAnsi="Times New Roman" w:cs="Times New Roman"/>
                <w:bCs/>
                <w:lang w:val="sr-Cyrl-ME"/>
              </w:rPr>
              <w:t>NIFUROKSAZID ALKALOID</w:t>
            </w:r>
            <w:r w:rsidR="007977E4" w:rsidRPr="00094BB2">
              <w:rPr>
                <w:rFonts w:ascii="Times New Roman" w:eastAsia="Times New Roman" w:hAnsi="Times New Roman" w:cs="Times New Roman"/>
                <w:bCs/>
                <w:vertAlign w:val="superscript"/>
                <w:lang w:val="sr-Cyrl-ME"/>
              </w:rPr>
              <w:t xml:space="preserve"> </w:t>
            </w:r>
            <w:r w:rsidRPr="00094BB2">
              <w:rPr>
                <w:rFonts w:ascii="Times New Roman" w:eastAsia="Times New Roman" w:hAnsi="Times New Roman" w:cs="Times New Roman"/>
                <w:lang w:val="sr-Cyrl-ME"/>
              </w:rPr>
              <w:t xml:space="preserve"> не препоручује током трудноће и не би требало да га користе жене</w:t>
            </w:r>
            <w:r w:rsidR="00B54E0C" w:rsidRPr="00094BB2">
              <w:rPr>
                <w:rFonts w:ascii="Times New Roman" w:eastAsia="Times New Roman" w:hAnsi="Times New Roman" w:cs="Times New Roman"/>
                <w:lang w:val="sr-Cyrl-ME"/>
              </w:rPr>
              <w:t xml:space="preserve"> у репродуктивном периоду</w:t>
            </w:r>
            <w:r w:rsidR="007977E4" w:rsidRPr="00094BB2">
              <w:rPr>
                <w:rFonts w:ascii="Times New Roman" w:eastAsia="Times New Roman" w:hAnsi="Times New Roman" w:cs="Times New Roman"/>
                <w:lang w:val="sr-Cyrl-ME"/>
              </w:rPr>
              <w:t>,</w:t>
            </w:r>
            <w:r w:rsidRPr="00094BB2">
              <w:rPr>
                <w:rFonts w:ascii="Times New Roman" w:eastAsia="Times New Roman" w:hAnsi="Times New Roman" w:cs="Times New Roman"/>
                <w:lang w:val="sr-Cyrl-ME"/>
              </w:rPr>
              <w:t xml:space="preserve"> које не користе еф</w:t>
            </w:r>
            <w:r w:rsidR="00137245" w:rsidRPr="00094BB2">
              <w:rPr>
                <w:rFonts w:ascii="Times New Roman" w:eastAsia="Times New Roman" w:hAnsi="Times New Roman" w:cs="Times New Roman"/>
                <w:lang w:val="sr-Cyrl-ME"/>
              </w:rPr>
              <w:t>икасну</w:t>
            </w:r>
            <w:r w:rsidRPr="00094BB2">
              <w:rPr>
                <w:rFonts w:ascii="Times New Roman" w:eastAsia="Times New Roman" w:hAnsi="Times New Roman" w:cs="Times New Roman"/>
                <w:lang w:val="sr-Cyrl-ME"/>
              </w:rPr>
              <w:t xml:space="preserve"> контрацепцију.</w:t>
            </w:r>
          </w:p>
          <w:p w14:paraId="0221F392" w14:textId="77777777" w:rsidR="00B40518" w:rsidRPr="00094BB2" w:rsidRDefault="00B40518">
            <w:pPr>
              <w:tabs>
                <w:tab w:val="left" w:pos="284"/>
              </w:tabs>
              <w:spacing w:after="0" w:line="240" w:lineRule="auto"/>
              <w:jc w:val="both"/>
              <w:rPr>
                <w:rFonts w:ascii="Times New Roman" w:eastAsia="Times New Roman" w:hAnsi="Times New Roman" w:cs="Times New Roman"/>
                <w:i/>
                <w:lang w:val="sr-Cyrl-ME"/>
              </w:rPr>
            </w:pPr>
          </w:p>
          <w:p w14:paraId="49846979" w14:textId="299988CD" w:rsidR="00924B9B" w:rsidRPr="00094BB2" w:rsidRDefault="007176E0">
            <w:pPr>
              <w:tabs>
                <w:tab w:val="left" w:pos="284"/>
              </w:tabs>
              <w:spacing w:after="0" w:line="240" w:lineRule="auto"/>
              <w:jc w:val="both"/>
              <w:rPr>
                <w:rFonts w:ascii="Times New Roman" w:eastAsia="Times New Roman" w:hAnsi="Times New Roman" w:cs="Times New Roman"/>
                <w:i/>
                <w:lang w:val="sr-Cyrl-ME"/>
              </w:rPr>
            </w:pPr>
            <w:r w:rsidRPr="00094BB2">
              <w:rPr>
                <w:rFonts w:ascii="Times New Roman" w:eastAsia="Times New Roman" w:hAnsi="Times New Roman" w:cs="Times New Roman"/>
                <w:i/>
                <w:lang w:val="sr-Cyrl-ME"/>
              </w:rPr>
              <w:t>Дојење</w:t>
            </w:r>
          </w:p>
          <w:p w14:paraId="2D2D4A1C" w14:textId="6BF286E2" w:rsidR="00B40518" w:rsidRPr="00094BB2" w:rsidRDefault="00B40518">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 xml:space="preserve">Није познато да ли се нифуроксазид или његови метаболити излучују у мајчино млијеко. Будући да </w:t>
            </w:r>
            <w:r w:rsidR="00137245" w:rsidRPr="00094BB2">
              <w:rPr>
                <w:rFonts w:ascii="Times New Roman" w:eastAsia="Times New Roman" w:hAnsi="Times New Roman" w:cs="Times New Roman"/>
                <w:lang w:val="sr-Cyrl-ME"/>
              </w:rPr>
              <w:t xml:space="preserve">лијек </w:t>
            </w:r>
            <w:r w:rsidR="00137245" w:rsidRPr="00094BB2">
              <w:rPr>
                <w:rFonts w:ascii="Times New Roman" w:eastAsia="Times New Roman" w:hAnsi="Times New Roman" w:cs="Times New Roman"/>
                <w:bCs/>
                <w:lang w:val="sr-Cyrl-ME"/>
              </w:rPr>
              <w:t>NIFUROKSAZID ALKALOID</w:t>
            </w:r>
            <w:r w:rsidR="00137245" w:rsidRPr="00094BB2">
              <w:rPr>
                <w:rFonts w:ascii="Times New Roman" w:eastAsia="Times New Roman" w:hAnsi="Times New Roman" w:cs="Times New Roman"/>
                <w:bCs/>
                <w:vertAlign w:val="superscript"/>
                <w:lang w:val="sr-Cyrl-ME"/>
              </w:rPr>
              <w:t xml:space="preserve"> </w:t>
            </w:r>
            <w:r w:rsidRPr="00094BB2">
              <w:rPr>
                <w:rFonts w:ascii="Times New Roman" w:eastAsia="Times New Roman" w:hAnsi="Times New Roman" w:cs="Times New Roman"/>
                <w:lang w:val="sr-Cyrl-ME"/>
              </w:rPr>
              <w:t xml:space="preserve">има слабу биорасположивост (репсорпција из гастроинтестиналног тракта </w:t>
            </w:r>
            <w:r w:rsidR="00137245" w:rsidRPr="00094BB2">
              <w:rPr>
                <w:rFonts w:ascii="Times New Roman" w:eastAsia="Times New Roman" w:hAnsi="Times New Roman" w:cs="Times New Roman"/>
                <w:lang w:val="sr-Cyrl-ME"/>
              </w:rPr>
              <w:t xml:space="preserve">око </w:t>
            </w:r>
            <w:r w:rsidRPr="00094BB2">
              <w:rPr>
                <w:rFonts w:ascii="Times New Roman" w:eastAsia="Times New Roman" w:hAnsi="Times New Roman" w:cs="Times New Roman"/>
                <w:lang w:val="sr-Cyrl-ME"/>
              </w:rPr>
              <w:t xml:space="preserve">10-20% </w:t>
            </w:r>
            <w:r w:rsidR="00137245" w:rsidRPr="00094BB2">
              <w:rPr>
                <w:rFonts w:ascii="Times New Roman" w:eastAsia="Times New Roman" w:hAnsi="Times New Roman" w:cs="Times New Roman"/>
                <w:lang w:val="sr-Cyrl-ME"/>
              </w:rPr>
              <w:t xml:space="preserve">примијењене </w:t>
            </w:r>
            <w:r w:rsidRPr="00094BB2">
              <w:rPr>
                <w:rFonts w:ascii="Times New Roman" w:eastAsia="Times New Roman" w:hAnsi="Times New Roman" w:cs="Times New Roman"/>
                <w:lang w:val="sr-Cyrl-ME"/>
              </w:rPr>
              <w:t>дозе), количина у млијеку ће вјероватно бити ниска. Међутим, не може се искључити ут</w:t>
            </w:r>
            <w:r w:rsidR="009154CC" w:rsidRPr="00094BB2">
              <w:rPr>
                <w:rFonts w:ascii="Times New Roman" w:eastAsia="Times New Roman" w:hAnsi="Times New Roman" w:cs="Times New Roman"/>
                <w:lang w:val="sr-Cyrl-ME"/>
              </w:rPr>
              <w:t>и</w:t>
            </w:r>
            <w:r w:rsidRPr="00094BB2">
              <w:rPr>
                <w:rFonts w:ascii="Times New Roman" w:eastAsia="Times New Roman" w:hAnsi="Times New Roman" w:cs="Times New Roman"/>
                <w:lang w:val="sr-Cyrl-ME"/>
              </w:rPr>
              <w:t xml:space="preserve">цај на гастроинтестинални микробиом </w:t>
            </w:r>
            <w:r w:rsidR="007F4AFF" w:rsidRPr="00094BB2">
              <w:rPr>
                <w:rFonts w:ascii="Times New Roman" w:eastAsia="Times New Roman" w:hAnsi="Times New Roman" w:cs="Times New Roman"/>
                <w:lang w:val="sr-Cyrl-ME"/>
              </w:rPr>
              <w:t>одојчади</w:t>
            </w:r>
            <w:r w:rsidRPr="00094BB2">
              <w:rPr>
                <w:rFonts w:ascii="Times New Roman" w:eastAsia="Times New Roman" w:hAnsi="Times New Roman" w:cs="Times New Roman"/>
                <w:lang w:val="sr-Cyrl-ME"/>
              </w:rPr>
              <w:t xml:space="preserve">. Због </w:t>
            </w:r>
            <w:r w:rsidR="007F4AFF" w:rsidRPr="00094BB2">
              <w:rPr>
                <w:rFonts w:ascii="Times New Roman" w:eastAsia="Times New Roman" w:hAnsi="Times New Roman" w:cs="Times New Roman"/>
                <w:lang w:val="sr-Cyrl-ME"/>
              </w:rPr>
              <w:t xml:space="preserve">недовољно </w:t>
            </w:r>
            <w:r w:rsidRPr="00094BB2">
              <w:rPr>
                <w:rFonts w:ascii="Times New Roman" w:eastAsia="Times New Roman" w:hAnsi="Times New Roman" w:cs="Times New Roman"/>
                <w:lang w:val="sr-Cyrl-ME"/>
              </w:rPr>
              <w:t>искуства из клиничке праксе, лијечење нифуроксазидом током дојења се не препоручује.</w:t>
            </w:r>
          </w:p>
          <w:p w14:paraId="60917F20" w14:textId="77777777" w:rsidR="007176E0" w:rsidRPr="00094BB2" w:rsidRDefault="007176E0">
            <w:pPr>
              <w:tabs>
                <w:tab w:val="left" w:pos="284"/>
              </w:tabs>
              <w:spacing w:after="0" w:line="240" w:lineRule="auto"/>
              <w:jc w:val="both"/>
              <w:rPr>
                <w:rFonts w:ascii="Times New Roman" w:eastAsia="Times New Roman" w:hAnsi="Times New Roman" w:cs="Times New Roman"/>
                <w:lang w:val="sr-Cyrl-ME"/>
              </w:rPr>
            </w:pPr>
          </w:p>
        </w:tc>
      </w:tr>
      <w:tr w:rsidR="007176E0" w:rsidRPr="00094BB2" w14:paraId="314B4650" w14:textId="77777777" w:rsidTr="00924B9B">
        <w:trPr>
          <w:trHeight w:val="319"/>
        </w:trPr>
        <w:tc>
          <w:tcPr>
            <w:tcW w:w="9639" w:type="dxa"/>
            <w:gridSpan w:val="4"/>
            <w:vAlign w:val="center"/>
          </w:tcPr>
          <w:p w14:paraId="0DBD46A1" w14:textId="550E9AA7" w:rsidR="007176E0" w:rsidRPr="00094BB2" w:rsidRDefault="007176E0" w:rsidP="00AF4ED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4.7. Утицај на способност управљања возилима и руковањ</w:t>
            </w:r>
            <w:r w:rsidR="0023353A" w:rsidRPr="00094BB2">
              <w:rPr>
                <w:rFonts w:ascii="Times New Roman" w:eastAsia="Times New Roman" w:hAnsi="Times New Roman" w:cs="Times New Roman"/>
                <w:b/>
                <w:bCs/>
                <w:lang w:val="sr-Cyrl-ME"/>
              </w:rPr>
              <w:t>е</w:t>
            </w:r>
            <w:r w:rsidRPr="00094BB2">
              <w:rPr>
                <w:rFonts w:ascii="Times New Roman" w:eastAsia="Times New Roman" w:hAnsi="Times New Roman" w:cs="Times New Roman"/>
                <w:b/>
                <w:bCs/>
                <w:lang w:val="sr-Cyrl-ME"/>
              </w:rPr>
              <w:t xml:space="preserve"> машинама</w:t>
            </w:r>
          </w:p>
        </w:tc>
      </w:tr>
      <w:tr w:rsidR="007176E0" w:rsidRPr="00094BB2" w14:paraId="4A0DA92F" w14:textId="77777777" w:rsidTr="00924B9B">
        <w:trPr>
          <w:trHeight w:val="511"/>
        </w:trPr>
        <w:tc>
          <w:tcPr>
            <w:tcW w:w="9639" w:type="dxa"/>
            <w:gridSpan w:val="4"/>
            <w:vAlign w:val="center"/>
          </w:tcPr>
          <w:p w14:paraId="2FD52AE7"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lang w:val="sr-Cyrl-ME"/>
              </w:rPr>
            </w:pPr>
          </w:p>
          <w:p w14:paraId="1FDBB078" w14:textId="2C4FE457" w:rsidR="007176E0" w:rsidRPr="00094BB2" w:rsidRDefault="007176E0" w:rsidP="00AF4ED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 xml:space="preserve">Лијек </w:t>
            </w:r>
            <w:r w:rsidRPr="00094BB2">
              <w:rPr>
                <w:rFonts w:ascii="Times New Roman" w:eastAsia="Times New Roman" w:hAnsi="Times New Roman" w:cs="Times New Roman"/>
                <w:bCs/>
                <w:lang w:val="sr-Cyrl-ME"/>
              </w:rPr>
              <w:t>не утиче на способност управљања моторним возилима и руковањ</w:t>
            </w:r>
            <w:r w:rsidR="0023353A" w:rsidRPr="00094BB2">
              <w:rPr>
                <w:rFonts w:ascii="Times New Roman" w:eastAsia="Times New Roman" w:hAnsi="Times New Roman" w:cs="Times New Roman"/>
                <w:bCs/>
                <w:lang w:val="sr-Cyrl-ME"/>
              </w:rPr>
              <w:t>е</w:t>
            </w:r>
            <w:r w:rsidRPr="00094BB2">
              <w:rPr>
                <w:rFonts w:ascii="Times New Roman" w:eastAsia="Times New Roman" w:hAnsi="Times New Roman" w:cs="Times New Roman"/>
                <w:bCs/>
                <w:lang w:val="sr-Cyrl-ME"/>
              </w:rPr>
              <w:t xml:space="preserve"> машинама.</w:t>
            </w:r>
          </w:p>
        </w:tc>
      </w:tr>
      <w:tr w:rsidR="007176E0" w:rsidRPr="00094BB2" w14:paraId="1DCBB254" w14:textId="77777777" w:rsidTr="007176E0">
        <w:tc>
          <w:tcPr>
            <w:tcW w:w="9639" w:type="dxa"/>
            <w:gridSpan w:val="4"/>
            <w:vAlign w:val="center"/>
          </w:tcPr>
          <w:p w14:paraId="092055C1" w14:textId="77777777" w:rsidR="00924B9B" w:rsidRPr="00094BB2" w:rsidRDefault="00924B9B" w:rsidP="00AF4EDB">
            <w:pPr>
              <w:tabs>
                <w:tab w:val="left" w:pos="284"/>
              </w:tabs>
              <w:spacing w:after="0" w:line="240" w:lineRule="auto"/>
              <w:jc w:val="both"/>
              <w:rPr>
                <w:rFonts w:ascii="Times New Roman" w:eastAsia="Times New Roman" w:hAnsi="Times New Roman" w:cs="Times New Roman"/>
                <w:b/>
                <w:bCs/>
                <w:lang w:val="sr-Cyrl-ME"/>
              </w:rPr>
            </w:pPr>
          </w:p>
          <w:p w14:paraId="3886933F"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4.8. Нежељена дејства</w:t>
            </w:r>
          </w:p>
        </w:tc>
      </w:tr>
      <w:tr w:rsidR="007176E0" w:rsidRPr="00094BB2" w14:paraId="4D8FA2B7" w14:textId="77777777" w:rsidTr="007176E0">
        <w:trPr>
          <w:trHeight w:val="1145"/>
        </w:trPr>
        <w:tc>
          <w:tcPr>
            <w:tcW w:w="9639" w:type="dxa"/>
            <w:gridSpan w:val="4"/>
            <w:vAlign w:val="center"/>
          </w:tcPr>
          <w:p w14:paraId="2A84FD36" w14:textId="77777777" w:rsidR="007176E0" w:rsidRPr="00094BB2" w:rsidRDefault="007176E0" w:rsidP="00AF4EDB">
            <w:pPr>
              <w:spacing w:after="0" w:line="240" w:lineRule="auto"/>
              <w:jc w:val="both"/>
              <w:rPr>
                <w:rFonts w:ascii="Times New Roman" w:eastAsia="Times New Roman" w:hAnsi="Times New Roman" w:cs="Times New Roman"/>
                <w:lang w:val="sr-Cyrl-ME"/>
              </w:rPr>
            </w:pPr>
          </w:p>
          <w:p w14:paraId="71CC138B" w14:textId="06D71FBB" w:rsidR="000F4E16" w:rsidRPr="00094BB2" w:rsidRDefault="00422BB3" w:rsidP="00C9407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У сљ</w:t>
            </w:r>
            <w:r w:rsidR="000F4E16" w:rsidRPr="00094BB2">
              <w:rPr>
                <w:rFonts w:ascii="Times New Roman" w:eastAsia="Times New Roman" w:hAnsi="Times New Roman" w:cs="Times New Roman"/>
                <w:lang w:val="sr-Cyrl-ME"/>
              </w:rPr>
              <w:t>едећој табели су наведена нежељена дејства забиљежена током примјене нифуроксазида у клиничким испитивањима и након стављања лијека у промет. Нежељена дејства су наведена према класама система органа и учесталости кориштењем сљедеће конвенције: веома често (≥1/10); често (≥1/100 до &lt;1/10); повремено (≥1/1000 до &lt;1/100); ријетко (≥1/10000 до &lt;1/1000), веома ријетко (&lt;1/10000); непознато (не може се проценити на основу доступних података).</w:t>
            </w:r>
          </w:p>
          <w:p w14:paraId="1BF83AA6" w14:textId="2327EFE5" w:rsidR="005D68B9" w:rsidRPr="00094BB2" w:rsidRDefault="005D68B9" w:rsidP="00C9407B">
            <w:pPr>
              <w:tabs>
                <w:tab w:val="left" w:pos="284"/>
              </w:tabs>
              <w:spacing w:after="0" w:line="240" w:lineRule="auto"/>
              <w:jc w:val="both"/>
              <w:rPr>
                <w:rFonts w:ascii="Times New Roman" w:eastAsia="Times New Roman" w:hAnsi="Times New Roman" w:cs="Times New Roman"/>
                <w:lang w:val="sr-Cyrl-ME"/>
              </w:rPr>
            </w:pPr>
          </w:p>
          <w:tbl>
            <w:tblPr>
              <w:tblStyle w:val="TableGrid"/>
              <w:tblW w:w="0" w:type="auto"/>
              <w:tblLook w:val="04A0" w:firstRow="1" w:lastRow="0" w:firstColumn="1" w:lastColumn="0" w:noHBand="0" w:noVBand="1"/>
            </w:tblPr>
            <w:tblGrid>
              <w:gridCol w:w="1860"/>
              <w:gridCol w:w="1827"/>
              <w:gridCol w:w="1852"/>
              <w:gridCol w:w="1836"/>
              <w:gridCol w:w="2038"/>
            </w:tblGrid>
            <w:tr w:rsidR="005D68B9" w:rsidRPr="00094BB2" w14:paraId="0C08302E" w14:textId="77777777" w:rsidTr="00AD3EBC">
              <w:tc>
                <w:tcPr>
                  <w:tcW w:w="9413" w:type="dxa"/>
                  <w:gridSpan w:val="5"/>
                </w:tcPr>
                <w:p w14:paraId="102F9232" w14:textId="6B3C12EE" w:rsidR="005D68B9" w:rsidRPr="00094BB2" w:rsidRDefault="005D68B9" w:rsidP="00C9407B">
                  <w:pPr>
                    <w:tabs>
                      <w:tab w:val="left" w:pos="284"/>
                    </w:tabs>
                    <w:jc w:val="center"/>
                    <w:rPr>
                      <w:b/>
                      <w:lang w:val="sr-Cyrl-ME"/>
                    </w:rPr>
                  </w:pPr>
                  <w:r w:rsidRPr="00094BB2">
                    <w:rPr>
                      <w:b/>
                      <w:lang w:val="sr-Cyrl-ME"/>
                    </w:rPr>
                    <w:t>Нежељена дејства</w:t>
                  </w:r>
                </w:p>
              </w:tc>
            </w:tr>
            <w:tr w:rsidR="005D68B9" w:rsidRPr="00094BB2" w14:paraId="25E343B5" w14:textId="77777777" w:rsidTr="005D68B9">
              <w:tc>
                <w:tcPr>
                  <w:tcW w:w="1882" w:type="dxa"/>
                </w:tcPr>
                <w:p w14:paraId="312D080A" w14:textId="197AFC9C" w:rsidR="005D68B9" w:rsidRPr="00094BB2" w:rsidRDefault="005D68B9" w:rsidP="000F4E16">
                  <w:pPr>
                    <w:tabs>
                      <w:tab w:val="left" w:pos="284"/>
                    </w:tabs>
                    <w:jc w:val="both"/>
                    <w:rPr>
                      <w:lang w:val="sr-Cyrl-ME"/>
                    </w:rPr>
                  </w:pPr>
                  <w:r w:rsidRPr="00094BB2">
                    <w:rPr>
                      <w:lang w:val="sr-Cyrl-ME"/>
                    </w:rPr>
                    <w:t>Класа система органа</w:t>
                  </w:r>
                </w:p>
              </w:tc>
              <w:tc>
                <w:tcPr>
                  <w:tcW w:w="1882" w:type="dxa"/>
                </w:tcPr>
                <w:p w14:paraId="279A2B5F" w14:textId="3DC543E3" w:rsidR="005D68B9" w:rsidRPr="00094BB2" w:rsidRDefault="005D68B9" w:rsidP="000F4E16">
                  <w:pPr>
                    <w:tabs>
                      <w:tab w:val="left" w:pos="284"/>
                    </w:tabs>
                    <w:jc w:val="both"/>
                    <w:rPr>
                      <w:lang w:val="sr-Cyrl-ME"/>
                    </w:rPr>
                  </w:pPr>
                  <w:r w:rsidRPr="00094BB2">
                    <w:rPr>
                      <w:lang w:val="sr-Cyrl-ME"/>
                    </w:rPr>
                    <w:t>Често</w:t>
                  </w:r>
                </w:p>
              </w:tc>
              <w:tc>
                <w:tcPr>
                  <w:tcW w:w="1883" w:type="dxa"/>
                </w:tcPr>
                <w:p w14:paraId="607E96C7" w14:textId="097D288E" w:rsidR="005D68B9" w:rsidRPr="00094BB2" w:rsidRDefault="005D68B9" w:rsidP="000F4E16">
                  <w:pPr>
                    <w:tabs>
                      <w:tab w:val="left" w:pos="284"/>
                    </w:tabs>
                    <w:jc w:val="both"/>
                    <w:rPr>
                      <w:lang w:val="sr-Cyrl-ME"/>
                    </w:rPr>
                  </w:pPr>
                  <w:r w:rsidRPr="00094BB2">
                    <w:rPr>
                      <w:lang w:val="sr-Cyrl-ME"/>
                    </w:rPr>
                    <w:t>Повремено</w:t>
                  </w:r>
                </w:p>
              </w:tc>
              <w:tc>
                <w:tcPr>
                  <w:tcW w:w="1883" w:type="dxa"/>
                </w:tcPr>
                <w:p w14:paraId="736B4421" w14:textId="0323DB3E" w:rsidR="005D68B9" w:rsidRPr="00094BB2" w:rsidRDefault="005D68B9" w:rsidP="000F4E16">
                  <w:pPr>
                    <w:tabs>
                      <w:tab w:val="left" w:pos="284"/>
                    </w:tabs>
                    <w:jc w:val="both"/>
                    <w:rPr>
                      <w:lang w:val="sr-Cyrl-ME"/>
                    </w:rPr>
                  </w:pPr>
                  <w:r w:rsidRPr="00094BB2">
                    <w:rPr>
                      <w:lang w:val="sr-Cyrl-ME"/>
                    </w:rPr>
                    <w:t>Ријетко</w:t>
                  </w:r>
                </w:p>
              </w:tc>
              <w:tc>
                <w:tcPr>
                  <w:tcW w:w="1883" w:type="dxa"/>
                </w:tcPr>
                <w:p w14:paraId="75219F25" w14:textId="7FB25E21" w:rsidR="005D68B9" w:rsidRPr="00094BB2" w:rsidRDefault="005D68B9" w:rsidP="000F4E16">
                  <w:pPr>
                    <w:tabs>
                      <w:tab w:val="left" w:pos="284"/>
                    </w:tabs>
                    <w:jc w:val="both"/>
                    <w:rPr>
                      <w:lang w:val="sr-Cyrl-ME"/>
                    </w:rPr>
                  </w:pPr>
                  <w:r w:rsidRPr="00094BB2">
                    <w:rPr>
                      <w:lang w:val="sr-Cyrl-ME"/>
                    </w:rPr>
                    <w:t>Непознато</w:t>
                  </w:r>
                </w:p>
              </w:tc>
            </w:tr>
            <w:tr w:rsidR="005D68B9" w:rsidRPr="00094BB2" w14:paraId="7D3572B6" w14:textId="77777777" w:rsidTr="005D68B9">
              <w:tc>
                <w:tcPr>
                  <w:tcW w:w="1882" w:type="dxa"/>
                </w:tcPr>
                <w:p w14:paraId="1AA93493" w14:textId="1A2CE7F6" w:rsidR="005D68B9" w:rsidRPr="00094BB2" w:rsidRDefault="005D68B9" w:rsidP="000F4E16">
                  <w:pPr>
                    <w:tabs>
                      <w:tab w:val="left" w:pos="284"/>
                    </w:tabs>
                    <w:jc w:val="both"/>
                    <w:rPr>
                      <w:i/>
                      <w:lang w:val="sr-Cyrl-ME"/>
                    </w:rPr>
                  </w:pPr>
                  <w:r w:rsidRPr="00094BB2">
                    <w:rPr>
                      <w:i/>
                      <w:lang w:val="sr-Cyrl-ME"/>
                    </w:rPr>
                    <w:t>Поремећаји коже и поткожног ткива</w:t>
                  </w:r>
                </w:p>
              </w:tc>
              <w:tc>
                <w:tcPr>
                  <w:tcW w:w="1882" w:type="dxa"/>
                </w:tcPr>
                <w:p w14:paraId="68529942" w14:textId="77777777" w:rsidR="005D68B9" w:rsidRPr="00094BB2" w:rsidRDefault="005D68B9" w:rsidP="000F4E16">
                  <w:pPr>
                    <w:tabs>
                      <w:tab w:val="left" w:pos="284"/>
                    </w:tabs>
                    <w:jc w:val="both"/>
                    <w:rPr>
                      <w:lang w:val="sr-Cyrl-ME"/>
                    </w:rPr>
                  </w:pPr>
                </w:p>
              </w:tc>
              <w:tc>
                <w:tcPr>
                  <w:tcW w:w="1883" w:type="dxa"/>
                </w:tcPr>
                <w:p w14:paraId="43CE591C" w14:textId="77777777" w:rsidR="005D68B9" w:rsidRPr="00094BB2" w:rsidRDefault="005D68B9" w:rsidP="000F4E16">
                  <w:pPr>
                    <w:tabs>
                      <w:tab w:val="left" w:pos="284"/>
                    </w:tabs>
                    <w:jc w:val="both"/>
                    <w:rPr>
                      <w:lang w:val="sr-Cyrl-ME"/>
                    </w:rPr>
                  </w:pPr>
                </w:p>
              </w:tc>
              <w:tc>
                <w:tcPr>
                  <w:tcW w:w="1883" w:type="dxa"/>
                </w:tcPr>
                <w:p w14:paraId="5E3D62BC" w14:textId="77777777" w:rsidR="005D68B9" w:rsidRPr="00094BB2" w:rsidRDefault="005D68B9" w:rsidP="000F4E16">
                  <w:pPr>
                    <w:tabs>
                      <w:tab w:val="left" w:pos="284"/>
                    </w:tabs>
                    <w:jc w:val="both"/>
                    <w:rPr>
                      <w:lang w:val="sr-Cyrl-ME"/>
                    </w:rPr>
                  </w:pPr>
                </w:p>
              </w:tc>
              <w:tc>
                <w:tcPr>
                  <w:tcW w:w="1883" w:type="dxa"/>
                </w:tcPr>
                <w:p w14:paraId="56568841" w14:textId="77777777" w:rsidR="005D68B9" w:rsidRPr="00094BB2" w:rsidRDefault="005D68B9" w:rsidP="005D68B9">
                  <w:pPr>
                    <w:tabs>
                      <w:tab w:val="left" w:pos="284"/>
                    </w:tabs>
                    <w:jc w:val="both"/>
                    <w:rPr>
                      <w:lang w:val="sr-Cyrl-ME"/>
                    </w:rPr>
                  </w:pPr>
                  <w:r w:rsidRPr="00094BB2">
                    <w:rPr>
                      <w:lang w:val="sr-Cyrl-ME"/>
                    </w:rPr>
                    <w:t>Макулопапуларни</w:t>
                  </w:r>
                </w:p>
                <w:p w14:paraId="50B61A20" w14:textId="77777777" w:rsidR="005D68B9" w:rsidRPr="00094BB2" w:rsidRDefault="005D68B9" w:rsidP="005D68B9">
                  <w:pPr>
                    <w:tabs>
                      <w:tab w:val="left" w:pos="284"/>
                    </w:tabs>
                    <w:jc w:val="both"/>
                    <w:rPr>
                      <w:lang w:val="sr-Cyrl-ME"/>
                    </w:rPr>
                  </w:pPr>
                  <w:r w:rsidRPr="00094BB2">
                    <w:rPr>
                      <w:lang w:val="sr-Cyrl-ME"/>
                    </w:rPr>
                    <w:t>еритематозни осип,</w:t>
                  </w:r>
                </w:p>
                <w:p w14:paraId="751528C5" w14:textId="77777777" w:rsidR="005D68B9" w:rsidRPr="00094BB2" w:rsidRDefault="005D68B9" w:rsidP="005D68B9">
                  <w:pPr>
                    <w:tabs>
                      <w:tab w:val="left" w:pos="284"/>
                    </w:tabs>
                    <w:jc w:val="both"/>
                    <w:rPr>
                      <w:lang w:val="sr-Cyrl-ME"/>
                    </w:rPr>
                  </w:pPr>
                  <w:r w:rsidRPr="00094BB2">
                    <w:rPr>
                      <w:lang w:val="sr-Cyrl-ME"/>
                    </w:rPr>
                    <w:t>екцем,</w:t>
                  </w:r>
                </w:p>
                <w:p w14:paraId="47CA0407" w14:textId="77777777" w:rsidR="005D68B9" w:rsidRPr="00094BB2" w:rsidRDefault="005D68B9" w:rsidP="005D68B9">
                  <w:pPr>
                    <w:tabs>
                      <w:tab w:val="left" w:pos="284"/>
                    </w:tabs>
                    <w:jc w:val="both"/>
                    <w:rPr>
                      <w:lang w:val="sr-Cyrl-ME"/>
                    </w:rPr>
                  </w:pPr>
                  <w:r w:rsidRPr="00094BB2">
                    <w:rPr>
                      <w:lang w:val="sr-Cyrl-ME"/>
                    </w:rPr>
                    <w:t>акутна генерализована</w:t>
                  </w:r>
                </w:p>
                <w:p w14:paraId="2C096121" w14:textId="77777777" w:rsidR="005D68B9" w:rsidRPr="00094BB2" w:rsidRDefault="005D68B9" w:rsidP="005D68B9">
                  <w:pPr>
                    <w:tabs>
                      <w:tab w:val="left" w:pos="284"/>
                    </w:tabs>
                    <w:jc w:val="both"/>
                    <w:rPr>
                      <w:lang w:val="sr-Cyrl-ME"/>
                    </w:rPr>
                  </w:pPr>
                  <w:r w:rsidRPr="00094BB2">
                    <w:rPr>
                      <w:lang w:val="sr-Cyrl-ME"/>
                    </w:rPr>
                    <w:t>егзантематозна</w:t>
                  </w:r>
                </w:p>
                <w:p w14:paraId="7EDFE7A1" w14:textId="77777777" w:rsidR="005D68B9" w:rsidRPr="00094BB2" w:rsidRDefault="005D68B9" w:rsidP="005D68B9">
                  <w:pPr>
                    <w:tabs>
                      <w:tab w:val="left" w:pos="284"/>
                    </w:tabs>
                    <w:jc w:val="both"/>
                    <w:rPr>
                      <w:lang w:val="sr-Cyrl-ME"/>
                    </w:rPr>
                  </w:pPr>
                  <w:r w:rsidRPr="00094BB2">
                    <w:rPr>
                      <w:lang w:val="sr-Cyrl-ME"/>
                    </w:rPr>
                    <w:t>пустулоза,</w:t>
                  </w:r>
                </w:p>
                <w:p w14:paraId="74019EC9" w14:textId="6EC617FA" w:rsidR="005D68B9" w:rsidRPr="00094BB2" w:rsidRDefault="005D68B9" w:rsidP="005D68B9">
                  <w:pPr>
                    <w:tabs>
                      <w:tab w:val="left" w:pos="284"/>
                    </w:tabs>
                    <w:jc w:val="both"/>
                    <w:rPr>
                      <w:lang w:val="sr-Cyrl-ME"/>
                    </w:rPr>
                  </w:pPr>
                  <w:r w:rsidRPr="00094BB2">
                    <w:rPr>
                      <w:lang w:val="sr-Cyrl-ME"/>
                    </w:rPr>
                    <w:t>фотосензитивност.</w:t>
                  </w:r>
                </w:p>
              </w:tc>
            </w:tr>
            <w:tr w:rsidR="005D68B9" w:rsidRPr="00094BB2" w14:paraId="4A83CC08" w14:textId="77777777" w:rsidTr="005D68B9">
              <w:tc>
                <w:tcPr>
                  <w:tcW w:w="1882" w:type="dxa"/>
                </w:tcPr>
                <w:p w14:paraId="067EAD54" w14:textId="5C691E96" w:rsidR="005D68B9" w:rsidRPr="00094BB2" w:rsidRDefault="005D68B9" w:rsidP="000F4E16">
                  <w:pPr>
                    <w:tabs>
                      <w:tab w:val="left" w:pos="284"/>
                    </w:tabs>
                    <w:jc w:val="both"/>
                    <w:rPr>
                      <w:i/>
                      <w:lang w:val="sr-Cyrl-ME"/>
                    </w:rPr>
                  </w:pPr>
                  <w:r w:rsidRPr="00094BB2">
                    <w:rPr>
                      <w:i/>
                      <w:lang w:val="sr-Cyrl-ME"/>
                    </w:rPr>
                    <w:t>Поремећаји имуног система</w:t>
                  </w:r>
                </w:p>
              </w:tc>
              <w:tc>
                <w:tcPr>
                  <w:tcW w:w="1882" w:type="dxa"/>
                </w:tcPr>
                <w:p w14:paraId="44CC10B5" w14:textId="77777777" w:rsidR="005D68B9" w:rsidRPr="00094BB2" w:rsidRDefault="005D68B9" w:rsidP="000F4E16">
                  <w:pPr>
                    <w:tabs>
                      <w:tab w:val="left" w:pos="284"/>
                    </w:tabs>
                    <w:jc w:val="both"/>
                    <w:rPr>
                      <w:lang w:val="sr-Cyrl-ME"/>
                    </w:rPr>
                  </w:pPr>
                </w:p>
              </w:tc>
              <w:tc>
                <w:tcPr>
                  <w:tcW w:w="1883" w:type="dxa"/>
                </w:tcPr>
                <w:p w14:paraId="63A9DB80" w14:textId="77777777" w:rsidR="005D68B9" w:rsidRPr="00094BB2" w:rsidRDefault="005D68B9" w:rsidP="000F4E16">
                  <w:pPr>
                    <w:tabs>
                      <w:tab w:val="left" w:pos="284"/>
                    </w:tabs>
                    <w:jc w:val="both"/>
                    <w:rPr>
                      <w:lang w:val="sr-Cyrl-ME"/>
                    </w:rPr>
                  </w:pPr>
                </w:p>
              </w:tc>
              <w:tc>
                <w:tcPr>
                  <w:tcW w:w="1883" w:type="dxa"/>
                </w:tcPr>
                <w:p w14:paraId="06569EFC" w14:textId="77777777" w:rsidR="005D68B9" w:rsidRPr="00094BB2" w:rsidRDefault="005D68B9" w:rsidP="000F4E16">
                  <w:pPr>
                    <w:tabs>
                      <w:tab w:val="left" w:pos="284"/>
                    </w:tabs>
                    <w:jc w:val="both"/>
                    <w:rPr>
                      <w:lang w:val="sr-Cyrl-ME"/>
                    </w:rPr>
                  </w:pPr>
                </w:p>
              </w:tc>
              <w:tc>
                <w:tcPr>
                  <w:tcW w:w="1883" w:type="dxa"/>
                </w:tcPr>
                <w:p w14:paraId="36CD64E3" w14:textId="77777777" w:rsidR="005D68B9" w:rsidRPr="00094BB2" w:rsidRDefault="005D68B9" w:rsidP="005D68B9">
                  <w:pPr>
                    <w:tabs>
                      <w:tab w:val="left" w:pos="284"/>
                    </w:tabs>
                    <w:jc w:val="both"/>
                    <w:rPr>
                      <w:lang w:val="sr-Cyrl-ME"/>
                    </w:rPr>
                  </w:pPr>
                  <w:r w:rsidRPr="00094BB2">
                    <w:rPr>
                      <w:lang w:val="sr-Cyrl-ME"/>
                    </w:rPr>
                    <w:t>Алергијске реакције</w:t>
                  </w:r>
                </w:p>
                <w:p w14:paraId="00A419E2" w14:textId="77777777" w:rsidR="005D68B9" w:rsidRPr="00094BB2" w:rsidRDefault="005D68B9" w:rsidP="005D68B9">
                  <w:pPr>
                    <w:tabs>
                      <w:tab w:val="left" w:pos="284"/>
                    </w:tabs>
                    <w:jc w:val="both"/>
                    <w:rPr>
                      <w:lang w:val="sr-Cyrl-ME"/>
                    </w:rPr>
                  </w:pPr>
                  <w:r w:rsidRPr="00094BB2">
                    <w:rPr>
                      <w:lang w:val="sr-Cyrl-ME"/>
                    </w:rPr>
                    <w:t>попут осипа на кожи,</w:t>
                  </w:r>
                </w:p>
                <w:p w14:paraId="3281962B" w14:textId="77777777" w:rsidR="005D68B9" w:rsidRPr="00094BB2" w:rsidRDefault="005D68B9" w:rsidP="005D68B9">
                  <w:pPr>
                    <w:tabs>
                      <w:tab w:val="left" w:pos="284"/>
                    </w:tabs>
                    <w:jc w:val="both"/>
                    <w:rPr>
                      <w:lang w:val="sr-Cyrl-ME"/>
                    </w:rPr>
                  </w:pPr>
                  <w:r w:rsidRPr="00094BB2">
                    <w:rPr>
                      <w:lang w:val="sr-Cyrl-ME"/>
                    </w:rPr>
                    <w:t>уртикарије, Quinke-овог</w:t>
                  </w:r>
                </w:p>
                <w:p w14:paraId="306AC9C3" w14:textId="77777777" w:rsidR="005D68B9" w:rsidRPr="00094BB2" w:rsidRDefault="005D68B9" w:rsidP="005D68B9">
                  <w:pPr>
                    <w:tabs>
                      <w:tab w:val="left" w:pos="284"/>
                    </w:tabs>
                    <w:jc w:val="both"/>
                    <w:rPr>
                      <w:lang w:val="sr-Cyrl-ME"/>
                    </w:rPr>
                  </w:pPr>
                  <w:r w:rsidRPr="00094BB2">
                    <w:rPr>
                      <w:lang w:val="sr-Cyrl-ME"/>
                    </w:rPr>
                    <w:t>едема или</w:t>
                  </w:r>
                </w:p>
                <w:p w14:paraId="441DE916" w14:textId="0BCB1087" w:rsidR="005D68B9" w:rsidRPr="00094BB2" w:rsidRDefault="005D68B9" w:rsidP="005D68B9">
                  <w:pPr>
                    <w:tabs>
                      <w:tab w:val="left" w:pos="284"/>
                    </w:tabs>
                    <w:jc w:val="both"/>
                    <w:rPr>
                      <w:lang w:val="sr-Cyrl-ME"/>
                    </w:rPr>
                  </w:pPr>
                  <w:r w:rsidRPr="00094BB2">
                    <w:rPr>
                      <w:lang w:val="sr-Cyrl-ME"/>
                    </w:rPr>
                    <w:t>анафилактичког шока.</w:t>
                  </w:r>
                </w:p>
              </w:tc>
            </w:tr>
            <w:tr w:rsidR="005D68B9" w:rsidRPr="00094BB2" w14:paraId="5573E984" w14:textId="77777777" w:rsidTr="005D68B9">
              <w:tc>
                <w:tcPr>
                  <w:tcW w:w="1882" w:type="dxa"/>
                </w:tcPr>
                <w:p w14:paraId="3D371CFB" w14:textId="41372224" w:rsidR="005D68B9" w:rsidRPr="00094BB2" w:rsidRDefault="005D68B9" w:rsidP="000F4E16">
                  <w:pPr>
                    <w:tabs>
                      <w:tab w:val="left" w:pos="284"/>
                    </w:tabs>
                    <w:jc w:val="both"/>
                    <w:rPr>
                      <w:i/>
                      <w:lang w:val="sr-Cyrl-ME"/>
                    </w:rPr>
                  </w:pPr>
                  <w:r w:rsidRPr="00094BB2">
                    <w:rPr>
                      <w:i/>
                      <w:lang w:val="sr-Cyrl-ME"/>
                    </w:rPr>
                    <w:t>Поремећаји крви и лимфног система</w:t>
                  </w:r>
                </w:p>
              </w:tc>
              <w:tc>
                <w:tcPr>
                  <w:tcW w:w="1882" w:type="dxa"/>
                </w:tcPr>
                <w:p w14:paraId="065FAD5E" w14:textId="77777777" w:rsidR="005D68B9" w:rsidRPr="00094BB2" w:rsidRDefault="005D68B9" w:rsidP="000F4E16">
                  <w:pPr>
                    <w:tabs>
                      <w:tab w:val="left" w:pos="284"/>
                    </w:tabs>
                    <w:jc w:val="both"/>
                    <w:rPr>
                      <w:lang w:val="sr-Cyrl-ME"/>
                    </w:rPr>
                  </w:pPr>
                </w:p>
              </w:tc>
              <w:tc>
                <w:tcPr>
                  <w:tcW w:w="1883" w:type="dxa"/>
                </w:tcPr>
                <w:p w14:paraId="1F8A9D02" w14:textId="77777777" w:rsidR="005D68B9" w:rsidRPr="00094BB2" w:rsidRDefault="005D68B9" w:rsidP="000F4E16">
                  <w:pPr>
                    <w:tabs>
                      <w:tab w:val="left" w:pos="284"/>
                    </w:tabs>
                    <w:jc w:val="both"/>
                    <w:rPr>
                      <w:lang w:val="sr-Cyrl-ME"/>
                    </w:rPr>
                  </w:pPr>
                </w:p>
              </w:tc>
              <w:tc>
                <w:tcPr>
                  <w:tcW w:w="1883" w:type="dxa"/>
                </w:tcPr>
                <w:p w14:paraId="23B60F80" w14:textId="77777777" w:rsidR="005D68B9" w:rsidRPr="00094BB2" w:rsidRDefault="005D68B9" w:rsidP="000F4E16">
                  <w:pPr>
                    <w:tabs>
                      <w:tab w:val="left" w:pos="284"/>
                    </w:tabs>
                    <w:jc w:val="both"/>
                    <w:rPr>
                      <w:lang w:val="sr-Cyrl-ME"/>
                    </w:rPr>
                  </w:pPr>
                </w:p>
              </w:tc>
              <w:tc>
                <w:tcPr>
                  <w:tcW w:w="1883" w:type="dxa"/>
                </w:tcPr>
                <w:p w14:paraId="27E8125B" w14:textId="77777777" w:rsidR="005D68B9" w:rsidRPr="00094BB2" w:rsidRDefault="005D68B9" w:rsidP="005D68B9">
                  <w:pPr>
                    <w:tabs>
                      <w:tab w:val="left" w:pos="284"/>
                    </w:tabs>
                    <w:jc w:val="both"/>
                    <w:rPr>
                      <w:lang w:val="sr-Cyrl-ME"/>
                    </w:rPr>
                  </w:pPr>
                  <w:r w:rsidRPr="00094BB2">
                    <w:rPr>
                      <w:lang w:val="sr-Cyrl-ME"/>
                    </w:rPr>
                    <w:t>Тромбоцитопенија,</w:t>
                  </w:r>
                </w:p>
                <w:p w14:paraId="0D150793" w14:textId="77777777" w:rsidR="005D68B9" w:rsidRPr="00094BB2" w:rsidRDefault="005D68B9" w:rsidP="005D68B9">
                  <w:pPr>
                    <w:tabs>
                      <w:tab w:val="left" w:pos="284"/>
                    </w:tabs>
                    <w:jc w:val="both"/>
                    <w:rPr>
                      <w:lang w:val="sr-Cyrl-ME"/>
                    </w:rPr>
                  </w:pPr>
                  <w:r w:rsidRPr="00094BB2">
                    <w:rPr>
                      <w:lang w:val="sr-Cyrl-ME"/>
                    </w:rPr>
                    <w:t>хемолитичка анемија,</w:t>
                  </w:r>
                </w:p>
                <w:p w14:paraId="1A7D56B4" w14:textId="7AD0560F" w:rsidR="005D68B9" w:rsidRPr="00094BB2" w:rsidRDefault="005D68B9" w:rsidP="005D68B9">
                  <w:pPr>
                    <w:tabs>
                      <w:tab w:val="left" w:pos="284"/>
                    </w:tabs>
                    <w:jc w:val="both"/>
                    <w:rPr>
                      <w:lang w:val="sr-Cyrl-ME"/>
                    </w:rPr>
                  </w:pPr>
                  <w:r w:rsidRPr="00094BB2">
                    <w:rPr>
                      <w:lang w:val="sr-Cyrl-ME"/>
                    </w:rPr>
                    <w:t>агранулоцитоза.</w:t>
                  </w:r>
                </w:p>
              </w:tc>
            </w:tr>
            <w:tr w:rsidR="005D68B9" w:rsidRPr="00094BB2" w14:paraId="78D9D524" w14:textId="77777777" w:rsidTr="005D68B9">
              <w:tc>
                <w:tcPr>
                  <w:tcW w:w="1882" w:type="dxa"/>
                </w:tcPr>
                <w:p w14:paraId="5AD25AA6" w14:textId="20A9F1D6" w:rsidR="005D68B9" w:rsidRPr="00094BB2" w:rsidRDefault="005D68B9" w:rsidP="000F4E16">
                  <w:pPr>
                    <w:tabs>
                      <w:tab w:val="left" w:pos="284"/>
                    </w:tabs>
                    <w:jc w:val="both"/>
                    <w:rPr>
                      <w:i/>
                      <w:lang w:val="sr-Cyrl-ME"/>
                    </w:rPr>
                  </w:pPr>
                  <w:r w:rsidRPr="00094BB2">
                    <w:rPr>
                      <w:i/>
                      <w:lang w:val="sr-Cyrl-ME"/>
                    </w:rPr>
                    <w:lastRenderedPageBreak/>
                    <w:t>Испитивања</w:t>
                  </w:r>
                </w:p>
              </w:tc>
              <w:tc>
                <w:tcPr>
                  <w:tcW w:w="1882" w:type="dxa"/>
                </w:tcPr>
                <w:p w14:paraId="52EC6925" w14:textId="77777777" w:rsidR="005D68B9" w:rsidRPr="00094BB2" w:rsidRDefault="005D68B9" w:rsidP="000F4E16">
                  <w:pPr>
                    <w:tabs>
                      <w:tab w:val="left" w:pos="284"/>
                    </w:tabs>
                    <w:jc w:val="both"/>
                    <w:rPr>
                      <w:lang w:val="sr-Cyrl-ME"/>
                    </w:rPr>
                  </w:pPr>
                </w:p>
              </w:tc>
              <w:tc>
                <w:tcPr>
                  <w:tcW w:w="1883" w:type="dxa"/>
                </w:tcPr>
                <w:p w14:paraId="528A9E49" w14:textId="77777777" w:rsidR="005D68B9" w:rsidRPr="00094BB2" w:rsidRDefault="005D68B9" w:rsidP="000F4E16">
                  <w:pPr>
                    <w:tabs>
                      <w:tab w:val="left" w:pos="284"/>
                    </w:tabs>
                    <w:jc w:val="both"/>
                    <w:rPr>
                      <w:lang w:val="sr-Cyrl-ME"/>
                    </w:rPr>
                  </w:pPr>
                </w:p>
              </w:tc>
              <w:tc>
                <w:tcPr>
                  <w:tcW w:w="1883" w:type="dxa"/>
                </w:tcPr>
                <w:p w14:paraId="2AE73B4D" w14:textId="77777777" w:rsidR="005D68B9" w:rsidRPr="00094BB2" w:rsidRDefault="005D68B9" w:rsidP="000F4E16">
                  <w:pPr>
                    <w:tabs>
                      <w:tab w:val="left" w:pos="284"/>
                    </w:tabs>
                    <w:jc w:val="both"/>
                    <w:rPr>
                      <w:lang w:val="sr-Cyrl-ME"/>
                    </w:rPr>
                  </w:pPr>
                </w:p>
              </w:tc>
              <w:tc>
                <w:tcPr>
                  <w:tcW w:w="1883" w:type="dxa"/>
                </w:tcPr>
                <w:p w14:paraId="69EF4141" w14:textId="4CC73BD7" w:rsidR="005D68B9" w:rsidRPr="00094BB2" w:rsidRDefault="005D68B9" w:rsidP="005D68B9">
                  <w:pPr>
                    <w:tabs>
                      <w:tab w:val="left" w:pos="284"/>
                    </w:tabs>
                    <w:jc w:val="both"/>
                    <w:rPr>
                      <w:lang w:val="sr-Cyrl-ME"/>
                    </w:rPr>
                  </w:pPr>
                  <w:r w:rsidRPr="00094BB2">
                    <w:rPr>
                      <w:lang w:val="sr-Cyrl-ME"/>
                    </w:rPr>
                    <w:t>Повећане вриједности</w:t>
                  </w:r>
                </w:p>
                <w:p w14:paraId="03DAB837" w14:textId="744311C2" w:rsidR="005D68B9" w:rsidRPr="00094BB2" w:rsidRDefault="005D68B9" w:rsidP="005D68B9">
                  <w:pPr>
                    <w:tabs>
                      <w:tab w:val="left" w:pos="284"/>
                    </w:tabs>
                    <w:jc w:val="both"/>
                    <w:rPr>
                      <w:lang w:val="sr-Cyrl-ME"/>
                    </w:rPr>
                  </w:pPr>
                  <w:r w:rsidRPr="00094BB2">
                    <w:rPr>
                      <w:lang w:val="sr-Cyrl-ME"/>
                    </w:rPr>
                    <w:t>Трансаминаза.</w:t>
                  </w:r>
                </w:p>
              </w:tc>
            </w:tr>
            <w:tr w:rsidR="005D68B9" w:rsidRPr="00094BB2" w14:paraId="60768B81" w14:textId="77777777" w:rsidTr="005D68B9">
              <w:tc>
                <w:tcPr>
                  <w:tcW w:w="1882" w:type="dxa"/>
                </w:tcPr>
                <w:p w14:paraId="57D2CB00" w14:textId="7FB330EA" w:rsidR="005D68B9" w:rsidRPr="00094BB2" w:rsidRDefault="005D68B9" w:rsidP="000F4E16">
                  <w:pPr>
                    <w:tabs>
                      <w:tab w:val="left" w:pos="284"/>
                    </w:tabs>
                    <w:jc w:val="both"/>
                    <w:rPr>
                      <w:i/>
                      <w:lang w:val="sr-Cyrl-ME"/>
                    </w:rPr>
                  </w:pPr>
                  <w:r w:rsidRPr="00094BB2">
                    <w:rPr>
                      <w:i/>
                      <w:lang w:val="sr-Cyrl-ME"/>
                    </w:rPr>
                    <w:t>Поремећаји бубрега и уринарног система</w:t>
                  </w:r>
                </w:p>
              </w:tc>
              <w:tc>
                <w:tcPr>
                  <w:tcW w:w="1882" w:type="dxa"/>
                </w:tcPr>
                <w:p w14:paraId="4CC2A1D4" w14:textId="77777777" w:rsidR="005D68B9" w:rsidRPr="00094BB2" w:rsidRDefault="005D68B9" w:rsidP="000F4E16">
                  <w:pPr>
                    <w:tabs>
                      <w:tab w:val="left" w:pos="284"/>
                    </w:tabs>
                    <w:jc w:val="both"/>
                    <w:rPr>
                      <w:lang w:val="sr-Cyrl-ME"/>
                    </w:rPr>
                  </w:pPr>
                </w:p>
              </w:tc>
              <w:tc>
                <w:tcPr>
                  <w:tcW w:w="1883" w:type="dxa"/>
                </w:tcPr>
                <w:p w14:paraId="61C73242" w14:textId="77777777" w:rsidR="005D68B9" w:rsidRPr="00094BB2" w:rsidRDefault="005D68B9" w:rsidP="000F4E16">
                  <w:pPr>
                    <w:tabs>
                      <w:tab w:val="left" w:pos="284"/>
                    </w:tabs>
                    <w:jc w:val="both"/>
                    <w:rPr>
                      <w:lang w:val="sr-Cyrl-ME"/>
                    </w:rPr>
                  </w:pPr>
                </w:p>
              </w:tc>
              <w:tc>
                <w:tcPr>
                  <w:tcW w:w="1883" w:type="dxa"/>
                </w:tcPr>
                <w:p w14:paraId="31DFEB90" w14:textId="77777777" w:rsidR="005D68B9" w:rsidRPr="00094BB2" w:rsidRDefault="005D68B9" w:rsidP="000F4E16">
                  <w:pPr>
                    <w:tabs>
                      <w:tab w:val="left" w:pos="284"/>
                    </w:tabs>
                    <w:jc w:val="both"/>
                    <w:rPr>
                      <w:lang w:val="sr-Cyrl-ME"/>
                    </w:rPr>
                  </w:pPr>
                </w:p>
              </w:tc>
              <w:tc>
                <w:tcPr>
                  <w:tcW w:w="1883" w:type="dxa"/>
                </w:tcPr>
                <w:p w14:paraId="765CC821" w14:textId="58AF6BD1" w:rsidR="005D68B9" w:rsidRPr="00094BB2" w:rsidRDefault="005D68B9" w:rsidP="000F4E16">
                  <w:pPr>
                    <w:tabs>
                      <w:tab w:val="left" w:pos="284"/>
                    </w:tabs>
                    <w:jc w:val="both"/>
                    <w:rPr>
                      <w:lang w:val="sr-Cyrl-ME"/>
                    </w:rPr>
                  </w:pPr>
                  <w:r w:rsidRPr="00094BB2">
                    <w:rPr>
                      <w:lang w:val="sr-Cyrl-ME"/>
                    </w:rPr>
                    <w:t>Хроматурија.</w:t>
                  </w:r>
                </w:p>
              </w:tc>
            </w:tr>
          </w:tbl>
          <w:p w14:paraId="2168F881" w14:textId="77777777" w:rsidR="007176E0" w:rsidRPr="00094BB2" w:rsidRDefault="007176E0">
            <w:pPr>
              <w:spacing w:after="0" w:line="240" w:lineRule="auto"/>
              <w:jc w:val="both"/>
              <w:rPr>
                <w:rFonts w:ascii="Times New Roman" w:eastAsia="Times New Roman" w:hAnsi="Times New Roman" w:cs="Times New Roman"/>
                <w:b/>
                <w:lang w:val="sr-Cyrl-ME"/>
              </w:rPr>
            </w:pPr>
          </w:p>
          <w:p w14:paraId="250C306B" w14:textId="070F5759" w:rsidR="000F4E16" w:rsidRPr="00094BB2" w:rsidRDefault="007176E0">
            <w:pPr>
              <w:tabs>
                <w:tab w:val="center" w:pos="4536"/>
                <w:tab w:val="right" w:pos="9072"/>
              </w:tabs>
              <w:spacing w:after="0" w:line="240" w:lineRule="auto"/>
              <w:jc w:val="both"/>
              <w:rPr>
                <w:rFonts w:ascii="Times New Roman" w:eastAsia="Times New Roman" w:hAnsi="Times New Roman" w:cs="Times New Roman"/>
                <w:b/>
                <w:u w:val="single"/>
                <w:lang w:val="sr-Cyrl-ME"/>
              </w:rPr>
            </w:pPr>
            <w:r w:rsidRPr="00094BB2">
              <w:rPr>
                <w:rFonts w:ascii="Times New Roman" w:eastAsia="Times New Roman" w:hAnsi="Times New Roman" w:cs="Times New Roman"/>
                <w:b/>
                <w:u w:val="single"/>
                <w:lang w:val="sr-Cyrl-ME"/>
              </w:rPr>
              <w:t>Пријављивање сумњи на нежељена дејства</w:t>
            </w:r>
          </w:p>
          <w:p w14:paraId="7B6684A4" w14:textId="77777777" w:rsidR="007176E0" w:rsidRPr="00094BB2" w:rsidRDefault="007176E0">
            <w:pPr>
              <w:tabs>
                <w:tab w:val="center" w:pos="4536"/>
                <w:tab w:val="right" w:pos="9072"/>
              </w:tabs>
              <w:spacing w:after="0" w:line="240" w:lineRule="auto"/>
              <w:jc w:val="both"/>
              <w:rPr>
                <w:rFonts w:ascii="Times New Roman" w:eastAsia="Times New Roman" w:hAnsi="Times New Roman" w:cs="Times New Roman"/>
                <w:lang w:val="sr-Cyrl-ME"/>
              </w:rPr>
            </w:pPr>
          </w:p>
          <w:p w14:paraId="26FB8F0D" w14:textId="6B83675F" w:rsidR="007176E0" w:rsidRPr="00094BB2" w:rsidRDefault="007176E0">
            <w:pPr>
              <w:tabs>
                <w:tab w:val="center" w:pos="4536"/>
                <w:tab w:val="right" w:pos="9072"/>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 xml:space="preserve">Пријављивање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w:t>
            </w:r>
            <w:r w:rsidR="0023353A" w:rsidRPr="00094BB2">
              <w:rPr>
                <w:rFonts w:ascii="Times New Roman" w:eastAsia="Times New Roman" w:hAnsi="Times New Roman" w:cs="Times New Roman"/>
                <w:lang w:val="sr-Cyrl-ME"/>
              </w:rPr>
              <w:t>Институту</w:t>
            </w:r>
            <w:r w:rsidRPr="00094BB2">
              <w:rPr>
                <w:rFonts w:ascii="Times New Roman" w:eastAsia="Times New Roman" w:hAnsi="Times New Roman" w:cs="Times New Roman"/>
                <w:lang w:val="sr-Cyrl-ME"/>
              </w:rPr>
              <w:t xml:space="preserve"> за љекове и медицинска средства (CI</w:t>
            </w:r>
            <w:r w:rsidR="0023353A" w:rsidRPr="00094BB2">
              <w:rPr>
                <w:rFonts w:ascii="Times New Roman" w:eastAsia="Times New Roman" w:hAnsi="Times New Roman" w:cs="Times New Roman"/>
                <w:lang w:val="sr-Cyrl-ME"/>
              </w:rPr>
              <w:t>n</w:t>
            </w:r>
            <w:r w:rsidRPr="00094BB2">
              <w:rPr>
                <w:rFonts w:ascii="Times New Roman" w:eastAsia="Times New Roman" w:hAnsi="Times New Roman" w:cs="Times New Roman"/>
                <w:lang w:val="sr-Cyrl-ME"/>
              </w:rPr>
              <w:t>M</w:t>
            </w:r>
            <w:r w:rsidR="0023353A" w:rsidRPr="00094BB2">
              <w:rPr>
                <w:rFonts w:ascii="Times New Roman" w:eastAsia="Times New Roman" w:hAnsi="Times New Roman" w:cs="Times New Roman"/>
                <w:lang w:val="sr-Cyrl-ME"/>
              </w:rPr>
              <w:t>ED</w:t>
            </w:r>
            <w:r w:rsidRPr="00094BB2">
              <w:rPr>
                <w:rFonts w:ascii="Times New Roman" w:eastAsia="Times New Roman" w:hAnsi="Times New Roman" w:cs="Times New Roman"/>
                <w:lang w:val="sr-Cyrl-ME"/>
              </w:rPr>
              <w:t>):</w:t>
            </w:r>
          </w:p>
          <w:p w14:paraId="1BABA8C9" w14:textId="77777777" w:rsidR="007176E0" w:rsidRPr="00094BB2" w:rsidRDefault="007176E0">
            <w:pPr>
              <w:tabs>
                <w:tab w:val="center" w:pos="4536"/>
                <w:tab w:val="right" w:pos="9072"/>
              </w:tabs>
              <w:spacing w:after="0" w:line="240" w:lineRule="auto"/>
              <w:jc w:val="both"/>
              <w:rPr>
                <w:rFonts w:ascii="Times New Roman" w:eastAsia="Times New Roman" w:hAnsi="Times New Roman" w:cs="Times New Roman"/>
                <w:lang w:val="sr-Cyrl-ME"/>
              </w:rPr>
            </w:pPr>
          </w:p>
          <w:p w14:paraId="2376F04D" w14:textId="4523498A" w:rsidR="007176E0" w:rsidRPr="00094BB2" w:rsidRDefault="0023353A">
            <w:pPr>
              <w:tabs>
                <w:tab w:val="center" w:pos="4536"/>
                <w:tab w:val="right" w:pos="9072"/>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Институт</w:t>
            </w:r>
            <w:r w:rsidR="007176E0" w:rsidRPr="00094BB2">
              <w:rPr>
                <w:rFonts w:ascii="Times New Roman" w:eastAsia="Times New Roman" w:hAnsi="Times New Roman" w:cs="Times New Roman"/>
                <w:lang w:val="sr-Cyrl-ME"/>
              </w:rPr>
              <w:t xml:space="preserve"> за љекове и медицинска средства</w:t>
            </w:r>
          </w:p>
          <w:p w14:paraId="24ED862D" w14:textId="77777777" w:rsidR="007176E0" w:rsidRPr="00094BB2" w:rsidRDefault="007176E0">
            <w:pPr>
              <w:tabs>
                <w:tab w:val="center" w:pos="4536"/>
                <w:tab w:val="right" w:pos="9072"/>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Одјељење за фармаковигиланцу</w:t>
            </w:r>
          </w:p>
          <w:p w14:paraId="47413BC6" w14:textId="77777777" w:rsidR="007176E0" w:rsidRPr="00094BB2" w:rsidRDefault="007176E0">
            <w:pPr>
              <w:tabs>
                <w:tab w:val="center" w:pos="4536"/>
                <w:tab w:val="right" w:pos="9072"/>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Булевар Ивана Црнојевића 64а, 81000 Подгорица</w:t>
            </w:r>
          </w:p>
          <w:p w14:paraId="2C9EE316" w14:textId="77777777" w:rsidR="007176E0" w:rsidRPr="00094BB2" w:rsidRDefault="007176E0">
            <w:pPr>
              <w:tabs>
                <w:tab w:val="center" w:pos="4536"/>
                <w:tab w:val="right" w:pos="9072"/>
              </w:tabs>
              <w:spacing w:after="0" w:line="240" w:lineRule="auto"/>
              <w:jc w:val="both"/>
              <w:rPr>
                <w:rFonts w:ascii="Times New Roman" w:eastAsia="Times New Roman" w:hAnsi="Times New Roman" w:cs="Times New Roman"/>
                <w:lang w:val="sr-Cyrl-ME"/>
              </w:rPr>
            </w:pPr>
          </w:p>
          <w:p w14:paraId="667A99C2" w14:textId="77777777" w:rsidR="007176E0" w:rsidRPr="00094BB2" w:rsidRDefault="007176E0">
            <w:pPr>
              <w:tabs>
                <w:tab w:val="center" w:pos="4536"/>
                <w:tab w:val="right" w:pos="9072"/>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тел: +382 (0) 20 310 280</w:t>
            </w:r>
          </w:p>
          <w:p w14:paraId="08698E5B" w14:textId="77777777" w:rsidR="007176E0" w:rsidRPr="00094BB2" w:rsidRDefault="007176E0">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факс:+382 (0) 20 310 581</w:t>
            </w:r>
          </w:p>
          <w:p w14:paraId="643B5C2A" w14:textId="77777777" w:rsidR="003F6CD9" w:rsidRPr="00094BB2" w:rsidRDefault="002E4B35" w:rsidP="003F6CD9">
            <w:pPr>
              <w:tabs>
                <w:tab w:val="center" w:pos="4536"/>
                <w:tab w:val="right" w:pos="9072"/>
              </w:tabs>
              <w:spacing w:after="0" w:line="240" w:lineRule="auto"/>
              <w:jc w:val="both"/>
              <w:rPr>
                <w:rFonts w:ascii="Times New Roman" w:eastAsia="Times New Roman" w:hAnsi="Times New Roman" w:cs="Times New Roman"/>
                <w:bCs/>
                <w:lang w:val="sr-Cyrl-ME" w:eastAsia="en-GB"/>
              </w:rPr>
            </w:pPr>
            <w:hyperlink r:id="rId11" w:history="1">
              <w:r w:rsidR="003F6CD9" w:rsidRPr="00094BB2">
                <w:rPr>
                  <w:rStyle w:val="Hyperlink"/>
                  <w:rFonts w:ascii="Times New Roman" w:hAnsi="Times New Roman" w:cs="Times New Roman"/>
                  <w:bCs/>
                  <w:lang w:val="sr-Cyrl-ME" w:eastAsia="en-GB"/>
                </w:rPr>
                <w:t>www.cinmed.me</w:t>
              </w:r>
            </w:hyperlink>
          </w:p>
          <w:p w14:paraId="544BB117" w14:textId="77777777" w:rsidR="003F6CD9" w:rsidRPr="00094BB2" w:rsidRDefault="002E4B35" w:rsidP="003F6CD9">
            <w:pPr>
              <w:tabs>
                <w:tab w:val="left" w:pos="284"/>
              </w:tabs>
              <w:spacing w:after="0" w:line="240" w:lineRule="auto"/>
              <w:jc w:val="both"/>
              <w:rPr>
                <w:rFonts w:ascii="Times New Roman" w:eastAsia="Times New Roman" w:hAnsi="Times New Roman" w:cs="Times New Roman"/>
                <w:bCs/>
                <w:lang w:val="sr-Cyrl-ME" w:eastAsia="en-GB"/>
              </w:rPr>
            </w:pPr>
            <w:hyperlink r:id="rId12" w:history="1">
              <w:r w:rsidR="003F6CD9" w:rsidRPr="00094BB2">
                <w:rPr>
                  <w:rStyle w:val="Hyperlink"/>
                  <w:rFonts w:ascii="Times New Roman" w:hAnsi="Times New Roman" w:cs="Times New Roman"/>
                  <w:bCs/>
                  <w:lang w:val="sr-Cyrl-ME" w:eastAsia="en-GB"/>
                </w:rPr>
                <w:t>nezeljenadejstva@cinmed.me</w:t>
              </w:r>
            </w:hyperlink>
          </w:p>
          <w:p w14:paraId="0CE58D78" w14:textId="77777777" w:rsidR="007176E0" w:rsidRPr="00094BB2" w:rsidRDefault="007176E0">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путем ИС здравствене заштите</w:t>
            </w:r>
          </w:p>
          <w:p w14:paraId="0F099AAE" w14:textId="77777777" w:rsidR="00C43F5D" w:rsidRPr="00094BB2" w:rsidRDefault="007F4AFF">
            <w:pPr>
              <w:pStyle w:val="NoSpacing"/>
              <w:jc w:val="both"/>
              <w:rPr>
                <w:sz w:val="22"/>
                <w:szCs w:val="22"/>
                <w:lang w:val="sr-Cyrl-ME"/>
              </w:rPr>
            </w:pPr>
            <w:r w:rsidRPr="00094BB2">
              <w:rPr>
                <w:sz w:val="22"/>
                <w:szCs w:val="22"/>
                <w:lang w:val="sr-Cyrl-ME"/>
              </w:rPr>
              <w:t>QR код за online пријаву сумње на нежељено дејство лијека:</w:t>
            </w:r>
          </w:p>
          <w:p w14:paraId="25858503" w14:textId="77777777" w:rsidR="007F4AFF" w:rsidRPr="00094BB2" w:rsidRDefault="007F4AFF">
            <w:pPr>
              <w:pStyle w:val="NoSpacing"/>
              <w:jc w:val="both"/>
              <w:rPr>
                <w:sz w:val="22"/>
                <w:szCs w:val="22"/>
                <w:lang w:val="sr-Cyrl-ME"/>
              </w:rPr>
            </w:pPr>
          </w:p>
          <w:p w14:paraId="48D8F750" w14:textId="77777777" w:rsidR="007F4AFF" w:rsidRPr="00094BB2" w:rsidRDefault="007F4AFF">
            <w:pPr>
              <w:pStyle w:val="NoSpacing"/>
              <w:jc w:val="both"/>
              <w:rPr>
                <w:sz w:val="22"/>
                <w:szCs w:val="22"/>
                <w:lang w:val="sr-Cyrl-ME"/>
              </w:rPr>
            </w:pPr>
            <w:r w:rsidRPr="00094BB2">
              <w:rPr>
                <w:noProof/>
                <w:sz w:val="22"/>
                <w:szCs w:val="22"/>
              </w:rPr>
              <w:drawing>
                <wp:inline distT="0" distB="0" distL="0" distR="0" wp14:anchorId="3746122C" wp14:editId="1633FF33">
                  <wp:extent cx="971550" cy="971550"/>
                  <wp:effectExtent l="0" t="0" r="0" b="0"/>
                  <wp:docPr id="1" name="Picture 1" descr="https://cinmed.me/wp-content/uploads/2022/11/Online-prijava-NDL-QR-code-300x300.jp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2" name="Picture 2" descr="https://cinmed.me/wp-content/uploads/2022/11/Online-prijava-NDL-QR-code-300x300.jpg">
                            <a:hlinkClick r:id="rId13"/>
                          </pic:cNvPr>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D70DB08" w14:textId="7B507E65" w:rsidR="007F4AFF" w:rsidRPr="00094BB2" w:rsidRDefault="007F4AFF">
            <w:pPr>
              <w:pStyle w:val="NoSpacing"/>
              <w:jc w:val="both"/>
              <w:rPr>
                <w:sz w:val="22"/>
                <w:szCs w:val="22"/>
                <w:lang w:val="sr-Cyrl-ME"/>
              </w:rPr>
            </w:pPr>
          </w:p>
        </w:tc>
      </w:tr>
      <w:tr w:rsidR="007176E0" w:rsidRPr="00094BB2" w14:paraId="3FA750AC" w14:textId="77777777" w:rsidTr="007176E0">
        <w:tc>
          <w:tcPr>
            <w:tcW w:w="9639" w:type="dxa"/>
            <w:gridSpan w:val="4"/>
            <w:vAlign w:val="center"/>
          </w:tcPr>
          <w:p w14:paraId="1A621409" w14:textId="47C65611" w:rsidR="007176E0" w:rsidRPr="00094BB2" w:rsidRDefault="007176E0" w:rsidP="00AF4ED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lastRenderedPageBreak/>
              <w:t>4.9. Предозирање</w:t>
            </w:r>
          </w:p>
        </w:tc>
      </w:tr>
      <w:tr w:rsidR="007176E0" w:rsidRPr="00094BB2" w14:paraId="42F9B6EC" w14:textId="77777777" w:rsidTr="007176E0">
        <w:trPr>
          <w:trHeight w:val="636"/>
        </w:trPr>
        <w:tc>
          <w:tcPr>
            <w:tcW w:w="9639" w:type="dxa"/>
            <w:gridSpan w:val="4"/>
            <w:vAlign w:val="center"/>
          </w:tcPr>
          <w:p w14:paraId="10CEA131" w14:textId="77777777" w:rsidR="007176E0" w:rsidRPr="00094BB2" w:rsidRDefault="007176E0" w:rsidP="00AF4EDB">
            <w:pPr>
              <w:spacing w:after="0" w:line="240" w:lineRule="auto"/>
              <w:jc w:val="both"/>
              <w:rPr>
                <w:rFonts w:ascii="Times New Roman" w:eastAsia="Times New Roman" w:hAnsi="Times New Roman" w:cs="Times New Roman"/>
                <w:lang w:val="sr-Cyrl-ME"/>
              </w:rPr>
            </w:pPr>
          </w:p>
          <w:p w14:paraId="620A8BF2"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 xml:space="preserve">Нема доступних посебних информација о предозирању нифуроксазидом. </w:t>
            </w:r>
          </w:p>
          <w:p w14:paraId="49A7B721"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У случају сумње на предозирање, пацијента треба пажљиво пратити и примјенити симптоматску терапију.</w:t>
            </w:r>
          </w:p>
          <w:p w14:paraId="18E30B7F" w14:textId="77777777" w:rsidR="007176E0" w:rsidRPr="00094BB2" w:rsidRDefault="007176E0">
            <w:pPr>
              <w:tabs>
                <w:tab w:val="left" w:pos="284"/>
              </w:tabs>
              <w:spacing w:after="0" w:line="240" w:lineRule="auto"/>
              <w:jc w:val="both"/>
              <w:rPr>
                <w:rFonts w:ascii="Times New Roman" w:eastAsia="Times New Roman" w:hAnsi="Times New Roman" w:cs="Times New Roman"/>
                <w:lang w:val="sr-Cyrl-ME"/>
              </w:rPr>
            </w:pPr>
          </w:p>
          <w:p w14:paraId="42293C43" w14:textId="1F8A54C7" w:rsidR="00870F1F" w:rsidRPr="00094BB2" w:rsidRDefault="00870F1F">
            <w:pPr>
              <w:tabs>
                <w:tab w:val="left" w:pos="284"/>
              </w:tabs>
              <w:spacing w:after="0" w:line="240" w:lineRule="auto"/>
              <w:jc w:val="both"/>
              <w:rPr>
                <w:rFonts w:ascii="Times New Roman" w:eastAsia="Times New Roman" w:hAnsi="Times New Roman" w:cs="Times New Roman"/>
                <w:lang w:val="sr-Cyrl-ME"/>
              </w:rPr>
            </w:pPr>
          </w:p>
        </w:tc>
      </w:tr>
      <w:tr w:rsidR="007176E0" w:rsidRPr="00094BB2" w14:paraId="60051126" w14:textId="77777777" w:rsidTr="000520B4">
        <w:trPr>
          <w:trHeight w:val="278"/>
        </w:trPr>
        <w:tc>
          <w:tcPr>
            <w:tcW w:w="9639" w:type="dxa"/>
            <w:gridSpan w:val="4"/>
            <w:shd w:val="clear" w:color="auto" w:fill="auto"/>
            <w:vAlign w:val="center"/>
          </w:tcPr>
          <w:p w14:paraId="00EB5ABF" w14:textId="77777777" w:rsidR="007176E0" w:rsidRPr="00094BB2" w:rsidRDefault="007176E0" w:rsidP="00C9407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5. ФАРМАКОЛОШКИ ПОДАЦИ</w:t>
            </w:r>
          </w:p>
        </w:tc>
      </w:tr>
      <w:tr w:rsidR="007176E0" w:rsidRPr="00094BB2" w14:paraId="055B68EE" w14:textId="77777777" w:rsidTr="007176E0">
        <w:tc>
          <w:tcPr>
            <w:tcW w:w="9639" w:type="dxa"/>
            <w:gridSpan w:val="4"/>
            <w:vAlign w:val="center"/>
          </w:tcPr>
          <w:p w14:paraId="41F7EBD7" w14:textId="77777777" w:rsidR="00094BB2" w:rsidRDefault="00094BB2" w:rsidP="00094BB2">
            <w:pPr>
              <w:tabs>
                <w:tab w:val="left" w:pos="284"/>
              </w:tabs>
              <w:spacing w:after="0" w:line="240" w:lineRule="auto"/>
              <w:jc w:val="both"/>
              <w:rPr>
                <w:rFonts w:ascii="Times New Roman" w:eastAsia="Times New Roman" w:hAnsi="Times New Roman" w:cs="Times New Roman"/>
                <w:b/>
                <w:bCs/>
                <w:lang w:val="sr-Cyrl-ME"/>
              </w:rPr>
            </w:pPr>
          </w:p>
          <w:p w14:paraId="3D6FCEC0" w14:textId="2F6B49B8" w:rsidR="007176E0" w:rsidRPr="00094BB2" w:rsidRDefault="007176E0" w:rsidP="00094BB2">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5.1. Фармакодинамски подаци</w:t>
            </w:r>
          </w:p>
        </w:tc>
      </w:tr>
      <w:tr w:rsidR="007176E0" w:rsidRPr="00094BB2" w14:paraId="36E88D48" w14:textId="77777777" w:rsidTr="007176E0">
        <w:trPr>
          <w:trHeight w:val="576"/>
        </w:trPr>
        <w:tc>
          <w:tcPr>
            <w:tcW w:w="2808" w:type="dxa"/>
            <w:gridSpan w:val="3"/>
            <w:vAlign w:val="center"/>
          </w:tcPr>
          <w:p w14:paraId="3F587A7E" w14:textId="77777777" w:rsidR="00094BB2" w:rsidRDefault="00094BB2" w:rsidP="00AF4EDB">
            <w:pPr>
              <w:tabs>
                <w:tab w:val="left" w:pos="284"/>
              </w:tabs>
              <w:spacing w:after="0" w:line="240" w:lineRule="auto"/>
              <w:jc w:val="both"/>
              <w:rPr>
                <w:rFonts w:ascii="Times New Roman" w:eastAsia="Times New Roman" w:hAnsi="Times New Roman" w:cs="Times New Roman"/>
                <w:b/>
                <w:bCs/>
                <w:lang w:val="sr-Cyrl-ME"/>
              </w:rPr>
            </w:pPr>
          </w:p>
          <w:p w14:paraId="1ED52963" w14:textId="48C81849" w:rsidR="007176E0" w:rsidRPr="00094BB2" w:rsidRDefault="007176E0" w:rsidP="00AF4ED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Фармакотерапијска група:</w:t>
            </w:r>
          </w:p>
        </w:tc>
        <w:tc>
          <w:tcPr>
            <w:tcW w:w="6831" w:type="dxa"/>
            <w:vAlign w:val="center"/>
          </w:tcPr>
          <w:p w14:paraId="205FB98D" w14:textId="77777777" w:rsidR="00094BB2" w:rsidRDefault="00094BB2" w:rsidP="00AF4EDB">
            <w:pPr>
              <w:tabs>
                <w:tab w:val="left" w:pos="284"/>
              </w:tabs>
              <w:spacing w:after="0" w:line="240" w:lineRule="auto"/>
              <w:jc w:val="both"/>
              <w:rPr>
                <w:rFonts w:ascii="Times New Roman" w:eastAsia="Times New Roman" w:hAnsi="Times New Roman" w:cs="Times New Roman"/>
                <w:lang w:val="sr-Cyrl-ME"/>
              </w:rPr>
            </w:pPr>
          </w:p>
          <w:p w14:paraId="72A173E8" w14:textId="36C0E00A" w:rsidR="007176E0" w:rsidRPr="00094BB2" w:rsidRDefault="007176E0" w:rsidP="00AF4ED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Антидијароици, интестинални антиинфламаторни/антиинфективни љекови, остали интестинални антиинфективи</w:t>
            </w:r>
          </w:p>
        </w:tc>
      </w:tr>
      <w:tr w:rsidR="007176E0" w:rsidRPr="00094BB2" w14:paraId="1A52C3C8" w14:textId="77777777" w:rsidTr="007176E0">
        <w:trPr>
          <w:trHeight w:val="542"/>
        </w:trPr>
        <w:tc>
          <w:tcPr>
            <w:tcW w:w="1188" w:type="dxa"/>
            <w:gridSpan w:val="2"/>
            <w:vAlign w:val="center"/>
          </w:tcPr>
          <w:p w14:paraId="1280E2B1"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АТЦ код:</w:t>
            </w:r>
          </w:p>
        </w:tc>
        <w:tc>
          <w:tcPr>
            <w:tcW w:w="8451" w:type="dxa"/>
            <w:gridSpan w:val="2"/>
            <w:vAlign w:val="center"/>
          </w:tcPr>
          <w:p w14:paraId="75856A7A"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eastAsia="en-GB"/>
              </w:rPr>
              <w:t>А07АХ03</w:t>
            </w:r>
          </w:p>
        </w:tc>
      </w:tr>
      <w:tr w:rsidR="007176E0" w:rsidRPr="00094BB2" w14:paraId="01E817DD" w14:textId="77777777" w:rsidTr="007176E0">
        <w:trPr>
          <w:trHeight w:val="849"/>
        </w:trPr>
        <w:tc>
          <w:tcPr>
            <w:tcW w:w="9639" w:type="dxa"/>
            <w:gridSpan w:val="4"/>
            <w:vAlign w:val="center"/>
          </w:tcPr>
          <w:p w14:paraId="742D9410" w14:textId="1C221315" w:rsidR="007176E0" w:rsidRPr="00094BB2" w:rsidRDefault="007176E0" w:rsidP="00AF4ED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Нифуроксазид је дериват 5-нитрофурана. Механизам дјеловања нифуроксазида није у потпуности разјашњен. Антимикробне и антипаразитне особине нифуроксазида, као и осталих нитрофурантоинских деривата, вјероватно потичу од нитро (NО</w:t>
            </w:r>
            <w:r w:rsidRPr="00094BB2">
              <w:rPr>
                <w:rFonts w:ascii="Times New Roman" w:eastAsia="Times New Roman" w:hAnsi="Times New Roman" w:cs="Times New Roman"/>
                <w:vertAlign w:val="subscript"/>
                <w:lang w:val="sr-Cyrl-ME"/>
              </w:rPr>
              <w:t>2</w:t>
            </w:r>
            <w:r w:rsidRPr="00094BB2">
              <w:rPr>
                <w:rFonts w:ascii="Times New Roman" w:eastAsia="Times New Roman" w:hAnsi="Times New Roman" w:cs="Times New Roman"/>
                <w:lang w:val="sr-Cyrl-ME"/>
              </w:rPr>
              <w:t>) групе која је јако електрон-реактивна. Нарочит</w:t>
            </w:r>
            <w:r w:rsidR="00B54E0C" w:rsidRPr="00094BB2">
              <w:rPr>
                <w:rFonts w:ascii="Times New Roman" w:eastAsia="Times New Roman" w:hAnsi="Times New Roman" w:cs="Times New Roman"/>
                <w:lang w:val="sr-Cyrl-ME"/>
              </w:rPr>
              <w:t>у</w:t>
            </w:r>
            <w:r w:rsidRPr="00094BB2">
              <w:rPr>
                <w:rFonts w:ascii="Times New Roman" w:eastAsia="Times New Roman" w:hAnsi="Times New Roman" w:cs="Times New Roman"/>
                <w:lang w:val="sr-Cyrl-ME"/>
              </w:rPr>
              <w:t xml:space="preserve"> осјетљив</w:t>
            </w:r>
            <w:r w:rsidR="00B54E0C" w:rsidRPr="00094BB2">
              <w:rPr>
                <w:rFonts w:ascii="Times New Roman" w:eastAsia="Times New Roman" w:hAnsi="Times New Roman" w:cs="Times New Roman"/>
                <w:lang w:val="sr-Cyrl-ME"/>
              </w:rPr>
              <w:t>ост</w:t>
            </w:r>
            <w:r w:rsidRPr="00094BB2">
              <w:rPr>
                <w:rFonts w:ascii="Times New Roman" w:eastAsia="Times New Roman" w:hAnsi="Times New Roman" w:cs="Times New Roman"/>
                <w:lang w:val="sr-Cyrl-ME"/>
              </w:rPr>
              <w:t xml:space="preserve"> на овај лијек су показале </w:t>
            </w:r>
            <w:r w:rsidRPr="00094BB2">
              <w:rPr>
                <w:rFonts w:ascii="Times New Roman" w:eastAsia="Times New Roman" w:hAnsi="Times New Roman" w:cs="Times New Roman"/>
                <w:i/>
                <w:lang w:val="sr-Cyrl-ME"/>
              </w:rPr>
              <w:t xml:space="preserve">Грам-позитивне </w:t>
            </w:r>
            <w:r w:rsidRPr="00094BB2">
              <w:rPr>
                <w:rFonts w:ascii="Times New Roman" w:eastAsia="Times New Roman" w:hAnsi="Times New Roman" w:cs="Times New Roman"/>
                <w:lang w:val="sr-Cyrl-ME"/>
              </w:rPr>
              <w:t xml:space="preserve">коке: </w:t>
            </w:r>
            <w:r w:rsidRPr="00094BB2">
              <w:rPr>
                <w:rFonts w:ascii="Times New Roman" w:eastAsia="Times New Roman" w:hAnsi="Times New Roman" w:cs="Times New Roman"/>
                <w:i/>
                <w:lang w:val="sr-Cyrl-ME"/>
              </w:rPr>
              <w:t>Streptococcus pyogenes, Staphilococcus pyogenes</w:t>
            </w:r>
            <w:r w:rsidRPr="00094BB2">
              <w:rPr>
                <w:rFonts w:ascii="Times New Roman" w:eastAsia="Times New Roman" w:hAnsi="Times New Roman" w:cs="Times New Roman"/>
                <w:lang w:val="sr-Cyrl-ME"/>
              </w:rPr>
              <w:t>, а међу</w:t>
            </w:r>
            <w:r w:rsidRPr="00094BB2">
              <w:rPr>
                <w:rFonts w:ascii="Times New Roman" w:eastAsia="Times New Roman" w:hAnsi="Times New Roman" w:cs="Times New Roman"/>
                <w:i/>
                <w:lang w:val="sr-Cyrl-ME"/>
              </w:rPr>
              <w:t xml:space="preserve"> Грам-негативн</w:t>
            </w:r>
            <w:r w:rsidR="00B54E0C" w:rsidRPr="00094BB2">
              <w:rPr>
                <w:rFonts w:ascii="Times New Roman" w:eastAsia="Times New Roman" w:hAnsi="Times New Roman" w:cs="Times New Roman"/>
                <w:i/>
                <w:lang w:val="sr-Cyrl-ME"/>
              </w:rPr>
              <w:t>им</w:t>
            </w:r>
            <w:r w:rsidRPr="00094BB2">
              <w:rPr>
                <w:rFonts w:ascii="Times New Roman" w:eastAsia="Times New Roman" w:hAnsi="Times New Roman" w:cs="Times New Roman"/>
                <w:i/>
                <w:lang w:val="sr-Cyrl-ME"/>
              </w:rPr>
              <w:t xml:space="preserve"> </w:t>
            </w:r>
            <w:r w:rsidRPr="00094BB2">
              <w:rPr>
                <w:rFonts w:ascii="Times New Roman" w:eastAsia="Times New Roman" w:hAnsi="Times New Roman" w:cs="Times New Roman"/>
                <w:lang w:val="sr-Cyrl-ME"/>
              </w:rPr>
              <w:t>ентеробактериј</w:t>
            </w:r>
            <w:r w:rsidR="00B54E0C" w:rsidRPr="00094BB2">
              <w:rPr>
                <w:rFonts w:ascii="Times New Roman" w:eastAsia="Times New Roman" w:hAnsi="Times New Roman" w:cs="Times New Roman"/>
                <w:lang w:val="sr-Cyrl-ME"/>
              </w:rPr>
              <w:t>ама</w:t>
            </w:r>
            <w:r w:rsidRPr="00094BB2">
              <w:rPr>
                <w:rFonts w:ascii="Times New Roman" w:eastAsia="Times New Roman" w:hAnsi="Times New Roman" w:cs="Times New Roman"/>
                <w:lang w:val="sr-Cyrl-ME"/>
              </w:rPr>
              <w:t xml:space="preserve">: </w:t>
            </w:r>
            <w:r w:rsidRPr="00094BB2">
              <w:rPr>
                <w:rFonts w:ascii="Times New Roman" w:eastAsia="Times New Roman" w:hAnsi="Times New Roman" w:cs="Times New Roman"/>
                <w:i/>
                <w:lang w:val="sr-Cyrl-ME"/>
              </w:rPr>
              <w:t>Escherichia Coli,</w:t>
            </w:r>
            <w:r w:rsidR="00D54855" w:rsidRPr="00094BB2">
              <w:rPr>
                <w:rFonts w:ascii="Times New Roman" w:eastAsia="Times New Roman" w:hAnsi="Times New Roman" w:cs="Times New Roman"/>
                <w:i/>
                <w:lang w:val="sr-Cyrl-ME"/>
              </w:rPr>
              <w:t xml:space="preserve"> </w:t>
            </w:r>
            <w:r w:rsidRPr="00094BB2">
              <w:rPr>
                <w:rFonts w:ascii="Times New Roman" w:eastAsia="Times New Roman" w:hAnsi="Times New Roman" w:cs="Times New Roman"/>
                <w:i/>
                <w:lang w:val="sr-Cyrl-ME"/>
              </w:rPr>
              <w:t>Salmonella</w:t>
            </w:r>
            <w:r w:rsidR="00D54855" w:rsidRPr="00094BB2">
              <w:rPr>
                <w:rFonts w:ascii="Times New Roman" w:eastAsia="Times New Roman" w:hAnsi="Times New Roman" w:cs="Times New Roman"/>
                <w:i/>
                <w:lang w:val="sr-Cyrl-ME"/>
              </w:rPr>
              <w:t xml:space="preserve"> </w:t>
            </w:r>
            <w:r w:rsidRPr="00094BB2">
              <w:rPr>
                <w:rFonts w:ascii="Times New Roman" w:eastAsia="Times New Roman" w:hAnsi="Times New Roman" w:cs="Times New Roman"/>
                <w:lang w:val="sr-Cyrl-ME"/>
              </w:rPr>
              <w:t xml:space="preserve">и </w:t>
            </w:r>
            <w:r w:rsidRPr="00094BB2">
              <w:rPr>
                <w:rFonts w:ascii="Times New Roman" w:eastAsia="Times New Roman" w:hAnsi="Times New Roman" w:cs="Times New Roman"/>
                <w:i/>
                <w:lang w:val="sr-Cyrl-ME"/>
              </w:rPr>
              <w:t>Shigella.</w:t>
            </w:r>
          </w:p>
          <w:p w14:paraId="139623CC" w14:textId="4A37F556" w:rsidR="003F6CD9" w:rsidRPr="00094BB2" w:rsidRDefault="003F6CD9" w:rsidP="00C9407B">
            <w:pPr>
              <w:tabs>
                <w:tab w:val="left" w:pos="284"/>
              </w:tabs>
              <w:spacing w:after="0" w:line="240" w:lineRule="auto"/>
              <w:jc w:val="both"/>
              <w:rPr>
                <w:rFonts w:ascii="Times New Roman" w:eastAsia="Times New Roman" w:hAnsi="Times New Roman" w:cs="Times New Roman"/>
                <w:lang w:val="sr-Cyrl-ME" w:eastAsia="en-GB"/>
              </w:rPr>
            </w:pPr>
          </w:p>
        </w:tc>
      </w:tr>
      <w:tr w:rsidR="007176E0" w:rsidRPr="00094BB2" w14:paraId="487D2CDA" w14:textId="77777777" w:rsidTr="007176E0">
        <w:tc>
          <w:tcPr>
            <w:tcW w:w="9639" w:type="dxa"/>
            <w:gridSpan w:val="4"/>
            <w:vAlign w:val="center"/>
          </w:tcPr>
          <w:p w14:paraId="3FE82917"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5.2. Фармакокинетички подаци</w:t>
            </w:r>
          </w:p>
        </w:tc>
      </w:tr>
      <w:tr w:rsidR="007176E0" w:rsidRPr="00094BB2" w14:paraId="2812A851" w14:textId="77777777" w:rsidTr="007176E0">
        <w:trPr>
          <w:trHeight w:val="1145"/>
        </w:trPr>
        <w:tc>
          <w:tcPr>
            <w:tcW w:w="9639" w:type="dxa"/>
            <w:gridSpan w:val="4"/>
            <w:vAlign w:val="center"/>
          </w:tcPr>
          <w:p w14:paraId="0EB7465A" w14:textId="6242CD4A" w:rsidR="007176E0" w:rsidRPr="00094BB2" w:rsidRDefault="00B40518" w:rsidP="00AF4ED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bCs/>
                <w:iCs/>
                <w:lang w:val="sr-Cyrl-ME" w:eastAsia="en-GB"/>
              </w:rPr>
              <w:lastRenderedPageBreak/>
              <w:t>Након оралне примјене лијек се дјел</w:t>
            </w:r>
            <w:r w:rsidR="00BF4B02" w:rsidRPr="00094BB2">
              <w:rPr>
                <w:rFonts w:ascii="Times New Roman" w:eastAsia="Times New Roman" w:hAnsi="Times New Roman" w:cs="Times New Roman"/>
                <w:bCs/>
                <w:iCs/>
                <w:lang w:val="sr-Cyrl-ME" w:eastAsia="en-GB"/>
              </w:rPr>
              <w:t>и</w:t>
            </w:r>
            <w:r w:rsidRPr="00094BB2">
              <w:rPr>
                <w:rFonts w:ascii="Times New Roman" w:eastAsia="Times New Roman" w:hAnsi="Times New Roman" w:cs="Times New Roman"/>
                <w:bCs/>
                <w:iCs/>
                <w:lang w:val="sr-Cyrl-ME" w:eastAsia="en-GB"/>
              </w:rPr>
              <w:t>мично ресорб</w:t>
            </w:r>
            <w:r w:rsidR="00BF4B02" w:rsidRPr="00094BB2">
              <w:rPr>
                <w:rFonts w:ascii="Times New Roman" w:eastAsia="Times New Roman" w:hAnsi="Times New Roman" w:cs="Times New Roman"/>
                <w:bCs/>
                <w:iCs/>
                <w:lang w:val="sr-Cyrl-ME" w:eastAsia="en-GB"/>
              </w:rPr>
              <w:t>ује</w:t>
            </w:r>
            <w:r w:rsidRPr="00094BB2">
              <w:rPr>
                <w:rFonts w:ascii="Times New Roman" w:eastAsia="Times New Roman" w:hAnsi="Times New Roman" w:cs="Times New Roman"/>
                <w:bCs/>
                <w:iCs/>
                <w:lang w:val="sr-Cyrl-ME" w:eastAsia="en-GB"/>
              </w:rPr>
              <w:t xml:space="preserve"> (10-20%) из гастроинтестиналног тракта и значајно се метаболи</w:t>
            </w:r>
            <w:r w:rsidR="00BF4B02" w:rsidRPr="00094BB2">
              <w:rPr>
                <w:rFonts w:ascii="Times New Roman" w:eastAsia="Times New Roman" w:hAnsi="Times New Roman" w:cs="Times New Roman"/>
                <w:bCs/>
                <w:iCs/>
                <w:lang w:val="sr-Cyrl-ME" w:eastAsia="en-GB"/>
              </w:rPr>
              <w:t>ше</w:t>
            </w:r>
            <w:r w:rsidRPr="00094BB2">
              <w:rPr>
                <w:rFonts w:ascii="Times New Roman" w:eastAsia="Times New Roman" w:hAnsi="Times New Roman" w:cs="Times New Roman"/>
                <w:bCs/>
                <w:iCs/>
                <w:lang w:val="sr-Cyrl-ME" w:eastAsia="en-GB"/>
              </w:rPr>
              <w:t xml:space="preserve">, при чему </w:t>
            </w:r>
            <w:r w:rsidR="00311B41" w:rsidRPr="00094BB2">
              <w:rPr>
                <w:rFonts w:ascii="Times New Roman" w:eastAsia="Times New Roman" w:hAnsi="Times New Roman" w:cs="Times New Roman"/>
                <w:bCs/>
                <w:iCs/>
                <w:lang w:val="sr-Cyrl-ME" w:eastAsia="en-GB"/>
              </w:rPr>
              <w:t xml:space="preserve">су </w:t>
            </w:r>
            <w:r w:rsidRPr="00094BB2">
              <w:rPr>
                <w:rFonts w:ascii="Times New Roman" w:eastAsia="Times New Roman" w:hAnsi="Times New Roman" w:cs="Times New Roman"/>
                <w:bCs/>
                <w:iCs/>
                <w:lang w:val="sr-Cyrl-ME" w:eastAsia="en-GB"/>
              </w:rPr>
              <w:t>метаболити главна једињења која циркули</w:t>
            </w:r>
            <w:r w:rsidR="00311B41" w:rsidRPr="00094BB2">
              <w:rPr>
                <w:rFonts w:ascii="Times New Roman" w:eastAsia="Times New Roman" w:hAnsi="Times New Roman" w:cs="Times New Roman"/>
                <w:bCs/>
                <w:iCs/>
                <w:lang w:val="sr-Cyrl-ME" w:eastAsia="en-GB"/>
              </w:rPr>
              <w:t>шу</w:t>
            </w:r>
            <w:r w:rsidRPr="00094BB2">
              <w:rPr>
                <w:rFonts w:ascii="Times New Roman" w:eastAsia="Times New Roman" w:hAnsi="Times New Roman" w:cs="Times New Roman"/>
                <w:bCs/>
                <w:iCs/>
                <w:lang w:val="sr-Cyrl-ME" w:eastAsia="en-GB"/>
              </w:rPr>
              <w:t xml:space="preserve"> у крви</w:t>
            </w:r>
            <w:r w:rsidRPr="00094BB2">
              <w:rPr>
                <w:rFonts w:ascii="Times New Roman" w:eastAsia="Times New Roman" w:hAnsi="Times New Roman" w:cs="Times New Roman"/>
                <w:bCs/>
                <w:i/>
                <w:iCs/>
                <w:lang w:val="sr-Cyrl-ME" w:eastAsia="en-GB"/>
              </w:rPr>
              <w:t>.</w:t>
            </w:r>
          </w:p>
        </w:tc>
      </w:tr>
      <w:tr w:rsidR="007176E0" w:rsidRPr="00094BB2" w14:paraId="3A89D45B" w14:textId="77777777" w:rsidTr="007176E0">
        <w:tc>
          <w:tcPr>
            <w:tcW w:w="9639" w:type="dxa"/>
            <w:gridSpan w:val="4"/>
            <w:vAlign w:val="center"/>
          </w:tcPr>
          <w:p w14:paraId="0EB26FBC" w14:textId="37CA86B8" w:rsidR="003F6CD9" w:rsidRPr="00094BB2" w:rsidRDefault="007176E0" w:rsidP="00C9407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 xml:space="preserve">5.3. Претклинички подаци о безбједности </w:t>
            </w:r>
          </w:p>
          <w:p w14:paraId="6ECFF228" w14:textId="3FAF29A7" w:rsidR="00BF4B02" w:rsidRPr="00094BB2" w:rsidRDefault="00BF4B02" w:rsidP="00C9407B">
            <w:pPr>
              <w:tabs>
                <w:tab w:val="left" w:pos="284"/>
              </w:tabs>
              <w:spacing w:after="0" w:line="240" w:lineRule="auto"/>
              <w:jc w:val="both"/>
              <w:rPr>
                <w:rFonts w:ascii="Times New Roman" w:eastAsia="Times New Roman" w:hAnsi="Times New Roman" w:cs="Times New Roman"/>
                <w:b/>
                <w:bCs/>
                <w:lang w:val="sr-Cyrl-ME"/>
              </w:rPr>
            </w:pPr>
          </w:p>
        </w:tc>
      </w:tr>
      <w:tr w:rsidR="007176E0" w:rsidRPr="00094BB2" w14:paraId="48D6DA03" w14:textId="77777777" w:rsidTr="00F02A5D">
        <w:trPr>
          <w:trHeight w:val="283"/>
        </w:trPr>
        <w:tc>
          <w:tcPr>
            <w:tcW w:w="9639" w:type="dxa"/>
            <w:gridSpan w:val="4"/>
            <w:vAlign w:val="center"/>
          </w:tcPr>
          <w:p w14:paraId="39CBBB56" w14:textId="7E0E1A8A" w:rsidR="00B40518" w:rsidRPr="00094BB2" w:rsidRDefault="00B40518" w:rsidP="00AF4EDB">
            <w:pPr>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Нифуроксазид показује могући мутагени потенцијал.</w:t>
            </w:r>
          </w:p>
          <w:p w14:paraId="7E1D250D" w14:textId="77777777" w:rsidR="007F4AFF" w:rsidRPr="00094BB2" w:rsidRDefault="007F4AFF" w:rsidP="00AF4EDB">
            <w:pPr>
              <w:spacing w:after="0" w:line="240" w:lineRule="auto"/>
              <w:jc w:val="both"/>
              <w:rPr>
                <w:rFonts w:ascii="Times New Roman" w:eastAsia="Times New Roman" w:hAnsi="Times New Roman" w:cs="Times New Roman"/>
                <w:lang w:val="sr-Cyrl-ME"/>
              </w:rPr>
            </w:pPr>
          </w:p>
          <w:p w14:paraId="57DE9CB8" w14:textId="464837D0" w:rsidR="00B40518" w:rsidRPr="00094BB2" w:rsidRDefault="00B40518" w:rsidP="00AF4EDB">
            <w:pPr>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Ка</w:t>
            </w:r>
            <w:r w:rsidR="00B54E0C" w:rsidRPr="00094BB2">
              <w:rPr>
                <w:rFonts w:ascii="Times New Roman" w:eastAsia="Times New Roman" w:hAnsi="Times New Roman" w:cs="Times New Roman"/>
                <w:lang w:val="sr-Cyrl-ME"/>
              </w:rPr>
              <w:t>нцер</w:t>
            </w:r>
            <w:r w:rsidRPr="00094BB2">
              <w:rPr>
                <w:rFonts w:ascii="Times New Roman" w:eastAsia="Times New Roman" w:hAnsi="Times New Roman" w:cs="Times New Roman"/>
                <w:lang w:val="sr-Cyrl-ME"/>
              </w:rPr>
              <w:t>огени потенцијал нифуроксазида је процијењен код мишева (50/пол/група) и пацова (52/пол/група) који су током 2 године примали нифуроксазид у исхрани у дозама од 0, 200, 600 или 1800 mg/kg/дан. Упркос мутагеним својствима, ка</w:t>
            </w:r>
            <w:r w:rsidR="00B54E0C" w:rsidRPr="00094BB2">
              <w:rPr>
                <w:rFonts w:ascii="Times New Roman" w:eastAsia="Times New Roman" w:hAnsi="Times New Roman" w:cs="Times New Roman"/>
                <w:lang w:val="sr-Cyrl-ME"/>
              </w:rPr>
              <w:t>нцер</w:t>
            </w:r>
            <w:r w:rsidRPr="00094BB2">
              <w:rPr>
                <w:rFonts w:ascii="Times New Roman" w:eastAsia="Times New Roman" w:hAnsi="Times New Roman" w:cs="Times New Roman"/>
                <w:lang w:val="sr-Cyrl-ME"/>
              </w:rPr>
              <w:t>огеност нифуроксазида није доказана ни код мишева ни код пацова.</w:t>
            </w:r>
          </w:p>
          <w:p w14:paraId="34E5D15F" w14:textId="77777777" w:rsidR="007F4AFF" w:rsidRPr="00094BB2" w:rsidRDefault="007F4AFF">
            <w:pPr>
              <w:spacing w:after="0" w:line="240" w:lineRule="auto"/>
              <w:jc w:val="both"/>
              <w:rPr>
                <w:rFonts w:ascii="Times New Roman" w:eastAsia="Times New Roman" w:hAnsi="Times New Roman" w:cs="Times New Roman"/>
                <w:lang w:val="sr-Cyrl-ME"/>
              </w:rPr>
            </w:pPr>
          </w:p>
          <w:p w14:paraId="4E13AD77" w14:textId="4852EE45" w:rsidR="007176E0" w:rsidRPr="00094BB2" w:rsidRDefault="00B40518">
            <w:pPr>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На основу поређења тјелесне површине, релативн</w:t>
            </w:r>
            <w:r w:rsidR="00437501" w:rsidRPr="00094BB2">
              <w:rPr>
                <w:rFonts w:ascii="Times New Roman" w:eastAsia="Times New Roman" w:hAnsi="Times New Roman" w:cs="Times New Roman"/>
                <w:lang w:val="sr-Cyrl-ME"/>
              </w:rPr>
              <w:t>a</w:t>
            </w:r>
            <w:r w:rsidRPr="00094BB2">
              <w:rPr>
                <w:rFonts w:ascii="Times New Roman" w:eastAsia="Times New Roman" w:hAnsi="Times New Roman" w:cs="Times New Roman"/>
                <w:lang w:val="sr-Cyrl-ME"/>
              </w:rPr>
              <w:t xml:space="preserve"> </w:t>
            </w:r>
            <w:r w:rsidR="00437501" w:rsidRPr="00094BB2">
              <w:rPr>
                <w:rFonts w:ascii="Times New Roman" w:eastAsia="Times New Roman" w:hAnsi="Times New Roman" w:cs="Times New Roman"/>
                <w:lang w:val="sr-Cyrl-ME"/>
              </w:rPr>
              <w:t>вишеструка</w:t>
            </w:r>
            <w:r w:rsidRPr="00094BB2">
              <w:rPr>
                <w:rFonts w:ascii="Times New Roman" w:eastAsia="Times New Roman" w:hAnsi="Times New Roman" w:cs="Times New Roman"/>
                <w:lang w:val="sr-Cyrl-ME"/>
              </w:rPr>
              <w:t xml:space="preserve"> изложеност максималној дози </w:t>
            </w:r>
            <w:r w:rsidR="00437501" w:rsidRPr="00094BB2">
              <w:rPr>
                <w:rFonts w:ascii="Times New Roman" w:eastAsia="Times New Roman" w:hAnsi="Times New Roman" w:cs="Times New Roman"/>
                <w:lang w:val="sr-Cyrl-ME"/>
              </w:rPr>
              <w:t xml:space="preserve">код људи </w:t>
            </w:r>
            <w:r w:rsidRPr="00094BB2">
              <w:rPr>
                <w:rFonts w:ascii="Times New Roman" w:eastAsia="Times New Roman" w:hAnsi="Times New Roman" w:cs="Times New Roman"/>
                <w:lang w:val="sr-Cyrl-ME"/>
              </w:rPr>
              <w:t>од 1800 mg (493 mg/m</w:t>
            </w:r>
            <w:r w:rsidRPr="00094BB2">
              <w:rPr>
                <w:rFonts w:ascii="Times New Roman" w:eastAsia="Times New Roman" w:hAnsi="Times New Roman" w:cs="Times New Roman"/>
                <w:vertAlign w:val="superscript"/>
                <w:lang w:val="sr-Cyrl-ME"/>
              </w:rPr>
              <w:t>2</w:t>
            </w:r>
            <w:r w:rsidR="00437501" w:rsidRPr="00094BB2">
              <w:rPr>
                <w:rFonts w:ascii="Times New Roman" w:eastAsia="Times New Roman" w:hAnsi="Times New Roman" w:cs="Times New Roman"/>
                <w:lang w:val="sr-Cyrl-ME"/>
              </w:rPr>
              <w:t xml:space="preserve">, </w:t>
            </w:r>
            <w:r w:rsidRPr="00094BB2">
              <w:rPr>
                <w:rFonts w:ascii="Times New Roman" w:eastAsia="Times New Roman" w:hAnsi="Times New Roman" w:cs="Times New Roman"/>
                <w:lang w:val="sr-Cyrl-ME"/>
              </w:rPr>
              <w:t xml:space="preserve"> под претпоставком </w:t>
            </w:r>
            <w:r w:rsidR="00437501" w:rsidRPr="00094BB2">
              <w:rPr>
                <w:rFonts w:ascii="Times New Roman" w:eastAsia="Times New Roman" w:hAnsi="Times New Roman" w:cs="Times New Roman"/>
                <w:lang w:val="sr-Cyrl-ME"/>
              </w:rPr>
              <w:t xml:space="preserve">тјелесне масе </w:t>
            </w:r>
            <w:r w:rsidRPr="00094BB2">
              <w:rPr>
                <w:rFonts w:ascii="Times New Roman" w:eastAsia="Times New Roman" w:hAnsi="Times New Roman" w:cs="Times New Roman"/>
                <w:lang w:val="sr-Cyrl-ME"/>
              </w:rPr>
              <w:t xml:space="preserve">пацијента од 60 kg) у </w:t>
            </w:r>
            <w:r w:rsidR="00437501" w:rsidRPr="00094BB2">
              <w:rPr>
                <w:rFonts w:ascii="Times New Roman" w:eastAsia="Times New Roman" w:hAnsi="Times New Roman" w:cs="Times New Roman"/>
                <w:lang w:val="sr-Cyrl-ME"/>
              </w:rPr>
              <w:t>двогодишњ</w:t>
            </w:r>
            <w:r w:rsidR="00311B41" w:rsidRPr="00094BB2">
              <w:rPr>
                <w:rFonts w:ascii="Times New Roman" w:eastAsia="Times New Roman" w:hAnsi="Times New Roman" w:cs="Times New Roman"/>
                <w:lang w:val="sr-Cyrl-ME"/>
              </w:rPr>
              <w:t>и</w:t>
            </w:r>
            <w:r w:rsidR="00437501" w:rsidRPr="00094BB2">
              <w:rPr>
                <w:rFonts w:ascii="Times New Roman" w:eastAsia="Times New Roman" w:hAnsi="Times New Roman" w:cs="Times New Roman"/>
                <w:lang w:val="sr-Cyrl-ME"/>
              </w:rPr>
              <w:t xml:space="preserve">м </w:t>
            </w:r>
            <w:r w:rsidRPr="00094BB2">
              <w:rPr>
                <w:rFonts w:ascii="Times New Roman" w:eastAsia="Times New Roman" w:hAnsi="Times New Roman" w:cs="Times New Roman"/>
                <w:lang w:val="sr-Cyrl-ME"/>
              </w:rPr>
              <w:t>испитивањ</w:t>
            </w:r>
            <w:r w:rsidR="00311B41" w:rsidRPr="00094BB2">
              <w:rPr>
                <w:rFonts w:ascii="Times New Roman" w:eastAsia="Times New Roman" w:hAnsi="Times New Roman" w:cs="Times New Roman"/>
                <w:lang w:val="sr-Cyrl-ME"/>
              </w:rPr>
              <w:t>има</w:t>
            </w:r>
            <w:r w:rsidRPr="00094BB2">
              <w:rPr>
                <w:rFonts w:ascii="Times New Roman" w:eastAsia="Times New Roman" w:hAnsi="Times New Roman" w:cs="Times New Roman"/>
                <w:lang w:val="sr-Cyrl-ME"/>
              </w:rPr>
              <w:t xml:space="preserve"> на мишевима и </w:t>
            </w:r>
            <w:r w:rsidR="00BF4B02" w:rsidRPr="00094BB2">
              <w:rPr>
                <w:rFonts w:ascii="Times New Roman" w:eastAsia="Times New Roman" w:hAnsi="Times New Roman" w:cs="Times New Roman"/>
                <w:lang w:val="sr-Cyrl-ME"/>
              </w:rPr>
              <w:t>пацовима</w:t>
            </w:r>
            <w:r w:rsidRPr="00094BB2">
              <w:rPr>
                <w:rFonts w:ascii="Times New Roman" w:eastAsia="Times New Roman" w:hAnsi="Times New Roman" w:cs="Times New Roman"/>
                <w:lang w:val="sr-Cyrl-ME"/>
              </w:rPr>
              <w:t xml:space="preserve"> (5400 mg/m</w:t>
            </w:r>
            <w:r w:rsidRPr="00094BB2">
              <w:rPr>
                <w:rFonts w:ascii="Times New Roman" w:eastAsia="Times New Roman" w:hAnsi="Times New Roman" w:cs="Times New Roman"/>
                <w:vertAlign w:val="superscript"/>
                <w:lang w:val="sr-Cyrl-ME"/>
              </w:rPr>
              <w:t>2</w:t>
            </w:r>
            <w:r w:rsidRPr="00094BB2">
              <w:rPr>
                <w:rFonts w:ascii="Times New Roman" w:eastAsia="Times New Roman" w:hAnsi="Times New Roman" w:cs="Times New Roman"/>
                <w:lang w:val="sr-Cyrl-ME"/>
              </w:rPr>
              <w:t xml:space="preserve"> односно 10800 mg/m</w:t>
            </w:r>
            <w:r w:rsidRPr="00094BB2">
              <w:rPr>
                <w:rFonts w:ascii="Times New Roman" w:eastAsia="Times New Roman" w:hAnsi="Times New Roman" w:cs="Times New Roman"/>
                <w:vertAlign w:val="superscript"/>
                <w:lang w:val="sr-Cyrl-ME"/>
              </w:rPr>
              <w:t>2</w:t>
            </w:r>
            <w:r w:rsidRPr="00094BB2">
              <w:rPr>
                <w:rFonts w:ascii="Times New Roman" w:eastAsia="Times New Roman" w:hAnsi="Times New Roman" w:cs="Times New Roman"/>
                <w:lang w:val="sr-Cyrl-ME"/>
              </w:rPr>
              <w:t>) износи 11, односно 22 пута.</w:t>
            </w:r>
          </w:p>
          <w:p w14:paraId="42657218" w14:textId="0A1E78F9" w:rsidR="000520B4" w:rsidRPr="00094BB2" w:rsidRDefault="000520B4">
            <w:pPr>
              <w:spacing w:after="0" w:line="240" w:lineRule="auto"/>
              <w:jc w:val="both"/>
              <w:rPr>
                <w:rFonts w:ascii="Times New Roman" w:eastAsia="Times New Roman" w:hAnsi="Times New Roman" w:cs="Times New Roman"/>
                <w:lang w:val="sr-Cyrl-ME"/>
              </w:rPr>
            </w:pPr>
          </w:p>
        </w:tc>
      </w:tr>
      <w:tr w:rsidR="007176E0" w:rsidRPr="00094BB2" w14:paraId="5BB43BDE" w14:textId="77777777" w:rsidTr="000520B4">
        <w:tc>
          <w:tcPr>
            <w:tcW w:w="9639" w:type="dxa"/>
            <w:gridSpan w:val="4"/>
            <w:shd w:val="clear" w:color="auto" w:fill="auto"/>
            <w:vAlign w:val="center"/>
          </w:tcPr>
          <w:p w14:paraId="573D9EDD" w14:textId="77777777" w:rsidR="00870F1F" w:rsidRPr="00094BB2" w:rsidRDefault="00870F1F" w:rsidP="00C9407B">
            <w:pPr>
              <w:tabs>
                <w:tab w:val="left" w:pos="284"/>
              </w:tabs>
              <w:spacing w:after="0" w:line="240" w:lineRule="auto"/>
              <w:jc w:val="both"/>
              <w:rPr>
                <w:rFonts w:ascii="Times New Roman" w:eastAsia="Times New Roman" w:hAnsi="Times New Roman" w:cs="Times New Roman"/>
                <w:b/>
                <w:bCs/>
                <w:lang w:val="sr-Cyrl-ME"/>
              </w:rPr>
            </w:pPr>
          </w:p>
          <w:p w14:paraId="75767004" w14:textId="211FAD07" w:rsidR="007176E0" w:rsidRPr="00094BB2" w:rsidRDefault="007176E0" w:rsidP="00C9407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6. ФАРМАЦЕУТСКИ ПОДАЦИ</w:t>
            </w:r>
          </w:p>
        </w:tc>
      </w:tr>
      <w:tr w:rsidR="007176E0" w:rsidRPr="00094BB2" w14:paraId="6A822DC4" w14:textId="77777777" w:rsidTr="007176E0">
        <w:tc>
          <w:tcPr>
            <w:tcW w:w="9639" w:type="dxa"/>
            <w:gridSpan w:val="4"/>
            <w:vAlign w:val="center"/>
          </w:tcPr>
          <w:p w14:paraId="25131114" w14:textId="77777777" w:rsidR="00094BB2" w:rsidRDefault="00094BB2" w:rsidP="00094BB2">
            <w:pPr>
              <w:tabs>
                <w:tab w:val="left" w:pos="284"/>
              </w:tabs>
              <w:spacing w:after="0" w:line="240" w:lineRule="auto"/>
              <w:jc w:val="both"/>
              <w:rPr>
                <w:rFonts w:ascii="Times New Roman" w:eastAsia="Times New Roman" w:hAnsi="Times New Roman" w:cs="Times New Roman"/>
                <w:b/>
                <w:bCs/>
                <w:lang w:val="sr-Cyrl-ME"/>
              </w:rPr>
            </w:pPr>
          </w:p>
          <w:p w14:paraId="2C699B93" w14:textId="52050163" w:rsidR="007176E0" w:rsidRPr="00094BB2" w:rsidRDefault="007176E0" w:rsidP="00094BB2">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6.1. Листа помоћних супстанци</w:t>
            </w:r>
            <w:r w:rsidR="0023353A" w:rsidRPr="00094BB2">
              <w:rPr>
                <w:rFonts w:ascii="Times New Roman" w:eastAsia="Times New Roman" w:hAnsi="Times New Roman" w:cs="Times New Roman"/>
                <w:b/>
                <w:bCs/>
                <w:lang w:val="sr-Cyrl-ME"/>
              </w:rPr>
              <w:t xml:space="preserve"> (ексципијенаса)</w:t>
            </w:r>
          </w:p>
        </w:tc>
      </w:tr>
      <w:tr w:rsidR="007176E0" w:rsidRPr="00094BB2" w14:paraId="3F0A7F1C" w14:textId="77777777" w:rsidTr="007176E0">
        <w:trPr>
          <w:trHeight w:val="779"/>
        </w:trPr>
        <w:tc>
          <w:tcPr>
            <w:tcW w:w="9639" w:type="dxa"/>
            <w:gridSpan w:val="4"/>
            <w:vAlign w:val="center"/>
          </w:tcPr>
          <w:p w14:paraId="1F22B077" w14:textId="77777777" w:rsidR="007176E0" w:rsidRPr="00094BB2" w:rsidRDefault="007176E0" w:rsidP="00C9407B">
            <w:pPr>
              <w:spacing w:after="0" w:line="240" w:lineRule="auto"/>
              <w:jc w:val="both"/>
              <w:rPr>
                <w:rFonts w:ascii="Times New Roman" w:eastAsia="Times New Roman" w:hAnsi="Times New Roman" w:cs="Times New Roman"/>
                <w:i/>
                <w:lang w:val="sr-Cyrl-ME"/>
              </w:rPr>
            </w:pPr>
          </w:p>
          <w:p w14:paraId="10D88D2A"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u w:val="single"/>
                <w:lang w:val="sr-Cyrl-ME"/>
              </w:rPr>
            </w:pPr>
            <w:r w:rsidRPr="00094BB2">
              <w:rPr>
                <w:rFonts w:ascii="Times New Roman" w:eastAsia="Times New Roman" w:hAnsi="Times New Roman" w:cs="Times New Roman"/>
                <w:u w:val="single"/>
                <w:lang w:val="sr-Cyrl-ME"/>
              </w:rPr>
              <w:t>Садржај капсуле</w:t>
            </w:r>
            <w:r w:rsidRPr="00094BB2">
              <w:rPr>
                <w:rFonts w:ascii="Times New Roman" w:eastAsia="Times New Roman" w:hAnsi="Times New Roman" w:cs="Times New Roman"/>
                <w:lang w:val="sr-Cyrl-ME"/>
              </w:rPr>
              <w:t>:</w:t>
            </w:r>
          </w:p>
          <w:p w14:paraId="5EAC461E"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целулоза, микрокристална (тип 101)</w:t>
            </w:r>
          </w:p>
          <w:p w14:paraId="120AE024"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повидон</w:t>
            </w:r>
          </w:p>
          <w:p w14:paraId="4645867E" w14:textId="77777777" w:rsidR="007176E0" w:rsidRPr="00094BB2" w:rsidRDefault="007176E0">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скроб, кукурузни</w:t>
            </w:r>
          </w:p>
          <w:p w14:paraId="74455933" w14:textId="77777777" w:rsidR="007176E0" w:rsidRPr="00094BB2" w:rsidRDefault="007176E0">
            <w:pPr>
              <w:tabs>
                <w:tab w:val="left" w:pos="284"/>
                <w:tab w:val="num" w:pos="1440"/>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силицијум диоксид, колоидни, безводни</w:t>
            </w:r>
          </w:p>
          <w:p w14:paraId="237BFA08" w14:textId="77777777" w:rsidR="007176E0" w:rsidRPr="00094BB2" w:rsidRDefault="007176E0">
            <w:pPr>
              <w:tabs>
                <w:tab w:val="left" w:pos="284"/>
                <w:tab w:val="num" w:pos="1440"/>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натријум лаурилсулфат</w:t>
            </w:r>
          </w:p>
          <w:p w14:paraId="6633CC29" w14:textId="77777777" w:rsidR="007176E0" w:rsidRPr="00094BB2" w:rsidRDefault="007176E0">
            <w:pPr>
              <w:tabs>
                <w:tab w:val="left" w:pos="284"/>
                <w:tab w:val="num" w:pos="1440"/>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магнезијум стеарат</w:t>
            </w:r>
          </w:p>
          <w:p w14:paraId="6C2C3721" w14:textId="77777777" w:rsidR="007176E0" w:rsidRPr="00094BB2" w:rsidRDefault="007176E0">
            <w:pPr>
              <w:tabs>
                <w:tab w:val="left" w:pos="284"/>
                <w:tab w:val="num" w:pos="1440"/>
              </w:tabs>
              <w:spacing w:after="0" w:line="240" w:lineRule="auto"/>
              <w:jc w:val="both"/>
              <w:rPr>
                <w:rFonts w:ascii="Times New Roman" w:eastAsia="Times New Roman" w:hAnsi="Times New Roman" w:cs="Times New Roman"/>
                <w:lang w:val="sr-Cyrl-ME"/>
              </w:rPr>
            </w:pPr>
          </w:p>
          <w:p w14:paraId="774BDEF3" w14:textId="77777777" w:rsidR="007176E0" w:rsidRPr="00094BB2" w:rsidRDefault="007176E0">
            <w:pPr>
              <w:tabs>
                <w:tab w:val="left" w:pos="284"/>
                <w:tab w:val="num" w:pos="1440"/>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u w:val="single"/>
                <w:lang w:val="sr-Cyrl-ME"/>
              </w:rPr>
              <w:t>Тијело капсуле</w:t>
            </w:r>
            <w:r w:rsidRPr="00094BB2">
              <w:rPr>
                <w:rFonts w:ascii="Times New Roman" w:eastAsia="Times New Roman" w:hAnsi="Times New Roman" w:cs="Times New Roman"/>
                <w:lang w:val="sr-Cyrl-ME"/>
              </w:rPr>
              <w:t>:</w:t>
            </w:r>
          </w:p>
          <w:p w14:paraId="34B51B1F" w14:textId="77777777" w:rsidR="007176E0" w:rsidRPr="00094BB2" w:rsidRDefault="007176E0">
            <w:pPr>
              <w:tabs>
                <w:tab w:val="left" w:pos="284"/>
                <w:tab w:val="num" w:pos="1440"/>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желатин</w:t>
            </w:r>
          </w:p>
          <w:p w14:paraId="22DE3E11" w14:textId="77777777" w:rsidR="007176E0" w:rsidRPr="00094BB2" w:rsidRDefault="007176E0">
            <w:pPr>
              <w:tabs>
                <w:tab w:val="left" w:pos="284"/>
                <w:tab w:val="num" w:pos="1440"/>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титан диоксид (Е171)</w:t>
            </w:r>
          </w:p>
          <w:p w14:paraId="05576612" w14:textId="77777777" w:rsidR="00FA256A" w:rsidRPr="00373E2A" w:rsidRDefault="00FA256A" w:rsidP="00FA256A">
            <w:pPr>
              <w:tabs>
                <w:tab w:val="left" w:pos="284"/>
                <w:tab w:val="num" w:pos="1440"/>
              </w:tabs>
              <w:spacing w:after="0" w:line="240" w:lineRule="auto"/>
              <w:jc w:val="both"/>
              <w:rPr>
                <w:rFonts w:ascii="Times New Roman" w:eastAsia="Times New Roman" w:hAnsi="Times New Roman" w:cs="Times New Roman"/>
              </w:rPr>
            </w:pPr>
            <w:r w:rsidRPr="00B50EF5">
              <w:rPr>
                <w:rFonts w:ascii="Times New Roman" w:eastAsia="Times New Roman" w:hAnsi="Times New Roman" w:cs="Times New Roman"/>
                <w:lang w:val="sr-Cyrl-ME"/>
              </w:rPr>
              <w:t>гвожђе</w:t>
            </w:r>
            <w:r w:rsidRPr="00373E2A">
              <w:rPr>
                <w:rFonts w:ascii="Times New Roman" w:hAnsi="Times New Roman" w:cs="Times New Roman"/>
              </w:rPr>
              <w:t xml:space="preserve"> оксид</w:t>
            </w:r>
            <w:r w:rsidRPr="00373E2A">
              <w:rPr>
                <w:rFonts w:ascii="Times New Roman" w:hAnsi="Times New Roman" w:cs="Times New Roman"/>
                <w:lang w:val="mk-MK"/>
              </w:rPr>
              <w:t>, жути</w:t>
            </w:r>
            <w:r w:rsidRPr="00C61D23">
              <w:rPr>
                <w:rFonts w:ascii="Times New Roman" w:eastAsia="Times New Roman" w:hAnsi="Times New Roman" w:cs="Times New Roman"/>
              </w:rPr>
              <w:t xml:space="preserve"> (E172)</w:t>
            </w:r>
          </w:p>
          <w:p w14:paraId="072C06B8" w14:textId="77777777" w:rsidR="007176E0" w:rsidRPr="00094BB2" w:rsidRDefault="007176E0" w:rsidP="00FA256A">
            <w:pPr>
              <w:tabs>
                <w:tab w:val="left" w:pos="284"/>
                <w:tab w:val="num" w:pos="1440"/>
              </w:tabs>
              <w:spacing w:after="0" w:line="240" w:lineRule="auto"/>
              <w:jc w:val="both"/>
              <w:rPr>
                <w:rFonts w:ascii="Times New Roman" w:eastAsia="Times New Roman" w:hAnsi="Times New Roman" w:cs="Times New Roman"/>
                <w:lang w:val="sr-Cyrl-ME"/>
              </w:rPr>
            </w:pPr>
          </w:p>
        </w:tc>
      </w:tr>
      <w:tr w:rsidR="007176E0" w:rsidRPr="00094BB2" w14:paraId="77B3FB82" w14:textId="77777777" w:rsidTr="007176E0">
        <w:tc>
          <w:tcPr>
            <w:tcW w:w="9639" w:type="dxa"/>
            <w:gridSpan w:val="4"/>
            <w:vAlign w:val="center"/>
          </w:tcPr>
          <w:p w14:paraId="10BB2CD7" w14:textId="77777777" w:rsidR="007176E0" w:rsidRPr="00094BB2" w:rsidRDefault="007176E0" w:rsidP="00C9407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6.2. Инкомпатибилности</w:t>
            </w:r>
          </w:p>
        </w:tc>
      </w:tr>
      <w:tr w:rsidR="007176E0" w:rsidRPr="00094BB2" w14:paraId="54A11A7F" w14:textId="77777777" w:rsidTr="007176E0">
        <w:trPr>
          <w:trHeight w:val="833"/>
        </w:trPr>
        <w:tc>
          <w:tcPr>
            <w:tcW w:w="9639" w:type="dxa"/>
            <w:gridSpan w:val="4"/>
            <w:vAlign w:val="center"/>
          </w:tcPr>
          <w:p w14:paraId="4EC4AE66" w14:textId="77777777" w:rsidR="007176E0" w:rsidRPr="00094BB2" w:rsidRDefault="007176E0" w:rsidP="00094BB2">
            <w:pPr>
              <w:spacing w:after="0" w:line="240" w:lineRule="auto"/>
              <w:jc w:val="both"/>
              <w:rPr>
                <w:rFonts w:ascii="Times New Roman" w:eastAsia="Times New Roman" w:hAnsi="Times New Roman" w:cs="Times New Roman"/>
                <w:lang w:val="sr-Cyrl-ME" w:eastAsia="en-GB"/>
              </w:rPr>
            </w:pPr>
          </w:p>
          <w:p w14:paraId="6A6368C7" w14:textId="5B9212AF" w:rsidR="007176E0" w:rsidRPr="00094BB2" w:rsidRDefault="007176E0" w:rsidP="00094BB2">
            <w:pPr>
              <w:spacing w:after="0" w:line="240" w:lineRule="auto"/>
              <w:jc w:val="both"/>
              <w:rPr>
                <w:rFonts w:ascii="Times New Roman" w:eastAsia="Times New Roman" w:hAnsi="Times New Roman" w:cs="Times New Roman"/>
                <w:lang w:val="sr-Cyrl-ME" w:eastAsia="en-GB"/>
              </w:rPr>
            </w:pPr>
            <w:r w:rsidRPr="00094BB2">
              <w:rPr>
                <w:rFonts w:ascii="Times New Roman" w:eastAsia="Times New Roman" w:hAnsi="Times New Roman" w:cs="Times New Roman"/>
                <w:lang w:val="sr-Cyrl-ME" w:eastAsia="en-GB"/>
              </w:rPr>
              <w:t>Није примје</w:t>
            </w:r>
            <w:r w:rsidR="003F6CD9" w:rsidRPr="00094BB2">
              <w:rPr>
                <w:rFonts w:ascii="Times New Roman" w:eastAsia="Times New Roman" w:hAnsi="Times New Roman" w:cs="Times New Roman"/>
                <w:lang w:val="sr-Cyrl-ME" w:eastAsia="en-GB"/>
              </w:rPr>
              <w:t>нљ</w:t>
            </w:r>
            <w:r w:rsidRPr="00094BB2">
              <w:rPr>
                <w:rFonts w:ascii="Times New Roman" w:eastAsia="Times New Roman" w:hAnsi="Times New Roman" w:cs="Times New Roman"/>
                <w:lang w:val="sr-Cyrl-ME" w:eastAsia="en-GB"/>
              </w:rPr>
              <w:t>иво.</w:t>
            </w:r>
          </w:p>
          <w:p w14:paraId="02B77F73" w14:textId="77777777" w:rsidR="007176E0" w:rsidRPr="00094BB2" w:rsidRDefault="007176E0" w:rsidP="00094BB2">
            <w:pPr>
              <w:spacing w:after="0" w:line="240" w:lineRule="auto"/>
              <w:jc w:val="both"/>
              <w:rPr>
                <w:rFonts w:ascii="Times New Roman" w:eastAsia="Times New Roman" w:hAnsi="Times New Roman" w:cs="Times New Roman"/>
                <w:lang w:val="sr-Cyrl-ME" w:eastAsia="en-GB"/>
              </w:rPr>
            </w:pPr>
          </w:p>
        </w:tc>
      </w:tr>
      <w:tr w:rsidR="007176E0" w:rsidRPr="00094BB2" w14:paraId="788675E2" w14:textId="77777777" w:rsidTr="007176E0">
        <w:tc>
          <w:tcPr>
            <w:tcW w:w="9639" w:type="dxa"/>
            <w:gridSpan w:val="4"/>
            <w:vAlign w:val="center"/>
          </w:tcPr>
          <w:p w14:paraId="43824B10" w14:textId="77777777" w:rsidR="007176E0" w:rsidRPr="00094BB2" w:rsidRDefault="007176E0" w:rsidP="00094BB2">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6.3. Рок употребе</w:t>
            </w:r>
          </w:p>
        </w:tc>
      </w:tr>
      <w:tr w:rsidR="007176E0" w:rsidRPr="00094BB2" w14:paraId="5A3AE1C1" w14:textId="77777777" w:rsidTr="007176E0">
        <w:trPr>
          <w:trHeight w:val="352"/>
        </w:trPr>
        <w:tc>
          <w:tcPr>
            <w:tcW w:w="9639" w:type="dxa"/>
            <w:gridSpan w:val="4"/>
            <w:vAlign w:val="center"/>
          </w:tcPr>
          <w:p w14:paraId="59654D78" w14:textId="77777777" w:rsidR="00B34848" w:rsidRPr="00094BB2" w:rsidRDefault="00B34848" w:rsidP="00094BB2">
            <w:pPr>
              <w:tabs>
                <w:tab w:val="left" w:pos="284"/>
              </w:tabs>
              <w:spacing w:after="0" w:line="240" w:lineRule="auto"/>
              <w:jc w:val="both"/>
              <w:rPr>
                <w:rFonts w:ascii="Times New Roman" w:eastAsia="Times New Roman" w:hAnsi="Times New Roman" w:cs="Times New Roman"/>
                <w:lang w:val="sr-Cyrl-ME"/>
              </w:rPr>
            </w:pPr>
          </w:p>
          <w:p w14:paraId="1E59E3DD" w14:textId="77777777" w:rsidR="007176E0" w:rsidRPr="00094BB2" w:rsidRDefault="007176E0" w:rsidP="00094BB2">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Четири (4) године.</w:t>
            </w:r>
          </w:p>
          <w:p w14:paraId="79876501" w14:textId="77777777" w:rsidR="007176E0" w:rsidRPr="00094BB2" w:rsidRDefault="007176E0" w:rsidP="00094BB2">
            <w:pPr>
              <w:tabs>
                <w:tab w:val="left" w:pos="284"/>
              </w:tabs>
              <w:spacing w:after="0" w:line="240" w:lineRule="auto"/>
              <w:jc w:val="both"/>
              <w:rPr>
                <w:rFonts w:ascii="Times New Roman" w:eastAsia="Times New Roman" w:hAnsi="Times New Roman" w:cs="Times New Roman"/>
                <w:lang w:val="sr-Cyrl-ME"/>
              </w:rPr>
            </w:pPr>
          </w:p>
        </w:tc>
      </w:tr>
      <w:tr w:rsidR="007176E0" w:rsidRPr="00094BB2" w14:paraId="5EC7FBB9" w14:textId="77777777" w:rsidTr="007176E0">
        <w:tc>
          <w:tcPr>
            <w:tcW w:w="9639" w:type="dxa"/>
            <w:gridSpan w:val="4"/>
            <w:vAlign w:val="center"/>
          </w:tcPr>
          <w:p w14:paraId="1FF395D6" w14:textId="77777777" w:rsidR="007176E0" w:rsidRPr="00094BB2" w:rsidRDefault="007176E0" w:rsidP="00094BB2">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6.4. Посебне мјере упозорења при чувању лијека</w:t>
            </w:r>
          </w:p>
        </w:tc>
      </w:tr>
      <w:tr w:rsidR="007176E0" w:rsidRPr="00094BB2" w14:paraId="00793D53" w14:textId="77777777" w:rsidTr="007176E0">
        <w:trPr>
          <w:trHeight w:val="446"/>
        </w:trPr>
        <w:tc>
          <w:tcPr>
            <w:tcW w:w="9639" w:type="dxa"/>
            <w:gridSpan w:val="4"/>
          </w:tcPr>
          <w:p w14:paraId="3910BEE6" w14:textId="77777777" w:rsidR="007176E0" w:rsidRPr="00094BB2" w:rsidRDefault="007176E0" w:rsidP="00AF4EDB">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p>
          <w:p w14:paraId="52785D76" w14:textId="0DE3A18A" w:rsidR="007176E0" w:rsidRPr="00094BB2" w:rsidRDefault="007176E0" w:rsidP="00AF4EDB">
            <w:pPr>
              <w:tabs>
                <w:tab w:val="left" w:pos="284"/>
              </w:tabs>
              <w:spacing w:after="0" w:line="240" w:lineRule="auto"/>
              <w:jc w:val="both"/>
              <w:rPr>
                <w:rFonts w:ascii="Times New Roman" w:eastAsia="Times New Roman" w:hAnsi="Times New Roman" w:cs="Times New Roman"/>
                <w:b/>
                <w:lang w:val="sr-Cyrl-ME"/>
              </w:rPr>
            </w:pPr>
            <w:r w:rsidRPr="00094BB2">
              <w:rPr>
                <w:rFonts w:ascii="Times New Roman" w:eastAsia="Times New Roman" w:hAnsi="Times New Roman" w:cs="Times New Roman"/>
                <w:lang w:val="sr-Cyrl-ME"/>
              </w:rPr>
              <w:t>Лијек чувати на температури до 30°С.</w:t>
            </w:r>
          </w:p>
          <w:p w14:paraId="6EA664E3" w14:textId="77777777" w:rsidR="007176E0" w:rsidRPr="00094BB2" w:rsidRDefault="007176E0" w:rsidP="00AF4EDB">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p>
        </w:tc>
      </w:tr>
      <w:tr w:rsidR="007176E0" w:rsidRPr="00094BB2" w14:paraId="0FC72FCA" w14:textId="77777777" w:rsidTr="007176E0">
        <w:tc>
          <w:tcPr>
            <w:tcW w:w="9639" w:type="dxa"/>
            <w:gridSpan w:val="4"/>
            <w:vAlign w:val="center"/>
          </w:tcPr>
          <w:p w14:paraId="46323926" w14:textId="0E137173" w:rsidR="007176E0" w:rsidRPr="00094BB2" w:rsidRDefault="00094BB2" w:rsidP="00C9407B">
            <w:pPr>
              <w:tabs>
                <w:tab w:val="left" w:pos="284"/>
              </w:tabs>
              <w:spacing w:after="0" w:line="240" w:lineRule="auto"/>
              <w:jc w:val="both"/>
              <w:rPr>
                <w:rFonts w:ascii="Times New Roman" w:eastAsia="Times New Roman" w:hAnsi="Times New Roman" w:cs="Times New Roman"/>
                <w:lang w:val="sr-Cyrl-ME"/>
              </w:rPr>
            </w:pPr>
            <w:r>
              <w:rPr>
                <w:rFonts w:ascii="Times New Roman" w:eastAsia="Times New Roman" w:hAnsi="Times New Roman" w:cs="Times New Roman"/>
                <w:b/>
                <w:bCs/>
                <w:lang w:val="sr-Latn-ME"/>
              </w:rPr>
              <w:t>6</w:t>
            </w:r>
            <w:r w:rsidR="007176E0" w:rsidRPr="00094BB2">
              <w:rPr>
                <w:rFonts w:ascii="Times New Roman" w:eastAsia="Times New Roman" w:hAnsi="Times New Roman" w:cs="Times New Roman"/>
                <w:b/>
                <w:bCs/>
                <w:lang w:val="sr-Cyrl-ME"/>
              </w:rPr>
              <w:t>.5. Врста и садржај паковања</w:t>
            </w:r>
          </w:p>
        </w:tc>
      </w:tr>
      <w:tr w:rsidR="007176E0" w:rsidRPr="00094BB2" w14:paraId="23576B20" w14:textId="77777777" w:rsidTr="007176E0">
        <w:trPr>
          <w:trHeight w:val="671"/>
        </w:trPr>
        <w:tc>
          <w:tcPr>
            <w:tcW w:w="9639" w:type="dxa"/>
            <w:gridSpan w:val="4"/>
            <w:vAlign w:val="center"/>
          </w:tcPr>
          <w:p w14:paraId="6781142C" w14:textId="77777777" w:rsidR="007176E0" w:rsidRPr="00094BB2" w:rsidRDefault="007176E0" w:rsidP="00AF4EDB">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p>
          <w:p w14:paraId="5DEFDA3D" w14:textId="308B98AC" w:rsidR="007176E0" w:rsidRPr="00094BB2" w:rsidRDefault="007176E0" w:rsidP="00AF4EDB">
            <w:pPr>
              <w:tabs>
                <w:tab w:val="left" w:pos="284"/>
              </w:tabs>
              <w:spacing w:after="0" w:line="240" w:lineRule="auto"/>
              <w:jc w:val="both"/>
              <w:rPr>
                <w:rFonts w:ascii="Times New Roman" w:eastAsia="Times New Roman" w:hAnsi="Times New Roman" w:cs="Times New Roman"/>
                <w:u w:val="single"/>
                <w:lang w:val="sr-Cyrl-ME"/>
              </w:rPr>
            </w:pPr>
            <w:r w:rsidRPr="00094BB2">
              <w:rPr>
                <w:rFonts w:ascii="Times New Roman" w:eastAsia="Times New Roman" w:hAnsi="Times New Roman" w:cs="Times New Roman"/>
                <w:bCs/>
                <w:u w:val="single"/>
                <w:lang w:val="sr-Cyrl-ME"/>
              </w:rPr>
              <w:t xml:space="preserve">NIFUROKSAZID ALKALOID, </w:t>
            </w:r>
            <w:r w:rsidRPr="00094BB2">
              <w:rPr>
                <w:rFonts w:ascii="Times New Roman" w:eastAsia="Times New Roman" w:hAnsi="Times New Roman" w:cs="Times New Roman"/>
                <w:u w:val="single"/>
                <w:lang w:val="sr-Cyrl-ME"/>
              </w:rPr>
              <w:t xml:space="preserve">100 </w:t>
            </w:r>
            <w:r w:rsidRPr="00094BB2">
              <w:rPr>
                <w:rFonts w:ascii="Times New Roman" w:eastAsia="Times New Roman" w:hAnsi="Times New Roman" w:cs="Times New Roman"/>
                <w:bCs/>
                <w:u w:val="single"/>
                <w:lang w:val="sr-Cyrl-ME"/>
              </w:rPr>
              <w:t xml:space="preserve">mg, </w:t>
            </w:r>
            <w:r w:rsidRPr="00094BB2">
              <w:rPr>
                <w:rFonts w:ascii="Times New Roman" w:eastAsia="Times New Roman" w:hAnsi="Times New Roman" w:cs="Times New Roman"/>
                <w:u w:val="single"/>
                <w:lang w:val="sr-Cyrl-ME"/>
              </w:rPr>
              <w:t>капсулa, тврдa</w:t>
            </w:r>
          </w:p>
          <w:p w14:paraId="55943279"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Капсуле су паковане у блистер паковању (Al фолија/PVC фолија) који садржи 10 капсула.</w:t>
            </w:r>
          </w:p>
          <w:p w14:paraId="31611D68" w14:textId="6C0738F0" w:rsidR="007176E0" w:rsidRPr="00094BB2" w:rsidRDefault="007176E0">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 xml:space="preserve">Картонска кутија садржи 30 капсула (3 блистера ca по 10 капсула)  и </w:t>
            </w:r>
            <w:r w:rsidR="0023353A" w:rsidRPr="00094BB2">
              <w:rPr>
                <w:rFonts w:ascii="Times New Roman" w:eastAsia="Times New Roman" w:hAnsi="Times New Roman" w:cs="Times New Roman"/>
                <w:lang w:val="sr-Cyrl-ME"/>
              </w:rPr>
              <w:t>У</w:t>
            </w:r>
            <w:r w:rsidRPr="00094BB2">
              <w:rPr>
                <w:rFonts w:ascii="Times New Roman" w:eastAsia="Times New Roman" w:hAnsi="Times New Roman" w:cs="Times New Roman"/>
                <w:lang w:val="sr-Cyrl-ME"/>
              </w:rPr>
              <w:t xml:space="preserve">путство за </w:t>
            </w:r>
            <w:r w:rsidR="0023353A" w:rsidRPr="00094BB2">
              <w:rPr>
                <w:rFonts w:ascii="Times New Roman" w:eastAsia="Times New Roman" w:hAnsi="Times New Roman" w:cs="Times New Roman"/>
                <w:lang w:val="sr-Cyrl-ME"/>
              </w:rPr>
              <w:t>лијек</w:t>
            </w:r>
            <w:r w:rsidRPr="00094BB2">
              <w:rPr>
                <w:rFonts w:ascii="Times New Roman" w:eastAsia="Times New Roman" w:hAnsi="Times New Roman" w:cs="Times New Roman"/>
                <w:lang w:val="sr-Cyrl-ME"/>
              </w:rPr>
              <w:t>.</w:t>
            </w:r>
          </w:p>
          <w:p w14:paraId="75B1E343" w14:textId="77777777" w:rsidR="007176E0" w:rsidRPr="00094BB2" w:rsidRDefault="007176E0">
            <w:pPr>
              <w:tabs>
                <w:tab w:val="left" w:pos="284"/>
              </w:tabs>
              <w:spacing w:after="0" w:line="240" w:lineRule="auto"/>
              <w:jc w:val="both"/>
              <w:rPr>
                <w:rFonts w:ascii="Times New Roman" w:eastAsia="Times New Roman" w:hAnsi="Times New Roman" w:cs="Times New Roman"/>
                <w:lang w:val="sr-Cyrl-ME"/>
              </w:rPr>
            </w:pPr>
          </w:p>
          <w:p w14:paraId="4468824B" w14:textId="766CBC86" w:rsidR="007176E0" w:rsidRPr="00094BB2" w:rsidRDefault="007176E0">
            <w:pPr>
              <w:tabs>
                <w:tab w:val="left" w:pos="284"/>
              </w:tabs>
              <w:spacing w:after="0" w:line="240" w:lineRule="auto"/>
              <w:jc w:val="both"/>
              <w:rPr>
                <w:rFonts w:ascii="Times New Roman" w:eastAsia="Times New Roman" w:hAnsi="Times New Roman" w:cs="Times New Roman"/>
                <w:u w:val="single"/>
                <w:lang w:val="sr-Cyrl-ME"/>
              </w:rPr>
            </w:pPr>
            <w:r w:rsidRPr="00094BB2">
              <w:rPr>
                <w:rFonts w:ascii="Times New Roman" w:eastAsia="Times New Roman" w:hAnsi="Times New Roman" w:cs="Times New Roman"/>
                <w:bCs/>
                <w:u w:val="single"/>
                <w:lang w:val="sr-Cyrl-ME"/>
              </w:rPr>
              <w:t xml:space="preserve">NIFUROKSAZID ALKALOID, </w:t>
            </w:r>
            <w:r w:rsidRPr="00094BB2">
              <w:rPr>
                <w:rFonts w:ascii="Times New Roman" w:eastAsia="Times New Roman" w:hAnsi="Times New Roman" w:cs="Times New Roman"/>
                <w:u w:val="single"/>
                <w:lang w:val="sr-Cyrl-ME"/>
              </w:rPr>
              <w:t xml:space="preserve">200 </w:t>
            </w:r>
            <w:r w:rsidRPr="00094BB2">
              <w:rPr>
                <w:rFonts w:ascii="Times New Roman" w:eastAsia="Times New Roman" w:hAnsi="Times New Roman" w:cs="Times New Roman"/>
                <w:bCs/>
                <w:u w:val="single"/>
                <w:lang w:val="sr-Cyrl-ME"/>
              </w:rPr>
              <w:t xml:space="preserve">mg, </w:t>
            </w:r>
            <w:r w:rsidRPr="00094BB2">
              <w:rPr>
                <w:rFonts w:ascii="Times New Roman" w:eastAsia="Times New Roman" w:hAnsi="Times New Roman" w:cs="Times New Roman"/>
                <w:u w:val="single"/>
                <w:lang w:val="sr-Cyrl-ME"/>
              </w:rPr>
              <w:t>капсула, тврда</w:t>
            </w:r>
          </w:p>
          <w:p w14:paraId="785B41F2" w14:textId="77777777" w:rsidR="007176E0" w:rsidRPr="00094BB2" w:rsidRDefault="007176E0">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Капсуле су паковане у блистер паковању (Al фолија/PVC фолија) који садржи 10 капсула.</w:t>
            </w:r>
          </w:p>
          <w:p w14:paraId="5FFDE4C9" w14:textId="2E78A251" w:rsidR="007176E0" w:rsidRPr="00094BB2" w:rsidRDefault="007176E0">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lastRenderedPageBreak/>
              <w:t xml:space="preserve">Картонска кутија садржи 20 капсула (2 блистера са по 10 капсула) и </w:t>
            </w:r>
            <w:r w:rsidR="0023353A" w:rsidRPr="00094BB2">
              <w:rPr>
                <w:rFonts w:ascii="Times New Roman" w:eastAsia="Times New Roman" w:hAnsi="Times New Roman" w:cs="Times New Roman"/>
                <w:lang w:val="sr-Cyrl-ME"/>
              </w:rPr>
              <w:t>У</w:t>
            </w:r>
            <w:r w:rsidRPr="00094BB2">
              <w:rPr>
                <w:rFonts w:ascii="Times New Roman" w:eastAsia="Times New Roman" w:hAnsi="Times New Roman" w:cs="Times New Roman"/>
                <w:lang w:val="sr-Cyrl-ME"/>
              </w:rPr>
              <w:t xml:space="preserve">путство за </w:t>
            </w:r>
            <w:r w:rsidR="0023353A" w:rsidRPr="00094BB2">
              <w:rPr>
                <w:rFonts w:ascii="Times New Roman" w:eastAsia="Times New Roman" w:hAnsi="Times New Roman" w:cs="Times New Roman"/>
                <w:lang w:val="sr-Cyrl-ME"/>
              </w:rPr>
              <w:t>лијек</w:t>
            </w:r>
            <w:r w:rsidRPr="00094BB2">
              <w:rPr>
                <w:rFonts w:ascii="Times New Roman" w:eastAsia="Times New Roman" w:hAnsi="Times New Roman" w:cs="Times New Roman"/>
                <w:lang w:val="sr-Cyrl-ME"/>
              </w:rPr>
              <w:t>.</w:t>
            </w:r>
          </w:p>
          <w:p w14:paraId="4A39B812" w14:textId="77777777" w:rsidR="00B34848" w:rsidRPr="00094BB2" w:rsidRDefault="00B34848">
            <w:pPr>
              <w:tabs>
                <w:tab w:val="left" w:pos="284"/>
              </w:tabs>
              <w:spacing w:after="0" w:line="240" w:lineRule="auto"/>
              <w:jc w:val="both"/>
              <w:rPr>
                <w:rFonts w:ascii="Times New Roman" w:eastAsia="Times New Roman" w:hAnsi="Times New Roman" w:cs="Times New Roman"/>
                <w:lang w:val="sr-Cyrl-ME"/>
              </w:rPr>
            </w:pPr>
          </w:p>
        </w:tc>
      </w:tr>
      <w:tr w:rsidR="007176E0" w:rsidRPr="00094BB2" w14:paraId="28AE3432" w14:textId="77777777" w:rsidTr="007176E0">
        <w:tc>
          <w:tcPr>
            <w:tcW w:w="9639" w:type="dxa"/>
            <w:gridSpan w:val="4"/>
            <w:vAlign w:val="center"/>
          </w:tcPr>
          <w:p w14:paraId="6BB56345"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lastRenderedPageBreak/>
              <w:t xml:space="preserve">6.6. Посебне мјере опреза при одлагању материјала који треба одбацити након примјене лијека </w:t>
            </w:r>
            <w:r w:rsidR="003F28D6" w:rsidRPr="00094BB2">
              <w:rPr>
                <w:rFonts w:ascii="Times New Roman" w:eastAsia="Times New Roman" w:hAnsi="Times New Roman" w:cs="Times New Roman"/>
                <w:b/>
                <w:bCs/>
                <w:lang w:val="sr-Cyrl-ME"/>
              </w:rPr>
              <w:t>(и друга упутства за руковање лијеком)</w:t>
            </w:r>
          </w:p>
        </w:tc>
      </w:tr>
      <w:tr w:rsidR="007176E0" w:rsidRPr="00094BB2" w14:paraId="5BB8FAD0" w14:textId="77777777" w:rsidTr="007176E0">
        <w:trPr>
          <w:trHeight w:val="1031"/>
        </w:trPr>
        <w:tc>
          <w:tcPr>
            <w:tcW w:w="9639" w:type="dxa"/>
            <w:gridSpan w:val="4"/>
            <w:vAlign w:val="center"/>
          </w:tcPr>
          <w:p w14:paraId="3E152BD2"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lang w:val="sr-Cyrl-ME"/>
              </w:rPr>
            </w:pPr>
          </w:p>
          <w:p w14:paraId="4D3EDFF8"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Нема посебних захтјева.</w:t>
            </w:r>
          </w:p>
          <w:p w14:paraId="00230E48"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Сву неискоришћену количину лијека или отпадног материјала након његове употребе треба уклонити у складу са важећим прописима.</w:t>
            </w:r>
          </w:p>
          <w:p w14:paraId="5BE783D2" w14:textId="161B3B28" w:rsidR="00870F1F" w:rsidRPr="00094BB2" w:rsidRDefault="00870F1F">
            <w:pPr>
              <w:tabs>
                <w:tab w:val="left" w:pos="284"/>
              </w:tabs>
              <w:spacing w:after="0" w:line="240" w:lineRule="auto"/>
              <w:jc w:val="both"/>
              <w:rPr>
                <w:rFonts w:ascii="Times New Roman" w:eastAsia="Times New Roman" w:hAnsi="Times New Roman" w:cs="Times New Roman"/>
                <w:lang w:val="sr-Cyrl-ME"/>
              </w:rPr>
            </w:pPr>
          </w:p>
        </w:tc>
      </w:tr>
      <w:tr w:rsidR="007176E0" w:rsidRPr="00094BB2" w14:paraId="6EE7C3B3" w14:textId="77777777" w:rsidTr="000520B4">
        <w:trPr>
          <w:trHeight w:val="356"/>
        </w:trPr>
        <w:tc>
          <w:tcPr>
            <w:tcW w:w="9639" w:type="dxa"/>
            <w:gridSpan w:val="4"/>
            <w:shd w:val="clear" w:color="auto" w:fill="auto"/>
            <w:vAlign w:val="center"/>
          </w:tcPr>
          <w:p w14:paraId="4A171988" w14:textId="77777777" w:rsidR="00870F1F" w:rsidRPr="00094BB2" w:rsidRDefault="00870F1F" w:rsidP="00C9407B">
            <w:pPr>
              <w:tabs>
                <w:tab w:val="left" w:pos="284"/>
              </w:tabs>
              <w:spacing w:after="0" w:line="240" w:lineRule="auto"/>
              <w:jc w:val="both"/>
              <w:rPr>
                <w:rFonts w:ascii="Times New Roman" w:eastAsia="Times New Roman" w:hAnsi="Times New Roman" w:cs="Times New Roman"/>
                <w:b/>
                <w:bCs/>
                <w:lang w:val="sr-Cyrl-ME"/>
              </w:rPr>
            </w:pPr>
          </w:p>
          <w:p w14:paraId="4B90039F" w14:textId="751F3A93" w:rsidR="007176E0" w:rsidRPr="00094BB2" w:rsidRDefault="007176E0" w:rsidP="00C9407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 xml:space="preserve">7. НОСИЛАЦ ДОЗВОЛЕ </w:t>
            </w:r>
          </w:p>
        </w:tc>
      </w:tr>
      <w:tr w:rsidR="007176E0" w:rsidRPr="00094BB2" w14:paraId="747D082B" w14:textId="77777777" w:rsidTr="007176E0">
        <w:trPr>
          <w:trHeight w:val="896"/>
        </w:trPr>
        <w:tc>
          <w:tcPr>
            <w:tcW w:w="9639" w:type="dxa"/>
            <w:gridSpan w:val="4"/>
            <w:vAlign w:val="center"/>
          </w:tcPr>
          <w:p w14:paraId="0B8CA541"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АЛКАЛОИД д.о.о. Подгорица</w:t>
            </w:r>
          </w:p>
          <w:p w14:paraId="2DAC5FEB" w14:textId="70B8D610" w:rsidR="007176E0" w:rsidRPr="00094BB2" w:rsidRDefault="007176E0" w:rsidP="00AF4EDB">
            <w:pPr>
              <w:tabs>
                <w:tab w:val="left" w:pos="720"/>
              </w:tabs>
              <w:spacing w:after="0" w:line="240" w:lineRule="auto"/>
              <w:jc w:val="both"/>
              <w:rPr>
                <w:rFonts w:ascii="Times New Roman" w:eastAsia="Times New Roman" w:hAnsi="Times New Roman" w:cs="Times New Roman"/>
                <w:bCs/>
                <w:lang w:val="sr-Cyrl-ME"/>
              </w:rPr>
            </w:pPr>
            <w:r w:rsidRPr="00094BB2">
              <w:rPr>
                <w:rFonts w:ascii="Times New Roman" w:eastAsia="Times New Roman" w:hAnsi="Times New Roman" w:cs="Times New Roman"/>
                <w:bCs/>
                <w:lang w:val="sr-Cyrl-ME"/>
              </w:rPr>
              <w:t>Ул. Светлане Кане Радевић 3/V</w:t>
            </w:r>
            <w:r w:rsidR="003F28D6" w:rsidRPr="00094BB2">
              <w:rPr>
                <w:rFonts w:ascii="Times New Roman" w:eastAsia="Times New Roman" w:hAnsi="Times New Roman" w:cs="Times New Roman"/>
                <w:bCs/>
                <w:lang w:val="sr-Cyrl-ME"/>
              </w:rPr>
              <w:t>,</w:t>
            </w:r>
          </w:p>
          <w:p w14:paraId="1AC78D1B" w14:textId="2C28103F" w:rsidR="007176E0" w:rsidRPr="00094BB2" w:rsidRDefault="007176E0" w:rsidP="00AF4EDB">
            <w:pPr>
              <w:widowControl w:val="0"/>
              <w:tabs>
                <w:tab w:val="left" w:pos="284"/>
              </w:tabs>
              <w:autoSpaceDE w:val="0"/>
              <w:autoSpaceDN w:val="0"/>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81</w:t>
            </w:r>
            <w:r w:rsidR="00B92FA5">
              <w:rPr>
                <w:rFonts w:ascii="Times New Roman" w:eastAsia="Times New Roman" w:hAnsi="Times New Roman" w:cs="Times New Roman"/>
                <w:lang w:val="sr-Latn-ME"/>
              </w:rPr>
              <w:t xml:space="preserve"> </w:t>
            </w:r>
            <w:r w:rsidRPr="00094BB2">
              <w:rPr>
                <w:rFonts w:ascii="Times New Roman" w:eastAsia="Times New Roman" w:hAnsi="Times New Roman" w:cs="Times New Roman"/>
                <w:lang w:val="sr-Cyrl-ME"/>
              </w:rPr>
              <w:t>000 Подгорица, Црна Гора</w:t>
            </w:r>
          </w:p>
        </w:tc>
      </w:tr>
      <w:tr w:rsidR="007176E0" w:rsidRPr="00094BB2" w14:paraId="0D08142A" w14:textId="77777777" w:rsidTr="000520B4">
        <w:trPr>
          <w:trHeight w:val="406"/>
        </w:trPr>
        <w:tc>
          <w:tcPr>
            <w:tcW w:w="9639" w:type="dxa"/>
            <w:gridSpan w:val="4"/>
            <w:shd w:val="clear" w:color="auto" w:fill="auto"/>
            <w:vAlign w:val="center"/>
          </w:tcPr>
          <w:p w14:paraId="34B53C7E" w14:textId="77777777" w:rsidR="00870F1F" w:rsidRPr="00094BB2" w:rsidRDefault="00870F1F" w:rsidP="00C9407B">
            <w:pPr>
              <w:tabs>
                <w:tab w:val="left" w:pos="284"/>
              </w:tabs>
              <w:spacing w:after="0" w:line="240" w:lineRule="auto"/>
              <w:jc w:val="both"/>
              <w:rPr>
                <w:rFonts w:ascii="Times New Roman" w:eastAsia="Times New Roman" w:hAnsi="Times New Roman" w:cs="Times New Roman"/>
                <w:b/>
                <w:bCs/>
                <w:lang w:val="sr-Cyrl-ME"/>
              </w:rPr>
            </w:pPr>
          </w:p>
          <w:p w14:paraId="6208503E" w14:textId="77777777" w:rsidR="00870F1F" w:rsidRPr="00094BB2" w:rsidRDefault="00870F1F" w:rsidP="00C9407B">
            <w:pPr>
              <w:tabs>
                <w:tab w:val="left" w:pos="284"/>
              </w:tabs>
              <w:spacing w:after="0" w:line="240" w:lineRule="auto"/>
              <w:jc w:val="both"/>
              <w:rPr>
                <w:rFonts w:ascii="Times New Roman" w:eastAsia="Times New Roman" w:hAnsi="Times New Roman" w:cs="Times New Roman"/>
                <w:b/>
                <w:bCs/>
                <w:lang w:val="sr-Cyrl-ME"/>
              </w:rPr>
            </w:pPr>
          </w:p>
          <w:p w14:paraId="7BAF3EC5" w14:textId="697C5651" w:rsidR="007176E0" w:rsidRPr="00094BB2" w:rsidRDefault="007176E0" w:rsidP="00C9407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8. БРОЈ ДОЗВОЛЕ</w:t>
            </w:r>
            <w:r w:rsidR="003F28D6" w:rsidRPr="00094BB2">
              <w:rPr>
                <w:rFonts w:ascii="Times New Roman" w:eastAsia="Times New Roman" w:hAnsi="Times New Roman" w:cs="Times New Roman"/>
                <w:b/>
                <w:bCs/>
                <w:lang w:val="sr-Cyrl-ME"/>
              </w:rPr>
              <w:t xml:space="preserve"> ЗА СТАВЉАЊЕ ЛИЈЕКА У ПРОМЕТ</w:t>
            </w:r>
          </w:p>
        </w:tc>
      </w:tr>
      <w:tr w:rsidR="007176E0" w:rsidRPr="00094BB2" w14:paraId="0EB7A347" w14:textId="77777777" w:rsidTr="007176E0">
        <w:trPr>
          <w:trHeight w:val="773"/>
        </w:trPr>
        <w:tc>
          <w:tcPr>
            <w:tcW w:w="9639" w:type="dxa"/>
            <w:gridSpan w:val="4"/>
            <w:vAlign w:val="center"/>
          </w:tcPr>
          <w:p w14:paraId="09FA47D5" w14:textId="77777777" w:rsidR="003D1741" w:rsidRPr="00094BB2" w:rsidRDefault="003D1741" w:rsidP="00C9407B">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p>
          <w:p w14:paraId="61A26F2C" w14:textId="02190E98" w:rsidR="003D1741" w:rsidRPr="00094BB2" w:rsidRDefault="003D1741" w:rsidP="00094BB2">
            <w:pPr>
              <w:tabs>
                <w:tab w:val="left" w:pos="284"/>
              </w:tabs>
              <w:autoSpaceDE w:val="0"/>
              <w:autoSpaceDN w:val="0"/>
              <w:adjustRightInd w:val="0"/>
              <w:spacing w:after="0" w:line="240" w:lineRule="auto"/>
              <w:rPr>
                <w:rFonts w:ascii="Times New Roman" w:eastAsia="Times New Roman" w:hAnsi="Times New Roman" w:cs="Times New Roman"/>
                <w:lang w:val="sr-Latn-ME"/>
              </w:rPr>
            </w:pPr>
            <w:r w:rsidRPr="00094BB2">
              <w:rPr>
                <w:rFonts w:ascii="Times New Roman" w:eastAsia="Times New Roman" w:hAnsi="Times New Roman" w:cs="Times New Roman"/>
                <w:lang w:val="sr-Cyrl-ME"/>
              </w:rPr>
              <w:t>NIFUROKSAZID ALKALOID, капсула, тврда, 100 mg, блистер, 30 (3х10) капсула, тврдих:</w:t>
            </w:r>
            <w:r w:rsidR="00061F22" w:rsidRPr="00094BB2">
              <w:rPr>
                <w:rFonts w:ascii="Times New Roman" w:eastAsia="Times New Roman" w:hAnsi="Times New Roman" w:cs="Times New Roman"/>
                <w:lang w:val="sr-Cyrl-ME"/>
              </w:rPr>
              <w:t xml:space="preserve"> </w:t>
            </w:r>
            <w:r w:rsidR="00094BB2" w:rsidRPr="00094BB2">
              <w:rPr>
                <w:rFonts w:ascii="Times New Roman" w:eastAsia="Times New Roman" w:hAnsi="Times New Roman" w:cs="Times New Roman"/>
                <w:lang w:val="sr-Cyrl-ME"/>
              </w:rPr>
              <w:t>2030/24/3645 - 1431</w:t>
            </w:r>
          </w:p>
          <w:p w14:paraId="7681A11E" w14:textId="77777777" w:rsidR="007176E0" w:rsidRDefault="003D1741" w:rsidP="00C9407B">
            <w:pPr>
              <w:tabs>
                <w:tab w:val="left" w:pos="284"/>
              </w:tabs>
              <w:autoSpaceDE w:val="0"/>
              <w:autoSpaceDN w:val="0"/>
              <w:adjustRightInd w:val="0"/>
              <w:spacing w:after="0" w:line="240" w:lineRule="auto"/>
              <w:jc w:val="both"/>
              <w:rPr>
                <w:rFonts w:ascii="Times New Roman" w:hAnsi="Times New Roman" w:cs="Times New Roman"/>
                <w:lang w:val="sr-Cyrl-ME"/>
              </w:rPr>
            </w:pPr>
            <w:r w:rsidRPr="00094BB2">
              <w:rPr>
                <w:rFonts w:ascii="Times New Roman" w:eastAsia="Times New Roman" w:hAnsi="Times New Roman" w:cs="Times New Roman"/>
                <w:lang w:val="sr-Cyrl-ME"/>
              </w:rPr>
              <w:t>NIFUROKSAZID ALKALOID, капсула, тврда, 200 mg, блистер, 20 (2х10) капсула, тврдих</w:t>
            </w:r>
            <w:r w:rsidR="00061F22" w:rsidRPr="00094BB2">
              <w:rPr>
                <w:rFonts w:ascii="Times New Roman" w:eastAsia="Times New Roman" w:hAnsi="Times New Roman" w:cs="Times New Roman"/>
                <w:lang w:val="sr-Cyrl-ME"/>
              </w:rPr>
              <w:t>:</w:t>
            </w:r>
            <w:r w:rsidR="00061F22" w:rsidRPr="00094BB2">
              <w:rPr>
                <w:rFonts w:ascii="Times New Roman" w:hAnsi="Times New Roman" w:cs="Times New Roman"/>
                <w:lang w:val="sr-Cyrl-ME"/>
              </w:rPr>
              <w:t xml:space="preserve"> </w:t>
            </w:r>
            <w:r w:rsidR="00750249" w:rsidRPr="00094BB2">
              <w:rPr>
                <w:rFonts w:ascii="Times New Roman" w:hAnsi="Times New Roman" w:cs="Times New Roman"/>
                <w:lang w:val="sr-Cyrl-ME"/>
              </w:rPr>
              <w:t xml:space="preserve"> </w:t>
            </w:r>
          </w:p>
          <w:p w14:paraId="3D6CB710" w14:textId="3378468D" w:rsidR="00094BB2" w:rsidRPr="00094BB2" w:rsidRDefault="00094BB2" w:rsidP="00C9407B">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r w:rsidRPr="00094BB2">
              <w:rPr>
                <w:rFonts w:ascii="Times New Roman" w:eastAsia="Times New Roman" w:hAnsi="Times New Roman" w:cs="Times New Roman"/>
                <w:lang w:val="sr-Cyrl-ME"/>
              </w:rPr>
              <w:t>2030/24/3646 - 1432</w:t>
            </w:r>
          </w:p>
        </w:tc>
      </w:tr>
      <w:tr w:rsidR="007176E0" w:rsidRPr="00094BB2" w14:paraId="28AB571C" w14:textId="77777777" w:rsidTr="000520B4">
        <w:tc>
          <w:tcPr>
            <w:tcW w:w="9639" w:type="dxa"/>
            <w:gridSpan w:val="4"/>
            <w:shd w:val="clear" w:color="auto" w:fill="auto"/>
            <w:vAlign w:val="center"/>
          </w:tcPr>
          <w:p w14:paraId="6C8C4325" w14:textId="570BBEB9" w:rsidR="004B47CB" w:rsidRPr="00094BB2" w:rsidRDefault="004B47CB" w:rsidP="00C9407B">
            <w:pPr>
              <w:tabs>
                <w:tab w:val="left" w:pos="284"/>
              </w:tabs>
              <w:spacing w:after="0" w:line="240" w:lineRule="auto"/>
              <w:jc w:val="both"/>
              <w:rPr>
                <w:rFonts w:ascii="Times New Roman" w:eastAsia="Times New Roman" w:hAnsi="Times New Roman" w:cs="Times New Roman"/>
                <w:b/>
                <w:bCs/>
                <w:lang w:val="sr-Cyrl-ME"/>
              </w:rPr>
            </w:pPr>
          </w:p>
          <w:p w14:paraId="78A09B11" w14:textId="77777777" w:rsidR="00870F1F" w:rsidRPr="00094BB2" w:rsidRDefault="00870F1F" w:rsidP="00C9407B">
            <w:pPr>
              <w:tabs>
                <w:tab w:val="left" w:pos="284"/>
              </w:tabs>
              <w:spacing w:after="0" w:line="240" w:lineRule="auto"/>
              <w:jc w:val="both"/>
              <w:rPr>
                <w:rFonts w:ascii="Times New Roman" w:eastAsia="Times New Roman" w:hAnsi="Times New Roman" w:cs="Times New Roman"/>
                <w:b/>
                <w:bCs/>
                <w:lang w:val="sr-Cyrl-ME"/>
              </w:rPr>
            </w:pPr>
          </w:p>
          <w:p w14:paraId="35FF92B1" w14:textId="1D0D1823" w:rsidR="007176E0" w:rsidRPr="00094BB2" w:rsidRDefault="007176E0" w:rsidP="00C9407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9. ДАТУМ ПРВЕ ДОЗВОЛЕ/ОБНОВЕ ДОЗВОЛЕ</w:t>
            </w:r>
            <w:r w:rsidR="003F28D6" w:rsidRPr="00094BB2">
              <w:rPr>
                <w:rFonts w:ascii="Times New Roman" w:eastAsia="Times New Roman" w:hAnsi="Times New Roman" w:cs="Times New Roman"/>
                <w:b/>
                <w:bCs/>
                <w:lang w:val="sr-Cyrl-ME"/>
              </w:rPr>
              <w:t xml:space="preserve"> ЗА СТАВЉАЊЕ ЛИЈЕКА У ПРОМЕТ</w:t>
            </w:r>
          </w:p>
        </w:tc>
      </w:tr>
      <w:tr w:rsidR="007176E0" w:rsidRPr="00094BB2" w14:paraId="5901462C" w14:textId="77777777" w:rsidTr="007176E0">
        <w:trPr>
          <w:trHeight w:val="824"/>
        </w:trPr>
        <w:tc>
          <w:tcPr>
            <w:tcW w:w="9639" w:type="dxa"/>
            <w:gridSpan w:val="4"/>
            <w:vAlign w:val="center"/>
          </w:tcPr>
          <w:p w14:paraId="50399999" w14:textId="77777777" w:rsidR="00061F22" w:rsidRPr="00094BB2" w:rsidRDefault="00061F22" w:rsidP="00C9407B">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p>
          <w:p w14:paraId="6BCCE56A" w14:textId="77777777" w:rsidR="003F6CD9" w:rsidRPr="00094BB2" w:rsidRDefault="003F6CD9" w:rsidP="003F6CD9">
            <w:pPr>
              <w:tabs>
                <w:tab w:val="left" w:pos="284"/>
              </w:tabs>
              <w:spacing w:after="0" w:line="240" w:lineRule="auto"/>
              <w:rPr>
                <w:rFonts w:ascii="Times New Roman" w:eastAsia="Times New Roman" w:hAnsi="Times New Roman" w:cs="Times New Roman"/>
                <w:lang w:val="sr-Cyrl-ME"/>
              </w:rPr>
            </w:pPr>
            <w:r w:rsidRPr="00094BB2">
              <w:rPr>
                <w:rFonts w:ascii="Times New Roman" w:eastAsia="Times New Roman" w:hAnsi="Times New Roman" w:cs="Times New Roman"/>
                <w:lang w:val="sr-Cyrl-ME"/>
              </w:rPr>
              <w:t>Датум прве дозволе: 06.12.2017. године</w:t>
            </w:r>
          </w:p>
          <w:p w14:paraId="2E8A0759" w14:textId="1B09E026" w:rsidR="003F6CD9" w:rsidRPr="00094BB2" w:rsidRDefault="003F6CD9" w:rsidP="003F6CD9">
            <w:pPr>
              <w:tabs>
                <w:tab w:val="left" w:pos="284"/>
              </w:tabs>
              <w:spacing w:after="0" w:line="240" w:lineRule="auto"/>
              <w:rPr>
                <w:rFonts w:ascii="Times New Roman" w:eastAsia="Times New Roman" w:hAnsi="Times New Roman" w:cs="Times New Roman"/>
                <w:lang w:val="sr-Latn-ME"/>
              </w:rPr>
            </w:pPr>
            <w:r w:rsidRPr="00094BB2">
              <w:rPr>
                <w:rFonts w:ascii="Times New Roman" w:eastAsia="Times New Roman" w:hAnsi="Times New Roman" w:cs="Times New Roman"/>
                <w:lang w:val="sr-Cyrl-ME"/>
              </w:rPr>
              <w:t>Датум последње обнове дозвволе:</w:t>
            </w:r>
            <w:r w:rsidR="00094BB2">
              <w:rPr>
                <w:rFonts w:ascii="Times New Roman" w:eastAsia="Times New Roman" w:hAnsi="Times New Roman" w:cs="Times New Roman"/>
                <w:lang w:val="sr-Latn-ME"/>
              </w:rPr>
              <w:t xml:space="preserve"> </w:t>
            </w:r>
            <w:r w:rsidR="00094BB2">
              <w:rPr>
                <w:rFonts w:ascii="TimesNewRoman" w:hAnsi="TimesNewRoman" w:cs="TimesNewRoman"/>
              </w:rPr>
              <w:t xml:space="preserve">08.07.2024. </w:t>
            </w:r>
            <w:r w:rsidR="00094BB2" w:rsidRPr="00094BB2">
              <w:rPr>
                <w:rFonts w:ascii="Times New Roman" w:eastAsia="Times New Roman" w:hAnsi="Times New Roman" w:cs="Times New Roman"/>
                <w:lang w:val="sr-Cyrl-ME"/>
              </w:rPr>
              <w:t>године</w:t>
            </w:r>
          </w:p>
          <w:p w14:paraId="5A977C11" w14:textId="77777777" w:rsidR="00061F22" w:rsidRPr="00094BB2" w:rsidRDefault="00061F22" w:rsidP="00C9407B">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p>
          <w:p w14:paraId="6EE4C25C" w14:textId="7E13D9CD" w:rsidR="00870F1F" w:rsidRPr="00094BB2" w:rsidRDefault="00870F1F" w:rsidP="00C9407B">
            <w:pPr>
              <w:tabs>
                <w:tab w:val="left" w:pos="284"/>
              </w:tabs>
              <w:autoSpaceDE w:val="0"/>
              <w:autoSpaceDN w:val="0"/>
              <w:adjustRightInd w:val="0"/>
              <w:spacing w:after="0" w:line="240" w:lineRule="auto"/>
              <w:jc w:val="both"/>
              <w:rPr>
                <w:rFonts w:ascii="Times New Roman" w:eastAsia="Times New Roman" w:hAnsi="Times New Roman" w:cs="Times New Roman"/>
                <w:lang w:val="sr-Cyrl-ME"/>
              </w:rPr>
            </w:pPr>
          </w:p>
        </w:tc>
      </w:tr>
      <w:tr w:rsidR="007176E0" w:rsidRPr="00094BB2" w14:paraId="607CB5A7" w14:textId="77777777" w:rsidTr="000520B4">
        <w:tc>
          <w:tcPr>
            <w:tcW w:w="9639" w:type="dxa"/>
            <w:gridSpan w:val="4"/>
            <w:shd w:val="clear" w:color="auto" w:fill="auto"/>
            <w:vAlign w:val="center"/>
          </w:tcPr>
          <w:p w14:paraId="20EDDE7A" w14:textId="68A42019" w:rsidR="007176E0" w:rsidRPr="00094BB2" w:rsidRDefault="007176E0" w:rsidP="00C9407B">
            <w:pPr>
              <w:tabs>
                <w:tab w:val="left" w:pos="284"/>
              </w:tabs>
              <w:spacing w:after="0" w:line="240" w:lineRule="auto"/>
              <w:jc w:val="both"/>
              <w:rPr>
                <w:rFonts w:ascii="Times New Roman" w:eastAsia="Times New Roman" w:hAnsi="Times New Roman" w:cs="Times New Roman"/>
                <w:b/>
                <w:bCs/>
                <w:lang w:val="sr-Cyrl-ME"/>
              </w:rPr>
            </w:pPr>
            <w:r w:rsidRPr="00094BB2">
              <w:rPr>
                <w:rFonts w:ascii="Times New Roman" w:eastAsia="Times New Roman" w:hAnsi="Times New Roman" w:cs="Times New Roman"/>
                <w:b/>
                <w:bCs/>
                <w:lang w:val="sr-Cyrl-ME"/>
              </w:rPr>
              <w:t>10. ДАТУМ РЕВИЗИЈЕ ТЕКСТА</w:t>
            </w:r>
          </w:p>
        </w:tc>
      </w:tr>
      <w:tr w:rsidR="007176E0" w:rsidRPr="00094BB2" w14:paraId="753ACF12" w14:textId="77777777" w:rsidTr="007176E0">
        <w:trPr>
          <w:trHeight w:val="824"/>
        </w:trPr>
        <w:tc>
          <w:tcPr>
            <w:tcW w:w="9639" w:type="dxa"/>
            <w:gridSpan w:val="4"/>
            <w:vAlign w:val="center"/>
          </w:tcPr>
          <w:p w14:paraId="2B519E83" w14:textId="1C439720" w:rsidR="007176E0" w:rsidRPr="00094BB2" w:rsidRDefault="00B92FA5" w:rsidP="00C9407B">
            <w:pPr>
              <w:spacing w:after="0" w:line="240" w:lineRule="auto"/>
              <w:jc w:val="both"/>
              <w:rPr>
                <w:rFonts w:ascii="Times New Roman" w:eastAsia="Times New Roman" w:hAnsi="Times New Roman" w:cs="Times New Roman"/>
                <w:lang w:val="sr-Cyrl-ME" w:eastAsia="en-GB"/>
              </w:rPr>
            </w:pPr>
            <w:r>
              <w:rPr>
                <w:rFonts w:ascii="Times New Roman" w:eastAsia="Times New Roman" w:hAnsi="Times New Roman" w:cs="Times New Roman"/>
                <w:lang w:val="sr-Cyrl-ME" w:eastAsia="en-GB"/>
              </w:rPr>
              <w:t>Новембар</w:t>
            </w:r>
            <w:bookmarkStart w:id="0" w:name="_GoBack"/>
            <w:bookmarkEnd w:id="0"/>
            <w:r w:rsidR="00094BB2">
              <w:rPr>
                <w:rFonts w:ascii="Times New Roman" w:eastAsia="Times New Roman" w:hAnsi="Times New Roman" w:cs="Times New Roman"/>
                <w:lang w:val="sr-Cyrl-ME" w:eastAsia="en-GB"/>
              </w:rPr>
              <w:t>, 2024. године</w:t>
            </w:r>
          </w:p>
        </w:tc>
      </w:tr>
    </w:tbl>
    <w:p w14:paraId="6C26CA51" w14:textId="77777777" w:rsidR="007176E0" w:rsidRPr="00094BB2" w:rsidRDefault="007176E0" w:rsidP="00AF4EDB">
      <w:pPr>
        <w:tabs>
          <w:tab w:val="left" w:pos="284"/>
        </w:tabs>
        <w:spacing w:after="0" w:line="240" w:lineRule="auto"/>
        <w:jc w:val="both"/>
        <w:rPr>
          <w:rFonts w:ascii="Times New Roman" w:eastAsia="Times New Roman" w:hAnsi="Times New Roman" w:cs="Times New Roman"/>
          <w:lang w:val="sr-Cyrl-ME"/>
        </w:rPr>
      </w:pPr>
    </w:p>
    <w:p w14:paraId="272C6B1B" w14:textId="77777777" w:rsidR="009318B4" w:rsidRPr="00094BB2" w:rsidRDefault="00F1527C" w:rsidP="007176E0">
      <w:pPr>
        <w:tabs>
          <w:tab w:val="left" w:pos="2751"/>
        </w:tabs>
        <w:spacing w:after="0" w:line="240" w:lineRule="auto"/>
        <w:rPr>
          <w:rFonts w:ascii="Times New Roman" w:hAnsi="Times New Roman" w:cs="Times New Roman"/>
          <w:lang w:val="sr-Cyrl-ME"/>
        </w:rPr>
      </w:pPr>
      <w:r w:rsidRPr="00094BB2">
        <w:rPr>
          <w:rFonts w:ascii="Times New Roman" w:hAnsi="Times New Roman" w:cs="Times New Roman"/>
          <w:lang w:val="sr-Cyrl-ME"/>
        </w:rPr>
        <w:tab/>
      </w:r>
    </w:p>
    <w:sectPr w:rsidR="009318B4" w:rsidRPr="00094BB2" w:rsidSect="00C9407B">
      <w:footerReference w:type="default" r:id="rId15"/>
      <w:headerReference w:type="first" r:id="rId16"/>
      <w:footerReference w:type="first" r:id="rId17"/>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CCE90" w14:textId="77777777" w:rsidR="002E4B35" w:rsidRDefault="002E4B35" w:rsidP="00FF2B5A">
      <w:pPr>
        <w:spacing w:after="0" w:line="240" w:lineRule="auto"/>
      </w:pPr>
      <w:r>
        <w:separator/>
      </w:r>
    </w:p>
  </w:endnote>
  <w:endnote w:type="continuationSeparator" w:id="0">
    <w:p w14:paraId="425ECBCF" w14:textId="77777777" w:rsidR="002E4B35" w:rsidRDefault="002E4B35"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378160540"/>
      <w:docPartObj>
        <w:docPartGallery w:val="Page Numbers (Bottom of Page)"/>
        <w:docPartUnique/>
      </w:docPartObj>
    </w:sdtPr>
    <w:sdtEndPr>
      <w:rPr>
        <w:noProof/>
      </w:rPr>
    </w:sdtEndPr>
    <w:sdtContent>
      <w:p w14:paraId="2500136A" w14:textId="53D2B8BD" w:rsidR="000520B4" w:rsidRPr="000520B4" w:rsidRDefault="000520B4">
        <w:pPr>
          <w:pStyle w:val="Footer"/>
          <w:jc w:val="center"/>
          <w:rPr>
            <w:rFonts w:ascii="Times New Roman" w:hAnsi="Times New Roman" w:cs="Times New Roman"/>
          </w:rPr>
        </w:pPr>
        <w:r w:rsidRPr="000520B4">
          <w:rPr>
            <w:rFonts w:ascii="Times New Roman" w:hAnsi="Times New Roman" w:cs="Times New Roman"/>
          </w:rPr>
          <w:fldChar w:fldCharType="begin"/>
        </w:r>
        <w:r w:rsidRPr="000520B4">
          <w:rPr>
            <w:rFonts w:ascii="Times New Roman" w:hAnsi="Times New Roman" w:cs="Times New Roman"/>
          </w:rPr>
          <w:instrText xml:space="preserve"> PAGE   \* MERGEFORMAT </w:instrText>
        </w:r>
        <w:r w:rsidRPr="000520B4">
          <w:rPr>
            <w:rFonts w:ascii="Times New Roman" w:hAnsi="Times New Roman" w:cs="Times New Roman"/>
          </w:rPr>
          <w:fldChar w:fldCharType="separate"/>
        </w:r>
        <w:r w:rsidR="00B92FA5">
          <w:rPr>
            <w:rFonts w:ascii="Times New Roman" w:hAnsi="Times New Roman" w:cs="Times New Roman"/>
            <w:noProof/>
          </w:rPr>
          <w:t>6</w:t>
        </w:r>
        <w:r w:rsidRPr="000520B4">
          <w:rPr>
            <w:rFonts w:ascii="Times New Roman" w:hAnsi="Times New Roman" w:cs="Times New Roman"/>
            <w:noProof/>
          </w:rPr>
          <w:fldChar w:fldCharType="end"/>
        </w:r>
        <w:r w:rsidR="00A76753">
          <w:rPr>
            <w:rFonts w:ascii="Times New Roman" w:hAnsi="Times New Roman" w:cs="Times New Roman"/>
            <w:noProof/>
          </w:rPr>
          <w:t xml:space="preserve"> / 6</w:t>
        </w:r>
      </w:p>
    </w:sdtContent>
  </w:sdt>
  <w:p w14:paraId="28BDB2A4" w14:textId="77777777"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35AA4"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11091AC6"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2554E590"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44F791AA"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689C041E"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4456D92D" w14:textId="7717826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D74535">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25ECC" w14:textId="77777777" w:rsidR="002E4B35" w:rsidRDefault="002E4B35" w:rsidP="00FF2B5A">
      <w:pPr>
        <w:spacing w:after="0" w:line="240" w:lineRule="auto"/>
      </w:pPr>
      <w:r>
        <w:separator/>
      </w:r>
    </w:p>
  </w:footnote>
  <w:footnote w:type="continuationSeparator" w:id="0">
    <w:p w14:paraId="7DEFD109" w14:textId="77777777" w:rsidR="002E4B35" w:rsidRDefault="002E4B35"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9D622" w14:textId="77777777" w:rsidR="009318B4" w:rsidRDefault="009318B4" w:rsidP="009318B4">
    <w:pPr>
      <w:pStyle w:val="Header"/>
      <w:rPr>
        <w:sz w:val="16"/>
        <w:szCs w:val="16"/>
      </w:rPr>
    </w:pPr>
  </w:p>
  <w:p w14:paraId="2948B271"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3B15E4F4" wp14:editId="51FD2740">
          <wp:extent cx="1419225" cy="971550"/>
          <wp:effectExtent l="0" t="0" r="9525" b="0"/>
          <wp:docPr id="10" name="Picture 10"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64F25597"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706F"/>
    <w:multiLevelType w:val="hybridMultilevel"/>
    <w:tmpl w:val="5872A508"/>
    <w:lvl w:ilvl="0" w:tplc="B99C3F80">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F1231"/>
    <w:multiLevelType w:val="hybridMultilevel"/>
    <w:tmpl w:val="0EB0FB98"/>
    <w:lvl w:ilvl="0" w:tplc="A19A15DC">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3A5F19"/>
    <w:multiLevelType w:val="hybridMultilevel"/>
    <w:tmpl w:val="A6AC8862"/>
    <w:lvl w:ilvl="0" w:tplc="B99C3F80">
      <w:numFmt w:val="bullet"/>
      <w:lvlText w:val="-"/>
      <w:lvlJc w:val="left"/>
      <w:pPr>
        <w:ind w:left="720" w:hanging="360"/>
      </w:pPr>
      <w:rPr>
        <w:rFonts w:ascii="Times New Roman" w:eastAsia="Times New Roman" w:hAnsi="Times New Roman" w:cs="Times New Roman"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613750E3"/>
    <w:multiLevelType w:val="hybridMultilevel"/>
    <w:tmpl w:val="63924D7A"/>
    <w:lvl w:ilvl="0" w:tplc="CE0E952C">
      <w:start w:val="200"/>
      <w:numFmt w:val="bullet"/>
      <w:lvlText w:val="-"/>
      <w:lvlJc w:val="left"/>
      <w:pPr>
        <w:ind w:left="720" w:hanging="360"/>
      </w:pPr>
      <w:rPr>
        <w:rFonts w:ascii="Microsoft Sans Serif" w:eastAsia="Times New Roman"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1B1F"/>
    <w:rsid w:val="000520B4"/>
    <w:rsid w:val="00061F22"/>
    <w:rsid w:val="00094BB2"/>
    <w:rsid w:val="000F4E16"/>
    <w:rsid w:val="00116FE6"/>
    <w:rsid w:val="00137245"/>
    <w:rsid w:val="00231424"/>
    <w:rsid w:val="0023353A"/>
    <w:rsid w:val="002339A8"/>
    <w:rsid w:val="002471BF"/>
    <w:rsid w:val="002B5A07"/>
    <w:rsid w:val="002E4B35"/>
    <w:rsid w:val="0031146A"/>
    <w:rsid w:val="00311B41"/>
    <w:rsid w:val="0039427C"/>
    <w:rsid w:val="003B4602"/>
    <w:rsid w:val="003D1741"/>
    <w:rsid w:val="003F28D6"/>
    <w:rsid w:val="003F6CD9"/>
    <w:rsid w:val="00422BB3"/>
    <w:rsid w:val="00435916"/>
    <w:rsid w:val="00437501"/>
    <w:rsid w:val="00461135"/>
    <w:rsid w:val="00464580"/>
    <w:rsid w:val="004B05B3"/>
    <w:rsid w:val="004B47CB"/>
    <w:rsid w:val="004F5BB3"/>
    <w:rsid w:val="005519E9"/>
    <w:rsid w:val="00576496"/>
    <w:rsid w:val="005D68B9"/>
    <w:rsid w:val="006156A3"/>
    <w:rsid w:val="006534B7"/>
    <w:rsid w:val="006D02BA"/>
    <w:rsid w:val="0070365C"/>
    <w:rsid w:val="007176E0"/>
    <w:rsid w:val="00747C4B"/>
    <w:rsid w:val="00750249"/>
    <w:rsid w:val="00784D63"/>
    <w:rsid w:val="007977E4"/>
    <w:rsid w:val="007B161C"/>
    <w:rsid w:val="007B6221"/>
    <w:rsid w:val="007C1292"/>
    <w:rsid w:val="007F4AFF"/>
    <w:rsid w:val="00803247"/>
    <w:rsid w:val="00805838"/>
    <w:rsid w:val="00816FED"/>
    <w:rsid w:val="00870F1F"/>
    <w:rsid w:val="00883AF2"/>
    <w:rsid w:val="00892D13"/>
    <w:rsid w:val="008B71A0"/>
    <w:rsid w:val="008C2363"/>
    <w:rsid w:val="00907840"/>
    <w:rsid w:val="009154CC"/>
    <w:rsid w:val="00920CEB"/>
    <w:rsid w:val="00924B9B"/>
    <w:rsid w:val="009318B4"/>
    <w:rsid w:val="00934541"/>
    <w:rsid w:val="009428D0"/>
    <w:rsid w:val="009E3E95"/>
    <w:rsid w:val="009E7F85"/>
    <w:rsid w:val="009F33EB"/>
    <w:rsid w:val="00A0113F"/>
    <w:rsid w:val="00A06058"/>
    <w:rsid w:val="00A76753"/>
    <w:rsid w:val="00AC2636"/>
    <w:rsid w:val="00AF4EDB"/>
    <w:rsid w:val="00B04EA2"/>
    <w:rsid w:val="00B234CE"/>
    <w:rsid w:val="00B34848"/>
    <w:rsid w:val="00B34AF2"/>
    <w:rsid w:val="00B40518"/>
    <w:rsid w:val="00B54E0C"/>
    <w:rsid w:val="00B74588"/>
    <w:rsid w:val="00B842A3"/>
    <w:rsid w:val="00B84AA4"/>
    <w:rsid w:val="00B92FA5"/>
    <w:rsid w:val="00BA29B9"/>
    <w:rsid w:val="00BA3EAE"/>
    <w:rsid w:val="00BF27BB"/>
    <w:rsid w:val="00BF4B02"/>
    <w:rsid w:val="00C241F8"/>
    <w:rsid w:val="00C37616"/>
    <w:rsid w:val="00C4240B"/>
    <w:rsid w:val="00C43F5D"/>
    <w:rsid w:val="00C900B9"/>
    <w:rsid w:val="00C9407B"/>
    <w:rsid w:val="00CA4800"/>
    <w:rsid w:val="00CD1F26"/>
    <w:rsid w:val="00D35F21"/>
    <w:rsid w:val="00D45AFE"/>
    <w:rsid w:val="00D54855"/>
    <w:rsid w:val="00D601C0"/>
    <w:rsid w:val="00D74535"/>
    <w:rsid w:val="00E0627A"/>
    <w:rsid w:val="00EB2A93"/>
    <w:rsid w:val="00EC64C2"/>
    <w:rsid w:val="00F02A5D"/>
    <w:rsid w:val="00F1527C"/>
    <w:rsid w:val="00FA256A"/>
    <w:rsid w:val="00FA592C"/>
    <w:rsid w:val="00FC21DD"/>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C3058"/>
  <w15:docId w15:val="{443838BA-5457-4A78-8A24-5C0F9EE2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styleId="TableGrid">
    <w:name w:val="Table Grid"/>
    <w:basedOn w:val="TableNormal"/>
    <w:rsid w:val="007176E0"/>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16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61C"/>
    <w:rPr>
      <w:rFonts w:ascii="Tahoma" w:hAnsi="Tahoma" w:cs="Tahoma"/>
      <w:sz w:val="16"/>
      <w:szCs w:val="16"/>
    </w:rPr>
  </w:style>
  <w:style w:type="character" w:styleId="Hyperlink">
    <w:name w:val="Hyperlink"/>
    <w:basedOn w:val="DefaultParagraphFont"/>
    <w:uiPriority w:val="99"/>
    <w:unhideWhenUsed/>
    <w:rsid w:val="0023353A"/>
    <w:rPr>
      <w:color w:val="0563C1" w:themeColor="hyperlink"/>
      <w:u w:val="single"/>
    </w:rPr>
  </w:style>
  <w:style w:type="character" w:styleId="CommentReference">
    <w:name w:val="annotation reference"/>
    <w:basedOn w:val="DefaultParagraphFont"/>
    <w:uiPriority w:val="99"/>
    <w:semiHidden/>
    <w:unhideWhenUsed/>
    <w:rsid w:val="006534B7"/>
    <w:rPr>
      <w:sz w:val="16"/>
      <w:szCs w:val="16"/>
    </w:rPr>
  </w:style>
  <w:style w:type="paragraph" w:styleId="CommentText">
    <w:name w:val="annotation text"/>
    <w:basedOn w:val="Normal"/>
    <w:link w:val="CommentTextChar"/>
    <w:uiPriority w:val="99"/>
    <w:semiHidden/>
    <w:unhideWhenUsed/>
    <w:rsid w:val="006534B7"/>
    <w:pPr>
      <w:spacing w:line="240" w:lineRule="auto"/>
    </w:pPr>
    <w:rPr>
      <w:sz w:val="20"/>
      <w:szCs w:val="20"/>
    </w:rPr>
  </w:style>
  <w:style w:type="character" w:customStyle="1" w:styleId="CommentTextChar">
    <w:name w:val="Comment Text Char"/>
    <w:basedOn w:val="DefaultParagraphFont"/>
    <w:link w:val="CommentText"/>
    <w:uiPriority w:val="99"/>
    <w:semiHidden/>
    <w:rsid w:val="006534B7"/>
    <w:rPr>
      <w:sz w:val="20"/>
      <w:szCs w:val="20"/>
    </w:rPr>
  </w:style>
  <w:style w:type="paragraph" w:styleId="CommentSubject">
    <w:name w:val="annotation subject"/>
    <w:basedOn w:val="CommentText"/>
    <w:next w:val="CommentText"/>
    <w:link w:val="CommentSubjectChar"/>
    <w:uiPriority w:val="99"/>
    <w:semiHidden/>
    <w:unhideWhenUsed/>
    <w:rsid w:val="006534B7"/>
    <w:rPr>
      <w:b/>
      <w:bCs/>
    </w:rPr>
  </w:style>
  <w:style w:type="character" w:customStyle="1" w:styleId="CommentSubjectChar">
    <w:name w:val="Comment Subject Char"/>
    <w:basedOn w:val="CommentTextChar"/>
    <w:link w:val="CommentSubject"/>
    <w:uiPriority w:val="99"/>
    <w:semiHidden/>
    <w:rsid w:val="006534B7"/>
    <w:rPr>
      <w:b/>
      <w:bCs/>
      <w:sz w:val="20"/>
      <w:szCs w:val="20"/>
    </w:rPr>
  </w:style>
  <w:style w:type="paragraph" w:styleId="NoSpacing">
    <w:name w:val="No Spacing"/>
    <w:uiPriority w:val="1"/>
    <w:qFormat/>
    <w:rsid w:val="007F4AF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02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9" ma:contentTypeDescription="Create a new document." ma:contentTypeScope="" ma:versionID="9b0e7b9f949fa72059d72319ac3e0db7">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1b0a3d2606872d7ea3adcd4575a7988e"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PharmaDIA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armaDIALT" ma:index="26" nillable="true" ma:displayName="PharmaDIA LT" ma:format="Dropdown" ma:internalName="PharmaDIAL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PharmaDIALT xmlns="c3c8f14d-de17-4729-8cd2-1c2c3f027e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F071F-99CD-4B2E-9770-A3C61D362076}">
  <ds:schemaRefs>
    <ds:schemaRef ds:uri="http://schemas.microsoft.com/sharepoint/v3/contenttype/forms"/>
  </ds:schemaRefs>
</ds:datastoreItem>
</file>

<file path=customXml/itemProps2.xml><?xml version="1.0" encoding="utf-8"?>
<ds:datastoreItem xmlns:ds="http://schemas.openxmlformats.org/officeDocument/2006/customXml" ds:itemID="{90AB1B97-6395-49CB-B345-BECC55A8F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D06B1-9D64-4F6D-A109-96ED3601F966}">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4.xml><?xml version="1.0" encoding="utf-8"?>
<ds:datastoreItem xmlns:ds="http://schemas.openxmlformats.org/officeDocument/2006/customXml" ds:itemID="{8869862E-4EB1-43BA-872E-851B93AE2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Aleksandra Ljumović</cp:lastModifiedBy>
  <cp:revision>4</cp:revision>
  <cp:lastPrinted>2022-03-01T07:26:00Z</cp:lastPrinted>
  <dcterms:created xsi:type="dcterms:W3CDTF">2024-11-18T12:01:00Z</dcterms:created>
  <dcterms:modified xsi:type="dcterms:W3CDTF">2024-11-18T12:03:00Z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