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26197" w14:textId="77777777" w:rsidR="002510A5" w:rsidRPr="00246D8C" w:rsidRDefault="002510A5" w:rsidP="002510A5">
      <w:pPr>
        <w:jc w:val="center"/>
        <w:rPr>
          <w:b/>
          <w:bCs/>
          <w:iCs/>
          <w:sz w:val="22"/>
          <w:szCs w:val="22"/>
          <w:u w:val="single"/>
          <w:lang w:val="sr-Latn-ME"/>
        </w:rPr>
      </w:pPr>
      <w:r w:rsidRPr="00246D8C">
        <w:rPr>
          <w:b/>
          <w:bCs/>
          <w:iCs/>
          <w:sz w:val="22"/>
          <w:szCs w:val="22"/>
          <w:u w:val="single"/>
          <w:lang w:val="sr-Latn-ME"/>
        </w:rPr>
        <w:t>SAŽETAK KARAKTERISTIKA LIJEKA</w:t>
      </w:r>
    </w:p>
    <w:p w14:paraId="6FB75430" w14:textId="77777777" w:rsidR="003C17AB" w:rsidRPr="00246D8C" w:rsidRDefault="003C17AB" w:rsidP="00F5167F">
      <w:pPr>
        <w:tabs>
          <w:tab w:val="left" w:pos="540"/>
          <w:tab w:val="left" w:pos="569"/>
        </w:tabs>
        <w:rPr>
          <w:noProof/>
          <w:sz w:val="22"/>
          <w:szCs w:val="22"/>
          <w:lang w:val="sr-Latn-ME"/>
        </w:rPr>
      </w:pPr>
    </w:p>
    <w:p w14:paraId="6725A0E2" w14:textId="77777777" w:rsidR="00C37FD7" w:rsidRPr="00246D8C" w:rsidRDefault="00C37FD7" w:rsidP="00F5167F">
      <w:pPr>
        <w:tabs>
          <w:tab w:val="left" w:pos="540"/>
          <w:tab w:val="left" w:pos="569"/>
        </w:tabs>
        <w:rPr>
          <w:bCs/>
          <w:sz w:val="22"/>
          <w:szCs w:val="22"/>
          <w:lang w:val="sr-Latn-ME"/>
        </w:rPr>
      </w:pPr>
    </w:p>
    <w:p w14:paraId="2999EA3A" w14:textId="77777777" w:rsidR="00411B4B" w:rsidRPr="00246D8C" w:rsidRDefault="00411B4B" w:rsidP="00F5167F">
      <w:pPr>
        <w:tabs>
          <w:tab w:val="left" w:pos="540"/>
          <w:tab w:val="left" w:pos="569"/>
        </w:tabs>
        <w:rPr>
          <w:b/>
          <w:bCs/>
          <w:sz w:val="22"/>
          <w:szCs w:val="22"/>
          <w:lang w:val="sr-Latn-ME"/>
        </w:rPr>
      </w:pPr>
      <w:r w:rsidRPr="00246D8C">
        <w:rPr>
          <w:b/>
          <w:bCs/>
          <w:sz w:val="22"/>
          <w:szCs w:val="22"/>
          <w:lang w:val="sr-Latn-ME"/>
        </w:rPr>
        <w:t>1.</w:t>
      </w:r>
      <w:r w:rsidR="00F5167F" w:rsidRPr="00246D8C">
        <w:rPr>
          <w:b/>
          <w:bCs/>
          <w:sz w:val="22"/>
          <w:szCs w:val="22"/>
          <w:lang w:val="sr-Latn-ME"/>
        </w:rPr>
        <w:tab/>
      </w:r>
      <w:r w:rsidR="002846DB" w:rsidRPr="00246D8C">
        <w:rPr>
          <w:b/>
          <w:bCs/>
          <w:sz w:val="22"/>
          <w:szCs w:val="22"/>
          <w:lang w:val="sr-Latn-ME"/>
        </w:rPr>
        <w:t xml:space="preserve">NAZIV </w:t>
      </w:r>
      <w:r w:rsidRPr="00246D8C">
        <w:rPr>
          <w:b/>
          <w:bCs/>
          <w:sz w:val="22"/>
          <w:szCs w:val="22"/>
          <w:lang w:val="sr-Latn-ME"/>
        </w:rPr>
        <w:t>LIJEKA</w:t>
      </w:r>
    </w:p>
    <w:p w14:paraId="10BB6AAC" w14:textId="77777777" w:rsidR="00EC2532" w:rsidRPr="00246D8C" w:rsidRDefault="00EC2532">
      <w:pPr>
        <w:rPr>
          <w:sz w:val="22"/>
          <w:szCs w:val="22"/>
          <w:lang w:val="sr-Latn-ME"/>
        </w:rPr>
      </w:pPr>
    </w:p>
    <w:p w14:paraId="43422CC8" w14:textId="686167E1" w:rsidR="000D425A" w:rsidRPr="00246D8C" w:rsidRDefault="001753B1">
      <w:pPr>
        <w:rPr>
          <w:bCs/>
          <w:sz w:val="22"/>
          <w:szCs w:val="22"/>
          <w:lang w:val="sr-Latn-ME"/>
        </w:rPr>
      </w:pPr>
      <w:r w:rsidRPr="00246D8C">
        <w:rPr>
          <w:sz w:val="22"/>
          <w:szCs w:val="22"/>
          <w:lang w:val="sr-Latn-ME"/>
        </w:rPr>
        <w:t>Onglyza, 5 mg, film tableta</w:t>
      </w:r>
    </w:p>
    <w:p w14:paraId="1FDB5E26" w14:textId="77777777" w:rsidR="00A01575" w:rsidRPr="00246D8C" w:rsidRDefault="00A01575" w:rsidP="006D20A5">
      <w:pPr>
        <w:rPr>
          <w:sz w:val="22"/>
          <w:szCs w:val="22"/>
          <w:lang w:val="sr-Latn-ME"/>
        </w:rPr>
      </w:pPr>
    </w:p>
    <w:p w14:paraId="5CBCD77D" w14:textId="55224C71" w:rsidR="006D20A5" w:rsidRPr="00246D8C" w:rsidRDefault="006D20A5" w:rsidP="006D20A5">
      <w:pPr>
        <w:rPr>
          <w:sz w:val="22"/>
          <w:szCs w:val="22"/>
          <w:lang w:val="sr-Latn-ME"/>
        </w:rPr>
      </w:pPr>
      <w:r w:rsidRPr="00246D8C">
        <w:rPr>
          <w:sz w:val="22"/>
          <w:szCs w:val="22"/>
          <w:lang w:val="sr-Latn-ME"/>
        </w:rPr>
        <w:t>INN:</w:t>
      </w:r>
      <w:r w:rsidR="001753B1" w:rsidRPr="00246D8C">
        <w:rPr>
          <w:sz w:val="22"/>
          <w:szCs w:val="22"/>
          <w:lang w:val="sr-Latn-ME"/>
        </w:rPr>
        <w:t xml:space="preserve"> saksagliptin</w:t>
      </w:r>
    </w:p>
    <w:p w14:paraId="53A3ABC1" w14:textId="77777777" w:rsidR="006D20A5" w:rsidRPr="00246D8C" w:rsidRDefault="006D20A5">
      <w:pPr>
        <w:rPr>
          <w:bCs/>
          <w:sz w:val="22"/>
          <w:szCs w:val="22"/>
          <w:lang w:val="sr-Latn-ME"/>
        </w:rPr>
      </w:pPr>
    </w:p>
    <w:p w14:paraId="4900E0AE" w14:textId="77777777" w:rsidR="00530BD7" w:rsidRPr="00246D8C" w:rsidRDefault="00530BD7">
      <w:pPr>
        <w:rPr>
          <w:bCs/>
          <w:sz w:val="22"/>
          <w:szCs w:val="22"/>
          <w:lang w:val="sr-Latn-ME"/>
        </w:rPr>
      </w:pPr>
    </w:p>
    <w:p w14:paraId="41B85DAF" w14:textId="77777777" w:rsidR="00411B4B" w:rsidRPr="00246D8C" w:rsidRDefault="00411B4B" w:rsidP="00F5167F">
      <w:pPr>
        <w:tabs>
          <w:tab w:val="left" w:pos="540"/>
          <w:tab w:val="left" w:pos="569"/>
        </w:tabs>
        <w:rPr>
          <w:b/>
          <w:bCs/>
          <w:sz w:val="22"/>
          <w:szCs w:val="22"/>
          <w:lang w:val="sr-Latn-ME"/>
        </w:rPr>
      </w:pPr>
      <w:r w:rsidRPr="00246D8C">
        <w:rPr>
          <w:b/>
          <w:bCs/>
          <w:sz w:val="22"/>
          <w:szCs w:val="22"/>
          <w:lang w:val="sr-Latn-ME"/>
        </w:rPr>
        <w:t xml:space="preserve">2. </w:t>
      </w:r>
      <w:r w:rsidR="00F5167F" w:rsidRPr="00246D8C">
        <w:rPr>
          <w:b/>
          <w:bCs/>
          <w:sz w:val="22"/>
          <w:szCs w:val="22"/>
          <w:lang w:val="sr-Latn-ME"/>
        </w:rPr>
        <w:tab/>
      </w:r>
      <w:r w:rsidRPr="00246D8C">
        <w:rPr>
          <w:b/>
          <w:bCs/>
          <w:sz w:val="22"/>
          <w:szCs w:val="22"/>
          <w:lang w:val="sr-Latn-ME"/>
        </w:rPr>
        <w:t>KVALITATIVNI I KVANTITATIVNI SASTAV</w:t>
      </w:r>
    </w:p>
    <w:p w14:paraId="58EEE0AF" w14:textId="6B76CA55" w:rsidR="005A0B2E" w:rsidRPr="00246D8C" w:rsidRDefault="005A0B2E">
      <w:pPr>
        <w:rPr>
          <w:sz w:val="22"/>
          <w:szCs w:val="22"/>
          <w:lang w:val="sr-Latn-ME"/>
        </w:rPr>
      </w:pPr>
    </w:p>
    <w:p w14:paraId="7697A531" w14:textId="2C5176D4" w:rsidR="001753B1" w:rsidRPr="00246D8C" w:rsidRDefault="001753B1" w:rsidP="001753B1">
      <w:pPr>
        <w:tabs>
          <w:tab w:val="left" w:pos="284"/>
        </w:tabs>
        <w:jc w:val="both"/>
        <w:rPr>
          <w:iCs/>
          <w:sz w:val="22"/>
          <w:szCs w:val="22"/>
          <w:lang w:val="sr-Latn-ME"/>
        </w:rPr>
      </w:pPr>
      <w:r w:rsidRPr="00246D8C">
        <w:rPr>
          <w:iCs/>
          <w:sz w:val="22"/>
          <w:szCs w:val="22"/>
          <w:lang w:val="sr-Latn-ME"/>
        </w:rPr>
        <w:t>Svaka film tableta sadrži</w:t>
      </w:r>
      <w:r w:rsidR="006702E5" w:rsidRPr="00246D8C">
        <w:rPr>
          <w:iCs/>
          <w:sz w:val="22"/>
          <w:szCs w:val="22"/>
          <w:lang w:val="sr-Latn-ME"/>
        </w:rPr>
        <w:t xml:space="preserve"> </w:t>
      </w:r>
      <w:r w:rsidRPr="00246D8C">
        <w:rPr>
          <w:iCs/>
          <w:sz w:val="22"/>
          <w:szCs w:val="22"/>
          <w:lang w:val="sr-Latn-ME"/>
        </w:rPr>
        <w:t>5 mg saksagliptina (u obliku saksagliptin hidrohlorida).</w:t>
      </w:r>
    </w:p>
    <w:p w14:paraId="32A9366C" w14:textId="77777777" w:rsidR="001753B1" w:rsidRPr="00246D8C" w:rsidRDefault="001753B1" w:rsidP="001753B1">
      <w:pPr>
        <w:tabs>
          <w:tab w:val="left" w:pos="284"/>
        </w:tabs>
        <w:jc w:val="both"/>
        <w:rPr>
          <w:sz w:val="22"/>
          <w:szCs w:val="22"/>
          <w:lang w:val="sr-Latn-ME"/>
        </w:rPr>
      </w:pPr>
    </w:p>
    <w:p w14:paraId="20999D2F" w14:textId="77777777" w:rsidR="001753B1" w:rsidRPr="00246D8C" w:rsidRDefault="001753B1" w:rsidP="001753B1">
      <w:pPr>
        <w:tabs>
          <w:tab w:val="left" w:pos="284"/>
        </w:tabs>
        <w:jc w:val="both"/>
        <w:rPr>
          <w:iCs/>
          <w:sz w:val="22"/>
          <w:szCs w:val="22"/>
          <w:lang w:val="sr-Latn-ME"/>
        </w:rPr>
      </w:pPr>
      <w:r w:rsidRPr="00246D8C">
        <w:rPr>
          <w:iCs/>
          <w:sz w:val="22"/>
          <w:szCs w:val="22"/>
          <w:lang w:val="sr-Latn-ME"/>
        </w:rPr>
        <w:t>Pomoćne supstance sa poznatim dejstvom:</w:t>
      </w:r>
    </w:p>
    <w:p w14:paraId="63869CE8" w14:textId="2E6C4075" w:rsidR="003D48C9" w:rsidRPr="00246D8C" w:rsidRDefault="001753B1" w:rsidP="001753B1">
      <w:pPr>
        <w:tabs>
          <w:tab w:val="left" w:pos="284"/>
        </w:tabs>
        <w:jc w:val="both"/>
        <w:rPr>
          <w:iCs/>
          <w:sz w:val="22"/>
          <w:szCs w:val="22"/>
          <w:lang w:val="sr-Latn-ME"/>
        </w:rPr>
      </w:pPr>
      <w:r w:rsidRPr="00246D8C">
        <w:rPr>
          <w:iCs/>
          <w:sz w:val="22"/>
          <w:szCs w:val="22"/>
          <w:lang w:val="sr-Latn-ME"/>
        </w:rPr>
        <w:t>Svaka tableta sadrži 99 mg laktoz</w:t>
      </w:r>
      <w:r w:rsidR="00A01575" w:rsidRPr="00246D8C">
        <w:rPr>
          <w:iCs/>
          <w:sz w:val="22"/>
          <w:szCs w:val="22"/>
          <w:lang w:val="sr-Latn-ME"/>
        </w:rPr>
        <w:t>e</w:t>
      </w:r>
      <w:r w:rsidRPr="00246D8C">
        <w:rPr>
          <w:iCs/>
          <w:sz w:val="22"/>
          <w:szCs w:val="22"/>
          <w:lang w:val="sr-Latn-ME"/>
        </w:rPr>
        <w:t xml:space="preserve"> </w:t>
      </w:r>
      <w:r w:rsidR="00882533" w:rsidRPr="00246D8C">
        <w:rPr>
          <w:iCs/>
          <w:sz w:val="22"/>
          <w:szCs w:val="22"/>
          <w:lang w:val="sr-Latn-ME"/>
        </w:rPr>
        <w:t>(u oblliku laktoza-monohidrata)</w:t>
      </w:r>
      <w:r w:rsidRPr="00246D8C">
        <w:rPr>
          <w:iCs/>
          <w:sz w:val="22"/>
          <w:szCs w:val="22"/>
          <w:lang w:val="sr-Latn-ME"/>
        </w:rPr>
        <w:t>.</w:t>
      </w:r>
    </w:p>
    <w:p w14:paraId="5F2E78CE" w14:textId="77777777" w:rsidR="0003793F" w:rsidRPr="00246D8C" w:rsidRDefault="0003793F" w:rsidP="00A01575">
      <w:pPr>
        <w:rPr>
          <w:sz w:val="22"/>
          <w:szCs w:val="22"/>
          <w:lang w:val="sr-Latn-ME"/>
        </w:rPr>
      </w:pPr>
      <w:r w:rsidRPr="00246D8C">
        <w:rPr>
          <w:sz w:val="22"/>
          <w:szCs w:val="22"/>
          <w:lang w:val="sr-Latn-ME"/>
        </w:rPr>
        <w:t>Za spisak svih ekscipijenasa, pogledati dio 6.1.</w:t>
      </w:r>
    </w:p>
    <w:p w14:paraId="14DD71DF" w14:textId="77777777" w:rsidR="0003793F" w:rsidRPr="00246D8C" w:rsidRDefault="0003793F">
      <w:pPr>
        <w:rPr>
          <w:sz w:val="22"/>
          <w:szCs w:val="22"/>
          <w:lang w:val="sr-Latn-ME"/>
        </w:rPr>
      </w:pPr>
    </w:p>
    <w:p w14:paraId="0E66353B" w14:textId="77777777" w:rsidR="00C37FD7" w:rsidRPr="00246D8C" w:rsidRDefault="00C37FD7">
      <w:pPr>
        <w:rPr>
          <w:sz w:val="22"/>
          <w:szCs w:val="22"/>
          <w:lang w:val="sr-Latn-ME"/>
        </w:rPr>
      </w:pPr>
    </w:p>
    <w:p w14:paraId="0214DB46" w14:textId="4FCD71B6" w:rsidR="00411B4B" w:rsidRPr="00246D8C" w:rsidRDefault="00411B4B" w:rsidP="00F5167F">
      <w:pPr>
        <w:tabs>
          <w:tab w:val="left" w:pos="540"/>
          <w:tab w:val="left" w:pos="569"/>
        </w:tabs>
        <w:rPr>
          <w:b/>
          <w:bCs/>
          <w:sz w:val="22"/>
          <w:szCs w:val="22"/>
          <w:lang w:val="sr-Latn-ME"/>
        </w:rPr>
      </w:pPr>
      <w:r w:rsidRPr="00246D8C">
        <w:rPr>
          <w:b/>
          <w:bCs/>
          <w:sz w:val="22"/>
          <w:szCs w:val="22"/>
          <w:lang w:val="sr-Latn-ME"/>
        </w:rPr>
        <w:t xml:space="preserve">3. </w:t>
      </w:r>
      <w:r w:rsidR="00F5167F" w:rsidRPr="00246D8C">
        <w:rPr>
          <w:b/>
          <w:bCs/>
          <w:sz w:val="22"/>
          <w:szCs w:val="22"/>
          <w:lang w:val="sr-Latn-ME"/>
        </w:rPr>
        <w:tab/>
      </w:r>
      <w:r w:rsidRPr="00246D8C">
        <w:rPr>
          <w:b/>
          <w:bCs/>
          <w:sz w:val="22"/>
          <w:szCs w:val="22"/>
          <w:lang w:val="sr-Latn-ME"/>
        </w:rPr>
        <w:t>FARMACEUTSKI OBLIK</w:t>
      </w:r>
      <w:r w:rsidR="009F2D23" w:rsidRPr="00246D8C">
        <w:rPr>
          <w:b/>
          <w:bCs/>
          <w:sz w:val="22"/>
          <w:szCs w:val="22"/>
          <w:lang w:val="sr-Latn-ME"/>
        </w:rPr>
        <w:t xml:space="preserve"> </w:t>
      </w:r>
    </w:p>
    <w:p w14:paraId="17903760" w14:textId="77777777" w:rsidR="001753B1" w:rsidRPr="00246D8C" w:rsidRDefault="001753B1" w:rsidP="00F5167F">
      <w:pPr>
        <w:tabs>
          <w:tab w:val="left" w:pos="540"/>
          <w:tab w:val="left" w:pos="569"/>
        </w:tabs>
        <w:rPr>
          <w:b/>
          <w:bCs/>
          <w:sz w:val="22"/>
          <w:szCs w:val="22"/>
          <w:lang w:val="sr-Latn-ME"/>
        </w:rPr>
      </w:pPr>
    </w:p>
    <w:p w14:paraId="5617BAAE" w14:textId="77777777" w:rsidR="001753B1" w:rsidRPr="00246D8C" w:rsidRDefault="001753B1" w:rsidP="001753B1">
      <w:pPr>
        <w:tabs>
          <w:tab w:val="left" w:pos="284"/>
        </w:tabs>
        <w:autoSpaceDE w:val="0"/>
        <w:autoSpaceDN w:val="0"/>
        <w:adjustRightInd w:val="0"/>
        <w:jc w:val="both"/>
        <w:rPr>
          <w:sz w:val="22"/>
          <w:szCs w:val="22"/>
          <w:lang w:val="sr-Latn-ME"/>
        </w:rPr>
      </w:pPr>
      <w:r w:rsidRPr="00246D8C">
        <w:rPr>
          <w:sz w:val="22"/>
          <w:szCs w:val="22"/>
          <w:lang w:val="sr-Latn-ME"/>
        </w:rPr>
        <w:t>Film tableta (tableta).</w:t>
      </w:r>
    </w:p>
    <w:p w14:paraId="67618185" w14:textId="77777777" w:rsidR="001753B1" w:rsidRPr="00246D8C" w:rsidRDefault="001753B1" w:rsidP="001753B1">
      <w:pPr>
        <w:tabs>
          <w:tab w:val="left" w:pos="284"/>
        </w:tabs>
        <w:autoSpaceDE w:val="0"/>
        <w:autoSpaceDN w:val="0"/>
        <w:adjustRightInd w:val="0"/>
        <w:jc w:val="both"/>
        <w:rPr>
          <w:sz w:val="22"/>
          <w:szCs w:val="22"/>
          <w:lang w:val="sr-Latn-ME"/>
        </w:rPr>
      </w:pPr>
    </w:p>
    <w:p w14:paraId="22B2C321" w14:textId="0BA644A6" w:rsidR="001753B1" w:rsidRPr="00246D8C" w:rsidRDefault="001753B1" w:rsidP="001753B1">
      <w:pPr>
        <w:tabs>
          <w:tab w:val="left" w:pos="284"/>
        </w:tabs>
        <w:rPr>
          <w:sz w:val="22"/>
          <w:szCs w:val="22"/>
          <w:lang w:val="sr-Latn-ME"/>
        </w:rPr>
      </w:pPr>
      <w:r w:rsidRPr="00246D8C">
        <w:rPr>
          <w:sz w:val="22"/>
          <w:szCs w:val="22"/>
          <w:lang w:val="sr-Latn-ME"/>
        </w:rPr>
        <w:t>Okrugle, bikonveksne film tablete ružičaste boje sa odštampanom oznakom “5” na jednoj strani i</w:t>
      </w:r>
      <w:r w:rsidR="006702E5" w:rsidRPr="00246D8C">
        <w:rPr>
          <w:sz w:val="22"/>
          <w:szCs w:val="22"/>
          <w:lang w:val="sr-Latn-ME"/>
        </w:rPr>
        <w:t xml:space="preserve"> </w:t>
      </w:r>
      <w:r w:rsidRPr="00246D8C">
        <w:rPr>
          <w:sz w:val="22"/>
          <w:szCs w:val="22"/>
          <w:lang w:val="sr-Latn-ME"/>
        </w:rPr>
        <w:t>“4215” na drugoj strani tablete mastilom plave boje.</w:t>
      </w:r>
    </w:p>
    <w:p w14:paraId="752CC0CD" w14:textId="77777777" w:rsidR="00411B4B" w:rsidRPr="00246D8C" w:rsidRDefault="00411B4B">
      <w:pPr>
        <w:rPr>
          <w:bCs/>
          <w:sz w:val="22"/>
          <w:szCs w:val="22"/>
          <w:lang w:val="sr-Latn-ME"/>
        </w:rPr>
      </w:pPr>
    </w:p>
    <w:p w14:paraId="50ED7767" w14:textId="77777777" w:rsidR="00EC2532" w:rsidRPr="00246D8C" w:rsidRDefault="00EC2532">
      <w:pPr>
        <w:rPr>
          <w:bCs/>
          <w:sz w:val="22"/>
          <w:szCs w:val="22"/>
          <w:lang w:val="sr-Latn-ME"/>
        </w:rPr>
      </w:pPr>
    </w:p>
    <w:p w14:paraId="410A8FCC" w14:textId="77777777" w:rsidR="00411B4B" w:rsidRPr="00246D8C" w:rsidRDefault="00411B4B" w:rsidP="002D73AD">
      <w:pPr>
        <w:tabs>
          <w:tab w:val="left" w:pos="540"/>
          <w:tab w:val="left" w:pos="569"/>
        </w:tabs>
        <w:jc w:val="both"/>
        <w:rPr>
          <w:b/>
          <w:bCs/>
          <w:sz w:val="22"/>
          <w:szCs w:val="22"/>
          <w:lang w:val="sr-Latn-ME"/>
        </w:rPr>
      </w:pPr>
      <w:r w:rsidRPr="00246D8C">
        <w:rPr>
          <w:b/>
          <w:bCs/>
          <w:sz w:val="22"/>
          <w:szCs w:val="22"/>
          <w:lang w:val="sr-Latn-ME"/>
        </w:rPr>
        <w:t xml:space="preserve">4. </w:t>
      </w:r>
      <w:r w:rsidR="00480FB1" w:rsidRPr="00246D8C">
        <w:rPr>
          <w:b/>
          <w:bCs/>
          <w:sz w:val="22"/>
          <w:szCs w:val="22"/>
          <w:lang w:val="sr-Latn-ME"/>
        </w:rPr>
        <w:tab/>
      </w:r>
      <w:r w:rsidRPr="00246D8C">
        <w:rPr>
          <w:b/>
          <w:bCs/>
          <w:sz w:val="22"/>
          <w:szCs w:val="22"/>
          <w:lang w:val="sr-Latn-ME"/>
        </w:rPr>
        <w:t>KLINIČKI PODACI</w:t>
      </w:r>
    </w:p>
    <w:p w14:paraId="4D3B55BB" w14:textId="77777777" w:rsidR="00CD6F02" w:rsidRPr="00246D8C" w:rsidRDefault="00CD6F02" w:rsidP="002D73AD">
      <w:pPr>
        <w:tabs>
          <w:tab w:val="left" w:pos="540"/>
          <w:tab w:val="left" w:pos="569"/>
        </w:tabs>
        <w:jc w:val="both"/>
        <w:rPr>
          <w:bCs/>
          <w:sz w:val="22"/>
          <w:szCs w:val="22"/>
          <w:lang w:val="sr-Latn-ME"/>
        </w:rPr>
      </w:pPr>
    </w:p>
    <w:p w14:paraId="7854D1DA" w14:textId="77777777" w:rsidR="00411B4B" w:rsidRPr="00246D8C" w:rsidRDefault="00411B4B" w:rsidP="002D73AD">
      <w:pPr>
        <w:tabs>
          <w:tab w:val="left" w:pos="540"/>
          <w:tab w:val="left" w:pos="569"/>
        </w:tabs>
        <w:jc w:val="both"/>
        <w:rPr>
          <w:b/>
          <w:bCs/>
          <w:sz w:val="22"/>
          <w:szCs w:val="22"/>
          <w:lang w:val="sr-Latn-ME"/>
        </w:rPr>
      </w:pPr>
      <w:r w:rsidRPr="00246D8C">
        <w:rPr>
          <w:b/>
          <w:bCs/>
          <w:sz w:val="22"/>
          <w:szCs w:val="22"/>
          <w:lang w:val="sr-Latn-ME"/>
        </w:rPr>
        <w:t xml:space="preserve">4.1. </w:t>
      </w:r>
      <w:r w:rsidR="00480FB1" w:rsidRPr="00246D8C">
        <w:rPr>
          <w:b/>
          <w:bCs/>
          <w:sz w:val="22"/>
          <w:szCs w:val="22"/>
          <w:lang w:val="sr-Latn-ME"/>
        </w:rPr>
        <w:tab/>
      </w:r>
      <w:r w:rsidRPr="00246D8C">
        <w:rPr>
          <w:b/>
          <w:bCs/>
          <w:sz w:val="22"/>
          <w:szCs w:val="22"/>
          <w:lang w:val="sr-Latn-ME"/>
        </w:rPr>
        <w:t>Terapijske indikacije</w:t>
      </w:r>
    </w:p>
    <w:p w14:paraId="6903A01D" w14:textId="2F958587" w:rsidR="00411B4B" w:rsidRPr="00246D8C" w:rsidRDefault="00411B4B" w:rsidP="002D73AD">
      <w:pPr>
        <w:tabs>
          <w:tab w:val="left" w:pos="540"/>
          <w:tab w:val="left" w:pos="569"/>
        </w:tabs>
        <w:jc w:val="both"/>
        <w:rPr>
          <w:bCs/>
          <w:sz w:val="22"/>
          <w:szCs w:val="22"/>
          <w:lang w:val="sr-Latn-ME"/>
        </w:rPr>
      </w:pPr>
    </w:p>
    <w:p w14:paraId="7379C6C0" w14:textId="04A45AE4" w:rsidR="001753B1" w:rsidRPr="00246D8C" w:rsidRDefault="001753B1" w:rsidP="006A7219">
      <w:pPr>
        <w:tabs>
          <w:tab w:val="left" w:pos="284"/>
        </w:tabs>
        <w:jc w:val="both"/>
        <w:rPr>
          <w:sz w:val="22"/>
          <w:szCs w:val="22"/>
          <w:lang w:val="sr-Latn-ME"/>
        </w:rPr>
      </w:pPr>
      <w:r w:rsidRPr="00246D8C">
        <w:rPr>
          <w:sz w:val="22"/>
          <w:szCs w:val="22"/>
          <w:lang w:val="sr-Latn-ME"/>
        </w:rPr>
        <w:t xml:space="preserve">Lijek Onglyza je indikovan kod odraslih pacijenata sa dijabetesom </w:t>
      </w:r>
      <w:r w:rsidR="0055056E" w:rsidRPr="00246D8C">
        <w:rPr>
          <w:sz w:val="22"/>
          <w:szCs w:val="22"/>
          <w:lang w:val="sr-Latn-ME"/>
        </w:rPr>
        <w:t xml:space="preserve">melitusom </w:t>
      </w:r>
      <w:r w:rsidRPr="00246D8C">
        <w:rPr>
          <w:sz w:val="22"/>
          <w:szCs w:val="22"/>
          <w:lang w:val="sr-Latn-ME"/>
        </w:rPr>
        <w:t xml:space="preserve">tipa 2 kao dodatak ishrani i </w:t>
      </w:r>
      <w:r w:rsidR="006702E5" w:rsidRPr="00246D8C">
        <w:rPr>
          <w:sz w:val="22"/>
          <w:szCs w:val="22"/>
          <w:lang w:val="sr-Latn-ME"/>
        </w:rPr>
        <w:t>fizičkoj aktivnosti</w:t>
      </w:r>
      <w:r w:rsidRPr="00246D8C">
        <w:rPr>
          <w:sz w:val="22"/>
          <w:szCs w:val="22"/>
          <w:lang w:val="sr-Latn-ME"/>
        </w:rPr>
        <w:t xml:space="preserve"> za bolju kontrolu glikemije:</w:t>
      </w:r>
    </w:p>
    <w:p w14:paraId="09F8F353" w14:textId="77777777" w:rsidR="001753B1" w:rsidRPr="00246D8C" w:rsidRDefault="001753B1" w:rsidP="003C0336">
      <w:pPr>
        <w:tabs>
          <w:tab w:val="left" w:pos="284"/>
        </w:tabs>
        <w:jc w:val="both"/>
        <w:rPr>
          <w:sz w:val="22"/>
          <w:szCs w:val="22"/>
          <w:lang w:val="sr-Latn-ME"/>
        </w:rPr>
      </w:pPr>
    </w:p>
    <w:p w14:paraId="4640D2B7" w14:textId="6239BA47" w:rsidR="001753B1" w:rsidRPr="00246D8C" w:rsidRDefault="001753B1" w:rsidP="003C0336">
      <w:pPr>
        <w:numPr>
          <w:ilvl w:val="0"/>
          <w:numId w:val="12"/>
        </w:numPr>
        <w:tabs>
          <w:tab w:val="left" w:pos="284"/>
          <w:tab w:val="num" w:pos="567"/>
        </w:tabs>
        <w:spacing w:line="260" w:lineRule="exact"/>
        <w:ind w:left="567" w:right="-2" w:hanging="567"/>
        <w:jc w:val="both"/>
        <w:rPr>
          <w:sz w:val="22"/>
          <w:szCs w:val="22"/>
          <w:lang w:val="sr-Latn-ME"/>
        </w:rPr>
      </w:pPr>
      <w:r w:rsidRPr="00246D8C">
        <w:rPr>
          <w:sz w:val="22"/>
          <w:szCs w:val="22"/>
          <w:lang w:val="sr-Latn-ME"/>
        </w:rPr>
        <w:t>Kao monoterapija kada metformin nije prim</w:t>
      </w:r>
      <w:r w:rsidR="006702E5" w:rsidRPr="00246D8C">
        <w:rPr>
          <w:sz w:val="22"/>
          <w:szCs w:val="22"/>
          <w:lang w:val="sr-Latn-ME"/>
        </w:rPr>
        <w:t>j</w:t>
      </w:r>
      <w:r w:rsidRPr="00246D8C">
        <w:rPr>
          <w:sz w:val="22"/>
          <w:szCs w:val="22"/>
          <w:lang w:val="sr-Latn-ME"/>
        </w:rPr>
        <w:t>enljiv zbog intolerancije ili kontraindikacija.</w:t>
      </w:r>
    </w:p>
    <w:p w14:paraId="3FE0920B" w14:textId="122B0B07" w:rsidR="001753B1" w:rsidRPr="00246D8C" w:rsidRDefault="001753B1" w:rsidP="00AE24EE">
      <w:pPr>
        <w:numPr>
          <w:ilvl w:val="0"/>
          <w:numId w:val="12"/>
        </w:numPr>
        <w:tabs>
          <w:tab w:val="left" w:pos="284"/>
          <w:tab w:val="num" w:pos="567"/>
        </w:tabs>
        <w:spacing w:line="260" w:lineRule="exact"/>
        <w:ind w:left="567" w:right="-2" w:hanging="567"/>
        <w:jc w:val="both"/>
        <w:rPr>
          <w:sz w:val="22"/>
          <w:szCs w:val="22"/>
          <w:lang w:val="sr-Latn-ME"/>
        </w:rPr>
      </w:pPr>
      <w:r w:rsidRPr="00246D8C">
        <w:rPr>
          <w:sz w:val="22"/>
          <w:szCs w:val="22"/>
          <w:lang w:val="sr-Latn-ME"/>
        </w:rPr>
        <w:t>U kombinaciji sa drugim l</w:t>
      </w:r>
      <w:r w:rsidR="006702E5" w:rsidRPr="00246D8C">
        <w:rPr>
          <w:sz w:val="22"/>
          <w:szCs w:val="22"/>
          <w:lang w:val="sr-Latn-ME"/>
        </w:rPr>
        <w:t>j</w:t>
      </w:r>
      <w:r w:rsidRPr="00246D8C">
        <w:rPr>
          <w:sz w:val="22"/>
          <w:szCs w:val="22"/>
          <w:lang w:val="sr-Latn-ME"/>
        </w:rPr>
        <w:t>ekovima za l</w:t>
      </w:r>
      <w:r w:rsidR="006702E5" w:rsidRPr="00246D8C">
        <w:rPr>
          <w:sz w:val="22"/>
          <w:szCs w:val="22"/>
          <w:lang w:val="sr-Latn-ME"/>
        </w:rPr>
        <w:t>ij</w:t>
      </w:r>
      <w:r w:rsidRPr="00246D8C">
        <w:rPr>
          <w:sz w:val="22"/>
          <w:szCs w:val="22"/>
          <w:lang w:val="sr-Latn-ME"/>
        </w:rPr>
        <w:t>ečenje dijabetesa, uključujući insulin kada o</w:t>
      </w:r>
      <w:r w:rsidR="006702E5" w:rsidRPr="00246D8C">
        <w:rPr>
          <w:sz w:val="22"/>
          <w:szCs w:val="22"/>
          <w:lang w:val="sr-Latn-ME"/>
        </w:rPr>
        <w:t>ni</w:t>
      </w:r>
      <w:r w:rsidRPr="00246D8C">
        <w:rPr>
          <w:sz w:val="22"/>
          <w:szCs w:val="22"/>
          <w:lang w:val="sr-Latn-ME"/>
        </w:rPr>
        <w:t xml:space="preserve"> ne obezbjeđuje adekvatnu kontrolu glikemije (vidjeti </w:t>
      </w:r>
      <w:r w:rsidR="006702E5" w:rsidRPr="00246D8C">
        <w:rPr>
          <w:sz w:val="22"/>
          <w:szCs w:val="22"/>
          <w:lang w:val="sr-Latn-ME"/>
        </w:rPr>
        <w:t>djelove</w:t>
      </w:r>
      <w:r w:rsidRPr="00246D8C">
        <w:rPr>
          <w:sz w:val="22"/>
          <w:szCs w:val="22"/>
          <w:lang w:val="sr-Latn-ME"/>
        </w:rPr>
        <w:t xml:space="preserve"> 4.4, 4.5 i 5.1 za dostupne podatke o različitim kombinacijama).</w:t>
      </w:r>
    </w:p>
    <w:p w14:paraId="163054CD" w14:textId="77777777" w:rsidR="001753B1" w:rsidRPr="00246D8C" w:rsidRDefault="001753B1" w:rsidP="002D73AD">
      <w:pPr>
        <w:tabs>
          <w:tab w:val="left" w:pos="540"/>
          <w:tab w:val="left" w:pos="569"/>
        </w:tabs>
        <w:jc w:val="both"/>
        <w:rPr>
          <w:bCs/>
          <w:sz w:val="22"/>
          <w:szCs w:val="22"/>
          <w:lang w:val="sr-Latn-ME"/>
        </w:rPr>
      </w:pPr>
    </w:p>
    <w:p w14:paraId="4B22658E" w14:textId="77777777" w:rsidR="00411B4B" w:rsidRPr="00246D8C" w:rsidRDefault="00411B4B" w:rsidP="002D73AD">
      <w:pPr>
        <w:tabs>
          <w:tab w:val="left" w:pos="540"/>
          <w:tab w:val="left" w:pos="569"/>
        </w:tabs>
        <w:jc w:val="both"/>
        <w:rPr>
          <w:b/>
          <w:bCs/>
          <w:sz w:val="22"/>
          <w:szCs w:val="22"/>
          <w:lang w:val="sr-Latn-ME"/>
        </w:rPr>
      </w:pPr>
      <w:r w:rsidRPr="00246D8C">
        <w:rPr>
          <w:b/>
          <w:bCs/>
          <w:sz w:val="22"/>
          <w:szCs w:val="22"/>
          <w:lang w:val="sr-Latn-ME"/>
        </w:rPr>
        <w:t xml:space="preserve">4.2. </w:t>
      </w:r>
      <w:r w:rsidR="00480FB1" w:rsidRPr="00246D8C">
        <w:rPr>
          <w:b/>
          <w:bCs/>
          <w:sz w:val="22"/>
          <w:szCs w:val="22"/>
          <w:lang w:val="sr-Latn-ME"/>
        </w:rPr>
        <w:tab/>
      </w:r>
      <w:r w:rsidRPr="00246D8C">
        <w:rPr>
          <w:b/>
          <w:bCs/>
          <w:sz w:val="22"/>
          <w:szCs w:val="22"/>
          <w:lang w:val="sr-Latn-ME"/>
        </w:rPr>
        <w:t>Doziranje i način primjene</w:t>
      </w:r>
    </w:p>
    <w:p w14:paraId="019EDD72" w14:textId="7647FCC0" w:rsidR="0072020E" w:rsidRPr="00246D8C" w:rsidRDefault="0072020E" w:rsidP="002D73AD">
      <w:pPr>
        <w:tabs>
          <w:tab w:val="left" w:pos="540"/>
          <w:tab w:val="left" w:pos="569"/>
        </w:tabs>
        <w:jc w:val="both"/>
        <w:rPr>
          <w:bCs/>
          <w:sz w:val="22"/>
          <w:szCs w:val="22"/>
          <w:lang w:val="sr-Latn-ME"/>
        </w:rPr>
      </w:pPr>
    </w:p>
    <w:p w14:paraId="6DCA250C" w14:textId="77777777" w:rsidR="001753B1" w:rsidRPr="00246D8C" w:rsidRDefault="001753B1" w:rsidP="002D73AD">
      <w:pPr>
        <w:tabs>
          <w:tab w:val="left" w:pos="540"/>
          <w:tab w:val="left" w:pos="569"/>
        </w:tabs>
        <w:jc w:val="both"/>
        <w:rPr>
          <w:bCs/>
          <w:sz w:val="22"/>
          <w:szCs w:val="22"/>
          <w:u w:val="single"/>
          <w:lang w:val="sr-Latn-ME"/>
        </w:rPr>
      </w:pPr>
      <w:r w:rsidRPr="00246D8C">
        <w:rPr>
          <w:bCs/>
          <w:sz w:val="22"/>
          <w:szCs w:val="22"/>
          <w:u w:val="single"/>
          <w:lang w:val="sr-Latn-ME"/>
        </w:rPr>
        <w:t>Doziranje</w:t>
      </w:r>
    </w:p>
    <w:p w14:paraId="7EFC3458" w14:textId="61C96058" w:rsidR="001753B1" w:rsidRPr="00246D8C" w:rsidRDefault="001753B1" w:rsidP="002D73AD">
      <w:pPr>
        <w:tabs>
          <w:tab w:val="left" w:pos="540"/>
          <w:tab w:val="left" w:pos="569"/>
        </w:tabs>
        <w:jc w:val="both"/>
        <w:rPr>
          <w:bCs/>
          <w:sz w:val="22"/>
          <w:szCs w:val="22"/>
          <w:lang w:val="sr-Latn-ME"/>
        </w:rPr>
      </w:pPr>
      <w:r w:rsidRPr="00246D8C">
        <w:rPr>
          <w:bCs/>
          <w:sz w:val="22"/>
          <w:szCs w:val="22"/>
          <w:lang w:val="sr-Latn-ME"/>
        </w:rPr>
        <w:t xml:space="preserve">Preporučena doza saksagliptina je 5 mg jednom dnevno. Kada se </w:t>
      </w:r>
      <w:r w:rsidR="006702E5" w:rsidRPr="00246D8C">
        <w:rPr>
          <w:bCs/>
          <w:sz w:val="22"/>
          <w:szCs w:val="22"/>
          <w:lang w:val="sr-Latn-ME"/>
        </w:rPr>
        <w:t xml:space="preserve">lijek </w:t>
      </w:r>
      <w:r w:rsidRPr="00246D8C">
        <w:rPr>
          <w:bCs/>
          <w:sz w:val="22"/>
          <w:szCs w:val="22"/>
          <w:lang w:val="sr-Latn-ME"/>
        </w:rPr>
        <w:t>Onglyza koristi u kombinaciji sa insulinom ili sulfonilureom, niža doza insulina ili sulfoniluree može biti potrebna da se smanji rizik od hipoglikemije (vidjeti dio 4.4).</w:t>
      </w:r>
    </w:p>
    <w:p w14:paraId="2C70FEE5" w14:textId="77777777" w:rsidR="001753B1" w:rsidRPr="00246D8C" w:rsidRDefault="001753B1" w:rsidP="002D73AD">
      <w:pPr>
        <w:tabs>
          <w:tab w:val="left" w:pos="540"/>
          <w:tab w:val="left" w:pos="569"/>
        </w:tabs>
        <w:jc w:val="both"/>
        <w:rPr>
          <w:bCs/>
          <w:sz w:val="22"/>
          <w:szCs w:val="22"/>
          <w:lang w:val="sr-Latn-ME"/>
        </w:rPr>
      </w:pPr>
    </w:p>
    <w:p w14:paraId="05EF5277" w14:textId="77777777" w:rsidR="001753B1" w:rsidRPr="00246D8C" w:rsidRDefault="001753B1" w:rsidP="002D73AD">
      <w:pPr>
        <w:tabs>
          <w:tab w:val="left" w:pos="540"/>
          <w:tab w:val="left" w:pos="569"/>
        </w:tabs>
        <w:jc w:val="both"/>
        <w:rPr>
          <w:bCs/>
          <w:sz w:val="22"/>
          <w:szCs w:val="22"/>
          <w:lang w:val="sr-Latn-ME"/>
        </w:rPr>
      </w:pPr>
      <w:r w:rsidRPr="00246D8C">
        <w:rPr>
          <w:bCs/>
          <w:sz w:val="22"/>
          <w:szCs w:val="22"/>
          <w:lang w:val="sr-Latn-ME"/>
        </w:rPr>
        <w:t>Bezbjednost i efikasnost saksagliptina kao trostruke oralne terapije u kombinaciji sa metforminom i tiazolidindionom, nije ustanovljena.</w:t>
      </w:r>
    </w:p>
    <w:p w14:paraId="49C2BE39" w14:textId="77777777" w:rsidR="00A01575" w:rsidRPr="00246D8C" w:rsidRDefault="00A01575" w:rsidP="002D73AD">
      <w:pPr>
        <w:tabs>
          <w:tab w:val="left" w:pos="540"/>
          <w:tab w:val="left" w:pos="569"/>
        </w:tabs>
        <w:jc w:val="both"/>
        <w:rPr>
          <w:bCs/>
          <w:sz w:val="22"/>
          <w:szCs w:val="22"/>
          <w:lang w:val="sr-Latn-ME"/>
        </w:rPr>
      </w:pPr>
    </w:p>
    <w:p w14:paraId="020670C5" w14:textId="77777777" w:rsidR="001753B1" w:rsidRPr="00246D8C" w:rsidRDefault="001753B1" w:rsidP="002D73AD">
      <w:pPr>
        <w:tabs>
          <w:tab w:val="left" w:pos="540"/>
          <w:tab w:val="left" w:pos="569"/>
        </w:tabs>
        <w:jc w:val="both"/>
        <w:rPr>
          <w:bCs/>
          <w:i/>
          <w:iCs/>
          <w:sz w:val="22"/>
          <w:szCs w:val="22"/>
          <w:lang w:val="sr-Latn-ME"/>
        </w:rPr>
      </w:pPr>
      <w:r w:rsidRPr="00246D8C">
        <w:rPr>
          <w:bCs/>
          <w:i/>
          <w:iCs/>
          <w:sz w:val="22"/>
          <w:szCs w:val="22"/>
          <w:lang w:val="sr-Latn-ME"/>
        </w:rPr>
        <w:t>Posebne populacije</w:t>
      </w:r>
    </w:p>
    <w:p w14:paraId="4C20DE07" w14:textId="1852C637" w:rsidR="001753B1" w:rsidRPr="00246D8C" w:rsidRDefault="001753B1" w:rsidP="002D73AD">
      <w:pPr>
        <w:tabs>
          <w:tab w:val="left" w:pos="540"/>
          <w:tab w:val="left" w:pos="569"/>
        </w:tabs>
        <w:jc w:val="both"/>
        <w:rPr>
          <w:bCs/>
          <w:i/>
          <w:iCs/>
          <w:sz w:val="22"/>
          <w:szCs w:val="22"/>
          <w:lang w:val="sr-Latn-ME"/>
        </w:rPr>
      </w:pPr>
      <w:r w:rsidRPr="00246D8C">
        <w:rPr>
          <w:bCs/>
          <w:i/>
          <w:iCs/>
          <w:sz w:val="22"/>
          <w:szCs w:val="22"/>
          <w:lang w:val="sr-Latn-ME"/>
        </w:rPr>
        <w:t>Starije</w:t>
      </w:r>
      <w:r w:rsidR="006702E5" w:rsidRPr="00246D8C">
        <w:rPr>
          <w:bCs/>
          <w:i/>
          <w:iCs/>
          <w:sz w:val="22"/>
          <w:szCs w:val="22"/>
          <w:lang w:val="sr-Latn-ME"/>
        </w:rPr>
        <w:t xml:space="preserve"> </w:t>
      </w:r>
      <w:r w:rsidRPr="00246D8C">
        <w:rPr>
          <w:bCs/>
          <w:i/>
          <w:iCs/>
          <w:sz w:val="22"/>
          <w:szCs w:val="22"/>
          <w:lang w:val="sr-Latn-ME"/>
        </w:rPr>
        <w:t>osobe</w:t>
      </w:r>
      <w:r w:rsidR="006702E5" w:rsidRPr="00246D8C">
        <w:rPr>
          <w:bCs/>
          <w:i/>
          <w:iCs/>
          <w:sz w:val="22"/>
          <w:szCs w:val="22"/>
          <w:lang w:val="sr-Latn-ME"/>
        </w:rPr>
        <w:t xml:space="preserve"> </w:t>
      </w:r>
      <w:r w:rsidRPr="00246D8C">
        <w:rPr>
          <w:bCs/>
          <w:i/>
          <w:iCs/>
          <w:sz w:val="22"/>
          <w:szCs w:val="22"/>
          <w:lang w:val="sr-Latn-ME"/>
        </w:rPr>
        <w:t>(≥ 65 godina)</w:t>
      </w:r>
    </w:p>
    <w:p w14:paraId="23F28FAF" w14:textId="62B36123" w:rsidR="001753B1" w:rsidRPr="00246D8C" w:rsidRDefault="001753B1" w:rsidP="002D73AD">
      <w:pPr>
        <w:tabs>
          <w:tab w:val="left" w:pos="540"/>
          <w:tab w:val="left" w:pos="569"/>
        </w:tabs>
        <w:jc w:val="both"/>
        <w:rPr>
          <w:bCs/>
          <w:sz w:val="22"/>
          <w:szCs w:val="22"/>
          <w:lang w:val="sr-Latn-ME"/>
        </w:rPr>
      </w:pPr>
      <w:r w:rsidRPr="00246D8C">
        <w:rPr>
          <w:bCs/>
          <w:sz w:val="22"/>
          <w:szCs w:val="22"/>
          <w:lang w:val="sr-Latn-ME"/>
        </w:rPr>
        <w:t>Nikakvo prilagođavanje doze se ne preporučuje samo na osnovu starosti (takođe vidjeti u d</w:t>
      </w:r>
      <w:r w:rsidR="006702E5" w:rsidRPr="00246D8C">
        <w:rPr>
          <w:bCs/>
          <w:sz w:val="22"/>
          <w:szCs w:val="22"/>
          <w:lang w:val="sr-Latn-ME"/>
        </w:rPr>
        <w:t>jelovima</w:t>
      </w:r>
      <w:r w:rsidRPr="00246D8C">
        <w:rPr>
          <w:bCs/>
          <w:sz w:val="22"/>
          <w:szCs w:val="22"/>
          <w:lang w:val="sr-Latn-ME"/>
        </w:rPr>
        <w:t xml:space="preserve"> 4.4, 5.1 i 5.2).</w:t>
      </w:r>
    </w:p>
    <w:p w14:paraId="16A264FE" w14:textId="77777777" w:rsidR="00FC56E3" w:rsidRPr="00246D8C" w:rsidRDefault="00FC56E3" w:rsidP="002D73AD">
      <w:pPr>
        <w:tabs>
          <w:tab w:val="left" w:pos="540"/>
          <w:tab w:val="left" w:pos="569"/>
        </w:tabs>
        <w:jc w:val="both"/>
        <w:rPr>
          <w:bCs/>
          <w:sz w:val="22"/>
          <w:szCs w:val="22"/>
          <w:lang w:val="sr-Latn-ME"/>
        </w:rPr>
      </w:pPr>
    </w:p>
    <w:p w14:paraId="6DCFCEAA" w14:textId="77777777" w:rsidR="003D48C9" w:rsidRPr="00246D8C" w:rsidRDefault="003D48C9" w:rsidP="002D73AD">
      <w:pPr>
        <w:tabs>
          <w:tab w:val="left" w:pos="540"/>
          <w:tab w:val="left" w:pos="569"/>
        </w:tabs>
        <w:jc w:val="both"/>
        <w:rPr>
          <w:bCs/>
          <w:i/>
          <w:iCs/>
          <w:sz w:val="22"/>
          <w:szCs w:val="22"/>
          <w:lang w:val="sr-Latn-ME"/>
        </w:rPr>
      </w:pPr>
      <w:r w:rsidRPr="00246D8C">
        <w:rPr>
          <w:bCs/>
          <w:i/>
          <w:iCs/>
          <w:sz w:val="22"/>
          <w:szCs w:val="22"/>
          <w:lang w:val="sr-Latn-ME"/>
        </w:rPr>
        <w:t>Oštećenje funkcije bubrega</w:t>
      </w:r>
    </w:p>
    <w:p w14:paraId="23EB4EDF" w14:textId="5EC3F229" w:rsidR="001753B1" w:rsidRPr="00246D8C" w:rsidRDefault="001753B1" w:rsidP="002D73AD">
      <w:pPr>
        <w:jc w:val="both"/>
        <w:rPr>
          <w:bCs/>
          <w:iCs/>
          <w:sz w:val="22"/>
          <w:szCs w:val="22"/>
          <w:lang w:val="sr-Latn-ME"/>
        </w:rPr>
      </w:pPr>
      <w:r w:rsidRPr="00246D8C">
        <w:rPr>
          <w:bCs/>
          <w:sz w:val="22"/>
          <w:szCs w:val="22"/>
          <w:lang w:val="sr-Latn-ME"/>
        </w:rPr>
        <w:t>Prilagođavanje doze se ne preporučuje kod pacijenata sa blagim oštećenjem bubrega</w:t>
      </w:r>
      <w:r w:rsidR="003D48C9" w:rsidRPr="00246D8C">
        <w:rPr>
          <w:bCs/>
          <w:sz w:val="22"/>
          <w:szCs w:val="22"/>
          <w:lang w:val="sr-Latn-ME"/>
        </w:rPr>
        <w:t xml:space="preserve"> </w:t>
      </w:r>
      <w:r w:rsidR="003D48C9" w:rsidRPr="00246D8C">
        <w:rPr>
          <w:bCs/>
          <w:iCs/>
          <w:sz w:val="22"/>
          <w:szCs w:val="22"/>
          <w:lang w:val="sr-Latn-ME"/>
        </w:rPr>
        <w:t>ili kod pacijenata sa umjerenim oštećenjem funkcije bubrega koji imaju</w:t>
      </w:r>
      <w:r w:rsidR="003D48C9" w:rsidRPr="00246D8C">
        <w:rPr>
          <w:rFonts w:eastAsia="TimesNewRoman"/>
          <w:color w:val="B6082E"/>
          <w:sz w:val="22"/>
          <w:szCs w:val="22"/>
          <w:lang w:val="sr-Latn-ME"/>
        </w:rPr>
        <w:t xml:space="preserve"> </w:t>
      </w:r>
      <w:r w:rsidR="003D48C9" w:rsidRPr="00246D8C">
        <w:rPr>
          <w:bCs/>
          <w:iCs/>
          <w:sz w:val="22"/>
          <w:szCs w:val="22"/>
          <w:lang w:val="sr-Latn-ME"/>
        </w:rPr>
        <w:t>GFR ≥ 45 m</w:t>
      </w:r>
      <w:r w:rsidR="006702E5" w:rsidRPr="00246D8C">
        <w:rPr>
          <w:bCs/>
          <w:iCs/>
          <w:sz w:val="22"/>
          <w:szCs w:val="22"/>
          <w:lang w:val="sr-Latn-ME"/>
        </w:rPr>
        <w:t>l</w:t>
      </w:r>
      <w:r w:rsidR="003D48C9" w:rsidRPr="00246D8C">
        <w:rPr>
          <w:bCs/>
          <w:iCs/>
          <w:sz w:val="22"/>
          <w:szCs w:val="22"/>
          <w:lang w:val="sr-Latn-ME"/>
        </w:rPr>
        <w:t xml:space="preserve">/min </w:t>
      </w:r>
    </w:p>
    <w:p w14:paraId="153D8B32" w14:textId="287CCE90" w:rsidR="001753B1" w:rsidRPr="00246D8C" w:rsidRDefault="001753B1" w:rsidP="002D73AD">
      <w:pPr>
        <w:tabs>
          <w:tab w:val="left" w:pos="540"/>
          <w:tab w:val="left" w:pos="569"/>
        </w:tabs>
        <w:jc w:val="both"/>
        <w:rPr>
          <w:bCs/>
          <w:sz w:val="22"/>
          <w:szCs w:val="22"/>
          <w:lang w:val="sr-Latn-ME"/>
        </w:rPr>
      </w:pPr>
      <w:r w:rsidRPr="00246D8C">
        <w:rPr>
          <w:bCs/>
          <w:sz w:val="22"/>
          <w:szCs w:val="22"/>
          <w:lang w:val="sr-Latn-ME"/>
        </w:rPr>
        <w:lastRenderedPageBreak/>
        <w:t xml:space="preserve">Dozu treba smanjiti na 2.5 mg jednom na dan kod pacijenata sa umjerenim oštećenjem </w:t>
      </w:r>
      <w:r w:rsidR="003D48C9" w:rsidRPr="00246D8C">
        <w:rPr>
          <w:bCs/>
          <w:sz w:val="22"/>
          <w:szCs w:val="22"/>
          <w:lang w:val="sr-Latn-ME"/>
        </w:rPr>
        <w:t xml:space="preserve">funkcije </w:t>
      </w:r>
      <w:r w:rsidRPr="00246D8C">
        <w:rPr>
          <w:bCs/>
          <w:sz w:val="22"/>
          <w:szCs w:val="22"/>
          <w:lang w:val="sr-Latn-ME"/>
        </w:rPr>
        <w:t>bubrega</w:t>
      </w:r>
      <w:r w:rsidR="003D48C9" w:rsidRPr="00246D8C">
        <w:rPr>
          <w:bCs/>
          <w:sz w:val="22"/>
          <w:szCs w:val="22"/>
          <w:lang w:val="sr-Latn-ME"/>
        </w:rPr>
        <w:t xml:space="preserve">, </w:t>
      </w:r>
      <w:r w:rsidR="003D48C9" w:rsidRPr="00246D8C">
        <w:rPr>
          <w:bCs/>
          <w:iCs/>
          <w:sz w:val="22"/>
          <w:szCs w:val="22"/>
          <w:lang w:val="sr-Latn-ME"/>
        </w:rPr>
        <w:t>koji imaju</w:t>
      </w:r>
      <w:r w:rsidR="003D48C9" w:rsidRPr="00246D8C">
        <w:rPr>
          <w:rFonts w:eastAsia="TimesNewRoman"/>
          <w:color w:val="B6082E"/>
          <w:sz w:val="22"/>
          <w:szCs w:val="22"/>
          <w:lang w:val="sr-Latn-ME"/>
        </w:rPr>
        <w:t xml:space="preserve"> </w:t>
      </w:r>
      <w:r w:rsidR="003D48C9" w:rsidRPr="00246D8C">
        <w:rPr>
          <w:bCs/>
          <w:iCs/>
          <w:sz w:val="22"/>
          <w:szCs w:val="22"/>
          <w:lang w:val="sr-Latn-ME"/>
        </w:rPr>
        <w:t>GFR &lt; 45 m</w:t>
      </w:r>
      <w:r w:rsidR="006702E5" w:rsidRPr="00246D8C">
        <w:rPr>
          <w:bCs/>
          <w:iCs/>
          <w:sz w:val="22"/>
          <w:szCs w:val="22"/>
          <w:lang w:val="sr-Latn-ME"/>
        </w:rPr>
        <w:t>l</w:t>
      </w:r>
      <w:r w:rsidR="003D48C9" w:rsidRPr="00246D8C">
        <w:rPr>
          <w:bCs/>
          <w:iCs/>
          <w:sz w:val="22"/>
          <w:szCs w:val="22"/>
          <w:lang w:val="sr-Latn-ME"/>
        </w:rPr>
        <w:t>/min</w:t>
      </w:r>
      <w:r w:rsidR="006702E5" w:rsidRPr="00246D8C">
        <w:rPr>
          <w:bCs/>
          <w:iCs/>
          <w:sz w:val="22"/>
          <w:szCs w:val="22"/>
          <w:lang w:val="sr-Latn-ME"/>
        </w:rPr>
        <w:t xml:space="preserve"> </w:t>
      </w:r>
      <w:r w:rsidR="003D48C9" w:rsidRPr="00246D8C">
        <w:rPr>
          <w:bCs/>
          <w:iCs/>
          <w:sz w:val="22"/>
          <w:szCs w:val="22"/>
          <w:lang w:val="sr-Latn-ME"/>
        </w:rPr>
        <w:t>i kod pacijenata sa teškim oštećenjem fu</w:t>
      </w:r>
      <w:r w:rsidR="006702E5" w:rsidRPr="00246D8C">
        <w:rPr>
          <w:bCs/>
          <w:iCs/>
          <w:sz w:val="22"/>
          <w:szCs w:val="22"/>
          <w:lang w:val="sr-Latn-ME"/>
        </w:rPr>
        <w:t>n</w:t>
      </w:r>
      <w:r w:rsidR="003D48C9" w:rsidRPr="00246D8C">
        <w:rPr>
          <w:bCs/>
          <w:iCs/>
          <w:sz w:val="22"/>
          <w:szCs w:val="22"/>
          <w:lang w:val="sr-Latn-ME"/>
        </w:rPr>
        <w:t>kcije bubrega.</w:t>
      </w:r>
    </w:p>
    <w:p w14:paraId="7511A9E5" w14:textId="77777777" w:rsidR="001753B1" w:rsidRPr="00246D8C" w:rsidRDefault="001753B1" w:rsidP="002D73AD">
      <w:pPr>
        <w:tabs>
          <w:tab w:val="left" w:pos="540"/>
          <w:tab w:val="left" w:pos="569"/>
        </w:tabs>
        <w:jc w:val="both"/>
        <w:rPr>
          <w:bCs/>
          <w:sz w:val="22"/>
          <w:szCs w:val="22"/>
          <w:lang w:val="sr-Latn-ME"/>
        </w:rPr>
      </w:pPr>
    </w:p>
    <w:p w14:paraId="41AFA0E4" w14:textId="77777777" w:rsidR="001753B1" w:rsidRPr="00246D8C" w:rsidRDefault="001753B1" w:rsidP="002D73AD">
      <w:pPr>
        <w:tabs>
          <w:tab w:val="left" w:pos="540"/>
          <w:tab w:val="left" w:pos="569"/>
        </w:tabs>
        <w:jc w:val="both"/>
        <w:rPr>
          <w:bCs/>
          <w:sz w:val="22"/>
          <w:szCs w:val="22"/>
          <w:lang w:val="sr-Latn-ME"/>
        </w:rPr>
      </w:pPr>
      <w:r w:rsidRPr="00246D8C">
        <w:rPr>
          <w:bCs/>
          <w:sz w:val="22"/>
          <w:szCs w:val="22"/>
          <w:lang w:val="sr-Latn-ME"/>
        </w:rPr>
        <w:t xml:space="preserve">Lijek Ongyza se ne preporučuje kod pacijenata sa terminalnom bolešću bubrega (ESRD) (vidjeti u dijelu 4.4). </w:t>
      </w:r>
    </w:p>
    <w:p w14:paraId="09BC177C" w14:textId="570D3C6F" w:rsidR="001753B1" w:rsidRPr="00246D8C" w:rsidRDefault="001753B1" w:rsidP="002D73AD">
      <w:pPr>
        <w:tabs>
          <w:tab w:val="left" w:pos="540"/>
          <w:tab w:val="left" w:pos="569"/>
        </w:tabs>
        <w:jc w:val="both"/>
        <w:rPr>
          <w:bCs/>
          <w:sz w:val="22"/>
          <w:szCs w:val="22"/>
          <w:lang w:val="sr-Latn-ME"/>
        </w:rPr>
      </w:pPr>
      <w:r w:rsidRPr="00246D8C">
        <w:rPr>
          <w:bCs/>
          <w:sz w:val="22"/>
          <w:szCs w:val="22"/>
          <w:lang w:val="sr-Latn-ME"/>
        </w:rPr>
        <w:t>Obzirom da dozu treba ograničiti na 2.5 mg na osnovu bubrežne funkcije, procjena bubrežne funkcije se preporučuje prije započinjanja primjene, a potom u okviru redovne njege, procjenu bubrežne funkcije treba obavljati periodično (vidjeti u d</w:t>
      </w:r>
      <w:r w:rsidR="006702E5" w:rsidRPr="00246D8C">
        <w:rPr>
          <w:bCs/>
          <w:sz w:val="22"/>
          <w:szCs w:val="22"/>
          <w:lang w:val="sr-Latn-ME"/>
        </w:rPr>
        <w:t>jelovima</w:t>
      </w:r>
      <w:r w:rsidRPr="00246D8C">
        <w:rPr>
          <w:bCs/>
          <w:sz w:val="22"/>
          <w:szCs w:val="22"/>
          <w:lang w:val="sr-Latn-ME"/>
        </w:rPr>
        <w:t xml:space="preserve"> 4.4 i 5.2).</w:t>
      </w:r>
    </w:p>
    <w:p w14:paraId="0FDD9C8F" w14:textId="77777777" w:rsidR="001753B1" w:rsidRPr="00246D8C" w:rsidRDefault="001753B1" w:rsidP="002D73AD">
      <w:pPr>
        <w:tabs>
          <w:tab w:val="left" w:pos="540"/>
          <w:tab w:val="left" w:pos="569"/>
        </w:tabs>
        <w:jc w:val="both"/>
        <w:rPr>
          <w:bCs/>
          <w:sz w:val="22"/>
          <w:szCs w:val="22"/>
          <w:lang w:val="sr-Latn-ME"/>
        </w:rPr>
      </w:pPr>
    </w:p>
    <w:p w14:paraId="43CBC961" w14:textId="77777777" w:rsidR="001753B1" w:rsidRPr="00246D8C" w:rsidRDefault="001753B1" w:rsidP="002D73AD">
      <w:pPr>
        <w:tabs>
          <w:tab w:val="left" w:pos="540"/>
          <w:tab w:val="left" w:pos="569"/>
        </w:tabs>
        <w:jc w:val="both"/>
        <w:rPr>
          <w:bCs/>
          <w:i/>
          <w:iCs/>
          <w:sz w:val="22"/>
          <w:szCs w:val="22"/>
          <w:lang w:val="sr-Latn-ME"/>
        </w:rPr>
      </w:pPr>
      <w:r w:rsidRPr="00246D8C">
        <w:rPr>
          <w:bCs/>
          <w:i/>
          <w:iCs/>
          <w:sz w:val="22"/>
          <w:szCs w:val="22"/>
          <w:lang w:val="sr-Latn-ME"/>
        </w:rPr>
        <w:t>Osobe sa oštećenjem jetre</w:t>
      </w:r>
    </w:p>
    <w:p w14:paraId="7BF96740" w14:textId="77777777" w:rsidR="001753B1" w:rsidRPr="00246D8C" w:rsidRDefault="001753B1" w:rsidP="002D73AD">
      <w:pPr>
        <w:tabs>
          <w:tab w:val="left" w:pos="540"/>
          <w:tab w:val="left" w:pos="569"/>
        </w:tabs>
        <w:jc w:val="both"/>
        <w:rPr>
          <w:bCs/>
          <w:sz w:val="22"/>
          <w:szCs w:val="22"/>
          <w:lang w:val="sr-Latn-ME"/>
        </w:rPr>
      </w:pPr>
      <w:r w:rsidRPr="00246D8C">
        <w:rPr>
          <w:bCs/>
          <w:sz w:val="22"/>
          <w:szCs w:val="22"/>
          <w:lang w:val="sr-Latn-ME"/>
        </w:rPr>
        <w:t>Prilagođavanje doze nije potrebno kod pacijenata sa blagim do umjerenim oštećenjem jetre (vidjeti u dijelu 5.2). Saksagliptin treba koristiti oprezno kod pacijenata sa umjerenim oštećenjem jetre, a njegova upotreba se ne preporučuje kod pacijenata sa teškim oštećenjem jetre (vidjeti u dijelu 4.4).</w:t>
      </w:r>
    </w:p>
    <w:p w14:paraId="29FAFA5D" w14:textId="77777777" w:rsidR="001753B1" w:rsidRPr="00246D8C" w:rsidRDefault="001753B1" w:rsidP="002D73AD">
      <w:pPr>
        <w:tabs>
          <w:tab w:val="left" w:pos="540"/>
          <w:tab w:val="left" w:pos="569"/>
        </w:tabs>
        <w:jc w:val="both"/>
        <w:rPr>
          <w:bCs/>
          <w:sz w:val="22"/>
          <w:szCs w:val="22"/>
          <w:lang w:val="sr-Latn-ME"/>
        </w:rPr>
      </w:pPr>
    </w:p>
    <w:p w14:paraId="1C637BDB" w14:textId="77777777" w:rsidR="001753B1" w:rsidRPr="00246D8C" w:rsidRDefault="001753B1" w:rsidP="002D73AD">
      <w:pPr>
        <w:tabs>
          <w:tab w:val="left" w:pos="540"/>
          <w:tab w:val="left" w:pos="569"/>
        </w:tabs>
        <w:jc w:val="both"/>
        <w:rPr>
          <w:bCs/>
          <w:i/>
          <w:iCs/>
          <w:sz w:val="22"/>
          <w:szCs w:val="22"/>
          <w:lang w:val="sr-Latn-ME"/>
        </w:rPr>
      </w:pPr>
      <w:r w:rsidRPr="00246D8C">
        <w:rPr>
          <w:bCs/>
          <w:i/>
          <w:iCs/>
          <w:sz w:val="22"/>
          <w:szCs w:val="22"/>
          <w:lang w:val="sr-Latn-ME"/>
        </w:rPr>
        <w:t>Pedijatrijska populacija</w:t>
      </w:r>
    </w:p>
    <w:p w14:paraId="352A5233" w14:textId="29295CFD" w:rsidR="00FC56E3" w:rsidRPr="00246D8C" w:rsidRDefault="00FC56E3" w:rsidP="002D73AD">
      <w:pPr>
        <w:tabs>
          <w:tab w:val="left" w:pos="540"/>
          <w:tab w:val="left" w:pos="569"/>
        </w:tabs>
        <w:jc w:val="both"/>
        <w:rPr>
          <w:bCs/>
          <w:sz w:val="22"/>
          <w:szCs w:val="22"/>
          <w:lang w:val="sr-Latn-ME"/>
        </w:rPr>
      </w:pPr>
      <w:r w:rsidRPr="00246D8C">
        <w:rPr>
          <w:bCs/>
          <w:sz w:val="22"/>
          <w:szCs w:val="22"/>
          <w:lang w:val="sr-Latn-ME"/>
        </w:rPr>
        <w:t xml:space="preserve">Bezbjednost lijeka Onglyza kod djece uzrasta </w:t>
      </w:r>
      <w:r w:rsidR="006F4680" w:rsidRPr="00246D8C">
        <w:rPr>
          <w:bCs/>
          <w:sz w:val="22"/>
          <w:szCs w:val="22"/>
          <w:lang w:val="sr-Latn-ME"/>
        </w:rPr>
        <w:t>od 10 do</w:t>
      </w:r>
      <w:r w:rsidRPr="00246D8C">
        <w:rPr>
          <w:bCs/>
          <w:sz w:val="22"/>
          <w:szCs w:val="22"/>
          <w:lang w:val="sr-Latn-ME"/>
        </w:rPr>
        <w:t xml:space="preserve"> &lt; 18 godina nije ustanovnjena. Zbog toga se saksagliptin ne preporučuje za liječenje djece i adolescenata. Trenutno dostupni podaci opisani su u djelovima 5.1 i 5.2. Lijek Onglyza nije ispitivan kod djece mlađe od 10 godina.</w:t>
      </w:r>
    </w:p>
    <w:p w14:paraId="41AF7BDC" w14:textId="77777777" w:rsidR="001753B1" w:rsidRPr="00246D8C" w:rsidRDefault="001753B1" w:rsidP="002D73AD">
      <w:pPr>
        <w:tabs>
          <w:tab w:val="left" w:pos="540"/>
          <w:tab w:val="left" w:pos="569"/>
        </w:tabs>
        <w:jc w:val="both"/>
        <w:rPr>
          <w:bCs/>
          <w:sz w:val="22"/>
          <w:szCs w:val="22"/>
          <w:lang w:val="sr-Latn-ME"/>
        </w:rPr>
      </w:pPr>
    </w:p>
    <w:p w14:paraId="042F6FC2" w14:textId="77777777" w:rsidR="001753B1" w:rsidRPr="00246D8C" w:rsidRDefault="001753B1" w:rsidP="002D73AD">
      <w:pPr>
        <w:tabs>
          <w:tab w:val="left" w:pos="540"/>
          <w:tab w:val="left" w:pos="569"/>
        </w:tabs>
        <w:jc w:val="both"/>
        <w:rPr>
          <w:bCs/>
          <w:sz w:val="22"/>
          <w:szCs w:val="22"/>
          <w:u w:val="single"/>
          <w:lang w:val="sr-Latn-ME"/>
        </w:rPr>
      </w:pPr>
      <w:r w:rsidRPr="00246D8C">
        <w:rPr>
          <w:bCs/>
          <w:sz w:val="22"/>
          <w:szCs w:val="22"/>
          <w:u w:val="single"/>
          <w:lang w:val="sr-Latn-ME"/>
        </w:rPr>
        <w:t>Način primjene</w:t>
      </w:r>
    </w:p>
    <w:p w14:paraId="2ADF07DF" w14:textId="77777777" w:rsidR="001753B1" w:rsidRPr="00246D8C" w:rsidRDefault="001753B1" w:rsidP="002D73AD">
      <w:pPr>
        <w:tabs>
          <w:tab w:val="left" w:pos="540"/>
          <w:tab w:val="left" w:pos="569"/>
        </w:tabs>
        <w:jc w:val="both"/>
        <w:rPr>
          <w:bCs/>
          <w:sz w:val="22"/>
          <w:szCs w:val="22"/>
          <w:lang w:val="sr-Latn-ME"/>
        </w:rPr>
      </w:pPr>
      <w:r w:rsidRPr="00246D8C">
        <w:rPr>
          <w:bCs/>
          <w:sz w:val="22"/>
          <w:szCs w:val="22"/>
          <w:lang w:val="sr-Latn-ME"/>
        </w:rPr>
        <w:t>Saksagliptin se može uzimati sa ili bez hrane u bilo koje doba dana. Ukoliko se neka doza propusti, pacijent treba da je uzme čim se sjeti. Dvostruku dozu ne treba uzimati istog dana. Tablete se ne smiju sjeći niti dijeliti.</w:t>
      </w:r>
    </w:p>
    <w:p w14:paraId="65DB6C24" w14:textId="77777777" w:rsidR="00452E9D" w:rsidRPr="00246D8C" w:rsidRDefault="00452E9D" w:rsidP="002D73AD">
      <w:pPr>
        <w:tabs>
          <w:tab w:val="left" w:pos="540"/>
          <w:tab w:val="left" w:pos="569"/>
        </w:tabs>
        <w:jc w:val="both"/>
        <w:rPr>
          <w:bCs/>
          <w:sz w:val="22"/>
          <w:szCs w:val="22"/>
          <w:lang w:val="sr-Latn-ME"/>
        </w:rPr>
      </w:pPr>
    </w:p>
    <w:p w14:paraId="2DD0846F" w14:textId="77777777" w:rsidR="00411B4B" w:rsidRPr="00246D8C" w:rsidRDefault="00411B4B" w:rsidP="002D73AD">
      <w:pPr>
        <w:tabs>
          <w:tab w:val="left" w:pos="540"/>
          <w:tab w:val="left" w:pos="569"/>
        </w:tabs>
        <w:jc w:val="both"/>
        <w:rPr>
          <w:b/>
          <w:bCs/>
          <w:sz w:val="22"/>
          <w:szCs w:val="22"/>
          <w:lang w:val="sr-Latn-ME"/>
        </w:rPr>
      </w:pPr>
      <w:r w:rsidRPr="00246D8C">
        <w:rPr>
          <w:b/>
          <w:bCs/>
          <w:sz w:val="22"/>
          <w:szCs w:val="22"/>
          <w:lang w:val="sr-Latn-ME"/>
        </w:rPr>
        <w:t xml:space="preserve">4.3. </w:t>
      </w:r>
      <w:r w:rsidR="00480FB1" w:rsidRPr="00246D8C">
        <w:rPr>
          <w:b/>
          <w:bCs/>
          <w:sz w:val="22"/>
          <w:szCs w:val="22"/>
          <w:lang w:val="sr-Latn-ME"/>
        </w:rPr>
        <w:tab/>
      </w:r>
      <w:r w:rsidRPr="00246D8C">
        <w:rPr>
          <w:b/>
          <w:bCs/>
          <w:sz w:val="22"/>
          <w:szCs w:val="22"/>
          <w:lang w:val="sr-Latn-ME"/>
        </w:rPr>
        <w:t>Kontraindikacije</w:t>
      </w:r>
    </w:p>
    <w:p w14:paraId="33756A9F" w14:textId="682B9501" w:rsidR="0072020E" w:rsidRPr="00246D8C" w:rsidRDefault="0072020E" w:rsidP="002D73AD">
      <w:pPr>
        <w:tabs>
          <w:tab w:val="left" w:pos="540"/>
          <w:tab w:val="left" w:pos="569"/>
        </w:tabs>
        <w:jc w:val="both"/>
        <w:rPr>
          <w:bCs/>
          <w:sz w:val="22"/>
          <w:szCs w:val="22"/>
          <w:lang w:val="sr-Latn-ME"/>
        </w:rPr>
      </w:pPr>
    </w:p>
    <w:p w14:paraId="4830E7E7" w14:textId="38543FC2" w:rsidR="001753B1" w:rsidRPr="00246D8C" w:rsidRDefault="001753B1" w:rsidP="006A7219">
      <w:pPr>
        <w:tabs>
          <w:tab w:val="left" w:pos="284"/>
        </w:tabs>
        <w:jc w:val="both"/>
        <w:rPr>
          <w:sz w:val="22"/>
          <w:szCs w:val="22"/>
          <w:lang w:val="sr-Latn-ME"/>
        </w:rPr>
      </w:pPr>
      <w:r w:rsidRPr="00246D8C">
        <w:rPr>
          <w:sz w:val="22"/>
          <w:szCs w:val="22"/>
          <w:lang w:val="sr-Latn-ME"/>
        </w:rPr>
        <w:t>Preosjetljivost na aktivnu supstancu ili bilo koju pomoćnu supstancu navedenu u dijelu 6.1 ili istorija ozbiljnih reakcija preosjetljivosti uključujući anafilaktičku reakciju, anafilaktički šok i angioedem na bilo koji inhibitor dipeptidil peptidaze 4 (DDP4) (vidjeti djelove 4.4 i 4.8).</w:t>
      </w:r>
    </w:p>
    <w:p w14:paraId="6B0042B1" w14:textId="77777777" w:rsidR="001753B1" w:rsidRPr="00246D8C" w:rsidRDefault="001753B1" w:rsidP="002D73AD">
      <w:pPr>
        <w:tabs>
          <w:tab w:val="left" w:pos="540"/>
          <w:tab w:val="left" w:pos="569"/>
        </w:tabs>
        <w:jc w:val="both"/>
        <w:rPr>
          <w:bCs/>
          <w:sz w:val="22"/>
          <w:szCs w:val="22"/>
          <w:lang w:val="sr-Latn-ME"/>
        </w:rPr>
      </w:pPr>
    </w:p>
    <w:p w14:paraId="3A881680" w14:textId="46C7C897" w:rsidR="00411B4B" w:rsidRPr="00246D8C" w:rsidRDefault="00411B4B" w:rsidP="002D73AD">
      <w:pPr>
        <w:tabs>
          <w:tab w:val="left" w:pos="540"/>
          <w:tab w:val="left" w:pos="569"/>
        </w:tabs>
        <w:jc w:val="both"/>
        <w:rPr>
          <w:b/>
          <w:bCs/>
          <w:sz w:val="22"/>
          <w:szCs w:val="22"/>
          <w:lang w:val="sr-Latn-ME"/>
        </w:rPr>
      </w:pPr>
      <w:r w:rsidRPr="00246D8C">
        <w:rPr>
          <w:b/>
          <w:bCs/>
          <w:sz w:val="22"/>
          <w:szCs w:val="22"/>
          <w:lang w:val="sr-Latn-ME"/>
        </w:rPr>
        <w:t xml:space="preserve">4.4. </w:t>
      </w:r>
      <w:r w:rsidR="00480FB1" w:rsidRPr="00246D8C">
        <w:rPr>
          <w:b/>
          <w:bCs/>
          <w:sz w:val="22"/>
          <w:szCs w:val="22"/>
          <w:lang w:val="sr-Latn-ME"/>
        </w:rPr>
        <w:tab/>
      </w:r>
      <w:r w:rsidRPr="00246D8C">
        <w:rPr>
          <w:b/>
          <w:bCs/>
          <w:sz w:val="22"/>
          <w:szCs w:val="22"/>
          <w:lang w:val="sr-Latn-ME"/>
        </w:rPr>
        <w:t>Posebna upozorenja i mjere opreza pri upotrebi lijeka</w:t>
      </w:r>
    </w:p>
    <w:p w14:paraId="79671B20" w14:textId="77777777" w:rsidR="001753B1" w:rsidRPr="00246D8C" w:rsidRDefault="001753B1" w:rsidP="002D73AD">
      <w:pPr>
        <w:tabs>
          <w:tab w:val="left" w:pos="540"/>
          <w:tab w:val="left" w:pos="569"/>
        </w:tabs>
        <w:jc w:val="both"/>
        <w:rPr>
          <w:b/>
          <w:bCs/>
          <w:sz w:val="22"/>
          <w:szCs w:val="22"/>
          <w:lang w:val="sr-Latn-ME"/>
        </w:rPr>
      </w:pPr>
    </w:p>
    <w:p w14:paraId="09BA18B9" w14:textId="77777777" w:rsidR="001753B1" w:rsidRPr="00246D8C" w:rsidRDefault="001753B1" w:rsidP="006A7219">
      <w:pPr>
        <w:tabs>
          <w:tab w:val="left" w:pos="284"/>
        </w:tabs>
        <w:jc w:val="both"/>
        <w:rPr>
          <w:sz w:val="22"/>
          <w:szCs w:val="22"/>
          <w:u w:val="single"/>
          <w:lang w:val="sr-Latn-ME"/>
        </w:rPr>
      </w:pPr>
      <w:r w:rsidRPr="00246D8C">
        <w:rPr>
          <w:sz w:val="22"/>
          <w:szCs w:val="22"/>
          <w:u w:val="single"/>
          <w:lang w:val="sr-Latn-ME"/>
        </w:rPr>
        <w:t>Opšta</w:t>
      </w:r>
    </w:p>
    <w:p w14:paraId="43531C97" w14:textId="7BCAC405" w:rsidR="001753B1" w:rsidRPr="00246D8C" w:rsidRDefault="001753B1" w:rsidP="003C0336">
      <w:pPr>
        <w:tabs>
          <w:tab w:val="left" w:pos="284"/>
        </w:tabs>
        <w:jc w:val="both"/>
        <w:rPr>
          <w:sz w:val="22"/>
          <w:szCs w:val="22"/>
          <w:lang w:val="sr-Latn-ME"/>
        </w:rPr>
      </w:pPr>
      <w:r w:rsidRPr="00246D8C">
        <w:rPr>
          <w:sz w:val="22"/>
          <w:szCs w:val="22"/>
          <w:lang w:val="sr-Latn-ME"/>
        </w:rPr>
        <w:t xml:space="preserve">Lijek Onglyza ne treba koristiti kod pacijenata sa dijabetes mellitusom tipa 1 ili za liječenje dijabetske ketoacidoze. </w:t>
      </w:r>
    </w:p>
    <w:p w14:paraId="2CCEF751" w14:textId="77777777" w:rsidR="006702E5" w:rsidRPr="00246D8C" w:rsidRDefault="006702E5" w:rsidP="003C0336">
      <w:pPr>
        <w:tabs>
          <w:tab w:val="left" w:pos="284"/>
        </w:tabs>
        <w:jc w:val="both"/>
        <w:rPr>
          <w:sz w:val="22"/>
          <w:szCs w:val="22"/>
          <w:lang w:val="sr-Latn-ME"/>
        </w:rPr>
      </w:pPr>
    </w:p>
    <w:p w14:paraId="667CAD36" w14:textId="25F032B7" w:rsidR="001753B1" w:rsidRPr="00246D8C" w:rsidRDefault="006702E5" w:rsidP="00AE24EE">
      <w:pPr>
        <w:tabs>
          <w:tab w:val="left" w:pos="284"/>
        </w:tabs>
        <w:jc w:val="both"/>
        <w:rPr>
          <w:sz w:val="22"/>
          <w:szCs w:val="22"/>
          <w:lang w:val="sr-Latn-ME"/>
        </w:rPr>
      </w:pPr>
      <w:r w:rsidRPr="00246D8C">
        <w:rPr>
          <w:sz w:val="22"/>
          <w:szCs w:val="22"/>
          <w:lang w:val="sr-Latn-ME"/>
        </w:rPr>
        <w:t xml:space="preserve">Lijek </w:t>
      </w:r>
      <w:r w:rsidR="001753B1" w:rsidRPr="00246D8C">
        <w:rPr>
          <w:sz w:val="22"/>
          <w:szCs w:val="22"/>
          <w:lang w:val="sr-Latn-ME"/>
        </w:rPr>
        <w:t>Onglyza nije zamjena za insulin kod pacijenata kojima je on neophodan.</w:t>
      </w:r>
    </w:p>
    <w:p w14:paraId="580DE115" w14:textId="77777777" w:rsidR="001753B1" w:rsidRPr="00246D8C" w:rsidRDefault="001753B1">
      <w:pPr>
        <w:tabs>
          <w:tab w:val="left" w:pos="284"/>
        </w:tabs>
        <w:jc w:val="both"/>
        <w:rPr>
          <w:sz w:val="22"/>
          <w:szCs w:val="22"/>
          <w:lang w:val="sr-Latn-ME"/>
        </w:rPr>
      </w:pPr>
    </w:p>
    <w:p w14:paraId="2780D51F" w14:textId="77777777" w:rsidR="001753B1" w:rsidRPr="00246D8C" w:rsidRDefault="001753B1">
      <w:pPr>
        <w:tabs>
          <w:tab w:val="left" w:pos="284"/>
        </w:tabs>
        <w:jc w:val="both"/>
        <w:rPr>
          <w:sz w:val="22"/>
          <w:szCs w:val="22"/>
          <w:u w:val="single"/>
          <w:lang w:val="sr-Latn-ME"/>
        </w:rPr>
      </w:pPr>
      <w:r w:rsidRPr="00246D8C">
        <w:rPr>
          <w:sz w:val="22"/>
          <w:szCs w:val="22"/>
          <w:u w:val="single"/>
          <w:lang w:val="sr-Latn-ME"/>
        </w:rPr>
        <w:t>Akutni pankreatitis</w:t>
      </w:r>
    </w:p>
    <w:p w14:paraId="147CCEB8" w14:textId="131EC37B" w:rsidR="001753B1" w:rsidRPr="00246D8C" w:rsidRDefault="001753B1">
      <w:pPr>
        <w:tabs>
          <w:tab w:val="left" w:pos="284"/>
        </w:tabs>
        <w:jc w:val="both"/>
        <w:rPr>
          <w:sz w:val="22"/>
          <w:szCs w:val="22"/>
          <w:lang w:val="sr-Latn-ME"/>
        </w:rPr>
      </w:pPr>
      <w:r w:rsidRPr="00246D8C">
        <w:rPr>
          <w:sz w:val="22"/>
          <w:szCs w:val="22"/>
          <w:lang w:val="sr-Latn-ME"/>
        </w:rPr>
        <w:t xml:space="preserve">Primena DPP-4 inhibitora se povezuje sa rizikom od razvoja akutnog pankreatitisa. Treba obavijestiti pacijente o karakterističnim simptomima akutnog pankreatitisa: uporan, intenzivan abdominalni bol. Ukoliko se posumnja na pankreatitis, treba prekinuti terapiju lijekom Onglyza; ako se potvrdi dijagnoza akutnog pankreatitisa, lijek se ne smije ponovo uvoditi u terapiju. Neophodan je oprez kod pacijenata sa pankreatitisom u anamnezi. </w:t>
      </w:r>
    </w:p>
    <w:p w14:paraId="13133520" w14:textId="77777777" w:rsidR="001753B1" w:rsidRPr="00246D8C" w:rsidRDefault="001753B1">
      <w:pPr>
        <w:tabs>
          <w:tab w:val="left" w:pos="284"/>
        </w:tabs>
        <w:jc w:val="both"/>
        <w:rPr>
          <w:sz w:val="22"/>
          <w:szCs w:val="22"/>
          <w:u w:val="single"/>
          <w:lang w:val="sr-Latn-ME"/>
        </w:rPr>
      </w:pPr>
    </w:p>
    <w:p w14:paraId="62E9BCA7" w14:textId="77777777" w:rsidR="001753B1" w:rsidRPr="00246D8C" w:rsidRDefault="001753B1">
      <w:pPr>
        <w:tabs>
          <w:tab w:val="left" w:pos="284"/>
        </w:tabs>
        <w:jc w:val="both"/>
        <w:rPr>
          <w:strike/>
          <w:sz w:val="22"/>
          <w:szCs w:val="22"/>
          <w:lang w:val="sr-Latn-ME"/>
        </w:rPr>
      </w:pPr>
      <w:r w:rsidRPr="00246D8C">
        <w:rPr>
          <w:sz w:val="22"/>
          <w:szCs w:val="22"/>
          <w:lang w:val="sr-Latn-ME"/>
        </w:rPr>
        <w:t xml:space="preserve">Tokom postmarketinškog iskustva upotrebe saksagliptina prijavljen je akutni pankreatitis, kao neželjena reakcija spontanog porijekla. </w:t>
      </w:r>
    </w:p>
    <w:p w14:paraId="3BF73D11" w14:textId="77777777" w:rsidR="001753B1" w:rsidRPr="00246D8C" w:rsidRDefault="001753B1">
      <w:pPr>
        <w:tabs>
          <w:tab w:val="left" w:pos="284"/>
        </w:tabs>
        <w:jc w:val="both"/>
        <w:rPr>
          <w:sz w:val="22"/>
          <w:szCs w:val="22"/>
          <w:lang w:val="sr-Latn-ME"/>
        </w:rPr>
      </w:pPr>
    </w:p>
    <w:p w14:paraId="16EE8C52" w14:textId="699A6CBD" w:rsidR="001753B1" w:rsidRPr="00246D8C" w:rsidRDefault="001753B1">
      <w:pPr>
        <w:tabs>
          <w:tab w:val="left" w:pos="284"/>
        </w:tabs>
        <w:jc w:val="both"/>
        <w:rPr>
          <w:sz w:val="22"/>
          <w:szCs w:val="22"/>
          <w:u w:val="single"/>
          <w:lang w:val="sr-Latn-ME"/>
        </w:rPr>
      </w:pPr>
      <w:r w:rsidRPr="00246D8C">
        <w:rPr>
          <w:sz w:val="22"/>
          <w:szCs w:val="22"/>
          <w:u w:val="single"/>
          <w:lang w:val="sr-Latn-ME"/>
        </w:rPr>
        <w:t xml:space="preserve">Oštećenje </w:t>
      </w:r>
      <w:r w:rsidR="003D48C9" w:rsidRPr="00246D8C">
        <w:rPr>
          <w:sz w:val="22"/>
          <w:szCs w:val="22"/>
          <w:u w:val="single"/>
          <w:lang w:val="sr-Latn-ME"/>
        </w:rPr>
        <w:t xml:space="preserve">funkcije </w:t>
      </w:r>
      <w:r w:rsidRPr="00246D8C">
        <w:rPr>
          <w:sz w:val="22"/>
          <w:szCs w:val="22"/>
          <w:u w:val="single"/>
          <w:lang w:val="sr-Latn-ME"/>
        </w:rPr>
        <w:t>bubrega</w:t>
      </w:r>
    </w:p>
    <w:p w14:paraId="3C25E1DC" w14:textId="4B0DC5BF" w:rsidR="001753B1" w:rsidRPr="00246D8C" w:rsidRDefault="003D48C9">
      <w:pPr>
        <w:tabs>
          <w:tab w:val="left" w:pos="284"/>
        </w:tabs>
        <w:jc w:val="both"/>
        <w:rPr>
          <w:sz w:val="22"/>
          <w:szCs w:val="22"/>
          <w:u w:val="single"/>
          <w:lang w:val="sr-Latn-ME"/>
        </w:rPr>
      </w:pPr>
      <w:r w:rsidRPr="00246D8C">
        <w:rPr>
          <w:sz w:val="22"/>
          <w:szCs w:val="22"/>
          <w:lang w:val="sr-Latn-ME"/>
        </w:rPr>
        <w:t>Kod pacijeneta sa GFR &lt; 45 m</w:t>
      </w:r>
      <w:r w:rsidR="006702E5" w:rsidRPr="00246D8C">
        <w:rPr>
          <w:sz w:val="22"/>
          <w:szCs w:val="22"/>
          <w:lang w:val="sr-Latn-ME"/>
        </w:rPr>
        <w:t>l</w:t>
      </w:r>
      <w:r w:rsidRPr="00246D8C">
        <w:rPr>
          <w:sz w:val="22"/>
          <w:szCs w:val="22"/>
          <w:lang w:val="sr-Latn-ME"/>
        </w:rPr>
        <w:t>/min, preporučena doza je 2.5 mg jednom dnevno</w:t>
      </w:r>
      <w:r w:rsidR="006702E5" w:rsidRPr="00246D8C">
        <w:rPr>
          <w:sz w:val="22"/>
          <w:szCs w:val="22"/>
          <w:lang w:val="sr-Latn-ME"/>
        </w:rPr>
        <w:t xml:space="preserve">. </w:t>
      </w:r>
      <w:r w:rsidR="001753B1" w:rsidRPr="00246D8C">
        <w:rPr>
          <w:sz w:val="22"/>
          <w:szCs w:val="22"/>
          <w:lang w:val="sr-Latn-ME"/>
        </w:rPr>
        <w:t xml:space="preserve">Saksagliptin se ne preporučuje kod pacijenata sa terminalnom bolešću bubrega (ESRD). </w:t>
      </w:r>
      <w:r w:rsidR="001753B1" w:rsidRPr="00246D8C">
        <w:rPr>
          <w:bCs/>
          <w:iCs/>
          <w:sz w:val="22"/>
          <w:szCs w:val="22"/>
          <w:lang w:val="sr-Latn-ME"/>
        </w:rPr>
        <w:t>Procjena bubrežne funkcije se preporučuje prije započinjanja primjene lijeka Onglyza, a potom u okviru redovnog liječenja, procjenu bubrežne funkcije treba obavljati periodično</w:t>
      </w:r>
      <w:r w:rsidR="001753B1" w:rsidRPr="00246D8C">
        <w:rPr>
          <w:sz w:val="22"/>
          <w:szCs w:val="22"/>
          <w:lang w:val="sr-Latn-ME"/>
        </w:rPr>
        <w:t xml:space="preserve"> (vidjeti u dije</w:t>
      </w:r>
      <w:r w:rsidR="006702E5" w:rsidRPr="00246D8C">
        <w:rPr>
          <w:sz w:val="22"/>
          <w:szCs w:val="22"/>
          <w:lang w:val="sr-Latn-ME"/>
        </w:rPr>
        <w:t>lovima</w:t>
      </w:r>
      <w:r w:rsidR="001753B1" w:rsidRPr="00246D8C">
        <w:rPr>
          <w:sz w:val="22"/>
          <w:szCs w:val="22"/>
          <w:lang w:val="sr-Latn-ME"/>
        </w:rPr>
        <w:t xml:space="preserve"> 4.2 i 5.2).</w:t>
      </w:r>
    </w:p>
    <w:p w14:paraId="386E99AA" w14:textId="6F85E2F4" w:rsidR="00FD24BA" w:rsidRPr="00246D8C" w:rsidRDefault="00FD24BA">
      <w:pPr>
        <w:tabs>
          <w:tab w:val="left" w:pos="284"/>
        </w:tabs>
        <w:jc w:val="both"/>
        <w:rPr>
          <w:sz w:val="22"/>
          <w:szCs w:val="22"/>
          <w:lang w:val="sr-Latn-ME"/>
        </w:rPr>
      </w:pPr>
    </w:p>
    <w:p w14:paraId="57F1BD89" w14:textId="77777777" w:rsidR="001753B1" w:rsidRPr="00246D8C" w:rsidRDefault="001753B1">
      <w:pPr>
        <w:tabs>
          <w:tab w:val="left" w:pos="284"/>
        </w:tabs>
        <w:jc w:val="both"/>
        <w:rPr>
          <w:sz w:val="22"/>
          <w:szCs w:val="22"/>
          <w:u w:val="single"/>
          <w:lang w:val="sr-Latn-ME"/>
        </w:rPr>
      </w:pPr>
      <w:r w:rsidRPr="00246D8C">
        <w:rPr>
          <w:sz w:val="22"/>
          <w:szCs w:val="22"/>
          <w:u w:val="single"/>
          <w:lang w:val="sr-Latn-ME"/>
        </w:rPr>
        <w:t>Oštećenje jetre</w:t>
      </w:r>
    </w:p>
    <w:p w14:paraId="70011E76" w14:textId="77777777" w:rsidR="001753B1" w:rsidRPr="00246D8C" w:rsidRDefault="001753B1">
      <w:pPr>
        <w:tabs>
          <w:tab w:val="left" w:pos="284"/>
        </w:tabs>
        <w:jc w:val="both"/>
        <w:rPr>
          <w:sz w:val="22"/>
          <w:szCs w:val="22"/>
          <w:lang w:val="sr-Latn-ME"/>
        </w:rPr>
      </w:pPr>
      <w:r w:rsidRPr="00246D8C">
        <w:rPr>
          <w:sz w:val="22"/>
          <w:szCs w:val="22"/>
          <w:lang w:val="sr-Latn-ME"/>
        </w:rPr>
        <w:t>Saksagliptin treba oprezno koristiti kod pacijenata sa umjerenim oštećenjem jetre, a njegova upotreba se ne preporučuje kod pacijenata sa teškim oštećenjem jetre (vidjeti u dijelu 4.2).</w:t>
      </w:r>
    </w:p>
    <w:p w14:paraId="75FA9212" w14:textId="77777777" w:rsidR="001753B1" w:rsidRPr="00246D8C" w:rsidRDefault="001753B1">
      <w:pPr>
        <w:tabs>
          <w:tab w:val="left" w:pos="284"/>
        </w:tabs>
        <w:jc w:val="both"/>
        <w:rPr>
          <w:sz w:val="22"/>
          <w:szCs w:val="22"/>
          <w:lang w:val="sr-Latn-ME"/>
        </w:rPr>
      </w:pPr>
    </w:p>
    <w:p w14:paraId="28C2AA76" w14:textId="77777777" w:rsidR="001753B1" w:rsidRPr="00246D8C" w:rsidRDefault="001753B1">
      <w:pPr>
        <w:tabs>
          <w:tab w:val="left" w:pos="284"/>
        </w:tabs>
        <w:jc w:val="both"/>
        <w:rPr>
          <w:sz w:val="22"/>
          <w:szCs w:val="22"/>
          <w:u w:val="single"/>
          <w:lang w:val="sr-Latn-ME"/>
        </w:rPr>
      </w:pPr>
      <w:r w:rsidRPr="00246D8C">
        <w:rPr>
          <w:sz w:val="22"/>
          <w:szCs w:val="22"/>
          <w:u w:val="single"/>
          <w:lang w:val="sr-Latn-ME"/>
        </w:rPr>
        <w:t>Upotreba sa ljekovima za koje se zna da izazivaju hipoglikemiju</w:t>
      </w:r>
    </w:p>
    <w:p w14:paraId="4F123653" w14:textId="6A681025" w:rsidR="001753B1" w:rsidRPr="00246D8C" w:rsidRDefault="001753B1">
      <w:pPr>
        <w:tabs>
          <w:tab w:val="left" w:pos="284"/>
        </w:tabs>
        <w:jc w:val="both"/>
        <w:rPr>
          <w:sz w:val="22"/>
          <w:szCs w:val="22"/>
          <w:lang w:val="sr-Latn-ME"/>
        </w:rPr>
      </w:pPr>
      <w:r w:rsidRPr="00246D8C">
        <w:rPr>
          <w:sz w:val="22"/>
          <w:szCs w:val="22"/>
          <w:lang w:val="sr-Latn-ME"/>
        </w:rPr>
        <w:t>Poznato je da sulfoniluree i insulin izazivaju</w:t>
      </w:r>
      <w:r w:rsidR="006702E5" w:rsidRPr="00246D8C">
        <w:rPr>
          <w:sz w:val="22"/>
          <w:szCs w:val="22"/>
          <w:lang w:val="sr-Latn-ME"/>
        </w:rPr>
        <w:t xml:space="preserve"> </w:t>
      </w:r>
      <w:r w:rsidRPr="00246D8C">
        <w:rPr>
          <w:sz w:val="22"/>
          <w:szCs w:val="22"/>
          <w:lang w:val="sr-Latn-ME"/>
        </w:rPr>
        <w:t>hipoglikemiju. Iz tog razloga, mogu biti potrebne niže doze sulfonilurea ili insulina kako bi se smanjio rizik od hipoglikemije kada se oni koriste u kombinaciji sa lijekom Onglyza.</w:t>
      </w:r>
    </w:p>
    <w:p w14:paraId="08BAF69B" w14:textId="77777777" w:rsidR="001753B1" w:rsidRPr="00246D8C" w:rsidRDefault="001753B1">
      <w:pPr>
        <w:tabs>
          <w:tab w:val="left" w:pos="284"/>
        </w:tabs>
        <w:jc w:val="both"/>
        <w:rPr>
          <w:sz w:val="22"/>
          <w:szCs w:val="22"/>
          <w:lang w:val="sr-Latn-ME"/>
        </w:rPr>
      </w:pPr>
    </w:p>
    <w:p w14:paraId="079353BB" w14:textId="77777777" w:rsidR="001753B1" w:rsidRPr="00246D8C" w:rsidRDefault="001753B1">
      <w:pPr>
        <w:tabs>
          <w:tab w:val="left" w:pos="284"/>
        </w:tabs>
        <w:jc w:val="both"/>
        <w:rPr>
          <w:sz w:val="22"/>
          <w:szCs w:val="22"/>
          <w:u w:val="single"/>
          <w:lang w:val="sr-Latn-ME"/>
        </w:rPr>
      </w:pPr>
      <w:r w:rsidRPr="00246D8C">
        <w:rPr>
          <w:sz w:val="22"/>
          <w:szCs w:val="22"/>
          <w:u w:val="single"/>
          <w:lang w:val="sr-Latn-ME"/>
        </w:rPr>
        <w:t>Reakcije preosjetljivosti</w:t>
      </w:r>
    </w:p>
    <w:p w14:paraId="39FFE1FC" w14:textId="77777777" w:rsidR="001753B1" w:rsidRPr="00246D8C" w:rsidRDefault="001753B1">
      <w:pPr>
        <w:tabs>
          <w:tab w:val="left" w:pos="284"/>
        </w:tabs>
        <w:jc w:val="both"/>
        <w:rPr>
          <w:sz w:val="22"/>
          <w:szCs w:val="22"/>
          <w:lang w:val="sr-Latn-ME"/>
        </w:rPr>
      </w:pPr>
      <w:r w:rsidRPr="00246D8C">
        <w:rPr>
          <w:sz w:val="22"/>
          <w:szCs w:val="22"/>
          <w:lang w:val="sr-Latn-ME"/>
        </w:rPr>
        <w:t>Lijek Onglyza ne treba koristiti kod pacijenata koji su već imali neku ozbiljnu reakciju preosjetljivosti na neki inhibitor dipeptidil peptidaze 4 (DPP4).</w:t>
      </w:r>
    </w:p>
    <w:p w14:paraId="288D4B1A" w14:textId="77777777" w:rsidR="001753B1" w:rsidRPr="00246D8C" w:rsidRDefault="001753B1">
      <w:pPr>
        <w:tabs>
          <w:tab w:val="left" w:pos="284"/>
        </w:tabs>
        <w:jc w:val="both"/>
        <w:rPr>
          <w:sz w:val="22"/>
          <w:szCs w:val="22"/>
          <w:lang w:val="sr-Latn-ME"/>
        </w:rPr>
      </w:pPr>
    </w:p>
    <w:p w14:paraId="4F86F405" w14:textId="499D0B47" w:rsidR="001753B1" w:rsidRPr="00246D8C" w:rsidRDefault="001753B1">
      <w:pPr>
        <w:tabs>
          <w:tab w:val="left" w:pos="284"/>
        </w:tabs>
        <w:jc w:val="both"/>
        <w:rPr>
          <w:sz w:val="22"/>
          <w:szCs w:val="22"/>
          <w:lang w:val="sr-Latn-ME"/>
        </w:rPr>
      </w:pPr>
      <w:r w:rsidRPr="00246D8C">
        <w:rPr>
          <w:sz w:val="22"/>
          <w:szCs w:val="22"/>
          <w:lang w:val="sr-Latn-ME"/>
        </w:rPr>
        <w:t xml:space="preserve">U toku postmarketinškog iskustva, uključujući spontane izvještaje i izvještaje iz kliničkih ispitivanja, sljedeće neželjene reakcije su zabilježene tokom primjene saksagliptina: ozbiljne reakcije preosjetljivosti, uključujući anafilaktičku reakciju, anafilaktički šok i angioedem. Ukoliko se sumnja na ozbiljnu reakciju preosjetljivosti, treba prekinuti terapiju lijekom Onglyza, ispitati druge potencijalne uzroke ovog događaja i započeti terapiju dijabetesa alternativnim lijekom (vidjeti </w:t>
      </w:r>
      <w:r w:rsidR="00882533" w:rsidRPr="00246D8C">
        <w:rPr>
          <w:sz w:val="22"/>
          <w:szCs w:val="22"/>
          <w:lang w:val="sr-Latn-ME"/>
        </w:rPr>
        <w:t>dio</w:t>
      </w:r>
      <w:r w:rsidRPr="00246D8C">
        <w:rPr>
          <w:sz w:val="22"/>
          <w:szCs w:val="22"/>
          <w:lang w:val="sr-Latn-ME"/>
        </w:rPr>
        <w:t xml:space="preserve"> 4.8).</w:t>
      </w:r>
      <w:r w:rsidR="006702E5" w:rsidRPr="00246D8C">
        <w:rPr>
          <w:sz w:val="22"/>
          <w:szCs w:val="22"/>
          <w:lang w:val="sr-Latn-ME"/>
        </w:rPr>
        <w:t xml:space="preserve"> </w:t>
      </w:r>
    </w:p>
    <w:p w14:paraId="12566E2C" w14:textId="77777777" w:rsidR="001753B1" w:rsidRPr="00246D8C" w:rsidRDefault="001753B1">
      <w:pPr>
        <w:tabs>
          <w:tab w:val="left" w:pos="284"/>
        </w:tabs>
        <w:jc w:val="both"/>
        <w:rPr>
          <w:sz w:val="22"/>
          <w:szCs w:val="22"/>
          <w:lang w:val="sr-Latn-ME"/>
        </w:rPr>
      </w:pPr>
    </w:p>
    <w:p w14:paraId="18CD4F40" w14:textId="77777777" w:rsidR="001753B1" w:rsidRPr="00246D8C" w:rsidRDefault="001753B1">
      <w:pPr>
        <w:tabs>
          <w:tab w:val="left" w:pos="284"/>
        </w:tabs>
        <w:jc w:val="both"/>
        <w:rPr>
          <w:sz w:val="22"/>
          <w:szCs w:val="22"/>
          <w:u w:val="single"/>
          <w:lang w:val="sr-Latn-ME"/>
        </w:rPr>
      </w:pPr>
      <w:r w:rsidRPr="00246D8C">
        <w:rPr>
          <w:sz w:val="22"/>
          <w:szCs w:val="22"/>
          <w:u w:val="single"/>
          <w:lang w:val="sr-Latn-ME"/>
        </w:rPr>
        <w:t>Kožni poremećaji</w:t>
      </w:r>
    </w:p>
    <w:p w14:paraId="176605BF" w14:textId="7C1213C6" w:rsidR="001753B1" w:rsidRPr="00246D8C" w:rsidRDefault="001753B1">
      <w:pPr>
        <w:tabs>
          <w:tab w:val="left" w:pos="284"/>
        </w:tabs>
        <w:jc w:val="both"/>
        <w:rPr>
          <w:sz w:val="22"/>
          <w:szCs w:val="22"/>
          <w:lang w:val="sr-Latn-ME"/>
        </w:rPr>
      </w:pPr>
      <w:r w:rsidRPr="00246D8C">
        <w:rPr>
          <w:sz w:val="22"/>
          <w:szCs w:val="22"/>
          <w:lang w:val="sr-Latn-ME"/>
        </w:rPr>
        <w:t>Prijavljene su ulcerativne i nekrotične lezije na koži ekstremiteta kod majmuna tokom nekliničkih toksikoloških studija (vidjeti u dijelu 5.3). Nije zabilježena povećana incidenca lezija na koži u kliničkim studijama. Postmarketinški izvještaji o ospi su opisani kod klase inhibitora DPP4. Osip je takođe zabilježen kao neželjena reakcija poslije primjene lijeka Onglyza (vidjeti u dijelu 4.8). Stoga se u okviru rutinske kontrole pacijenata sa dijabetesom preporučuje praćenje kožnih poremećaja, kao što su plikovi, ulceracije ili osip.</w:t>
      </w:r>
    </w:p>
    <w:p w14:paraId="3FF72C68" w14:textId="77777777" w:rsidR="001753B1" w:rsidRPr="00246D8C" w:rsidRDefault="001753B1">
      <w:pPr>
        <w:tabs>
          <w:tab w:val="left" w:pos="284"/>
        </w:tabs>
        <w:jc w:val="both"/>
        <w:rPr>
          <w:sz w:val="22"/>
          <w:szCs w:val="22"/>
          <w:lang w:val="sr-Latn-ME"/>
        </w:rPr>
      </w:pPr>
    </w:p>
    <w:p w14:paraId="086F5838" w14:textId="77777777" w:rsidR="001753B1" w:rsidRPr="00246D8C" w:rsidRDefault="001753B1">
      <w:pPr>
        <w:tabs>
          <w:tab w:val="left" w:pos="284"/>
        </w:tabs>
        <w:jc w:val="both"/>
        <w:rPr>
          <w:sz w:val="22"/>
          <w:szCs w:val="22"/>
          <w:u w:val="single"/>
          <w:lang w:val="sr-Latn-ME"/>
        </w:rPr>
      </w:pPr>
      <w:r w:rsidRPr="00246D8C">
        <w:rPr>
          <w:sz w:val="22"/>
          <w:szCs w:val="22"/>
          <w:u w:val="single"/>
          <w:lang w:val="sr-Latn-ME"/>
        </w:rPr>
        <w:t>Bulozni pemfigoid</w:t>
      </w:r>
    </w:p>
    <w:p w14:paraId="329805EE" w14:textId="0A1ADE02" w:rsidR="001753B1" w:rsidRPr="00246D8C" w:rsidRDefault="001753B1">
      <w:pPr>
        <w:tabs>
          <w:tab w:val="left" w:pos="284"/>
        </w:tabs>
        <w:jc w:val="both"/>
        <w:rPr>
          <w:sz w:val="22"/>
          <w:szCs w:val="22"/>
          <w:lang w:val="sr-Latn-ME"/>
        </w:rPr>
      </w:pPr>
      <w:r w:rsidRPr="00246D8C">
        <w:rPr>
          <w:sz w:val="22"/>
          <w:szCs w:val="22"/>
          <w:lang w:val="sr-Latn-ME"/>
        </w:rPr>
        <w:t>U periodu nakon stavljanja lijeka u promet kod primjene inhibitora DPP-4, uključujući saksagliptin, prijavljeni su slučajevi buloznog pemfigoida koji su doveli do hospitalizacije. Kod prijavljenih slučajeva pacijenti su obično reagovali na topikalno ili sistemsko liječenje imunosupesivima i prekid prim</w:t>
      </w:r>
      <w:r w:rsidR="003E283A" w:rsidRPr="00246D8C">
        <w:rPr>
          <w:sz w:val="22"/>
          <w:szCs w:val="22"/>
          <w:lang w:val="sr-Latn-ME"/>
        </w:rPr>
        <w:t>j</w:t>
      </w:r>
      <w:r w:rsidRPr="00246D8C">
        <w:rPr>
          <w:sz w:val="22"/>
          <w:szCs w:val="22"/>
          <w:lang w:val="sr-Latn-ME"/>
        </w:rPr>
        <w:t>ene inhibitora DPP-4. Ukoliko tokom primjene saksagliptina, pacijent razvije plikove ili erozije na koži ili postoji sumnja na bulozni pemfigoid, prim</w:t>
      </w:r>
      <w:r w:rsidR="003E283A" w:rsidRPr="00246D8C">
        <w:rPr>
          <w:sz w:val="22"/>
          <w:szCs w:val="22"/>
          <w:lang w:val="sr-Latn-ME"/>
        </w:rPr>
        <w:t>j</w:t>
      </w:r>
      <w:r w:rsidRPr="00246D8C">
        <w:rPr>
          <w:sz w:val="22"/>
          <w:szCs w:val="22"/>
          <w:lang w:val="sr-Latn-ME"/>
        </w:rPr>
        <w:t xml:space="preserve">ena ovog lijeka mora se prekinuti i treba razmotriti upućivanje pacijenta dermatologu zbog postavljanja dijagnoze i </w:t>
      </w:r>
      <w:r w:rsidR="003E283A" w:rsidRPr="00246D8C">
        <w:rPr>
          <w:sz w:val="22"/>
          <w:szCs w:val="22"/>
          <w:lang w:val="sr-Latn-ME"/>
        </w:rPr>
        <w:t>adekvatnog</w:t>
      </w:r>
      <w:r w:rsidRPr="00246D8C">
        <w:rPr>
          <w:sz w:val="22"/>
          <w:szCs w:val="22"/>
          <w:lang w:val="sr-Latn-ME"/>
        </w:rPr>
        <w:t xml:space="preserve"> liječenja (vidjeti </w:t>
      </w:r>
      <w:r w:rsidR="003E283A" w:rsidRPr="00246D8C">
        <w:rPr>
          <w:sz w:val="22"/>
          <w:szCs w:val="22"/>
          <w:lang w:val="sr-Latn-ME"/>
        </w:rPr>
        <w:t>dio</w:t>
      </w:r>
      <w:r w:rsidRPr="00246D8C">
        <w:rPr>
          <w:sz w:val="22"/>
          <w:szCs w:val="22"/>
          <w:lang w:val="sr-Latn-ME"/>
        </w:rPr>
        <w:t xml:space="preserve"> 4.8).</w:t>
      </w:r>
    </w:p>
    <w:p w14:paraId="0D284E09" w14:textId="77777777" w:rsidR="001753B1" w:rsidRPr="00246D8C" w:rsidRDefault="001753B1">
      <w:pPr>
        <w:tabs>
          <w:tab w:val="left" w:pos="284"/>
        </w:tabs>
        <w:jc w:val="both"/>
        <w:rPr>
          <w:sz w:val="22"/>
          <w:szCs w:val="22"/>
          <w:lang w:val="sr-Latn-ME"/>
        </w:rPr>
      </w:pPr>
    </w:p>
    <w:p w14:paraId="5E466930" w14:textId="77777777" w:rsidR="001753B1" w:rsidRPr="00246D8C" w:rsidRDefault="001753B1">
      <w:pPr>
        <w:tabs>
          <w:tab w:val="left" w:pos="284"/>
        </w:tabs>
        <w:jc w:val="both"/>
        <w:rPr>
          <w:sz w:val="22"/>
          <w:szCs w:val="22"/>
          <w:u w:val="single"/>
          <w:lang w:val="sr-Latn-ME"/>
        </w:rPr>
      </w:pPr>
      <w:r w:rsidRPr="00246D8C">
        <w:rPr>
          <w:sz w:val="22"/>
          <w:szCs w:val="22"/>
          <w:u w:val="single"/>
          <w:lang w:val="sr-Latn-ME"/>
        </w:rPr>
        <w:t>Srčana insuficijencija</w:t>
      </w:r>
    </w:p>
    <w:p w14:paraId="12ACFCA7" w14:textId="43C3974B" w:rsidR="001753B1" w:rsidRPr="00246D8C" w:rsidRDefault="001753B1" w:rsidP="002D73AD">
      <w:pPr>
        <w:jc w:val="both"/>
        <w:rPr>
          <w:sz w:val="22"/>
          <w:szCs w:val="22"/>
          <w:lang w:val="sr-Latn-ME"/>
        </w:rPr>
      </w:pPr>
      <w:r w:rsidRPr="00246D8C">
        <w:rPr>
          <w:sz w:val="22"/>
          <w:szCs w:val="22"/>
          <w:lang w:val="sr-Latn-ME"/>
        </w:rPr>
        <w:t xml:space="preserve">Iskustvo </w:t>
      </w:r>
      <w:r w:rsidR="003E283A" w:rsidRPr="00246D8C">
        <w:rPr>
          <w:sz w:val="22"/>
          <w:szCs w:val="22"/>
          <w:lang w:val="sr-Latn-ME"/>
        </w:rPr>
        <w:t>kod pacijenata sa srčanom insuficijencijom</w:t>
      </w:r>
      <w:r w:rsidRPr="00246D8C">
        <w:rPr>
          <w:sz w:val="22"/>
          <w:szCs w:val="22"/>
          <w:lang w:val="sr-Latn-ME"/>
        </w:rPr>
        <w:t xml:space="preserve"> NYHA klase I-II je ograničeno. U SAVOR studiji uočeno je malo povećanje učestalosti hospitalizacije usl</w:t>
      </w:r>
      <w:r w:rsidR="003E283A" w:rsidRPr="00246D8C">
        <w:rPr>
          <w:sz w:val="22"/>
          <w:szCs w:val="22"/>
          <w:lang w:val="sr-Latn-ME"/>
        </w:rPr>
        <w:t>j</w:t>
      </w:r>
      <w:r w:rsidRPr="00246D8C">
        <w:rPr>
          <w:sz w:val="22"/>
          <w:szCs w:val="22"/>
          <w:lang w:val="sr-Latn-ME"/>
        </w:rPr>
        <w:t>ed srčane insuficijencije kod pacijenata na saksagliptinu u odnosu na placebo, iako nije utvrđena uzročna povezanost (videti u d</w:t>
      </w:r>
      <w:r w:rsidR="003E283A" w:rsidRPr="00246D8C">
        <w:rPr>
          <w:sz w:val="22"/>
          <w:szCs w:val="22"/>
          <w:lang w:val="sr-Latn-ME"/>
        </w:rPr>
        <w:t>ij</w:t>
      </w:r>
      <w:r w:rsidRPr="00246D8C">
        <w:rPr>
          <w:sz w:val="22"/>
          <w:szCs w:val="22"/>
          <w:lang w:val="sr-Latn-ME"/>
        </w:rPr>
        <w:t xml:space="preserve">elu 5.1). Dodatna analiza nije ukazala na različite efekte u okviru NYHA klase. Preporučuje se oprez </w:t>
      </w:r>
      <w:r w:rsidR="003E283A" w:rsidRPr="00246D8C">
        <w:rPr>
          <w:sz w:val="22"/>
          <w:szCs w:val="22"/>
          <w:lang w:val="sr-Latn-ME"/>
        </w:rPr>
        <w:t xml:space="preserve">ako se lijek Onglyza primjenjuje </w:t>
      </w:r>
      <w:r w:rsidRPr="00246D8C">
        <w:rPr>
          <w:sz w:val="22"/>
          <w:szCs w:val="22"/>
          <w:lang w:val="sr-Latn-ME"/>
        </w:rPr>
        <w:t>kod pacijenata sa poznatim faktorima rizika za hospitalizaciju usl</w:t>
      </w:r>
      <w:r w:rsidR="003E283A" w:rsidRPr="00246D8C">
        <w:rPr>
          <w:sz w:val="22"/>
          <w:szCs w:val="22"/>
          <w:lang w:val="sr-Latn-ME"/>
        </w:rPr>
        <w:t>j</w:t>
      </w:r>
      <w:r w:rsidRPr="00246D8C">
        <w:rPr>
          <w:sz w:val="22"/>
          <w:szCs w:val="22"/>
          <w:lang w:val="sr-Latn-ME"/>
        </w:rPr>
        <w:t>ed srčane insuficijencije, kao što su istorija srčane insuficijencije ili um</w:t>
      </w:r>
      <w:r w:rsidR="003E283A" w:rsidRPr="00246D8C">
        <w:rPr>
          <w:sz w:val="22"/>
          <w:szCs w:val="22"/>
          <w:lang w:val="sr-Latn-ME"/>
        </w:rPr>
        <w:t>j</w:t>
      </w:r>
      <w:r w:rsidRPr="00246D8C">
        <w:rPr>
          <w:sz w:val="22"/>
          <w:szCs w:val="22"/>
          <w:lang w:val="sr-Latn-ME"/>
        </w:rPr>
        <w:t>erena do teška insuficijencija bubrega. Pacijente treba upozoriti na karakteristične simptome srčane insuficijencije koje treba odmah da prijave.</w:t>
      </w:r>
    </w:p>
    <w:p w14:paraId="11654AA4" w14:textId="77777777" w:rsidR="001753B1" w:rsidRPr="00246D8C" w:rsidRDefault="001753B1" w:rsidP="006A7219">
      <w:pPr>
        <w:tabs>
          <w:tab w:val="left" w:pos="284"/>
        </w:tabs>
        <w:jc w:val="both"/>
        <w:rPr>
          <w:sz w:val="22"/>
          <w:szCs w:val="22"/>
          <w:lang w:val="sr-Latn-ME"/>
        </w:rPr>
      </w:pPr>
    </w:p>
    <w:p w14:paraId="75ED435A" w14:textId="77777777" w:rsidR="001753B1" w:rsidRPr="00246D8C" w:rsidRDefault="001753B1" w:rsidP="00F07D95">
      <w:pPr>
        <w:tabs>
          <w:tab w:val="left" w:pos="284"/>
        </w:tabs>
        <w:jc w:val="both"/>
        <w:rPr>
          <w:sz w:val="22"/>
          <w:szCs w:val="22"/>
          <w:u w:val="single"/>
          <w:lang w:val="sr-Latn-ME"/>
        </w:rPr>
      </w:pPr>
      <w:r w:rsidRPr="00246D8C">
        <w:rPr>
          <w:sz w:val="22"/>
          <w:szCs w:val="22"/>
          <w:u w:val="single"/>
          <w:lang w:val="sr-Latn-ME"/>
        </w:rPr>
        <w:t>Artralgija</w:t>
      </w:r>
    </w:p>
    <w:p w14:paraId="1E564E91" w14:textId="48361F76" w:rsidR="001753B1" w:rsidRPr="00246D8C" w:rsidRDefault="001753B1" w:rsidP="003C0336">
      <w:pPr>
        <w:tabs>
          <w:tab w:val="left" w:pos="284"/>
        </w:tabs>
        <w:jc w:val="both"/>
        <w:rPr>
          <w:sz w:val="22"/>
          <w:szCs w:val="22"/>
          <w:lang w:val="sr-Latn-ME"/>
        </w:rPr>
      </w:pPr>
      <w:r w:rsidRPr="00246D8C">
        <w:rPr>
          <w:sz w:val="22"/>
          <w:szCs w:val="22"/>
          <w:lang w:val="sr-Latn-ME"/>
        </w:rPr>
        <w:t>Bol u zglobovima, koji može biti težak, prijavljen je u postmarketinškom periodu za DPP4 inhibitore (vid</w:t>
      </w:r>
      <w:r w:rsidR="003E283A" w:rsidRPr="00246D8C">
        <w:rPr>
          <w:sz w:val="22"/>
          <w:szCs w:val="22"/>
          <w:lang w:val="sr-Latn-ME"/>
        </w:rPr>
        <w:t>j</w:t>
      </w:r>
      <w:r w:rsidRPr="00246D8C">
        <w:rPr>
          <w:sz w:val="22"/>
          <w:szCs w:val="22"/>
          <w:lang w:val="sr-Latn-ME"/>
        </w:rPr>
        <w:t>eti u d</w:t>
      </w:r>
      <w:r w:rsidR="003E283A" w:rsidRPr="00246D8C">
        <w:rPr>
          <w:sz w:val="22"/>
          <w:szCs w:val="22"/>
          <w:lang w:val="sr-Latn-ME"/>
        </w:rPr>
        <w:t>ij</w:t>
      </w:r>
      <w:r w:rsidRPr="00246D8C">
        <w:rPr>
          <w:sz w:val="22"/>
          <w:szCs w:val="22"/>
          <w:lang w:val="sr-Latn-ME"/>
        </w:rPr>
        <w:t>elu 4.8). Nakon prekida terapije simptomi su nestali, dok su se kod nekih pacijentata simptomi ponovo javili nakon uvođenja istog ili nekog drugog DPP4 inhibitora. Simptomi se mogu javiti brzo nakon početka terapije, ili nakon dužeg perioda l</w:t>
      </w:r>
      <w:r w:rsidR="003E283A" w:rsidRPr="00246D8C">
        <w:rPr>
          <w:sz w:val="22"/>
          <w:szCs w:val="22"/>
          <w:lang w:val="sr-Latn-ME"/>
        </w:rPr>
        <w:t>ij</w:t>
      </w:r>
      <w:r w:rsidRPr="00246D8C">
        <w:rPr>
          <w:sz w:val="22"/>
          <w:szCs w:val="22"/>
          <w:lang w:val="sr-Latn-ME"/>
        </w:rPr>
        <w:t>ečenj</w:t>
      </w:r>
      <w:r w:rsidR="003E283A" w:rsidRPr="00246D8C">
        <w:rPr>
          <w:sz w:val="22"/>
          <w:szCs w:val="22"/>
          <w:lang w:val="sr-Latn-ME"/>
        </w:rPr>
        <w:t>a</w:t>
      </w:r>
      <w:r w:rsidRPr="00246D8C">
        <w:rPr>
          <w:sz w:val="22"/>
          <w:szCs w:val="22"/>
          <w:lang w:val="sr-Latn-ME"/>
        </w:rPr>
        <w:t>. Kod pacijenata koji se jave sa tešk</w:t>
      </w:r>
      <w:r w:rsidR="003E283A" w:rsidRPr="00246D8C">
        <w:rPr>
          <w:sz w:val="22"/>
          <w:szCs w:val="22"/>
          <w:lang w:val="sr-Latn-ME"/>
        </w:rPr>
        <w:t>i</w:t>
      </w:r>
      <w:r w:rsidRPr="00246D8C">
        <w:rPr>
          <w:sz w:val="22"/>
          <w:szCs w:val="22"/>
          <w:lang w:val="sr-Latn-ME"/>
        </w:rPr>
        <w:t>m bolom u zglobovima, nastavak terapije treba individualno proc</w:t>
      </w:r>
      <w:r w:rsidR="003E283A" w:rsidRPr="00246D8C">
        <w:rPr>
          <w:sz w:val="22"/>
          <w:szCs w:val="22"/>
          <w:lang w:val="sr-Latn-ME"/>
        </w:rPr>
        <w:t>ij</w:t>
      </w:r>
      <w:r w:rsidRPr="00246D8C">
        <w:rPr>
          <w:sz w:val="22"/>
          <w:szCs w:val="22"/>
          <w:lang w:val="sr-Latn-ME"/>
        </w:rPr>
        <w:t>eniti.</w:t>
      </w:r>
    </w:p>
    <w:p w14:paraId="0A2797D1" w14:textId="77777777" w:rsidR="00A01575" w:rsidRPr="00246D8C" w:rsidRDefault="00A01575" w:rsidP="003C0336">
      <w:pPr>
        <w:tabs>
          <w:tab w:val="left" w:pos="284"/>
        </w:tabs>
        <w:jc w:val="both"/>
        <w:rPr>
          <w:sz w:val="22"/>
          <w:szCs w:val="22"/>
          <w:lang w:val="sr-Latn-ME"/>
        </w:rPr>
      </w:pPr>
    </w:p>
    <w:p w14:paraId="68C4F82D" w14:textId="77777777" w:rsidR="001753B1" w:rsidRPr="00246D8C" w:rsidRDefault="001753B1" w:rsidP="00AE24EE">
      <w:pPr>
        <w:tabs>
          <w:tab w:val="left" w:pos="284"/>
        </w:tabs>
        <w:jc w:val="both"/>
        <w:rPr>
          <w:sz w:val="22"/>
          <w:szCs w:val="22"/>
          <w:u w:val="single"/>
          <w:lang w:val="sr-Latn-ME"/>
        </w:rPr>
      </w:pPr>
      <w:r w:rsidRPr="00246D8C">
        <w:rPr>
          <w:sz w:val="22"/>
          <w:szCs w:val="22"/>
          <w:u w:val="single"/>
          <w:lang w:val="sr-Latn-ME"/>
        </w:rPr>
        <w:t>Imunokompromitovani pacijenti</w:t>
      </w:r>
    </w:p>
    <w:p w14:paraId="6771CFA8" w14:textId="4D3CD590" w:rsidR="001753B1" w:rsidRPr="00246D8C" w:rsidRDefault="001753B1">
      <w:pPr>
        <w:tabs>
          <w:tab w:val="left" w:pos="284"/>
        </w:tabs>
        <w:jc w:val="both"/>
        <w:rPr>
          <w:sz w:val="22"/>
          <w:szCs w:val="22"/>
          <w:lang w:val="sr-Latn-ME"/>
        </w:rPr>
      </w:pPr>
      <w:r w:rsidRPr="00246D8C">
        <w:rPr>
          <w:sz w:val="22"/>
          <w:szCs w:val="22"/>
          <w:lang w:val="sr-Latn-ME"/>
        </w:rPr>
        <w:t>Imunokompromitovani pacijenti, kao što su pacijenti podvrgnuti transplantaciji organa ili pacijenti kod kojih je postavljena dijagnoza sindroma humane imunodeficijencije, ni</w:t>
      </w:r>
      <w:r w:rsidR="003E283A" w:rsidRPr="00246D8C">
        <w:rPr>
          <w:sz w:val="22"/>
          <w:szCs w:val="22"/>
          <w:lang w:val="sr-Latn-ME"/>
        </w:rPr>
        <w:t>je</w:t>
      </w:r>
      <w:r w:rsidRPr="00246D8C">
        <w:rPr>
          <w:sz w:val="22"/>
          <w:szCs w:val="22"/>
          <w:lang w:val="sr-Latn-ME"/>
        </w:rPr>
        <w:t>su ispitivani u okviru programa kliničkih ispitivanja lijeka Onglyza. To znači da profil bezbjednosti i efikasnosti saksagliptina nije ustanovljen kod ovih pacijenata.</w:t>
      </w:r>
    </w:p>
    <w:p w14:paraId="14383CCC" w14:textId="77777777" w:rsidR="001753B1" w:rsidRPr="00246D8C" w:rsidRDefault="001753B1">
      <w:pPr>
        <w:tabs>
          <w:tab w:val="left" w:pos="284"/>
        </w:tabs>
        <w:jc w:val="both"/>
        <w:rPr>
          <w:sz w:val="22"/>
          <w:szCs w:val="22"/>
          <w:lang w:val="sr-Latn-ME"/>
        </w:rPr>
      </w:pPr>
    </w:p>
    <w:p w14:paraId="4C810CA4" w14:textId="77777777" w:rsidR="001753B1" w:rsidRPr="00246D8C" w:rsidRDefault="001753B1">
      <w:pPr>
        <w:tabs>
          <w:tab w:val="left" w:pos="284"/>
        </w:tabs>
        <w:jc w:val="both"/>
        <w:rPr>
          <w:sz w:val="22"/>
          <w:szCs w:val="22"/>
          <w:u w:val="single"/>
          <w:lang w:val="sr-Latn-ME"/>
        </w:rPr>
      </w:pPr>
      <w:r w:rsidRPr="00246D8C">
        <w:rPr>
          <w:sz w:val="22"/>
          <w:szCs w:val="22"/>
          <w:u w:val="single"/>
          <w:lang w:val="sr-Latn-ME"/>
        </w:rPr>
        <w:t xml:space="preserve">Upotreba sa snažnim induktorima CYP 3A4 </w:t>
      </w:r>
    </w:p>
    <w:p w14:paraId="0DCEC1B4" w14:textId="77777777" w:rsidR="001753B1" w:rsidRPr="00246D8C" w:rsidRDefault="001753B1">
      <w:pPr>
        <w:tabs>
          <w:tab w:val="left" w:pos="284"/>
        </w:tabs>
        <w:jc w:val="both"/>
        <w:rPr>
          <w:sz w:val="22"/>
          <w:szCs w:val="22"/>
          <w:lang w:val="sr-Latn-ME"/>
        </w:rPr>
      </w:pPr>
      <w:r w:rsidRPr="00246D8C">
        <w:rPr>
          <w:sz w:val="22"/>
          <w:szCs w:val="22"/>
          <w:lang w:val="sr-Latn-ME"/>
        </w:rPr>
        <w:t>Upotreba snažnih induktora CYP3A4 kao što su karbamazepin, deksametazon, fenobarbital, fenitoin i rifampicin može da smanji uticaj lijeka Onglyza na snižavanje glikemije (vidjeti u dijelu 4.5).</w:t>
      </w:r>
    </w:p>
    <w:p w14:paraId="4FE9CCDD" w14:textId="77777777" w:rsidR="001753B1" w:rsidRPr="00246D8C" w:rsidRDefault="001753B1">
      <w:pPr>
        <w:tabs>
          <w:tab w:val="left" w:pos="284"/>
        </w:tabs>
        <w:jc w:val="both"/>
        <w:rPr>
          <w:sz w:val="22"/>
          <w:szCs w:val="22"/>
          <w:lang w:val="sr-Latn-ME"/>
        </w:rPr>
      </w:pPr>
    </w:p>
    <w:p w14:paraId="57651625" w14:textId="77777777" w:rsidR="001753B1" w:rsidRPr="00246D8C" w:rsidRDefault="001753B1">
      <w:pPr>
        <w:tabs>
          <w:tab w:val="left" w:pos="284"/>
        </w:tabs>
        <w:jc w:val="both"/>
        <w:rPr>
          <w:sz w:val="22"/>
          <w:szCs w:val="22"/>
          <w:u w:val="single"/>
          <w:lang w:val="sr-Latn-ME"/>
        </w:rPr>
      </w:pPr>
      <w:r w:rsidRPr="00246D8C">
        <w:rPr>
          <w:sz w:val="22"/>
          <w:szCs w:val="22"/>
          <w:u w:val="single"/>
          <w:lang w:val="sr-Latn-ME"/>
        </w:rPr>
        <w:t>Laktoza</w:t>
      </w:r>
    </w:p>
    <w:p w14:paraId="020C20AB" w14:textId="5CDB2496" w:rsidR="001753B1" w:rsidRPr="00246D8C" w:rsidRDefault="001753B1" w:rsidP="002D73AD">
      <w:pPr>
        <w:tabs>
          <w:tab w:val="left" w:pos="284"/>
        </w:tabs>
        <w:jc w:val="both"/>
        <w:rPr>
          <w:sz w:val="22"/>
          <w:szCs w:val="22"/>
          <w:lang w:val="sr-Latn-ME"/>
        </w:rPr>
      </w:pPr>
      <w:r w:rsidRPr="00246D8C">
        <w:rPr>
          <w:sz w:val="22"/>
          <w:szCs w:val="22"/>
          <w:lang w:val="sr-Latn-ME"/>
        </w:rPr>
        <w:t>Ove tablete sadrže laktozu monohidrat. Pacijenti sa rijetkim nasljednim oboljenjem netolerancije na galaktozu, nedostatkom Lapp laktaze ili glukoz</w:t>
      </w:r>
      <w:r w:rsidR="006A7219" w:rsidRPr="00246D8C">
        <w:rPr>
          <w:sz w:val="22"/>
          <w:szCs w:val="22"/>
          <w:lang w:val="sr-Latn-ME"/>
        </w:rPr>
        <w:t>no</w:t>
      </w:r>
      <w:r w:rsidRPr="00246D8C">
        <w:rPr>
          <w:sz w:val="22"/>
          <w:szCs w:val="22"/>
          <w:lang w:val="sr-Latn-ME"/>
        </w:rPr>
        <w:noBreakHyphen/>
        <w:t>galaktozn</w:t>
      </w:r>
      <w:r w:rsidR="003E283A" w:rsidRPr="00246D8C">
        <w:rPr>
          <w:sz w:val="22"/>
          <w:szCs w:val="22"/>
          <w:lang w:val="sr-Latn-ME"/>
        </w:rPr>
        <w:t>om</w:t>
      </w:r>
      <w:r w:rsidRPr="00246D8C">
        <w:rPr>
          <w:sz w:val="22"/>
          <w:szCs w:val="22"/>
          <w:lang w:val="sr-Latn-ME"/>
        </w:rPr>
        <w:t xml:space="preserve"> malapsorpci</w:t>
      </w:r>
      <w:r w:rsidR="003E283A" w:rsidRPr="00246D8C">
        <w:rPr>
          <w:sz w:val="22"/>
          <w:szCs w:val="22"/>
          <w:lang w:val="sr-Latn-ME"/>
        </w:rPr>
        <w:t>jom</w:t>
      </w:r>
      <w:r w:rsidRPr="00246D8C">
        <w:rPr>
          <w:sz w:val="22"/>
          <w:szCs w:val="22"/>
          <w:lang w:val="sr-Latn-ME"/>
        </w:rPr>
        <w:t xml:space="preserve"> ne treba da uzimaju ovaj lijek.</w:t>
      </w:r>
    </w:p>
    <w:p w14:paraId="53A35F8D" w14:textId="77777777" w:rsidR="00C10A8B" w:rsidRPr="00246D8C" w:rsidRDefault="00C10A8B" w:rsidP="002D73AD">
      <w:pPr>
        <w:tabs>
          <w:tab w:val="left" w:pos="284"/>
        </w:tabs>
        <w:jc w:val="both"/>
        <w:rPr>
          <w:sz w:val="22"/>
          <w:szCs w:val="22"/>
          <w:lang w:val="sr-Latn-ME"/>
        </w:rPr>
      </w:pPr>
    </w:p>
    <w:p w14:paraId="1559D644" w14:textId="37E893D8" w:rsidR="00C10A8B" w:rsidRPr="00246D8C" w:rsidRDefault="00C10A8B" w:rsidP="002D73AD">
      <w:pPr>
        <w:tabs>
          <w:tab w:val="left" w:pos="284"/>
        </w:tabs>
        <w:jc w:val="both"/>
        <w:rPr>
          <w:sz w:val="22"/>
          <w:szCs w:val="22"/>
          <w:u w:val="single"/>
          <w:lang w:val="sr-Latn-ME"/>
        </w:rPr>
      </w:pPr>
      <w:r w:rsidRPr="00246D8C">
        <w:rPr>
          <w:sz w:val="22"/>
          <w:szCs w:val="22"/>
          <w:u w:val="single"/>
          <w:lang w:val="sr-Latn-ME"/>
        </w:rPr>
        <w:t>Natrijum</w:t>
      </w:r>
    </w:p>
    <w:p w14:paraId="6FF0E147" w14:textId="35201962" w:rsidR="00C10A8B" w:rsidRPr="00246D8C" w:rsidRDefault="00C10A8B" w:rsidP="002D73AD">
      <w:pPr>
        <w:tabs>
          <w:tab w:val="left" w:pos="284"/>
        </w:tabs>
        <w:jc w:val="both"/>
        <w:rPr>
          <w:b/>
          <w:bCs/>
          <w:sz w:val="22"/>
          <w:szCs w:val="22"/>
          <w:lang w:val="sr-Latn-ME"/>
        </w:rPr>
      </w:pPr>
      <w:r w:rsidRPr="00246D8C">
        <w:rPr>
          <w:sz w:val="22"/>
          <w:szCs w:val="22"/>
          <w:lang w:val="sr-Latn-ME"/>
        </w:rPr>
        <w:t>Lijek Onglyza sadrži manje od 1 mmol natrijuma (23 mg) po dozi, odnosno može se smatrati da je „bez natrijuma“.</w:t>
      </w:r>
    </w:p>
    <w:p w14:paraId="15E63903" w14:textId="77777777" w:rsidR="001753B1" w:rsidRPr="00246D8C" w:rsidRDefault="001753B1" w:rsidP="002D73AD">
      <w:pPr>
        <w:tabs>
          <w:tab w:val="left" w:pos="540"/>
          <w:tab w:val="left" w:pos="569"/>
        </w:tabs>
        <w:jc w:val="both"/>
        <w:rPr>
          <w:b/>
          <w:bCs/>
          <w:sz w:val="22"/>
          <w:szCs w:val="22"/>
          <w:lang w:val="sr-Latn-ME"/>
        </w:rPr>
      </w:pPr>
    </w:p>
    <w:p w14:paraId="38704CD0" w14:textId="1308D7E0" w:rsidR="00411B4B" w:rsidRPr="00246D8C" w:rsidRDefault="00411B4B" w:rsidP="002D73AD">
      <w:pPr>
        <w:tabs>
          <w:tab w:val="left" w:pos="540"/>
          <w:tab w:val="left" w:pos="569"/>
        </w:tabs>
        <w:jc w:val="both"/>
        <w:rPr>
          <w:b/>
          <w:bCs/>
          <w:sz w:val="22"/>
          <w:szCs w:val="22"/>
          <w:lang w:val="sr-Latn-ME"/>
        </w:rPr>
      </w:pPr>
      <w:r w:rsidRPr="00246D8C">
        <w:rPr>
          <w:b/>
          <w:bCs/>
          <w:sz w:val="22"/>
          <w:szCs w:val="22"/>
          <w:lang w:val="sr-Latn-ME"/>
        </w:rPr>
        <w:t>4.5.</w:t>
      </w:r>
      <w:r w:rsidR="000D60CC" w:rsidRPr="00246D8C">
        <w:rPr>
          <w:b/>
          <w:bCs/>
          <w:sz w:val="22"/>
          <w:szCs w:val="22"/>
          <w:lang w:val="sr-Latn-ME"/>
        </w:rPr>
        <w:tab/>
      </w:r>
      <w:r w:rsidRPr="00246D8C">
        <w:rPr>
          <w:b/>
          <w:bCs/>
          <w:sz w:val="22"/>
          <w:szCs w:val="22"/>
          <w:lang w:val="sr-Latn-ME"/>
        </w:rPr>
        <w:t>Interakcije sa drugim ljekovima i druge vrste interakcija</w:t>
      </w:r>
    </w:p>
    <w:p w14:paraId="554E61F3" w14:textId="77777777" w:rsidR="003E283A" w:rsidRPr="00246D8C" w:rsidRDefault="003E283A" w:rsidP="002D73AD">
      <w:pPr>
        <w:tabs>
          <w:tab w:val="left" w:pos="540"/>
          <w:tab w:val="left" w:pos="569"/>
        </w:tabs>
        <w:jc w:val="both"/>
        <w:rPr>
          <w:b/>
          <w:bCs/>
          <w:sz w:val="22"/>
          <w:szCs w:val="22"/>
          <w:lang w:val="sr-Latn-ME"/>
        </w:rPr>
      </w:pPr>
    </w:p>
    <w:p w14:paraId="697BE4C0" w14:textId="77777777" w:rsidR="001753B1" w:rsidRPr="00246D8C" w:rsidRDefault="001753B1" w:rsidP="006A7219">
      <w:pPr>
        <w:tabs>
          <w:tab w:val="left" w:pos="284"/>
        </w:tabs>
        <w:jc w:val="both"/>
        <w:rPr>
          <w:sz w:val="22"/>
          <w:szCs w:val="22"/>
          <w:lang w:val="sr-Latn-ME"/>
        </w:rPr>
      </w:pPr>
      <w:r w:rsidRPr="00246D8C">
        <w:rPr>
          <w:sz w:val="22"/>
          <w:szCs w:val="22"/>
          <w:lang w:val="sr-Latn-ME"/>
        </w:rPr>
        <w:t>Dolje opisani klinički podaci ukazuju da je rizik od klinički relevantnih interakcija sa ljekovima koji se istovremeno primjenjuju mali.</w:t>
      </w:r>
    </w:p>
    <w:p w14:paraId="5103783C" w14:textId="77777777" w:rsidR="001753B1" w:rsidRPr="00246D8C" w:rsidRDefault="001753B1" w:rsidP="003C0336">
      <w:pPr>
        <w:tabs>
          <w:tab w:val="left" w:pos="284"/>
        </w:tabs>
        <w:jc w:val="both"/>
        <w:rPr>
          <w:sz w:val="22"/>
          <w:szCs w:val="22"/>
          <w:lang w:val="sr-Latn-ME"/>
        </w:rPr>
      </w:pPr>
    </w:p>
    <w:p w14:paraId="0D287183" w14:textId="77777777" w:rsidR="001753B1" w:rsidRPr="00246D8C" w:rsidRDefault="001753B1" w:rsidP="00AE24EE">
      <w:pPr>
        <w:tabs>
          <w:tab w:val="left" w:pos="284"/>
        </w:tabs>
        <w:jc w:val="both"/>
        <w:rPr>
          <w:sz w:val="22"/>
          <w:szCs w:val="22"/>
          <w:lang w:val="sr-Latn-ME"/>
        </w:rPr>
      </w:pPr>
      <w:r w:rsidRPr="00246D8C">
        <w:rPr>
          <w:sz w:val="22"/>
          <w:szCs w:val="22"/>
          <w:lang w:val="sr-Latn-ME"/>
        </w:rPr>
        <w:t xml:space="preserve">Metabolizam saksagliptina se primarno odvija putem citohroma P450 3A4/5 (CYP3A4/5). </w:t>
      </w:r>
    </w:p>
    <w:p w14:paraId="63976EA7" w14:textId="77777777" w:rsidR="001753B1" w:rsidRPr="00246D8C" w:rsidRDefault="001753B1">
      <w:pPr>
        <w:tabs>
          <w:tab w:val="left" w:pos="284"/>
        </w:tabs>
        <w:jc w:val="both"/>
        <w:rPr>
          <w:sz w:val="22"/>
          <w:szCs w:val="22"/>
          <w:lang w:val="sr-Latn-ME"/>
        </w:rPr>
      </w:pPr>
    </w:p>
    <w:p w14:paraId="437CE21F" w14:textId="677FF10E" w:rsidR="001753B1" w:rsidRPr="00246D8C" w:rsidRDefault="001753B1">
      <w:pPr>
        <w:tabs>
          <w:tab w:val="left" w:pos="284"/>
        </w:tabs>
        <w:jc w:val="both"/>
        <w:rPr>
          <w:sz w:val="22"/>
          <w:szCs w:val="22"/>
          <w:lang w:val="sr-Latn-ME"/>
        </w:rPr>
      </w:pPr>
      <w:r w:rsidRPr="00246D8C">
        <w:rPr>
          <w:sz w:val="22"/>
          <w:szCs w:val="22"/>
          <w:lang w:val="sr-Latn-ME"/>
        </w:rPr>
        <w:t>Istovremena primjena saksagliptina i dugih induktora CYP3A4/5 osim rifampicina (kao što su karbamazepin, deksametazon, fenobarbital i fenitoin) nije ispitivana i ona može da dovede do smanjene koncentracije saksagliptina u plazmi i povećane koncentracije njegovog glavnog metabolita. S obzirom na to da je ovaj metabolit aktivan, konačni efekat na regulisanje glikemije se ne mijenja značajno. Kontrolu glikemije treba pažljivo procjenjivati kada se saksagliptin koristi istovremeno sa nekim snažnim induktorom CYP3A4</w:t>
      </w:r>
      <w:r w:rsidR="006A7219" w:rsidRPr="00246D8C">
        <w:rPr>
          <w:sz w:val="22"/>
          <w:szCs w:val="22"/>
          <w:lang w:val="sr-Latn-ME"/>
        </w:rPr>
        <w:t>/5</w:t>
      </w:r>
      <w:r w:rsidRPr="00246D8C">
        <w:rPr>
          <w:sz w:val="22"/>
          <w:szCs w:val="22"/>
          <w:lang w:val="sr-Latn-ME"/>
        </w:rPr>
        <w:t>.</w:t>
      </w:r>
    </w:p>
    <w:p w14:paraId="28FB96DB" w14:textId="77777777" w:rsidR="001753B1" w:rsidRPr="00246D8C" w:rsidRDefault="001753B1">
      <w:pPr>
        <w:tabs>
          <w:tab w:val="left" w:pos="284"/>
        </w:tabs>
        <w:jc w:val="both"/>
        <w:rPr>
          <w:sz w:val="22"/>
          <w:szCs w:val="22"/>
          <w:lang w:val="sr-Latn-ME"/>
        </w:rPr>
      </w:pPr>
    </w:p>
    <w:p w14:paraId="56D70FFF" w14:textId="5E176FF9" w:rsidR="001753B1" w:rsidRPr="00246D8C" w:rsidRDefault="001753B1">
      <w:pPr>
        <w:tabs>
          <w:tab w:val="left" w:pos="284"/>
        </w:tabs>
        <w:jc w:val="both"/>
        <w:rPr>
          <w:sz w:val="22"/>
          <w:szCs w:val="22"/>
          <w:lang w:val="sr-Latn-ME"/>
        </w:rPr>
      </w:pPr>
      <w:r w:rsidRPr="00246D8C">
        <w:rPr>
          <w:sz w:val="22"/>
          <w:szCs w:val="22"/>
          <w:lang w:val="sr-Latn-ME"/>
        </w:rPr>
        <w:t>Istovremena primjena saksagliptina i diltiazema, umjerenog inhibitora CYP3A4/5, povećala je</w:t>
      </w:r>
      <w:r w:rsidR="006702E5" w:rsidRPr="00246D8C">
        <w:rPr>
          <w:sz w:val="22"/>
          <w:szCs w:val="22"/>
          <w:lang w:val="sr-Latn-ME"/>
        </w:rPr>
        <w:t xml:space="preserve"> </w:t>
      </w:r>
      <w:r w:rsidRPr="00246D8C">
        <w:rPr>
          <w:sz w:val="22"/>
          <w:szCs w:val="22"/>
          <w:lang w:val="sr-Latn-ME"/>
        </w:rPr>
        <w:t>C</w:t>
      </w:r>
      <w:r w:rsidRPr="00246D8C">
        <w:rPr>
          <w:sz w:val="22"/>
          <w:szCs w:val="22"/>
          <w:vertAlign w:val="subscript"/>
          <w:lang w:val="sr-Latn-ME"/>
        </w:rPr>
        <w:t>max</w:t>
      </w:r>
      <w:r w:rsidRPr="00246D8C">
        <w:rPr>
          <w:sz w:val="22"/>
          <w:szCs w:val="22"/>
          <w:lang w:val="sr-Latn-ME"/>
        </w:rPr>
        <w:t xml:space="preserve"> i PIK saksagliptina za 63% odnosno 2.1 puta, a odgovarajuće vrijednosti aktivnog metabolita su bile smanjene za 44% odnosno 34%.</w:t>
      </w:r>
    </w:p>
    <w:p w14:paraId="138D8B92" w14:textId="77777777" w:rsidR="001753B1" w:rsidRPr="00246D8C" w:rsidRDefault="001753B1">
      <w:pPr>
        <w:tabs>
          <w:tab w:val="left" w:pos="284"/>
        </w:tabs>
        <w:jc w:val="both"/>
        <w:rPr>
          <w:sz w:val="22"/>
          <w:szCs w:val="22"/>
          <w:lang w:val="sr-Latn-ME"/>
        </w:rPr>
      </w:pPr>
    </w:p>
    <w:p w14:paraId="3538C1D5" w14:textId="77777777" w:rsidR="001753B1" w:rsidRPr="00246D8C" w:rsidRDefault="001753B1" w:rsidP="002D73AD">
      <w:pPr>
        <w:jc w:val="both"/>
        <w:rPr>
          <w:sz w:val="22"/>
          <w:szCs w:val="22"/>
          <w:lang w:val="sr-Latn-ME"/>
        </w:rPr>
      </w:pPr>
      <w:r w:rsidRPr="00246D8C">
        <w:rPr>
          <w:sz w:val="22"/>
          <w:szCs w:val="22"/>
          <w:lang w:val="sr-Latn-ME"/>
        </w:rPr>
        <w:t>Istovremena primjena saksagliptina sa snažnim inhibitorom CYP3A4/5 ketokonazolom, povećala je C</w:t>
      </w:r>
      <w:r w:rsidRPr="00246D8C">
        <w:rPr>
          <w:sz w:val="22"/>
          <w:szCs w:val="22"/>
          <w:vertAlign w:val="subscript"/>
          <w:lang w:val="sr-Latn-ME"/>
        </w:rPr>
        <w:t>max</w:t>
      </w:r>
      <w:r w:rsidRPr="00246D8C">
        <w:rPr>
          <w:sz w:val="22"/>
          <w:szCs w:val="22"/>
          <w:lang w:val="sr-Latn-ME"/>
        </w:rPr>
        <w:t xml:space="preserve"> i PIK saksagliptina za 62% odnosno 2.5 puta, a odgovarajuće vrijednosti aktivnog metabolita su bile smanjene za 95% odnosno 88%.</w:t>
      </w:r>
    </w:p>
    <w:p w14:paraId="5D70CC56" w14:textId="77777777" w:rsidR="001753B1" w:rsidRPr="00246D8C" w:rsidRDefault="001753B1" w:rsidP="006A7219">
      <w:pPr>
        <w:tabs>
          <w:tab w:val="left" w:pos="284"/>
        </w:tabs>
        <w:jc w:val="both"/>
        <w:rPr>
          <w:sz w:val="22"/>
          <w:szCs w:val="22"/>
          <w:lang w:val="sr-Latn-ME"/>
        </w:rPr>
      </w:pPr>
    </w:p>
    <w:p w14:paraId="4B5BF5C7" w14:textId="77777777" w:rsidR="001753B1" w:rsidRPr="00246D8C" w:rsidRDefault="001753B1" w:rsidP="003C0336">
      <w:pPr>
        <w:tabs>
          <w:tab w:val="left" w:pos="284"/>
        </w:tabs>
        <w:jc w:val="both"/>
        <w:rPr>
          <w:sz w:val="22"/>
          <w:szCs w:val="22"/>
          <w:lang w:val="sr-Latn-ME"/>
        </w:rPr>
      </w:pPr>
      <w:r w:rsidRPr="00246D8C">
        <w:rPr>
          <w:sz w:val="22"/>
          <w:szCs w:val="22"/>
          <w:lang w:val="sr-Latn-ME"/>
        </w:rPr>
        <w:t>Istovremena primjena saksagliptina sa snažnim induktorom CYP3A4/5 rifampicinom, smanjila je C</w:t>
      </w:r>
      <w:r w:rsidRPr="00246D8C">
        <w:rPr>
          <w:sz w:val="22"/>
          <w:szCs w:val="22"/>
          <w:vertAlign w:val="subscript"/>
          <w:lang w:val="sr-Latn-ME"/>
        </w:rPr>
        <w:t>max</w:t>
      </w:r>
      <w:r w:rsidRPr="00246D8C">
        <w:rPr>
          <w:sz w:val="22"/>
          <w:szCs w:val="22"/>
          <w:lang w:val="sr-Latn-ME"/>
        </w:rPr>
        <w:t xml:space="preserve"> i PIK saksagliptina za 53% odnosno 76%. Rifampicin nije uticao na izloženost aktivnog metabolita i inhibiciju aktivnosti DPP4 u plazmi tokom intervala doziranja (vidjeti u dijelu 4.4).</w:t>
      </w:r>
    </w:p>
    <w:p w14:paraId="21F0BAC5" w14:textId="77777777" w:rsidR="001753B1" w:rsidRPr="00246D8C" w:rsidRDefault="001753B1" w:rsidP="00AE24EE">
      <w:pPr>
        <w:tabs>
          <w:tab w:val="left" w:pos="284"/>
        </w:tabs>
        <w:jc w:val="both"/>
        <w:rPr>
          <w:sz w:val="22"/>
          <w:szCs w:val="22"/>
          <w:lang w:val="sr-Latn-ME"/>
        </w:rPr>
      </w:pPr>
    </w:p>
    <w:p w14:paraId="2B39EB7D" w14:textId="442F895C" w:rsidR="001753B1" w:rsidRPr="00246D8C" w:rsidRDefault="001753B1" w:rsidP="00AE24EE">
      <w:pPr>
        <w:tabs>
          <w:tab w:val="left" w:pos="284"/>
        </w:tabs>
        <w:jc w:val="both"/>
        <w:rPr>
          <w:sz w:val="22"/>
          <w:szCs w:val="22"/>
          <w:lang w:val="sr-Latn-ME"/>
        </w:rPr>
      </w:pPr>
      <w:r w:rsidRPr="00246D8C">
        <w:rPr>
          <w:sz w:val="22"/>
          <w:szCs w:val="22"/>
          <w:lang w:val="sr-Latn-ME"/>
        </w:rPr>
        <w:t xml:space="preserve">U </w:t>
      </w:r>
      <w:r w:rsidRPr="00246D8C">
        <w:rPr>
          <w:i/>
          <w:iCs/>
          <w:sz w:val="22"/>
          <w:szCs w:val="22"/>
          <w:lang w:val="sr-Latn-ME"/>
        </w:rPr>
        <w:t>in vitro</w:t>
      </w:r>
      <w:r w:rsidRPr="00246D8C">
        <w:rPr>
          <w:sz w:val="22"/>
          <w:szCs w:val="22"/>
          <w:lang w:val="sr-Latn-ME"/>
        </w:rPr>
        <w:t xml:space="preserve"> studijama, saksagliptin i njegov najvažniji metabolit ni</w:t>
      </w:r>
      <w:r w:rsidR="006A7219" w:rsidRPr="00246D8C">
        <w:rPr>
          <w:sz w:val="22"/>
          <w:szCs w:val="22"/>
          <w:lang w:val="sr-Latn-ME"/>
        </w:rPr>
        <w:t>je</w:t>
      </w:r>
      <w:r w:rsidRPr="00246D8C">
        <w:rPr>
          <w:sz w:val="22"/>
          <w:szCs w:val="22"/>
          <w:lang w:val="sr-Latn-ME"/>
        </w:rPr>
        <w:t xml:space="preserve">su ni inhibirali CYP1A2, 2A6, 2B6, </w:t>
      </w:r>
      <w:r w:rsidR="006A7219" w:rsidRPr="00246D8C">
        <w:rPr>
          <w:sz w:val="22"/>
          <w:szCs w:val="22"/>
          <w:lang w:val="sr-Latn-ME"/>
        </w:rPr>
        <w:t xml:space="preserve">2C8, </w:t>
      </w:r>
      <w:r w:rsidRPr="00246D8C">
        <w:rPr>
          <w:sz w:val="22"/>
          <w:szCs w:val="22"/>
          <w:lang w:val="sr-Latn-ME"/>
        </w:rPr>
        <w:t>2C9, 2C19, 2D6, 2E1 ili 3A4 niti indukovali CYP1A2, 2B6, 2C9 ili 3A4. U studijama sprovedenim kod zdravih ispitanika, farmakokinetika saksagliptina niti njegovog glavnog metabolita nije bila značajnije promijenjena primjenom metformina, glibenklamida, pioglitazona, digoksina, simvastatina, omeprazola, antacida ili famotidina. Osim toga, saksagliptin nije značajnije mijenjao farmakokinetiku metformina, glibenklamida, pioglitazona, digoksina, simvastatina, aktivnih komponenata kombinovanog oralnog kontraceptiva (etinil estradiol i norgestimat),</w:t>
      </w:r>
      <w:r w:rsidR="006702E5" w:rsidRPr="00246D8C">
        <w:rPr>
          <w:sz w:val="22"/>
          <w:szCs w:val="22"/>
          <w:lang w:val="sr-Latn-ME"/>
        </w:rPr>
        <w:t xml:space="preserve"> </w:t>
      </w:r>
      <w:r w:rsidRPr="00246D8C">
        <w:rPr>
          <w:sz w:val="22"/>
          <w:szCs w:val="22"/>
          <w:lang w:val="sr-Latn-ME"/>
        </w:rPr>
        <w:t>diltiazema ili ketokonazola.</w:t>
      </w:r>
    </w:p>
    <w:p w14:paraId="546372BE" w14:textId="77777777" w:rsidR="006A7219" w:rsidRPr="00246D8C" w:rsidRDefault="006A7219" w:rsidP="00AE24EE">
      <w:pPr>
        <w:tabs>
          <w:tab w:val="left" w:pos="284"/>
        </w:tabs>
        <w:jc w:val="both"/>
        <w:rPr>
          <w:sz w:val="22"/>
          <w:szCs w:val="22"/>
          <w:lang w:val="sr-Latn-ME"/>
        </w:rPr>
      </w:pPr>
    </w:p>
    <w:p w14:paraId="680BDEAB" w14:textId="77777777" w:rsidR="001753B1" w:rsidRPr="00246D8C" w:rsidRDefault="001753B1" w:rsidP="00AE24EE">
      <w:pPr>
        <w:tabs>
          <w:tab w:val="left" w:pos="284"/>
        </w:tabs>
        <w:jc w:val="both"/>
        <w:rPr>
          <w:sz w:val="22"/>
          <w:szCs w:val="22"/>
          <w:lang w:val="sr-Latn-ME"/>
        </w:rPr>
      </w:pPr>
      <w:r w:rsidRPr="00246D8C">
        <w:rPr>
          <w:sz w:val="22"/>
          <w:szCs w:val="22"/>
          <w:lang w:val="sr-Latn-ME"/>
        </w:rPr>
        <w:t>Uticaj pušenja, načina ishrane, biljnih proizvoda i alkohola na farmakokinetiku saksagliptina nije posebno ispitivan.</w:t>
      </w:r>
    </w:p>
    <w:p w14:paraId="0B7D859F" w14:textId="77777777" w:rsidR="001753B1" w:rsidRPr="00246D8C" w:rsidRDefault="001753B1" w:rsidP="002D73AD">
      <w:pPr>
        <w:tabs>
          <w:tab w:val="left" w:pos="540"/>
          <w:tab w:val="left" w:pos="569"/>
        </w:tabs>
        <w:jc w:val="both"/>
        <w:rPr>
          <w:bCs/>
          <w:sz w:val="22"/>
          <w:szCs w:val="22"/>
          <w:lang w:val="sr-Latn-ME"/>
        </w:rPr>
      </w:pPr>
    </w:p>
    <w:p w14:paraId="6CA7718B" w14:textId="77777777" w:rsidR="0072020E" w:rsidRPr="00246D8C" w:rsidRDefault="0072020E" w:rsidP="002D73AD">
      <w:pPr>
        <w:tabs>
          <w:tab w:val="left" w:pos="540"/>
          <w:tab w:val="left" w:pos="569"/>
        </w:tabs>
        <w:jc w:val="both"/>
        <w:rPr>
          <w:b/>
          <w:sz w:val="22"/>
          <w:szCs w:val="22"/>
          <w:lang w:val="sr-Latn-ME"/>
        </w:rPr>
      </w:pPr>
      <w:r w:rsidRPr="00246D8C">
        <w:rPr>
          <w:b/>
          <w:bCs/>
          <w:sz w:val="22"/>
          <w:szCs w:val="22"/>
          <w:lang w:val="sr-Latn-ME"/>
        </w:rPr>
        <w:t xml:space="preserve">4.6. </w:t>
      </w:r>
      <w:r w:rsidR="00480FB1" w:rsidRPr="00246D8C">
        <w:rPr>
          <w:b/>
          <w:bCs/>
          <w:sz w:val="22"/>
          <w:szCs w:val="22"/>
          <w:lang w:val="sr-Latn-ME"/>
        </w:rPr>
        <w:tab/>
      </w:r>
      <w:r w:rsidR="006D20A5" w:rsidRPr="00246D8C">
        <w:rPr>
          <w:b/>
          <w:sz w:val="22"/>
          <w:szCs w:val="22"/>
          <w:lang w:val="sr-Latn-ME"/>
        </w:rPr>
        <w:t>Plodnost, trudnoća i dojenje</w:t>
      </w:r>
    </w:p>
    <w:p w14:paraId="6EBBCA18" w14:textId="77777777" w:rsidR="002031B3" w:rsidRPr="00246D8C" w:rsidRDefault="002031B3" w:rsidP="002D73AD">
      <w:pPr>
        <w:tabs>
          <w:tab w:val="left" w:pos="540"/>
          <w:tab w:val="left" w:pos="569"/>
        </w:tabs>
        <w:jc w:val="both"/>
        <w:rPr>
          <w:sz w:val="22"/>
          <w:szCs w:val="22"/>
          <w:u w:val="single"/>
          <w:lang w:val="sr-Latn-ME"/>
        </w:rPr>
      </w:pPr>
    </w:p>
    <w:p w14:paraId="3DBFFFB4" w14:textId="37DBAC15" w:rsidR="006A7219" w:rsidRPr="00246D8C" w:rsidRDefault="006A7219" w:rsidP="006A7219">
      <w:pPr>
        <w:tabs>
          <w:tab w:val="left" w:pos="284"/>
        </w:tabs>
        <w:jc w:val="both"/>
        <w:rPr>
          <w:sz w:val="22"/>
          <w:szCs w:val="22"/>
          <w:u w:val="single"/>
          <w:lang w:val="sr-Latn-ME"/>
        </w:rPr>
      </w:pPr>
      <w:r w:rsidRPr="00246D8C">
        <w:rPr>
          <w:sz w:val="22"/>
          <w:szCs w:val="22"/>
          <w:u w:val="single"/>
          <w:lang w:val="sr-Latn-ME"/>
        </w:rPr>
        <w:t>Plodnost</w:t>
      </w:r>
    </w:p>
    <w:p w14:paraId="09C1672C" w14:textId="01657DF2" w:rsidR="006A7219" w:rsidRPr="00246D8C" w:rsidRDefault="006A7219" w:rsidP="006A7219">
      <w:pPr>
        <w:tabs>
          <w:tab w:val="left" w:pos="0"/>
        </w:tabs>
        <w:jc w:val="both"/>
        <w:rPr>
          <w:sz w:val="22"/>
          <w:szCs w:val="22"/>
          <w:lang w:val="sr-Latn-ME"/>
        </w:rPr>
      </w:pPr>
      <w:r w:rsidRPr="00246D8C">
        <w:rPr>
          <w:sz w:val="22"/>
          <w:szCs w:val="22"/>
          <w:lang w:val="sr-Latn-ME"/>
        </w:rPr>
        <w:t>Uticaj saksagliptina na fertilitet kod ljudi nije ispitivan. Uticaj na plodnost je zabilježen kod mužjaka i ženki pacova koji su dobijali veoma visoke doze, značajno više od preporučenih doza za čovjeka, koje su izazvale znakove toksičnosti (vidjeti u dijelu 5.3).</w:t>
      </w:r>
    </w:p>
    <w:p w14:paraId="4D871BD9" w14:textId="77777777" w:rsidR="006A7219" w:rsidRPr="00246D8C" w:rsidRDefault="006A7219" w:rsidP="006A7219">
      <w:pPr>
        <w:tabs>
          <w:tab w:val="left" w:pos="540"/>
          <w:tab w:val="left" w:pos="569"/>
        </w:tabs>
        <w:ind w:left="540" w:hanging="540"/>
        <w:jc w:val="both"/>
        <w:rPr>
          <w:sz w:val="22"/>
          <w:szCs w:val="22"/>
          <w:lang w:val="sr-Latn-ME"/>
        </w:rPr>
      </w:pPr>
    </w:p>
    <w:p w14:paraId="0BED2E11" w14:textId="77777777" w:rsidR="001753B1" w:rsidRPr="00246D8C" w:rsidRDefault="001753B1" w:rsidP="006A7219">
      <w:pPr>
        <w:tabs>
          <w:tab w:val="left" w:pos="284"/>
        </w:tabs>
        <w:jc w:val="both"/>
        <w:rPr>
          <w:sz w:val="22"/>
          <w:szCs w:val="22"/>
          <w:u w:val="single"/>
          <w:lang w:val="sr-Latn-ME"/>
        </w:rPr>
      </w:pPr>
      <w:r w:rsidRPr="00246D8C">
        <w:rPr>
          <w:sz w:val="22"/>
          <w:szCs w:val="22"/>
          <w:u w:val="single"/>
          <w:lang w:val="sr-Latn-ME"/>
        </w:rPr>
        <w:t>Trudnoća</w:t>
      </w:r>
    </w:p>
    <w:p w14:paraId="250D0A55" w14:textId="77777777" w:rsidR="001753B1" w:rsidRPr="00246D8C" w:rsidRDefault="001753B1" w:rsidP="00F07D95">
      <w:pPr>
        <w:tabs>
          <w:tab w:val="left" w:pos="284"/>
        </w:tabs>
        <w:jc w:val="both"/>
        <w:rPr>
          <w:sz w:val="22"/>
          <w:szCs w:val="22"/>
          <w:lang w:val="sr-Latn-ME"/>
        </w:rPr>
      </w:pPr>
      <w:r w:rsidRPr="00246D8C">
        <w:rPr>
          <w:sz w:val="22"/>
          <w:szCs w:val="22"/>
          <w:lang w:val="sr-Latn-ME"/>
        </w:rPr>
        <w:t xml:space="preserve">Upotreba saksagliptina nije ispitivana kod trudnica. Studije sprovedene na životinjama su pokazale reproduktivnu toksičnost pri primjeni veoma visokih doza, značajno viših od preporučenih doza za </w:t>
      </w:r>
      <w:r w:rsidRPr="00246D8C">
        <w:rPr>
          <w:sz w:val="22"/>
          <w:szCs w:val="22"/>
          <w:lang w:val="sr-Latn-ME"/>
        </w:rPr>
        <w:lastRenderedPageBreak/>
        <w:t>čovjeka (vidjeti u dijelu 5.3). Potencijalni rizik za ljude nije poznat. Lijek Onglyza ne treba koristiti tokom trudnoće osim ukoliko to nije apsolutno neophodno.</w:t>
      </w:r>
    </w:p>
    <w:p w14:paraId="005235A6" w14:textId="77777777" w:rsidR="001753B1" w:rsidRPr="00246D8C" w:rsidRDefault="001753B1" w:rsidP="003C0336">
      <w:pPr>
        <w:tabs>
          <w:tab w:val="left" w:pos="284"/>
        </w:tabs>
        <w:jc w:val="both"/>
        <w:rPr>
          <w:sz w:val="22"/>
          <w:szCs w:val="22"/>
          <w:lang w:val="sr-Latn-ME"/>
        </w:rPr>
      </w:pPr>
    </w:p>
    <w:p w14:paraId="6CE0E1D1" w14:textId="77777777" w:rsidR="001753B1" w:rsidRPr="00246D8C" w:rsidRDefault="001753B1" w:rsidP="00AE24EE">
      <w:pPr>
        <w:tabs>
          <w:tab w:val="left" w:pos="284"/>
        </w:tabs>
        <w:jc w:val="both"/>
        <w:rPr>
          <w:sz w:val="22"/>
          <w:szCs w:val="22"/>
          <w:u w:val="single"/>
          <w:lang w:val="sr-Latn-ME"/>
        </w:rPr>
      </w:pPr>
      <w:r w:rsidRPr="00246D8C">
        <w:rPr>
          <w:sz w:val="22"/>
          <w:szCs w:val="22"/>
          <w:u w:val="single"/>
          <w:lang w:val="sr-Latn-ME"/>
        </w:rPr>
        <w:t>Dojenje</w:t>
      </w:r>
    </w:p>
    <w:p w14:paraId="0A43F7D5" w14:textId="77777777" w:rsidR="001753B1" w:rsidRPr="00246D8C" w:rsidRDefault="001753B1">
      <w:pPr>
        <w:tabs>
          <w:tab w:val="left" w:pos="284"/>
        </w:tabs>
        <w:jc w:val="both"/>
        <w:rPr>
          <w:sz w:val="22"/>
          <w:szCs w:val="22"/>
          <w:lang w:val="sr-Latn-ME"/>
        </w:rPr>
      </w:pPr>
      <w:r w:rsidRPr="00246D8C">
        <w:rPr>
          <w:sz w:val="22"/>
          <w:szCs w:val="22"/>
          <w:lang w:val="sr-Latn-ME"/>
        </w:rPr>
        <w:t>Nije poznato da li se saksagliptin izlučuje u humano mlijeko. Studije na životinjama su pokazale da dolazi do ekskrecije saksagliptina i/ili njegovog metabolita u mlijeko. Rizik za dijete koje sisa se ne može isključiti. Neophodno je donijeti odluku da li treba prekinuti dojenje ili prekinuti terapiju uzimajući koristi od dojenja za dijete i korist od terapije za majku.</w:t>
      </w:r>
    </w:p>
    <w:p w14:paraId="746ECDDD" w14:textId="77777777" w:rsidR="001753B1" w:rsidRPr="00246D8C" w:rsidRDefault="001753B1" w:rsidP="002D73AD">
      <w:pPr>
        <w:tabs>
          <w:tab w:val="left" w:pos="540"/>
          <w:tab w:val="left" w:pos="569"/>
        </w:tabs>
        <w:ind w:left="540" w:hanging="540"/>
        <w:jc w:val="both"/>
        <w:rPr>
          <w:b/>
          <w:bCs/>
          <w:sz w:val="22"/>
          <w:szCs w:val="22"/>
          <w:lang w:val="sr-Latn-ME"/>
        </w:rPr>
      </w:pPr>
    </w:p>
    <w:p w14:paraId="5A9C6A38" w14:textId="77777777" w:rsidR="0072020E" w:rsidRPr="00246D8C" w:rsidRDefault="0072020E" w:rsidP="002D73AD">
      <w:pPr>
        <w:tabs>
          <w:tab w:val="left" w:pos="540"/>
          <w:tab w:val="left" w:pos="569"/>
        </w:tabs>
        <w:ind w:left="540" w:hanging="540"/>
        <w:jc w:val="both"/>
        <w:rPr>
          <w:b/>
          <w:bCs/>
          <w:sz w:val="22"/>
          <w:szCs w:val="22"/>
          <w:lang w:val="sr-Latn-ME"/>
        </w:rPr>
      </w:pPr>
      <w:r w:rsidRPr="00246D8C">
        <w:rPr>
          <w:b/>
          <w:bCs/>
          <w:sz w:val="22"/>
          <w:szCs w:val="22"/>
          <w:lang w:val="sr-Latn-ME"/>
        </w:rPr>
        <w:t xml:space="preserve">4.7. </w:t>
      </w:r>
      <w:r w:rsidR="00480FB1" w:rsidRPr="00246D8C">
        <w:rPr>
          <w:b/>
          <w:bCs/>
          <w:sz w:val="22"/>
          <w:szCs w:val="22"/>
          <w:lang w:val="sr-Latn-ME"/>
        </w:rPr>
        <w:tab/>
      </w:r>
      <w:r w:rsidRPr="00246D8C">
        <w:rPr>
          <w:b/>
          <w:bCs/>
          <w:sz w:val="22"/>
          <w:szCs w:val="22"/>
          <w:lang w:val="sr-Latn-ME"/>
        </w:rPr>
        <w:t xml:space="preserve">Uticaj na </w:t>
      </w:r>
      <w:r w:rsidR="002031B3" w:rsidRPr="00246D8C">
        <w:rPr>
          <w:b/>
          <w:bCs/>
          <w:sz w:val="22"/>
          <w:szCs w:val="22"/>
          <w:lang w:val="sr-Latn-ME"/>
        </w:rPr>
        <w:t xml:space="preserve">sposobnost </w:t>
      </w:r>
      <w:r w:rsidR="00F34554" w:rsidRPr="00246D8C">
        <w:rPr>
          <w:b/>
          <w:bCs/>
          <w:sz w:val="22"/>
          <w:szCs w:val="22"/>
          <w:lang w:val="sr-Latn-ME"/>
        </w:rPr>
        <w:t>upravljanja vozili</w:t>
      </w:r>
      <w:r w:rsidRPr="00246D8C">
        <w:rPr>
          <w:b/>
          <w:bCs/>
          <w:sz w:val="22"/>
          <w:szCs w:val="22"/>
          <w:lang w:val="sr-Latn-ME"/>
        </w:rPr>
        <w:t>m</w:t>
      </w:r>
      <w:r w:rsidR="00F34554" w:rsidRPr="00246D8C">
        <w:rPr>
          <w:b/>
          <w:bCs/>
          <w:sz w:val="22"/>
          <w:szCs w:val="22"/>
          <w:lang w:val="sr-Latn-ME"/>
        </w:rPr>
        <w:t>a</w:t>
      </w:r>
      <w:r w:rsidRPr="00246D8C">
        <w:rPr>
          <w:b/>
          <w:bCs/>
          <w:sz w:val="22"/>
          <w:szCs w:val="22"/>
          <w:lang w:val="sr-Latn-ME"/>
        </w:rPr>
        <w:t xml:space="preserve"> i </w:t>
      </w:r>
      <w:r w:rsidR="000D3449" w:rsidRPr="00246D8C">
        <w:rPr>
          <w:b/>
          <w:bCs/>
          <w:sz w:val="22"/>
          <w:szCs w:val="22"/>
          <w:lang w:val="sr-Latn-ME"/>
        </w:rPr>
        <w:t xml:space="preserve">rukovanje </w:t>
      </w:r>
      <w:r w:rsidRPr="00246D8C">
        <w:rPr>
          <w:b/>
          <w:bCs/>
          <w:sz w:val="22"/>
          <w:szCs w:val="22"/>
          <w:lang w:val="sr-Latn-ME"/>
        </w:rPr>
        <w:t>mašinama</w:t>
      </w:r>
    </w:p>
    <w:p w14:paraId="3DA3BBD6" w14:textId="13329334" w:rsidR="0072020E" w:rsidRPr="00246D8C" w:rsidRDefault="0072020E" w:rsidP="002D73AD">
      <w:pPr>
        <w:tabs>
          <w:tab w:val="left" w:pos="540"/>
          <w:tab w:val="left" w:pos="569"/>
        </w:tabs>
        <w:jc w:val="both"/>
        <w:rPr>
          <w:b/>
          <w:bCs/>
          <w:sz w:val="22"/>
          <w:szCs w:val="22"/>
          <w:lang w:val="sr-Latn-ME"/>
        </w:rPr>
      </w:pPr>
    </w:p>
    <w:p w14:paraId="131851D7" w14:textId="77777777" w:rsidR="001753B1" w:rsidRPr="00246D8C" w:rsidRDefault="001753B1" w:rsidP="006A7219">
      <w:pPr>
        <w:jc w:val="both"/>
        <w:rPr>
          <w:sz w:val="22"/>
          <w:szCs w:val="22"/>
          <w:lang w:val="sr-Latn-ME"/>
        </w:rPr>
      </w:pPr>
      <w:r w:rsidRPr="00246D8C">
        <w:rPr>
          <w:sz w:val="22"/>
          <w:szCs w:val="22"/>
          <w:lang w:val="sr-Latn-ME"/>
        </w:rPr>
        <w:t>Lijek Onglyza može da ima zanemarljiv uticaj na sposobnost upravljanja motornim vozilima i rukovanja mašinama.</w:t>
      </w:r>
    </w:p>
    <w:p w14:paraId="27085FC7" w14:textId="77777777" w:rsidR="001753B1" w:rsidRPr="00246D8C" w:rsidRDefault="001753B1" w:rsidP="003C0336">
      <w:pPr>
        <w:jc w:val="both"/>
        <w:rPr>
          <w:sz w:val="22"/>
          <w:szCs w:val="22"/>
          <w:lang w:val="sr-Latn-ME"/>
        </w:rPr>
      </w:pPr>
    </w:p>
    <w:p w14:paraId="074F1164" w14:textId="77777777" w:rsidR="001753B1" w:rsidRPr="00246D8C" w:rsidRDefault="001753B1" w:rsidP="003C0336">
      <w:pPr>
        <w:tabs>
          <w:tab w:val="left" w:pos="284"/>
        </w:tabs>
        <w:jc w:val="both"/>
        <w:rPr>
          <w:sz w:val="22"/>
          <w:szCs w:val="22"/>
          <w:lang w:val="sr-Latn-ME"/>
        </w:rPr>
      </w:pPr>
      <w:r w:rsidRPr="00246D8C">
        <w:rPr>
          <w:sz w:val="22"/>
          <w:szCs w:val="22"/>
          <w:lang w:val="sr-Latn-ME"/>
        </w:rPr>
        <w:t>Tokom upravljanja motornim vozilima ili rukovanja mašinama treba imati u vidu da je u studijama sa saksagliptinom zabilježena vrtoglavica.</w:t>
      </w:r>
    </w:p>
    <w:p w14:paraId="7F5AD05D" w14:textId="77777777" w:rsidR="001753B1" w:rsidRPr="00246D8C" w:rsidRDefault="001753B1" w:rsidP="00AE24EE">
      <w:pPr>
        <w:tabs>
          <w:tab w:val="left" w:pos="284"/>
        </w:tabs>
        <w:jc w:val="both"/>
        <w:rPr>
          <w:sz w:val="22"/>
          <w:szCs w:val="22"/>
          <w:lang w:val="sr-Latn-ME"/>
        </w:rPr>
      </w:pPr>
    </w:p>
    <w:p w14:paraId="1645E96A" w14:textId="73B3281A" w:rsidR="001753B1" w:rsidRPr="00246D8C" w:rsidRDefault="001753B1" w:rsidP="002D73AD">
      <w:pPr>
        <w:tabs>
          <w:tab w:val="left" w:pos="540"/>
          <w:tab w:val="left" w:pos="569"/>
        </w:tabs>
        <w:jc w:val="both"/>
        <w:rPr>
          <w:sz w:val="22"/>
          <w:szCs w:val="22"/>
          <w:lang w:val="sr-Latn-ME"/>
        </w:rPr>
      </w:pPr>
      <w:r w:rsidRPr="00246D8C">
        <w:rPr>
          <w:sz w:val="22"/>
          <w:szCs w:val="22"/>
          <w:lang w:val="sr-Latn-ME"/>
        </w:rPr>
        <w:t>Osim toga, pacijenti bi trebalo da budu upozoreni sa rizikom od hipoglikemije, kada se Onglyza koristi u kombinaciji sa drugim antidijabetskim ljekovima koji izazivaju hipoglikemiju (npr. insulin, sulfonilurea).</w:t>
      </w:r>
    </w:p>
    <w:p w14:paraId="3B166867" w14:textId="77777777" w:rsidR="001753B1" w:rsidRPr="00246D8C" w:rsidRDefault="001753B1" w:rsidP="002D73AD">
      <w:pPr>
        <w:tabs>
          <w:tab w:val="left" w:pos="540"/>
          <w:tab w:val="left" w:pos="569"/>
        </w:tabs>
        <w:jc w:val="both"/>
        <w:rPr>
          <w:b/>
          <w:bCs/>
          <w:sz w:val="22"/>
          <w:szCs w:val="22"/>
          <w:lang w:val="sr-Latn-ME"/>
        </w:rPr>
      </w:pPr>
    </w:p>
    <w:p w14:paraId="4D69E43F" w14:textId="32818B8A" w:rsidR="0072020E" w:rsidRPr="00246D8C" w:rsidRDefault="0072020E" w:rsidP="002D73AD">
      <w:pPr>
        <w:tabs>
          <w:tab w:val="left" w:pos="540"/>
          <w:tab w:val="left" w:pos="569"/>
        </w:tabs>
        <w:jc w:val="both"/>
        <w:rPr>
          <w:b/>
          <w:bCs/>
          <w:sz w:val="22"/>
          <w:szCs w:val="22"/>
          <w:lang w:val="sr-Latn-ME"/>
        </w:rPr>
      </w:pPr>
      <w:r w:rsidRPr="00246D8C">
        <w:rPr>
          <w:b/>
          <w:bCs/>
          <w:sz w:val="22"/>
          <w:szCs w:val="22"/>
          <w:lang w:val="sr-Latn-ME"/>
        </w:rPr>
        <w:t xml:space="preserve">4.8. </w:t>
      </w:r>
      <w:r w:rsidR="00480FB1" w:rsidRPr="00246D8C">
        <w:rPr>
          <w:b/>
          <w:bCs/>
          <w:sz w:val="22"/>
          <w:szCs w:val="22"/>
          <w:lang w:val="sr-Latn-ME"/>
        </w:rPr>
        <w:tab/>
      </w:r>
      <w:r w:rsidRPr="00246D8C">
        <w:rPr>
          <w:b/>
          <w:bCs/>
          <w:sz w:val="22"/>
          <w:szCs w:val="22"/>
          <w:lang w:val="sr-Latn-ME"/>
        </w:rPr>
        <w:t>Neželjena dejstva</w:t>
      </w:r>
    </w:p>
    <w:p w14:paraId="7C68DD8F" w14:textId="58EC5204" w:rsidR="001753B1" w:rsidRPr="00246D8C" w:rsidRDefault="001753B1" w:rsidP="006A7219">
      <w:pPr>
        <w:tabs>
          <w:tab w:val="left" w:pos="284"/>
        </w:tabs>
        <w:spacing w:before="240" w:after="60"/>
        <w:jc w:val="both"/>
        <w:outlineLvl w:val="5"/>
        <w:rPr>
          <w:bCs/>
          <w:i/>
          <w:sz w:val="22"/>
          <w:szCs w:val="22"/>
          <w:lang w:val="sr-Latn-ME"/>
        </w:rPr>
      </w:pPr>
      <w:r w:rsidRPr="00246D8C">
        <w:rPr>
          <w:bCs/>
          <w:i/>
          <w:sz w:val="22"/>
          <w:szCs w:val="22"/>
          <w:lang w:val="sr-Latn-ME"/>
        </w:rPr>
        <w:t xml:space="preserve">Sažetak </w:t>
      </w:r>
      <w:r w:rsidR="006A7219" w:rsidRPr="00246D8C">
        <w:rPr>
          <w:bCs/>
          <w:i/>
          <w:sz w:val="22"/>
          <w:szCs w:val="22"/>
          <w:lang w:val="sr-Latn-ME"/>
        </w:rPr>
        <w:t>bezbjednosnog profila</w:t>
      </w:r>
    </w:p>
    <w:p w14:paraId="304BDA63" w14:textId="7D1338B8" w:rsidR="001753B1" w:rsidRPr="00246D8C" w:rsidRDefault="001753B1" w:rsidP="006A7219">
      <w:pPr>
        <w:tabs>
          <w:tab w:val="left" w:pos="284"/>
        </w:tabs>
        <w:jc w:val="both"/>
        <w:rPr>
          <w:sz w:val="22"/>
          <w:szCs w:val="22"/>
          <w:lang w:val="sr-Latn-ME"/>
        </w:rPr>
      </w:pPr>
      <w:r w:rsidRPr="00246D8C">
        <w:rPr>
          <w:sz w:val="22"/>
          <w:szCs w:val="22"/>
          <w:lang w:val="sr-Latn-ME"/>
        </w:rPr>
        <w:t>Najčešče prijavljivane neželjene reakcije u placebo kontrolisanim studijama prihjavljene su kod ≥5% pacijenata liječenih lijekom Onglyza 5 mg, takođe su se češće nego kod pacijenata liječenih placebom javljale: infekcije gornjeg respiratornog trakta (7.7%), infekcije urinarnog trakta (6.8%)</w:t>
      </w:r>
      <w:r w:rsidR="006702E5" w:rsidRPr="00246D8C">
        <w:rPr>
          <w:sz w:val="22"/>
          <w:szCs w:val="22"/>
          <w:lang w:val="sr-Latn-ME"/>
        </w:rPr>
        <w:t xml:space="preserve"> </w:t>
      </w:r>
      <w:r w:rsidRPr="00246D8C">
        <w:rPr>
          <w:sz w:val="22"/>
          <w:szCs w:val="22"/>
          <w:lang w:val="sr-Latn-ME"/>
        </w:rPr>
        <w:t>i glavobolja (6.5%).</w:t>
      </w:r>
    </w:p>
    <w:p w14:paraId="6905D597" w14:textId="77777777" w:rsidR="001753B1" w:rsidRPr="00246D8C" w:rsidRDefault="001753B1" w:rsidP="003C0336">
      <w:pPr>
        <w:tabs>
          <w:tab w:val="left" w:pos="284"/>
        </w:tabs>
        <w:jc w:val="both"/>
        <w:rPr>
          <w:sz w:val="22"/>
          <w:szCs w:val="22"/>
          <w:lang w:val="sr-Latn-ME"/>
        </w:rPr>
      </w:pPr>
    </w:p>
    <w:p w14:paraId="1FDFE297" w14:textId="6573DFCE" w:rsidR="001753B1" w:rsidRPr="00246D8C" w:rsidRDefault="001753B1" w:rsidP="00AE24EE">
      <w:pPr>
        <w:tabs>
          <w:tab w:val="left" w:pos="284"/>
        </w:tabs>
        <w:jc w:val="both"/>
        <w:rPr>
          <w:sz w:val="22"/>
          <w:szCs w:val="22"/>
          <w:lang w:val="sr-Latn-ME"/>
        </w:rPr>
      </w:pPr>
      <w:r w:rsidRPr="00246D8C">
        <w:rPr>
          <w:sz w:val="22"/>
          <w:szCs w:val="22"/>
          <w:lang w:val="sr-Latn-ME"/>
        </w:rPr>
        <w:t>Ukupan broj od 4 148 pacijenata sa dijabetesom tipa 2, uključujući i 3 021 pacijenta liječenih lijekom Onglyza je randomizovan u šest dvostruko slijepih, kontrolisanih kliničkih studija bezbjednosti i efikasnosti koje su sprovedene kako bi se procijenila dejstva saksagliptina na kontrolu glikemije. U randomizovanim, kontrolisanim, dvostruko slijepim kliničkim studijama (uključujući razvojno i postmarketinško iskustvo) preko 17</w:t>
      </w:r>
      <w:r w:rsidR="006A7219" w:rsidRPr="00246D8C">
        <w:rPr>
          <w:sz w:val="22"/>
          <w:szCs w:val="22"/>
          <w:lang w:val="sr-Latn-ME"/>
        </w:rPr>
        <w:t xml:space="preserve"> </w:t>
      </w:r>
      <w:r w:rsidRPr="00246D8C">
        <w:rPr>
          <w:sz w:val="22"/>
          <w:szCs w:val="22"/>
          <w:lang w:val="sr-Latn-ME"/>
        </w:rPr>
        <w:t>000 pacijenata</w:t>
      </w:r>
      <w:r w:rsidR="006702E5" w:rsidRPr="00246D8C">
        <w:rPr>
          <w:sz w:val="22"/>
          <w:szCs w:val="22"/>
          <w:lang w:val="sr-Latn-ME"/>
        </w:rPr>
        <w:t xml:space="preserve"> </w:t>
      </w:r>
      <w:r w:rsidRPr="00246D8C">
        <w:rPr>
          <w:sz w:val="22"/>
          <w:szCs w:val="22"/>
          <w:lang w:val="sr-Latn-ME"/>
        </w:rPr>
        <w:t>sa dijabetesom tipa 2 liječeno je lijekom Onglyza.</w:t>
      </w:r>
    </w:p>
    <w:p w14:paraId="6B048170" w14:textId="77777777" w:rsidR="001753B1" w:rsidRPr="00246D8C" w:rsidRDefault="001753B1">
      <w:pPr>
        <w:tabs>
          <w:tab w:val="left" w:pos="284"/>
        </w:tabs>
        <w:jc w:val="both"/>
        <w:rPr>
          <w:sz w:val="22"/>
          <w:szCs w:val="22"/>
          <w:lang w:val="sr-Latn-ME"/>
        </w:rPr>
      </w:pPr>
    </w:p>
    <w:p w14:paraId="26E68393" w14:textId="0F14C992" w:rsidR="001753B1" w:rsidRPr="00246D8C" w:rsidRDefault="001753B1">
      <w:pPr>
        <w:tabs>
          <w:tab w:val="left" w:pos="284"/>
        </w:tabs>
        <w:jc w:val="both"/>
        <w:rPr>
          <w:sz w:val="22"/>
          <w:szCs w:val="22"/>
          <w:lang w:val="sr-Latn-ME"/>
        </w:rPr>
      </w:pPr>
      <w:r w:rsidRPr="00246D8C">
        <w:rPr>
          <w:sz w:val="22"/>
          <w:szCs w:val="22"/>
          <w:lang w:val="sr-Latn-ME"/>
        </w:rPr>
        <w:t>U zbirnoj analizi, 1681 pacijenata sa dijabetesom tipa 2, uključujući i 882 pacijenata liječeno je lijekom Onglyza 5mg, randomizovano u pet dvostruo slijepih, placebo kontrolisanih studija kliničke bezb</w:t>
      </w:r>
      <w:r w:rsidR="006A7219" w:rsidRPr="00246D8C">
        <w:rPr>
          <w:sz w:val="22"/>
          <w:szCs w:val="22"/>
          <w:lang w:val="sr-Latn-ME"/>
        </w:rPr>
        <w:t>j</w:t>
      </w:r>
      <w:r w:rsidRPr="00246D8C">
        <w:rPr>
          <w:sz w:val="22"/>
          <w:szCs w:val="22"/>
          <w:lang w:val="sr-Latn-ME"/>
        </w:rPr>
        <w:t>ednosti i efikasnosti, sa ciljem evaluacije efekata saksagliptina na kontrolu glikemije pri čemu</w:t>
      </w:r>
      <w:r w:rsidR="006702E5" w:rsidRPr="00246D8C">
        <w:rPr>
          <w:sz w:val="22"/>
          <w:szCs w:val="22"/>
          <w:lang w:val="sr-Latn-ME"/>
        </w:rPr>
        <w:t xml:space="preserve"> </w:t>
      </w:r>
      <w:r w:rsidRPr="00246D8C">
        <w:rPr>
          <w:sz w:val="22"/>
          <w:szCs w:val="22"/>
          <w:lang w:val="sr-Latn-ME"/>
        </w:rPr>
        <w:t xml:space="preserve"> je utvrđeno da je ukupna incidenca neželjenih događaja kod pacijenata liječenih saksagliptinom u dozi od 5 mg bila slična kao i kod</w:t>
      </w:r>
      <w:r w:rsidR="006702E5" w:rsidRPr="00246D8C">
        <w:rPr>
          <w:sz w:val="22"/>
          <w:szCs w:val="22"/>
          <w:lang w:val="sr-Latn-ME"/>
        </w:rPr>
        <w:t xml:space="preserve"> </w:t>
      </w:r>
      <w:r w:rsidRPr="00246D8C">
        <w:rPr>
          <w:sz w:val="22"/>
          <w:szCs w:val="22"/>
          <w:lang w:val="sr-Latn-ME"/>
        </w:rPr>
        <w:t>placeba. Učestalost prekida terapije zbog neželjenih događaja je bila veća kod pacijenata koji su dobijali saksagliptin u dozi od 5 mg u poređenju sa placebom (3.3% u poređenju sa 1.8%).</w:t>
      </w:r>
    </w:p>
    <w:p w14:paraId="188B8ED7" w14:textId="77777777" w:rsidR="001753B1" w:rsidRPr="00246D8C" w:rsidRDefault="001753B1">
      <w:pPr>
        <w:tabs>
          <w:tab w:val="left" w:pos="284"/>
        </w:tabs>
        <w:spacing w:before="240" w:after="60"/>
        <w:jc w:val="both"/>
        <w:outlineLvl w:val="5"/>
        <w:rPr>
          <w:bCs/>
          <w:i/>
          <w:iCs/>
          <w:sz w:val="22"/>
          <w:szCs w:val="22"/>
          <w:lang w:val="sr-Latn-ME"/>
        </w:rPr>
      </w:pPr>
      <w:r w:rsidRPr="00246D8C">
        <w:rPr>
          <w:bCs/>
          <w:i/>
          <w:iCs/>
          <w:sz w:val="22"/>
          <w:szCs w:val="22"/>
          <w:lang w:val="sr-Latn-ME"/>
        </w:rPr>
        <w:t>Tabelarni prikaz neželjenih reakcija</w:t>
      </w:r>
    </w:p>
    <w:p w14:paraId="3CF38614" w14:textId="77777777" w:rsidR="001753B1" w:rsidRPr="00246D8C" w:rsidRDefault="001753B1">
      <w:pPr>
        <w:tabs>
          <w:tab w:val="left" w:pos="284"/>
        </w:tabs>
        <w:jc w:val="both"/>
        <w:rPr>
          <w:sz w:val="22"/>
          <w:szCs w:val="22"/>
          <w:lang w:val="sr-Latn-ME"/>
        </w:rPr>
      </w:pPr>
    </w:p>
    <w:p w14:paraId="656B7B0A" w14:textId="40172659" w:rsidR="001753B1" w:rsidRPr="00246D8C" w:rsidRDefault="001753B1">
      <w:pPr>
        <w:tabs>
          <w:tab w:val="left" w:pos="284"/>
        </w:tabs>
        <w:jc w:val="both"/>
        <w:rPr>
          <w:sz w:val="22"/>
          <w:szCs w:val="22"/>
          <w:lang w:val="sr-Latn-ME"/>
        </w:rPr>
      </w:pPr>
      <w:r w:rsidRPr="00246D8C">
        <w:rPr>
          <w:sz w:val="22"/>
          <w:szCs w:val="22"/>
          <w:lang w:val="sr-Latn-ME"/>
        </w:rPr>
        <w:t>Neželjene reakcije zabilježene kod ≥ 5% pacijenata liječenih saksagliptinom u dozi od 5 mg, u odnosu na pacijente tretirane placebom ili zabilježene kod ≥ 2% pacijenata tretiranih saksagliptinom u dozi od 5 mg, a ≥ 1% češće u odnosu na</w:t>
      </w:r>
      <w:r w:rsidR="006702E5" w:rsidRPr="00246D8C">
        <w:rPr>
          <w:sz w:val="22"/>
          <w:szCs w:val="22"/>
          <w:lang w:val="sr-Latn-ME"/>
        </w:rPr>
        <w:t xml:space="preserve"> </w:t>
      </w:r>
      <w:r w:rsidRPr="00246D8C">
        <w:rPr>
          <w:sz w:val="22"/>
          <w:szCs w:val="22"/>
          <w:lang w:val="sr-Latn-ME"/>
        </w:rPr>
        <w:t>pacijente tretirane placebom, podaci iz zbirne analize pet studija kontrole glikemije i dodatnih pet studija inicijalne kombinacije sa metforminom,</w:t>
      </w:r>
      <w:r w:rsidR="006702E5" w:rsidRPr="00246D8C">
        <w:rPr>
          <w:sz w:val="22"/>
          <w:szCs w:val="22"/>
          <w:lang w:val="sr-Latn-ME"/>
        </w:rPr>
        <w:t xml:space="preserve"> </w:t>
      </w:r>
      <w:r w:rsidRPr="00246D8C">
        <w:rPr>
          <w:sz w:val="22"/>
          <w:szCs w:val="22"/>
          <w:lang w:val="sr-Latn-ME"/>
        </w:rPr>
        <w:t>prikazane su na Tabeli 1.</w:t>
      </w:r>
    </w:p>
    <w:p w14:paraId="53DCF7AD" w14:textId="2F5E5006" w:rsidR="001753B1" w:rsidRPr="00246D8C" w:rsidRDefault="001753B1">
      <w:pPr>
        <w:tabs>
          <w:tab w:val="left" w:pos="284"/>
        </w:tabs>
        <w:jc w:val="both"/>
        <w:rPr>
          <w:sz w:val="22"/>
          <w:szCs w:val="22"/>
          <w:lang w:val="sr-Latn-ME"/>
        </w:rPr>
      </w:pPr>
      <w:r w:rsidRPr="00246D8C">
        <w:rPr>
          <w:sz w:val="22"/>
          <w:szCs w:val="22"/>
          <w:lang w:val="sr-Latn-ME"/>
        </w:rPr>
        <w:t>Te neželjene reakcije su navedene prema klasama sistema organa i apsolutnoj učestalosti. Učestalosti su definisane kao: Veoma čest</w:t>
      </w:r>
      <w:r w:rsidR="006A7219" w:rsidRPr="00246D8C">
        <w:rPr>
          <w:sz w:val="22"/>
          <w:szCs w:val="22"/>
          <w:lang w:val="sr-Latn-ME"/>
        </w:rPr>
        <w:t>o</w:t>
      </w:r>
      <w:r w:rsidRPr="00246D8C">
        <w:rPr>
          <w:sz w:val="22"/>
          <w:szCs w:val="22"/>
          <w:lang w:val="sr-Latn-ME"/>
        </w:rPr>
        <w:t xml:space="preserve"> (≥ 1/10), Čest</w:t>
      </w:r>
      <w:r w:rsidR="006A7219" w:rsidRPr="00246D8C">
        <w:rPr>
          <w:sz w:val="22"/>
          <w:szCs w:val="22"/>
          <w:lang w:val="sr-Latn-ME"/>
        </w:rPr>
        <w:t>o</w:t>
      </w:r>
      <w:r w:rsidRPr="00246D8C">
        <w:rPr>
          <w:sz w:val="22"/>
          <w:szCs w:val="22"/>
          <w:lang w:val="sr-Latn-ME"/>
        </w:rPr>
        <w:t xml:space="preserve"> (≥ 1/100 do &lt; 1/10), Povremen</w:t>
      </w:r>
      <w:r w:rsidR="006A7219" w:rsidRPr="00246D8C">
        <w:rPr>
          <w:sz w:val="22"/>
          <w:szCs w:val="22"/>
          <w:lang w:val="sr-Latn-ME"/>
        </w:rPr>
        <w:t>o</w:t>
      </w:r>
      <w:r w:rsidRPr="00246D8C">
        <w:rPr>
          <w:sz w:val="22"/>
          <w:szCs w:val="22"/>
          <w:lang w:val="sr-Latn-ME"/>
        </w:rPr>
        <w:t xml:space="preserve"> (≥ 1/1,000 do 1/100), Rijetk</w:t>
      </w:r>
      <w:r w:rsidR="006A7219" w:rsidRPr="00246D8C">
        <w:rPr>
          <w:sz w:val="22"/>
          <w:szCs w:val="22"/>
          <w:lang w:val="sr-Latn-ME"/>
        </w:rPr>
        <w:t>o</w:t>
      </w:r>
      <w:r w:rsidRPr="00246D8C">
        <w:rPr>
          <w:sz w:val="22"/>
          <w:szCs w:val="22"/>
          <w:lang w:val="sr-Latn-ME"/>
        </w:rPr>
        <w:t xml:space="preserve"> (≥ 1/10,000 do 1/1,000) ili Veoma rijetk</w:t>
      </w:r>
      <w:r w:rsidR="006A7219" w:rsidRPr="00246D8C">
        <w:rPr>
          <w:sz w:val="22"/>
          <w:szCs w:val="22"/>
          <w:lang w:val="sr-Latn-ME"/>
        </w:rPr>
        <w:t>o</w:t>
      </w:r>
      <w:r w:rsidRPr="00246D8C">
        <w:rPr>
          <w:sz w:val="22"/>
          <w:szCs w:val="22"/>
          <w:lang w:val="sr-Latn-ME"/>
        </w:rPr>
        <w:t xml:space="preserve"> (&lt; 1/10,000), nepoznato (ne može se procijeniti na osnovu raspoloživih podataka).</w:t>
      </w:r>
    </w:p>
    <w:p w14:paraId="0A12558E" w14:textId="6CC158B3" w:rsidR="001753B1" w:rsidRPr="00246D8C" w:rsidRDefault="001753B1" w:rsidP="002D73AD">
      <w:pPr>
        <w:tabs>
          <w:tab w:val="left" w:pos="540"/>
          <w:tab w:val="left" w:pos="569"/>
        </w:tabs>
        <w:jc w:val="both"/>
        <w:rPr>
          <w:b/>
          <w:bCs/>
          <w:sz w:val="22"/>
          <w:szCs w:val="22"/>
          <w:lang w:val="sr-Latn-ME"/>
        </w:rPr>
      </w:pPr>
    </w:p>
    <w:p w14:paraId="5074B4C0" w14:textId="77777777" w:rsidR="00FD24BA" w:rsidRPr="00246D8C" w:rsidRDefault="00FD24BA" w:rsidP="002D73AD">
      <w:pPr>
        <w:tabs>
          <w:tab w:val="left" w:pos="540"/>
          <w:tab w:val="left" w:pos="569"/>
        </w:tabs>
        <w:jc w:val="both"/>
        <w:rPr>
          <w:b/>
          <w:bCs/>
          <w:sz w:val="22"/>
          <w:szCs w:val="22"/>
          <w:lang w:val="sr-Latn-ME"/>
        </w:rPr>
      </w:pPr>
    </w:p>
    <w:p w14:paraId="032F1338" w14:textId="77777777" w:rsidR="001753B1" w:rsidRPr="00246D8C" w:rsidRDefault="001753B1" w:rsidP="006A7219">
      <w:pPr>
        <w:tabs>
          <w:tab w:val="left" w:pos="284"/>
        </w:tabs>
        <w:jc w:val="both"/>
        <w:rPr>
          <w:b/>
          <w:bCs/>
          <w:sz w:val="22"/>
          <w:szCs w:val="22"/>
          <w:lang w:val="sr-Latn-ME"/>
        </w:rPr>
      </w:pPr>
      <w:r w:rsidRPr="00246D8C">
        <w:rPr>
          <w:b/>
          <w:bCs/>
          <w:sz w:val="22"/>
          <w:szCs w:val="22"/>
          <w:lang w:val="sr-Latn-ME"/>
        </w:rPr>
        <w:lastRenderedPageBreak/>
        <w:t>Tabela 1</w:t>
      </w:r>
      <w:r w:rsidRPr="00246D8C">
        <w:rPr>
          <w:b/>
          <w:bCs/>
          <w:sz w:val="22"/>
          <w:szCs w:val="22"/>
          <w:lang w:val="sr-Latn-ME"/>
        </w:rPr>
        <w:tab/>
        <w:t>Učestalost neželjenih reakcija po klasama sistema organa iz kliničkih studija i postmarketinškog iskustva</w:t>
      </w:r>
    </w:p>
    <w:p w14:paraId="40010FD4" w14:textId="77777777" w:rsidR="001753B1" w:rsidRPr="00246D8C" w:rsidRDefault="001753B1" w:rsidP="003C0336">
      <w:pPr>
        <w:tabs>
          <w:tab w:val="left" w:pos="284"/>
        </w:tabs>
        <w:jc w:val="both"/>
        <w:rPr>
          <w:b/>
          <w:bCs/>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1659"/>
        <w:gridCol w:w="1659"/>
        <w:gridCol w:w="1660"/>
        <w:gridCol w:w="1660"/>
        <w:gridCol w:w="1660"/>
      </w:tblGrid>
      <w:tr w:rsidR="003D48C9" w:rsidRPr="00246D8C" w14:paraId="59FACB56" w14:textId="77777777" w:rsidTr="003E0023">
        <w:tc>
          <w:tcPr>
            <w:tcW w:w="1659" w:type="dxa"/>
          </w:tcPr>
          <w:p w14:paraId="03C9129C" w14:textId="633C8E25" w:rsidR="001753B1" w:rsidRPr="00246D8C" w:rsidRDefault="001753B1" w:rsidP="002D73AD">
            <w:pPr>
              <w:tabs>
                <w:tab w:val="left" w:pos="284"/>
              </w:tabs>
              <w:jc w:val="both"/>
              <w:rPr>
                <w:b/>
                <w:bCs/>
                <w:sz w:val="22"/>
                <w:szCs w:val="22"/>
                <w:lang w:val="sr-Latn-ME"/>
              </w:rPr>
            </w:pPr>
            <w:r w:rsidRPr="00246D8C">
              <w:rPr>
                <w:b/>
                <w:bCs/>
                <w:sz w:val="22"/>
                <w:szCs w:val="22"/>
                <w:lang w:val="sr-Latn-ME"/>
              </w:rPr>
              <w:t>Klasa sistema organa</w:t>
            </w:r>
          </w:p>
          <w:p w14:paraId="25261582" w14:textId="77777777" w:rsidR="006A7219" w:rsidRPr="00246D8C" w:rsidRDefault="006A7219" w:rsidP="002D73AD">
            <w:pPr>
              <w:tabs>
                <w:tab w:val="left" w:pos="284"/>
              </w:tabs>
              <w:jc w:val="both"/>
              <w:rPr>
                <w:b/>
                <w:bCs/>
                <w:sz w:val="22"/>
                <w:szCs w:val="22"/>
                <w:lang w:val="sr-Latn-ME"/>
              </w:rPr>
            </w:pPr>
          </w:p>
          <w:p w14:paraId="53DBA5F0" w14:textId="77777777" w:rsidR="001753B1" w:rsidRPr="00246D8C" w:rsidRDefault="001753B1" w:rsidP="006A7219">
            <w:pPr>
              <w:tabs>
                <w:tab w:val="left" w:pos="284"/>
              </w:tabs>
              <w:jc w:val="both"/>
              <w:rPr>
                <w:b/>
                <w:bCs/>
                <w:sz w:val="22"/>
                <w:szCs w:val="22"/>
                <w:lang w:val="sr-Latn-ME"/>
              </w:rPr>
            </w:pPr>
            <w:r w:rsidRPr="00246D8C">
              <w:rPr>
                <w:b/>
                <w:sz w:val="22"/>
                <w:szCs w:val="22"/>
                <w:lang w:val="sr-Latn-ME"/>
              </w:rPr>
              <w:t>Neželjena reakcija</w:t>
            </w:r>
          </w:p>
        </w:tc>
        <w:tc>
          <w:tcPr>
            <w:tcW w:w="8298" w:type="dxa"/>
            <w:gridSpan w:val="5"/>
          </w:tcPr>
          <w:p w14:paraId="2C79DC07" w14:textId="77777777" w:rsidR="001753B1" w:rsidRPr="00246D8C" w:rsidRDefault="001753B1" w:rsidP="002D73AD">
            <w:pPr>
              <w:tabs>
                <w:tab w:val="left" w:pos="284"/>
              </w:tabs>
              <w:jc w:val="center"/>
              <w:rPr>
                <w:b/>
                <w:bCs/>
                <w:sz w:val="22"/>
                <w:szCs w:val="22"/>
                <w:lang w:val="sr-Latn-ME"/>
              </w:rPr>
            </w:pPr>
            <w:r w:rsidRPr="00246D8C">
              <w:rPr>
                <w:b/>
                <w:bCs/>
                <w:sz w:val="22"/>
                <w:szCs w:val="22"/>
                <w:lang w:val="sr-Latn-ME"/>
              </w:rPr>
              <w:t>Učestalost neželjenih reakcija prema terapijskim režimima</w:t>
            </w:r>
          </w:p>
        </w:tc>
      </w:tr>
      <w:tr w:rsidR="003D48C9" w:rsidRPr="00246D8C" w14:paraId="75AE2EAC" w14:textId="77777777" w:rsidTr="003E0023">
        <w:tc>
          <w:tcPr>
            <w:tcW w:w="1659" w:type="dxa"/>
          </w:tcPr>
          <w:p w14:paraId="0557976F" w14:textId="77777777" w:rsidR="001753B1" w:rsidRPr="00246D8C" w:rsidRDefault="001753B1" w:rsidP="006A7219">
            <w:pPr>
              <w:tabs>
                <w:tab w:val="left" w:pos="284"/>
              </w:tabs>
              <w:jc w:val="both"/>
              <w:rPr>
                <w:b/>
                <w:bCs/>
                <w:sz w:val="22"/>
                <w:szCs w:val="22"/>
                <w:lang w:val="sr-Latn-ME"/>
              </w:rPr>
            </w:pPr>
          </w:p>
        </w:tc>
        <w:tc>
          <w:tcPr>
            <w:tcW w:w="1659" w:type="dxa"/>
          </w:tcPr>
          <w:p w14:paraId="0C59341A" w14:textId="77777777" w:rsidR="001753B1" w:rsidRPr="00246D8C" w:rsidRDefault="001753B1" w:rsidP="003C0336">
            <w:pPr>
              <w:tabs>
                <w:tab w:val="left" w:pos="284"/>
              </w:tabs>
              <w:jc w:val="both"/>
              <w:rPr>
                <w:b/>
                <w:bCs/>
                <w:sz w:val="22"/>
                <w:szCs w:val="22"/>
                <w:lang w:val="sr-Latn-ME"/>
              </w:rPr>
            </w:pPr>
            <w:r w:rsidRPr="00246D8C">
              <w:rPr>
                <w:b/>
                <w:bCs/>
                <w:sz w:val="22"/>
                <w:szCs w:val="22"/>
                <w:lang w:val="sr-Latn-ME"/>
              </w:rPr>
              <w:t>Monoterapija saksagliptinom</w:t>
            </w:r>
          </w:p>
        </w:tc>
        <w:tc>
          <w:tcPr>
            <w:tcW w:w="1659" w:type="dxa"/>
          </w:tcPr>
          <w:p w14:paraId="55307474" w14:textId="77777777" w:rsidR="001753B1" w:rsidRPr="00246D8C" w:rsidRDefault="001753B1" w:rsidP="00AE24EE">
            <w:pPr>
              <w:tabs>
                <w:tab w:val="left" w:pos="284"/>
              </w:tabs>
              <w:jc w:val="both"/>
              <w:rPr>
                <w:b/>
                <w:bCs/>
                <w:sz w:val="22"/>
                <w:szCs w:val="22"/>
                <w:lang w:val="sr-Latn-ME"/>
              </w:rPr>
            </w:pPr>
            <w:r w:rsidRPr="00246D8C">
              <w:rPr>
                <w:b/>
                <w:bCs/>
                <w:sz w:val="22"/>
                <w:szCs w:val="22"/>
                <w:lang w:val="sr-Latn-ME"/>
              </w:rPr>
              <w:t>Saksagliptin sa metforminom</w:t>
            </w:r>
            <w:r w:rsidRPr="00246D8C">
              <w:rPr>
                <w:b/>
                <w:bCs/>
                <w:sz w:val="22"/>
                <w:szCs w:val="22"/>
                <w:vertAlign w:val="superscript"/>
                <w:lang w:val="sr-Latn-ME"/>
              </w:rPr>
              <w:t>1</w:t>
            </w:r>
          </w:p>
        </w:tc>
        <w:tc>
          <w:tcPr>
            <w:tcW w:w="1660" w:type="dxa"/>
          </w:tcPr>
          <w:p w14:paraId="3EF06A05" w14:textId="5030BC50" w:rsidR="001753B1" w:rsidRPr="00246D8C" w:rsidRDefault="001753B1">
            <w:pPr>
              <w:tabs>
                <w:tab w:val="left" w:pos="284"/>
              </w:tabs>
              <w:jc w:val="both"/>
              <w:rPr>
                <w:b/>
                <w:bCs/>
                <w:sz w:val="22"/>
                <w:szCs w:val="22"/>
                <w:lang w:val="sr-Latn-ME"/>
              </w:rPr>
            </w:pPr>
            <w:r w:rsidRPr="00246D8C">
              <w:rPr>
                <w:b/>
                <w:bCs/>
                <w:sz w:val="22"/>
                <w:szCs w:val="22"/>
                <w:lang w:val="sr-Latn-ME"/>
              </w:rPr>
              <w:t>Saksagliptin sa nekom sulfonilureom</w:t>
            </w:r>
            <w:r w:rsidR="006A7219" w:rsidRPr="00246D8C">
              <w:rPr>
                <w:b/>
                <w:bCs/>
                <w:sz w:val="22"/>
                <w:szCs w:val="22"/>
                <w:lang w:val="sr-Latn-ME"/>
              </w:rPr>
              <w:t xml:space="preserve"> </w:t>
            </w:r>
            <w:r w:rsidRPr="00246D8C">
              <w:rPr>
                <w:b/>
                <w:bCs/>
                <w:sz w:val="22"/>
                <w:szCs w:val="22"/>
                <w:lang w:val="sr-Latn-ME"/>
              </w:rPr>
              <w:t>(glibenklamid)</w:t>
            </w:r>
          </w:p>
        </w:tc>
        <w:tc>
          <w:tcPr>
            <w:tcW w:w="1660" w:type="dxa"/>
          </w:tcPr>
          <w:p w14:paraId="28202087" w14:textId="78B5237F" w:rsidR="001753B1" w:rsidRPr="00246D8C" w:rsidRDefault="001753B1">
            <w:pPr>
              <w:tabs>
                <w:tab w:val="left" w:pos="284"/>
              </w:tabs>
              <w:jc w:val="both"/>
              <w:rPr>
                <w:b/>
                <w:bCs/>
                <w:sz w:val="22"/>
                <w:szCs w:val="22"/>
                <w:lang w:val="sr-Latn-ME"/>
              </w:rPr>
            </w:pPr>
            <w:r w:rsidRPr="00246D8C">
              <w:rPr>
                <w:b/>
                <w:bCs/>
                <w:sz w:val="22"/>
                <w:szCs w:val="22"/>
                <w:lang w:val="sr-Latn-ME"/>
              </w:rPr>
              <w:t>Saksagliptin</w:t>
            </w:r>
            <w:r w:rsidR="006A7219" w:rsidRPr="00246D8C">
              <w:rPr>
                <w:b/>
                <w:bCs/>
                <w:sz w:val="22"/>
                <w:szCs w:val="22"/>
                <w:lang w:val="sr-Latn-ME"/>
              </w:rPr>
              <w:t xml:space="preserve"> </w:t>
            </w:r>
            <w:r w:rsidRPr="00246D8C">
              <w:rPr>
                <w:b/>
                <w:bCs/>
                <w:sz w:val="22"/>
                <w:szCs w:val="22"/>
                <w:lang w:val="sr-Latn-ME"/>
              </w:rPr>
              <w:t>sa tiazolidindionom</w:t>
            </w:r>
          </w:p>
        </w:tc>
        <w:tc>
          <w:tcPr>
            <w:tcW w:w="1660" w:type="dxa"/>
          </w:tcPr>
          <w:p w14:paraId="738CA54B" w14:textId="77777777" w:rsidR="001753B1" w:rsidRPr="00246D8C" w:rsidRDefault="001753B1" w:rsidP="002D73AD">
            <w:pPr>
              <w:tabs>
                <w:tab w:val="left" w:pos="284"/>
              </w:tabs>
              <w:rPr>
                <w:b/>
                <w:bCs/>
                <w:sz w:val="22"/>
                <w:szCs w:val="22"/>
                <w:lang w:val="sr-Latn-ME"/>
              </w:rPr>
            </w:pPr>
            <w:r w:rsidRPr="00246D8C">
              <w:rPr>
                <w:b/>
                <w:bCs/>
                <w:sz w:val="22"/>
                <w:szCs w:val="22"/>
                <w:lang w:val="sr-Latn-ME"/>
              </w:rPr>
              <w:t>Saksagliptin kao dodata terapija na metformin plus sulfonilurea</w:t>
            </w:r>
          </w:p>
        </w:tc>
      </w:tr>
      <w:tr w:rsidR="003D48C9" w:rsidRPr="00246D8C" w14:paraId="05CE43D4" w14:textId="77777777" w:rsidTr="003E0023">
        <w:tc>
          <w:tcPr>
            <w:tcW w:w="1659" w:type="dxa"/>
          </w:tcPr>
          <w:p w14:paraId="36416336" w14:textId="77777777" w:rsidR="001753B1" w:rsidRPr="00246D8C" w:rsidRDefault="001753B1" w:rsidP="006A7219">
            <w:pPr>
              <w:tabs>
                <w:tab w:val="left" w:pos="284"/>
              </w:tabs>
              <w:jc w:val="both"/>
              <w:rPr>
                <w:b/>
                <w:bCs/>
                <w:sz w:val="22"/>
                <w:szCs w:val="22"/>
                <w:lang w:val="sr-Latn-ME"/>
              </w:rPr>
            </w:pPr>
            <w:r w:rsidRPr="00246D8C">
              <w:rPr>
                <w:b/>
                <w:bCs/>
                <w:sz w:val="22"/>
                <w:szCs w:val="22"/>
                <w:lang w:val="sr-Latn-ME"/>
              </w:rPr>
              <w:t>Gastrointestinalni poremećaji</w:t>
            </w:r>
          </w:p>
        </w:tc>
        <w:tc>
          <w:tcPr>
            <w:tcW w:w="1659" w:type="dxa"/>
          </w:tcPr>
          <w:p w14:paraId="0587E9A9" w14:textId="77777777" w:rsidR="001753B1" w:rsidRPr="00246D8C" w:rsidRDefault="001753B1" w:rsidP="003C0336">
            <w:pPr>
              <w:tabs>
                <w:tab w:val="left" w:pos="284"/>
              </w:tabs>
              <w:jc w:val="both"/>
              <w:rPr>
                <w:b/>
                <w:bCs/>
                <w:sz w:val="22"/>
                <w:szCs w:val="22"/>
                <w:lang w:val="sr-Latn-ME"/>
              </w:rPr>
            </w:pPr>
          </w:p>
        </w:tc>
        <w:tc>
          <w:tcPr>
            <w:tcW w:w="1659" w:type="dxa"/>
          </w:tcPr>
          <w:p w14:paraId="4A1BA01B" w14:textId="77777777" w:rsidR="001753B1" w:rsidRPr="00246D8C" w:rsidRDefault="001753B1" w:rsidP="00AE24EE">
            <w:pPr>
              <w:tabs>
                <w:tab w:val="left" w:pos="284"/>
              </w:tabs>
              <w:jc w:val="both"/>
              <w:rPr>
                <w:b/>
                <w:bCs/>
                <w:sz w:val="22"/>
                <w:szCs w:val="22"/>
                <w:lang w:val="sr-Latn-ME"/>
              </w:rPr>
            </w:pPr>
          </w:p>
        </w:tc>
        <w:tc>
          <w:tcPr>
            <w:tcW w:w="1660" w:type="dxa"/>
          </w:tcPr>
          <w:p w14:paraId="20DA0FFD" w14:textId="77777777" w:rsidR="001753B1" w:rsidRPr="00246D8C" w:rsidRDefault="001753B1">
            <w:pPr>
              <w:tabs>
                <w:tab w:val="left" w:pos="284"/>
              </w:tabs>
              <w:jc w:val="both"/>
              <w:rPr>
                <w:b/>
                <w:bCs/>
                <w:sz w:val="22"/>
                <w:szCs w:val="22"/>
                <w:lang w:val="sr-Latn-ME"/>
              </w:rPr>
            </w:pPr>
          </w:p>
        </w:tc>
        <w:tc>
          <w:tcPr>
            <w:tcW w:w="1660" w:type="dxa"/>
          </w:tcPr>
          <w:p w14:paraId="68A43121" w14:textId="77777777" w:rsidR="001753B1" w:rsidRPr="00246D8C" w:rsidRDefault="001753B1">
            <w:pPr>
              <w:tabs>
                <w:tab w:val="left" w:pos="284"/>
              </w:tabs>
              <w:jc w:val="both"/>
              <w:rPr>
                <w:b/>
                <w:bCs/>
                <w:sz w:val="22"/>
                <w:szCs w:val="22"/>
                <w:lang w:val="sr-Latn-ME"/>
              </w:rPr>
            </w:pPr>
          </w:p>
        </w:tc>
        <w:tc>
          <w:tcPr>
            <w:tcW w:w="1660" w:type="dxa"/>
          </w:tcPr>
          <w:p w14:paraId="7DFD9F1E" w14:textId="77777777" w:rsidR="001753B1" w:rsidRPr="00246D8C" w:rsidRDefault="001753B1">
            <w:pPr>
              <w:tabs>
                <w:tab w:val="left" w:pos="284"/>
              </w:tabs>
              <w:jc w:val="both"/>
              <w:rPr>
                <w:b/>
                <w:bCs/>
                <w:sz w:val="22"/>
                <w:szCs w:val="22"/>
                <w:lang w:val="sr-Latn-ME"/>
              </w:rPr>
            </w:pPr>
          </w:p>
        </w:tc>
      </w:tr>
      <w:tr w:rsidR="003D48C9" w:rsidRPr="00246D8C" w14:paraId="65D3A914" w14:textId="77777777" w:rsidTr="003E0023">
        <w:tc>
          <w:tcPr>
            <w:tcW w:w="1659" w:type="dxa"/>
          </w:tcPr>
          <w:p w14:paraId="550CCE4B" w14:textId="77777777" w:rsidR="001753B1" w:rsidRPr="00246D8C" w:rsidRDefault="001753B1" w:rsidP="006A7219">
            <w:pPr>
              <w:tabs>
                <w:tab w:val="left" w:pos="284"/>
              </w:tabs>
              <w:jc w:val="both"/>
              <w:rPr>
                <w:b/>
                <w:bCs/>
                <w:sz w:val="22"/>
                <w:szCs w:val="22"/>
                <w:lang w:val="sr-Latn-ME"/>
              </w:rPr>
            </w:pPr>
            <w:r w:rsidRPr="00246D8C">
              <w:rPr>
                <w:sz w:val="22"/>
                <w:szCs w:val="22"/>
                <w:lang w:val="sr-Latn-ME"/>
              </w:rPr>
              <w:t>Abdominalni bol †</w:t>
            </w:r>
          </w:p>
        </w:tc>
        <w:tc>
          <w:tcPr>
            <w:tcW w:w="1659" w:type="dxa"/>
          </w:tcPr>
          <w:p w14:paraId="6752E883" w14:textId="77777777" w:rsidR="001753B1" w:rsidRPr="00246D8C" w:rsidRDefault="001753B1" w:rsidP="003C0336">
            <w:pPr>
              <w:tabs>
                <w:tab w:val="left" w:pos="284"/>
              </w:tabs>
              <w:jc w:val="both"/>
              <w:rPr>
                <w:sz w:val="22"/>
                <w:szCs w:val="22"/>
                <w:lang w:val="sr-Latn-ME"/>
              </w:rPr>
            </w:pPr>
            <w:r w:rsidRPr="00246D8C">
              <w:rPr>
                <w:sz w:val="22"/>
                <w:szCs w:val="22"/>
                <w:lang w:val="sr-Latn-ME"/>
              </w:rPr>
              <w:t>Često</w:t>
            </w:r>
          </w:p>
        </w:tc>
        <w:tc>
          <w:tcPr>
            <w:tcW w:w="1659" w:type="dxa"/>
          </w:tcPr>
          <w:p w14:paraId="72AEDE8D" w14:textId="77777777" w:rsidR="001753B1" w:rsidRPr="00246D8C" w:rsidRDefault="001753B1" w:rsidP="00AE24EE">
            <w:pPr>
              <w:tabs>
                <w:tab w:val="left" w:pos="284"/>
              </w:tabs>
              <w:jc w:val="both"/>
              <w:rPr>
                <w:sz w:val="22"/>
                <w:szCs w:val="22"/>
                <w:lang w:val="sr-Latn-ME"/>
              </w:rPr>
            </w:pPr>
            <w:r w:rsidRPr="00246D8C">
              <w:rPr>
                <w:sz w:val="22"/>
                <w:szCs w:val="22"/>
                <w:lang w:val="sr-Latn-ME"/>
              </w:rPr>
              <w:t>Često</w:t>
            </w:r>
          </w:p>
        </w:tc>
        <w:tc>
          <w:tcPr>
            <w:tcW w:w="1660" w:type="dxa"/>
          </w:tcPr>
          <w:p w14:paraId="399CB5D1" w14:textId="77777777" w:rsidR="001753B1" w:rsidRPr="00246D8C" w:rsidRDefault="001753B1">
            <w:pPr>
              <w:tabs>
                <w:tab w:val="left" w:pos="284"/>
              </w:tabs>
              <w:jc w:val="both"/>
              <w:rPr>
                <w:sz w:val="22"/>
                <w:szCs w:val="22"/>
                <w:lang w:val="sr-Latn-ME"/>
              </w:rPr>
            </w:pPr>
            <w:r w:rsidRPr="00246D8C">
              <w:rPr>
                <w:sz w:val="22"/>
                <w:szCs w:val="22"/>
                <w:lang w:val="sr-Latn-ME"/>
              </w:rPr>
              <w:t>Često</w:t>
            </w:r>
          </w:p>
        </w:tc>
        <w:tc>
          <w:tcPr>
            <w:tcW w:w="1660" w:type="dxa"/>
          </w:tcPr>
          <w:p w14:paraId="4BF7F0A9" w14:textId="77777777" w:rsidR="001753B1" w:rsidRPr="00246D8C" w:rsidRDefault="001753B1">
            <w:pPr>
              <w:tabs>
                <w:tab w:val="left" w:pos="284"/>
              </w:tabs>
              <w:jc w:val="both"/>
              <w:rPr>
                <w:sz w:val="22"/>
                <w:szCs w:val="22"/>
                <w:lang w:val="sr-Latn-ME"/>
              </w:rPr>
            </w:pPr>
            <w:r w:rsidRPr="00246D8C">
              <w:rPr>
                <w:sz w:val="22"/>
                <w:szCs w:val="22"/>
                <w:lang w:val="sr-Latn-ME"/>
              </w:rPr>
              <w:t>Često</w:t>
            </w:r>
          </w:p>
        </w:tc>
        <w:tc>
          <w:tcPr>
            <w:tcW w:w="1660" w:type="dxa"/>
          </w:tcPr>
          <w:p w14:paraId="01D86627" w14:textId="77777777" w:rsidR="001753B1" w:rsidRPr="00246D8C" w:rsidRDefault="001753B1">
            <w:pPr>
              <w:tabs>
                <w:tab w:val="left" w:pos="284"/>
              </w:tabs>
              <w:jc w:val="both"/>
              <w:rPr>
                <w:sz w:val="22"/>
                <w:szCs w:val="22"/>
                <w:lang w:val="sr-Latn-ME"/>
              </w:rPr>
            </w:pPr>
          </w:p>
        </w:tc>
      </w:tr>
      <w:tr w:rsidR="003D48C9" w:rsidRPr="00246D8C" w14:paraId="7977F53F" w14:textId="77777777" w:rsidTr="003E0023">
        <w:tc>
          <w:tcPr>
            <w:tcW w:w="1659" w:type="dxa"/>
          </w:tcPr>
          <w:p w14:paraId="040A45FA" w14:textId="77777777" w:rsidR="001753B1" w:rsidRPr="00246D8C" w:rsidRDefault="001753B1" w:rsidP="006A7219">
            <w:pPr>
              <w:tabs>
                <w:tab w:val="left" w:pos="284"/>
              </w:tabs>
              <w:jc w:val="both"/>
              <w:rPr>
                <w:sz w:val="22"/>
                <w:szCs w:val="22"/>
                <w:lang w:val="sr-Latn-ME"/>
              </w:rPr>
            </w:pPr>
            <w:r w:rsidRPr="00246D8C">
              <w:rPr>
                <w:sz w:val="22"/>
                <w:szCs w:val="22"/>
                <w:lang w:val="sr-Latn-ME"/>
              </w:rPr>
              <w:t>Dijareja</w:t>
            </w:r>
            <w:r w:rsidRPr="00246D8C">
              <w:rPr>
                <w:sz w:val="22"/>
                <w:szCs w:val="22"/>
                <w:vertAlign w:val="superscript"/>
                <w:lang w:val="sr-Latn-ME"/>
              </w:rPr>
              <w:t>4</w:t>
            </w:r>
          </w:p>
        </w:tc>
        <w:tc>
          <w:tcPr>
            <w:tcW w:w="1659" w:type="dxa"/>
          </w:tcPr>
          <w:p w14:paraId="192B4CE8" w14:textId="77777777" w:rsidR="001753B1" w:rsidRPr="00246D8C" w:rsidRDefault="001753B1" w:rsidP="003C0336">
            <w:pPr>
              <w:tabs>
                <w:tab w:val="left" w:pos="284"/>
              </w:tabs>
              <w:jc w:val="both"/>
              <w:rPr>
                <w:sz w:val="22"/>
                <w:szCs w:val="22"/>
                <w:lang w:val="sr-Latn-ME"/>
              </w:rPr>
            </w:pPr>
            <w:r w:rsidRPr="00246D8C">
              <w:rPr>
                <w:sz w:val="22"/>
                <w:szCs w:val="22"/>
                <w:lang w:val="sr-Latn-ME"/>
              </w:rPr>
              <w:t>Često</w:t>
            </w:r>
          </w:p>
        </w:tc>
        <w:tc>
          <w:tcPr>
            <w:tcW w:w="1659" w:type="dxa"/>
          </w:tcPr>
          <w:p w14:paraId="2D3225E4" w14:textId="77777777" w:rsidR="001753B1" w:rsidRPr="00246D8C" w:rsidRDefault="001753B1" w:rsidP="00AE24EE">
            <w:pPr>
              <w:tabs>
                <w:tab w:val="left" w:pos="284"/>
              </w:tabs>
              <w:jc w:val="both"/>
              <w:rPr>
                <w:sz w:val="22"/>
                <w:szCs w:val="22"/>
                <w:lang w:val="sr-Latn-ME"/>
              </w:rPr>
            </w:pPr>
            <w:r w:rsidRPr="00246D8C">
              <w:rPr>
                <w:sz w:val="22"/>
                <w:szCs w:val="22"/>
                <w:lang w:val="sr-Latn-ME"/>
              </w:rPr>
              <w:t>Često</w:t>
            </w:r>
          </w:p>
        </w:tc>
        <w:tc>
          <w:tcPr>
            <w:tcW w:w="1660" w:type="dxa"/>
          </w:tcPr>
          <w:p w14:paraId="77E46BD9" w14:textId="77777777" w:rsidR="001753B1" w:rsidRPr="00246D8C" w:rsidRDefault="001753B1">
            <w:pPr>
              <w:tabs>
                <w:tab w:val="left" w:pos="284"/>
              </w:tabs>
              <w:jc w:val="both"/>
              <w:rPr>
                <w:sz w:val="22"/>
                <w:szCs w:val="22"/>
                <w:lang w:val="sr-Latn-ME"/>
              </w:rPr>
            </w:pPr>
            <w:r w:rsidRPr="00246D8C">
              <w:rPr>
                <w:sz w:val="22"/>
                <w:szCs w:val="22"/>
                <w:lang w:val="sr-Latn-ME"/>
              </w:rPr>
              <w:t>Često</w:t>
            </w:r>
          </w:p>
        </w:tc>
        <w:tc>
          <w:tcPr>
            <w:tcW w:w="1660" w:type="dxa"/>
          </w:tcPr>
          <w:p w14:paraId="110A63BD" w14:textId="77777777" w:rsidR="001753B1" w:rsidRPr="00246D8C" w:rsidRDefault="001753B1">
            <w:pPr>
              <w:tabs>
                <w:tab w:val="left" w:pos="284"/>
              </w:tabs>
              <w:jc w:val="both"/>
              <w:rPr>
                <w:sz w:val="22"/>
                <w:szCs w:val="22"/>
                <w:lang w:val="sr-Latn-ME"/>
              </w:rPr>
            </w:pPr>
            <w:r w:rsidRPr="00246D8C">
              <w:rPr>
                <w:sz w:val="22"/>
                <w:szCs w:val="22"/>
                <w:lang w:val="sr-Latn-ME"/>
              </w:rPr>
              <w:t>Često</w:t>
            </w:r>
          </w:p>
        </w:tc>
        <w:tc>
          <w:tcPr>
            <w:tcW w:w="1660" w:type="dxa"/>
          </w:tcPr>
          <w:p w14:paraId="56A0FF88" w14:textId="77777777" w:rsidR="001753B1" w:rsidRPr="00246D8C" w:rsidRDefault="001753B1">
            <w:pPr>
              <w:tabs>
                <w:tab w:val="left" w:pos="284"/>
              </w:tabs>
              <w:jc w:val="both"/>
              <w:rPr>
                <w:sz w:val="22"/>
                <w:szCs w:val="22"/>
                <w:lang w:val="sr-Latn-ME"/>
              </w:rPr>
            </w:pPr>
          </w:p>
        </w:tc>
      </w:tr>
      <w:tr w:rsidR="003D48C9" w:rsidRPr="00246D8C" w14:paraId="3F53E5C4" w14:textId="77777777" w:rsidTr="003E0023">
        <w:tc>
          <w:tcPr>
            <w:tcW w:w="1659" w:type="dxa"/>
          </w:tcPr>
          <w:p w14:paraId="0A0860DC" w14:textId="77777777" w:rsidR="001753B1" w:rsidRPr="00246D8C" w:rsidRDefault="001753B1" w:rsidP="006A7219">
            <w:pPr>
              <w:tabs>
                <w:tab w:val="left" w:pos="284"/>
              </w:tabs>
              <w:jc w:val="both"/>
              <w:rPr>
                <w:sz w:val="22"/>
                <w:szCs w:val="22"/>
                <w:lang w:val="sr-Latn-ME"/>
              </w:rPr>
            </w:pPr>
            <w:r w:rsidRPr="00246D8C">
              <w:rPr>
                <w:sz w:val="22"/>
                <w:szCs w:val="22"/>
                <w:lang w:val="sr-Latn-ME"/>
              </w:rPr>
              <w:t>Dispepsija</w:t>
            </w:r>
          </w:p>
        </w:tc>
        <w:tc>
          <w:tcPr>
            <w:tcW w:w="1659" w:type="dxa"/>
          </w:tcPr>
          <w:p w14:paraId="7E788BD8" w14:textId="77777777" w:rsidR="001753B1" w:rsidRPr="00246D8C" w:rsidRDefault="001753B1" w:rsidP="003C0336">
            <w:pPr>
              <w:tabs>
                <w:tab w:val="left" w:pos="284"/>
              </w:tabs>
              <w:jc w:val="both"/>
              <w:rPr>
                <w:sz w:val="22"/>
                <w:szCs w:val="22"/>
                <w:lang w:val="sr-Latn-ME"/>
              </w:rPr>
            </w:pPr>
          </w:p>
        </w:tc>
        <w:tc>
          <w:tcPr>
            <w:tcW w:w="1659" w:type="dxa"/>
          </w:tcPr>
          <w:p w14:paraId="7199D8F3" w14:textId="77777777" w:rsidR="001753B1" w:rsidRPr="00246D8C" w:rsidRDefault="001753B1" w:rsidP="00AE24EE">
            <w:pPr>
              <w:tabs>
                <w:tab w:val="left" w:pos="284"/>
              </w:tabs>
              <w:jc w:val="both"/>
              <w:rPr>
                <w:sz w:val="22"/>
                <w:szCs w:val="22"/>
                <w:lang w:val="sr-Latn-ME"/>
              </w:rPr>
            </w:pPr>
            <w:r w:rsidRPr="00246D8C">
              <w:rPr>
                <w:sz w:val="22"/>
                <w:szCs w:val="22"/>
                <w:lang w:val="sr-Latn-ME"/>
              </w:rPr>
              <w:t>Često</w:t>
            </w:r>
          </w:p>
        </w:tc>
        <w:tc>
          <w:tcPr>
            <w:tcW w:w="1660" w:type="dxa"/>
          </w:tcPr>
          <w:p w14:paraId="3624C94E" w14:textId="77777777" w:rsidR="001753B1" w:rsidRPr="00246D8C" w:rsidRDefault="001753B1">
            <w:pPr>
              <w:tabs>
                <w:tab w:val="left" w:pos="284"/>
              </w:tabs>
              <w:jc w:val="both"/>
              <w:rPr>
                <w:sz w:val="22"/>
                <w:szCs w:val="22"/>
                <w:lang w:val="sr-Latn-ME"/>
              </w:rPr>
            </w:pPr>
          </w:p>
        </w:tc>
        <w:tc>
          <w:tcPr>
            <w:tcW w:w="1660" w:type="dxa"/>
          </w:tcPr>
          <w:p w14:paraId="3C4B85E2" w14:textId="77777777" w:rsidR="001753B1" w:rsidRPr="00246D8C" w:rsidRDefault="001753B1">
            <w:pPr>
              <w:tabs>
                <w:tab w:val="left" w:pos="284"/>
              </w:tabs>
              <w:jc w:val="both"/>
              <w:rPr>
                <w:sz w:val="22"/>
                <w:szCs w:val="22"/>
                <w:lang w:val="sr-Latn-ME"/>
              </w:rPr>
            </w:pPr>
          </w:p>
        </w:tc>
        <w:tc>
          <w:tcPr>
            <w:tcW w:w="1660" w:type="dxa"/>
          </w:tcPr>
          <w:p w14:paraId="385C130F" w14:textId="77777777" w:rsidR="001753B1" w:rsidRPr="00246D8C" w:rsidRDefault="001753B1">
            <w:pPr>
              <w:tabs>
                <w:tab w:val="left" w:pos="284"/>
              </w:tabs>
              <w:jc w:val="both"/>
              <w:rPr>
                <w:sz w:val="22"/>
                <w:szCs w:val="22"/>
                <w:lang w:val="sr-Latn-ME"/>
              </w:rPr>
            </w:pPr>
          </w:p>
        </w:tc>
      </w:tr>
      <w:tr w:rsidR="003D48C9" w:rsidRPr="00246D8C" w14:paraId="2B3DEAB3" w14:textId="77777777" w:rsidTr="003E0023">
        <w:tc>
          <w:tcPr>
            <w:tcW w:w="1659" w:type="dxa"/>
          </w:tcPr>
          <w:p w14:paraId="10A25657" w14:textId="77777777" w:rsidR="001753B1" w:rsidRPr="00246D8C" w:rsidRDefault="001753B1" w:rsidP="006A7219">
            <w:pPr>
              <w:tabs>
                <w:tab w:val="left" w:pos="284"/>
              </w:tabs>
              <w:jc w:val="both"/>
              <w:rPr>
                <w:sz w:val="22"/>
                <w:szCs w:val="22"/>
                <w:lang w:val="sr-Latn-ME"/>
              </w:rPr>
            </w:pPr>
            <w:r w:rsidRPr="00246D8C">
              <w:rPr>
                <w:sz w:val="22"/>
                <w:szCs w:val="22"/>
                <w:lang w:val="sr-Latn-ME"/>
              </w:rPr>
              <w:t>Flatulencija</w:t>
            </w:r>
          </w:p>
        </w:tc>
        <w:tc>
          <w:tcPr>
            <w:tcW w:w="1659" w:type="dxa"/>
          </w:tcPr>
          <w:p w14:paraId="3ED6FBAE" w14:textId="77777777" w:rsidR="001753B1" w:rsidRPr="00246D8C" w:rsidRDefault="001753B1" w:rsidP="003C0336">
            <w:pPr>
              <w:tabs>
                <w:tab w:val="left" w:pos="284"/>
              </w:tabs>
              <w:jc w:val="both"/>
              <w:rPr>
                <w:sz w:val="22"/>
                <w:szCs w:val="22"/>
                <w:lang w:val="sr-Latn-ME"/>
              </w:rPr>
            </w:pPr>
          </w:p>
        </w:tc>
        <w:tc>
          <w:tcPr>
            <w:tcW w:w="1659" w:type="dxa"/>
          </w:tcPr>
          <w:p w14:paraId="58822544" w14:textId="77777777" w:rsidR="001753B1" w:rsidRPr="00246D8C" w:rsidRDefault="001753B1" w:rsidP="00AE24EE">
            <w:pPr>
              <w:tabs>
                <w:tab w:val="left" w:pos="284"/>
              </w:tabs>
              <w:jc w:val="both"/>
              <w:rPr>
                <w:sz w:val="22"/>
                <w:szCs w:val="22"/>
                <w:lang w:val="sr-Latn-ME"/>
              </w:rPr>
            </w:pPr>
          </w:p>
        </w:tc>
        <w:tc>
          <w:tcPr>
            <w:tcW w:w="1660" w:type="dxa"/>
          </w:tcPr>
          <w:p w14:paraId="13DC807E" w14:textId="77777777" w:rsidR="001753B1" w:rsidRPr="00246D8C" w:rsidRDefault="001753B1">
            <w:pPr>
              <w:tabs>
                <w:tab w:val="left" w:pos="284"/>
              </w:tabs>
              <w:jc w:val="both"/>
              <w:rPr>
                <w:sz w:val="22"/>
                <w:szCs w:val="22"/>
                <w:lang w:val="sr-Latn-ME"/>
              </w:rPr>
            </w:pPr>
          </w:p>
        </w:tc>
        <w:tc>
          <w:tcPr>
            <w:tcW w:w="1660" w:type="dxa"/>
          </w:tcPr>
          <w:p w14:paraId="0D3A0CA3" w14:textId="77777777" w:rsidR="001753B1" w:rsidRPr="00246D8C" w:rsidRDefault="001753B1">
            <w:pPr>
              <w:tabs>
                <w:tab w:val="left" w:pos="284"/>
              </w:tabs>
              <w:jc w:val="both"/>
              <w:rPr>
                <w:sz w:val="22"/>
                <w:szCs w:val="22"/>
                <w:lang w:val="sr-Latn-ME"/>
              </w:rPr>
            </w:pPr>
          </w:p>
        </w:tc>
        <w:tc>
          <w:tcPr>
            <w:tcW w:w="1660" w:type="dxa"/>
          </w:tcPr>
          <w:p w14:paraId="070378CC" w14:textId="77777777" w:rsidR="001753B1" w:rsidRPr="00246D8C" w:rsidRDefault="001753B1">
            <w:pPr>
              <w:tabs>
                <w:tab w:val="left" w:pos="284"/>
              </w:tabs>
              <w:jc w:val="both"/>
              <w:rPr>
                <w:sz w:val="22"/>
                <w:szCs w:val="22"/>
                <w:lang w:val="sr-Latn-ME"/>
              </w:rPr>
            </w:pPr>
            <w:r w:rsidRPr="00246D8C">
              <w:rPr>
                <w:sz w:val="22"/>
                <w:szCs w:val="22"/>
                <w:lang w:val="sr-Latn-ME"/>
              </w:rPr>
              <w:t>Često</w:t>
            </w:r>
          </w:p>
        </w:tc>
      </w:tr>
      <w:tr w:rsidR="003D48C9" w:rsidRPr="00246D8C" w14:paraId="0F812654" w14:textId="77777777" w:rsidTr="003E0023">
        <w:tc>
          <w:tcPr>
            <w:tcW w:w="1659" w:type="dxa"/>
          </w:tcPr>
          <w:p w14:paraId="01619E89" w14:textId="77777777" w:rsidR="001753B1" w:rsidRPr="00246D8C" w:rsidRDefault="001753B1" w:rsidP="006A7219">
            <w:pPr>
              <w:tabs>
                <w:tab w:val="left" w:pos="284"/>
              </w:tabs>
              <w:jc w:val="both"/>
              <w:rPr>
                <w:sz w:val="22"/>
                <w:szCs w:val="22"/>
                <w:lang w:val="sr-Latn-ME"/>
              </w:rPr>
            </w:pPr>
            <w:r w:rsidRPr="00246D8C">
              <w:rPr>
                <w:sz w:val="22"/>
                <w:szCs w:val="22"/>
                <w:lang w:val="sr-Latn-ME"/>
              </w:rPr>
              <w:t>Gastritis</w:t>
            </w:r>
          </w:p>
        </w:tc>
        <w:tc>
          <w:tcPr>
            <w:tcW w:w="1659" w:type="dxa"/>
          </w:tcPr>
          <w:p w14:paraId="190BA884" w14:textId="77777777" w:rsidR="001753B1" w:rsidRPr="00246D8C" w:rsidRDefault="001753B1" w:rsidP="003C0336">
            <w:pPr>
              <w:tabs>
                <w:tab w:val="left" w:pos="284"/>
              </w:tabs>
              <w:jc w:val="both"/>
              <w:rPr>
                <w:sz w:val="22"/>
                <w:szCs w:val="22"/>
                <w:lang w:val="sr-Latn-ME"/>
              </w:rPr>
            </w:pPr>
          </w:p>
        </w:tc>
        <w:tc>
          <w:tcPr>
            <w:tcW w:w="1659" w:type="dxa"/>
          </w:tcPr>
          <w:p w14:paraId="6F4C9303" w14:textId="77777777" w:rsidR="001753B1" w:rsidRPr="00246D8C" w:rsidRDefault="001753B1" w:rsidP="00AE24EE">
            <w:pPr>
              <w:tabs>
                <w:tab w:val="left" w:pos="284"/>
              </w:tabs>
              <w:jc w:val="both"/>
              <w:rPr>
                <w:sz w:val="22"/>
                <w:szCs w:val="22"/>
                <w:lang w:val="sr-Latn-ME"/>
              </w:rPr>
            </w:pPr>
            <w:r w:rsidRPr="00246D8C">
              <w:rPr>
                <w:sz w:val="22"/>
                <w:szCs w:val="22"/>
                <w:lang w:val="sr-Latn-ME"/>
              </w:rPr>
              <w:t>Često</w:t>
            </w:r>
          </w:p>
        </w:tc>
        <w:tc>
          <w:tcPr>
            <w:tcW w:w="1660" w:type="dxa"/>
          </w:tcPr>
          <w:p w14:paraId="67B0D53B" w14:textId="77777777" w:rsidR="001753B1" w:rsidRPr="00246D8C" w:rsidRDefault="001753B1">
            <w:pPr>
              <w:tabs>
                <w:tab w:val="left" w:pos="284"/>
              </w:tabs>
              <w:jc w:val="both"/>
              <w:rPr>
                <w:sz w:val="22"/>
                <w:szCs w:val="22"/>
                <w:lang w:val="sr-Latn-ME"/>
              </w:rPr>
            </w:pPr>
          </w:p>
        </w:tc>
        <w:tc>
          <w:tcPr>
            <w:tcW w:w="1660" w:type="dxa"/>
          </w:tcPr>
          <w:p w14:paraId="05F139B0" w14:textId="77777777" w:rsidR="001753B1" w:rsidRPr="00246D8C" w:rsidRDefault="001753B1">
            <w:pPr>
              <w:tabs>
                <w:tab w:val="left" w:pos="284"/>
              </w:tabs>
              <w:jc w:val="both"/>
              <w:rPr>
                <w:sz w:val="22"/>
                <w:szCs w:val="22"/>
                <w:lang w:val="sr-Latn-ME"/>
              </w:rPr>
            </w:pPr>
          </w:p>
        </w:tc>
        <w:tc>
          <w:tcPr>
            <w:tcW w:w="1660" w:type="dxa"/>
          </w:tcPr>
          <w:p w14:paraId="123ED514" w14:textId="77777777" w:rsidR="001753B1" w:rsidRPr="00246D8C" w:rsidRDefault="001753B1">
            <w:pPr>
              <w:tabs>
                <w:tab w:val="left" w:pos="284"/>
              </w:tabs>
              <w:jc w:val="both"/>
              <w:rPr>
                <w:sz w:val="22"/>
                <w:szCs w:val="22"/>
                <w:lang w:val="sr-Latn-ME"/>
              </w:rPr>
            </w:pPr>
          </w:p>
        </w:tc>
      </w:tr>
      <w:tr w:rsidR="003D48C9" w:rsidRPr="00246D8C" w14:paraId="78CDF2EB" w14:textId="77777777" w:rsidTr="003E0023">
        <w:tc>
          <w:tcPr>
            <w:tcW w:w="1659" w:type="dxa"/>
          </w:tcPr>
          <w:p w14:paraId="68A8119F" w14:textId="77777777" w:rsidR="001753B1" w:rsidRPr="00246D8C" w:rsidRDefault="001753B1" w:rsidP="006A7219">
            <w:pPr>
              <w:tabs>
                <w:tab w:val="left" w:pos="284"/>
              </w:tabs>
              <w:jc w:val="both"/>
              <w:rPr>
                <w:sz w:val="22"/>
                <w:szCs w:val="22"/>
                <w:lang w:val="sr-Latn-ME"/>
              </w:rPr>
            </w:pPr>
            <w:r w:rsidRPr="00246D8C">
              <w:rPr>
                <w:sz w:val="22"/>
                <w:szCs w:val="22"/>
                <w:lang w:val="sr-Latn-ME"/>
              </w:rPr>
              <w:t>Nauzeja †</w:t>
            </w:r>
          </w:p>
        </w:tc>
        <w:tc>
          <w:tcPr>
            <w:tcW w:w="1659" w:type="dxa"/>
          </w:tcPr>
          <w:p w14:paraId="12B8E7F1" w14:textId="77777777" w:rsidR="001753B1" w:rsidRPr="00246D8C" w:rsidRDefault="001753B1" w:rsidP="003C0336">
            <w:pPr>
              <w:tabs>
                <w:tab w:val="left" w:pos="284"/>
              </w:tabs>
              <w:jc w:val="both"/>
              <w:rPr>
                <w:sz w:val="22"/>
                <w:szCs w:val="22"/>
                <w:lang w:val="sr-Latn-ME"/>
              </w:rPr>
            </w:pPr>
            <w:r w:rsidRPr="00246D8C">
              <w:rPr>
                <w:sz w:val="22"/>
                <w:szCs w:val="22"/>
                <w:lang w:val="sr-Latn-ME"/>
              </w:rPr>
              <w:t>Često</w:t>
            </w:r>
          </w:p>
        </w:tc>
        <w:tc>
          <w:tcPr>
            <w:tcW w:w="1659" w:type="dxa"/>
          </w:tcPr>
          <w:p w14:paraId="5AA6C099" w14:textId="77777777" w:rsidR="001753B1" w:rsidRPr="00246D8C" w:rsidRDefault="001753B1" w:rsidP="00AE24EE">
            <w:pPr>
              <w:tabs>
                <w:tab w:val="left" w:pos="284"/>
              </w:tabs>
              <w:jc w:val="both"/>
              <w:rPr>
                <w:sz w:val="22"/>
                <w:szCs w:val="22"/>
                <w:lang w:val="sr-Latn-ME"/>
              </w:rPr>
            </w:pPr>
            <w:r w:rsidRPr="00246D8C">
              <w:rPr>
                <w:sz w:val="22"/>
                <w:szCs w:val="22"/>
                <w:lang w:val="sr-Latn-ME"/>
              </w:rPr>
              <w:t>Često</w:t>
            </w:r>
          </w:p>
        </w:tc>
        <w:tc>
          <w:tcPr>
            <w:tcW w:w="1660" w:type="dxa"/>
          </w:tcPr>
          <w:p w14:paraId="4A378253" w14:textId="77777777" w:rsidR="001753B1" w:rsidRPr="00246D8C" w:rsidRDefault="001753B1">
            <w:pPr>
              <w:tabs>
                <w:tab w:val="left" w:pos="284"/>
              </w:tabs>
              <w:jc w:val="both"/>
              <w:rPr>
                <w:sz w:val="22"/>
                <w:szCs w:val="22"/>
                <w:lang w:val="sr-Latn-ME"/>
              </w:rPr>
            </w:pPr>
            <w:r w:rsidRPr="00246D8C">
              <w:rPr>
                <w:sz w:val="22"/>
                <w:szCs w:val="22"/>
                <w:lang w:val="sr-Latn-ME"/>
              </w:rPr>
              <w:t>Često</w:t>
            </w:r>
          </w:p>
        </w:tc>
        <w:tc>
          <w:tcPr>
            <w:tcW w:w="1660" w:type="dxa"/>
          </w:tcPr>
          <w:p w14:paraId="4E8F94B3" w14:textId="77777777" w:rsidR="001753B1" w:rsidRPr="00246D8C" w:rsidRDefault="001753B1">
            <w:pPr>
              <w:tabs>
                <w:tab w:val="left" w:pos="284"/>
              </w:tabs>
              <w:jc w:val="both"/>
              <w:rPr>
                <w:sz w:val="22"/>
                <w:szCs w:val="22"/>
                <w:lang w:val="sr-Latn-ME"/>
              </w:rPr>
            </w:pPr>
            <w:r w:rsidRPr="00246D8C">
              <w:rPr>
                <w:sz w:val="22"/>
                <w:szCs w:val="22"/>
                <w:lang w:val="sr-Latn-ME"/>
              </w:rPr>
              <w:t>Često</w:t>
            </w:r>
          </w:p>
        </w:tc>
        <w:tc>
          <w:tcPr>
            <w:tcW w:w="1660" w:type="dxa"/>
          </w:tcPr>
          <w:p w14:paraId="75487C1A" w14:textId="77777777" w:rsidR="001753B1" w:rsidRPr="00246D8C" w:rsidRDefault="001753B1">
            <w:pPr>
              <w:tabs>
                <w:tab w:val="left" w:pos="284"/>
              </w:tabs>
              <w:jc w:val="both"/>
              <w:rPr>
                <w:sz w:val="22"/>
                <w:szCs w:val="22"/>
                <w:lang w:val="sr-Latn-ME"/>
              </w:rPr>
            </w:pPr>
          </w:p>
        </w:tc>
      </w:tr>
      <w:tr w:rsidR="003D48C9" w:rsidRPr="00246D8C" w14:paraId="7DD7F89E" w14:textId="77777777" w:rsidTr="003E0023">
        <w:tc>
          <w:tcPr>
            <w:tcW w:w="1659" w:type="dxa"/>
          </w:tcPr>
          <w:p w14:paraId="0FED1CC8" w14:textId="77777777" w:rsidR="001753B1" w:rsidRPr="00246D8C" w:rsidRDefault="001753B1" w:rsidP="006A7219">
            <w:pPr>
              <w:tabs>
                <w:tab w:val="left" w:pos="284"/>
              </w:tabs>
              <w:jc w:val="both"/>
              <w:rPr>
                <w:sz w:val="22"/>
                <w:szCs w:val="22"/>
                <w:lang w:val="sr-Latn-ME"/>
              </w:rPr>
            </w:pPr>
            <w:r w:rsidRPr="00246D8C">
              <w:rPr>
                <w:sz w:val="22"/>
                <w:szCs w:val="22"/>
                <w:lang w:val="sr-Latn-ME"/>
              </w:rPr>
              <w:t>Povraćanje</w:t>
            </w:r>
          </w:p>
        </w:tc>
        <w:tc>
          <w:tcPr>
            <w:tcW w:w="1659" w:type="dxa"/>
          </w:tcPr>
          <w:p w14:paraId="1675DE6E" w14:textId="77777777" w:rsidR="001753B1" w:rsidRPr="00246D8C" w:rsidRDefault="001753B1" w:rsidP="003C0336">
            <w:pPr>
              <w:tabs>
                <w:tab w:val="left" w:pos="284"/>
              </w:tabs>
              <w:jc w:val="both"/>
              <w:rPr>
                <w:sz w:val="22"/>
                <w:szCs w:val="22"/>
                <w:lang w:val="sr-Latn-ME"/>
              </w:rPr>
            </w:pPr>
            <w:r w:rsidRPr="00246D8C">
              <w:rPr>
                <w:sz w:val="22"/>
                <w:szCs w:val="22"/>
                <w:lang w:val="sr-Latn-ME"/>
              </w:rPr>
              <w:t>Često</w:t>
            </w:r>
          </w:p>
        </w:tc>
        <w:tc>
          <w:tcPr>
            <w:tcW w:w="1659" w:type="dxa"/>
          </w:tcPr>
          <w:p w14:paraId="42E2D729" w14:textId="77777777" w:rsidR="001753B1" w:rsidRPr="00246D8C" w:rsidRDefault="001753B1" w:rsidP="00AE24EE">
            <w:pPr>
              <w:tabs>
                <w:tab w:val="left" w:pos="284"/>
              </w:tabs>
              <w:jc w:val="both"/>
              <w:rPr>
                <w:sz w:val="22"/>
                <w:szCs w:val="22"/>
                <w:lang w:val="sr-Latn-ME"/>
              </w:rPr>
            </w:pPr>
            <w:r w:rsidRPr="00246D8C">
              <w:rPr>
                <w:sz w:val="22"/>
                <w:szCs w:val="22"/>
                <w:lang w:val="sr-Latn-ME"/>
              </w:rPr>
              <w:t>Često</w:t>
            </w:r>
          </w:p>
        </w:tc>
        <w:tc>
          <w:tcPr>
            <w:tcW w:w="1660" w:type="dxa"/>
          </w:tcPr>
          <w:p w14:paraId="13651863" w14:textId="77777777" w:rsidR="001753B1" w:rsidRPr="00246D8C" w:rsidRDefault="001753B1">
            <w:pPr>
              <w:tabs>
                <w:tab w:val="left" w:pos="284"/>
              </w:tabs>
              <w:jc w:val="both"/>
              <w:rPr>
                <w:sz w:val="22"/>
                <w:szCs w:val="22"/>
                <w:lang w:val="sr-Latn-ME"/>
              </w:rPr>
            </w:pPr>
            <w:r w:rsidRPr="00246D8C">
              <w:rPr>
                <w:sz w:val="22"/>
                <w:szCs w:val="22"/>
                <w:lang w:val="sr-Latn-ME"/>
              </w:rPr>
              <w:t>Često</w:t>
            </w:r>
          </w:p>
        </w:tc>
        <w:tc>
          <w:tcPr>
            <w:tcW w:w="1660" w:type="dxa"/>
          </w:tcPr>
          <w:p w14:paraId="2865554C" w14:textId="77777777" w:rsidR="001753B1" w:rsidRPr="00246D8C" w:rsidRDefault="001753B1">
            <w:pPr>
              <w:tabs>
                <w:tab w:val="left" w:pos="284"/>
              </w:tabs>
              <w:jc w:val="both"/>
              <w:rPr>
                <w:sz w:val="22"/>
                <w:szCs w:val="22"/>
                <w:lang w:val="sr-Latn-ME"/>
              </w:rPr>
            </w:pPr>
            <w:r w:rsidRPr="00246D8C">
              <w:rPr>
                <w:sz w:val="22"/>
                <w:szCs w:val="22"/>
                <w:lang w:val="sr-Latn-ME"/>
              </w:rPr>
              <w:t>Često</w:t>
            </w:r>
          </w:p>
        </w:tc>
        <w:tc>
          <w:tcPr>
            <w:tcW w:w="1660" w:type="dxa"/>
          </w:tcPr>
          <w:p w14:paraId="52861B73" w14:textId="77777777" w:rsidR="001753B1" w:rsidRPr="00246D8C" w:rsidRDefault="001753B1">
            <w:pPr>
              <w:tabs>
                <w:tab w:val="left" w:pos="284"/>
              </w:tabs>
              <w:jc w:val="both"/>
              <w:rPr>
                <w:sz w:val="22"/>
                <w:szCs w:val="22"/>
                <w:lang w:val="sr-Latn-ME"/>
              </w:rPr>
            </w:pPr>
          </w:p>
        </w:tc>
      </w:tr>
      <w:tr w:rsidR="003D48C9" w:rsidRPr="00246D8C" w14:paraId="7AF24DD0" w14:textId="77777777" w:rsidTr="003E0023">
        <w:tc>
          <w:tcPr>
            <w:tcW w:w="1659" w:type="dxa"/>
          </w:tcPr>
          <w:p w14:paraId="6169D08A" w14:textId="77777777" w:rsidR="001753B1" w:rsidRPr="00246D8C" w:rsidRDefault="001753B1" w:rsidP="006A7219">
            <w:pPr>
              <w:tabs>
                <w:tab w:val="left" w:pos="284"/>
              </w:tabs>
              <w:jc w:val="both"/>
              <w:rPr>
                <w:sz w:val="22"/>
                <w:szCs w:val="22"/>
                <w:lang w:val="sr-Latn-ME"/>
              </w:rPr>
            </w:pPr>
            <w:r w:rsidRPr="00246D8C">
              <w:rPr>
                <w:sz w:val="22"/>
                <w:szCs w:val="22"/>
                <w:lang w:val="sr-Latn-ME"/>
              </w:rPr>
              <w:t>Pankreatitis †</w:t>
            </w:r>
          </w:p>
        </w:tc>
        <w:tc>
          <w:tcPr>
            <w:tcW w:w="1659" w:type="dxa"/>
          </w:tcPr>
          <w:p w14:paraId="337223D0" w14:textId="77777777" w:rsidR="001753B1" w:rsidRPr="00246D8C" w:rsidRDefault="001753B1" w:rsidP="003C0336">
            <w:pPr>
              <w:tabs>
                <w:tab w:val="left" w:pos="284"/>
              </w:tabs>
              <w:jc w:val="both"/>
              <w:rPr>
                <w:sz w:val="22"/>
                <w:szCs w:val="22"/>
                <w:lang w:val="sr-Latn-ME"/>
              </w:rPr>
            </w:pPr>
            <w:r w:rsidRPr="00246D8C">
              <w:rPr>
                <w:sz w:val="22"/>
                <w:szCs w:val="22"/>
                <w:lang w:val="sr-Latn-ME"/>
              </w:rPr>
              <w:t>Povremeno</w:t>
            </w:r>
          </w:p>
        </w:tc>
        <w:tc>
          <w:tcPr>
            <w:tcW w:w="1659" w:type="dxa"/>
          </w:tcPr>
          <w:p w14:paraId="3CD4A8B2" w14:textId="77777777" w:rsidR="001753B1" w:rsidRPr="00246D8C" w:rsidRDefault="001753B1" w:rsidP="00AE24EE">
            <w:pPr>
              <w:tabs>
                <w:tab w:val="left" w:pos="284"/>
              </w:tabs>
              <w:jc w:val="both"/>
              <w:rPr>
                <w:sz w:val="22"/>
                <w:szCs w:val="22"/>
                <w:lang w:val="sr-Latn-ME"/>
              </w:rPr>
            </w:pPr>
            <w:r w:rsidRPr="00246D8C">
              <w:rPr>
                <w:sz w:val="22"/>
                <w:szCs w:val="22"/>
                <w:lang w:val="sr-Latn-ME"/>
              </w:rPr>
              <w:t>Povremeno</w:t>
            </w:r>
          </w:p>
        </w:tc>
        <w:tc>
          <w:tcPr>
            <w:tcW w:w="1660" w:type="dxa"/>
          </w:tcPr>
          <w:p w14:paraId="45588F1A" w14:textId="77777777" w:rsidR="001753B1" w:rsidRPr="00246D8C" w:rsidRDefault="001753B1">
            <w:pPr>
              <w:tabs>
                <w:tab w:val="left" w:pos="284"/>
              </w:tabs>
              <w:jc w:val="both"/>
              <w:rPr>
                <w:sz w:val="22"/>
                <w:szCs w:val="22"/>
                <w:lang w:val="sr-Latn-ME"/>
              </w:rPr>
            </w:pPr>
            <w:r w:rsidRPr="00246D8C">
              <w:rPr>
                <w:sz w:val="22"/>
                <w:szCs w:val="22"/>
                <w:lang w:val="sr-Latn-ME"/>
              </w:rPr>
              <w:t>Povremeno</w:t>
            </w:r>
          </w:p>
        </w:tc>
        <w:tc>
          <w:tcPr>
            <w:tcW w:w="1660" w:type="dxa"/>
          </w:tcPr>
          <w:p w14:paraId="7176BB7F" w14:textId="77777777" w:rsidR="001753B1" w:rsidRPr="00246D8C" w:rsidRDefault="001753B1">
            <w:pPr>
              <w:tabs>
                <w:tab w:val="left" w:pos="284"/>
              </w:tabs>
              <w:jc w:val="both"/>
              <w:rPr>
                <w:sz w:val="22"/>
                <w:szCs w:val="22"/>
                <w:lang w:val="sr-Latn-ME"/>
              </w:rPr>
            </w:pPr>
            <w:r w:rsidRPr="00246D8C">
              <w:rPr>
                <w:sz w:val="22"/>
                <w:szCs w:val="22"/>
                <w:lang w:val="sr-Latn-ME"/>
              </w:rPr>
              <w:t>Povremeno</w:t>
            </w:r>
          </w:p>
        </w:tc>
        <w:tc>
          <w:tcPr>
            <w:tcW w:w="1660" w:type="dxa"/>
          </w:tcPr>
          <w:p w14:paraId="7303FC48" w14:textId="77777777" w:rsidR="001753B1" w:rsidRPr="00246D8C" w:rsidRDefault="001753B1">
            <w:pPr>
              <w:tabs>
                <w:tab w:val="left" w:pos="284"/>
              </w:tabs>
              <w:jc w:val="both"/>
              <w:rPr>
                <w:sz w:val="22"/>
                <w:szCs w:val="22"/>
                <w:lang w:val="sr-Latn-ME"/>
              </w:rPr>
            </w:pPr>
          </w:p>
        </w:tc>
      </w:tr>
      <w:tr w:rsidR="003D48C9" w:rsidRPr="00246D8C" w14:paraId="78F7A8C7" w14:textId="77777777" w:rsidTr="003E0023">
        <w:tc>
          <w:tcPr>
            <w:tcW w:w="1659" w:type="dxa"/>
          </w:tcPr>
          <w:p w14:paraId="3CA027EA" w14:textId="77777777" w:rsidR="001753B1" w:rsidRPr="00246D8C" w:rsidRDefault="001753B1" w:rsidP="006A7219">
            <w:pPr>
              <w:tabs>
                <w:tab w:val="left" w:pos="284"/>
              </w:tabs>
              <w:jc w:val="both"/>
              <w:rPr>
                <w:sz w:val="22"/>
                <w:szCs w:val="22"/>
                <w:lang w:val="sr-Latn-ME"/>
              </w:rPr>
            </w:pPr>
            <w:r w:rsidRPr="00246D8C">
              <w:rPr>
                <w:sz w:val="22"/>
                <w:szCs w:val="22"/>
                <w:lang w:val="sr-Latn-ME"/>
              </w:rPr>
              <w:t>Konstipacija†</w:t>
            </w:r>
          </w:p>
        </w:tc>
        <w:tc>
          <w:tcPr>
            <w:tcW w:w="1659" w:type="dxa"/>
          </w:tcPr>
          <w:p w14:paraId="6727FF84" w14:textId="77777777" w:rsidR="001753B1" w:rsidRPr="00246D8C" w:rsidRDefault="001753B1" w:rsidP="003C0336">
            <w:pPr>
              <w:tabs>
                <w:tab w:val="left" w:pos="284"/>
              </w:tabs>
              <w:jc w:val="both"/>
              <w:rPr>
                <w:sz w:val="22"/>
                <w:szCs w:val="22"/>
                <w:lang w:val="sr-Latn-ME"/>
              </w:rPr>
            </w:pPr>
            <w:r w:rsidRPr="00246D8C">
              <w:rPr>
                <w:sz w:val="22"/>
                <w:szCs w:val="22"/>
                <w:lang w:val="sr-Latn-ME"/>
              </w:rPr>
              <w:t>Nepoznato</w:t>
            </w:r>
          </w:p>
        </w:tc>
        <w:tc>
          <w:tcPr>
            <w:tcW w:w="1659" w:type="dxa"/>
          </w:tcPr>
          <w:p w14:paraId="04825E0C" w14:textId="77777777" w:rsidR="001753B1" w:rsidRPr="00246D8C" w:rsidRDefault="001753B1" w:rsidP="00AE24EE">
            <w:pPr>
              <w:tabs>
                <w:tab w:val="left" w:pos="284"/>
              </w:tabs>
              <w:jc w:val="both"/>
              <w:rPr>
                <w:sz w:val="22"/>
                <w:szCs w:val="22"/>
                <w:lang w:val="sr-Latn-ME"/>
              </w:rPr>
            </w:pPr>
            <w:r w:rsidRPr="00246D8C">
              <w:rPr>
                <w:sz w:val="22"/>
                <w:szCs w:val="22"/>
                <w:lang w:val="sr-Latn-ME"/>
              </w:rPr>
              <w:t>Nepoznato</w:t>
            </w:r>
          </w:p>
        </w:tc>
        <w:tc>
          <w:tcPr>
            <w:tcW w:w="1660" w:type="dxa"/>
          </w:tcPr>
          <w:p w14:paraId="185EA5D6" w14:textId="77777777" w:rsidR="001753B1" w:rsidRPr="00246D8C" w:rsidRDefault="001753B1">
            <w:pPr>
              <w:tabs>
                <w:tab w:val="left" w:pos="284"/>
              </w:tabs>
              <w:jc w:val="both"/>
              <w:rPr>
                <w:sz w:val="22"/>
                <w:szCs w:val="22"/>
                <w:lang w:val="sr-Latn-ME"/>
              </w:rPr>
            </w:pPr>
            <w:r w:rsidRPr="00246D8C">
              <w:rPr>
                <w:sz w:val="22"/>
                <w:szCs w:val="22"/>
                <w:lang w:val="sr-Latn-ME"/>
              </w:rPr>
              <w:t>Nepoznato</w:t>
            </w:r>
          </w:p>
        </w:tc>
        <w:tc>
          <w:tcPr>
            <w:tcW w:w="1660" w:type="dxa"/>
          </w:tcPr>
          <w:p w14:paraId="020CD46B" w14:textId="77777777" w:rsidR="001753B1" w:rsidRPr="00246D8C" w:rsidRDefault="001753B1">
            <w:pPr>
              <w:tabs>
                <w:tab w:val="left" w:pos="284"/>
              </w:tabs>
              <w:jc w:val="both"/>
              <w:rPr>
                <w:sz w:val="22"/>
                <w:szCs w:val="22"/>
                <w:lang w:val="sr-Latn-ME"/>
              </w:rPr>
            </w:pPr>
            <w:r w:rsidRPr="00246D8C">
              <w:rPr>
                <w:sz w:val="22"/>
                <w:szCs w:val="22"/>
                <w:lang w:val="sr-Latn-ME"/>
              </w:rPr>
              <w:t>Nepoznato</w:t>
            </w:r>
          </w:p>
        </w:tc>
        <w:tc>
          <w:tcPr>
            <w:tcW w:w="1660" w:type="dxa"/>
          </w:tcPr>
          <w:p w14:paraId="413DBFE6" w14:textId="77777777" w:rsidR="001753B1" w:rsidRPr="00246D8C" w:rsidRDefault="001753B1">
            <w:pPr>
              <w:tabs>
                <w:tab w:val="left" w:pos="284"/>
              </w:tabs>
              <w:jc w:val="both"/>
              <w:rPr>
                <w:sz w:val="22"/>
                <w:szCs w:val="22"/>
                <w:lang w:val="sr-Latn-ME"/>
              </w:rPr>
            </w:pPr>
            <w:r w:rsidRPr="00246D8C">
              <w:rPr>
                <w:sz w:val="22"/>
                <w:szCs w:val="22"/>
                <w:lang w:val="sr-Latn-ME"/>
              </w:rPr>
              <w:t>Nepoznato</w:t>
            </w:r>
          </w:p>
        </w:tc>
      </w:tr>
      <w:tr w:rsidR="003D48C9" w:rsidRPr="00246D8C" w14:paraId="5537073F" w14:textId="77777777" w:rsidTr="003E0023">
        <w:tc>
          <w:tcPr>
            <w:tcW w:w="1659" w:type="dxa"/>
          </w:tcPr>
          <w:p w14:paraId="5012E369" w14:textId="77777777" w:rsidR="001753B1" w:rsidRPr="00246D8C" w:rsidRDefault="001753B1" w:rsidP="006A7219">
            <w:pPr>
              <w:tabs>
                <w:tab w:val="left" w:pos="284"/>
              </w:tabs>
              <w:jc w:val="both"/>
              <w:rPr>
                <w:sz w:val="22"/>
                <w:szCs w:val="22"/>
                <w:lang w:val="sr-Latn-ME"/>
              </w:rPr>
            </w:pPr>
            <w:r w:rsidRPr="00246D8C">
              <w:rPr>
                <w:b/>
                <w:bCs/>
                <w:sz w:val="22"/>
                <w:szCs w:val="22"/>
                <w:lang w:val="sr-Latn-ME"/>
              </w:rPr>
              <w:t>Opšti poremećaji i poremećaji na mjestu primjene</w:t>
            </w:r>
          </w:p>
        </w:tc>
        <w:tc>
          <w:tcPr>
            <w:tcW w:w="1659" w:type="dxa"/>
          </w:tcPr>
          <w:p w14:paraId="7FAB1C91" w14:textId="77777777" w:rsidR="001753B1" w:rsidRPr="00246D8C" w:rsidRDefault="001753B1" w:rsidP="003C0336">
            <w:pPr>
              <w:tabs>
                <w:tab w:val="left" w:pos="284"/>
              </w:tabs>
              <w:jc w:val="both"/>
              <w:rPr>
                <w:sz w:val="22"/>
                <w:szCs w:val="22"/>
                <w:lang w:val="sr-Latn-ME"/>
              </w:rPr>
            </w:pPr>
          </w:p>
        </w:tc>
        <w:tc>
          <w:tcPr>
            <w:tcW w:w="1659" w:type="dxa"/>
          </w:tcPr>
          <w:p w14:paraId="6273D651" w14:textId="77777777" w:rsidR="001753B1" w:rsidRPr="00246D8C" w:rsidRDefault="001753B1" w:rsidP="00AE24EE">
            <w:pPr>
              <w:tabs>
                <w:tab w:val="left" w:pos="284"/>
              </w:tabs>
              <w:jc w:val="both"/>
              <w:rPr>
                <w:sz w:val="22"/>
                <w:szCs w:val="22"/>
                <w:lang w:val="sr-Latn-ME"/>
              </w:rPr>
            </w:pPr>
          </w:p>
        </w:tc>
        <w:tc>
          <w:tcPr>
            <w:tcW w:w="1660" w:type="dxa"/>
          </w:tcPr>
          <w:p w14:paraId="10F1D425" w14:textId="77777777" w:rsidR="001753B1" w:rsidRPr="00246D8C" w:rsidRDefault="001753B1">
            <w:pPr>
              <w:tabs>
                <w:tab w:val="left" w:pos="284"/>
              </w:tabs>
              <w:jc w:val="both"/>
              <w:rPr>
                <w:sz w:val="22"/>
                <w:szCs w:val="22"/>
                <w:lang w:val="sr-Latn-ME"/>
              </w:rPr>
            </w:pPr>
          </w:p>
        </w:tc>
        <w:tc>
          <w:tcPr>
            <w:tcW w:w="1660" w:type="dxa"/>
          </w:tcPr>
          <w:p w14:paraId="28644671" w14:textId="77777777" w:rsidR="001753B1" w:rsidRPr="00246D8C" w:rsidRDefault="001753B1">
            <w:pPr>
              <w:tabs>
                <w:tab w:val="left" w:pos="284"/>
              </w:tabs>
              <w:jc w:val="both"/>
              <w:rPr>
                <w:sz w:val="22"/>
                <w:szCs w:val="22"/>
                <w:lang w:val="sr-Latn-ME"/>
              </w:rPr>
            </w:pPr>
          </w:p>
        </w:tc>
        <w:tc>
          <w:tcPr>
            <w:tcW w:w="1660" w:type="dxa"/>
          </w:tcPr>
          <w:p w14:paraId="29EF1CF7" w14:textId="77777777" w:rsidR="001753B1" w:rsidRPr="00246D8C" w:rsidRDefault="001753B1">
            <w:pPr>
              <w:tabs>
                <w:tab w:val="left" w:pos="284"/>
              </w:tabs>
              <w:jc w:val="both"/>
              <w:rPr>
                <w:sz w:val="22"/>
                <w:szCs w:val="22"/>
                <w:lang w:val="sr-Latn-ME"/>
              </w:rPr>
            </w:pPr>
          </w:p>
        </w:tc>
      </w:tr>
      <w:tr w:rsidR="003D48C9" w:rsidRPr="00246D8C" w14:paraId="678213EA" w14:textId="77777777" w:rsidTr="003E0023">
        <w:tc>
          <w:tcPr>
            <w:tcW w:w="1659" w:type="dxa"/>
          </w:tcPr>
          <w:p w14:paraId="3B1DDBB8" w14:textId="77777777" w:rsidR="001753B1" w:rsidRPr="00246D8C" w:rsidRDefault="001753B1" w:rsidP="006A7219">
            <w:pPr>
              <w:tabs>
                <w:tab w:val="left" w:pos="284"/>
              </w:tabs>
              <w:jc w:val="both"/>
              <w:rPr>
                <w:sz w:val="22"/>
                <w:szCs w:val="22"/>
                <w:lang w:val="sr-Latn-ME"/>
              </w:rPr>
            </w:pPr>
            <w:r w:rsidRPr="00246D8C">
              <w:rPr>
                <w:sz w:val="22"/>
                <w:szCs w:val="22"/>
                <w:lang w:val="sr-Latn-ME"/>
              </w:rPr>
              <w:t>Slabost</w:t>
            </w:r>
          </w:p>
        </w:tc>
        <w:tc>
          <w:tcPr>
            <w:tcW w:w="1659" w:type="dxa"/>
          </w:tcPr>
          <w:p w14:paraId="038307E6" w14:textId="77777777" w:rsidR="001753B1" w:rsidRPr="00246D8C" w:rsidRDefault="001753B1" w:rsidP="003C0336">
            <w:pPr>
              <w:tabs>
                <w:tab w:val="left" w:pos="284"/>
              </w:tabs>
              <w:jc w:val="both"/>
              <w:rPr>
                <w:sz w:val="22"/>
                <w:szCs w:val="22"/>
                <w:lang w:val="sr-Latn-ME"/>
              </w:rPr>
            </w:pPr>
            <w:r w:rsidRPr="00246D8C">
              <w:rPr>
                <w:sz w:val="22"/>
                <w:szCs w:val="22"/>
                <w:lang w:val="sr-Latn-ME"/>
              </w:rPr>
              <w:t>Često</w:t>
            </w:r>
          </w:p>
        </w:tc>
        <w:tc>
          <w:tcPr>
            <w:tcW w:w="1659" w:type="dxa"/>
          </w:tcPr>
          <w:p w14:paraId="54D2C52A" w14:textId="77777777" w:rsidR="001753B1" w:rsidRPr="00246D8C" w:rsidRDefault="001753B1" w:rsidP="00AE24EE">
            <w:pPr>
              <w:tabs>
                <w:tab w:val="left" w:pos="284"/>
              </w:tabs>
              <w:jc w:val="both"/>
              <w:rPr>
                <w:sz w:val="22"/>
                <w:szCs w:val="22"/>
                <w:lang w:val="sr-Latn-ME"/>
              </w:rPr>
            </w:pPr>
          </w:p>
        </w:tc>
        <w:tc>
          <w:tcPr>
            <w:tcW w:w="1660" w:type="dxa"/>
          </w:tcPr>
          <w:p w14:paraId="34E2C875" w14:textId="77777777" w:rsidR="001753B1" w:rsidRPr="00246D8C" w:rsidRDefault="001753B1">
            <w:pPr>
              <w:tabs>
                <w:tab w:val="left" w:pos="284"/>
              </w:tabs>
              <w:jc w:val="both"/>
              <w:rPr>
                <w:sz w:val="22"/>
                <w:szCs w:val="22"/>
                <w:lang w:val="sr-Latn-ME"/>
              </w:rPr>
            </w:pPr>
            <w:r w:rsidRPr="00246D8C">
              <w:rPr>
                <w:sz w:val="22"/>
                <w:szCs w:val="22"/>
                <w:lang w:val="sr-Latn-ME"/>
              </w:rPr>
              <w:t>Povremeno</w:t>
            </w:r>
          </w:p>
        </w:tc>
        <w:tc>
          <w:tcPr>
            <w:tcW w:w="1660" w:type="dxa"/>
          </w:tcPr>
          <w:p w14:paraId="7B30EF11" w14:textId="77777777" w:rsidR="001753B1" w:rsidRPr="00246D8C" w:rsidRDefault="001753B1">
            <w:pPr>
              <w:tabs>
                <w:tab w:val="left" w:pos="284"/>
              </w:tabs>
              <w:jc w:val="both"/>
              <w:rPr>
                <w:sz w:val="22"/>
                <w:szCs w:val="22"/>
                <w:lang w:val="sr-Latn-ME"/>
              </w:rPr>
            </w:pPr>
          </w:p>
        </w:tc>
        <w:tc>
          <w:tcPr>
            <w:tcW w:w="1660" w:type="dxa"/>
          </w:tcPr>
          <w:p w14:paraId="1F5052B8" w14:textId="77777777" w:rsidR="001753B1" w:rsidRPr="00246D8C" w:rsidRDefault="001753B1">
            <w:pPr>
              <w:tabs>
                <w:tab w:val="left" w:pos="284"/>
              </w:tabs>
              <w:jc w:val="both"/>
              <w:rPr>
                <w:sz w:val="22"/>
                <w:szCs w:val="22"/>
                <w:lang w:val="sr-Latn-ME"/>
              </w:rPr>
            </w:pPr>
            <w:r w:rsidRPr="00246D8C">
              <w:rPr>
                <w:sz w:val="22"/>
                <w:szCs w:val="22"/>
                <w:lang w:val="sr-Latn-ME"/>
              </w:rPr>
              <w:t>Često</w:t>
            </w:r>
          </w:p>
        </w:tc>
      </w:tr>
      <w:tr w:rsidR="003D48C9" w:rsidRPr="00246D8C" w14:paraId="58953E71" w14:textId="77777777" w:rsidTr="003E0023">
        <w:tc>
          <w:tcPr>
            <w:tcW w:w="1659" w:type="dxa"/>
          </w:tcPr>
          <w:p w14:paraId="0442E542" w14:textId="77777777" w:rsidR="001753B1" w:rsidRPr="00246D8C" w:rsidRDefault="001753B1" w:rsidP="006A7219">
            <w:pPr>
              <w:tabs>
                <w:tab w:val="left" w:pos="284"/>
              </w:tabs>
              <w:jc w:val="both"/>
              <w:rPr>
                <w:sz w:val="22"/>
                <w:szCs w:val="22"/>
                <w:lang w:val="sr-Latn-ME"/>
              </w:rPr>
            </w:pPr>
            <w:r w:rsidRPr="00246D8C">
              <w:rPr>
                <w:sz w:val="22"/>
                <w:szCs w:val="22"/>
                <w:lang w:val="sr-Latn-ME"/>
              </w:rPr>
              <w:t>Periferni edem</w:t>
            </w:r>
          </w:p>
        </w:tc>
        <w:tc>
          <w:tcPr>
            <w:tcW w:w="1659" w:type="dxa"/>
          </w:tcPr>
          <w:p w14:paraId="1561C203" w14:textId="77777777" w:rsidR="001753B1" w:rsidRPr="00246D8C" w:rsidRDefault="001753B1" w:rsidP="003C0336">
            <w:pPr>
              <w:tabs>
                <w:tab w:val="left" w:pos="284"/>
              </w:tabs>
              <w:jc w:val="both"/>
              <w:rPr>
                <w:sz w:val="22"/>
                <w:szCs w:val="22"/>
                <w:lang w:val="sr-Latn-ME"/>
              </w:rPr>
            </w:pPr>
          </w:p>
        </w:tc>
        <w:tc>
          <w:tcPr>
            <w:tcW w:w="1659" w:type="dxa"/>
          </w:tcPr>
          <w:p w14:paraId="625CA6EF" w14:textId="77777777" w:rsidR="001753B1" w:rsidRPr="00246D8C" w:rsidRDefault="001753B1" w:rsidP="00AE24EE">
            <w:pPr>
              <w:tabs>
                <w:tab w:val="left" w:pos="284"/>
              </w:tabs>
              <w:jc w:val="both"/>
              <w:rPr>
                <w:sz w:val="22"/>
                <w:szCs w:val="22"/>
                <w:lang w:val="sr-Latn-ME"/>
              </w:rPr>
            </w:pPr>
          </w:p>
        </w:tc>
        <w:tc>
          <w:tcPr>
            <w:tcW w:w="1660" w:type="dxa"/>
          </w:tcPr>
          <w:p w14:paraId="177D015C" w14:textId="77777777" w:rsidR="001753B1" w:rsidRPr="00246D8C" w:rsidRDefault="001753B1">
            <w:pPr>
              <w:tabs>
                <w:tab w:val="left" w:pos="284"/>
              </w:tabs>
              <w:jc w:val="both"/>
              <w:rPr>
                <w:sz w:val="22"/>
                <w:szCs w:val="22"/>
                <w:lang w:val="sr-Latn-ME"/>
              </w:rPr>
            </w:pPr>
          </w:p>
        </w:tc>
        <w:tc>
          <w:tcPr>
            <w:tcW w:w="1660" w:type="dxa"/>
          </w:tcPr>
          <w:p w14:paraId="31A9D46E" w14:textId="77777777" w:rsidR="001753B1" w:rsidRPr="00246D8C" w:rsidRDefault="001753B1">
            <w:pPr>
              <w:tabs>
                <w:tab w:val="left" w:pos="284"/>
              </w:tabs>
              <w:jc w:val="both"/>
              <w:rPr>
                <w:sz w:val="22"/>
                <w:szCs w:val="22"/>
                <w:lang w:val="sr-Latn-ME"/>
              </w:rPr>
            </w:pPr>
            <w:r w:rsidRPr="00246D8C">
              <w:rPr>
                <w:sz w:val="22"/>
                <w:szCs w:val="22"/>
                <w:lang w:val="sr-Latn-ME"/>
              </w:rPr>
              <w:t>Često</w:t>
            </w:r>
          </w:p>
        </w:tc>
        <w:tc>
          <w:tcPr>
            <w:tcW w:w="1660" w:type="dxa"/>
          </w:tcPr>
          <w:p w14:paraId="5B4747AA" w14:textId="77777777" w:rsidR="001753B1" w:rsidRPr="00246D8C" w:rsidRDefault="001753B1">
            <w:pPr>
              <w:tabs>
                <w:tab w:val="left" w:pos="284"/>
              </w:tabs>
              <w:jc w:val="both"/>
              <w:rPr>
                <w:sz w:val="22"/>
                <w:szCs w:val="22"/>
                <w:lang w:val="sr-Latn-ME"/>
              </w:rPr>
            </w:pPr>
          </w:p>
        </w:tc>
      </w:tr>
      <w:tr w:rsidR="003D48C9" w:rsidRPr="00246D8C" w14:paraId="76F17DCB" w14:textId="77777777" w:rsidTr="003E0023">
        <w:tc>
          <w:tcPr>
            <w:tcW w:w="1659" w:type="dxa"/>
          </w:tcPr>
          <w:p w14:paraId="70894E4A" w14:textId="77777777" w:rsidR="001753B1" w:rsidRPr="00246D8C" w:rsidRDefault="001753B1" w:rsidP="006A7219">
            <w:pPr>
              <w:tabs>
                <w:tab w:val="left" w:pos="284"/>
              </w:tabs>
              <w:jc w:val="both"/>
              <w:rPr>
                <w:sz w:val="22"/>
                <w:szCs w:val="22"/>
                <w:lang w:val="sr-Latn-ME"/>
              </w:rPr>
            </w:pPr>
            <w:r w:rsidRPr="00246D8C">
              <w:rPr>
                <w:b/>
                <w:bCs/>
                <w:sz w:val="22"/>
                <w:szCs w:val="22"/>
                <w:lang w:val="sr-Latn-ME"/>
              </w:rPr>
              <w:t>Poremećaji imunog sistema</w:t>
            </w:r>
          </w:p>
        </w:tc>
        <w:tc>
          <w:tcPr>
            <w:tcW w:w="1659" w:type="dxa"/>
          </w:tcPr>
          <w:p w14:paraId="5E8D5388" w14:textId="77777777" w:rsidR="001753B1" w:rsidRPr="00246D8C" w:rsidRDefault="001753B1" w:rsidP="003C0336">
            <w:pPr>
              <w:tabs>
                <w:tab w:val="left" w:pos="284"/>
              </w:tabs>
              <w:jc w:val="both"/>
              <w:rPr>
                <w:sz w:val="22"/>
                <w:szCs w:val="22"/>
                <w:lang w:val="sr-Latn-ME"/>
              </w:rPr>
            </w:pPr>
          </w:p>
        </w:tc>
        <w:tc>
          <w:tcPr>
            <w:tcW w:w="1659" w:type="dxa"/>
          </w:tcPr>
          <w:p w14:paraId="6ECA82E9" w14:textId="77777777" w:rsidR="001753B1" w:rsidRPr="00246D8C" w:rsidRDefault="001753B1" w:rsidP="00AE24EE">
            <w:pPr>
              <w:tabs>
                <w:tab w:val="left" w:pos="284"/>
              </w:tabs>
              <w:jc w:val="both"/>
              <w:rPr>
                <w:sz w:val="22"/>
                <w:szCs w:val="22"/>
                <w:lang w:val="sr-Latn-ME"/>
              </w:rPr>
            </w:pPr>
          </w:p>
        </w:tc>
        <w:tc>
          <w:tcPr>
            <w:tcW w:w="1660" w:type="dxa"/>
          </w:tcPr>
          <w:p w14:paraId="6A0D242C" w14:textId="77777777" w:rsidR="001753B1" w:rsidRPr="00246D8C" w:rsidRDefault="001753B1">
            <w:pPr>
              <w:tabs>
                <w:tab w:val="left" w:pos="284"/>
              </w:tabs>
              <w:jc w:val="both"/>
              <w:rPr>
                <w:sz w:val="22"/>
                <w:szCs w:val="22"/>
                <w:lang w:val="sr-Latn-ME"/>
              </w:rPr>
            </w:pPr>
          </w:p>
        </w:tc>
        <w:tc>
          <w:tcPr>
            <w:tcW w:w="1660" w:type="dxa"/>
          </w:tcPr>
          <w:p w14:paraId="15318BD2" w14:textId="77777777" w:rsidR="001753B1" w:rsidRPr="00246D8C" w:rsidRDefault="001753B1">
            <w:pPr>
              <w:tabs>
                <w:tab w:val="left" w:pos="284"/>
              </w:tabs>
              <w:jc w:val="both"/>
              <w:rPr>
                <w:sz w:val="22"/>
                <w:szCs w:val="22"/>
                <w:lang w:val="sr-Latn-ME"/>
              </w:rPr>
            </w:pPr>
          </w:p>
        </w:tc>
        <w:tc>
          <w:tcPr>
            <w:tcW w:w="1660" w:type="dxa"/>
          </w:tcPr>
          <w:p w14:paraId="28CDB6FB" w14:textId="77777777" w:rsidR="001753B1" w:rsidRPr="00246D8C" w:rsidRDefault="001753B1">
            <w:pPr>
              <w:tabs>
                <w:tab w:val="left" w:pos="284"/>
              </w:tabs>
              <w:jc w:val="both"/>
              <w:rPr>
                <w:sz w:val="22"/>
                <w:szCs w:val="22"/>
                <w:lang w:val="sr-Latn-ME"/>
              </w:rPr>
            </w:pPr>
          </w:p>
        </w:tc>
      </w:tr>
      <w:tr w:rsidR="003D48C9" w:rsidRPr="00246D8C" w14:paraId="40355309" w14:textId="77777777" w:rsidTr="003E0023">
        <w:tc>
          <w:tcPr>
            <w:tcW w:w="1659" w:type="dxa"/>
          </w:tcPr>
          <w:p w14:paraId="2973C0F2" w14:textId="77777777" w:rsidR="001753B1" w:rsidRPr="00246D8C" w:rsidRDefault="001753B1" w:rsidP="006A7219">
            <w:pPr>
              <w:tabs>
                <w:tab w:val="left" w:pos="284"/>
              </w:tabs>
              <w:jc w:val="both"/>
              <w:rPr>
                <w:sz w:val="22"/>
                <w:szCs w:val="22"/>
                <w:lang w:val="sr-Latn-ME"/>
              </w:rPr>
            </w:pPr>
            <w:r w:rsidRPr="00246D8C">
              <w:rPr>
                <w:sz w:val="22"/>
                <w:szCs w:val="22"/>
                <w:lang w:val="sr-Latn-ME"/>
              </w:rPr>
              <w:t>Reakcije preosjetljivosti†‡</w:t>
            </w:r>
          </w:p>
        </w:tc>
        <w:tc>
          <w:tcPr>
            <w:tcW w:w="1659" w:type="dxa"/>
          </w:tcPr>
          <w:p w14:paraId="58BDC27A" w14:textId="77777777" w:rsidR="001753B1" w:rsidRPr="00246D8C" w:rsidRDefault="001753B1" w:rsidP="003C0336">
            <w:pPr>
              <w:tabs>
                <w:tab w:val="left" w:pos="284"/>
              </w:tabs>
              <w:jc w:val="both"/>
              <w:rPr>
                <w:sz w:val="22"/>
                <w:szCs w:val="22"/>
                <w:lang w:val="sr-Latn-ME"/>
              </w:rPr>
            </w:pPr>
            <w:r w:rsidRPr="00246D8C">
              <w:rPr>
                <w:sz w:val="22"/>
                <w:szCs w:val="22"/>
                <w:lang w:val="sr-Latn-ME"/>
              </w:rPr>
              <w:t>Povremeno</w:t>
            </w:r>
          </w:p>
        </w:tc>
        <w:tc>
          <w:tcPr>
            <w:tcW w:w="1659" w:type="dxa"/>
          </w:tcPr>
          <w:p w14:paraId="02DAB5DD" w14:textId="77777777" w:rsidR="001753B1" w:rsidRPr="00246D8C" w:rsidRDefault="001753B1" w:rsidP="00AE24EE">
            <w:pPr>
              <w:tabs>
                <w:tab w:val="left" w:pos="284"/>
              </w:tabs>
              <w:jc w:val="both"/>
              <w:rPr>
                <w:sz w:val="22"/>
                <w:szCs w:val="22"/>
                <w:lang w:val="sr-Latn-ME"/>
              </w:rPr>
            </w:pPr>
            <w:r w:rsidRPr="00246D8C">
              <w:rPr>
                <w:sz w:val="22"/>
                <w:szCs w:val="22"/>
                <w:lang w:val="sr-Latn-ME"/>
              </w:rPr>
              <w:t>Povremeno</w:t>
            </w:r>
          </w:p>
        </w:tc>
        <w:tc>
          <w:tcPr>
            <w:tcW w:w="1660" w:type="dxa"/>
          </w:tcPr>
          <w:p w14:paraId="1B7F9636" w14:textId="77777777" w:rsidR="001753B1" w:rsidRPr="00246D8C" w:rsidRDefault="001753B1">
            <w:pPr>
              <w:tabs>
                <w:tab w:val="left" w:pos="284"/>
              </w:tabs>
              <w:jc w:val="both"/>
              <w:rPr>
                <w:sz w:val="22"/>
                <w:szCs w:val="22"/>
                <w:lang w:val="sr-Latn-ME"/>
              </w:rPr>
            </w:pPr>
            <w:r w:rsidRPr="00246D8C">
              <w:rPr>
                <w:sz w:val="22"/>
                <w:szCs w:val="22"/>
                <w:lang w:val="sr-Latn-ME"/>
              </w:rPr>
              <w:t>Povremeno</w:t>
            </w:r>
          </w:p>
        </w:tc>
        <w:tc>
          <w:tcPr>
            <w:tcW w:w="1660" w:type="dxa"/>
          </w:tcPr>
          <w:p w14:paraId="08B24E92" w14:textId="77777777" w:rsidR="001753B1" w:rsidRPr="00246D8C" w:rsidRDefault="001753B1">
            <w:pPr>
              <w:tabs>
                <w:tab w:val="left" w:pos="284"/>
              </w:tabs>
              <w:jc w:val="both"/>
              <w:rPr>
                <w:sz w:val="22"/>
                <w:szCs w:val="22"/>
                <w:lang w:val="sr-Latn-ME"/>
              </w:rPr>
            </w:pPr>
            <w:r w:rsidRPr="00246D8C">
              <w:rPr>
                <w:sz w:val="22"/>
                <w:szCs w:val="22"/>
                <w:lang w:val="sr-Latn-ME"/>
              </w:rPr>
              <w:t>Povremeno</w:t>
            </w:r>
          </w:p>
        </w:tc>
        <w:tc>
          <w:tcPr>
            <w:tcW w:w="1660" w:type="dxa"/>
          </w:tcPr>
          <w:p w14:paraId="3B7CDCF4" w14:textId="77777777" w:rsidR="001753B1" w:rsidRPr="00246D8C" w:rsidRDefault="001753B1">
            <w:pPr>
              <w:tabs>
                <w:tab w:val="left" w:pos="284"/>
              </w:tabs>
              <w:jc w:val="both"/>
              <w:rPr>
                <w:sz w:val="22"/>
                <w:szCs w:val="22"/>
                <w:lang w:val="sr-Latn-ME"/>
              </w:rPr>
            </w:pPr>
          </w:p>
        </w:tc>
      </w:tr>
      <w:tr w:rsidR="003D48C9" w:rsidRPr="00246D8C" w14:paraId="07AF281D" w14:textId="77777777" w:rsidTr="003E0023">
        <w:tc>
          <w:tcPr>
            <w:tcW w:w="1659" w:type="dxa"/>
          </w:tcPr>
          <w:p w14:paraId="58BF444E" w14:textId="77777777" w:rsidR="001753B1" w:rsidRPr="00246D8C" w:rsidRDefault="001753B1" w:rsidP="006A7219">
            <w:pPr>
              <w:tabs>
                <w:tab w:val="left" w:pos="284"/>
              </w:tabs>
              <w:jc w:val="both"/>
              <w:rPr>
                <w:sz w:val="22"/>
                <w:szCs w:val="22"/>
                <w:lang w:val="sr-Latn-ME"/>
              </w:rPr>
            </w:pPr>
            <w:r w:rsidRPr="00246D8C">
              <w:rPr>
                <w:sz w:val="22"/>
                <w:szCs w:val="22"/>
                <w:lang w:val="sr-Latn-ME"/>
              </w:rPr>
              <w:t>Anafilaktičke reakcije uključujući anafilaktički šok†‡</w:t>
            </w:r>
          </w:p>
        </w:tc>
        <w:tc>
          <w:tcPr>
            <w:tcW w:w="1659" w:type="dxa"/>
          </w:tcPr>
          <w:p w14:paraId="3CAC3B7A" w14:textId="77777777" w:rsidR="001753B1" w:rsidRPr="00246D8C" w:rsidRDefault="001753B1" w:rsidP="003C0336">
            <w:pPr>
              <w:tabs>
                <w:tab w:val="left" w:pos="284"/>
              </w:tabs>
              <w:jc w:val="both"/>
              <w:rPr>
                <w:sz w:val="22"/>
                <w:szCs w:val="22"/>
                <w:lang w:val="sr-Latn-ME"/>
              </w:rPr>
            </w:pPr>
            <w:r w:rsidRPr="00246D8C">
              <w:rPr>
                <w:sz w:val="22"/>
                <w:szCs w:val="22"/>
                <w:lang w:val="sr-Latn-ME"/>
              </w:rPr>
              <w:t>Rijetko</w:t>
            </w:r>
          </w:p>
        </w:tc>
        <w:tc>
          <w:tcPr>
            <w:tcW w:w="1659" w:type="dxa"/>
          </w:tcPr>
          <w:p w14:paraId="36729AAD" w14:textId="77777777" w:rsidR="001753B1" w:rsidRPr="00246D8C" w:rsidRDefault="001753B1" w:rsidP="00AE24EE">
            <w:pPr>
              <w:tabs>
                <w:tab w:val="left" w:pos="284"/>
              </w:tabs>
              <w:jc w:val="both"/>
              <w:rPr>
                <w:sz w:val="22"/>
                <w:szCs w:val="22"/>
                <w:lang w:val="sr-Latn-ME"/>
              </w:rPr>
            </w:pPr>
            <w:r w:rsidRPr="00246D8C">
              <w:rPr>
                <w:sz w:val="22"/>
                <w:szCs w:val="22"/>
                <w:lang w:val="sr-Latn-ME"/>
              </w:rPr>
              <w:t>Rijetko</w:t>
            </w:r>
          </w:p>
        </w:tc>
        <w:tc>
          <w:tcPr>
            <w:tcW w:w="1660" w:type="dxa"/>
          </w:tcPr>
          <w:p w14:paraId="65A4B324" w14:textId="77777777" w:rsidR="001753B1" w:rsidRPr="00246D8C" w:rsidRDefault="001753B1">
            <w:pPr>
              <w:tabs>
                <w:tab w:val="left" w:pos="284"/>
              </w:tabs>
              <w:jc w:val="both"/>
              <w:rPr>
                <w:sz w:val="22"/>
                <w:szCs w:val="22"/>
                <w:lang w:val="sr-Latn-ME"/>
              </w:rPr>
            </w:pPr>
            <w:r w:rsidRPr="00246D8C">
              <w:rPr>
                <w:sz w:val="22"/>
                <w:szCs w:val="22"/>
                <w:lang w:val="sr-Latn-ME"/>
              </w:rPr>
              <w:t>Rijetko</w:t>
            </w:r>
          </w:p>
        </w:tc>
        <w:tc>
          <w:tcPr>
            <w:tcW w:w="1660" w:type="dxa"/>
          </w:tcPr>
          <w:p w14:paraId="7A79532D" w14:textId="77777777" w:rsidR="001753B1" w:rsidRPr="00246D8C" w:rsidRDefault="001753B1">
            <w:pPr>
              <w:tabs>
                <w:tab w:val="left" w:pos="284"/>
              </w:tabs>
              <w:jc w:val="both"/>
              <w:rPr>
                <w:sz w:val="22"/>
                <w:szCs w:val="22"/>
                <w:lang w:val="sr-Latn-ME"/>
              </w:rPr>
            </w:pPr>
            <w:r w:rsidRPr="00246D8C">
              <w:rPr>
                <w:sz w:val="22"/>
                <w:szCs w:val="22"/>
                <w:lang w:val="sr-Latn-ME"/>
              </w:rPr>
              <w:t>Rijetko</w:t>
            </w:r>
          </w:p>
        </w:tc>
        <w:tc>
          <w:tcPr>
            <w:tcW w:w="1660" w:type="dxa"/>
          </w:tcPr>
          <w:p w14:paraId="1B78E328" w14:textId="77777777" w:rsidR="001753B1" w:rsidRPr="00246D8C" w:rsidRDefault="001753B1">
            <w:pPr>
              <w:tabs>
                <w:tab w:val="left" w:pos="284"/>
              </w:tabs>
              <w:jc w:val="both"/>
              <w:rPr>
                <w:sz w:val="22"/>
                <w:szCs w:val="22"/>
                <w:lang w:val="sr-Latn-ME"/>
              </w:rPr>
            </w:pPr>
          </w:p>
        </w:tc>
      </w:tr>
      <w:tr w:rsidR="003D48C9" w:rsidRPr="00246D8C" w14:paraId="573A0D7E" w14:textId="77777777" w:rsidTr="003E0023">
        <w:tc>
          <w:tcPr>
            <w:tcW w:w="1659" w:type="dxa"/>
          </w:tcPr>
          <w:p w14:paraId="65A284F3" w14:textId="77777777" w:rsidR="001753B1" w:rsidRPr="00246D8C" w:rsidRDefault="001753B1" w:rsidP="006A7219">
            <w:pPr>
              <w:tabs>
                <w:tab w:val="left" w:pos="284"/>
              </w:tabs>
              <w:jc w:val="both"/>
              <w:rPr>
                <w:sz w:val="22"/>
                <w:szCs w:val="22"/>
                <w:lang w:val="sr-Latn-ME"/>
              </w:rPr>
            </w:pPr>
            <w:r w:rsidRPr="00246D8C">
              <w:rPr>
                <w:b/>
                <w:bCs/>
                <w:sz w:val="22"/>
                <w:szCs w:val="22"/>
                <w:lang w:val="sr-Latn-ME"/>
              </w:rPr>
              <w:t>Infekcije i infestacije</w:t>
            </w:r>
          </w:p>
        </w:tc>
        <w:tc>
          <w:tcPr>
            <w:tcW w:w="1659" w:type="dxa"/>
          </w:tcPr>
          <w:p w14:paraId="26D342C2" w14:textId="77777777" w:rsidR="001753B1" w:rsidRPr="00246D8C" w:rsidRDefault="001753B1" w:rsidP="003C0336">
            <w:pPr>
              <w:tabs>
                <w:tab w:val="left" w:pos="284"/>
              </w:tabs>
              <w:jc w:val="both"/>
              <w:rPr>
                <w:sz w:val="22"/>
                <w:szCs w:val="22"/>
                <w:lang w:val="sr-Latn-ME"/>
              </w:rPr>
            </w:pPr>
          </w:p>
        </w:tc>
        <w:tc>
          <w:tcPr>
            <w:tcW w:w="1659" w:type="dxa"/>
          </w:tcPr>
          <w:p w14:paraId="11B4D636" w14:textId="77777777" w:rsidR="001753B1" w:rsidRPr="00246D8C" w:rsidRDefault="001753B1" w:rsidP="00AE24EE">
            <w:pPr>
              <w:tabs>
                <w:tab w:val="left" w:pos="284"/>
              </w:tabs>
              <w:jc w:val="both"/>
              <w:rPr>
                <w:sz w:val="22"/>
                <w:szCs w:val="22"/>
                <w:lang w:val="sr-Latn-ME"/>
              </w:rPr>
            </w:pPr>
          </w:p>
        </w:tc>
        <w:tc>
          <w:tcPr>
            <w:tcW w:w="1660" w:type="dxa"/>
          </w:tcPr>
          <w:p w14:paraId="618A7EE7" w14:textId="77777777" w:rsidR="001753B1" w:rsidRPr="00246D8C" w:rsidRDefault="001753B1">
            <w:pPr>
              <w:tabs>
                <w:tab w:val="left" w:pos="284"/>
              </w:tabs>
              <w:jc w:val="both"/>
              <w:rPr>
                <w:sz w:val="22"/>
                <w:szCs w:val="22"/>
                <w:lang w:val="sr-Latn-ME"/>
              </w:rPr>
            </w:pPr>
          </w:p>
        </w:tc>
        <w:tc>
          <w:tcPr>
            <w:tcW w:w="1660" w:type="dxa"/>
          </w:tcPr>
          <w:p w14:paraId="193340FB" w14:textId="77777777" w:rsidR="001753B1" w:rsidRPr="00246D8C" w:rsidRDefault="001753B1">
            <w:pPr>
              <w:tabs>
                <w:tab w:val="left" w:pos="284"/>
              </w:tabs>
              <w:jc w:val="both"/>
              <w:rPr>
                <w:sz w:val="22"/>
                <w:szCs w:val="22"/>
                <w:lang w:val="sr-Latn-ME"/>
              </w:rPr>
            </w:pPr>
          </w:p>
        </w:tc>
        <w:tc>
          <w:tcPr>
            <w:tcW w:w="1660" w:type="dxa"/>
          </w:tcPr>
          <w:p w14:paraId="5E50A796" w14:textId="77777777" w:rsidR="001753B1" w:rsidRPr="00246D8C" w:rsidRDefault="001753B1">
            <w:pPr>
              <w:tabs>
                <w:tab w:val="left" w:pos="284"/>
              </w:tabs>
              <w:jc w:val="both"/>
              <w:rPr>
                <w:sz w:val="22"/>
                <w:szCs w:val="22"/>
                <w:lang w:val="sr-Latn-ME"/>
              </w:rPr>
            </w:pPr>
          </w:p>
        </w:tc>
      </w:tr>
      <w:tr w:rsidR="003D48C9" w:rsidRPr="00246D8C" w14:paraId="199004D9" w14:textId="77777777" w:rsidTr="003E0023">
        <w:tc>
          <w:tcPr>
            <w:tcW w:w="1659" w:type="dxa"/>
          </w:tcPr>
          <w:p w14:paraId="6924791B" w14:textId="77777777" w:rsidR="001753B1" w:rsidRPr="00246D8C" w:rsidRDefault="001753B1" w:rsidP="006A7219">
            <w:pPr>
              <w:tabs>
                <w:tab w:val="left" w:pos="284"/>
              </w:tabs>
              <w:jc w:val="both"/>
              <w:rPr>
                <w:sz w:val="22"/>
                <w:szCs w:val="22"/>
                <w:lang w:val="sr-Latn-ME"/>
              </w:rPr>
            </w:pPr>
            <w:r w:rsidRPr="00246D8C">
              <w:rPr>
                <w:sz w:val="22"/>
                <w:szCs w:val="22"/>
                <w:lang w:val="sr-Latn-ME"/>
              </w:rPr>
              <w:t>Infekcije gornjeg respiratornog trakta</w:t>
            </w:r>
          </w:p>
        </w:tc>
        <w:tc>
          <w:tcPr>
            <w:tcW w:w="1659" w:type="dxa"/>
          </w:tcPr>
          <w:p w14:paraId="3746F4F3" w14:textId="77777777" w:rsidR="001753B1" w:rsidRPr="00246D8C" w:rsidRDefault="001753B1" w:rsidP="003C0336">
            <w:pPr>
              <w:tabs>
                <w:tab w:val="left" w:pos="284"/>
              </w:tabs>
              <w:jc w:val="both"/>
              <w:rPr>
                <w:sz w:val="22"/>
                <w:szCs w:val="22"/>
                <w:lang w:val="sr-Latn-ME"/>
              </w:rPr>
            </w:pPr>
            <w:r w:rsidRPr="00246D8C">
              <w:rPr>
                <w:sz w:val="22"/>
                <w:szCs w:val="22"/>
                <w:lang w:val="sr-Latn-ME"/>
              </w:rPr>
              <w:t>Često</w:t>
            </w:r>
          </w:p>
        </w:tc>
        <w:tc>
          <w:tcPr>
            <w:tcW w:w="1659" w:type="dxa"/>
          </w:tcPr>
          <w:p w14:paraId="382FD695" w14:textId="77777777" w:rsidR="001753B1" w:rsidRPr="00246D8C" w:rsidRDefault="001753B1" w:rsidP="00AE24EE">
            <w:pPr>
              <w:tabs>
                <w:tab w:val="left" w:pos="284"/>
              </w:tabs>
              <w:jc w:val="both"/>
              <w:rPr>
                <w:sz w:val="22"/>
                <w:szCs w:val="22"/>
                <w:lang w:val="sr-Latn-ME"/>
              </w:rPr>
            </w:pPr>
            <w:r w:rsidRPr="00246D8C">
              <w:rPr>
                <w:sz w:val="22"/>
                <w:szCs w:val="22"/>
                <w:lang w:val="sr-Latn-ME"/>
              </w:rPr>
              <w:t>Često</w:t>
            </w:r>
          </w:p>
        </w:tc>
        <w:tc>
          <w:tcPr>
            <w:tcW w:w="1660" w:type="dxa"/>
          </w:tcPr>
          <w:p w14:paraId="1E47F6D6" w14:textId="77777777" w:rsidR="001753B1" w:rsidRPr="00246D8C" w:rsidRDefault="001753B1">
            <w:pPr>
              <w:tabs>
                <w:tab w:val="left" w:pos="284"/>
              </w:tabs>
              <w:jc w:val="both"/>
              <w:rPr>
                <w:sz w:val="22"/>
                <w:szCs w:val="22"/>
                <w:lang w:val="sr-Latn-ME"/>
              </w:rPr>
            </w:pPr>
            <w:r w:rsidRPr="00246D8C">
              <w:rPr>
                <w:sz w:val="22"/>
                <w:szCs w:val="22"/>
                <w:lang w:val="sr-Latn-ME"/>
              </w:rPr>
              <w:t>Često</w:t>
            </w:r>
          </w:p>
        </w:tc>
        <w:tc>
          <w:tcPr>
            <w:tcW w:w="1660" w:type="dxa"/>
          </w:tcPr>
          <w:p w14:paraId="49D52803" w14:textId="77777777" w:rsidR="001753B1" w:rsidRPr="00246D8C" w:rsidRDefault="001753B1">
            <w:pPr>
              <w:tabs>
                <w:tab w:val="left" w:pos="284"/>
              </w:tabs>
              <w:jc w:val="both"/>
              <w:rPr>
                <w:sz w:val="22"/>
                <w:szCs w:val="22"/>
                <w:lang w:val="sr-Latn-ME"/>
              </w:rPr>
            </w:pPr>
            <w:r w:rsidRPr="00246D8C">
              <w:rPr>
                <w:sz w:val="22"/>
                <w:szCs w:val="22"/>
                <w:lang w:val="sr-Latn-ME"/>
              </w:rPr>
              <w:t>Često</w:t>
            </w:r>
          </w:p>
        </w:tc>
        <w:tc>
          <w:tcPr>
            <w:tcW w:w="1660" w:type="dxa"/>
          </w:tcPr>
          <w:p w14:paraId="116CE4BE" w14:textId="77777777" w:rsidR="001753B1" w:rsidRPr="00246D8C" w:rsidRDefault="001753B1">
            <w:pPr>
              <w:tabs>
                <w:tab w:val="left" w:pos="284"/>
              </w:tabs>
              <w:jc w:val="both"/>
              <w:rPr>
                <w:sz w:val="22"/>
                <w:szCs w:val="22"/>
                <w:lang w:val="sr-Latn-ME"/>
              </w:rPr>
            </w:pPr>
          </w:p>
        </w:tc>
      </w:tr>
      <w:tr w:rsidR="003D48C9" w:rsidRPr="00246D8C" w14:paraId="12BB4F57" w14:textId="77777777" w:rsidTr="003E0023">
        <w:tc>
          <w:tcPr>
            <w:tcW w:w="1659" w:type="dxa"/>
          </w:tcPr>
          <w:p w14:paraId="4516B8AC" w14:textId="77777777" w:rsidR="001753B1" w:rsidRPr="00246D8C" w:rsidRDefault="001753B1" w:rsidP="006A7219">
            <w:pPr>
              <w:tabs>
                <w:tab w:val="left" w:pos="284"/>
              </w:tabs>
              <w:jc w:val="both"/>
              <w:rPr>
                <w:sz w:val="22"/>
                <w:szCs w:val="22"/>
                <w:lang w:val="sr-Latn-ME"/>
              </w:rPr>
            </w:pPr>
            <w:r w:rsidRPr="00246D8C">
              <w:rPr>
                <w:sz w:val="22"/>
                <w:szCs w:val="22"/>
                <w:lang w:val="sr-Latn-ME"/>
              </w:rPr>
              <w:t>Infekcije urinarnog trakta</w:t>
            </w:r>
          </w:p>
        </w:tc>
        <w:tc>
          <w:tcPr>
            <w:tcW w:w="1659" w:type="dxa"/>
          </w:tcPr>
          <w:p w14:paraId="13B76F09" w14:textId="77777777" w:rsidR="001753B1" w:rsidRPr="00246D8C" w:rsidRDefault="001753B1" w:rsidP="003C0336">
            <w:pPr>
              <w:tabs>
                <w:tab w:val="left" w:pos="284"/>
              </w:tabs>
              <w:jc w:val="both"/>
              <w:rPr>
                <w:sz w:val="22"/>
                <w:szCs w:val="22"/>
                <w:lang w:val="sr-Latn-ME"/>
              </w:rPr>
            </w:pPr>
            <w:r w:rsidRPr="00246D8C">
              <w:rPr>
                <w:sz w:val="22"/>
                <w:szCs w:val="22"/>
                <w:lang w:val="sr-Latn-ME"/>
              </w:rPr>
              <w:t>Često</w:t>
            </w:r>
          </w:p>
        </w:tc>
        <w:tc>
          <w:tcPr>
            <w:tcW w:w="1659" w:type="dxa"/>
          </w:tcPr>
          <w:p w14:paraId="7F2B69DB" w14:textId="77777777" w:rsidR="001753B1" w:rsidRPr="00246D8C" w:rsidRDefault="001753B1" w:rsidP="00AE24EE">
            <w:pPr>
              <w:tabs>
                <w:tab w:val="left" w:pos="284"/>
              </w:tabs>
              <w:jc w:val="both"/>
              <w:rPr>
                <w:sz w:val="22"/>
                <w:szCs w:val="22"/>
                <w:lang w:val="sr-Latn-ME"/>
              </w:rPr>
            </w:pPr>
            <w:r w:rsidRPr="00246D8C">
              <w:rPr>
                <w:sz w:val="22"/>
                <w:szCs w:val="22"/>
                <w:lang w:val="sr-Latn-ME"/>
              </w:rPr>
              <w:t>Često</w:t>
            </w:r>
          </w:p>
        </w:tc>
        <w:tc>
          <w:tcPr>
            <w:tcW w:w="1660" w:type="dxa"/>
          </w:tcPr>
          <w:p w14:paraId="3F89029A" w14:textId="77777777" w:rsidR="001753B1" w:rsidRPr="00246D8C" w:rsidRDefault="001753B1">
            <w:pPr>
              <w:tabs>
                <w:tab w:val="left" w:pos="284"/>
              </w:tabs>
              <w:jc w:val="both"/>
              <w:rPr>
                <w:sz w:val="22"/>
                <w:szCs w:val="22"/>
                <w:lang w:val="sr-Latn-ME"/>
              </w:rPr>
            </w:pPr>
            <w:r w:rsidRPr="00246D8C">
              <w:rPr>
                <w:sz w:val="22"/>
                <w:szCs w:val="22"/>
                <w:lang w:val="sr-Latn-ME"/>
              </w:rPr>
              <w:t>Često</w:t>
            </w:r>
          </w:p>
        </w:tc>
        <w:tc>
          <w:tcPr>
            <w:tcW w:w="1660" w:type="dxa"/>
          </w:tcPr>
          <w:p w14:paraId="06359428" w14:textId="77777777" w:rsidR="001753B1" w:rsidRPr="00246D8C" w:rsidRDefault="001753B1">
            <w:pPr>
              <w:tabs>
                <w:tab w:val="left" w:pos="284"/>
              </w:tabs>
              <w:jc w:val="both"/>
              <w:rPr>
                <w:sz w:val="22"/>
                <w:szCs w:val="22"/>
                <w:lang w:val="sr-Latn-ME"/>
              </w:rPr>
            </w:pPr>
            <w:r w:rsidRPr="00246D8C">
              <w:rPr>
                <w:sz w:val="22"/>
                <w:szCs w:val="22"/>
                <w:lang w:val="sr-Latn-ME"/>
              </w:rPr>
              <w:t>Često</w:t>
            </w:r>
          </w:p>
        </w:tc>
        <w:tc>
          <w:tcPr>
            <w:tcW w:w="1660" w:type="dxa"/>
          </w:tcPr>
          <w:p w14:paraId="50817D93" w14:textId="77777777" w:rsidR="001753B1" w:rsidRPr="00246D8C" w:rsidRDefault="001753B1">
            <w:pPr>
              <w:tabs>
                <w:tab w:val="left" w:pos="284"/>
              </w:tabs>
              <w:jc w:val="both"/>
              <w:rPr>
                <w:sz w:val="22"/>
                <w:szCs w:val="22"/>
                <w:lang w:val="sr-Latn-ME"/>
              </w:rPr>
            </w:pPr>
          </w:p>
        </w:tc>
      </w:tr>
      <w:tr w:rsidR="003D48C9" w:rsidRPr="00246D8C" w14:paraId="1AA6BF28" w14:textId="77777777" w:rsidTr="003E0023">
        <w:tc>
          <w:tcPr>
            <w:tcW w:w="1659" w:type="dxa"/>
          </w:tcPr>
          <w:p w14:paraId="36DF7567" w14:textId="77777777" w:rsidR="001753B1" w:rsidRPr="00246D8C" w:rsidRDefault="001753B1" w:rsidP="006A7219">
            <w:pPr>
              <w:tabs>
                <w:tab w:val="left" w:pos="284"/>
              </w:tabs>
              <w:jc w:val="both"/>
              <w:rPr>
                <w:sz w:val="22"/>
                <w:szCs w:val="22"/>
                <w:lang w:val="sr-Latn-ME"/>
              </w:rPr>
            </w:pPr>
            <w:r w:rsidRPr="00246D8C">
              <w:rPr>
                <w:sz w:val="22"/>
                <w:szCs w:val="22"/>
                <w:lang w:val="sr-Latn-ME"/>
              </w:rPr>
              <w:t>Gastroenteritis</w:t>
            </w:r>
          </w:p>
        </w:tc>
        <w:tc>
          <w:tcPr>
            <w:tcW w:w="1659" w:type="dxa"/>
          </w:tcPr>
          <w:p w14:paraId="35A7BE1F" w14:textId="77777777" w:rsidR="001753B1" w:rsidRPr="00246D8C" w:rsidRDefault="001753B1" w:rsidP="003C0336">
            <w:pPr>
              <w:tabs>
                <w:tab w:val="left" w:pos="284"/>
              </w:tabs>
              <w:jc w:val="both"/>
              <w:rPr>
                <w:sz w:val="22"/>
                <w:szCs w:val="22"/>
                <w:lang w:val="sr-Latn-ME"/>
              </w:rPr>
            </w:pPr>
            <w:r w:rsidRPr="00246D8C">
              <w:rPr>
                <w:sz w:val="22"/>
                <w:szCs w:val="22"/>
                <w:lang w:val="sr-Latn-ME"/>
              </w:rPr>
              <w:t>Često</w:t>
            </w:r>
          </w:p>
        </w:tc>
        <w:tc>
          <w:tcPr>
            <w:tcW w:w="1659" w:type="dxa"/>
          </w:tcPr>
          <w:p w14:paraId="7F356C98" w14:textId="77777777" w:rsidR="001753B1" w:rsidRPr="00246D8C" w:rsidRDefault="001753B1" w:rsidP="00AE24EE">
            <w:pPr>
              <w:tabs>
                <w:tab w:val="left" w:pos="284"/>
              </w:tabs>
              <w:jc w:val="both"/>
              <w:rPr>
                <w:sz w:val="22"/>
                <w:szCs w:val="22"/>
                <w:lang w:val="sr-Latn-ME"/>
              </w:rPr>
            </w:pPr>
            <w:r w:rsidRPr="00246D8C">
              <w:rPr>
                <w:sz w:val="22"/>
                <w:szCs w:val="22"/>
                <w:lang w:val="sr-Latn-ME"/>
              </w:rPr>
              <w:t>Često</w:t>
            </w:r>
          </w:p>
        </w:tc>
        <w:tc>
          <w:tcPr>
            <w:tcW w:w="1660" w:type="dxa"/>
          </w:tcPr>
          <w:p w14:paraId="3F941268" w14:textId="77777777" w:rsidR="001753B1" w:rsidRPr="00246D8C" w:rsidRDefault="001753B1">
            <w:pPr>
              <w:tabs>
                <w:tab w:val="left" w:pos="284"/>
              </w:tabs>
              <w:jc w:val="both"/>
              <w:rPr>
                <w:sz w:val="22"/>
                <w:szCs w:val="22"/>
                <w:lang w:val="sr-Latn-ME"/>
              </w:rPr>
            </w:pPr>
            <w:r w:rsidRPr="00246D8C">
              <w:rPr>
                <w:sz w:val="22"/>
                <w:szCs w:val="22"/>
                <w:lang w:val="sr-Latn-ME"/>
              </w:rPr>
              <w:t>Često</w:t>
            </w:r>
          </w:p>
        </w:tc>
        <w:tc>
          <w:tcPr>
            <w:tcW w:w="1660" w:type="dxa"/>
          </w:tcPr>
          <w:p w14:paraId="2E92FE1E" w14:textId="77777777" w:rsidR="001753B1" w:rsidRPr="00246D8C" w:rsidRDefault="001753B1">
            <w:pPr>
              <w:tabs>
                <w:tab w:val="left" w:pos="284"/>
              </w:tabs>
              <w:jc w:val="both"/>
              <w:rPr>
                <w:sz w:val="22"/>
                <w:szCs w:val="22"/>
                <w:lang w:val="sr-Latn-ME"/>
              </w:rPr>
            </w:pPr>
            <w:r w:rsidRPr="00246D8C">
              <w:rPr>
                <w:sz w:val="22"/>
                <w:szCs w:val="22"/>
                <w:lang w:val="sr-Latn-ME"/>
              </w:rPr>
              <w:t>Često</w:t>
            </w:r>
          </w:p>
        </w:tc>
        <w:tc>
          <w:tcPr>
            <w:tcW w:w="1660" w:type="dxa"/>
          </w:tcPr>
          <w:p w14:paraId="582B92AC" w14:textId="77777777" w:rsidR="001753B1" w:rsidRPr="00246D8C" w:rsidRDefault="001753B1">
            <w:pPr>
              <w:tabs>
                <w:tab w:val="left" w:pos="284"/>
              </w:tabs>
              <w:jc w:val="both"/>
              <w:rPr>
                <w:sz w:val="22"/>
                <w:szCs w:val="22"/>
                <w:lang w:val="sr-Latn-ME"/>
              </w:rPr>
            </w:pPr>
          </w:p>
        </w:tc>
      </w:tr>
      <w:tr w:rsidR="003D48C9" w:rsidRPr="00246D8C" w14:paraId="5DF7F5BA" w14:textId="77777777" w:rsidTr="003E0023">
        <w:tc>
          <w:tcPr>
            <w:tcW w:w="1659" w:type="dxa"/>
          </w:tcPr>
          <w:p w14:paraId="0A001FE0" w14:textId="77777777" w:rsidR="001753B1" w:rsidRPr="00246D8C" w:rsidRDefault="001753B1" w:rsidP="006A7219">
            <w:pPr>
              <w:tabs>
                <w:tab w:val="left" w:pos="284"/>
              </w:tabs>
              <w:jc w:val="both"/>
              <w:rPr>
                <w:sz w:val="22"/>
                <w:szCs w:val="22"/>
                <w:lang w:val="sr-Latn-ME"/>
              </w:rPr>
            </w:pPr>
            <w:r w:rsidRPr="00246D8C">
              <w:rPr>
                <w:sz w:val="22"/>
                <w:szCs w:val="22"/>
                <w:lang w:val="sr-Latn-ME"/>
              </w:rPr>
              <w:t>Sinuzitis</w:t>
            </w:r>
          </w:p>
        </w:tc>
        <w:tc>
          <w:tcPr>
            <w:tcW w:w="1659" w:type="dxa"/>
          </w:tcPr>
          <w:p w14:paraId="41D38CA5" w14:textId="77777777" w:rsidR="001753B1" w:rsidRPr="00246D8C" w:rsidRDefault="001753B1" w:rsidP="003C0336">
            <w:pPr>
              <w:tabs>
                <w:tab w:val="left" w:pos="284"/>
              </w:tabs>
              <w:jc w:val="both"/>
              <w:rPr>
                <w:sz w:val="22"/>
                <w:szCs w:val="22"/>
                <w:lang w:val="sr-Latn-ME"/>
              </w:rPr>
            </w:pPr>
            <w:r w:rsidRPr="00246D8C">
              <w:rPr>
                <w:sz w:val="22"/>
                <w:szCs w:val="22"/>
                <w:lang w:val="sr-Latn-ME"/>
              </w:rPr>
              <w:t>Često</w:t>
            </w:r>
          </w:p>
        </w:tc>
        <w:tc>
          <w:tcPr>
            <w:tcW w:w="1659" w:type="dxa"/>
          </w:tcPr>
          <w:p w14:paraId="6BC77F97" w14:textId="77777777" w:rsidR="001753B1" w:rsidRPr="00246D8C" w:rsidRDefault="001753B1" w:rsidP="00AE24EE">
            <w:pPr>
              <w:tabs>
                <w:tab w:val="left" w:pos="284"/>
              </w:tabs>
              <w:jc w:val="both"/>
              <w:rPr>
                <w:sz w:val="22"/>
                <w:szCs w:val="22"/>
                <w:lang w:val="sr-Latn-ME"/>
              </w:rPr>
            </w:pPr>
            <w:r w:rsidRPr="00246D8C">
              <w:rPr>
                <w:sz w:val="22"/>
                <w:szCs w:val="22"/>
                <w:lang w:val="sr-Latn-ME"/>
              </w:rPr>
              <w:t>Često</w:t>
            </w:r>
          </w:p>
        </w:tc>
        <w:tc>
          <w:tcPr>
            <w:tcW w:w="1660" w:type="dxa"/>
          </w:tcPr>
          <w:p w14:paraId="5F76A20A" w14:textId="77777777" w:rsidR="001753B1" w:rsidRPr="00246D8C" w:rsidRDefault="001753B1">
            <w:pPr>
              <w:tabs>
                <w:tab w:val="left" w:pos="284"/>
              </w:tabs>
              <w:jc w:val="both"/>
              <w:rPr>
                <w:sz w:val="22"/>
                <w:szCs w:val="22"/>
                <w:lang w:val="sr-Latn-ME"/>
              </w:rPr>
            </w:pPr>
            <w:r w:rsidRPr="00246D8C">
              <w:rPr>
                <w:sz w:val="22"/>
                <w:szCs w:val="22"/>
                <w:lang w:val="sr-Latn-ME"/>
              </w:rPr>
              <w:t>Često</w:t>
            </w:r>
          </w:p>
        </w:tc>
        <w:tc>
          <w:tcPr>
            <w:tcW w:w="1660" w:type="dxa"/>
          </w:tcPr>
          <w:p w14:paraId="65333FE8" w14:textId="77777777" w:rsidR="001753B1" w:rsidRPr="00246D8C" w:rsidRDefault="001753B1">
            <w:pPr>
              <w:tabs>
                <w:tab w:val="left" w:pos="284"/>
              </w:tabs>
              <w:jc w:val="both"/>
              <w:rPr>
                <w:sz w:val="22"/>
                <w:szCs w:val="22"/>
                <w:lang w:val="sr-Latn-ME"/>
              </w:rPr>
            </w:pPr>
            <w:r w:rsidRPr="00246D8C">
              <w:rPr>
                <w:sz w:val="22"/>
                <w:szCs w:val="22"/>
                <w:lang w:val="sr-Latn-ME"/>
              </w:rPr>
              <w:t>Često</w:t>
            </w:r>
          </w:p>
        </w:tc>
        <w:tc>
          <w:tcPr>
            <w:tcW w:w="1660" w:type="dxa"/>
          </w:tcPr>
          <w:p w14:paraId="7A27A528" w14:textId="77777777" w:rsidR="001753B1" w:rsidRPr="00246D8C" w:rsidRDefault="001753B1">
            <w:pPr>
              <w:tabs>
                <w:tab w:val="left" w:pos="284"/>
              </w:tabs>
              <w:jc w:val="both"/>
              <w:rPr>
                <w:sz w:val="22"/>
                <w:szCs w:val="22"/>
                <w:lang w:val="sr-Latn-ME"/>
              </w:rPr>
            </w:pPr>
          </w:p>
        </w:tc>
      </w:tr>
      <w:tr w:rsidR="003D48C9" w:rsidRPr="00246D8C" w14:paraId="7C3CA5D4" w14:textId="77777777" w:rsidTr="003E0023">
        <w:tc>
          <w:tcPr>
            <w:tcW w:w="1659" w:type="dxa"/>
          </w:tcPr>
          <w:p w14:paraId="0C9AC6B3" w14:textId="77777777" w:rsidR="001753B1" w:rsidRPr="00246D8C" w:rsidRDefault="001753B1" w:rsidP="006A7219">
            <w:pPr>
              <w:tabs>
                <w:tab w:val="left" w:pos="284"/>
              </w:tabs>
              <w:jc w:val="both"/>
              <w:rPr>
                <w:sz w:val="22"/>
                <w:szCs w:val="22"/>
                <w:lang w:val="sr-Latn-ME"/>
              </w:rPr>
            </w:pPr>
            <w:r w:rsidRPr="00246D8C">
              <w:rPr>
                <w:sz w:val="22"/>
                <w:szCs w:val="22"/>
                <w:lang w:val="sr-Latn-ME"/>
              </w:rPr>
              <w:t>Nazofaringitis</w:t>
            </w:r>
          </w:p>
        </w:tc>
        <w:tc>
          <w:tcPr>
            <w:tcW w:w="1659" w:type="dxa"/>
          </w:tcPr>
          <w:p w14:paraId="28C58A9C" w14:textId="77777777" w:rsidR="001753B1" w:rsidRPr="00246D8C" w:rsidRDefault="001753B1" w:rsidP="003C0336">
            <w:pPr>
              <w:tabs>
                <w:tab w:val="left" w:pos="284"/>
              </w:tabs>
              <w:jc w:val="both"/>
              <w:rPr>
                <w:sz w:val="22"/>
                <w:szCs w:val="22"/>
                <w:lang w:val="sr-Latn-ME"/>
              </w:rPr>
            </w:pPr>
          </w:p>
        </w:tc>
        <w:tc>
          <w:tcPr>
            <w:tcW w:w="1659" w:type="dxa"/>
          </w:tcPr>
          <w:p w14:paraId="3D634462" w14:textId="77777777" w:rsidR="001753B1" w:rsidRPr="00246D8C" w:rsidRDefault="001753B1" w:rsidP="00AE24EE">
            <w:pPr>
              <w:tabs>
                <w:tab w:val="left" w:pos="284"/>
              </w:tabs>
              <w:jc w:val="both"/>
              <w:rPr>
                <w:sz w:val="22"/>
                <w:szCs w:val="22"/>
                <w:lang w:val="sr-Latn-ME"/>
              </w:rPr>
            </w:pPr>
            <w:r w:rsidRPr="00246D8C">
              <w:rPr>
                <w:sz w:val="22"/>
                <w:szCs w:val="22"/>
                <w:lang w:val="sr-Latn-ME"/>
              </w:rPr>
              <w:t>Često</w:t>
            </w:r>
            <w:r w:rsidRPr="00246D8C">
              <w:rPr>
                <w:sz w:val="22"/>
                <w:szCs w:val="22"/>
                <w:vertAlign w:val="superscript"/>
                <w:lang w:val="sr-Latn-ME"/>
              </w:rPr>
              <w:t>2</w:t>
            </w:r>
          </w:p>
        </w:tc>
        <w:tc>
          <w:tcPr>
            <w:tcW w:w="1660" w:type="dxa"/>
          </w:tcPr>
          <w:p w14:paraId="244348E8" w14:textId="77777777" w:rsidR="001753B1" w:rsidRPr="00246D8C" w:rsidRDefault="001753B1">
            <w:pPr>
              <w:tabs>
                <w:tab w:val="left" w:pos="284"/>
              </w:tabs>
              <w:jc w:val="both"/>
              <w:rPr>
                <w:sz w:val="22"/>
                <w:szCs w:val="22"/>
                <w:lang w:val="sr-Latn-ME"/>
              </w:rPr>
            </w:pPr>
          </w:p>
        </w:tc>
        <w:tc>
          <w:tcPr>
            <w:tcW w:w="1660" w:type="dxa"/>
          </w:tcPr>
          <w:p w14:paraId="4450B5F0" w14:textId="77777777" w:rsidR="001753B1" w:rsidRPr="00246D8C" w:rsidRDefault="001753B1">
            <w:pPr>
              <w:tabs>
                <w:tab w:val="left" w:pos="284"/>
              </w:tabs>
              <w:jc w:val="both"/>
              <w:rPr>
                <w:sz w:val="22"/>
                <w:szCs w:val="22"/>
                <w:lang w:val="sr-Latn-ME"/>
              </w:rPr>
            </w:pPr>
          </w:p>
        </w:tc>
        <w:tc>
          <w:tcPr>
            <w:tcW w:w="1660" w:type="dxa"/>
          </w:tcPr>
          <w:p w14:paraId="676080DE" w14:textId="77777777" w:rsidR="001753B1" w:rsidRPr="00246D8C" w:rsidRDefault="001753B1">
            <w:pPr>
              <w:tabs>
                <w:tab w:val="left" w:pos="284"/>
              </w:tabs>
              <w:jc w:val="both"/>
              <w:rPr>
                <w:sz w:val="22"/>
                <w:szCs w:val="22"/>
                <w:lang w:val="sr-Latn-ME"/>
              </w:rPr>
            </w:pPr>
          </w:p>
        </w:tc>
      </w:tr>
      <w:tr w:rsidR="003D48C9" w:rsidRPr="00246D8C" w14:paraId="3F51F320" w14:textId="77777777" w:rsidTr="003E0023">
        <w:tc>
          <w:tcPr>
            <w:tcW w:w="1659" w:type="dxa"/>
          </w:tcPr>
          <w:p w14:paraId="3DB2A669" w14:textId="77777777" w:rsidR="001753B1" w:rsidRPr="00246D8C" w:rsidRDefault="001753B1" w:rsidP="006A7219">
            <w:pPr>
              <w:tabs>
                <w:tab w:val="left" w:pos="284"/>
              </w:tabs>
              <w:jc w:val="both"/>
              <w:rPr>
                <w:sz w:val="22"/>
                <w:szCs w:val="22"/>
                <w:lang w:val="sr-Latn-ME"/>
              </w:rPr>
            </w:pPr>
            <w:r w:rsidRPr="00246D8C">
              <w:rPr>
                <w:b/>
                <w:bCs/>
                <w:sz w:val="22"/>
                <w:szCs w:val="22"/>
                <w:lang w:val="sr-Latn-ME"/>
              </w:rPr>
              <w:lastRenderedPageBreak/>
              <w:t>Poremećaji metabolizma i ishrane</w:t>
            </w:r>
          </w:p>
        </w:tc>
        <w:tc>
          <w:tcPr>
            <w:tcW w:w="1659" w:type="dxa"/>
          </w:tcPr>
          <w:p w14:paraId="09A6CF4F" w14:textId="77777777" w:rsidR="001753B1" w:rsidRPr="00246D8C" w:rsidRDefault="001753B1" w:rsidP="003C0336">
            <w:pPr>
              <w:tabs>
                <w:tab w:val="left" w:pos="284"/>
              </w:tabs>
              <w:jc w:val="both"/>
              <w:rPr>
                <w:sz w:val="22"/>
                <w:szCs w:val="22"/>
                <w:lang w:val="sr-Latn-ME"/>
              </w:rPr>
            </w:pPr>
          </w:p>
        </w:tc>
        <w:tc>
          <w:tcPr>
            <w:tcW w:w="1659" w:type="dxa"/>
          </w:tcPr>
          <w:p w14:paraId="5F6BAFE9" w14:textId="77777777" w:rsidR="001753B1" w:rsidRPr="00246D8C" w:rsidRDefault="001753B1" w:rsidP="00AE24EE">
            <w:pPr>
              <w:tabs>
                <w:tab w:val="left" w:pos="284"/>
              </w:tabs>
              <w:jc w:val="both"/>
              <w:rPr>
                <w:sz w:val="22"/>
                <w:szCs w:val="22"/>
                <w:lang w:val="sr-Latn-ME"/>
              </w:rPr>
            </w:pPr>
          </w:p>
        </w:tc>
        <w:tc>
          <w:tcPr>
            <w:tcW w:w="1660" w:type="dxa"/>
          </w:tcPr>
          <w:p w14:paraId="41486FE9" w14:textId="77777777" w:rsidR="001753B1" w:rsidRPr="00246D8C" w:rsidRDefault="001753B1">
            <w:pPr>
              <w:tabs>
                <w:tab w:val="left" w:pos="284"/>
              </w:tabs>
              <w:jc w:val="both"/>
              <w:rPr>
                <w:sz w:val="22"/>
                <w:szCs w:val="22"/>
                <w:lang w:val="sr-Latn-ME"/>
              </w:rPr>
            </w:pPr>
          </w:p>
        </w:tc>
        <w:tc>
          <w:tcPr>
            <w:tcW w:w="1660" w:type="dxa"/>
          </w:tcPr>
          <w:p w14:paraId="12FA1790" w14:textId="77777777" w:rsidR="001753B1" w:rsidRPr="00246D8C" w:rsidRDefault="001753B1">
            <w:pPr>
              <w:tabs>
                <w:tab w:val="left" w:pos="284"/>
              </w:tabs>
              <w:jc w:val="both"/>
              <w:rPr>
                <w:sz w:val="22"/>
                <w:szCs w:val="22"/>
                <w:lang w:val="sr-Latn-ME"/>
              </w:rPr>
            </w:pPr>
          </w:p>
        </w:tc>
        <w:tc>
          <w:tcPr>
            <w:tcW w:w="1660" w:type="dxa"/>
          </w:tcPr>
          <w:p w14:paraId="1F66A197" w14:textId="77777777" w:rsidR="001753B1" w:rsidRPr="00246D8C" w:rsidRDefault="001753B1">
            <w:pPr>
              <w:tabs>
                <w:tab w:val="left" w:pos="284"/>
              </w:tabs>
              <w:jc w:val="both"/>
              <w:rPr>
                <w:sz w:val="22"/>
                <w:szCs w:val="22"/>
                <w:lang w:val="sr-Latn-ME"/>
              </w:rPr>
            </w:pPr>
          </w:p>
        </w:tc>
      </w:tr>
      <w:tr w:rsidR="003D48C9" w:rsidRPr="00246D8C" w14:paraId="4F5D38B3" w14:textId="77777777" w:rsidTr="003E0023">
        <w:tc>
          <w:tcPr>
            <w:tcW w:w="1659" w:type="dxa"/>
          </w:tcPr>
          <w:p w14:paraId="45E8E13A" w14:textId="77777777" w:rsidR="001753B1" w:rsidRPr="00246D8C" w:rsidRDefault="001753B1" w:rsidP="006A7219">
            <w:pPr>
              <w:tabs>
                <w:tab w:val="left" w:pos="284"/>
              </w:tabs>
              <w:jc w:val="both"/>
              <w:rPr>
                <w:sz w:val="22"/>
                <w:szCs w:val="22"/>
                <w:lang w:val="sr-Latn-ME"/>
              </w:rPr>
            </w:pPr>
            <w:r w:rsidRPr="00246D8C">
              <w:rPr>
                <w:sz w:val="22"/>
                <w:szCs w:val="22"/>
                <w:lang w:val="sr-Latn-ME"/>
              </w:rPr>
              <w:t>Hipoglikemija</w:t>
            </w:r>
          </w:p>
        </w:tc>
        <w:tc>
          <w:tcPr>
            <w:tcW w:w="1659" w:type="dxa"/>
          </w:tcPr>
          <w:p w14:paraId="1215364E" w14:textId="77777777" w:rsidR="001753B1" w:rsidRPr="00246D8C" w:rsidRDefault="001753B1" w:rsidP="003C0336">
            <w:pPr>
              <w:tabs>
                <w:tab w:val="left" w:pos="284"/>
              </w:tabs>
              <w:jc w:val="both"/>
              <w:rPr>
                <w:sz w:val="22"/>
                <w:szCs w:val="22"/>
                <w:lang w:val="sr-Latn-ME"/>
              </w:rPr>
            </w:pPr>
          </w:p>
        </w:tc>
        <w:tc>
          <w:tcPr>
            <w:tcW w:w="1659" w:type="dxa"/>
          </w:tcPr>
          <w:p w14:paraId="52D105B5" w14:textId="77777777" w:rsidR="001753B1" w:rsidRPr="00246D8C" w:rsidRDefault="001753B1" w:rsidP="00AE24EE">
            <w:pPr>
              <w:tabs>
                <w:tab w:val="left" w:pos="284"/>
              </w:tabs>
              <w:jc w:val="both"/>
              <w:rPr>
                <w:sz w:val="22"/>
                <w:szCs w:val="22"/>
                <w:lang w:val="sr-Latn-ME"/>
              </w:rPr>
            </w:pPr>
          </w:p>
        </w:tc>
        <w:tc>
          <w:tcPr>
            <w:tcW w:w="1660" w:type="dxa"/>
          </w:tcPr>
          <w:p w14:paraId="37D4D383" w14:textId="77777777" w:rsidR="001753B1" w:rsidRPr="00246D8C" w:rsidRDefault="001753B1">
            <w:pPr>
              <w:tabs>
                <w:tab w:val="left" w:pos="284"/>
              </w:tabs>
              <w:jc w:val="both"/>
              <w:rPr>
                <w:sz w:val="22"/>
                <w:szCs w:val="22"/>
                <w:lang w:val="sr-Latn-ME"/>
              </w:rPr>
            </w:pPr>
            <w:r w:rsidRPr="00246D8C">
              <w:rPr>
                <w:sz w:val="22"/>
                <w:szCs w:val="22"/>
                <w:lang w:val="sr-Latn-ME"/>
              </w:rPr>
              <w:t>Veoma često</w:t>
            </w:r>
            <w:r w:rsidRPr="00246D8C">
              <w:rPr>
                <w:sz w:val="22"/>
                <w:szCs w:val="22"/>
                <w:vertAlign w:val="superscript"/>
                <w:lang w:val="sr-Latn-ME"/>
              </w:rPr>
              <w:t>3</w:t>
            </w:r>
          </w:p>
        </w:tc>
        <w:tc>
          <w:tcPr>
            <w:tcW w:w="1660" w:type="dxa"/>
          </w:tcPr>
          <w:p w14:paraId="7AC30B7F" w14:textId="77777777" w:rsidR="001753B1" w:rsidRPr="00246D8C" w:rsidRDefault="001753B1">
            <w:pPr>
              <w:tabs>
                <w:tab w:val="left" w:pos="284"/>
              </w:tabs>
              <w:jc w:val="both"/>
              <w:rPr>
                <w:sz w:val="22"/>
                <w:szCs w:val="22"/>
                <w:lang w:val="sr-Latn-ME"/>
              </w:rPr>
            </w:pPr>
          </w:p>
        </w:tc>
        <w:tc>
          <w:tcPr>
            <w:tcW w:w="1660" w:type="dxa"/>
          </w:tcPr>
          <w:p w14:paraId="279D0F35" w14:textId="77777777" w:rsidR="001753B1" w:rsidRPr="00246D8C" w:rsidRDefault="001753B1">
            <w:pPr>
              <w:tabs>
                <w:tab w:val="left" w:pos="284"/>
              </w:tabs>
              <w:jc w:val="both"/>
              <w:rPr>
                <w:sz w:val="22"/>
                <w:szCs w:val="22"/>
                <w:lang w:val="sr-Latn-ME"/>
              </w:rPr>
            </w:pPr>
          </w:p>
        </w:tc>
      </w:tr>
      <w:tr w:rsidR="003D48C9" w:rsidRPr="00246D8C" w14:paraId="6A570AE9" w14:textId="77777777" w:rsidTr="003E0023">
        <w:tc>
          <w:tcPr>
            <w:tcW w:w="1659" w:type="dxa"/>
          </w:tcPr>
          <w:p w14:paraId="4654F9B4" w14:textId="77777777" w:rsidR="001753B1" w:rsidRPr="00246D8C" w:rsidRDefault="001753B1" w:rsidP="006A7219">
            <w:pPr>
              <w:tabs>
                <w:tab w:val="left" w:pos="284"/>
              </w:tabs>
              <w:jc w:val="both"/>
              <w:rPr>
                <w:sz w:val="22"/>
                <w:szCs w:val="22"/>
                <w:lang w:val="sr-Latn-ME"/>
              </w:rPr>
            </w:pPr>
            <w:r w:rsidRPr="00246D8C">
              <w:rPr>
                <w:sz w:val="22"/>
                <w:szCs w:val="22"/>
                <w:lang w:val="sr-Latn-ME"/>
              </w:rPr>
              <w:t>Dislipidemia</w:t>
            </w:r>
          </w:p>
        </w:tc>
        <w:tc>
          <w:tcPr>
            <w:tcW w:w="1659" w:type="dxa"/>
          </w:tcPr>
          <w:p w14:paraId="44FC3D97" w14:textId="77777777" w:rsidR="001753B1" w:rsidRPr="00246D8C" w:rsidRDefault="001753B1" w:rsidP="003C0336">
            <w:pPr>
              <w:tabs>
                <w:tab w:val="left" w:pos="284"/>
              </w:tabs>
              <w:jc w:val="both"/>
              <w:rPr>
                <w:sz w:val="22"/>
                <w:szCs w:val="22"/>
                <w:lang w:val="sr-Latn-ME"/>
              </w:rPr>
            </w:pPr>
          </w:p>
        </w:tc>
        <w:tc>
          <w:tcPr>
            <w:tcW w:w="1659" w:type="dxa"/>
          </w:tcPr>
          <w:p w14:paraId="1BD3A379" w14:textId="77777777" w:rsidR="001753B1" w:rsidRPr="00246D8C" w:rsidRDefault="001753B1" w:rsidP="00AE24EE">
            <w:pPr>
              <w:tabs>
                <w:tab w:val="left" w:pos="284"/>
              </w:tabs>
              <w:jc w:val="both"/>
              <w:rPr>
                <w:sz w:val="22"/>
                <w:szCs w:val="22"/>
                <w:lang w:val="sr-Latn-ME"/>
              </w:rPr>
            </w:pPr>
          </w:p>
        </w:tc>
        <w:tc>
          <w:tcPr>
            <w:tcW w:w="1660" w:type="dxa"/>
          </w:tcPr>
          <w:p w14:paraId="213315BA" w14:textId="77777777" w:rsidR="001753B1" w:rsidRPr="00246D8C" w:rsidRDefault="001753B1">
            <w:pPr>
              <w:tabs>
                <w:tab w:val="left" w:pos="284"/>
              </w:tabs>
              <w:jc w:val="both"/>
              <w:rPr>
                <w:sz w:val="22"/>
                <w:szCs w:val="22"/>
                <w:lang w:val="sr-Latn-ME"/>
              </w:rPr>
            </w:pPr>
            <w:r w:rsidRPr="00246D8C">
              <w:rPr>
                <w:sz w:val="22"/>
                <w:szCs w:val="22"/>
                <w:lang w:val="sr-Latn-ME"/>
              </w:rPr>
              <w:t>Povremeno</w:t>
            </w:r>
          </w:p>
        </w:tc>
        <w:tc>
          <w:tcPr>
            <w:tcW w:w="1660" w:type="dxa"/>
          </w:tcPr>
          <w:p w14:paraId="3FD53FF6" w14:textId="77777777" w:rsidR="001753B1" w:rsidRPr="00246D8C" w:rsidRDefault="001753B1">
            <w:pPr>
              <w:tabs>
                <w:tab w:val="left" w:pos="284"/>
              </w:tabs>
              <w:jc w:val="both"/>
              <w:rPr>
                <w:sz w:val="22"/>
                <w:szCs w:val="22"/>
                <w:lang w:val="sr-Latn-ME"/>
              </w:rPr>
            </w:pPr>
          </w:p>
        </w:tc>
        <w:tc>
          <w:tcPr>
            <w:tcW w:w="1660" w:type="dxa"/>
          </w:tcPr>
          <w:p w14:paraId="73038D77" w14:textId="77777777" w:rsidR="001753B1" w:rsidRPr="00246D8C" w:rsidRDefault="001753B1">
            <w:pPr>
              <w:tabs>
                <w:tab w:val="left" w:pos="284"/>
              </w:tabs>
              <w:jc w:val="both"/>
              <w:rPr>
                <w:sz w:val="22"/>
                <w:szCs w:val="22"/>
                <w:lang w:val="sr-Latn-ME"/>
              </w:rPr>
            </w:pPr>
          </w:p>
        </w:tc>
      </w:tr>
      <w:tr w:rsidR="003D48C9" w:rsidRPr="00246D8C" w14:paraId="2727DE47" w14:textId="77777777" w:rsidTr="003E0023">
        <w:tc>
          <w:tcPr>
            <w:tcW w:w="1659" w:type="dxa"/>
          </w:tcPr>
          <w:p w14:paraId="284A7013" w14:textId="77777777" w:rsidR="001753B1" w:rsidRPr="00246D8C" w:rsidRDefault="001753B1" w:rsidP="006A7219">
            <w:pPr>
              <w:tabs>
                <w:tab w:val="left" w:pos="284"/>
              </w:tabs>
              <w:jc w:val="both"/>
              <w:rPr>
                <w:sz w:val="22"/>
                <w:szCs w:val="22"/>
                <w:lang w:val="sr-Latn-ME"/>
              </w:rPr>
            </w:pPr>
            <w:r w:rsidRPr="00246D8C">
              <w:rPr>
                <w:sz w:val="22"/>
                <w:szCs w:val="22"/>
                <w:lang w:val="sr-Latn-ME"/>
              </w:rPr>
              <w:t>Hipertrigliceridemija</w:t>
            </w:r>
          </w:p>
        </w:tc>
        <w:tc>
          <w:tcPr>
            <w:tcW w:w="1659" w:type="dxa"/>
          </w:tcPr>
          <w:p w14:paraId="4ABA642A" w14:textId="77777777" w:rsidR="001753B1" w:rsidRPr="00246D8C" w:rsidRDefault="001753B1" w:rsidP="003C0336">
            <w:pPr>
              <w:tabs>
                <w:tab w:val="left" w:pos="284"/>
              </w:tabs>
              <w:jc w:val="both"/>
              <w:rPr>
                <w:sz w:val="22"/>
                <w:szCs w:val="22"/>
                <w:lang w:val="sr-Latn-ME"/>
              </w:rPr>
            </w:pPr>
          </w:p>
        </w:tc>
        <w:tc>
          <w:tcPr>
            <w:tcW w:w="1659" w:type="dxa"/>
          </w:tcPr>
          <w:p w14:paraId="6BA1823C" w14:textId="77777777" w:rsidR="001753B1" w:rsidRPr="00246D8C" w:rsidRDefault="001753B1" w:rsidP="00AE24EE">
            <w:pPr>
              <w:tabs>
                <w:tab w:val="left" w:pos="284"/>
              </w:tabs>
              <w:jc w:val="both"/>
              <w:rPr>
                <w:sz w:val="22"/>
                <w:szCs w:val="22"/>
                <w:lang w:val="sr-Latn-ME"/>
              </w:rPr>
            </w:pPr>
          </w:p>
        </w:tc>
        <w:tc>
          <w:tcPr>
            <w:tcW w:w="1660" w:type="dxa"/>
          </w:tcPr>
          <w:p w14:paraId="2E0E35FA" w14:textId="77777777" w:rsidR="001753B1" w:rsidRPr="00246D8C" w:rsidRDefault="001753B1">
            <w:pPr>
              <w:tabs>
                <w:tab w:val="left" w:pos="284"/>
              </w:tabs>
              <w:jc w:val="both"/>
              <w:rPr>
                <w:sz w:val="22"/>
                <w:szCs w:val="22"/>
                <w:lang w:val="sr-Latn-ME"/>
              </w:rPr>
            </w:pPr>
            <w:r w:rsidRPr="00246D8C">
              <w:rPr>
                <w:sz w:val="22"/>
                <w:szCs w:val="22"/>
                <w:lang w:val="sr-Latn-ME"/>
              </w:rPr>
              <w:t>Povremeno</w:t>
            </w:r>
          </w:p>
        </w:tc>
        <w:tc>
          <w:tcPr>
            <w:tcW w:w="1660" w:type="dxa"/>
          </w:tcPr>
          <w:p w14:paraId="72398D29" w14:textId="77777777" w:rsidR="001753B1" w:rsidRPr="00246D8C" w:rsidRDefault="001753B1">
            <w:pPr>
              <w:tabs>
                <w:tab w:val="left" w:pos="284"/>
              </w:tabs>
              <w:jc w:val="both"/>
              <w:rPr>
                <w:sz w:val="22"/>
                <w:szCs w:val="22"/>
                <w:lang w:val="sr-Latn-ME"/>
              </w:rPr>
            </w:pPr>
          </w:p>
        </w:tc>
        <w:tc>
          <w:tcPr>
            <w:tcW w:w="1660" w:type="dxa"/>
          </w:tcPr>
          <w:p w14:paraId="24E959D4" w14:textId="77777777" w:rsidR="001753B1" w:rsidRPr="00246D8C" w:rsidRDefault="001753B1">
            <w:pPr>
              <w:tabs>
                <w:tab w:val="left" w:pos="284"/>
              </w:tabs>
              <w:jc w:val="both"/>
              <w:rPr>
                <w:sz w:val="22"/>
                <w:szCs w:val="22"/>
                <w:lang w:val="sr-Latn-ME"/>
              </w:rPr>
            </w:pPr>
          </w:p>
        </w:tc>
      </w:tr>
      <w:tr w:rsidR="003D48C9" w:rsidRPr="00246D8C" w14:paraId="73553984" w14:textId="77777777" w:rsidTr="003E0023">
        <w:tc>
          <w:tcPr>
            <w:tcW w:w="1659" w:type="dxa"/>
          </w:tcPr>
          <w:p w14:paraId="3F870F7A" w14:textId="77777777" w:rsidR="001753B1" w:rsidRPr="00246D8C" w:rsidRDefault="001753B1" w:rsidP="006A7219">
            <w:pPr>
              <w:tabs>
                <w:tab w:val="left" w:pos="284"/>
              </w:tabs>
              <w:jc w:val="both"/>
              <w:rPr>
                <w:sz w:val="22"/>
                <w:szCs w:val="22"/>
                <w:lang w:val="sr-Latn-ME"/>
              </w:rPr>
            </w:pPr>
            <w:r w:rsidRPr="00246D8C">
              <w:rPr>
                <w:b/>
                <w:bCs/>
                <w:sz w:val="22"/>
                <w:szCs w:val="22"/>
                <w:lang w:val="sr-Latn-ME"/>
              </w:rPr>
              <w:t>Poremećaji mišićnog i vezivnog tkiva</w:t>
            </w:r>
          </w:p>
        </w:tc>
        <w:tc>
          <w:tcPr>
            <w:tcW w:w="1659" w:type="dxa"/>
          </w:tcPr>
          <w:p w14:paraId="3B699250" w14:textId="77777777" w:rsidR="001753B1" w:rsidRPr="00246D8C" w:rsidRDefault="001753B1" w:rsidP="003C0336">
            <w:pPr>
              <w:tabs>
                <w:tab w:val="left" w:pos="284"/>
              </w:tabs>
              <w:jc w:val="both"/>
              <w:rPr>
                <w:sz w:val="22"/>
                <w:szCs w:val="22"/>
                <w:lang w:val="sr-Latn-ME"/>
              </w:rPr>
            </w:pPr>
          </w:p>
        </w:tc>
        <w:tc>
          <w:tcPr>
            <w:tcW w:w="1659" w:type="dxa"/>
          </w:tcPr>
          <w:p w14:paraId="5C1EDC7B" w14:textId="77777777" w:rsidR="001753B1" w:rsidRPr="00246D8C" w:rsidRDefault="001753B1" w:rsidP="00AE24EE">
            <w:pPr>
              <w:tabs>
                <w:tab w:val="left" w:pos="284"/>
              </w:tabs>
              <w:jc w:val="both"/>
              <w:rPr>
                <w:sz w:val="22"/>
                <w:szCs w:val="22"/>
                <w:lang w:val="sr-Latn-ME"/>
              </w:rPr>
            </w:pPr>
          </w:p>
        </w:tc>
        <w:tc>
          <w:tcPr>
            <w:tcW w:w="1660" w:type="dxa"/>
          </w:tcPr>
          <w:p w14:paraId="26FD3739" w14:textId="77777777" w:rsidR="001753B1" w:rsidRPr="00246D8C" w:rsidRDefault="001753B1">
            <w:pPr>
              <w:tabs>
                <w:tab w:val="left" w:pos="284"/>
              </w:tabs>
              <w:jc w:val="both"/>
              <w:rPr>
                <w:sz w:val="22"/>
                <w:szCs w:val="22"/>
                <w:lang w:val="sr-Latn-ME"/>
              </w:rPr>
            </w:pPr>
          </w:p>
        </w:tc>
        <w:tc>
          <w:tcPr>
            <w:tcW w:w="1660" w:type="dxa"/>
          </w:tcPr>
          <w:p w14:paraId="5B3C45B2" w14:textId="77777777" w:rsidR="001753B1" w:rsidRPr="00246D8C" w:rsidRDefault="001753B1">
            <w:pPr>
              <w:tabs>
                <w:tab w:val="left" w:pos="284"/>
              </w:tabs>
              <w:jc w:val="both"/>
              <w:rPr>
                <w:sz w:val="22"/>
                <w:szCs w:val="22"/>
                <w:lang w:val="sr-Latn-ME"/>
              </w:rPr>
            </w:pPr>
          </w:p>
        </w:tc>
        <w:tc>
          <w:tcPr>
            <w:tcW w:w="1660" w:type="dxa"/>
          </w:tcPr>
          <w:p w14:paraId="324A9C26" w14:textId="77777777" w:rsidR="001753B1" w:rsidRPr="00246D8C" w:rsidRDefault="001753B1">
            <w:pPr>
              <w:tabs>
                <w:tab w:val="left" w:pos="284"/>
              </w:tabs>
              <w:jc w:val="both"/>
              <w:rPr>
                <w:sz w:val="22"/>
                <w:szCs w:val="22"/>
                <w:lang w:val="sr-Latn-ME"/>
              </w:rPr>
            </w:pPr>
          </w:p>
        </w:tc>
      </w:tr>
      <w:tr w:rsidR="003D48C9" w:rsidRPr="00246D8C" w14:paraId="7887CEEC" w14:textId="77777777" w:rsidTr="003E0023">
        <w:tc>
          <w:tcPr>
            <w:tcW w:w="1659" w:type="dxa"/>
          </w:tcPr>
          <w:p w14:paraId="278C6362" w14:textId="77777777" w:rsidR="001753B1" w:rsidRPr="00246D8C" w:rsidRDefault="001753B1" w:rsidP="006A7219">
            <w:pPr>
              <w:tabs>
                <w:tab w:val="left" w:pos="284"/>
              </w:tabs>
              <w:jc w:val="both"/>
              <w:rPr>
                <w:sz w:val="22"/>
                <w:szCs w:val="22"/>
                <w:lang w:val="sr-Latn-ME"/>
              </w:rPr>
            </w:pPr>
            <w:r w:rsidRPr="00246D8C">
              <w:rPr>
                <w:sz w:val="22"/>
                <w:szCs w:val="22"/>
                <w:lang w:val="sr-Latn-ME"/>
              </w:rPr>
              <w:t>Artralgija*</w:t>
            </w:r>
          </w:p>
        </w:tc>
        <w:tc>
          <w:tcPr>
            <w:tcW w:w="1659" w:type="dxa"/>
          </w:tcPr>
          <w:p w14:paraId="4FCD65C4" w14:textId="77777777" w:rsidR="001753B1" w:rsidRPr="00246D8C" w:rsidRDefault="001753B1" w:rsidP="003C0336">
            <w:pPr>
              <w:tabs>
                <w:tab w:val="left" w:pos="284"/>
              </w:tabs>
              <w:jc w:val="both"/>
              <w:rPr>
                <w:sz w:val="22"/>
                <w:szCs w:val="22"/>
                <w:lang w:val="sr-Latn-ME"/>
              </w:rPr>
            </w:pPr>
          </w:p>
        </w:tc>
        <w:tc>
          <w:tcPr>
            <w:tcW w:w="1659" w:type="dxa"/>
          </w:tcPr>
          <w:p w14:paraId="15C5EEC4" w14:textId="77777777" w:rsidR="001753B1" w:rsidRPr="00246D8C" w:rsidRDefault="001753B1" w:rsidP="00AE24EE">
            <w:pPr>
              <w:tabs>
                <w:tab w:val="left" w:pos="284"/>
              </w:tabs>
              <w:jc w:val="both"/>
              <w:rPr>
                <w:sz w:val="22"/>
                <w:szCs w:val="22"/>
                <w:lang w:val="sr-Latn-ME"/>
              </w:rPr>
            </w:pPr>
            <w:r w:rsidRPr="00246D8C">
              <w:rPr>
                <w:sz w:val="22"/>
                <w:szCs w:val="22"/>
                <w:lang w:val="sr-Latn-ME"/>
              </w:rPr>
              <w:t>Povremeno</w:t>
            </w:r>
          </w:p>
        </w:tc>
        <w:tc>
          <w:tcPr>
            <w:tcW w:w="1660" w:type="dxa"/>
          </w:tcPr>
          <w:p w14:paraId="65659185" w14:textId="77777777" w:rsidR="001753B1" w:rsidRPr="00246D8C" w:rsidRDefault="001753B1">
            <w:pPr>
              <w:tabs>
                <w:tab w:val="left" w:pos="284"/>
              </w:tabs>
              <w:jc w:val="both"/>
              <w:rPr>
                <w:sz w:val="22"/>
                <w:szCs w:val="22"/>
                <w:lang w:val="sr-Latn-ME"/>
              </w:rPr>
            </w:pPr>
          </w:p>
        </w:tc>
        <w:tc>
          <w:tcPr>
            <w:tcW w:w="1660" w:type="dxa"/>
          </w:tcPr>
          <w:p w14:paraId="048C7DA0" w14:textId="77777777" w:rsidR="001753B1" w:rsidRPr="00246D8C" w:rsidRDefault="001753B1">
            <w:pPr>
              <w:tabs>
                <w:tab w:val="left" w:pos="284"/>
              </w:tabs>
              <w:jc w:val="both"/>
              <w:rPr>
                <w:sz w:val="22"/>
                <w:szCs w:val="22"/>
                <w:lang w:val="sr-Latn-ME"/>
              </w:rPr>
            </w:pPr>
          </w:p>
        </w:tc>
        <w:tc>
          <w:tcPr>
            <w:tcW w:w="1660" w:type="dxa"/>
          </w:tcPr>
          <w:p w14:paraId="1CBC2297" w14:textId="77777777" w:rsidR="001753B1" w:rsidRPr="00246D8C" w:rsidRDefault="001753B1">
            <w:pPr>
              <w:tabs>
                <w:tab w:val="left" w:pos="284"/>
              </w:tabs>
              <w:jc w:val="both"/>
              <w:rPr>
                <w:sz w:val="22"/>
                <w:szCs w:val="22"/>
                <w:lang w:val="sr-Latn-ME"/>
              </w:rPr>
            </w:pPr>
          </w:p>
        </w:tc>
      </w:tr>
      <w:tr w:rsidR="003D48C9" w:rsidRPr="00246D8C" w14:paraId="25AD37BA" w14:textId="77777777" w:rsidTr="003E0023">
        <w:tc>
          <w:tcPr>
            <w:tcW w:w="1659" w:type="dxa"/>
          </w:tcPr>
          <w:p w14:paraId="0D1A2C4C" w14:textId="77777777" w:rsidR="001753B1" w:rsidRPr="00246D8C" w:rsidRDefault="001753B1" w:rsidP="006A7219">
            <w:pPr>
              <w:tabs>
                <w:tab w:val="left" w:pos="284"/>
              </w:tabs>
              <w:jc w:val="both"/>
              <w:rPr>
                <w:sz w:val="22"/>
                <w:szCs w:val="22"/>
                <w:lang w:val="sr-Latn-ME"/>
              </w:rPr>
            </w:pPr>
            <w:r w:rsidRPr="00246D8C">
              <w:rPr>
                <w:sz w:val="22"/>
                <w:szCs w:val="22"/>
                <w:lang w:val="sr-Latn-ME"/>
              </w:rPr>
              <w:t>Mijalgija</w:t>
            </w:r>
            <w:r w:rsidRPr="00246D8C">
              <w:rPr>
                <w:sz w:val="22"/>
                <w:szCs w:val="22"/>
                <w:vertAlign w:val="superscript"/>
                <w:lang w:val="sr-Latn-ME"/>
              </w:rPr>
              <w:t>4</w:t>
            </w:r>
          </w:p>
        </w:tc>
        <w:tc>
          <w:tcPr>
            <w:tcW w:w="1659" w:type="dxa"/>
          </w:tcPr>
          <w:p w14:paraId="40221D20" w14:textId="77777777" w:rsidR="001753B1" w:rsidRPr="00246D8C" w:rsidRDefault="001753B1" w:rsidP="003C0336">
            <w:pPr>
              <w:tabs>
                <w:tab w:val="left" w:pos="284"/>
              </w:tabs>
              <w:jc w:val="both"/>
              <w:rPr>
                <w:sz w:val="22"/>
                <w:szCs w:val="22"/>
                <w:lang w:val="sr-Latn-ME"/>
              </w:rPr>
            </w:pPr>
          </w:p>
        </w:tc>
        <w:tc>
          <w:tcPr>
            <w:tcW w:w="1659" w:type="dxa"/>
          </w:tcPr>
          <w:p w14:paraId="77C43355" w14:textId="77777777" w:rsidR="001753B1" w:rsidRPr="00246D8C" w:rsidRDefault="001753B1" w:rsidP="00AE24EE">
            <w:pPr>
              <w:tabs>
                <w:tab w:val="left" w:pos="284"/>
              </w:tabs>
              <w:jc w:val="both"/>
              <w:rPr>
                <w:sz w:val="22"/>
                <w:szCs w:val="22"/>
                <w:lang w:val="sr-Latn-ME"/>
              </w:rPr>
            </w:pPr>
            <w:r w:rsidRPr="00246D8C">
              <w:rPr>
                <w:sz w:val="22"/>
                <w:szCs w:val="22"/>
                <w:lang w:val="sr-Latn-ME"/>
              </w:rPr>
              <w:t>Često</w:t>
            </w:r>
          </w:p>
        </w:tc>
        <w:tc>
          <w:tcPr>
            <w:tcW w:w="1660" w:type="dxa"/>
          </w:tcPr>
          <w:p w14:paraId="3CF2347F" w14:textId="77777777" w:rsidR="001753B1" w:rsidRPr="00246D8C" w:rsidRDefault="001753B1">
            <w:pPr>
              <w:tabs>
                <w:tab w:val="left" w:pos="284"/>
              </w:tabs>
              <w:jc w:val="both"/>
              <w:rPr>
                <w:sz w:val="22"/>
                <w:szCs w:val="22"/>
                <w:lang w:val="sr-Latn-ME"/>
              </w:rPr>
            </w:pPr>
          </w:p>
        </w:tc>
        <w:tc>
          <w:tcPr>
            <w:tcW w:w="1660" w:type="dxa"/>
          </w:tcPr>
          <w:p w14:paraId="32D4C647" w14:textId="77777777" w:rsidR="001753B1" w:rsidRPr="00246D8C" w:rsidRDefault="001753B1">
            <w:pPr>
              <w:tabs>
                <w:tab w:val="left" w:pos="284"/>
              </w:tabs>
              <w:jc w:val="both"/>
              <w:rPr>
                <w:sz w:val="22"/>
                <w:szCs w:val="22"/>
                <w:lang w:val="sr-Latn-ME"/>
              </w:rPr>
            </w:pPr>
          </w:p>
        </w:tc>
        <w:tc>
          <w:tcPr>
            <w:tcW w:w="1660" w:type="dxa"/>
          </w:tcPr>
          <w:p w14:paraId="27C758FA" w14:textId="77777777" w:rsidR="001753B1" w:rsidRPr="00246D8C" w:rsidRDefault="001753B1">
            <w:pPr>
              <w:tabs>
                <w:tab w:val="left" w:pos="284"/>
              </w:tabs>
              <w:jc w:val="both"/>
              <w:rPr>
                <w:sz w:val="22"/>
                <w:szCs w:val="22"/>
                <w:lang w:val="sr-Latn-ME"/>
              </w:rPr>
            </w:pPr>
          </w:p>
        </w:tc>
      </w:tr>
      <w:tr w:rsidR="003D48C9" w:rsidRPr="00246D8C" w14:paraId="3F31084A" w14:textId="77777777" w:rsidTr="003E0023">
        <w:tc>
          <w:tcPr>
            <w:tcW w:w="1659" w:type="dxa"/>
          </w:tcPr>
          <w:p w14:paraId="013FAA4C" w14:textId="77777777" w:rsidR="001753B1" w:rsidRPr="00246D8C" w:rsidRDefault="001753B1" w:rsidP="006A7219">
            <w:pPr>
              <w:tabs>
                <w:tab w:val="left" w:pos="284"/>
              </w:tabs>
              <w:jc w:val="both"/>
              <w:rPr>
                <w:sz w:val="22"/>
                <w:szCs w:val="22"/>
                <w:lang w:val="sr-Latn-ME"/>
              </w:rPr>
            </w:pPr>
            <w:r w:rsidRPr="00246D8C">
              <w:rPr>
                <w:b/>
                <w:bCs/>
                <w:sz w:val="22"/>
                <w:szCs w:val="22"/>
                <w:lang w:val="sr-Latn-ME"/>
              </w:rPr>
              <w:t>Poremećaji nervnog sistema</w:t>
            </w:r>
          </w:p>
        </w:tc>
        <w:tc>
          <w:tcPr>
            <w:tcW w:w="1659" w:type="dxa"/>
          </w:tcPr>
          <w:p w14:paraId="0274E348" w14:textId="77777777" w:rsidR="001753B1" w:rsidRPr="00246D8C" w:rsidRDefault="001753B1" w:rsidP="003C0336">
            <w:pPr>
              <w:tabs>
                <w:tab w:val="left" w:pos="284"/>
              </w:tabs>
              <w:jc w:val="both"/>
              <w:rPr>
                <w:sz w:val="22"/>
                <w:szCs w:val="22"/>
                <w:lang w:val="sr-Latn-ME"/>
              </w:rPr>
            </w:pPr>
          </w:p>
        </w:tc>
        <w:tc>
          <w:tcPr>
            <w:tcW w:w="1659" w:type="dxa"/>
          </w:tcPr>
          <w:p w14:paraId="593FE113" w14:textId="77777777" w:rsidR="001753B1" w:rsidRPr="00246D8C" w:rsidRDefault="001753B1" w:rsidP="00AE24EE">
            <w:pPr>
              <w:tabs>
                <w:tab w:val="left" w:pos="284"/>
              </w:tabs>
              <w:jc w:val="both"/>
              <w:rPr>
                <w:sz w:val="22"/>
                <w:szCs w:val="22"/>
                <w:lang w:val="sr-Latn-ME"/>
              </w:rPr>
            </w:pPr>
          </w:p>
        </w:tc>
        <w:tc>
          <w:tcPr>
            <w:tcW w:w="1660" w:type="dxa"/>
          </w:tcPr>
          <w:p w14:paraId="02AA89C8" w14:textId="77777777" w:rsidR="001753B1" w:rsidRPr="00246D8C" w:rsidRDefault="001753B1">
            <w:pPr>
              <w:tabs>
                <w:tab w:val="left" w:pos="284"/>
              </w:tabs>
              <w:jc w:val="both"/>
              <w:rPr>
                <w:sz w:val="22"/>
                <w:szCs w:val="22"/>
                <w:lang w:val="sr-Latn-ME"/>
              </w:rPr>
            </w:pPr>
          </w:p>
        </w:tc>
        <w:tc>
          <w:tcPr>
            <w:tcW w:w="1660" w:type="dxa"/>
          </w:tcPr>
          <w:p w14:paraId="637469CA" w14:textId="77777777" w:rsidR="001753B1" w:rsidRPr="00246D8C" w:rsidRDefault="001753B1">
            <w:pPr>
              <w:tabs>
                <w:tab w:val="left" w:pos="284"/>
              </w:tabs>
              <w:jc w:val="both"/>
              <w:rPr>
                <w:sz w:val="22"/>
                <w:szCs w:val="22"/>
                <w:lang w:val="sr-Latn-ME"/>
              </w:rPr>
            </w:pPr>
          </w:p>
        </w:tc>
        <w:tc>
          <w:tcPr>
            <w:tcW w:w="1660" w:type="dxa"/>
          </w:tcPr>
          <w:p w14:paraId="040B43B4" w14:textId="77777777" w:rsidR="001753B1" w:rsidRPr="00246D8C" w:rsidRDefault="001753B1">
            <w:pPr>
              <w:tabs>
                <w:tab w:val="left" w:pos="284"/>
              </w:tabs>
              <w:jc w:val="both"/>
              <w:rPr>
                <w:sz w:val="22"/>
                <w:szCs w:val="22"/>
                <w:lang w:val="sr-Latn-ME"/>
              </w:rPr>
            </w:pPr>
          </w:p>
        </w:tc>
      </w:tr>
      <w:tr w:rsidR="003D48C9" w:rsidRPr="00246D8C" w14:paraId="72C3DB14" w14:textId="77777777" w:rsidTr="003E0023">
        <w:tc>
          <w:tcPr>
            <w:tcW w:w="1659" w:type="dxa"/>
          </w:tcPr>
          <w:p w14:paraId="5717C5B0" w14:textId="77777777" w:rsidR="001753B1" w:rsidRPr="00246D8C" w:rsidRDefault="001753B1" w:rsidP="006A7219">
            <w:pPr>
              <w:tabs>
                <w:tab w:val="left" w:pos="284"/>
              </w:tabs>
              <w:jc w:val="both"/>
              <w:rPr>
                <w:sz w:val="22"/>
                <w:szCs w:val="22"/>
                <w:lang w:val="sr-Latn-ME"/>
              </w:rPr>
            </w:pPr>
            <w:r w:rsidRPr="00246D8C">
              <w:rPr>
                <w:sz w:val="22"/>
                <w:szCs w:val="22"/>
                <w:lang w:val="sr-Latn-ME"/>
              </w:rPr>
              <w:t>Vrtoglavica</w:t>
            </w:r>
          </w:p>
        </w:tc>
        <w:tc>
          <w:tcPr>
            <w:tcW w:w="1659" w:type="dxa"/>
          </w:tcPr>
          <w:p w14:paraId="4607E3BA" w14:textId="77777777" w:rsidR="001753B1" w:rsidRPr="00246D8C" w:rsidRDefault="001753B1" w:rsidP="003C0336">
            <w:pPr>
              <w:tabs>
                <w:tab w:val="left" w:pos="284"/>
              </w:tabs>
              <w:jc w:val="both"/>
              <w:rPr>
                <w:sz w:val="22"/>
                <w:szCs w:val="22"/>
                <w:lang w:val="sr-Latn-ME"/>
              </w:rPr>
            </w:pPr>
            <w:r w:rsidRPr="00246D8C">
              <w:rPr>
                <w:sz w:val="22"/>
                <w:szCs w:val="22"/>
                <w:lang w:val="sr-Latn-ME"/>
              </w:rPr>
              <w:t>Često</w:t>
            </w:r>
          </w:p>
        </w:tc>
        <w:tc>
          <w:tcPr>
            <w:tcW w:w="1659" w:type="dxa"/>
          </w:tcPr>
          <w:p w14:paraId="37B83AE6" w14:textId="77777777" w:rsidR="001753B1" w:rsidRPr="00246D8C" w:rsidRDefault="001753B1" w:rsidP="00AE24EE">
            <w:pPr>
              <w:tabs>
                <w:tab w:val="left" w:pos="284"/>
              </w:tabs>
              <w:jc w:val="both"/>
              <w:rPr>
                <w:sz w:val="22"/>
                <w:szCs w:val="22"/>
                <w:lang w:val="sr-Latn-ME"/>
              </w:rPr>
            </w:pPr>
          </w:p>
        </w:tc>
        <w:tc>
          <w:tcPr>
            <w:tcW w:w="1660" w:type="dxa"/>
          </w:tcPr>
          <w:p w14:paraId="31B86BB6" w14:textId="77777777" w:rsidR="001753B1" w:rsidRPr="00246D8C" w:rsidRDefault="001753B1">
            <w:pPr>
              <w:tabs>
                <w:tab w:val="left" w:pos="284"/>
              </w:tabs>
              <w:jc w:val="both"/>
              <w:rPr>
                <w:sz w:val="22"/>
                <w:szCs w:val="22"/>
                <w:lang w:val="sr-Latn-ME"/>
              </w:rPr>
            </w:pPr>
          </w:p>
        </w:tc>
        <w:tc>
          <w:tcPr>
            <w:tcW w:w="1660" w:type="dxa"/>
          </w:tcPr>
          <w:p w14:paraId="0B08FD03" w14:textId="77777777" w:rsidR="001753B1" w:rsidRPr="00246D8C" w:rsidRDefault="001753B1">
            <w:pPr>
              <w:tabs>
                <w:tab w:val="left" w:pos="284"/>
              </w:tabs>
              <w:jc w:val="both"/>
              <w:rPr>
                <w:sz w:val="22"/>
                <w:szCs w:val="22"/>
                <w:lang w:val="sr-Latn-ME"/>
              </w:rPr>
            </w:pPr>
          </w:p>
        </w:tc>
        <w:tc>
          <w:tcPr>
            <w:tcW w:w="1660" w:type="dxa"/>
          </w:tcPr>
          <w:p w14:paraId="72DF1209" w14:textId="77777777" w:rsidR="001753B1" w:rsidRPr="00246D8C" w:rsidRDefault="001753B1">
            <w:pPr>
              <w:tabs>
                <w:tab w:val="left" w:pos="284"/>
              </w:tabs>
              <w:jc w:val="both"/>
              <w:rPr>
                <w:sz w:val="22"/>
                <w:szCs w:val="22"/>
                <w:lang w:val="sr-Latn-ME"/>
              </w:rPr>
            </w:pPr>
            <w:r w:rsidRPr="00246D8C">
              <w:rPr>
                <w:sz w:val="22"/>
                <w:szCs w:val="22"/>
                <w:lang w:val="sr-Latn-ME"/>
              </w:rPr>
              <w:t>Često</w:t>
            </w:r>
          </w:p>
        </w:tc>
      </w:tr>
      <w:tr w:rsidR="003D48C9" w:rsidRPr="00246D8C" w14:paraId="41538901" w14:textId="77777777" w:rsidTr="003E0023">
        <w:tc>
          <w:tcPr>
            <w:tcW w:w="1659" w:type="dxa"/>
          </w:tcPr>
          <w:p w14:paraId="5EB87930" w14:textId="77777777" w:rsidR="001753B1" w:rsidRPr="00246D8C" w:rsidRDefault="001753B1" w:rsidP="006A7219">
            <w:pPr>
              <w:tabs>
                <w:tab w:val="left" w:pos="284"/>
              </w:tabs>
              <w:jc w:val="both"/>
              <w:rPr>
                <w:sz w:val="22"/>
                <w:szCs w:val="22"/>
                <w:lang w:val="sr-Latn-ME"/>
              </w:rPr>
            </w:pPr>
            <w:r w:rsidRPr="00246D8C">
              <w:rPr>
                <w:sz w:val="22"/>
                <w:szCs w:val="22"/>
                <w:lang w:val="sr-Latn-ME"/>
              </w:rPr>
              <w:t>Glavobolja</w:t>
            </w:r>
          </w:p>
        </w:tc>
        <w:tc>
          <w:tcPr>
            <w:tcW w:w="1659" w:type="dxa"/>
          </w:tcPr>
          <w:p w14:paraId="660E0811" w14:textId="77777777" w:rsidR="001753B1" w:rsidRPr="00246D8C" w:rsidRDefault="001753B1" w:rsidP="003C0336">
            <w:pPr>
              <w:tabs>
                <w:tab w:val="left" w:pos="284"/>
              </w:tabs>
              <w:jc w:val="both"/>
              <w:rPr>
                <w:sz w:val="22"/>
                <w:szCs w:val="22"/>
                <w:lang w:val="sr-Latn-ME"/>
              </w:rPr>
            </w:pPr>
            <w:r w:rsidRPr="00246D8C">
              <w:rPr>
                <w:sz w:val="22"/>
                <w:szCs w:val="22"/>
                <w:lang w:val="sr-Latn-ME"/>
              </w:rPr>
              <w:t>Često</w:t>
            </w:r>
          </w:p>
        </w:tc>
        <w:tc>
          <w:tcPr>
            <w:tcW w:w="1659" w:type="dxa"/>
          </w:tcPr>
          <w:p w14:paraId="43586804" w14:textId="77777777" w:rsidR="001753B1" w:rsidRPr="00246D8C" w:rsidRDefault="001753B1" w:rsidP="00AE24EE">
            <w:pPr>
              <w:tabs>
                <w:tab w:val="left" w:pos="284"/>
              </w:tabs>
              <w:jc w:val="both"/>
              <w:rPr>
                <w:sz w:val="22"/>
                <w:szCs w:val="22"/>
                <w:lang w:val="sr-Latn-ME"/>
              </w:rPr>
            </w:pPr>
            <w:r w:rsidRPr="00246D8C">
              <w:rPr>
                <w:sz w:val="22"/>
                <w:szCs w:val="22"/>
                <w:lang w:val="sr-Latn-ME"/>
              </w:rPr>
              <w:t>Često</w:t>
            </w:r>
          </w:p>
        </w:tc>
        <w:tc>
          <w:tcPr>
            <w:tcW w:w="1660" w:type="dxa"/>
          </w:tcPr>
          <w:p w14:paraId="319B3440" w14:textId="77777777" w:rsidR="001753B1" w:rsidRPr="00246D8C" w:rsidRDefault="001753B1">
            <w:pPr>
              <w:tabs>
                <w:tab w:val="left" w:pos="284"/>
              </w:tabs>
              <w:jc w:val="both"/>
              <w:rPr>
                <w:sz w:val="22"/>
                <w:szCs w:val="22"/>
                <w:lang w:val="sr-Latn-ME"/>
              </w:rPr>
            </w:pPr>
            <w:r w:rsidRPr="00246D8C">
              <w:rPr>
                <w:sz w:val="22"/>
                <w:szCs w:val="22"/>
                <w:lang w:val="sr-Latn-ME"/>
              </w:rPr>
              <w:t>Često</w:t>
            </w:r>
          </w:p>
        </w:tc>
        <w:tc>
          <w:tcPr>
            <w:tcW w:w="1660" w:type="dxa"/>
          </w:tcPr>
          <w:p w14:paraId="2A304A14" w14:textId="77777777" w:rsidR="001753B1" w:rsidRPr="00246D8C" w:rsidRDefault="001753B1">
            <w:pPr>
              <w:tabs>
                <w:tab w:val="left" w:pos="284"/>
              </w:tabs>
              <w:jc w:val="both"/>
              <w:rPr>
                <w:sz w:val="22"/>
                <w:szCs w:val="22"/>
                <w:lang w:val="sr-Latn-ME"/>
              </w:rPr>
            </w:pPr>
            <w:r w:rsidRPr="00246D8C">
              <w:rPr>
                <w:sz w:val="22"/>
                <w:szCs w:val="22"/>
                <w:lang w:val="sr-Latn-ME"/>
              </w:rPr>
              <w:t>Često</w:t>
            </w:r>
          </w:p>
        </w:tc>
        <w:tc>
          <w:tcPr>
            <w:tcW w:w="1660" w:type="dxa"/>
          </w:tcPr>
          <w:p w14:paraId="1996980A" w14:textId="77777777" w:rsidR="001753B1" w:rsidRPr="00246D8C" w:rsidRDefault="001753B1">
            <w:pPr>
              <w:tabs>
                <w:tab w:val="left" w:pos="284"/>
              </w:tabs>
              <w:jc w:val="both"/>
              <w:rPr>
                <w:sz w:val="22"/>
                <w:szCs w:val="22"/>
                <w:lang w:val="sr-Latn-ME"/>
              </w:rPr>
            </w:pPr>
          </w:p>
        </w:tc>
      </w:tr>
      <w:tr w:rsidR="003D48C9" w:rsidRPr="00246D8C" w14:paraId="7B46FEE3" w14:textId="77777777" w:rsidTr="003E0023">
        <w:tc>
          <w:tcPr>
            <w:tcW w:w="1659" w:type="dxa"/>
          </w:tcPr>
          <w:p w14:paraId="3CBBCF3E" w14:textId="77777777" w:rsidR="001753B1" w:rsidRPr="00246D8C" w:rsidRDefault="001753B1" w:rsidP="006A7219">
            <w:pPr>
              <w:tabs>
                <w:tab w:val="left" w:pos="284"/>
              </w:tabs>
              <w:jc w:val="both"/>
              <w:rPr>
                <w:sz w:val="22"/>
                <w:szCs w:val="22"/>
                <w:lang w:val="sr-Latn-ME"/>
              </w:rPr>
            </w:pPr>
            <w:r w:rsidRPr="00246D8C">
              <w:rPr>
                <w:b/>
                <w:bCs/>
                <w:sz w:val="22"/>
                <w:szCs w:val="22"/>
                <w:lang w:val="sr-Latn-ME"/>
              </w:rPr>
              <w:t>Poremećaji reproduktivnog sistema i dojki</w:t>
            </w:r>
          </w:p>
        </w:tc>
        <w:tc>
          <w:tcPr>
            <w:tcW w:w="1659" w:type="dxa"/>
          </w:tcPr>
          <w:p w14:paraId="0C0A5C3C" w14:textId="77777777" w:rsidR="001753B1" w:rsidRPr="00246D8C" w:rsidRDefault="001753B1" w:rsidP="003C0336">
            <w:pPr>
              <w:tabs>
                <w:tab w:val="left" w:pos="284"/>
              </w:tabs>
              <w:jc w:val="both"/>
              <w:rPr>
                <w:sz w:val="22"/>
                <w:szCs w:val="22"/>
                <w:lang w:val="sr-Latn-ME"/>
              </w:rPr>
            </w:pPr>
          </w:p>
        </w:tc>
        <w:tc>
          <w:tcPr>
            <w:tcW w:w="1659" w:type="dxa"/>
          </w:tcPr>
          <w:p w14:paraId="0481340E" w14:textId="77777777" w:rsidR="001753B1" w:rsidRPr="00246D8C" w:rsidRDefault="001753B1" w:rsidP="00AE24EE">
            <w:pPr>
              <w:tabs>
                <w:tab w:val="left" w:pos="284"/>
              </w:tabs>
              <w:jc w:val="both"/>
              <w:rPr>
                <w:sz w:val="22"/>
                <w:szCs w:val="22"/>
                <w:lang w:val="sr-Latn-ME"/>
              </w:rPr>
            </w:pPr>
          </w:p>
        </w:tc>
        <w:tc>
          <w:tcPr>
            <w:tcW w:w="1660" w:type="dxa"/>
          </w:tcPr>
          <w:p w14:paraId="6BB6B0C9" w14:textId="77777777" w:rsidR="001753B1" w:rsidRPr="00246D8C" w:rsidRDefault="001753B1">
            <w:pPr>
              <w:tabs>
                <w:tab w:val="left" w:pos="284"/>
              </w:tabs>
              <w:jc w:val="both"/>
              <w:rPr>
                <w:sz w:val="22"/>
                <w:szCs w:val="22"/>
                <w:lang w:val="sr-Latn-ME"/>
              </w:rPr>
            </w:pPr>
          </w:p>
        </w:tc>
        <w:tc>
          <w:tcPr>
            <w:tcW w:w="1660" w:type="dxa"/>
          </w:tcPr>
          <w:p w14:paraId="5AA8F598" w14:textId="77777777" w:rsidR="001753B1" w:rsidRPr="00246D8C" w:rsidRDefault="001753B1">
            <w:pPr>
              <w:tabs>
                <w:tab w:val="left" w:pos="284"/>
              </w:tabs>
              <w:jc w:val="both"/>
              <w:rPr>
                <w:sz w:val="22"/>
                <w:szCs w:val="22"/>
                <w:lang w:val="sr-Latn-ME"/>
              </w:rPr>
            </w:pPr>
          </w:p>
        </w:tc>
        <w:tc>
          <w:tcPr>
            <w:tcW w:w="1660" w:type="dxa"/>
          </w:tcPr>
          <w:p w14:paraId="1EE2BBB0" w14:textId="77777777" w:rsidR="001753B1" w:rsidRPr="00246D8C" w:rsidRDefault="001753B1">
            <w:pPr>
              <w:tabs>
                <w:tab w:val="left" w:pos="284"/>
              </w:tabs>
              <w:jc w:val="both"/>
              <w:rPr>
                <w:sz w:val="22"/>
                <w:szCs w:val="22"/>
                <w:lang w:val="sr-Latn-ME"/>
              </w:rPr>
            </w:pPr>
          </w:p>
        </w:tc>
      </w:tr>
      <w:tr w:rsidR="003D48C9" w:rsidRPr="00246D8C" w14:paraId="16A87F61" w14:textId="77777777" w:rsidTr="003E0023">
        <w:tc>
          <w:tcPr>
            <w:tcW w:w="1659" w:type="dxa"/>
          </w:tcPr>
          <w:p w14:paraId="6DAD5441" w14:textId="77777777" w:rsidR="001753B1" w:rsidRPr="00246D8C" w:rsidRDefault="001753B1" w:rsidP="006A7219">
            <w:pPr>
              <w:tabs>
                <w:tab w:val="left" w:pos="284"/>
              </w:tabs>
              <w:jc w:val="both"/>
              <w:rPr>
                <w:sz w:val="22"/>
                <w:szCs w:val="22"/>
                <w:lang w:val="sr-Latn-ME"/>
              </w:rPr>
            </w:pPr>
            <w:r w:rsidRPr="00246D8C">
              <w:rPr>
                <w:sz w:val="22"/>
                <w:szCs w:val="22"/>
                <w:lang w:val="sr-Latn-ME"/>
              </w:rPr>
              <w:t>Erektilna disfunkcija</w:t>
            </w:r>
          </w:p>
        </w:tc>
        <w:tc>
          <w:tcPr>
            <w:tcW w:w="1659" w:type="dxa"/>
          </w:tcPr>
          <w:p w14:paraId="2D864351" w14:textId="77777777" w:rsidR="001753B1" w:rsidRPr="00246D8C" w:rsidRDefault="001753B1" w:rsidP="003C0336">
            <w:pPr>
              <w:tabs>
                <w:tab w:val="left" w:pos="284"/>
              </w:tabs>
              <w:jc w:val="both"/>
              <w:rPr>
                <w:sz w:val="22"/>
                <w:szCs w:val="22"/>
                <w:lang w:val="sr-Latn-ME"/>
              </w:rPr>
            </w:pPr>
          </w:p>
        </w:tc>
        <w:tc>
          <w:tcPr>
            <w:tcW w:w="1659" w:type="dxa"/>
          </w:tcPr>
          <w:p w14:paraId="12D13E17" w14:textId="77777777" w:rsidR="001753B1" w:rsidRPr="00246D8C" w:rsidRDefault="001753B1" w:rsidP="00AE24EE">
            <w:pPr>
              <w:tabs>
                <w:tab w:val="left" w:pos="284"/>
              </w:tabs>
              <w:jc w:val="both"/>
              <w:rPr>
                <w:sz w:val="22"/>
                <w:szCs w:val="22"/>
                <w:lang w:val="sr-Latn-ME"/>
              </w:rPr>
            </w:pPr>
            <w:r w:rsidRPr="00246D8C">
              <w:rPr>
                <w:sz w:val="22"/>
                <w:szCs w:val="22"/>
                <w:lang w:val="sr-Latn-ME"/>
              </w:rPr>
              <w:t>Povremeno</w:t>
            </w:r>
          </w:p>
        </w:tc>
        <w:tc>
          <w:tcPr>
            <w:tcW w:w="1660" w:type="dxa"/>
          </w:tcPr>
          <w:p w14:paraId="0047ACA9" w14:textId="77777777" w:rsidR="001753B1" w:rsidRPr="00246D8C" w:rsidRDefault="001753B1">
            <w:pPr>
              <w:tabs>
                <w:tab w:val="left" w:pos="284"/>
              </w:tabs>
              <w:jc w:val="both"/>
              <w:rPr>
                <w:sz w:val="22"/>
                <w:szCs w:val="22"/>
                <w:lang w:val="sr-Latn-ME"/>
              </w:rPr>
            </w:pPr>
          </w:p>
        </w:tc>
        <w:tc>
          <w:tcPr>
            <w:tcW w:w="1660" w:type="dxa"/>
          </w:tcPr>
          <w:p w14:paraId="58B77AA1" w14:textId="77777777" w:rsidR="001753B1" w:rsidRPr="00246D8C" w:rsidRDefault="001753B1">
            <w:pPr>
              <w:tabs>
                <w:tab w:val="left" w:pos="284"/>
              </w:tabs>
              <w:jc w:val="both"/>
              <w:rPr>
                <w:sz w:val="22"/>
                <w:szCs w:val="22"/>
                <w:lang w:val="sr-Latn-ME"/>
              </w:rPr>
            </w:pPr>
          </w:p>
        </w:tc>
        <w:tc>
          <w:tcPr>
            <w:tcW w:w="1660" w:type="dxa"/>
          </w:tcPr>
          <w:p w14:paraId="11E844EA" w14:textId="77777777" w:rsidR="001753B1" w:rsidRPr="00246D8C" w:rsidRDefault="001753B1">
            <w:pPr>
              <w:tabs>
                <w:tab w:val="left" w:pos="284"/>
              </w:tabs>
              <w:jc w:val="both"/>
              <w:rPr>
                <w:sz w:val="22"/>
                <w:szCs w:val="22"/>
                <w:lang w:val="sr-Latn-ME"/>
              </w:rPr>
            </w:pPr>
          </w:p>
        </w:tc>
      </w:tr>
      <w:tr w:rsidR="003D48C9" w:rsidRPr="00246D8C" w14:paraId="46927894" w14:textId="77777777" w:rsidTr="003E0023">
        <w:tc>
          <w:tcPr>
            <w:tcW w:w="1659" w:type="dxa"/>
          </w:tcPr>
          <w:p w14:paraId="592B72D2" w14:textId="77777777" w:rsidR="001753B1" w:rsidRPr="00246D8C" w:rsidRDefault="001753B1" w:rsidP="006A7219">
            <w:pPr>
              <w:tabs>
                <w:tab w:val="left" w:pos="284"/>
              </w:tabs>
              <w:jc w:val="both"/>
              <w:rPr>
                <w:sz w:val="22"/>
                <w:szCs w:val="22"/>
                <w:lang w:val="sr-Latn-ME"/>
              </w:rPr>
            </w:pPr>
            <w:r w:rsidRPr="00246D8C">
              <w:rPr>
                <w:b/>
                <w:bCs/>
                <w:sz w:val="22"/>
                <w:szCs w:val="22"/>
                <w:lang w:val="sr-Latn-ME"/>
              </w:rPr>
              <w:t>Poremećaji kože i potkožnog tkiva</w:t>
            </w:r>
          </w:p>
        </w:tc>
        <w:tc>
          <w:tcPr>
            <w:tcW w:w="1659" w:type="dxa"/>
          </w:tcPr>
          <w:p w14:paraId="72E0C02C" w14:textId="77777777" w:rsidR="001753B1" w:rsidRPr="00246D8C" w:rsidRDefault="001753B1" w:rsidP="003C0336">
            <w:pPr>
              <w:tabs>
                <w:tab w:val="left" w:pos="284"/>
              </w:tabs>
              <w:jc w:val="both"/>
              <w:rPr>
                <w:sz w:val="22"/>
                <w:szCs w:val="22"/>
                <w:lang w:val="sr-Latn-ME"/>
              </w:rPr>
            </w:pPr>
          </w:p>
        </w:tc>
        <w:tc>
          <w:tcPr>
            <w:tcW w:w="1659" w:type="dxa"/>
          </w:tcPr>
          <w:p w14:paraId="333948AD" w14:textId="77777777" w:rsidR="001753B1" w:rsidRPr="00246D8C" w:rsidRDefault="001753B1" w:rsidP="00AE24EE">
            <w:pPr>
              <w:tabs>
                <w:tab w:val="left" w:pos="284"/>
              </w:tabs>
              <w:jc w:val="both"/>
              <w:rPr>
                <w:sz w:val="22"/>
                <w:szCs w:val="22"/>
                <w:lang w:val="sr-Latn-ME"/>
              </w:rPr>
            </w:pPr>
          </w:p>
        </w:tc>
        <w:tc>
          <w:tcPr>
            <w:tcW w:w="1660" w:type="dxa"/>
          </w:tcPr>
          <w:p w14:paraId="37A5F5E1" w14:textId="77777777" w:rsidR="001753B1" w:rsidRPr="00246D8C" w:rsidRDefault="001753B1">
            <w:pPr>
              <w:tabs>
                <w:tab w:val="left" w:pos="284"/>
              </w:tabs>
              <w:jc w:val="both"/>
              <w:rPr>
                <w:sz w:val="22"/>
                <w:szCs w:val="22"/>
                <w:lang w:val="sr-Latn-ME"/>
              </w:rPr>
            </w:pPr>
          </w:p>
        </w:tc>
        <w:tc>
          <w:tcPr>
            <w:tcW w:w="1660" w:type="dxa"/>
          </w:tcPr>
          <w:p w14:paraId="74D69B31" w14:textId="77777777" w:rsidR="001753B1" w:rsidRPr="00246D8C" w:rsidRDefault="001753B1">
            <w:pPr>
              <w:tabs>
                <w:tab w:val="left" w:pos="284"/>
              </w:tabs>
              <w:jc w:val="both"/>
              <w:rPr>
                <w:sz w:val="22"/>
                <w:szCs w:val="22"/>
                <w:lang w:val="sr-Latn-ME"/>
              </w:rPr>
            </w:pPr>
          </w:p>
        </w:tc>
        <w:tc>
          <w:tcPr>
            <w:tcW w:w="1660" w:type="dxa"/>
          </w:tcPr>
          <w:p w14:paraId="680C9A90" w14:textId="77777777" w:rsidR="001753B1" w:rsidRPr="00246D8C" w:rsidRDefault="001753B1">
            <w:pPr>
              <w:tabs>
                <w:tab w:val="left" w:pos="284"/>
              </w:tabs>
              <w:jc w:val="both"/>
              <w:rPr>
                <w:sz w:val="22"/>
                <w:szCs w:val="22"/>
                <w:lang w:val="sr-Latn-ME"/>
              </w:rPr>
            </w:pPr>
          </w:p>
        </w:tc>
      </w:tr>
      <w:tr w:rsidR="003D48C9" w:rsidRPr="00246D8C" w14:paraId="3EB525E8" w14:textId="77777777" w:rsidTr="003E0023">
        <w:tc>
          <w:tcPr>
            <w:tcW w:w="1659" w:type="dxa"/>
          </w:tcPr>
          <w:p w14:paraId="7C289FAD" w14:textId="77777777" w:rsidR="001753B1" w:rsidRPr="00246D8C" w:rsidRDefault="001753B1" w:rsidP="006A7219">
            <w:pPr>
              <w:tabs>
                <w:tab w:val="left" w:pos="284"/>
              </w:tabs>
              <w:jc w:val="both"/>
              <w:rPr>
                <w:sz w:val="22"/>
                <w:szCs w:val="22"/>
                <w:lang w:val="sr-Latn-ME"/>
              </w:rPr>
            </w:pPr>
            <w:r w:rsidRPr="00246D8C">
              <w:rPr>
                <w:sz w:val="22"/>
                <w:szCs w:val="22"/>
                <w:lang w:val="sr-Latn-ME"/>
              </w:rPr>
              <w:t>Raš†</w:t>
            </w:r>
          </w:p>
        </w:tc>
        <w:tc>
          <w:tcPr>
            <w:tcW w:w="1659" w:type="dxa"/>
          </w:tcPr>
          <w:p w14:paraId="3D82AEDA" w14:textId="581FC88E" w:rsidR="001753B1" w:rsidRPr="00246D8C" w:rsidRDefault="004378CF" w:rsidP="00F07D95">
            <w:pPr>
              <w:tabs>
                <w:tab w:val="left" w:pos="284"/>
              </w:tabs>
              <w:jc w:val="both"/>
              <w:rPr>
                <w:sz w:val="22"/>
                <w:szCs w:val="22"/>
                <w:lang w:val="sr-Latn-ME"/>
              </w:rPr>
            </w:pPr>
            <w:r w:rsidRPr="00246D8C">
              <w:rPr>
                <w:sz w:val="22"/>
                <w:szCs w:val="22"/>
                <w:lang w:val="sr-Latn-ME"/>
              </w:rPr>
              <w:t>Često</w:t>
            </w:r>
          </w:p>
        </w:tc>
        <w:tc>
          <w:tcPr>
            <w:tcW w:w="1659" w:type="dxa"/>
          </w:tcPr>
          <w:p w14:paraId="597AB68A" w14:textId="565DCE85" w:rsidR="001753B1" w:rsidRPr="00246D8C" w:rsidRDefault="004378CF" w:rsidP="00F07D95">
            <w:pPr>
              <w:tabs>
                <w:tab w:val="left" w:pos="284"/>
              </w:tabs>
              <w:jc w:val="both"/>
              <w:rPr>
                <w:sz w:val="22"/>
                <w:szCs w:val="22"/>
                <w:lang w:val="sr-Latn-ME"/>
              </w:rPr>
            </w:pPr>
            <w:r w:rsidRPr="00246D8C">
              <w:rPr>
                <w:sz w:val="22"/>
                <w:szCs w:val="22"/>
                <w:lang w:val="sr-Latn-ME"/>
              </w:rPr>
              <w:t>Često</w:t>
            </w:r>
          </w:p>
        </w:tc>
        <w:tc>
          <w:tcPr>
            <w:tcW w:w="1660" w:type="dxa"/>
          </w:tcPr>
          <w:p w14:paraId="53B9A1B3" w14:textId="67C8A379" w:rsidR="001753B1" w:rsidRPr="00246D8C" w:rsidRDefault="004378CF" w:rsidP="003C0336">
            <w:pPr>
              <w:tabs>
                <w:tab w:val="left" w:pos="284"/>
              </w:tabs>
              <w:jc w:val="both"/>
              <w:rPr>
                <w:sz w:val="22"/>
                <w:szCs w:val="22"/>
                <w:lang w:val="sr-Latn-ME"/>
              </w:rPr>
            </w:pPr>
            <w:r w:rsidRPr="00246D8C">
              <w:rPr>
                <w:sz w:val="22"/>
                <w:szCs w:val="22"/>
                <w:lang w:val="sr-Latn-ME"/>
              </w:rPr>
              <w:t>Često</w:t>
            </w:r>
          </w:p>
        </w:tc>
        <w:tc>
          <w:tcPr>
            <w:tcW w:w="1660" w:type="dxa"/>
          </w:tcPr>
          <w:p w14:paraId="137D3A81" w14:textId="77777777" w:rsidR="001753B1" w:rsidRPr="00246D8C" w:rsidRDefault="001753B1" w:rsidP="00AE24EE">
            <w:pPr>
              <w:tabs>
                <w:tab w:val="left" w:pos="284"/>
              </w:tabs>
              <w:jc w:val="both"/>
              <w:rPr>
                <w:sz w:val="22"/>
                <w:szCs w:val="22"/>
                <w:lang w:val="sr-Latn-ME"/>
              </w:rPr>
            </w:pPr>
          </w:p>
        </w:tc>
        <w:tc>
          <w:tcPr>
            <w:tcW w:w="1660" w:type="dxa"/>
          </w:tcPr>
          <w:p w14:paraId="463A1E9C" w14:textId="77777777" w:rsidR="001753B1" w:rsidRPr="00246D8C" w:rsidRDefault="001753B1">
            <w:pPr>
              <w:tabs>
                <w:tab w:val="left" w:pos="284"/>
              </w:tabs>
              <w:jc w:val="both"/>
              <w:rPr>
                <w:sz w:val="22"/>
                <w:szCs w:val="22"/>
                <w:lang w:val="sr-Latn-ME"/>
              </w:rPr>
            </w:pPr>
          </w:p>
        </w:tc>
      </w:tr>
      <w:tr w:rsidR="003D48C9" w:rsidRPr="00246D8C" w14:paraId="2B035182" w14:textId="77777777" w:rsidTr="003E0023">
        <w:tc>
          <w:tcPr>
            <w:tcW w:w="1659" w:type="dxa"/>
          </w:tcPr>
          <w:p w14:paraId="467C09F3" w14:textId="77777777" w:rsidR="001753B1" w:rsidRPr="00246D8C" w:rsidRDefault="001753B1" w:rsidP="006A7219">
            <w:pPr>
              <w:tabs>
                <w:tab w:val="left" w:pos="284"/>
              </w:tabs>
              <w:jc w:val="both"/>
              <w:rPr>
                <w:sz w:val="22"/>
                <w:szCs w:val="22"/>
                <w:lang w:val="sr-Latn-ME"/>
              </w:rPr>
            </w:pPr>
            <w:r w:rsidRPr="00246D8C">
              <w:rPr>
                <w:sz w:val="22"/>
                <w:szCs w:val="22"/>
                <w:lang w:val="sr-Latn-ME"/>
              </w:rPr>
              <w:t>Dermatitis†</w:t>
            </w:r>
          </w:p>
        </w:tc>
        <w:tc>
          <w:tcPr>
            <w:tcW w:w="1659" w:type="dxa"/>
          </w:tcPr>
          <w:p w14:paraId="1F9692DC" w14:textId="77777777" w:rsidR="001753B1" w:rsidRPr="00246D8C" w:rsidRDefault="001753B1" w:rsidP="003C0336">
            <w:pPr>
              <w:tabs>
                <w:tab w:val="left" w:pos="284"/>
              </w:tabs>
              <w:jc w:val="both"/>
              <w:rPr>
                <w:sz w:val="22"/>
                <w:szCs w:val="22"/>
                <w:lang w:val="sr-Latn-ME"/>
              </w:rPr>
            </w:pPr>
            <w:r w:rsidRPr="00246D8C">
              <w:rPr>
                <w:sz w:val="22"/>
                <w:szCs w:val="22"/>
                <w:lang w:val="sr-Latn-ME"/>
              </w:rPr>
              <w:t>Povremeno</w:t>
            </w:r>
          </w:p>
        </w:tc>
        <w:tc>
          <w:tcPr>
            <w:tcW w:w="1659" w:type="dxa"/>
          </w:tcPr>
          <w:p w14:paraId="6E8CC4C1" w14:textId="77777777" w:rsidR="001753B1" w:rsidRPr="00246D8C" w:rsidRDefault="001753B1" w:rsidP="00AE24EE">
            <w:pPr>
              <w:tabs>
                <w:tab w:val="left" w:pos="284"/>
              </w:tabs>
              <w:jc w:val="both"/>
              <w:rPr>
                <w:sz w:val="22"/>
                <w:szCs w:val="22"/>
                <w:lang w:val="sr-Latn-ME"/>
              </w:rPr>
            </w:pPr>
            <w:r w:rsidRPr="00246D8C">
              <w:rPr>
                <w:sz w:val="22"/>
                <w:szCs w:val="22"/>
                <w:lang w:val="sr-Latn-ME"/>
              </w:rPr>
              <w:t>Povremeno</w:t>
            </w:r>
          </w:p>
        </w:tc>
        <w:tc>
          <w:tcPr>
            <w:tcW w:w="1660" w:type="dxa"/>
          </w:tcPr>
          <w:p w14:paraId="29652137" w14:textId="77777777" w:rsidR="001753B1" w:rsidRPr="00246D8C" w:rsidRDefault="001753B1">
            <w:pPr>
              <w:tabs>
                <w:tab w:val="left" w:pos="284"/>
              </w:tabs>
              <w:jc w:val="both"/>
              <w:rPr>
                <w:sz w:val="22"/>
                <w:szCs w:val="22"/>
                <w:lang w:val="sr-Latn-ME"/>
              </w:rPr>
            </w:pPr>
            <w:r w:rsidRPr="00246D8C">
              <w:rPr>
                <w:sz w:val="22"/>
                <w:szCs w:val="22"/>
                <w:lang w:val="sr-Latn-ME"/>
              </w:rPr>
              <w:t>Povremeno</w:t>
            </w:r>
          </w:p>
        </w:tc>
        <w:tc>
          <w:tcPr>
            <w:tcW w:w="1660" w:type="dxa"/>
          </w:tcPr>
          <w:p w14:paraId="27B8139F" w14:textId="77777777" w:rsidR="001753B1" w:rsidRPr="00246D8C" w:rsidRDefault="001753B1">
            <w:pPr>
              <w:tabs>
                <w:tab w:val="left" w:pos="284"/>
              </w:tabs>
              <w:jc w:val="both"/>
              <w:rPr>
                <w:sz w:val="22"/>
                <w:szCs w:val="22"/>
                <w:lang w:val="sr-Latn-ME"/>
              </w:rPr>
            </w:pPr>
            <w:r w:rsidRPr="00246D8C">
              <w:rPr>
                <w:sz w:val="22"/>
                <w:szCs w:val="22"/>
                <w:lang w:val="sr-Latn-ME"/>
              </w:rPr>
              <w:t>Povremeno</w:t>
            </w:r>
          </w:p>
        </w:tc>
        <w:tc>
          <w:tcPr>
            <w:tcW w:w="1660" w:type="dxa"/>
          </w:tcPr>
          <w:p w14:paraId="5BD59007" w14:textId="77777777" w:rsidR="001753B1" w:rsidRPr="00246D8C" w:rsidRDefault="001753B1">
            <w:pPr>
              <w:tabs>
                <w:tab w:val="left" w:pos="284"/>
              </w:tabs>
              <w:jc w:val="both"/>
              <w:rPr>
                <w:sz w:val="22"/>
                <w:szCs w:val="22"/>
                <w:lang w:val="sr-Latn-ME"/>
              </w:rPr>
            </w:pPr>
          </w:p>
        </w:tc>
      </w:tr>
      <w:tr w:rsidR="003D48C9" w:rsidRPr="00246D8C" w14:paraId="6626679B" w14:textId="77777777" w:rsidTr="003E0023">
        <w:tc>
          <w:tcPr>
            <w:tcW w:w="1659" w:type="dxa"/>
          </w:tcPr>
          <w:p w14:paraId="395AB075" w14:textId="77777777" w:rsidR="001753B1" w:rsidRPr="00246D8C" w:rsidRDefault="001753B1" w:rsidP="006A7219">
            <w:pPr>
              <w:tabs>
                <w:tab w:val="left" w:pos="284"/>
              </w:tabs>
              <w:jc w:val="both"/>
              <w:rPr>
                <w:sz w:val="22"/>
                <w:szCs w:val="22"/>
                <w:lang w:val="sr-Latn-ME"/>
              </w:rPr>
            </w:pPr>
            <w:r w:rsidRPr="00246D8C">
              <w:rPr>
                <w:sz w:val="22"/>
                <w:szCs w:val="22"/>
                <w:lang w:val="sr-Latn-ME"/>
              </w:rPr>
              <w:t>Pruritis†</w:t>
            </w:r>
          </w:p>
        </w:tc>
        <w:tc>
          <w:tcPr>
            <w:tcW w:w="1659" w:type="dxa"/>
          </w:tcPr>
          <w:p w14:paraId="6730563D" w14:textId="77777777" w:rsidR="001753B1" w:rsidRPr="00246D8C" w:rsidRDefault="001753B1" w:rsidP="003C0336">
            <w:pPr>
              <w:tabs>
                <w:tab w:val="left" w:pos="284"/>
              </w:tabs>
              <w:jc w:val="both"/>
              <w:rPr>
                <w:sz w:val="22"/>
                <w:szCs w:val="22"/>
                <w:lang w:val="sr-Latn-ME"/>
              </w:rPr>
            </w:pPr>
            <w:r w:rsidRPr="00246D8C">
              <w:rPr>
                <w:sz w:val="22"/>
                <w:szCs w:val="22"/>
                <w:lang w:val="sr-Latn-ME"/>
              </w:rPr>
              <w:t>Povremeno</w:t>
            </w:r>
          </w:p>
        </w:tc>
        <w:tc>
          <w:tcPr>
            <w:tcW w:w="1659" w:type="dxa"/>
          </w:tcPr>
          <w:p w14:paraId="446944EA" w14:textId="77777777" w:rsidR="001753B1" w:rsidRPr="00246D8C" w:rsidRDefault="001753B1" w:rsidP="00AE24EE">
            <w:pPr>
              <w:tabs>
                <w:tab w:val="left" w:pos="284"/>
              </w:tabs>
              <w:jc w:val="both"/>
              <w:rPr>
                <w:sz w:val="22"/>
                <w:szCs w:val="22"/>
                <w:lang w:val="sr-Latn-ME"/>
              </w:rPr>
            </w:pPr>
            <w:r w:rsidRPr="00246D8C">
              <w:rPr>
                <w:sz w:val="22"/>
                <w:szCs w:val="22"/>
                <w:lang w:val="sr-Latn-ME"/>
              </w:rPr>
              <w:t>Povremeno</w:t>
            </w:r>
          </w:p>
        </w:tc>
        <w:tc>
          <w:tcPr>
            <w:tcW w:w="1660" w:type="dxa"/>
          </w:tcPr>
          <w:p w14:paraId="1585AE49" w14:textId="77777777" w:rsidR="001753B1" w:rsidRPr="00246D8C" w:rsidRDefault="001753B1">
            <w:pPr>
              <w:tabs>
                <w:tab w:val="left" w:pos="284"/>
              </w:tabs>
              <w:jc w:val="both"/>
              <w:rPr>
                <w:sz w:val="22"/>
                <w:szCs w:val="22"/>
                <w:lang w:val="sr-Latn-ME"/>
              </w:rPr>
            </w:pPr>
            <w:r w:rsidRPr="00246D8C">
              <w:rPr>
                <w:sz w:val="22"/>
                <w:szCs w:val="22"/>
                <w:lang w:val="sr-Latn-ME"/>
              </w:rPr>
              <w:t>Povremeno</w:t>
            </w:r>
          </w:p>
        </w:tc>
        <w:tc>
          <w:tcPr>
            <w:tcW w:w="1660" w:type="dxa"/>
          </w:tcPr>
          <w:p w14:paraId="447BE1DD" w14:textId="77777777" w:rsidR="001753B1" w:rsidRPr="00246D8C" w:rsidRDefault="001753B1">
            <w:pPr>
              <w:tabs>
                <w:tab w:val="left" w:pos="284"/>
              </w:tabs>
              <w:jc w:val="both"/>
              <w:rPr>
                <w:sz w:val="22"/>
                <w:szCs w:val="22"/>
                <w:lang w:val="sr-Latn-ME"/>
              </w:rPr>
            </w:pPr>
            <w:r w:rsidRPr="00246D8C">
              <w:rPr>
                <w:sz w:val="22"/>
                <w:szCs w:val="22"/>
                <w:lang w:val="sr-Latn-ME"/>
              </w:rPr>
              <w:t>Povremeno</w:t>
            </w:r>
          </w:p>
        </w:tc>
        <w:tc>
          <w:tcPr>
            <w:tcW w:w="1660" w:type="dxa"/>
          </w:tcPr>
          <w:p w14:paraId="5F94AFBA" w14:textId="77777777" w:rsidR="001753B1" w:rsidRPr="00246D8C" w:rsidRDefault="001753B1">
            <w:pPr>
              <w:tabs>
                <w:tab w:val="left" w:pos="284"/>
              </w:tabs>
              <w:jc w:val="both"/>
              <w:rPr>
                <w:sz w:val="22"/>
                <w:szCs w:val="22"/>
                <w:lang w:val="sr-Latn-ME"/>
              </w:rPr>
            </w:pPr>
          </w:p>
        </w:tc>
      </w:tr>
      <w:tr w:rsidR="003D48C9" w:rsidRPr="00246D8C" w14:paraId="0165EBFB" w14:textId="77777777" w:rsidTr="003E0023">
        <w:tc>
          <w:tcPr>
            <w:tcW w:w="1659" w:type="dxa"/>
          </w:tcPr>
          <w:p w14:paraId="6A619ADE" w14:textId="77777777" w:rsidR="001753B1" w:rsidRPr="00246D8C" w:rsidRDefault="001753B1" w:rsidP="006A7219">
            <w:pPr>
              <w:tabs>
                <w:tab w:val="left" w:pos="284"/>
              </w:tabs>
              <w:jc w:val="both"/>
              <w:rPr>
                <w:sz w:val="22"/>
                <w:szCs w:val="22"/>
                <w:lang w:val="sr-Latn-ME"/>
              </w:rPr>
            </w:pPr>
            <w:r w:rsidRPr="00246D8C">
              <w:rPr>
                <w:sz w:val="22"/>
                <w:szCs w:val="22"/>
                <w:lang w:val="sr-Latn-ME"/>
              </w:rPr>
              <w:t>Urtikarija†</w:t>
            </w:r>
          </w:p>
        </w:tc>
        <w:tc>
          <w:tcPr>
            <w:tcW w:w="1659" w:type="dxa"/>
          </w:tcPr>
          <w:p w14:paraId="3D7F36A0" w14:textId="77777777" w:rsidR="001753B1" w:rsidRPr="00246D8C" w:rsidRDefault="001753B1" w:rsidP="003C0336">
            <w:pPr>
              <w:tabs>
                <w:tab w:val="left" w:pos="284"/>
              </w:tabs>
              <w:jc w:val="both"/>
              <w:rPr>
                <w:sz w:val="22"/>
                <w:szCs w:val="22"/>
                <w:lang w:val="sr-Latn-ME"/>
              </w:rPr>
            </w:pPr>
            <w:r w:rsidRPr="00246D8C">
              <w:rPr>
                <w:sz w:val="22"/>
                <w:szCs w:val="22"/>
                <w:lang w:val="sr-Latn-ME"/>
              </w:rPr>
              <w:t>Povremeno</w:t>
            </w:r>
          </w:p>
        </w:tc>
        <w:tc>
          <w:tcPr>
            <w:tcW w:w="1659" w:type="dxa"/>
          </w:tcPr>
          <w:p w14:paraId="545F7B41" w14:textId="77777777" w:rsidR="001753B1" w:rsidRPr="00246D8C" w:rsidRDefault="001753B1" w:rsidP="00AE24EE">
            <w:pPr>
              <w:tabs>
                <w:tab w:val="left" w:pos="284"/>
              </w:tabs>
              <w:jc w:val="both"/>
              <w:rPr>
                <w:sz w:val="22"/>
                <w:szCs w:val="22"/>
                <w:lang w:val="sr-Latn-ME"/>
              </w:rPr>
            </w:pPr>
            <w:r w:rsidRPr="00246D8C">
              <w:rPr>
                <w:sz w:val="22"/>
                <w:szCs w:val="22"/>
                <w:lang w:val="sr-Latn-ME"/>
              </w:rPr>
              <w:t>Povremeno</w:t>
            </w:r>
          </w:p>
        </w:tc>
        <w:tc>
          <w:tcPr>
            <w:tcW w:w="1660" w:type="dxa"/>
          </w:tcPr>
          <w:p w14:paraId="6E08525D" w14:textId="77777777" w:rsidR="001753B1" w:rsidRPr="00246D8C" w:rsidRDefault="001753B1">
            <w:pPr>
              <w:tabs>
                <w:tab w:val="left" w:pos="284"/>
              </w:tabs>
              <w:jc w:val="both"/>
              <w:rPr>
                <w:sz w:val="22"/>
                <w:szCs w:val="22"/>
                <w:lang w:val="sr-Latn-ME"/>
              </w:rPr>
            </w:pPr>
            <w:r w:rsidRPr="00246D8C">
              <w:rPr>
                <w:sz w:val="22"/>
                <w:szCs w:val="22"/>
                <w:lang w:val="sr-Latn-ME"/>
              </w:rPr>
              <w:t>Povremeno</w:t>
            </w:r>
          </w:p>
        </w:tc>
        <w:tc>
          <w:tcPr>
            <w:tcW w:w="1660" w:type="dxa"/>
          </w:tcPr>
          <w:p w14:paraId="504CAD40" w14:textId="77777777" w:rsidR="001753B1" w:rsidRPr="00246D8C" w:rsidRDefault="001753B1">
            <w:pPr>
              <w:tabs>
                <w:tab w:val="left" w:pos="284"/>
              </w:tabs>
              <w:jc w:val="both"/>
              <w:rPr>
                <w:sz w:val="22"/>
                <w:szCs w:val="22"/>
                <w:lang w:val="sr-Latn-ME"/>
              </w:rPr>
            </w:pPr>
            <w:r w:rsidRPr="00246D8C">
              <w:rPr>
                <w:sz w:val="22"/>
                <w:szCs w:val="22"/>
                <w:lang w:val="sr-Latn-ME"/>
              </w:rPr>
              <w:t>Povremeno</w:t>
            </w:r>
          </w:p>
        </w:tc>
        <w:tc>
          <w:tcPr>
            <w:tcW w:w="1660" w:type="dxa"/>
          </w:tcPr>
          <w:p w14:paraId="289F46A5" w14:textId="77777777" w:rsidR="001753B1" w:rsidRPr="00246D8C" w:rsidRDefault="001753B1">
            <w:pPr>
              <w:tabs>
                <w:tab w:val="left" w:pos="284"/>
              </w:tabs>
              <w:jc w:val="both"/>
              <w:rPr>
                <w:sz w:val="22"/>
                <w:szCs w:val="22"/>
                <w:lang w:val="sr-Latn-ME"/>
              </w:rPr>
            </w:pPr>
          </w:p>
        </w:tc>
      </w:tr>
      <w:tr w:rsidR="003D48C9" w:rsidRPr="00246D8C" w14:paraId="012A31A6" w14:textId="77777777" w:rsidTr="003E0023">
        <w:tc>
          <w:tcPr>
            <w:tcW w:w="1659" w:type="dxa"/>
          </w:tcPr>
          <w:p w14:paraId="3E1AACF6" w14:textId="77777777" w:rsidR="001753B1" w:rsidRPr="00246D8C" w:rsidRDefault="001753B1" w:rsidP="006A7219">
            <w:pPr>
              <w:tabs>
                <w:tab w:val="left" w:pos="284"/>
              </w:tabs>
              <w:jc w:val="both"/>
              <w:rPr>
                <w:sz w:val="22"/>
                <w:szCs w:val="22"/>
                <w:lang w:val="sr-Latn-ME"/>
              </w:rPr>
            </w:pPr>
            <w:r w:rsidRPr="00246D8C">
              <w:rPr>
                <w:sz w:val="22"/>
                <w:szCs w:val="22"/>
                <w:lang w:val="sr-Latn-ME"/>
              </w:rPr>
              <w:t>Angioedem†‡</w:t>
            </w:r>
          </w:p>
        </w:tc>
        <w:tc>
          <w:tcPr>
            <w:tcW w:w="1659" w:type="dxa"/>
          </w:tcPr>
          <w:p w14:paraId="206A3CBA" w14:textId="77777777" w:rsidR="001753B1" w:rsidRPr="00246D8C" w:rsidRDefault="001753B1" w:rsidP="003C0336">
            <w:pPr>
              <w:tabs>
                <w:tab w:val="left" w:pos="284"/>
              </w:tabs>
              <w:jc w:val="both"/>
              <w:rPr>
                <w:sz w:val="22"/>
                <w:szCs w:val="22"/>
                <w:lang w:val="sr-Latn-ME"/>
              </w:rPr>
            </w:pPr>
            <w:r w:rsidRPr="00246D8C">
              <w:rPr>
                <w:sz w:val="22"/>
                <w:szCs w:val="22"/>
                <w:lang w:val="sr-Latn-ME"/>
              </w:rPr>
              <w:t>Rijetko</w:t>
            </w:r>
          </w:p>
        </w:tc>
        <w:tc>
          <w:tcPr>
            <w:tcW w:w="1659" w:type="dxa"/>
          </w:tcPr>
          <w:p w14:paraId="26A864F8" w14:textId="77777777" w:rsidR="001753B1" w:rsidRPr="00246D8C" w:rsidRDefault="001753B1" w:rsidP="00AE24EE">
            <w:pPr>
              <w:tabs>
                <w:tab w:val="left" w:pos="284"/>
              </w:tabs>
              <w:jc w:val="both"/>
              <w:rPr>
                <w:sz w:val="22"/>
                <w:szCs w:val="22"/>
                <w:lang w:val="sr-Latn-ME"/>
              </w:rPr>
            </w:pPr>
            <w:r w:rsidRPr="00246D8C">
              <w:rPr>
                <w:sz w:val="22"/>
                <w:szCs w:val="22"/>
                <w:lang w:val="sr-Latn-ME"/>
              </w:rPr>
              <w:t>Rijetko</w:t>
            </w:r>
          </w:p>
        </w:tc>
        <w:tc>
          <w:tcPr>
            <w:tcW w:w="1660" w:type="dxa"/>
          </w:tcPr>
          <w:p w14:paraId="253636D1" w14:textId="77777777" w:rsidR="001753B1" w:rsidRPr="00246D8C" w:rsidRDefault="001753B1">
            <w:pPr>
              <w:tabs>
                <w:tab w:val="left" w:pos="284"/>
              </w:tabs>
              <w:jc w:val="both"/>
              <w:rPr>
                <w:sz w:val="22"/>
                <w:szCs w:val="22"/>
                <w:lang w:val="sr-Latn-ME"/>
              </w:rPr>
            </w:pPr>
            <w:r w:rsidRPr="00246D8C">
              <w:rPr>
                <w:sz w:val="22"/>
                <w:szCs w:val="22"/>
                <w:lang w:val="sr-Latn-ME"/>
              </w:rPr>
              <w:t>Rijetko</w:t>
            </w:r>
          </w:p>
        </w:tc>
        <w:tc>
          <w:tcPr>
            <w:tcW w:w="1660" w:type="dxa"/>
          </w:tcPr>
          <w:p w14:paraId="2BE1B6A9" w14:textId="4B4FDC76" w:rsidR="001753B1" w:rsidRPr="00246D8C" w:rsidRDefault="004378CF">
            <w:pPr>
              <w:tabs>
                <w:tab w:val="left" w:pos="284"/>
              </w:tabs>
              <w:jc w:val="both"/>
              <w:rPr>
                <w:sz w:val="22"/>
                <w:szCs w:val="22"/>
                <w:lang w:val="sr-Latn-ME"/>
              </w:rPr>
            </w:pPr>
            <w:r w:rsidRPr="00246D8C">
              <w:rPr>
                <w:sz w:val="22"/>
                <w:szCs w:val="22"/>
                <w:lang w:val="sr-Latn-ME"/>
              </w:rPr>
              <w:t>Rijetko</w:t>
            </w:r>
          </w:p>
        </w:tc>
        <w:tc>
          <w:tcPr>
            <w:tcW w:w="1660" w:type="dxa"/>
          </w:tcPr>
          <w:p w14:paraId="0D2936DB" w14:textId="77777777" w:rsidR="001753B1" w:rsidRPr="00246D8C" w:rsidRDefault="001753B1">
            <w:pPr>
              <w:tabs>
                <w:tab w:val="left" w:pos="284"/>
              </w:tabs>
              <w:jc w:val="both"/>
              <w:rPr>
                <w:sz w:val="22"/>
                <w:szCs w:val="22"/>
                <w:lang w:val="sr-Latn-ME"/>
              </w:rPr>
            </w:pPr>
          </w:p>
        </w:tc>
      </w:tr>
      <w:tr w:rsidR="001753B1" w:rsidRPr="00246D8C" w14:paraId="0BC6439C" w14:textId="77777777" w:rsidTr="003E0023">
        <w:tc>
          <w:tcPr>
            <w:tcW w:w="1659" w:type="dxa"/>
            <w:tcBorders>
              <w:top w:val="single" w:sz="4" w:space="0" w:color="auto"/>
              <w:left w:val="single" w:sz="4" w:space="0" w:color="auto"/>
              <w:bottom w:val="single" w:sz="4" w:space="0" w:color="auto"/>
              <w:right w:val="single" w:sz="4" w:space="0" w:color="auto"/>
            </w:tcBorders>
          </w:tcPr>
          <w:p w14:paraId="4ABF68B9" w14:textId="77777777" w:rsidR="001753B1" w:rsidRPr="00246D8C" w:rsidRDefault="001753B1" w:rsidP="006A7219">
            <w:pPr>
              <w:tabs>
                <w:tab w:val="left" w:pos="284"/>
              </w:tabs>
              <w:jc w:val="both"/>
              <w:rPr>
                <w:sz w:val="22"/>
                <w:szCs w:val="22"/>
                <w:lang w:val="sr-Latn-ME"/>
              </w:rPr>
            </w:pPr>
            <w:r w:rsidRPr="00246D8C">
              <w:rPr>
                <w:sz w:val="22"/>
                <w:szCs w:val="22"/>
                <w:lang w:val="sr-Latn-ME"/>
              </w:rPr>
              <w:t>Bulozni pemfigoid†</w:t>
            </w:r>
          </w:p>
        </w:tc>
        <w:tc>
          <w:tcPr>
            <w:tcW w:w="1659" w:type="dxa"/>
            <w:tcBorders>
              <w:top w:val="single" w:sz="4" w:space="0" w:color="auto"/>
              <w:left w:val="single" w:sz="4" w:space="0" w:color="auto"/>
              <w:bottom w:val="single" w:sz="4" w:space="0" w:color="auto"/>
              <w:right w:val="single" w:sz="4" w:space="0" w:color="auto"/>
            </w:tcBorders>
          </w:tcPr>
          <w:p w14:paraId="2C215C9F" w14:textId="77777777" w:rsidR="001753B1" w:rsidRPr="00246D8C" w:rsidRDefault="001753B1" w:rsidP="003C0336">
            <w:pPr>
              <w:tabs>
                <w:tab w:val="left" w:pos="284"/>
              </w:tabs>
              <w:jc w:val="both"/>
              <w:rPr>
                <w:sz w:val="22"/>
                <w:szCs w:val="22"/>
                <w:lang w:val="sr-Latn-ME"/>
              </w:rPr>
            </w:pPr>
            <w:r w:rsidRPr="00246D8C">
              <w:rPr>
                <w:sz w:val="22"/>
                <w:szCs w:val="22"/>
                <w:lang w:val="sr-Latn-ME"/>
              </w:rPr>
              <w:t>Nepoznata učestalost</w:t>
            </w:r>
          </w:p>
        </w:tc>
        <w:tc>
          <w:tcPr>
            <w:tcW w:w="1659" w:type="dxa"/>
            <w:tcBorders>
              <w:top w:val="single" w:sz="4" w:space="0" w:color="auto"/>
              <w:left w:val="single" w:sz="4" w:space="0" w:color="auto"/>
              <w:bottom w:val="single" w:sz="4" w:space="0" w:color="auto"/>
              <w:right w:val="single" w:sz="4" w:space="0" w:color="auto"/>
            </w:tcBorders>
          </w:tcPr>
          <w:p w14:paraId="16EB15C8" w14:textId="77777777" w:rsidR="001753B1" w:rsidRPr="00246D8C" w:rsidRDefault="001753B1" w:rsidP="00AE24EE">
            <w:pPr>
              <w:tabs>
                <w:tab w:val="left" w:pos="284"/>
              </w:tabs>
              <w:jc w:val="both"/>
              <w:rPr>
                <w:sz w:val="22"/>
                <w:szCs w:val="22"/>
                <w:lang w:val="sr-Latn-ME"/>
              </w:rPr>
            </w:pPr>
            <w:r w:rsidRPr="00246D8C">
              <w:rPr>
                <w:sz w:val="22"/>
                <w:szCs w:val="22"/>
                <w:lang w:val="sr-Latn-ME"/>
              </w:rPr>
              <w:t>Nepoznata učestalost</w:t>
            </w:r>
          </w:p>
        </w:tc>
        <w:tc>
          <w:tcPr>
            <w:tcW w:w="1660" w:type="dxa"/>
            <w:tcBorders>
              <w:top w:val="single" w:sz="4" w:space="0" w:color="auto"/>
              <w:left w:val="single" w:sz="4" w:space="0" w:color="auto"/>
              <w:bottom w:val="single" w:sz="4" w:space="0" w:color="auto"/>
              <w:right w:val="single" w:sz="4" w:space="0" w:color="auto"/>
            </w:tcBorders>
          </w:tcPr>
          <w:p w14:paraId="53AF6136" w14:textId="77777777" w:rsidR="001753B1" w:rsidRPr="00246D8C" w:rsidRDefault="001753B1">
            <w:pPr>
              <w:tabs>
                <w:tab w:val="left" w:pos="284"/>
              </w:tabs>
              <w:jc w:val="both"/>
              <w:rPr>
                <w:sz w:val="22"/>
                <w:szCs w:val="22"/>
                <w:lang w:val="sr-Latn-ME"/>
              </w:rPr>
            </w:pPr>
            <w:r w:rsidRPr="00246D8C">
              <w:rPr>
                <w:sz w:val="22"/>
                <w:szCs w:val="22"/>
                <w:lang w:val="sr-Latn-ME"/>
              </w:rPr>
              <w:t>Nepoznata učestalost</w:t>
            </w:r>
          </w:p>
        </w:tc>
        <w:tc>
          <w:tcPr>
            <w:tcW w:w="1660" w:type="dxa"/>
            <w:tcBorders>
              <w:top w:val="single" w:sz="4" w:space="0" w:color="auto"/>
              <w:left w:val="single" w:sz="4" w:space="0" w:color="auto"/>
              <w:bottom w:val="single" w:sz="4" w:space="0" w:color="auto"/>
              <w:right w:val="single" w:sz="4" w:space="0" w:color="auto"/>
            </w:tcBorders>
          </w:tcPr>
          <w:p w14:paraId="0A31405E" w14:textId="77777777" w:rsidR="001753B1" w:rsidRPr="00246D8C" w:rsidRDefault="001753B1">
            <w:pPr>
              <w:tabs>
                <w:tab w:val="left" w:pos="284"/>
              </w:tabs>
              <w:jc w:val="both"/>
              <w:rPr>
                <w:sz w:val="22"/>
                <w:szCs w:val="22"/>
                <w:lang w:val="sr-Latn-ME"/>
              </w:rPr>
            </w:pPr>
            <w:r w:rsidRPr="00246D8C">
              <w:rPr>
                <w:sz w:val="22"/>
                <w:szCs w:val="22"/>
                <w:lang w:val="sr-Latn-ME"/>
              </w:rPr>
              <w:t>Nepoznata učestalost</w:t>
            </w:r>
          </w:p>
        </w:tc>
        <w:tc>
          <w:tcPr>
            <w:tcW w:w="1660" w:type="dxa"/>
            <w:tcBorders>
              <w:top w:val="single" w:sz="4" w:space="0" w:color="auto"/>
              <w:left w:val="single" w:sz="4" w:space="0" w:color="auto"/>
              <w:bottom w:val="single" w:sz="4" w:space="0" w:color="auto"/>
              <w:right w:val="single" w:sz="4" w:space="0" w:color="auto"/>
            </w:tcBorders>
          </w:tcPr>
          <w:p w14:paraId="1E7F1145" w14:textId="77777777" w:rsidR="001753B1" w:rsidRPr="00246D8C" w:rsidRDefault="001753B1">
            <w:pPr>
              <w:tabs>
                <w:tab w:val="left" w:pos="284"/>
              </w:tabs>
              <w:jc w:val="both"/>
              <w:rPr>
                <w:sz w:val="22"/>
                <w:szCs w:val="22"/>
                <w:lang w:val="sr-Latn-ME"/>
              </w:rPr>
            </w:pPr>
            <w:r w:rsidRPr="00246D8C">
              <w:rPr>
                <w:sz w:val="22"/>
                <w:szCs w:val="22"/>
                <w:lang w:val="sr-Latn-ME"/>
              </w:rPr>
              <w:t>Nepoznata učestalost</w:t>
            </w:r>
          </w:p>
        </w:tc>
      </w:tr>
    </w:tbl>
    <w:p w14:paraId="678806A9" w14:textId="77777777" w:rsidR="001753B1" w:rsidRPr="00246D8C" w:rsidRDefault="001753B1" w:rsidP="003C0336">
      <w:pPr>
        <w:tabs>
          <w:tab w:val="left" w:pos="284"/>
        </w:tabs>
        <w:jc w:val="both"/>
        <w:rPr>
          <w:sz w:val="22"/>
          <w:szCs w:val="22"/>
          <w:lang w:val="sr-Latn-ME"/>
        </w:rPr>
      </w:pPr>
      <w:r w:rsidRPr="00246D8C">
        <w:rPr>
          <w:sz w:val="22"/>
          <w:szCs w:val="22"/>
          <w:vertAlign w:val="superscript"/>
          <w:lang w:val="sr-Latn-ME"/>
        </w:rPr>
        <w:t>1</w:t>
      </w:r>
      <w:r w:rsidRPr="00246D8C">
        <w:rPr>
          <w:sz w:val="22"/>
          <w:szCs w:val="22"/>
          <w:lang w:val="sr-Latn-ME"/>
        </w:rPr>
        <w:t>Obuhvata saksagliptin kao dodatnu terapiju uz metformin i inicijalnu kombinovanu terapiju sa metforminom.</w:t>
      </w:r>
    </w:p>
    <w:p w14:paraId="6874687E" w14:textId="77777777" w:rsidR="001753B1" w:rsidRPr="00246D8C" w:rsidRDefault="001753B1" w:rsidP="00AE24EE">
      <w:pPr>
        <w:tabs>
          <w:tab w:val="left" w:pos="284"/>
        </w:tabs>
        <w:jc w:val="both"/>
        <w:rPr>
          <w:sz w:val="22"/>
          <w:szCs w:val="22"/>
          <w:lang w:val="sr-Latn-ME"/>
        </w:rPr>
      </w:pPr>
      <w:r w:rsidRPr="00246D8C">
        <w:rPr>
          <w:sz w:val="22"/>
          <w:szCs w:val="22"/>
          <w:vertAlign w:val="superscript"/>
          <w:lang w:val="sr-Latn-ME"/>
        </w:rPr>
        <w:t>2</w:t>
      </w:r>
      <w:r w:rsidRPr="00246D8C">
        <w:rPr>
          <w:sz w:val="22"/>
          <w:szCs w:val="22"/>
          <w:lang w:val="sr-Latn-ME"/>
        </w:rPr>
        <w:t>Samo kod inicijalne kombinovane terapije.</w:t>
      </w:r>
    </w:p>
    <w:p w14:paraId="54D9A794" w14:textId="77777777" w:rsidR="001753B1" w:rsidRPr="00246D8C" w:rsidRDefault="001753B1">
      <w:pPr>
        <w:tabs>
          <w:tab w:val="left" w:pos="284"/>
        </w:tabs>
        <w:jc w:val="both"/>
        <w:rPr>
          <w:sz w:val="22"/>
          <w:szCs w:val="22"/>
          <w:lang w:val="sr-Latn-ME"/>
        </w:rPr>
      </w:pPr>
      <w:r w:rsidRPr="00246D8C">
        <w:rPr>
          <w:sz w:val="22"/>
          <w:szCs w:val="22"/>
          <w:vertAlign w:val="superscript"/>
          <w:lang w:val="sr-Latn-ME"/>
        </w:rPr>
        <w:t>3</w:t>
      </w:r>
      <w:r w:rsidRPr="00246D8C">
        <w:rPr>
          <w:sz w:val="22"/>
          <w:szCs w:val="22"/>
          <w:lang w:val="sr-Latn-ME"/>
        </w:rPr>
        <w:t>Nije bilo statistički značajne razlike u odnosu na placebo. Incidenca potvrđene hipoglikemije bila je povremena za Onglyza 5 mg (0.8%) i placebo (0.7%).</w:t>
      </w:r>
    </w:p>
    <w:p w14:paraId="3CFEB1A2" w14:textId="17344D06" w:rsidR="001753B1" w:rsidRPr="00246D8C" w:rsidRDefault="001753B1">
      <w:pPr>
        <w:tabs>
          <w:tab w:val="left" w:pos="284"/>
        </w:tabs>
        <w:jc w:val="both"/>
        <w:rPr>
          <w:sz w:val="22"/>
          <w:szCs w:val="22"/>
          <w:vertAlign w:val="superscript"/>
          <w:lang w:val="sr-Latn-ME"/>
        </w:rPr>
      </w:pPr>
      <w:r w:rsidRPr="00246D8C">
        <w:rPr>
          <w:sz w:val="22"/>
          <w:szCs w:val="22"/>
          <w:vertAlign w:val="superscript"/>
          <w:lang w:val="sr-Latn-ME"/>
        </w:rPr>
        <w:t>4</w:t>
      </w:r>
      <w:r w:rsidRPr="00246D8C">
        <w:rPr>
          <w:iCs/>
          <w:sz w:val="22"/>
          <w:szCs w:val="22"/>
          <w:lang w:val="sr-Latn-ME"/>
        </w:rPr>
        <w:t>Incidenca dijareje je bila 4,1% (36/882) u grupi koja je uzimala saksagliptin 5 mg i 6,1% (49/799) u grupi koja je uzimala placebo.</w:t>
      </w:r>
    </w:p>
    <w:p w14:paraId="11F157AA" w14:textId="4E9FA51E" w:rsidR="001753B1" w:rsidRPr="00246D8C" w:rsidRDefault="004378CF" w:rsidP="002D73AD">
      <w:pPr>
        <w:tabs>
          <w:tab w:val="left" w:pos="284"/>
        </w:tabs>
        <w:jc w:val="both"/>
        <w:rPr>
          <w:sz w:val="22"/>
          <w:szCs w:val="22"/>
          <w:lang w:val="sr-Latn-ME"/>
        </w:rPr>
      </w:pPr>
      <w:r w:rsidRPr="00246D8C">
        <w:rPr>
          <w:sz w:val="22"/>
          <w:szCs w:val="22"/>
          <w:vertAlign w:val="superscript"/>
          <w:lang w:val="sr-Latn-ME"/>
        </w:rPr>
        <w:t>5</w:t>
      </w:r>
      <w:r w:rsidR="001753B1" w:rsidRPr="00246D8C">
        <w:rPr>
          <w:sz w:val="22"/>
          <w:szCs w:val="22"/>
          <w:lang w:val="sr-Latn-ME"/>
        </w:rPr>
        <w:t>Kao inicijalna kombinacija sa metforminom, mijalgija je prijavljena povremeno</w:t>
      </w:r>
    </w:p>
    <w:p w14:paraId="72BCD6FE" w14:textId="77777777" w:rsidR="001753B1" w:rsidRPr="00246D8C" w:rsidRDefault="001753B1" w:rsidP="006A7219">
      <w:pPr>
        <w:tabs>
          <w:tab w:val="left" w:pos="284"/>
        </w:tabs>
        <w:jc w:val="both"/>
        <w:rPr>
          <w:sz w:val="22"/>
          <w:szCs w:val="22"/>
          <w:lang w:val="sr-Latn-ME"/>
        </w:rPr>
      </w:pPr>
      <w:r w:rsidRPr="00246D8C">
        <w:rPr>
          <w:sz w:val="22"/>
          <w:szCs w:val="22"/>
          <w:lang w:val="sr-Latn-ME"/>
        </w:rPr>
        <w:t>†Neželjene reakcije identifikovane su tokom postmarketinškog praćenja</w:t>
      </w:r>
    </w:p>
    <w:p w14:paraId="5190BDFE" w14:textId="4C7BA084" w:rsidR="001753B1" w:rsidRPr="00246D8C" w:rsidRDefault="001753B1" w:rsidP="00F07D95">
      <w:pPr>
        <w:tabs>
          <w:tab w:val="left" w:pos="284"/>
        </w:tabs>
        <w:jc w:val="both"/>
        <w:rPr>
          <w:sz w:val="22"/>
          <w:szCs w:val="22"/>
          <w:lang w:val="sr-Latn-ME"/>
        </w:rPr>
      </w:pPr>
      <w:r w:rsidRPr="00246D8C">
        <w:rPr>
          <w:sz w:val="22"/>
          <w:szCs w:val="22"/>
          <w:lang w:val="sr-Latn-ME"/>
        </w:rPr>
        <w:t>‡</w:t>
      </w:r>
      <w:r w:rsidR="004378CF" w:rsidRPr="00246D8C">
        <w:rPr>
          <w:sz w:val="22"/>
          <w:szCs w:val="22"/>
          <w:lang w:val="sr-Latn-ME"/>
        </w:rPr>
        <w:t>Vidjeti djelove</w:t>
      </w:r>
      <w:r w:rsidRPr="00246D8C">
        <w:rPr>
          <w:sz w:val="22"/>
          <w:szCs w:val="22"/>
          <w:lang w:val="sr-Latn-ME"/>
        </w:rPr>
        <w:t xml:space="preserve"> 4.3 i 4.4</w:t>
      </w:r>
    </w:p>
    <w:p w14:paraId="12AF2EA1" w14:textId="423400F4" w:rsidR="004378CF" w:rsidRPr="00246D8C" w:rsidRDefault="004378CF" w:rsidP="00F07D95">
      <w:pPr>
        <w:tabs>
          <w:tab w:val="left" w:pos="284"/>
        </w:tabs>
        <w:jc w:val="both"/>
        <w:rPr>
          <w:sz w:val="22"/>
          <w:szCs w:val="22"/>
          <w:lang w:val="sr-Latn-ME"/>
        </w:rPr>
      </w:pPr>
      <w:r w:rsidRPr="00246D8C">
        <w:rPr>
          <w:sz w:val="22"/>
          <w:szCs w:val="22"/>
          <w:lang w:val="sr-Latn-ME"/>
        </w:rPr>
        <w:t>*Prijavljena i tokom praćenja nakon stavljanja lijeka u promet (vidjeti dio 4.4)</w:t>
      </w:r>
    </w:p>
    <w:p w14:paraId="0E04C98E" w14:textId="77777777" w:rsidR="001753B1" w:rsidRPr="00246D8C" w:rsidRDefault="001753B1" w:rsidP="002D73AD">
      <w:pPr>
        <w:tabs>
          <w:tab w:val="left" w:pos="540"/>
          <w:tab w:val="left" w:pos="569"/>
        </w:tabs>
        <w:jc w:val="both"/>
        <w:rPr>
          <w:b/>
          <w:bCs/>
          <w:sz w:val="22"/>
          <w:szCs w:val="22"/>
          <w:lang w:val="sr-Latn-ME"/>
        </w:rPr>
      </w:pPr>
    </w:p>
    <w:p w14:paraId="6142D946" w14:textId="77777777" w:rsidR="001753B1" w:rsidRPr="00246D8C" w:rsidRDefault="001753B1" w:rsidP="006A7219">
      <w:pPr>
        <w:tabs>
          <w:tab w:val="left" w:pos="284"/>
        </w:tabs>
        <w:jc w:val="both"/>
        <w:rPr>
          <w:sz w:val="22"/>
          <w:szCs w:val="22"/>
          <w:u w:val="single"/>
          <w:lang w:val="sr-Latn-ME"/>
        </w:rPr>
      </w:pPr>
      <w:r w:rsidRPr="00246D8C">
        <w:rPr>
          <w:sz w:val="22"/>
          <w:szCs w:val="22"/>
          <w:u w:val="single"/>
          <w:lang w:val="sr-Latn-ME"/>
        </w:rPr>
        <w:t xml:space="preserve">Rezultati SAVOR studije </w:t>
      </w:r>
    </w:p>
    <w:p w14:paraId="5C964931" w14:textId="77777777" w:rsidR="001753B1" w:rsidRPr="00246D8C" w:rsidRDefault="001753B1" w:rsidP="00F07D95">
      <w:pPr>
        <w:tabs>
          <w:tab w:val="left" w:pos="284"/>
        </w:tabs>
        <w:jc w:val="both"/>
        <w:rPr>
          <w:sz w:val="22"/>
          <w:szCs w:val="22"/>
          <w:u w:val="single"/>
          <w:lang w:val="sr-Latn-ME"/>
        </w:rPr>
      </w:pPr>
    </w:p>
    <w:p w14:paraId="0C82B2D2" w14:textId="77777777" w:rsidR="001753B1" w:rsidRPr="00246D8C" w:rsidRDefault="001753B1" w:rsidP="003C0336">
      <w:pPr>
        <w:tabs>
          <w:tab w:val="left" w:pos="284"/>
        </w:tabs>
        <w:jc w:val="both"/>
        <w:rPr>
          <w:sz w:val="22"/>
          <w:szCs w:val="22"/>
          <w:lang w:val="sr-Latn-ME"/>
        </w:rPr>
      </w:pPr>
      <w:r w:rsidRPr="00246D8C">
        <w:rPr>
          <w:sz w:val="22"/>
          <w:szCs w:val="22"/>
          <w:lang w:val="sr-Latn-ME"/>
        </w:rPr>
        <w:t>Studija SAVOR uključivala je 8240 pacijenata liječenih lijekom Onglyza 5 mg ili 2,5 mg jednom dnevno i 8173 pacijenta na placebu. Ukupna incidenca neželjenih reakcija kod 8240 pacijenata liječenih lijekom Onglyza u ovoj studiji bila je ista kao kod pacijenata na placebu (72.5% u odnosu na 72.2%, redom).</w:t>
      </w:r>
    </w:p>
    <w:p w14:paraId="29A1EF38" w14:textId="77777777" w:rsidR="001753B1" w:rsidRPr="00246D8C" w:rsidRDefault="001753B1">
      <w:pPr>
        <w:tabs>
          <w:tab w:val="left" w:pos="284"/>
        </w:tabs>
        <w:jc w:val="both"/>
        <w:rPr>
          <w:sz w:val="22"/>
          <w:szCs w:val="22"/>
          <w:lang w:val="sr-Latn-ME"/>
        </w:rPr>
      </w:pPr>
      <w:r w:rsidRPr="00246D8C">
        <w:rPr>
          <w:sz w:val="22"/>
          <w:szCs w:val="22"/>
          <w:lang w:val="sr-Latn-ME"/>
        </w:rPr>
        <w:t>Incidenca događaja pankreatitisa bila je 0.3% i kod pacijenata liječenih lijekom Onglyza kao i kod pacijenta liječenih placebom.</w:t>
      </w:r>
    </w:p>
    <w:p w14:paraId="4462F276" w14:textId="77777777" w:rsidR="001753B1" w:rsidRPr="00246D8C" w:rsidRDefault="001753B1">
      <w:pPr>
        <w:tabs>
          <w:tab w:val="left" w:pos="284"/>
        </w:tabs>
        <w:jc w:val="both"/>
        <w:rPr>
          <w:sz w:val="22"/>
          <w:szCs w:val="22"/>
          <w:lang w:val="sr-Latn-ME"/>
        </w:rPr>
      </w:pPr>
    </w:p>
    <w:p w14:paraId="22FC7EC6" w14:textId="3DC9D0C7" w:rsidR="001753B1" w:rsidRPr="00246D8C" w:rsidRDefault="001753B1">
      <w:pPr>
        <w:tabs>
          <w:tab w:val="left" w:pos="284"/>
        </w:tabs>
        <w:jc w:val="both"/>
        <w:rPr>
          <w:sz w:val="22"/>
          <w:szCs w:val="22"/>
          <w:lang w:val="sr-Latn-ME"/>
        </w:rPr>
      </w:pPr>
      <w:r w:rsidRPr="00246D8C">
        <w:rPr>
          <w:sz w:val="22"/>
          <w:szCs w:val="22"/>
          <w:lang w:val="sr-Latn-ME"/>
        </w:rPr>
        <w:t>Incidenca reakcija preosjetljivosti bila je 1.1% i kod pacijenata liječenih lijekom Onglyza kao i kod pacijenta na placebu.</w:t>
      </w:r>
    </w:p>
    <w:p w14:paraId="270DD663" w14:textId="7C74451E" w:rsidR="001753B1" w:rsidRPr="00246D8C" w:rsidRDefault="001753B1">
      <w:pPr>
        <w:tabs>
          <w:tab w:val="left" w:pos="284"/>
        </w:tabs>
        <w:jc w:val="both"/>
        <w:rPr>
          <w:sz w:val="22"/>
          <w:szCs w:val="22"/>
          <w:lang w:val="sr-Latn-ME"/>
        </w:rPr>
      </w:pPr>
      <w:r w:rsidRPr="00246D8C">
        <w:rPr>
          <w:sz w:val="22"/>
          <w:szCs w:val="22"/>
          <w:lang w:val="sr-Latn-ME"/>
        </w:rPr>
        <w:lastRenderedPageBreak/>
        <w:t>Ukupna incidenca prijavljene hipoglikemije (svakodnevno zabilježene u dnevnicima pacijenata) bila je 17.1% kod osoba liječenih lijekom Onglyza i 14.8%</w:t>
      </w:r>
      <w:r w:rsidR="006702E5" w:rsidRPr="00246D8C">
        <w:rPr>
          <w:sz w:val="22"/>
          <w:szCs w:val="22"/>
          <w:lang w:val="sr-Latn-ME"/>
        </w:rPr>
        <w:t xml:space="preserve"> </w:t>
      </w:r>
      <w:r w:rsidRPr="00246D8C">
        <w:rPr>
          <w:sz w:val="22"/>
          <w:szCs w:val="22"/>
          <w:lang w:val="sr-Latn-ME"/>
        </w:rPr>
        <w:t>kod pacijenata na placebu. Procenat osoba koji su prijavili događaje velike hipoglikemije tokom terapije (definisano kao događaj koji je zaht</w:t>
      </w:r>
      <w:r w:rsidR="004378CF" w:rsidRPr="00246D8C">
        <w:rPr>
          <w:sz w:val="22"/>
          <w:szCs w:val="22"/>
          <w:lang w:val="sr-Latn-ME"/>
        </w:rPr>
        <w:t>ij</w:t>
      </w:r>
      <w:r w:rsidRPr="00246D8C">
        <w:rPr>
          <w:sz w:val="22"/>
          <w:szCs w:val="22"/>
          <w:lang w:val="sr-Latn-ME"/>
        </w:rPr>
        <w:t>evao pomoć druge osobe) bio je veći u grupi na saksagliptinu u odnosu na placebo grupu (2.1% i 1.6%, redom). Povećani rizik od ukupne hipoglikemije i velike hipoglikemije koji su prim</w:t>
      </w:r>
      <w:r w:rsidR="004378CF" w:rsidRPr="00246D8C">
        <w:rPr>
          <w:sz w:val="22"/>
          <w:szCs w:val="22"/>
          <w:lang w:val="sr-Latn-ME"/>
        </w:rPr>
        <w:t>i</w:t>
      </w:r>
      <w:r w:rsidRPr="00246D8C">
        <w:rPr>
          <w:sz w:val="22"/>
          <w:szCs w:val="22"/>
          <w:lang w:val="sr-Latn-ME"/>
        </w:rPr>
        <w:t>jećeni u grupi liječenoj saksagliptinom primarno su se javljali kod osoba kod kojih je saksagliptin dodat na terapiju sulfonilureom, a nije kod osoba kod kojih je saksagliptin dodat na insulinsku ili metforminsku monoterapiju. Povećanje rizika od ukupne i velike hipoglikemije primarno je uočeno kod osoba sa A1C &lt;7%.</w:t>
      </w:r>
    </w:p>
    <w:p w14:paraId="58E651C8" w14:textId="77777777" w:rsidR="001753B1" w:rsidRPr="00246D8C" w:rsidRDefault="001753B1">
      <w:pPr>
        <w:tabs>
          <w:tab w:val="left" w:pos="284"/>
        </w:tabs>
        <w:jc w:val="both"/>
        <w:rPr>
          <w:sz w:val="22"/>
          <w:szCs w:val="22"/>
          <w:lang w:val="sr-Latn-ME"/>
        </w:rPr>
      </w:pPr>
    </w:p>
    <w:p w14:paraId="16DC39E1" w14:textId="77777777" w:rsidR="001753B1" w:rsidRPr="00246D8C" w:rsidRDefault="001753B1">
      <w:pPr>
        <w:tabs>
          <w:tab w:val="left" w:pos="284"/>
        </w:tabs>
        <w:jc w:val="both"/>
        <w:rPr>
          <w:sz w:val="22"/>
          <w:szCs w:val="22"/>
          <w:lang w:val="sr-Latn-ME"/>
        </w:rPr>
      </w:pPr>
      <w:r w:rsidRPr="00246D8C">
        <w:rPr>
          <w:sz w:val="22"/>
          <w:szCs w:val="22"/>
          <w:lang w:val="sr-Latn-ME"/>
        </w:rPr>
        <w:t>Prijavljeno je smanjenje broja limfocita kod 0.5% pacijenata liječenih lijekom Onglyza i 0.4% pacijenata na placebu.</w:t>
      </w:r>
    </w:p>
    <w:p w14:paraId="19A52683" w14:textId="77777777" w:rsidR="001753B1" w:rsidRPr="00246D8C" w:rsidRDefault="001753B1">
      <w:pPr>
        <w:tabs>
          <w:tab w:val="left" w:pos="284"/>
        </w:tabs>
        <w:jc w:val="both"/>
        <w:rPr>
          <w:sz w:val="22"/>
          <w:szCs w:val="22"/>
          <w:lang w:val="sr-Latn-ME"/>
        </w:rPr>
      </w:pPr>
    </w:p>
    <w:p w14:paraId="6FC324C9" w14:textId="4921F427" w:rsidR="001753B1" w:rsidRPr="00246D8C" w:rsidRDefault="001753B1">
      <w:pPr>
        <w:tabs>
          <w:tab w:val="left" w:pos="284"/>
        </w:tabs>
        <w:jc w:val="both"/>
        <w:rPr>
          <w:sz w:val="22"/>
          <w:szCs w:val="22"/>
          <w:lang w:val="sr-Latn-ME"/>
        </w:rPr>
      </w:pPr>
      <w:r w:rsidRPr="00246D8C">
        <w:rPr>
          <w:sz w:val="22"/>
          <w:szCs w:val="22"/>
          <w:lang w:val="sr-Latn-ME"/>
        </w:rPr>
        <w:t>Hospitalizacija usl</w:t>
      </w:r>
      <w:r w:rsidR="004378CF" w:rsidRPr="00246D8C">
        <w:rPr>
          <w:sz w:val="22"/>
          <w:szCs w:val="22"/>
          <w:lang w:val="sr-Latn-ME"/>
        </w:rPr>
        <w:t>j</w:t>
      </w:r>
      <w:r w:rsidRPr="00246D8C">
        <w:rPr>
          <w:sz w:val="22"/>
          <w:szCs w:val="22"/>
          <w:lang w:val="sr-Latn-ME"/>
        </w:rPr>
        <w:t>ed srčane slabosti bila je češća kod grupe na saksagliptinu (3.5%) u poređenju sa pacebo grupom (2.8%), pri normalnoj statističkoj značajnosti u korist placeba [HR = 1.27; 95% CI 1.07, 1.51); P = 0.007]. Vidjeti dio 5.1.</w:t>
      </w:r>
    </w:p>
    <w:p w14:paraId="006E84E3" w14:textId="77777777" w:rsidR="004378CF" w:rsidRPr="00246D8C" w:rsidRDefault="004378CF" w:rsidP="002D73AD">
      <w:pPr>
        <w:tabs>
          <w:tab w:val="left" w:pos="284"/>
        </w:tabs>
        <w:spacing w:after="60"/>
        <w:jc w:val="both"/>
        <w:outlineLvl w:val="5"/>
        <w:rPr>
          <w:bCs/>
          <w:i/>
          <w:iCs/>
          <w:sz w:val="22"/>
          <w:szCs w:val="22"/>
          <w:lang w:val="sr-Latn-ME"/>
        </w:rPr>
      </w:pPr>
    </w:p>
    <w:p w14:paraId="1037492C" w14:textId="2EE0C83C" w:rsidR="003E0023" w:rsidRPr="00246D8C" w:rsidRDefault="003E0023" w:rsidP="002D73AD">
      <w:pPr>
        <w:tabs>
          <w:tab w:val="left" w:pos="284"/>
        </w:tabs>
        <w:jc w:val="both"/>
        <w:outlineLvl w:val="5"/>
        <w:rPr>
          <w:bCs/>
          <w:i/>
          <w:iCs/>
          <w:sz w:val="22"/>
          <w:szCs w:val="22"/>
          <w:lang w:val="sr-Latn-ME"/>
        </w:rPr>
      </w:pPr>
      <w:r w:rsidRPr="00246D8C">
        <w:rPr>
          <w:bCs/>
          <w:i/>
          <w:iCs/>
          <w:sz w:val="22"/>
          <w:szCs w:val="22"/>
          <w:lang w:val="sr-Latn-ME"/>
        </w:rPr>
        <w:t>Opis odabranih neželjenih reakcija</w:t>
      </w:r>
    </w:p>
    <w:p w14:paraId="6268F143" w14:textId="77777777" w:rsidR="003E0023" w:rsidRPr="00246D8C" w:rsidRDefault="003E0023" w:rsidP="003C0336">
      <w:pPr>
        <w:tabs>
          <w:tab w:val="left" w:pos="284"/>
        </w:tabs>
        <w:jc w:val="both"/>
        <w:rPr>
          <w:sz w:val="22"/>
          <w:szCs w:val="22"/>
          <w:lang w:val="sr-Latn-ME"/>
        </w:rPr>
      </w:pPr>
    </w:p>
    <w:p w14:paraId="6EFC9298" w14:textId="77777777" w:rsidR="003E0023" w:rsidRPr="00246D8C" w:rsidRDefault="003E0023" w:rsidP="003C0336">
      <w:pPr>
        <w:tabs>
          <w:tab w:val="left" w:pos="284"/>
        </w:tabs>
        <w:jc w:val="both"/>
        <w:rPr>
          <w:sz w:val="22"/>
          <w:szCs w:val="22"/>
          <w:u w:val="single"/>
          <w:lang w:val="sr-Latn-ME"/>
        </w:rPr>
      </w:pPr>
      <w:r w:rsidRPr="00246D8C">
        <w:rPr>
          <w:sz w:val="22"/>
          <w:szCs w:val="22"/>
          <w:u w:val="single"/>
          <w:lang w:val="sr-Latn-ME"/>
        </w:rPr>
        <w:t>Hipoglikemija</w:t>
      </w:r>
    </w:p>
    <w:p w14:paraId="6A90C9B3" w14:textId="77777777" w:rsidR="003E0023" w:rsidRPr="00246D8C" w:rsidRDefault="003E0023" w:rsidP="00AE24EE">
      <w:pPr>
        <w:tabs>
          <w:tab w:val="left" w:pos="284"/>
        </w:tabs>
        <w:jc w:val="both"/>
        <w:rPr>
          <w:sz w:val="22"/>
          <w:szCs w:val="22"/>
          <w:lang w:val="sr-Latn-ME"/>
        </w:rPr>
      </w:pPr>
      <w:r w:rsidRPr="00246D8C">
        <w:rPr>
          <w:sz w:val="22"/>
          <w:szCs w:val="22"/>
          <w:lang w:val="sr-Latn-ME"/>
        </w:rPr>
        <w:t>Neželjene reakcije hipoglikemije su zasnovane na svim izvještajima hipoglikemije, istovremeno mjerenje glukoze nije potrebno.</w:t>
      </w:r>
    </w:p>
    <w:p w14:paraId="4F96DB3A" w14:textId="77777777" w:rsidR="003E0023" w:rsidRPr="00246D8C" w:rsidRDefault="003E0023">
      <w:pPr>
        <w:tabs>
          <w:tab w:val="left" w:pos="284"/>
        </w:tabs>
        <w:jc w:val="both"/>
        <w:rPr>
          <w:sz w:val="22"/>
          <w:szCs w:val="22"/>
          <w:lang w:val="sr-Latn-ME"/>
        </w:rPr>
      </w:pPr>
    </w:p>
    <w:p w14:paraId="69651BEE" w14:textId="77A279E2" w:rsidR="003E0023" w:rsidRPr="00246D8C" w:rsidRDefault="003E0023">
      <w:pPr>
        <w:tabs>
          <w:tab w:val="left" w:pos="284"/>
        </w:tabs>
        <w:jc w:val="both"/>
        <w:rPr>
          <w:sz w:val="22"/>
          <w:szCs w:val="22"/>
          <w:lang w:val="sr-Latn-ME"/>
        </w:rPr>
      </w:pPr>
      <w:r w:rsidRPr="00246D8C">
        <w:rPr>
          <w:sz w:val="22"/>
          <w:szCs w:val="22"/>
          <w:lang w:val="sr-Latn-ME"/>
        </w:rPr>
        <w:t>Kao dodatna terapija u kombinaciji sa metforminom i sulfonilureom, ukupna incidenca prijavljene</w:t>
      </w:r>
      <w:r w:rsidR="006702E5" w:rsidRPr="00246D8C">
        <w:rPr>
          <w:sz w:val="22"/>
          <w:szCs w:val="22"/>
          <w:lang w:val="sr-Latn-ME"/>
        </w:rPr>
        <w:t xml:space="preserve"> </w:t>
      </w:r>
      <w:r w:rsidRPr="00246D8C">
        <w:rPr>
          <w:sz w:val="22"/>
          <w:szCs w:val="22"/>
          <w:lang w:val="sr-Latn-ME"/>
        </w:rPr>
        <w:t>hipoglikemije bila je 10.2% za lijek Onglyza 5 mg, a 6.3% za placebo.</w:t>
      </w:r>
    </w:p>
    <w:p w14:paraId="66ED6DD3" w14:textId="77777777" w:rsidR="003E0023" w:rsidRPr="00246D8C" w:rsidRDefault="003E0023">
      <w:pPr>
        <w:tabs>
          <w:tab w:val="left" w:pos="284"/>
        </w:tabs>
        <w:jc w:val="both"/>
        <w:rPr>
          <w:sz w:val="22"/>
          <w:szCs w:val="22"/>
          <w:lang w:val="sr-Latn-ME"/>
        </w:rPr>
      </w:pPr>
    </w:p>
    <w:p w14:paraId="3D9B14DD" w14:textId="77777777" w:rsidR="003E0023" w:rsidRPr="00246D8C" w:rsidRDefault="003E0023">
      <w:pPr>
        <w:tabs>
          <w:tab w:val="left" w:pos="284"/>
        </w:tabs>
        <w:jc w:val="both"/>
        <w:rPr>
          <w:sz w:val="22"/>
          <w:szCs w:val="22"/>
          <w:lang w:val="sr-Latn-ME"/>
        </w:rPr>
      </w:pPr>
      <w:r w:rsidRPr="00246D8C">
        <w:rPr>
          <w:sz w:val="22"/>
          <w:szCs w:val="22"/>
          <w:lang w:val="sr-Latn-ME"/>
        </w:rPr>
        <w:t xml:space="preserve">Kao dodatna terapija u kombinaciji sa insulinom (sa ili bez metformina), ukupna incidenca prijavljene hipoglikemije bila je 18.4% za lijek Onglyza 5 mg, a 19.9% za placebo. </w:t>
      </w:r>
    </w:p>
    <w:p w14:paraId="017C3AA1" w14:textId="77777777" w:rsidR="003E0023" w:rsidRPr="00246D8C" w:rsidRDefault="003E0023">
      <w:pPr>
        <w:tabs>
          <w:tab w:val="left" w:pos="284"/>
        </w:tabs>
        <w:jc w:val="both"/>
        <w:rPr>
          <w:sz w:val="22"/>
          <w:szCs w:val="22"/>
          <w:lang w:val="sr-Latn-ME"/>
        </w:rPr>
      </w:pPr>
    </w:p>
    <w:p w14:paraId="15E1EBE3" w14:textId="77777777" w:rsidR="003E0023" w:rsidRPr="00246D8C" w:rsidRDefault="003E0023">
      <w:pPr>
        <w:tabs>
          <w:tab w:val="left" w:pos="284"/>
        </w:tabs>
        <w:jc w:val="both"/>
        <w:rPr>
          <w:sz w:val="22"/>
          <w:szCs w:val="22"/>
          <w:u w:val="single"/>
          <w:lang w:val="sr-Latn-ME"/>
        </w:rPr>
      </w:pPr>
      <w:r w:rsidRPr="00246D8C">
        <w:rPr>
          <w:sz w:val="22"/>
          <w:szCs w:val="22"/>
          <w:u w:val="single"/>
          <w:lang w:val="sr-Latn-ME"/>
        </w:rPr>
        <w:t>Laboratorijski testovi</w:t>
      </w:r>
    </w:p>
    <w:p w14:paraId="17231C31" w14:textId="2F2AC931" w:rsidR="003E0023" w:rsidRPr="00246D8C" w:rsidRDefault="003E0023" w:rsidP="002D73AD">
      <w:pPr>
        <w:tabs>
          <w:tab w:val="left" w:pos="284"/>
        </w:tabs>
        <w:jc w:val="both"/>
        <w:rPr>
          <w:sz w:val="22"/>
          <w:szCs w:val="22"/>
          <w:lang w:val="sr-Latn-ME"/>
        </w:rPr>
      </w:pPr>
      <w:r w:rsidRPr="00246D8C">
        <w:rPr>
          <w:sz w:val="22"/>
          <w:szCs w:val="22"/>
          <w:lang w:val="sr-Latn-ME"/>
        </w:rPr>
        <w:t>U svim studijama je incidenca neželjenih laboratorijskih događaja bila slična kod pacijenata tretiranih saksagliptinom u dozi od 5 mg u poređenju sa pacijentima tretiranim placebom. Zabilježeno je malo smanjenje apsolutnog broja limfocita. Kod apsolutnog broja limfocita zabilježenog na početku studije od približno 2 200 ćelija/μl, zabilježeno je srednje smanjenje od približno 100 ćelija/μl u odnosu na placebo u zbirnoj analizi sa placebo kontrolom. Srednji apsolutni broj limfocita je ostao stabilan pri primjeni dnevnih doza tokom perioda do 102 nedelje. Ova smanjenja broja limfocita nijesu bila udružena sa</w:t>
      </w:r>
      <w:r w:rsidR="006702E5" w:rsidRPr="00246D8C">
        <w:rPr>
          <w:sz w:val="22"/>
          <w:szCs w:val="22"/>
          <w:lang w:val="sr-Latn-ME"/>
        </w:rPr>
        <w:t xml:space="preserve"> </w:t>
      </w:r>
      <w:r w:rsidRPr="00246D8C">
        <w:rPr>
          <w:sz w:val="22"/>
          <w:szCs w:val="22"/>
          <w:lang w:val="sr-Latn-ME"/>
        </w:rPr>
        <w:t>klinički relevantnim neželjenim reakcijama. Klinički značaj ovog smanjenja broja limfocita u odnosu na placebo nije poznat.</w:t>
      </w:r>
    </w:p>
    <w:p w14:paraId="3643532E" w14:textId="77777777" w:rsidR="003E0023" w:rsidRPr="00246D8C" w:rsidRDefault="003E0023" w:rsidP="002D73AD">
      <w:pPr>
        <w:tabs>
          <w:tab w:val="left" w:pos="540"/>
          <w:tab w:val="left" w:pos="569"/>
        </w:tabs>
        <w:jc w:val="both"/>
        <w:rPr>
          <w:b/>
          <w:bCs/>
          <w:sz w:val="22"/>
          <w:szCs w:val="22"/>
          <w:lang w:val="sr-Latn-ME"/>
        </w:rPr>
      </w:pPr>
    </w:p>
    <w:p w14:paraId="53F788C2" w14:textId="77777777" w:rsidR="005A23D2" w:rsidRPr="00246D8C" w:rsidRDefault="005A23D2" w:rsidP="002D73AD">
      <w:pPr>
        <w:spacing w:after="200" w:line="276" w:lineRule="auto"/>
        <w:jc w:val="both"/>
        <w:rPr>
          <w:rFonts w:eastAsia="Calibri"/>
          <w:sz w:val="22"/>
          <w:szCs w:val="22"/>
          <w:u w:val="single"/>
          <w:lang w:val="sr-Latn-ME"/>
        </w:rPr>
      </w:pPr>
      <w:r w:rsidRPr="00246D8C">
        <w:rPr>
          <w:rFonts w:eastAsia="Calibri"/>
          <w:sz w:val="22"/>
          <w:szCs w:val="22"/>
          <w:u w:val="single"/>
          <w:lang w:val="sr-Latn-ME"/>
        </w:rPr>
        <w:t>Prijavljivanje sumnji na neželjena dejstva</w:t>
      </w:r>
    </w:p>
    <w:p w14:paraId="5A4652D1" w14:textId="77777777" w:rsidR="005A23D2" w:rsidRPr="00246D8C" w:rsidRDefault="005A23D2" w:rsidP="006A7219">
      <w:pPr>
        <w:spacing w:after="200"/>
        <w:jc w:val="both"/>
        <w:rPr>
          <w:rFonts w:eastAsia="Calibri"/>
          <w:sz w:val="22"/>
          <w:szCs w:val="22"/>
          <w:lang w:val="sr-Latn-ME"/>
        </w:rPr>
      </w:pPr>
      <w:r w:rsidRPr="00246D8C">
        <w:rPr>
          <w:rFonts w:eastAsia="Calibri"/>
          <w:sz w:val="22"/>
          <w:szCs w:val="22"/>
          <w:lang w:val="sr-Latn-ME"/>
        </w:rPr>
        <w:t>Prijavljivanje neželjenih dejstava nakon dobijanja dozvole je od velikog značaja jer obezbjeđuje kont</w:t>
      </w:r>
      <w:r w:rsidR="00EA5765" w:rsidRPr="00246D8C">
        <w:rPr>
          <w:rFonts w:eastAsia="Calibri"/>
          <w:sz w:val="22"/>
          <w:szCs w:val="22"/>
          <w:lang w:val="sr-Latn-ME"/>
        </w:rPr>
        <w:t>inuirano praćenje odnosa korist</w:t>
      </w:r>
      <w:r w:rsidRPr="00246D8C">
        <w:rPr>
          <w:rFonts w:eastAsia="Calibri"/>
          <w:sz w:val="22"/>
          <w:szCs w:val="22"/>
          <w:lang w:val="sr-Latn-ME"/>
        </w:rPr>
        <w:t>/rizik primjene lijeka. Zdravstveni radnici treba da prijave svaku sumnju na neželjeno</w:t>
      </w:r>
      <w:r w:rsidR="009B062A" w:rsidRPr="00246D8C">
        <w:rPr>
          <w:rFonts w:eastAsia="Calibri"/>
          <w:sz w:val="22"/>
          <w:szCs w:val="22"/>
          <w:lang w:val="sr-Latn-ME"/>
        </w:rPr>
        <w:t xml:space="preserve"> </w:t>
      </w:r>
      <w:r w:rsidRPr="00246D8C">
        <w:rPr>
          <w:rFonts w:eastAsia="Calibri"/>
          <w:sz w:val="22"/>
          <w:szCs w:val="22"/>
          <w:lang w:val="sr-Latn-ME"/>
        </w:rPr>
        <w:t xml:space="preserve">dejstvo ovog lijeka </w:t>
      </w:r>
      <w:r w:rsidR="004E70AD" w:rsidRPr="00246D8C">
        <w:rPr>
          <w:rFonts w:eastAsia="Calibri"/>
          <w:sz w:val="22"/>
          <w:szCs w:val="22"/>
          <w:lang w:val="sr-Latn-ME"/>
        </w:rPr>
        <w:t>Institutu</w:t>
      </w:r>
      <w:r w:rsidRPr="00246D8C">
        <w:rPr>
          <w:rFonts w:eastAsia="Calibri"/>
          <w:sz w:val="22"/>
          <w:szCs w:val="22"/>
          <w:lang w:val="sr-Latn-ME"/>
        </w:rPr>
        <w:t xml:space="preserve"> za ljekove i medicinska sredstva</w:t>
      </w:r>
      <w:r w:rsidR="004E70AD" w:rsidRPr="00246D8C">
        <w:rPr>
          <w:rFonts w:eastAsia="Calibri"/>
          <w:sz w:val="22"/>
          <w:szCs w:val="22"/>
          <w:lang w:val="sr-Latn-ME"/>
        </w:rPr>
        <w:t xml:space="preserve"> </w:t>
      </w:r>
      <w:r w:rsidRPr="00246D8C">
        <w:rPr>
          <w:rFonts w:eastAsia="Calibri"/>
          <w:sz w:val="22"/>
          <w:szCs w:val="22"/>
          <w:lang w:val="sr-Latn-ME"/>
        </w:rPr>
        <w:t>(</w:t>
      </w:r>
      <w:r w:rsidR="004E70AD" w:rsidRPr="00246D8C">
        <w:rPr>
          <w:rFonts w:eastAsia="Calibri"/>
          <w:sz w:val="22"/>
          <w:szCs w:val="22"/>
          <w:lang w:val="sr-Latn-ME"/>
        </w:rPr>
        <w:t>CInMED</w:t>
      </w:r>
      <w:r w:rsidRPr="00246D8C">
        <w:rPr>
          <w:rFonts w:eastAsia="Calibri"/>
          <w:sz w:val="22"/>
          <w:szCs w:val="22"/>
          <w:lang w:val="sr-Latn-ME"/>
        </w:rPr>
        <w:t>):</w:t>
      </w:r>
    </w:p>
    <w:p w14:paraId="56E3FBAF" w14:textId="77777777" w:rsidR="005A23D2" w:rsidRPr="00246D8C" w:rsidRDefault="004E70AD" w:rsidP="003C0336">
      <w:pPr>
        <w:pStyle w:val="NoSpacing"/>
        <w:jc w:val="both"/>
        <w:rPr>
          <w:rFonts w:eastAsia="Calibri"/>
          <w:sz w:val="22"/>
          <w:szCs w:val="22"/>
          <w:lang w:val="sr-Latn-ME"/>
        </w:rPr>
      </w:pPr>
      <w:r w:rsidRPr="00246D8C">
        <w:rPr>
          <w:rFonts w:eastAsia="Calibri"/>
          <w:sz w:val="22"/>
          <w:szCs w:val="22"/>
          <w:lang w:val="sr-Latn-ME"/>
        </w:rPr>
        <w:t xml:space="preserve">Institut </w:t>
      </w:r>
      <w:r w:rsidR="005A23D2" w:rsidRPr="00246D8C">
        <w:rPr>
          <w:rFonts w:eastAsia="Calibri"/>
          <w:sz w:val="22"/>
          <w:szCs w:val="22"/>
          <w:lang w:val="sr-Latn-ME"/>
        </w:rPr>
        <w:t xml:space="preserve">za ljekove i medicinska sredstva </w:t>
      </w:r>
    </w:p>
    <w:p w14:paraId="033B47AA" w14:textId="77777777" w:rsidR="005A23D2" w:rsidRPr="00246D8C" w:rsidRDefault="005A23D2" w:rsidP="00AE24EE">
      <w:pPr>
        <w:pStyle w:val="NoSpacing"/>
        <w:jc w:val="both"/>
        <w:rPr>
          <w:rFonts w:eastAsia="Calibri"/>
          <w:sz w:val="22"/>
          <w:szCs w:val="22"/>
          <w:lang w:val="sr-Latn-ME"/>
        </w:rPr>
      </w:pPr>
      <w:r w:rsidRPr="00246D8C">
        <w:rPr>
          <w:rFonts w:eastAsia="Calibri"/>
          <w:sz w:val="22"/>
          <w:szCs w:val="22"/>
          <w:lang w:val="sr-Latn-ME"/>
        </w:rPr>
        <w:t>Odjeljenje za farmakovigilancu</w:t>
      </w:r>
    </w:p>
    <w:p w14:paraId="1438E521" w14:textId="77777777" w:rsidR="00EA5765" w:rsidRPr="00246D8C" w:rsidRDefault="005A23D2">
      <w:pPr>
        <w:pStyle w:val="NoSpacing"/>
        <w:jc w:val="both"/>
        <w:rPr>
          <w:rFonts w:eastAsia="Calibri"/>
          <w:sz w:val="22"/>
          <w:szCs w:val="22"/>
          <w:lang w:val="sr-Latn-ME"/>
        </w:rPr>
      </w:pPr>
      <w:r w:rsidRPr="00246D8C">
        <w:rPr>
          <w:rFonts w:eastAsia="Calibri"/>
          <w:sz w:val="22"/>
          <w:szCs w:val="22"/>
          <w:lang w:val="sr-Latn-ME"/>
        </w:rPr>
        <w:t>Bulevar Ivana Crnojevića 64a, 81000 Podgorica</w:t>
      </w:r>
    </w:p>
    <w:p w14:paraId="65BAE872" w14:textId="77777777" w:rsidR="00EA5765" w:rsidRPr="00246D8C" w:rsidRDefault="00EA5765" w:rsidP="002D73AD">
      <w:pPr>
        <w:pStyle w:val="NoSpacing"/>
        <w:jc w:val="both"/>
        <w:rPr>
          <w:rFonts w:eastAsia="Calibri"/>
          <w:sz w:val="22"/>
          <w:szCs w:val="22"/>
          <w:lang w:val="sr-Latn-ME"/>
        </w:rPr>
      </w:pPr>
    </w:p>
    <w:p w14:paraId="4E745CDE" w14:textId="77777777" w:rsidR="005A23D2" w:rsidRPr="00246D8C" w:rsidRDefault="005A23D2" w:rsidP="006A7219">
      <w:pPr>
        <w:pStyle w:val="NoSpacing"/>
        <w:jc w:val="both"/>
        <w:rPr>
          <w:rFonts w:eastAsia="Calibri"/>
          <w:sz w:val="22"/>
          <w:szCs w:val="22"/>
          <w:lang w:val="sr-Latn-ME"/>
        </w:rPr>
      </w:pPr>
      <w:r w:rsidRPr="00246D8C">
        <w:rPr>
          <w:rFonts w:eastAsia="Calibri"/>
          <w:sz w:val="22"/>
          <w:szCs w:val="22"/>
          <w:lang w:val="sr-Latn-ME"/>
        </w:rPr>
        <w:t>tel: +382 (0) 20 310 280</w:t>
      </w:r>
    </w:p>
    <w:p w14:paraId="611B895D" w14:textId="77777777" w:rsidR="00EA5765" w:rsidRPr="00246D8C" w:rsidRDefault="005A23D2" w:rsidP="003C0336">
      <w:pPr>
        <w:pStyle w:val="NoSpacing"/>
        <w:jc w:val="both"/>
        <w:rPr>
          <w:rFonts w:eastAsia="Calibri"/>
          <w:sz w:val="22"/>
          <w:szCs w:val="22"/>
          <w:lang w:val="sr-Latn-ME"/>
        </w:rPr>
      </w:pPr>
      <w:r w:rsidRPr="00246D8C">
        <w:rPr>
          <w:rFonts w:eastAsia="Calibri"/>
          <w:sz w:val="22"/>
          <w:szCs w:val="22"/>
          <w:lang w:val="sr-Latn-ME"/>
        </w:rPr>
        <w:t>fax:</w:t>
      </w:r>
      <w:r w:rsidR="00EA5765" w:rsidRPr="00246D8C">
        <w:rPr>
          <w:rFonts w:eastAsia="Calibri"/>
          <w:sz w:val="22"/>
          <w:szCs w:val="22"/>
          <w:lang w:val="sr-Latn-ME"/>
        </w:rPr>
        <w:t xml:space="preserve"> </w:t>
      </w:r>
      <w:r w:rsidRPr="00246D8C">
        <w:rPr>
          <w:rFonts w:eastAsia="Calibri"/>
          <w:sz w:val="22"/>
          <w:szCs w:val="22"/>
          <w:lang w:val="sr-Latn-ME"/>
        </w:rPr>
        <w:t>+382 (0) 20 310 581</w:t>
      </w:r>
    </w:p>
    <w:p w14:paraId="6409BBA5" w14:textId="77777777" w:rsidR="00A01575" w:rsidRPr="00246D8C" w:rsidRDefault="005F1664" w:rsidP="00A01575">
      <w:pPr>
        <w:pStyle w:val="NoSpacing"/>
        <w:jc w:val="both"/>
        <w:rPr>
          <w:rFonts w:eastAsia="Calibri"/>
          <w:sz w:val="22"/>
          <w:szCs w:val="22"/>
          <w:lang w:val="sr-Latn-ME"/>
        </w:rPr>
      </w:pPr>
      <w:hyperlink r:id="rId8" w:history="1">
        <w:r w:rsidR="00A01575" w:rsidRPr="00246D8C">
          <w:rPr>
            <w:rStyle w:val="Hyperlink"/>
            <w:rFonts w:eastAsia="Calibri"/>
            <w:sz w:val="22"/>
            <w:szCs w:val="22"/>
            <w:lang w:val="sr-Latn-ME"/>
          </w:rPr>
          <w:t>www.cinmed.me</w:t>
        </w:r>
      </w:hyperlink>
    </w:p>
    <w:p w14:paraId="64708A1F" w14:textId="77777777" w:rsidR="00A01575" w:rsidRPr="00246D8C" w:rsidRDefault="005F1664" w:rsidP="00A01575">
      <w:pPr>
        <w:pStyle w:val="NoSpacing"/>
        <w:jc w:val="both"/>
        <w:rPr>
          <w:rFonts w:eastAsia="Calibri"/>
          <w:color w:val="0000FF"/>
          <w:sz w:val="22"/>
          <w:szCs w:val="22"/>
          <w:u w:val="single"/>
          <w:lang w:val="sr-Latn-ME"/>
        </w:rPr>
      </w:pPr>
      <w:hyperlink r:id="rId9" w:history="1">
        <w:r w:rsidR="00A01575" w:rsidRPr="00246D8C">
          <w:rPr>
            <w:rStyle w:val="Hyperlink"/>
            <w:rFonts w:eastAsia="Calibri"/>
            <w:sz w:val="22"/>
            <w:szCs w:val="22"/>
            <w:lang w:val="sr-Latn-ME"/>
          </w:rPr>
          <w:t>nezeljenadejstva@cinmed.me</w:t>
        </w:r>
      </w:hyperlink>
    </w:p>
    <w:p w14:paraId="551887CF" w14:textId="4B2400C0" w:rsidR="00E61362" w:rsidRPr="00246D8C" w:rsidRDefault="005A23D2">
      <w:pPr>
        <w:pStyle w:val="NoSpacing"/>
        <w:jc w:val="both"/>
        <w:rPr>
          <w:rFonts w:eastAsia="Calibri"/>
          <w:sz w:val="22"/>
          <w:szCs w:val="22"/>
          <w:lang w:val="sr-Latn-ME"/>
        </w:rPr>
      </w:pPr>
      <w:r w:rsidRPr="00246D8C">
        <w:rPr>
          <w:rFonts w:eastAsia="Calibri"/>
          <w:sz w:val="22"/>
          <w:szCs w:val="22"/>
          <w:lang w:val="sr-Latn-ME"/>
        </w:rPr>
        <w:t>putem IS zdravstvene zaštite</w:t>
      </w:r>
    </w:p>
    <w:p w14:paraId="4742CDBA" w14:textId="77777777" w:rsidR="00E61362" w:rsidRPr="00246D8C" w:rsidRDefault="00E61362">
      <w:pPr>
        <w:pStyle w:val="NoSpacing"/>
        <w:jc w:val="both"/>
        <w:rPr>
          <w:rFonts w:eastAsia="Calibri"/>
          <w:sz w:val="22"/>
          <w:szCs w:val="22"/>
          <w:lang w:val="sr-Latn-ME"/>
        </w:rPr>
      </w:pPr>
      <w:r w:rsidRPr="00246D8C">
        <w:rPr>
          <w:rFonts w:eastAsia="Calibri"/>
          <w:sz w:val="22"/>
          <w:szCs w:val="22"/>
          <w:lang w:val="sr-Latn-ME"/>
        </w:rPr>
        <w:t>QR kod za online prijavu sumnje na neželjeno dejstvo lijeka:</w:t>
      </w:r>
    </w:p>
    <w:p w14:paraId="68DB4597" w14:textId="77777777" w:rsidR="00E61362" w:rsidRPr="00246D8C" w:rsidRDefault="00E61362">
      <w:pPr>
        <w:pStyle w:val="NoSpacing"/>
        <w:jc w:val="both"/>
        <w:rPr>
          <w:rFonts w:eastAsia="Calibri"/>
          <w:sz w:val="22"/>
          <w:szCs w:val="22"/>
          <w:lang w:val="sr-Latn-ME"/>
        </w:rPr>
      </w:pPr>
    </w:p>
    <w:p w14:paraId="3F0996B6" w14:textId="40F2607F" w:rsidR="00E61362" w:rsidRPr="00246D8C" w:rsidRDefault="00FC56E3" w:rsidP="002D73AD">
      <w:pPr>
        <w:pStyle w:val="NoSpacing"/>
        <w:jc w:val="both"/>
        <w:rPr>
          <w:rFonts w:eastAsia="Calibri"/>
          <w:sz w:val="22"/>
          <w:szCs w:val="22"/>
          <w:lang w:val="sr-Latn-ME"/>
        </w:rPr>
      </w:pPr>
      <w:r w:rsidRPr="00246D8C">
        <w:rPr>
          <w:b/>
          <w:bCs/>
          <w:noProof/>
          <w:sz w:val="22"/>
          <w:szCs w:val="22"/>
          <w:lang w:val="sr-Latn-ME"/>
        </w:rPr>
        <w:lastRenderedPageBreak/>
        <w:drawing>
          <wp:inline distT="0" distB="0" distL="0" distR="0" wp14:anchorId="24D681A3" wp14:editId="7D6F386B">
            <wp:extent cx="980796" cy="97200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F41CAF4" w14:textId="77777777" w:rsidR="00836B35" w:rsidRPr="00246D8C" w:rsidRDefault="00836B35" w:rsidP="002D73AD">
      <w:pPr>
        <w:tabs>
          <w:tab w:val="left" w:pos="540"/>
          <w:tab w:val="left" w:pos="569"/>
        </w:tabs>
        <w:jc w:val="both"/>
        <w:rPr>
          <w:b/>
          <w:bCs/>
          <w:sz w:val="22"/>
          <w:szCs w:val="22"/>
          <w:lang w:val="sr-Latn-ME"/>
        </w:rPr>
      </w:pPr>
    </w:p>
    <w:p w14:paraId="7A13DEE9" w14:textId="77777777" w:rsidR="00CD6F02" w:rsidRPr="00246D8C" w:rsidRDefault="0072020E" w:rsidP="002D73AD">
      <w:pPr>
        <w:tabs>
          <w:tab w:val="left" w:pos="540"/>
          <w:tab w:val="left" w:pos="569"/>
        </w:tabs>
        <w:jc w:val="both"/>
        <w:rPr>
          <w:b/>
          <w:bCs/>
          <w:sz w:val="22"/>
          <w:szCs w:val="22"/>
          <w:lang w:val="sr-Latn-ME"/>
        </w:rPr>
      </w:pPr>
      <w:r w:rsidRPr="00246D8C">
        <w:rPr>
          <w:b/>
          <w:bCs/>
          <w:sz w:val="22"/>
          <w:szCs w:val="22"/>
          <w:lang w:val="sr-Latn-ME"/>
        </w:rPr>
        <w:t xml:space="preserve">4.9. </w:t>
      </w:r>
      <w:r w:rsidR="00480FB1" w:rsidRPr="00246D8C">
        <w:rPr>
          <w:b/>
          <w:bCs/>
          <w:sz w:val="22"/>
          <w:szCs w:val="22"/>
          <w:lang w:val="sr-Latn-ME"/>
        </w:rPr>
        <w:tab/>
      </w:r>
      <w:r w:rsidRPr="00246D8C">
        <w:rPr>
          <w:b/>
          <w:bCs/>
          <w:sz w:val="22"/>
          <w:szCs w:val="22"/>
          <w:lang w:val="sr-Latn-ME"/>
        </w:rPr>
        <w:t>Predoziranje</w:t>
      </w:r>
      <w:r w:rsidR="002846DB" w:rsidRPr="00246D8C">
        <w:rPr>
          <w:b/>
          <w:bCs/>
          <w:sz w:val="22"/>
          <w:szCs w:val="22"/>
          <w:lang w:val="sr-Latn-ME"/>
        </w:rPr>
        <w:t xml:space="preserve"> </w:t>
      </w:r>
    </w:p>
    <w:p w14:paraId="675B7C8A" w14:textId="77777777" w:rsidR="00CD6F02" w:rsidRPr="00246D8C" w:rsidRDefault="00CD6F02" w:rsidP="002D73AD">
      <w:pPr>
        <w:tabs>
          <w:tab w:val="left" w:pos="540"/>
          <w:tab w:val="left" w:pos="569"/>
        </w:tabs>
        <w:jc w:val="both"/>
        <w:rPr>
          <w:b/>
          <w:bCs/>
          <w:sz w:val="22"/>
          <w:szCs w:val="22"/>
          <w:lang w:val="sr-Latn-ME"/>
        </w:rPr>
      </w:pPr>
    </w:p>
    <w:p w14:paraId="3BC5A98D" w14:textId="3DD5609F" w:rsidR="00227BDB" w:rsidRPr="00246D8C" w:rsidRDefault="003E0023" w:rsidP="002D73AD">
      <w:pPr>
        <w:tabs>
          <w:tab w:val="left" w:pos="540"/>
          <w:tab w:val="left" w:pos="569"/>
        </w:tabs>
        <w:jc w:val="both"/>
        <w:rPr>
          <w:sz w:val="22"/>
          <w:szCs w:val="22"/>
          <w:lang w:val="sr-Latn-ME"/>
        </w:rPr>
      </w:pPr>
      <w:r w:rsidRPr="00246D8C">
        <w:rPr>
          <w:sz w:val="22"/>
          <w:szCs w:val="22"/>
          <w:lang w:val="sr-Latn-ME"/>
        </w:rPr>
        <w:t xml:space="preserve">Pokazano je da je lijek Onglyza bez klinički značajnog dejstva na QTc interval ili brzinu srčanih otkucaja pri primjeni oralnih doza do 400 mg na dan tokom 2 nedjelje (doza 80 puta viša od preporučene doze). U slučaju predoziranja, treba započeti odgovarajuću </w:t>
      </w:r>
      <w:r w:rsidR="00BA41B7" w:rsidRPr="00246D8C">
        <w:rPr>
          <w:sz w:val="22"/>
          <w:szCs w:val="22"/>
          <w:lang w:val="sr-Latn-ME"/>
        </w:rPr>
        <w:t>su</w:t>
      </w:r>
      <w:r w:rsidRPr="00246D8C">
        <w:rPr>
          <w:sz w:val="22"/>
          <w:szCs w:val="22"/>
          <w:lang w:val="sr-Latn-ME"/>
        </w:rPr>
        <w:t xml:space="preserve"> terapiju u skladu sa kliničkim stanjem pacijenta. Saksagliptin i njegov glavni metabolit se mogu eliminisati hemodijalizom (23% doze tokom 4 sata).</w:t>
      </w:r>
    </w:p>
    <w:p w14:paraId="04197E63" w14:textId="77777777" w:rsidR="00BA41B7" w:rsidRPr="00246D8C" w:rsidRDefault="00BA41B7" w:rsidP="002D73AD">
      <w:pPr>
        <w:tabs>
          <w:tab w:val="left" w:pos="540"/>
          <w:tab w:val="left" w:pos="569"/>
        </w:tabs>
        <w:jc w:val="both"/>
        <w:rPr>
          <w:sz w:val="22"/>
          <w:szCs w:val="22"/>
          <w:lang w:val="sr-Latn-ME"/>
        </w:rPr>
      </w:pPr>
    </w:p>
    <w:p w14:paraId="5F3146B5" w14:textId="77777777" w:rsidR="003E0023" w:rsidRPr="00246D8C" w:rsidRDefault="003E0023" w:rsidP="002D73AD">
      <w:pPr>
        <w:tabs>
          <w:tab w:val="left" w:pos="540"/>
          <w:tab w:val="left" w:pos="569"/>
        </w:tabs>
        <w:jc w:val="both"/>
        <w:rPr>
          <w:b/>
          <w:bCs/>
          <w:sz w:val="22"/>
          <w:szCs w:val="22"/>
          <w:lang w:val="sr-Latn-ME"/>
        </w:rPr>
      </w:pPr>
    </w:p>
    <w:p w14:paraId="290663E2" w14:textId="77777777" w:rsidR="0072020E" w:rsidRPr="00246D8C" w:rsidRDefault="0072020E" w:rsidP="002D73AD">
      <w:pPr>
        <w:tabs>
          <w:tab w:val="left" w:pos="540"/>
          <w:tab w:val="left" w:pos="569"/>
        </w:tabs>
        <w:jc w:val="both"/>
        <w:rPr>
          <w:b/>
          <w:bCs/>
          <w:sz w:val="22"/>
          <w:szCs w:val="22"/>
          <w:lang w:val="sr-Latn-ME"/>
        </w:rPr>
      </w:pPr>
      <w:r w:rsidRPr="00246D8C">
        <w:rPr>
          <w:b/>
          <w:bCs/>
          <w:sz w:val="22"/>
          <w:szCs w:val="22"/>
          <w:lang w:val="sr-Latn-ME"/>
        </w:rPr>
        <w:t xml:space="preserve">5. </w:t>
      </w:r>
      <w:r w:rsidR="00480FB1" w:rsidRPr="00246D8C">
        <w:rPr>
          <w:b/>
          <w:bCs/>
          <w:sz w:val="22"/>
          <w:szCs w:val="22"/>
          <w:lang w:val="sr-Latn-ME"/>
        </w:rPr>
        <w:tab/>
      </w:r>
      <w:r w:rsidRPr="00246D8C">
        <w:rPr>
          <w:b/>
          <w:bCs/>
          <w:sz w:val="22"/>
          <w:szCs w:val="22"/>
          <w:lang w:val="sr-Latn-ME"/>
        </w:rPr>
        <w:t>FARMAKOLOŠK</w:t>
      </w:r>
      <w:r w:rsidR="000D425A" w:rsidRPr="00246D8C">
        <w:rPr>
          <w:b/>
          <w:bCs/>
          <w:sz w:val="22"/>
          <w:szCs w:val="22"/>
          <w:lang w:val="sr-Latn-ME"/>
        </w:rPr>
        <w:t>I</w:t>
      </w:r>
      <w:r w:rsidRPr="00246D8C">
        <w:rPr>
          <w:b/>
          <w:bCs/>
          <w:sz w:val="22"/>
          <w:szCs w:val="22"/>
          <w:lang w:val="sr-Latn-ME"/>
        </w:rPr>
        <w:t xml:space="preserve"> PODACI</w:t>
      </w:r>
    </w:p>
    <w:p w14:paraId="7532B0E3" w14:textId="77777777" w:rsidR="0072020E" w:rsidRPr="00246D8C" w:rsidRDefault="0072020E" w:rsidP="002D73AD">
      <w:pPr>
        <w:tabs>
          <w:tab w:val="left" w:pos="540"/>
          <w:tab w:val="left" w:pos="569"/>
        </w:tabs>
        <w:jc w:val="both"/>
        <w:rPr>
          <w:b/>
          <w:bCs/>
          <w:sz w:val="22"/>
          <w:szCs w:val="22"/>
          <w:lang w:val="sr-Latn-ME"/>
        </w:rPr>
      </w:pPr>
    </w:p>
    <w:p w14:paraId="34B8E1DC" w14:textId="77777777" w:rsidR="0072020E" w:rsidRPr="00246D8C" w:rsidRDefault="0072020E" w:rsidP="002D73AD">
      <w:pPr>
        <w:tabs>
          <w:tab w:val="left" w:pos="540"/>
          <w:tab w:val="left" w:pos="569"/>
        </w:tabs>
        <w:jc w:val="both"/>
        <w:rPr>
          <w:b/>
          <w:bCs/>
          <w:sz w:val="22"/>
          <w:szCs w:val="22"/>
          <w:lang w:val="sr-Latn-ME"/>
        </w:rPr>
      </w:pPr>
      <w:r w:rsidRPr="00246D8C">
        <w:rPr>
          <w:b/>
          <w:bCs/>
          <w:sz w:val="22"/>
          <w:szCs w:val="22"/>
          <w:lang w:val="sr-Latn-ME"/>
        </w:rPr>
        <w:t xml:space="preserve">5.1. </w:t>
      </w:r>
      <w:r w:rsidR="00480FB1" w:rsidRPr="00246D8C">
        <w:rPr>
          <w:b/>
          <w:bCs/>
          <w:sz w:val="22"/>
          <w:szCs w:val="22"/>
          <w:lang w:val="sr-Latn-ME"/>
        </w:rPr>
        <w:tab/>
      </w:r>
      <w:r w:rsidRPr="00246D8C">
        <w:rPr>
          <w:b/>
          <w:bCs/>
          <w:sz w:val="22"/>
          <w:szCs w:val="22"/>
          <w:lang w:val="sr-Latn-ME"/>
        </w:rPr>
        <w:t>Farmakodinamski podaci</w:t>
      </w:r>
      <w:r w:rsidR="003A7059" w:rsidRPr="00246D8C">
        <w:rPr>
          <w:b/>
          <w:bCs/>
          <w:sz w:val="22"/>
          <w:szCs w:val="22"/>
          <w:lang w:val="sr-Latn-ME"/>
        </w:rPr>
        <w:t xml:space="preserve"> </w:t>
      </w:r>
    </w:p>
    <w:p w14:paraId="33BD9641" w14:textId="77777777" w:rsidR="00F45F77" w:rsidRPr="00246D8C" w:rsidRDefault="00F45F77" w:rsidP="002D73AD">
      <w:pPr>
        <w:tabs>
          <w:tab w:val="left" w:pos="540"/>
          <w:tab w:val="left" w:pos="569"/>
        </w:tabs>
        <w:jc w:val="both"/>
        <w:rPr>
          <w:b/>
          <w:bCs/>
          <w:sz w:val="22"/>
          <w:szCs w:val="22"/>
          <w:lang w:val="sr-Latn-ME"/>
        </w:rPr>
      </w:pPr>
    </w:p>
    <w:p w14:paraId="4E0DF80C" w14:textId="3DE87806" w:rsidR="0072020E" w:rsidRPr="00246D8C" w:rsidRDefault="0072020E" w:rsidP="002D73AD">
      <w:pPr>
        <w:tabs>
          <w:tab w:val="left" w:pos="540"/>
          <w:tab w:val="left" w:pos="569"/>
        </w:tabs>
        <w:jc w:val="both"/>
        <w:rPr>
          <w:bCs/>
          <w:sz w:val="22"/>
          <w:szCs w:val="22"/>
          <w:lang w:val="sr-Latn-ME"/>
        </w:rPr>
      </w:pPr>
      <w:r w:rsidRPr="00246D8C">
        <w:rPr>
          <w:bCs/>
          <w:sz w:val="22"/>
          <w:szCs w:val="22"/>
          <w:lang w:val="sr-Latn-ME"/>
        </w:rPr>
        <w:t>Farmakoterapijska grupa:</w:t>
      </w:r>
      <w:r w:rsidR="003E0023" w:rsidRPr="00246D8C">
        <w:rPr>
          <w:bCs/>
          <w:sz w:val="22"/>
          <w:szCs w:val="22"/>
          <w:lang w:val="sr-Latn-ME"/>
        </w:rPr>
        <w:t xml:space="preserve"> </w:t>
      </w:r>
      <w:r w:rsidR="003E0023" w:rsidRPr="00246D8C">
        <w:rPr>
          <w:sz w:val="22"/>
          <w:szCs w:val="22"/>
          <w:lang w:val="sr-Latn-ME"/>
        </w:rPr>
        <w:t>Ljekovi koji se koriste u dijabetesu. Inhibitori dipeptidil peptidaze 4 (DPP</w:t>
      </w:r>
      <w:r w:rsidR="003E0023" w:rsidRPr="00246D8C">
        <w:rPr>
          <w:sz w:val="22"/>
          <w:szCs w:val="22"/>
          <w:lang w:val="sr-Latn-ME"/>
        </w:rPr>
        <w:noBreakHyphen/>
        <w:t>4)</w:t>
      </w:r>
    </w:p>
    <w:p w14:paraId="0F4F3F1A" w14:textId="77777777" w:rsidR="00FD24BA" w:rsidRPr="00246D8C" w:rsidRDefault="00FD24BA" w:rsidP="002D73AD">
      <w:pPr>
        <w:tabs>
          <w:tab w:val="left" w:pos="540"/>
          <w:tab w:val="left" w:pos="569"/>
        </w:tabs>
        <w:jc w:val="both"/>
        <w:rPr>
          <w:bCs/>
          <w:sz w:val="22"/>
          <w:szCs w:val="22"/>
          <w:lang w:val="sr-Latn-ME"/>
        </w:rPr>
      </w:pPr>
    </w:p>
    <w:p w14:paraId="08F1B1B0" w14:textId="5D65392C" w:rsidR="0072020E" w:rsidRPr="00246D8C" w:rsidRDefault="0072020E" w:rsidP="002D73AD">
      <w:pPr>
        <w:tabs>
          <w:tab w:val="left" w:pos="540"/>
          <w:tab w:val="left" w:pos="569"/>
        </w:tabs>
        <w:jc w:val="both"/>
        <w:rPr>
          <w:sz w:val="22"/>
          <w:szCs w:val="22"/>
          <w:lang w:val="sr-Latn-ME"/>
        </w:rPr>
      </w:pPr>
      <w:r w:rsidRPr="00246D8C">
        <w:rPr>
          <w:bCs/>
          <w:sz w:val="22"/>
          <w:szCs w:val="22"/>
          <w:lang w:val="sr-Latn-ME"/>
        </w:rPr>
        <w:t>ATC kod:</w:t>
      </w:r>
      <w:r w:rsidR="003E0023" w:rsidRPr="00246D8C">
        <w:rPr>
          <w:bCs/>
          <w:sz w:val="22"/>
          <w:szCs w:val="22"/>
          <w:lang w:val="sr-Latn-ME"/>
        </w:rPr>
        <w:t xml:space="preserve"> </w:t>
      </w:r>
      <w:r w:rsidR="003E0023" w:rsidRPr="00246D8C">
        <w:rPr>
          <w:sz w:val="22"/>
          <w:szCs w:val="22"/>
          <w:lang w:val="sr-Latn-ME"/>
        </w:rPr>
        <w:t>A10BH03</w:t>
      </w:r>
    </w:p>
    <w:p w14:paraId="4F109091" w14:textId="77777777" w:rsidR="00F07D95" w:rsidRPr="00246D8C" w:rsidRDefault="00F07D95" w:rsidP="002D73AD">
      <w:pPr>
        <w:tabs>
          <w:tab w:val="left" w:pos="540"/>
          <w:tab w:val="left" w:pos="569"/>
        </w:tabs>
        <w:jc w:val="both"/>
        <w:rPr>
          <w:bCs/>
          <w:sz w:val="22"/>
          <w:szCs w:val="22"/>
          <w:lang w:val="sr-Latn-ME"/>
        </w:rPr>
      </w:pPr>
    </w:p>
    <w:p w14:paraId="77D4EB57" w14:textId="77777777" w:rsidR="003E0023" w:rsidRPr="00246D8C" w:rsidRDefault="003E0023" w:rsidP="006A7219">
      <w:pPr>
        <w:tabs>
          <w:tab w:val="left" w:pos="284"/>
        </w:tabs>
        <w:jc w:val="both"/>
        <w:outlineLvl w:val="0"/>
        <w:rPr>
          <w:sz w:val="22"/>
          <w:szCs w:val="22"/>
          <w:u w:val="single"/>
          <w:lang w:val="sr-Latn-ME"/>
        </w:rPr>
      </w:pPr>
      <w:r w:rsidRPr="00246D8C">
        <w:rPr>
          <w:sz w:val="22"/>
          <w:szCs w:val="22"/>
          <w:u w:val="single"/>
          <w:lang w:val="sr-Latn-ME"/>
        </w:rPr>
        <w:t>Mehanizam djelovanja i farmakodinamska dejstva</w:t>
      </w:r>
    </w:p>
    <w:p w14:paraId="3E5559E6" w14:textId="37769528" w:rsidR="003E0023" w:rsidRPr="00246D8C" w:rsidRDefault="003E0023" w:rsidP="00F07D95">
      <w:pPr>
        <w:tabs>
          <w:tab w:val="left" w:pos="284"/>
        </w:tabs>
        <w:jc w:val="both"/>
        <w:outlineLvl w:val="0"/>
        <w:rPr>
          <w:sz w:val="22"/>
          <w:szCs w:val="22"/>
          <w:lang w:val="sr-Latn-ME"/>
        </w:rPr>
      </w:pPr>
      <w:r w:rsidRPr="00246D8C">
        <w:rPr>
          <w:sz w:val="22"/>
          <w:szCs w:val="22"/>
          <w:lang w:val="sr-Latn-ME"/>
        </w:rPr>
        <w:t>Saksagliptin je veoma snažan (Ki: 1.3 nM), selektivan, reverzibilan, kompetitivan inhibitor DPP</w:t>
      </w:r>
      <w:r w:rsidRPr="00246D8C">
        <w:rPr>
          <w:sz w:val="22"/>
          <w:szCs w:val="22"/>
          <w:lang w:val="sr-Latn-ME"/>
        </w:rPr>
        <w:noBreakHyphen/>
        <w:t>4. Kod pacijenata sa dijabetesom tipa 2, administracija saksagliptina je dovodila do inhibicije enzimske aktivnosti DPP</w:t>
      </w:r>
      <w:r w:rsidRPr="00246D8C">
        <w:rPr>
          <w:sz w:val="22"/>
          <w:szCs w:val="22"/>
          <w:lang w:val="sr-Latn-ME"/>
        </w:rPr>
        <w:noBreakHyphen/>
        <w:t>4 tokom perioda od 24 sata. Poslije oralnog opterećenja glukozom, ova inhibicija DPP</w:t>
      </w:r>
      <w:r w:rsidRPr="00246D8C">
        <w:rPr>
          <w:sz w:val="22"/>
          <w:szCs w:val="22"/>
          <w:lang w:val="sr-Latn-ME"/>
        </w:rPr>
        <w:noBreakHyphen/>
        <w:t>4 je dovela do dvostrukog do trostrukog povećanja cirkulišućih nivoa aktivnih inkretinskih hormona, uključujući i peptid</w:t>
      </w:r>
      <w:r w:rsidRPr="00246D8C">
        <w:rPr>
          <w:sz w:val="22"/>
          <w:szCs w:val="22"/>
          <w:lang w:val="sr-Latn-ME"/>
        </w:rPr>
        <w:noBreakHyphen/>
        <w:t xml:space="preserve">1 nalik na glukagon </w:t>
      </w:r>
      <w:r w:rsidR="00F07D95" w:rsidRPr="00246D8C">
        <w:rPr>
          <w:sz w:val="22"/>
          <w:szCs w:val="22"/>
          <w:lang w:val="sr-Latn-ME"/>
        </w:rPr>
        <w:t xml:space="preserve">(engl. </w:t>
      </w:r>
      <w:r w:rsidR="00F07D95" w:rsidRPr="00246D8C">
        <w:rPr>
          <w:i/>
          <w:sz w:val="22"/>
          <w:szCs w:val="22"/>
          <w:lang w:val="sr-Latn-ME"/>
        </w:rPr>
        <w:t>glucagon-like peptide</w:t>
      </w:r>
      <w:r w:rsidR="00F07D95" w:rsidRPr="00246D8C">
        <w:rPr>
          <w:sz w:val="22"/>
          <w:szCs w:val="22"/>
          <w:lang w:val="sr-Latn-ME"/>
        </w:rPr>
        <w:t xml:space="preserve"> 1, GLP-1) </w:t>
      </w:r>
      <w:r w:rsidRPr="00246D8C">
        <w:rPr>
          <w:sz w:val="22"/>
          <w:szCs w:val="22"/>
          <w:lang w:val="sr-Latn-ME"/>
        </w:rPr>
        <w:t xml:space="preserve">i glukoza-zavisan insulinotropni polipeptid </w:t>
      </w:r>
      <w:r w:rsidR="00F07D95" w:rsidRPr="00246D8C">
        <w:rPr>
          <w:sz w:val="22"/>
          <w:szCs w:val="22"/>
          <w:lang w:val="sr-Latn-ME"/>
        </w:rPr>
        <w:t xml:space="preserve">(engl. </w:t>
      </w:r>
      <w:r w:rsidR="00F07D95" w:rsidRPr="00246D8C">
        <w:rPr>
          <w:i/>
          <w:sz w:val="22"/>
          <w:szCs w:val="22"/>
          <w:lang w:val="sr-Latn-ME"/>
        </w:rPr>
        <w:t>glucose-dependent insulinotropic polypeptide</w:t>
      </w:r>
      <w:r w:rsidR="00F07D95" w:rsidRPr="00246D8C">
        <w:rPr>
          <w:sz w:val="22"/>
          <w:szCs w:val="22"/>
          <w:lang w:val="sr-Latn-ME"/>
        </w:rPr>
        <w:t>, GIP),</w:t>
      </w:r>
      <w:r w:rsidRPr="00246D8C">
        <w:rPr>
          <w:sz w:val="22"/>
          <w:szCs w:val="22"/>
          <w:lang w:val="sr-Latn-ME"/>
        </w:rPr>
        <w:t xml:space="preserve"> smanjenja koncentracija glukagona i povećanja </w:t>
      </w:r>
      <w:r w:rsidR="00F07D95" w:rsidRPr="00246D8C">
        <w:rPr>
          <w:sz w:val="22"/>
          <w:szCs w:val="22"/>
          <w:lang w:val="sr-Latn-ME"/>
        </w:rPr>
        <w:t>odgovora</w:t>
      </w:r>
      <w:r w:rsidRPr="00246D8C">
        <w:rPr>
          <w:sz w:val="22"/>
          <w:szCs w:val="22"/>
          <w:lang w:val="sr-Latn-ME"/>
        </w:rPr>
        <w:t xml:space="preserve"> beta ćelija zavisnih od glukoze, što je dovelo do viših koncentracija insulina i C-peptida. Ovo povećanje insulina iz beta-ćelija pankreasa i smanjenje glukagona iz alfa-ćelija pankreasa bilo je udruženo sa nižim koncentracijama glukoze poslije gladovanja i smanjenja odstupanja glukoze poslije oralnog opterećenja glukozom ili poslije obroka.</w:t>
      </w:r>
      <w:r w:rsidR="006702E5" w:rsidRPr="00246D8C">
        <w:rPr>
          <w:sz w:val="22"/>
          <w:szCs w:val="22"/>
          <w:lang w:val="sr-Latn-ME"/>
        </w:rPr>
        <w:t xml:space="preserve"> </w:t>
      </w:r>
      <w:r w:rsidRPr="00246D8C">
        <w:rPr>
          <w:sz w:val="22"/>
          <w:szCs w:val="22"/>
          <w:lang w:val="sr-Latn-ME"/>
        </w:rPr>
        <w:t>Saksagliptin poboljšava kontrolu glikemije smanjenjem koncentracija glukoze poslije gladovanja ili poslije unošenja hrane kod pacijenata sa dijabetesom tipa 2.</w:t>
      </w:r>
    </w:p>
    <w:p w14:paraId="6B66989B" w14:textId="77777777" w:rsidR="003E0023" w:rsidRPr="00246D8C" w:rsidRDefault="003E0023" w:rsidP="003C0336">
      <w:pPr>
        <w:tabs>
          <w:tab w:val="left" w:pos="284"/>
        </w:tabs>
        <w:jc w:val="both"/>
        <w:outlineLvl w:val="0"/>
        <w:rPr>
          <w:sz w:val="22"/>
          <w:szCs w:val="22"/>
          <w:lang w:val="sr-Latn-ME"/>
        </w:rPr>
      </w:pPr>
    </w:p>
    <w:p w14:paraId="59F95A28" w14:textId="77777777" w:rsidR="003E0023" w:rsidRPr="00246D8C" w:rsidRDefault="003E0023" w:rsidP="00AE24EE">
      <w:pPr>
        <w:tabs>
          <w:tab w:val="left" w:pos="284"/>
        </w:tabs>
        <w:jc w:val="both"/>
        <w:outlineLvl w:val="0"/>
        <w:rPr>
          <w:sz w:val="22"/>
          <w:szCs w:val="22"/>
          <w:u w:val="single"/>
          <w:lang w:val="sr-Latn-ME"/>
        </w:rPr>
      </w:pPr>
      <w:r w:rsidRPr="00246D8C">
        <w:rPr>
          <w:sz w:val="22"/>
          <w:szCs w:val="22"/>
          <w:u w:val="single"/>
          <w:lang w:val="sr-Latn-ME"/>
        </w:rPr>
        <w:t xml:space="preserve">Klinička efikasnost i bezbjednost </w:t>
      </w:r>
    </w:p>
    <w:p w14:paraId="4E04A771" w14:textId="5B44DF98" w:rsidR="003E0023" w:rsidRPr="00246D8C" w:rsidRDefault="003E0023" w:rsidP="00AE24EE">
      <w:pPr>
        <w:tabs>
          <w:tab w:val="left" w:pos="284"/>
        </w:tabs>
        <w:jc w:val="both"/>
        <w:outlineLvl w:val="0"/>
        <w:rPr>
          <w:sz w:val="22"/>
          <w:szCs w:val="22"/>
          <w:lang w:val="sr-Latn-ME"/>
        </w:rPr>
      </w:pPr>
      <w:r w:rsidRPr="00246D8C">
        <w:rPr>
          <w:sz w:val="22"/>
          <w:szCs w:val="22"/>
          <w:lang w:val="sr-Latn-ME"/>
        </w:rPr>
        <w:t>U randomizovanim, kontrolisanim, dvostruko slijepim kliničkim studijama (uključujući razvojno i postmarketinško iskustvo) preko 17000 pacijenata</w:t>
      </w:r>
      <w:r w:rsidR="006702E5" w:rsidRPr="00246D8C">
        <w:rPr>
          <w:sz w:val="22"/>
          <w:szCs w:val="22"/>
          <w:lang w:val="sr-Latn-ME"/>
        </w:rPr>
        <w:t xml:space="preserve"> </w:t>
      </w:r>
      <w:r w:rsidRPr="00246D8C">
        <w:rPr>
          <w:sz w:val="22"/>
          <w:szCs w:val="22"/>
          <w:lang w:val="sr-Latn-ME"/>
        </w:rPr>
        <w:t>sa dijabetesom tipa 2 liječeno je saksagliptinom.</w:t>
      </w:r>
    </w:p>
    <w:p w14:paraId="23987E02" w14:textId="77777777" w:rsidR="003E0023" w:rsidRPr="00246D8C" w:rsidRDefault="003E0023">
      <w:pPr>
        <w:tabs>
          <w:tab w:val="left" w:pos="284"/>
        </w:tabs>
        <w:jc w:val="both"/>
        <w:outlineLvl w:val="0"/>
        <w:rPr>
          <w:sz w:val="22"/>
          <w:szCs w:val="22"/>
          <w:lang w:val="sr-Latn-ME"/>
        </w:rPr>
      </w:pPr>
    </w:p>
    <w:p w14:paraId="2C26D20B" w14:textId="77777777" w:rsidR="003E0023" w:rsidRPr="00246D8C" w:rsidRDefault="003E0023">
      <w:pPr>
        <w:tabs>
          <w:tab w:val="left" w:pos="284"/>
        </w:tabs>
        <w:jc w:val="both"/>
        <w:outlineLvl w:val="0"/>
        <w:rPr>
          <w:i/>
          <w:sz w:val="22"/>
          <w:szCs w:val="22"/>
          <w:u w:val="single"/>
          <w:lang w:val="sr-Latn-ME"/>
        </w:rPr>
      </w:pPr>
      <w:r w:rsidRPr="00246D8C">
        <w:rPr>
          <w:i/>
          <w:sz w:val="22"/>
          <w:szCs w:val="22"/>
          <w:u w:val="single"/>
          <w:lang w:val="sr-Latn-ME"/>
        </w:rPr>
        <w:t>Kontrola glikemije</w:t>
      </w:r>
    </w:p>
    <w:p w14:paraId="6854B620" w14:textId="255A3114" w:rsidR="003E0023" w:rsidRPr="00246D8C" w:rsidRDefault="003E0023">
      <w:pPr>
        <w:tabs>
          <w:tab w:val="left" w:pos="284"/>
        </w:tabs>
        <w:jc w:val="both"/>
        <w:outlineLvl w:val="0"/>
        <w:rPr>
          <w:sz w:val="22"/>
          <w:szCs w:val="22"/>
          <w:lang w:val="sr-Latn-ME"/>
        </w:rPr>
      </w:pPr>
      <w:r w:rsidRPr="00246D8C">
        <w:rPr>
          <w:sz w:val="22"/>
          <w:szCs w:val="22"/>
          <w:lang w:val="sr-Latn-ME"/>
        </w:rPr>
        <w:t>Ukupno je 4148 pacijenata sa dijabetesom tipa 2, uključujući i 3021 pacijenta tretiranog saksagliptinom randomizovano u 6 dvostruko slijepih, kontrolisanih kliničkih studija bezbjednosti i efikasnosti koje su sprovedene kako bi se procijenilo dejstvo saksagliptina na kontrolu glikemije.</w:t>
      </w:r>
      <w:r w:rsidR="00F07D95" w:rsidRPr="00246D8C">
        <w:rPr>
          <w:sz w:val="22"/>
          <w:szCs w:val="22"/>
          <w:lang w:val="sr-Latn-ME"/>
        </w:rPr>
        <w:t xml:space="preserve"> </w:t>
      </w:r>
      <w:r w:rsidRPr="00246D8C">
        <w:rPr>
          <w:sz w:val="22"/>
          <w:szCs w:val="22"/>
          <w:lang w:val="sr-Latn-ME"/>
        </w:rPr>
        <w:t xml:space="preserve">Terapija saksagliptinom u dozi od 5 mg jednom dnevno dovela je do klinički relevantnih i statistički značajnih poboljšanja hemoglobina A1c (HbA1c), glukoze u plazmi poslije gladovanja (FPG) i postprandijalne glukoze (PPG) u odnosu na placebo pri primjeni monoterapije, kombinacije sa metforminom (inicijalna ili dodatna terapija), kombinacije sa nekom sulfonilureom i kombinacije sa tiazolidindionom (vidjeti Tabelu </w:t>
      </w:r>
      <w:r w:rsidR="00F07D95" w:rsidRPr="00246D8C">
        <w:rPr>
          <w:sz w:val="22"/>
          <w:szCs w:val="22"/>
          <w:lang w:val="sr-Latn-ME"/>
        </w:rPr>
        <w:t>2</w:t>
      </w:r>
      <w:r w:rsidRPr="00246D8C">
        <w:rPr>
          <w:sz w:val="22"/>
          <w:szCs w:val="22"/>
          <w:lang w:val="sr-Latn-ME"/>
        </w:rPr>
        <w:t>). Takođe nije došlo do očigledne promjene težine udružene sa</w:t>
      </w:r>
      <w:r w:rsidR="006702E5" w:rsidRPr="00246D8C">
        <w:rPr>
          <w:sz w:val="22"/>
          <w:szCs w:val="22"/>
          <w:lang w:val="sr-Latn-ME"/>
        </w:rPr>
        <w:t xml:space="preserve"> </w:t>
      </w:r>
      <w:r w:rsidRPr="00246D8C">
        <w:rPr>
          <w:sz w:val="22"/>
          <w:szCs w:val="22"/>
          <w:lang w:val="sr-Latn-ME"/>
        </w:rPr>
        <w:t>saksagliptinom. Smanjenje HbA1c je zabilježeno kod svih podgrupa klasifikovanih prema polu, starosti, rasi i osnovnom indeksu tjelesne mase (BMI) u odnosu na početno stanje, dok je viša vrijednost HbA1c bila povezana sa većom prilagođenom promjenom do koje je došlo poslije primjene saksagliptina u odnosu na početno stanje.</w:t>
      </w:r>
    </w:p>
    <w:p w14:paraId="14DBEA6E" w14:textId="77777777" w:rsidR="003E0023" w:rsidRPr="00246D8C" w:rsidRDefault="003E0023">
      <w:pPr>
        <w:tabs>
          <w:tab w:val="left" w:pos="284"/>
        </w:tabs>
        <w:spacing w:before="240" w:after="60"/>
        <w:jc w:val="both"/>
        <w:outlineLvl w:val="5"/>
        <w:rPr>
          <w:bCs/>
          <w:i/>
          <w:iCs/>
          <w:sz w:val="22"/>
          <w:szCs w:val="22"/>
          <w:lang w:val="sr-Latn-ME"/>
        </w:rPr>
      </w:pPr>
      <w:r w:rsidRPr="00246D8C">
        <w:rPr>
          <w:bCs/>
          <w:i/>
          <w:iCs/>
          <w:sz w:val="22"/>
          <w:szCs w:val="22"/>
          <w:lang w:val="sr-Latn-ME"/>
        </w:rPr>
        <w:t xml:space="preserve">Saksagliptin kao monoterapija </w:t>
      </w:r>
    </w:p>
    <w:p w14:paraId="53BD3AA7" w14:textId="77777777" w:rsidR="003E0023" w:rsidRPr="00246D8C" w:rsidRDefault="003E0023">
      <w:pPr>
        <w:tabs>
          <w:tab w:val="left" w:pos="284"/>
        </w:tabs>
        <w:jc w:val="both"/>
        <w:rPr>
          <w:b/>
          <w:sz w:val="22"/>
          <w:szCs w:val="22"/>
          <w:lang w:val="sr-Latn-ME"/>
        </w:rPr>
      </w:pPr>
      <w:r w:rsidRPr="00246D8C">
        <w:rPr>
          <w:sz w:val="22"/>
          <w:szCs w:val="22"/>
          <w:lang w:val="sr-Latn-ME"/>
        </w:rPr>
        <w:t>Sprovedene su dvije dvostruko</w:t>
      </w:r>
      <w:r w:rsidRPr="00246D8C">
        <w:rPr>
          <w:sz w:val="22"/>
          <w:szCs w:val="22"/>
          <w:lang w:val="sr-Latn-ME"/>
        </w:rPr>
        <w:noBreakHyphen/>
        <w:t xml:space="preserve">slijepe studije sa placebo kontrolom koje su trajale 24 nedjelje kako bi se procijenila efikasnost i bezbjednost monoterapije saksagliptinom kod pacijenata sa dijabetesom tipa </w:t>
      </w:r>
      <w:r w:rsidRPr="00246D8C">
        <w:rPr>
          <w:sz w:val="22"/>
          <w:szCs w:val="22"/>
          <w:lang w:val="sr-Latn-ME"/>
        </w:rPr>
        <w:lastRenderedPageBreak/>
        <w:t>2. U obje studije je terapija saksagliptinom koji je primjenjivan jednom dnevno dovela do značajnog poboljšanja HbA1c (vidjeti Tabelu 3). Rezultati ovih studija potvrđeni su sa 2 naredne 24-nedjeljne regionalne (Azija) monoterapijske studije, koje su poredile saksagliptin 5mg sa placebom.</w:t>
      </w:r>
    </w:p>
    <w:p w14:paraId="1D7FF774" w14:textId="10198CC8" w:rsidR="003E0023" w:rsidRPr="00246D8C" w:rsidRDefault="003E0023">
      <w:pPr>
        <w:tabs>
          <w:tab w:val="left" w:pos="284"/>
        </w:tabs>
        <w:spacing w:before="240" w:after="60"/>
        <w:jc w:val="both"/>
        <w:outlineLvl w:val="5"/>
        <w:rPr>
          <w:bCs/>
          <w:i/>
          <w:iCs/>
          <w:sz w:val="22"/>
          <w:szCs w:val="22"/>
          <w:lang w:val="sr-Latn-ME"/>
        </w:rPr>
      </w:pPr>
      <w:r w:rsidRPr="00246D8C">
        <w:rPr>
          <w:bCs/>
          <w:i/>
          <w:iCs/>
          <w:sz w:val="22"/>
          <w:szCs w:val="22"/>
          <w:lang w:val="sr-Latn-ME"/>
        </w:rPr>
        <w:t>Saksagliptin kao dodatak terapiji metforminom</w:t>
      </w:r>
      <w:r w:rsidR="006702E5" w:rsidRPr="00246D8C">
        <w:rPr>
          <w:bCs/>
          <w:i/>
          <w:iCs/>
          <w:sz w:val="22"/>
          <w:szCs w:val="22"/>
          <w:lang w:val="sr-Latn-ME"/>
        </w:rPr>
        <w:t xml:space="preserve"> </w:t>
      </w:r>
    </w:p>
    <w:p w14:paraId="5144EE5D" w14:textId="3F3A9731" w:rsidR="003E0023" w:rsidRPr="00246D8C" w:rsidRDefault="003E0023">
      <w:pPr>
        <w:tabs>
          <w:tab w:val="left" w:pos="284"/>
        </w:tabs>
        <w:jc w:val="both"/>
        <w:outlineLvl w:val="0"/>
        <w:rPr>
          <w:sz w:val="22"/>
          <w:szCs w:val="22"/>
          <w:lang w:val="sr-Latn-ME"/>
        </w:rPr>
      </w:pPr>
      <w:r w:rsidRPr="00246D8C">
        <w:rPr>
          <w:sz w:val="22"/>
          <w:szCs w:val="22"/>
          <w:lang w:val="sr-Latn-ME"/>
        </w:rPr>
        <w:t>Sprovedena je jedna studija dodatne terapije uz metformin sa placebo kontrolom koja je trajala 24 nedjelje kako bi se procijenila efikasnost i bezbjednost saksagliptina u kombinaciji sa metforminom kod pacijenata sa neadekvatnom kontrolom glikemije (HbA1c 7</w:t>
      </w:r>
      <w:r w:rsidRPr="00246D8C">
        <w:rPr>
          <w:sz w:val="22"/>
          <w:szCs w:val="22"/>
          <w:lang w:val="sr-Latn-ME"/>
        </w:rPr>
        <w:noBreakHyphen/>
        <w:t>10%) koji su dobijali samo metformin. Saksagliptin (n=186) je doveo do značajnog poboljšanja HbA1c, FPG i PPG u odnosu na placebo (n=175). Poboljšanja HbA1c, PPG i FPG do kojih je došlo poslije tretmana saksagliptinom 5 mg plus metformin održala su se do 102. nedjelje.</w:t>
      </w:r>
      <w:r w:rsidR="006702E5" w:rsidRPr="00246D8C">
        <w:rPr>
          <w:sz w:val="22"/>
          <w:szCs w:val="22"/>
          <w:lang w:val="sr-Latn-ME"/>
        </w:rPr>
        <w:t xml:space="preserve"> </w:t>
      </w:r>
      <w:r w:rsidRPr="00246D8C">
        <w:rPr>
          <w:sz w:val="22"/>
          <w:szCs w:val="22"/>
          <w:lang w:val="sr-Latn-ME"/>
        </w:rPr>
        <w:t xml:space="preserve">Promjena HbA1c poslije primjene saksagliptina 5 mg plus metformin (n=31) u odnosu na placebo plus metformin (n=15) iznosila je </w:t>
      </w:r>
      <w:r w:rsidRPr="00246D8C">
        <w:rPr>
          <w:sz w:val="22"/>
          <w:szCs w:val="22"/>
          <w:lang w:val="sr-Latn-ME"/>
        </w:rPr>
        <w:noBreakHyphen/>
        <w:t>0.8% u 102. nedelji.</w:t>
      </w:r>
    </w:p>
    <w:p w14:paraId="2A9CFBD3" w14:textId="2F9D6D06" w:rsidR="003E0023" w:rsidRPr="00246D8C" w:rsidRDefault="003E0023">
      <w:pPr>
        <w:tabs>
          <w:tab w:val="left" w:pos="284"/>
        </w:tabs>
        <w:spacing w:before="240" w:after="60"/>
        <w:jc w:val="both"/>
        <w:outlineLvl w:val="5"/>
        <w:rPr>
          <w:bCs/>
          <w:i/>
          <w:iCs/>
          <w:sz w:val="22"/>
          <w:szCs w:val="22"/>
          <w:lang w:val="sr-Latn-ME"/>
        </w:rPr>
      </w:pPr>
      <w:r w:rsidRPr="00246D8C">
        <w:rPr>
          <w:bCs/>
          <w:i/>
          <w:iCs/>
          <w:sz w:val="22"/>
          <w:szCs w:val="22"/>
          <w:lang w:val="sr-Latn-ME"/>
        </w:rPr>
        <w:t>Saksagliptin kao dodatak metforminu u odnosu na</w:t>
      </w:r>
      <w:r w:rsidR="00F07D95" w:rsidRPr="00246D8C">
        <w:rPr>
          <w:bCs/>
          <w:i/>
          <w:iCs/>
          <w:sz w:val="22"/>
          <w:szCs w:val="22"/>
          <w:lang w:val="sr-Latn-ME"/>
        </w:rPr>
        <w:t xml:space="preserve"> sulfoniluree</w:t>
      </w:r>
      <w:r w:rsidRPr="00246D8C">
        <w:rPr>
          <w:bCs/>
          <w:i/>
          <w:iCs/>
          <w:sz w:val="22"/>
          <w:szCs w:val="22"/>
          <w:lang w:val="sr-Latn-ME"/>
        </w:rPr>
        <w:t xml:space="preserve"> kao dodatak metforminu</w:t>
      </w:r>
    </w:p>
    <w:p w14:paraId="63759788" w14:textId="28C6839A" w:rsidR="003E0023" w:rsidRPr="00246D8C" w:rsidRDefault="003E0023">
      <w:pPr>
        <w:tabs>
          <w:tab w:val="left" w:pos="284"/>
        </w:tabs>
        <w:jc w:val="both"/>
        <w:outlineLvl w:val="0"/>
        <w:rPr>
          <w:sz w:val="22"/>
          <w:szCs w:val="22"/>
          <w:lang w:val="sr-Latn-ME"/>
        </w:rPr>
      </w:pPr>
      <w:r w:rsidRPr="00246D8C">
        <w:rPr>
          <w:sz w:val="22"/>
          <w:szCs w:val="22"/>
          <w:lang w:val="sr-Latn-ME"/>
        </w:rPr>
        <w:t>Sprovedena je 52</w:t>
      </w:r>
      <w:r w:rsidRPr="00246D8C">
        <w:rPr>
          <w:sz w:val="22"/>
          <w:szCs w:val="22"/>
          <w:lang w:val="sr-Latn-ME"/>
        </w:rPr>
        <w:noBreakHyphen/>
        <w:t>nedjeljna studija kako bi se procijenila efikasnost i bezbjednost saksagliptina 5 mg u kombinaciji sa metforminom (428 pacijenata) u odnosu na sulfoniluree (glipizid, 5 mg titriran po potrebi do 20 mg, srednja doza 15 mg) u kombinaciji sa metforminom (430 pacijenata) kod 858 pacijenata sa neadekvatnom kontrolom glikemije (HbA1c 6.5</w:t>
      </w:r>
      <w:r w:rsidRPr="00246D8C">
        <w:rPr>
          <w:sz w:val="22"/>
          <w:szCs w:val="22"/>
          <w:lang w:val="sr-Latn-ME"/>
        </w:rPr>
        <w:noBreakHyphen/>
        <w:t>10%) koji su dobijali samo metformin. Srednja doza metformina je bila približno 1900 mg kod svih terapijskih grupa. Poslije 52 nedjelje, kod grupa koje su dobijale saksagliptin i glipizid</w:t>
      </w:r>
      <w:r w:rsidR="006702E5" w:rsidRPr="00246D8C">
        <w:rPr>
          <w:sz w:val="22"/>
          <w:szCs w:val="22"/>
          <w:lang w:val="sr-Latn-ME"/>
        </w:rPr>
        <w:t xml:space="preserve"> </w:t>
      </w:r>
      <w:r w:rsidRPr="00246D8C">
        <w:rPr>
          <w:sz w:val="22"/>
          <w:szCs w:val="22"/>
          <w:lang w:val="sr-Latn-ME"/>
        </w:rPr>
        <w:t>došlo je do sličnog srednjeg smanjenja HbA1c u odnosu na početno stanje u analizi po protokolu (</w:t>
      </w:r>
      <w:r w:rsidRPr="00246D8C">
        <w:rPr>
          <w:sz w:val="22"/>
          <w:szCs w:val="22"/>
          <w:lang w:val="sr-Latn-ME"/>
        </w:rPr>
        <w:noBreakHyphen/>
        <w:t>0.7% prema –0.8%, srednja početna vrijednost HbA1c od 7.5% kod obje grupe). ITT analiza („</w:t>
      </w:r>
      <w:r w:rsidRPr="00246D8C">
        <w:rPr>
          <w:i/>
          <w:sz w:val="22"/>
          <w:szCs w:val="22"/>
          <w:lang w:val="sr-Latn-ME"/>
        </w:rPr>
        <w:t>intent-to treat</w:t>
      </w:r>
      <w:r w:rsidRPr="00246D8C">
        <w:rPr>
          <w:sz w:val="22"/>
          <w:szCs w:val="22"/>
          <w:lang w:val="sr-Latn-ME"/>
        </w:rPr>
        <w:t>“ - sa namjerom da se liječi) pokazala je konzistentne rezultate. Smanjenje FPG je bilo nešto manje kod grupe koja je dobijala saksagliptin i bilo je više prekida terapije (3.5% prema 1.2%) zbog nedostatka efikasnosti na osnovu FPG kriterijuma tokom prve 24 nedjelje studije. Saksagliptin je takođe doveo do značajno manjeg procenta pacijenata sa hipoglikemijom, 3% (19 događaja kod 13 ispitanika) prema 36.3% (750 događaja kod 156 pacijenta) kod glipizida. Kod pacijenata tretiranih saksagliptinom došlo je do značajnog smanjenja tjelesne težine u odnosu na početno stanje u poređenju sa povećanjem tjelesne težine kod</w:t>
      </w:r>
      <w:r w:rsidR="006702E5" w:rsidRPr="00246D8C">
        <w:rPr>
          <w:sz w:val="22"/>
          <w:szCs w:val="22"/>
          <w:lang w:val="sr-Latn-ME"/>
        </w:rPr>
        <w:t xml:space="preserve"> </w:t>
      </w:r>
      <w:r w:rsidRPr="00246D8C">
        <w:rPr>
          <w:sz w:val="22"/>
          <w:szCs w:val="22"/>
          <w:lang w:val="sr-Latn-ME"/>
        </w:rPr>
        <w:t>pacijenata koji su dobijali glipizid (-1.1 prema +1.1 kg).</w:t>
      </w:r>
    </w:p>
    <w:p w14:paraId="545762F6" w14:textId="4A7F982C" w:rsidR="003E0023" w:rsidRPr="00246D8C" w:rsidRDefault="003E0023" w:rsidP="006A7219">
      <w:pPr>
        <w:tabs>
          <w:tab w:val="left" w:pos="284"/>
        </w:tabs>
        <w:spacing w:before="240" w:after="60"/>
        <w:jc w:val="both"/>
        <w:outlineLvl w:val="5"/>
        <w:rPr>
          <w:bCs/>
          <w:i/>
          <w:iCs/>
          <w:sz w:val="22"/>
          <w:szCs w:val="22"/>
          <w:lang w:val="sr-Latn-ME"/>
        </w:rPr>
      </w:pPr>
      <w:r w:rsidRPr="00246D8C">
        <w:rPr>
          <w:bCs/>
          <w:i/>
          <w:iCs/>
          <w:sz w:val="22"/>
          <w:szCs w:val="22"/>
          <w:lang w:val="sr-Latn-ME"/>
        </w:rPr>
        <w:t>Saksagliptin kao dodatak terapiji</w:t>
      </w:r>
      <w:r w:rsidR="006702E5" w:rsidRPr="00246D8C">
        <w:rPr>
          <w:bCs/>
          <w:i/>
          <w:iCs/>
          <w:sz w:val="22"/>
          <w:szCs w:val="22"/>
          <w:lang w:val="sr-Latn-ME"/>
        </w:rPr>
        <w:t xml:space="preserve"> </w:t>
      </w:r>
      <w:r w:rsidRPr="00246D8C">
        <w:rPr>
          <w:bCs/>
          <w:i/>
          <w:iCs/>
          <w:sz w:val="22"/>
          <w:szCs w:val="22"/>
          <w:lang w:val="sr-Latn-ME"/>
        </w:rPr>
        <w:t>metforminom u poređenju sa</w:t>
      </w:r>
      <w:r w:rsidR="006702E5" w:rsidRPr="00246D8C">
        <w:rPr>
          <w:bCs/>
          <w:i/>
          <w:iCs/>
          <w:sz w:val="22"/>
          <w:szCs w:val="22"/>
          <w:lang w:val="sr-Latn-ME"/>
        </w:rPr>
        <w:t xml:space="preserve"> </w:t>
      </w:r>
      <w:r w:rsidRPr="00246D8C">
        <w:rPr>
          <w:bCs/>
          <w:i/>
          <w:iCs/>
          <w:sz w:val="22"/>
          <w:szCs w:val="22"/>
          <w:lang w:val="sr-Latn-ME"/>
        </w:rPr>
        <w:t>sitagliptinom kao dodatkom terapiji metforminom</w:t>
      </w:r>
    </w:p>
    <w:p w14:paraId="377C5A6C" w14:textId="77777777" w:rsidR="003E0023" w:rsidRPr="00246D8C" w:rsidRDefault="003E0023" w:rsidP="006A7219">
      <w:pPr>
        <w:tabs>
          <w:tab w:val="left" w:pos="284"/>
        </w:tabs>
        <w:jc w:val="both"/>
        <w:rPr>
          <w:sz w:val="22"/>
          <w:szCs w:val="22"/>
          <w:lang w:val="sr-Latn-ME"/>
        </w:rPr>
      </w:pPr>
      <w:r w:rsidRPr="00246D8C">
        <w:rPr>
          <w:sz w:val="22"/>
          <w:szCs w:val="22"/>
          <w:lang w:val="sr-Latn-ME"/>
        </w:rPr>
        <w:t>Sprovedena je jedna 18</w:t>
      </w:r>
      <w:r w:rsidRPr="00246D8C">
        <w:rPr>
          <w:sz w:val="22"/>
          <w:szCs w:val="22"/>
          <w:lang w:val="sr-Latn-ME"/>
        </w:rPr>
        <w:noBreakHyphen/>
        <w:t xml:space="preserve">nedjeljna studija kako bi se procijenila efikasnost i bezbjednost saksagliptina 5 mg u kombinaciji sa metforminom (403 pacijenta), u poređenju sa sitagliptinom 100 mg u kombinaciji sa metforminom (398 pacijenata) kod 801 pacijenta sa neadekvatnom kontrolom glikemije koji su dobijali samo metformin. Poslije 18 nedjelja utvrđeno je da saksagliptin nije bio inferioran u odnosu na sitagliptin po pitanju srednjeg smanjenja HbA1c u odnosu na početno stanje kako u analizi po protokolu tako i u kompletnoj analizi. Smanjenje HbA1c u odnosu na početno stanje poslije primjene saksagliptina odnosno sitagliptina je u primarnoj analizi po protokolu bilo </w:t>
      </w:r>
      <w:r w:rsidRPr="00246D8C">
        <w:rPr>
          <w:sz w:val="22"/>
          <w:szCs w:val="22"/>
          <w:lang w:val="sr-Latn-ME"/>
        </w:rPr>
        <w:noBreakHyphen/>
        <w:t xml:space="preserve">0.5% (srednja vrijednost i medijana) odnosno </w:t>
      </w:r>
      <w:r w:rsidRPr="00246D8C">
        <w:rPr>
          <w:sz w:val="22"/>
          <w:szCs w:val="22"/>
          <w:lang w:val="sr-Latn-ME"/>
        </w:rPr>
        <w:noBreakHyphen/>
        <w:t xml:space="preserve">0.6% (srednja vrijednost i medijana). Kod konfirmatorne kompletne analize srednje smanjenje je bilo </w:t>
      </w:r>
      <w:r w:rsidRPr="00246D8C">
        <w:rPr>
          <w:sz w:val="22"/>
          <w:szCs w:val="22"/>
          <w:lang w:val="sr-Latn-ME"/>
        </w:rPr>
        <w:noBreakHyphen/>
        <w:t xml:space="preserve">0.4% odnosno </w:t>
      </w:r>
      <w:r w:rsidRPr="00246D8C">
        <w:rPr>
          <w:sz w:val="22"/>
          <w:szCs w:val="22"/>
          <w:lang w:val="sr-Latn-ME"/>
        </w:rPr>
        <w:noBreakHyphen/>
        <w:t xml:space="preserve">0.6% kod grupe koja je dobijala saksagliptin odnosno sitagliptin, uz srednje smanjenje od </w:t>
      </w:r>
      <w:r w:rsidRPr="00246D8C">
        <w:rPr>
          <w:sz w:val="22"/>
          <w:szCs w:val="22"/>
          <w:lang w:val="sr-Latn-ME"/>
        </w:rPr>
        <w:noBreakHyphen/>
        <w:t>0.5% kod obje grupe.</w:t>
      </w:r>
    </w:p>
    <w:p w14:paraId="38A5C005" w14:textId="77777777" w:rsidR="003E0023" w:rsidRPr="00246D8C" w:rsidRDefault="003E0023" w:rsidP="00F07D95">
      <w:pPr>
        <w:tabs>
          <w:tab w:val="left" w:pos="284"/>
        </w:tabs>
        <w:spacing w:before="240" w:after="60"/>
        <w:jc w:val="both"/>
        <w:outlineLvl w:val="5"/>
        <w:rPr>
          <w:bCs/>
          <w:i/>
          <w:iCs/>
          <w:sz w:val="22"/>
          <w:szCs w:val="22"/>
          <w:lang w:val="sr-Latn-ME"/>
        </w:rPr>
      </w:pPr>
      <w:r w:rsidRPr="00246D8C">
        <w:rPr>
          <w:bCs/>
          <w:i/>
          <w:iCs/>
          <w:sz w:val="22"/>
          <w:szCs w:val="22"/>
          <w:lang w:val="sr-Latn-ME"/>
        </w:rPr>
        <w:t>Saksagliptin u kombinaciji sa metforminom kao inicijalna terapija</w:t>
      </w:r>
    </w:p>
    <w:p w14:paraId="49C4510A" w14:textId="6DF2CF1D" w:rsidR="003E0023" w:rsidRPr="00246D8C" w:rsidRDefault="003E0023" w:rsidP="00F07D95">
      <w:pPr>
        <w:tabs>
          <w:tab w:val="left" w:pos="284"/>
        </w:tabs>
        <w:jc w:val="both"/>
        <w:outlineLvl w:val="0"/>
        <w:rPr>
          <w:sz w:val="22"/>
          <w:szCs w:val="22"/>
          <w:lang w:val="sr-Latn-ME"/>
        </w:rPr>
      </w:pPr>
      <w:r w:rsidRPr="00246D8C">
        <w:rPr>
          <w:sz w:val="22"/>
          <w:szCs w:val="22"/>
          <w:lang w:val="sr-Latn-ME"/>
        </w:rPr>
        <w:t>Sprovedena je jedna 24</w:t>
      </w:r>
      <w:r w:rsidRPr="00246D8C">
        <w:rPr>
          <w:sz w:val="22"/>
          <w:szCs w:val="22"/>
          <w:lang w:val="sr-Latn-ME"/>
        </w:rPr>
        <w:noBreakHyphen/>
        <w:t>nedjeljna studija kako bi se procijenila</w:t>
      </w:r>
      <w:r w:rsidR="006702E5" w:rsidRPr="00246D8C">
        <w:rPr>
          <w:sz w:val="22"/>
          <w:szCs w:val="22"/>
          <w:lang w:val="sr-Latn-ME"/>
        </w:rPr>
        <w:t xml:space="preserve"> </w:t>
      </w:r>
      <w:r w:rsidRPr="00246D8C">
        <w:rPr>
          <w:sz w:val="22"/>
          <w:szCs w:val="22"/>
          <w:lang w:val="sr-Latn-ME"/>
        </w:rPr>
        <w:t>efikasnost i bezbjednost saksagliptina 5 mg u kombinaciji sa metforminom kao inicijalna kombinovana terapija kod pacijenata sa neadekvatnom kontrolom glikemije koji ranije ni</w:t>
      </w:r>
      <w:r w:rsidR="00AB4B12" w:rsidRPr="00246D8C">
        <w:rPr>
          <w:sz w:val="22"/>
          <w:szCs w:val="22"/>
          <w:lang w:val="sr-Latn-ME"/>
        </w:rPr>
        <w:t>je</w:t>
      </w:r>
      <w:r w:rsidRPr="00246D8C">
        <w:rPr>
          <w:sz w:val="22"/>
          <w:szCs w:val="22"/>
          <w:lang w:val="sr-Latn-ME"/>
        </w:rPr>
        <w:t>su liječeni (HbA1c 8</w:t>
      </w:r>
      <w:r w:rsidRPr="00246D8C">
        <w:rPr>
          <w:sz w:val="22"/>
          <w:szCs w:val="22"/>
          <w:lang w:val="sr-Latn-ME"/>
        </w:rPr>
        <w:noBreakHyphen/>
        <w:t>12%). Inicijalna terapija kombinacijom saksagliptina 5 mg plus metformin (n=306) dovela je do značajnog poboljšanja HbA1c, FPG i PPG u poređenju sa monoterapijom saksagliptinom (n=317) ili metforminom (n=313) u vidu inicijalne terapije. Zabilježeno je smanjenje HbA1c u odnosu na početno stanje do 24. nedjelje kod svih procjenjivanih podgrupa koje su definisane prema početnim vrijednostima</w:t>
      </w:r>
      <w:r w:rsidR="006702E5" w:rsidRPr="00246D8C">
        <w:rPr>
          <w:sz w:val="22"/>
          <w:szCs w:val="22"/>
          <w:lang w:val="sr-Latn-ME"/>
        </w:rPr>
        <w:t xml:space="preserve"> </w:t>
      </w:r>
      <w:r w:rsidRPr="00246D8C">
        <w:rPr>
          <w:sz w:val="22"/>
          <w:szCs w:val="22"/>
          <w:lang w:val="sr-Latn-ME"/>
        </w:rPr>
        <w:t xml:space="preserve">HbA1c, a veće smanjenje je zabilježeno kod pacijenata sa početnom vrijednošću HbA1c ≥ 10% (vidjeti Tabelu 3). Poboljšanje HbA1c, PPG i FPG do koga je došlo poslije inicijalne terapije saksagliptinom 5 mg i metforminom održalo se do 76. nedjelje. Promjena HbA1c pri primjeni saksagliptina 5 mg i metformina (n=177) u poređenju sa primjenom metformina i placeba (n=147) iznosila je </w:t>
      </w:r>
      <w:r w:rsidRPr="00246D8C">
        <w:rPr>
          <w:sz w:val="22"/>
          <w:szCs w:val="22"/>
          <w:lang w:val="sr-Latn-ME"/>
        </w:rPr>
        <w:noBreakHyphen/>
        <w:t>0.5% u 76. nedjelji.</w:t>
      </w:r>
    </w:p>
    <w:p w14:paraId="0B65C294" w14:textId="77777777" w:rsidR="003E0023" w:rsidRPr="00246D8C" w:rsidRDefault="003E0023" w:rsidP="00F07D95">
      <w:pPr>
        <w:tabs>
          <w:tab w:val="left" w:pos="284"/>
        </w:tabs>
        <w:spacing w:before="240" w:after="60"/>
        <w:jc w:val="both"/>
        <w:outlineLvl w:val="5"/>
        <w:rPr>
          <w:bCs/>
          <w:i/>
          <w:iCs/>
          <w:sz w:val="22"/>
          <w:szCs w:val="22"/>
          <w:lang w:val="sr-Latn-ME"/>
        </w:rPr>
      </w:pPr>
      <w:r w:rsidRPr="00246D8C">
        <w:rPr>
          <w:bCs/>
          <w:i/>
          <w:iCs/>
          <w:sz w:val="22"/>
          <w:szCs w:val="22"/>
          <w:lang w:val="sr-Latn-ME"/>
        </w:rPr>
        <w:lastRenderedPageBreak/>
        <w:t>Saksagliptin kao dodatak terapiji glibenklamidom</w:t>
      </w:r>
    </w:p>
    <w:p w14:paraId="60115FAD" w14:textId="0A066E88" w:rsidR="003E0023" w:rsidRPr="00246D8C" w:rsidRDefault="003E0023" w:rsidP="002D73AD">
      <w:pPr>
        <w:jc w:val="both"/>
        <w:outlineLvl w:val="0"/>
        <w:rPr>
          <w:sz w:val="22"/>
          <w:szCs w:val="22"/>
          <w:lang w:val="sr-Latn-ME"/>
        </w:rPr>
      </w:pPr>
      <w:r w:rsidRPr="00246D8C">
        <w:rPr>
          <w:sz w:val="22"/>
          <w:szCs w:val="22"/>
          <w:lang w:val="sr-Latn-ME"/>
        </w:rPr>
        <w:t>Sprovedena je jedna 24-nedjeljna studija dodatne terapije sa placebo kontrolom kako bi se ispitala efikasnost i bezbjednost saksagliptina u kombinaciji sa glibenklamidom kod pacijenata sa neadekvatnom kontrolom glikemije u momentu uključivanja u studiju (HbA1c 7.5</w:t>
      </w:r>
      <w:r w:rsidRPr="00246D8C">
        <w:rPr>
          <w:sz w:val="22"/>
          <w:szCs w:val="22"/>
          <w:lang w:val="sr-Latn-ME"/>
        </w:rPr>
        <w:noBreakHyphen/>
        <w:t>10%) koji su dobijali dozu manju od maksimalne glibenklamida u vidu monoterapije. Saksagliptin u kombinaciji sa fiksnom srednjom dozom</w:t>
      </w:r>
      <w:r w:rsidR="006702E5" w:rsidRPr="00246D8C">
        <w:rPr>
          <w:sz w:val="22"/>
          <w:szCs w:val="22"/>
          <w:lang w:val="sr-Latn-ME"/>
        </w:rPr>
        <w:t xml:space="preserve"> </w:t>
      </w:r>
      <w:r w:rsidRPr="00246D8C">
        <w:rPr>
          <w:sz w:val="22"/>
          <w:szCs w:val="22"/>
          <w:lang w:val="sr-Latn-ME"/>
        </w:rPr>
        <w:t>sulfoniluree (glibenklamid 7.5 mg) je poređen sa glibenklamidom koji je titriran do više doze (kod približno 92% pacijenata u grupi koja je dobijala placebo plus glibenklamid sprovedena je uzlazna titracija do krajnje ukupne dnevne doze od 15 mg). Saksagliptin (n=250) je doveo do značajnog poboljšanja HbA1c, FPG i PPG u poređenju sa glibenklamidom koji je titriran do više doze (n=264). Poboljšanja HbA1c i</w:t>
      </w:r>
      <w:r w:rsidR="006702E5" w:rsidRPr="00246D8C">
        <w:rPr>
          <w:sz w:val="22"/>
          <w:szCs w:val="22"/>
          <w:lang w:val="sr-Latn-ME"/>
        </w:rPr>
        <w:t xml:space="preserve"> </w:t>
      </w:r>
      <w:r w:rsidRPr="00246D8C">
        <w:rPr>
          <w:sz w:val="22"/>
          <w:szCs w:val="22"/>
          <w:lang w:val="sr-Latn-ME"/>
        </w:rPr>
        <w:t xml:space="preserve">PPG do kojih je došlo poslije tretmana saksagliptinom 5 mg održala su se do 76. nedjelje. Promjena HbA1c poslije primjene saksagliptina 5 mg (n=56) u poređenju sa promjenom poslije uzlazne titracije glibenklamida plus placebo (n=27) iznosila je </w:t>
      </w:r>
      <w:r w:rsidRPr="00246D8C">
        <w:rPr>
          <w:sz w:val="22"/>
          <w:szCs w:val="22"/>
          <w:lang w:val="sr-Latn-ME"/>
        </w:rPr>
        <w:noBreakHyphen/>
        <w:t>0.7% poslije 76 nedjelja.</w:t>
      </w:r>
    </w:p>
    <w:p w14:paraId="159054DB" w14:textId="77777777" w:rsidR="003E0023" w:rsidRPr="00246D8C" w:rsidRDefault="003E0023" w:rsidP="006A7219">
      <w:pPr>
        <w:tabs>
          <w:tab w:val="left" w:pos="284"/>
        </w:tabs>
        <w:jc w:val="both"/>
        <w:outlineLvl w:val="0"/>
        <w:rPr>
          <w:sz w:val="22"/>
          <w:szCs w:val="22"/>
          <w:lang w:val="sr-Latn-ME"/>
        </w:rPr>
      </w:pPr>
    </w:p>
    <w:p w14:paraId="5D140357" w14:textId="77777777" w:rsidR="003E0023" w:rsidRPr="00246D8C" w:rsidRDefault="003E0023" w:rsidP="003C0336">
      <w:pPr>
        <w:tabs>
          <w:tab w:val="left" w:pos="284"/>
        </w:tabs>
        <w:jc w:val="both"/>
        <w:outlineLvl w:val="0"/>
        <w:rPr>
          <w:i/>
          <w:sz w:val="22"/>
          <w:szCs w:val="22"/>
          <w:lang w:val="sr-Latn-ME"/>
        </w:rPr>
      </w:pPr>
      <w:r w:rsidRPr="00246D8C">
        <w:rPr>
          <w:i/>
          <w:sz w:val="22"/>
          <w:szCs w:val="22"/>
          <w:lang w:val="sr-Latn-ME"/>
        </w:rPr>
        <w:t>Saksagliptin kao dodatak terapiji insulinom (sa ili bez metformina)</w:t>
      </w:r>
    </w:p>
    <w:p w14:paraId="63D0F9C5" w14:textId="77777777" w:rsidR="003E0023" w:rsidRPr="00246D8C" w:rsidRDefault="003E0023" w:rsidP="00AE24EE">
      <w:pPr>
        <w:tabs>
          <w:tab w:val="left" w:pos="284"/>
        </w:tabs>
        <w:jc w:val="both"/>
        <w:outlineLvl w:val="0"/>
        <w:rPr>
          <w:sz w:val="22"/>
          <w:szCs w:val="22"/>
          <w:lang w:val="sr-Latn-ME"/>
        </w:rPr>
      </w:pPr>
      <w:r w:rsidRPr="00246D8C">
        <w:rPr>
          <w:sz w:val="22"/>
          <w:szCs w:val="22"/>
          <w:lang w:val="sr-Latn-ME"/>
        </w:rPr>
        <w:t xml:space="preserve">Ukupno 455 pacijenata sa dijabetesom tipa II je učestvovalo u 24-nedjeljnoj randomizovanoj, dvostruko-slijepoj, placebo-kontrolisanoj studiji, kojom je evaluirana efikasnost i bezbjednost saksagliptina u kombinaciji sa stabilnom dozom insulina (srednja vrijednost na početku studije: 54.2 jedinice) kod pacijenata sa neadekvatnom kontrolom glikemije (HbA1c ≥ 7.5% i ≤ 11%) koji su na monoterapiji insulinom (n=141), ili insulinom u kombinaciji sa stabilnom dozom metformina (n=314). Dodatak saksagliptina u dozi od 5 mg terapiji insulinom, sa ili bez metformina, za 24 nedjelje doveo je do značajnog poboljšanja HbA1c i PPG u poređenju sa placebom. Slično smanjenje HbA1c u odnosu na placebo je postignuto nezavisno od primjene metformina (-0.4% za obje podgrupe). U grupi sa saksagliptinom se poboljšanje održalo nakon 52 nedjelje, kada je promjena HbA1c u odnosu na početnu vrijednost u grupi koja je primala saksagliptin (n=244) bila -0.4% u odnosu na grupu koja je primala placebo (n=124). </w:t>
      </w:r>
    </w:p>
    <w:p w14:paraId="630ADA3F" w14:textId="77777777" w:rsidR="003E0023" w:rsidRPr="00246D8C" w:rsidRDefault="003E0023">
      <w:pPr>
        <w:tabs>
          <w:tab w:val="left" w:pos="284"/>
        </w:tabs>
        <w:spacing w:before="240" w:after="60"/>
        <w:jc w:val="both"/>
        <w:outlineLvl w:val="5"/>
        <w:rPr>
          <w:bCs/>
          <w:i/>
          <w:iCs/>
          <w:sz w:val="22"/>
          <w:szCs w:val="22"/>
          <w:lang w:val="sr-Latn-ME"/>
        </w:rPr>
      </w:pPr>
      <w:r w:rsidRPr="00246D8C">
        <w:rPr>
          <w:bCs/>
          <w:i/>
          <w:iCs/>
          <w:sz w:val="22"/>
          <w:szCs w:val="22"/>
          <w:lang w:val="sr-Latn-ME"/>
        </w:rPr>
        <w:t>Saksagliptin kao dodatak terapiji tiazolidindionom</w:t>
      </w:r>
    </w:p>
    <w:p w14:paraId="3263A15E" w14:textId="77777777" w:rsidR="003E0023" w:rsidRPr="00246D8C" w:rsidRDefault="003E0023">
      <w:pPr>
        <w:tabs>
          <w:tab w:val="left" w:pos="284"/>
        </w:tabs>
        <w:jc w:val="both"/>
        <w:outlineLvl w:val="0"/>
        <w:rPr>
          <w:sz w:val="22"/>
          <w:szCs w:val="22"/>
          <w:lang w:val="sr-Latn-ME"/>
        </w:rPr>
      </w:pPr>
      <w:r w:rsidRPr="00246D8C">
        <w:rPr>
          <w:sz w:val="22"/>
          <w:szCs w:val="22"/>
          <w:lang w:val="sr-Latn-ME"/>
        </w:rPr>
        <w:t>Sprovedena je jedna 24-nedjeljna studija sa placebo kontrolom kako bi se procijenila efikasnost i bezbjednost saksagliptina u kombinaciji sa tiazolidindionom (TZD) kod pacijenata sa neadekvatnom kontrolom glikemije (HbA1c 7</w:t>
      </w:r>
      <w:r w:rsidRPr="00246D8C">
        <w:rPr>
          <w:sz w:val="22"/>
          <w:szCs w:val="22"/>
          <w:lang w:val="sr-Latn-ME"/>
        </w:rPr>
        <w:noBreakHyphen/>
        <w:t xml:space="preserve">10.5%) koji su dobijali samo TZD. Saksagliptin (n=183) je doveo do značajnog poboljšanja HbA1c, FPG i PPG u odnosu na placebo (n=180). Poboljšanja HbA1c, PPG i FPG do kojih je došlo poslije terapije saksagliptinom 5 mg održala su se do 76. nedjelje. Promjena HbA1c poslije primjene saksagliptina 5 mg (n=82) u odnosu na TZD plus placebo (n=53) iznosila je </w:t>
      </w:r>
      <w:r w:rsidRPr="00246D8C">
        <w:rPr>
          <w:sz w:val="22"/>
          <w:szCs w:val="22"/>
          <w:lang w:val="sr-Latn-ME"/>
        </w:rPr>
        <w:noBreakHyphen/>
        <w:t>0.9% u 76. nedjelji.</w:t>
      </w:r>
    </w:p>
    <w:p w14:paraId="33325E01" w14:textId="77777777" w:rsidR="003E0023" w:rsidRPr="00246D8C" w:rsidRDefault="003E0023">
      <w:pPr>
        <w:tabs>
          <w:tab w:val="left" w:pos="284"/>
        </w:tabs>
        <w:jc w:val="both"/>
        <w:outlineLvl w:val="0"/>
        <w:rPr>
          <w:sz w:val="22"/>
          <w:szCs w:val="22"/>
          <w:lang w:val="sr-Latn-ME"/>
        </w:rPr>
      </w:pPr>
    </w:p>
    <w:p w14:paraId="4FC43672" w14:textId="33CB1A8B" w:rsidR="00AB4B12" w:rsidRPr="00246D8C" w:rsidRDefault="003E0023" w:rsidP="002D73AD">
      <w:pPr>
        <w:autoSpaceDE w:val="0"/>
        <w:autoSpaceDN w:val="0"/>
        <w:adjustRightInd w:val="0"/>
        <w:jc w:val="both"/>
        <w:rPr>
          <w:i/>
          <w:sz w:val="22"/>
          <w:szCs w:val="22"/>
          <w:lang w:val="sr-Latn-ME" w:eastAsia="en-GB"/>
        </w:rPr>
      </w:pPr>
      <w:r w:rsidRPr="00246D8C">
        <w:rPr>
          <w:i/>
          <w:sz w:val="22"/>
          <w:szCs w:val="22"/>
          <w:lang w:val="sr-Latn-ME" w:eastAsia="en-GB"/>
        </w:rPr>
        <w:t>Saksagliptin kao dodatak terapiji metforminom i sulfonilureom</w:t>
      </w:r>
    </w:p>
    <w:p w14:paraId="58375BFD" w14:textId="3B387C65" w:rsidR="003E0023" w:rsidRPr="00246D8C" w:rsidRDefault="003E0023" w:rsidP="006A7219">
      <w:pPr>
        <w:autoSpaceDE w:val="0"/>
        <w:autoSpaceDN w:val="0"/>
        <w:adjustRightInd w:val="0"/>
        <w:jc w:val="both"/>
        <w:rPr>
          <w:sz w:val="22"/>
          <w:szCs w:val="22"/>
          <w:lang w:val="sr-Latn-ME" w:eastAsia="en-GB"/>
        </w:rPr>
      </w:pPr>
      <w:r w:rsidRPr="00246D8C">
        <w:rPr>
          <w:sz w:val="22"/>
          <w:szCs w:val="22"/>
          <w:lang w:val="sr-Latn-ME" w:eastAsia="en-GB"/>
        </w:rPr>
        <w:t>Ukupno 257 pacijenata sa dijabetesom tip 2 učestvovalo je u 24-nedjeljnoj randomizovanoj, dvostruko-slijepoj, placebo kontrolisanoj studiji</w:t>
      </w:r>
      <w:r w:rsidR="006702E5" w:rsidRPr="00246D8C">
        <w:rPr>
          <w:sz w:val="22"/>
          <w:szCs w:val="22"/>
          <w:lang w:val="sr-Latn-ME" w:eastAsia="en-GB"/>
        </w:rPr>
        <w:t xml:space="preserve"> </w:t>
      </w:r>
      <w:r w:rsidRPr="00246D8C">
        <w:rPr>
          <w:sz w:val="22"/>
          <w:szCs w:val="22"/>
          <w:lang w:val="sr-Latn-ME" w:eastAsia="en-GB"/>
        </w:rPr>
        <w:t>za evaluaciju efikasnosti i bezbjednosti saksagliptina (5mg jednom dnevno) u kombinaciji sa metforminom i sulfonilureom kod pacijenata sa neadekvatnom glikemijskom kontrolom (HbA1c≥7% i</w:t>
      </w:r>
      <w:r w:rsidR="006702E5" w:rsidRPr="00246D8C">
        <w:rPr>
          <w:sz w:val="22"/>
          <w:szCs w:val="22"/>
          <w:lang w:val="sr-Latn-ME" w:eastAsia="en-GB"/>
        </w:rPr>
        <w:t xml:space="preserve"> </w:t>
      </w:r>
      <w:r w:rsidRPr="00246D8C">
        <w:rPr>
          <w:sz w:val="22"/>
          <w:szCs w:val="22"/>
          <w:lang w:val="sr-Latn-ME" w:eastAsia="en-GB"/>
        </w:rPr>
        <w:t>≤10%). Saksagliptin (n=127) obezbjeđuje značajno poboljšanje u HbA1 i PPG u poređenju sa placebom (n=128). Promjena HbA1c za saksagliptin u poređenju sa placebom</w:t>
      </w:r>
      <w:r w:rsidR="006702E5" w:rsidRPr="00246D8C">
        <w:rPr>
          <w:sz w:val="22"/>
          <w:szCs w:val="22"/>
          <w:lang w:val="sr-Latn-ME" w:eastAsia="en-GB"/>
        </w:rPr>
        <w:t xml:space="preserve"> </w:t>
      </w:r>
      <w:r w:rsidRPr="00246D8C">
        <w:rPr>
          <w:sz w:val="22"/>
          <w:szCs w:val="22"/>
          <w:lang w:val="sr-Latn-ME" w:eastAsia="en-GB"/>
        </w:rPr>
        <w:t>bila je -0.7% u 24. nedjelji.</w:t>
      </w:r>
    </w:p>
    <w:p w14:paraId="5ED0D273" w14:textId="77777777" w:rsidR="003E0023" w:rsidRPr="00246D8C" w:rsidRDefault="003E0023" w:rsidP="003C0336">
      <w:pPr>
        <w:tabs>
          <w:tab w:val="left" w:pos="284"/>
        </w:tabs>
        <w:jc w:val="both"/>
        <w:outlineLvl w:val="0"/>
        <w:rPr>
          <w:strike/>
          <w:sz w:val="22"/>
          <w:szCs w:val="22"/>
          <w:lang w:val="sr-Latn-ME"/>
        </w:rPr>
      </w:pPr>
    </w:p>
    <w:p w14:paraId="0C2661F1" w14:textId="77777777" w:rsidR="003E0023" w:rsidRPr="00246D8C" w:rsidRDefault="003E0023" w:rsidP="00AE24EE">
      <w:pPr>
        <w:tabs>
          <w:tab w:val="left" w:pos="284"/>
        </w:tabs>
        <w:jc w:val="both"/>
        <w:outlineLvl w:val="0"/>
        <w:rPr>
          <w:i/>
          <w:sz w:val="22"/>
          <w:szCs w:val="22"/>
          <w:lang w:val="sr-Latn-ME"/>
        </w:rPr>
      </w:pPr>
      <w:r w:rsidRPr="00246D8C">
        <w:rPr>
          <w:i/>
          <w:sz w:val="22"/>
          <w:szCs w:val="22"/>
          <w:lang w:val="sr-Latn-ME"/>
        </w:rPr>
        <w:t>Saksagliptin kao dodatak dapagliflozinu i terapiji metforminom</w:t>
      </w:r>
    </w:p>
    <w:p w14:paraId="37881E10" w14:textId="4F6E7F8C" w:rsidR="003E0023" w:rsidRPr="00246D8C" w:rsidRDefault="003E0023">
      <w:pPr>
        <w:tabs>
          <w:tab w:val="left" w:pos="284"/>
        </w:tabs>
        <w:jc w:val="both"/>
        <w:outlineLvl w:val="0"/>
        <w:rPr>
          <w:sz w:val="22"/>
          <w:szCs w:val="22"/>
          <w:lang w:val="sr-Latn-ME"/>
        </w:rPr>
      </w:pPr>
      <w:r w:rsidRPr="00246D8C">
        <w:rPr>
          <w:sz w:val="22"/>
          <w:szCs w:val="22"/>
          <w:lang w:val="sr-Latn-ME"/>
        </w:rPr>
        <w:t>U randomizovanoj, dvostruko slepoj, placebo kontrolisanoj studiji koja je trajala 24 ned</w:t>
      </w:r>
      <w:r w:rsidR="00AB4B12" w:rsidRPr="00246D8C">
        <w:rPr>
          <w:sz w:val="22"/>
          <w:szCs w:val="22"/>
          <w:lang w:val="sr-Latn-ME"/>
        </w:rPr>
        <w:t>j</w:t>
      </w:r>
      <w:r w:rsidRPr="00246D8C">
        <w:rPr>
          <w:sz w:val="22"/>
          <w:szCs w:val="22"/>
          <w:lang w:val="sr-Latn-ME"/>
        </w:rPr>
        <w:t>elje sprovedena na pacijentima sa dijabetesom tipa 2 upoređivao se saksagliptin 5mg sa placebom kao dodatak terapiji kod pacijenata sa HbA1c 7-10,5 %</w:t>
      </w:r>
      <w:r w:rsidR="006702E5" w:rsidRPr="00246D8C">
        <w:rPr>
          <w:sz w:val="22"/>
          <w:szCs w:val="22"/>
          <w:lang w:val="sr-Latn-ME"/>
        </w:rPr>
        <w:t xml:space="preserve"> </w:t>
      </w:r>
      <w:r w:rsidRPr="00246D8C">
        <w:rPr>
          <w:sz w:val="22"/>
          <w:szCs w:val="22"/>
          <w:lang w:val="sr-Latn-ME"/>
        </w:rPr>
        <w:t xml:space="preserve">koji su bili tretirani sa dapagliflozinom (SGLT2- inhibitor) i metforminom. Pacijenti koji su završili inicijalni period studije od 24 nedelje bili su prikladni za uključivanje u kontrolisani nastavak dugoročnog ispitivanja od 28-nedelje (52 nedelje). </w:t>
      </w:r>
    </w:p>
    <w:p w14:paraId="432A5512" w14:textId="64AD8BE2" w:rsidR="003E0023" w:rsidRPr="00246D8C" w:rsidRDefault="003E0023">
      <w:pPr>
        <w:tabs>
          <w:tab w:val="left" w:pos="284"/>
        </w:tabs>
        <w:jc w:val="both"/>
        <w:outlineLvl w:val="0"/>
        <w:rPr>
          <w:sz w:val="22"/>
          <w:szCs w:val="22"/>
          <w:lang w:val="sr-Latn-ME"/>
        </w:rPr>
      </w:pPr>
      <w:r w:rsidRPr="00246D8C">
        <w:rPr>
          <w:sz w:val="22"/>
          <w:szCs w:val="22"/>
          <w:lang w:val="sr-Latn-ME"/>
        </w:rPr>
        <w:t xml:space="preserve">Pacijenti lečeni saksagliptinom kao dodatkom terapiji dapagliflozinu i metforminu (n=153) postigli su statistički značajno (p- vrednost &lt; 0,0001) veće smanjenje HbA1c u poređenju sa grupom u kojoj je placebo dodat dapagliflozinu i metforminu (n=162) u 24. nedelji (videti tabelu 2). Efekat na HbA1c koji je primećen u </w:t>
      </w:r>
    </w:p>
    <w:p w14:paraId="4A0E6AFB" w14:textId="517531FA" w:rsidR="003E0023" w:rsidRPr="00246D8C" w:rsidRDefault="003E0023">
      <w:pPr>
        <w:tabs>
          <w:tab w:val="left" w:pos="284"/>
        </w:tabs>
        <w:jc w:val="both"/>
        <w:outlineLvl w:val="0"/>
        <w:rPr>
          <w:sz w:val="22"/>
          <w:szCs w:val="22"/>
          <w:lang w:val="sr-Latn-ME"/>
        </w:rPr>
      </w:pPr>
      <w:r w:rsidRPr="00246D8C">
        <w:rPr>
          <w:sz w:val="22"/>
          <w:szCs w:val="22"/>
          <w:lang w:val="sr-Latn-ME"/>
        </w:rPr>
        <w:t>u 24. nedelji bio je održan u 52. nedelji. Bezbednosni profil saksagliptina koji je dodat dapagliflozinu i metforminu u dugotrajnom periodu l</w:t>
      </w:r>
      <w:r w:rsidR="00AB4B12" w:rsidRPr="00246D8C">
        <w:rPr>
          <w:sz w:val="22"/>
          <w:szCs w:val="22"/>
          <w:lang w:val="sr-Latn-ME"/>
        </w:rPr>
        <w:t>ij</w:t>
      </w:r>
      <w:r w:rsidRPr="00246D8C">
        <w:rPr>
          <w:sz w:val="22"/>
          <w:szCs w:val="22"/>
          <w:lang w:val="sr-Latn-ME"/>
        </w:rPr>
        <w:t>ečenja bio je u skladu sa onim koji je prim</w:t>
      </w:r>
      <w:r w:rsidR="00AB4B12" w:rsidRPr="00246D8C">
        <w:rPr>
          <w:sz w:val="22"/>
          <w:szCs w:val="22"/>
          <w:lang w:val="sr-Latn-ME"/>
        </w:rPr>
        <w:t>ij</w:t>
      </w:r>
      <w:r w:rsidRPr="00246D8C">
        <w:rPr>
          <w:sz w:val="22"/>
          <w:szCs w:val="22"/>
          <w:lang w:val="sr-Latn-ME"/>
        </w:rPr>
        <w:t xml:space="preserve">ećen u periodu </w:t>
      </w:r>
      <w:r w:rsidRPr="00246D8C">
        <w:rPr>
          <w:sz w:val="22"/>
          <w:szCs w:val="22"/>
          <w:lang w:val="sr-Latn-ME"/>
        </w:rPr>
        <w:lastRenderedPageBreak/>
        <w:t>l</w:t>
      </w:r>
      <w:r w:rsidR="00AB4B12" w:rsidRPr="00246D8C">
        <w:rPr>
          <w:sz w:val="22"/>
          <w:szCs w:val="22"/>
          <w:lang w:val="sr-Latn-ME"/>
        </w:rPr>
        <w:t>ij</w:t>
      </w:r>
      <w:r w:rsidRPr="00246D8C">
        <w:rPr>
          <w:sz w:val="22"/>
          <w:szCs w:val="22"/>
          <w:lang w:val="sr-Latn-ME"/>
        </w:rPr>
        <w:t>ečenja koji je trajao 24 ned</w:t>
      </w:r>
      <w:r w:rsidR="00AB4B12" w:rsidRPr="00246D8C">
        <w:rPr>
          <w:sz w:val="22"/>
          <w:szCs w:val="22"/>
          <w:lang w:val="sr-Latn-ME"/>
        </w:rPr>
        <w:t>j</w:t>
      </w:r>
      <w:r w:rsidRPr="00246D8C">
        <w:rPr>
          <w:sz w:val="22"/>
          <w:szCs w:val="22"/>
          <w:lang w:val="sr-Latn-ME"/>
        </w:rPr>
        <w:t xml:space="preserve">elje ove studije i ispitivanja u kome su saksagliptin i dapagliflozin bili dati zajedno kao dodatak terapiji pacijentima koji su bili na terapiji metforminom (opisani u daljem tekstu). </w:t>
      </w:r>
    </w:p>
    <w:p w14:paraId="262AF80D" w14:textId="77777777" w:rsidR="003E0023" w:rsidRPr="00246D8C" w:rsidRDefault="003E0023">
      <w:pPr>
        <w:tabs>
          <w:tab w:val="left" w:pos="284"/>
        </w:tabs>
        <w:jc w:val="both"/>
        <w:outlineLvl w:val="0"/>
        <w:rPr>
          <w:sz w:val="22"/>
          <w:szCs w:val="22"/>
          <w:lang w:val="sr-Latn-ME"/>
        </w:rPr>
      </w:pPr>
    </w:p>
    <w:p w14:paraId="597ACE88" w14:textId="77777777" w:rsidR="003E0023" w:rsidRPr="00246D8C" w:rsidRDefault="003E0023">
      <w:pPr>
        <w:tabs>
          <w:tab w:val="left" w:pos="284"/>
        </w:tabs>
        <w:jc w:val="both"/>
        <w:outlineLvl w:val="0"/>
        <w:rPr>
          <w:i/>
          <w:sz w:val="22"/>
          <w:szCs w:val="22"/>
          <w:lang w:val="sr-Latn-ME"/>
        </w:rPr>
      </w:pPr>
      <w:r w:rsidRPr="00246D8C">
        <w:rPr>
          <w:i/>
          <w:sz w:val="22"/>
          <w:szCs w:val="22"/>
          <w:lang w:val="sr-Latn-ME"/>
        </w:rPr>
        <w:t>Procenat pacijenata koji su postigli HbA1c&lt; 7%</w:t>
      </w:r>
    </w:p>
    <w:p w14:paraId="57522001" w14:textId="70DC5090" w:rsidR="003E0023" w:rsidRPr="00246D8C" w:rsidRDefault="003E0023">
      <w:pPr>
        <w:tabs>
          <w:tab w:val="left" w:pos="284"/>
        </w:tabs>
        <w:jc w:val="both"/>
        <w:outlineLvl w:val="0"/>
        <w:rPr>
          <w:sz w:val="22"/>
          <w:szCs w:val="22"/>
          <w:lang w:val="sr-Latn-ME"/>
        </w:rPr>
      </w:pPr>
      <w:r w:rsidRPr="00246D8C">
        <w:rPr>
          <w:sz w:val="22"/>
          <w:szCs w:val="22"/>
          <w:lang w:val="sr-Latn-ME"/>
        </w:rPr>
        <w:t>Procenat pacijenata koji su ostvarili HbA1c &lt; 7% u 24. nedelji bio je viši u grupi koja je primala saksagliptin 5 mg plus dapagliflozin i metformin 35,3%</w:t>
      </w:r>
      <w:r w:rsidR="006702E5" w:rsidRPr="00246D8C">
        <w:rPr>
          <w:sz w:val="22"/>
          <w:szCs w:val="22"/>
          <w:lang w:val="sr-Latn-ME"/>
        </w:rPr>
        <w:t xml:space="preserve"> </w:t>
      </w:r>
      <w:r w:rsidRPr="00246D8C">
        <w:rPr>
          <w:sz w:val="22"/>
          <w:szCs w:val="22"/>
          <w:lang w:val="sr-Latn-ME"/>
        </w:rPr>
        <w:t>(95% CI [28,2; 42,4]) u poređenju sa grupom sa placebom plus dapagliflozin i metformin 23,1% (95% CI [16,9; 29,3]). Efekat na HbA1c koji je prim</w:t>
      </w:r>
      <w:r w:rsidR="00AB4B12" w:rsidRPr="00246D8C">
        <w:rPr>
          <w:sz w:val="22"/>
          <w:szCs w:val="22"/>
          <w:lang w:val="sr-Latn-ME"/>
        </w:rPr>
        <w:t>ij</w:t>
      </w:r>
      <w:r w:rsidRPr="00246D8C">
        <w:rPr>
          <w:sz w:val="22"/>
          <w:szCs w:val="22"/>
          <w:lang w:val="sr-Latn-ME"/>
        </w:rPr>
        <w:t>ećen u 24. ned</w:t>
      </w:r>
      <w:r w:rsidR="00AB4B12" w:rsidRPr="00246D8C">
        <w:rPr>
          <w:sz w:val="22"/>
          <w:szCs w:val="22"/>
          <w:lang w:val="sr-Latn-ME"/>
        </w:rPr>
        <w:t>j</w:t>
      </w:r>
      <w:r w:rsidRPr="00246D8C">
        <w:rPr>
          <w:sz w:val="22"/>
          <w:szCs w:val="22"/>
          <w:lang w:val="sr-Latn-ME"/>
        </w:rPr>
        <w:t>elji održan je i u 52. ned</w:t>
      </w:r>
      <w:r w:rsidR="00AB4B12" w:rsidRPr="00246D8C">
        <w:rPr>
          <w:sz w:val="22"/>
          <w:szCs w:val="22"/>
          <w:lang w:val="sr-Latn-ME"/>
        </w:rPr>
        <w:t>j</w:t>
      </w:r>
      <w:r w:rsidRPr="00246D8C">
        <w:rPr>
          <w:sz w:val="22"/>
          <w:szCs w:val="22"/>
          <w:lang w:val="sr-Latn-ME"/>
        </w:rPr>
        <w:t xml:space="preserve">elji. </w:t>
      </w:r>
    </w:p>
    <w:p w14:paraId="593421D0" w14:textId="3B7D7C8B" w:rsidR="003E0023" w:rsidRPr="00246D8C" w:rsidRDefault="003E0023" w:rsidP="002D73AD">
      <w:pPr>
        <w:tabs>
          <w:tab w:val="left" w:pos="540"/>
          <w:tab w:val="left" w:pos="569"/>
        </w:tabs>
        <w:jc w:val="both"/>
        <w:rPr>
          <w:b/>
          <w:bCs/>
          <w:sz w:val="22"/>
          <w:szCs w:val="22"/>
          <w:lang w:val="sr-Latn-ME"/>
        </w:rPr>
      </w:pPr>
    </w:p>
    <w:p w14:paraId="24B05C93" w14:textId="0C2C13B5" w:rsidR="003E0023" w:rsidRPr="00246D8C" w:rsidRDefault="003E0023" w:rsidP="006A7219">
      <w:pPr>
        <w:tabs>
          <w:tab w:val="left" w:pos="284"/>
        </w:tabs>
        <w:jc w:val="both"/>
        <w:outlineLvl w:val="0"/>
        <w:rPr>
          <w:b/>
          <w:bCs/>
          <w:sz w:val="22"/>
          <w:szCs w:val="22"/>
          <w:lang w:val="sr-Latn-ME"/>
        </w:rPr>
      </w:pPr>
      <w:r w:rsidRPr="00246D8C">
        <w:rPr>
          <w:b/>
          <w:bCs/>
          <w:sz w:val="22"/>
          <w:szCs w:val="22"/>
          <w:lang w:val="sr-Latn-ME"/>
        </w:rPr>
        <w:t>Tabela</w:t>
      </w:r>
      <w:r w:rsidR="006702E5" w:rsidRPr="00246D8C">
        <w:rPr>
          <w:b/>
          <w:bCs/>
          <w:sz w:val="22"/>
          <w:szCs w:val="22"/>
          <w:lang w:val="sr-Latn-ME"/>
        </w:rPr>
        <w:t xml:space="preserve"> </w:t>
      </w:r>
      <w:r w:rsidRPr="00246D8C">
        <w:rPr>
          <w:b/>
          <w:bCs/>
          <w:sz w:val="22"/>
          <w:szCs w:val="22"/>
          <w:lang w:val="sr-Latn-ME"/>
        </w:rPr>
        <w:t>2</w:t>
      </w:r>
      <w:r w:rsidR="00AB4B12" w:rsidRPr="00246D8C">
        <w:rPr>
          <w:b/>
          <w:bCs/>
          <w:sz w:val="22"/>
          <w:szCs w:val="22"/>
          <w:lang w:val="sr-Latn-ME"/>
        </w:rPr>
        <w:t xml:space="preserve"> </w:t>
      </w:r>
      <w:r w:rsidRPr="00246D8C">
        <w:rPr>
          <w:b/>
          <w:bCs/>
          <w:sz w:val="22"/>
          <w:szCs w:val="22"/>
          <w:lang w:val="sr-Latn-ME"/>
        </w:rPr>
        <w:t xml:space="preserve">Ključni rezultati efikasnosti lijeka Onglyza u dozi od 5 mg na dan u placebom kontrolisanim studijama u kojima je primjenjivan kao monoterapija i dodatna kombinovana terapija </w:t>
      </w:r>
    </w:p>
    <w:tbl>
      <w:tblPr>
        <w:tblW w:w="9072" w:type="dxa"/>
        <w:jc w:val="center"/>
        <w:tblLayout w:type="fixed"/>
        <w:tblLook w:val="0000" w:firstRow="0" w:lastRow="0" w:firstColumn="0" w:lastColumn="0" w:noHBand="0" w:noVBand="0"/>
      </w:tblPr>
      <w:tblGrid>
        <w:gridCol w:w="3887"/>
        <w:gridCol w:w="1170"/>
        <w:gridCol w:w="1872"/>
        <w:gridCol w:w="2143"/>
      </w:tblGrid>
      <w:tr w:rsidR="003D48C9" w:rsidRPr="00246D8C" w14:paraId="0D5C284C" w14:textId="77777777" w:rsidTr="002D73AD">
        <w:trPr>
          <w:cantSplit/>
          <w:jc w:val="center"/>
        </w:trPr>
        <w:tc>
          <w:tcPr>
            <w:tcW w:w="3887" w:type="dxa"/>
            <w:tcBorders>
              <w:top w:val="single" w:sz="12" w:space="0" w:color="auto"/>
              <w:bottom w:val="single" w:sz="6" w:space="0" w:color="auto"/>
            </w:tcBorders>
          </w:tcPr>
          <w:p w14:paraId="1CDC2825" w14:textId="77777777" w:rsidR="003E0023" w:rsidRPr="00246D8C" w:rsidRDefault="003E0023" w:rsidP="003C0336">
            <w:pPr>
              <w:tabs>
                <w:tab w:val="left" w:pos="284"/>
              </w:tabs>
              <w:autoSpaceDE w:val="0"/>
              <w:autoSpaceDN w:val="0"/>
              <w:adjustRightInd w:val="0"/>
              <w:jc w:val="both"/>
              <w:rPr>
                <w:sz w:val="22"/>
                <w:szCs w:val="22"/>
                <w:lang w:val="sr-Latn-ME"/>
              </w:rPr>
            </w:pPr>
          </w:p>
        </w:tc>
        <w:tc>
          <w:tcPr>
            <w:tcW w:w="1170" w:type="dxa"/>
            <w:tcBorders>
              <w:top w:val="single" w:sz="12" w:space="0" w:color="auto"/>
              <w:bottom w:val="single" w:sz="6" w:space="0" w:color="auto"/>
            </w:tcBorders>
          </w:tcPr>
          <w:p w14:paraId="44FCD93D" w14:textId="77777777" w:rsidR="003E0023" w:rsidRPr="00246D8C" w:rsidRDefault="003E0023" w:rsidP="002D73AD">
            <w:pPr>
              <w:tabs>
                <w:tab w:val="left" w:pos="284"/>
              </w:tabs>
              <w:autoSpaceDE w:val="0"/>
              <w:autoSpaceDN w:val="0"/>
              <w:adjustRightInd w:val="0"/>
              <w:jc w:val="both"/>
              <w:rPr>
                <w:b/>
                <w:bCs/>
                <w:sz w:val="22"/>
                <w:szCs w:val="22"/>
                <w:lang w:val="sr-Latn-ME"/>
              </w:rPr>
            </w:pPr>
            <w:r w:rsidRPr="00246D8C">
              <w:rPr>
                <w:b/>
                <w:bCs/>
                <w:sz w:val="22"/>
                <w:szCs w:val="22"/>
                <w:lang w:val="sr-Latn-ME"/>
              </w:rPr>
              <w:t>Srednja početna vrijednost HbA1c (%)</w:t>
            </w:r>
          </w:p>
        </w:tc>
        <w:tc>
          <w:tcPr>
            <w:tcW w:w="1872" w:type="dxa"/>
            <w:tcBorders>
              <w:top w:val="single" w:sz="12" w:space="0" w:color="auto"/>
              <w:bottom w:val="single" w:sz="6" w:space="0" w:color="auto"/>
            </w:tcBorders>
          </w:tcPr>
          <w:p w14:paraId="3326C76D" w14:textId="69908CB7" w:rsidR="003E0023" w:rsidRPr="00246D8C" w:rsidRDefault="003E0023" w:rsidP="002D73AD">
            <w:pPr>
              <w:autoSpaceDE w:val="0"/>
              <w:autoSpaceDN w:val="0"/>
              <w:adjustRightInd w:val="0"/>
              <w:jc w:val="both"/>
              <w:rPr>
                <w:sz w:val="22"/>
                <w:szCs w:val="22"/>
                <w:lang w:val="sr-Latn-ME"/>
              </w:rPr>
            </w:pPr>
            <w:r w:rsidRPr="00246D8C">
              <w:rPr>
                <w:b/>
                <w:bCs/>
                <w:sz w:val="22"/>
                <w:szCs w:val="22"/>
                <w:lang w:val="sr-Latn-ME"/>
              </w:rPr>
              <w:t>Srednja promjena</w:t>
            </w:r>
            <w:r w:rsidRPr="00246D8C">
              <w:rPr>
                <w:position w:val="2"/>
                <w:sz w:val="22"/>
                <w:szCs w:val="22"/>
                <w:vertAlign w:val="superscript"/>
                <w:lang w:val="sr-Latn-ME"/>
              </w:rPr>
              <w:t>2</w:t>
            </w:r>
            <w:r w:rsidRPr="00246D8C">
              <w:rPr>
                <w:b/>
                <w:bCs/>
                <w:sz w:val="22"/>
                <w:szCs w:val="22"/>
                <w:lang w:val="sr-Latn-ME"/>
              </w:rPr>
              <w:t xml:space="preserve"> u odnosu na početnu vrijednost HbA1c (%) poslije 24 ned</w:t>
            </w:r>
            <w:r w:rsidR="00AB4B12" w:rsidRPr="00246D8C">
              <w:rPr>
                <w:b/>
                <w:bCs/>
                <w:sz w:val="22"/>
                <w:szCs w:val="22"/>
                <w:lang w:val="sr-Latn-ME"/>
              </w:rPr>
              <w:t>j</w:t>
            </w:r>
            <w:r w:rsidRPr="00246D8C">
              <w:rPr>
                <w:b/>
                <w:bCs/>
                <w:sz w:val="22"/>
                <w:szCs w:val="22"/>
                <w:lang w:val="sr-Latn-ME"/>
              </w:rPr>
              <w:t>elje</w:t>
            </w:r>
          </w:p>
          <w:p w14:paraId="71BD5CB0" w14:textId="77777777" w:rsidR="003E0023" w:rsidRPr="00246D8C" w:rsidRDefault="003E0023" w:rsidP="002D73AD">
            <w:pPr>
              <w:tabs>
                <w:tab w:val="left" w:pos="284"/>
              </w:tabs>
              <w:autoSpaceDE w:val="0"/>
              <w:autoSpaceDN w:val="0"/>
              <w:adjustRightInd w:val="0"/>
              <w:jc w:val="both"/>
              <w:rPr>
                <w:b/>
                <w:bCs/>
                <w:sz w:val="22"/>
                <w:szCs w:val="22"/>
                <w:lang w:val="sr-Latn-ME"/>
              </w:rPr>
            </w:pPr>
            <w:r w:rsidRPr="00246D8C">
              <w:rPr>
                <w:position w:val="6"/>
                <w:sz w:val="22"/>
                <w:szCs w:val="22"/>
                <w:vertAlign w:val="superscript"/>
                <w:lang w:val="sr-Latn-ME"/>
              </w:rPr>
              <w:t xml:space="preserve"> </w:t>
            </w:r>
          </w:p>
        </w:tc>
        <w:tc>
          <w:tcPr>
            <w:tcW w:w="2143" w:type="dxa"/>
            <w:tcBorders>
              <w:top w:val="single" w:sz="12" w:space="0" w:color="auto"/>
              <w:bottom w:val="single" w:sz="6" w:space="0" w:color="auto"/>
            </w:tcBorders>
          </w:tcPr>
          <w:p w14:paraId="0899BFB5" w14:textId="2DFFD516" w:rsidR="003E0023" w:rsidRPr="00246D8C" w:rsidRDefault="003E0023" w:rsidP="002D73AD">
            <w:pPr>
              <w:tabs>
                <w:tab w:val="left" w:pos="284"/>
              </w:tabs>
              <w:autoSpaceDE w:val="0"/>
              <w:autoSpaceDN w:val="0"/>
              <w:adjustRightInd w:val="0"/>
              <w:jc w:val="both"/>
              <w:rPr>
                <w:b/>
                <w:bCs/>
                <w:sz w:val="22"/>
                <w:szCs w:val="22"/>
                <w:lang w:val="sr-Latn-ME"/>
              </w:rPr>
            </w:pPr>
            <w:r w:rsidRPr="00246D8C">
              <w:rPr>
                <w:b/>
                <w:bCs/>
                <w:sz w:val="22"/>
                <w:szCs w:val="22"/>
                <w:lang w:val="sr-Latn-ME"/>
              </w:rPr>
              <w:t>Placebom korigovana srednja promjena HbA1c (%) poslije 24 ned</w:t>
            </w:r>
            <w:r w:rsidR="00AB4B12" w:rsidRPr="00246D8C">
              <w:rPr>
                <w:b/>
                <w:bCs/>
                <w:sz w:val="22"/>
                <w:szCs w:val="22"/>
                <w:lang w:val="sr-Latn-ME"/>
              </w:rPr>
              <w:t>j</w:t>
            </w:r>
            <w:r w:rsidRPr="00246D8C">
              <w:rPr>
                <w:b/>
                <w:bCs/>
                <w:sz w:val="22"/>
                <w:szCs w:val="22"/>
                <w:lang w:val="sr-Latn-ME"/>
              </w:rPr>
              <w:t>elje (95% CI)</w:t>
            </w:r>
          </w:p>
        </w:tc>
      </w:tr>
      <w:tr w:rsidR="003D48C9" w:rsidRPr="00246D8C" w14:paraId="305AE107" w14:textId="77777777" w:rsidTr="002D73AD">
        <w:trPr>
          <w:cantSplit/>
          <w:trHeight w:val="292"/>
          <w:jc w:val="center"/>
        </w:trPr>
        <w:tc>
          <w:tcPr>
            <w:tcW w:w="3887" w:type="dxa"/>
            <w:tcBorders>
              <w:top w:val="single" w:sz="6" w:space="0" w:color="auto"/>
            </w:tcBorders>
          </w:tcPr>
          <w:p w14:paraId="23829F29" w14:textId="77777777" w:rsidR="003E0023" w:rsidRPr="00246D8C" w:rsidRDefault="003E0023" w:rsidP="002D73AD">
            <w:pPr>
              <w:keepNext/>
              <w:ind w:left="72" w:hanging="72"/>
              <w:jc w:val="both"/>
              <w:outlineLvl w:val="2"/>
              <w:rPr>
                <w:bCs/>
                <w:i/>
                <w:iCs/>
                <w:caps/>
                <w:sz w:val="22"/>
                <w:szCs w:val="22"/>
                <w:lang w:val="sr-Latn-ME"/>
              </w:rPr>
            </w:pPr>
            <w:r w:rsidRPr="00246D8C">
              <w:rPr>
                <w:bCs/>
                <w:i/>
                <w:iCs/>
                <w:caps/>
                <w:sz w:val="22"/>
                <w:szCs w:val="22"/>
                <w:lang w:val="sr-Latn-ME"/>
              </w:rPr>
              <w:t xml:space="preserve">StudiJE MonoterapijE </w:t>
            </w:r>
          </w:p>
        </w:tc>
        <w:tc>
          <w:tcPr>
            <w:tcW w:w="1170" w:type="dxa"/>
            <w:tcBorders>
              <w:top w:val="single" w:sz="6" w:space="0" w:color="auto"/>
            </w:tcBorders>
          </w:tcPr>
          <w:p w14:paraId="6520C088" w14:textId="77777777" w:rsidR="003E0023" w:rsidRPr="00246D8C" w:rsidRDefault="003E0023" w:rsidP="002D73AD">
            <w:pPr>
              <w:tabs>
                <w:tab w:val="left" w:pos="284"/>
              </w:tabs>
              <w:autoSpaceDE w:val="0"/>
              <w:autoSpaceDN w:val="0"/>
              <w:adjustRightInd w:val="0"/>
              <w:jc w:val="both"/>
              <w:rPr>
                <w:sz w:val="22"/>
                <w:szCs w:val="22"/>
                <w:lang w:val="sr-Latn-ME"/>
              </w:rPr>
            </w:pPr>
          </w:p>
        </w:tc>
        <w:tc>
          <w:tcPr>
            <w:tcW w:w="1872" w:type="dxa"/>
            <w:tcBorders>
              <w:top w:val="single" w:sz="6" w:space="0" w:color="auto"/>
            </w:tcBorders>
          </w:tcPr>
          <w:p w14:paraId="34871D0A" w14:textId="77777777" w:rsidR="003E0023" w:rsidRPr="00246D8C" w:rsidRDefault="003E0023" w:rsidP="002D73AD">
            <w:pPr>
              <w:tabs>
                <w:tab w:val="left" w:pos="284"/>
              </w:tabs>
              <w:autoSpaceDE w:val="0"/>
              <w:autoSpaceDN w:val="0"/>
              <w:adjustRightInd w:val="0"/>
              <w:jc w:val="both"/>
              <w:rPr>
                <w:sz w:val="22"/>
                <w:szCs w:val="22"/>
                <w:lang w:val="sr-Latn-ME"/>
              </w:rPr>
            </w:pPr>
          </w:p>
        </w:tc>
        <w:tc>
          <w:tcPr>
            <w:tcW w:w="2143" w:type="dxa"/>
            <w:tcBorders>
              <w:top w:val="single" w:sz="6" w:space="0" w:color="auto"/>
            </w:tcBorders>
          </w:tcPr>
          <w:p w14:paraId="3E71D73C" w14:textId="77777777" w:rsidR="003E0023" w:rsidRPr="00246D8C" w:rsidRDefault="003E0023" w:rsidP="002D73AD">
            <w:pPr>
              <w:tabs>
                <w:tab w:val="left" w:pos="284"/>
              </w:tabs>
              <w:autoSpaceDE w:val="0"/>
              <w:autoSpaceDN w:val="0"/>
              <w:adjustRightInd w:val="0"/>
              <w:jc w:val="both"/>
              <w:rPr>
                <w:sz w:val="22"/>
                <w:szCs w:val="22"/>
                <w:lang w:val="sr-Latn-ME"/>
              </w:rPr>
            </w:pPr>
          </w:p>
        </w:tc>
      </w:tr>
      <w:tr w:rsidR="003D48C9" w:rsidRPr="00246D8C" w14:paraId="43ABBED7" w14:textId="77777777" w:rsidTr="002D73AD">
        <w:trPr>
          <w:cantSplit/>
          <w:jc w:val="center"/>
        </w:trPr>
        <w:tc>
          <w:tcPr>
            <w:tcW w:w="3887" w:type="dxa"/>
          </w:tcPr>
          <w:p w14:paraId="2977A748" w14:textId="77777777" w:rsidR="003E0023" w:rsidRPr="00246D8C" w:rsidRDefault="003E0023" w:rsidP="006A7219">
            <w:pPr>
              <w:numPr>
                <w:ilvl w:val="0"/>
                <w:numId w:val="13"/>
              </w:numPr>
              <w:tabs>
                <w:tab w:val="left" w:pos="284"/>
              </w:tabs>
              <w:autoSpaceDE w:val="0"/>
              <w:autoSpaceDN w:val="0"/>
              <w:adjustRightInd w:val="0"/>
              <w:spacing w:line="260" w:lineRule="exact"/>
              <w:jc w:val="both"/>
              <w:rPr>
                <w:sz w:val="22"/>
                <w:szCs w:val="22"/>
                <w:lang w:val="sr-Latn-ME"/>
              </w:rPr>
            </w:pPr>
            <w:r w:rsidRPr="00246D8C">
              <w:rPr>
                <w:sz w:val="22"/>
                <w:szCs w:val="22"/>
                <w:lang w:val="sr-Latn-ME"/>
              </w:rPr>
              <w:t>Studija CV181011 (n=103)</w:t>
            </w:r>
          </w:p>
        </w:tc>
        <w:tc>
          <w:tcPr>
            <w:tcW w:w="1170" w:type="dxa"/>
          </w:tcPr>
          <w:p w14:paraId="6E59318C" w14:textId="77777777" w:rsidR="003E0023" w:rsidRPr="00246D8C" w:rsidRDefault="003E0023" w:rsidP="002D73AD">
            <w:pPr>
              <w:tabs>
                <w:tab w:val="left" w:pos="284"/>
              </w:tabs>
              <w:autoSpaceDE w:val="0"/>
              <w:autoSpaceDN w:val="0"/>
              <w:adjustRightInd w:val="0"/>
              <w:jc w:val="both"/>
              <w:rPr>
                <w:sz w:val="22"/>
                <w:szCs w:val="22"/>
                <w:lang w:val="sr-Latn-ME"/>
              </w:rPr>
            </w:pPr>
            <w:r w:rsidRPr="00246D8C">
              <w:rPr>
                <w:sz w:val="22"/>
                <w:szCs w:val="22"/>
                <w:lang w:val="sr-Latn-ME"/>
              </w:rPr>
              <w:t>8.0</w:t>
            </w:r>
          </w:p>
        </w:tc>
        <w:tc>
          <w:tcPr>
            <w:tcW w:w="1872" w:type="dxa"/>
          </w:tcPr>
          <w:p w14:paraId="6ECEB122" w14:textId="77777777" w:rsidR="003E0023" w:rsidRPr="00246D8C" w:rsidRDefault="003E0023" w:rsidP="002D73AD">
            <w:pPr>
              <w:tabs>
                <w:tab w:val="left" w:pos="284"/>
              </w:tabs>
              <w:autoSpaceDE w:val="0"/>
              <w:autoSpaceDN w:val="0"/>
              <w:adjustRightInd w:val="0"/>
              <w:jc w:val="both"/>
              <w:rPr>
                <w:sz w:val="22"/>
                <w:szCs w:val="22"/>
                <w:lang w:val="sr-Latn-ME"/>
              </w:rPr>
            </w:pPr>
            <w:r w:rsidRPr="00246D8C">
              <w:rPr>
                <w:sz w:val="22"/>
                <w:szCs w:val="22"/>
                <w:lang w:val="sr-Latn-ME"/>
              </w:rPr>
              <w:noBreakHyphen/>
              <w:t>0.5</w:t>
            </w:r>
          </w:p>
        </w:tc>
        <w:tc>
          <w:tcPr>
            <w:tcW w:w="2143" w:type="dxa"/>
          </w:tcPr>
          <w:p w14:paraId="0A6E4723" w14:textId="77777777" w:rsidR="003E0023" w:rsidRPr="00246D8C" w:rsidRDefault="003E0023" w:rsidP="002D73AD">
            <w:pPr>
              <w:tabs>
                <w:tab w:val="left" w:pos="284"/>
              </w:tabs>
              <w:autoSpaceDE w:val="0"/>
              <w:autoSpaceDN w:val="0"/>
              <w:adjustRightInd w:val="0"/>
              <w:jc w:val="both"/>
              <w:rPr>
                <w:sz w:val="22"/>
                <w:szCs w:val="22"/>
                <w:lang w:val="sr-Latn-ME"/>
              </w:rPr>
            </w:pPr>
            <w:r w:rsidRPr="00246D8C">
              <w:rPr>
                <w:sz w:val="22"/>
                <w:szCs w:val="22"/>
                <w:lang w:val="sr-Latn-ME"/>
              </w:rPr>
              <w:noBreakHyphen/>
              <w:t>0.6 (</w:t>
            </w:r>
            <w:r w:rsidRPr="00246D8C">
              <w:rPr>
                <w:sz w:val="22"/>
                <w:szCs w:val="22"/>
                <w:lang w:val="sr-Latn-ME"/>
              </w:rPr>
              <w:noBreakHyphen/>
              <w:t xml:space="preserve">0.9, </w:t>
            </w:r>
            <w:r w:rsidRPr="00246D8C">
              <w:rPr>
                <w:sz w:val="22"/>
                <w:szCs w:val="22"/>
                <w:lang w:val="sr-Latn-ME"/>
              </w:rPr>
              <w:noBreakHyphen/>
              <w:t>0.4)</w:t>
            </w:r>
            <w:r w:rsidRPr="00246D8C">
              <w:rPr>
                <w:position w:val="6"/>
                <w:sz w:val="22"/>
                <w:szCs w:val="22"/>
                <w:vertAlign w:val="superscript"/>
                <w:lang w:val="sr-Latn-ME"/>
              </w:rPr>
              <w:t>3</w:t>
            </w:r>
          </w:p>
        </w:tc>
      </w:tr>
      <w:tr w:rsidR="003D48C9" w:rsidRPr="00246D8C" w14:paraId="6361D74F" w14:textId="77777777" w:rsidTr="002D73AD">
        <w:trPr>
          <w:cantSplit/>
          <w:jc w:val="center"/>
        </w:trPr>
        <w:tc>
          <w:tcPr>
            <w:tcW w:w="3887" w:type="dxa"/>
          </w:tcPr>
          <w:p w14:paraId="2EC50FA1" w14:textId="77777777" w:rsidR="003E0023" w:rsidRPr="00246D8C" w:rsidRDefault="003E0023" w:rsidP="006A7219">
            <w:pPr>
              <w:numPr>
                <w:ilvl w:val="0"/>
                <w:numId w:val="13"/>
              </w:numPr>
              <w:tabs>
                <w:tab w:val="left" w:pos="284"/>
              </w:tabs>
              <w:autoSpaceDE w:val="0"/>
              <w:autoSpaceDN w:val="0"/>
              <w:adjustRightInd w:val="0"/>
              <w:spacing w:line="260" w:lineRule="exact"/>
              <w:jc w:val="both"/>
              <w:rPr>
                <w:sz w:val="22"/>
                <w:szCs w:val="22"/>
                <w:lang w:val="sr-Latn-ME"/>
              </w:rPr>
            </w:pPr>
            <w:r w:rsidRPr="00246D8C">
              <w:rPr>
                <w:sz w:val="22"/>
                <w:szCs w:val="22"/>
                <w:lang w:val="sr-Latn-ME"/>
              </w:rPr>
              <w:t>Studija CV181038 (n=69)</w:t>
            </w:r>
          </w:p>
        </w:tc>
        <w:tc>
          <w:tcPr>
            <w:tcW w:w="1170" w:type="dxa"/>
          </w:tcPr>
          <w:p w14:paraId="58F55EF1" w14:textId="77777777" w:rsidR="003E0023" w:rsidRPr="00246D8C" w:rsidRDefault="003E0023" w:rsidP="002D73AD">
            <w:pPr>
              <w:tabs>
                <w:tab w:val="left" w:pos="284"/>
              </w:tabs>
              <w:autoSpaceDE w:val="0"/>
              <w:autoSpaceDN w:val="0"/>
              <w:adjustRightInd w:val="0"/>
              <w:jc w:val="both"/>
              <w:rPr>
                <w:sz w:val="22"/>
                <w:szCs w:val="22"/>
                <w:lang w:val="sr-Latn-ME"/>
              </w:rPr>
            </w:pPr>
            <w:r w:rsidRPr="00246D8C">
              <w:rPr>
                <w:sz w:val="22"/>
                <w:szCs w:val="22"/>
                <w:lang w:val="sr-Latn-ME"/>
              </w:rPr>
              <w:t>7.9</w:t>
            </w:r>
          </w:p>
        </w:tc>
        <w:tc>
          <w:tcPr>
            <w:tcW w:w="1872" w:type="dxa"/>
          </w:tcPr>
          <w:p w14:paraId="58481A04" w14:textId="77777777" w:rsidR="003E0023" w:rsidRPr="00246D8C" w:rsidRDefault="003E0023" w:rsidP="002D73AD">
            <w:pPr>
              <w:tabs>
                <w:tab w:val="left" w:pos="284"/>
              </w:tabs>
              <w:autoSpaceDE w:val="0"/>
              <w:autoSpaceDN w:val="0"/>
              <w:adjustRightInd w:val="0"/>
              <w:jc w:val="both"/>
              <w:rPr>
                <w:sz w:val="22"/>
                <w:szCs w:val="22"/>
                <w:lang w:val="sr-Latn-ME"/>
              </w:rPr>
            </w:pPr>
            <w:r w:rsidRPr="00246D8C">
              <w:rPr>
                <w:sz w:val="22"/>
                <w:szCs w:val="22"/>
                <w:lang w:val="sr-Latn-ME"/>
              </w:rPr>
              <w:noBreakHyphen/>
              <w:t>0.7 (ujutru)</w:t>
            </w:r>
          </w:p>
        </w:tc>
        <w:tc>
          <w:tcPr>
            <w:tcW w:w="2143" w:type="dxa"/>
          </w:tcPr>
          <w:p w14:paraId="611AFCD1" w14:textId="77777777" w:rsidR="003E0023" w:rsidRPr="00246D8C" w:rsidRDefault="003E0023" w:rsidP="002D73AD">
            <w:pPr>
              <w:tabs>
                <w:tab w:val="left" w:pos="284"/>
              </w:tabs>
              <w:autoSpaceDE w:val="0"/>
              <w:autoSpaceDN w:val="0"/>
              <w:adjustRightInd w:val="0"/>
              <w:jc w:val="both"/>
              <w:rPr>
                <w:sz w:val="22"/>
                <w:szCs w:val="22"/>
                <w:lang w:val="sr-Latn-ME"/>
              </w:rPr>
            </w:pPr>
            <w:r w:rsidRPr="00246D8C">
              <w:rPr>
                <w:sz w:val="22"/>
                <w:szCs w:val="22"/>
                <w:lang w:val="sr-Latn-ME"/>
              </w:rPr>
              <w:noBreakHyphen/>
              <w:t>0.4 (</w:t>
            </w:r>
            <w:r w:rsidRPr="00246D8C">
              <w:rPr>
                <w:sz w:val="22"/>
                <w:szCs w:val="22"/>
                <w:lang w:val="sr-Latn-ME"/>
              </w:rPr>
              <w:noBreakHyphen/>
              <w:t xml:space="preserve">0.7, </w:t>
            </w:r>
            <w:r w:rsidRPr="00246D8C">
              <w:rPr>
                <w:sz w:val="22"/>
                <w:szCs w:val="22"/>
                <w:lang w:val="sr-Latn-ME"/>
              </w:rPr>
              <w:noBreakHyphen/>
              <w:t>0.1)</w:t>
            </w:r>
            <w:r w:rsidRPr="00246D8C">
              <w:rPr>
                <w:position w:val="6"/>
                <w:sz w:val="22"/>
                <w:szCs w:val="22"/>
                <w:vertAlign w:val="superscript"/>
                <w:lang w:val="sr-Latn-ME"/>
              </w:rPr>
              <w:t xml:space="preserve"> </w:t>
            </w:r>
            <w:r w:rsidRPr="00246D8C">
              <w:rPr>
                <w:position w:val="4"/>
                <w:sz w:val="22"/>
                <w:szCs w:val="22"/>
                <w:vertAlign w:val="superscript"/>
                <w:lang w:val="sr-Latn-ME"/>
              </w:rPr>
              <w:t>4</w:t>
            </w:r>
          </w:p>
        </w:tc>
      </w:tr>
      <w:tr w:rsidR="003D48C9" w:rsidRPr="00246D8C" w14:paraId="5D2B0D11" w14:textId="77777777" w:rsidTr="002D73AD">
        <w:trPr>
          <w:cantSplit/>
          <w:jc w:val="center"/>
        </w:trPr>
        <w:tc>
          <w:tcPr>
            <w:tcW w:w="3887" w:type="dxa"/>
          </w:tcPr>
          <w:p w14:paraId="3B8DD56E" w14:textId="0F43A0CF" w:rsidR="003E0023" w:rsidRPr="00246D8C" w:rsidRDefault="006702E5" w:rsidP="006A7219">
            <w:pPr>
              <w:tabs>
                <w:tab w:val="left" w:pos="284"/>
              </w:tabs>
              <w:autoSpaceDE w:val="0"/>
              <w:autoSpaceDN w:val="0"/>
              <w:adjustRightInd w:val="0"/>
              <w:jc w:val="both"/>
              <w:rPr>
                <w:sz w:val="22"/>
                <w:szCs w:val="22"/>
                <w:lang w:val="sr-Latn-ME"/>
              </w:rPr>
            </w:pPr>
            <w:r w:rsidRPr="00246D8C">
              <w:rPr>
                <w:sz w:val="22"/>
                <w:szCs w:val="22"/>
                <w:lang w:val="sr-Latn-ME"/>
              </w:rPr>
              <w:t xml:space="preserve">                      </w:t>
            </w:r>
            <w:r w:rsidR="00AB4B12" w:rsidRPr="00246D8C">
              <w:rPr>
                <w:sz w:val="22"/>
                <w:szCs w:val="22"/>
                <w:lang w:val="sr-Latn-ME"/>
              </w:rPr>
              <w:t xml:space="preserve">                      </w:t>
            </w:r>
            <w:r w:rsidR="003E0023" w:rsidRPr="00246D8C">
              <w:rPr>
                <w:sz w:val="22"/>
                <w:szCs w:val="22"/>
                <w:lang w:val="sr-Latn-ME"/>
              </w:rPr>
              <w:t xml:space="preserve">(n=70) </w:t>
            </w:r>
          </w:p>
        </w:tc>
        <w:tc>
          <w:tcPr>
            <w:tcW w:w="1170" w:type="dxa"/>
          </w:tcPr>
          <w:p w14:paraId="4B41ADBC" w14:textId="77777777" w:rsidR="003E0023" w:rsidRPr="00246D8C" w:rsidRDefault="003E0023" w:rsidP="002D73AD">
            <w:pPr>
              <w:tabs>
                <w:tab w:val="left" w:pos="284"/>
              </w:tabs>
              <w:autoSpaceDE w:val="0"/>
              <w:autoSpaceDN w:val="0"/>
              <w:adjustRightInd w:val="0"/>
              <w:jc w:val="both"/>
              <w:rPr>
                <w:sz w:val="22"/>
                <w:szCs w:val="22"/>
                <w:lang w:val="sr-Latn-ME"/>
              </w:rPr>
            </w:pPr>
            <w:r w:rsidRPr="00246D8C">
              <w:rPr>
                <w:sz w:val="22"/>
                <w:szCs w:val="22"/>
                <w:lang w:val="sr-Latn-ME"/>
              </w:rPr>
              <w:t>7.9</w:t>
            </w:r>
          </w:p>
        </w:tc>
        <w:tc>
          <w:tcPr>
            <w:tcW w:w="1872" w:type="dxa"/>
          </w:tcPr>
          <w:p w14:paraId="31B2D7CB" w14:textId="77777777" w:rsidR="003E0023" w:rsidRPr="00246D8C" w:rsidRDefault="003E0023" w:rsidP="002D73AD">
            <w:pPr>
              <w:tabs>
                <w:tab w:val="left" w:pos="284"/>
              </w:tabs>
              <w:autoSpaceDE w:val="0"/>
              <w:autoSpaceDN w:val="0"/>
              <w:adjustRightInd w:val="0"/>
              <w:jc w:val="both"/>
              <w:rPr>
                <w:sz w:val="22"/>
                <w:szCs w:val="22"/>
                <w:lang w:val="sr-Latn-ME"/>
              </w:rPr>
            </w:pPr>
            <w:r w:rsidRPr="00246D8C">
              <w:rPr>
                <w:sz w:val="22"/>
                <w:szCs w:val="22"/>
                <w:lang w:val="sr-Latn-ME"/>
              </w:rPr>
              <w:noBreakHyphen/>
              <w:t>0.6 (uveče)</w:t>
            </w:r>
          </w:p>
        </w:tc>
        <w:tc>
          <w:tcPr>
            <w:tcW w:w="2143" w:type="dxa"/>
          </w:tcPr>
          <w:p w14:paraId="350D6010" w14:textId="77777777" w:rsidR="003E0023" w:rsidRPr="00246D8C" w:rsidRDefault="003E0023" w:rsidP="002D73AD">
            <w:pPr>
              <w:tabs>
                <w:tab w:val="left" w:pos="284"/>
              </w:tabs>
              <w:autoSpaceDE w:val="0"/>
              <w:autoSpaceDN w:val="0"/>
              <w:adjustRightInd w:val="0"/>
              <w:jc w:val="both"/>
              <w:rPr>
                <w:sz w:val="22"/>
                <w:szCs w:val="22"/>
                <w:lang w:val="sr-Latn-ME"/>
              </w:rPr>
            </w:pPr>
            <w:r w:rsidRPr="00246D8C">
              <w:rPr>
                <w:sz w:val="22"/>
                <w:szCs w:val="22"/>
                <w:lang w:val="sr-Latn-ME"/>
              </w:rPr>
              <w:noBreakHyphen/>
              <w:t>0.4 (</w:t>
            </w:r>
            <w:r w:rsidRPr="00246D8C">
              <w:rPr>
                <w:sz w:val="22"/>
                <w:szCs w:val="22"/>
                <w:lang w:val="sr-Latn-ME"/>
              </w:rPr>
              <w:noBreakHyphen/>
              <w:t xml:space="preserve">0.6, </w:t>
            </w:r>
            <w:r w:rsidRPr="00246D8C">
              <w:rPr>
                <w:sz w:val="22"/>
                <w:szCs w:val="22"/>
                <w:lang w:val="sr-Latn-ME"/>
              </w:rPr>
              <w:noBreakHyphen/>
              <w:t>0.1)</w:t>
            </w:r>
            <w:r w:rsidRPr="00246D8C">
              <w:rPr>
                <w:sz w:val="22"/>
                <w:szCs w:val="22"/>
                <w:vertAlign w:val="superscript"/>
                <w:lang w:val="sr-Latn-ME"/>
              </w:rPr>
              <w:t xml:space="preserve"> 5</w:t>
            </w:r>
          </w:p>
        </w:tc>
      </w:tr>
      <w:tr w:rsidR="003D48C9" w:rsidRPr="00246D8C" w14:paraId="1869A940" w14:textId="77777777" w:rsidTr="002D73AD">
        <w:trPr>
          <w:cantSplit/>
          <w:trHeight w:val="336"/>
          <w:jc w:val="center"/>
        </w:trPr>
        <w:tc>
          <w:tcPr>
            <w:tcW w:w="3887" w:type="dxa"/>
          </w:tcPr>
          <w:p w14:paraId="57A13B69" w14:textId="77777777" w:rsidR="003E0023" w:rsidRPr="00246D8C" w:rsidRDefault="003E0023" w:rsidP="002D73AD">
            <w:pPr>
              <w:keepNext/>
              <w:ind w:left="72" w:hanging="72"/>
              <w:jc w:val="both"/>
              <w:outlineLvl w:val="2"/>
              <w:rPr>
                <w:bCs/>
                <w:i/>
                <w:iCs/>
                <w:caps/>
                <w:sz w:val="22"/>
                <w:szCs w:val="22"/>
                <w:lang w:val="sr-Latn-ME"/>
              </w:rPr>
            </w:pPr>
            <w:r w:rsidRPr="00246D8C">
              <w:rPr>
                <w:bCs/>
                <w:i/>
                <w:iCs/>
                <w:caps/>
                <w:sz w:val="22"/>
                <w:szCs w:val="22"/>
                <w:lang w:val="sr-Latn-ME"/>
              </w:rPr>
              <w:t>Studije DODATNE/</w:t>
            </w:r>
          </w:p>
          <w:p w14:paraId="5F711D1C" w14:textId="77777777" w:rsidR="003E0023" w:rsidRPr="00246D8C" w:rsidRDefault="003E0023" w:rsidP="002D73AD">
            <w:pPr>
              <w:keepNext/>
              <w:ind w:left="72" w:hanging="72"/>
              <w:jc w:val="both"/>
              <w:outlineLvl w:val="2"/>
              <w:rPr>
                <w:bCs/>
                <w:i/>
                <w:iCs/>
                <w:caps/>
                <w:sz w:val="22"/>
                <w:szCs w:val="22"/>
                <w:lang w:val="sr-Latn-ME"/>
              </w:rPr>
            </w:pPr>
            <w:r w:rsidRPr="00246D8C">
              <w:rPr>
                <w:bCs/>
                <w:i/>
                <w:iCs/>
                <w:caps/>
                <w:sz w:val="22"/>
                <w:szCs w:val="22"/>
                <w:lang w:val="sr-Latn-ME"/>
              </w:rPr>
              <w:t>KOMBINOVANE TERAPIJE</w:t>
            </w:r>
          </w:p>
        </w:tc>
        <w:tc>
          <w:tcPr>
            <w:tcW w:w="1170" w:type="dxa"/>
          </w:tcPr>
          <w:p w14:paraId="11769F94" w14:textId="77777777" w:rsidR="003E0023" w:rsidRPr="00246D8C" w:rsidRDefault="003E0023" w:rsidP="002D73AD">
            <w:pPr>
              <w:tabs>
                <w:tab w:val="left" w:pos="284"/>
              </w:tabs>
              <w:autoSpaceDE w:val="0"/>
              <w:autoSpaceDN w:val="0"/>
              <w:adjustRightInd w:val="0"/>
              <w:jc w:val="both"/>
              <w:rPr>
                <w:sz w:val="22"/>
                <w:szCs w:val="22"/>
                <w:lang w:val="sr-Latn-ME"/>
              </w:rPr>
            </w:pPr>
          </w:p>
        </w:tc>
        <w:tc>
          <w:tcPr>
            <w:tcW w:w="1872" w:type="dxa"/>
          </w:tcPr>
          <w:p w14:paraId="0ED4B388" w14:textId="77777777" w:rsidR="003E0023" w:rsidRPr="00246D8C" w:rsidRDefault="003E0023" w:rsidP="002D73AD">
            <w:pPr>
              <w:tabs>
                <w:tab w:val="left" w:pos="284"/>
              </w:tabs>
              <w:autoSpaceDE w:val="0"/>
              <w:autoSpaceDN w:val="0"/>
              <w:adjustRightInd w:val="0"/>
              <w:jc w:val="both"/>
              <w:rPr>
                <w:sz w:val="22"/>
                <w:szCs w:val="22"/>
                <w:lang w:val="sr-Latn-ME"/>
              </w:rPr>
            </w:pPr>
          </w:p>
        </w:tc>
        <w:tc>
          <w:tcPr>
            <w:tcW w:w="2143" w:type="dxa"/>
          </w:tcPr>
          <w:p w14:paraId="10F815D1" w14:textId="77777777" w:rsidR="003E0023" w:rsidRPr="00246D8C" w:rsidRDefault="003E0023" w:rsidP="002D73AD">
            <w:pPr>
              <w:tabs>
                <w:tab w:val="left" w:pos="284"/>
              </w:tabs>
              <w:autoSpaceDE w:val="0"/>
              <w:autoSpaceDN w:val="0"/>
              <w:adjustRightInd w:val="0"/>
              <w:jc w:val="both"/>
              <w:rPr>
                <w:sz w:val="22"/>
                <w:szCs w:val="22"/>
                <w:lang w:val="sr-Latn-ME"/>
              </w:rPr>
            </w:pPr>
          </w:p>
        </w:tc>
      </w:tr>
      <w:tr w:rsidR="003D48C9" w:rsidRPr="00246D8C" w14:paraId="0D8E94CF" w14:textId="77777777" w:rsidTr="002D73AD">
        <w:trPr>
          <w:cantSplit/>
          <w:jc w:val="center"/>
        </w:trPr>
        <w:tc>
          <w:tcPr>
            <w:tcW w:w="3887" w:type="dxa"/>
          </w:tcPr>
          <w:p w14:paraId="288ECA2D" w14:textId="307CE44A" w:rsidR="003E0023" w:rsidRPr="00246D8C" w:rsidRDefault="003E0023" w:rsidP="006A7219">
            <w:pPr>
              <w:numPr>
                <w:ilvl w:val="0"/>
                <w:numId w:val="14"/>
              </w:numPr>
              <w:tabs>
                <w:tab w:val="left" w:pos="284"/>
                <w:tab w:val="left" w:pos="567"/>
              </w:tabs>
              <w:autoSpaceDE w:val="0"/>
              <w:autoSpaceDN w:val="0"/>
              <w:adjustRightInd w:val="0"/>
              <w:spacing w:line="260" w:lineRule="exact"/>
              <w:jc w:val="both"/>
              <w:rPr>
                <w:sz w:val="22"/>
                <w:szCs w:val="22"/>
                <w:lang w:val="sr-Latn-ME"/>
              </w:rPr>
            </w:pPr>
            <w:r w:rsidRPr="00246D8C">
              <w:rPr>
                <w:sz w:val="22"/>
                <w:szCs w:val="22"/>
                <w:lang w:val="sr-Latn-ME"/>
              </w:rPr>
              <w:t>Studija CV181014: dodatak</w:t>
            </w:r>
            <w:r w:rsidR="006702E5" w:rsidRPr="00246D8C">
              <w:rPr>
                <w:sz w:val="22"/>
                <w:szCs w:val="22"/>
                <w:lang w:val="sr-Latn-ME"/>
              </w:rPr>
              <w:t xml:space="preserve"> </w:t>
            </w:r>
            <w:r w:rsidRPr="00246D8C">
              <w:rPr>
                <w:sz w:val="22"/>
                <w:szCs w:val="22"/>
                <w:lang w:val="sr-Latn-ME"/>
              </w:rPr>
              <w:t>metforminu (n=186)</w:t>
            </w:r>
          </w:p>
        </w:tc>
        <w:tc>
          <w:tcPr>
            <w:tcW w:w="1170" w:type="dxa"/>
          </w:tcPr>
          <w:p w14:paraId="08EEF698" w14:textId="77777777" w:rsidR="003E0023" w:rsidRPr="00246D8C" w:rsidRDefault="003E0023" w:rsidP="002D73AD">
            <w:pPr>
              <w:tabs>
                <w:tab w:val="left" w:pos="284"/>
              </w:tabs>
              <w:autoSpaceDE w:val="0"/>
              <w:autoSpaceDN w:val="0"/>
              <w:adjustRightInd w:val="0"/>
              <w:jc w:val="both"/>
              <w:rPr>
                <w:sz w:val="22"/>
                <w:szCs w:val="22"/>
                <w:lang w:val="sr-Latn-ME"/>
              </w:rPr>
            </w:pPr>
            <w:r w:rsidRPr="00246D8C">
              <w:rPr>
                <w:sz w:val="22"/>
                <w:szCs w:val="22"/>
                <w:lang w:val="sr-Latn-ME"/>
              </w:rPr>
              <w:t>8.1</w:t>
            </w:r>
          </w:p>
        </w:tc>
        <w:tc>
          <w:tcPr>
            <w:tcW w:w="1872" w:type="dxa"/>
          </w:tcPr>
          <w:p w14:paraId="5276DB51" w14:textId="77777777" w:rsidR="003E0023" w:rsidRPr="00246D8C" w:rsidRDefault="003E0023" w:rsidP="002D73AD">
            <w:pPr>
              <w:tabs>
                <w:tab w:val="left" w:pos="284"/>
              </w:tabs>
              <w:autoSpaceDE w:val="0"/>
              <w:autoSpaceDN w:val="0"/>
              <w:adjustRightInd w:val="0"/>
              <w:jc w:val="both"/>
              <w:rPr>
                <w:sz w:val="22"/>
                <w:szCs w:val="22"/>
                <w:lang w:val="sr-Latn-ME"/>
              </w:rPr>
            </w:pPr>
            <w:r w:rsidRPr="00246D8C">
              <w:rPr>
                <w:sz w:val="22"/>
                <w:szCs w:val="22"/>
                <w:lang w:val="sr-Latn-ME"/>
              </w:rPr>
              <w:noBreakHyphen/>
              <w:t>0.7</w:t>
            </w:r>
          </w:p>
        </w:tc>
        <w:tc>
          <w:tcPr>
            <w:tcW w:w="2143" w:type="dxa"/>
          </w:tcPr>
          <w:p w14:paraId="34C891CF" w14:textId="77777777" w:rsidR="003E0023" w:rsidRPr="00246D8C" w:rsidRDefault="003E0023" w:rsidP="002D73AD">
            <w:pPr>
              <w:tabs>
                <w:tab w:val="left" w:pos="284"/>
              </w:tabs>
              <w:autoSpaceDE w:val="0"/>
              <w:autoSpaceDN w:val="0"/>
              <w:adjustRightInd w:val="0"/>
              <w:jc w:val="both"/>
              <w:rPr>
                <w:sz w:val="22"/>
                <w:szCs w:val="22"/>
                <w:lang w:val="sr-Latn-ME"/>
              </w:rPr>
            </w:pPr>
            <w:r w:rsidRPr="00246D8C">
              <w:rPr>
                <w:sz w:val="22"/>
                <w:szCs w:val="22"/>
                <w:lang w:val="sr-Latn-ME"/>
              </w:rPr>
              <w:noBreakHyphen/>
              <w:t>0.8 (</w:t>
            </w:r>
            <w:r w:rsidRPr="00246D8C">
              <w:rPr>
                <w:sz w:val="22"/>
                <w:szCs w:val="22"/>
                <w:lang w:val="sr-Latn-ME"/>
              </w:rPr>
              <w:noBreakHyphen/>
              <w:t xml:space="preserve">1.0, </w:t>
            </w:r>
            <w:r w:rsidRPr="00246D8C">
              <w:rPr>
                <w:sz w:val="22"/>
                <w:szCs w:val="22"/>
                <w:lang w:val="sr-Latn-ME"/>
              </w:rPr>
              <w:noBreakHyphen/>
              <w:t>0.6)</w:t>
            </w:r>
            <w:r w:rsidRPr="00246D8C">
              <w:rPr>
                <w:position w:val="6"/>
                <w:sz w:val="22"/>
                <w:szCs w:val="22"/>
                <w:vertAlign w:val="superscript"/>
                <w:lang w:val="sr-Latn-ME"/>
              </w:rPr>
              <w:t>3</w:t>
            </w:r>
          </w:p>
        </w:tc>
      </w:tr>
      <w:tr w:rsidR="003D48C9" w:rsidRPr="00246D8C" w14:paraId="4A34A74B" w14:textId="77777777" w:rsidTr="002D73AD">
        <w:trPr>
          <w:cantSplit/>
          <w:jc w:val="center"/>
        </w:trPr>
        <w:tc>
          <w:tcPr>
            <w:tcW w:w="3887" w:type="dxa"/>
          </w:tcPr>
          <w:p w14:paraId="31EF7E2D" w14:textId="424EC279" w:rsidR="003E0023" w:rsidRPr="00246D8C" w:rsidRDefault="003E0023" w:rsidP="006A7219">
            <w:pPr>
              <w:numPr>
                <w:ilvl w:val="0"/>
                <w:numId w:val="14"/>
              </w:numPr>
              <w:tabs>
                <w:tab w:val="left" w:pos="284"/>
                <w:tab w:val="left" w:pos="567"/>
              </w:tabs>
              <w:autoSpaceDE w:val="0"/>
              <w:autoSpaceDN w:val="0"/>
              <w:adjustRightInd w:val="0"/>
              <w:spacing w:line="260" w:lineRule="exact"/>
              <w:jc w:val="both"/>
              <w:rPr>
                <w:sz w:val="22"/>
                <w:szCs w:val="22"/>
                <w:lang w:val="sr-Latn-ME"/>
              </w:rPr>
            </w:pPr>
            <w:r w:rsidRPr="00246D8C">
              <w:rPr>
                <w:sz w:val="22"/>
                <w:szCs w:val="22"/>
                <w:lang w:val="sr-Latn-ME"/>
              </w:rPr>
              <w:t>Studija CV181040: dodatak</w:t>
            </w:r>
            <w:r w:rsidR="006702E5" w:rsidRPr="00246D8C">
              <w:rPr>
                <w:sz w:val="22"/>
                <w:szCs w:val="22"/>
                <w:lang w:val="sr-Latn-ME"/>
              </w:rPr>
              <w:t xml:space="preserve"> </w:t>
            </w:r>
            <w:r w:rsidRPr="00246D8C">
              <w:rPr>
                <w:sz w:val="22"/>
                <w:szCs w:val="22"/>
                <w:lang w:val="sr-Latn-ME"/>
              </w:rPr>
              <w:t>SU</w:t>
            </w:r>
            <w:r w:rsidRPr="00246D8C">
              <w:rPr>
                <w:sz w:val="22"/>
                <w:szCs w:val="22"/>
                <w:vertAlign w:val="superscript"/>
                <w:lang w:val="sr-Latn-ME"/>
              </w:rPr>
              <w:t>1</w:t>
            </w:r>
            <w:r w:rsidRPr="00246D8C">
              <w:rPr>
                <w:sz w:val="22"/>
                <w:szCs w:val="22"/>
                <w:lang w:val="sr-Latn-ME"/>
              </w:rPr>
              <w:t xml:space="preserve"> (n=250)</w:t>
            </w:r>
          </w:p>
        </w:tc>
        <w:tc>
          <w:tcPr>
            <w:tcW w:w="1170" w:type="dxa"/>
          </w:tcPr>
          <w:p w14:paraId="4BC847EF" w14:textId="77777777" w:rsidR="003E0023" w:rsidRPr="00246D8C" w:rsidRDefault="003E0023" w:rsidP="002D73AD">
            <w:pPr>
              <w:tabs>
                <w:tab w:val="left" w:pos="284"/>
              </w:tabs>
              <w:autoSpaceDE w:val="0"/>
              <w:autoSpaceDN w:val="0"/>
              <w:adjustRightInd w:val="0"/>
              <w:jc w:val="both"/>
              <w:rPr>
                <w:sz w:val="22"/>
                <w:szCs w:val="22"/>
                <w:lang w:val="sr-Latn-ME"/>
              </w:rPr>
            </w:pPr>
            <w:r w:rsidRPr="00246D8C">
              <w:rPr>
                <w:sz w:val="22"/>
                <w:szCs w:val="22"/>
                <w:lang w:val="sr-Latn-ME"/>
              </w:rPr>
              <w:t>8.5</w:t>
            </w:r>
          </w:p>
        </w:tc>
        <w:tc>
          <w:tcPr>
            <w:tcW w:w="1872" w:type="dxa"/>
          </w:tcPr>
          <w:p w14:paraId="5D7C6F85" w14:textId="77777777" w:rsidR="003E0023" w:rsidRPr="00246D8C" w:rsidRDefault="003E0023" w:rsidP="002D73AD">
            <w:pPr>
              <w:tabs>
                <w:tab w:val="left" w:pos="284"/>
              </w:tabs>
              <w:autoSpaceDE w:val="0"/>
              <w:autoSpaceDN w:val="0"/>
              <w:adjustRightInd w:val="0"/>
              <w:jc w:val="both"/>
              <w:rPr>
                <w:sz w:val="22"/>
                <w:szCs w:val="22"/>
                <w:lang w:val="sr-Latn-ME"/>
              </w:rPr>
            </w:pPr>
            <w:r w:rsidRPr="00246D8C">
              <w:rPr>
                <w:sz w:val="22"/>
                <w:szCs w:val="22"/>
                <w:lang w:val="sr-Latn-ME"/>
              </w:rPr>
              <w:noBreakHyphen/>
              <w:t>0.6</w:t>
            </w:r>
          </w:p>
        </w:tc>
        <w:tc>
          <w:tcPr>
            <w:tcW w:w="2143" w:type="dxa"/>
          </w:tcPr>
          <w:p w14:paraId="09CF170A" w14:textId="77777777" w:rsidR="003E0023" w:rsidRPr="00246D8C" w:rsidRDefault="003E0023" w:rsidP="002D73AD">
            <w:pPr>
              <w:tabs>
                <w:tab w:val="left" w:pos="284"/>
              </w:tabs>
              <w:autoSpaceDE w:val="0"/>
              <w:autoSpaceDN w:val="0"/>
              <w:adjustRightInd w:val="0"/>
              <w:jc w:val="both"/>
              <w:rPr>
                <w:position w:val="6"/>
                <w:sz w:val="22"/>
                <w:szCs w:val="22"/>
                <w:vertAlign w:val="superscript"/>
                <w:lang w:val="sr-Latn-ME"/>
              </w:rPr>
            </w:pPr>
            <w:r w:rsidRPr="00246D8C">
              <w:rPr>
                <w:sz w:val="22"/>
                <w:szCs w:val="22"/>
                <w:lang w:val="sr-Latn-ME"/>
              </w:rPr>
              <w:noBreakHyphen/>
              <w:t>0.7 (</w:t>
            </w:r>
            <w:r w:rsidRPr="00246D8C">
              <w:rPr>
                <w:sz w:val="22"/>
                <w:szCs w:val="22"/>
                <w:lang w:val="sr-Latn-ME"/>
              </w:rPr>
              <w:noBreakHyphen/>
              <w:t xml:space="preserve">0.9, </w:t>
            </w:r>
            <w:r w:rsidRPr="00246D8C">
              <w:rPr>
                <w:sz w:val="22"/>
                <w:szCs w:val="22"/>
                <w:lang w:val="sr-Latn-ME"/>
              </w:rPr>
              <w:noBreakHyphen/>
              <w:t>0.6)</w:t>
            </w:r>
            <w:r w:rsidRPr="00246D8C">
              <w:rPr>
                <w:position w:val="6"/>
                <w:sz w:val="22"/>
                <w:szCs w:val="22"/>
                <w:vertAlign w:val="superscript"/>
                <w:lang w:val="sr-Latn-ME"/>
              </w:rPr>
              <w:t>3</w:t>
            </w:r>
          </w:p>
          <w:p w14:paraId="68B38650" w14:textId="77777777" w:rsidR="003E0023" w:rsidRPr="00246D8C" w:rsidRDefault="003E0023" w:rsidP="002D73AD">
            <w:pPr>
              <w:tabs>
                <w:tab w:val="left" w:pos="284"/>
              </w:tabs>
              <w:autoSpaceDE w:val="0"/>
              <w:autoSpaceDN w:val="0"/>
              <w:adjustRightInd w:val="0"/>
              <w:jc w:val="both"/>
              <w:rPr>
                <w:sz w:val="22"/>
                <w:szCs w:val="22"/>
                <w:lang w:val="sr-Latn-ME"/>
              </w:rPr>
            </w:pPr>
          </w:p>
        </w:tc>
      </w:tr>
      <w:tr w:rsidR="003D48C9" w:rsidRPr="00246D8C" w14:paraId="6CF098EA" w14:textId="77777777" w:rsidTr="002D73AD">
        <w:trPr>
          <w:cantSplit/>
          <w:jc w:val="center"/>
        </w:trPr>
        <w:tc>
          <w:tcPr>
            <w:tcW w:w="3887" w:type="dxa"/>
          </w:tcPr>
          <w:p w14:paraId="6102C83A" w14:textId="77777777" w:rsidR="003E0023" w:rsidRPr="00246D8C" w:rsidRDefault="003E0023" w:rsidP="006A7219">
            <w:pPr>
              <w:numPr>
                <w:ilvl w:val="0"/>
                <w:numId w:val="14"/>
              </w:numPr>
              <w:tabs>
                <w:tab w:val="left" w:pos="284"/>
                <w:tab w:val="left" w:pos="567"/>
              </w:tabs>
              <w:autoSpaceDE w:val="0"/>
              <w:autoSpaceDN w:val="0"/>
              <w:adjustRightInd w:val="0"/>
              <w:spacing w:line="260" w:lineRule="exact"/>
              <w:jc w:val="both"/>
              <w:rPr>
                <w:sz w:val="22"/>
                <w:szCs w:val="22"/>
                <w:lang w:val="sr-Latn-ME"/>
              </w:rPr>
            </w:pPr>
            <w:r w:rsidRPr="00246D8C">
              <w:rPr>
                <w:sz w:val="22"/>
                <w:szCs w:val="22"/>
                <w:lang w:val="sr-Latn-ME"/>
              </w:rPr>
              <w:t>Studija D1680L00006: dodatak metformina i sulfoniluree (n=257)</w:t>
            </w:r>
          </w:p>
        </w:tc>
        <w:tc>
          <w:tcPr>
            <w:tcW w:w="1170" w:type="dxa"/>
          </w:tcPr>
          <w:p w14:paraId="42C84D0F" w14:textId="77777777" w:rsidR="003E0023" w:rsidRPr="00246D8C" w:rsidRDefault="003E0023" w:rsidP="002D73AD">
            <w:pPr>
              <w:tabs>
                <w:tab w:val="left" w:pos="284"/>
              </w:tabs>
              <w:autoSpaceDE w:val="0"/>
              <w:autoSpaceDN w:val="0"/>
              <w:adjustRightInd w:val="0"/>
              <w:jc w:val="both"/>
              <w:rPr>
                <w:sz w:val="22"/>
                <w:szCs w:val="22"/>
                <w:lang w:val="sr-Latn-ME"/>
              </w:rPr>
            </w:pPr>
            <w:r w:rsidRPr="00246D8C">
              <w:rPr>
                <w:sz w:val="22"/>
                <w:szCs w:val="22"/>
                <w:lang w:val="sr-Latn-ME"/>
              </w:rPr>
              <w:t>8.4</w:t>
            </w:r>
          </w:p>
        </w:tc>
        <w:tc>
          <w:tcPr>
            <w:tcW w:w="1872" w:type="dxa"/>
          </w:tcPr>
          <w:p w14:paraId="1941192F" w14:textId="77777777" w:rsidR="003E0023" w:rsidRPr="00246D8C" w:rsidRDefault="003E0023" w:rsidP="002D73AD">
            <w:pPr>
              <w:tabs>
                <w:tab w:val="left" w:pos="284"/>
              </w:tabs>
              <w:autoSpaceDE w:val="0"/>
              <w:autoSpaceDN w:val="0"/>
              <w:adjustRightInd w:val="0"/>
              <w:jc w:val="both"/>
              <w:rPr>
                <w:sz w:val="22"/>
                <w:szCs w:val="22"/>
                <w:lang w:val="sr-Latn-ME"/>
              </w:rPr>
            </w:pPr>
            <w:r w:rsidRPr="00246D8C">
              <w:rPr>
                <w:sz w:val="22"/>
                <w:szCs w:val="22"/>
                <w:lang w:val="sr-Latn-ME"/>
              </w:rPr>
              <w:t>-0.7</w:t>
            </w:r>
          </w:p>
        </w:tc>
        <w:tc>
          <w:tcPr>
            <w:tcW w:w="2143" w:type="dxa"/>
          </w:tcPr>
          <w:p w14:paraId="716FE6A7" w14:textId="28E6B06A" w:rsidR="003E0023" w:rsidRPr="00246D8C" w:rsidRDefault="003E0023" w:rsidP="002D73AD">
            <w:pPr>
              <w:tabs>
                <w:tab w:val="left" w:pos="284"/>
              </w:tabs>
              <w:autoSpaceDE w:val="0"/>
              <w:autoSpaceDN w:val="0"/>
              <w:adjustRightInd w:val="0"/>
              <w:jc w:val="both"/>
              <w:rPr>
                <w:sz w:val="22"/>
                <w:szCs w:val="22"/>
                <w:lang w:val="sr-Latn-ME"/>
              </w:rPr>
            </w:pPr>
            <w:r w:rsidRPr="00246D8C">
              <w:rPr>
                <w:sz w:val="22"/>
                <w:szCs w:val="22"/>
                <w:lang w:val="sr-Latn-ME"/>
              </w:rPr>
              <w:t>-0,7(-0,9,</w:t>
            </w:r>
            <w:r w:rsidR="003C0336" w:rsidRPr="00246D8C">
              <w:rPr>
                <w:sz w:val="22"/>
                <w:szCs w:val="22"/>
                <w:lang w:val="sr-Latn-ME"/>
              </w:rPr>
              <w:t xml:space="preserve"> </w:t>
            </w:r>
            <w:r w:rsidRPr="00246D8C">
              <w:rPr>
                <w:sz w:val="22"/>
                <w:szCs w:val="22"/>
                <w:lang w:val="sr-Latn-ME"/>
              </w:rPr>
              <w:t>-0,5)</w:t>
            </w:r>
            <w:r w:rsidRPr="00246D8C">
              <w:rPr>
                <w:sz w:val="22"/>
                <w:szCs w:val="22"/>
                <w:vertAlign w:val="superscript"/>
                <w:lang w:val="sr-Latn-ME"/>
              </w:rPr>
              <w:t>3</w:t>
            </w:r>
          </w:p>
        </w:tc>
      </w:tr>
      <w:tr w:rsidR="003D48C9" w:rsidRPr="00246D8C" w14:paraId="037ACFFA" w14:textId="77777777" w:rsidTr="002D73AD">
        <w:trPr>
          <w:cantSplit/>
          <w:jc w:val="center"/>
        </w:trPr>
        <w:tc>
          <w:tcPr>
            <w:tcW w:w="3887" w:type="dxa"/>
          </w:tcPr>
          <w:p w14:paraId="652739C6" w14:textId="77777777" w:rsidR="003E0023" w:rsidRPr="00246D8C" w:rsidRDefault="003E0023" w:rsidP="006A7219">
            <w:pPr>
              <w:numPr>
                <w:ilvl w:val="0"/>
                <w:numId w:val="14"/>
              </w:numPr>
              <w:tabs>
                <w:tab w:val="left" w:pos="284"/>
                <w:tab w:val="left" w:pos="567"/>
              </w:tabs>
              <w:autoSpaceDE w:val="0"/>
              <w:autoSpaceDN w:val="0"/>
              <w:adjustRightInd w:val="0"/>
              <w:spacing w:line="260" w:lineRule="exact"/>
              <w:jc w:val="both"/>
              <w:rPr>
                <w:sz w:val="22"/>
                <w:szCs w:val="22"/>
                <w:lang w:val="sr-Latn-ME"/>
              </w:rPr>
            </w:pPr>
            <w:r w:rsidRPr="00246D8C">
              <w:rPr>
                <w:sz w:val="22"/>
                <w:szCs w:val="22"/>
                <w:lang w:val="sr-Latn-ME"/>
              </w:rPr>
              <w:t>Studija CV181013: dodatak TZD (n=183)</w:t>
            </w:r>
          </w:p>
        </w:tc>
        <w:tc>
          <w:tcPr>
            <w:tcW w:w="1170" w:type="dxa"/>
          </w:tcPr>
          <w:p w14:paraId="2CE04902" w14:textId="77777777" w:rsidR="003E0023" w:rsidRPr="00246D8C" w:rsidRDefault="003E0023" w:rsidP="002D73AD">
            <w:pPr>
              <w:tabs>
                <w:tab w:val="left" w:pos="284"/>
              </w:tabs>
              <w:autoSpaceDE w:val="0"/>
              <w:autoSpaceDN w:val="0"/>
              <w:adjustRightInd w:val="0"/>
              <w:jc w:val="both"/>
              <w:rPr>
                <w:sz w:val="22"/>
                <w:szCs w:val="22"/>
                <w:lang w:val="sr-Latn-ME"/>
              </w:rPr>
            </w:pPr>
            <w:r w:rsidRPr="00246D8C">
              <w:rPr>
                <w:sz w:val="22"/>
                <w:szCs w:val="22"/>
                <w:lang w:val="sr-Latn-ME"/>
              </w:rPr>
              <w:t>8.4</w:t>
            </w:r>
          </w:p>
        </w:tc>
        <w:tc>
          <w:tcPr>
            <w:tcW w:w="1872" w:type="dxa"/>
          </w:tcPr>
          <w:p w14:paraId="335D90AB" w14:textId="77777777" w:rsidR="003E0023" w:rsidRPr="00246D8C" w:rsidRDefault="003E0023" w:rsidP="002D73AD">
            <w:pPr>
              <w:tabs>
                <w:tab w:val="left" w:pos="284"/>
              </w:tabs>
              <w:autoSpaceDE w:val="0"/>
              <w:autoSpaceDN w:val="0"/>
              <w:adjustRightInd w:val="0"/>
              <w:jc w:val="both"/>
              <w:rPr>
                <w:sz w:val="22"/>
                <w:szCs w:val="22"/>
                <w:lang w:val="sr-Latn-ME"/>
              </w:rPr>
            </w:pPr>
            <w:r w:rsidRPr="00246D8C">
              <w:rPr>
                <w:sz w:val="22"/>
                <w:szCs w:val="22"/>
                <w:lang w:val="sr-Latn-ME"/>
              </w:rPr>
              <w:noBreakHyphen/>
              <w:t>0.9</w:t>
            </w:r>
          </w:p>
        </w:tc>
        <w:tc>
          <w:tcPr>
            <w:tcW w:w="2143" w:type="dxa"/>
          </w:tcPr>
          <w:p w14:paraId="2783B9C7" w14:textId="77777777" w:rsidR="003E0023" w:rsidRPr="00246D8C" w:rsidRDefault="003E0023" w:rsidP="002D73AD">
            <w:pPr>
              <w:tabs>
                <w:tab w:val="left" w:pos="284"/>
              </w:tabs>
              <w:autoSpaceDE w:val="0"/>
              <w:autoSpaceDN w:val="0"/>
              <w:adjustRightInd w:val="0"/>
              <w:jc w:val="both"/>
              <w:rPr>
                <w:sz w:val="22"/>
                <w:szCs w:val="22"/>
                <w:lang w:val="sr-Latn-ME"/>
              </w:rPr>
            </w:pPr>
            <w:r w:rsidRPr="00246D8C">
              <w:rPr>
                <w:sz w:val="22"/>
                <w:szCs w:val="22"/>
                <w:lang w:val="sr-Latn-ME"/>
              </w:rPr>
              <w:noBreakHyphen/>
              <w:t>0.6 (</w:t>
            </w:r>
            <w:r w:rsidRPr="00246D8C">
              <w:rPr>
                <w:sz w:val="22"/>
                <w:szCs w:val="22"/>
                <w:lang w:val="sr-Latn-ME"/>
              </w:rPr>
              <w:noBreakHyphen/>
              <w:t xml:space="preserve">0.8, </w:t>
            </w:r>
            <w:r w:rsidRPr="00246D8C">
              <w:rPr>
                <w:sz w:val="22"/>
                <w:szCs w:val="22"/>
                <w:lang w:val="sr-Latn-ME"/>
              </w:rPr>
              <w:noBreakHyphen/>
              <w:t>0.4)</w:t>
            </w:r>
            <w:r w:rsidRPr="00246D8C">
              <w:rPr>
                <w:position w:val="6"/>
                <w:sz w:val="22"/>
                <w:szCs w:val="22"/>
                <w:vertAlign w:val="superscript"/>
                <w:lang w:val="sr-Latn-ME"/>
              </w:rPr>
              <w:t>3</w:t>
            </w:r>
          </w:p>
        </w:tc>
      </w:tr>
      <w:tr w:rsidR="003D48C9" w:rsidRPr="00246D8C" w14:paraId="44E4AF68" w14:textId="77777777" w:rsidTr="002D73AD">
        <w:trPr>
          <w:cantSplit/>
          <w:jc w:val="center"/>
        </w:trPr>
        <w:tc>
          <w:tcPr>
            <w:tcW w:w="3887" w:type="dxa"/>
          </w:tcPr>
          <w:p w14:paraId="198964A4" w14:textId="77777777" w:rsidR="003E0023" w:rsidRPr="00246D8C" w:rsidRDefault="003E0023" w:rsidP="006A7219">
            <w:pPr>
              <w:numPr>
                <w:ilvl w:val="0"/>
                <w:numId w:val="15"/>
              </w:numPr>
              <w:tabs>
                <w:tab w:val="left" w:pos="284"/>
                <w:tab w:val="num" w:pos="556"/>
              </w:tabs>
              <w:autoSpaceDE w:val="0"/>
              <w:autoSpaceDN w:val="0"/>
              <w:adjustRightInd w:val="0"/>
              <w:spacing w:line="260" w:lineRule="exact"/>
              <w:ind w:left="556" w:hanging="196"/>
              <w:jc w:val="both"/>
              <w:rPr>
                <w:sz w:val="22"/>
                <w:szCs w:val="22"/>
                <w:lang w:val="sr-Latn-ME"/>
              </w:rPr>
            </w:pPr>
            <w:r w:rsidRPr="00246D8C">
              <w:rPr>
                <w:sz w:val="22"/>
                <w:szCs w:val="22"/>
                <w:lang w:val="sr-Latn-ME"/>
              </w:rPr>
              <w:t>Studija CV181039: inicijalne kombinacija sa metforminom</w:t>
            </w:r>
            <w:r w:rsidRPr="00246D8C">
              <w:rPr>
                <w:sz w:val="22"/>
                <w:szCs w:val="22"/>
                <w:vertAlign w:val="superscript"/>
                <w:lang w:val="sr-Latn-ME"/>
              </w:rPr>
              <w:t>6</w:t>
            </w:r>
            <w:r w:rsidRPr="00246D8C">
              <w:rPr>
                <w:sz w:val="22"/>
                <w:szCs w:val="22"/>
                <w:lang w:val="sr-Latn-ME"/>
              </w:rPr>
              <w:t xml:space="preserve"> </w:t>
            </w:r>
          </w:p>
          <w:p w14:paraId="46E6B19B" w14:textId="77777777" w:rsidR="003E0023" w:rsidRPr="00246D8C" w:rsidRDefault="003E0023" w:rsidP="003C0336">
            <w:pPr>
              <w:tabs>
                <w:tab w:val="left" w:pos="284"/>
                <w:tab w:val="num" w:pos="1080"/>
              </w:tabs>
              <w:autoSpaceDE w:val="0"/>
              <w:autoSpaceDN w:val="0"/>
              <w:adjustRightInd w:val="0"/>
              <w:ind w:left="556"/>
              <w:jc w:val="both"/>
              <w:rPr>
                <w:sz w:val="22"/>
                <w:szCs w:val="22"/>
                <w:lang w:val="sr-Latn-ME"/>
              </w:rPr>
            </w:pPr>
            <w:r w:rsidRPr="00246D8C">
              <w:rPr>
                <w:sz w:val="22"/>
                <w:szCs w:val="22"/>
                <w:lang w:val="sr-Latn-ME"/>
              </w:rPr>
              <w:t>Ukupna populacija (n=306)</w:t>
            </w:r>
            <w:r w:rsidRPr="00246D8C">
              <w:rPr>
                <w:sz w:val="22"/>
                <w:szCs w:val="22"/>
                <w:lang w:val="sr-Latn-ME"/>
              </w:rPr>
              <w:tab/>
            </w:r>
          </w:p>
          <w:p w14:paraId="1B3872D5" w14:textId="77777777" w:rsidR="003E0023" w:rsidRPr="00246D8C" w:rsidRDefault="003E0023" w:rsidP="00AE24EE">
            <w:pPr>
              <w:tabs>
                <w:tab w:val="left" w:pos="556"/>
              </w:tabs>
              <w:autoSpaceDE w:val="0"/>
              <w:autoSpaceDN w:val="0"/>
              <w:adjustRightInd w:val="0"/>
              <w:ind w:left="556" w:hanging="196"/>
              <w:jc w:val="both"/>
              <w:rPr>
                <w:sz w:val="22"/>
                <w:szCs w:val="22"/>
                <w:lang w:val="sr-Latn-ME"/>
              </w:rPr>
            </w:pPr>
            <w:r w:rsidRPr="00246D8C">
              <w:rPr>
                <w:sz w:val="22"/>
                <w:szCs w:val="22"/>
                <w:lang w:val="sr-Latn-ME"/>
              </w:rPr>
              <w:tab/>
              <w:t>Početna vrijednost HbA1c ≥ 10% stratuma (n=107)</w:t>
            </w:r>
          </w:p>
          <w:p w14:paraId="29A010BD" w14:textId="628782C2" w:rsidR="003C0336" w:rsidRPr="00246D8C" w:rsidRDefault="003E0023" w:rsidP="003C0336">
            <w:pPr>
              <w:numPr>
                <w:ilvl w:val="0"/>
                <w:numId w:val="15"/>
              </w:numPr>
              <w:tabs>
                <w:tab w:val="left" w:pos="284"/>
                <w:tab w:val="left" w:pos="556"/>
              </w:tabs>
              <w:autoSpaceDE w:val="0"/>
              <w:autoSpaceDN w:val="0"/>
              <w:adjustRightInd w:val="0"/>
              <w:jc w:val="both"/>
              <w:rPr>
                <w:sz w:val="22"/>
                <w:szCs w:val="22"/>
                <w:lang w:val="sr-Latn-ME"/>
              </w:rPr>
            </w:pPr>
            <w:r w:rsidRPr="00246D8C">
              <w:rPr>
                <w:sz w:val="22"/>
                <w:szCs w:val="22"/>
                <w:lang w:val="sr-Latn-ME"/>
              </w:rPr>
              <w:t>Studija CV181168: sekvencijski dodatak dapagliflozinu + metforminu (n=315)</w:t>
            </w:r>
          </w:p>
          <w:p w14:paraId="37157FE8" w14:textId="77777777" w:rsidR="003E0023" w:rsidRPr="00246D8C" w:rsidRDefault="003E0023" w:rsidP="002D73AD">
            <w:pPr>
              <w:tabs>
                <w:tab w:val="left" w:pos="284"/>
                <w:tab w:val="left" w:pos="556"/>
              </w:tabs>
              <w:autoSpaceDE w:val="0"/>
              <w:autoSpaceDN w:val="0"/>
              <w:adjustRightInd w:val="0"/>
              <w:ind w:left="720"/>
              <w:jc w:val="both"/>
              <w:rPr>
                <w:sz w:val="22"/>
                <w:szCs w:val="22"/>
                <w:lang w:val="sr-Latn-ME"/>
              </w:rPr>
            </w:pPr>
          </w:p>
          <w:p w14:paraId="4ED8C132" w14:textId="77777777" w:rsidR="003E0023" w:rsidRPr="00246D8C" w:rsidRDefault="003E0023" w:rsidP="003C0336">
            <w:pPr>
              <w:numPr>
                <w:ilvl w:val="0"/>
                <w:numId w:val="16"/>
              </w:numPr>
              <w:tabs>
                <w:tab w:val="left" w:pos="284"/>
              </w:tabs>
              <w:autoSpaceDE w:val="0"/>
              <w:autoSpaceDN w:val="0"/>
              <w:adjustRightInd w:val="0"/>
              <w:ind w:left="556" w:hanging="142"/>
              <w:jc w:val="both"/>
              <w:rPr>
                <w:sz w:val="22"/>
                <w:szCs w:val="22"/>
                <w:lang w:val="sr-Latn-ME"/>
              </w:rPr>
            </w:pPr>
            <w:r w:rsidRPr="00246D8C">
              <w:rPr>
                <w:sz w:val="22"/>
                <w:szCs w:val="22"/>
                <w:lang w:val="sr-Latn-ME"/>
              </w:rPr>
              <w:t xml:space="preserve">Studija CV181057: dodatak insulinu (sa ili bez metformina) </w:t>
            </w:r>
          </w:p>
          <w:p w14:paraId="6C7873CD" w14:textId="77777777" w:rsidR="003E0023" w:rsidRPr="00246D8C" w:rsidRDefault="003E0023" w:rsidP="00AE24EE">
            <w:pPr>
              <w:tabs>
                <w:tab w:val="left" w:pos="284"/>
              </w:tabs>
              <w:autoSpaceDE w:val="0"/>
              <w:autoSpaceDN w:val="0"/>
              <w:adjustRightInd w:val="0"/>
              <w:ind w:left="556"/>
              <w:jc w:val="both"/>
              <w:rPr>
                <w:sz w:val="22"/>
                <w:szCs w:val="22"/>
                <w:lang w:val="sr-Latn-ME"/>
              </w:rPr>
            </w:pPr>
            <w:r w:rsidRPr="00246D8C">
              <w:rPr>
                <w:sz w:val="22"/>
                <w:szCs w:val="22"/>
                <w:lang w:val="sr-Latn-ME"/>
              </w:rPr>
              <w:t>Ukupna populacija (n=300)</w:t>
            </w:r>
          </w:p>
          <w:p w14:paraId="63FF7B1A" w14:textId="77777777" w:rsidR="003E0023" w:rsidRPr="00246D8C" w:rsidRDefault="003E0023">
            <w:pPr>
              <w:tabs>
                <w:tab w:val="left" w:pos="284"/>
                <w:tab w:val="num" w:pos="1080"/>
              </w:tabs>
              <w:autoSpaceDE w:val="0"/>
              <w:autoSpaceDN w:val="0"/>
              <w:adjustRightInd w:val="0"/>
              <w:ind w:left="360"/>
              <w:jc w:val="both"/>
              <w:rPr>
                <w:sz w:val="22"/>
                <w:szCs w:val="22"/>
                <w:lang w:val="sr-Latn-ME"/>
              </w:rPr>
            </w:pPr>
          </w:p>
        </w:tc>
        <w:tc>
          <w:tcPr>
            <w:tcW w:w="1170" w:type="dxa"/>
          </w:tcPr>
          <w:p w14:paraId="5B22898F" w14:textId="77777777" w:rsidR="003E0023" w:rsidRPr="00246D8C" w:rsidRDefault="003E0023" w:rsidP="002D73AD">
            <w:pPr>
              <w:tabs>
                <w:tab w:val="left" w:pos="284"/>
              </w:tabs>
              <w:autoSpaceDE w:val="0"/>
              <w:autoSpaceDN w:val="0"/>
              <w:adjustRightInd w:val="0"/>
              <w:jc w:val="both"/>
              <w:rPr>
                <w:sz w:val="22"/>
                <w:szCs w:val="22"/>
                <w:lang w:val="sr-Latn-ME"/>
              </w:rPr>
            </w:pPr>
          </w:p>
          <w:p w14:paraId="5704091E" w14:textId="77777777" w:rsidR="003E0023" w:rsidRPr="00246D8C" w:rsidRDefault="003E0023" w:rsidP="002D73AD">
            <w:pPr>
              <w:tabs>
                <w:tab w:val="left" w:pos="284"/>
              </w:tabs>
              <w:autoSpaceDE w:val="0"/>
              <w:autoSpaceDN w:val="0"/>
              <w:adjustRightInd w:val="0"/>
              <w:jc w:val="both"/>
              <w:rPr>
                <w:sz w:val="22"/>
                <w:szCs w:val="22"/>
                <w:lang w:val="sr-Latn-ME"/>
              </w:rPr>
            </w:pPr>
          </w:p>
          <w:p w14:paraId="50DE9964" w14:textId="77777777" w:rsidR="003E0023" w:rsidRPr="00246D8C" w:rsidRDefault="003E0023" w:rsidP="002D73AD">
            <w:pPr>
              <w:tabs>
                <w:tab w:val="left" w:pos="284"/>
              </w:tabs>
              <w:autoSpaceDE w:val="0"/>
              <w:autoSpaceDN w:val="0"/>
              <w:adjustRightInd w:val="0"/>
              <w:jc w:val="both"/>
              <w:rPr>
                <w:sz w:val="22"/>
                <w:szCs w:val="22"/>
                <w:lang w:val="sr-Latn-ME"/>
              </w:rPr>
            </w:pPr>
            <w:r w:rsidRPr="00246D8C">
              <w:rPr>
                <w:sz w:val="22"/>
                <w:szCs w:val="22"/>
                <w:lang w:val="sr-Latn-ME"/>
              </w:rPr>
              <w:t>9.4</w:t>
            </w:r>
          </w:p>
          <w:p w14:paraId="06AF74D6" w14:textId="77777777" w:rsidR="003E0023" w:rsidRPr="00246D8C" w:rsidRDefault="003E0023" w:rsidP="002D73AD">
            <w:pPr>
              <w:tabs>
                <w:tab w:val="left" w:pos="284"/>
              </w:tabs>
              <w:autoSpaceDE w:val="0"/>
              <w:autoSpaceDN w:val="0"/>
              <w:adjustRightInd w:val="0"/>
              <w:jc w:val="both"/>
              <w:rPr>
                <w:sz w:val="22"/>
                <w:szCs w:val="22"/>
                <w:lang w:val="sr-Latn-ME"/>
              </w:rPr>
            </w:pPr>
            <w:r w:rsidRPr="00246D8C">
              <w:rPr>
                <w:sz w:val="22"/>
                <w:szCs w:val="22"/>
                <w:lang w:val="sr-Latn-ME"/>
              </w:rPr>
              <w:t>10.8</w:t>
            </w:r>
          </w:p>
          <w:p w14:paraId="1421F19D" w14:textId="77777777" w:rsidR="003E0023" w:rsidRPr="00246D8C" w:rsidRDefault="003E0023" w:rsidP="002D73AD">
            <w:pPr>
              <w:tabs>
                <w:tab w:val="left" w:pos="284"/>
              </w:tabs>
              <w:autoSpaceDE w:val="0"/>
              <w:autoSpaceDN w:val="0"/>
              <w:adjustRightInd w:val="0"/>
              <w:jc w:val="both"/>
              <w:rPr>
                <w:sz w:val="22"/>
                <w:szCs w:val="22"/>
                <w:lang w:val="sr-Latn-ME"/>
              </w:rPr>
            </w:pPr>
          </w:p>
          <w:p w14:paraId="753ECC87" w14:textId="77777777" w:rsidR="003E0023" w:rsidRPr="00246D8C" w:rsidRDefault="003E0023" w:rsidP="002D73AD">
            <w:pPr>
              <w:tabs>
                <w:tab w:val="left" w:pos="284"/>
              </w:tabs>
              <w:autoSpaceDE w:val="0"/>
              <w:autoSpaceDN w:val="0"/>
              <w:adjustRightInd w:val="0"/>
              <w:jc w:val="both"/>
              <w:rPr>
                <w:sz w:val="22"/>
                <w:szCs w:val="22"/>
                <w:lang w:val="sr-Latn-ME"/>
              </w:rPr>
            </w:pPr>
          </w:p>
          <w:p w14:paraId="0539559A" w14:textId="77777777" w:rsidR="003E0023" w:rsidRPr="00246D8C" w:rsidRDefault="003E0023" w:rsidP="002D73AD">
            <w:pPr>
              <w:tabs>
                <w:tab w:val="left" w:pos="284"/>
              </w:tabs>
              <w:autoSpaceDE w:val="0"/>
              <w:autoSpaceDN w:val="0"/>
              <w:adjustRightInd w:val="0"/>
              <w:jc w:val="both"/>
              <w:rPr>
                <w:sz w:val="22"/>
                <w:szCs w:val="22"/>
                <w:lang w:val="sr-Latn-ME"/>
              </w:rPr>
            </w:pPr>
            <w:r w:rsidRPr="00246D8C">
              <w:rPr>
                <w:sz w:val="22"/>
                <w:szCs w:val="22"/>
                <w:lang w:val="sr-Latn-ME"/>
              </w:rPr>
              <w:t>7,9</w:t>
            </w:r>
          </w:p>
          <w:p w14:paraId="0395A07C" w14:textId="77777777" w:rsidR="003E0023" w:rsidRPr="00246D8C" w:rsidRDefault="003E0023" w:rsidP="002D73AD">
            <w:pPr>
              <w:tabs>
                <w:tab w:val="left" w:pos="284"/>
              </w:tabs>
              <w:autoSpaceDE w:val="0"/>
              <w:autoSpaceDN w:val="0"/>
              <w:adjustRightInd w:val="0"/>
              <w:jc w:val="both"/>
              <w:rPr>
                <w:sz w:val="22"/>
                <w:szCs w:val="22"/>
                <w:lang w:val="sr-Latn-ME"/>
              </w:rPr>
            </w:pPr>
          </w:p>
          <w:p w14:paraId="1E3A569E" w14:textId="77777777" w:rsidR="003E0023" w:rsidRPr="00246D8C" w:rsidRDefault="003E0023" w:rsidP="002D73AD">
            <w:pPr>
              <w:tabs>
                <w:tab w:val="left" w:pos="284"/>
              </w:tabs>
              <w:autoSpaceDE w:val="0"/>
              <w:autoSpaceDN w:val="0"/>
              <w:adjustRightInd w:val="0"/>
              <w:jc w:val="both"/>
              <w:rPr>
                <w:sz w:val="22"/>
                <w:szCs w:val="22"/>
                <w:lang w:val="sr-Latn-ME"/>
              </w:rPr>
            </w:pPr>
          </w:p>
          <w:p w14:paraId="3F19AD43" w14:textId="3288D4BF" w:rsidR="003E0023" w:rsidRPr="00246D8C" w:rsidRDefault="003E0023" w:rsidP="002D73AD">
            <w:pPr>
              <w:tabs>
                <w:tab w:val="left" w:pos="284"/>
              </w:tabs>
              <w:autoSpaceDE w:val="0"/>
              <w:autoSpaceDN w:val="0"/>
              <w:adjustRightInd w:val="0"/>
              <w:jc w:val="both"/>
              <w:rPr>
                <w:sz w:val="22"/>
                <w:szCs w:val="22"/>
                <w:lang w:val="sr-Latn-ME"/>
              </w:rPr>
            </w:pPr>
            <w:r w:rsidRPr="00246D8C">
              <w:rPr>
                <w:sz w:val="22"/>
                <w:szCs w:val="22"/>
                <w:lang w:val="sr-Latn-ME"/>
              </w:rPr>
              <w:t>8.7</w:t>
            </w:r>
          </w:p>
        </w:tc>
        <w:tc>
          <w:tcPr>
            <w:tcW w:w="1872" w:type="dxa"/>
          </w:tcPr>
          <w:p w14:paraId="5718B037" w14:textId="77777777" w:rsidR="003E0023" w:rsidRPr="00246D8C" w:rsidRDefault="003E0023" w:rsidP="002D73AD">
            <w:pPr>
              <w:tabs>
                <w:tab w:val="left" w:pos="284"/>
              </w:tabs>
              <w:autoSpaceDE w:val="0"/>
              <w:autoSpaceDN w:val="0"/>
              <w:adjustRightInd w:val="0"/>
              <w:jc w:val="both"/>
              <w:rPr>
                <w:sz w:val="22"/>
                <w:szCs w:val="22"/>
                <w:lang w:val="sr-Latn-ME"/>
              </w:rPr>
            </w:pPr>
          </w:p>
          <w:p w14:paraId="692D15C1" w14:textId="77777777" w:rsidR="003E0023" w:rsidRPr="00246D8C" w:rsidRDefault="003E0023" w:rsidP="002D73AD">
            <w:pPr>
              <w:tabs>
                <w:tab w:val="left" w:pos="284"/>
              </w:tabs>
              <w:autoSpaceDE w:val="0"/>
              <w:autoSpaceDN w:val="0"/>
              <w:adjustRightInd w:val="0"/>
              <w:jc w:val="both"/>
              <w:rPr>
                <w:sz w:val="22"/>
                <w:szCs w:val="22"/>
                <w:lang w:val="sr-Latn-ME"/>
              </w:rPr>
            </w:pPr>
          </w:p>
          <w:p w14:paraId="01A87CE9" w14:textId="77777777" w:rsidR="003E0023" w:rsidRPr="00246D8C" w:rsidRDefault="003E0023" w:rsidP="002D73AD">
            <w:pPr>
              <w:tabs>
                <w:tab w:val="left" w:pos="284"/>
              </w:tabs>
              <w:autoSpaceDE w:val="0"/>
              <w:autoSpaceDN w:val="0"/>
              <w:adjustRightInd w:val="0"/>
              <w:jc w:val="both"/>
              <w:rPr>
                <w:sz w:val="22"/>
                <w:szCs w:val="22"/>
                <w:lang w:val="sr-Latn-ME"/>
              </w:rPr>
            </w:pPr>
            <w:r w:rsidRPr="00246D8C">
              <w:rPr>
                <w:sz w:val="22"/>
                <w:szCs w:val="22"/>
                <w:lang w:val="sr-Latn-ME"/>
              </w:rPr>
              <w:noBreakHyphen/>
              <w:t>2.5</w:t>
            </w:r>
          </w:p>
          <w:p w14:paraId="37CCAA6C" w14:textId="77777777" w:rsidR="003E0023" w:rsidRPr="00246D8C" w:rsidRDefault="003E0023" w:rsidP="002D73AD">
            <w:pPr>
              <w:tabs>
                <w:tab w:val="left" w:pos="284"/>
              </w:tabs>
              <w:autoSpaceDE w:val="0"/>
              <w:autoSpaceDN w:val="0"/>
              <w:adjustRightInd w:val="0"/>
              <w:jc w:val="both"/>
              <w:rPr>
                <w:sz w:val="22"/>
                <w:szCs w:val="22"/>
                <w:lang w:val="sr-Latn-ME"/>
              </w:rPr>
            </w:pPr>
            <w:r w:rsidRPr="00246D8C">
              <w:rPr>
                <w:sz w:val="22"/>
                <w:szCs w:val="22"/>
                <w:lang w:val="sr-Latn-ME"/>
              </w:rPr>
              <w:noBreakHyphen/>
              <w:t>3.3</w:t>
            </w:r>
          </w:p>
          <w:p w14:paraId="41B2B86B" w14:textId="77777777" w:rsidR="003E0023" w:rsidRPr="00246D8C" w:rsidRDefault="003E0023" w:rsidP="002D73AD">
            <w:pPr>
              <w:tabs>
                <w:tab w:val="left" w:pos="284"/>
              </w:tabs>
              <w:autoSpaceDE w:val="0"/>
              <w:autoSpaceDN w:val="0"/>
              <w:adjustRightInd w:val="0"/>
              <w:jc w:val="both"/>
              <w:rPr>
                <w:sz w:val="22"/>
                <w:szCs w:val="22"/>
                <w:lang w:val="sr-Latn-ME"/>
              </w:rPr>
            </w:pPr>
          </w:p>
          <w:p w14:paraId="0059B53F" w14:textId="77777777" w:rsidR="003E0023" w:rsidRPr="00246D8C" w:rsidRDefault="003E0023" w:rsidP="002D73AD">
            <w:pPr>
              <w:tabs>
                <w:tab w:val="left" w:pos="284"/>
              </w:tabs>
              <w:autoSpaceDE w:val="0"/>
              <w:autoSpaceDN w:val="0"/>
              <w:adjustRightInd w:val="0"/>
              <w:jc w:val="both"/>
              <w:rPr>
                <w:sz w:val="22"/>
                <w:szCs w:val="22"/>
                <w:lang w:val="sr-Latn-ME"/>
              </w:rPr>
            </w:pPr>
          </w:p>
          <w:p w14:paraId="0C8AD33C" w14:textId="77777777" w:rsidR="003E0023" w:rsidRPr="00246D8C" w:rsidRDefault="003E0023" w:rsidP="002D73AD">
            <w:pPr>
              <w:tabs>
                <w:tab w:val="left" w:pos="284"/>
              </w:tabs>
              <w:autoSpaceDE w:val="0"/>
              <w:autoSpaceDN w:val="0"/>
              <w:adjustRightInd w:val="0"/>
              <w:jc w:val="both"/>
              <w:rPr>
                <w:sz w:val="22"/>
                <w:szCs w:val="22"/>
                <w:lang w:val="sr-Latn-ME"/>
              </w:rPr>
            </w:pPr>
            <w:r w:rsidRPr="00246D8C">
              <w:rPr>
                <w:sz w:val="22"/>
                <w:szCs w:val="22"/>
                <w:lang w:val="sr-Latn-ME"/>
              </w:rPr>
              <w:t>-0,5</w:t>
            </w:r>
          </w:p>
          <w:p w14:paraId="44D651C1" w14:textId="77777777" w:rsidR="003E0023" w:rsidRPr="00246D8C" w:rsidRDefault="003E0023" w:rsidP="002D73AD">
            <w:pPr>
              <w:tabs>
                <w:tab w:val="left" w:pos="284"/>
              </w:tabs>
              <w:autoSpaceDE w:val="0"/>
              <w:autoSpaceDN w:val="0"/>
              <w:adjustRightInd w:val="0"/>
              <w:jc w:val="both"/>
              <w:rPr>
                <w:sz w:val="22"/>
                <w:szCs w:val="22"/>
                <w:lang w:val="sr-Latn-ME"/>
              </w:rPr>
            </w:pPr>
          </w:p>
          <w:p w14:paraId="6D0B40BA" w14:textId="77777777" w:rsidR="003E0023" w:rsidRPr="00246D8C" w:rsidRDefault="003E0023" w:rsidP="002D73AD">
            <w:pPr>
              <w:tabs>
                <w:tab w:val="left" w:pos="284"/>
              </w:tabs>
              <w:autoSpaceDE w:val="0"/>
              <w:autoSpaceDN w:val="0"/>
              <w:adjustRightInd w:val="0"/>
              <w:jc w:val="both"/>
              <w:rPr>
                <w:sz w:val="22"/>
                <w:szCs w:val="22"/>
                <w:lang w:val="sr-Latn-ME"/>
              </w:rPr>
            </w:pPr>
          </w:p>
          <w:p w14:paraId="63BF1881" w14:textId="77777777" w:rsidR="003E0023" w:rsidRPr="00246D8C" w:rsidRDefault="003E0023" w:rsidP="002D73AD">
            <w:pPr>
              <w:tabs>
                <w:tab w:val="left" w:pos="284"/>
              </w:tabs>
              <w:autoSpaceDE w:val="0"/>
              <w:autoSpaceDN w:val="0"/>
              <w:adjustRightInd w:val="0"/>
              <w:jc w:val="both"/>
              <w:rPr>
                <w:sz w:val="22"/>
                <w:szCs w:val="22"/>
                <w:lang w:val="sr-Latn-ME"/>
              </w:rPr>
            </w:pPr>
            <w:r w:rsidRPr="00246D8C">
              <w:rPr>
                <w:sz w:val="22"/>
                <w:szCs w:val="22"/>
                <w:lang w:val="sr-Latn-ME"/>
              </w:rPr>
              <w:t>-0.7</w:t>
            </w:r>
          </w:p>
        </w:tc>
        <w:tc>
          <w:tcPr>
            <w:tcW w:w="2143" w:type="dxa"/>
          </w:tcPr>
          <w:p w14:paraId="351BED4C" w14:textId="77777777" w:rsidR="003E0023" w:rsidRPr="00246D8C" w:rsidRDefault="003E0023" w:rsidP="002D73AD">
            <w:pPr>
              <w:tabs>
                <w:tab w:val="left" w:pos="284"/>
              </w:tabs>
              <w:autoSpaceDE w:val="0"/>
              <w:autoSpaceDN w:val="0"/>
              <w:adjustRightInd w:val="0"/>
              <w:jc w:val="both"/>
              <w:rPr>
                <w:sz w:val="22"/>
                <w:szCs w:val="22"/>
                <w:lang w:val="sr-Latn-ME"/>
              </w:rPr>
            </w:pPr>
          </w:p>
          <w:p w14:paraId="0B6B4DAF" w14:textId="77777777" w:rsidR="003E0023" w:rsidRPr="00246D8C" w:rsidRDefault="003E0023" w:rsidP="002D73AD">
            <w:pPr>
              <w:tabs>
                <w:tab w:val="left" w:pos="284"/>
              </w:tabs>
              <w:autoSpaceDE w:val="0"/>
              <w:autoSpaceDN w:val="0"/>
              <w:adjustRightInd w:val="0"/>
              <w:jc w:val="both"/>
              <w:rPr>
                <w:sz w:val="22"/>
                <w:szCs w:val="22"/>
                <w:lang w:val="sr-Latn-ME"/>
              </w:rPr>
            </w:pPr>
          </w:p>
          <w:p w14:paraId="2E8FFA95" w14:textId="77777777" w:rsidR="003E0023" w:rsidRPr="00246D8C" w:rsidRDefault="003E0023" w:rsidP="002D73AD">
            <w:pPr>
              <w:tabs>
                <w:tab w:val="left" w:pos="284"/>
              </w:tabs>
              <w:autoSpaceDE w:val="0"/>
              <w:autoSpaceDN w:val="0"/>
              <w:adjustRightInd w:val="0"/>
              <w:jc w:val="both"/>
              <w:rPr>
                <w:sz w:val="22"/>
                <w:szCs w:val="22"/>
                <w:vertAlign w:val="superscript"/>
                <w:lang w:val="sr-Latn-ME"/>
              </w:rPr>
            </w:pPr>
            <w:r w:rsidRPr="00246D8C">
              <w:rPr>
                <w:sz w:val="22"/>
                <w:szCs w:val="22"/>
                <w:lang w:val="sr-Latn-ME"/>
              </w:rPr>
              <w:noBreakHyphen/>
              <w:t>0.5 (</w:t>
            </w:r>
            <w:r w:rsidRPr="00246D8C">
              <w:rPr>
                <w:sz w:val="22"/>
                <w:szCs w:val="22"/>
                <w:lang w:val="sr-Latn-ME"/>
              </w:rPr>
              <w:noBreakHyphen/>
              <w:t xml:space="preserve">0.7, </w:t>
            </w:r>
            <w:r w:rsidRPr="00246D8C">
              <w:rPr>
                <w:sz w:val="22"/>
                <w:szCs w:val="22"/>
                <w:lang w:val="sr-Latn-ME"/>
              </w:rPr>
              <w:noBreakHyphen/>
              <w:t>0.4)</w:t>
            </w:r>
            <w:r w:rsidRPr="00246D8C">
              <w:rPr>
                <w:sz w:val="22"/>
                <w:szCs w:val="22"/>
                <w:vertAlign w:val="superscript"/>
                <w:lang w:val="sr-Latn-ME"/>
              </w:rPr>
              <w:t xml:space="preserve"> 7</w:t>
            </w:r>
          </w:p>
          <w:p w14:paraId="648CEEF5" w14:textId="77777777" w:rsidR="003E0023" w:rsidRPr="00246D8C" w:rsidRDefault="003E0023" w:rsidP="002D73AD">
            <w:pPr>
              <w:tabs>
                <w:tab w:val="left" w:pos="284"/>
              </w:tabs>
              <w:autoSpaceDE w:val="0"/>
              <w:autoSpaceDN w:val="0"/>
              <w:adjustRightInd w:val="0"/>
              <w:jc w:val="both"/>
              <w:rPr>
                <w:sz w:val="22"/>
                <w:szCs w:val="22"/>
                <w:vertAlign w:val="superscript"/>
                <w:lang w:val="sr-Latn-ME"/>
              </w:rPr>
            </w:pPr>
            <w:r w:rsidRPr="00246D8C">
              <w:rPr>
                <w:sz w:val="22"/>
                <w:szCs w:val="22"/>
                <w:lang w:val="sr-Latn-ME"/>
              </w:rPr>
              <w:noBreakHyphen/>
              <w:t>0.6 (</w:t>
            </w:r>
            <w:r w:rsidRPr="00246D8C">
              <w:rPr>
                <w:sz w:val="22"/>
                <w:szCs w:val="22"/>
                <w:lang w:val="sr-Latn-ME"/>
              </w:rPr>
              <w:noBreakHyphen/>
              <w:t xml:space="preserve">0.9, </w:t>
            </w:r>
            <w:r w:rsidRPr="00246D8C">
              <w:rPr>
                <w:sz w:val="22"/>
                <w:szCs w:val="22"/>
                <w:lang w:val="sr-Latn-ME"/>
              </w:rPr>
              <w:noBreakHyphen/>
              <w:t>0.3)</w:t>
            </w:r>
            <w:r w:rsidRPr="00246D8C">
              <w:rPr>
                <w:sz w:val="22"/>
                <w:szCs w:val="22"/>
                <w:vertAlign w:val="superscript"/>
                <w:lang w:val="sr-Latn-ME"/>
              </w:rPr>
              <w:t xml:space="preserve"> 8</w:t>
            </w:r>
          </w:p>
          <w:p w14:paraId="0DB81C20" w14:textId="77777777" w:rsidR="003E0023" w:rsidRPr="00246D8C" w:rsidRDefault="003E0023" w:rsidP="002D73AD">
            <w:pPr>
              <w:tabs>
                <w:tab w:val="left" w:pos="284"/>
              </w:tabs>
              <w:autoSpaceDE w:val="0"/>
              <w:autoSpaceDN w:val="0"/>
              <w:adjustRightInd w:val="0"/>
              <w:jc w:val="both"/>
              <w:rPr>
                <w:sz w:val="22"/>
                <w:szCs w:val="22"/>
                <w:lang w:val="sr-Latn-ME"/>
              </w:rPr>
            </w:pPr>
          </w:p>
          <w:p w14:paraId="6B1BB969" w14:textId="77777777" w:rsidR="003E0023" w:rsidRPr="00246D8C" w:rsidRDefault="003E0023" w:rsidP="002D73AD">
            <w:pPr>
              <w:tabs>
                <w:tab w:val="left" w:pos="284"/>
              </w:tabs>
              <w:autoSpaceDE w:val="0"/>
              <w:autoSpaceDN w:val="0"/>
              <w:adjustRightInd w:val="0"/>
              <w:jc w:val="both"/>
              <w:rPr>
                <w:sz w:val="22"/>
                <w:szCs w:val="22"/>
                <w:vertAlign w:val="superscript"/>
                <w:lang w:val="sr-Latn-ME"/>
              </w:rPr>
            </w:pPr>
            <w:r w:rsidRPr="00246D8C">
              <w:rPr>
                <w:sz w:val="22"/>
                <w:szCs w:val="22"/>
                <w:lang w:val="sr-Latn-ME"/>
              </w:rPr>
              <w:t>0,4(-0,5; -0,2)</w:t>
            </w:r>
            <w:r w:rsidRPr="00246D8C">
              <w:rPr>
                <w:sz w:val="22"/>
                <w:szCs w:val="22"/>
                <w:vertAlign w:val="superscript"/>
                <w:lang w:val="sr-Latn-ME"/>
              </w:rPr>
              <w:t>9</w:t>
            </w:r>
          </w:p>
          <w:p w14:paraId="21A4DD6B" w14:textId="77777777" w:rsidR="003E0023" w:rsidRPr="00246D8C" w:rsidRDefault="003E0023" w:rsidP="002D73AD">
            <w:pPr>
              <w:tabs>
                <w:tab w:val="left" w:pos="284"/>
              </w:tabs>
              <w:autoSpaceDE w:val="0"/>
              <w:autoSpaceDN w:val="0"/>
              <w:adjustRightInd w:val="0"/>
              <w:jc w:val="both"/>
              <w:rPr>
                <w:sz w:val="22"/>
                <w:szCs w:val="22"/>
                <w:lang w:val="sr-Latn-ME"/>
              </w:rPr>
            </w:pPr>
          </w:p>
          <w:p w14:paraId="4CCF177B" w14:textId="77777777" w:rsidR="003E0023" w:rsidRPr="00246D8C" w:rsidRDefault="003E0023" w:rsidP="002D73AD">
            <w:pPr>
              <w:tabs>
                <w:tab w:val="left" w:pos="284"/>
              </w:tabs>
              <w:autoSpaceDE w:val="0"/>
              <w:autoSpaceDN w:val="0"/>
              <w:adjustRightInd w:val="0"/>
              <w:jc w:val="both"/>
              <w:rPr>
                <w:sz w:val="22"/>
                <w:szCs w:val="22"/>
                <w:lang w:val="sr-Latn-ME"/>
              </w:rPr>
            </w:pPr>
          </w:p>
          <w:p w14:paraId="3FC499B5" w14:textId="77777777" w:rsidR="003E0023" w:rsidRPr="00246D8C" w:rsidRDefault="003E0023" w:rsidP="002D73AD">
            <w:pPr>
              <w:tabs>
                <w:tab w:val="left" w:pos="284"/>
              </w:tabs>
              <w:autoSpaceDE w:val="0"/>
              <w:autoSpaceDN w:val="0"/>
              <w:adjustRightInd w:val="0"/>
              <w:jc w:val="both"/>
              <w:rPr>
                <w:sz w:val="22"/>
                <w:szCs w:val="22"/>
                <w:lang w:val="sr-Latn-ME"/>
              </w:rPr>
            </w:pPr>
          </w:p>
          <w:p w14:paraId="74498E4A" w14:textId="77777777" w:rsidR="003E0023" w:rsidRPr="00246D8C" w:rsidRDefault="003E0023" w:rsidP="002D73AD">
            <w:pPr>
              <w:tabs>
                <w:tab w:val="left" w:pos="284"/>
              </w:tabs>
              <w:autoSpaceDE w:val="0"/>
              <w:autoSpaceDN w:val="0"/>
              <w:adjustRightInd w:val="0"/>
              <w:jc w:val="both"/>
              <w:rPr>
                <w:sz w:val="22"/>
                <w:szCs w:val="22"/>
                <w:vertAlign w:val="superscript"/>
                <w:lang w:val="sr-Latn-ME"/>
              </w:rPr>
            </w:pPr>
            <w:r w:rsidRPr="00246D8C">
              <w:rPr>
                <w:sz w:val="22"/>
                <w:szCs w:val="22"/>
                <w:lang w:val="sr-Latn-ME"/>
              </w:rPr>
              <w:t>-0.4 (-0.6, -0.2)</w:t>
            </w:r>
            <w:r w:rsidRPr="00246D8C">
              <w:rPr>
                <w:sz w:val="22"/>
                <w:szCs w:val="22"/>
                <w:vertAlign w:val="superscript"/>
                <w:lang w:val="sr-Latn-ME"/>
              </w:rPr>
              <w:t>3</w:t>
            </w:r>
          </w:p>
        </w:tc>
      </w:tr>
    </w:tbl>
    <w:p w14:paraId="4E14C194" w14:textId="693E26C9" w:rsidR="003C0336" w:rsidRPr="00246D8C" w:rsidRDefault="003E0023" w:rsidP="002D73AD">
      <w:pPr>
        <w:tabs>
          <w:tab w:val="left" w:pos="284"/>
        </w:tabs>
        <w:autoSpaceDE w:val="0"/>
        <w:autoSpaceDN w:val="0"/>
        <w:ind w:left="357"/>
        <w:jc w:val="both"/>
        <w:rPr>
          <w:sz w:val="22"/>
          <w:szCs w:val="22"/>
          <w:lang w:val="sr-Latn-ME"/>
        </w:rPr>
      </w:pPr>
      <w:r w:rsidRPr="00246D8C">
        <w:rPr>
          <w:sz w:val="22"/>
          <w:szCs w:val="22"/>
          <w:lang w:val="sr-Latn-ME"/>
        </w:rPr>
        <w:t>n=Randomizovani pacijenti (ITT (sa namerom da se liječi) analiza primarne efikasnosti) za koje su dostupni podaci.</w:t>
      </w:r>
    </w:p>
    <w:p w14:paraId="2D204380" w14:textId="77777777" w:rsidR="003E0023" w:rsidRPr="00246D8C" w:rsidRDefault="003E0023" w:rsidP="002D73AD">
      <w:pPr>
        <w:tabs>
          <w:tab w:val="left" w:pos="284"/>
        </w:tabs>
        <w:autoSpaceDE w:val="0"/>
        <w:autoSpaceDN w:val="0"/>
        <w:adjustRightInd w:val="0"/>
        <w:ind w:left="357"/>
        <w:jc w:val="both"/>
        <w:rPr>
          <w:sz w:val="22"/>
          <w:szCs w:val="22"/>
          <w:lang w:val="sr-Latn-ME"/>
        </w:rPr>
      </w:pPr>
      <w:r w:rsidRPr="00246D8C">
        <w:rPr>
          <w:sz w:val="22"/>
          <w:szCs w:val="22"/>
          <w:vertAlign w:val="superscript"/>
          <w:lang w:val="sr-Latn-ME"/>
        </w:rPr>
        <w:t>1</w:t>
      </w:r>
      <w:r w:rsidRPr="00246D8C">
        <w:rPr>
          <w:sz w:val="22"/>
          <w:szCs w:val="22"/>
          <w:lang w:val="sr-Latn-ME"/>
        </w:rPr>
        <w:t>Kod placebo grupe je sprovedena uzlazna titracija glibenklamida sa 7.5 do ukupne dnevne doze od 15 mg.</w:t>
      </w:r>
    </w:p>
    <w:p w14:paraId="247B7A22" w14:textId="0E7846DF" w:rsidR="003C0336" w:rsidRPr="00246D8C" w:rsidRDefault="003E0023" w:rsidP="002D73AD">
      <w:pPr>
        <w:tabs>
          <w:tab w:val="left" w:pos="284"/>
        </w:tabs>
        <w:autoSpaceDE w:val="0"/>
        <w:autoSpaceDN w:val="0"/>
        <w:adjustRightInd w:val="0"/>
        <w:ind w:left="357"/>
        <w:jc w:val="both"/>
        <w:rPr>
          <w:sz w:val="22"/>
          <w:szCs w:val="22"/>
          <w:lang w:val="sr-Latn-ME"/>
        </w:rPr>
      </w:pPr>
      <w:r w:rsidRPr="00246D8C">
        <w:rPr>
          <w:sz w:val="22"/>
          <w:szCs w:val="22"/>
          <w:vertAlign w:val="superscript"/>
          <w:lang w:val="sr-Latn-ME"/>
        </w:rPr>
        <w:t>2</w:t>
      </w:r>
      <w:r w:rsidRPr="00246D8C">
        <w:rPr>
          <w:sz w:val="22"/>
          <w:szCs w:val="22"/>
          <w:lang w:val="sr-Latn-ME"/>
        </w:rPr>
        <w:t xml:space="preserve"> Prilagođena srednja promjena u odnosu na početnu vrijednost prilagođena za početnu vrijednost (ANCOVA). </w:t>
      </w:r>
    </w:p>
    <w:p w14:paraId="727C2C80" w14:textId="77777777" w:rsidR="003E0023" w:rsidRPr="00246D8C" w:rsidRDefault="003E0023" w:rsidP="002D73AD">
      <w:pPr>
        <w:tabs>
          <w:tab w:val="left" w:pos="284"/>
        </w:tabs>
        <w:autoSpaceDE w:val="0"/>
        <w:autoSpaceDN w:val="0"/>
        <w:adjustRightInd w:val="0"/>
        <w:ind w:left="357"/>
        <w:jc w:val="both"/>
        <w:rPr>
          <w:sz w:val="22"/>
          <w:szCs w:val="22"/>
          <w:lang w:val="sr-Latn-ME"/>
        </w:rPr>
      </w:pPr>
      <w:r w:rsidRPr="00246D8C">
        <w:rPr>
          <w:sz w:val="22"/>
          <w:szCs w:val="22"/>
          <w:vertAlign w:val="superscript"/>
          <w:lang w:val="sr-Latn-ME"/>
        </w:rPr>
        <w:t>3</w:t>
      </w:r>
      <w:r w:rsidRPr="00246D8C">
        <w:rPr>
          <w:sz w:val="22"/>
          <w:szCs w:val="22"/>
          <w:lang w:val="sr-Latn-ME"/>
        </w:rPr>
        <w:t xml:space="preserve"> p&lt;0.0001 u odnosu na placebo. </w:t>
      </w:r>
    </w:p>
    <w:p w14:paraId="20C42336" w14:textId="77777777" w:rsidR="003E0023" w:rsidRPr="00246D8C" w:rsidRDefault="003E0023" w:rsidP="002D73AD">
      <w:pPr>
        <w:tabs>
          <w:tab w:val="left" w:pos="284"/>
        </w:tabs>
        <w:autoSpaceDE w:val="0"/>
        <w:autoSpaceDN w:val="0"/>
        <w:adjustRightInd w:val="0"/>
        <w:ind w:left="357"/>
        <w:jc w:val="both"/>
        <w:rPr>
          <w:sz w:val="22"/>
          <w:szCs w:val="22"/>
          <w:lang w:val="sr-Latn-ME"/>
        </w:rPr>
      </w:pPr>
      <w:r w:rsidRPr="00246D8C">
        <w:rPr>
          <w:sz w:val="22"/>
          <w:szCs w:val="22"/>
          <w:vertAlign w:val="superscript"/>
          <w:lang w:val="sr-Latn-ME"/>
        </w:rPr>
        <w:t xml:space="preserve">4 </w:t>
      </w:r>
      <w:r w:rsidRPr="00246D8C">
        <w:rPr>
          <w:sz w:val="22"/>
          <w:szCs w:val="22"/>
          <w:lang w:val="sr-Latn-ME"/>
        </w:rPr>
        <w:t>p=0.0059 u odnosu na placebo.</w:t>
      </w:r>
    </w:p>
    <w:p w14:paraId="1F879A13" w14:textId="77777777" w:rsidR="003E0023" w:rsidRPr="00246D8C" w:rsidRDefault="003E0023" w:rsidP="002D73AD">
      <w:pPr>
        <w:tabs>
          <w:tab w:val="left" w:pos="284"/>
        </w:tabs>
        <w:autoSpaceDE w:val="0"/>
        <w:autoSpaceDN w:val="0"/>
        <w:adjustRightInd w:val="0"/>
        <w:ind w:left="357"/>
        <w:jc w:val="both"/>
        <w:rPr>
          <w:sz w:val="22"/>
          <w:szCs w:val="22"/>
          <w:lang w:val="sr-Latn-ME"/>
        </w:rPr>
      </w:pPr>
      <w:r w:rsidRPr="00246D8C">
        <w:rPr>
          <w:sz w:val="22"/>
          <w:szCs w:val="22"/>
          <w:vertAlign w:val="superscript"/>
          <w:lang w:val="sr-Latn-ME"/>
        </w:rPr>
        <w:lastRenderedPageBreak/>
        <w:t xml:space="preserve">5 </w:t>
      </w:r>
      <w:r w:rsidRPr="00246D8C">
        <w:rPr>
          <w:sz w:val="22"/>
          <w:szCs w:val="22"/>
          <w:lang w:val="sr-Latn-ME"/>
        </w:rPr>
        <w:t>p=0.0157 u odnosu na placebo.</w:t>
      </w:r>
    </w:p>
    <w:p w14:paraId="302E7B02" w14:textId="77777777" w:rsidR="003E0023" w:rsidRPr="00246D8C" w:rsidRDefault="003E0023" w:rsidP="002D73AD">
      <w:pPr>
        <w:tabs>
          <w:tab w:val="left" w:pos="284"/>
        </w:tabs>
        <w:autoSpaceDE w:val="0"/>
        <w:autoSpaceDN w:val="0"/>
        <w:adjustRightInd w:val="0"/>
        <w:ind w:left="357"/>
        <w:jc w:val="both"/>
        <w:rPr>
          <w:sz w:val="22"/>
          <w:szCs w:val="22"/>
          <w:lang w:val="sr-Latn-ME"/>
        </w:rPr>
      </w:pPr>
      <w:r w:rsidRPr="00246D8C">
        <w:rPr>
          <w:sz w:val="22"/>
          <w:szCs w:val="22"/>
          <w:vertAlign w:val="superscript"/>
          <w:lang w:val="sr-Latn-ME"/>
        </w:rPr>
        <w:t>6</w:t>
      </w:r>
      <w:r w:rsidRPr="00246D8C">
        <w:rPr>
          <w:sz w:val="22"/>
          <w:szCs w:val="22"/>
          <w:lang w:val="sr-Latn-ME"/>
        </w:rPr>
        <w:t xml:space="preserve"> Metformin je uzlazno titriran sa 500 na 2000 mg na dan u zavisnosti od tolerancije.</w:t>
      </w:r>
    </w:p>
    <w:p w14:paraId="0231C6BC" w14:textId="18F13522" w:rsidR="003E0023" w:rsidRPr="00246D8C" w:rsidRDefault="003E0023" w:rsidP="002D73AD">
      <w:pPr>
        <w:tabs>
          <w:tab w:val="left" w:pos="284"/>
        </w:tabs>
        <w:autoSpaceDE w:val="0"/>
        <w:autoSpaceDN w:val="0"/>
        <w:adjustRightInd w:val="0"/>
        <w:ind w:left="357"/>
        <w:jc w:val="both"/>
        <w:rPr>
          <w:sz w:val="22"/>
          <w:szCs w:val="22"/>
          <w:lang w:val="sr-Latn-ME"/>
        </w:rPr>
      </w:pPr>
      <w:r w:rsidRPr="00246D8C">
        <w:rPr>
          <w:sz w:val="22"/>
          <w:szCs w:val="22"/>
          <w:vertAlign w:val="superscript"/>
          <w:lang w:val="sr-Latn-ME"/>
        </w:rPr>
        <w:t>7</w:t>
      </w:r>
      <w:r w:rsidRPr="00246D8C">
        <w:rPr>
          <w:sz w:val="22"/>
          <w:szCs w:val="22"/>
          <w:lang w:val="sr-Latn-ME"/>
        </w:rPr>
        <w:t xml:space="preserve"> Srednja promjena HbA1c predstavlja razliku između</w:t>
      </w:r>
      <w:r w:rsidR="006702E5" w:rsidRPr="00246D8C">
        <w:rPr>
          <w:sz w:val="22"/>
          <w:szCs w:val="22"/>
          <w:lang w:val="sr-Latn-ME"/>
        </w:rPr>
        <w:t xml:space="preserve"> </w:t>
      </w:r>
      <w:r w:rsidRPr="00246D8C">
        <w:rPr>
          <w:sz w:val="22"/>
          <w:szCs w:val="22"/>
          <w:lang w:val="sr-Latn-ME"/>
        </w:rPr>
        <w:t>grupa koje su dobijale saksagliptin</w:t>
      </w:r>
      <w:r w:rsidR="006702E5" w:rsidRPr="00246D8C">
        <w:rPr>
          <w:sz w:val="22"/>
          <w:szCs w:val="22"/>
          <w:lang w:val="sr-Latn-ME"/>
        </w:rPr>
        <w:t xml:space="preserve"> </w:t>
      </w:r>
      <w:r w:rsidRPr="00246D8C">
        <w:rPr>
          <w:sz w:val="22"/>
          <w:szCs w:val="22"/>
          <w:lang w:val="sr-Latn-ME"/>
        </w:rPr>
        <w:t>+ metformin i samo metformin (p&lt;0.0001).</w:t>
      </w:r>
    </w:p>
    <w:p w14:paraId="4AA1C6F4" w14:textId="07FEA6D7" w:rsidR="003E0023" w:rsidRPr="00246D8C" w:rsidRDefault="006702E5" w:rsidP="002D73AD">
      <w:pPr>
        <w:tabs>
          <w:tab w:val="left" w:pos="426"/>
        </w:tabs>
        <w:ind w:left="284" w:hanging="142"/>
        <w:jc w:val="both"/>
        <w:rPr>
          <w:sz w:val="22"/>
          <w:szCs w:val="22"/>
          <w:lang w:val="sr-Latn-ME"/>
        </w:rPr>
      </w:pPr>
      <w:r w:rsidRPr="00246D8C">
        <w:rPr>
          <w:sz w:val="22"/>
          <w:szCs w:val="22"/>
          <w:vertAlign w:val="superscript"/>
          <w:lang w:val="sr-Latn-ME"/>
        </w:rPr>
        <w:t xml:space="preserve">     </w:t>
      </w:r>
      <w:r w:rsidR="003E0023" w:rsidRPr="00246D8C">
        <w:rPr>
          <w:sz w:val="22"/>
          <w:szCs w:val="22"/>
          <w:vertAlign w:val="superscript"/>
          <w:lang w:val="sr-Latn-ME"/>
        </w:rPr>
        <w:t xml:space="preserve"> </w:t>
      </w:r>
      <w:r w:rsidR="003C0336" w:rsidRPr="00246D8C">
        <w:rPr>
          <w:sz w:val="22"/>
          <w:szCs w:val="22"/>
          <w:vertAlign w:val="superscript"/>
          <w:lang w:val="sr-Latn-ME"/>
        </w:rPr>
        <w:t xml:space="preserve"> </w:t>
      </w:r>
      <w:r w:rsidR="003E0023" w:rsidRPr="00246D8C">
        <w:rPr>
          <w:sz w:val="22"/>
          <w:szCs w:val="22"/>
          <w:vertAlign w:val="superscript"/>
          <w:lang w:val="sr-Latn-ME"/>
        </w:rPr>
        <w:t>8</w:t>
      </w:r>
      <w:r w:rsidR="003E0023" w:rsidRPr="00246D8C">
        <w:rPr>
          <w:sz w:val="22"/>
          <w:szCs w:val="22"/>
          <w:lang w:val="sr-Latn-ME"/>
        </w:rPr>
        <w:t xml:space="preserve"> Srednja promjena HbA1c predstavlja razliku između grupa koje su dobijale saksagliptin + metformin </w:t>
      </w:r>
      <w:r w:rsidR="003C0336" w:rsidRPr="00246D8C">
        <w:rPr>
          <w:sz w:val="22"/>
          <w:szCs w:val="22"/>
          <w:lang w:val="sr-Latn-ME"/>
        </w:rPr>
        <w:t xml:space="preserve">              </w:t>
      </w:r>
      <w:r w:rsidR="003E0023" w:rsidRPr="00246D8C">
        <w:rPr>
          <w:sz w:val="22"/>
          <w:szCs w:val="22"/>
          <w:lang w:val="sr-Latn-ME"/>
        </w:rPr>
        <w:t>i samo metformin.</w:t>
      </w:r>
    </w:p>
    <w:p w14:paraId="157CBE4A" w14:textId="48812788" w:rsidR="003E0023" w:rsidRPr="00246D8C" w:rsidRDefault="003C0336" w:rsidP="002D73AD">
      <w:pPr>
        <w:tabs>
          <w:tab w:val="left" w:pos="284"/>
        </w:tabs>
        <w:autoSpaceDE w:val="0"/>
        <w:autoSpaceDN w:val="0"/>
        <w:adjustRightInd w:val="0"/>
        <w:ind w:left="357"/>
        <w:jc w:val="both"/>
        <w:rPr>
          <w:sz w:val="22"/>
          <w:szCs w:val="22"/>
          <w:lang w:val="sr-Latn-ME"/>
        </w:rPr>
      </w:pPr>
      <w:r w:rsidRPr="00246D8C">
        <w:rPr>
          <w:sz w:val="22"/>
          <w:szCs w:val="22"/>
          <w:vertAlign w:val="superscript"/>
          <w:lang w:val="sr-Latn-ME"/>
        </w:rPr>
        <w:t xml:space="preserve"> </w:t>
      </w:r>
      <w:r w:rsidR="003E0023" w:rsidRPr="00246D8C">
        <w:rPr>
          <w:sz w:val="22"/>
          <w:szCs w:val="22"/>
          <w:vertAlign w:val="superscript"/>
          <w:lang w:val="sr-Latn-ME"/>
        </w:rPr>
        <w:t>9</w:t>
      </w:r>
      <w:r w:rsidRPr="00246D8C">
        <w:rPr>
          <w:sz w:val="22"/>
          <w:szCs w:val="22"/>
          <w:lang w:val="sr-Latn-ME"/>
        </w:rPr>
        <w:t xml:space="preserve"> </w:t>
      </w:r>
      <w:r w:rsidR="003E0023" w:rsidRPr="00246D8C">
        <w:rPr>
          <w:sz w:val="22"/>
          <w:szCs w:val="22"/>
          <w:lang w:val="sr-Latn-ME"/>
        </w:rPr>
        <w:t>Srednja prom</w:t>
      </w:r>
      <w:r w:rsidRPr="00246D8C">
        <w:rPr>
          <w:sz w:val="22"/>
          <w:szCs w:val="22"/>
          <w:lang w:val="sr-Latn-ME"/>
        </w:rPr>
        <w:t>j</w:t>
      </w:r>
      <w:r w:rsidR="003E0023" w:rsidRPr="00246D8C">
        <w:rPr>
          <w:sz w:val="22"/>
          <w:szCs w:val="22"/>
          <w:lang w:val="sr-Latn-ME"/>
        </w:rPr>
        <w:t>ena HbA1c predstavlja razliku između saksagliptina+dapagliflozina+metformin i dapagliflozin+metformin grupe (p&lt; 0,0001).</w:t>
      </w:r>
    </w:p>
    <w:p w14:paraId="6D9CE64F" w14:textId="77777777" w:rsidR="003E0023" w:rsidRPr="00246D8C" w:rsidRDefault="003E0023" w:rsidP="003C0336">
      <w:pPr>
        <w:tabs>
          <w:tab w:val="left" w:pos="284"/>
        </w:tabs>
        <w:autoSpaceDE w:val="0"/>
        <w:autoSpaceDN w:val="0"/>
        <w:adjustRightInd w:val="0"/>
        <w:spacing w:line="180" w:lineRule="exact"/>
        <w:ind w:left="357"/>
        <w:jc w:val="both"/>
        <w:rPr>
          <w:sz w:val="22"/>
          <w:szCs w:val="22"/>
          <w:lang w:val="sr-Latn-ME"/>
        </w:rPr>
      </w:pPr>
    </w:p>
    <w:p w14:paraId="373C6534" w14:textId="77777777" w:rsidR="003E0023" w:rsidRPr="00246D8C" w:rsidRDefault="003E0023" w:rsidP="00AE24EE">
      <w:pPr>
        <w:tabs>
          <w:tab w:val="left" w:pos="284"/>
        </w:tabs>
        <w:autoSpaceDE w:val="0"/>
        <w:autoSpaceDN w:val="0"/>
        <w:adjustRightInd w:val="0"/>
        <w:spacing w:line="180" w:lineRule="exact"/>
        <w:ind w:left="357"/>
        <w:jc w:val="both"/>
        <w:rPr>
          <w:i/>
          <w:sz w:val="22"/>
          <w:szCs w:val="22"/>
          <w:lang w:val="sr-Latn-ME"/>
        </w:rPr>
      </w:pPr>
      <w:r w:rsidRPr="00246D8C">
        <w:rPr>
          <w:i/>
          <w:sz w:val="22"/>
          <w:szCs w:val="22"/>
          <w:lang w:val="sr-Latn-ME"/>
        </w:rPr>
        <w:t>Saksagliptin i dapagliflozin kao dadatak terapiji metforminu</w:t>
      </w:r>
    </w:p>
    <w:p w14:paraId="23034326" w14:textId="77777777" w:rsidR="003E0023" w:rsidRPr="00246D8C" w:rsidRDefault="003E0023">
      <w:pPr>
        <w:tabs>
          <w:tab w:val="left" w:pos="284"/>
        </w:tabs>
        <w:autoSpaceDE w:val="0"/>
        <w:autoSpaceDN w:val="0"/>
        <w:adjustRightInd w:val="0"/>
        <w:spacing w:line="180" w:lineRule="exact"/>
        <w:ind w:left="357"/>
        <w:jc w:val="both"/>
        <w:rPr>
          <w:i/>
          <w:sz w:val="22"/>
          <w:szCs w:val="22"/>
          <w:lang w:val="sr-Latn-ME"/>
        </w:rPr>
      </w:pPr>
    </w:p>
    <w:p w14:paraId="4F33D8AD" w14:textId="62B3787F" w:rsidR="003E0023" w:rsidRPr="00246D8C" w:rsidRDefault="003E0023">
      <w:pPr>
        <w:tabs>
          <w:tab w:val="left" w:pos="284"/>
        </w:tabs>
        <w:autoSpaceDE w:val="0"/>
        <w:autoSpaceDN w:val="0"/>
        <w:adjustRightInd w:val="0"/>
        <w:spacing w:line="180" w:lineRule="exact"/>
        <w:ind w:left="357"/>
        <w:jc w:val="both"/>
        <w:rPr>
          <w:sz w:val="22"/>
          <w:szCs w:val="22"/>
          <w:lang w:val="sr-Latn-ME"/>
        </w:rPr>
      </w:pPr>
      <w:r w:rsidRPr="00246D8C">
        <w:rPr>
          <w:sz w:val="22"/>
          <w:szCs w:val="22"/>
          <w:lang w:val="sr-Latn-ME"/>
        </w:rPr>
        <w:t>Ukupno 534 odraslih pacijenata sa dijabetosom tipa 2 i neadekvatnom kontrolom glikemije samo na metforminu (HbA1c 8-12%), koji su učestvovali u randomizovanoj, dvostruko sl</w:t>
      </w:r>
      <w:r w:rsidR="003C0336" w:rsidRPr="00246D8C">
        <w:rPr>
          <w:sz w:val="22"/>
          <w:szCs w:val="22"/>
          <w:lang w:val="sr-Latn-ME"/>
        </w:rPr>
        <w:t>ij</w:t>
      </w:r>
      <w:r w:rsidRPr="00246D8C">
        <w:rPr>
          <w:sz w:val="22"/>
          <w:szCs w:val="22"/>
          <w:lang w:val="sr-Latn-ME"/>
        </w:rPr>
        <w:t>epoj, aktivnom kontrolom- kontrolisano ispitivanje, u trajanju od 24 nedelje kako bi se uporedila kombinacija saksagliptina i dapagliflozina istovremeno dodati metforminu, sa saksagliptinom ili dapagliflozinom dodatim metforminu. Pacijenti su bili randomizovani u jednoj od tri dvostruko sl</w:t>
      </w:r>
      <w:r w:rsidR="003C0336" w:rsidRPr="00246D8C">
        <w:rPr>
          <w:sz w:val="22"/>
          <w:szCs w:val="22"/>
          <w:lang w:val="sr-Latn-ME"/>
        </w:rPr>
        <w:t>ij</w:t>
      </w:r>
      <w:r w:rsidRPr="00246D8C">
        <w:rPr>
          <w:sz w:val="22"/>
          <w:szCs w:val="22"/>
          <w:lang w:val="sr-Latn-ME"/>
        </w:rPr>
        <w:t>epe grupe koji su primali saksagliptin 5 mg i dapagliflozin 10mg kao dodate metforminu, saksagliptin 5mg i placebo kao dodatak metforminu, ili dapagliflozin 10mg i placebo kao dodatak metforminu.</w:t>
      </w:r>
    </w:p>
    <w:p w14:paraId="130C56D1" w14:textId="77777777" w:rsidR="003E0023" w:rsidRPr="00246D8C" w:rsidRDefault="003E0023">
      <w:pPr>
        <w:tabs>
          <w:tab w:val="left" w:pos="284"/>
        </w:tabs>
        <w:autoSpaceDE w:val="0"/>
        <w:autoSpaceDN w:val="0"/>
        <w:adjustRightInd w:val="0"/>
        <w:spacing w:line="180" w:lineRule="exact"/>
        <w:ind w:left="357"/>
        <w:jc w:val="both"/>
        <w:rPr>
          <w:sz w:val="22"/>
          <w:szCs w:val="22"/>
          <w:lang w:val="sr-Latn-ME"/>
        </w:rPr>
      </w:pPr>
    </w:p>
    <w:p w14:paraId="5B6B4DF7" w14:textId="719E50EB" w:rsidR="003E0023" w:rsidRPr="00246D8C" w:rsidRDefault="003E0023">
      <w:pPr>
        <w:tabs>
          <w:tab w:val="left" w:pos="284"/>
        </w:tabs>
        <w:autoSpaceDE w:val="0"/>
        <w:autoSpaceDN w:val="0"/>
        <w:adjustRightInd w:val="0"/>
        <w:spacing w:line="180" w:lineRule="exact"/>
        <w:ind w:left="357"/>
        <w:jc w:val="both"/>
        <w:rPr>
          <w:sz w:val="22"/>
          <w:szCs w:val="22"/>
          <w:lang w:val="sr-Latn-ME"/>
        </w:rPr>
      </w:pPr>
      <w:r w:rsidRPr="00246D8C">
        <w:rPr>
          <w:sz w:val="22"/>
          <w:szCs w:val="22"/>
          <w:lang w:val="sr-Latn-ME"/>
        </w:rPr>
        <w:t>Grupa sa saksagliptinom i dapagliflozinom postigla je značajno višu redukciju HbA1c nasuprot ili saksagliptin grupi ili dapagliflozin grupi u 24. nedelji (vid</w:t>
      </w:r>
      <w:r w:rsidR="003C0336" w:rsidRPr="00246D8C">
        <w:rPr>
          <w:sz w:val="22"/>
          <w:szCs w:val="22"/>
          <w:lang w:val="sr-Latn-ME"/>
        </w:rPr>
        <w:t>j</w:t>
      </w:r>
      <w:r w:rsidRPr="00246D8C">
        <w:rPr>
          <w:sz w:val="22"/>
          <w:szCs w:val="22"/>
          <w:lang w:val="sr-Latn-ME"/>
        </w:rPr>
        <w:t>eti Tabelu 3).</w:t>
      </w:r>
    </w:p>
    <w:p w14:paraId="3E9AE5DB" w14:textId="77777777" w:rsidR="003E0023" w:rsidRPr="00246D8C" w:rsidRDefault="003E0023">
      <w:pPr>
        <w:tabs>
          <w:tab w:val="left" w:pos="284"/>
        </w:tabs>
        <w:autoSpaceDE w:val="0"/>
        <w:autoSpaceDN w:val="0"/>
        <w:adjustRightInd w:val="0"/>
        <w:spacing w:line="180" w:lineRule="exact"/>
        <w:ind w:left="357"/>
        <w:jc w:val="both"/>
        <w:rPr>
          <w:sz w:val="22"/>
          <w:szCs w:val="22"/>
          <w:lang w:val="sr-Latn-ME"/>
        </w:rPr>
      </w:pPr>
    </w:p>
    <w:p w14:paraId="5770D654" w14:textId="77777777" w:rsidR="003E0023" w:rsidRPr="00246D8C" w:rsidRDefault="003E0023" w:rsidP="002D73AD">
      <w:pPr>
        <w:tabs>
          <w:tab w:val="left" w:pos="284"/>
        </w:tabs>
        <w:ind w:left="284"/>
        <w:jc w:val="both"/>
        <w:outlineLvl w:val="0"/>
        <w:rPr>
          <w:b/>
          <w:bCs/>
          <w:sz w:val="22"/>
          <w:szCs w:val="22"/>
          <w:lang w:val="sr-Latn-ME"/>
        </w:rPr>
      </w:pPr>
      <w:r w:rsidRPr="00246D8C">
        <w:rPr>
          <w:b/>
          <w:bCs/>
          <w:sz w:val="22"/>
          <w:szCs w:val="22"/>
          <w:lang w:val="sr-Latn-ME"/>
        </w:rPr>
        <w:t>Tabela 3. HbA1c u 24. nedelji u studiji kontrolisanoj aktivnim lekom u poređenju sa kombinacijom saksagliptina i dapagliflozina istovremeno dodatim metforminu, sa ili saksagliptinom ili dapagliflozinu dodatim metforminu</w:t>
      </w:r>
    </w:p>
    <w:p w14:paraId="1EDB3134" w14:textId="77777777" w:rsidR="003E0023" w:rsidRPr="00246D8C" w:rsidRDefault="003E0023" w:rsidP="003C0336">
      <w:pPr>
        <w:tabs>
          <w:tab w:val="left" w:pos="284"/>
        </w:tabs>
        <w:jc w:val="both"/>
        <w:outlineLvl w:val="0"/>
        <w:rPr>
          <w:b/>
          <w:bCs/>
          <w:sz w:val="22"/>
          <w:szCs w:val="22"/>
          <w:lang w:val="sr-Latn-ME"/>
        </w:rPr>
      </w:pP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6"/>
        <w:gridCol w:w="29"/>
        <w:gridCol w:w="1825"/>
        <w:gridCol w:w="29"/>
        <w:gridCol w:w="1800"/>
        <w:gridCol w:w="29"/>
        <w:gridCol w:w="2009"/>
      </w:tblGrid>
      <w:tr w:rsidR="003D48C9" w:rsidRPr="00246D8C" w14:paraId="056CCFFA" w14:textId="77777777" w:rsidTr="002D73AD">
        <w:trPr>
          <w:cantSplit/>
        </w:trPr>
        <w:tc>
          <w:tcPr>
            <w:tcW w:w="2955" w:type="dxa"/>
            <w:gridSpan w:val="2"/>
            <w:vAlign w:val="center"/>
          </w:tcPr>
          <w:p w14:paraId="59FB65D1" w14:textId="472A304B" w:rsidR="003E0023" w:rsidRPr="00246D8C" w:rsidRDefault="003E0023" w:rsidP="002D73AD">
            <w:pPr>
              <w:widowControl w:val="0"/>
              <w:autoSpaceDE w:val="0"/>
              <w:autoSpaceDN w:val="0"/>
              <w:adjustRightInd w:val="0"/>
              <w:ind w:left="-83" w:firstLine="83"/>
              <w:jc w:val="both"/>
              <w:rPr>
                <w:b/>
                <w:sz w:val="22"/>
                <w:szCs w:val="22"/>
                <w:lang w:val="sr-Latn-ME"/>
              </w:rPr>
            </w:pPr>
            <w:r w:rsidRPr="00246D8C">
              <w:rPr>
                <w:b/>
                <w:sz w:val="22"/>
                <w:szCs w:val="22"/>
                <w:lang w:val="sr-Latn-ME"/>
              </w:rPr>
              <w:t>Parametar efikasnosti</w:t>
            </w:r>
          </w:p>
        </w:tc>
        <w:tc>
          <w:tcPr>
            <w:tcW w:w="1854" w:type="dxa"/>
            <w:gridSpan w:val="2"/>
            <w:vAlign w:val="bottom"/>
          </w:tcPr>
          <w:p w14:paraId="1C7DD92C" w14:textId="77777777" w:rsidR="003E0023" w:rsidRPr="00246D8C" w:rsidRDefault="003E0023" w:rsidP="002D73AD">
            <w:pPr>
              <w:widowControl w:val="0"/>
              <w:autoSpaceDE w:val="0"/>
              <w:autoSpaceDN w:val="0"/>
              <w:adjustRightInd w:val="0"/>
              <w:jc w:val="both"/>
              <w:rPr>
                <w:b/>
                <w:sz w:val="22"/>
                <w:szCs w:val="22"/>
                <w:lang w:val="sr-Latn-ME"/>
              </w:rPr>
            </w:pPr>
            <w:r w:rsidRPr="00246D8C">
              <w:rPr>
                <w:b/>
                <w:sz w:val="22"/>
                <w:szCs w:val="22"/>
                <w:lang w:val="sr-Latn-ME"/>
              </w:rPr>
              <w:t>Saksagliptin 5 mg + dapagliflozin 10 mg + metformin</w:t>
            </w:r>
          </w:p>
          <w:p w14:paraId="23012316" w14:textId="77777777" w:rsidR="003E0023" w:rsidRPr="00246D8C" w:rsidRDefault="003E0023" w:rsidP="002D73AD">
            <w:pPr>
              <w:widowControl w:val="0"/>
              <w:autoSpaceDE w:val="0"/>
              <w:autoSpaceDN w:val="0"/>
              <w:adjustRightInd w:val="0"/>
              <w:jc w:val="both"/>
              <w:rPr>
                <w:b/>
                <w:sz w:val="22"/>
                <w:szCs w:val="22"/>
                <w:vertAlign w:val="superscript"/>
                <w:lang w:val="sr-Latn-ME"/>
              </w:rPr>
            </w:pPr>
            <w:r w:rsidRPr="00246D8C">
              <w:rPr>
                <w:b/>
                <w:sz w:val="22"/>
                <w:szCs w:val="22"/>
                <w:lang w:val="sr-Latn-ME"/>
              </w:rPr>
              <w:t>N=179</w:t>
            </w:r>
            <w:r w:rsidRPr="00246D8C">
              <w:rPr>
                <w:b/>
                <w:sz w:val="22"/>
                <w:szCs w:val="22"/>
                <w:vertAlign w:val="superscript"/>
                <w:lang w:val="sr-Latn-ME"/>
              </w:rPr>
              <w:t>2</w:t>
            </w:r>
          </w:p>
        </w:tc>
        <w:tc>
          <w:tcPr>
            <w:tcW w:w="1829" w:type="dxa"/>
            <w:gridSpan w:val="2"/>
            <w:vAlign w:val="bottom"/>
          </w:tcPr>
          <w:p w14:paraId="7DABBC02" w14:textId="77777777" w:rsidR="003E0023" w:rsidRPr="00246D8C" w:rsidRDefault="003E0023" w:rsidP="002D73AD">
            <w:pPr>
              <w:widowControl w:val="0"/>
              <w:autoSpaceDE w:val="0"/>
              <w:autoSpaceDN w:val="0"/>
              <w:adjustRightInd w:val="0"/>
              <w:jc w:val="both"/>
              <w:rPr>
                <w:b/>
                <w:sz w:val="22"/>
                <w:szCs w:val="22"/>
                <w:lang w:val="sr-Latn-ME"/>
              </w:rPr>
            </w:pPr>
            <w:r w:rsidRPr="00246D8C">
              <w:rPr>
                <w:b/>
                <w:sz w:val="22"/>
                <w:szCs w:val="22"/>
                <w:lang w:val="sr-Latn-ME"/>
              </w:rPr>
              <w:t xml:space="preserve">Saksagliptin 5 mg + metformin </w:t>
            </w:r>
          </w:p>
          <w:p w14:paraId="4058A1B2" w14:textId="77777777" w:rsidR="003E0023" w:rsidRPr="00246D8C" w:rsidRDefault="003E0023" w:rsidP="002D73AD">
            <w:pPr>
              <w:widowControl w:val="0"/>
              <w:autoSpaceDE w:val="0"/>
              <w:autoSpaceDN w:val="0"/>
              <w:adjustRightInd w:val="0"/>
              <w:jc w:val="both"/>
              <w:rPr>
                <w:b/>
                <w:sz w:val="22"/>
                <w:szCs w:val="22"/>
                <w:vertAlign w:val="superscript"/>
                <w:lang w:val="sr-Latn-ME"/>
              </w:rPr>
            </w:pPr>
            <w:r w:rsidRPr="00246D8C">
              <w:rPr>
                <w:b/>
                <w:sz w:val="22"/>
                <w:szCs w:val="22"/>
                <w:lang w:val="sr-Latn-ME"/>
              </w:rPr>
              <w:t>N=176</w:t>
            </w:r>
            <w:r w:rsidRPr="00246D8C">
              <w:rPr>
                <w:b/>
                <w:sz w:val="22"/>
                <w:szCs w:val="22"/>
                <w:vertAlign w:val="superscript"/>
                <w:lang w:val="sr-Latn-ME"/>
              </w:rPr>
              <w:t>2</w:t>
            </w:r>
          </w:p>
        </w:tc>
        <w:tc>
          <w:tcPr>
            <w:tcW w:w="2009" w:type="dxa"/>
            <w:vAlign w:val="bottom"/>
          </w:tcPr>
          <w:p w14:paraId="23400501" w14:textId="77777777" w:rsidR="003E0023" w:rsidRPr="00246D8C" w:rsidRDefault="003E0023" w:rsidP="002D73AD">
            <w:pPr>
              <w:widowControl w:val="0"/>
              <w:autoSpaceDE w:val="0"/>
              <w:autoSpaceDN w:val="0"/>
              <w:adjustRightInd w:val="0"/>
              <w:jc w:val="both"/>
              <w:rPr>
                <w:b/>
                <w:sz w:val="22"/>
                <w:szCs w:val="22"/>
                <w:lang w:val="sr-Latn-ME"/>
              </w:rPr>
            </w:pPr>
            <w:r w:rsidRPr="00246D8C">
              <w:rPr>
                <w:b/>
                <w:sz w:val="22"/>
                <w:szCs w:val="22"/>
                <w:lang w:val="sr-Latn-ME"/>
              </w:rPr>
              <w:t>Dapagliflozin 10 mg + metformin</w:t>
            </w:r>
          </w:p>
          <w:p w14:paraId="6A0CBAF2" w14:textId="77777777" w:rsidR="003E0023" w:rsidRPr="00246D8C" w:rsidRDefault="003E0023" w:rsidP="002D73AD">
            <w:pPr>
              <w:widowControl w:val="0"/>
              <w:autoSpaceDE w:val="0"/>
              <w:autoSpaceDN w:val="0"/>
              <w:adjustRightInd w:val="0"/>
              <w:jc w:val="both"/>
              <w:rPr>
                <w:b/>
                <w:sz w:val="22"/>
                <w:szCs w:val="22"/>
                <w:vertAlign w:val="superscript"/>
                <w:lang w:val="sr-Latn-ME"/>
              </w:rPr>
            </w:pPr>
            <w:r w:rsidRPr="00246D8C">
              <w:rPr>
                <w:b/>
                <w:sz w:val="22"/>
                <w:szCs w:val="22"/>
                <w:lang w:val="sr-Latn-ME"/>
              </w:rPr>
              <w:t>N=179</w:t>
            </w:r>
            <w:r w:rsidRPr="00246D8C">
              <w:rPr>
                <w:b/>
                <w:sz w:val="22"/>
                <w:szCs w:val="22"/>
                <w:vertAlign w:val="superscript"/>
                <w:lang w:val="sr-Latn-ME"/>
              </w:rPr>
              <w:t>2</w:t>
            </w:r>
          </w:p>
        </w:tc>
      </w:tr>
      <w:tr w:rsidR="003D48C9" w:rsidRPr="00246D8C" w14:paraId="7630E564" w14:textId="77777777" w:rsidTr="002D73AD">
        <w:trPr>
          <w:cantSplit/>
        </w:trPr>
        <w:tc>
          <w:tcPr>
            <w:tcW w:w="8647" w:type="dxa"/>
            <w:gridSpan w:val="7"/>
          </w:tcPr>
          <w:p w14:paraId="3A73592D" w14:textId="77777777" w:rsidR="003E0023" w:rsidRPr="00246D8C" w:rsidRDefault="003E0023" w:rsidP="002D73AD">
            <w:pPr>
              <w:widowControl w:val="0"/>
              <w:autoSpaceDE w:val="0"/>
              <w:autoSpaceDN w:val="0"/>
              <w:adjustRightInd w:val="0"/>
              <w:spacing w:after="120"/>
              <w:jc w:val="center"/>
              <w:rPr>
                <w:b/>
                <w:sz w:val="22"/>
                <w:szCs w:val="22"/>
                <w:vertAlign w:val="superscript"/>
                <w:lang w:val="sr-Latn-ME"/>
              </w:rPr>
            </w:pPr>
            <w:r w:rsidRPr="00246D8C">
              <w:rPr>
                <w:b/>
                <w:sz w:val="22"/>
                <w:szCs w:val="22"/>
                <w:lang w:val="sr-Latn-ME"/>
              </w:rPr>
              <w:t xml:space="preserve">HbA1c (%) u 24. nedelji </w:t>
            </w:r>
            <w:r w:rsidRPr="00246D8C">
              <w:rPr>
                <w:b/>
                <w:sz w:val="22"/>
                <w:szCs w:val="22"/>
                <w:vertAlign w:val="superscript"/>
                <w:lang w:val="sr-Latn-ME"/>
              </w:rPr>
              <w:t>1</w:t>
            </w:r>
          </w:p>
        </w:tc>
      </w:tr>
      <w:tr w:rsidR="003D48C9" w:rsidRPr="00246D8C" w14:paraId="3A843C94" w14:textId="77777777" w:rsidTr="002D73AD">
        <w:trPr>
          <w:cantSplit/>
        </w:trPr>
        <w:tc>
          <w:tcPr>
            <w:tcW w:w="2926" w:type="dxa"/>
          </w:tcPr>
          <w:p w14:paraId="7A099A4E" w14:textId="77777777" w:rsidR="003C0336" w:rsidRPr="00246D8C" w:rsidRDefault="003C0336" w:rsidP="003C0336">
            <w:pPr>
              <w:widowControl w:val="0"/>
              <w:autoSpaceDE w:val="0"/>
              <w:autoSpaceDN w:val="0"/>
              <w:adjustRightInd w:val="0"/>
              <w:spacing w:after="120"/>
              <w:jc w:val="both"/>
              <w:rPr>
                <w:sz w:val="22"/>
                <w:szCs w:val="22"/>
                <w:lang w:val="sr-Latn-ME"/>
              </w:rPr>
            </w:pPr>
            <w:r w:rsidRPr="00246D8C">
              <w:rPr>
                <w:sz w:val="22"/>
                <w:szCs w:val="22"/>
                <w:lang w:val="sr-Latn-ME"/>
              </w:rPr>
              <w:t>Početna vrijednost (srednja</w:t>
            </w:r>
          </w:p>
          <w:p w14:paraId="4CDD298F" w14:textId="5D71A6E2" w:rsidR="003E0023" w:rsidRPr="00246D8C" w:rsidRDefault="003C0336" w:rsidP="002D73AD">
            <w:pPr>
              <w:widowControl w:val="0"/>
              <w:autoSpaceDE w:val="0"/>
              <w:autoSpaceDN w:val="0"/>
              <w:adjustRightInd w:val="0"/>
              <w:spacing w:after="120"/>
              <w:jc w:val="both"/>
              <w:rPr>
                <w:sz w:val="22"/>
                <w:szCs w:val="22"/>
                <w:lang w:val="sr-Latn-ME"/>
              </w:rPr>
            </w:pPr>
            <w:r w:rsidRPr="00246D8C">
              <w:rPr>
                <w:sz w:val="22"/>
                <w:szCs w:val="22"/>
                <w:lang w:val="sr-Latn-ME"/>
              </w:rPr>
              <w:t>vrijednost)</w:t>
            </w:r>
          </w:p>
        </w:tc>
        <w:tc>
          <w:tcPr>
            <w:tcW w:w="1854" w:type="dxa"/>
            <w:gridSpan w:val="2"/>
          </w:tcPr>
          <w:p w14:paraId="5B903315" w14:textId="77777777" w:rsidR="003E0023" w:rsidRPr="00246D8C" w:rsidRDefault="003E0023" w:rsidP="002D73AD">
            <w:pPr>
              <w:widowControl w:val="0"/>
              <w:autoSpaceDE w:val="0"/>
              <w:autoSpaceDN w:val="0"/>
              <w:adjustRightInd w:val="0"/>
              <w:spacing w:after="120"/>
              <w:jc w:val="both"/>
              <w:rPr>
                <w:sz w:val="22"/>
                <w:szCs w:val="22"/>
                <w:lang w:val="sr-Latn-ME"/>
              </w:rPr>
            </w:pPr>
            <w:r w:rsidRPr="00246D8C">
              <w:rPr>
                <w:sz w:val="22"/>
                <w:szCs w:val="22"/>
                <w:lang w:val="sr-Latn-ME"/>
              </w:rPr>
              <w:t>8,93</w:t>
            </w:r>
          </w:p>
        </w:tc>
        <w:tc>
          <w:tcPr>
            <w:tcW w:w="1829" w:type="dxa"/>
            <w:gridSpan w:val="2"/>
          </w:tcPr>
          <w:p w14:paraId="46048831" w14:textId="77777777" w:rsidR="003E0023" w:rsidRPr="00246D8C" w:rsidRDefault="003E0023" w:rsidP="002D73AD">
            <w:pPr>
              <w:widowControl w:val="0"/>
              <w:autoSpaceDE w:val="0"/>
              <w:autoSpaceDN w:val="0"/>
              <w:adjustRightInd w:val="0"/>
              <w:spacing w:after="120"/>
              <w:jc w:val="both"/>
              <w:rPr>
                <w:sz w:val="22"/>
                <w:szCs w:val="22"/>
                <w:lang w:val="sr-Latn-ME"/>
              </w:rPr>
            </w:pPr>
            <w:r w:rsidRPr="00246D8C">
              <w:rPr>
                <w:sz w:val="22"/>
                <w:szCs w:val="22"/>
                <w:lang w:val="sr-Latn-ME"/>
              </w:rPr>
              <w:t>9,03</w:t>
            </w:r>
          </w:p>
        </w:tc>
        <w:tc>
          <w:tcPr>
            <w:tcW w:w="2038" w:type="dxa"/>
            <w:gridSpan w:val="2"/>
          </w:tcPr>
          <w:p w14:paraId="36E9984B" w14:textId="77777777" w:rsidR="003E0023" w:rsidRPr="00246D8C" w:rsidRDefault="003E0023" w:rsidP="002D73AD">
            <w:pPr>
              <w:widowControl w:val="0"/>
              <w:autoSpaceDE w:val="0"/>
              <w:autoSpaceDN w:val="0"/>
              <w:adjustRightInd w:val="0"/>
              <w:spacing w:after="120"/>
              <w:jc w:val="both"/>
              <w:rPr>
                <w:sz w:val="22"/>
                <w:szCs w:val="22"/>
                <w:lang w:val="sr-Latn-ME"/>
              </w:rPr>
            </w:pPr>
            <w:r w:rsidRPr="00246D8C">
              <w:rPr>
                <w:sz w:val="22"/>
                <w:szCs w:val="22"/>
                <w:lang w:val="sr-Latn-ME"/>
              </w:rPr>
              <w:t>8,87</w:t>
            </w:r>
          </w:p>
        </w:tc>
      </w:tr>
      <w:tr w:rsidR="003D48C9" w:rsidRPr="00246D8C" w14:paraId="3548458A" w14:textId="77777777" w:rsidTr="002D73AD">
        <w:trPr>
          <w:cantSplit/>
        </w:trPr>
        <w:tc>
          <w:tcPr>
            <w:tcW w:w="2926" w:type="dxa"/>
          </w:tcPr>
          <w:p w14:paraId="7E14D09B" w14:textId="2E07BC64" w:rsidR="003E0023" w:rsidRPr="00246D8C" w:rsidRDefault="003E0023" w:rsidP="002D73AD">
            <w:pPr>
              <w:widowControl w:val="0"/>
              <w:autoSpaceDE w:val="0"/>
              <w:autoSpaceDN w:val="0"/>
              <w:adjustRightInd w:val="0"/>
              <w:spacing w:after="120"/>
              <w:jc w:val="both"/>
              <w:rPr>
                <w:sz w:val="22"/>
                <w:szCs w:val="22"/>
                <w:lang w:val="sr-Latn-ME"/>
              </w:rPr>
            </w:pPr>
            <w:r w:rsidRPr="00246D8C">
              <w:rPr>
                <w:sz w:val="22"/>
                <w:szCs w:val="22"/>
                <w:lang w:val="sr-Latn-ME"/>
              </w:rPr>
              <w:t>Promena od početne vrednosti (prilagođena srednja vrednost</w:t>
            </w:r>
            <w:r w:rsidRPr="00246D8C">
              <w:rPr>
                <w:sz w:val="22"/>
                <w:szCs w:val="22"/>
                <w:vertAlign w:val="superscript"/>
                <w:lang w:val="sr-Latn-ME"/>
              </w:rPr>
              <w:t>3</w:t>
            </w:r>
            <w:r w:rsidRPr="00246D8C">
              <w:rPr>
                <w:sz w:val="22"/>
                <w:szCs w:val="22"/>
                <w:lang w:val="sr-Latn-ME"/>
              </w:rPr>
              <w:t>)</w:t>
            </w:r>
          </w:p>
          <w:p w14:paraId="7F93B826" w14:textId="77777777" w:rsidR="003E0023" w:rsidRPr="00246D8C" w:rsidRDefault="003E0023" w:rsidP="002D73AD">
            <w:pPr>
              <w:widowControl w:val="0"/>
              <w:autoSpaceDE w:val="0"/>
              <w:autoSpaceDN w:val="0"/>
              <w:adjustRightInd w:val="0"/>
              <w:spacing w:after="120"/>
              <w:jc w:val="both"/>
              <w:rPr>
                <w:sz w:val="22"/>
                <w:szCs w:val="22"/>
                <w:lang w:val="sr-Latn-ME"/>
              </w:rPr>
            </w:pPr>
            <w:r w:rsidRPr="00246D8C">
              <w:rPr>
                <w:sz w:val="22"/>
                <w:szCs w:val="22"/>
                <w:lang w:val="sr-Latn-ME"/>
              </w:rPr>
              <w:t>(95% Interval pouzdanosti)</w:t>
            </w:r>
          </w:p>
        </w:tc>
        <w:tc>
          <w:tcPr>
            <w:tcW w:w="1854" w:type="dxa"/>
            <w:gridSpan w:val="2"/>
            <w:vAlign w:val="bottom"/>
          </w:tcPr>
          <w:p w14:paraId="610C9518" w14:textId="77777777" w:rsidR="003E0023" w:rsidRPr="00246D8C" w:rsidRDefault="003E0023" w:rsidP="002D73AD">
            <w:pPr>
              <w:widowControl w:val="0"/>
              <w:autoSpaceDE w:val="0"/>
              <w:autoSpaceDN w:val="0"/>
              <w:adjustRightInd w:val="0"/>
              <w:spacing w:after="120"/>
              <w:jc w:val="both"/>
              <w:rPr>
                <w:sz w:val="22"/>
                <w:szCs w:val="22"/>
                <w:lang w:val="sr-Latn-ME"/>
              </w:rPr>
            </w:pPr>
            <w:r w:rsidRPr="00246D8C">
              <w:rPr>
                <w:sz w:val="22"/>
                <w:szCs w:val="22"/>
                <w:lang w:val="sr-Latn-ME"/>
              </w:rPr>
              <w:t>-1,47</w:t>
            </w:r>
            <w:r w:rsidRPr="00246D8C">
              <w:rPr>
                <w:sz w:val="22"/>
                <w:szCs w:val="22"/>
                <w:lang w:val="sr-Latn-ME"/>
              </w:rPr>
              <w:br/>
              <w:t>(-1,62; -1,31)</w:t>
            </w:r>
          </w:p>
        </w:tc>
        <w:tc>
          <w:tcPr>
            <w:tcW w:w="1829" w:type="dxa"/>
            <w:gridSpan w:val="2"/>
            <w:vAlign w:val="bottom"/>
          </w:tcPr>
          <w:p w14:paraId="3AC0AD55" w14:textId="77777777" w:rsidR="003E0023" w:rsidRPr="00246D8C" w:rsidRDefault="003E0023" w:rsidP="002D73AD">
            <w:pPr>
              <w:widowControl w:val="0"/>
              <w:autoSpaceDE w:val="0"/>
              <w:autoSpaceDN w:val="0"/>
              <w:adjustRightInd w:val="0"/>
              <w:spacing w:after="120"/>
              <w:jc w:val="both"/>
              <w:rPr>
                <w:sz w:val="22"/>
                <w:szCs w:val="22"/>
                <w:lang w:val="sr-Latn-ME"/>
              </w:rPr>
            </w:pPr>
            <w:r w:rsidRPr="00246D8C">
              <w:rPr>
                <w:sz w:val="22"/>
                <w:szCs w:val="22"/>
                <w:lang w:val="sr-Latn-ME"/>
              </w:rPr>
              <w:t>-0,88</w:t>
            </w:r>
            <w:r w:rsidRPr="00246D8C">
              <w:rPr>
                <w:sz w:val="22"/>
                <w:szCs w:val="22"/>
                <w:lang w:val="sr-Latn-ME"/>
              </w:rPr>
              <w:br/>
              <w:t>(-1,03; -0,72)</w:t>
            </w:r>
          </w:p>
        </w:tc>
        <w:tc>
          <w:tcPr>
            <w:tcW w:w="2038" w:type="dxa"/>
            <w:gridSpan w:val="2"/>
            <w:vAlign w:val="bottom"/>
          </w:tcPr>
          <w:p w14:paraId="0CC67A23" w14:textId="77777777" w:rsidR="003E0023" w:rsidRPr="00246D8C" w:rsidRDefault="003E0023" w:rsidP="002D73AD">
            <w:pPr>
              <w:widowControl w:val="0"/>
              <w:autoSpaceDE w:val="0"/>
              <w:autoSpaceDN w:val="0"/>
              <w:adjustRightInd w:val="0"/>
              <w:spacing w:after="120"/>
              <w:jc w:val="both"/>
              <w:rPr>
                <w:sz w:val="22"/>
                <w:szCs w:val="22"/>
                <w:lang w:val="sr-Latn-ME"/>
              </w:rPr>
            </w:pPr>
            <w:r w:rsidRPr="00246D8C">
              <w:rPr>
                <w:sz w:val="22"/>
                <w:szCs w:val="22"/>
                <w:lang w:val="sr-Latn-ME"/>
              </w:rPr>
              <w:t>-1,20</w:t>
            </w:r>
            <w:r w:rsidRPr="00246D8C">
              <w:rPr>
                <w:sz w:val="22"/>
                <w:szCs w:val="22"/>
                <w:lang w:val="sr-Latn-ME"/>
              </w:rPr>
              <w:br/>
              <w:t>(1,35, -1,04)</w:t>
            </w:r>
          </w:p>
        </w:tc>
      </w:tr>
      <w:tr w:rsidR="003D48C9" w:rsidRPr="00246D8C" w14:paraId="24D5C6B0" w14:textId="77777777" w:rsidTr="002D73AD">
        <w:trPr>
          <w:cantSplit/>
        </w:trPr>
        <w:tc>
          <w:tcPr>
            <w:tcW w:w="2926" w:type="dxa"/>
          </w:tcPr>
          <w:p w14:paraId="30A09B25" w14:textId="77777777" w:rsidR="003E0023" w:rsidRPr="00246D8C" w:rsidRDefault="003E0023" w:rsidP="002D73AD">
            <w:pPr>
              <w:widowControl w:val="0"/>
              <w:autoSpaceDE w:val="0"/>
              <w:autoSpaceDN w:val="0"/>
              <w:adjustRightInd w:val="0"/>
              <w:spacing w:after="120"/>
              <w:jc w:val="both"/>
              <w:rPr>
                <w:sz w:val="22"/>
                <w:szCs w:val="22"/>
                <w:lang w:val="sr-Latn-ME"/>
              </w:rPr>
            </w:pPr>
            <w:r w:rsidRPr="00246D8C">
              <w:rPr>
                <w:sz w:val="22"/>
                <w:szCs w:val="22"/>
                <w:lang w:val="sr-Latn-ME"/>
              </w:rPr>
              <w:t>Razlika u odnosu na saksagliptin + metformin (prilagođena srednja vrednost</w:t>
            </w:r>
            <w:r w:rsidRPr="00246D8C">
              <w:rPr>
                <w:sz w:val="22"/>
                <w:szCs w:val="22"/>
                <w:vertAlign w:val="superscript"/>
                <w:lang w:val="sr-Latn-ME"/>
              </w:rPr>
              <w:t>3</w:t>
            </w:r>
            <w:r w:rsidRPr="00246D8C">
              <w:rPr>
                <w:sz w:val="22"/>
                <w:szCs w:val="22"/>
                <w:lang w:val="sr-Latn-ME"/>
              </w:rPr>
              <w:t>)</w:t>
            </w:r>
            <w:r w:rsidRPr="00246D8C">
              <w:rPr>
                <w:sz w:val="22"/>
                <w:szCs w:val="22"/>
                <w:lang w:val="sr-Latn-ME"/>
              </w:rPr>
              <w:br/>
              <w:t>(95% CI)</w:t>
            </w:r>
          </w:p>
        </w:tc>
        <w:tc>
          <w:tcPr>
            <w:tcW w:w="1854" w:type="dxa"/>
            <w:gridSpan w:val="2"/>
            <w:vAlign w:val="bottom"/>
          </w:tcPr>
          <w:p w14:paraId="1C6CB662" w14:textId="77777777" w:rsidR="003E0023" w:rsidRPr="00246D8C" w:rsidRDefault="003E0023" w:rsidP="002D73AD">
            <w:pPr>
              <w:widowControl w:val="0"/>
              <w:autoSpaceDE w:val="0"/>
              <w:autoSpaceDN w:val="0"/>
              <w:adjustRightInd w:val="0"/>
              <w:spacing w:after="120"/>
              <w:jc w:val="both"/>
              <w:rPr>
                <w:sz w:val="22"/>
                <w:szCs w:val="22"/>
                <w:lang w:val="sr-Latn-ME"/>
              </w:rPr>
            </w:pPr>
            <w:r w:rsidRPr="00246D8C">
              <w:rPr>
                <w:sz w:val="22"/>
                <w:szCs w:val="22"/>
                <w:lang w:val="sr-Latn-ME"/>
              </w:rPr>
              <w:t>-0,59</w:t>
            </w:r>
            <w:r w:rsidRPr="00246D8C">
              <w:rPr>
                <w:sz w:val="22"/>
                <w:szCs w:val="22"/>
                <w:vertAlign w:val="superscript"/>
                <w:lang w:val="sr-Latn-ME"/>
              </w:rPr>
              <w:t>4</w:t>
            </w:r>
            <w:r w:rsidRPr="00246D8C">
              <w:rPr>
                <w:sz w:val="22"/>
                <w:szCs w:val="22"/>
                <w:lang w:val="sr-Latn-ME"/>
              </w:rPr>
              <w:br/>
              <w:t>(-0,81; -0, 37)</w:t>
            </w:r>
          </w:p>
        </w:tc>
        <w:tc>
          <w:tcPr>
            <w:tcW w:w="1829" w:type="dxa"/>
            <w:gridSpan w:val="2"/>
            <w:vAlign w:val="bottom"/>
          </w:tcPr>
          <w:p w14:paraId="119D7C36" w14:textId="77777777" w:rsidR="003E0023" w:rsidRPr="00246D8C" w:rsidRDefault="003E0023" w:rsidP="002D73AD">
            <w:pPr>
              <w:widowControl w:val="0"/>
              <w:autoSpaceDE w:val="0"/>
              <w:autoSpaceDN w:val="0"/>
              <w:adjustRightInd w:val="0"/>
              <w:spacing w:after="120"/>
              <w:jc w:val="both"/>
              <w:rPr>
                <w:b/>
                <w:sz w:val="22"/>
                <w:szCs w:val="22"/>
                <w:lang w:val="sr-Latn-ME"/>
              </w:rPr>
            </w:pPr>
            <w:r w:rsidRPr="00246D8C">
              <w:rPr>
                <w:b/>
                <w:sz w:val="22"/>
                <w:szCs w:val="22"/>
                <w:lang w:val="sr-Latn-ME"/>
              </w:rPr>
              <w:t>-</w:t>
            </w:r>
          </w:p>
        </w:tc>
        <w:tc>
          <w:tcPr>
            <w:tcW w:w="2038" w:type="dxa"/>
            <w:gridSpan w:val="2"/>
            <w:vAlign w:val="bottom"/>
          </w:tcPr>
          <w:p w14:paraId="61B2D658" w14:textId="77777777" w:rsidR="003E0023" w:rsidRPr="00246D8C" w:rsidRDefault="003E0023" w:rsidP="002D73AD">
            <w:pPr>
              <w:widowControl w:val="0"/>
              <w:autoSpaceDE w:val="0"/>
              <w:autoSpaceDN w:val="0"/>
              <w:adjustRightInd w:val="0"/>
              <w:spacing w:after="120"/>
              <w:jc w:val="both"/>
              <w:rPr>
                <w:b/>
                <w:sz w:val="22"/>
                <w:szCs w:val="22"/>
                <w:lang w:val="sr-Latn-ME"/>
              </w:rPr>
            </w:pPr>
            <w:r w:rsidRPr="00246D8C">
              <w:rPr>
                <w:b/>
                <w:sz w:val="22"/>
                <w:szCs w:val="22"/>
                <w:lang w:val="sr-Latn-ME"/>
              </w:rPr>
              <w:t>-</w:t>
            </w:r>
          </w:p>
        </w:tc>
      </w:tr>
      <w:tr w:rsidR="003E0023" w:rsidRPr="00246D8C" w14:paraId="15B6080C" w14:textId="77777777" w:rsidTr="002D73AD">
        <w:trPr>
          <w:cantSplit/>
        </w:trPr>
        <w:tc>
          <w:tcPr>
            <w:tcW w:w="2926" w:type="dxa"/>
          </w:tcPr>
          <w:p w14:paraId="383403D0" w14:textId="77777777" w:rsidR="003E0023" w:rsidRPr="00246D8C" w:rsidRDefault="003E0023" w:rsidP="002D73AD">
            <w:pPr>
              <w:widowControl w:val="0"/>
              <w:autoSpaceDE w:val="0"/>
              <w:autoSpaceDN w:val="0"/>
              <w:adjustRightInd w:val="0"/>
              <w:spacing w:after="120"/>
              <w:jc w:val="both"/>
              <w:rPr>
                <w:sz w:val="22"/>
                <w:szCs w:val="22"/>
                <w:lang w:val="sr-Latn-ME"/>
              </w:rPr>
            </w:pPr>
            <w:r w:rsidRPr="00246D8C">
              <w:rPr>
                <w:sz w:val="22"/>
                <w:szCs w:val="22"/>
                <w:lang w:val="sr-Latn-ME"/>
              </w:rPr>
              <w:t>Razlika u odnosu na dapagliflozina + metformin (prilagođena srednja vrednost</w:t>
            </w:r>
            <w:r w:rsidRPr="00246D8C">
              <w:rPr>
                <w:sz w:val="22"/>
                <w:szCs w:val="22"/>
                <w:vertAlign w:val="superscript"/>
                <w:lang w:val="sr-Latn-ME"/>
              </w:rPr>
              <w:t>3</w:t>
            </w:r>
            <w:r w:rsidRPr="00246D8C">
              <w:rPr>
                <w:sz w:val="22"/>
                <w:szCs w:val="22"/>
                <w:lang w:val="sr-Latn-ME"/>
              </w:rPr>
              <w:t>)</w:t>
            </w:r>
            <w:r w:rsidRPr="00246D8C">
              <w:rPr>
                <w:sz w:val="22"/>
                <w:szCs w:val="22"/>
                <w:lang w:val="sr-Latn-ME"/>
              </w:rPr>
              <w:br/>
              <w:t>(95% CI)</w:t>
            </w:r>
          </w:p>
        </w:tc>
        <w:tc>
          <w:tcPr>
            <w:tcW w:w="1854" w:type="dxa"/>
            <w:gridSpan w:val="2"/>
            <w:vAlign w:val="bottom"/>
          </w:tcPr>
          <w:p w14:paraId="3E830D0B" w14:textId="77777777" w:rsidR="003E0023" w:rsidRPr="00246D8C" w:rsidRDefault="003E0023" w:rsidP="002D73AD">
            <w:pPr>
              <w:widowControl w:val="0"/>
              <w:autoSpaceDE w:val="0"/>
              <w:autoSpaceDN w:val="0"/>
              <w:adjustRightInd w:val="0"/>
              <w:spacing w:after="120"/>
              <w:jc w:val="both"/>
              <w:rPr>
                <w:sz w:val="22"/>
                <w:szCs w:val="22"/>
                <w:lang w:val="sr-Latn-ME"/>
              </w:rPr>
            </w:pPr>
            <w:r w:rsidRPr="00246D8C">
              <w:rPr>
                <w:sz w:val="22"/>
                <w:szCs w:val="22"/>
                <w:lang w:val="sr-Latn-ME"/>
              </w:rPr>
              <w:t>-0,27</w:t>
            </w:r>
            <w:r w:rsidRPr="00246D8C">
              <w:rPr>
                <w:sz w:val="22"/>
                <w:szCs w:val="22"/>
                <w:vertAlign w:val="superscript"/>
                <w:lang w:val="sr-Latn-ME"/>
              </w:rPr>
              <w:t>5</w:t>
            </w:r>
            <w:r w:rsidRPr="00246D8C">
              <w:rPr>
                <w:sz w:val="22"/>
                <w:szCs w:val="22"/>
                <w:vertAlign w:val="superscript"/>
                <w:lang w:val="sr-Latn-ME"/>
              </w:rPr>
              <w:br/>
            </w:r>
            <w:r w:rsidRPr="00246D8C">
              <w:rPr>
                <w:sz w:val="22"/>
                <w:szCs w:val="22"/>
                <w:lang w:val="sr-Latn-ME"/>
              </w:rPr>
              <w:t>(-0,48; -0,05)</w:t>
            </w:r>
          </w:p>
        </w:tc>
        <w:tc>
          <w:tcPr>
            <w:tcW w:w="1829" w:type="dxa"/>
            <w:gridSpan w:val="2"/>
            <w:vAlign w:val="bottom"/>
          </w:tcPr>
          <w:p w14:paraId="4498279A" w14:textId="77777777" w:rsidR="003E0023" w:rsidRPr="00246D8C" w:rsidRDefault="003E0023" w:rsidP="002D73AD">
            <w:pPr>
              <w:widowControl w:val="0"/>
              <w:autoSpaceDE w:val="0"/>
              <w:autoSpaceDN w:val="0"/>
              <w:adjustRightInd w:val="0"/>
              <w:spacing w:after="120"/>
              <w:jc w:val="both"/>
              <w:rPr>
                <w:b/>
                <w:sz w:val="22"/>
                <w:szCs w:val="22"/>
                <w:lang w:val="sr-Latn-ME"/>
              </w:rPr>
            </w:pPr>
            <w:r w:rsidRPr="00246D8C">
              <w:rPr>
                <w:b/>
                <w:sz w:val="22"/>
                <w:szCs w:val="22"/>
                <w:lang w:val="sr-Latn-ME"/>
              </w:rPr>
              <w:t>-</w:t>
            </w:r>
          </w:p>
        </w:tc>
        <w:tc>
          <w:tcPr>
            <w:tcW w:w="2038" w:type="dxa"/>
            <w:gridSpan w:val="2"/>
            <w:vAlign w:val="bottom"/>
          </w:tcPr>
          <w:p w14:paraId="1C341929" w14:textId="77777777" w:rsidR="003E0023" w:rsidRPr="00246D8C" w:rsidRDefault="003E0023" w:rsidP="002D73AD">
            <w:pPr>
              <w:widowControl w:val="0"/>
              <w:autoSpaceDE w:val="0"/>
              <w:autoSpaceDN w:val="0"/>
              <w:adjustRightInd w:val="0"/>
              <w:spacing w:after="120"/>
              <w:jc w:val="both"/>
              <w:rPr>
                <w:b/>
                <w:sz w:val="22"/>
                <w:szCs w:val="22"/>
                <w:lang w:val="sr-Latn-ME"/>
              </w:rPr>
            </w:pPr>
            <w:r w:rsidRPr="00246D8C">
              <w:rPr>
                <w:b/>
                <w:sz w:val="22"/>
                <w:szCs w:val="22"/>
                <w:lang w:val="sr-Latn-ME"/>
              </w:rPr>
              <w:t>-</w:t>
            </w:r>
          </w:p>
        </w:tc>
      </w:tr>
    </w:tbl>
    <w:p w14:paraId="035F7926" w14:textId="77777777" w:rsidR="003E0023" w:rsidRPr="00246D8C" w:rsidRDefault="003E0023" w:rsidP="006A7219">
      <w:pPr>
        <w:tabs>
          <w:tab w:val="left" w:pos="284"/>
        </w:tabs>
        <w:jc w:val="both"/>
        <w:outlineLvl w:val="0"/>
        <w:rPr>
          <w:b/>
          <w:bCs/>
          <w:sz w:val="22"/>
          <w:szCs w:val="22"/>
          <w:lang w:val="sr-Latn-ME"/>
        </w:rPr>
      </w:pPr>
    </w:p>
    <w:p w14:paraId="00B7508B" w14:textId="77777777" w:rsidR="003E0023" w:rsidRPr="00246D8C" w:rsidRDefault="003E0023" w:rsidP="003C0336">
      <w:pPr>
        <w:tabs>
          <w:tab w:val="left" w:pos="284"/>
        </w:tabs>
        <w:autoSpaceDE w:val="0"/>
        <w:autoSpaceDN w:val="0"/>
        <w:adjustRightInd w:val="0"/>
        <w:spacing w:line="180" w:lineRule="exact"/>
        <w:ind w:left="357"/>
        <w:jc w:val="both"/>
        <w:rPr>
          <w:sz w:val="22"/>
          <w:szCs w:val="22"/>
          <w:lang w:val="sr-Latn-ME"/>
        </w:rPr>
      </w:pPr>
      <w:r w:rsidRPr="00246D8C">
        <w:rPr>
          <w:sz w:val="22"/>
          <w:szCs w:val="22"/>
          <w:vertAlign w:val="superscript"/>
          <w:lang w:val="sr-Latn-ME"/>
        </w:rPr>
        <w:t xml:space="preserve">1 </w:t>
      </w:r>
      <w:r w:rsidRPr="00246D8C">
        <w:rPr>
          <w:sz w:val="22"/>
          <w:szCs w:val="22"/>
          <w:lang w:val="sr-Latn-ME"/>
        </w:rPr>
        <w:t>LRM= analiza longidutalnih ponovoljenih merenja (koristeći vrednosti pre potrebe za hitnom terapijom hiperglikemije)</w:t>
      </w:r>
    </w:p>
    <w:p w14:paraId="13999EA5" w14:textId="450371B9" w:rsidR="003E0023" w:rsidRPr="00246D8C" w:rsidRDefault="003E0023" w:rsidP="00AE24EE">
      <w:pPr>
        <w:tabs>
          <w:tab w:val="left" w:pos="284"/>
        </w:tabs>
        <w:autoSpaceDE w:val="0"/>
        <w:autoSpaceDN w:val="0"/>
        <w:adjustRightInd w:val="0"/>
        <w:spacing w:line="180" w:lineRule="exact"/>
        <w:ind w:left="357"/>
        <w:jc w:val="both"/>
        <w:rPr>
          <w:sz w:val="22"/>
          <w:szCs w:val="22"/>
          <w:lang w:val="sr-Latn-ME"/>
        </w:rPr>
      </w:pPr>
      <w:r w:rsidRPr="00246D8C">
        <w:rPr>
          <w:sz w:val="22"/>
          <w:szCs w:val="22"/>
          <w:vertAlign w:val="superscript"/>
          <w:lang w:val="sr-Latn-ME"/>
        </w:rPr>
        <w:t xml:space="preserve">2 </w:t>
      </w:r>
      <w:r w:rsidRPr="00246D8C">
        <w:rPr>
          <w:sz w:val="22"/>
          <w:szCs w:val="22"/>
          <w:lang w:val="sr-Latn-ME"/>
        </w:rPr>
        <w:t>Randomizovani i lečeni pacijenti kod kojih je merena efikasnost na početku ispitivanja i najmanje još jednom</w:t>
      </w:r>
      <w:r w:rsidR="006702E5" w:rsidRPr="00246D8C">
        <w:rPr>
          <w:sz w:val="22"/>
          <w:szCs w:val="22"/>
          <w:lang w:val="sr-Latn-ME"/>
        </w:rPr>
        <w:t xml:space="preserve"> </w:t>
      </w:r>
      <w:r w:rsidRPr="00246D8C">
        <w:rPr>
          <w:sz w:val="22"/>
          <w:szCs w:val="22"/>
          <w:lang w:val="sr-Latn-ME"/>
        </w:rPr>
        <w:t>nakon početka ispitivanja</w:t>
      </w:r>
    </w:p>
    <w:p w14:paraId="0767D1A0" w14:textId="77777777" w:rsidR="003E0023" w:rsidRPr="00246D8C" w:rsidRDefault="003E0023">
      <w:pPr>
        <w:tabs>
          <w:tab w:val="left" w:pos="284"/>
        </w:tabs>
        <w:autoSpaceDE w:val="0"/>
        <w:autoSpaceDN w:val="0"/>
        <w:adjustRightInd w:val="0"/>
        <w:spacing w:line="180" w:lineRule="exact"/>
        <w:ind w:left="357"/>
        <w:jc w:val="both"/>
        <w:rPr>
          <w:sz w:val="22"/>
          <w:szCs w:val="22"/>
          <w:lang w:val="sr-Latn-ME"/>
        </w:rPr>
      </w:pPr>
      <w:r w:rsidRPr="00246D8C">
        <w:rPr>
          <w:sz w:val="22"/>
          <w:szCs w:val="22"/>
          <w:vertAlign w:val="superscript"/>
          <w:lang w:val="sr-Latn-ME"/>
        </w:rPr>
        <w:t xml:space="preserve"> 3 </w:t>
      </w:r>
      <w:r w:rsidRPr="00246D8C">
        <w:rPr>
          <w:sz w:val="22"/>
          <w:szCs w:val="22"/>
          <w:lang w:val="sr-Latn-ME"/>
        </w:rPr>
        <w:t>Srednja vrednost dobijena metodom najmanjih kvadrata prilagođena za početnu vrednost</w:t>
      </w:r>
    </w:p>
    <w:p w14:paraId="34E19026" w14:textId="53398ECF" w:rsidR="003E0023" w:rsidRPr="00246D8C" w:rsidRDefault="006702E5">
      <w:pPr>
        <w:tabs>
          <w:tab w:val="left" w:pos="284"/>
        </w:tabs>
        <w:autoSpaceDE w:val="0"/>
        <w:autoSpaceDN w:val="0"/>
        <w:adjustRightInd w:val="0"/>
        <w:spacing w:line="180" w:lineRule="exact"/>
        <w:jc w:val="both"/>
        <w:rPr>
          <w:sz w:val="22"/>
          <w:szCs w:val="22"/>
          <w:lang w:val="sr-Latn-ME"/>
        </w:rPr>
      </w:pPr>
      <w:r w:rsidRPr="00246D8C">
        <w:rPr>
          <w:sz w:val="22"/>
          <w:szCs w:val="22"/>
          <w:lang w:val="sr-Latn-ME"/>
        </w:rPr>
        <w:t xml:space="preserve">   </w:t>
      </w:r>
      <w:r w:rsidR="003E0023" w:rsidRPr="00246D8C">
        <w:rPr>
          <w:sz w:val="22"/>
          <w:szCs w:val="22"/>
          <w:lang w:val="sr-Latn-ME"/>
        </w:rPr>
        <w:t xml:space="preserve"> </w:t>
      </w:r>
      <w:r w:rsidR="003E0023" w:rsidRPr="00246D8C">
        <w:rPr>
          <w:sz w:val="22"/>
          <w:szCs w:val="22"/>
          <w:vertAlign w:val="superscript"/>
          <w:lang w:val="sr-Latn-ME"/>
        </w:rPr>
        <w:t xml:space="preserve">4 </w:t>
      </w:r>
      <w:r w:rsidR="003E0023" w:rsidRPr="00246D8C">
        <w:rPr>
          <w:sz w:val="22"/>
          <w:szCs w:val="22"/>
          <w:lang w:val="sr-Latn-ME"/>
        </w:rPr>
        <w:t>p-vrednost &lt; 0,0001</w:t>
      </w:r>
    </w:p>
    <w:p w14:paraId="4C63D9A8" w14:textId="77777777" w:rsidR="003E0023" w:rsidRPr="00246D8C" w:rsidRDefault="003E0023">
      <w:pPr>
        <w:tabs>
          <w:tab w:val="left" w:pos="284"/>
        </w:tabs>
        <w:autoSpaceDE w:val="0"/>
        <w:autoSpaceDN w:val="0"/>
        <w:adjustRightInd w:val="0"/>
        <w:spacing w:line="180" w:lineRule="exact"/>
        <w:ind w:left="357"/>
        <w:jc w:val="both"/>
        <w:rPr>
          <w:sz w:val="22"/>
          <w:szCs w:val="22"/>
          <w:lang w:val="sr-Latn-ME"/>
        </w:rPr>
      </w:pPr>
      <w:r w:rsidRPr="00246D8C">
        <w:rPr>
          <w:sz w:val="22"/>
          <w:szCs w:val="22"/>
          <w:vertAlign w:val="superscript"/>
          <w:lang w:val="sr-Latn-ME"/>
        </w:rPr>
        <w:t>5</w:t>
      </w:r>
      <w:r w:rsidRPr="00246D8C">
        <w:rPr>
          <w:sz w:val="22"/>
          <w:szCs w:val="22"/>
          <w:lang w:val="sr-Latn-ME"/>
        </w:rPr>
        <w:t xml:space="preserve"> p-vrednost= 0,0166</w:t>
      </w:r>
    </w:p>
    <w:p w14:paraId="2DA1EE0B" w14:textId="77777777" w:rsidR="003E0023" w:rsidRPr="00246D8C" w:rsidRDefault="003E0023">
      <w:pPr>
        <w:tabs>
          <w:tab w:val="left" w:pos="284"/>
        </w:tabs>
        <w:autoSpaceDE w:val="0"/>
        <w:autoSpaceDN w:val="0"/>
        <w:adjustRightInd w:val="0"/>
        <w:spacing w:line="180" w:lineRule="exact"/>
        <w:ind w:left="357"/>
        <w:jc w:val="both"/>
        <w:rPr>
          <w:sz w:val="22"/>
          <w:szCs w:val="22"/>
          <w:lang w:val="sr-Latn-ME"/>
        </w:rPr>
      </w:pPr>
    </w:p>
    <w:p w14:paraId="3835DC49" w14:textId="77777777" w:rsidR="003E0023" w:rsidRPr="00246D8C" w:rsidRDefault="003E0023" w:rsidP="002D73AD">
      <w:pPr>
        <w:tabs>
          <w:tab w:val="left" w:pos="284"/>
        </w:tabs>
        <w:autoSpaceDE w:val="0"/>
        <w:autoSpaceDN w:val="0"/>
        <w:adjustRightInd w:val="0"/>
        <w:spacing w:line="180" w:lineRule="exact"/>
        <w:jc w:val="both"/>
        <w:rPr>
          <w:i/>
          <w:sz w:val="22"/>
          <w:szCs w:val="22"/>
          <w:lang w:val="sr-Latn-ME"/>
        </w:rPr>
      </w:pPr>
      <w:r w:rsidRPr="00246D8C">
        <w:rPr>
          <w:i/>
          <w:sz w:val="22"/>
          <w:szCs w:val="22"/>
          <w:lang w:val="sr-Latn-ME"/>
        </w:rPr>
        <w:t>Procenat pacijenta koji su postigli HbA1c &lt;7%</w:t>
      </w:r>
    </w:p>
    <w:p w14:paraId="0550B085" w14:textId="77777777" w:rsidR="003E0023" w:rsidRPr="00246D8C" w:rsidRDefault="003E0023" w:rsidP="002D73AD">
      <w:pPr>
        <w:tabs>
          <w:tab w:val="left" w:pos="284"/>
        </w:tabs>
        <w:autoSpaceDE w:val="0"/>
        <w:autoSpaceDN w:val="0"/>
        <w:adjustRightInd w:val="0"/>
        <w:spacing w:line="180" w:lineRule="exact"/>
        <w:jc w:val="both"/>
        <w:rPr>
          <w:sz w:val="22"/>
          <w:szCs w:val="22"/>
          <w:lang w:val="sr-Latn-ME"/>
        </w:rPr>
      </w:pPr>
      <w:r w:rsidRPr="00246D8C">
        <w:rPr>
          <w:sz w:val="22"/>
          <w:szCs w:val="22"/>
          <w:lang w:val="sr-Latn-ME"/>
        </w:rPr>
        <w:t xml:space="preserve">U kombinovanoj grupi sa saksagliptinom i dapagliflozinom, 41,4% (95% CI [34,5; 48,2]) pacijenti su postigli nivo HbA1c manji od 7% u poređenju sa 18,3% (95% CI [13,0; 23,5]) pacijenata u grupi koja je primala saksagliptin i 22,2% (95% CI [16,1; 28,3]) pacijenata u grupi koja je primala dapagliflozin. </w:t>
      </w:r>
    </w:p>
    <w:p w14:paraId="0390832F" w14:textId="77777777" w:rsidR="003E0023" w:rsidRPr="00246D8C" w:rsidRDefault="003E0023" w:rsidP="00AE24EE">
      <w:pPr>
        <w:tabs>
          <w:tab w:val="left" w:pos="284"/>
        </w:tabs>
        <w:autoSpaceDE w:val="0"/>
        <w:autoSpaceDN w:val="0"/>
        <w:adjustRightInd w:val="0"/>
        <w:spacing w:line="180" w:lineRule="exact"/>
        <w:ind w:left="357"/>
        <w:jc w:val="both"/>
        <w:rPr>
          <w:sz w:val="22"/>
          <w:szCs w:val="22"/>
          <w:lang w:val="sr-Latn-ME"/>
        </w:rPr>
      </w:pPr>
    </w:p>
    <w:p w14:paraId="5A0563A3" w14:textId="77777777" w:rsidR="003E0023" w:rsidRPr="00246D8C" w:rsidRDefault="003E0023" w:rsidP="002D73AD">
      <w:pPr>
        <w:autoSpaceDE w:val="0"/>
        <w:autoSpaceDN w:val="0"/>
        <w:adjustRightInd w:val="0"/>
        <w:jc w:val="both"/>
        <w:rPr>
          <w:bCs/>
          <w:i/>
          <w:iCs/>
          <w:sz w:val="22"/>
          <w:szCs w:val="22"/>
          <w:lang w:val="sr-Latn-ME"/>
        </w:rPr>
      </w:pPr>
      <w:r w:rsidRPr="00246D8C">
        <w:rPr>
          <w:bCs/>
          <w:i/>
          <w:iCs/>
          <w:sz w:val="22"/>
          <w:szCs w:val="22"/>
          <w:lang w:val="sr-Latn-ME"/>
        </w:rPr>
        <w:t>Pacijenti sa oštećenjem bubrega</w:t>
      </w:r>
    </w:p>
    <w:p w14:paraId="29E639E8" w14:textId="6228872B" w:rsidR="003E0023" w:rsidRPr="00246D8C" w:rsidRDefault="003E0023" w:rsidP="002D73AD">
      <w:pPr>
        <w:jc w:val="both"/>
        <w:outlineLvl w:val="0"/>
        <w:rPr>
          <w:sz w:val="22"/>
          <w:szCs w:val="22"/>
          <w:lang w:val="sr-Latn-ME"/>
        </w:rPr>
      </w:pPr>
      <w:r w:rsidRPr="00246D8C">
        <w:rPr>
          <w:sz w:val="22"/>
          <w:szCs w:val="22"/>
          <w:lang w:val="sr-Latn-ME"/>
        </w:rPr>
        <w:t>Sprovedena je jedna 12-ned</w:t>
      </w:r>
      <w:r w:rsidR="003C0336" w:rsidRPr="00246D8C">
        <w:rPr>
          <w:sz w:val="22"/>
          <w:szCs w:val="22"/>
          <w:lang w:val="sr-Latn-ME"/>
        </w:rPr>
        <w:t>j</w:t>
      </w:r>
      <w:r w:rsidRPr="00246D8C">
        <w:rPr>
          <w:sz w:val="22"/>
          <w:szCs w:val="22"/>
          <w:lang w:val="sr-Latn-ME"/>
        </w:rPr>
        <w:t>eljna, multicentrična, randomizovana, dvostruko sl</w:t>
      </w:r>
      <w:r w:rsidR="003C0336" w:rsidRPr="00246D8C">
        <w:rPr>
          <w:sz w:val="22"/>
          <w:szCs w:val="22"/>
          <w:lang w:val="sr-Latn-ME"/>
        </w:rPr>
        <w:t>ij</w:t>
      </w:r>
      <w:r w:rsidRPr="00246D8C">
        <w:rPr>
          <w:sz w:val="22"/>
          <w:szCs w:val="22"/>
          <w:lang w:val="sr-Latn-ME"/>
        </w:rPr>
        <w:t>epa studija sa placebo kontrolom kako bi se procenilo terapijsko dejstvo saksagliptina u dozi od 2,5 mg jednom na dan u poređenju sa placebom kod 170 pacijenata (85 pacijenata je dobijalo saksagliptin a 85 placebo) sa dijabetesom tipa 2 (HbA 1c 7,0-11 %) i oštećenjem bubrega (um</w:t>
      </w:r>
      <w:r w:rsidR="00D82F38" w:rsidRPr="00246D8C">
        <w:rPr>
          <w:sz w:val="22"/>
          <w:szCs w:val="22"/>
          <w:lang w:val="sr-Latn-ME"/>
        </w:rPr>
        <w:t>j</w:t>
      </w:r>
      <w:r w:rsidRPr="00246D8C">
        <w:rPr>
          <w:sz w:val="22"/>
          <w:szCs w:val="22"/>
          <w:lang w:val="sr-Latn-ME"/>
        </w:rPr>
        <w:t>ereno [n=90]; teško [n=41]; ili ESRD [n=39]). U ovoj studiji je 98,2% pacijenata primalo drugu antihiperglikemijsku terapiju (75,3% insulin a 31,2% oralni antihiperglikemijski l</w:t>
      </w:r>
      <w:r w:rsidR="00D82F38" w:rsidRPr="00246D8C">
        <w:rPr>
          <w:sz w:val="22"/>
          <w:szCs w:val="22"/>
          <w:lang w:val="sr-Latn-ME"/>
        </w:rPr>
        <w:t>ij</w:t>
      </w:r>
      <w:r w:rsidRPr="00246D8C">
        <w:rPr>
          <w:sz w:val="22"/>
          <w:szCs w:val="22"/>
          <w:lang w:val="sr-Latn-ME"/>
        </w:rPr>
        <w:t>ek, neki i jedno i drugo). Saksagliptin je značajno snižavao HbAlc u poređenju sa placebom; promena HbAlc je kod saksagliptina bila -0,9% u 12. nedelji (promena HbAlc od -0,4% kod placeba). Poboljšanja HbAlc nakon tretmana saksagliptinom u dozi od 2,5 mg su se održala do 52. nedelje, međutim broj pacijenata koji je završio 52. nedelju bez modifikacije druge antihiperglikemijske terapije bio je mali (26 ispitanika u grupi koja je dobijala</w:t>
      </w:r>
      <w:r w:rsidR="006702E5" w:rsidRPr="00246D8C">
        <w:rPr>
          <w:sz w:val="22"/>
          <w:szCs w:val="22"/>
          <w:lang w:val="sr-Latn-ME"/>
        </w:rPr>
        <w:t xml:space="preserve"> </w:t>
      </w:r>
      <w:r w:rsidRPr="00246D8C">
        <w:rPr>
          <w:sz w:val="22"/>
          <w:szCs w:val="22"/>
          <w:lang w:val="sr-Latn-ME"/>
        </w:rPr>
        <w:t>saksagliptin prema 34 ispitanika u grupi koja je dobijala placebo). Incidenca potvrđenih hipoglikemijskih događaja bila je nešto viša u grupi koja je dobijala saksagliptin (9,4%) u odnosu na grupu koja je dobijala placebo (4,7%) mada se broj ispitanika sa bilo kojim hipoglikemijskim događajem nije razlikovao između terapijskih grupa. Nije bilo nikakvih neželjenih dejstava na bubrežnu funkciju što je utvrđeno na osnovu procenjene brzine glomerularne filtracije i klirensa kreatinina u 12. ned</w:t>
      </w:r>
      <w:r w:rsidR="00D82F38" w:rsidRPr="00246D8C">
        <w:rPr>
          <w:sz w:val="22"/>
          <w:szCs w:val="22"/>
          <w:lang w:val="sr-Latn-ME"/>
        </w:rPr>
        <w:t>j</w:t>
      </w:r>
      <w:r w:rsidRPr="00246D8C">
        <w:rPr>
          <w:sz w:val="22"/>
          <w:szCs w:val="22"/>
          <w:lang w:val="sr-Latn-ME"/>
        </w:rPr>
        <w:t>elji i 52. ned</w:t>
      </w:r>
      <w:r w:rsidR="00D82F38" w:rsidRPr="00246D8C">
        <w:rPr>
          <w:sz w:val="22"/>
          <w:szCs w:val="22"/>
          <w:lang w:val="sr-Latn-ME"/>
        </w:rPr>
        <w:t>j</w:t>
      </w:r>
      <w:r w:rsidRPr="00246D8C">
        <w:rPr>
          <w:sz w:val="22"/>
          <w:szCs w:val="22"/>
          <w:lang w:val="sr-Latn-ME"/>
        </w:rPr>
        <w:t>elji.</w:t>
      </w:r>
    </w:p>
    <w:p w14:paraId="492ACBE4" w14:textId="77777777" w:rsidR="00D82F38" w:rsidRPr="00246D8C" w:rsidRDefault="00D82F38" w:rsidP="002D73AD">
      <w:pPr>
        <w:jc w:val="both"/>
        <w:outlineLvl w:val="0"/>
        <w:rPr>
          <w:sz w:val="22"/>
          <w:szCs w:val="22"/>
          <w:lang w:val="sr-Latn-ME"/>
        </w:rPr>
      </w:pPr>
    </w:p>
    <w:p w14:paraId="6D9D1AFC" w14:textId="375ED7D1" w:rsidR="003E0023" w:rsidRPr="00246D8C" w:rsidRDefault="003E0023" w:rsidP="002D73AD">
      <w:pPr>
        <w:tabs>
          <w:tab w:val="left" w:pos="284"/>
        </w:tabs>
        <w:jc w:val="both"/>
        <w:rPr>
          <w:i/>
          <w:sz w:val="22"/>
          <w:szCs w:val="22"/>
          <w:lang w:val="sr-Latn-ME"/>
        </w:rPr>
      </w:pPr>
      <w:r w:rsidRPr="00246D8C">
        <w:rPr>
          <w:i/>
          <w:sz w:val="22"/>
          <w:szCs w:val="22"/>
          <w:lang w:val="sr-Latn-ME"/>
        </w:rPr>
        <w:t>Studija SAVOR (Saksagliptin proc</w:t>
      </w:r>
      <w:r w:rsidR="00D82F38" w:rsidRPr="00246D8C">
        <w:rPr>
          <w:i/>
          <w:sz w:val="22"/>
          <w:szCs w:val="22"/>
          <w:lang w:val="sr-Latn-ME"/>
        </w:rPr>
        <w:t>j</w:t>
      </w:r>
      <w:r w:rsidRPr="00246D8C">
        <w:rPr>
          <w:i/>
          <w:sz w:val="22"/>
          <w:szCs w:val="22"/>
          <w:lang w:val="sr-Latn-ME"/>
        </w:rPr>
        <w:t xml:space="preserve">ena vaskularnih ishoda zabilježenih kod pacijenata sa dijabetes melitusom – tromboliza u infarktu miokarda) </w:t>
      </w:r>
    </w:p>
    <w:p w14:paraId="3F212172" w14:textId="77777777" w:rsidR="003E0023" w:rsidRPr="00246D8C" w:rsidRDefault="003E0023" w:rsidP="002D73AD">
      <w:pPr>
        <w:tabs>
          <w:tab w:val="left" w:pos="284"/>
        </w:tabs>
        <w:jc w:val="both"/>
        <w:rPr>
          <w:i/>
          <w:sz w:val="22"/>
          <w:szCs w:val="22"/>
          <w:lang w:val="sr-Latn-ME"/>
        </w:rPr>
      </w:pPr>
    </w:p>
    <w:p w14:paraId="750CDB77" w14:textId="69C925DD" w:rsidR="003E0023" w:rsidRPr="00246D8C" w:rsidRDefault="003E0023" w:rsidP="006A7219">
      <w:pPr>
        <w:tabs>
          <w:tab w:val="left" w:pos="284"/>
        </w:tabs>
        <w:jc w:val="both"/>
        <w:rPr>
          <w:sz w:val="22"/>
          <w:szCs w:val="22"/>
          <w:lang w:val="sr-Latn-ME"/>
        </w:rPr>
      </w:pPr>
      <w:r w:rsidRPr="00246D8C">
        <w:rPr>
          <w:sz w:val="22"/>
          <w:szCs w:val="22"/>
          <w:lang w:val="sr-Latn-ME"/>
        </w:rPr>
        <w:t>Studija SAVOR odnosila se na kardiovaskularne ishode kod 16,492 pacijenata sa HbA1c ≥6.5% i &lt;12% (12959 sa dijagnostikovanom kardiovaskularnom (KV) bolešću; 3533 samo sa višestrukim faktorima rizika) koji su randomizovani na saksagliptin (n=8280) ili placebo (n=8212) i dodati na standardnu terapiju HbA1c i</w:t>
      </w:r>
      <w:r w:rsidR="006702E5" w:rsidRPr="00246D8C">
        <w:rPr>
          <w:sz w:val="22"/>
          <w:szCs w:val="22"/>
          <w:lang w:val="sr-Latn-ME"/>
        </w:rPr>
        <w:t xml:space="preserve"> </w:t>
      </w:r>
      <w:r w:rsidRPr="00246D8C">
        <w:rPr>
          <w:sz w:val="22"/>
          <w:szCs w:val="22"/>
          <w:lang w:val="sr-Latn-ME"/>
        </w:rPr>
        <w:t>KV faktore rizika. Populacija studije uključivala je starije od</w:t>
      </w:r>
      <w:r w:rsidR="006702E5" w:rsidRPr="00246D8C">
        <w:rPr>
          <w:sz w:val="22"/>
          <w:szCs w:val="22"/>
          <w:lang w:val="sr-Latn-ME"/>
        </w:rPr>
        <w:t xml:space="preserve"> </w:t>
      </w:r>
      <w:r w:rsidRPr="00246D8C">
        <w:rPr>
          <w:sz w:val="22"/>
          <w:szCs w:val="22"/>
          <w:lang w:val="sr-Latn-ME"/>
        </w:rPr>
        <w:t>≥65 godina (n=8561) i ≥ 75 godina</w:t>
      </w:r>
      <w:r w:rsidR="006702E5" w:rsidRPr="00246D8C">
        <w:rPr>
          <w:sz w:val="22"/>
          <w:szCs w:val="22"/>
          <w:lang w:val="sr-Latn-ME"/>
        </w:rPr>
        <w:t xml:space="preserve"> </w:t>
      </w:r>
      <w:r w:rsidRPr="00246D8C">
        <w:rPr>
          <w:sz w:val="22"/>
          <w:szCs w:val="22"/>
          <w:lang w:val="sr-Latn-ME"/>
        </w:rPr>
        <w:t xml:space="preserve">(n=2330), sa normalnim stanjem burega ili blagom insuficijencijom bubrega (n=13,916) kao i umjerenom (n=2240) do teškom (n=336) insuficijencijom bubrega. </w:t>
      </w:r>
    </w:p>
    <w:p w14:paraId="094C6842" w14:textId="77777777" w:rsidR="003E0023" w:rsidRPr="00246D8C" w:rsidRDefault="003E0023" w:rsidP="003C0336">
      <w:pPr>
        <w:tabs>
          <w:tab w:val="left" w:pos="284"/>
        </w:tabs>
        <w:jc w:val="both"/>
        <w:rPr>
          <w:sz w:val="22"/>
          <w:szCs w:val="22"/>
          <w:lang w:val="sr-Latn-ME"/>
        </w:rPr>
      </w:pPr>
    </w:p>
    <w:p w14:paraId="5348618D" w14:textId="7A3AE69E" w:rsidR="003E0023" w:rsidRPr="00246D8C" w:rsidRDefault="003E0023" w:rsidP="00AE24EE">
      <w:pPr>
        <w:tabs>
          <w:tab w:val="left" w:pos="284"/>
        </w:tabs>
        <w:jc w:val="both"/>
        <w:rPr>
          <w:sz w:val="22"/>
          <w:szCs w:val="22"/>
          <w:lang w:val="sr-Latn-ME"/>
        </w:rPr>
      </w:pPr>
      <w:r w:rsidRPr="00246D8C">
        <w:rPr>
          <w:sz w:val="22"/>
          <w:szCs w:val="22"/>
          <w:lang w:val="sr-Latn-ME"/>
        </w:rPr>
        <w:t xml:space="preserve">Primarni </w:t>
      </w:r>
      <w:r w:rsidR="00D82F38" w:rsidRPr="00246D8C">
        <w:rPr>
          <w:sz w:val="22"/>
          <w:szCs w:val="22"/>
          <w:lang w:val="sr-Latn-ME"/>
        </w:rPr>
        <w:t>parametar praćenja</w:t>
      </w:r>
      <w:r w:rsidRPr="00246D8C">
        <w:rPr>
          <w:sz w:val="22"/>
          <w:szCs w:val="22"/>
          <w:lang w:val="sr-Latn-ME"/>
        </w:rPr>
        <w:t>, bezbjednosti (neinferiorni) i efikasnosti (superiorni)</w:t>
      </w:r>
      <w:r w:rsidR="00D82F38" w:rsidRPr="00246D8C">
        <w:rPr>
          <w:sz w:val="22"/>
          <w:szCs w:val="22"/>
          <w:lang w:val="sr-Latn-ME"/>
        </w:rPr>
        <w:t xml:space="preserve"> bio je kompozitni parametar praćenja i</w:t>
      </w:r>
      <w:r w:rsidRPr="00246D8C">
        <w:rPr>
          <w:sz w:val="22"/>
          <w:szCs w:val="22"/>
          <w:lang w:val="sr-Latn-ME"/>
        </w:rPr>
        <w:t xml:space="preserve"> odnosio se na vrijeme do prve pojave bilo kog od sljedećih većih neželjenih KV događaja</w:t>
      </w:r>
      <w:r w:rsidR="00D82F38" w:rsidRPr="00246D8C">
        <w:rPr>
          <w:sz w:val="22"/>
          <w:szCs w:val="22"/>
          <w:lang w:val="sr-Latn-ME"/>
        </w:rPr>
        <w:t xml:space="preserve"> (engl. </w:t>
      </w:r>
      <w:r w:rsidR="00D82F38" w:rsidRPr="00246D8C">
        <w:rPr>
          <w:i/>
          <w:sz w:val="22"/>
          <w:szCs w:val="22"/>
          <w:lang w:val="sr-Latn-ME"/>
        </w:rPr>
        <w:t>major adverse cardiac events</w:t>
      </w:r>
      <w:r w:rsidR="00D82F38" w:rsidRPr="00246D8C">
        <w:rPr>
          <w:sz w:val="22"/>
          <w:szCs w:val="22"/>
          <w:lang w:val="sr-Latn-ME"/>
        </w:rPr>
        <w:t>, MACE):</w:t>
      </w:r>
      <w:r w:rsidRPr="00246D8C">
        <w:rPr>
          <w:sz w:val="22"/>
          <w:szCs w:val="22"/>
          <w:lang w:val="sr-Latn-ME"/>
        </w:rPr>
        <w:t xml:space="preserve"> KV smrt, nefatalni infarkt miokarda ili nefatalni ishemijski šlog.</w:t>
      </w:r>
    </w:p>
    <w:p w14:paraId="1AD33332" w14:textId="77777777" w:rsidR="003E0023" w:rsidRPr="00246D8C" w:rsidRDefault="003E0023">
      <w:pPr>
        <w:tabs>
          <w:tab w:val="left" w:pos="284"/>
        </w:tabs>
        <w:jc w:val="both"/>
        <w:rPr>
          <w:sz w:val="22"/>
          <w:szCs w:val="22"/>
          <w:lang w:val="sr-Latn-ME"/>
        </w:rPr>
      </w:pPr>
    </w:p>
    <w:p w14:paraId="335FB7E4" w14:textId="40AE3B9A" w:rsidR="003E0023" w:rsidRPr="00246D8C" w:rsidRDefault="003E0023">
      <w:pPr>
        <w:tabs>
          <w:tab w:val="left" w:pos="284"/>
        </w:tabs>
        <w:jc w:val="both"/>
        <w:rPr>
          <w:sz w:val="22"/>
          <w:szCs w:val="22"/>
          <w:lang w:val="sr-Latn-ME"/>
        </w:rPr>
      </w:pPr>
      <w:r w:rsidRPr="00246D8C">
        <w:rPr>
          <w:sz w:val="22"/>
          <w:szCs w:val="22"/>
          <w:lang w:val="sr-Latn-ME"/>
        </w:rPr>
        <w:t>Posl</w:t>
      </w:r>
      <w:r w:rsidR="00D82F38" w:rsidRPr="00246D8C">
        <w:rPr>
          <w:sz w:val="22"/>
          <w:szCs w:val="22"/>
          <w:lang w:val="sr-Latn-ME"/>
        </w:rPr>
        <w:t>ij</w:t>
      </w:r>
      <w:r w:rsidRPr="00246D8C">
        <w:rPr>
          <w:sz w:val="22"/>
          <w:szCs w:val="22"/>
          <w:lang w:val="sr-Latn-ME"/>
        </w:rPr>
        <w:t xml:space="preserve">e srednje vrijednosti praćenja od 2 godine, studija je postigla primarni </w:t>
      </w:r>
      <w:r w:rsidR="00D82F38" w:rsidRPr="00246D8C">
        <w:rPr>
          <w:sz w:val="22"/>
          <w:szCs w:val="22"/>
          <w:lang w:val="sr-Latn-ME"/>
        </w:rPr>
        <w:t>parametar praćenja</w:t>
      </w:r>
      <w:r w:rsidRPr="00246D8C">
        <w:rPr>
          <w:sz w:val="22"/>
          <w:szCs w:val="22"/>
          <w:lang w:val="sr-Latn-ME"/>
        </w:rPr>
        <w:t xml:space="preserve"> bezbjednosti pokazujući da saksagliptin ne povjećava kardiovaskularni rizik kod pacijenata sa dijabetesom tipa 2 u poređenju sa placebom kada se doda već primjenjenoj terapiji.</w:t>
      </w:r>
    </w:p>
    <w:p w14:paraId="7A1E7E8A" w14:textId="77777777" w:rsidR="003E0023" w:rsidRPr="00246D8C" w:rsidRDefault="003E0023">
      <w:pPr>
        <w:tabs>
          <w:tab w:val="left" w:pos="284"/>
        </w:tabs>
        <w:jc w:val="both"/>
        <w:rPr>
          <w:sz w:val="22"/>
          <w:szCs w:val="22"/>
          <w:lang w:val="sr-Latn-ME"/>
        </w:rPr>
      </w:pPr>
    </w:p>
    <w:p w14:paraId="7EE976BB" w14:textId="773154B0" w:rsidR="003E0023" w:rsidRPr="00246D8C" w:rsidRDefault="003E0023">
      <w:pPr>
        <w:tabs>
          <w:tab w:val="left" w:pos="284"/>
        </w:tabs>
        <w:jc w:val="both"/>
        <w:rPr>
          <w:sz w:val="22"/>
          <w:szCs w:val="22"/>
          <w:lang w:val="sr-Latn-ME"/>
        </w:rPr>
      </w:pPr>
      <w:r w:rsidRPr="00246D8C">
        <w:rPr>
          <w:sz w:val="22"/>
          <w:szCs w:val="22"/>
          <w:lang w:val="sr-Latn-ME"/>
        </w:rPr>
        <w:t>Nije uočena korist sa aspekta većih neželjenih KV događaja (MACE) i smrtnosti usl</w:t>
      </w:r>
      <w:r w:rsidR="00D82F38" w:rsidRPr="00246D8C">
        <w:rPr>
          <w:sz w:val="22"/>
          <w:szCs w:val="22"/>
          <w:lang w:val="sr-Latn-ME"/>
        </w:rPr>
        <w:t>j</w:t>
      </w:r>
      <w:r w:rsidRPr="00246D8C">
        <w:rPr>
          <w:sz w:val="22"/>
          <w:szCs w:val="22"/>
          <w:lang w:val="sr-Latn-ME"/>
        </w:rPr>
        <w:t>ed bilo kojeg uzroka.</w:t>
      </w:r>
    </w:p>
    <w:p w14:paraId="5D7CD4D9" w14:textId="77777777" w:rsidR="003E0023" w:rsidRPr="00246D8C" w:rsidRDefault="003E0023">
      <w:pPr>
        <w:tabs>
          <w:tab w:val="left" w:pos="284"/>
        </w:tabs>
        <w:jc w:val="both"/>
        <w:rPr>
          <w:strike/>
          <w:sz w:val="22"/>
          <w:szCs w:val="22"/>
          <w:lang w:val="sr-Latn-ME"/>
        </w:rPr>
      </w:pPr>
    </w:p>
    <w:p w14:paraId="1533D161" w14:textId="3A8AEAA9" w:rsidR="003E0023" w:rsidRPr="00246D8C" w:rsidRDefault="003E0023">
      <w:pPr>
        <w:tabs>
          <w:tab w:val="left" w:pos="284"/>
        </w:tabs>
        <w:jc w:val="both"/>
        <w:rPr>
          <w:sz w:val="22"/>
          <w:szCs w:val="22"/>
          <w:lang w:val="sr-Latn-ME"/>
        </w:rPr>
      </w:pPr>
      <w:r w:rsidRPr="00246D8C">
        <w:rPr>
          <w:sz w:val="22"/>
          <w:szCs w:val="22"/>
          <w:lang w:val="sr-Latn-ME"/>
        </w:rPr>
        <w:t xml:space="preserve">Tabela 4: Primarni i sekundarni </w:t>
      </w:r>
      <w:r w:rsidR="00D82F38" w:rsidRPr="00246D8C">
        <w:rPr>
          <w:sz w:val="22"/>
          <w:szCs w:val="22"/>
          <w:lang w:val="sr-Latn-ME"/>
        </w:rPr>
        <w:t xml:space="preserve">parametri praćenja </w:t>
      </w:r>
      <w:r w:rsidRPr="00246D8C">
        <w:rPr>
          <w:sz w:val="22"/>
          <w:szCs w:val="22"/>
          <w:lang w:val="sr-Latn-ME"/>
        </w:rPr>
        <w:t>za terapijsku grupu u SAVOR studiji*</w:t>
      </w:r>
    </w:p>
    <w:p w14:paraId="7FF420DE" w14:textId="77777777" w:rsidR="003E0023" w:rsidRPr="00246D8C" w:rsidRDefault="003E0023">
      <w:pPr>
        <w:tabs>
          <w:tab w:val="left" w:pos="284"/>
        </w:tabs>
        <w:jc w:val="both"/>
        <w:rPr>
          <w:sz w:val="22"/>
          <w:szCs w:val="22"/>
          <w:lang w:val="sr-Latn-M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742"/>
        <w:gridCol w:w="1440"/>
        <w:gridCol w:w="1350"/>
        <w:gridCol w:w="1530"/>
        <w:gridCol w:w="1530"/>
      </w:tblGrid>
      <w:tr w:rsidR="003D48C9" w:rsidRPr="00246D8C" w14:paraId="1E4AE406" w14:textId="77777777" w:rsidTr="003E0023">
        <w:trPr>
          <w:cantSplit/>
        </w:trPr>
        <w:tc>
          <w:tcPr>
            <w:tcW w:w="1696" w:type="dxa"/>
            <w:vMerge w:val="restart"/>
            <w:tcBorders>
              <w:top w:val="single" w:sz="4" w:space="0" w:color="auto"/>
              <w:left w:val="single" w:sz="4" w:space="0" w:color="auto"/>
              <w:bottom w:val="single" w:sz="4" w:space="0" w:color="auto"/>
              <w:right w:val="single" w:sz="4" w:space="0" w:color="auto"/>
            </w:tcBorders>
          </w:tcPr>
          <w:p w14:paraId="539DF269" w14:textId="77777777" w:rsidR="003E0023" w:rsidRPr="00246D8C" w:rsidRDefault="003E0023">
            <w:pPr>
              <w:tabs>
                <w:tab w:val="left" w:pos="284"/>
              </w:tabs>
              <w:jc w:val="both"/>
              <w:rPr>
                <w:sz w:val="22"/>
                <w:szCs w:val="22"/>
                <w:lang w:val="sr-Latn-ME"/>
              </w:rPr>
            </w:pPr>
          </w:p>
          <w:p w14:paraId="6D699975" w14:textId="77777777" w:rsidR="003E0023" w:rsidRPr="00246D8C" w:rsidRDefault="003E0023">
            <w:pPr>
              <w:tabs>
                <w:tab w:val="left" w:pos="284"/>
              </w:tabs>
              <w:jc w:val="both"/>
              <w:rPr>
                <w:sz w:val="22"/>
                <w:szCs w:val="22"/>
                <w:lang w:val="sr-Latn-ME"/>
              </w:rPr>
            </w:pPr>
          </w:p>
          <w:p w14:paraId="07310C40" w14:textId="77777777" w:rsidR="003E0023" w:rsidRPr="00246D8C" w:rsidRDefault="003E0023">
            <w:pPr>
              <w:tabs>
                <w:tab w:val="left" w:pos="284"/>
              </w:tabs>
              <w:jc w:val="both"/>
              <w:rPr>
                <w:sz w:val="22"/>
                <w:szCs w:val="22"/>
                <w:lang w:val="sr-Latn-ME"/>
              </w:rPr>
            </w:pPr>
          </w:p>
          <w:p w14:paraId="7FAFB8B4" w14:textId="77777777" w:rsidR="003E0023" w:rsidRPr="00246D8C" w:rsidRDefault="003E0023">
            <w:pPr>
              <w:tabs>
                <w:tab w:val="left" w:pos="284"/>
              </w:tabs>
              <w:jc w:val="both"/>
              <w:rPr>
                <w:sz w:val="22"/>
                <w:szCs w:val="22"/>
                <w:lang w:val="sr-Latn-ME"/>
              </w:rPr>
            </w:pPr>
          </w:p>
          <w:p w14:paraId="134DE035" w14:textId="7E591FA5" w:rsidR="003E0023" w:rsidRPr="00246D8C" w:rsidRDefault="00D82F38">
            <w:pPr>
              <w:tabs>
                <w:tab w:val="left" w:pos="284"/>
              </w:tabs>
              <w:jc w:val="both"/>
              <w:rPr>
                <w:sz w:val="22"/>
                <w:szCs w:val="22"/>
                <w:lang w:val="sr-Latn-ME"/>
              </w:rPr>
            </w:pPr>
            <w:r w:rsidRPr="00246D8C">
              <w:rPr>
                <w:sz w:val="22"/>
                <w:szCs w:val="22"/>
                <w:lang w:val="sr-Latn-ME"/>
              </w:rPr>
              <w:t>Parametar praćenja</w:t>
            </w:r>
          </w:p>
        </w:tc>
        <w:tc>
          <w:tcPr>
            <w:tcW w:w="3182" w:type="dxa"/>
            <w:gridSpan w:val="2"/>
            <w:tcBorders>
              <w:top w:val="single" w:sz="4" w:space="0" w:color="auto"/>
              <w:left w:val="single" w:sz="4" w:space="0" w:color="auto"/>
              <w:bottom w:val="single" w:sz="4" w:space="0" w:color="auto"/>
              <w:right w:val="single" w:sz="4" w:space="0" w:color="auto"/>
            </w:tcBorders>
          </w:tcPr>
          <w:p w14:paraId="2D9F0CD3" w14:textId="3C1FFD5E" w:rsidR="003E0023" w:rsidRPr="00246D8C" w:rsidRDefault="003E0023">
            <w:pPr>
              <w:tabs>
                <w:tab w:val="left" w:pos="284"/>
              </w:tabs>
              <w:jc w:val="both"/>
              <w:rPr>
                <w:sz w:val="22"/>
                <w:szCs w:val="22"/>
                <w:lang w:val="sr-Latn-ME"/>
              </w:rPr>
            </w:pPr>
            <w:r w:rsidRPr="00246D8C">
              <w:rPr>
                <w:sz w:val="22"/>
                <w:szCs w:val="22"/>
                <w:lang w:val="sr-Latn-ME"/>
              </w:rPr>
              <w:t>Sa</w:t>
            </w:r>
            <w:r w:rsidR="00D82F38" w:rsidRPr="00246D8C">
              <w:rPr>
                <w:sz w:val="22"/>
                <w:szCs w:val="22"/>
                <w:lang w:val="sr-Latn-ME"/>
              </w:rPr>
              <w:t>ks</w:t>
            </w:r>
            <w:r w:rsidRPr="00246D8C">
              <w:rPr>
                <w:sz w:val="22"/>
                <w:szCs w:val="22"/>
                <w:lang w:val="sr-Latn-ME"/>
              </w:rPr>
              <w:t>agliptin</w:t>
            </w:r>
            <w:r w:rsidRPr="00246D8C">
              <w:rPr>
                <w:sz w:val="22"/>
                <w:szCs w:val="22"/>
                <w:lang w:val="sr-Latn-ME"/>
              </w:rPr>
              <w:br/>
              <w:t>(N=8280)</w:t>
            </w:r>
          </w:p>
        </w:tc>
        <w:tc>
          <w:tcPr>
            <w:tcW w:w="2880" w:type="dxa"/>
            <w:gridSpan w:val="2"/>
            <w:tcBorders>
              <w:top w:val="single" w:sz="4" w:space="0" w:color="auto"/>
              <w:left w:val="single" w:sz="4" w:space="0" w:color="auto"/>
              <w:bottom w:val="single" w:sz="4" w:space="0" w:color="auto"/>
              <w:right w:val="single" w:sz="4" w:space="0" w:color="auto"/>
            </w:tcBorders>
          </w:tcPr>
          <w:p w14:paraId="49BBBDA3" w14:textId="77777777" w:rsidR="003E0023" w:rsidRPr="00246D8C" w:rsidRDefault="003E0023">
            <w:pPr>
              <w:tabs>
                <w:tab w:val="left" w:pos="284"/>
              </w:tabs>
              <w:jc w:val="both"/>
              <w:rPr>
                <w:sz w:val="22"/>
                <w:szCs w:val="22"/>
                <w:lang w:val="sr-Latn-ME"/>
              </w:rPr>
            </w:pPr>
            <w:r w:rsidRPr="00246D8C">
              <w:rPr>
                <w:sz w:val="22"/>
                <w:szCs w:val="22"/>
                <w:lang w:val="sr-Latn-ME"/>
              </w:rPr>
              <w:t>Placebo</w:t>
            </w:r>
            <w:r w:rsidRPr="00246D8C">
              <w:rPr>
                <w:sz w:val="22"/>
                <w:szCs w:val="22"/>
                <w:lang w:val="sr-Latn-ME"/>
              </w:rPr>
              <w:br/>
              <w:t>(N=8212)</w:t>
            </w:r>
          </w:p>
        </w:tc>
        <w:tc>
          <w:tcPr>
            <w:tcW w:w="1530" w:type="dxa"/>
            <w:vMerge w:val="restart"/>
            <w:tcBorders>
              <w:top w:val="single" w:sz="4" w:space="0" w:color="auto"/>
              <w:left w:val="single" w:sz="4" w:space="0" w:color="auto"/>
              <w:bottom w:val="single" w:sz="4" w:space="0" w:color="auto"/>
              <w:right w:val="single" w:sz="4" w:space="0" w:color="auto"/>
            </w:tcBorders>
          </w:tcPr>
          <w:p w14:paraId="4266FEE4" w14:textId="77777777" w:rsidR="003E0023" w:rsidRPr="00246D8C" w:rsidRDefault="003E0023">
            <w:pPr>
              <w:tabs>
                <w:tab w:val="left" w:pos="284"/>
              </w:tabs>
              <w:jc w:val="both"/>
              <w:rPr>
                <w:sz w:val="22"/>
                <w:szCs w:val="22"/>
                <w:lang w:val="sr-Latn-ME"/>
              </w:rPr>
            </w:pPr>
          </w:p>
          <w:p w14:paraId="044D4128" w14:textId="77777777" w:rsidR="003E0023" w:rsidRPr="00246D8C" w:rsidRDefault="003E0023">
            <w:pPr>
              <w:tabs>
                <w:tab w:val="left" w:pos="284"/>
              </w:tabs>
              <w:jc w:val="both"/>
              <w:rPr>
                <w:sz w:val="22"/>
                <w:szCs w:val="22"/>
                <w:lang w:val="sr-Latn-ME"/>
              </w:rPr>
            </w:pPr>
          </w:p>
          <w:p w14:paraId="22C94438" w14:textId="77777777" w:rsidR="003E0023" w:rsidRPr="00246D8C" w:rsidRDefault="003E0023">
            <w:pPr>
              <w:tabs>
                <w:tab w:val="left" w:pos="284"/>
              </w:tabs>
              <w:jc w:val="both"/>
              <w:rPr>
                <w:sz w:val="22"/>
                <w:szCs w:val="22"/>
                <w:lang w:val="sr-Latn-ME"/>
              </w:rPr>
            </w:pPr>
            <w:r w:rsidRPr="00246D8C">
              <w:rPr>
                <w:i/>
                <w:sz w:val="22"/>
                <w:szCs w:val="22"/>
                <w:lang w:val="sr-Latn-ME"/>
              </w:rPr>
              <w:t>Hazard Ratio</w:t>
            </w:r>
            <w:r w:rsidRPr="00246D8C">
              <w:rPr>
                <w:sz w:val="22"/>
                <w:szCs w:val="22"/>
                <w:lang w:val="sr-Latn-ME"/>
              </w:rPr>
              <w:t xml:space="preserve"> </w:t>
            </w:r>
            <w:r w:rsidRPr="00246D8C">
              <w:rPr>
                <w:sz w:val="22"/>
                <w:szCs w:val="22"/>
                <w:lang w:val="sr-Latn-ME"/>
              </w:rPr>
              <w:br/>
              <w:t>(95% CI)†</w:t>
            </w:r>
          </w:p>
        </w:tc>
      </w:tr>
      <w:tr w:rsidR="003D48C9" w:rsidRPr="00246D8C" w14:paraId="1E461445" w14:textId="77777777" w:rsidTr="003E0023">
        <w:trPr>
          <w:cantSplit/>
        </w:trPr>
        <w:tc>
          <w:tcPr>
            <w:tcW w:w="1696" w:type="dxa"/>
            <w:vMerge/>
            <w:tcBorders>
              <w:top w:val="single" w:sz="4" w:space="0" w:color="auto"/>
              <w:left w:val="single" w:sz="4" w:space="0" w:color="auto"/>
              <w:bottom w:val="single" w:sz="4" w:space="0" w:color="auto"/>
              <w:right w:val="single" w:sz="4" w:space="0" w:color="auto"/>
            </w:tcBorders>
          </w:tcPr>
          <w:p w14:paraId="3A1A7F30" w14:textId="77777777" w:rsidR="003E0023" w:rsidRPr="00246D8C" w:rsidRDefault="003E0023">
            <w:pPr>
              <w:tabs>
                <w:tab w:val="left" w:pos="284"/>
              </w:tabs>
              <w:jc w:val="both"/>
              <w:rPr>
                <w:sz w:val="22"/>
                <w:szCs w:val="22"/>
                <w:lang w:val="sr-Latn-ME"/>
              </w:rPr>
            </w:pPr>
          </w:p>
        </w:tc>
        <w:tc>
          <w:tcPr>
            <w:tcW w:w="1742" w:type="dxa"/>
            <w:tcBorders>
              <w:top w:val="single" w:sz="4" w:space="0" w:color="auto"/>
              <w:left w:val="single" w:sz="4" w:space="0" w:color="auto"/>
              <w:bottom w:val="single" w:sz="4" w:space="0" w:color="auto"/>
              <w:right w:val="single" w:sz="4" w:space="0" w:color="auto"/>
            </w:tcBorders>
          </w:tcPr>
          <w:p w14:paraId="258E3971" w14:textId="77777777" w:rsidR="003E0023" w:rsidRPr="00246D8C" w:rsidRDefault="003E0023">
            <w:pPr>
              <w:tabs>
                <w:tab w:val="left" w:pos="284"/>
              </w:tabs>
              <w:jc w:val="both"/>
              <w:rPr>
                <w:sz w:val="22"/>
                <w:szCs w:val="22"/>
                <w:lang w:val="sr-Latn-ME"/>
              </w:rPr>
            </w:pPr>
            <w:r w:rsidRPr="00246D8C">
              <w:rPr>
                <w:sz w:val="22"/>
                <w:szCs w:val="22"/>
                <w:lang w:val="sr-Latn-ME"/>
              </w:rPr>
              <w:t>Subjekti sa događajima</w:t>
            </w:r>
            <w:r w:rsidRPr="00246D8C">
              <w:rPr>
                <w:sz w:val="22"/>
                <w:szCs w:val="22"/>
                <w:lang w:val="sr-Latn-ME"/>
              </w:rPr>
              <w:br/>
              <w:t>n (%)</w:t>
            </w:r>
          </w:p>
        </w:tc>
        <w:tc>
          <w:tcPr>
            <w:tcW w:w="1440" w:type="dxa"/>
            <w:tcBorders>
              <w:top w:val="single" w:sz="4" w:space="0" w:color="auto"/>
              <w:left w:val="single" w:sz="4" w:space="0" w:color="auto"/>
              <w:bottom w:val="single" w:sz="4" w:space="0" w:color="auto"/>
              <w:right w:val="single" w:sz="4" w:space="0" w:color="auto"/>
            </w:tcBorders>
          </w:tcPr>
          <w:p w14:paraId="5C3E7832" w14:textId="77777777" w:rsidR="003E0023" w:rsidRPr="00246D8C" w:rsidRDefault="003E0023">
            <w:pPr>
              <w:tabs>
                <w:tab w:val="left" w:pos="284"/>
              </w:tabs>
              <w:jc w:val="both"/>
              <w:rPr>
                <w:sz w:val="22"/>
                <w:szCs w:val="22"/>
                <w:lang w:val="sr-Latn-ME"/>
              </w:rPr>
            </w:pPr>
            <w:r w:rsidRPr="00246D8C">
              <w:rPr>
                <w:sz w:val="22"/>
                <w:szCs w:val="22"/>
                <w:lang w:val="sr-Latn-ME"/>
              </w:rPr>
              <w:t>Procenat događaja na 100 godina pacijenata</w:t>
            </w:r>
          </w:p>
        </w:tc>
        <w:tc>
          <w:tcPr>
            <w:tcW w:w="1350" w:type="dxa"/>
            <w:tcBorders>
              <w:top w:val="single" w:sz="4" w:space="0" w:color="auto"/>
              <w:left w:val="single" w:sz="4" w:space="0" w:color="auto"/>
              <w:bottom w:val="single" w:sz="4" w:space="0" w:color="auto"/>
              <w:right w:val="single" w:sz="4" w:space="0" w:color="auto"/>
            </w:tcBorders>
          </w:tcPr>
          <w:p w14:paraId="6395EF54" w14:textId="77777777" w:rsidR="003E0023" w:rsidRPr="00246D8C" w:rsidRDefault="003E0023">
            <w:pPr>
              <w:tabs>
                <w:tab w:val="left" w:pos="284"/>
              </w:tabs>
              <w:jc w:val="both"/>
              <w:rPr>
                <w:sz w:val="22"/>
                <w:szCs w:val="22"/>
                <w:lang w:val="sr-Latn-ME"/>
              </w:rPr>
            </w:pPr>
            <w:r w:rsidRPr="00246D8C">
              <w:rPr>
                <w:sz w:val="22"/>
                <w:szCs w:val="22"/>
                <w:lang w:val="sr-Latn-ME"/>
              </w:rPr>
              <w:t>Subjekti sa događajima</w:t>
            </w:r>
            <w:r w:rsidRPr="00246D8C">
              <w:rPr>
                <w:sz w:val="22"/>
                <w:szCs w:val="22"/>
                <w:lang w:val="sr-Latn-ME"/>
              </w:rPr>
              <w:br/>
              <w:t>n (%)</w:t>
            </w:r>
          </w:p>
        </w:tc>
        <w:tc>
          <w:tcPr>
            <w:tcW w:w="1530" w:type="dxa"/>
            <w:tcBorders>
              <w:top w:val="single" w:sz="4" w:space="0" w:color="auto"/>
              <w:left w:val="single" w:sz="4" w:space="0" w:color="auto"/>
              <w:bottom w:val="single" w:sz="4" w:space="0" w:color="auto"/>
              <w:right w:val="single" w:sz="4" w:space="0" w:color="auto"/>
            </w:tcBorders>
          </w:tcPr>
          <w:p w14:paraId="0A0B4934" w14:textId="77777777" w:rsidR="003E0023" w:rsidRPr="00246D8C" w:rsidRDefault="003E0023">
            <w:pPr>
              <w:tabs>
                <w:tab w:val="left" w:pos="284"/>
              </w:tabs>
              <w:jc w:val="both"/>
              <w:rPr>
                <w:sz w:val="22"/>
                <w:szCs w:val="22"/>
                <w:lang w:val="sr-Latn-ME"/>
              </w:rPr>
            </w:pPr>
          </w:p>
          <w:p w14:paraId="6E0401A4" w14:textId="77777777" w:rsidR="003E0023" w:rsidRPr="00246D8C" w:rsidRDefault="003E0023">
            <w:pPr>
              <w:tabs>
                <w:tab w:val="left" w:pos="284"/>
              </w:tabs>
              <w:jc w:val="both"/>
              <w:rPr>
                <w:sz w:val="22"/>
                <w:szCs w:val="22"/>
                <w:lang w:val="sr-Latn-ME"/>
              </w:rPr>
            </w:pPr>
            <w:r w:rsidRPr="00246D8C">
              <w:rPr>
                <w:sz w:val="22"/>
                <w:szCs w:val="22"/>
                <w:lang w:val="sr-Latn-ME"/>
              </w:rPr>
              <w:t>Procenat događaja na 100 godina pacijenata</w:t>
            </w:r>
          </w:p>
        </w:tc>
        <w:tc>
          <w:tcPr>
            <w:tcW w:w="1530" w:type="dxa"/>
            <w:vMerge/>
            <w:tcBorders>
              <w:top w:val="single" w:sz="4" w:space="0" w:color="auto"/>
              <w:left w:val="single" w:sz="4" w:space="0" w:color="auto"/>
              <w:bottom w:val="single" w:sz="4" w:space="0" w:color="auto"/>
              <w:right w:val="single" w:sz="4" w:space="0" w:color="auto"/>
            </w:tcBorders>
          </w:tcPr>
          <w:p w14:paraId="2ABFE1CC" w14:textId="77777777" w:rsidR="003E0023" w:rsidRPr="00246D8C" w:rsidRDefault="003E0023">
            <w:pPr>
              <w:tabs>
                <w:tab w:val="left" w:pos="284"/>
              </w:tabs>
              <w:jc w:val="both"/>
              <w:rPr>
                <w:sz w:val="22"/>
                <w:szCs w:val="22"/>
                <w:lang w:val="sr-Latn-ME"/>
              </w:rPr>
            </w:pPr>
          </w:p>
        </w:tc>
      </w:tr>
      <w:tr w:rsidR="003D48C9" w:rsidRPr="00246D8C" w14:paraId="6C8A0695" w14:textId="77777777" w:rsidTr="003E0023">
        <w:tc>
          <w:tcPr>
            <w:tcW w:w="1696" w:type="dxa"/>
            <w:tcBorders>
              <w:top w:val="single" w:sz="4" w:space="0" w:color="auto"/>
              <w:left w:val="single" w:sz="4" w:space="0" w:color="auto"/>
              <w:bottom w:val="single" w:sz="4" w:space="0" w:color="auto"/>
              <w:right w:val="single" w:sz="4" w:space="0" w:color="auto"/>
            </w:tcBorders>
          </w:tcPr>
          <w:p w14:paraId="018467A6" w14:textId="3247E5E0" w:rsidR="003E0023" w:rsidRPr="00246D8C" w:rsidRDefault="003E0023" w:rsidP="006A7219">
            <w:pPr>
              <w:tabs>
                <w:tab w:val="left" w:pos="284"/>
              </w:tabs>
              <w:jc w:val="both"/>
              <w:rPr>
                <w:sz w:val="22"/>
                <w:szCs w:val="22"/>
                <w:lang w:val="sr-Latn-ME"/>
              </w:rPr>
            </w:pPr>
            <w:r w:rsidRPr="00246D8C">
              <w:rPr>
                <w:sz w:val="22"/>
                <w:szCs w:val="22"/>
                <w:lang w:val="sr-Latn-ME"/>
              </w:rPr>
              <w:t xml:space="preserve">Primarni kompozitni </w:t>
            </w:r>
            <w:r w:rsidR="00D82F38" w:rsidRPr="00246D8C">
              <w:rPr>
                <w:sz w:val="22"/>
                <w:szCs w:val="22"/>
                <w:lang w:val="sr-Latn-ME"/>
              </w:rPr>
              <w:t>parametar praćenja</w:t>
            </w:r>
            <w:r w:rsidRPr="00246D8C">
              <w:rPr>
                <w:sz w:val="22"/>
                <w:szCs w:val="22"/>
                <w:lang w:val="sr-Latn-ME"/>
              </w:rPr>
              <w:t>: MACE</w:t>
            </w:r>
          </w:p>
        </w:tc>
        <w:tc>
          <w:tcPr>
            <w:tcW w:w="1742" w:type="dxa"/>
            <w:tcBorders>
              <w:top w:val="single" w:sz="4" w:space="0" w:color="auto"/>
              <w:left w:val="single" w:sz="4" w:space="0" w:color="auto"/>
              <w:bottom w:val="single" w:sz="4" w:space="0" w:color="auto"/>
              <w:right w:val="single" w:sz="4" w:space="0" w:color="auto"/>
            </w:tcBorders>
          </w:tcPr>
          <w:p w14:paraId="4F88F0D8" w14:textId="77777777" w:rsidR="003E0023" w:rsidRPr="00246D8C" w:rsidRDefault="003E0023" w:rsidP="003C0336">
            <w:pPr>
              <w:tabs>
                <w:tab w:val="left" w:pos="284"/>
              </w:tabs>
              <w:jc w:val="both"/>
              <w:rPr>
                <w:sz w:val="22"/>
                <w:szCs w:val="22"/>
                <w:lang w:val="sr-Latn-ME"/>
              </w:rPr>
            </w:pPr>
            <w:r w:rsidRPr="00246D8C">
              <w:rPr>
                <w:sz w:val="22"/>
                <w:szCs w:val="22"/>
                <w:lang w:val="sr-Latn-ME"/>
              </w:rPr>
              <w:t>613</w:t>
            </w:r>
            <w:r w:rsidRPr="00246D8C">
              <w:rPr>
                <w:sz w:val="22"/>
                <w:szCs w:val="22"/>
                <w:lang w:val="sr-Latn-ME"/>
              </w:rPr>
              <w:br/>
              <w:t>(7.4)</w:t>
            </w:r>
          </w:p>
        </w:tc>
        <w:tc>
          <w:tcPr>
            <w:tcW w:w="1440" w:type="dxa"/>
            <w:tcBorders>
              <w:top w:val="single" w:sz="4" w:space="0" w:color="auto"/>
              <w:left w:val="single" w:sz="4" w:space="0" w:color="auto"/>
              <w:bottom w:val="single" w:sz="4" w:space="0" w:color="auto"/>
              <w:right w:val="single" w:sz="4" w:space="0" w:color="auto"/>
            </w:tcBorders>
          </w:tcPr>
          <w:p w14:paraId="538C6862" w14:textId="77777777" w:rsidR="003E0023" w:rsidRPr="00246D8C" w:rsidRDefault="003E0023" w:rsidP="00AE24EE">
            <w:pPr>
              <w:tabs>
                <w:tab w:val="left" w:pos="284"/>
              </w:tabs>
              <w:jc w:val="both"/>
              <w:rPr>
                <w:sz w:val="22"/>
                <w:szCs w:val="22"/>
                <w:lang w:val="sr-Latn-ME"/>
              </w:rPr>
            </w:pPr>
            <w:r w:rsidRPr="00246D8C">
              <w:rPr>
                <w:sz w:val="22"/>
                <w:szCs w:val="22"/>
                <w:lang w:val="sr-Latn-ME"/>
              </w:rPr>
              <w:t>3.76</w:t>
            </w:r>
          </w:p>
        </w:tc>
        <w:tc>
          <w:tcPr>
            <w:tcW w:w="1350" w:type="dxa"/>
            <w:tcBorders>
              <w:top w:val="single" w:sz="4" w:space="0" w:color="auto"/>
              <w:left w:val="single" w:sz="4" w:space="0" w:color="auto"/>
              <w:bottom w:val="single" w:sz="4" w:space="0" w:color="auto"/>
              <w:right w:val="single" w:sz="4" w:space="0" w:color="auto"/>
            </w:tcBorders>
          </w:tcPr>
          <w:p w14:paraId="4C8D5BB5" w14:textId="77777777" w:rsidR="003E0023" w:rsidRPr="00246D8C" w:rsidRDefault="003E0023">
            <w:pPr>
              <w:tabs>
                <w:tab w:val="left" w:pos="284"/>
              </w:tabs>
              <w:jc w:val="both"/>
              <w:rPr>
                <w:sz w:val="22"/>
                <w:szCs w:val="22"/>
                <w:lang w:val="sr-Latn-ME"/>
              </w:rPr>
            </w:pPr>
            <w:r w:rsidRPr="00246D8C">
              <w:rPr>
                <w:sz w:val="22"/>
                <w:szCs w:val="22"/>
                <w:lang w:val="sr-Latn-ME"/>
              </w:rPr>
              <w:t>609</w:t>
            </w:r>
            <w:r w:rsidRPr="00246D8C">
              <w:rPr>
                <w:sz w:val="22"/>
                <w:szCs w:val="22"/>
                <w:lang w:val="sr-Latn-ME"/>
              </w:rPr>
              <w:br/>
              <w:t>(7.4)</w:t>
            </w:r>
          </w:p>
        </w:tc>
        <w:tc>
          <w:tcPr>
            <w:tcW w:w="1530" w:type="dxa"/>
            <w:tcBorders>
              <w:top w:val="single" w:sz="4" w:space="0" w:color="auto"/>
              <w:left w:val="single" w:sz="4" w:space="0" w:color="auto"/>
              <w:bottom w:val="single" w:sz="4" w:space="0" w:color="auto"/>
              <w:right w:val="single" w:sz="4" w:space="0" w:color="auto"/>
            </w:tcBorders>
          </w:tcPr>
          <w:p w14:paraId="6603FC01" w14:textId="77777777" w:rsidR="003E0023" w:rsidRPr="00246D8C" w:rsidRDefault="003E0023">
            <w:pPr>
              <w:tabs>
                <w:tab w:val="left" w:pos="284"/>
              </w:tabs>
              <w:jc w:val="both"/>
              <w:rPr>
                <w:sz w:val="22"/>
                <w:szCs w:val="22"/>
                <w:lang w:val="sr-Latn-ME"/>
              </w:rPr>
            </w:pPr>
            <w:r w:rsidRPr="00246D8C">
              <w:rPr>
                <w:sz w:val="22"/>
                <w:szCs w:val="22"/>
                <w:lang w:val="sr-Latn-ME"/>
              </w:rPr>
              <w:t>3.77</w:t>
            </w:r>
          </w:p>
        </w:tc>
        <w:tc>
          <w:tcPr>
            <w:tcW w:w="1530" w:type="dxa"/>
            <w:tcBorders>
              <w:top w:val="single" w:sz="4" w:space="0" w:color="auto"/>
              <w:left w:val="single" w:sz="4" w:space="0" w:color="auto"/>
              <w:bottom w:val="single" w:sz="4" w:space="0" w:color="auto"/>
              <w:right w:val="single" w:sz="4" w:space="0" w:color="auto"/>
            </w:tcBorders>
          </w:tcPr>
          <w:p w14:paraId="41E7969E" w14:textId="77777777" w:rsidR="003E0023" w:rsidRPr="00246D8C" w:rsidRDefault="003E0023">
            <w:pPr>
              <w:tabs>
                <w:tab w:val="left" w:pos="284"/>
              </w:tabs>
              <w:jc w:val="both"/>
              <w:rPr>
                <w:sz w:val="22"/>
                <w:szCs w:val="22"/>
                <w:lang w:val="sr-Latn-ME"/>
              </w:rPr>
            </w:pPr>
            <w:r w:rsidRPr="00246D8C">
              <w:rPr>
                <w:sz w:val="22"/>
                <w:szCs w:val="22"/>
                <w:lang w:val="sr-Latn-ME"/>
              </w:rPr>
              <w:t>1.00</w:t>
            </w:r>
            <w:r w:rsidRPr="00246D8C">
              <w:rPr>
                <w:sz w:val="22"/>
                <w:szCs w:val="22"/>
                <w:lang w:val="sr-Latn-ME"/>
              </w:rPr>
              <w:br/>
              <w:t>(0.89, 1.12)‡,§, #</w:t>
            </w:r>
          </w:p>
        </w:tc>
      </w:tr>
      <w:tr w:rsidR="003D48C9" w:rsidRPr="00246D8C" w14:paraId="037A9708" w14:textId="77777777" w:rsidTr="003E0023">
        <w:tc>
          <w:tcPr>
            <w:tcW w:w="1696" w:type="dxa"/>
            <w:tcBorders>
              <w:top w:val="single" w:sz="4" w:space="0" w:color="auto"/>
              <w:left w:val="single" w:sz="4" w:space="0" w:color="auto"/>
              <w:bottom w:val="single" w:sz="4" w:space="0" w:color="auto"/>
              <w:right w:val="single" w:sz="4" w:space="0" w:color="auto"/>
            </w:tcBorders>
          </w:tcPr>
          <w:p w14:paraId="062B8482" w14:textId="0B4A9D57" w:rsidR="003E0023" w:rsidRPr="00246D8C" w:rsidRDefault="003E0023" w:rsidP="006A7219">
            <w:pPr>
              <w:tabs>
                <w:tab w:val="left" w:pos="284"/>
              </w:tabs>
              <w:jc w:val="both"/>
              <w:rPr>
                <w:sz w:val="22"/>
                <w:szCs w:val="22"/>
                <w:lang w:val="sr-Latn-ME"/>
              </w:rPr>
            </w:pPr>
            <w:r w:rsidRPr="00246D8C">
              <w:rPr>
                <w:sz w:val="22"/>
                <w:szCs w:val="22"/>
                <w:lang w:val="sr-Latn-ME"/>
              </w:rPr>
              <w:t xml:space="preserve">Sekundarni kompozitni </w:t>
            </w:r>
            <w:r w:rsidR="00D82F38" w:rsidRPr="00246D8C">
              <w:rPr>
                <w:sz w:val="22"/>
                <w:szCs w:val="22"/>
                <w:lang w:val="sr-Latn-ME"/>
              </w:rPr>
              <w:t xml:space="preserve">parametar </w:t>
            </w:r>
            <w:r w:rsidR="00D82F38" w:rsidRPr="00246D8C">
              <w:rPr>
                <w:sz w:val="22"/>
                <w:szCs w:val="22"/>
                <w:lang w:val="sr-Latn-ME"/>
              </w:rPr>
              <w:lastRenderedPageBreak/>
              <w:t>praćenja</w:t>
            </w:r>
            <w:r w:rsidRPr="00246D8C">
              <w:rPr>
                <w:sz w:val="22"/>
                <w:szCs w:val="22"/>
                <w:lang w:val="sr-Latn-ME"/>
              </w:rPr>
              <w:t>: MACE plus</w:t>
            </w:r>
          </w:p>
        </w:tc>
        <w:tc>
          <w:tcPr>
            <w:tcW w:w="1742" w:type="dxa"/>
            <w:tcBorders>
              <w:top w:val="single" w:sz="4" w:space="0" w:color="auto"/>
              <w:left w:val="single" w:sz="4" w:space="0" w:color="auto"/>
              <w:bottom w:val="single" w:sz="4" w:space="0" w:color="auto"/>
              <w:right w:val="single" w:sz="4" w:space="0" w:color="auto"/>
            </w:tcBorders>
          </w:tcPr>
          <w:p w14:paraId="4E8724CD" w14:textId="77777777" w:rsidR="003E0023" w:rsidRPr="00246D8C" w:rsidRDefault="003E0023" w:rsidP="003C0336">
            <w:pPr>
              <w:tabs>
                <w:tab w:val="left" w:pos="284"/>
              </w:tabs>
              <w:jc w:val="both"/>
              <w:rPr>
                <w:sz w:val="22"/>
                <w:szCs w:val="22"/>
                <w:lang w:val="sr-Latn-ME"/>
              </w:rPr>
            </w:pPr>
            <w:r w:rsidRPr="00246D8C">
              <w:rPr>
                <w:sz w:val="22"/>
                <w:szCs w:val="22"/>
                <w:lang w:val="sr-Latn-ME"/>
              </w:rPr>
              <w:lastRenderedPageBreak/>
              <w:t>1059</w:t>
            </w:r>
            <w:r w:rsidRPr="00246D8C">
              <w:rPr>
                <w:sz w:val="22"/>
                <w:szCs w:val="22"/>
                <w:lang w:val="sr-Latn-ME"/>
              </w:rPr>
              <w:br/>
              <w:t>(12.8)</w:t>
            </w:r>
          </w:p>
        </w:tc>
        <w:tc>
          <w:tcPr>
            <w:tcW w:w="1440" w:type="dxa"/>
            <w:tcBorders>
              <w:top w:val="single" w:sz="4" w:space="0" w:color="auto"/>
              <w:left w:val="single" w:sz="4" w:space="0" w:color="auto"/>
              <w:bottom w:val="single" w:sz="4" w:space="0" w:color="auto"/>
              <w:right w:val="single" w:sz="4" w:space="0" w:color="auto"/>
            </w:tcBorders>
          </w:tcPr>
          <w:p w14:paraId="319BA171" w14:textId="77777777" w:rsidR="003E0023" w:rsidRPr="00246D8C" w:rsidRDefault="003E0023" w:rsidP="00AE24EE">
            <w:pPr>
              <w:tabs>
                <w:tab w:val="left" w:pos="284"/>
              </w:tabs>
              <w:jc w:val="both"/>
              <w:rPr>
                <w:sz w:val="22"/>
                <w:szCs w:val="22"/>
                <w:lang w:val="sr-Latn-ME"/>
              </w:rPr>
            </w:pPr>
            <w:r w:rsidRPr="00246D8C">
              <w:rPr>
                <w:sz w:val="22"/>
                <w:szCs w:val="22"/>
                <w:lang w:val="sr-Latn-ME"/>
              </w:rPr>
              <w:t>6.72</w:t>
            </w:r>
          </w:p>
        </w:tc>
        <w:tc>
          <w:tcPr>
            <w:tcW w:w="1350" w:type="dxa"/>
            <w:tcBorders>
              <w:top w:val="single" w:sz="4" w:space="0" w:color="auto"/>
              <w:left w:val="single" w:sz="4" w:space="0" w:color="auto"/>
              <w:bottom w:val="single" w:sz="4" w:space="0" w:color="auto"/>
              <w:right w:val="single" w:sz="4" w:space="0" w:color="auto"/>
            </w:tcBorders>
          </w:tcPr>
          <w:p w14:paraId="3A8D4524" w14:textId="77777777" w:rsidR="003E0023" w:rsidRPr="00246D8C" w:rsidRDefault="003E0023">
            <w:pPr>
              <w:tabs>
                <w:tab w:val="left" w:pos="284"/>
              </w:tabs>
              <w:jc w:val="both"/>
              <w:rPr>
                <w:sz w:val="22"/>
                <w:szCs w:val="22"/>
                <w:lang w:val="sr-Latn-ME"/>
              </w:rPr>
            </w:pPr>
            <w:r w:rsidRPr="00246D8C">
              <w:rPr>
                <w:sz w:val="22"/>
                <w:szCs w:val="22"/>
                <w:lang w:val="sr-Latn-ME"/>
              </w:rPr>
              <w:t>1034</w:t>
            </w:r>
            <w:r w:rsidRPr="00246D8C">
              <w:rPr>
                <w:sz w:val="22"/>
                <w:szCs w:val="22"/>
                <w:lang w:val="sr-Latn-ME"/>
              </w:rPr>
              <w:br/>
              <w:t>(12.6)</w:t>
            </w:r>
          </w:p>
        </w:tc>
        <w:tc>
          <w:tcPr>
            <w:tcW w:w="1530" w:type="dxa"/>
            <w:tcBorders>
              <w:top w:val="single" w:sz="4" w:space="0" w:color="auto"/>
              <w:left w:val="single" w:sz="4" w:space="0" w:color="auto"/>
              <w:bottom w:val="single" w:sz="4" w:space="0" w:color="auto"/>
              <w:right w:val="single" w:sz="4" w:space="0" w:color="auto"/>
            </w:tcBorders>
          </w:tcPr>
          <w:p w14:paraId="58A24ECB" w14:textId="77777777" w:rsidR="003E0023" w:rsidRPr="00246D8C" w:rsidRDefault="003E0023">
            <w:pPr>
              <w:tabs>
                <w:tab w:val="left" w:pos="284"/>
              </w:tabs>
              <w:jc w:val="both"/>
              <w:rPr>
                <w:sz w:val="22"/>
                <w:szCs w:val="22"/>
                <w:lang w:val="sr-Latn-ME"/>
              </w:rPr>
            </w:pPr>
            <w:r w:rsidRPr="00246D8C">
              <w:rPr>
                <w:sz w:val="22"/>
                <w:szCs w:val="22"/>
                <w:lang w:val="sr-Latn-ME"/>
              </w:rPr>
              <w:t>6.60</w:t>
            </w:r>
          </w:p>
        </w:tc>
        <w:tc>
          <w:tcPr>
            <w:tcW w:w="1530" w:type="dxa"/>
            <w:tcBorders>
              <w:top w:val="single" w:sz="4" w:space="0" w:color="auto"/>
              <w:left w:val="single" w:sz="4" w:space="0" w:color="auto"/>
              <w:bottom w:val="single" w:sz="4" w:space="0" w:color="auto"/>
              <w:right w:val="single" w:sz="4" w:space="0" w:color="auto"/>
            </w:tcBorders>
          </w:tcPr>
          <w:p w14:paraId="65B59DFB" w14:textId="77777777" w:rsidR="003E0023" w:rsidRPr="00246D8C" w:rsidRDefault="003E0023">
            <w:pPr>
              <w:tabs>
                <w:tab w:val="left" w:pos="284"/>
              </w:tabs>
              <w:jc w:val="both"/>
              <w:rPr>
                <w:sz w:val="22"/>
                <w:szCs w:val="22"/>
                <w:lang w:val="sr-Latn-ME"/>
              </w:rPr>
            </w:pPr>
            <w:r w:rsidRPr="00246D8C">
              <w:rPr>
                <w:sz w:val="22"/>
                <w:szCs w:val="22"/>
                <w:lang w:val="sr-Latn-ME"/>
              </w:rPr>
              <w:t>1.02</w:t>
            </w:r>
            <w:r w:rsidRPr="00246D8C">
              <w:rPr>
                <w:sz w:val="22"/>
                <w:szCs w:val="22"/>
                <w:lang w:val="sr-Latn-ME"/>
              </w:rPr>
              <w:br/>
              <w:t>(0.94, 1.11)¶</w:t>
            </w:r>
          </w:p>
        </w:tc>
      </w:tr>
      <w:tr w:rsidR="003D48C9" w:rsidRPr="00246D8C" w14:paraId="6D4AE74A" w14:textId="77777777" w:rsidTr="003E0023">
        <w:tc>
          <w:tcPr>
            <w:tcW w:w="1696" w:type="dxa"/>
            <w:tcBorders>
              <w:top w:val="single" w:sz="4" w:space="0" w:color="auto"/>
              <w:left w:val="single" w:sz="4" w:space="0" w:color="auto"/>
              <w:bottom w:val="single" w:sz="4" w:space="0" w:color="auto"/>
              <w:right w:val="single" w:sz="4" w:space="0" w:color="auto"/>
            </w:tcBorders>
          </w:tcPr>
          <w:p w14:paraId="1100B027" w14:textId="77777777" w:rsidR="003E0023" w:rsidRPr="00246D8C" w:rsidRDefault="003E0023" w:rsidP="006A7219">
            <w:pPr>
              <w:tabs>
                <w:tab w:val="left" w:pos="284"/>
              </w:tabs>
              <w:jc w:val="both"/>
              <w:rPr>
                <w:sz w:val="22"/>
                <w:szCs w:val="22"/>
                <w:lang w:val="sr-Latn-ME"/>
              </w:rPr>
            </w:pPr>
            <w:r w:rsidRPr="00246D8C">
              <w:rPr>
                <w:sz w:val="22"/>
                <w:szCs w:val="22"/>
                <w:lang w:val="sr-Latn-ME"/>
              </w:rPr>
              <w:t>Svi uzroci mortaliteta</w:t>
            </w:r>
          </w:p>
        </w:tc>
        <w:tc>
          <w:tcPr>
            <w:tcW w:w="1742" w:type="dxa"/>
            <w:tcBorders>
              <w:top w:val="single" w:sz="4" w:space="0" w:color="auto"/>
              <w:left w:val="single" w:sz="4" w:space="0" w:color="auto"/>
              <w:bottom w:val="single" w:sz="4" w:space="0" w:color="auto"/>
              <w:right w:val="single" w:sz="4" w:space="0" w:color="auto"/>
            </w:tcBorders>
          </w:tcPr>
          <w:p w14:paraId="62727C04" w14:textId="77777777" w:rsidR="003E0023" w:rsidRPr="00246D8C" w:rsidRDefault="003E0023" w:rsidP="003C0336">
            <w:pPr>
              <w:tabs>
                <w:tab w:val="left" w:pos="284"/>
              </w:tabs>
              <w:jc w:val="both"/>
              <w:rPr>
                <w:sz w:val="22"/>
                <w:szCs w:val="22"/>
                <w:lang w:val="sr-Latn-ME"/>
              </w:rPr>
            </w:pPr>
            <w:r w:rsidRPr="00246D8C">
              <w:rPr>
                <w:sz w:val="22"/>
                <w:szCs w:val="22"/>
                <w:lang w:val="sr-Latn-ME"/>
              </w:rPr>
              <w:t>420</w:t>
            </w:r>
            <w:r w:rsidRPr="00246D8C">
              <w:rPr>
                <w:sz w:val="22"/>
                <w:szCs w:val="22"/>
                <w:lang w:val="sr-Latn-ME"/>
              </w:rPr>
              <w:br/>
              <w:t>(5.1)</w:t>
            </w:r>
          </w:p>
        </w:tc>
        <w:tc>
          <w:tcPr>
            <w:tcW w:w="1440" w:type="dxa"/>
            <w:tcBorders>
              <w:top w:val="single" w:sz="4" w:space="0" w:color="auto"/>
              <w:left w:val="single" w:sz="4" w:space="0" w:color="auto"/>
              <w:bottom w:val="single" w:sz="4" w:space="0" w:color="auto"/>
              <w:right w:val="single" w:sz="4" w:space="0" w:color="auto"/>
            </w:tcBorders>
          </w:tcPr>
          <w:p w14:paraId="5D0C99F7" w14:textId="77777777" w:rsidR="003E0023" w:rsidRPr="00246D8C" w:rsidRDefault="003E0023" w:rsidP="00AE24EE">
            <w:pPr>
              <w:tabs>
                <w:tab w:val="left" w:pos="284"/>
              </w:tabs>
              <w:jc w:val="both"/>
              <w:rPr>
                <w:sz w:val="22"/>
                <w:szCs w:val="22"/>
                <w:lang w:val="sr-Latn-ME"/>
              </w:rPr>
            </w:pPr>
            <w:r w:rsidRPr="00246D8C">
              <w:rPr>
                <w:sz w:val="22"/>
                <w:szCs w:val="22"/>
                <w:lang w:val="sr-Latn-ME"/>
              </w:rPr>
              <w:t>2.50</w:t>
            </w:r>
          </w:p>
        </w:tc>
        <w:tc>
          <w:tcPr>
            <w:tcW w:w="1350" w:type="dxa"/>
            <w:tcBorders>
              <w:top w:val="single" w:sz="4" w:space="0" w:color="auto"/>
              <w:left w:val="single" w:sz="4" w:space="0" w:color="auto"/>
              <w:bottom w:val="single" w:sz="4" w:space="0" w:color="auto"/>
              <w:right w:val="single" w:sz="4" w:space="0" w:color="auto"/>
            </w:tcBorders>
          </w:tcPr>
          <w:p w14:paraId="477B83E1" w14:textId="77777777" w:rsidR="003E0023" w:rsidRPr="00246D8C" w:rsidRDefault="003E0023">
            <w:pPr>
              <w:tabs>
                <w:tab w:val="left" w:pos="284"/>
              </w:tabs>
              <w:jc w:val="both"/>
              <w:rPr>
                <w:sz w:val="22"/>
                <w:szCs w:val="22"/>
                <w:lang w:val="sr-Latn-ME"/>
              </w:rPr>
            </w:pPr>
            <w:r w:rsidRPr="00246D8C">
              <w:rPr>
                <w:sz w:val="22"/>
                <w:szCs w:val="22"/>
                <w:lang w:val="sr-Latn-ME"/>
              </w:rPr>
              <w:t>378</w:t>
            </w:r>
            <w:r w:rsidRPr="00246D8C">
              <w:rPr>
                <w:sz w:val="22"/>
                <w:szCs w:val="22"/>
                <w:lang w:val="sr-Latn-ME"/>
              </w:rPr>
              <w:br/>
              <w:t>(4.6)</w:t>
            </w:r>
          </w:p>
        </w:tc>
        <w:tc>
          <w:tcPr>
            <w:tcW w:w="1530" w:type="dxa"/>
            <w:tcBorders>
              <w:top w:val="single" w:sz="4" w:space="0" w:color="auto"/>
              <w:left w:val="single" w:sz="4" w:space="0" w:color="auto"/>
              <w:bottom w:val="single" w:sz="4" w:space="0" w:color="auto"/>
              <w:right w:val="single" w:sz="4" w:space="0" w:color="auto"/>
            </w:tcBorders>
          </w:tcPr>
          <w:p w14:paraId="687F1ED6" w14:textId="77777777" w:rsidR="003E0023" w:rsidRPr="00246D8C" w:rsidRDefault="003E0023">
            <w:pPr>
              <w:tabs>
                <w:tab w:val="left" w:pos="284"/>
              </w:tabs>
              <w:jc w:val="both"/>
              <w:rPr>
                <w:sz w:val="22"/>
                <w:szCs w:val="22"/>
                <w:lang w:val="sr-Latn-ME"/>
              </w:rPr>
            </w:pPr>
            <w:r w:rsidRPr="00246D8C">
              <w:rPr>
                <w:sz w:val="22"/>
                <w:szCs w:val="22"/>
                <w:lang w:val="sr-Latn-ME"/>
              </w:rPr>
              <w:t>2.26</w:t>
            </w:r>
          </w:p>
        </w:tc>
        <w:tc>
          <w:tcPr>
            <w:tcW w:w="1530" w:type="dxa"/>
            <w:tcBorders>
              <w:top w:val="single" w:sz="4" w:space="0" w:color="auto"/>
              <w:left w:val="single" w:sz="4" w:space="0" w:color="auto"/>
              <w:bottom w:val="single" w:sz="4" w:space="0" w:color="auto"/>
              <w:right w:val="single" w:sz="4" w:space="0" w:color="auto"/>
            </w:tcBorders>
          </w:tcPr>
          <w:p w14:paraId="6FCED83F" w14:textId="77777777" w:rsidR="003E0023" w:rsidRPr="00246D8C" w:rsidRDefault="003E0023">
            <w:pPr>
              <w:tabs>
                <w:tab w:val="left" w:pos="284"/>
              </w:tabs>
              <w:jc w:val="both"/>
              <w:rPr>
                <w:sz w:val="22"/>
                <w:szCs w:val="22"/>
                <w:lang w:val="sr-Latn-ME"/>
              </w:rPr>
            </w:pPr>
            <w:r w:rsidRPr="00246D8C">
              <w:rPr>
                <w:sz w:val="22"/>
                <w:szCs w:val="22"/>
                <w:lang w:val="sr-Latn-ME"/>
              </w:rPr>
              <w:t>1.11</w:t>
            </w:r>
            <w:r w:rsidRPr="00246D8C">
              <w:rPr>
                <w:sz w:val="22"/>
                <w:szCs w:val="22"/>
                <w:lang w:val="sr-Latn-ME"/>
              </w:rPr>
              <w:br/>
              <w:t>(0.96, 1.27)¶</w:t>
            </w:r>
          </w:p>
        </w:tc>
      </w:tr>
    </w:tbl>
    <w:p w14:paraId="6D97EC34" w14:textId="77777777" w:rsidR="003E0023" w:rsidRPr="00246D8C" w:rsidRDefault="003E0023" w:rsidP="006A7219">
      <w:pPr>
        <w:tabs>
          <w:tab w:val="left" w:pos="284"/>
        </w:tabs>
        <w:jc w:val="both"/>
        <w:rPr>
          <w:sz w:val="22"/>
          <w:szCs w:val="22"/>
          <w:lang w:val="sr-Latn-ME"/>
        </w:rPr>
      </w:pPr>
      <w:r w:rsidRPr="00246D8C">
        <w:rPr>
          <w:sz w:val="22"/>
          <w:szCs w:val="22"/>
          <w:lang w:val="sr-Latn-ME"/>
        </w:rPr>
        <w:t>*</w:t>
      </w:r>
      <w:r w:rsidRPr="00246D8C">
        <w:rPr>
          <w:sz w:val="22"/>
          <w:szCs w:val="22"/>
          <w:lang w:val="sr-Latn-ME"/>
        </w:rPr>
        <w:tab/>
        <w:t>Intent-to-treat populacija</w:t>
      </w:r>
    </w:p>
    <w:p w14:paraId="2656E726" w14:textId="77777777" w:rsidR="00D82F38" w:rsidRPr="00246D8C" w:rsidRDefault="003E0023" w:rsidP="00D82F38">
      <w:pPr>
        <w:tabs>
          <w:tab w:val="left" w:pos="284"/>
        </w:tabs>
        <w:jc w:val="both"/>
        <w:rPr>
          <w:sz w:val="22"/>
          <w:szCs w:val="22"/>
          <w:lang w:val="sr-Latn-ME"/>
        </w:rPr>
      </w:pPr>
      <w:r w:rsidRPr="00246D8C">
        <w:rPr>
          <w:sz w:val="22"/>
          <w:szCs w:val="22"/>
          <w:lang w:val="sr-Latn-ME"/>
        </w:rPr>
        <w:t>†</w:t>
      </w:r>
      <w:r w:rsidRPr="00246D8C">
        <w:rPr>
          <w:sz w:val="22"/>
          <w:szCs w:val="22"/>
          <w:lang w:val="sr-Latn-ME"/>
        </w:rPr>
        <w:tab/>
      </w:r>
      <w:r w:rsidRPr="00246D8C">
        <w:rPr>
          <w:i/>
          <w:sz w:val="22"/>
          <w:szCs w:val="22"/>
          <w:lang w:val="sr-Latn-ME"/>
        </w:rPr>
        <w:t>Hazard ratio</w:t>
      </w:r>
      <w:r w:rsidRPr="00246D8C">
        <w:rPr>
          <w:sz w:val="22"/>
          <w:szCs w:val="22"/>
          <w:lang w:val="sr-Latn-ME"/>
        </w:rPr>
        <w:t xml:space="preserve"> podešen za bazalnu vr</w:t>
      </w:r>
      <w:r w:rsidR="00D82F38" w:rsidRPr="00246D8C">
        <w:rPr>
          <w:sz w:val="22"/>
          <w:szCs w:val="22"/>
          <w:lang w:val="sr-Latn-ME"/>
        </w:rPr>
        <w:t>ij</w:t>
      </w:r>
      <w:r w:rsidRPr="00246D8C">
        <w:rPr>
          <w:sz w:val="22"/>
          <w:szCs w:val="22"/>
          <w:lang w:val="sr-Latn-ME"/>
        </w:rPr>
        <w:t xml:space="preserve">ednost renalne funkcije i </w:t>
      </w:r>
      <w:r w:rsidR="00D82F38" w:rsidRPr="00246D8C">
        <w:rPr>
          <w:sz w:val="22"/>
          <w:szCs w:val="22"/>
          <w:lang w:val="sr-Latn-ME"/>
        </w:rPr>
        <w:t>kategoriju rizika od kardiovaskularne</w:t>
      </w:r>
    </w:p>
    <w:p w14:paraId="784D7D80" w14:textId="4882D9B6" w:rsidR="003E0023" w:rsidRPr="00246D8C" w:rsidRDefault="00D82F38" w:rsidP="00D82F38">
      <w:pPr>
        <w:tabs>
          <w:tab w:val="left" w:pos="284"/>
        </w:tabs>
        <w:jc w:val="both"/>
        <w:rPr>
          <w:sz w:val="22"/>
          <w:szCs w:val="22"/>
          <w:lang w:val="sr-Latn-ME"/>
        </w:rPr>
      </w:pPr>
      <w:r w:rsidRPr="00246D8C">
        <w:rPr>
          <w:sz w:val="22"/>
          <w:szCs w:val="22"/>
          <w:lang w:val="sr-Latn-ME"/>
        </w:rPr>
        <w:t>bolesti na početku ispitivanja</w:t>
      </w:r>
      <w:r w:rsidR="003E0023" w:rsidRPr="00246D8C">
        <w:rPr>
          <w:sz w:val="22"/>
          <w:szCs w:val="22"/>
          <w:lang w:val="sr-Latn-ME"/>
        </w:rPr>
        <w:t>.</w:t>
      </w:r>
    </w:p>
    <w:p w14:paraId="4FD48605" w14:textId="77777777" w:rsidR="003E0023" w:rsidRPr="00246D8C" w:rsidRDefault="003E0023" w:rsidP="00AE24EE">
      <w:pPr>
        <w:tabs>
          <w:tab w:val="left" w:pos="284"/>
        </w:tabs>
        <w:jc w:val="both"/>
        <w:rPr>
          <w:sz w:val="22"/>
          <w:szCs w:val="22"/>
          <w:lang w:val="sr-Latn-ME"/>
        </w:rPr>
      </w:pPr>
      <w:r w:rsidRPr="00246D8C">
        <w:rPr>
          <w:sz w:val="22"/>
          <w:szCs w:val="22"/>
          <w:lang w:val="sr-Latn-ME"/>
        </w:rPr>
        <w:t>‡</w:t>
      </w:r>
      <w:r w:rsidRPr="00246D8C">
        <w:rPr>
          <w:sz w:val="22"/>
          <w:szCs w:val="22"/>
          <w:lang w:val="sr-Latn-ME"/>
        </w:rPr>
        <w:tab/>
        <w:t>p-vrijednost &lt;0.001 za neinferiorni (postavljen na HR &lt;1.3) u poređenju sa placebom.</w:t>
      </w:r>
    </w:p>
    <w:p w14:paraId="272644A9" w14:textId="77777777" w:rsidR="003E0023" w:rsidRPr="00246D8C" w:rsidRDefault="003E0023" w:rsidP="00AE24EE">
      <w:pPr>
        <w:tabs>
          <w:tab w:val="left" w:pos="284"/>
        </w:tabs>
        <w:jc w:val="both"/>
        <w:rPr>
          <w:sz w:val="22"/>
          <w:szCs w:val="22"/>
          <w:lang w:val="sr-Latn-ME"/>
        </w:rPr>
      </w:pPr>
      <w:r w:rsidRPr="00246D8C">
        <w:rPr>
          <w:sz w:val="22"/>
          <w:szCs w:val="22"/>
          <w:lang w:val="sr-Latn-ME"/>
        </w:rPr>
        <w:t>§</w:t>
      </w:r>
      <w:r w:rsidRPr="00246D8C">
        <w:rPr>
          <w:sz w:val="22"/>
          <w:szCs w:val="22"/>
          <w:lang w:val="sr-Latn-ME"/>
        </w:rPr>
        <w:tab/>
        <w:t>p-vrijednost = 0.99 za superiorni (postavljen na HR &lt;1.0) u poređenju sa placebom.</w:t>
      </w:r>
    </w:p>
    <w:p w14:paraId="0224CEE1" w14:textId="1DAF18C4" w:rsidR="003E0023" w:rsidRPr="00246D8C" w:rsidRDefault="003E0023">
      <w:pPr>
        <w:tabs>
          <w:tab w:val="left" w:pos="284"/>
        </w:tabs>
        <w:jc w:val="both"/>
        <w:rPr>
          <w:sz w:val="22"/>
          <w:szCs w:val="22"/>
          <w:lang w:val="sr-Latn-ME"/>
        </w:rPr>
      </w:pPr>
      <w:r w:rsidRPr="00246D8C">
        <w:rPr>
          <w:sz w:val="22"/>
          <w:szCs w:val="22"/>
          <w:lang w:val="sr-Latn-ME"/>
        </w:rPr>
        <w:t>#</w:t>
      </w:r>
      <w:r w:rsidRPr="00246D8C">
        <w:rPr>
          <w:sz w:val="22"/>
          <w:szCs w:val="22"/>
          <w:lang w:val="sr-Latn-ME"/>
        </w:rPr>
        <w:tab/>
        <w:t>Događaji su se vremenom akumulirali na konzistentan način, pri čemu nije bilo razlike za lijek Onglyza i placebo tokom vremena.</w:t>
      </w:r>
      <w:r w:rsidR="006702E5" w:rsidRPr="00246D8C">
        <w:rPr>
          <w:sz w:val="22"/>
          <w:szCs w:val="22"/>
          <w:lang w:val="sr-Latn-ME"/>
        </w:rPr>
        <w:t xml:space="preserve">    </w:t>
      </w:r>
    </w:p>
    <w:p w14:paraId="59214C27" w14:textId="77777777" w:rsidR="003E0023" w:rsidRPr="00246D8C" w:rsidRDefault="003E0023">
      <w:pPr>
        <w:tabs>
          <w:tab w:val="left" w:pos="284"/>
        </w:tabs>
        <w:jc w:val="both"/>
        <w:rPr>
          <w:sz w:val="22"/>
          <w:szCs w:val="22"/>
          <w:lang w:val="sr-Latn-ME"/>
        </w:rPr>
      </w:pPr>
      <w:r w:rsidRPr="00246D8C">
        <w:rPr>
          <w:sz w:val="22"/>
          <w:szCs w:val="22"/>
          <w:lang w:val="sr-Latn-ME"/>
        </w:rPr>
        <w:t>¶</w:t>
      </w:r>
      <w:r w:rsidRPr="00246D8C">
        <w:rPr>
          <w:sz w:val="22"/>
          <w:szCs w:val="22"/>
          <w:lang w:val="sr-Latn-ME"/>
        </w:rPr>
        <w:tab/>
        <w:t>Značajnost nije testirana.</w:t>
      </w:r>
    </w:p>
    <w:p w14:paraId="6D7359C5" w14:textId="77777777" w:rsidR="003E0023" w:rsidRPr="00246D8C" w:rsidRDefault="003E0023" w:rsidP="002D73AD">
      <w:pPr>
        <w:tabs>
          <w:tab w:val="left" w:pos="284"/>
        </w:tabs>
        <w:jc w:val="both"/>
        <w:rPr>
          <w:sz w:val="22"/>
          <w:szCs w:val="22"/>
          <w:lang w:val="sr-Latn-ME"/>
        </w:rPr>
      </w:pPr>
    </w:p>
    <w:p w14:paraId="4813AFBA" w14:textId="1A2279E7" w:rsidR="003E0023" w:rsidRPr="00246D8C" w:rsidRDefault="003E0023" w:rsidP="003C0336">
      <w:pPr>
        <w:tabs>
          <w:tab w:val="left" w:pos="284"/>
        </w:tabs>
        <w:jc w:val="both"/>
        <w:rPr>
          <w:sz w:val="22"/>
          <w:szCs w:val="22"/>
          <w:lang w:val="sr-Latn-ME"/>
        </w:rPr>
      </w:pPr>
      <w:r w:rsidRPr="00246D8C">
        <w:rPr>
          <w:sz w:val="22"/>
          <w:szCs w:val="22"/>
          <w:lang w:val="sr-Latn-ME"/>
        </w:rPr>
        <w:t>Jedan od ciljeva koji je praćen, hospitalizacija usljed srčane slabosti, češće se javljala u grupi na saksagliptinu</w:t>
      </w:r>
      <w:r w:rsidR="006702E5" w:rsidRPr="00246D8C">
        <w:rPr>
          <w:sz w:val="22"/>
          <w:szCs w:val="22"/>
          <w:lang w:val="sr-Latn-ME"/>
        </w:rPr>
        <w:t xml:space="preserve"> </w:t>
      </w:r>
      <w:r w:rsidRPr="00246D8C">
        <w:rPr>
          <w:sz w:val="22"/>
          <w:szCs w:val="22"/>
          <w:lang w:val="sr-Latn-ME"/>
        </w:rPr>
        <w:t>(3.5%) u poređenju sa placebo grupom (2.8%), pri nominalnoj statističkoj značajnosti u korist placeb</w:t>
      </w:r>
      <w:r w:rsidR="00D82F38" w:rsidRPr="00246D8C">
        <w:rPr>
          <w:sz w:val="22"/>
          <w:szCs w:val="22"/>
          <w:lang w:val="sr-Latn-ME"/>
        </w:rPr>
        <w:t xml:space="preserve">a </w:t>
      </w:r>
      <w:r w:rsidRPr="00246D8C">
        <w:rPr>
          <w:sz w:val="22"/>
          <w:szCs w:val="22"/>
          <w:lang w:val="sr-Latn-ME"/>
        </w:rPr>
        <w:t xml:space="preserve">[HR = 1.27; (95% CI 1.07, 1.51); </w:t>
      </w:r>
      <w:r w:rsidR="00882533" w:rsidRPr="00246D8C">
        <w:rPr>
          <w:sz w:val="22"/>
          <w:szCs w:val="22"/>
          <w:lang w:val="sr-Latn-ME"/>
        </w:rPr>
        <w:t xml:space="preserve">p </w:t>
      </w:r>
      <w:r w:rsidRPr="00246D8C">
        <w:rPr>
          <w:sz w:val="22"/>
          <w:szCs w:val="22"/>
          <w:lang w:val="sr-Latn-ME"/>
        </w:rPr>
        <w:t>= 0.007]. Klinički relevanti faktori za predviđanje povećanog relativnog rizika pri terapiji saksagliptinom ni</w:t>
      </w:r>
      <w:r w:rsidR="00D82F38" w:rsidRPr="00246D8C">
        <w:rPr>
          <w:sz w:val="22"/>
          <w:szCs w:val="22"/>
          <w:lang w:val="sr-Latn-ME"/>
        </w:rPr>
        <w:t>je</w:t>
      </w:r>
      <w:r w:rsidRPr="00246D8C">
        <w:rPr>
          <w:sz w:val="22"/>
          <w:szCs w:val="22"/>
          <w:lang w:val="sr-Latn-ME"/>
        </w:rPr>
        <w:t>su mogli biti identifikovani. Pacijenti pod povećanim rizikom od hospitalizacije usl</w:t>
      </w:r>
      <w:r w:rsidR="00D82F38" w:rsidRPr="00246D8C">
        <w:rPr>
          <w:sz w:val="22"/>
          <w:szCs w:val="22"/>
          <w:lang w:val="sr-Latn-ME"/>
        </w:rPr>
        <w:t>j</w:t>
      </w:r>
      <w:r w:rsidRPr="00246D8C">
        <w:rPr>
          <w:sz w:val="22"/>
          <w:szCs w:val="22"/>
          <w:lang w:val="sr-Latn-ME"/>
        </w:rPr>
        <w:t>ed srčane slabosti, nezavisno od prim</w:t>
      </w:r>
      <w:r w:rsidR="00D82F38" w:rsidRPr="00246D8C">
        <w:rPr>
          <w:sz w:val="22"/>
          <w:szCs w:val="22"/>
          <w:lang w:val="sr-Latn-ME"/>
        </w:rPr>
        <w:t>i</w:t>
      </w:r>
      <w:r w:rsidRPr="00246D8C">
        <w:rPr>
          <w:sz w:val="22"/>
          <w:szCs w:val="22"/>
          <w:lang w:val="sr-Latn-ME"/>
        </w:rPr>
        <w:t>jenjene terapije, mogu se identifikovati na osnovu poznatih faktora rizika za srčanu slabost kao što su anamnestički podaci o srčanoj slabosti ili smanjena bubrežna funkcija.</w:t>
      </w:r>
    </w:p>
    <w:p w14:paraId="36493DB9" w14:textId="111D668D" w:rsidR="003E0023" w:rsidRPr="00246D8C" w:rsidRDefault="003E0023" w:rsidP="00AE24EE">
      <w:pPr>
        <w:tabs>
          <w:tab w:val="left" w:pos="284"/>
        </w:tabs>
        <w:jc w:val="both"/>
        <w:rPr>
          <w:sz w:val="22"/>
          <w:szCs w:val="22"/>
          <w:lang w:val="sr-Latn-ME"/>
        </w:rPr>
      </w:pPr>
      <w:r w:rsidRPr="00246D8C">
        <w:rPr>
          <w:sz w:val="22"/>
          <w:szCs w:val="22"/>
          <w:lang w:val="sr-Latn-ME"/>
        </w:rPr>
        <w:t>Međutim, pacijenti na saksagliptinu sa anamnezom srčane slabosti ili smanjenja bubrežne funkcije ni</w:t>
      </w:r>
      <w:r w:rsidR="00D82F38" w:rsidRPr="00246D8C">
        <w:rPr>
          <w:sz w:val="22"/>
          <w:szCs w:val="22"/>
          <w:lang w:val="sr-Latn-ME"/>
        </w:rPr>
        <w:t>je</w:t>
      </w:r>
      <w:r w:rsidRPr="00246D8C">
        <w:rPr>
          <w:sz w:val="22"/>
          <w:szCs w:val="22"/>
          <w:lang w:val="sr-Latn-ME"/>
        </w:rPr>
        <w:t xml:space="preserve">su imali povećani rizik u odnosu na placebo za primarni i sekundarni </w:t>
      </w:r>
      <w:r w:rsidR="00D82F38" w:rsidRPr="00246D8C">
        <w:rPr>
          <w:sz w:val="22"/>
          <w:szCs w:val="22"/>
          <w:lang w:val="sr-Latn-ME"/>
        </w:rPr>
        <w:t>kompozitni parametar praćenja</w:t>
      </w:r>
      <w:r w:rsidRPr="00246D8C">
        <w:rPr>
          <w:sz w:val="22"/>
          <w:szCs w:val="22"/>
          <w:lang w:val="sr-Latn-ME"/>
        </w:rPr>
        <w:t xml:space="preserve"> ili sveukupni mortalitet.</w:t>
      </w:r>
    </w:p>
    <w:p w14:paraId="32D1C32A" w14:textId="77777777" w:rsidR="003E0023" w:rsidRPr="00246D8C" w:rsidRDefault="003E0023">
      <w:pPr>
        <w:tabs>
          <w:tab w:val="left" w:pos="284"/>
        </w:tabs>
        <w:jc w:val="both"/>
        <w:rPr>
          <w:sz w:val="22"/>
          <w:szCs w:val="22"/>
          <w:lang w:val="sr-Latn-ME"/>
        </w:rPr>
      </w:pPr>
    </w:p>
    <w:p w14:paraId="3438FDBF" w14:textId="37AB5D9F" w:rsidR="003E0023" w:rsidRPr="00246D8C" w:rsidRDefault="003E0023">
      <w:pPr>
        <w:tabs>
          <w:tab w:val="left" w:pos="284"/>
        </w:tabs>
        <w:jc w:val="both"/>
        <w:rPr>
          <w:sz w:val="22"/>
          <w:szCs w:val="22"/>
          <w:lang w:val="sr-Latn-ME"/>
        </w:rPr>
      </w:pPr>
      <w:r w:rsidRPr="00246D8C">
        <w:rPr>
          <w:sz w:val="22"/>
          <w:szCs w:val="22"/>
          <w:lang w:val="sr-Latn-ME"/>
        </w:rPr>
        <w:t xml:space="preserve">Učestalost drugog sekundarnog </w:t>
      </w:r>
      <w:r w:rsidR="00D82F38" w:rsidRPr="00246D8C">
        <w:rPr>
          <w:sz w:val="22"/>
          <w:szCs w:val="22"/>
          <w:lang w:val="sr-Latn-ME"/>
        </w:rPr>
        <w:t>parametra praćenja</w:t>
      </w:r>
      <w:r w:rsidRPr="00246D8C">
        <w:rPr>
          <w:sz w:val="22"/>
          <w:szCs w:val="22"/>
          <w:lang w:val="sr-Latn-ME"/>
        </w:rPr>
        <w:t>, smrtnosti usl</w:t>
      </w:r>
      <w:r w:rsidR="00D82F38" w:rsidRPr="00246D8C">
        <w:rPr>
          <w:sz w:val="22"/>
          <w:szCs w:val="22"/>
          <w:lang w:val="sr-Latn-ME"/>
        </w:rPr>
        <w:t>j</w:t>
      </w:r>
      <w:r w:rsidRPr="00246D8C">
        <w:rPr>
          <w:sz w:val="22"/>
          <w:szCs w:val="22"/>
          <w:lang w:val="sr-Latn-ME"/>
        </w:rPr>
        <w:t xml:space="preserve">ed bilo kojeg uzroka, bila je 5,1% u grupi koja je uzimala saksagliptin i 4,6 posto u grupi koja je uzimala placebo (videti Tabelu 4). Broj kardiovaskularnih smrtnih ishoda je bio ujednačen u obje grupe. Uočena je brojčana nejednakost u nekardiovaskularnim smrtnim ishodima, sa većim brojem događaja u grupi koja je uzimala saksagliptin (1,8%) u odnosu na grupu koja je uzimala placebo (1,4%) [HR = 1,27; (95% CI 1,00, 1,62); </w:t>
      </w:r>
      <w:r w:rsidR="00882533" w:rsidRPr="00246D8C">
        <w:rPr>
          <w:sz w:val="22"/>
          <w:szCs w:val="22"/>
          <w:lang w:val="sr-Latn-ME"/>
        </w:rPr>
        <w:t xml:space="preserve">p </w:t>
      </w:r>
      <w:r w:rsidRPr="00246D8C">
        <w:rPr>
          <w:sz w:val="22"/>
          <w:szCs w:val="22"/>
          <w:lang w:val="sr-Latn-ME"/>
        </w:rPr>
        <w:t>= 0,051]</w:t>
      </w:r>
    </w:p>
    <w:p w14:paraId="76650B18" w14:textId="77777777" w:rsidR="003E0023" w:rsidRPr="00246D8C" w:rsidRDefault="003E0023">
      <w:pPr>
        <w:tabs>
          <w:tab w:val="left" w:pos="284"/>
        </w:tabs>
        <w:jc w:val="both"/>
        <w:rPr>
          <w:sz w:val="22"/>
          <w:szCs w:val="22"/>
          <w:lang w:val="sr-Latn-ME"/>
        </w:rPr>
      </w:pPr>
    </w:p>
    <w:p w14:paraId="1D67948D" w14:textId="77777777" w:rsidR="003E0023" w:rsidRPr="00246D8C" w:rsidRDefault="003E0023">
      <w:pPr>
        <w:tabs>
          <w:tab w:val="left" w:pos="284"/>
        </w:tabs>
        <w:jc w:val="both"/>
        <w:rPr>
          <w:sz w:val="22"/>
          <w:szCs w:val="22"/>
          <w:lang w:val="sr-Latn-ME"/>
        </w:rPr>
      </w:pPr>
      <w:r w:rsidRPr="00246D8C">
        <w:rPr>
          <w:sz w:val="22"/>
          <w:szCs w:val="22"/>
          <w:lang w:val="sr-Latn-ME"/>
        </w:rPr>
        <w:t>A1C bio je niži na saksagliptinu u poređenju sa placebom pri eksplorativnoj analizi.</w:t>
      </w:r>
    </w:p>
    <w:p w14:paraId="29BAB061" w14:textId="77777777" w:rsidR="003E0023" w:rsidRPr="00246D8C" w:rsidRDefault="003E0023" w:rsidP="002D73AD">
      <w:pPr>
        <w:tabs>
          <w:tab w:val="left" w:pos="284"/>
        </w:tabs>
        <w:jc w:val="both"/>
        <w:rPr>
          <w:sz w:val="22"/>
          <w:szCs w:val="22"/>
          <w:lang w:val="sr-Latn-ME"/>
        </w:rPr>
      </w:pPr>
    </w:p>
    <w:p w14:paraId="7A0D33D4" w14:textId="77777777" w:rsidR="003E0023" w:rsidRPr="00246D8C" w:rsidRDefault="003E0023" w:rsidP="002D73AD">
      <w:pPr>
        <w:tabs>
          <w:tab w:val="left" w:pos="284"/>
        </w:tabs>
        <w:jc w:val="both"/>
        <w:rPr>
          <w:i/>
          <w:sz w:val="22"/>
          <w:szCs w:val="22"/>
          <w:lang w:val="sr-Latn-ME"/>
        </w:rPr>
      </w:pPr>
      <w:r w:rsidRPr="00246D8C">
        <w:rPr>
          <w:i/>
          <w:sz w:val="22"/>
          <w:szCs w:val="22"/>
          <w:lang w:val="sr-Latn-ME"/>
        </w:rPr>
        <w:t>Pedijatrijska populacija</w:t>
      </w:r>
    </w:p>
    <w:p w14:paraId="3FDA0F3F" w14:textId="61B7DA4D" w:rsidR="003E0023" w:rsidRPr="00246D8C" w:rsidRDefault="00882533" w:rsidP="003C0336">
      <w:pPr>
        <w:tabs>
          <w:tab w:val="left" w:pos="284"/>
        </w:tabs>
        <w:jc w:val="both"/>
        <w:rPr>
          <w:sz w:val="22"/>
          <w:szCs w:val="22"/>
          <w:lang w:val="sr-Latn-ME"/>
        </w:rPr>
      </w:pPr>
      <w:r w:rsidRPr="00246D8C">
        <w:rPr>
          <w:sz w:val="22"/>
          <w:szCs w:val="22"/>
          <w:lang w:val="sr-Latn-ME"/>
        </w:rPr>
        <w:t xml:space="preserve">U studiji sprovedenoj </w:t>
      </w:r>
      <w:r w:rsidR="00FC56E3" w:rsidRPr="00246D8C">
        <w:rPr>
          <w:sz w:val="22"/>
          <w:szCs w:val="22"/>
          <w:lang w:val="sr-Latn-ME"/>
        </w:rPr>
        <w:t>u</w:t>
      </w:r>
      <w:r w:rsidRPr="00246D8C">
        <w:rPr>
          <w:sz w:val="22"/>
          <w:szCs w:val="22"/>
          <w:lang w:val="sr-Latn-ME"/>
        </w:rPr>
        <w:t xml:space="preserve"> pedijatrijsko</w:t>
      </w:r>
      <w:r w:rsidR="00FC56E3" w:rsidRPr="00246D8C">
        <w:rPr>
          <w:sz w:val="22"/>
          <w:szCs w:val="22"/>
          <w:lang w:val="sr-Latn-ME"/>
        </w:rPr>
        <w:t>j</w:t>
      </w:r>
      <w:r w:rsidRPr="00246D8C">
        <w:rPr>
          <w:sz w:val="22"/>
          <w:szCs w:val="22"/>
          <w:lang w:val="sr-Latn-ME"/>
        </w:rPr>
        <w:t xml:space="preserve"> populacij</w:t>
      </w:r>
      <w:r w:rsidR="00FC56E3" w:rsidRPr="00246D8C">
        <w:rPr>
          <w:sz w:val="22"/>
          <w:szCs w:val="22"/>
          <w:lang w:val="sr-Latn-ME"/>
        </w:rPr>
        <w:t>i</w:t>
      </w:r>
      <w:r w:rsidRPr="00246D8C">
        <w:rPr>
          <w:sz w:val="22"/>
          <w:szCs w:val="22"/>
          <w:lang w:val="sr-Latn-ME"/>
        </w:rPr>
        <w:t xml:space="preserve">, pacijenti </w:t>
      </w:r>
      <w:r w:rsidR="00FC56E3" w:rsidRPr="00246D8C">
        <w:rPr>
          <w:sz w:val="22"/>
          <w:szCs w:val="22"/>
          <w:lang w:val="sr-Latn-ME"/>
        </w:rPr>
        <w:t>uzrasta</w:t>
      </w:r>
      <w:r w:rsidRPr="00246D8C">
        <w:rPr>
          <w:sz w:val="22"/>
          <w:szCs w:val="22"/>
          <w:lang w:val="sr-Latn-ME"/>
        </w:rPr>
        <w:t xml:space="preserve"> od 10 do </w:t>
      </w:r>
      <w:r w:rsidR="00FC56E3" w:rsidRPr="00246D8C">
        <w:rPr>
          <w:sz w:val="22"/>
          <w:szCs w:val="22"/>
          <w:lang w:val="sr-Latn-ME"/>
        </w:rPr>
        <w:t xml:space="preserve">&lt; </w:t>
      </w:r>
      <w:r w:rsidRPr="00246D8C">
        <w:rPr>
          <w:sz w:val="22"/>
          <w:szCs w:val="22"/>
          <w:lang w:val="sr-Latn-ME"/>
        </w:rPr>
        <w:t xml:space="preserve">18 godina sa neadekvatno kontrolisanim dijabetes melitusom tip 2, randomizovani su </w:t>
      </w:r>
      <w:r w:rsidR="00FC56E3" w:rsidRPr="00246D8C">
        <w:rPr>
          <w:sz w:val="22"/>
          <w:szCs w:val="22"/>
          <w:lang w:val="sr-Latn-ME"/>
        </w:rPr>
        <w:t>u</w:t>
      </w:r>
      <w:r w:rsidRPr="00246D8C">
        <w:rPr>
          <w:sz w:val="22"/>
          <w:szCs w:val="22"/>
          <w:lang w:val="sr-Latn-ME"/>
        </w:rPr>
        <w:t xml:space="preserve"> grupu koja je dobijala saksagliptin (88 pacijenata) i grupu koja je dobijala placebo (76 pacijenata) kao dodatak metforminu, insulinu ili kombinaciji metformina i insulina. U ovoj 26-nedjeljnoj, placebo-kontrolisanoj, dvostruko slijepoj, randomizovanoj studiji,</w:t>
      </w:r>
      <w:r w:rsidR="00FC56E3" w:rsidRPr="00246D8C">
        <w:rPr>
          <w:sz w:val="22"/>
          <w:szCs w:val="22"/>
          <w:lang w:val="sr-Latn-ME"/>
        </w:rPr>
        <w:t xml:space="preserve"> sa 26-nedjeljnim produžetkom radi praćenja bezbjednosti primjene,</w:t>
      </w:r>
      <w:r w:rsidRPr="00246D8C">
        <w:rPr>
          <w:sz w:val="22"/>
          <w:szCs w:val="22"/>
          <w:lang w:val="sr-Latn-ME"/>
        </w:rPr>
        <w:t xml:space="preserve"> pacijenti su dobijali 2,5 mg saksagliptina (</w:t>
      </w:r>
      <w:r w:rsidR="00FC56E3" w:rsidRPr="00246D8C">
        <w:rPr>
          <w:sz w:val="22"/>
          <w:szCs w:val="22"/>
          <w:lang w:val="sr-Latn-ME"/>
        </w:rPr>
        <w:t>uz mogućnost</w:t>
      </w:r>
      <w:r w:rsidRPr="00246D8C">
        <w:rPr>
          <w:sz w:val="22"/>
          <w:szCs w:val="22"/>
          <w:lang w:val="sr-Latn-ME"/>
        </w:rPr>
        <w:t xml:space="preserve"> povećanj</w:t>
      </w:r>
      <w:r w:rsidR="00FC56E3" w:rsidRPr="00246D8C">
        <w:rPr>
          <w:sz w:val="22"/>
          <w:szCs w:val="22"/>
          <w:lang w:val="sr-Latn-ME"/>
        </w:rPr>
        <w:t>a</w:t>
      </w:r>
      <w:r w:rsidRPr="00246D8C">
        <w:rPr>
          <w:sz w:val="22"/>
          <w:szCs w:val="22"/>
          <w:lang w:val="sr-Latn-ME"/>
        </w:rPr>
        <w:t xml:space="preserve"> doze na 5 mg) ili placebo jedno dnevno nakon uvodnog perioda. Primarni parametar praćenja efikasnosti bila je promjena vrijednosti HbAc1 od početka do 26. nedjelje liječenja. Razlika između </w:t>
      </w:r>
      <w:r w:rsidR="00FC56E3" w:rsidRPr="00246D8C">
        <w:rPr>
          <w:sz w:val="22"/>
          <w:szCs w:val="22"/>
          <w:lang w:val="sr-Latn-ME"/>
        </w:rPr>
        <w:t xml:space="preserve">lijeka </w:t>
      </w:r>
      <w:r w:rsidRPr="00246D8C">
        <w:rPr>
          <w:sz w:val="22"/>
          <w:szCs w:val="22"/>
          <w:lang w:val="sr-Latn-ME"/>
        </w:rPr>
        <w:t>i placeb</w:t>
      </w:r>
      <w:r w:rsidR="00FC56E3" w:rsidRPr="00246D8C">
        <w:rPr>
          <w:sz w:val="22"/>
          <w:szCs w:val="22"/>
          <w:lang w:val="sr-Latn-ME"/>
        </w:rPr>
        <w:t>a</w:t>
      </w:r>
      <w:r w:rsidRPr="00246D8C">
        <w:rPr>
          <w:sz w:val="22"/>
          <w:szCs w:val="22"/>
          <w:lang w:val="sr-Latn-ME"/>
        </w:rPr>
        <w:t xml:space="preserve"> nije bila statistički značajna [-0.44% (95% CI: -0.93, 0.05)]. Bezbjedonosni profil je bio sličan onom koji je uočen kod odrasle populacije liječene saksagliptinom.</w:t>
      </w:r>
    </w:p>
    <w:p w14:paraId="3C6EF489" w14:textId="77777777" w:rsidR="00FC56E3" w:rsidRPr="00246D8C" w:rsidRDefault="00FC56E3" w:rsidP="003C0336">
      <w:pPr>
        <w:tabs>
          <w:tab w:val="left" w:pos="284"/>
        </w:tabs>
        <w:jc w:val="both"/>
        <w:rPr>
          <w:i/>
          <w:sz w:val="22"/>
          <w:szCs w:val="22"/>
          <w:lang w:val="sr-Latn-ME"/>
        </w:rPr>
      </w:pPr>
    </w:p>
    <w:p w14:paraId="1069C70C" w14:textId="21B43CEE" w:rsidR="003E0023" w:rsidRPr="00246D8C" w:rsidRDefault="003E0023" w:rsidP="00AE24EE">
      <w:pPr>
        <w:tabs>
          <w:tab w:val="left" w:pos="284"/>
        </w:tabs>
        <w:jc w:val="both"/>
        <w:rPr>
          <w:sz w:val="22"/>
          <w:szCs w:val="22"/>
          <w:lang w:val="sr-Latn-ME"/>
        </w:rPr>
      </w:pPr>
      <w:r w:rsidRPr="00246D8C">
        <w:rPr>
          <w:i/>
          <w:sz w:val="22"/>
          <w:szCs w:val="22"/>
          <w:lang w:val="sr-Latn-ME"/>
        </w:rPr>
        <w:t>Starija populacija</w:t>
      </w:r>
    </w:p>
    <w:p w14:paraId="4505E2BD" w14:textId="77777777" w:rsidR="003E0023" w:rsidRPr="00246D8C" w:rsidRDefault="003E0023">
      <w:pPr>
        <w:tabs>
          <w:tab w:val="left" w:pos="284"/>
        </w:tabs>
        <w:jc w:val="both"/>
        <w:rPr>
          <w:sz w:val="22"/>
          <w:szCs w:val="22"/>
          <w:lang w:val="sr-Latn-ME"/>
        </w:rPr>
      </w:pPr>
      <w:r w:rsidRPr="00246D8C">
        <w:rPr>
          <w:sz w:val="22"/>
          <w:szCs w:val="22"/>
          <w:lang w:val="sr-Latn-ME"/>
        </w:rPr>
        <w:t>U SAVOR studiji za subgrupe preko 65 i preko 75 godina starosti, efikasnost i bezbednost bila je ista kako kod ukupne populacije.</w:t>
      </w:r>
    </w:p>
    <w:p w14:paraId="0DD83C2A" w14:textId="77777777" w:rsidR="003E0023" w:rsidRPr="00246D8C" w:rsidRDefault="003E0023">
      <w:pPr>
        <w:tabs>
          <w:tab w:val="left" w:pos="284"/>
        </w:tabs>
        <w:jc w:val="both"/>
        <w:rPr>
          <w:sz w:val="22"/>
          <w:szCs w:val="22"/>
          <w:lang w:val="sr-Latn-ME"/>
        </w:rPr>
      </w:pPr>
    </w:p>
    <w:p w14:paraId="3B88C005" w14:textId="5497447A" w:rsidR="003E0023" w:rsidRPr="00246D8C" w:rsidRDefault="003E0023">
      <w:pPr>
        <w:tabs>
          <w:tab w:val="left" w:pos="284"/>
        </w:tabs>
        <w:jc w:val="both"/>
        <w:rPr>
          <w:sz w:val="22"/>
          <w:szCs w:val="22"/>
          <w:lang w:val="sr-Latn-ME"/>
        </w:rPr>
      </w:pPr>
      <w:r w:rsidRPr="00246D8C">
        <w:rPr>
          <w:sz w:val="22"/>
          <w:szCs w:val="22"/>
          <w:lang w:val="sr-Latn-ME"/>
        </w:rPr>
        <w:t>GENERATION bila je 52-ned</w:t>
      </w:r>
      <w:r w:rsidR="00D82F38" w:rsidRPr="00246D8C">
        <w:rPr>
          <w:sz w:val="22"/>
          <w:szCs w:val="22"/>
          <w:lang w:val="sr-Latn-ME"/>
        </w:rPr>
        <w:t>j</w:t>
      </w:r>
      <w:r w:rsidRPr="00246D8C">
        <w:rPr>
          <w:sz w:val="22"/>
          <w:szCs w:val="22"/>
          <w:lang w:val="sr-Latn-ME"/>
        </w:rPr>
        <w:t>eljna studija glikemijske kontrole kod 720 starijih pacijenata, srednja starosna vrijednost je 72.6 godina; 433 pacijenata (60.1%) bilo je</w:t>
      </w:r>
      <w:r w:rsidR="006702E5" w:rsidRPr="00246D8C">
        <w:rPr>
          <w:sz w:val="22"/>
          <w:szCs w:val="22"/>
          <w:lang w:val="sr-Latn-ME"/>
        </w:rPr>
        <w:t xml:space="preserve"> </w:t>
      </w:r>
      <w:r w:rsidRPr="00246D8C">
        <w:rPr>
          <w:sz w:val="22"/>
          <w:szCs w:val="22"/>
          <w:lang w:val="sr-Latn-ME"/>
        </w:rPr>
        <w:t>&lt;75 godina starosti, 287 pacijenata (39.9%) bilo je</w:t>
      </w:r>
      <w:r w:rsidR="006702E5" w:rsidRPr="00246D8C">
        <w:rPr>
          <w:sz w:val="22"/>
          <w:szCs w:val="22"/>
          <w:lang w:val="sr-Latn-ME"/>
        </w:rPr>
        <w:t xml:space="preserve"> </w:t>
      </w:r>
      <w:r w:rsidRPr="00246D8C">
        <w:rPr>
          <w:sz w:val="22"/>
          <w:szCs w:val="22"/>
          <w:lang w:val="sr-Latn-ME"/>
        </w:rPr>
        <w:t xml:space="preserve">≥75 godina starosti. Primarni </w:t>
      </w:r>
      <w:r w:rsidR="00AA34B1" w:rsidRPr="00246D8C">
        <w:rPr>
          <w:sz w:val="22"/>
          <w:szCs w:val="22"/>
          <w:lang w:val="sr-Latn-ME"/>
        </w:rPr>
        <w:t>parametar praćenja</w:t>
      </w:r>
      <w:r w:rsidRPr="00246D8C">
        <w:rPr>
          <w:sz w:val="22"/>
          <w:szCs w:val="22"/>
          <w:lang w:val="sr-Latn-ME"/>
        </w:rPr>
        <w:t xml:space="preserve"> bio je odnos pacijenata koji dostognu HbA1c &lt;7% bez potvrđene ili teške hipoglikemije. Nije bilo razlike u procentu odgovora: 37.9% (saksagliptin) i 38.2% (glimepiride) dostiglo je primarni </w:t>
      </w:r>
      <w:r w:rsidR="00AA34B1" w:rsidRPr="00246D8C">
        <w:rPr>
          <w:sz w:val="22"/>
          <w:szCs w:val="22"/>
          <w:lang w:val="sr-Latn-ME"/>
        </w:rPr>
        <w:t>parametar praćenja</w:t>
      </w:r>
      <w:r w:rsidRPr="00246D8C">
        <w:rPr>
          <w:sz w:val="22"/>
          <w:szCs w:val="22"/>
          <w:lang w:val="sr-Latn-ME"/>
        </w:rPr>
        <w:t>. Niži odnos pacijenata u grupi na saksagliptinu (44.7%) u poređenju sa grupom na glimepiridu (54.7%) dostigao je ciljani HbA1c od 7.0%. Niži odnos pacijenata u grupi na saksagliptinu (1.1%) u poređenju sa grupom na glimepiridu (15.3%), imao je potvrđenu ili tešku hipoglikemiju.</w:t>
      </w:r>
    </w:p>
    <w:p w14:paraId="7C945765" w14:textId="61E9AF81" w:rsidR="003E0023" w:rsidRPr="00246D8C" w:rsidRDefault="003E0023">
      <w:pPr>
        <w:tabs>
          <w:tab w:val="left" w:pos="284"/>
        </w:tabs>
        <w:jc w:val="both"/>
        <w:rPr>
          <w:sz w:val="22"/>
          <w:szCs w:val="22"/>
          <w:lang w:val="sr-Latn-ME"/>
        </w:rPr>
      </w:pPr>
    </w:p>
    <w:p w14:paraId="5CFEE4C4" w14:textId="2D2C5F55" w:rsidR="003E0023" w:rsidRPr="00246D8C" w:rsidRDefault="003E0023">
      <w:pPr>
        <w:tabs>
          <w:tab w:val="left" w:pos="284"/>
        </w:tabs>
        <w:jc w:val="both"/>
        <w:rPr>
          <w:b/>
          <w:bCs/>
          <w:sz w:val="22"/>
          <w:szCs w:val="22"/>
          <w:lang w:val="sr-Latn-ME"/>
        </w:rPr>
      </w:pPr>
      <w:r w:rsidRPr="00246D8C">
        <w:rPr>
          <w:b/>
          <w:bCs/>
          <w:sz w:val="22"/>
          <w:szCs w:val="22"/>
          <w:lang w:val="sr-Latn-ME"/>
        </w:rPr>
        <w:lastRenderedPageBreak/>
        <w:t>5.2. Farmakokinetički podaci</w:t>
      </w:r>
    </w:p>
    <w:p w14:paraId="1A51FAB3" w14:textId="77777777" w:rsidR="00AA34B1" w:rsidRPr="00246D8C" w:rsidRDefault="00AA34B1">
      <w:pPr>
        <w:tabs>
          <w:tab w:val="left" w:pos="284"/>
        </w:tabs>
        <w:jc w:val="both"/>
        <w:rPr>
          <w:sz w:val="22"/>
          <w:szCs w:val="22"/>
          <w:lang w:val="sr-Latn-ME"/>
        </w:rPr>
      </w:pPr>
    </w:p>
    <w:p w14:paraId="10F5DE91" w14:textId="657B14A2" w:rsidR="003E0023" w:rsidRPr="00246D8C" w:rsidRDefault="003E0023">
      <w:pPr>
        <w:tabs>
          <w:tab w:val="left" w:pos="284"/>
        </w:tabs>
        <w:jc w:val="both"/>
        <w:outlineLvl w:val="0"/>
        <w:rPr>
          <w:bCs/>
          <w:sz w:val="22"/>
          <w:szCs w:val="22"/>
          <w:lang w:val="sr-Latn-ME"/>
        </w:rPr>
      </w:pPr>
      <w:r w:rsidRPr="00246D8C">
        <w:rPr>
          <w:bCs/>
          <w:sz w:val="22"/>
          <w:szCs w:val="22"/>
          <w:lang w:val="sr-Latn-ME"/>
        </w:rPr>
        <w:t>Farmakokinetika saksagliptina i njegovog glavnog metabolita bila je slična kod zdravih ispitanika i kod pacijenata sa dijabetesom tipa 2.</w:t>
      </w:r>
    </w:p>
    <w:p w14:paraId="3DD37301" w14:textId="77777777" w:rsidR="00FC56E3" w:rsidRPr="00246D8C" w:rsidRDefault="00FC56E3">
      <w:pPr>
        <w:tabs>
          <w:tab w:val="left" w:pos="284"/>
        </w:tabs>
        <w:jc w:val="both"/>
        <w:outlineLvl w:val="0"/>
        <w:rPr>
          <w:bCs/>
          <w:sz w:val="22"/>
          <w:szCs w:val="22"/>
          <w:lang w:val="sr-Latn-ME"/>
        </w:rPr>
      </w:pPr>
    </w:p>
    <w:p w14:paraId="0BC5A33D" w14:textId="77777777" w:rsidR="003E0023" w:rsidRPr="00246D8C" w:rsidRDefault="003E0023">
      <w:pPr>
        <w:tabs>
          <w:tab w:val="left" w:pos="284"/>
        </w:tabs>
        <w:ind w:left="567" w:hanging="567"/>
        <w:jc w:val="both"/>
        <w:outlineLvl w:val="0"/>
        <w:rPr>
          <w:bCs/>
          <w:sz w:val="22"/>
          <w:szCs w:val="22"/>
          <w:u w:val="single"/>
          <w:lang w:val="sr-Latn-ME"/>
        </w:rPr>
      </w:pPr>
      <w:r w:rsidRPr="00246D8C">
        <w:rPr>
          <w:bCs/>
          <w:sz w:val="22"/>
          <w:szCs w:val="22"/>
          <w:u w:val="single"/>
          <w:lang w:val="sr-Latn-ME"/>
        </w:rPr>
        <w:t>Resorpcija</w:t>
      </w:r>
    </w:p>
    <w:p w14:paraId="38141588" w14:textId="6A693D6A" w:rsidR="003E0023" w:rsidRPr="00246D8C" w:rsidRDefault="003E0023">
      <w:pPr>
        <w:tabs>
          <w:tab w:val="left" w:pos="284"/>
        </w:tabs>
        <w:jc w:val="both"/>
        <w:outlineLvl w:val="0"/>
        <w:rPr>
          <w:bCs/>
          <w:sz w:val="22"/>
          <w:szCs w:val="22"/>
          <w:lang w:val="sr-Latn-ME"/>
        </w:rPr>
      </w:pPr>
      <w:r w:rsidRPr="00246D8C">
        <w:rPr>
          <w:bCs/>
          <w:sz w:val="22"/>
          <w:szCs w:val="22"/>
          <w:lang w:val="sr-Latn-ME"/>
        </w:rPr>
        <w:t>Saksagliptin se brzo resorbuje poslije oralne administracije na prazan stomak a maksimalne koncentracije</w:t>
      </w:r>
      <w:r w:rsidR="006702E5" w:rsidRPr="00246D8C">
        <w:rPr>
          <w:bCs/>
          <w:sz w:val="22"/>
          <w:szCs w:val="22"/>
          <w:lang w:val="sr-Latn-ME"/>
        </w:rPr>
        <w:t xml:space="preserve"> </w:t>
      </w:r>
      <w:r w:rsidRPr="00246D8C">
        <w:rPr>
          <w:bCs/>
          <w:sz w:val="22"/>
          <w:szCs w:val="22"/>
          <w:lang w:val="sr-Latn-ME"/>
        </w:rPr>
        <w:t>(C</w:t>
      </w:r>
      <w:r w:rsidRPr="00246D8C">
        <w:rPr>
          <w:bCs/>
          <w:sz w:val="22"/>
          <w:szCs w:val="22"/>
          <w:vertAlign w:val="subscript"/>
          <w:lang w:val="sr-Latn-ME"/>
        </w:rPr>
        <w:t>max</w:t>
      </w:r>
      <w:r w:rsidRPr="00246D8C">
        <w:rPr>
          <w:bCs/>
          <w:sz w:val="22"/>
          <w:szCs w:val="22"/>
          <w:lang w:val="sr-Latn-ME"/>
        </w:rPr>
        <w:t>) saksagliptina i njegovog glavnog metabolita u plazmi se dostižu poslije 2 odnosno 4 sata (T</w:t>
      </w:r>
      <w:r w:rsidRPr="00246D8C">
        <w:rPr>
          <w:bCs/>
          <w:sz w:val="22"/>
          <w:szCs w:val="22"/>
          <w:vertAlign w:val="subscript"/>
          <w:lang w:val="sr-Latn-ME"/>
        </w:rPr>
        <w:t>max</w:t>
      </w:r>
      <w:r w:rsidRPr="00246D8C">
        <w:rPr>
          <w:bCs/>
          <w:sz w:val="22"/>
          <w:szCs w:val="22"/>
          <w:lang w:val="sr-Latn-ME"/>
        </w:rPr>
        <w:t>). Vrijednosti C</w:t>
      </w:r>
      <w:r w:rsidRPr="00246D8C">
        <w:rPr>
          <w:bCs/>
          <w:sz w:val="22"/>
          <w:szCs w:val="22"/>
          <w:vertAlign w:val="subscript"/>
          <w:lang w:val="sr-Latn-ME"/>
        </w:rPr>
        <w:t>max</w:t>
      </w:r>
      <w:r w:rsidRPr="00246D8C">
        <w:rPr>
          <w:bCs/>
          <w:sz w:val="22"/>
          <w:szCs w:val="22"/>
          <w:lang w:val="sr-Latn-ME"/>
        </w:rPr>
        <w:t xml:space="preserve"> i PIK saksagliptina i njegovog glavnog metabolita su se srazmjerno povećavale sa postepenim povećanjem doze saksagliptina a ova proporcionalnost sa povećanjem doze je zabilježena kod doza do 400 mg. Poslije pojedinačne oralne doze saksagliptina od 5 mg primijenjene kod zdravih ispitanika, srednje vrijednosti PIK saksagliptina i njegovog glavnog metabolita u plazmi bile su 78 ng·h/ml odnosno 214 ng·h/ml. Odgovarajuće vrijednosti C</w:t>
      </w:r>
      <w:r w:rsidRPr="00246D8C">
        <w:rPr>
          <w:bCs/>
          <w:sz w:val="22"/>
          <w:szCs w:val="22"/>
          <w:vertAlign w:val="subscript"/>
          <w:lang w:val="sr-Latn-ME"/>
        </w:rPr>
        <w:t>max</w:t>
      </w:r>
      <w:r w:rsidRPr="00246D8C">
        <w:rPr>
          <w:bCs/>
          <w:sz w:val="22"/>
          <w:szCs w:val="22"/>
          <w:lang w:val="sr-Latn-ME"/>
        </w:rPr>
        <w:t xml:space="preserve"> u plazmi bile su 24 ng/ml odnosno 47 ng/ml. Koeficijenti varijacija C</w:t>
      </w:r>
      <w:r w:rsidRPr="00246D8C">
        <w:rPr>
          <w:bCs/>
          <w:sz w:val="22"/>
          <w:szCs w:val="22"/>
          <w:vertAlign w:val="subscript"/>
          <w:lang w:val="sr-Latn-ME"/>
        </w:rPr>
        <w:t>max</w:t>
      </w:r>
      <w:r w:rsidRPr="00246D8C">
        <w:rPr>
          <w:bCs/>
          <w:sz w:val="22"/>
          <w:szCs w:val="22"/>
          <w:lang w:val="sr-Latn-ME"/>
        </w:rPr>
        <w:t xml:space="preserve"> i</w:t>
      </w:r>
      <w:r w:rsidR="006702E5" w:rsidRPr="00246D8C">
        <w:rPr>
          <w:bCs/>
          <w:sz w:val="22"/>
          <w:szCs w:val="22"/>
          <w:lang w:val="sr-Latn-ME"/>
        </w:rPr>
        <w:t xml:space="preserve"> </w:t>
      </w:r>
      <w:r w:rsidRPr="00246D8C">
        <w:rPr>
          <w:bCs/>
          <w:sz w:val="22"/>
          <w:szCs w:val="22"/>
          <w:lang w:val="sr-Latn-ME"/>
        </w:rPr>
        <w:t>PIK saksagliptina su unutar ispitanika su bili manji od 12% .</w:t>
      </w:r>
    </w:p>
    <w:p w14:paraId="758AC8FC" w14:textId="77777777" w:rsidR="003E0023" w:rsidRPr="00246D8C" w:rsidRDefault="003E0023">
      <w:pPr>
        <w:tabs>
          <w:tab w:val="left" w:pos="284"/>
        </w:tabs>
        <w:ind w:left="567" w:hanging="567"/>
        <w:jc w:val="both"/>
        <w:outlineLvl w:val="0"/>
        <w:rPr>
          <w:bCs/>
          <w:sz w:val="22"/>
          <w:szCs w:val="22"/>
          <w:lang w:val="sr-Latn-ME"/>
        </w:rPr>
      </w:pPr>
    </w:p>
    <w:p w14:paraId="684D6FCB" w14:textId="14E96C0C" w:rsidR="003E0023" w:rsidRPr="00246D8C" w:rsidRDefault="003E0023">
      <w:pPr>
        <w:tabs>
          <w:tab w:val="left" w:pos="284"/>
        </w:tabs>
        <w:jc w:val="both"/>
        <w:outlineLvl w:val="0"/>
        <w:rPr>
          <w:bCs/>
          <w:sz w:val="22"/>
          <w:szCs w:val="22"/>
          <w:lang w:val="sr-Latn-ME"/>
        </w:rPr>
      </w:pPr>
      <w:r w:rsidRPr="00246D8C">
        <w:rPr>
          <w:bCs/>
          <w:sz w:val="22"/>
          <w:szCs w:val="22"/>
          <w:lang w:val="sr-Latn-ME"/>
        </w:rPr>
        <w:t>Inhibicija aktivnosti DPP</w:t>
      </w:r>
      <w:r w:rsidRPr="00246D8C">
        <w:rPr>
          <w:bCs/>
          <w:sz w:val="22"/>
          <w:szCs w:val="22"/>
          <w:lang w:val="sr-Latn-ME"/>
        </w:rPr>
        <w:noBreakHyphen/>
        <w:t>4 u plazmi tokom najmanje 24 sata poslije oralne administracije saksagliptina je rezultat njegove velike potentnosti, visokog afiniteta i produženog vezivanja za aktivno mjesto.</w:t>
      </w:r>
    </w:p>
    <w:p w14:paraId="59E2BB62" w14:textId="77777777" w:rsidR="00AA34B1" w:rsidRPr="00246D8C" w:rsidRDefault="00AA34B1">
      <w:pPr>
        <w:tabs>
          <w:tab w:val="left" w:pos="284"/>
        </w:tabs>
        <w:jc w:val="both"/>
        <w:outlineLvl w:val="0"/>
        <w:rPr>
          <w:bCs/>
          <w:sz w:val="22"/>
          <w:szCs w:val="22"/>
          <w:lang w:val="sr-Latn-ME"/>
        </w:rPr>
      </w:pPr>
    </w:p>
    <w:p w14:paraId="34EF5916" w14:textId="77777777" w:rsidR="003E0023" w:rsidRPr="00246D8C" w:rsidRDefault="003E0023">
      <w:pPr>
        <w:tabs>
          <w:tab w:val="left" w:pos="284"/>
        </w:tabs>
        <w:ind w:left="567" w:hanging="567"/>
        <w:jc w:val="both"/>
        <w:outlineLvl w:val="0"/>
        <w:rPr>
          <w:bCs/>
          <w:i/>
          <w:iCs/>
          <w:sz w:val="22"/>
          <w:szCs w:val="22"/>
          <w:lang w:val="sr-Latn-ME"/>
        </w:rPr>
      </w:pPr>
      <w:r w:rsidRPr="00246D8C">
        <w:rPr>
          <w:bCs/>
          <w:i/>
          <w:iCs/>
          <w:sz w:val="22"/>
          <w:szCs w:val="22"/>
          <w:lang w:val="sr-Latn-ME"/>
        </w:rPr>
        <w:t>Interakcija sa hranom</w:t>
      </w:r>
    </w:p>
    <w:p w14:paraId="5D39657A" w14:textId="63A8A8C7" w:rsidR="003E0023" w:rsidRPr="00246D8C" w:rsidRDefault="003E0023">
      <w:pPr>
        <w:tabs>
          <w:tab w:val="left" w:pos="284"/>
        </w:tabs>
        <w:jc w:val="both"/>
        <w:outlineLvl w:val="0"/>
        <w:rPr>
          <w:bCs/>
          <w:sz w:val="22"/>
          <w:szCs w:val="22"/>
          <w:lang w:val="sr-Latn-ME"/>
        </w:rPr>
      </w:pPr>
      <w:r w:rsidRPr="00246D8C">
        <w:rPr>
          <w:bCs/>
          <w:sz w:val="22"/>
          <w:szCs w:val="22"/>
          <w:lang w:val="sr-Latn-ME"/>
        </w:rPr>
        <w:t>Hrana ima relativno skroman uticaj na farmakokinetiku saksagliptina kod zdravih ispitanika. Administracija sa hranom (obrok sa visokim sadržajem masti) nije dovela do promjene C</w:t>
      </w:r>
      <w:r w:rsidRPr="00246D8C">
        <w:rPr>
          <w:bCs/>
          <w:sz w:val="22"/>
          <w:szCs w:val="22"/>
          <w:vertAlign w:val="subscript"/>
          <w:lang w:val="sr-Latn-ME"/>
        </w:rPr>
        <w:t>max</w:t>
      </w:r>
      <w:r w:rsidRPr="00246D8C">
        <w:rPr>
          <w:bCs/>
          <w:sz w:val="22"/>
          <w:szCs w:val="22"/>
          <w:lang w:val="sr-Latn-ME"/>
        </w:rPr>
        <w:t xml:space="preserve"> saksagliptina a dovela je do 27% povećanja AUC u poređenju sa stanjem na prazan stomak. Vrijeme potrebno da saksagliptin dostigne C</w:t>
      </w:r>
      <w:r w:rsidRPr="00246D8C">
        <w:rPr>
          <w:bCs/>
          <w:sz w:val="22"/>
          <w:szCs w:val="22"/>
          <w:vertAlign w:val="subscript"/>
          <w:lang w:val="sr-Latn-ME"/>
        </w:rPr>
        <w:t>max</w:t>
      </w:r>
      <w:r w:rsidRPr="00246D8C">
        <w:rPr>
          <w:bCs/>
          <w:sz w:val="22"/>
          <w:szCs w:val="22"/>
          <w:lang w:val="sr-Latn-ME"/>
        </w:rPr>
        <w:t xml:space="preserve"> (T</w:t>
      </w:r>
      <w:r w:rsidRPr="00246D8C">
        <w:rPr>
          <w:bCs/>
          <w:sz w:val="22"/>
          <w:szCs w:val="22"/>
          <w:vertAlign w:val="subscript"/>
          <w:lang w:val="sr-Latn-ME"/>
        </w:rPr>
        <w:t>max</w:t>
      </w:r>
      <w:r w:rsidRPr="00246D8C">
        <w:rPr>
          <w:bCs/>
          <w:sz w:val="22"/>
          <w:szCs w:val="22"/>
          <w:lang w:val="sr-Latn-ME"/>
        </w:rPr>
        <w:t>) bilo je povećano za približno 0.5 sati poslije uzimanja hrane u poređenju sa stanjem na prazan stomak. Ove promjene ni</w:t>
      </w:r>
      <w:r w:rsidR="00AA34B1" w:rsidRPr="00246D8C">
        <w:rPr>
          <w:bCs/>
          <w:sz w:val="22"/>
          <w:szCs w:val="22"/>
          <w:lang w:val="sr-Latn-ME"/>
        </w:rPr>
        <w:t>je</w:t>
      </w:r>
      <w:r w:rsidRPr="00246D8C">
        <w:rPr>
          <w:bCs/>
          <w:sz w:val="22"/>
          <w:szCs w:val="22"/>
          <w:lang w:val="sr-Latn-ME"/>
        </w:rPr>
        <w:t>su smatrane klinički značajnim.</w:t>
      </w:r>
    </w:p>
    <w:p w14:paraId="7DF6D3E8" w14:textId="77777777" w:rsidR="003E0023" w:rsidRPr="00246D8C" w:rsidRDefault="003E0023">
      <w:pPr>
        <w:tabs>
          <w:tab w:val="left" w:pos="284"/>
        </w:tabs>
        <w:ind w:left="567" w:hanging="567"/>
        <w:jc w:val="both"/>
        <w:outlineLvl w:val="0"/>
        <w:rPr>
          <w:bCs/>
          <w:sz w:val="22"/>
          <w:szCs w:val="22"/>
          <w:lang w:val="sr-Latn-ME"/>
        </w:rPr>
      </w:pPr>
    </w:p>
    <w:p w14:paraId="012C5C47" w14:textId="77777777" w:rsidR="003E0023" w:rsidRPr="00246D8C" w:rsidRDefault="003E0023">
      <w:pPr>
        <w:tabs>
          <w:tab w:val="left" w:pos="284"/>
        </w:tabs>
        <w:ind w:left="567" w:hanging="567"/>
        <w:jc w:val="both"/>
        <w:outlineLvl w:val="0"/>
        <w:rPr>
          <w:bCs/>
          <w:sz w:val="22"/>
          <w:szCs w:val="22"/>
          <w:u w:val="single"/>
          <w:lang w:val="sr-Latn-ME"/>
        </w:rPr>
      </w:pPr>
      <w:r w:rsidRPr="00246D8C">
        <w:rPr>
          <w:bCs/>
          <w:sz w:val="22"/>
          <w:szCs w:val="22"/>
          <w:u w:val="single"/>
          <w:lang w:val="sr-Latn-ME"/>
        </w:rPr>
        <w:t>Distribucija</w:t>
      </w:r>
    </w:p>
    <w:p w14:paraId="1DDCBFF9" w14:textId="77777777" w:rsidR="003E0023" w:rsidRPr="00246D8C" w:rsidRDefault="003E0023">
      <w:pPr>
        <w:tabs>
          <w:tab w:val="left" w:pos="284"/>
        </w:tabs>
        <w:jc w:val="both"/>
        <w:outlineLvl w:val="0"/>
        <w:rPr>
          <w:bCs/>
          <w:sz w:val="22"/>
          <w:szCs w:val="22"/>
          <w:lang w:val="sr-Latn-ME"/>
        </w:rPr>
      </w:pPr>
      <w:r w:rsidRPr="00246D8C">
        <w:rPr>
          <w:bCs/>
          <w:sz w:val="22"/>
          <w:szCs w:val="22"/>
          <w:lang w:val="sr-Latn-ME"/>
        </w:rPr>
        <w:t>I</w:t>
      </w:r>
      <w:r w:rsidRPr="00246D8C">
        <w:rPr>
          <w:bCs/>
          <w:i/>
          <w:iCs/>
          <w:sz w:val="22"/>
          <w:szCs w:val="22"/>
          <w:lang w:val="sr-Latn-ME"/>
        </w:rPr>
        <w:t>n vitro</w:t>
      </w:r>
      <w:r w:rsidRPr="00246D8C">
        <w:rPr>
          <w:bCs/>
          <w:sz w:val="22"/>
          <w:szCs w:val="22"/>
          <w:lang w:val="sr-Latn-ME"/>
        </w:rPr>
        <w:t xml:space="preserve"> vezivanje saksagliptina i njegovog glavnog metabolita za proteine u humanom serumu je zanemarljivo. To znači da se ne očekuje da promjene nivoa proteina u serumu kod različitih bolesti (npr. oštećenje bubrega ili jetre) promijene raspoloživost saksagliptina.</w:t>
      </w:r>
    </w:p>
    <w:p w14:paraId="38BD856E" w14:textId="77777777" w:rsidR="003E0023" w:rsidRPr="00246D8C" w:rsidRDefault="003E0023">
      <w:pPr>
        <w:tabs>
          <w:tab w:val="left" w:pos="284"/>
        </w:tabs>
        <w:ind w:left="567" w:hanging="567"/>
        <w:jc w:val="both"/>
        <w:outlineLvl w:val="0"/>
        <w:rPr>
          <w:bCs/>
          <w:sz w:val="22"/>
          <w:szCs w:val="22"/>
          <w:lang w:val="sr-Latn-ME"/>
        </w:rPr>
      </w:pPr>
    </w:p>
    <w:p w14:paraId="59B4A75C" w14:textId="77777777" w:rsidR="003E0023" w:rsidRPr="00246D8C" w:rsidRDefault="003E0023">
      <w:pPr>
        <w:tabs>
          <w:tab w:val="left" w:pos="284"/>
        </w:tabs>
        <w:ind w:left="567" w:hanging="567"/>
        <w:jc w:val="both"/>
        <w:outlineLvl w:val="0"/>
        <w:rPr>
          <w:bCs/>
          <w:sz w:val="22"/>
          <w:szCs w:val="22"/>
          <w:u w:val="single"/>
          <w:lang w:val="sr-Latn-ME"/>
        </w:rPr>
      </w:pPr>
      <w:r w:rsidRPr="00246D8C">
        <w:rPr>
          <w:bCs/>
          <w:sz w:val="22"/>
          <w:szCs w:val="22"/>
          <w:u w:val="single"/>
          <w:lang w:val="sr-Latn-ME"/>
        </w:rPr>
        <w:t>Metabolizam</w:t>
      </w:r>
    </w:p>
    <w:p w14:paraId="02856737" w14:textId="77777777" w:rsidR="003E0023" w:rsidRPr="00246D8C" w:rsidRDefault="003E0023">
      <w:pPr>
        <w:tabs>
          <w:tab w:val="left" w:pos="284"/>
        </w:tabs>
        <w:jc w:val="both"/>
        <w:outlineLvl w:val="0"/>
        <w:rPr>
          <w:bCs/>
          <w:sz w:val="22"/>
          <w:szCs w:val="22"/>
          <w:lang w:val="sr-Latn-ME"/>
        </w:rPr>
      </w:pPr>
      <w:r w:rsidRPr="00246D8C">
        <w:rPr>
          <w:bCs/>
          <w:sz w:val="22"/>
          <w:szCs w:val="22"/>
          <w:lang w:val="sr-Latn-ME"/>
        </w:rPr>
        <w:t>Biotransformacija saksagliptina je primarno posredovana citohromom P450 3A4/5 (CYP3A4/5). Glavni metabolit saksagliptina je takođe selektivan, reverzibilan, kompetitivan inhibitor DPP</w:t>
      </w:r>
      <w:r w:rsidRPr="00246D8C">
        <w:rPr>
          <w:bCs/>
          <w:sz w:val="22"/>
          <w:szCs w:val="22"/>
          <w:lang w:val="sr-Latn-ME"/>
        </w:rPr>
        <w:noBreakHyphen/>
        <w:t>4, čija je potentnost upola manja od potentnosti saksagliptina.</w:t>
      </w:r>
    </w:p>
    <w:p w14:paraId="52D566F2" w14:textId="77777777" w:rsidR="003E0023" w:rsidRPr="00246D8C" w:rsidRDefault="003E0023">
      <w:pPr>
        <w:tabs>
          <w:tab w:val="left" w:pos="284"/>
        </w:tabs>
        <w:ind w:left="567" w:hanging="567"/>
        <w:jc w:val="both"/>
        <w:outlineLvl w:val="0"/>
        <w:rPr>
          <w:bCs/>
          <w:sz w:val="22"/>
          <w:szCs w:val="22"/>
          <w:lang w:val="sr-Latn-ME"/>
        </w:rPr>
      </w:pPr>
    </w:p>
    <w:p w14:paraId="5FDB3412" w14:textId="77777777" w:rsidR="003E0023" w:rsidRPr="00246D8C" w:rsidRDefault="003E0023">
      <w:pPr>
        <w:tabs>
          <w:tab w:val="left" w:pos="284"/>
        </w:tabs>
        <w:ind w:left="567" w:hanging="567"/>
        <w:jc w:val="both"/>
        <w:outlineLvl w:val="0"/>
        <w:rPr>
          <w:bCs/>
          <w:sz w:val="22"/>
          <w:szCs w:val="22"/>
          <w:u w:val="single"/>
          <w:lang w:val="sr-Latn-ME"/>
        </w:rPr>
      </w:pPr>
      <w:r w:rsidRPr="00246D8C">
        <w:rPr>
          <w:bCs/>
          <w:sz w:val="22"/>
          <w:szCs w:val="22"/>
          <w:u w:val="single"/>
          <w:lang w:val="sr-Latn-ME"/>
        </w:rPr>
        <w:t>Eliminacija</w:t>
      </w:r>
    </w:p>
    <w:p w14:paraId="7769856E" w14:textId="3D8E3C39" w:rsidR="003E0023" w:rsidRPr="00246D8C" w:rsidRDefault="003E0023">
      <w:pPr>
        <w:tabs>
          <w:tab w:val="left" w:pos="284"/>
        </w:tabs>
        <w:jc w:val="both"/>
        <w:outlineLvl w:val="0"/>
        <w:rPr>
          <w:bCs/>
          <w:sz w:val="22"/>
          <w:szCs w:val="22"/>
          <w:lang w:val="sr-Latn-ME"/>
        </w:rPr>
      </w:pPr>
      <w:r w:rsidRPr="00246D8C">
        <w:rPr>
          <w:bCs/>
          <w:sz w:val="22"/>
          <w:szCs w:val="22"/>
          <w:lang w:val="sr-Latn-ME"/>
        </w:rPr>
        <w:t>Srednje terminalno poluvrijeme eliminacije (t</w:t>
      </w:r>
      <w:r w:rsidRPr="00246D8C">
        <w:rPr>
          <w:bCs/>
          <w:sz w:val="22"/>
          <w:szCs w:val="22"/>
          <w:vertAlign w:val="subscript"/>
          <w:lang w:val="sr-Latn-ME"/>
        </w:rPr>
        <w:t>1/2</w:t>
      </w:r>
      <w:r w:rsidRPr="00246D8C">
        <w:rPr>
          <w:bCs/>
          <w:sz w:val="22"/>
          <w:szCs w:val="22"/>
          <w:lang w:val="sr-Latn-ME"/>
        </w:rPr>
        <w:t>) saksagliptina i njegovog glavnog metabolita u plazmi iznosi 2.5 sata odnosno 3.1 sat, a srednja vrijednost t</w:t>
      </w:r>
      <w:r w:rsidRPr="00246D8C">
        <w:rPr>
          <w:bCs/>
          <w:sz w:val="22"/>
          <w:szCs w:val="22"/>
          <w:vertAlign w:val="subscript"/>
          <w:lang w:val="sr-Latn-ME"/>
        </w:rPr>
        <w:t xml:space="preserve">1/2 </w:t>
      </w:r>
      <w:r w:rsidRPr="00246D8C">
        <w:rPr>
          <w:bCs/>
          <w:sz w:val="22"/>
          <w:szCs w:val="22"/>
          <w:lang w:val="sr-Latn-ME"/>
        </w:rPr>
        <w:t>inhibicije DPP</w:t>
      </w:r>
      <w:r w:rsidRPr="00246D8C">
        <w:rPr>
          <w:bCs/>
          <w:sz w:val="22"/>
          <w:szCs w:val="22"/>
          <w:lang w:val="sr-Latn-ME"/>
        </w:rPr>
        <w:noBreakHyphen/>
        <w:t>4 u plazmi je bila 26.9 sata. Saksagliptin se eliminiše i renalnim i hepatičkim putem. Poslije jedne doze</w:t>
      </w:r>
      <w:r w:rsidR="006702E5" w:rsidRPr="00246D8C">
        <w:rPr>
          <w:bCs/>
          <w:sz w:val="22"/>
          <w:szCs w:val="22"/>
          <w:lang w:val="sr-Latn-ME"/>
        </w:rPr>
        <w:t xml:space="preserve"> </w:t>
      </w:r>
      <w:r w:rsidRPr="00246D8C">
        <w:rPr>
          <w:bCs/>
          <w:sz w:val="22"/>
          <w:szCs w:val="22"/>
          <w:vertAlign w:val="superscript"/>
          <w:lang w:val="sr-Latn-ME"/>
        </w:rPr>
        <w:t>14</w:t>
      </w:r>
      <w:r w:rsidRPr="00246D8C">
        <w:rPr>
          <w:bCs/>
          <w:sz w:val="22"/>
          <w:szCs w:val="22"/>
          <w:lang w:val="sr-Latn-ME"/>
        </w:rPr>
        <w:t>C</w:t>
      </w:r>
      <w:r w:rsidRPr="00246D8C">
        <w:rPr>
          <w:bCs/>
          <w:sz w:val="22"/>
          <w:szCs w:val="22"/>
          <w:lang w:val="sr-Latn-ME"/>
        </w:rPr>
        <w:noBreakHyphen/>
        <w:t>saksagliptina od 50 mg 24%, 36%</w:t>
      </w:r>
      <w:r w:rsidR="006702E5" w:rsidRPr="00246D8C">
        <w:rPr>
          <w:bCs/>
          <w:sz w:val="22"/>
          <w:szCs w:val="22"/>
          <w:lang w:val="sr-Latn-ME"/>
        </w:rPr>
        <w:t xml:space="preserve"> </w:t>
      </w:r>
      <w:r w:rsidRPr="00246D8C">
        <w:rPr>
          <w:bCs/>
          <w:sz w:val="22"/>
          <w:szCs w:val="22"/>
          <w:lang w:val="sr-Latn-ME"/>
        </w:rPr>
        <w:t>i 75% doze se izlučuje u urinu u vidu saksagliptina, njegovog glavnog metabolita odnosno ukupne radioaktivnosti</w:t>
      </w:r>
      <w:r w:rsidR="00AA34B1" w:rsidRPr="00246D8C">
        <w:rPr>
          <w:bCs/>
          <w:sz w:val="22"/>
          <w:szCs w:val="22"/>
          <w:lang w:val="sr-Latn-ME"/>
        </w:rPr>
        <w:t>, redom</w:t>
      </w:r>
      <w:r w:rsidRPr="00246D8C">
        <w:rPr>
          <w:bCs/>
          <w:sz w:val="22"/>
          <w:szCs w:val="22"/>
          <w:lang w:val="sr-Latn-ME"/>
        </w:rPr>
        <w:t>. Prosječni bubrežni klirens saksagliptina (~230 ml/min) bio je veći od prosječne procijenjene brzine glomerularne filtracije (~120 ml/min), što ukazuje na određenu aktivnu bubrežnu ekskreciju. Što se tiče glavnog metabolita, vrijednosti bubrežnog klirensa su bile komparabilne sa procijenjenom brzinom glomerularne filtracije. Ukupno 22% primijenjene radioaktivnosti je nađeno u fecesu što predstavlja frakciju doze saksagliptina koja se izlučuje u žuči i/ili ne</w:t>
      </w:r>
      <w:r w:rsidR="00AA34B1" w:rsidRPr="00246D8C">
        <w:rPr>
          <w:bCs/>
          <w:sz w:val="22"/>
          <w:szCs w:val="22"/>
          <w:lang w:val="sr-Latn-ME"/>
        </w:rPr>
        <w:t>re</w:t>
      </w:r>
      <w:r w:rsidRPr="00246D8C">
        <w:rPr>
          <w:bCs/>
          <w:sz w:val="22"/>
          <w:szCs w:val="22"/>
          <w:lang w:val="sr-Latn-ME"/>
        </w:rPr>
        <w:t>sorbovani lijek iz gastrointestinalnog trakta.</w:t>
      </w:r>
    </w:p>
    <w:p w14:paraId="2630C692" w14:textId="77777777" w:rsidR="003E0023" w:rsidRPr="00246D8C" w:rsidRDefault="003E0023">
      <w:pPr>
        <w:tabs>
          <w:tab w:val="left" w:pos="284"/>
        </w:tabs>
        <w:ind w:left="567" w:hanging="567"/>
        <w:jc w:val="both"/>
        <w:outlineLvl w:val="0"/>
        <w:rPr>
          <w:bCs/>
          <w:sz w:val="22"/>
          <w:szCs w:val="22"/>
          <w:lang w:val="sr-Latn-ME"/>
        </w:rPr>
      </w:pPr>
    </w:p>
    <w:p w14:paraId="383EA163" w14:textId="77777777" w:rsidR="003E0023" w:rsidRPr="00246D8C" w:rsidRDefault="003E0023">
      <w:pPr>
        <w:tabs>
          <w:tab w:val="left" w:pos="284"/>
        </w:tabs>
        <w:ind w:left="567" w:hanging="567"/>
        <w:jc w:val="both"/>
        <w:outlineLvl w:val="0"/>
        <w:rPr>
          <w:bCs/>
          <w:sz w:val="22"/>
          <w:szCs w:val="22"/>
          <w:u w:val="single"/>
          <w:lang w:val="sr-Latn-ME"/>
        </w:rPr>
      </w:pPr>
      <w:r w:rsidRPr="00246D8C">
        <w:rPr>
          <w:bCs/>
          <w:sz w:val="22"/>
          <w:szCs w:val="22"/>
          <w:u w:val="single"/>
          <w:lang w:val="sr-Latn-ME"/>
        </w:rPr>
        <w:t>Linearnost</w:t>
      </w:r>
    </w:p>
    <w:p w14:paraId="7CCAC250" w14:textId="67A5E688" w:rsidR="003E0023" w:rsidRPr="00246D8C" w:rsidRDefault="003E0023">
      <w:pPr>
        <w:tabs>
          <w:tab w:val="left" w:pos="284"/>
        </w:tabs>
        <w:jc w:val="both"/>
        <w:outlineLvl w:val="0"/>
        <w:rPr>
          <w:bCs/>
          <w:sz w:val="22"/>
          <w:szCs w:val="22"/>
          <w:lang w:val="sr-Latn-ME"/>
        </w:rPr>
      </w:pPr>
      <w:r w:rsidRPr="00246D8C">
        <w:rPr>
          <w:bCs/>
          <w:sz w:val="22"/>
          <w:szCs w:val="22"/>
          <w:lang w:val="sr-Latn-ME"/>
        </w:rPr>
        <w:t>C</w:t>
      </w:r>
      <w:r w:rsidRPr="00246D8C">
        <w:rPr>
          <w:bCs/>
          <w:sz w:val="22"/>
          <w:szCs w:val="22"/>
          <w:vertAlign w:val="subscript"/>
          <w:lang w:val="sr-Latn-ME"/>
        </w:rPr>
        <w:t>max</w:t>
      </w:r>
      <w:r w:rsidRPr="00246D8C">
        <w:rPr>
          <w:bCs/>
          <w:sz w:val="22"/>
          <w:szCs w:val="22"/>
          <w:lang w:val="sr-Latn-ME"/>
        </w:rPr>
        <w:t xml:space="preserve"> i PIK saksagliptina i njegovog glavnog metabolita su se srazmjerno povećavale sa dozom</w:t>
      </w:r>
      <w:r w:rsidR="00AA34B1" w:rsidRPr="00246D8C">
        <w:rPr>
          <w:bCs/>
          <w:sz w:val="22"/>
          <w:szCs w:val="22"/>
          <w:lang w:val="sr-Latn-ME"/>
        </w:rPr>
        <w:t xml:space="preserve"> </w:t>
      </w:r>
      <w:r w:rsidRPr="00246D8C">
        <w:rPr>
          <w:bCs/>
          <w:sz w:val="22"/>
          <w:szCs w:val="22"/>
          <w:lang w:val="sr-Latn-ME"/>
        </w:rPr>
        <w:t>saksagliptina. Nije zabilježena značajnija akumulacija saksagliptina ili njegovog glavnog metabolita pri primjeni ponovljenih doza jednom na dan bez obzira na nivo doza.</w:t>
      </w:r>
      <w:r w:rsidR="006702E5" w:rsidRPr="00246D8C">
        <w:rPr>
          <w:bCs/>
          <w:sz w:val="22"/>
          <w:szCs w:val="22"/>
          <w:lang w:val="sr-Latn-ME"/>
        </w:rPr>
        <w:t xml:space="preserve"> </w:t>
      </w:r>
      <w:r w:rsidRPr="00246D8C">
        <w:rPr>
          <w:bCs/>
          <w:sz w:val="22"/>
          <w:szCs w:val="22"/>
          <w:lang w:val="sr-Latn-ME"/>
        </w:rPr>
        <w:t>Nije zabilježena dozna ili vremenska zavisnost klirensa saksagliptina i njegovog glavnog metabolita tokom primjene</w:t>
      </w:r>
      <w:r w:rsidR="006702E5" w:rsidRPr="00246D8C">
        <w:rPr>
          <w:bCs/>
          <w:sz w:val="22"/>
          <w:szCs w:val="22"/>
          <w:lang w:val="sr-Latn-ME"/>
        </w:rPr>
        <w:t xml:space="preserve"> </w:t>
      </w:r>
      <w:r w:rsidRPr="00246D8C">
        <w:rPr>
          <w:bCs/>
          <w:sz w:val="22"/>
          <w:szCs w:val="22"/>
          <w:lang w:val="sr-Latn-ME"/>
        </w:rPr>
        <w:t>saksagliptina</w:t>
      </w:r>
      <w:r w:rsidR="006702E5" w:rsidRPr="00246D8C">
        <w:rPr>
          <w:bCs/>
          <w:sz w:val="22"/>
          <w:szCs w:val="22"/>
          <w:lang w:val="sr-Latn-ME"/>
        </w:rPr>
        <w:t xml:space="preserve"> </w:t>
      </w:r>
      <w:r w:rsidRPr="00246D8C">
        <w:rPr>
          <w:bCs/>
          <w:sz w:val="22"/>
          <w:szCs w:val="22"/>
          <w:lang w:val="sr-Latn-ME"/>
        </w:rPr>
        <w:t>tokom 14 dana jednom na dan u dozama koje su se kretale od</w:t>
      </w:r>
      <w:r w:rsidR="006702E5" w:rsidRPr="00246D8C">
        <w:rPr>
          <w:bCs/>
          <w:sz w:val="22"/>
          <w:szCs w:val="22"/>
          <w:lang w:val="sr-Latn-ME"/>
        </w:rPr>
        <w:t xml:space="preserve"> </w:t>
      </w:r>
      <w:r w:rsidRPr="00246D8C">
        <w:rPr>
          <w:bCs/>
          <w:sz w:val="22"/>
          <w:szCs w:val="22"/>
          <w:lang w:val="sr-Latn-ME"/>
        </w:rPr>
        <w:t>2.5 mg do 400 mg.</w:t>
      </w:r>
    </w:p>
    <w:p w14:paraId="098D67AF" w14:textId="77777777" w:rsidR="003E0023" w:rsidRPr="00246D8C" w:rsidRDefault="003E0023">
      <w:pPr>
        <w:tabs>
          <w:tab w:val="left" w:pos="284"/>
        </w:tabs>
        <w:ind w:left="567" w:hanging="567"/>
        <w:jc w:val="both"/>
        <w:outlineLvl w:val="0"/>
        <w:rPr>
          <w:bCs/>
          <w:sz w:val="22"/>
          <w:szCs w:val="22"/>
          <w:lang w:val="sr-Latn-ME"/>
        </w:rPr>
      </w:pPr>
    </w:p>
    <w:p w14:paraId="10CF585A" w14:textId="6EBE54F2" w:rsidR="003E0023" w:rsidRPr="00246D8C" w:rsidRDefault="003E0023">
      <w:pPr>
        <w:tabs>
          <w:tab w:val="left" w:pos="284"/>
        </w:tabs>
        <w:ind w:left="567" w:hanging="567"/>
        <w:jc w:val="both"/>
        <w:outlineLvl w:val="0"/>
        <w:rPr>
          <w:bCs/>
          <w:sz w:val="22"/>
          <w:szCs w:val="22"/>
          <w:u w:val="single"/>
          <w:lang w:val="sr-Latn-ME"/>
        </w:rPr>
      </w:pPr>
      <w:r w:rsidRPr="00246D8C">
        <w:rPr>
          <w:bCs/>
          <w:sz w:val="22"/>
          <w:szCs w:val="22"/>
          <w:u w:val="single"/>
          <w:lang w:val="sr-Latn-ME"/>
        </w:rPr>
        <w:t>Posebne populacije</w:t>
      </w:r>
    </w:p>
    <w:p w14:paraId="16CDB8C2" w14:textId="77777777" w:rsidR="00AA34B1" w:rsidRPr="00246D8C" w:rsidRDefault="00AA34B1">
      <w:pPr>
        <w:tabs>
          <w:tab w:val="left" w:pos="284"/>
        </w:tabs>
        <w:ind w:left="567" w:hanging="567"/>
        <w:jc w:val="both"/>
        <w:outlineLvl w:val="0"/>
        <w:rPr>
          <w:bCs/>
          <w:sz w:val="22"/>
          <w:szCs w:val="22"/>
          <w:u w:val="single"/>
          <w:lang w:val="sr-Latn-ME"/>
        </w:rPr>
      </w:pPr>
    </w:p>
    <w:p w14:paraId="7D7D3BE0" w14:textId="77777777" w:rsidR="003E0023" w:rsidRPr="00246D8C" w:rsidRDefault="003E0023">
      <w:pPr>
        <w:tabs>
          <w:tab w:val="left" w:pos="284"/>
        </w:tabs>
        <w:ind w:left="567" w:hanging="567"/>
        <w:jc w:val="both"/>
        <w:outlineLvl w:val="0"/>
        <w:rPr>
          <w:bCs/>
          <w:i/>
          <w:iCs/>
          <w:sz w:val="22"/>
          <w:szCs w:val="22"/>
          <w:lang w:val="sr-Latn-ME"/>
        </w:rPr>
      </w:pPr>
      <w:r w:rsidRPr="00246D8C">
        <w:rPr>
          <w:bCs/>
          <w:i/>
          <w:iCs/>
          <w:sz w:val="22"/>
          <w:szCs w:val="22"/>
          <w:lang w:val="sr-Latn-ME"/>
        </w:rPr>
        <w:lastRenderedPageBreak/>
        <w:t>Oštećenje bubrega</w:t>
      </w:r>
    </w:p>
    <w:p w14:paraId="486EEFA5" w14:textId="77777777" w:rsidR="003E0023" w:rsidRPr="00246D8C" w:rsidRDefault="003E0023" w:rsidP="002D73AD">
      <w:pPr>
        <w:autoSpaceDE w:val="0"/>
        <w:autoSpaceDN w:val="0"/>
        <w:adjustRightInd w:val="0"/>
        <w:jc w:val="both"/>
        <w:rPr>
          <w:sz w:val="22"/>
          <w:szCs w:val="22"/>
          <w:lang w:val="sr-Latn-ME" w:eastAsia="en-GB"/>
        </w:rPr>
      </w:pPr>
      <w:r w:rsidRPr="00246D8C">
        <w:rPr>
          <w:bCs/>
          <w:sz w:val="22"/>
          <w:szCs w:val="22"/>
          <w:lang w:val="sr-Latn-ME"/>
        </w:rPr>
        <w:t xml:space="preserve">Sprovedena je jedna otvorena studija sa pojedinačnim dozama kako bi se procijenila farmakokinetika jedne oralne doze saksagliptina od 10 mg kod ispitanika sa različitim stepenom oštećenja bubrega u odnosu na ispitanike sa normalnom bubrežnom funkcijom. </w:t>
      </w:r>
    </w:p>
    <w:p w14:paraId="62EC5CBD" w14:textId="2E6FD253" w:rsidR="003E0023" w:rsidRPr="00246D8C" w:rsidRDefault="003E0023" w:rsidP="002D73AD">
      <w:pPr>
        <w:autoSpaceDE w:val="0"/>
        <w:autoSpaceDN w:val="0"/>
        <w:adjustRightInd w:val="0"/>
        <w:spacing w:after="230" w:line="233" w:lineRule="atLeast"/>
        <w:ind w:right="90"/>
        <w:jc w:val="both"/>
        <w:rPr>
          <w:bCs/>
          <w:sz w:val="22"/>
          <w:szCs w:val="22"/>
          <w:lang w:val="sr-Latn-ME"/>
        </w:rPr>
      </w:pPr>
      <w:r w:rsidRPr="00246D8C">
        <w:rPr>
          <w:bCs/>
          <w:sz w:val="22"/>
          <w:szCs w:val="22"/>
          <w:lang w:val="sr-Latn-ME"/>
        </w:rPr>
        <w:t xml:space="preserve">Ova studija je uključivala pacijente sa oštećenjem bubrega koje je klasifikovano na osnovu klirensa kreatinina (zasnovanog na Cockcroft-Gaultovoj formuli) kao blago </w:t>
      </w:r>
      <w:r w:rsidR="00AA34B1" w:rsidRPr="00246D8C">
        <w:rPr>
          <w:bCs/>
          <w:sz w:val="22"/>
          <w:szCs w:val="22"/>
          <w:lang w:val="sr-Latn-ME"/>
        </w:rPr>
        <w:t>(</w:t>
      </w:r>
      <w:r w:rsidR="003D48C9" w:rsidRPr="00246D8C">
        <w:rPr>
          <w:bCs/>
          <w:sz w:val="22"/>
          <w:szCs w:val="22"/>
          <w:lang w:val="sr-Latn-ME"/>
        </w:rPr>
        <w:t>približno GFR ≥ 45 to &lt; 90 m</w:t>
      </w:r>
      <w:r w:rsidR="00AA34B1" w:rsidRPr="00246D8C">
        <w:rPr>
          <w:bCs/>
          <w:sz w:val="22"/>
          <w:szCs w:val="22"/>
          <w:lang w:val="sr-Latn-ME"/>
        </w:rPr>
        <w:t>l</w:t>
      </w:r>
      <w:r w:rsidR="003D48C9" w:rsidRPr="00246D8C">
        <w:rPr>
          <w:bCs/>
          <w:sz w:val="22"/>
          <w:szCs w:val="22"/>
          <w:lang w:val="sr-Latn-ME"/>
        </w:rPr>
        <w:t>/min)</w:t>
      </w:r>
      <w:r w:rsidRPr="00246D8C">
        <w:rPr>
          <w:bCs/>
          <w:sz w:val="22"/>
          <w:szCs w:val="22"/>
          <w:lang w:val="sr-Latn-ME"/>
        </w:rPr>
        <w:t>, umjereno (</w:t>
      </w:r>
      <w:r w:rsidR="003D48C9" w:rsidRPr="00246D8C">
        <w:rPr>
          <w:bCs/>
          <w:sz w:val="22"/>
          <w:szCs w:val="22"/>
          <w:lang w:val="sr-Latn-ME"/>
        </w:rPr>
        <w:t>približno GFR ≥ 30 to &lt; 45 m</w:t>
      </w:r>
      <w:r w:rsidR="00AA34B1" w:rsidRPr="00246D8C">
        <w:rPr>
          <w:bCs/>
          <w:sz w:val="22"/>
          <w:szCs w:val="22"/>
          <w:lang w:val="sr-Latn-ME"/>
        </w:rPr>
        <w:t>l</w:t>
      </w:r>
      <w:r w:rsidR="003D48C9" w:rsidRPr="00246D8C">
        <w:rPr>
          <w:bCs/>
          <w:sz w:val="22"/>
          <w:szCs w:val="22"/>
          <w:lang w:val="sr-Latn-ME"/>
        </w:rPr>
        <w:t>/min),</w:t>
      </w:r>
      <w:r w:rsidRPr="00246D8C">
        <w:rPr>
          <w:bCs/>
          <w:sz w:val="22"/>
          <w:szCs w:val="22"/>
          <w:lang w:val="sr-Latn-ME"/>
        </w:rPr>
        <w:t xml:space="preserve"> ili teško</w:t>
      </w:r>
      <w:r w:rsidR="006702E5" w:rsidRPr="00246D8C">
        <w:rPr>
          <w:bCs/>
          <w:sz w:val="22"/>
          <w:szCs w:val="22"/>
          <w:lang w:val="sr-Latn-ME"/>
        </w:rPr>
        <w:t xml:space="preserve"> </w:t>
      </w:r>
      <w:r w:rsidRPr="00246D8C">
        <w:rPr>
          <w:bCs/>
          <w:sz w:val="22"/>
          <w:szCs w:val="22"/>
          <w:lang w:val="sr-Latn-ME"/>
        </w:rPr>
        <w:t xml:space="preserve">(≤30 ml/min), kao i na pacijente sa ESRD na hemodijalizi. </w:t>
      </w:r>
    </w:p>
    <w:p w14:paraId="58CBF05A" w14:textId="20A92CD7" w:rsidR="003E0023" w:rsidRPr="00246D8C" w:rsidRDefault="003E0023" w:rsidP="006A7219">
      <w:pPr>
        <w:tabs>
          <w:tab w:val="left" w:pos="284"/>
        </w:tabs>
        <w:jc w:val="both"/>
        <w:outlineLvl w:val="0"/>
        <w:rPr>
          <w:bCs/>
          <w:sz w:val="22"/>
          <w:szCs w:val="22"/>
          <w:lang w:val="sr-Latn-ME"/>
        </w:rPr>
      </w:pPr>
      <w:r w:rsidRPr="00246D8C">
        <w:rPr>
          <w:bCs/>
          <w:sz w:val="22"/>
          <w:szCs w:val="22"/>
          <w:lang w:val="sr-Latn-ME"/>
        </w:rPr>
        <w:t>Stepen oštećenja bubrega nije uticao na C</w:t>
      </w:r>
      <w:r w:rsidRPr="00246D8C">
        <w:rPr>
          <w:bCs/>
          <w:sz w:val="22"/>
          <w:szCs w:val="22"/>
          <w:vertAlign w:val="subscript"/>
          <w:lang w:val="sr-Latn-ME"/>
        </w:rPr>
        <w:t>max</w:t>
      </w:r>
      <w:r w:rsidRPr="00246D8C">
        <w:rPr>
          <w:bCs/>
          <w:sz w:val="22"/>
          <w:szCs w:val="22"/>
          <w:lang w:val="sr-Latn-ME"/>
        </w:rPr>
        <w:t xml:space="preserve"> saksagliptina ili njegovog glavnog metabolita. Kod ispitanika sa blagim oštećenjem bubrega, srednje vrijednosti PIK saksagliplina i njegovog glavnog metabolita bile su 1.2 odnosno 1.7 puta više nego vrijednosti PIK kod ispitanika sa normalnom funkcijom bubrega. Obzirom da povećanja ovog obima ni</w:t>
      </w:r>
      <w:r w:rsidR="00AA34B1" w:rsidRPr="00246D8C">
        <w:rPr>
          <w:bCs/>
          <w:sz w:val="22"/>
          <w:szCs w:val="22"/>
          <w:lang w:val="sr-Latn-ME"/>
        </w:rPr>
        <w:t>je</w:t>
      </w:r>
      <w:r w:rsidRPr="00246D8C">
        <w:rPr>
          <w:bCs/>
          <w:sz w:val="22"/>
          <w:szCs w:val="22"/>
          <w:lang w:val="sr-Latn-ME"/>
        </w:rPr>
        <w:t xml:space="preserve">su klinički relevantna, prilagođavanje doze se kod pacijenata sa blagim oštećenjem bubrega ne preporučuje. Kod ispitanika sa umjerenim ili teškim oštećenjem bubrega ili kod ispitanika sa ESRD na hemodijalizi, vrijednosti PIK saksagliptina i njegovog glavnog metabolita bile su do 2.1 odnosno 4.5 puta više nego vrijednosti PIK kod ispitanika sa normalnom funkcijom bubrega. </w:t>
      </w:r>
    </w:p>
    <w:p w14:paraId="1529FC6A" w14:textId="77777777" w:rsidR="00AA34B1" w:rsidRPr="00246D8C" w:rsidRDefault="00AA34B1" w:rsidP="006A7219">
      <w:pPr>
        <w:tabs>
          <w:tab w:val="left" w:pos="284"/>
        </w:tabs>
        <w:jc w:val="both"/>
        <w:outlineLvl w:val="0"/>
        <w:rPr>
          <w:bCs/>
          <w:sz w:val="22"/>
          <w:szCs w:val="22"/>
          <w:lang w:val="sr-Latn-ME"/>
        </w:rPr>
      </w:pPr>
    </w:p>
    <w:p w14:paraId="233DC748" w14:textId="77777777" w:rsidR="003E0023" w:rsidRPr="00246D8C" w:rsidRDefault="003E0023" w:rsidP="003C0336">
      <w:pPr>
        <w:tabs>
          <w:tab w:val="left" w:pos="284"/>
        </w:tabs>
        <w:ind w:left="567" w:hanging="567"/>
        <w:jc w:val="both"/>
        <w:outlineLvl w:val="0"/>
        <w:rPr>
          <w:bCs/>
          <w:i/>
          <w:iCs/>
          <w:sz w:val="22"/>
          <w:szCs w:val="22"/>
          <w:lang w:val="sr-Latn-ME"/>
        </w:rPr>
      </w:pPr>
      <w:r w:rsidRPr="00246D8C">
        <w:rPr>
          <w:bCs/>
          <w:i/>
          <w:iCs/>
          <w:sz w:val="22"/>
          <w:szCs w:val="22"/>
          <w:lang w:val="sr-Latn-ME"/>
        </w:rPr>
        <w:t>Oštećenje jetre</w:t>
      </w:r>
    </w:p>
    <w:p w14:paraId="1412D7EC" w14:textId="77777777" w:rsidR="003E0023" w:rsidRPr="00246D8C" w:rsidRDefault="003E0023" w:rsidP="00AE24EE">
      <w:pPr>
        <w:tabs>
          <w:tab w:val="left" w:pos="284"/>
        </w:tabs>
        <w:jc w:val="both"/>
        <w:outlineLvl w:val="0"/>
        <w:rPr>
          <w:bCs/>
          <w:sz w:val="22"/>
          <w:szCs w:val="22"/>
          <w:lang w:val="sr-Latn-ME"/>
        </w:rPr>
      </w:pPr>
      <w:r w:rsidRPr="00246D8C">
        <w:rPr>
          <w:bCs/>
          <w:sz w:val="22"/>
          <w:szCs w:val="22"/>
          <w:lang w:val="sr-Latn-ME"/>
        </w:rPr>
        <w:t>Kod ispitanika sa blagim (Child</w:t>
      </w:r>
      <w:r w:rsidRPr="00246D8C">
        <w:rPr>
          <w:bCs/>
          <w:sz w:val="22"/>
          <w:szCs w:val="22"/>
          <w:lang w:val="sr-Latn-ME"/>
        </w:rPr>
        <w:noBreakHyphen/>
        <w:t>Pugh klasa A), umjerenim (Child</w:t>
      </w:r>
      <w:r w:rsidRPr="00246D8C">
        <w:rPr>
          <w:bCs/>
          <w:sz w:val="22"/>
          <w:szCs w:val="22"/>
          <w:lang w:val="sr-Latn-ME"/>
        </w:rPr>
        <w:noBreakHyphen/>
        <w:t>Pugh klasa B) ili teškim (Child</w:t>
      </w:r>
      <w:r w:rsidRPr="00246D8C">
        <w:rPr>
          <w:bCs/>
          <w:sz w:val="22"/>
          <w:szCs w:val="22"/>
          <w:lang w:val="sr-Latn-ME"/>
        </w:rPr>
        <w:noBreakHyphen/>
        <w:t>Pugh klasa C) oštećenjem jetre, izloženost saksagliptinu je bila 1.1, 1.4 odnosno 1.8 puta viša, dok je izloženost BMS</w:t>
      </w:r>
      <w:r w:rsidRPr="00246D8C">
        <w:rPr>
          <w:bCs/>
          <w:sz w:val="22"/>
          <w:szCs w:val="22"/>
          <w:lang w:val="sr-Latn-ME"/>
        </w:rPr>
        <w:noBreakHyphen/>
        <w:t>510849 bila 22%, 7%, odnosno 33% niža od one koje je zabilježena kod zdravih ispitanika.</w:t>
      </w:r>
    </w:p>
    <w:p w14:paraId="31F22624" w14:textId="77777777" w:rsidR="003E0023" w:rsidRPr="00246D8C" w:rsidRDefault="003E0023">
      <w:pPr>
        <w:tabs>
          <w:tab w:val="left" w:pos="284"/>
        </w:tabs>
        <w:ind w:left="567" w:hanging="567"/>
        <w:jc w:val="both"/>
        <w:outlineLvl w:val="0"/>
        <w:rPr>
          <w:bCs/>
          <w:sz w:val="22"/>
          <w:szCs w:val="22"/>
          <w:lang w:val="sr-Latn-ME"/>
        </w:rPr>
      </w:pPr>
    </w:p>
    <w:p w14:paraId="31AE0FC4" w14:textId="77777777" w:rsidR="003E0023" w:rsidRPr="00246D8C" w:rsidRDefault="003E0023">
      <w:pPr>
        <w:tabs>
          <w:tab w:val="left" w:pos="284"/>
        </w:tabs>
        <w:ind w:left="567" w:hanging="567"/>
        <w:jc w:val="both"/>
        <w:outlineLvl w:val="0"/>
        <w:rPr>
          <w:bCs/>
          <w:i/>
          <w:iCs/>
          <w:sz w:val="22"/>
          <w:szCs w:val="22"/>
          <w:lang w:val="sr-Latn-ME"/>
        </w:rPr>
      </w:pPr>
      <w:r w:rsidRPr="00246D8C">
        <w:rPr>
          <w:bCs/>
          <w:i/>
          <w:iCs/>
          <w:sz w:val="22"/>
          <w:szCs w:val="22"/>
          <w:lang w:val="sr-Latn-ME"/>
        </w:rPr>
        <w:t>Starije osobe (≥ 65 godina)</w:t>
      </w:r>
    </w:p>
    <w:p w14:paraId="7D9FA020" w14:textId="77777777" w:rsidR="003E0023" w:rsidRPr="00246D8C" w:rsidRDefault="003E0023" w:rsidP="002D73AD">
      <w:pPr>
        <w:tabs>
          <w:tab w:val="left" w:pos="284"/>
        </w:tabs>
        <w:jc w:val="both"/>
        <w:rPr>
          <w:bCs/>
          <w:sz w:val="22"/>
          <w:szCs w:val="22"/>
          <w:lang w:val="sr-Latn-ME"/>
        </w:rPr>
      </w:pPr>
      <w:r w:rsidRPr="00246D8C">
        <w:rPr>
          <w:bCs/>
          <w:sz w:val="22"/>
          <w:szCs w:val="22"/>
          <w:lang w:val="sr-Latn-ME"/>
        </w:rPr>
        <w:t>Stariji pacijenti (65</w:t>
      </w:r>
      <w:r w:rsidRPr="00246D8C">
        <w:rPr>
          <w:bCs/>
          <w:sz w:val="22"/>
          <w:szCs w:val="22"/>
          <w:lang w:val="sr-Latn-ME"/>
        </w:rPr>
        <w:noBreakHyphen/>
        <w:t>80 godina) su imali oko 60% viši PIK saksagliptina nego mlađi pacijenti (18</w:t>
      </w:r>
      <w:r w:rsidRPr="00246D8C">
        <w:rPr>
          <w:bCs/>
          <w:sz w:val="22"/>
          <w:szCs w:val="22"/>
          <w:lang w:val="sr-Latn-ME"/>
        </w:rPr>
        <w:noBreakHyphen/>
        <w:t>40 godina). Ovo nije smatrano klinički značajnim pa se stoga prilagođavanje doze lijeka Onglyza ne preporučuje samo na osnovu starosti.</w:t>
      </w:r>
    </w:p>
    <w:p w14:paraId="60BE78BC" w14:textId="77777777" w:rsidR="0072020E" w:rsidRPr="00246D8C" w:rsidRDefault="0072020E" w:rsidP="002D73AD">
      <w:pPr>
        <w:tabs>
          <w:tab w:val="left" w:pos="540"/>
          <w:tab w:val="left" w:pos="569"/>
        </w:tabs>
        <w:jc w:val="both"/>
        <w:rPr>
          <w:bCs/>
          <w:sz w:val="22"/>
          <w:szCs w:val="22"/>
          <w:lang w:val="sr-Latn-ME"/>
        </w:rPr>
      </w:pPr>
    </w:p>
    <w:p w14:paraId="109B7923" w14:textId="77777777" w:rsidR="0074373A" w:rsidRPr="00246D8C" w:rsidRDefault="0074373A" w:rsidP="0074373A">
      <w:pPr>
        <w:tabs>
          <w:tab w:val="left" w:pos="284"/>
        </w:tabs>
        <w:ind w:left="567" w:hanging="567"/>
        <w:outlineLvl w:val="0"/>
        <w:rPr>
          <w:bCs/>
          <w:i/>
          <w:iCs/>
          <w:sz w:val="22"/>
          <w:u w:val="single"/>
          <w:lang w:val="sr-Latn-ME"/>
        </w:rPr>
      </w:pPr>
      <w:r w:rsidRPr="00246D8C">
        <w:rPr>
          <w:bCs/>
          <w:i/>
          <w:iCs/>
          <w:sz w:val="22"/>
          <w:u w:val="single"/>
          <w:lang w:val="sr-Latn-ME"/>
        </w:rPr>
        <w:t>Pedijatrijska populacija</w:t>
      </w:r>
    </w:p>
    <w:p w14:paraId="41DC8E00" w14:textId="3208248E" w:rsidR="0074373A" w:rsidRPr="00246D8C" w:rsidRDefault="0074373A" w:rsidP="003B1D59">
      <w:pPr>
        <w:tabs>
          <w:tab w:val="left" w:pos="284"/>
        </w:tabs>
        <w:rPr>
          <w:sz w:val="22"/>
          <w:szCs w:val="22"/>
          <w:lang w:val="sr-Latn-ME"/>
        </w:rPr>
      </w:pPr>
      <w:r w:rsidRPr="00246D8C">
        <w:rPr>
          <w:sz w:val="22"/>
          <w:szCs w:val="22"/>
          <w:lang w:val="sr-Latn-ME"/>
        </w:rPr>
        <w:t>Farmakokinetika saksagliptina i njegovog glavnog metabolita kod pedijatrijsk</w:t>
      </w:r>
      <w:r w:rsidR="00FC56E3" w:rsidRPr="00246D8C">
        <w:rPr>
          <w:sz w:val="22"/>
          <w:szCs w:val="22"/>
          <w:lang w:val="sr-Latn-ME"/>
        </w:rPr>
        <w:t>ih pacijanata</w:t>
      </w:r>
      <w:r w:rsidRPr="00246D8C">
        <w:rPr>
          <w:sz w:val="22"/>
          <w:szCs w:val="22"/>
          <w:lang w:val="sr-Latn-ME"/>
        </w:rPr>
        <w:t xml:space="preserve"> uzrasta </w:t>
      </w:r>
      <w:r w:rsidR="006F4680" w:rsidRPr="00246D8C">
        <w:rPr>
          <w:sz w:val="22"/>
          <w:szCs w:val="22"/>
          <w:lang w:val="sr-Latn-ME"/>
        </w:rPr>
        <w:t xml:space="preserve">od </w:t>
      </w:r>
      <w:r w:rsidRPr="00246D8C">
        <w:rPr>
          <w:sz w:val="22"/>
          <w:szCs w:val="22"/>
          <w:lang w:val="sr-Latn-ME"/>
        </w:rPr>
        <w:t xml:space="preserve">10 do </w:t>
      </w:r>
      <w:r w:rsidR="00FC56E3" w:rsidRPr="00246D8C">
        <w:rPr>
          <w:sz w:val="22"/>
          <w:szCs w:val="22"/>
          <w:lang w:val="sr-Latn-ME"/>
        </w:rPr>
        <w:t xml:space="preserve">&lt; </w:t>
      </w:r>
      <w:r w:rsidRPr="00246D8C">
        <w:rPr>
          <w:sz w:val="22"/>
          <w:szCs w:val="22"/>
          <w:lang w:val="sr-Latn-ME"/>
        </w:rPr>
        <w:t xml:space="preserve">18 godina sa dijabetes melitusom tip 2, bila je slična onoj koja je uočena kod odraslih </w:t>
      </w:r>
      <w:r w:rsidR="006F4680" w:rsidRPr="00246D8C">
        <w:rPr>
          <w:sz w:val="22"/>
          <w:szCs w:val="22"/>
          <w:lang w:val="sr-Latn-ME"/>
        </w:rPr>
        <w:t xml:space="preserve"> p</w:t>
      </w:r>
      <w:r w:rsidRPr="00246D8C">
        <w:rPr>
          <w:sz w:val="22"/>
          <w:szCs w:val="22"/>
          <w:lang w:val="sr-Latn-ME"/>
        </w:rPr>
        <w:t>acijenata sa dijabetesom tip 2.</w:t>
      </w:r>
    </w:p>
    <w:p w14:paraId="23980237" w14:textId="77777777" w:rsidR="0074373A" w:rsidRPr="00246D8C" w:rsidRDefault="0074373A" w:rsidP="002D73AD">
      <w:pPr>
        <w:tabs>
          <w:tab w:val="left" w:pos="540"/>
          <w:tab w:val="left" w:pos="569"/>
        </w:tabs>
        <w:jc w:val="both"/>
        <w:rPr>
          <w:bCs/>
          <w:sz w:val="22"/>
          <w:szCs w:val="22"/>
          <w:lang w:val="sr-Latn-ME"/>
        </w:rPr>
      </w:pPr>
    </w:p>
    <w:p w14:paraId="062A9CB7" w14:textId="77777777" w:rsidR="0072020E" w:rsidRPr="00246D8C" w:rsidRDefault="0072020E" w:rsidP="002D73AD">
      <w:pPr>
        <w:tabs>
          <w:tab w:val="left" w:pos="540"/>
          <w:tab w:val="left" w:pos="569"/>
        </w:tabs>
        <w:jc w:val="both"/>
        <w:rPr>
          <w:b/>
          <w:bCs/>
          <w:sz w:val="22"/>
          <w:szCs w:val="22"/>
          <w:lang w:val="sr-Latn-ME"/>
        </w:rPr>
      </w:pPr>
      <w:r w:rsidRPr="00246D8C">
        <w:rPr>
          <w:b/>
          <w:bCs/>
          <w:sz w:val="22"/>
          <w:szCs w:val="22"/>
          <w:lang w:val="sr-Latn-ME"/>
        </w:rPr>
        <w:t xml:space="preserve">5.3. </w:t>
      </w:r>
      <w:r w:rsidR="00480FB1" w:rsidRPr="00246D8C">
        <w:rPr>
          <w:b/>
          <w:bCs/>
          <w:sz w:val="22"/>
          <w:szCs w:val="22"/>
          <w:lang w:val="sr-Latn-ME"/>
        </w:rPr>
        <w:tab/>
      </w:r>
      <w:r w:rsidRPr="00246D8C">
        <w:rPr>
          <w:b/>
          <w:bCs/>
          <w:sz w:val="22"/>
          <w:szCs w:val="22"/>
          <w:lang w:val="sr-Latn-ME"/>
        </w:rPr>
        <w:t xml:space="preserve">Pretklinički podaci o bezbjednosti </w:t>
      </w:r>
    </w:p>
    <w:p w14:paraId="2BCAD8D8" w14:textId="77777777" w:rsidR="00836B35" w:rsidRPr="00246D8C" w:rsidRDefault="00836B35" w:rsidP="002D73AD">
      <w:pPr>
        <w:tabs>
          <w:tab w:val="left" w:pos="540"/>
          <w:tab w:val="left" w:pos="569"/>
        </w:tabs>
        <w:jc w:val="both"/>
        <w:rPr>
          <w:bCs/>
          <w:sz w:val="22"/>
          <w:szCs w:val="22"/>
          <w:lang w:val="sr-Latn-ME"/>
        </w:rPr>
      </w:pPr>
    </w:p>
    <w:p w14:paraId="2F62E0AC" w14:textId="12E49485" w:rsidR="003E0023" w:rsidRPr="00246D8C" w:rsidRDefault="003E0023" w:rsidP="006A7219">
      <w:pPr>
        <w:tabs>
          <w:tab w:val="left" w:pos="284"/>
        </w:tabs>
        <w:jc w:val="both"/>
        <w:rPr>
          <w:sz w:val="22"/>
          <w:szCs w:val="22"/>
          <w:lang w:val="sr-Latn-ME"/>
        </w:rPr>
      </w:pPr>
      <w:r w:rsidRPr="00246D8C">
        <w:rPr>
          <w:sz w:val="22"/>
          <w:szCs w:val="22"/>
          <w:lang w:val="sr-Latn-ME"/>
        </w:rPr>
        <w:t>Kod cinomolgus majmuna je saksagliptin dovodio do reverzibilnih lezija na koži (kraste, ulceracije i nekroza) ekstremiteta (rep, prsti, skrotum i/ili nos) pri primjeni doza ≥ 3 mg/kg/dan. Nivo doza kod kojih nije bilo nikakvih efekata (NOEL) je za ove lezije bio jednom do dva puta viši od humanih doza</w:t>
      </w:r>
      <w:r w:rsidR="006702E5" w:rsidRPr="00246D8C">
        <w:rPr>
          <w:sz w:val="22"/>
          <w:szCs w:val="22"/>
          <w:lang w:val="sr-Latn-ME"/>
        </w:rPr>
        <w:t xml:space="preserve"> </w:t>
      </w:r>
      <w:r w:rsidRPr="00246D8C">
        <w:rPr>
          <w:sz w:val="22"/>
          <w:szCs w:val="22"/>
          <w:lang w:val="sr-Latn-ME"/>
        </w:rPr>
        <w:t>saksagliptina odnosno njegovog glavnog metabolita, pri primjeni preporučene humane doze od 5 mg/dan (RHD).</w:t>
      </w:r>
    </w:p>
    <w:p w14:paraId="7F51E725" w14:textId="77777777" w:rsidR="003E0023" w:rsidRPr="00246D8C" w:rsidRDefault="003E0023" w:rsidP="003C0336">
      <w:pPr>
        <w:tabs>
          <w:tab w:val="left" w:pos="284"/>
        </w:tabs>
        <w:jc w:val="both"/>
        <w:rPr>
          <w:sz w:val="22"/>
          <w:szCs w:val="22"/>
          <w:lang w:val="sr-Latn-ME"/>
        </w:rPr>
      </w:pPr>
    </w:p>
    <w:p w14:paraId="041D6D48" w14:textId="77777777" w:rsidR="003E0023" w:rsidRPr="00246D8C" w:rsidRDefault="003E0023" w:rsidP="00AE24EE">
      <w:pPr>
        <w:tabs>
          <w:tab w:val="left" w:pos="284"/>
        </w:tabs>
        <w:jc w:val="both"/>
        <w:rPr>
          <w:sz w:val="22"/>
          <w:szCs w:val="22"/>
          <w:lang w:val="sr-Latn-ME"/>
        </w:rPr>
      </w:pPr>
      <w:r w:rsidRPr="00246D8C">
        <w:rPr>
          <w:sz w:val="22"/>
          <w:szCs w:val="22"/>
          <w:lang w:val="sr-Latn-ME"/>
        </w:rPr>
        <w:t>Klinička relevantnost ovih promjena na koži nije poznata, međutim klinički pandan lezijama na koži majmuna nije zabilježen u humanim kliničkim studijama saksagliptina.</w:t>
      </w:r>
    </w:p>
    <w:p w14:paraId="77F619ED" w14:textId="77777777" w:rsidR="003E0023" w:rsidRPr="00246D8C" w:rsidRDefault="003E0023">
      <w:pPr>
        <w:tabs>
          <w:tab w:val="left" w:pos="284"/>
        </w:tabs>
        <w:jc w:val="both"/>
        <w:rPr>
          <w:sz w:val="22"/>
          <w:szCs w:val="22"/>
          <w:lang w:val="sr-Latn-ME"/>
        </w:rPr>
      </w:pPr>
    </w:p>
    <w:p w14:paraId="74B507FE" w14:textId="77777777" w:rsidR="003E0023" w:rsidRPr="00246D8C" w:rsidRDefault="003E0023" w:rsidP="002D73AD">
      <w:pPr>
        <w:jc w:val="both"/>
        <w:rPr>
          <w:sz w:val="22"/>
          <w:szCs w:val="22"/>
          <w:lang w:val="sr-Latn-ME"/>
        </w:rPr>
      </w:pPr>
      <w:r w:rsidRPr="00246D8C">
        <w:rPr>
          <w:sz w:val="22"/>
          <w:szCs w:val="22"/>
          <w:lang w:val="sr-Latn-ME"/>
        </w:rPr>
        <w:t>Imunološki nalazi minimalne, neprogresivne, limfoidne hiperplazije slezine, limfnih čvorova i kostne srži bez neželjenih posljedica zabilježeni su kod svih vrsta koje su ispitivane izlaganjem početnim dozama koje su bile 7 puta više od preporučene humane doze.</w:t>
      </w:r>
    </w:p>
    <w:p w14:paraId="600090FC" w14:textId="77777777" w:rsidR="003E0023" w:rsidRPr="00246D8C" w:rsidRDefault="003E0023" w:rsidP="006A7219">
      <w:pPr>
        <w:tabs>
          <w:tab w:val="left" w:pos="284"/>
        </w:tabs>
        <w:jc w:val="both"/>
        <w:rPr>
          <w:sz w:val="22"/>
          <w:szCs w:val="22"/>
          <w:lang w:val="sr-Latn-ME"/>
        </w:rPr>
      </w:pPr>
    </w:p>
    <w:p w14:paraId="10C6FB2D" w14:textId="6622680A" w:rsidR="003E0023" w:rsidRPr="00246D8C" w:rsidRDefault="003E0023" w:rsidP="006A7219">
      <w:pPr>
        <w:tabs>
          <w:tab w:val="left" w:pos="284"/>
        </w:tabs>
        <w:jc w:val="both"/>
        <w:rPr>
          <w:sz w:val="22"/>
          <w:szCs w:val="22"/>
          <w:lang w:val="sr-Latn-ME"/>
        </w:rPr>
      </w:pPr>
      <w:r w:rsidRPr="00246D8C">
        <w:rPr>
          <w:sz w:val="22"/>
          <w:szCs w:val="22"/>
          <w:lang w:val="sr-Latn-ME"/>
        </w:rPr>
        <w:t>Saksagliptin je dovodio do gastrointestinalne toksičnosti kod pasa, uključujući krvave/sluzave stolice i enteropatiju pri primjeni viših doza dok je NOEL bila 4 odnosno 2 puta viša nego kod humane izloženosti</w:t>
      </w:r>
      <w:r w:rsidR="006702E5" w:rsidRPr="00246D8C">
        <w:rPr>
          <w:sz w:val="22"/>
          <w:szCs w:val="22"/>
          <w:lang w:val="sr-Latn-ME"/>
        </w:rPr>
        <w:t xml:space="preserve"> </w:t>
      </w:r>
      <w:r w:rsidRPr="00246D8C">
        <w:rPr>
          <w:sz w:val="22"/>
          <w:szCs w:val="22"/>
          <w:lang w:val="sr-Latn-ME"/>
        </w:rPr>
        <w:t>saksagliptinu odnosno njegovom glavnom metabolitu pri primjeni preporučenih humanih doza.</w:t>
      </w:r>
    </w:p>
    <w:p w14:paraId="3C9EA8D7" w14:textId="77777777" w:rsidR="003E0023" w:rsidRPr="00246D8C" w:rsidRDefault="003E0023" w:rsidP="003C0336">
      <w:pPr>
        <w:tabs>
          <w:tab w:val="left" w:pos="284"/>
        </w:tabs>
        <w:jc w:val="both"/>
        <w:rPr>
          <w:sz w:val="22"/>
          <w:szCs w:val="22"/>
          <w:lang w:val="sr-Latn-ME"/>
        </w:rPr>
      </w:pPr>
    </w:p>
    <w:p w14:paraId="2DC0227D" w14:textId="77777777" w:rsidR="003E0023" w:rsidRPr="00246D8C" w:rsidRDefault="003E0023" w:rsidP="00AE24EE">
      <w:pPr>
        <w:tabs>
          <w:tab w:val="left" w:pos="284"/>
        </w:tabs>
        <w:jc w:val="both"/>
        <w:rPr>
          <w:sz w:val="22"/>
          <w:szCs w:val="22"/>
          <w:lang w:val="sr-Latn-ME"/>
        </w:rPr>
      </w:pPr>
      <w:r w:rsidRPr="00246D8C">
        <w:rPr>
          <w:sz w:val="22"/>
          <w:szCs w:val="22"/>
          <w:lang w:val="sr-Latn-ME"/>
        </w:rPr>
        <w:t xml:space="preserve">Saksagliptin nije bio genotoksičan u konvencionalnim </w:t>
      </w:r>
      <w:r w:rsidRPr="00246D8C">
        <w:rPr>
          <w:i/>
          <w:iCs/>
          <w:sz w:val="22"/>
          <w:szCs w:val="22"/>
          <w:lang w:val="sr-Latn-ME"/>
        </w:rPr>
        <w:t>in vitro</w:t>
      </w:r>
      <w:r w:rsidRPr="00246D8C">
        <w:rPr>
          <w:sz w:val="22"/>
          <w:szCs w:val="22"/>
          <w:lang w:val="sr-Latn-ME"/>
        </w:rPr>
        <w:t xml:space="preserve"> i </w:t>
      </w:r>
      <w:r w:rsidRPr="00246D8C">
        <w:rPr>
          <w:i/>
          <w:iCs/>
          <w:sz w:val="22"/>
          <w:szCs w:val="22"/>
          <w:lang w:val="sr-Latn-ME"/>
        </w:rPr>
        <w:t>in vivo</w:t>
      </w:r>
      <w:r w:rsidRPr="00246D8C">
        <w:rPr>
          <w:sz w:val="22"/>
          <w:szCs w:val="22"/>
          <w:lang w:val="sr-Latn-ME"/>
        </w:rPr>
        <w:t xml:space="preserve"> studijama genotoksičnosti. Nije zabilježen kancerogeni potencijal u dvogodišnjim studijama kancerogenosti na miševima i pacovima.</w:t>
      </w:r>
    </w:p>
    <w:p w14:paraId="3EF7DBD8" w14:textId="77777777" w:rsidR="003E0023" w:rsidRPr="00246D8C" w:rsidRDefault="003E0023">
      <w:pPr>
        <w:tabs>
          <w:tab w:val="left" w:pos="284"/>
        </w:tabs>
        <w:jc w:val="both"/>
        <w:rPr>
          <w:sz w:val="22"/>
          <w:szCs w:val="22"/>
          <w:lang w:val="sr-Latn-ME"/>
        </w:rPr>
      </w:pPr>
    </w:p>
    <w:p w14:paraId="45B9BD6B" w14:textId="0E3A3BF8" w:rsidR="003E0023" w:rsidRPr="00246D8C" w:rsidRDefault="003E0023" w:rsidP="002D73AD">
      <w:pPr>
        <w:tabs>
          <w:tab w:val="left" w:pos="284"/>
        </w:tabs>
        <w:jc w:val="both"/>
        <w:rPr>
          <w:sz w:val="22"/>
          <w:szCs w:val="22"/>
          <w:lang w:val="sr-Latn-ME"/>
        </w:rPr>
      </w:pPr>
      <w:r w:rsidRPr="00246D8C">
        <w:rPr>
          <w:sz w:val="22"/>
          <w:szCs w:val="22"/>
          <w:lang w:val="sr-Latn-ME"/>
        </w:rPr>
        <w:lastRenderedPageBreak/>
        <w:t xml:space="preserve">Uticaj na fertilitet je zabilježen kod mužjaka i ženki pacova pri primjeni visokih doza koje su dovodile do vidljivih znakova toksičnosti. Saksagliptin nije imao teratogeno dejstvo pri primjeni bilo koje doze u studijama na pacovima i </w:t>
      </w:r>
      <w:r w:rsidR="002B483B" w:rsidRPr="00246D8C">
        <w:rPr>
          <w:sz w:val="22"/>
          <w:szCs w:val="22"/>
          <w:lang w:val="sr-Latn-ME"/>
        </w:rPr>
        <w:t>kunićima</w:t>
      </w:r>
      <w:r w:rsidRPr="00246D8C">
        <w:rPr>
          <w:sz w:val="22"/>
          <w:szCs w:val="22"/>
          <w:lang w:val="sr-Latn-ME"/>
        </w:rPr>
        <w:t>. Pri primjeni visokih doza kod pacova, saksagliptin je dovodio do smanjenja osifikacije (zakašnjeli razvoj) fetalne karlice i smanjene tjelesne težine fetusa (u prisustvu maternalne toksičnosti), dok je</w:t>
      </w:r>
      <w:r w:rsidR="006702E5" w:rsidRPr="00246D8C">
        <w:rPr>
          <w:sz w:val="22"/>
          <w:szCs w:val="22"/>
          <w:lang w:val="sr-Latn-ME"/>
        </w:rPr>
        <w:t xml:space="preserve"> </w:t>
      </w:r>
      <w:r w:rsidRPr="00246D8C">
        <w:rPr>
          <w:sz w:val="22"/>
          <w:szCs w:val="22"/>
          <w:lang w:val="sr-Latn-ME"/>
        </w:rPr>
        <w:t>NOEL</w:t>
      </w:r>
      <w:r w:rsidR="006702E5" w:rsidRPr="00246D8C">
        <w:rPr>
          <w:sz w:val="22"/>
          <w:szCs w:val="22"/>
          <w:lang w:val="sr-Latn-ME"/>
        </w:rPr>
        <w:t xml:space="preserve"> </w:t>
      </w:r>
      <w:r w:rsidRPr="00246D8C">
        <w:rPr>
          <w:sz w:val="22"/>
          <w:szCs w:val="22"/>
          <w:lang w:val="sr-Latn-ME"/>
        </w:rPr>
        <w:t>bila 303 odnosno</w:t>
      </w:r>
      <w:r w:rsidR="006702E5" w:rsidRPr="00246D8C">
        <w:rPr>
          <w:sz w:val="22"/>
          <w:szCs w:val="22"/>
          <w:lang w:val="sr-Latn-ME"/>
        </w:rPr>
        <w:t xml:space="preserve"> </w:t>
      </w:r>
      <w:r w:rsidRPr="00246D8C">
        <w:rPr>
          <w:sz w:val="22"/>
          <w:szCs w:val="22"/>
          <w:lang w:val="sr-Latn-ME"/>
        </w:rPr>
        <w:t>30 puta viša neko kod humane izloženosti</w:t>
      </w:r>
      <w:r w:rsidR="006702E5" w:rsidRPr="00246D8C">
        <w:rPr>
          <w:sz w:val="22"/>
          <w:szCs w:val="22"/>
          <w:lang w:val="sr-Latn-ME"/>
        </w:rPr>
        <w:t xml:space="preserve"> </w:t>
      </w:r>
      <w:r w:rsidRPr="00246D8C">
        <w:rPr>
          <w:sz w:val="22"/>
          <w:szCs w:val="22"/>
          <w:lang w:val="sr-Latn-ME"/>
        </w:rPr>
        <w:t xml:space="preserve">saksagliptinu odnosno njegovom glavnom metabolitu pri primjeni preporučenih humanih doza. Kod </w:t>
      </w:r>
      <w:r w:rsidR="002B483B" w:rsidRPr="00246D8C">
        <w:rPr>
          <w:sz w:val="22"/>
          <w:szCs w:val="22"/>
          <w:lang w:val="sr-Latn-ME"/>
        </w:rPr>
        <w:t>kunića</w:t>
      </w:r>
      <w:r w:rsidRPr="00246D8C">
        <w:rPr>
          <w:sz w:val="22"/>
          <w:szCs w:val="22"/>
          <w:lang w:val="sr-Latn-ME"/>
        </w:rPr>
        <w:t xml:space="preserve"> su dejstva saksagliptina bila ograničena na minorne skeletne promjene koje su zabilježene samo pri primjeni doza koje su bile toksične za majku (NOEL 158 odnosno 224 puta viša nego kod humane izloženosti</w:t>
      </w:r>
      <w:r w:rsidR="006702E5" w:rsidRPr="00246D8C">
        <w:rPr>
          <w:sz w:val="22"/>
          <w:szCs w:val="22"/>
          <w:lang w:val="sr-Latn-ME"/>
        </w:rPr>
        <w:t xml:space="preserve"> </w:t>
      </w:r>
      <w:r w:rsidRPr="00246D8C">
        <w:rPr>
          <w:sz w:val="22"/>
          <w:szCs w:val="22"/>
          <w:lang w:val="sr-Latn-ME"/>
        </w:rPr>
        <w:t>saksagliptinu odnosno njegovom glavnom metabolitu pri primjeni preporučenih humanih doza). U studijama pre</w:t>
      </w:r>
      <w:r w:rsidRPr="00246D8C">
        <w:rPr>
          <w:sz w:val="22"/>
          <w:szCs w:val="22"/>
          <w:lang w:val="sr-Latn-ME"/>
        </w:rPr>
        <w:noBreakHyphen/>
        <w:t xml:space="preserve"> i postnatalog razvoja kod pacova, saksagliptin je dovodio do smanjenja težine potomstva pri primjeni doza koje su bile toksične za majku, gdje je NOEL bila 488 odnosno 45 puta viša nego kod humane izloženosti saksagliptinu odnosno njegovom glavnom metabolitu pri primjeni preporučenih humanih doza. Uticaj na tjelesnu težinu potomstva je zabilježen do 92. dana postnatalno u ženki odnosno 120. dana u mužjaka.</w:t>
      </w:r>
    </w:p>
    <w:p w14:paraId="1FEDB16F" w14:textId="4ECCE280" w:rsidR="00396DFD" w:rsidRPr="00246D8C" w:rsidRDefault="00396DFD" w:rsidP="003E0023">
      <w:pPr>
        <w:tabs>
          <w:tab w:val="left" w:pos="540"/>
          <w:tab w:val="left" w:pos="569"/>
        </w:tabs>
        <w:rPr>
          <w:b/>
          <w:bCs/>
          <w:sz w:val="22"/>
          <w:szCs w:val="22"/>
          <w:lang w:val="sr-Latn-ME"/>
        </w:rPr>
      </w:pPr>
    </w:p>
    <w:p w14:paraId="251A31DA" w14:textId="77777777" w:rsidR="00A01575" w:rsidRPr="00246D8C" w:rsidRDefault="00A01575" w:rsidP="003E0023">
      <w:pPr>
        <w:tabs>
          <w:tab w:val="left" w:pos="540"/>
          <w:tab w:val="left" w:pos="569"/>
        </w:tabs>
        <w:rPr>
          <w:b/>
          <w:bCs/>
          <w:sz w:val="22"/>
          <w:szCs w:val="22"/>
          <w:lang w:val="sr-Latn-ME"/>
        </w:rPr>
      </w:pPr>
    </w:p>
    <w:p w14:paraId="7CBCB66E" w14:textId="77777777" w:rsidR="0072020E" w:rsidRPr="00246D8C" w:rsidRDefault="0072020E" w:rsidP="00480FB1">
      <w:pPr>
        <w:tabs>
          <w:tab w:val="left" w:pos="540"/>
          <w:tab w:val="left" w:pos="569"/>
        </w:tabs>
        <w:rPr>
          <w:b/>
          <w:bCs/>
          <w:sz w:val="22"/>
          <w:szCs w:val="22"/>
          <w:lang w:val="sr-Latn-ME"/>
        </w:rPr>
      </w:pPr>
      <w:r w:rsidRPr="00246D8C">
        <w:rPr>
          <w:b/>
          <w:bCs/>
          <w:sz w:val="22"/>
          <w:szCs w:val="22"/>
          <w:lang w:val="sr-Latn-ME"/>
        </w:rPr>
        <w:t xml:space="preserve">6. </w:t>
      </w:r>
      <w:r w:rsidR="00480FB1" w:rsidRPr="00246D8C">
        <w:rPr>
          <w:b/>
          <w:bCs/>
          <w:sz w:val="22"/>
          <w:szCs w:val="22"/>
          <w:lang w:val="sr-Latn-ME"/>
        </w:rPr>
        <w:tab/>
      </w:r>
      <w:r w:rsidRPr="00246D8C">
        <w:rPr>
          <w:b/>
          <w:bCs/>
          <w:sz w:val="22"/>
          <w:szCs w:val="22"/>
          <w:lang w:val="sr-Latn-ME"/>
        </w:rPr>
        <w:t>FARMACEUTSKI PODACI</w:t>
      </w:r>
    </w:p>
    <w:p w14:paraId="6EAF8242" w14:textId="77777777" w:rsidR="00836B35" w:rsidRPr="00246D8C" w:rsidRDefault="00836B35" w:rsidP="00480FB1">
      <w:pPr>
        <w:tabs>
          <w:tab w:val="left" w:pos="540"/>
          <w:tab w:val="left" w:pos="569"/>
        </w:tabs>
        <w:rPr>
          <w:bCs/>
          <w:sz w:val="22"/>
          <w:szCs w:val="22"/>
          <w:lang w:val="sr-Latn-ME"/>
        </w:rPr>
      </w:pPr>
    </w:p>
    <w:p w14:paraId="5E25182F" w14:textId="77777777" w:rsidR="0072020E" w:rsidRPr="00246D8C" w:rsidRDefault="0072020E" w:rsidP="00480FB1">
      <w:pPr>
        <w:tabs>
          <w:tab w:val="left" w:pos="540"/>
          <w:tab w:val="left" w:pos="569"/>
        </w:tabs>
        <w:rPr>
          <w:b/>
          <w:bCs/>
          <w:sz w:val="22"/>
          <w:szCs w:val="22"/>
          <w:lang w:val="sr-Latn-ME"/>
        </w:rPr>
      </w:pPr>
      <w:r w:rsidRPr="00246D8C">
        <w:rPr>
          <w:b/>
          <w:bCs/>
          <w:sz w:val="22"/>
          <w:szCs w:val="22"/>
          <w:lang w:val="sr-Latn-ME"/>
        </w:rPr>
        <w:t xml:space="preserve">6.1. </w:t>
      </w:r>
      <w:r w:rsidR="00480FB1" w:rsidRPr="00246D8C">
        <w:rPr>
          <w:b/>
          <w:bCs/>
          <w:sz w:val="22"/>
          <w:szCs w:val="22"/>
          <w:lang w:val="sr-Latn-ME"/>
        </w:rPr>
        <w:tab/>
      </w:r>
      <w:r w:rsidRPr="00246D8C">
        <w:rPr>
          <w:b/>
          <w:bCs/>
          <w:sz w:val="22"/>
          <w:szCs w:val="22"/>
          <w:lang w:val="sr-Latn-ME"/>
        </w:rPr>
        <w:t>Lista pomoćnih supstanci</w:t>
      </w:r>
      <w:r w:rsidR="002E0135" w:rsidRPr="00246D8C">
        <w:rPr>
          <w:b/>
          <w:bCs/>
          <w:sz w:val="22"/>
          <w:szCs w:val="22"/>
          <w:lang w:val="sr-Latn-ME"/>
        </w:rPr>
        <w:t xml:space="preserve"> (ekscipijenasa)</w:t>
      </w:r>
    </w:p>
    <w:p w14:paraId="501DA6CE" w14:textId="724388AD" w:rsidR="0072020E" w:rsidRPr="00246D8C" w:rsidRDefault="0072020E" w:rsidP="00480FB1">
      <w:pPr>
        <w:tabs>
          <w:tab w:val="left" w:pos="540"/>
          <w:tab w:val="left" w:pos="569"/>
        </w:tabs>
        <w:rPr>
          <w:bCs/>
          <w:sz w:val="22"/>
          <w:szCs w:val="22"/>
          <w:lang w:val="sr-Latn-ME"/>
        </w:rPr>
      </w:pPr>
    </w:p>
    <w:p w14:paraId="483677D5" w14:textId="77777777" w:rsidR="003E0023" w:rsidRPr="00246D8C" w:rsidRDefault="003E0023" w:rsidP="003E0023">
      <w:pPr>
        <w:tabs>
          <w:tab w:val="left" w:pos="284"/>
        </w:tabs>
        <w:jc w:val="both"/>
        <w:rPr>
          <w:sz w:val="22"/>
          <w:szCs w:val="22"/>
          <w:u w:val="single"/>
          <w:lang w:val="sr-Latn-ME"/>
        </w:rPr>
      </w:pPr>
      <w:r w:rsidRPr="00246D8C">
        <w:rPr>
          <w:sz w:val="22"/>
          <w:szCs w:val="22"/>
          <w:u w:val="single"/>
          <w:lang w:val="sr-Latn-ME"/>
        </w:rPr>
        <w:t>Jezgro tablete:</w:t>
      </w:r>
    </w:p>
    <w:p w14:paraId="6CA0107A" w14:textId="77777777" w:rsidR="003E0023" w:rsidRPr="00246D8C" w:rsidRDefault="003E0023" w:rsidP="003E0023">
      <w:pPr>
        <w:tabs>
          <w:tab w:val="left" w:pos="284"/>
        </w:tabs>
        <w:jc w:val="both"/>
        <w:rPr>
          <w:sz w:val="22"/>
          <w:szCs w:val="22"/>
          <w:lang w:val="sr-Latn-ME"/>
        </w:rPr>
      </w:pPr>
      <w:r w:rsidRPr="00246D8C">
        <w:rPr>
          <w:sz w:val="22"/>
          <w:szCs w:val="22"/>
          <w:lang w:val="sr-Latn-ME"/>
        </w:rPr>
        <w:t>Laktoza monohidrat</w:t>
      </w:r>
    </w:p>
    <w:p w14:paraId="53A4F9F3" w14:textId="77777777" w:rsidR="003E0023" w:rsidRPr="00246D8C" w:rsidRDefault="003E0023" w:rsidP="003E0023">
      <w:pPr>
        <w:tabs>
          <w:tab w:val="left" w:pos="284"/>
        </w:tabs>
        <w:jc w:val="both"/>
        <w:rPr>
          <w:sz w:val="22"/>
          <w:szCs w:val="22"/>
          <w:lang w:val="sr-Latn-ME"/>
        </w:rPr>
      </w:pPr>
      <w:r w:rsidRPr="00246D8C">
        <w:rPr>
          <w:sz w:val="22"/>
          <w:szCs w:val="22"/>
          <w:lang w:val="sr-Latn-ME"/>
        </w:rPr>
        <w:t>Celuloza, mikrokristalna (E460i)</w:t>
      </w:r>
    </w:p>
    <w:p w14:paraId="7B15D330" w14:textId="77777777" w:rsidR="003E0023" w:rsidRPr="00246D8C" w:rsidRDefault="003E0023" w:rsidP="003E0023">
      <w:pPr>
        <w:tabs>
          <w:tab w:val="left" w:pos="284"/>
        </w:tabs>
        <w:jc w:val="both"/>
        <w:rPr>
          <w:sz w:val="22"/>
          <w:szCs w:val="22"/>
          <w:lang w:val="sr-Latn-ME"/>
        </w:rPr>
      </w:pPr>
      <w:r w:rsidRPr="00246D8C">
        <w:rPr>
          <w:sz w:val="22"/>
          <w:szCs w:val="22"/>
          <w:lang w:val="sr-Latn-ME"/>
        </w:rPr>
        <w:t>Kroskarmeloza natrijum (E468)</w:t>
      </w:r>
    </w:p>
    <w:p w14:paraId="0F53D891" w14:textId="77777777" w:rsidR="003E0023" w:rsidRPr="00246D8C" w:rsidRDefault="003E0023" w:rsidP="003E0023">
      <w:pPr>
        <w:tabs>
          <w:tab w:val="left" w:pos="284"/>
        </w:tabs>
        <w:jc w:val="both"/>
        <w:rPr>
          <w:sz w:val="22"/>
          <w:szCs w:val="22"/>
          <w:lang w:val="sr-Latn-ME"/>
        </w:rPr>
      </w:pPr>
      <w:r w:rsidRPr="00246D8C">
        <w:rPr>
          <w:sz w:val="22"/>
          <w:szCs w:val="22"/>
          <w:lang w:val="sr-Latn-ME"/>
        </w:rPr>
        <w:t xml:space="preserve">Magnezijum stearat </w:t>
      </w:r>
    </w:p>
    <w:p w14:paraId="1EA7FD88" w14:textId="77777777" w:rsidR="003E0023" w:rsidRPr="00246D8C" w:rsidRDefault="003E0023" w:rsidP="003E0023">
      <w:pPr>
        <w:tabs>
          <w:tab w:val="left" w:pos="284"/>
        </w:tabs>
        <w:jc w:val="both"/>
        <w:rPr>
          <w:sz w:val="22"/>
          <w:szCs w:val="22"/>
          <w:lang w:val="sr-Latn-ME"/>
        </w:rPr>
      </w:pPr>
    </w:p>
    <w:p w14:paraId="2DB60F7E" w14:textId="7B2CA26D" w:rsidR="003E0023" w:rsidRPr="00246D8C" w:rsidRDefault="0074373A" w:rsidP="003E0023">
      <w:pPr>
        <w:tabs>
          <w:tab w:val="left" w:pos="284"/>
        </w:tabs>
        <w:jc w:val="both"/>
        <w:rPr>
          <w:sz w:val="22"/>
          <w:szCs w:val="22"/>
          <w:u w:val="single"/>
          <w:lang w:val="sr-Latn-ME"/>
        </w:rPr>
      </w:pPr>
      <w:r w:rsidRPr="00246D8C">
        <w:rPr>
          <w:sz w:val="22"/>
          <w:szCs w:val="22"/>
          <w:u w:val="single"/>
          <w:lang w:val="sr-Latn-ME"/>
        </w:rPr>
        <w:t>Obloga film tablete</w:t>
      </w:r>
      <w:r w:rsidR="003E0023" w:rsidRPr="00246D8C">
        <w:rPr>
          <w:sz w:val="22"/>
          <w:szCs w:val="22"/>
          <w:u w:val="single"/>
          <w:lang w:val="sr-Latn-ME"/>
        </w:rPr>
        <w:t>:</w:t>
      </w:r>
    </w:p>
    <w:p w14:paraId="0BE6790B" w14:textId="77777777" w:rsidR="0074373A" w:rsidRPr="00246D8C" w:rsidRDefault="0074373A" w:rsidP="003E0023">
      <w:pPr>
        <w:tabs>
          <w:tab w:val="left" w:pos="284"/>
        </w:tabs>
        <w:jc w:val="both"/>
        <w:rPr>
          <w:iCs/>
          <w:sz w:val="22"/>
          <w:szCs w:val="22"/>
          <w:lang w:val="sr-Latn-ME"/>
        </w:rPr>
      </w:pPr>
      <w:r w:rsidRPr="00246D8C">
        <w:rPr>
          <w:i/>
          <w:sz w:val="22"/>
          <w:szCs w:val="22"/>
          <w:u w:val="single"/>
          <w:lang w:val="sr-Latn-ME"/>
        </w:rPr>
        <w:t xml:space="preserve">Opadry II White: </w:t>
      </w:r>
      <w:r w:rsidRPr="00246D8C">
        <w:rPr>
          <w:iCs/>
          <w:sz w:val="22"/>
          <w:szCs w:val="22"/>
          <w:lang w:val="sr-Latn-ME"/>
        </w:rPr>
        <w:t>(sastav: Polivinilalkohol; Makrogol 3350; Titan-dioksid (E171); Talk (E553b));</w:t>
      </w:r>
    </w:p>
    <w:p w14:paraId="7D83C655" w14:textId="77777777" w:rsidR="0074373A" w:rsidRPr="00246D8C" w:rsidRDefault="0074373A" w:rsidP="0074373A">
      <w:pPr>
        <w:tabs>
          <w:tab w:val="left" w:pos="284"/>
        </w:tabs>
        <w:jc w:val="both"/>
        <w:rPr>
          <w:iCs/>
          <w:sz w:val="22"/>
          <w:szCs w:val="22"/>
          <w:lang w:val="sr-Latn-ME"/>
        </w:rPr>
      </w:pPr>
      <w:r w:rsidRPr="00246D8C">
        <w:rPr>
          <w:i/>
          <w:sz w:val="22"/>
          <w:szCs w:val="22"/>
          <w:u w:val="single"/>
          <w:lang w:val="sr-Latn-ME"/>
        </w:rPr>
        <w:t>Opadry II Pink:</w:t>
      </w:r>
      <w:r w:rsidRPr="00246D8C">
        <w:rPr>
          <w:sz w:val="22"/>
          <w:szCs w:val="22"/>
          <w:lang w:val="sr-Latn-ME"/>
        </w:rPr>
        <w:t xml:space="preserve"> </w:t>
      </w:r>
      <w:r w:rsidRPr="00246D8C">
        <w:rPr>
          <w:iCs/>
          <w:sz w:val="22"/>
          <w:szCs w:val="22"/>
          <w:lang w:val="sr-Latn-ME"/>
        </w:rPr>
        <w:t>(sastav: Polivinilalkohol; Makrogol 3350; Titan-dioksid (E171); Talk (E553b); Gvožđe (III)-oksid, žuti (E172)).</w:t>
      </w:r>
    </w:p>
    <w:p w14:paraId="5B97E185" w14:textId="77777777" w:rsidR="0074373A" w:rsidRPr="00246D8C" w:rsidRDefault="0074373A" w:rsidP="0074373A">
      <w:pPr>
        <w:tabs>
          <w:tab w:val="left" w:pos="284"/>
        </w:tabs>
        <w:jc w:val="both"/>
        <w:rPr>
          <w:iCs/>
          <w:sz w:val="22"/>
          <w:szCs w:val="22"/>
          <w:lang w:val="sr-Latn-ME"/>
        </w:rPr>
      </w:pPr>
    </w:p>
    <w:p w14:paraId="7B2F148E" w14:textId="77777777" w:rsidR="0074373A" w:rsidRPr="00246D8C" w:rsidRDefault="0074373A" w:rsidP="0074373A">
      <w:pPr>
        <w:tabs>
          <w:tab w:val="left" w:pos="284"/>
        </w:tabs>
        <w:jc w:val="both"/>
        <w:rPr>
          <w:iCs/>
          <w:sz w:val="22"/>
          <w:szCs w:val="22"/>
          <w:lang w:val="sr-Latn-ME"/>
        </w:rPr>
      </w:pPr>
      <w:r w:rsidRPr="00246D8C">
        <w:rPr>
          <w:iCs/>
          <w:sz w:val="22"/>
          <w:szCs w:val="22"/>
          <w:lang w:val="sr-Latn-ME"/>
        </w:rPr>
        <w:t>Hlorovodonična kiselina 1N;</w:t>
      </w:r>
    </w:p>
    <w:p w14:paraId="323E4DE8" w14:textId="77777777" w:rsidR="0074373A" w:rsidRPr="00246D8C" w:rsidRDefault="0074373A" w:rsidP="0074373A">
      <w:pPr>
        <w:tabs>
          <w:tab w:val="left" w:pos="284"/>
        </w:tabs>
        <w:jc w:val="both"/>
        <w:rPr>
          <w:iCs/>
          <w:sz w:val="22"/>
          <w:szCs w:val="22"/>
          <w:lang w:val="sr-Latn-ME"/>
        </w:rPr>
      </w:pPr>
    </w:p>
    <w:p w14:paraId="7FBBD02B" w14:textId="6F11F3BA" w:rsidR="0074373A" w:rsidRPr="00246D8C" w:rsidRDefault="0074373A" w:rsidP="0074373A">
      <w:pPr>
        <w:tabs>
          <w:tab w:val="left" w:pos="284"/>
        </w:tabs>
        <w:jc w:val="both"/>
        <w:rPr>
          <w:iCs/>
          <w:sz w:val="22"/>
          <w:szCs w:val="22"/>
          <w:lang w:val="sr-Latn-ME"/>
        </w:rPr>
      </w:pPr>
      <w:r w:rsidRPr="00246D8C">
        <w:rPr>
          <w:iCs/>
          <w:sz w:val="22"/>
          <w:szCs w:val="22"/>
          <w:lang w:val="sr-Latn-ME"/>
        </w:rPr>
        <w:t xml:space="preserve">Mastilo: </w:t>
      </w:r>
      <w:r w:rsidRPr="00246D8C">
        <w:rPr>
          <w:i/>
          <w:iCs/>
          <w:sz w:val="22"/>
          <w:szCs w:val="22"/>
          <w:lang w:val="sr-Latn-ME"/>
        </w:rPr>
        <w:t>Opacode Blue</w:t>
      </w:r>
      <w:r w:rsidRPr="00246D8C">
        <w:rPr>
          <w:iCs/>
          <w:sz w:val="22"/>
          <w:szCs w:val="22"/>
          <w:lang w:val="sr-Latn-ME"/>
        </w:rPr>
        <w:t xml:space="preserve"> (sastav: FD&amp;C Blue #2 </w:t>
      </w:r>
      <w:r w:rsidRPr="00246D8C">
        <w:rPr>
          <w:i/>
          <w:iCs/>
          <w:sz w:val="22"/>
          <w:szCs w:val="22"/>
          <w:lang w:val="sr-Latn-ME"/>
        </w:rPr>
        <w:t>Indigo carmine Aluminijum lake</w:t>
      </w:r>
      <w:r w:rsidRPr="00246D8C">
        <w:rPr>
          <w:iCs/>
          <w:sz w:val="22"/>
          <w:szCs w:val="22"/>
          <w:lang w:val="sr-Latn-ME"/>
        </w:rPr>
        <w:t xml:space="preserve"> (E132); Šelak glazura</w:t>
      </w:r>
    </w:p>
    <w:p w14:paraId="23DF4A6A" w14:textId="04AF452C" w:rsidR="003E0023" w:rsidRPr="00246D8C" w:rsidRDefault="003E0023" w:rsidP="00480FB1">
      <w:pPr>
        <w:tabs>
          <w:tab w:val="left" w:pos="540"/>
          <w:tab w:val="left" w:pos="569"/>
        </w:tabs>
        <w:rPr>
          <w:bCs/>
          <w:sz w:val="22"/>
          <w:szCs w:val="22"/>
          <w:lang w:val="sr-Latn-ME"/>
        </w:rPr>
      </w:pPr>
    </w:p>
    <w:p w14:paraId="5F4F0FD4" w14:textId="77777777" w:rsidR="00B8141D" w:rsidRPr="00246D8C" w:rsidRDefault="00B8141D" w:rsidP="00B8141D">
      <w:pPr>
        <w:tabs>
          <w:tab w:val="left" w:pos="284"/>
        </w:tabs>
        <w:jc w:val="both"/>
        <w:rPr>
          <w:sz w:val="22"/>
          <w:szCs w:val="22"/>
          <w:u w:val="single"/>
          <w:lang w:val="sr-Latn-ME"/>
        </w:rPr>
      </w:pPr>
      <w:r w:rsidRPr="00246D8C">
        <w:rPr>
          <w:sz w:val="22"/>
          <w:szCs w:val="22"/>
          <w:u w:val="single"/>
          <w:lang w:val="sr-Latn-ME"/>
        </w:rPr>
        <w:t>Boja za štampu:</w:t>
      </w:r>
    </w:p>
    <w:p w14:paraId="771F173F" w14:textId="724CADFD" w:rsidR="00B8141D" w:rsidRPr="00246D8C" w:rsidRDefault="00B8141D" w:rsidP="00B8141D">
      <w:pPr>
        <w:tabs>
          <w:tab w:val="left" w:pos="284"/>
        </w:tabs>
        <w:jc w:val="both"/>
        <w:rPr>
          <w:sz w:val="22"/>
          <w:szCs w:val="22"/>
          <w:lang w:val="sr-Latn-ME"/>
        </w:rPr>
      </w:pPr>
      <w:r w:rsidRPr="00246D8C">
        <w:rPr>
          <w:sz w:val="22"/>
          <w:szCs w:val="22"/>
          <w:lang w:val="sr-Latn-ME"/>
        </w:rPr>
        <w:t xml:space="preserve">Šelak </w:t>
      </w:r>
      <w:r w:rsidR="0060615A" w:rsidRPr="00246D8C">
        <w:rPr>
          <w:sz w:val="22"/>
          <w:szCs w:val="22"/>
          <w:lang w:val="sr-Latn-ME"/>
        </w:rPr>
        <w:t>glazura</w:t>
      </w:r>
    </w:p>
    <w:p w14:paraId="7ECBC6EA" w14:textId="499F44A0" w:rsidR="00B8141D" w:rsidRPr="00246D8C" w:rsidRDefault="00C54525" w:rsidP="00B8141D">
      <w:pPr>
        <w:tabs>
          <w:tab w:val="left" w:pos="284"/>
        </w:tabs>
        <w:jc w:val="both"/>
        <w:rPr>
          <w:sz w:val="22"/>
          <w:szCs w:val="22"/>
          <w:u w:val="single"/>
          <w:lang w:val="sr-Latn-ME"/>
        </w:rPr>
      </w:pPr>
      <w:r w:rsidRPr="00246D8C">
        <w:rPr>
          <w:i/>
          <w:lang w:val="sr-Latn-ME"/>
        </w:rPr>
        <w:t>Opacode Blue</w:t>
      </w:r>
      <w:r w:rsidRPr="00246D8C">
        <w:rPr>
          <w:lang w:val="sr-Latn-ME"/>
        </w:rPr>
        <w:t xml:space="preserve"> (sastav: FD&amp;C Blue #2 </w:t>
      </w:r>
      <w:r w:rsidR="00B8141D" w:rsidRPr="00246D8C">
        <w:rPr>
          <w:i/>
          <w:sz w:val="22"/>
          <w:szCs w:val="22"/>
          <w:lang w:val="sr-Latn-ME"/>
        </w:rPr>
        <w:t>Indigo carmine aluminium lake</w:t>
      </w:r>
      <w:r w:rsidR="00B8141D" w:rsidRPr="00246D8C">
        <w:rPr>
          <w:sz w:val="22"/>
          <w:szCs w:val="22"/>
          <w:lang w:val="sr-Latn-ME"/>
        </w:rPr>
        <w:t xml:space="preserve"> (E132)</w:t>
      </w:r>
    </w:p>
    <w:p w14:paraId="52FD6D18" w14:textId="77777777" w:rsidR="00B8141D" w:rsidRPr="00246D8C" w:rsidRDefault="00B8141D" w:rsidP="00480FB1">
      <w:pPr>
        <w:tabs>
          <w:tab w:val="left" w:pos="540"/>
          <w:tab w:val="left" w:pos="569"/>
        </w:tabs>
        <w:rPr>
          <w:bCs/>
          <w:sz w:val="22"/>
          <w:szCs w:val="22"/>
          <w:lang w:val="sr-Latn-ME"/>
        </w:rPr>
      </w:pPr>
    </w:p>
    <w:p w14:paraId="1C94FD9C" w14:textId="77777777" w:rsidR="0072020E" w:rsidRPr="00246D8C" w:rsidRDefault="0072020E" w:rsidP="00480FB1">
      <w:pPr>
        <w:tabs>
          <w:tab w:val="left" w:pos="540"/>
          <w:tab w:val="left" w:pos="569"/>
        </w:tabs>
        <w:rPr>
          <w:b/>
          <w:bCs/>
          <w:sz w:val="22"/>
          <w:szCs w:val="22"/>
          <w:lang w:val="sr-Latn-ME"/>
        </w:rPr>
      </w:pPr>
      <w:r w:rsidRPr="00246D8C">
        <w:rPr>
          <w:b/>
          <w:bCs/>
          <w:sz w:val="22"/>
          <w:szCs w:val="22"/>
          <w:lang w:val="sr-Latn-ME"/>
        </w:rPr>
        <w:t xml:space="preserve">6.2. </w:t>
      </w:r>
      <w:r w:rsidR="00480FB1" w:rsidRPr="00246D8C">
        <w:rPr>
          <w:b/>
          <w:bCs/>
          <w:sz w:val="22"/>
          <w:szCs w:val="22"/>
          <w:lang w:val="sr-Latn-ME"/>
        </w:rPr>
        <w:tab/>
      </w:r>
      <w:r w:rsidRPr="00246D8C">
        <w:rPr>
          <w:b/>
          <w:bCs/>
          <w:sz w:val="22"/>
          <w:szCs w:val="22"/>
          <w:lang w:val="sr-Latn-ME"/>
        </w:rPr>
        <w:t>Inkompatibilnost</w:t>
      </w:r>
      <w:r w:rsidR="002846DB" w:rsidRPr="00246D8C">
        <w:rPr>
          <w:b/>
          <w:bCs/>
          <w:sz w:val="22"/>
          <w:szCs w:val="22"/>
          <w:lang w:val="sr-Latn-ME"/>
        </w:rPr>
        <w:t>i</w:t>
      </w:r>
    </w:p>
    <w:p w14:paraId="1AD21C2C" w14:textId="5D92B0D7" w:rsidR="0072020E" w:rsidRPr="00246D8C" w:rsidRDefault="0072020E" w:rsidP="00480FB1">
      <w:pPr>
        <w:tabs>
          <w:tab w:val="left" w:pos="540"/>
          <w:tab w:val="left" w:pos="569"/>
        </w:tabs>
        <w:rPr>
          <w:bCs/>
          <w:sz w:val="22"/>
          <w:szCs w:val="22"/>
          <w:lang w:val="sr-Latn-ME"/>
        </w:rPr>
      </w:pPr>
    </w:p>
    <w:p w14:paraId="5F96FF9F" w14:textId="0E6EFB85" w:rsidR="00B8141D" w:rsidRPr="00246D8C" w:rsidRDefault="00B8141D" w:rsidP="00480FB1">
      <w:pPr>
        <w:tabs>
          <w:tab w:val="left" w:pos="540"/>
          <w:tab w:val="left" w:pos="569"/>
        </w:tabs>
        <w:rPr>
          <w:bCs/>
          <w:sz w:val="22"/>
          <w:szCs w:val="22"/>
          <w:lang w:val="sr-Latn-ME"/>
        </w:rPr>
      </w:pPr>
      <w:r w:rsidRPr="00246D8C">
        <w:rPr>
          <w:bCs/>
          <w:sz w:val="22"/>
          <w:szCs w:val="22"/>
          <w:lang w:val="sr-Latn-ME"/>
        </w:rPr>
        <w:t>Nije primjen</w:t>
      </w:r>
      <w:r w:rsidR="00E70238" w:rsidRPr="00246D8C">
        <w:rPr>
          <w:bCs/>
          <w:sz w:val="22"/>
          <w:szCs w:val="22"/>
          <w:lang w:val="sr-Latn-ME"/>
        </w:rPr>
        <w:t>lj</w:t>
      </w:r>
      <w:r w:rsidRPr="00246D8C">
        <w:rPr>
          <w:bCs/>
          <w:sz w:val="22"/>
          <w:szCs w:val="22"/>
          <w:lang w:val="sr-Latn-ME"/>
        </w:rPr>
        <w:t>ivo</w:t>
      </w:r>
      <w:r w:rsidR="00FD24BA" w:rsidRPr="00246D8C">
        <w:rPr>
          <w:bCs/>
          <w:sz w:val="22"/>
          <w:szCs w:val="22"/>
          <w:lang w:val="sr-Latn-ME"/>
        </w:rPr>
        <w:t>.</w:t>
      </w:r>
    </w:p>
    <w:p w14:paraId="17A1C2F9" w14:textId="77777777" w:rsidR="00B8141D" w:rsidRPr="00246D8C" w:rsidRDefault="00B8141D" w:rsidP="00480FB1">
      <w:pPr>
        <w:tabs>
          <w:tab w:val="left" w:pos="540"/>
          <w:tab w:val="left" w:pos="569"/>
        </w:tabs>
        <w:rPr>
          <w:bCs/>
          <w:sz w:val="22"/>
          <w:szCs w:val="22"/>
          <w:lang w:val="sr-Latn-ME"/>
        </w:rPr>
      </w:pPr>
    </w:p>
    <w:p w14:paraId="098F76F0" w14:textId="0A26D8FE" w:rsidR="0072020E" w:rsidRPr="00246D8C" w:rsidRDefault="0072020E" w:rsidP="00480FB1">
      <w:pPr>
        <w:tabs>
          <w:tab w:val="left" w:pos="540"/>
          <w:tab w:val="left" w:pos="569"/>
        </w:tabs>
        <w:rPr>
          <w:b/>
          <w:bCs/>
          <w:sz w:val="22"/>
          <w:szCs w:val="22"/>
          <w:lang w:val="sr-Latn-ME"/>
        </w:rPr>
      </w:pPr>
      <w:r w:rsidRPr="00246D8C">
        <w:rPr>
          <w:b/>
          <w:bCs/>
          <w:sz w:val="22"/>
          <w:szCs w:val="22"/>
          <w:lang w:val="sr-Latn-ME"/>
        </w:rPr>
        <w:t>6.3.</w:t>
      </w:r>
      <w:r w:rsidR="00C05DF8" w:rsidRPr="00246D8C">
        <w:rPr>
          <w:b/>
          <w:bCs/>
          <w:sz w:val="22"/>
          <w:szCs w:val="22"/>
          <w:lang w:val="sr-Latn-ME"/>
        </w:rPr>
        <w:t xml:space="preserve"> </w:t>
      </w:r>
      <w:r w:rsidR="00480FB1" w:rsidRPr="00246D8C">
        <w:rPr>
          <w:b/>
          <w:bCs/>
          <w:sz w:val="22"/>
          <w:szCs w:val="22"/>
          <w:lang w:val="sr-Latn-ME"/>
        </w:rPr>
        <w:tab/>
      </w:r>
      <w:r w:rsidRPr="00246D8C">
        <w:rPr>
          <w:b/>
          <w:bCs/>
          <w:sz w:val="22"/>
          <w:szCs w:val="22"/>
          <w:lang w:val="sr-Latn-ME"/>
        </w:rPr>
        <w:t>Rok upotrebe</w:t>
      </w:r>
    </w:p>
    <w:p w14:paraId="0F5F3C34" w14:textId="77777777" w:rsidR="00A01575" w:rsidRPr="00246D8C" w:rsidRDefault="00A01575" w:rsidP="00480FB1">
      <w:pPr>
        <w:tabs>
          <w:tab w:val="left" w:pos="540"/>
          <w:tab w:val="left" w:pos="569"/>
        </w:tabs>
        <w:rPr>
          <w:b/>
          <w:bCs/>
          <w:sz w:val="22"/>
          <w:szCs w:val="22"/>
          <w:lang w:val="sr-Latn-ME"/>
        </w:rPr>
      </w:pPr>
    </w:p>
    <w:p w14:paraId="5FD29C71" w14:textId="2BB1216A" w:rsidR="0072020E" w:rsidRPr="00246D8C" w:rsidRDefault="00B8141D" w:rsidP="002D73AD">
      <w:pPr>
        <w:rPr>
          <w:sz w:val="22"/>
          <w:szCs w:val="22"/>
          <w:lang w:val="sr-Latn-ME"/>
        </w:rPr>
      </w:pPr>
      <w:r w:rsidRPr="00246D8C">
        <w:rPr>
          <w:sz w:val="22"/>
          <w:szCs w:val="22"/>
          <w:lang w:val="sr-Latn-ME"/>
        </w:rPr>
        <w:t xml:space="preserve"> 3 godine</w:t>
      </w:r>
      <w:r w:rsidR="00A01575" w:rsidRPr="00246D8C">
        <w:rPr>
          <w:sz w:val="22"/>
          <w:szCs w:val="22"/>
          <w:lang w:val="sr-Latn-ME"/>
        </w:rPr>
        <w:t>.</w:t>
      </w:r>
    </w:p>
    <w:p w14:paraId="581E6153" w14:textId="77777777" w:rsidR="00A01575" w:rsidRPr="00246D8C" w:rsidRDefault="00A01575" w:rsidP="002D73AD">
      <w:pPr>
        <w:rPr>
          <w:sz w:val="22"/>
          <w:szCs w:val="22"/>
          <w:lang w:val="sr-Latn-ME"/>
        </w:rPr>
      </w:pPr>
    </w:p>
    <w:p w14:paraId="2DC8914A" w14:textId="2FB1810D" w:rsidR="0072020E" w:rsidRPr="00246D8C" w:rsidRDefault="0072020E" w:rsidP="00480FB1">
      <w:pPr>
        <w:tabs>
          <w:tab w:val="left" w:pos="540"/>
          <w:tab w:val="left" w:pos="569"/>
        </w:tabs>
        <w:rPr>
          <w:b/>
          <w:bCs/>
          <w:sz w:val="22"/>
          <w:szCs w:val="22"/>
          <w:lang w:val="sr-Latn-ME"/>
        </w:rPr>
      </w:pPr>
      <w:r w:rsidRPr="00246D8C">
        <w:rPr>
          <w:b/>
          <w:bCs/>
          <w:sz w:val="22"/>
          <w:szCs w:val="22"/>
          <w:lang w:val="sr-Latn-ME"/>
        </w:rPr>
        <w:t xml:space="preserve">6.4. </w:t>
      </w:r>
      <w:r w:rsidR="00480FB1" w:rsidRPr="00246D8C">
        <w:rPr>
          <w:b/>
          <w:bCs/>
          <w:sz w:val="22"/>
          <w:szCs w:val="22"/>
          <w:lang w:val="sr-Latn-ME"/>
        </w:rPr>
        <w:tab/>
      </w:r>
      <w:r w:rsidRPr="00246D8C">
        <w:rPr>
          <w:b/>
          <w:bCs/>
          <w:sz w:val="22"/>
          <w:szCs w:val="22"/>
          <w:lang w:val="sr-Latn-ME"/>
        </w:rPr>
        <w:t>Posebne mjere upozorenja pri čuvanju</w:t>
      </w:r>
      <w:r w:rsidR="00F8570A" w:rsidRPr="00246D8C">
        <w:rPr>
          <w:b/>
          <w:bCs/>
          <w:sz w:val="22"/>
          <w:szCs w:val="22"/>
          <w:lang w:val="sr-Latn-ME"/>
        </w:rPr>
        <w:t xml:space="preserve"> lijeka</w:t>
      </w:r>
    </w:p>
    <w:p w14:paraId="47B08A51" w14:textId="77777777" w:rsidR="00B8141D" w:rsidRPr="00246D8C" w:rsidRDefault="00B8141D" w:rsidP="00480FB1">
      <w:pPr>
        <w:tabs>
          <w:tab w:val="left" w:pos="540"/>
          <w:tab w:val="left" w:pos="569"/>
        </w:tabs>
        <w:rPr>
          <w:b/>
          <w:bCs/>
          <w:sz w:val="22"/>
          <w:szCs w:val="22"/>
          <w:lang w:val="sr-Latn-ME"/>
        </w:rPr>
      </w:pPr>
    </w:p>
    <w:p w14:paraId="3CA264CD" w14:textId="0FEDC529" w:rsidR="00B8141D" w:rsidRPr="00246D8C" w:rsidRDefault="00B8141D" w:rsidP="00480FB1">
      <w:pPr>
        <w:tabs>
          <w:tab w:val="left" w:pos="540"/>
          <w:tab w:val="left" w:pos="569"/>
        </w:tabs>
        <w:rPr>
          <w:sz w:val="22"/>
          <w:szCs w:val="22"/>
          <w:lang w:val="sr-Latn-ME"/>
        </w:rPr>
      </w:pPr>
      <w:r w:rsidRPr="00246D8C">
        <w:rPr>
          <w:sz w:val="22"/>
          <w:szCs w:val="22"/>
          <w:lang w:val="sr-Latn-ME"/>
        </w:rPr>
        <w:t>Lijek ne zahtijeva posebne uslove čuvanja.</w:t>
      </w:r>
    </w:p>
    <w:p w14:paraId="027A8F7D" w14:textId="77777777" w:rsidR="00EC2532" w:rsidRPr="00246D8C" w:rsidRDefault="00EC2532" w:rsidP="00480FB1">
      <w:pPr>
        <w:tabs>
          <w:tab w:val="left" w:pos="540"/>
          <w:tab w:val="left" w:pos="569"/>
        </w:tabs>
        <w:rPr>
          <w:bCs/>
          <w:sz w:val="22"/>
          <w:szCs w:val="22"/>
          <w:lang w:val="sr-Latn-ME"/>
        </w:rPr>
      </w:pPr>
    </w:p>
    <w:p w14:paraId="32DF6C74" w14:textId="77777777" w:rsidR="0072020E" w:rsidRPr="00246D8C" w:rsidRDefault="0072020E" w:rsidP="00480FB1">
      <w:pPr>
        <w:tabs>
          <w:tab w:val="left" w:pos="540"/>
          <w:tab w:val="left" w:pos="569"/>
        </w:tabs>
        <w:rPr>
          <w:b/>
          <w:bCs/>
          <w:sz w:val="22"/>
          <w:szCs w:val="22"/>
          <w:lang w:val="sr-Latn-ME"/>
        </w:rPr>
      </w:pPr>
      <w:r w:rsidRPr="00246D8C">
        <w:rPr>
          <w:b/>
          <w:bCs/>
          <w:sz w:val="22"/>
          <w:szCs w:val="22"/>
          <w:lang w:val="sr-Latn-ME"/>
        </w:rPr>
        <w:t xml:space="preserve">6.5. </w:t>
      </w:r>
      <w:r w:rsidR="00480FB1" w:rsidRPr="00246D8C">
        <w:rPr>
          <w:b/>
          <w:bCs/>
          <w:sz w:val="22"/>
          <w:szCs w:val="22"/>
          <w:lang w:val="sr-Latn-ME"/>
        </w:rPr>
        <w:tab/>
      </w:r>
      <w:r w:rsidR="002846DB" w:rsidRPr="00246D8C">
        <w:rPr>
          <w:b/>
          <w:bCs/>
          <w:sz w:val="22"/>
          <w:szCs w:val="22"/>
          <w:lang w:val="sr-Latn-ME"/>
        </w:rPr>
        <w:t xml:space="preserve">Vrsta i sadržaj </w:t>
      </w:r>
      <w:r w:rsidR="00F8570A" w:rsidRPr="00246D8C">
        <w:rPr>
          <w:b/>
          <w:bCs/>
          <w:sz w:val="22"/>
          <w:szCs w:val="22"/>
          <w:lang w:val="sr-Latn-ME"/>
        </w:rPr>
        <w:t>pakovanja</w:t>
      </w:r>
      <w:r w:rsidR="00C06864" w:rsidRPr="00246D8C">
        <w:rPr>
          <w:b/>
          <w:bCs/>
          <w:sz w:val="22"/>
          <w:szCs w:val="22"/>
          <w:lang w:val="sr-Latn-ME"/>
        </w:rPr>
        <w:t xml:space="preserve"> </w:t>
      </w:r>
    </w:p>
    <w:p w14:paraId="405060E8" w14:textId="637A66DB" w:rsidR="0072020E" w:rsidRPr="00246D8C" w:rsidRDefault="0072020E" w:rsidP="00480FB1">
      <w:pPr>
        <w:tabs>
          <w:tab w:val="left" w:pos="540"/>
          <w:tab w:val="left" w:pos="569"/>
        </w:tabs>
        <w:rPr>
          <w:bCs/>
          <w:sz w:val="22"/>
          <w:szCs w:val="22"/>
          <w:lang w:val="sr-Latn-ME"/>
        </w:rPr>
      </w:pPr>
    </w:p>
    <w:p w14:paraId="59BBB355" w14:textId="0087C469" w:rsidR="00B8141D" w:rsidRPr="00246D8C" w:rsidRDefault="00A67D29" w:rsidP="00B8141D">
      <w:pPr>
        <w:tabs>
          <w:tab w:val="left" w:pos="284"/>
        </w:tabs>
        <w:jc w:val="both"/>
        <w:rPr>
          <w:sz w:val="22"/>
          <w:szCs w:val="22"/>
          <w:lang w:val="sr-Latn-ME"/>
        </w:rPr>
      </w:pPr>
      <w:r w:rsidRPr="00246D8C">
        <w:rPr>
          <w:sz w:val="22"/>
          <w:szCs w:val="22"/>
          <w:lang w:val="sr-Latn-ME"/>
        </w:rPr>
        <w:t xml:space="preserve">Unutrašnje pakovanje lijeka je </w:t>
      </w:r>
      <w:r w:rsidR="00B8141D" w:rsidRPr="00246D8C">
        <w:rPr>
          <w:sz w:val="22"/>
          <w:szCs w:val="22"/>
          <w:lang w:val="sr-Latn-ME"/>
        </w:rPr>
        <w:t>Alu/Alu blister</w:t>
      </w:r>
      <w:r w:rsidRPr="00246D8C">
        <w:rPr>
          <w:sz w:val="22"/>
          <w:szCs w:val="22"/>
          <w:lang w:val="sr-Latn-ME"/>
        </w:rPr>
        <w:t xml:space="preserve"> sa 14 film tableta.</w:t>
      </w:r>
    </w:p>
    <w:p w14:paraId="10DB96E7" w14:textId="3CE65373" w:rsidR="00B8141D" w:rsidRPr="00246D8C" w:rsidRDefault="00A67D29" w:rsidP="00B8141D">
      <w:pPr>
        <w:tabs>
          <w:tab w:val="left" w:pos="284"/>
        </w:tabs>
        <w:jc w:val="both"/>
        <w:rPr>
          <w:sz w:val="22"/>
          <w:szCs w:val="22"/>
          <w:lang w:val="sr-Latn-ME"/>
        </w:rPr>
      </w:pPr>
      <w:r w:rsidRPr="00246D8C">
        <w:rPr>
          <w:sz w:val="22"/>
          <w:szCs w:val="22"/>
          <w:lang w:val="sr-Latn-ME"/>
        </w:rPr>
        <w:t xml:space="preserve">Spoljašnje </w:t>
      </w:r>
      <w:r w:rsidR="00B8141D" w:rsidRPr="00246D8C">
        <w:rPr>
          <w:sz w:val="22"/>
          <w:szCs w:val="22"/>
          <w:lang w:val="sr-Latn-ME"/>
        </w:rPr>
        <w:t>pakovanj</w:t>
      </w:r>
      <w:r w:rsidRPr="00246D8C">
        <w:rPr>
          <w:sz w:val="22"/>
          <w:szCs w:val="22"/>
          <w:lang w:val="sr-Latn-ME"/>
        </w:rPr>
        <w:t>e je složiva kartonska kutija koja sadrži 2 blistera, sa po 14</w:t>
      </w:r>
      <w:r w:rsidR="00B8141D" w:rsidRPr="00246D8C">
        <w:rPr>
          <w:sz w:val="22"/>
          <w:szCs w:val="22"/>
          <w:lang w:val="sr-Latn-ME"/>
        </w:rPr>
        <w:t xml:space="preserve"> film tableta</w:t>
      </w:r>
      <w:r w:rsidRPr="00246D8C">
        <w:rPr>
          <w:sz w:val="22"/>
          <w:szCs w:val="22"/>
          <w:lang w:val="sr-Latn-ME"/>
        </w:rPr>
        <w:t xml:space="preserve"> (ukupno 28 film tableta)</w:t>
      </w:r>
      <w:r w:rsidR="00B8141D" w:rsidRPr="00246D8C">
        <w:rPr>
          <w:sz w:val="22"/>
          <w:szCs w:val="22"/>
          <w:lang w:val="sr-Latn-ME"/>
        </w:rPr>
        <w:t xml:space="preserve"> sa kalendarom</w:t>
      </w:r>
      <w:r w:rsidRPr="00246D8C">
        <w:rPr>
          <w:sz w:val="22"/>
          <w:szCs w:val="22"/>
          <w:lang w:val="sr-Latn-ME"/>
        </w:rPr>
        <w:t xml:space="preserve"> i Uputstvom za lijek</w:t>
      </w:r>
      <w:r w:rsidR="00B8141D" w:rsidRPr="00246D8C">
        <w:rPr>
          <w:sz w:val="22"/>
          <w:szCs w:val="22"/>
          <w:lang w:val="sr-Latn-ME"/>
        </w:rPr>
        <w:t>.</w:t>
      </w:r>
    </w:p>
    <w:p w14:paraId="69C8DC63" w14:textId="77777777" w:rsidR="00B8141D" w:rsidRPr="00246D8C" w:rsidRDefault="00B8141D" w:rsidP="00480FB1">
      <w:pPr>
        <w:tabs>
          <w:tab w:val="left" w:pos="540"/>
          <w:tab w:val="left" w:pos="569"/>
        </w:tabs>
        <w:rPr>
          <w:bCs/>
          <w:sz w:val="22"/>
          <w:szCs w:val="22"/>
          <w:lang w:val="sr-Latn-ME"/>
        </w:rPr>
      </w:pPr>
    </w:p>
    <w:p w14:paraId="66A268B0" w14:textId="77777777" w:rsidR="002846DB" w:rsidRPr="00246D8C" w:rsidRDefault="0072020E" w:rsidP="00480FB1">
      <w:pPr>
        <w:tabs>
          <w:tab w:val="left" w:pos="540"/>
          <w:tab w:val="left" w:pos="569"/>
        </w:tabs>
        <w:rPr>
          <w:b/>
          <w:bCs/>
          <w:sz w:val="22"/>
          <w:szCs w:val="22"/>
          <w:lang w:val="sr-Latn-ME"/>
        </w:rPr>
      </w:pPr>
      <w:r w:rsidRPr="00246D8C">
        <w:rPr>
          <w:b/>
          <w:bCs/>
          <w:sz w:val="22"/>
          <w:szCs w:val="22"/>
          <w:lang w:val="sr-Latn-ME"/>
        </w:rPr>
        <w:lastRenderedPageBreak/>
        <w:t xml:space="preserve">6.6. </w:t>
      </w:r>
      <w:r w:rsidR="00480FB1" w:rsidRPr="00246D8C">
        <w:rPr>
          <w:b/>
          <w:bCs/>
          <w:sz w:val="22"/>
          <w:szCs w:val="22"/>
          <w:lang w:val="sr-Latn-ME"/>
        </w:rPr>
        <w:tab/>
      </w:r>
      <w:r w:rsidRPr="00246D8C">
        <w:rPr>
          <w:b/>
          <w:bCs/>
          <w:sz w:val="22"/>
          <w:szCs w:val="22"/>
          <w:lang w:val="sr-Latn-ME"/>
        </w:rPr>
        <w:t xml:space="preserve">Posebne mjere opreza pri odlaganju materijala koji treba odbaciti nakon primjene lijeka </w:t>
      </w:r>
      <w:r w:rsidR="00310F03" w:rsidRPr="00246D8C">
        <w:rPr>
          <w:b/>
          <w:bCs/>
          <w:sz w:val="22"/>
          <w:szCs w:val="22"/>
          <w:lang w:val="sr-Latn-ME"/>
        </w:rPr>
        <w:t>(i druga uputs</w:t>
      </w:r>
      <w:r w:rsidR="004109FA" w:rsidRPr="00246D8C">
        <w:rPr>
          <w:b/>
          <w:bCs/>
          <w:sz w:val="22"/>
          <w:szCs w:val="22"/>
          <w:lang w:val="sr-Latn-ME"/>
        </w:rPr>
        <w:t>t</w:t>
      </w:r>
      <w:r w:rsidR="00310F03" w:rsidRPr="00246D8C">
        <w:rPr>
          <w:b/>
          <w:bCs/>
          <w:sz w:val="22"/>
          <w:szCs w:val="22"/>
          <w:lang w:val="sr-Latn-ME"/>
        </w:rPr>
        <w:t xml:space="preserve">va za rukovanje lijekom) </w:t>
      </w:r>
    </w:p>
    <w:p w14:paraId="7F9721EB" w14:textId="77777777" w:rsidR="00B66A70" w:rsidRPr="00246D8C" w:rsidRDefault="00B66A70" w:rsidP="00480FB1">
      <w:pPr>
        <w:tabs>
          <w:tab w:val="left" w:pos="540"/>
          <w:tab w:val="left" w:pos="569"/>
        </w:tabs>
        <w:rPr>
          <w:b/>
          <w:bCs/>
          <w:sz w:val="22"/>
          <w:szCs w:val="22"/>
          <w:lang w:val="sr-Latn-ME"/>
        </w:rPr>
      </w:pPr>
    </w:p>
    <w:p w14:paraId="23272592" w14:textId="77777777" w:rsidR="00A67D29" w:rsidRPr="00246D8C" w:rsidRDefault="00A67D29" w:rsidP="00480FB1">
      <w:pPr>
        <w:tabs>
          <w:tab w:val="left" w:pos="540"/>
          <w:tab w:val="left" w:pos="569"/>
        </w:tabs>
        <w:rPr>
          <w:sz w:val="22"/>
          <w:szCs w:val="22"/>
          <w:lang w:val="sr-Latn-ME"/>
        </w:rPr>
      </w:pPr>
      <w:r w:rsidRPr="00246D8C">
        <w:rPr>
          <w:sz w:val="22"/>
          <w:szCs w:val="22"/>
          <w:lang w:val="sr-Latn-ME"/>
        </w:rPr>
        <w:t>Svu neiskorišćenu količinu lijeka ili otpadnog materijala nakon njegove upotrebe treba ukloniti, u skladu sa važećim propisima.</w:t>
      </w:r>
    </w:p>
    <w:p w14:paraId="38C92DC2" w14:textId="77777777" w:rsidR="00A67D29" w:rsidRPr="00246D8C" w:rsidRDefault="00A67D29" w:rsidP="00480FB1">
      <w:pPr>
        <w:tabs>
          <w:tab w:val="left" w:pos="540"/>
          <w:tab w:val="left" w:pos="569"/>
        </w:tabs>
        <w:rPr>
          <w:sz w:val="22"/>
          <w:szCs w:val="22"/>
          <w:lang w:val="sr-Latn-ME"/>
        </w:rPr>
      </w:pPr>
    </w:p>
    <w:p w14:paraId="63FD297B" w14:textId="0652416E" w:rsidR="0072020E" w:rsidRPr="00246D8C" w:rsidRDefault="00A67D29" w:rsidP="00480FB1">
      <w:pPr>
        <w:tabs>
          <w:tab w:val="left" w:pos="540"/>
          <w:tab w:val="left" w:pos="569"/>
        </w:tabs>
        <w:rPr>
          <w:bCs/>
          <w:sz w:val="22"/>
          <w:szCs w:val="22"/>
          <w:lang w:val="sr-Latn-ME"/>
        </w:rPr>
      </w:pPr>
      <w:r w:rsidRPr="00246D8C" w:rsidDel="00A67D29">
        <w:rPr>
          <w:sz w:val="22"/>
          <w:szCs w:val="22"/>
          <w:lang w:val="sr-Latn-ME"/>
        </w:rPr>
        <w:t xml:space="preserve"> </w:t>
      </w:r>
    </w:p>
    <w:p w14:paraId="022D504B" w14:textId="77777777" w:rsidR="00F8570A" w:rsidRPr="00246D8C" w:rsidRDefault="0072020E" w:rsidP="00480FB1">
      <w:pPr>
        <w:tabs>
          <w:tab w:val="left" w:pos="540"/>
          <w:tab w:val="left" w:pos="569"/>
        </w:tabs>
        <w:rPr>
          <w:b/>
          <w:bCs/>
          <w:sz w:val="22"/>
          <w:szCs w:val="22"/>
          <w:lang w:val="sr-Latn-ME"/>
        </w:rPr>
      </w:pPr>
      <w:r w:rsidRPr="00246D8C">
        <w:rPr>
          <w:b/>
          <w:bCs/>
          <w:sz w:val="22"/>
          <w:szCs w:val="22"/>
          <w:lang w:val="sr-Latn-ME"/>
        </w:rPr>
        <w:t xml:space="preserve">7. </w:t>
      </w:r>
      <w:r w:rsidR="00480FB1" w:rsidRPr="00246D8C">
        <w:rPr>
          <w:b/>
          <w:bCs/>
          <w:sz w:val="22"/>
          <w:szCs w:val="22"/>
          <w:lang w:val="sr-Latn-ME"/>
        </w:rPr>
        <w:tab/>
      </w:r>
      <w:r w:rsidRPr="00246D8C">
        <w:rPr>
          <w:b/>
          <w:bCs/>
          <w:sz w:val="22"/>
          <w:szCs w:val="22"/>
          <w:lang w:val="sr-Latn-ME"/>
        </w:rPr>
        <w:t>NOSILAC DOZVOLE</w:t>
      </w:r>
      <w:r w:rsidR="00483928" w:rsidRPr="00246D8C">
        <w:rPr>
          <w:b/>
          <w:bCs/>
          <w:sz w:val="22"/>
          <w:szCs w:val="22"/>
          <w:lang w:val="sr-Latn-ME"/>
        </w:rPr>
        <w:t xml:space="preserve"> </w:t>
      </w:r>
    </w:p>
    <w:p w14:paraId="1F6E0359" w14:textId="77777777" w:rsidR="00C61BE0" w:rsidRPr="00246D8C" w:rsidRDefault="00C61BE0" w:rsidP="00480FB1">
      <w:pPr>
        <w:tabs>
          <w:tab w:val="left" w:pos="540"/>
          <w:tab w:val="left" w:pos="569"/>
        </w:tabs>
        <w:rPr>
          <w:bCs/>
          <w:sz w:val="22"/>
          <w:szCs w:val="22"/>
          <w:lang w:val="sr-Latn-ME"/>
        </w:rPr>
      </w:pPr>
    </w:p>
    <w:p w14:paraId="38206DE7" w14:textId="1CA4DECC" w:rsidR="00B8141D" w:rsidRPr="00246D8C" w:rsidRDefault="00B8141D" w:rsidP="00480FB1">
      <w:pPr>
        <w:tabs>
          <w:tab w:val="left" w:pos="540"/>
          <w:tab w:val="left" w:pos="569"/>
        </w:tabs>
        <w:rPr>
          <w:bCs/>
          <w:sz w:val="22"/>
          <w:szCs w:val="22"/>
          <w:lang w:val="sr-Latn-ME"/>
        </w:rPr>
      </w:pPr>
      <w:r w:rsidRPr="00246D8C">
        <w:rPr>
          <w:bCs/>
          <w:sz w:val="22"/>
          <w:szCs w:val="22"/>
          <w:lang w:val="sr-Latn-ME"/>
        </w:rPr>
        <w:t>Glosarij d.o.o.</w:t>
      </w:r>
      <w:r w:rsidR="00A67D29" w:rsidRPr="00246D8C">
        <w:rPr>
          <w:bCs/>
          <w:sz w:val="22"/>
          <w:szCs w:val="22"/>
          <w:lang w:val="sr-Latn-ME"/>
        </w:rPr>
        <w:t>,</w:t>
      </w:r>
      <w:r w:rsidRPr="00246D8C">
        <w:rPr>
          <w:bCs/>
          <w:sz w:val="22"/>
          <w:szCs w:val="22"/>
          <w:lang w:val="sr-Latn-ME"/>
        </w:rPr>
        <w:t xml:space="preserve"> Vojislavljevića 76, 81000 Podgorica, Crna Gora</w:t>
      </w:r>
    </w:p>
    <w:p w14:paraId="1092965B" w14:textId="7C7DA6E3" w:rsidR="00B8141D" w:rsidRDefault="00B8141D" w:rsidP="00480FB1">
      <w:pPr>
        <w:tabs>
          <w:tab w:val="left" w:pos="540"/>
          <w:tab w:val="left" w:pos="569"/>
        </w:tabs>
        <w:rPr>
          <w:bCs/>
          <w:sz w:val="22"/>
          <w:szCs w:val="22"/>
          <w:lang w:val="sr-Latn-ME"/>
        </w:rPr>
      </w:pPr>
    </w:p>
    <w:p w14:paraId="7B78574F" w14:textId="77777777" w:rsidR="00246D8C" w:rsidRPr="00246D8C" w:rsidRDefault="00246D8C" w:rsidP="00480FB1">
      <w:pPr>
        <w:tabs>
          <w:tab w:val="left" w:pos="540"/>
          <w:tab w:val="left" w:pos="569"/>
        </w:tabs>
        <w:rPr>
          <w:bCs/>
          <w:sz w:val="22"/>
          <w:szCs w:val="22"/>
          <w:lang w:val="sr-Latn-ME"/>
        </w:rPr>
      </w:pPr>
    </w:p>
    <w:p w14:paraId="7463444D" w14:textId="77777777" w:rsidR="0072020E" w:rsidRPr="00246D8C" w:rsidRDefault="0072020E" w:rsidP="00480FB1">
      <w:pPr>
        <w:tabs>
          <w:tab w:val="left" w:pos="540"/>
          <w:tab w:val="left" w:pos="569"/>
        </w:tabs>
        <w:rPr>
          <w:b/>
          <w:bCs/>
          <w:sz w:val="22"/>
          <w:szCs w:val="22"/>
          <w:lang w:val="sr-Latn-ME"/>
        </w:rPr>
      </w:pPr>
      <w:r w:rsidRPr="00246D8C">
        <w:rPr>
          <w:b/>
          <w:bCs/>
          <w:sz w:val="22"/>
          <w:szCs w:val="22"/>
          <w:lang w:val="sr-Latn-ME"/>
        </w:rPr>
        <w:t xml:space="preserve">8. </w:t>
      </w:r>
      <w:r w:rsidR="00480FB1" w:rsidRPr="00246D8C">
        <w:rPr>
          <w:b/>
          <w:bCs/>
          <w:sz w:val="22"/>
          <w:szCs w:val="22"/>
          <w:lang w:val="sr-Latn-ME"/>
        </w:rPr>
        <w:tab/>
      </w:r>
      <w:r w:rsidRPr="00246D8C">
        <w:rPr>
          <w:b/>
          <w:bCs/>
          <w:sz w:val="22"/>
          <w:szCs w:val="22"/>
          <w:lang w:val="sr-Latn-ME"/>
        </w:rPr>
        <w:t>BROJ DOZVOLE</w:t>
      </w:r>
      <w:r w:rsidR="008A6D43" w:rsidRPr="00246D8C">
        <w:rPr>
          <w:b/>
          <w:bCs/>
          <w:sz w:val="22"/>
          <w:szCs w:val="22"/>
          <w:lang w:val="sr-Latn-ME"/>
        </w:rPr>
        <w:t xml:space="preserve"> ZA STAVLJANJE LIJEKA U PROMET</w:t>
      </w:r>
    </w:p>
    <w:p w14:paraId="1F40369C" w14:textId="77777777" w:rsidR="0072020E" w:rsidRPr="00246D8C" w:rsidRDefault="0072020E" w:rsidP="00480FB1">
      <w:pPr>
        <w:tabs>
          <w:tab w:val="left" w:pos="540"/>
          <w:tab w:val="left" w:pos="569"/>
        </w:tabs>
        <w:rPr>
          <w:bCs/>
          <w:sz w:val="22"/>
          <w:szCs w:val="22"/>
          <w:lang w:val="sr-Latn-ME"/>
        </w:rPr>
      </w:pPr>
    </w:p>
    <w:p w14:paraId="03488866" w14:textId="49C75D02" w:rsidR="00B8141D" w:rsidRPr="00246D8C" w:rsidRDefault="00FD24BA" w:rsidP="00480FB1">
      <w:pPr>
        <w:tabs>
          <w:tab w:val="left" w:pos="540"/>
          <w:tab w:val="left" w:pos="569"/>
        </w:tabs>
        <w:rPr>
          <w:bCs/>
          <w:sz w:val="22"/>
          <w:szCs w:val="22"/>
          <w:lang w:val="sr-Latn-ME"/>
        </w:rPr>
      </w:pPr>
      <w:r w:rsidRPr="00246D8C">
        <w:rPr>
          <w:bCs/>
          <w:sz w:val="22"/>
          <w:szCs w:val="22"/>
          <w:lang w:val="sr-Latn-ME"/>
        </w:rPr>
        <w:t>2030/24/984 - 4798</w:t>
      </w:r>
    </w:p>
    <w:p w14:paraId="19BD74C4" w14:textId="68695CE5" w:rsidR="00FD24BA" w:rsidRPr="00246D8C" w:rsidRDefault="00FD24BA" w:rsidP="00480FB1">
      <w:pPr>
        <w:tabs>
          <w:tab w:val="left" w:pos="540"/>
          <w:tab w:val="left" w:pos="569"/>
        </w:tabs>
        <w:rPr>
          <w:bCs/>
          <w:sz w:val="22"/>
          <w:szCs w:val="22"/>
          <w:lang w:val="sr-Latn-ME"/>
        </w:rPr>
      </w:pPr>
    </w:p>
    <w:p w14:paraId="2D1D99E1" w14:textId="77777777" w:rsidR="00FD24BA" w:rsidRPr="00246D8C" w:rsidRDefault="00FD24BA" w:rsidP="00480FB1">
      <w:pPr>
        <w:tabs>
          <w:tab w:val="left" w:pos="540"/>
          <w:tab w:val="left" w:pos="569"/>
        </w:tabs>
        <w:rPr>
          <w:bCs/>
          <w:sz w:val="22"/>
          <w:szCs w:val="22"/>
          <w:lang w:val="sr-Latn-ME"/>
        </w:rPr>
      </w:pPr>
    </w:p>
    <w:p w14:paraId="0FFD8FFE" w14:textId="77777777" w:rsidR="0072020E" w:rsidRPr="00246D8C" w:rsidRDefault="0072020E" w:rsidP="00480FB1">
      <w:pPr>
        <w:tabs>
          <w:tab w:val="left" w:pos="540"/>
          <w:tab w:val="left" w:pos="569"/>
        </w:tabs>
        <w:rPr>
          <w:b/>
          <w:bCs/>
          <w:sz w:val="22"/>
          <w:szCs w:val="22"/>
          <w:lang w:val="sr-Latn-ME"/>
        </w:rPr>
      </w:pPr>
      <w:r w:rsidRPr="00246D8C">
        <w:rPr>
          <w:b/>
          <w:bCs/>
          <w:sz w:val="22"/>
          <w:szCs w:val="22"/>
          <w:lang w:val="sr-Latn-ME"/>
        </w:rPr>
        <w:t xml:space="preserve">9. </w:t>
      </w:r>
      <w:r w:rsidR="00480FB1" w:rsidRPr="00246D8C">
        <w:rPr>
          <w:b/>
          <w:bCs/>
          <w:sz w:val="22"/>
          <w:szCs w:val="22"/>
          <w:lang w:val="sr-Latn-ME"/>
        </w:rPr>
        <w:tab/>
      </w:r>
      <w:r w:rsidRPr="00246D8C">
        <w:rPr>
          <w:b/>
          <w:bCs/>
          <w:sz w:val="22"/>
          <w:szCs w:val="22"/>
          <w:lang w:val="sr-Latn-ME"/>
        </w:rPr>
        <w:t xml:space="preserve">DATUM </w:t>
      </w:r>
      <w:r w:rsidR="00C05DF8" w:rsidRPr="00246D8C">
        <w:rPr>
          <w:b/>
          <w:bCs/>
          <w:sz w:val="22"/>
          <w:szCs w:val="22"/>
          <w:lang w:val="sr-Latn-ME"/>
        </w:rPr>
        <w:t xml:space="preserve">PRVE </w:t>
      </w:r>
      <w:r w:rsidR="008A6D43" w:rsidRPr="00246D8C">
        <w:rPr>
          <w:b/>
          <w:bCs/>
          <w:sz w:val="22"/>
          <w:szCs w:val="22"/>
          <w:lang w:val="sr-Latn-ME"/>
        </w:rPr>
        <w:t>DOZVOLE</w:t>
      </w:r>
      <w:r w:rsidR="00C05DF8" w:rsidRPr="00246D8C">
        <w:rPr>
          <w:b/>
          <w:bCs/>
          <w:sz w:val="22"/>
          <w:szCs w:val="22"/>
          <w:lang w:val="sr-Latn-ME"/>
        </w:rPr>
        <w:t>/OBNOVE DOZVOLE</w:t>
      </w:r>
      <w:r w:rsidR="008A6D43" w:rsidRPr="00246D8C">
        <w:rPr>
          <w:b/>
          <w:bCs/>
          <w:sz w:val="22"/>
          <w:szCs w:val="22"/>
          <w:lang w:val="sr-Latn-ME"/>
        </w:rPr>
        <w:t xml:space="preserve"> ZA STAVLJANJE LIJEKA U PROMET</w:t>
      </w:r>
    </w:p>
    <w:p w14:paraId="0D89C9EF" w14:textId="77777777" w:rsidR="0072020E" w:rsidRPr="00246D8C" w:rsidRDefault="0072020E" w:rsidP="00480FB1">
      <w:pPr>
        <w:tabs>
          <w:tab w:val="left" w:pos="540"/>
          <w:tab w:val="left" w:pos="569"/>
        </w:tabs>
        <w:rPr>
          <w:bCs/>
          <w:sz w:val="22"/>
          <w:szCs w:val="22"/>
          <w:lang w:val="sr-Latn-ME"/>
        </w:rPr>
      </w:pPr>
    </w:p>
    <w:p w14:paraId="7A149450" w14:textId="25AA8582" w:rsidR="00836B35" w:rsidRPr="00246D8C" w:rsidRDefault="00A67D29" w:rsidP="00480FB1">
      <w:pPr>
        <w:tabs>
          <w:tab w:val="left" w:pos="540"/>
          <w:tab w:val="left" w:pos="569"/>
        </w:tabs>
        <w:rPr>
          <w:sz w:val="22"/>
          <w:szCs w:val="22"/>
          <w:lang w:val="sr-Latn-ME"/>
        </w:rPr>
      </w:pPr>
      <w:r w:rsidRPr="00246D8C">
        <w:rPr>
          <w:sz w:val="22"/>
          <w:szCs w:val="22"/>
          <w:lang w:val="sr-Latn-ME"/>
        </w:rPr>
        <w:t>Datum prve dozvole</w:t>
      </w:r>
      <w:r w:rsidR="00B8141D" w:rsidRPr="00246D8C">
        <w:rPr>
          <w:sz w:val="22"/>
          <w:szCs w:val="22"/>
          <w:lang w:val="sr-Latn-ME"/>
        </w:rPr>
        <w:t>: 12.04.2013. godine</w:t>
      </w:r>
    </w:p>
    <w:p w14:paraId="1935810E" w14:textId="7FA8305A" w:rsidR="00A67D29" w:rsidRPr="00246D8C" w:rsidRDefault="00A67D29" w:rsidP="00480FB1">
      <w:pPr>
        <w:tabs>
          <w:tab w:val="left" w:pos="540"/>
          <w:tab w:val="left" w:pos="569"/>
        </w:tabs>
        <w:rPr>
          <w:sz w:val="22"/>
          <w:szCs w:val="22"/>
          <w:lang w:val="sr-Latn-ME"/>
        </w:rPr>
      </w:pPr>
      <w:r w:rsidRPr="00246D8C">
        <w:rPr>
          <w:sz w:val="22"/>
          <w:szCs w:val="22"/>
          <w:lang w:val="sr-Latn-ME"/>
        </w:rPr>
        <w:t>Datum poslednje obnove dozvole:</w:t>
      </w:r>
      <w:r w:rsidR="00FD24BA" w:rsidRPr="00246D8C">
        <w:rPr>
          <w:sz w:val="22"/>
          <w:szCs w:val="22"/>
          <w:lang w:val="sr-Latn-ME"/>
        </w:rPr>
        <w:t xml:space="preserve"> 23.02.2024. godine</w:t>
      </w:r>
    </w:p>
    <w:p w14:paraId="515ACBFD" w14:textId="7B0C5F44" w:rsidR="00B8141D" w:rsidRPr="00246D8C" w:rsidRDefault="00B8141D" w:rsidP="00480FB1">
      <w:pPr>
        <w:tabs>
          <w:tab w:val="left" w:pos="540"/>
          <w:tab w:val="left" w:pos="569"/>
        </w:tabs>
        <w:rPr>
          <w:bCs/>
          <w:sz w:val="22"/>
          <w:szCs w:val="22"/>
          <w:lang w:val="sr-Latn-ME"/>
        </w:rPr>
      </w:pPr>
    </w:p>
    <w:p w14:paraId="24AF9CFB" w14:textId="77777777" w:rsidR="00E70238" w:rsidRPr="00246D8C" w:rsidRDefault="00E70238" w:rsidP="00480FB1">
      <w:pPr>
        <w:tabs>
          <w:tab w:val="left" w:pos="540"/>
          <w:tab w:val="left" w:pos="569"/>
        </w:tabs>
        <w:rPr>
          <w:bCs/>
          <w:sz w:val="22"/>
          <w:szCs w:val="22"/>
          <w:lang w:val="sr-Latn-ME"/>
        </w:rPr>
      </w:pPr>
    </w:p>
    <w:p w14:paraId="028AADA3" w14:textId="77777777" w:rsidR="003F6A59" w:rsidRPr="00246D8C" w:rsidRDefault="0072020E" w:rsidP="00C05DF8">
      <w:pPr>
        <w:tabs>
          <w:tab w:val="left" w:pos="540"/>
          <w:tab w:val="left" w:pos="569"/>
        </w:tabs>
        <w:ind w:left="540" w:hanging="540"/>
        <w:rPr>
          <w:bCs/>
          <w:sz w:val="22"/>
          <w:szCs w:val="22"/>
          <w:lang w:val="sr-Latn-ME"/>
        </w:rPr>
      </w:pPr>
      <w:r w:rsidRPr="00246D8C">
        <w:rPr>
          <w:b/>
          <w:bCs/>
          <w:sz w:val="22"/>
          <w:szCs w:val="22"/>
          <w:lang w:val="sr-Latn-ME"/>
        </w:rPr>
        <w:t xml:space="preserve">10. </w:t>
      </w:r>
      <w:r w:rsidR="00480FB1" w:rsidRPr="00246D8C">
        <w:rPr>
          <w:b/>
          <w:bCs/>
          <w:sz w:val="22"/>
          <w:szCs w:val="22"/>
          <w:lang w:val="sr-Latn-ME"/>
        </w:rPr>
        <w:tab/>
      </w:r>
      <w:r w:rsidR="002846DB" w:rsidRPr="00246D8C">
        <w:rPr>
          <w:b/>
          <w:bCs/>
          <w:sz w:val="22"/>
          <w:szCs w:val="22"/>
          <w:lang w:val="sr-Latn-ME"/>
        </w:rPr>
        <w:t>D</w:t>
      </w:r>
      <w:r w:rsidR="00EC2532" w:rsidRPr="00246D8C">
        <w:rPr>
          <w:b/>
          <w:bCs/>
          <w:sz w:val="22"/>
          <w:szCs w:val="22"/>
          <w:lang w:val="sr-Latn-ME"/>
        </w:rPr>
        <w:t xml:space="preserve">ATUM REVIZIJE TEKSTA </w:t>
      </w:r>
    </w:p>
    <w:p w14:paraId="1D340156" w14:textId="77777777" w:rsidR="003F6A59" w:rsidRPr="00246D8C" w:rsidRDefault="003F6A59" w:rsidP="00480FB1">
      <w:pPr>
        <w:tabs>
          <w:tab w:val="left" w:pos="540"/>
          <w:tab w:val="left" w:pos="569"/>
        </w:tabs>
        <w:rPr>
          <w:bCs/>
          <w:sz w:val="22"/>
          <w:szCs w:val="22"/>
          <w:lang w:val="sr-Latn-ME"/>
        </w:rPr>
      </w:pPr>
    </w:p>
    <w:p w14:paraId="4A3C49C1" w14:textId="6CDE8BE7" w:rsidR="003F6A59" w:rsidRPr="00246D8C" w:rsidRDefault="00246D8C" w:rsidP="00DE3F5C">
      <w:pPr>
        <w:rPr>
          <w:sz w:val="22"/>
          <w:szCs w:val="22"/>
          <w:lang w:val="sr-Latn-ME"/>
        </w:rPr>
      </w:pPr>
      <w:r>
        <w:rPr>
          <w:sz w:val="22"/>
          <w:szCs w:val="22"/>
          <w:lang w:val="sr-Latn-ME"/>
        </w:rPr>
        <w:t>Novembar, 2024. godine</w:t>
      </w:r>
      <w:bookmarkStart w:id="0" w:name="_GoBack"/>
      <w:bookmarkEnd w:id="0"/>
    </w:p>
    <w:sectPr w:rsidR="003F6A59" w:rsidRPr="00246D8C"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AA033" w14:textId="77777777" w:rsidR="005F1664" w:rsidRDefault="005F1664">
      <w:r>
        <w:separator/>
      </w:r>
    </w:p>
  </w:endnote>
  <w:endnote w:type="continuationSeparator" w:id="0">
    <w:p w14:paraId="47437208" w14:textId="77777777" w:rsidR="005F1664" w:rsidRDefault="005F1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E7F7C" w14:textId="1C5F861C" w:rsidR="00A01575" w:rsidRPr="00B23F69" w:rsidRDefault="00A01575"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246D8C">
      <w:rPr>
        <w:noProof/>
        <w:sz w:val="22"/>
        <w:szCs w:val="22"/>
      </w:rPr>
      <w:t>19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246D8C">
      <w:rPr>
        <w:noProof/>
        <w:sz w:val="22"/>
        <w:szCs w:val="22"/>
      </w:rPr>
      <w:t>19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E7A47" w14:textId="77777777" w:rsidR="005F1664" w:rsidRDefault="005F1664">
      <w:r>
        <w:separator/>
      </w:r>
    </w:p>
  </w:footnote>
  <w:footnote w:type="continuationSeparator" w:id="0">
    <w:p w14:paraId="167E060A" w14:textId="77777777" w:rsidR="005F1664" w:rsidRDefault="005F1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75pt;height:13.5pt;visibility:visible" o:bullet="t">
        <v:imagedata r:id="rId1" o:title="BT_1000x858px"/>
      </v:shape>
    </w:pict>
  </w:numPicBullet>
  <w:abstractNum w:abstractNumId="0" w15:restartNumberingAfterBreak="0">
    <w:nsid w:val="05F95E23"/>
    <w:multiLevelType w:val="hybridMultilevel"/>
    <w:tmpl w:val="72E41B6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3055187"/>
    <w:multiLevelType w:val="hybridMultilevel"/>
    <w:tmpl w:val="E3E21A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2E65333"/>
    <w:multiLevelType w:val="hybridMultilevel"/>
    <w:tmpl w:val="229CFCF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84791B"/>
    <w:multiLevelType w:val="hybridMultilevel"/>
    <w:tmpl w:val="898670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4036309"/>
    <w:multiLevelType w:val="hybridMultilevel"/>
    <w:tmpl w:val="1E64329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11"/>
  </w:num>
  <w:num w:numId="5">
    <w:abstractNumId w:val="6"/>
  </w:num>
  <w:num w:numId="6">
    <w:abstractNumId w:val="2"/>
  </w:num>
  <w:num w:numId="7">
    <w:abstractNumId w:val="10"/>
  </w:num>
  <w:num w:numId="8">
    <w:abstractNumId w:val="5"/>
  </w:num>
  <w:num w:numId="9">
    <w:abstractNumId w:val="8"/>
  </w:num>
  <w:num w:numId="10">
    <w:abstractNumId w:val="15"/>
  </w:num>
  <w:num w:numId="11">
    <w:abstractNumId w:val="7"/>
  </w:num>
  <w:num w:numId="12">
    <w:abstractNumId w:val="9"/>
  </w:num>
  <w:num w:numId="13">
    <w:abstractNumId w:val="0"/>
  </w:num>
  <w:num w:numId="14">
    <w:abstractNumId w:val="14"/>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57E35"/>
    <w:rsid w:val="00076726"/>
    <w:rsid w:val="00080303"/>
    <w:rsid w:val="00083555"/>
    <w:rsid w:val="000A3F58"/>
    <w:rsid w:val="000D2343"/>
    <w:rsid w:val="000D3449"/>
    <w:rsid w:val="000D425A"/>
    <w:rsid w:val="000D60CC"/>
    <w:rsid w:val="000E2084"/>
    <w:rsid w:val="000E6F55"/>
    <w:rsid w:val="000F77FA"/>
    <w:rsid w:val="00101ACD"/>
    <w:rsid w:val="00107BF7"/>
    <w:rsid w:val="00126F53"/>
    <w:rsid w:val="00146587"/>
    <w:rsid w:val="0014766D"/>
    <w:rsid w:val="001536CC"/>
    <w:rsid w:val="001753B1"/>
    <w:rsid w:val="001A3FBA"/>
    <w:rsid w:val="001A5518"/>
    <w:rsid w:val="001B1C6A"/>
    <w:rsid w:val="001C1263"/>
    <w:rsid w:val="001C1417"/>
    <w:rsid w:val="001E124F"/>
    <w:rsid w:val="001E390B"/>
    <w:rsid w:val="001F42FB"/>
    <w:rsid w:val="001F719A"/>
    <w:rsid w:val="002031B3"/>
    <w:rsid w:val="00215931"/>
    <w:rsid w:val="00224C91"/>
    <w:rsid w:val="00227BDB"/>
    <w:rsid w:val="00234CB1"/>
    <w:rsid w:val="002352F8"/>
    <w:rsid w:val="00246D8C"/>
    <w:rsid w:val="002510A5"/>
    <w:rsid w:val="00254A0A"/>
    <w:rsid w:val="00266046"/>
    <w:rsid w:val="002846DB"/>
    <w:rsid w:val="00284CCD"/>
    <w:rsid w:val="002B483B"/>
    <w:rsid w:val="002C6637"/>
    <w:rsid w:val="002D73AD"/>
    <w:rsid w:val="002E0135"/>
    <w:rsid w:val="002E37A5"/>
    <w:rsid w:val="00310F03"/>
    <w:rsid w:val="003247D2"/>
    <w:rsid w:val="003445C1"/>
    <w:rsid w:val="00350EAD"/>
    <w:rsid w:val="00355B61"/>
    <w:rsid w:val="00362686"/>
    <w:rsid w:val="00371510"/>
    <w:rsid w:val="00396DFD"/>
    <w:rsid w:val="003A7059"/>
    <w:rsid w:val="003B1D59"/>
    <w:rsid w:val="003B7A36"/>
    <w:rsid w:val="003C0336"/>
    <w:rsid w:val="003C17AB"/>
    <w:rsid w:val="003C304A"/>
    <w:rsid w:val="003C7823"/>
    <w:rsid w:val="003D48C9"/>
    <w:rsid w:val="003E0023"/>
    <w:rsid w:val="003E1DCC"/>
    <w:rsid w:val="003E283A"/>
    <w:rsid w:val="003F11A1"/>
    <w:rsid w:val="003F6A59"/>
    <w:rsid w:val="004065C8"/>
    <w:rsid w:val="004109FA"/>
    <w:rsid w:val="00411B4B"/>
    <w:rsid w:val="00415BEE"/>
    <w:rsid w:val="00427F85"/>
    <w:rsid w:val="00436F42"/>
    <w:rsid w:val="004378B4"/>
    <w:rsid w:val="004378CF"/>
    <w:rsid w:val="00451314"/>
    <w:rsid w:val="00452E9D"/>
    <w:rsid w:val="004534C7"/>
    <w:rsid w:val="00456F65"/>
    <w:rsid w:val="00464ECA"/>
    <w:rsid w:val="004671AA"/>
    <w:rsid w:val="00480FB1"/>
    <w:rsid w:val="00483928"/>
    <w:rsid w:val="004C26A0"/>
    <w:rsid w:val="004C331F"/>
    <w:rsid w:val="004D6103"/>
    <w:rsid w:val="004E3BCE"/>
    <w:rsid w:val="004E70AD"/>
    <w:rsid w:val="004F0E97"/>
    <w:rsid w:val="00501DD1"/>
    <w:rsid w:val="00507E51"/>
    <w:rsid w:val="00515C21"/>
    <w:rsid w:val="00530BD7"/>
    <w:rsid w:val="00545CD2"/>
    <w:rsid w:val="005476F3"/>
    <w:rsid w:val="0055056E"/>
    <w:rsid w:val="00551E26"/>
    <w:rsid w:val="00572527"/>
    <w:rsid w:val="00572FCD"/>
    <w:rsid w:val="00573E40"/>
    <w:rsid w:val="00576348"/>
    <w:rsid w:val="005A0B2E"/>
    <w:rsid w:val="005A23D2"/>
    <w:rsid w:val="005A36CB"/>
    <w:rsid w:val="005B49B8"/>
    <w:rsid w:val="005C0741"/>
    <w:rsid w:val="005C5EF4"/>
    <w:rsid w:val="005E2E0B"/>
    <w:rsid w:val="005E7A7D"/>
    <w:rsid w:val="005F1664"/>
    <w:rsid w:val="00602457"/>
    <w:rsid w:val="0060615A"/>
    <w:rsid w:val="00644FC3"/>
    <w:rsid w:val="00646BD1"/>
    <w:rsid w:val="006561C2"/>
    <w:rsid w:val="006702E5"/>
    <w:rsid w:val="00671CB3"/>
    <w:rsid w:val="00674BAF"/>
    <w:rsid w:val="00682200"/>
    <w:rsid w:val="00692BF6"/>
    <w:rsid w:val="006A1497"/>
    <w:rsid w:val="006A7219"/>
    <w:rsid w:val="006B0BD1"/>
    <w:rsid w:val="006B5404"/>
    <w:rsid w:val="006D20A5"/>
    <w:rsid w:val="006D37BF"/>
    <w:rsid w:val="006F4680"/>
    <w:rsid w:val="00702E22"/>
    <w:rsid w:val="0072020E"/>
    <w:rsid w:val="0074373A"/>
    <w:rsid w:val="00770D75"/>
    <w:rsid w:val="00786071"/>
    <w:rsid w:val="007A3ECB"/>
    <w:rsid w:val="007D7BB3"/>
    <w:rsid w:val="00802ADE"/>
    <w:rsid w:val="00824AB9"/>
    <w:rsid w:val="00836B35"/>
    <w:rsid w:val="00843BDE"/>
    <w:rsid w:val="0087588C"/>
    <w:rsid w:val="00882533"/>
    <w:rsid w:val="0089705C"/>
    <w:rsid w:val="008A6D43"/>
    <w:rsid w:val="008B491E"/>
    <w:rsid w:val="008C1A28"/>
    <w:rsid w:val="008C2E98"/>
    <w:rsid w:val="008E49BD"/>
    <w:rsid w:val="008E53E9"/>
    <w:rsid w:val="008E5771"/>
    <w:rsid w:val="008F4ACF"/>
    <w:rsid w:val="00924166"/>
    <w:rsid w:val="00940B9B"/>
    <w:rsid w:val="0095676E"/>
    <w:rsid w:val="00956983"/>
    <w:rsid w:val="00963CF0"/>
    <w:rsid w:val="00964BB1"/>
    <w:rsid w:val="009775D9"/>
    <w:rsid w:val="00997175"/>
    <w:rsid w:val="009A1847"/>
    <w:rsid w:val="009B062A"/>
    <w:rsid w:val="009E7C6F"/>
    <w:rsid w:val="009F1793"/>
    <w:rsid w:val="009F2D23"/>
    <w:rsid w:val="00A01575"/>
    <w:rsid w:val="00A01D69"/>
    <w:rsid w:val="00A02335"/>
    <w:rsid w:val="00A46C9A"/>
    <w:rsid w:val="00A619F3"/>
    <w:rsid w:val="00A62A73"/>
    <w:rsid w:val="00A63E88"/>
    <w:rsid w:val="00A67D29"/>
    <w:rsid w:val="00A87FF6"/>
    <w:rsid w:val="00AA0A3B"/>
    <w:rsid w:val="00AA2763"/>
    <w:rsid w:val="00AA33B6"/>
    <w:rsid w:val="00AA34B1"/>
    <w:rsid w:val="00AB4B12"/>
    <w:rsid w:val="00AB50CA"/>
    <w:rsid w:val="00AB6D64"/>
    <w:rsid w:val="00AC53CE"/>
    <w:rsid w:val="00AD2193"/>
    <w:rsid w:val="00AE24EE"/>
    <w:rsid w:val="00AF2AC7"/>
    <w:rsid w:val="00AF74CE"/>
    <w:rsid w:val="00B208DB"/>
    <w:rsid w:val="00B23F69"/>
    <w:rsid w:val="00B60619"/>
    <w:rsid w:val="00B66A70"/>
    <w:rsid w:val="00B67366"/>
    <w:rsid w:val="00B80EE1"/>
    <w:rsid w:val="00B8141D"/>
    <w:rsid w:val="00B84135"/>
    <w:rsid w:val="00BA41B7"/>
    <w:rsid w:val="00C04D34"/>
    <w:rsid w:val="00C05DF8"/>
    <w:rsid w:val="00C06864"/>
    <w:rsid w:val="00C10A8B"/>
    <w:rsid w:val="00C10F54"/>
    <w:rsid w:val="00C23D8D"/>
    <w:rsid w:val="00C37AA3"/>
    <w:rsid w:val="00C37FD7"/>
    <w:rsid w:val="00C43419"/>
    <w:rsid w:val="00C44CF3"/>
    <w:rsid w:val="00C54525"/>
    <w:rsid w:val="00C61BE0"/>
    <w:rsid w:val="00C6707E"/>
    <w:rsid w:val="00C70B0E"/>
    <w:rsid w:val="00C773CA"/>
    <w:rsid w:val="00C83785"/>
    <w:rsid w:val="00C8434D"/>
    <w:rsid w:val="00C94C0D"/>
    <w:rsid w:val="00CA1FEB"/>
    <w:rsid w:val="00CC636A"/>
    <w:rsid w:val="00CD4F85"/>
    <w:rsid w:val="00CD6F02"/>
    <w:rsid w:val="00CE246D"/>
    <w:rsid w:val="00CF07A0"/>
    <w:rsid w:val="00CF3E03"/>
    <w:rsid w:val="00D0082A"/>
    <w:rsid w:val="00D21455"/>
    <w:rsid w:val="00D47634"/>
    <w:rsid w:val="00D709B3"/>
    <w:rsid w:val="00D82F38"/>
    <w:rsid w:val="00DA2ED6"/>
    <w:rsid w:val="00DB76B8"/>
    <w:rsid w:val="00DC2EA1"/>
    <w:rsid w:val="00DD6AAF"/>
    <w:rsid w:val="00DE3F5C"/>
    <w:rsid w:val="00DF1D20"/>
    <w:rsid w:val="00E21324"/>
    <w:rsid w:val="00E246B9"/>
    <w:rsid w:val="00E31FEA"/>
    <w:rsid w:val="00E45169"/>
    <w:rsid w:val="00E47787"/>
    <w:rsid w:val="00E51C30"/>
    <w:rsid w:val="00E61362"/>
    <w:rsid w:val="00E64180"/>
    <w:rsid w:val="00E70238"/>
    <w:rsid w:val="00E74AEE"/>
    <w:rsid w:val="00E868E5"/>
    <w:rsid w:val="00E9237A"/>
    <w:rsid w:val="00E9305B"/>
    <w:rsid w:val="00E939FA"/>
    <w:rsid w:val="00EA5765"/>
    <w:rsid w:val="00EC2532"/>
    <w:rsid w:val="00ED7812"/>
    <w:rsid w:val="00EF3B86"/>
    <w:rsid w:val="00F07D95"/>
    <w:rsid w:val="00F317E9"/>
    <w:rsid w:val="00F34554"/>
    <w:rsid w:val="00F45F77"/>
    <w:rsid w:val="00F5167F"/>
    <w:rsid w:val="00F52258"/>
    <w:rsid w:val="00F8570A"/>
    <w:rsid w:val="00F91C7B"/>
    <w:rsid w:val="00FC56E3"/>
    <w:rsid w:val="00FC5A59"/>
    <w:rsid w:val="00FC6A7E"/>
    <w:rsid w:val="00FD24BA"/>
    <w:rsid w:val="00FE46CA"/>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07B9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semiHidden/>
    <w:unhideWhenUsed/>
    <w:qFormat/>
    <w:rsid w:val="003E0023"/>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semiHidden/>
    <w:unhideWhenUsed/>
    <w:qFormat/>
    <w:rsid w:val="003E002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ing6Char">
    <w:name w:val="Heading 6 Char"/>
    <w:basedOn w:val="DefaultParagraphFont"/>
    <w:link w:val="Heading6"/>
    <w:semiHidden/>
    <w:rsid w:val="003E0023"/>
    <w:rPr>
      <w:rFonts w:asciiTheme="majorHAnsi" w:eastAsiaTheme="majorEastAsia" w:hAnsiTheme="majorHAnsi" w:cstheme="majorBidi"/>
      <w:color w:val="1F4D78" w:themeColor="accent1" w:themeShade="7F"/>
      <w:sz w:val="24"/>
      <w:szCs w:val="24"/>
      <w:lang w:val="en-US" w:eastAsia="en-US"/>
    </w:rPr>
  </w:style>
  <w:style w:type="character" w:customStyle="1" w:styleId="Heading3Char">
    <w:name w:val="Heading 3 Char"/>
    <w:basedOn w:val="DefaultParagraphFont"/>
    <w:link w:val="Heading3"/>
    <w:semiHidden/>
    <w:rsid w:val="003E0023"/>
    <w:rPr>
      <w:rFonts w:asciiTheme="majorHAnsi" w:eastAsiaTheme="majorEastAsia" w:hAnsiTheme="majorHAnsi" w:cstheme="majorBidi"/>
      <w:color w:val="1F4D78" w:themeColor="accent1" w:themeShade="7F"/>
      <w:sz w:val="24"/>
      <w:szCs w:val="24"/>
      <w:lang w:val="en-US" w:eastAsia="en-US"/>
    </w:rPr>
  </w:style>
  <w:style w:type="paragraph" w:styleId="Revision">
    <w:name w:val="Revision"/>
    <w:hidden/>
    <w:uiPriority w:val="99"/>
    <w:semiHidden/>
    <w:rsid w:val="00770D7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89165">
      <w:bodyDiv w:val="1"/>
      <w:marLeft w:val="0"/>
      <w:marRight w:val="0"/>
      <w:marTop w:val="0"/>
      <w:marBottom w:val="0"/>
      <w:divBdr>
        <w:top w:val="none" w:sz="0" w:space="0" w:color="auto"/>
        <w:left w:val="none" w:sz="0" w:space="0" w:color="auto"/>
        <w:bottom w:val="none" w:sz="0" w:space="0" w:color="auto"/>
        <w:right w:val="none" w:sz="0" w:space="0" w:color="auto"/>
      </w:divBdr>
    </w:div>
    <w:div w:id="354691244">
      <w:bodyDiv w:val="1"/>
      <w:marLeft w:val="0"/>
      <w:marRight w:val="0"/>
      <w:marTop w:val="0"/>
      <w:marBottom w:val="0"/>
      <w:divBdr>
        <w:top w:val="none" w:sz="0" w:space="0" w:color="auto"/>
        <w:left w:val="none" w:sz="0" w:space="0" w:color="auto"/>
        <w:bottom w:val="none" w:sz="0" w:space="0" w:color="auto"/>
        <w:right w:val="none" w:sz="0" w:space="0" w:color="auto"/>
      </w:divBdr>
    </w:div>
    <w:div w:id="116119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3977D-216C-472B-B304-5F86B218C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8644</Words>
  <Characters>49271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57800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Berina Ljuca</cp:lastModifiedBy>
  <cp:revision>7</cp:revision>
  <dcterms:created xsi:type="dcterms:W3CDTF">2024-09-09T07:09:00Z</dcterms:created>
  <dcterms:modified xsi:type="dcterms:W3CDTF">2024-11-18T13:06:00Z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