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2697B" w14:textId="77777777" w:rsidR="00143D6C" w:rsidRPr="00F953E4" w:rsidRDefault="005062D2" w:rsidP="009B7F92">
      <w:pPr>
        <w:jc w:val="center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iCs/>
          <w:sz w:val="22"/>
          <w:szCs w:val="22"/>
          <w:u w:val="single"/>
          <w:lang w:val="sr-Latn-ME"/>
        </w:rPr>
        <w:t>САЖЕТАК КАРАКТЕРИСТИКА ЛИЈЕКА</w:t>
      </w:r>
    </w:p>
    <w:p w14:paraId="3272CB37" w14:textId="77777777" w:rsidR="00143D6C" w:rsidRPr="00F953E4" w:rsidRDefault="00143D6C" w:rsidP="009B7F9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14:paraId="62827C01" w14:textId="50E58499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1. НАЗИВ</w:t>
      </w:r>
      <w:r w:rsidR="00742FE2" w:rsidRPr="00F953E4">
        <w:rPr>
          <w:rFonts w:ascii="Times New Roman" w:hAnsi="Times New Roman"/>
          <w:b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ЛИЈЕКА</w:t>
      </w:r>
    </w:p>
    <w:p w14:paraId="42DC24C7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127BCE26" w14:textId="236A827D" w:rsidR="005D17B3" w:rsidRPr="00F953E4" w:rsidRDefault="009E54FF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Heferol</w:t>
      </w:r>
      <w:r w:rsidR="00D056FC" w:rsidRPr="00F953E4">
        <w:rPr>
          <w:rFonts w:ascii="Times New Roman" w:hAnsi="Times New Roman"/>
          <w:sz w:val="22"/>
          <w:szCs w:val="22"/>
          <w:lang w:val="sr-Cyrl-ME"/>
        </w:rPr>
        <w:t>,</w:t>
      </w:r>
      <w:r w:rsidR="00742FE2" w:rsidRPr="00F953E4">
        <w:rPr>
          <w:rFonts w:ascii="Times New Roman" w:hAnsi="Times New Roman"/>
          <w:sz w:val="22"/>
          <w:szCs w:val="22"/>
          <w:vertAlign w:val="superscript"/>
          <w:lang w:val="sr-Latn-ME"/>
        </w:rPr>
        <w:t xml:space="preserve"> 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>350 mg</w:t>
      </w:r>
      <w:r w:rsidR="00D056FC" w:rsidRPr="00F953E4">
        <w:rPr>
          <w:rFonts w:ascii="Times New Roman" w:hAnsi="Times New Roman"/>
          <w:sz w:val="22"/>
          <w:szCs w:val="22"/>
          <w:lang w:val="sr-Cyrl-ME"/>
        </w:rPr>
        <w:t>,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 xml:space="preserve"> капсул</w:t>
      </w:r>
      <w:r w:rsidR="00D056FC" w:rsidRPr="00F953E4">
        <w:rPr>
          <w:rFonts w:ascii="Times New Roman" w:hAnsi="Times New Roman"/>
          <w:sz w:val="22"/>
          <w:szCs w:val="22"/>
          <w:lang w:val="sr-Cyrl-ME"/>
        </w:rPr>
        <w:t>а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>, тврд</w:t>
      </w:r>
      <w:r w:rsidR="00D056FC" w:rsidRPr="00F953E4">
        <w:rPr>
          <w:rFonts w:ascii="Times New Roman" w:hAnsi="Times New Roman"/>
          <w:sz w:val="22"/>
          <w:szCs w:val="22"/>
          <w:lang w:val="sr-Cyrl-ME"/>
        </w:rPr>
        <w:t>а</w:t>
      </w:r>
    </w:p>
    <w:p w14:paraId="32A031D7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3D77222F" w14:textId="7CD65BBA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ИНН:</w:t>
      </w:r>
      <w:r w:rsidR="009B7F92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гвожђе (II)</w:t>
      </w:r>
      <w:r w:rsidR="00742FE2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фумарат</w:t>
      </w:r>
    </w:p>
    <w:p w14:paraId="1E672A76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14:paraId="76D4ABFC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14:paraId="57D6C873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2. КВАЛИТАТИВНИ И КВАНТИТАТИВНИ САСТАВ</w:t>
      </w:r>
    </w:p>
    <w:p w14:paraId="65D4BED0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2DA92601" w14:textId="6822598E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Једна капсула садржи 350 mg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гвожђе</w:t>
      </w:r>
      <w:r w:rsidR="009B7F92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(II)</w:t>
      </w:r>
      <w:r w:rsidR="00742FE2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фумарата (што одговара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115 mg елементарног гвожђа).</w:t>
      </w:r>
    </w:p>
    <w:p w14:paraId="4D23B22E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6D7762EE" w14:textId="481CCCED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Помоћне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супстанце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са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по</w:t>
      </w:r>
      <w:r w:rsidR="00D056FC" w:rsidRPr="00F953E4">
        <w:rPr>
          <w:rFonts w:ascii="Times New Roman" w:hAnsi="Times New Roman"/>
          <w:sz w:val="22"/>
          <w:szCs w:val="22"/>
          <w:lang w:val="sr-Cyrl-ME"/>
        </w:rPr>
        <w:t>тврђен</w:t>
      </w:r>
      <w:r w:rsidRPr="00F953E4">
        <w:rPr>
          <w:rFonts w:ascii="Times New Roman" w:hAnsi="Times New Roman"/>
          <w:sz w:val="22"/>
          <w:szCs w:val="22"/>
          <w:lang w:val="sr-Latn-ME"/>
        </w:rPr>
        <w:t>им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дејством: </w:t>
      </w:r>
    </w:p>
    <w:p w14:paraId="181B2499" w14:textId="3F25704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Једна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тврда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капсула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9E54FF" w:rsidRPr="00F953E4">
        <w:rPr>
          <w:rFonts w:ascii="Times New Roman" w:hAnsi="Times New Roman"/>
          <w:sz w:val="22"/>
          <w:szCs w:val="22"/>
          <w:lang w:val="sr-Cyrl-ME"/>
        </w:rPr>
        <w:t xml:space="preserve">лијека </w:t>
      </w:r>
      <w:r w:rsidR="009E54FF" w:rsidRPr="00F953E4">
        <w:rPr>
          <w:rFonts w:ascii="Times New Roman" w:hAnsi="Times New Roman"/>
          <w:sz w:val="22"/>
          <w:szCs w:val="22"/>
          <w:lang w:val="sr-Latn-ME"/>
        </w:rPr>
        <w:t>Heferol</w:t>
      </w:r>
      <w:r w:rsidR="009E54FF" w:rsidRPr="00F953E4">
        <w:rPr>
          <w:rFonts w:ascii="Times New Roman" w:hAnsi="Times New Roman"/>
          <w:sz w:val="22"/>
          <w:szCs w:val="22"/>
          <w:vertAlign w:val="superscript"/>
          <w:lang w:val="sr-Latn-ME"/>
        </w:rPr>
        <w:t xml:space="preserve"> </w:t>
      </w:r>
      <w:r w:rsidR="00396250" w:rsidRPr="00F953E4">
        <w:rPr>
          <w:rFonts w:ascii="Times New Roman" w:hAnsi="Times New Roman"/>
          <w:sz w:val="22"/>
          <w:szCs w:val="22"/>
          <w:lang w:val="sr-Latn-ME"/>
        </w:rPr>
        <w:t xml:space="preserve">350 mg </w:t>
      </w:r>
      <w:r w:rsidRPr="00F953E4">
        <w:rPr>
          <w:rFonts w:ascii="Times New Roman" w:hAnsi="Times New Roman"/>
          <w:sz w:val="22"/>
          <w:szCs w:val="22"/>
          <w:lang w:val="sr-Latn-ME"/>
        </w:rPr>
        <w:t>садржи</w:t>
      </w:r>
      <w:r w:rsidR="0024021F" w:rsidRPr="00F953E4">
        <w:rPr>
          <w:rFonts w:ascii="Times New Roman" w:hAnsi="Times New Roman"/>
          <w:sz w:val="22"/>
          <w:szCs w:val="22"/>
          <w:lang w:val="sr-Latn-ME"/>
        </w:rPr>
        <w:t>:</w:t>
      </w:r>
      <w:r w:rsidR="00DC78D1" w:rsidRPr="00F953E4">
        <w:rPr>
          <w:rFonts w:ascii="Times New Roman" w:hAnsi="Times New Roman"/>
          <w:sz w:val="22"/>
          <w:szCs w:val="22"/>
          <w:lang w:val="sr-Latn-ME"/>
        </w:rPr>
        <w:t xml:space="preserve"> 50.60 mg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лактоз</w:t>
      </w:r>
      <w:r w:rsidR="007A12D4" w:rsidRPr="00F953E4">
        <w:rPr>
          <w:rFonts w:ascii="Times New Roman" w:hAnsi="Times New Roman"/>
          <w:sz w:val="22"/>
          <w:szCs w:val="22"/>
          <w:lang w:val="sr-Cyrl-ME"/>
        </w:rPr>
        <w:t>е</w:t>
      </w:r>
      <w:r w:rsidR="00742FE2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монохидрат</w:t>
      </w:r>
      <w:r w:rsidR="007A12D4" w:rsidRPr="00F953E4">
        <w:rPr>
          <w:rFonts w:ascii="Times New Roman" w:hAnsi="Times New Roman"/>
          <w:sz w:val="22"/>
          <w:szCs w:val="22"/>
          <w:lang w:val="sr-Latn-ME"/>
        </w:rPr>
        <w:t>a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, </w:t>
      </w:r>
      <w:r w:rsidRPr="00F953E4">
        <w:rPr>
          <w:rFonts w:ascii="Times New Roman" w:hAnsi="Times New Roman"/>
          <w:sz w:val="22"/>
          <w:szCs w:val="22"/>
        </w:rPr>
        <w:t>б</w:t>
      </w:r>
      <w:r w:rsidRPr="00F953E4">
        <w:rPr>
          <w:rFonts w:ascii="Times New Roman" w:hAnsi="Times New Roman"/>
          <w:sz w:val="22"/>
          <w:szCs w:val="22"/>
          <w:lang w:val="sr-Latn-ME"/>
        </w:rPr>
        <w:t>ој</w:t>
      </w:r>
      <w:r w:rsidR="007A12D4" w:rsidRPr="00F953E4">
        <w:rPr>
          <w:rFonts w:ascii="Times New Roman" w:hAnsi="Times New Roman"/>
          <w:sz w:val="22"/>
          <w:szCs w:val="22"/>
          <w:lang w:val="sr-Cyrl-ME"/>
        </w:rPr>
        <w:t>у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5274AC" w:rsidRPr="00F953E4">
        <w:rPr>
          <w:rFonts w:ascii="Times New Roman" w:hAnsi="Times New Roman"/>
          <w:i/>
          <w:sz w:val="22"/>
          <w:szCs w:val="22"/>
          <w:lang w:val="sr-Latn-ME"/>
        </w:rPr>
        <w:t>Azorubin</w:t>
      </w:r>
      <w:r w:rsidR="005274AC" w:rsidRPr="00F953E4" w:rsidDel="005274AC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(Е122)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бој</w:t>
      </w:r>
      <w:r w:rsidR="007A12D4" w:rsidRPr="00F953E4">
        <w:rPr>
          <w:rFonts w:ascii="Times New Roman" w:hAnsi="Times New Roman"/>
          <w:sz w:val="22"/>
          <w:szCs w:val="22"/>
          <w:lang w:val="sr-Cyrl-ME"/>
        </w:rPr>
        <w:t>у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5274AC" w:rsidRPr="00F953E4">
        <w:rPr>
          <w:rFonts w:ascii="Times New Roman" w:hAnsi="Times New Roman"/>
          <w:i/>
          <w:sz w:val="22"/>
          <w:szCs w:val="22"/>
          <w:lang w:val="sr-Latn-ME"/>
        </w:rPr>
        <w:t>Brilliant black</w:t>
      </w:r>
      <w:r w:rsidR="005274AC" w:rsidRPr="00F953E4" w:rsidDel="005274AC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(Е151).</w:t>
      </w:r>
    </w:p>
    <w:p w14:paraId="6457B6DB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140ECF05" w14:textId="73107D60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За списак свих ексципијенаса, погледати дио 6.1.</w:t>
      </w:r>
    </w:p>
    <w:p w14:paraId="1728B608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0FDC01C3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14:paraId="063C59CE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3. ФАРМАЦЕУТСКИ ОБЛИК</w:t>
      </w:r>
    </w:p>
    <w:p w14:paraId="544DDDA5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4A3CEA6B" w14:textId="5AA6AFE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Капсула, тврда.</w:t>
      </w:r>
    </w:p>
    <w:p w14:paraId="1DF9DECB" w14:textId="08C41650" w:rsidR="005D17B3" w:rsidRPr="00F953E4" w:rsidRDefault="005274AC" w:rsidP="009B7F92">
      <w:pPr>
        <w:jc w:val="left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Cyrl-ME"/>
        </w:rPr>
        <w:t xml:space="preserve">Непрозирне </w:t>
      </w:r>
      <w:r w:rsidRPr="00F953E4">
        <w:rPr>
          <w:rFonts w:ascii="Times New Roman" w:hAnsi="Times New Roman"/>
          <w:sz w:val="22"/>
          <w:szCs w:val="22"/>
          <w:lang w:val="sr-Latn-ME"/>
        </w:rPr>
        <w:t>тврде жућкасто-беж/тамно-зелене желатинске капсуле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>, испуњене прашком црвено-браон боје са бијелим примјесама.</w:t>
      </w:r>
    </w:p>
    <w:p w14:paraId="15E4D602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06F2D06A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14:paraId="2C322323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4. КЛИНИЧКИ ПОДАЦИ</w:t>
      </w:r>
    </w:p>
    <w:p w14:paraId="1A7ACB23" w14:textId="77777777" w:rsidR="00396250" w:rsidRPr="00F953E4" w:rsidRDefault="00396250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14:paraId="73CFB3E3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4.1. Терапијске</w:t>
      </w:r>
      <w:r w:rsidR="00EC6FDE" w:rsidRPr="00F953E4">
        <w:rPr>
          <w:rFonts w:ascii="Times New Roman" w:hAnsi="Times New Roman"/>
          <w:b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индикације</w:t>
      </w:r>
    </w:p>
    <w:p w14:paraId="0234F1D2" w14:textId="77777777" w:rsidR="005D17B3" w:rsidRPr="00F953E4" w:rsidRDefault="005D17B3" w:rsidP="00E3745B">
      <w:pPr>
        <w:rPr>
          <w:rFonts w:ascii="Times New Roman" w:hAnsi="Times New Roman"/>
          <w:sz w:val="22"/>
          <w:szCs w:val="22"/>
          <w:lang w:val="sr-Latn-ME"/>
        </w:rPr>
      </w:pPr>
    </w:p>
    <w:p w14:paraId="442DBD8F" w14:textId="77777777" w:rsidR="005D17B3" w:rsidRPr="00F953E4" w:rsidRDefault="005D17B3" w:rsidP="00E3745B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Терапија и превенција анемија изазваних недостатком гвожђа.</w:t>
      </w:r>
    </w:p>
    <w:p w14:paraId="29CE009A" w14:textId="77777777" w:rsidR="005D17B3" w:rsidRPr="00F953E4" w:rsidRDefault="005D17B3" w:rsidP="00E3745B">
      <w:pPr>
        <w:rPr>
          <w:rFonts w:ascii="Times New Roman" w:hAnsi="Times New Roman"/>
          <w:sz w:val="22"/>
          <w:szCs w:val="22"/>
          <w:lang w:val="sr-Latn-ME"/>
        </w:rPr>
      </w:pPr>
    </w:p>
    <w:p w14:paraId="5EF9E2C5" w14:textId="59D19D62" w:rsidR="005D17B3" w:rsidRPr="00F953E4" w:rsidRDefault="0024021F" w:rsidP="00E3745B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Анемија изазвана недостатком гвожђ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>а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 се може јавити као резултат повећаног губитка гвожђа,</w:t>
      </w:r>
      <w:r w:rsidR="00A138D2" w:rsidRPr="00F953E4">
        <w:rPr>
          <w:rFonts w:ascii="Times New Roman" w:hAnsi="Times New Roman"/>
          <w:sz w:val="22"/>
          <w:szCs w:val="22"/>
          <w:lang w:val="sr-Latn-ME"/>
        </w:rPr>
        <w:t xml:space="preserve"> недовољног уноса гвожђа,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BF1559" w:rsidRPr="00F953E4">
        <w:rPr>
          <w:rFonts w:ascii="Times New Roman" w:hAnsi="Times New Roman"/>
          <w:sz w:val="22"/>
          <w:szCs w:val="22"/>
          <w:lang w:val="sr-Latn-ME"/>
        </w:rPr>
        <w:t>као и</w:t>
      </w:r>
      <w:r w:rsidR="00A138D2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 случајевима гдје су потребе за гвожђем повећане</w:t>
      </w:r>
      <w:r w:rsidR="00A138D2" w:rsidRPr="00F953E4">
        <w:rPr>
          <w:rFonts w:ascii="Times New Roman" w:hAnsi="Times New Roman"/>
          <w:sz w:val="22"/>
          <w:szCs w:val="22"/>
          <w:lang w:val="sr-Latn-ME"/>
        </w:rPr>
        <w:t>: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  период интензивног раста, адолесценције, пубертета, трудноће или дојења</w:t>
      </w:r>
      <w:r w:rsidR="001F4788" w:rsidRPr="00F953E4">
        <w:rPr>
          <w:rFonts w:ascii="Times New Roman" w:hAnsi="Times New Roman"/>
          <w:sz w:val="22"/>
          <w:szCs w:val="22"/>
          <w:lang w:val="sr-Latn-ME"/>
        </w:rPr>
        <w:t>.</w:t>
      </w:r>
    </w:p>
    <w:p w14:paraId="337D7CB4" w14:textId="77777777" w:rsidR="005D17B3" w:rsidRPr="00F953E4" w:rsidRDefault="005D17B3" w:rsidP="00E3745B">
      <w:pPr>
        <w:rPr>
          <w:rFonts w:ascii="Times New Roman" w:hAnsi="Times New Roman"/>
          <w:sz w:val="22"/>
          <w:szCs w:val="22"/>
          <w:lang w:val="sr-Latn-ME"/>
        </w:rPr>
      </w:pPr>
    </w:p>
    <w:p w14:paraId="31E4244B" w14:textId="1C429916" w:rsidR="005D17B3" w:rsidRPr="00F953E4" w:rsidRDefault="005D17B3" w:rsidP="009A5C97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4.2. Дозирање и начин</w:t>
      </w:r>
      <w:r w:rsidR="00EC6FDE" w:rsidRPr="00F953E4">
        <w:rPr>
          <w:rFonts w:ascii="Times New Roman" w:hAnsi="Times New Roman"/>
          <w:b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примјене</w:t>
      </w:r>
    </w:p>
    <w:p w14:paraId="41F792D2" w14:textId="77777777" w:rsidR="004A5143" w:rsidRPr="00F953E4" w:rsidRDefault="004A5143" w:rsidP="009A5C97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14:paraId="10A47E93" w14:textId="77777777" w:rsidR="00E3745B" w:rsidRPr="00F953E4" w:rsidRDefault="00E3745B">
      <w:pPr>
        <w:rPr>
          <w:rFonts w:ascii="Times New Roman" w:hAnsi="Times New Roman"/>
          <w:sz w:val="22"/>
          <w:szCs w:val="22"/>
          <w:u w:val="single"/>
          <w:lang w:val="sr-Latn-ME"/>
        </w:rPr>
      </w:pPr>
      <w:r w:rsidRPr="00F953E4">
        <w:rPr>
          <w:rFonts w:ascii="Times New Roman" w:hAnsi="Times New Roman"/>
          <w:sz w:val="22"/>
          <w:szCs w:val="22"/>
          <w:u w:val="single"/>
          <w:lang w:val="sr-Latn-ME"/>
        </w:rPr>
        <w:t>Дозирање</w:t>
      </w:r>
    </w:p>
    <w:p w14:paraId="1B78EE54" w14:textId="77777777" w:rsidR="005D17B3" w:rsidRPr="00F953E4" w:rsidRDefault="005D17B3">
      <w:pPr>
        <w:rPr>
          <w:rFonts w:ascii="Times New Roman" w:hAnsi="Times New Roman"/>
          <w:sz w:val="22"/>
          <w:szCs w:val="22"/>
          <w:u w:val="single"/>
          <w:lang w:val="sr-Latn-ME"/>
        </w:rPr>
      </w:pPr>
    </w:p>
    <w:p w14:paraId="095BD81F" w14:textId="77777777" w:rsidR="005D17B3" w:rsidRPr="00F953E4" w:rsidRDefault="005D17B3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u w:val="single"/>
          <w:lang w:val="sr-Latn-ME"/>
        </w:rPr>
        <w:t>Oдрасли и дјеца старија од 12 година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: </w:t>
      </w:r>
    </w:p>
    <w:p w14:paraId="237EDB4E" w14:textId="77777777" w:rsidR="005D17B3" w:rsidRPr="00F953E4" w:rsidRDefault="005D17B3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Профилакса: 1 капсула дневно.</w:t>
      </w:r>
    </w:p>
    <w:p w14:paraId="54B00219" w14:textId="77777777" w:rsidR="005D17B3" w:rsidRPr="00F953E4" w:rsidRDefault="005D17B3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Лијечење: 1 капсула 2  пута на дан.</w:t>
      </w:r>
    </w:p>
    <w:p w14:paraId="7F4D4CD9" w14:textId="77777777" w:rsidR="005D17B3" w:rsidRPr="00F953E4" w:rsidRDefault="005D17B3">
      <w:pPr>
        <w:rPr>
          <w:rFonts w:ascii="Times New Roman" w:hAnsi="Times New Roman"/>
          <w:sz w:val="22"/>
          <w:szCs w:val="22"/>
          <w:u w:val="single"/>
          <w:lang w:val="sr-Latn-ME"/>
        </w:rPr>
      </w:pPr>
    </w:p>
    <w:p w14:paraId="538A23E1" w14:textId="71117FFE" w:rsidR="005D17B3" w:rsidRPr="00F953E4" w:rsidRDefault="005D17B3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u w:val="single"/>
          <w:lang w:val="sr-Latn-ME"/>
        </w:rPr>
        <w:t>Дјеца млађа од 12 година</w:t>
      </w:r>
      <w:r w:rsidRPr="00F953E4">
        <w:rPr>
          <w:rFonts w:ascii="Times New Roman" w:hAnsi="Times New Roman"/>
          <w:sz w:val="22"/>
          <w:szCs w:val="22"/>
          <w:lang w:val="sr-Latn-ME"/>
        </w:rPr>
        <w:t>: Не препоручује се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примјена</w:t>
      </w:r>
      <w:r w:rsidRPr="00F953E4">
        <w:rPr>
          <w:rFonts w:ascii="Times New Roman" w:hAnsi="Times New Roman"/>
          <w:sz w:val="22"/>
          <w:szCs w:val="22"/>
          <w:lang w:val="sr-Latn-ME"/>
        </w:rPr>
        <w:t>. Фармацеутски облик гвожђе фумарата није намијењен за лијечење дјеце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млађе од 12 година</w:t>
      </w:r>
      <w:r w:rsidRPr="00F953E4">
        <w:rPr>
          <w:rFonts w:ascii="Times New Roman" w:hAnsi="Times New Roman"/>
          <w:sz w:val="22"/>
          <w:szCs w:val="22"/>
          <w:lang w:val="sr-Latn-ME"/>
        </w:rPr>
        <w:t>.</w:t>
      </w:r>
    </w:p>
    <w:p w14:paraId="758F6319" w14:textId="77777777" w:rsidR="005D17B3" w:rsidRPr="00F953E4" w:rsidRDefault="005D17B3">
      <w:pPr>
        <w:rPr>
          <w:rFonts w:ascii="Times New Roman" w:hAnsi="Times New Roman"/>
          <w:sz w:val="22"/>
          <w:szCs w:val="22"/>
          <w:lang w:val="sr-Latn-ME"/>
        </w:rPr>
      </w:pPr>
    </w:p>
    <w:p w14:paraId="18D9B9A9" w14:textId="4D780BB0" w:rsidR="005D17B3" w:rsidRPr="00F953E4" w:rsidRDefault="005D17B3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u w:val="single"/>
          <w:lang w:val="sr-Latn-ME"/>
        </w:rPr>
        <w:t>Старији пацијенти</w:t>
      </w:r>
      <w:r w:rsidRPr="00F953E4">
        <w:rPr>
          <w:rFonts w:ascii="Times New Roman" w:hAnsi="Times New Roman"/>
          <w:sz w:val="22"/>
          <w:szCs w:val="22"/>
          <w:lang w:val="sr-Latn-ME"/>
        </w:rPr>
        <w:t>: Препоручена доза за одрасле је одговарајућа.</w:t>
      </w:r>
    </w:p>
    <w:p w14:paraId="73B43A5E" w14:textId="77777777" w:rsidR="005D17B3" w:rsidRPr="00F953E4" w:rsidRDefault="005D17B3">
      <w:pPr>
        <w:rPr>
          <w:rFonts w:ascii="Times New Roman" w:hAnsi="Times New Roman"/>
          <w:sz w:val="22"/>
          <w:szCs w:val="22"/>
          <w:lang w:val="sr-Latn-ME"/>
        </w:rPr>
      </w:pPr>
    </w:p>
    <w:p w14:paraId="64302E45" w14:textId="78CE8617" w:rsidR="005D17B3" w:rsidRPr="00F953E4" w:rsidRDefault="005D17B3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u w:val="single"/>
          <w:lang w:val="sr-Latn-ME"/>
        </w:rPr>
        <w:t xml:space="preserve">Tруднице током другог и трећег триместра: </w:t>
      </w:r>
      <w:r w:rsidRPr="00F953E4">
        <w:rPr>
          <w:rFonts w:ascii="Times New Roman" w:hAnsi="Times New Roman"/>
          <w:sz w:val="22"/>
          <w:szCs w:val="22"/>
          <w:lang w:val="sr-Latn-ME"/>
        </w:rPr>
        <w:t>Препоручена доза за одрасле је одговарајућа.</w:t>
      </w:r>
    </w:p>
    <w:p w14:paraId="276BEC4D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72551AA4" w14:textId="22BB5333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Лијечење траје 6 до 12 нед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ј</w:t>
      </w:r>
      <w:r w:rsidRPr="00F953E4">
        <w:rPr>
          <w:rFonts w:ascii="Times New Roman" w:hAnsi="Times New Roman"/>
          <w:sz w:val="22"/>
          <w:szCs w:val="22"/>
          <w:lang w:val="sr-Latn-ME"/>
        </w:rPr>
        <w:t>еља. Примјену лијека треба наставити и након</w:t>
      </w:r>
      <w:r w:rsidR="009B7F92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нормализације крвне слике како би се попуниле залихе гвожђа у организму. Не препоручује се лијечење дуже од 6 мјесеци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>,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 осим у случајевима гдје постоји трајан узрок губитка гвожђа.</w:t>
      </w:r>
    </w:p>
    <w:p w14:paraId="07738800" w14:textId="2E72B668" w:rsidR="00E3745B" w:rsidRPr="00F953E4" w:rsidRDefault="00E3745B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1AFB5C64" w14:textId="77777777" w:rsidR="00427D0D" w:rsidRPr="00F953E4" w:rsidRDefault="00427D0D" w:rsidP="009B7F92">
      <w:pPr>
        <w:rPr>
          <w:rFonts w:ascii="Times New Roman" w:hAnsi="Times New Roman"/>
          <w:sz w:val="22"/>
          <w:szCs w:val="22"/>
          <w:u w:val="single"/>
          <w:lang w:val="sr-Latn-ME"/>
        </w:rPr>
      </w:pPr>
      <w:bookmarkStart w:id="0" w:name="_GoBack"/>
      <w:bookmarkEnd w:id="0"/>
    </w:p>
    <w:p w14:paraId="01CC90FF" w14:textId="070D0EBF" w:rsidR="00E3745B" w:rsidRPr="00F953E4" w:rsidRDefault="00E3745B" w:rsidP="009B7F92">
      <w:pPr>
        <w:rPr>
          <w:rFonts w:ascii="Times New Roman" w:hAnsi="Times New Roman"/>
          <w:sz w:val="22"/>
          <w:szCs w:val="22"/>
          <w:u w:val="single"/>
          <w:lang w:val="sr-Latn-ME"/>
        </w:rPr>
      </w:pPr>
      <w:r w:rsidRPr="00F953E4">
        <w:rPr>
          <w:rFonts w:ascii="Times New Roman" w:hAnsi="Times New Roman"/>
          <w:sz w:val="22"/>
          <w:szCs w:val="22"/>
          <w:u w:val="single"/>
          <w:lang w:val="sr-Latn-ME"/>
        </w:rPr>
        <w:lastRenderedPageBreak/>
        <w:t>Начин примјене</w:t>
      </w:r>
    </w:p>
    <w:p w14:paraId="6F28389D" w14:textId="7FFF7F6C" w:rsidR="00E3745B" w:rsidRPr="00F953E4" w:rsidRDefault="00E3745B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За оралну примјену.</w:t>
      </w:r>
    </w:p>
    <w:p w14:paraId="45EBE928" w14:textId="77777777" w:rsidR="005D17B3" w:rsidRPr="00F953E4" w:rsidRDefault="005D17B3" w:rsidP="009B7F92">
      <w:pPr>
        <w:pStyle w:val="BodyText3"/>
        <w:jc w:val="left"/>
        <w:rPr>
          <w:szCs w:val="22"/>
          <w:lang w:val="sr-Latn-ME"/>
        </w:rPr>
      </w:pPr>
    </w:p>
    <w:p w14:paraId="065C8CCF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4.3. Контраиндикације</w:t>
      </w:r>
    </w:p>
    <w:p w14:paraId="27929C8B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3E8C54F1" w14:textId="41524C5E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Преосјетљивост на гвожђе (II)</w:t>
      </w:r>
      <w:r w:rsidR="00742FE2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фумарат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или на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било коју компоненту лијека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наведену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дијелу 6.1.</w:t>
      </w:r>
    </w:p>
    <w:p w14:paraId="28A3703A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Пароксизмална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ноћна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хемоглобинурија.</w:t>
      </w:r>
    </w:p>
    <w:p w14:paraId="21153046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Хемохроматоза.</w:t>
      </w:r>
    </w:p>
    <w:p w14:paraId="44E9A0AE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Хемосидероза.</w:t>
      </w:r>
    </w:p>
    <w:p w14:paraId="51C61657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Понављане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трансфузије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крви.</w:t>
      </w:r>
    </w:p>
    <w:p w14:paraId="3753ED5C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Регионални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ентeритис и улцерозни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колитис.</w:t>
      </w:r>
    </w:p>
    <w:p w14:paraId="29C5AF86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Сви типови анемија гдје узрок није недостатак гвожђа (хемолитичка анемија, апластична анемија и таласемија).</w:t>
      </w:r>
    </w:p>
    <w:p w14:paraId="1FEB7E00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Хемоглобинопатија.</w:t>
      </w:r>
    </w:p>
    <w:p w14:paraId="284D8311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 xml:space="preserve">Активни пептички улкус. </w:t>
      </w:r>
    </w:p>
    <w:p w14:paraId="40A9FE70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Истовремена примјена оралних и парентералних препарата гвожђа.</w:t>
      </w:r>
    </w:p>
    <w:p w14:paraId="5492F1AB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244E04F0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4.4. Посебна упозорења и мјере опреза при употреби лијека</w:t>
      </w:r>
    </w:p>
    <w:p w14:paraId="60204087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505876F9" w14:textId="6F439528" w:rsidR="00950510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u w:val="single"/>
          <w:lang w:val="sr-Latn-ME"/>
        </w:rPr>
        <w:t>Важно</w:t>
      </w:r>
      <w:r w:rsidR="00EC6FDE" w:rsidRPr="00F953E4">
        <w:rPr>
          <w:rFonts w:ascii="Times New Roman" w:hAnsi="Times New Roman"/>
          <w:b/>
          <w:bCs/>
          <w:sz w:val="22"/>
          <w:szCs w:val="22"/>
          <w:u w:val="single"/>
          <w:lang w:val="sr-Latn-ME"/>
        </w:rPr>
        <w:t xml:space="preserve"> </w:t>
      </w:r>
      <w:r w:rsidRPr="00F953E4">
        <w:rPr>
          <w:rFonts w:ascii="Times New Roman" w:hAnsi="Times New Roman"/>
          <w:b/>
          <w:bCs/>
          <w:sz w:val="22"/>
          <w:szCs w:val="22"/>
          <w:u w:val="single"/>
          <w:lang w:val="sr-Latn-ME"/>
        </w:rPr>
        <w:t>упозорење:</w:t>
      </w: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/>
          <w:sz w:val="22"/>
          <w:szCs w:val="22"/>
          <w:lang w:val="sr-Latn-ME"/>
        </w:rPr>
        <w:t xml:space="preserve">Oвај лијек садржи гвожђе. Потребно </w:t>
      </w:r>
      <w:r w:rsidR="00EC6FDE" w:rsidRPr="00F953E4">
        <w:rPr>
          <w:rFonts w:ascii="Times New Roman" w:hAnsi="Times New Roman"/>
          <w:b/>
          <w:sz w:val="22"/>
          <w:szCs w:val="22"/>
          <w:lang w:val="sr-Latn-ME"/>
        </w:rPr>
        <w:t xml:space="preserve">је </w:t>
      </w:r>
      <w:r w:rsidRPr="00F953E4">
        <w:rPr>
          <w:rFonts w:ascii="Times New Roman" w:hAnsi="Times New Roman"/>
          <w:b/>
          <w:sz w:val="22"/>
          <w:szCs w:val="22"/>
          <w:lang w:val="sr-Latn-ME"/>
        </w:rPr>
        <w:t xml:space="preserve">држати </w:t>
      </w:r>
      <w:r w:rsidR="00EC6FDE" w:rsidRPr="00F953E4">
        <w:rPr>
          <w:rFonts w:ascii="Times New Roman" w:hAnsi="Times New Roman"/>
          <w:b/>
          <w:sz w:val="22"/>
          <w:szCs w:val="22"/>
          <w:lang w:val="sr-Latn-ME"/>
        </w:rPr>
        <w:t xml:space="preserve">га </w:t>
      </w:r>
      <w:r w:rsidRPr="00F953E4">
        <w:rPr>
          <w:rFonts w:ascii="Times New Roman" w:hAnsi="Times New Roman"/>
          <w:b/>
          <w:sz w:val="22"/>
          <w:szCs w:val="22"/>
          <w:lang w:val="sr-Latn-ME"/>
        </w:rPr>
        <w:t>ван дохвата дјеце</w:t>
      </w:r>
      <w:r w:rsidR="00EC6FDE" w:rsidRPr="00F953E4">
        <w:rPr>
          <w:rFonts w:ascii="Times New Roman" w:hAnsi="Times New Roman"/>
          <w:b/>
          <w:sz w:val="22"/>
          <w:szCs w:val="22"/>
          <w:lang w:val="sr-Latn-ME"/>
        </w:rPr>
        <w:t>,</w:t>
      </w:r>
      <w:r w:rsidRPr="00F953E4">
        <w:rPr>
          <w:rFonts w:ascii="Times New Roman" w:hAnsi="Times New Roman"/>
          <w:b/>
          <w:sz w:val="22"/>
          <w:szCs w:val="22"/>
          <w:lang w:val="sr-Latn-ME"/>
        </w:rPr>
        <w:t xml:space="preserve"> будући да предозирање може бити фатално.</w:t>
      </w:r>
    </w:p>
    <w:p w14:paraId="6CD918ED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55200046" w14:textId="3750E203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 xml:space="preserve">Посебан опрез је потребан код пацијената са пептичким улкусом у анамнези. </w:t>
      </w:r>
    </w:p>
    <w:p w14:paraId="47B75219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3CB67898" w14:textId="2F1F1E3A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Трајање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лијечења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некомпликоване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анемије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због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недостатка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гвожђа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обично </w:t>
      </w:r>
      <w:r w:rsidRPr="00F953E4">
        <w:rPr>
          <w:rFonts w:ascii="Times New Roman" w:hAnsi="Times New Roman"/>
          <w:sz w:val="22"/>
          <w:szCs w:val="22"/>
          <w:lang w:val="sr-Latn-ME"/>
        </w:rPr>
        <w:t>не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треба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трајати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дуже</w:t>
      </w:r>
      <w:r w:rsidR="00742FE2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од 6 мјесеци (или 3 мјесеца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након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што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се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корекција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анемије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постигне).</w:t>
      </w:r>
    </w:p>
    <w:p w14:paraId="49E3D353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0693E012" w14:textId="7FF065D1" w:rsidR="002F274A" w:rsidRPr="00F953E4" w:rsidRDefault="002F274A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Оралне формулације гвожђа</w:t>
      </w:r>
      <w:r w:rsidR="00B576BE" w:rsidRPr="00F953E4">
        <w:rPr>
          <w:rFonts w:ascii="Times New Roman" w:hAnsi="Times New Roman"/>
          <w:sz w:val="22"/>
          <w:szCs w:val="22"/>
          <w:lang w:val="sr-Latn-ME"/>
        </w:rPr>
        <w:t>, посебно препарати са модификованим ослобађањем,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 могу погоршати дијареју код пацијената са упалном болешћу цријева; потребан је опрез и код пацијената са цријевним стриктурама и дивертикулозом. </w:t>
      </w:r>
    </w:p>
    <w:p w14:paraId="0B9AA8A4" w14:textId="4270E0EA" w:rsidR="002F274A" w:rsidRPr="00F953E4" w:rsidRDefault="002F274A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7F71496B" w14:textId="463044AC" w:rsidR="002F274A" w:rsidRPr="00F953E4" w:rsidRDefault="002F274A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 xml:space="preserve">Орални облици гвожђа могу изазвати констипацију, нарочито код старијих пацијената и понекад довести до затоја фекалне масе. </w:t>
      </w:r>
    </w:p>
    <w:p w14:paraId="579B98C3" w14:textId="77777777" w:rsidR="002F274A" w:rsidRPr="00F953E4" w:rsidRDefault="002F274A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442F055F" w14:textId="2EDC61AB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Да би се избјегао проблем констипације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>,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 лијек је потребно узимати са пуно течности.</w:t>
      </w:r>
    </w:p>
    <w:p w14:paraId="5AEDEEC4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74EDCC90" w14:textId="62992885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Уколико узрокује тегобе желуца</w:t>
      </w:r>
      <w:r w:rsidR="00E3745B" w:rsidRPr="00F953E4">
        <w:rPr>
          <w:rFonts w:ascii="Times New Roman" w:hAnsi="Times New Roman"/>
          <w:sz w:val="22"/>
          <w:szCs w:val="22"/>
          <w:lang w:val="sr-Latn-ME"/>
        </w:rPr>
        <w:t>,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 лијек је потребно узимати с</w:t>
      </w:r>
      <w:r w:rsidR="00396250" w:rsidRPr="00F953E4">
        <w:rPr>
          <w:rFonts w:ascii="Times New Roman" w:hAnsi="Times New Roman"/>
          <w:sz w:val="22"/>
          <w:szCs w:val="22"/>
          <w:lang w:val="sr-Latn-ME"/>
        </w:rPr>
        <w:t>a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 храном.</w:t>
      </w:r>
    </w:p>
    <w:p w14:paraId="61CD97B6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2742146F" w14:textId="2D1037EC" w:rsidR="005D17B3" w:rsidRPr="00F953E4" w:rsidRDefault="00D343D8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Код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 xml:space="preserve"> неких пацијентата након гастректомије апсорпција гвожђа је лоша.</w:t>
      </w:r>
    </w:p>
    <w:p w14:paraId="2D16AEB5" w14:textId="77777777" w:rsidR="005D17B3" w:rsidRPr="00F953E4" w:rsidRDefault="005D17B3" w:rsidP="009B7F92">
      <w:pPr>
        <w:pStyle w:val="BodyText"/>
        <w:spacing w:after="0"/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5A391B10" w14:textId="461488B2" w:rsidR="005D17B3" w:rsidRPr="00F953E4" w:rsidRDefault="005D17B3" w:rsidP="009B7F92">
      <w:pPr>
        <w:pStyle w:val="BodyText"/>
        <w:spacing w:after="0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Будући да анемија због комбинације недостатка гвожђа, витамина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C213DE" w:rsidRPr="00F953E4">
        <w:rPr>
          <w:rFonts w:ascii="Times New Roman" w:hAnsi="Times New Roman"/>
          <w:sz w:val="22"/>
          <w:szCs w:val="22"/>
          <w:lang w:val="sr-Latn-ME"/>
        </w:rPr>
        <w:t>Б</w:t>
      </w:r>
      <w:r w:rsidR="00C213DE" w:rsidRPr="00F953E4">
        <w:rPr>
          <w:rFonts w:ascii="Times New Roman" w:hAnsi="Times New Roman"/>
          <w:sz w:val="22"/>
          <w:szCs w:val="22"/>
          <w:vertAlign w:val="subscript"/>
          <w:lang w:val="sr-Latn-ME"/>
        </w:rPr>
        <w:t>12</w:t>
      </w:r>
      <w:r w:rsidR="00C213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или фолне киселине може бити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типа микроцитне анемије, код пацијената са микроцитном анемијом који не реагују на лијечење самим гвожђем, потребно је испитати да ли постоји недостатак витамина </w:t>
      </w:r>
      <w:r w:rsidR="00C213DE" w:rsidRPr="00F953E4">
        <w:rPr>
          <w:rFonts w:ascii="Times New Roman" w:hAnsi="Times New Roman"/>
          <w:sz w:val="22"/>
          <w:szCs w:val="22"/>
          <w:lang w:val="sr-Latn-ME"/>
        </w:rPr>
        <w:t>Б</w:t>
      </w:r>
      <w:r w:rsidR="00C213DE" w:rsidRPr="00F953E4">
        <w:rPr>
          <w:rFonts w:ascii="Times New Roman" w:hAnsi="Times New Roman"/>
          <w:sz w:val="22"/>
          <w:szCs w:val="22"/>
          <w:vertAlign w:val="subscript"/>
          <w:lang w:val="sr-Latn-ME"/>
        </w:rPr>
        <w:t>12</w:t>
      </w:r>
      <w:r w:rsidR="00C213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или фолне киселине.</w:t>
      </w:r>
    </w:p>
    <w:p w14:paraId="73E8A245" w14:textId="77777777" w:rsidR="00BE3CCE" w:rsidRPr="00F953E4" w:rsidRDefault="00BE3CCE" w:rsidP="009B7F92">
      <w:pPr>
        <w:pStyle w:val="BodyText"/>
        <w:spacing w:after="0"/>
        <w:rPr>
          <w:rFonts w:ascii="Times New Roman" w:hAnsi="Times New Roman"/>
          <w:sz w:val="22"/>
          <w:szCs w:val="22"/>
          <w:lang w:val="sr-Latn-ME"/>
        </w:rPr>
      </w:pPr>
    </w:p>
    <w:p w14:paraId="5BD00F53" w14:textId="700110A6" w:rsidR="005D17B3" w:rsidRPr="00F953E4" w:rsidRDefault="005D17B3" w:rsidP="009B7F92">
      <w:pPr>
        <w:pStyle w:val="BodyText"/>
        <w:spacing w:after="0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Код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анемије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због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мањка</w:t>
      </w:r>
      <w:r w:rsidR="00EC6FD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гвожђа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код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мушкараца, у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примарној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обради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пацијента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јако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је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важно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утврдити</w:t>
      </w:r>
    </w:p>
    <w:p w14:paraId="57E8CD2D" w14:textId="37C5048D" w:rsidR="005D17B3" w:rsidRPr="00F953E4" w:rsidRDefault="00742FE2" w:rsidP="009B7F92">
      <w:pPr>
        <w:pStyle w:val="BodyText"/>
        <w:spacing w:after="0"/>
        <w:jc w:val="left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у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>зрок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>такве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>анемије.</w:t>
      </w:r>
    </w:p>
    <w:p w14:paraId="45FB8B85" w14:textId="77777777" w:rsidR="00BE3CCE" w:rsidRPr="00F953E4" w:rsidRDefault="00BE3CCE" w:rsidP="009B7F92">
      <w:pPr>
        <w:pStyle w:val="BodyText"/>
        <w:spacing w:after="0"/>
        <w:rPr>
          <w:rFonts w:ascii="Times New Roman" w:hAnsi="Times New Roman"/>
          <w:sz w:val="22"/>
          <w:szCs w:val="22"/>
          <w:lang w:val="sr-Latn-ME"/>
        </w:rPr>
      </w:pPr>
    </w:p>
    <w:p w14:paraId="3203CEB0" w14:textId="7ED17ED4" w:rsidR="005D17B3" w:rsidRPr="00F953E4" w:rsidRDefault="005D17B3" w:rsidP="009B7F92">
      <w:pPr>
        <w:pStyle w:val="BodyText"/>
        <w:spacing w:after="0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Препарати гвожђа боје столицу црно што може утицати на тестове који се користе за испитивање окултног крварења у столици.</w:t>
      </w:r>
    </w:p>
    <w:p w14:paraId="571D085C" w14:textId="77777777" w:rsidR="005D17B3" w:rsidRPr="00F953E4" w:rsidRDefault="005D17B3" w:rsidP="009B7F92">
      <w:pPr>
        <w:pStyle w:val="BodyText"/>
        <w:spacing w:after="0"/>
        <w:rPr>
          <w:rFonts w:ascii="Times New Roman" w:hAnsi="Times New Roman"/>
          <w:sz w:val="22"/>
          <w:szCs w:val="22"/>
          <w:lang w:val="sr-Latn-ME"/>
        </w:rPr>
      </w:pPr>
    </w:p>
    <w:p w14:paraId="0FD683C5" w14:textId="67A4BA0D" w:rsidR="005D17B3" w:rsidRPr="00F953E4" w:rsidRDefault="00D343D8" w:rsidP="009B7F92">
      <w:pPr>
        <w:pStyle w:val="BodyText"/>
        <w:spacing w:after="0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 xml:space="preserve">Лијек </w:t>
      </w:r>
      <w:r w:rsidR="00BC4099" w:rsidRPr="00F953E4">
        <w:rPr>
          <w:rFonts w:ascii="Times New Roman" w:hAnsi="Times New Roman"/>
          <w:sz w:val="22"/>
          <w:szCs w:val="22"/>
          <w:lang w:val="sr-Latn-ME"/>
        </w:rPr>
        <w:t>HEFEROL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 xml:space="preserve"> садржи лактозу монохидрат. Пацијенти са ријетким насљедним поремећајем неподношења галактозе, </w:t>
      </w:r>
      <w:r w:rsidR="002F274A" w:rsidRPr="00F953E4">
        <w:rPr>
          <w:rFonts w:ascii="Times New Roman" w:hAnsi="Times New Roman"/>
          <w:sz w:val="22"/>
          <w:szCs w:val="22"/>
          <w:lang w:val="sr-Latn-ME"/>
        </w:rPr>
        <w:t xml:space="preserve">потпуном </w:t>
      </w:r>
      <w:r w:rsidRPr="00F953E4">
        <w:rPr>
          <w:rFonts w:ascii="Times New Roman" w:hAnsi="Times New Roman"/>
          <w:sz w:val="22"/>
          <w:szCs w:val="22"/>
          <w:lang w:val="sr-Latn-ME"/>
        </w:rPr>
        <w:t>дефицијенциј</w:t>
      </w:r>
      <w:r w:rsidR="002F274A" w:rsidRPr="00F953E4">
        <w:rPr>
          <w:rFonts w:ascii="Times New Roman" w:hAnsi="Times New Roman"/>
          <w:sz w:val="22"/>
          <w:szCs w:val="22"/>
          <w:lang w:val="sr-Latn-ME"/>
        </w:rPr>
        <w:t>ом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 лакт</w:t>
      </w:r>
      <w:r w:rsidR="002F274A" w:rsidRPr="00F953E4">
        <w:rPr>
          <w:rFonts w:ascii="Times New Roman" w:hAnsi="Times New Roman"/>
          <w:sz w:val="22"/>
          <w:szCs w:val="22"/>
          <w:lang w:val="sr-Latn-ME"/>
        </w:rPr>
        <w:t>а</w:t>
      </w:r>
      <w:r w:rsidRPr="00F953E4">
        <w:rPr>
          <w:rFonts w:ascii="Times New Roman" w:hAnsi="Times New Roman"/>
          <w:sz w:val="22"/>
          <w:szCs w:val="22"/>
          <w:lang w:val="sr-Latn-ME"/>
        </w:rPr>
        <w:t>зе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>, или глукоза-галактоз</w:t>
      </w:r>
      <w:r w:rsidRPr="00F953E4">
        <w:rPr>
          <w:rFonts w:ascii="Times New Roman" w:hAnsi="Times New Roman"/>
          <w:sz w:val="22"/>
          <w:szCs w:val="22"/>
          <w:lang w:val="sr-Latn-ME"/>
        </w:rPr>
        <w:t>н</w:t>
      </w:r>
      <w:r w:rsidR="002F274A" w:rsidRPr="00F953E4">
        <w:rPr>
          <w:rFonts w:ascii="Times New Roman" w:hAnsi="Times New Roman"/>
          <w:sz w:val="22"/>
          <w:szCs w:val="22"/>
          <w:lang w:val="sr-Latn-ME"/>
        </w:rPr>
        <w:t>ом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 xml:space="preserve"> малапсорпциј</w:t>
      </w:r>
      <w:r w:rsidR="002F274A" w:rsidRPr="00F953E4">
        <w:rPr>
          <w:rFonts w:ascii="Times New Roman" w:hAnsi="Times New Roman"/>
          <w:sz w:val="22"/>
          <w:szCs w:val="22"/>
          <w:lang w:val="sr-Latn-ME"/>
        </w:rPr>
        <w:t>ом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 xml:space="preserve"> не </w:t>
      </w:r>
      <w:r w:rsidR="002F274A" w:rsidRPr="00F953E4">
        <w:rPr>
          <w:rFonts w:ascii="Times New Roman" w:hAnsi="Times New Roman"/>
          <w:sz w:val="22"/>
          <w:szCs w:val="22"/>
          <w:lang w:val="sr-Latn-ME"/>
        </w:rPr>
        <w:t>смију</w:t>
      </w:r>
      <w:r w:rsidR="00742FE2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>да узимају овај лијек.</w:t>
      </w:r>
    </w:p>
    <w:p w14:paraId="3389E7F2" w14:textId="77777777" w:rsidR="005D17B3" w:rsidRPr="00F953E4" w:rsidRDefault="005D17B3" w:rsidP="009B7F92">
      <w:pPr>
        <w:pStyle w:val="BodyText"/>
        <w:spacing w:after="0"/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4C93FE6A" w14:textId="77777777" w:rsidR="000A344D" w:rsidRPr="00F953E4" w:rsidRDefault="000A344D" w:rsidP="009B7F92">
      <w:pPr>
        <w:rPr>
          <w:rFonts w:ascii="Times New Roman" w:eastAsia="Calibri" w:hAnsi="Times New Roman"/>
          <w:sz w:val="22"/>
          <w:szCs w:val="22"/>
          <w:lang w:val="sr-Latn-ME"/>
        </w:rPr>
      </w:pPr>
      <w:r w:rsidRPr="00F953E4">
        <w:rPr>
          <w:rFonts w:ascii="Times New Roman" w:eastAsia="Calibri" w:hAnsi="Times New Roman"/>
          <w:sz w:val="22"/>
          <w:szCs w:val="22"/>
          <w:lang w:val="sr-Latn-ME"/>
        </w:rPr>
        <w:lastRenderedPageBreak/>
        <w:t>Овај лијек</w:t>
      </w:r>
      <w:bookmarkStart w:id="1" w:name="_Hlk43978442"/>
      <w:bookmarkEnd w:id="1"/>
      <w:r w:rsidR="00004E28" w:rsidRPr="00F953E4">
        <w:rPr>
          <w:rFonts w:ascii="Times New Roman" w:eastAsia="Calibri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eastAsia="Calibri" w:hAnsi="Times New Roman"/>
          <w:sz w:val="22"/>
          <w:szCs w:val="22"/>
          <w:lang w:val="sr-Latn-ME"/>
        </w:rPr>
        <w:t>садржи мање од 1 mmol натријума (23 mg) по таблети, количина која је занемарљива. То је у суштини „без натријума“.</w:t>
      </w:r>
    </w:p>
    <w:p w14:paraId="1B8FD480" w14:textId="77777777" w:rsidR="005D17B3" w:rsidRPr="00F953E4" w:rsidRDefault="005D17B3" w:rsidP="009B7F92">
      <w:pPr>
        <w:pStyle w:val="BodyText"/>
        <w:spacing w:after="0"/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77D7F363" w14:textId="77777777" w:rsidR="005D17B3" w:rsidRPr="00F953E4" w:rsidRDefault="005D17B3" w:rsidP="009B7F92">
      <w:pPr>
        <w:pStyle w:val="BodyText"/>
        <w:spacing w:after="0"/>
        <w:jc w:val="left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Тврде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желатинске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капсуле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садрже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боје (Е122) и (Е151) које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могу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узроковати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алергијске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реакције.</w:t>
      </w:r>
    </w:p>
    <w:p w14:paraId="32A10258" w14:textId="77777777" w:rsidR="005D17B3" w:rsidRPr="00F953E4" w:rsidRDefault="005D17B3" w:rsidP="009B7F92">
      <w:pPr>
        <w:pStyle w:val="BodyText2"/>
        <w:jc w:val="left"/>
        <w:rPr>
          <w:color w:val="auto"/>
          <w:sz w:val="22"/>
          <w:szCs w:val="22"/>
          <w:lang w:val="sr-Latn-ME"/>
        </w:rPr>
      </w:pPr>
    </w:p>
    <w:p w14:paraId="65E3BAAA" w14:textId="5708D851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4.5. Интеракције са другим љековима и друге врсте интеракција</w:t>
      </w:r>
    </w:p>
    <w:p w14:paraId="6C7CFDA5" w14:textId="77777777" w:rsidR="005D17B3" w:rsidRPr="00F953E4" w:rsidRDefault="005D17B3" w:rsidP="009B7F92">
      <w:pPr>
        <w:pStyle w:val="BodyText2"/>
        <w:jc w:val="left"/>
        <w:rPr>
          <w:color w:val="auto"/>
          <w:sz w:val="22"/>
          <w:szCs w:val="22"/>
          <w:lang w:val="sr-Latn-ME"/>
        </w:rPr>
      </w:pPr>
    </w:p>
    <w:p w14:paraId="121BA6BE" w14:textId="64E11507" w:rsidR="005D17B3" w:rsidRPr="00F953E4" w:rsidRDefault="005D17B3" w:rsidP="009B7F92">
      <w:pPr>
        <w:pStyle w:val="BodyText2"/>
        <w:jc w:val="left"/>
        <w:rPr>
          <w:color w:val="auto"/>
          <w:sz w:val="22"/>
          <w:szCs w:val="22"/>
          <w:lang w:val="sr-Latn-ME"/>
        </w:rPr>
      </w:pPr>
      <w:r w:rsidRPr="00F953E4">
        <w:rPr>
          <w:color w:val="auto"/>
          <w:sz w:val="22"/>
          <w:szCs w:val="22"/>
          <w:lang w:val="sr-Latn-ME"/>
        </w:rPr>
        <w:t>Протеини који садрже цистеин и аскорбинск</w:t>
      </w:r>
      <w:r w:rsidR="008519AA" w:rsidRPr="00F953E4">
        <w:rPr>
          <w:color w:val="auto"/>
          <w:sz w:val="22"/>
          <w:szCs w:val="22"/>
          <w:lang w:val="sr-Latn-ME"/>
        </w:rPr>
        <w:t>a</w:t>
      </w:r>
      <w:r w:rsidRPr="00F953E4">
        <w:rPr>
          <w:color w:val="auto"/>
          <w:sz w:val="22"/>
          <w:szCs w:val="22"/>
          <w:lang w:val="sr-Latn-ME"/>
        </w:rPr>
        <w:t xml:space="preserve"> киселин</w:t>
      </w:r>
      <w:r w:rsidR="008519AA" w:rsidRPr="00F953E4">
        <w:rPr>
          <w:color w:val="auto"/>
          <w:sz w:val="22"/>
          <w:szCs w:val="22"/>
          <w:lang w:val="sr-Latn-ME"/>
        </w:rPr>
        <w:t xml:space="preserve">a </w:t>
      </w:r>
      <w:r w:rsidRPr="00F953E4">
        <w:rPr>
          <w:color w:val="auto"/>
          <w:sz w:val="22"/>
          <w:szCs w:val="22"/>
          <w:lang w:val="sr-Latn-ME"/>
        </w:rPr>
        <w:t xml:space="preserve">могу повећати </w:t>
      </w:r>
      <w:r w:rsidR="008519AA" w:rsidRPr="00F953E4">
        <w:rPr>
          <w:color w:val="auto"/>
          <w:sz w:val="22"/>
          <w:szCs w:val="22"/>
          <w:lang w:val="sr-Latn-ME"/>
        </w:rPr>
        <w:t xml:space="preserve">ресорпцију </w:t>
      </w:r>
      <w:r w:rsidRPr="00F953E4">
        <w:rPr>
          <w:color w:val="auto"/>
          <w:sz w:val="22"/>
          <w:szCs w:val="22"/>
          <w:lang w:val="sr-Latn-ME"/>
        </w:rPr>
        <w:t>гвожђа.</w:t>
      </w:r>
    </w:p>
    <w:p w14:paraId="49D88DFB" w14:textId="77777777" w:rsidR="005D17B3" w:rsidRPr="00F953E4" w:rsidRDefault="005D17B3" w:rsidP="009B7F92">
      <w:pPr>
        <w:pStyle w:val="BodyText2"/>
        <w:rPr>
          <w:color w:val="auto"/>
          <w:sz w:val="22"/>
          <w:szCs w:val="22"/>
          <w:lang w:val="sr-Latn-ME"/>
        </w:rPr>
      </w:pPr>
    </w:p>
    <w:p w14:paraId="0840C6F3" w14:textId="29F0ABCC" w:rsidR="005D17B3" w:rsidRPr="00F953E4" w:rsidRDefault="008519AA" w:rsidP="009B7F92">
      <w:pPr>
        <w:pStyle w:val="BodyText2"/>
        <w:rPr>
          <w:color w:val="auto"/>
          <w:sz w:val="22"/>
          <w:szCs w:val="22"/>
          <w:lang w:val="sr-Latn-ME"/>
        </w:rPr>
      </w:pPr>
      <w:r w:rsidRPr="00F953E4">
        <w:rPr>
          <w:color w:val="auto"/>
          <w:sz w:val="22"/>
          <w:szCs w:val="22"/>
          <w:lang w:val="sr-Latn-ME"/>
        </w:rPr>
        <w:t xml:space="preserve">Ресорпција </w:t>
      </w:r>
      <w:r w:rsidR="005D17B3" w:rsidRPr="00F953E4">
        <w:rPr>
          <w:color w:val="auto"/>
          <w:sz w:val="22"/>
          <w:szCs w:val="22"/>
          <w:lang w:val="sr-Latn-ME"/>
        </w:rPr>
        <w:t>гвожђа у гастроинтестиналном тракту може бити смањена приликом истовремене примјене с</w:t>
      </w:r>
      <w:r w:rsidR="00396250" w:rsidRPr="00F953E4">
        <w:rPr>
          <w:color w:val="auto"/>
          <w:sz w:val="22"/>
          <w:szCs w:val="22"/>
          <w:lang w:val="sr-Latn-ME"/>
        </w:rPr>
        <w:t>a</w:t>
      </w:r>
      <w:r w:rsidR="005D17B3" w:rsidRPr="00F953E4">
        <w:rPr>
          <w:color w:val="auto"/>
          <w:sz w:val="22"/>
          <w:szCs w:val="22"/>
          <w:lang w:val="sr-Latn-ME"/>
        </w:rPr>
        <w:t xml:space="preserve"> антацидима, солима калцијума (карбонат, фосфат, цитрат или оксалат), солима магнезијума (као магнезијум трисиликат), триентином, холестирамином и цинком, те кафом, чајем, јајима, млијеком и млијечним производима. </w:t>
      </w:r>
    </w:p>
    <w:p w14:paraId="4EE1993E" w14:textId="77777777" w:rsidR="00BF1559" w:rsidRPr="00F953E4" w:rsidRDefault="00BF1559" w:rsidP="009B7F92">
      <w:pPr>
        <w:pStyle w:val="BodyText2"/>
        <w:rPr>
          <w:color w:val="auto"/>
          <w:sz w:val="22"/>
          <w:szCs w:val="22"/>
          <w:lang w:val="sr-Latn-ME"/>
        </w:rPr>
      </w:pPr>
    </w:p>
    <w:p w14:paraId="4EB48D23" w14:textId="10FB8D6D" w:rsidR="005D17B3" w:rsidRPr="00F953E4" w:rsidRDefault="005D17B3" w:rsidP="009B7F92">
      <w:pPr>
        <w:pStyle w:val="BodyText2"/>
        <w:rPr>
          <w:color w:val="auto"/>
          <w:sz w:val="22"/>
          <w:szCs w:val="22"/>
          <w:lang w:val="sr-Latn-ME"/>
        </w:rPr>
      </w:pPr>
      <w:r w:rsidRPr="00F953E4">
        <w:rPr>
          <w:color w:val="auto"/>
          <w:sz w:val="22"/>
          <w:szCs w:val="22"/>
          <w:lang w:val="sr-Latn-ME"/>
        </w:rPr>
        <w:t xml:space="preserve">Соли гвожђа смањују </w:t>
      </w:r>
      <w:r w:rsidR="008519AA" w:rsidRPr="00F953E4">
        <w:rPr>
          <w:color w:val="auto"/>
          <w:sz w:val="22"/>
          <w:szCs w:val="22"/>
          <w:lang w:val="sr-Latn-ME"/>
        </w:rPr>
        <w:t>ре</w:t>
      </w:r>
      <w:r w:rsidRPr="00F953E4">
        <w:rPr>
          <w:color w:val="auto"/>
          <w:sz w:val="22"/>
          <w:szCs w:val="22"/>
          <w:lang w:val="sr-Latn-ME"/>
        </w:rPr>
        <w:t>сорпцију</w:t>
      </w:r>
      <w:r w:rsidR="008837ED" w:rsidRPr="00F953E4">
        <w:rPr>
          <w:color w:val="auto"/>
          <w:sz w:val="22"/>
          <w:szCs w:val="22"/>
          <w:lang w:val="sr-Latn-ME"/>
        </w:rPr>
        <w:t xml:space="preserve">, </w:t>
      </w:r>
      <w:r w:rsidR="00D343D8" w:rsidRPr="00F953E4">
        <w:rPr>
          <w:color w:val="auto"/>
          <w:sz w:val="22"/>
          <w:szCs w:val="22"/>
          <w:lang w:val="sr-Latn-ME"/>
        </w:rPr>
        <w:t>а с</w:t>
      </w:r>
      <w:r w:rsidR="004A5143" w:rsidRPr="00F953E4">
        <w:rPr>
          <w:color w:val="auto"/>
          <w:sz w:val="22"/>
          <w:szCs w:val="22"/>
          <w:lang w:val="sr-Latn-ME"/>
        </w:rPr>
        <w:t>a</w:t>
      </w:r>
      <w:r w:rsidR="00D343D8" w:rsidRPr="00F953E4">
        <w:rPr>
          <w:color w:val="auto"/>
          <w:sz w:val="22"/>
          <w:szCs w:val="22"/>
          <w:lang w:val="sr-Latn-ME"/>
        </w:rPr>
        <w:t xml:space="preserve"> тим и</w:t>
      </w:r>
      <w:r w:rsidRPr="00F953E4">
        <w:rPr>
          <w:color w:val="auto"/>
          <w:sz w:val="22"/>
          <w:szCs w:val="22"/>
          <w:lang w:val="sr-Latn-ME"/>
        </w:rPr>
        <w:t xml:space="preserve"> биорасположивост и </w:t>
      </w:r>
      <w:r w:rsidR="00D343D8" w:rsidRPr="00F953E4">
        <w:rPr>
          <w:color w:val="auto"/>
          <w:sz w:val="22"/>
          <w:szCs w:val="22"/>
          <w:lang w:val="sr-Latn-ME"/>
        </w:rPr>
        <w:t>ефикасност</w:t>
      </w:r>
      <w:r w:rsidRPr="00F953E4">
        <w:rPr>
          <w:color w:val="auto"/>
          <w:sz w:val="22"/>
          <w:szCs w:val="22"/>
          <w:lang w:val="sr-Latn-ME"/>
        </w:rPr>
        <w:t xml:space="preserve"> флуорохинолона (ципрофлоксацин, офлоксацин, левофлоксацин, моксифлоксацин, норфлоксацин); леводопе, </w:t>
      </w:r>
      <w:r w:rsidR="00BF1559" w:rsidRPr="00F953E4">
        <w:rPr>
          <w:color w:val="auto"/>
          <w:sz w:val="22"/>
          <w:szCs w:val="22"/>
          <w:lang w:val="sr-Latn-ME"/>
        </w:rPr>
        <w:t xml:space="preserve">, карбидопе, </w:t>
      </w:r>
      <w:r w:rsidRPr="00F953E4">
        <w:rPr>
          <w:color w:val="auto"/>
          <w:sz w:val="22"/>
          <w:szCs w:val="22"/>
          <w:lang w:val="sr-Latn-ME"/>
        </w:rPr>
        <w:t>метилдопе, ентакапона, би</w:t>
      </w:r>
      <w:r w:rsidR="008519AA" w:rsidRPr="00F953E4">
        <w:rPr>
          <w:color w:val="auto"/>
          <w:sz w:val="22"/>
          <w:szCs w:val="22"/>
          <w:lang w:val="sr-Latn-ME"/>
        </w:rPr>
        <w:t>с</w:t>
      </w:r>
      <w:r w:rsidRPr="00F953E4">
        <w:rPr>
          <w:color w:val="auto"/>
          <w:sz w:val="22"/>
          <w:szCs w:val="22"/>
          <w:lang w:val="sr-Latn-ME"/>
        </w:rPr>
        <w:t>фосфоната, микофенолат</w:t>
      </w:r>
      <w:r w:rsidR="00862EA1" w:rsidRPr="00F953E4">
        <w:rPr>
          <w:color w:val="auto"/>
          <w:sz w:val="22"/>
          <w:szCs w:val="22"/>
          <w:lang w:val="sr-Latn-ME"/>
        </w:rPr>
        <w:t>а</w:t>
      </w:r>
      <w:r w:rsidRPr="00F953E4">
        <w:rPr>
          <w:color w:val="auto"/>
          <w:sz w:val="22"/>
          <w:szCs w:val="22"/>
          <w:lang w:val="sr-Latn-ME"/>
        </w:rPr>
        <w:t>,</w:t>
      </w:r>
      <w:r w:rsidR="00004E28" w:rsidRPr="00F953E4">
        <w:rPr>
          <w:color w:val="auto"/>
          <w:sz w:val="22"/>
          <w:szCs w:val="22"/>
          <w:lang w:val="sr-Latn-ME"/>
        </w:rPr>
        <w:t xml:space="preserve"> </w:t>
      </w:r>
      <w:r w:rsidRPr="00F953E4">
        <w:rPr>
          <w:color w:val="auto"/>
          <w:sz w:val="22"/>
          <w:szCs w:val="22"/>
          <w:lang w:val="sr-Latn-ME"/>
        </w:rPr>
        <w:t>левотироксина</w:t>
      </w:r>
      <w:r w:rsidR="00004E28" w:rsidRPr="00F953E4">
        <w:rPr>
          <w:color w:val="auto"/>
          <w:sz w:val="22"/>
          <w:szCs w:val="22"/>
          <w:lang w:val="sr-Latn-ME"/>
        </w:rPr>
        <w:t xml:space="preserve"> </w:t>
      </w:r>
      <w:r w:rsidRPr="00F953E4">
        <w:rPr>
          <w:color w:val="auto"/>
          <w:sz w:val="22"/>
          <w:szCs w:val="22"/>
          <w:lang w:val="sr-Latn-ME"/>
        </w:rPr>
        <w:t>(тироксина), пенициламина и цинка; уколико је могуће потребно је избјегавати истовремену примјену или је потребно узети ове</w:t>
      </w:r>
      <w:r w:rsidR="00004E28" w:rsidRPr="00F953E4">
        <w:rPr>
          <w:color w:val="auto"/>
          <w:sz w:val="22"/>
          <w:szCs w:val="22"/>
          <w:lang w:val="sr-Latn-ME"/>
        </w:rPr>
        <w:t xml:space="preserve"> </w:t>
      </w:r>
      <w:r w:rsidRPr="00F953E4">
        <w:rPr>
          <w:color w:val="auto"/>
          <w:sz w:val="22"/>
          <w:szCs w:val="22"/>
          <w:lang w:val="sr-Latn-ME"/>
        </w:rPr>
        <w:t xml:space="preserve">љекове најмање 2 сата прије или послије примјене </w:t>
      </w:r>
      <w:r w:rsidR="00D343D8" w:rsidRPr="00F953E4">
        <w:rPr>
          <w:color w:val="auto"/>
          <w:sz w:val="22"/>
          <w:szCs w:val="22"/>
          <w:lang w:val="sr-Latn-ME"/>
        </w:rPr>
        <w:t>лијека</w:t>
      </w:r>
      <w:r w:rsidR="00004E28" w:rsidRPr="00F953E4">
        <w:rPr>
          <w:color w:val="auto"/>
          <w:sz w:val="22"/>
          <w:szCs w:val="22"/>
          <w:lang w:val="sr-Latn-ME"/>
        </w:rPr>
        <w:t xml:space="preserve"> </w:t>
      </w:r>
      <w:r w:rsidR="00BC4099" w:rsidRPr="00F953E4">
        <w:rPr>
          <w:color w:val="auto"/>
          <w:sz w:val="22"/>
          <w:szCs w:val="22"/>
          <w:lang w:val="sr-Latn-ME"/>
        </w:rPr>
        <w:t>HEFEROL</w:t>
      </w:r>
      <w:r w:rsidRPr="00F953E4">
        <w:rPr>
          <w:color w:val="auto"/>
          <w:sz w:val="22"/>
          <w:szCs w:val="22"/>
          <w:lang w:val="sr-Latn-ME"/>
        </w:rPr>
        <w:t>.</w:t>
      </w:r>
    </w:p>
    <w:p w14:paraId="7F97512D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6B1226E7" w14:textId="024AB310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 xml:space="preserve">Препарати гвожђа могу смањити </w:t>
      </w:r>
      <w:r w:rsidR="008519AA" w:rsidRPr="00F953E4">
        <w:rPr>
          <w:rFonts w:ascii="Times New Roman" w:hAnsi="Times New Roman"/>
          <w:sz w:val="22"/>
          <w:szCs w:val="22"/>
          <w:lang w:val="sr-Latn-ME"/>
        </w:rPr>
        <w:t>ре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сорпцију тетрациклина, такође тетрациклини смањују </w:t>
      </w:r>
      <w:r w:rsidR="008519AA" w:rsidRPr="00F953E4">
        <w:rPr>
          <w:rFonts w:ascii="Times New Roman" w:hAnsi="Times New Roman"/>
          <w:sz w:val="22"/>
          <w:szCs w:val="22"/>
          <w:lang w:val="sr-Latn-ME"/>
        </w:rPr>
        <w:t>ре</w:t>
      </w:r>
      <w:r w:rsidRPr="00F953E4">
        <w:rPr>
          <w:rFonts w:ascii="Times New Roman" w:hAnsi="Times New Roman"/>
          <w:sz w:val="22"/>
          <w:szCs w:val="22"/>
          <w:lang w:val="sr-Latn-ME"/>
        </w:rPr>
        <w:t>сорп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ц</w:t>
      </w:r>
      <w:r w:rsidRPr="00F953E4">
        <w:rPr>
          <w:rFonts w:ascii="Times New Roman" w:hAnsi="Times New Roman"/>
          <w:sz w:val="22"/>
          <w:szCs w:val="22"/>
          <w:lang w:val="sr-Latn-ME"/>
        </w:rPr>
        <w:t>ију гвожђа па је потребно избјегавати њихову истовремену примјену.</w:t>
      </w:r>
    </w:p>
    <w:p w14:paraId="326B59FD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5B68124E" w14:textId="61F61269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Хлорамфеникол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продужава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клиренс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гвожђа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плазми,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одлаже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инкорпорирање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гвожђа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црвена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крвна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зрнца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омета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еритропоезу.</w:t>
      </w:r>
    </w:p>
    <w:p w14:paraId="42931A8B" w14:textId="77777777" w:rsidR="005D17B3" w:rsidRPr="00F953E4" w:rsidRDefault="005D17B3" w:rsidP="009B7F92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206E2907" w14:textId="77777777" w:rsidR="005D17B3" w:rsidRPr="00F953E4" w:rsidRDefault="005D17B3" w:rsidP="009B7F92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Избјегавајте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истовремену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примјену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гвожђа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са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димеркапролом.</w:t>
      </w:r>
    </w:p>
    <w:p w14:paraId="3D28C5EA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603D69B6" w14:textId="2B770815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Орално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гвожђе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антагониз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ира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хипотензивн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и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ефек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>а</w:t>
      </w:r>
      <w:r w:rsidRPr="00F953E4">
        <w:rPr>
          <w:rFonts w:ascii="Times New Roman" w:hAnsi="Times New Roman"/>
          <w:sz w:val="22"/>
          <w:szCs w:val="22"/>
          <w:lang w:val="sr-Latn-ME"/>
        </w:rPr>
        <w:t>т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метилдопе.</w:t>
      </w:r>
    </w:p>
    <w:p w14:paraId="2FE0E5B7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61D95DC4" w14:textId="3D896D50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u w:val="single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4.6. Плодност, трудноћа и дојење</w:t>
      </w:r>
    </w:p>
    <w:p w14:paraId="6AEF228F" w14:textId="77777777" w:rsidR="005D17B3" w:rsidRPr="00F953E4" w:rsidRDefault="005D17B3" w:rsidP="009B7F92">
      <w:pPr>
        <w:pStyle w:val="BodyText2"/>
        <w:rPr>
          <w:bCs/>
          <w:color w:val="auto"/>
          <w:sz w:val="22"/>
          <w:szCs w:val="22"/>
          <w:u w:val="single"/>
          <w:lang w:val="sr-Latn-ME"/>
        </w:rPr>
      </w:pPr>
    </w:p>
    <w:p w14:paraId="730DB98A" w14:textId="77777777" w:rsidR="005D17B3" w:rsidRPr="00F953E4" w:rsidRDefault="005D17B3" w:rsidP="009B7F92">
      <w:pPr>
        <w:pStyle w:val="BodyText2"/>
        <w:rPr>
          <w:color w:val="auto"/>
          <w:sz w:val="22"/>
          <w:szCs w:val="22"/>
          <w:lang w:val="sr-Latn-ME"/>
        </w:rPr>
      </w:pPr>
      <w:r w:rsidRPr="00F953E4">
        <w:rPr>
          <w:bCs/>
          <w:color w:val="auto"/>
          <w:sz w:val="22"/>
          <w:szCs w:val="22"/>
          <w:u w:val="single"/>
          <w:lang w:val="sr-Latn-ME"/>
        </w:rPr>
        <w:t>Трудноћа</w:t>
      </w:r>
    </w:p>
    <w:p w14:paraId="7093CB0E" w14:textId="4B9C5561" w:rsidR="005D17B3" w:rsidRPr="00F953E4" w:rsidRDefault="00D343D8" w:rsidP="009B7F92">
      <w:pPr>
        <w:pStyle w:val="BodyText2"/>
        <w:rPr>
          <w:i/>
          <w:color w:val="auto"/>
          <w:sz w:val="22"/>
          <w:szCs w:val="22"/>
          <w:lang w:val="sr-Latn-ME"/>
        </w:rPr>
      </w:pPr>
      <w:r w:rsidRPr="00F953E4">
        <w:rPr>
          <w:color w:val="auto"/>
          <w:sz w:val="22"/>
          <w:szCs w:val="22"/>
          <w:lang w:val="sr-Latn-ME"/>
        </w:rPr>
        <w:t>Лијек</w:t>
      </w:r>
      <w:r w:rsidR="00004E28" w:rsidRPr="00F953E4">
        <w:rPr>
          <w:color w:val="auto"/>
          <w:sz w:val="22"/>
          <w:szCs w:val="22"/>
          <w:lang w:val="sr-Latn-ME"/>
        </w:rPr>
        <w:t xml:space="preserve"> </w:t>
      </w:r>
      <w:r w:rsidR="00BC4099" w:rsidRPr="00F953E4">
        <w:rPr>
          <w:color w:val="auto"/>
          <w:sz w:val="22"/>
          <w:szCs w:val="22"/>
          <w:lang w:val="sr-Latn-ME"/>
        </w:rPr>
        <w:t>HEFEROL</w:t>
      </w:r>
      <w:r w:rsidR="003C054F" w:rsidRPr="00F953E4">
        <w:rPr>
          <w:color w:val="auto"/>
          <w:sz w:val="22"/>
          <w:szCs w:val="22"/>
          <w:vertAlign w:val="superscript"/>
          <w:lang w:val="sr-Latn-ME"/>
        </w:rPr>
        <w:t xml:space="preserve"> </w:t>
      </w:r>
      <w:r w:rsidR="005D17B3" w:rsidRPr="00F953E4">
        <w:rPr>
          <w:color w:val="auto"/>
          <w:sz w:val="22"/>
          <w:szCs w:val="22"/>
          <w:lang w:val="sr-Latn-ME"/>
        </w:rPr>
        <w:t>је индикован при недостатку гвожђа током другог и тређег триместра трудноће и током дојења</w:t>
      </w:r>
      <w:r w:rsidR="003C054F" w:rsidRPr="00F953E4">
        <w:rPr>
          <w:color w:val="auto"/>
          <w:sz w:val="22"/>
          <w:szCs w:val="22"/>
          <w:lang w:val="sr-Latn-ME"/>
        </w:rPr>
        <w:t xml:space="preserve"> </w:t>
      </w:r>
      <w:r w:rsidR="005D17B3" w:rsidRPr="00F953E4">
        <w:rPr>
          <w:color w:val="auto"/>
          <w:sz w:val="22"/>
          <w:szCs w:val="22"/>
          <w:lang w:val="sr-Latn-ME"/>
        </w:rPr>
        <w:t>(</w:t>
      </w:r>
      <w:r w:rsidR="00E1270C" w:rsidRPr="00F953E4">
        <w:rPr>
          <w:color w:val="auto"/>
          <w:sz w:val="22"/>
          <w:szCs w:val="22"/>
          <w:lang w:val="sr-Latn-ME"/>
        </w:rPr>
        <w:t>погледати дио</w:t>
      </w:r>
      <w:r w:rsidR="003C054F" w:rsidRPr="00F953E4">
        <w:rPr>
          <w:color w:val="auto"/>
          <w:sz w:val="22"/>
          <w:szCs w:val="22"/>
          <w:lang w:val="sr-Latn-ME"/>
        </w:rPr>
        <w:t xml:space="preserve"> </w:t>
      </w:r>
      <w:r w:rsidR="005D17B3" w:rsidRPr="00F953E4">
        <w:rPr>
          <w:color w:val="auto"/>
          <w:sz w:val="22"/>
          <w:szCs w:val="22"/>
          <w:lang w:val="sr-Latn-ME"/>
        </w:rPr>
        <w:t>4.1 и 4.2)</w:t>
      </w:r>
      <w:r w:rsidR="001F4788" w:rsidRPr="00F953E4">
        <w:rPr>
          <w:color w:val="auto"/>
          <w:sz w:val="22"/>
          <w:szCs w:val="22"/>
          <w:lang w:val="sr-Latn-ME"/>
        </w:rPr>
        <w:t>.</w:t>
      </w:r>
    </w:p>
    <w:p w14:paraId="70E1D5E3" w14:textId="12374352" w:rsidR="005D17B3" w:rsidRPr="00F953E4" w:rsidRDefault="005D17B3" w:rsidP="009B7F92">
      <w:pPr>
        <w:pStyle w:val="BodyText2"/>
        <w:rPr>
          <w:color w:val="auto"/>
          <w:sz w:val="22"/>
          <w:szCs w:val="22"/>
          <w:lang w:val="sr-Latn-ME"/>
        </w:rPr>
      </w:pPr>
      <w:r w:rsidRPr="00F953E4">
        <w:rPr>
          <w:color w:val="auto"/>
          <w:sz w:val="22"/>
          <w:szCs w:val="22"/>
          <w:lang w:val="sr-Latn-ME"/>
        </w:rPr>
        <w:t xml:space="preserve">Примјена љекова током првог триместра трудноће захтијева пажљиву процјену односа потенцијалног ризика и користи и не смију се примјењивати осим ако су јасно индиковани. Током преосталог </w:t>
      </w:r>
      <w:r w:rsidR="00D343D8" w:rsidRPr="00F953E4">
        <w:rPr>
          <w:color w:val="auto"/>
          <w:sz w:val="22"/>
          <w:szCs w:val="22"/>
          <w:lang w:val="sr-Latn-ME"/>
        </w:rPr>
        <w:t>периода</w:t>
      </w:r>
      <w:r w:rsidRPr="00F953E4">
        <w:rPr>
          <w:color w:val="auto"/>
          <w:sz w:val="22"/>
          <w:szCs w:val="22"/>
          <w:lang w:val="sr-Latn-ME"/>
        </w:rPr>
        <w:t xml:space="preserve"> трудноће гвожђе се смије примијенити, али само на препоруку љекара.</w:t>
      </w:r>
    </w:p>
    <w:p w14:paraId="22D764C5" w14:textId="06C4210B" w:rsidR="005D17B3" w:rsidRPr="00F953E4" w:rsidRDefault="005D17B3" w:rsidP="009B7F92">
      <w:pPr>
        <w:pStyle w:val="BodyText2"/>
        <w:rPr>
          <w:color w:val="auto"/>
          <w:sz w:val="22"/>
          <w:szCs w:val="22"/>
          <w:lang w:val="sr-Latn-ME"/>
        </w:rPr>
      </w:pPr>
      <w:r w:rsidRPr="00F953E4">
        <w:rPr>
          <w:color w:val="auto"/>
          <w:sz w:val="22"/>
          <w:szCs w:val="22"/>
          <w:lang w:val="sr-Latn-ME"/>
        </w:rPr>
        <w:t>Труднице би требало</w:t>
      </w:r>
      <w:r w:rsidR="003C054F" w:rsidRPr="00F953E4">
        <w:rPr>
          <w:color w:val="auto"/>
          <w:sz w:val="22"/>
          <w:szCs w:val="22"/>
          <w:lang w:val="sr-Latn-ME"/>
        </w:rPr>
        <w:t xml:space="preserve"> </w:t>
      </w:r>
      <w:r w:rsidRPr="00F953E4">
        <w:rPr>
          <w:color w:val="auto"/>
          <w:sz w:val="22"/>
          <w:szCs w:val="22"/>
          <w:lang w:val="sr-Latn-ME"/>
        </w:rPr>
        <w:t>да узимају и фолну киселину.</w:t>
      </w:r>
    </w:p>
    <w:p w14:paraId="3C41A46C" w14:textId="77777777" w:rsidR="005D17B3" w:rsidRPr="00F953E4" w:rsidRDefault="005D17B3" w:rsidP="009B7F92">
      <w:pPr>
        <w:pStyle w:val="BodyText2"/>
        <w:jc w:val="left"/>
        <w:rPr>
          <w:color w:val="auto"/>
          <w:sz w:val="22"/>
          <w:szCs w:val="22"/>
          <w:lang w:val="sr-Latn-ME"/>
        </w:rPr>
      </w:pPr>
    </w:p>
    <w:p w14:paraId="3D4D8852" w14:textId="77777777" w:rsidR="005D17B3" w:rsidRPr="00F953E4" w:rsidRDefault="005D17B3" w:rsidP="009B7F92">
      <w:pPr>
        <w:pStyle w:val="BodyText2"/>
        <w:jc w:val="left"/>
        <w:rPr>
          <w:color w:val="auto"/>
          <w:sz w:val="22"/>
          <w:szCs w:val="22"/>
          <w:u w:val="single"/>
          <w:lang w:val="sr-Latn-ME"/>
        </w:rPr>
      </w:pPr>
      <w:r w:rsidRPr="00F953E4">
        <w:rPr>
          <w:color w:val="auto"/>
          <w:sz w:val="22"/>
          <w:szCs w:val="22"/>
          <w:u w:val="single"/>
          <w:lang w:val="sr-Latn-ME"/>
        </w:rPr>
        <w:t>Дојење</w:t>
      </w:r>
    </w:p>
    <w:p w14:paraId="62737765" w14:textId="2D344744" w:rsidR="005D17B3" w:rsidRPr="00F953E4" w:rsidRDefault="005D17B3" w:rsidP="009B7F92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Ни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је</w:t>
      </w:r>
      <w:r w:rsidRPr="00F953E4">
        <w:rPr>
          <w:rFonts w:ascii="Times New Roman" w:hAnsi="Times New Roman"/>
          <w:sz w:val="22"/>
          <w:szCs w:val="22"/>
          <w:lang w:val="sr-Latn-ME"/>
        </w:rPr>
        <w:t>су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забиљежене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нежељене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реакције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код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одојчади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чије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су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мајке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биле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на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терапији</w:t>
      </w:r>
      <w:r w:rsidR="00004E28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гвожђе</w:t>
      </w:r>
      <w:r w:rsidR="00D40B3B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(II)</w:t>
      </w:r>
      <w:r w:rsidR="003C054F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фумаратом</w:t>
      </w:r>
      <w:r w:rsidR="008519AA" w:rsidRPr="00F953E4">
        <w:rPr>
          <w:rFonts w:ascii="Times New Roman" w:hAnsi="Times New Roman"/>
          <w:sz w:val="22"/>
          <w:szCs w:val="22"/>
          <w:lang w:val="sr-Latn-ME"/>
        </w:rPr>
        <w:t xml:space="preserve"> током дојења.</w:t>
      </w:r>
    </w:p>
    <w:p w14:paraId="02B85415" w14:textId="3021B848" w:rsidR="005D17B3" w:rsidRPr="00F953E4" w:rsidRDefault="005D17B3" w:rsidP="009B7F92">
      <w:pPr>
        <w:pStyle w:val="BodyText2"/>
        <w:rPr>
          <w:color w:val="auto"/>
          <w:sz w:val="22"/>
          <w:szCs w:val="22"/>
          <w:lang w:val="sr-Latn-ME"/>
        </w:rPr>
      </w:pPr>
      <w:r w:rsidRPr="00F953E4">
        <w:rPr>
          <w:color w:val="auto"/>
          <w:sz w:val="22"/>
          <w:szCs w:val="22"/>
          <w:lang w:val="sr-Latn-ME"/>
        </w:rPr>
        <w:t>Гвожђе</w:t>
      </w:r>
      <w:r w:rsidR="00D40B3B" w:rsidRPr="00F953E4">
        <w:rPr>
          <w:color w:val="auto"/>
          <w:sz w:val="22"/>
          <w:szCs w:val="22"/>
          <w:lang w:val="sr-Latn-ME"/>
        </w:rPr>
        <w:t xml:space="preserve"> </w:t>
      </w:r>
      <w:r w:rsidRPr="00F953E4">
        <w:rPr>
          <w:color w:val="auto"/>
          <w:sz w:val="22"/>
          <w:szCs w:val="22"/>
          <w:lang w:val="sr-Latn-ME"/>
        </w:rPr>
        <w:t>(II)</w:t>
      </w:r>
      <w:r w:rsidR="003C054F" w:rsidRPr="00F953E4">
        <w:rPr>
          <w:color w:val="auto"/>
          <w:sz w:val="22"/>
          <w:szCs w:val="22"/>
          <w:lang w:val="sr-Latn-ME"/>
        </w:rPr>
        <w:t xml:space="preserve"> </w:t>
      </w:r>
      <w:r w:rsidRPr="00F953E4">
        <w:rPr>
          <w:color w:val="auto"/>
          <w:sz w:val="22"/>
          <w:szCs w:val="22"/>
          <w:lang w:val="sr-Latn-ME"/>
        </w:rPr>
        <w:t>фумарат</w:t>
      </w:r>
      <w:r w:rsidR="00D40B3B" w:rsidRPr="00F953E4">
        <w:rPr>
          <w:color w:val="auto"/>
          <w:sz w:val="22"/>
          <w:szCs w:val="22"/>
          <w:lang w:val="sr-Latn-ME"/>
        </w:rPr>
        <w:t xml:space="preserve"> </w:t>
      </w:r>
      <w:r w:rsidRPr="00F953E4">
        <w:rPr>
          <w:color w:val="auto"/>
          <w:sz w:val="22"/>
          <w:szCs w:val="22"/>
          <w:lang w:val="sr-Latn-ME"/>
        </w:rPr>
        <w:t>се</w:t>
      </w:r>
      <w:r w:rsidR="00D40B3B" w:rsidRPr="00F953E4">
        <w:rPr>
          <w:color w:val="auto"/>
          <w:sz w:val="22"/>
          <w:szCs w:val="22"/>
          <w:lang w:val="sr-Latn-ME"/>
        </w:rPr>
        <w:t xml:space="preserve"> </w:t>
      </w:r>
      <w:r w:rsidRPr="00F953E4">
        <w:rPr>
          <w:color w:val="auto"/>
          <w:sz w:val="22"/>
          <w:szCs w:val="22"/>
          <w:lang w:val="sr-Latn-ME"/>
        </w:rPr>
        <w:t>може</w:t>
      </w:r>
      <w:r w:rsidR="00D40B3B" w:rsidRPr="00F953E4">
        <w:rPr>
          <w:color w:val="auto"/>
          <w:sz w:val="22"/>
          <w:szCs w:val="22"/>
          <w:lang w:val="sr-Latn-ME"/>
        </w:rPr>
        <w:t xml:space="preserve"> </w:t>
      </w:r>
      <w:r w:rsidRPr="00F953E4">
        <w:rPr>
          <w:color w:val="auto"/>
          <w:sz w:val="22"/>
          <w:szCs w:val="22"/>
          <w:lang w:val="sr-Latn-ME"/>
        </w:rPr>
        <w:t>користити</w:t>
      </w:r>
      <w:r w:rsidR="00D40B3B" w:rsidRPr="00F953E4">
        <w:rPr>
          <w:color w:val="auto"/>
          <w:sz w:val="22"/>
          <w:szCs w:val="22"/>
          <w:lang w:val="sr-Latn-ME"/>
        </w:rPr>
        <w:t xml:space="preserve"> </w:t>
      </w:r>
      <w:r w:rsidRPr="00F953E4">
        <w:rPr>
          <w:color w:val="auto"/>
          <w:sz w:val="22"/>
          <w:szCs w:val="22"/>
          <w:lang w:val="sr-Latn-ME"/>
        </w:rPr>
        <w:t>током</w:t>
      </w:r>
      <w:r w:rsidR="00D40B3B" w:rsidRPr="00F953E4">
        <w:rPr>
          <w:color w:val="auto"/>
          <w:sz w:val="22"/>
          <w:szCs w:val="22"/>
          <w:lang w:val="sr-Latn-ME"/>
        </w:rPr>
        <w:t xml:space="preserve"> </w:t>
      </w:r>
      <w:r w:rsidRPr="00F953E4">
        <w:rPr>
          <w:color w:val="auto"/>
          <w:sz w:val="22"/>
          <w:szCs w:val="22"/>
          <w:lang w:val="sr-Latn-ME"/>
        </w:rPr>
        <w:t>дојења</w:t>
      </w:r>
      <w:r w:rsidR="00D40B3B" w:rsidRPr="00F953E4">
        <w:rPr>
          <w:color w:val="auto"/>
          <w:sz w:val="22"/>
          <w:szCs w:val="22"/>
          <w:lang w:val="sr-Latn-ME"/>
        </w:rPr>
        <w:t xml:space="preserve"> </w:t>
      </w:r>
      <w:r w:rsidRPr="00F953E4">
        <w:rPr>
          <w:color w:val="auto"/>
          <w:sz w:val="22"/>
          <w:szCs w:val="22"/>
          <w:lang w:val="sr-Latn-ME"/>
        </w:rPr>
        <w:t>ако</w:t>
      </w:r>
      <w:r w:rsidR="00D40B3B" w:rsidRPr="00F953E4">
        <w:rPr>
          <w:color w:val="auto"/>
          <w:sz w:val="22"/>
          <w:szCs w:val="22"/>
          <w:lang w:val="sr-Latn-ME"/>
        </w:rPr>
        <w:t xml:space="preserve"> </w:t>
      </w:r>
      <w:r w:rsidRPr="00F953E4">
        <w:rPr>
          <w:color w:val="auto"/>
          <w:sz w:val="22"/>
          <w:szCs w:val="22"/>
          <w:lang w:val="sr-Latn-ME"/>
        </w:rPr>
        <w:t>је</w:t>
      </w:r>
      <w:r w:rsidR="00D40B3B" w:rsidRPr="00F953E4">
        <w:rPr>
          <w:color w:val="auto"/>
          <w:sz w:val="22"/>
          <w:szCs w:val="22"/>
          <w:lang w:val="sr-Latn-ME"/>
        </w:rPr>
        <w:t xml:space="preserve"> </w:t>
      </w:r>
      <w:r w:rsidR="00D343D8" w:rsidRPr="00F953E4">
        <w:rPr>
          <w:color w:val="auto"/>
          <w:sz w:val="22"/>
          <w:szCs w:val="22"/>
          <w:lang w:val="sr-Latn-ME"/>
        </w:rPr>
        <w:t>то</w:t>
      </w:r>
      <w:r w:rsidR="00D40B3B" w:rsidRPr="00F953E4">
        <w:rPr>
          <w:color w:val="auto"/>
          <w:sz w:val="22"/>
          <w:szCs w:val="22"/>
          <w:lang w:val="sr-Latn-ME"/>
        </w:rPr>
        <w:t xml:space="preserve"> </w:t>
      </w:r>
      <w:r w:rsidR="008519AA" w:rsidRPr="00F953E4">
        <w:rPr>
          <w:color w:val="auto"/>
          <w:sz w:val="22"/>
          <w:szCs w:val="22"/>
          <w:lang w:val="sr-Latn-ME"/>
        </w:rPr>
        <w:t xml:space="preserve">клинички </w:t>
      </w:r>
      <w:r w:rsidRPr="00F953E4">
        <w:rPr>
          <w:color w:val="auto"/>
          <w:sz w:val="22"/>
          <w:szCs w:val="22"/>
          <w:lang w:val="sr-Latn-ME"/>
        </w:rPr>
        <w:t>индиковано.</w:t>
      </w:r>
    </w:p>
    <w:p w14:paraId="747E5CCD" w14:textId="77777777" w:rsidR="005D17B3" w:rsidRPr="00F953E4" w:rsidRDefault="005D17B3" w:rsidP="009B7F92">
      <w:pPr>
        <w:pStyle w:val="BodyText2"/>
        <w:jc w:val="left"/>
        <w:rPr>
          <w:color w:val="auto"/>
          <w:sz w:val="22"/>
          <w:szCs w:val="22"/>
          <w:lang w:val="sr-Latn-ME"/>
        </w:rPr>
      </w:pPr>
    </w:p>
    <w:p w14:paraId="2EBB2700" w14:textId="73FC5CAA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4.7. Утицај на способност</w:t>
      </w:r>
      <w:r w:rsidR="003C054F" w:rsidRPr="00F953E4">
        <w:rPr>
          <w:rFonts w:ascii="Times New Roman" w:hAnsi="Times New Roman"/>
          <w:b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управљања возилима и руковање машинама</w:t>
      </w:r>
    </w:p>
    <w:p w14:paraId="5CD40596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4CE73C7C" w14:textId="0830C452" w:rsidR="005D17B3" w:rsidRPr="00F953E4" w:rsidRDefault="005D17B3" w:rsidP="009B7F92">
      <w:pPr>
        <w:rPr>
          <w:rFonts w:ascii="Times New Roman" w:hAnsi="Times New Roman"/>
          <w:b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 xml:space="preserve">Не утиче на способност управљања возилима и 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руковање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 машинама.</w:t>
      </w:r>
    </w:p>
    <w:p w14:paraId="5E083796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7C496DD3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4.8. Нежељена</w:t>
      </w:r>
      <w:r w:rsidR="001C21EB" w:rsidRPr="00F953E4">
        <w:rPr>
          <w:rFonts w:ascii="Times New Roman" w:hAnsi="Times New Roman"/>
          <w:b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дејства</w:t>
      </w:r>
    </w:p>
    <w:p w14:paraId="28072CEB" w14:textId="77777777" w:rsidR="005D17B3" w:rsidRPr="00F953E4" w:rsidRDefault="005D17B3" w:rsidP="009B7F92">
      <w:pPr>
        <w:pStyle w:val="NormalWeb"/>
        <w:spacing w:before="0" w:beforeAutospacing="0" w:after="0" w:afterAutospacing="0"/>
        <w:rPr>
          <w:bCs/>
          <w:sz w:val="22"/>
          <w:szCs w:val="22"/>
          <w:lang w:val="sr-Latn-ME"/>
        </w:rPr>
      </w:pPr>
    </w:p>
    <w:p w14:paraId="3652F130" w14:textId="499EC2E0" w:rsidR="005D17B3" w:rsidRPr="00F953E4" w:rsidRDefault="005D17B3" w:rsidP="009A5C97">
      <w:pPr>
        <w:pStyle w:val="NormalWeb"/>
        <w:spacing w:before="0" w:beforeAutospacing="0" w:after="0" w:afterAutospacing="0"/>
        <w:jc w:val="both"/>
        <w:rPr>
          <w:bCs/>
          <w:sz w:val="22"/>
          <w:szCs w:val="22"/>
          <w:lang w:val="sr-Latn-ME"/>
        </w:rPr>
      </w:pPr>
      <w:r w:rsidRPr="00F953E4">
        <w:rPr>
          <w:bCs/>
          <w:sz w:val="22"/>
          <w:szCs w:val="22"/>
          <w:lang w:val="sr-Latn-ME"/>
        </w:rPr>
        <w:t>Нежељена дејства</w:t>
      </w:r>
      <w:r w:rsidR="00950510" w:rsidRPr="00F953E4">
        <w:rPr>
          <w:bCs/>
          <w:sz w:val="22"/>
          <w:szCs w:val="22"/>
          <w:lang w:val="sr-Latn-ME"/>
        </w:rPr>
        <w:t xml:space="preserve"> </w:t>
      </w:r>
      <w:r w:rsidRPr="00F953E4">
        <w:rPr>
          <w:bCs/>
          <w:sz w:val="22"/>
          <w:szCs w:val="22"/>
          <w:lang w:val="sr-Latn-ME"/>
        </w:rPr>
        <w:t>су приказана према MedDRA класификацији система</w:t>
      </w:r>
      <w:r w:rsidR="00BF1559" w:rsidRPr="00F953E4">
        <w:rPr>
          <w:bCs/>
          <w:sz w:val="22"/>
          <w:szCs w:val="22"/>
          <w:lang w:val="sr-Latn-ME"/>
        </w:rPr>
        <w:t xml:space="preserve"> органа</w:t>
      </w:r>
      <w:r w:rsidRPr="00F953E4">
        <w:rPr>
          <w:bCs/>
          <w:sz w:val="22"/>
          <w:szCs w:val="22"/>
          <w:lang w:val="sr-Latn-ME"/>
        </w:rPr>
        <w:t>.</w:t>
      </w:r>
    </w:p>
    <w:p w14:paraId="26FB92A9" w14:textId="77777777" w:rsidR="005D17B3" w:rsidRPr="00F953E4" w:rsidRDefault="005D17B3" w:rsidP="009B7F92">
      <w:pPr>
        <w:pStyle w:val="NormalWeb"/>
        <w:spacing w:before="0" w:beforeAutospacing="0" w:after="0" w:afterAutospacing="0"/>
        <w:rPr>
          <w:bCs/>
          <w:sz w:val="22"/>
          <w:szCs w:val="22"/>
          <w:u w:val="single"/>
          <w:lang w:val="sr-Latn-ME"/>
        </w:rPr>
      </w:pPr>
    </w:p>
    <w:p w14:paraId="5801A62A" w14:textId="77777777" w:rsidR="00E92450" w:rsidRPr="00F953E4" w:rsidRDefault="00E92450" w:rsidP="009B7F92">
      <w:pPr>
        <w:pStyle w:val="NormalWeb"/>
        <w:spacing w:before="0" w:beforeAutospacing="0" w:after="0" w:afterAutospacing="0"/>
        <w:jc w:val="both"/>
        <w:rPr>
          <w:bCs/>
          <w:sz w:val="22"/>
          <w:szCs w:val="22"/>
          <w:u w:val="single"/>
          <w:lang w:val="sr-Latn-ME"/>
        </w:rPr>
      </w:pPr>
    </w:p>
    <w:p w14:paraId="2F26C7C3" w14:textId="77777777" w:rsidR="00E92450" w:rsidRPr="00F953E4" w:rsidRDefault="00E92450" w:rsidP="009B7F92">
      <w:pPr>
        <w:pStyle w:val="NormalWeb"/>
        <w:spacing w:before="0" w:beforeAutospacing="0" w:after="0" w:afterAutospacing="0"/>
        <w:jc w:val="both"/>
        <w:rPr>
          <w:bCs/>
          <w:sz w:val="22"/>
          <w:szCs w:val="22"/>
          <w:u w:val="single"/>
          <w:lang w:val="sr-Latn-ME"/>
        </w:rPr>
      </w:pPr>
    </w:p>
    <w:p w14:paraId="1C36172B" w14:textId="643DBA73" w:rsidR="00950510" w:rsidRPr="00F953E4" w:rsidRDefault="005D17B3" w:rsidP="009B7F92">
      <w:pPr>
        <w:pStyle w:val="NormalWeb"/>
        <w:spacing w:before="0" w:beforeAutospacing="0" w:after="0" w:afterAutospacing="0"/>
        <w:jc w:val="both"/>
        <w:rPr>
          <w:bCs/>
          <w:sz w:val="22"/>
          <w:szCs w:val="22"/>
          <w:u w:val="single"/>
          <w:lang w:val="sr-Latn-ME"/>
        </w:rPr>
      </w:pPr>
      <w:r w:rsidRPr="00F953E4">
        <w:rPr>
          <w:bCs/>
          <w:sz w:val="22"/>
          <w:szCs w:val="22"/>
          <w:u w:val="single"/>
          <w:lang w:val="sr-Latn-ME"/>
        </w:rPr>
        <w:lastRenderedPageBreak/>
        <w:t>Поремећаји дигестивног система</w:t>
      </w:r>
    </w:p>
    <w:p w14:paraId="622381D2" w14:textId="392CCE2F" w:rsidR="00950510" w:rsidRPr="00F953E4" w:rsidRDefault="005D17B3" w:rsidP="009B7F92">
      <w:pPr>
        <w:pStyle w:val="BodyText2"/>
        <w:rPr>
          <w:color w:val="auto"/>
          <w:sz w:val="22"/>
          <w:szCs w:val="22"/>
          <w:lang w:val="sr-Latn-ME"/>
        </w:rPr>
      </w:pPr>
      <w:r w:rsidRPr="00F953E4">
        <w:rPr>
          <w:color w:val="auto"/>
          <w:sz w:val="22"/>
          <w:szCs w:val="22"/>
          <w:lang w:val="sr-Latn-ME"/>
        </w:rPr>
        <w:t>Најчешће се јављају нежељена дејства</w:t>
      </w:r>
      <w:r w:rsidR="00950510" w:rsidRPr="00F953E4">
        <w:rPr>
          <w:color w:val="auto"/>
          <w:sz w:val="22"/>
          <w:szCs w:val="22"/>
          <w:lang w:val="sr-Latn-ME"/>
        </w:rPr>
        <w:t xml:space="preserve"> </w:t>
      </w:r>
      <w:r w:rsidRPr="00F953E4">
        <w:rPr>
          <w:color w:val="auto"/>
          <w:sz w:val="22"/>
          <w:szCs w:val="22"/>
          <w:lang w:val="sr-Latn-ME"/>
        </w:rPr>
        <w:t>у гастроинтестиналном тракту као што су</w:t>
      </w:r>
      <w:r w:rsidR="00950510" w:rsidRPr="00F953E4">
        <w:rPr>
          <w:color w:val="auto"/>
          <w:sz w:val="22"/>
          <w:szCs w:val="22"/>
          <w:lang w:val="sr-Latn-ME"/>
        </w:rPr>
        <w:t>:</w:t>
      </w:r>
      <w:r w:rsidRPr="00F953E4">
        <w:rPr>
          <w:color w:val="auto"/>
          <w:sz w:val="22"/>
          <w:szCs w:val="22"/>
          <w:lang w:val="sr-Latn-ME"/>
        </w:rPr>
        <w:t xml:space="preserve"> епигастричн</w:t>
      </w:r>
      <w:r w:rsidR="008519AA" w:rsidRPr="00F953E4">
        <w:rPr>
          <w:color w:val="auto"/>
          <w:sz w:val="22"/>
          <w:szCs w:val="22"/>
          <w:lang w:val="sr-Latn-ME"/>
        </w:rPr>
        <w:t>и</w:t>
      </w:r>
      <w:r w:rsidRPr="00F953E4">
        <w:rPr>
          <w:color w:val="auto"/>
          <w:sz w:val="22"/>
          <w:szCs w:val="22"/>
          <w:lang w:val="sr-Latn-ME"/>
        </w:rPr>
        <w:t xml:space="preserve"> бол, мучнина, повраћање, дијареја,</w:t>
      </w:r>
      <w:r w:rsidR="00950510" w:rsidRPr="00F953E4">
        <w:rPr>
          <w:color w:val="auto"/>
          <w:sz w:val="22"/>
          <w:szCs w:val="22"/>
          <w:lang w:val="sr-Latn-ME"/>
        </w:rPr>
        <w:t xml:space="preserve"> </w:t>
      </w:r>
      <w:r w:rsidRPr="00F953E4">
        <w:rPr>
          <w:color w:val="auto"/>
          <w:sz w:val="22"/>
          <w:szCs w:val="22"/>
          <w:lang w:val="sr-Latn-ME"/>
        </w:rPr>
        <w:t xml:space="preserve">констипација, </w:t>
      </w:r>
      <w:r w:rsidR="00BF1559" w:rsidRPr="00F953E4">
        <w:rPr>
          <w:color w:val="auto"/>
          <w:sz w:val="22"/>
          <w:szCs w:val="22"/>
          <w:lang w:val="sr-Latn-ME"/>
        </w:rPr>
        <w:t xml:space="preserve">горушица, </w:t>
      </w:r>
      <w:r w:rsidRPr="00F953E4">
        <w:rPr>
          <w:color w:val="auto"/>
          <w:sz w:val="22"/>
          <w:szCs w:val="22"/>
          <w:lang w:val="sr-Latn-ME"/>
        </w:rPr>
        <w:t>метални укус, анорексија, тамно обојена столица.</w:t>
      </w:r>
      <w:r w:rsidR="003C054F" w:rsidRPr="00F953E4">
        <w:rPr>
          <w:color w:val="auto"/>
          <w:sz w:val="22"/>
          <w:szCs w:val="22"/>
          <w:lang w:val="sr-Latn-ME"/>
        </w:rPr>
        <w:t xml:space="preserve"> </w:t>
      </w:r>
      <w:r w:rsidRPr="00F953E4">
        <w:rPr>
          <w:color w:val="auto"/>
          <w:sz w:val="22"/>
          <w:szCs w:val="22"/>
          <w:lang w:val="sr-Latn-ME"/>
        </w:rPr>
        <w:t>Дуготрајно лијечење може узроковати хемосидерозу.</w:t>
      </w:r>
    </w:p>
    <w:p w14:paraId="07382DC8" w14:textId="77777777" w:rsidR="005D17B3" w:rsidRPr="00F953E4" w:rsidRDefault="005D17B3" w:rsidP="009B7F92">
      <w:pPr>
        <w:pStyle w:val="BodyText2"/>
        <w:jc w:val="left"/>
        <w:rPr>
          <w:color w:val="auto"/>
          <w:sz w:val="22"/>
          <w:szCs w:val="22"/>
          <w:lang w:val="sr-Latn-ME"/>
        </w:rPr>
      </w:pPr>
    </w:p>
    <w:p w14:paraId="114118FE" w14:textId="3B002B23" w:rsidR="005D17B3" w:rsidRPr="00F953E4" w:rsidRDefault="005D17B3" w:rsidP="009A5C97">
      <w:pPr>
        <w:pStyle w:val="BodyText2"/>
        <w:rPr>
          <w:color w:val="auto"/>
          <w:sz w:val="22"/>
          <w:szCs w:val="22"/>
          <w:u w:val="single"/>
          <w:lang w:val="sr-Latn-ME"/>
        </w:rPr>
      </w:pPr>
      <w:r w:rsidRPr="00F953E4">
        <w:rPr>
          <w:color w:val="auto"/>
          <w:sz w:val="22"/>
          <w:szCs w:val="22"/>
          <w:u w:val="single"/>
          <w:lang w:val="sr-Latn-ME"/>
        </w:rPr>
        <w:t>Поремећаји имуног система</w:t>
      </w:r>
    </w:p>
    <w:p w14:paraId="096878C1" w14:textId="77777777" w:rsidR="005D17B3" w:rsidRPr="00F953E4" w:rsidRDefault="005D17B3" w:rsidP="009A5C97">
      <w:pPr>
        <w:pStyle w:val="BodyText2"/>
        <w:rPr>
          <w:color w:val="auto"/>
          <w:sz w:val="22"/>
          <w:szCs w:val="22"/>
          <w:lang w:val="sr-Latn-ME"/>
        </w:rPr>
      </w:pPr>
      <w:r w:rsidRPr="00F953E4">
        <w:rPr>
          <w:color w:val="auto"/>
          <w:sz w:val="22"/>
          <w:szCs w:val="22"/>
          <w:lang w:val="sr-Latn-ME"/>
        </w:rPr>
        <w:t>Алергијске реакције.</w:t>
      </w:r>
    </w:p>
    <w:p w14:paraId="07ED4B99" w14:textId="77777777" w:rsidR="005D17B3" w:rsidRPr="00F953E4" w:rsidRDefault="005D17B3" w:rsidP="009B7F92">
      <w:pPr>
        <w:pStyle w:val="BodyText2"/>
        <w:jc w:val="left"/>
        <w:rPr>
          <w:color w:val="auto"/>
          <w:sz w:val="22"/>
          <w:szCs w:val="22"/>
          <w:lang w:val="sr-Latn-ME"/>
        </w:rPr>
      </w:pPr>
    </w:p>
    <w:p w14:paraId="3579EB00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Препарати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гвожђа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су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чести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узрочници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случајних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предозирања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код дјеце.</w:t>
      </w:r>
    </w:p>
    <w:p w14:paraId="21391E3E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u w:val="single"/>
          <w:lang w:val="sr-Latn-ME"/>
        </w:rPr>
      </w:pPr>
    </w:p>
    <w:p w14:paraId="2749EFB1" w14:textId="77777777" w:rsidR="005D17B3" w:rsidRPr="00F953E4" w:rsidRDefault="005D17B3" w:rsidP="009B7F92">
      <w:pPr>
        <w:pStyle w:val="Header"/>
        <w:rPr>
          <w:rFonts w:ascii="Times New Roman" w:hAnsi="Times New Roman"/>
          <w:bCs/>
          <w:sz w:val="22"/>
          <w:szCs w:val="22"/>
          <w:u w:val="single"/>
          <w:lang w:val="sr-Latn-ME"/>
        </w:rPr>
      </w:pPr>
      <w:r w:rsidRPr="00F953E4">
        <w:rPr>
          <w:rFonts w:ascii="Times New Roman" w:hAnsi="Times New Roman"/>
          <w:bCs/>
          <w:sz w:val="22"/>
          <w:szCs w:val="22"/>
          <w:u w:val="single"/>
          <w:lang w:val="sr-Latn-ME"/>
        </w:rPr>
        <w:t>Пријављивање</w:t>
      </w:r>
      <w:r w:rsidR="006B191A" w:rsidRPr="00F953E4">
        <w:rPr>
          <w:rFonts w:ascii="Times New Roman" w:hAnsi="Times New Roman"/>
          <w:bCs/>
          <w:sz w:val="22"/>
          <w:szCs w:val="22"/>
          <w:u w:val="single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u w:val="single"/>
          <w:lang w:val="sr-Latn-ME"/>
        </w:rPr>
        <w:t>сумњи</w:t>
      </w:r>
      <w:r w:rsidR="006B191A" w:rsidRPr="00F953E4">
        <w:rPr>
          <w:rFonts w:ascii="Times New Roman" w:hAnsi="Times New Roman"/>
          <w:bCs/>
          <w:sz w:val="22"/>
          <w:szCs w:val="22"/>
          <w:u w:val="single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u w:val="single"/>
          <w:lang w:val="sr-Latn-ME"/>
        </w:rPr>
        <w:t>на</w:t>
      </w:r>
      <w:r w:rsidR="006B191A" w:rsidRPr="00F953E4">
        <w:rPr>
          <w:rFonts w:ascii="Times New Roman" w:hAnsi="Times New Roman"/>
          <w:bCs/>
          <w:sz w:val="22"/>
          <w:szCs w:val="22"/>
          <w:u w:val="single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u w:val="single"/>
          <w:lang w:val="sr-Latn-ME"/>
        </w:rPr>
        <w:t>нежељена</w:t>
      </w:r>
      <w:r w:rsidR="006B191A" w:rsidRPr="00F953E4">
        <w:rPr>
          <w:rFonts w:ascii="Times New Roman" w:hAnsi="Times New Roman"/>
          <w:bCs/>
          <w:sz w:val="22"/>
          <w:szCs w:val="22"/>
          <w:u w:val="single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u w:val="single"/>
          <w:lang w:val="sr-Latn-ME"/>
        </w:rPr>
        <w:t>дејства</w:t>
      </w:r>
    </w:p>
    <w:p w14:paraId="5A7D117F" w14:textId="16713E9D" w:rsidR="005D17B3" w:rsidRPr="00F953E4" w:rsidRDefault="005D17B3" w:rsidP="009B7F92">
      <w:pPr>
        <w:pStyle w:val="Header"/>
        <w:rPr>
          <w:rFonts w:ascii="Times New Roman" w:hAnsi="Times New Roman"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Cs/>
          <w:sz w:val="22"/>
          <w:szCs w:val="22"/>
          <w:lang w:val="sr-Latn-ME"/>
        </w:rPr>
        <w:t>Пријављивање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нежељених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дејстава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након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добијања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дозволе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је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од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великог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значаја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јер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обезбјеђује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континуирано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праћење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односа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корист/ризик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примјене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лијека. Здравствени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радници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треба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да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пријаве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сваку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сумњу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на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нежељено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дејство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овог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лијека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="00862EA1" w:rsidRPr="00F953E4">
        <w:rPr>
          <w:rFonts w:ascii="Times New Roman" w:hAnsi="Times New Roman"/>
          <w:bCs/>
          <w:sz w:val="22"/>
          <w:szCs w:val="22"/>
          <w:lang w:val="sr-Latn-ME"/>
        </w:rPr>
        <w:t>Институту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за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љекове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и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медицинска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средства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(</w:t>
      </w:r>
      <w:r w:rsidRPr="00F953E4">
        <w:rPr>
          <w:rFonts w:ascii="Times New Roman" w:hAnsi="Times New Roman"/>
          <w:sz w:val="22"/>
          <w:szCs w:val="22"/>
          <w:lang w:val="sr-Latn-ME"/>
        </w:rPr>
        <w:t>C</w:t>
      </w:r>
      <w:r w:rsidR="00862EA1" w:rsidRPr="00F953E4">
        <w:rPr>
          <w:rFonts w:ascii="Times New Roman" w:hAnsi="Times New Roman"/>
          <w:sz w:val="22"/>
          <w:szCs w:val="22"/>
          <w:lang w:val="sr-Latn-ME"/>
        </w:rPr>
        <w:t>InMED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):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</w:p>
    <w:p w14:paraId="67FD506E" w14:textId="77777777" w:rsidR="00862EA1" w:rsidRPr="00F953E4" w:rsidRDefault="00862EA1" w:rsidP="009B7F92">
      <w:pPr>
        <w:pStyle w:val="Header"/>
        <w:rPr>
          <w:rFonts w:ascii="Times New Roman" w:hAnsi="Times New Roman"/>
          <w:bCs/>
          <w:sz w:val="22"/>
          <w:szCs w:val="22"/>
          <w:lang w:val="sr-Latn-ME"/>
        </w:rPr>
      </w:pPr>
    </w:p>
    <w:p w14:paraId="0B1517D2" w14:textId="40D1E61B" w:rsidR="005D17B3" w:rsidRPr="00F953E4" w:rsidRDefault="00862EA1" w:rsidP="009B7F92">
      <w:pPr>
        <w:pStyle w:val="Header"/>
        <w:rPr>
          <w:rFonts w:ascii="Times New Roman" w:hAnsi="Times New Roman"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Cs/>
          <w:sz w:val="22"/>
          <w:szCs w:val="22"/>
          <w:lang w:val="sr-Latn-ME"/>
        </w:rPr>
        <w:t>Институт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="005D17B3" w:rsidRPr="00F953E4">
        <w:rPr>
          <w:rFonts w:ascii="Times New Roman" w:hAnsi="Times New Roman"/>
          <w:bCs/>
          <w:sz w:val="22"/>
          <w:szCs w:val="22"/>
          <w:lang w:val="sr-Latn-ME"/>
        </w:rPr>
        <w:t>за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="005D17B3" w:rsidRPr="00F953E4">
        <w:rPr>
          <w:rFonts w:ascii="Times New Roman" w:hAnsi="Times New Roman"/>
          <w:bCs/>
          <w:sz w:val="22"/>
          <w:szCs w:val="22"/>
          <w:lang w:val="sr-Latn-ME"/>
        </w:rPr>
        <w:t>љекове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="005D17B3" w:rsidRPr="00F953E4">
        <w:rPr>
          <w:rFonts w:ascii="Times New Roman" w:hAnsi="Times New Roman"/>
          <w:bCs/>
          <w:sz w:val="22"/>
          <w:szCs w:val="22"/>
          <w:lang w:val="sr-Latn-ME"/>
        </w:rPr>
        <w:t>и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="005D17B3" w:rsidRPr="00F953E4">
        <w:rPr>
          <w:rFonts w:ascii="Times New Roman" w:hAnsi="Times New Roman"/>
          <w:bCs/>
          <w:sz w:val="22"/>
          <w:szCs w:val="22"/>
          <w:lang w:val="sr-Latn-ME"/>
        </w:rPr>
        <w:t>медицинска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="005D17B3" w:rsidRPr="00F953E4">
        <w:rPr>
          <w:rFonts w:ascii="Times New Roman" w:hAnsi="Times New Roman"/>
          <w:bCs/>
          <w:sz w:val="22"/>
          <w:szCs w:val="22"/>
          <w:lang w:val="sr-Latn-ME"/>
        </w:rPr>
        <w:t>средства</w:t>
      </w:r>
    </w:p>
    <w:p w14:paraId="433F8F3B" w14:textId="77777777" w:rsidR="005D17B3" w:rsidRPr="00F953E4" w:rsidRDefault="005D17B3" w:rsidP="009B7F92">
      <w:pPr>
        <w:pStyle w:val="Header"/>
        <w:rPr>
          <w:rFonts w:ascii="Times New Roman" w:hAnsi="Times New Roman"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Cs/>
          <w:sz w:val="22"/>
          <w:szCs w:val="22"/>
          <w:lang w:val="sr-Latn-ME"/>
        </w:rPr>
        <w:t>Одјељење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за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фармаковигиланцу</w:t>
      </w:r>
    </w:p>
    <w:p w14:paraId="7866B042" w14:textId="655E21A4" w:rsidR="005D17B3" w:rsidRPr="00F953E4" w:rsidRDefault="005D17B3" w:rsidP="009B7F92">
      <w:pPr>
        <w:pStyle w:val="Header"/>
        <w:rPr>
          <w:rFonts w:ascii="Times New Roman" w:hAnsi="Times New Roman"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Cs/>
          <w:sz w:val="22"/>
          <w:szCs w:val="22"/>
          <w:lang w:val="sr-Latn-ME"/>
        </w:rPr>
        <w:t>Булевар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Ивана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Црнојевића 64а, 81000 Подгорица</w:t>
      </w:r>
    </w:p>
    <w:p w14:paraId="673D8444" w14:textId="77777777" w:rsidR="001F4788" w:rsidRPr="00F953E4" w:rsidRDefault="001F4788" w:rsidP="009B7F92">
      <w:pPr>
        <w:pStyle w:val="Header"/>
        <w:rPr>
          <w:rFonts w:ascii="Times New Roman" w:hAnsi="Times New Roman"/>
          <w:bCs/>
          <w:sz w:val="22"/>
          <w:szCs w:val="22"/>
          <w:lang w:val="sr-Latn-ME"/>
        </w:rPr>
      </w:pPr>
    </w:p>
    <w:p w14:paraId="1684CE6A" w14:textId="77777777" w:rsidR="005D17B3" w:rsidRPr="00F953E4" w:rsidRDefault="005D17B3" w:rsidP="009B7F92">
      <w:pPr>
        <w:pStyle w:val="Header"/>
        <w:rPr>
          <w:rFonts w:ascii="Times New Roman" w:hAnsi="Times New Roman"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Cs/>
          <w:sz w:val="22"/>
          <w:szCs w:val="22"/>
          <w:lang w:val="sr-Latn-ME"/>
        </w:rPr>
        <w:t>тел: +382 (0) 20 310 280</w:t>
      </w:r>
    </w:p>
    <w:p w14:paraId="7FEF647D" w14:textId="154347C6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Cs/>
          <w:sz w:val="22"/>
          <w:szCs w:val="22"/>
          <w:lang w:val="sr-Latn-ME"/>
        </w:rPr>
        <w:t>факс:</w:t>
      </w:r>
      <w:r w:rsidR="003C054F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+382 (0) 20 310 581</w:t>
      </w:r>
    </w:p>
    <w:p w14:paraId="1DEF0127" w14:textId="4F755EF7" w:rsidR="005D17B3" w:rsidRPr="00F953E4" w:rsidRDefault="006A43CB" w:rsidP="009B7F92">
      <w:pPr>
        <w:pStyle w:val="Header"/>
        <w:rPr>
          <w:rFonts w:ascii="Times New Roman" w:hAnsi="Times New Roman"/>
          <w:bCs/>
          <w:sz w:val="22"/>
          <w:szCs w:val="22"/>
          <w:lang w:val="sr-Latn-ME"/>
        </w:rPr>
      </w:pPr>
      <w:hyperlink r:id="rId11" w:history="1">
        <w:r w:rsidR="00862EA1" w:rsidRPr="00F953E4">
          <w:rPr>
            <w:rStyle w:val="Hyperlink"/>
            <w:rFonts w:ascii="Times New Roman" w:hAnsi="Times New Roman"/>
            <w:bCs/>
            <w:sz w:val="22"/>
            <w:szCs w:val="22"/>
            <w:lang w:val="sr-Latn-ME"/>
          </w:rPr>
          <w:t>www.cinmed.me</w:t>
        </w:r>
      </w:hyperlink>
    </w:p>
    <w:p w14:paraId="750C04D0" w14:textId="64C91CAB" w:rsidR="005D17B3" w:rsidRPr="00F953E4" w:rsidRDefault="006A43CB" w:rsidP="009B7F9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ME"/>
        </w:rPr>
      </w:pPr>
      <w:hyperlink r:id="rId12" w:history="1">
        <w:r w:rsidR="00862EA1" w:rsidRPr="00F953E4">
          <w:rPr>
            <w:rStyle w:val="Hyperlink"/>
            <w:rFonts w:ascii="Times New Roman" w:hAnsi="Times New Roman"/>
            <w:bCs/>
            <w:sz w:val="22"/>
            <w:szCs w:val="22"/>
            <w:lang w:val="sr-Latn-ME"/>
          </w:rPr>
          <w:t>nezeljenadejstva@cinmed.me</w:t>
        </w:r>
      </w:hyperlink>
    </w:p>
    <w:p w14:paraId="6921A2FC" w14:textId="44AB584F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Cs/>
          <w:sz w:val="22"/>
          <w:szCs w:val="22"/>
          <w:lang w:val="sr-Latn-ME"/>
        </w:rPr>
        <w:t>путем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ИС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здравствене</w:t>
      </w:r>
      <w:r w:rsidR="006B191A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заштите</w:t>
      </w:r>
    </w:p>
    <w:p w14:paraId="7C67B3ED" w14:textId="605A94C3" w:rsidR="00851A02" w:rsidRPr="00F953E4" w:rsidRDefault="00851A02" w:rsidP="009B7F9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Cs/>
          <w:sz w:val="22"/>
          <w:szCs w:val="22"/>
          <w:lang w:val="sr-Latn-ME"/>
        </w:rPr>
        <w:t>QR код за</w:t>
      </w:r>
      <w:r w:rsidRPr="00F953E4">
        <w:rPr>
          <w:rFonts w:ascii="Times New Roman" w:hAnsi="Times New Roman"/>
          <w:bCs/>
          <w:i/>
          <w:sz w:val="22"/>
          <w:szCs w:val="22"/>
          <w:lang w:val="sr-Latn-ME"/>
        </w:rPr>
        <w:t xml:space="preserve"> online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пријаву сумње на нежељено дејство лијека:</w:t>
      </w:r>
    </w:p>
    <w:p w14:paraId="0E09EA2A" w14:textId="77777777" w:rsidR="004C2F54" w:rsidRPr="00F953E4" w:rsidRDefault="004C2F54" w:rsidP="009B7F9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ME"/>
        </w:rPr>
      </w:pPr>
    </w:p>
    <w:p w14:paraId="4A768E77" w14:textId="06EEA556" w:rsidR="005D17B3" w:rsidRPr="00F953E4" w:rsidRDefault="00DC78D1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noProof/>
          <w:sz w:val="22"/>
          <w:szCs w:val="22"/>
          <w:lang w:val="sr-Latn-ME" w:eastAsia="sr-Latn-ME"/>
        </w:rPr>
        <w:drawing>
          <wp:inline distT="0" distB="0" distL="0" distR="0" wp14:anchorId="49795EE5" wp14:editId="4AC5DE92">
            <wp:extent cx="980796" cy="972000"/>
            <wp:effectExtent l="0" t="0" r="0" b="0"/>
            <wp:docPr id="2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8366A9" w14:textId="77777777" w:rsidR="00FE4EE5" w:rsidRPr="00F953E4" w:rsidRDefault="00FE4EE5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14:paraId="41443ACE" w14:textId="790F1AC8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4.9. Предозирање</w:t>
      </w:r>
    </w:p>
    <w:p w14:paraId="7190C6ED" w14:textId="77777777" w:rsidR="005D17B3" w:rsidRPr="00F953E4" w:rsidRDefault="005D17B3" w:rsidP="009B7F92">
      <w:pPr>
        <w:tabs>
          <w:tab w:val="clear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5A2C66FC" w14:textId="77777777" w:rsidR="00950510" w:rsidRPr="00F953E4" w:rsidRDefault="005D17B3" w:rsidP="009B7F92">
      <w:pPr>
        <w:tabs>
          <w:tab w:val="clear" w:pos="284"/>
        </w:tabs>
        <w:rPr>
          <w:rFonts w:ascii="Times New Roman" w:hAnsi="Times New Roman"/>
          <w:sz w:val="22"/>
          <w:szCs w:val="22"/>
          <w:u w:val="single"/>
          <w:lang w:val="sr-Latn-ME"/>
        </w:rPr>
      </w:pPr>
      <w:r w:rsidRPr="00F953E4">
        <w:rPr>
          <w:rFonts w:ascii="Times New Roman" w:hAnsi="Times New Roman"/>
          <w:sz w:val="22"/>
          <w:szCs w:val="22"/>
          <w:u w:val="single"/>
          <w:lang w:val="sr-Latn-ME"/>
        </w:rPr>
        <w:t>Симптоми:</w:t>
      </w:r>
    </w:p>
    <w:p w14:paraId="7477B92B" w14:textId="1A513906" w:rsidR="00950510" w:rsidRPr="00F953E4" w:rsidRDefault="005D17B3" w:rsidP="00862EA1">
      <w:pPr>
        <w:tabs>
          <w:tab w:val="clear" w:pos="284"/>
        </w:tabs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Ингестија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елементарног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гвожђа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дози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од 20 mg/kg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је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потенцијално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токсична, 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дозе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од 200-250 mg/kg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су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потенцијално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смртоносне. Не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постоје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задовољавајући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уједначени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критеријуми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за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процjену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тежине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предозирања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.</w:t>
      </w:r>
      <w:r w:rsidR="003C054F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М</w:t>
      </w:r>
      <w:r w:rsidRPr="00F953E4">
        <w:rPr>
          <w:rFonts w:ascii="Times New Roman" w:hAnsi="Times New Roman"/>
          <w:sz w:val="22"/>
          <w:szCs w:val="22"/>
          <w:lang w:val="sr-Latn-ME"/>
        </w:rPr>
        <w:t>орају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се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узети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обзир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клинички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параметри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, </w:t>
      </w:r>
      <w:r w:rsidRPr="00F953E4">
        <w:rPr>
          <w:rFonts w:ascii="Times New Roman" w:hAnsi="Times New Roman"/>
          <w:sz w:val="22"/>
          <w:szCs w:val="22"/>
          <w:lang w:val="sr-Latn-ME"/>
        </w:rPr>
        <w:t>као и резултати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лабораторијских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претрага. </w:t>
      </w:r>
      <w:r w:rsidR="00862EA1" w:rsidRPr="00F953E4">
        <w:rPr>
          <w:rFonts w:ascii="Times New Roman" w:hAnsi="Times New Roman"/>
          <w:sz w:val="22"/>
          <w:szCs w:val="22"/>
          <w:lang w:val="sr-Latn-ME"/>
        </w:rPr>
        <w:t>Гвожђе у серуму, 4 сата након</w:t>
      </w:r>
      <w:r w:rsidR="00E92450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FE0BF7" w:rsidRPr="00F953E4">
        <w:rPr>
          <w:rFonts w:ascii="Times New Roman" w:hAnsi="Times New Roman"/>
          <w:sz w:val="22"/>
          <w:szCs w:val="22"/>
          <w:lang w:val="sr-Latn-ME"/>
        </w:rPr>
        <w:t>ингестије</w:t>
      </w:r>
      <w:r w:rsidR="00862EA1" w:rsidRPr="00F953E4">
        <w:rPr>
          <w:rFonts w:ascii="Times New Roman" w:hAnsi="Times New Roman"/>
          <w:sz w:val="22"/>
          <w:szCs w:val="22"/>
          <w:lang w:val="sr-Latn-ME"/>
        </w:rPr>
        <w:t>, најбољи је лабораторијски показатељ тежине предозирања.</w:t>
      </w:r>
    </w:p>
    <w:p w14:paraId="429BBB54" w14:textId="77777777" w:rsidR="009B7F92" w:rsidRPr="00F953E4" w:rsidRDefault="009B7F92" w:rsidP="009B7F92">
      <w:pPr>
        <w:tabs>
          <w:tab w:val="clear" w:pos="284"/>
        </w:tabs>
        <w:rPr>
          <w:rFonts w:ascii="Times New Roman" w:hAnsi="Times New Roman"/>
          <w:sz w:val="22"/>
          <w:szCs w:val="22"/>
          <w:lang w:val="sr-Latn-ME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978"/>
        <w:gridCol w:w="4089"/>
      </w:tblGrid>
      <w:tr w:rsidR="009B7F92" w:rsidRPr="00F953E4" w14:paraId="68EB1D56" w14:textId="77777777" w:rsidTr="00B9484E">
        <w:tc>
          <w:tcPr>
            <w:tcW w:w="4978" w:type="dxa"/>
          </w:tcPr>
          <w:p w14:paraId="66359930" w14:textId="75F0B610" w:rsidR="005D17B3" w:rsidRPr="00F953E4" w:rsidRDefault="005D17B3" w:rsidP="009B7F92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>Гвожђе у серуму</w:t>
            </w:r>
          </w:p>
        </w:tc>
        <w:tc>
          <w:tcPr>
            <w:tcW w:w="4089" w:type="dxa"/>
          </w:tcPr>
          <w:p w14:paraId="3142C0CC" w14:textId="77777777" w:rsidR="005D17B3" w:rsidRPr="00F953E4" w:rsidRDefault="005D17B3" w:rsidP="009B7F92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>Озбиљност</w:t>
            </w:r>
          </w:p>
        </w:tc>
      </w:tr>
      <w:tr w:rsidR="009B7F92" w:rsidRPr="00F953E4" w14:paraId="3742D7CF" w14:textId="77777777" w:rsidTr="00B9484E">
        <w:tc>
          <w:tcPr>
            <w:tcW w:w="4978" w:type="dxa"/>
          </w:tcPr>
          <w:p w14:paraId="1ED1542C" w14:textId="70BC9520" w:rsidR="005D17B3" w:rsidRPr="00F953E4" w:rsidRDefault="005D17B3" w:rsidP="009B7F92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>&lt; 3 mg/</w:t>
            </w:r>
            <w:r w:rsidR="004A5143"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(55 mikromola/</w:t>
            </w:r>
            <w:r w:rsidR="004A5143"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4089" w:type="dxa"/>
          </w:tcPr>
          <w:p w14:paraId="5F96CCFC" w14:textId="2E568678" w:rsidR="005D17B3" w:rsidRPr="00F953E4" w:rsidRDefault="005D17B3" w:rsidP="009B7F92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>Блага</w:t>
            </w:r>
            <w:r w:rsidR="003C054F"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>токсичност</w:t>
            </w:r>
          </w:p>
        </w:tc>
      </w:tr>
      <w:tr w:rsidR="009B7F92" w:rsidRPr="00F953E4" w14:paraId="36F064DC" w14:textId="77777777" w:rsidTr="00B9484E">
        <w:tc>
          <w:tcPr>
            <w:tcW w:w="4978" w:type="dxa"/>
          </w:tcPr>
          <w:p w14:paraId="1A5DE822" w14:textId="739ADF8A" w:rsidR="005D17B3" w:rsidRPr="00F953E4" w:rsidRDefault="005D17B3" w:rsidP="009B7F92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>3-5 mg/</w:t>
            </w:r>
            <w:r w:rsidR="004A5143"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l </w:t>
            </w:r>
            <w:r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>(55-90 mikromola/</w:t>
            </w:r>
            <w:r w:rsidR="004A5143"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4089" w:type="dxa"/>
          </w:tcPr>
          <w:p w14:paraId="1F9F2237" w14:textId="77777777" w:rsidR="005D17B3" w:rsidRPr="00F953E4" w:rsidRDefault="005D17B3" w:rsidP="009B7F92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>Ум</w:t>
            </w:r>
            <w:r w:rsidR="00D343D8"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>ј</w:t>
            </w:r>
            <w:r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>ерена</w:t>
            </w:r>
            <w:r w:rsidR="006B191A"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>токсичност</w:t>
            </w:r>
          </w:p>
        </w:tc>
      </w:tr>
      <w:tr w:rsidR="009B7F92" w:rsidRPr="00F953E4" w14:paraId="2F4F51A0" w14:textId="77777777" w:rsidTr="00B9484E">
        <w:tc>
          <w:tcPr>
            <w:tcW w:w="4978" w:type="dxa"/>
          </w:tcPr>
          <w:p w14:paraId="3F5A0D56" w14:textId="2CD4114B" w:rsidR="005D17B3" w:rsidRPr="00F953E4" w:rsidRDefault="005D17B3" w:rsidP="009B7F92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>&gt; 5 mg/</w:t>
            </w:r>
            <w:r w:rsidR="004A5143"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>l</w:t>
            </w:r>
            <w:r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(90 mikromola</w:t>
            </w:r>
            <w:r w:rsidR="004A5143"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>/l</w:t>
            </w:r>
            <w:r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4089" w:type="dxa"/>
          </w:tcPr>
          <w:p w14:paraId="7CBE65AB" w14:textId="77777777" w:rsidR="005D17B3" w:rsidRPr="00F953E4" w:rsidRDefault="005D17B3" w:rsidP="009B7F92">
            <w:pPr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>Тешка</w:t>
            </w:r>
            <w:r w:rsidR="006B191A"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F953E4">
              <w:rPr>
                <w:rFonts w:ascii="Times New Roman" w:hAnsi="Times New Roman"/>
                <w:sz w:val="22"/>
                <w:szCs w:val="22"/>
                <w:lang w:val="sr-Latn-ME"/>
              </w:rPr>
              <w:t>токсичност</w:t>
            </w:r>
          </w:p>
        </w:tc>
      </w:tr>
    </w:tbl>
    <w:p w14:paraId="10FB2E63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0F2F357A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Рани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знаци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симптоми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предозирања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гвожђем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су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: </w:t>
      </w:r>
      <w:r w:rsidRPr="00F953E4">
        <w:rPr>
          <w:rFonts w:ascii="Times New Roman" w:hAnsi="Times New Roman"/>
          <w:sz w:val="22"/>
          <w:szCs w:val="22"/>
          <w:lang w:val="sr-Latn-ME"/>
        </w:rPr>
        <w:t>мучнина, повраћање, бол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абдомену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дијареја.</w:t>
      </w:r>
    </w:p>
    <w:p w14:paraId="212354ED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Садржај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након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 </w:t>
      </w:r>
      <w:r w:rsidRPr="00F953E4">
        <w:rPr>
          <w:rFonts w:ascii="Times New Roman" w:hAnsi="Times New Roman"/>
          <w:sz w:val="22"/>
          <w:szCs w:val="22"/>
          <w:lang w:val="sr-Latn-ME"/>
        </w:rPr>
        <w:t>повраћања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столица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могу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бити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сиво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или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црно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обојени.</w:t>
      </w:r>
    </w:p>
    <w:p w14:paraId="637DC623" w14:textId="14492C21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У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лакшим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случајевима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предозирања, долази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до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повлачења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раних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знакова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симптома, али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тежим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случајевима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могу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се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појавити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знакови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хипоперфузије (хладни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екстремитети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хипотензија), метаболичка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ацидоза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системска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токсичност. У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тежим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случајевима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може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доћи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до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рецидивирајућих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повраћања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крварења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из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дигестивног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тракта, 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до 12 сати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након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узимања. Шок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може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бити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посљедица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хиповолемије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или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директне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кардиотоксичности.</w:t>
      </w:r>
    </w:p>
    <w:p w14:paraId="6B2715D6" w14:textId="23BCC378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lastRenderedPageBreak/>
        <w:t>У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овој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фази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могу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се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појавити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знакови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хепатоцелуларне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некрозе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која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се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огледа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жутицом, крварењем,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хипогликемијом, енцефалопатијом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метаболичком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ацидозом. Смањена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ткивна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перфузија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може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довести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до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бубрежне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инсуфицијенције. Ријетко, оштећење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желуца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због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ожиљкастих</w:t>
      </w:r>
      <w:r w:rsidR="006B191A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промјена, које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су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узроковале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стриктур</w:t>
      </w:r>
      <w:r w:rsidR="00FE4EE5" w:rsidRPr="00F953E4">
        <w:rPr>
          <w:rFonts w:ascii="Times New Roman" w:hAnsi="Times New Roman"/>
          <w:sz w:val="22"/>
          <w:szCs w:val="22"/>
          <w:lang w:val="sr-Latn-ME"/>
        </w:rPr>
        <w:t>у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или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пилоричну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стенозу (самостално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или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комбинацији) могу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довести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до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дјелимичне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или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комплетне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цријевне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опструкције 2-5 недјеља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након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узимања.</w:t>
      </w:r>
    </w:p>
    <w:p w14:paraId="557DACE0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515DEA36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u w:val="single"/>
          <w:lang w:val="sr-Latn-ME"/>
        </w:rPr>
      </w:pPr>
      <w:r w:rsidRPr="00F953E4">
        <w:rPr>
          <w:rFonts w:ascii="Times New Roman" w:hAnsi="Times New Roman"/>
          <w:sz w:val="22"/>
          <w:szCs w:val="22"/>
          <w:u w:val="single"/>
          <w:lang w:val="sr-Latn-ME"/>
        </w:rPr>
        <w:t>Третман</w:t>
      </w:r>
      <w:r w:rsidR="00F57F53" w:rsidRPr="00F953E4">
        <w:rPr>
          <w:rFonts w:ascii="Times New Roman" w:hAnsi="Times New Roman"/>
          <w:sz w:val="22"/>
          <w:szCs w:val="22"/>
          <w:u w:val="single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u w:val="single"/>
          <w:lang w:val="sr-Latn-ME"/>
        </w:rPr>
        <w:t>предозирања:</w:t>
      </w:r>
    </w:p>
    <w:p w14:paraId="1AEEF57B" w14:textId="7FEC7754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Супортивне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симптоматске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мјере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укључују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: </w:t>
      </w:r>
      <w:r w:rsidRPr="00F953E4">
        <w:rPr>
          <w:rFonts w:ascii="Times New Roman" w:hAnsi="Times New Roman"/>
          <w:sz w:val="22"/>
          <w:szCs w:val="22"/>
          <w:lang w:val="sr-Latn-ME"/>
        </w:rPr>
        <w:t>одржавање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проходности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дисајних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путева, праћење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срчаног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ритма, крвног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притиска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излучивања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урина, осигуравање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венског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пута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примјену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течности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како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би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обезб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>и</w:t>
      </w:r>
      <w:r w:rsidRPr="00F953E4">
        <w:rPr>
          <w:rFonts w:ascii="Times New Roman" w:hAnsi="Times New Roman"/>
          <w:sz w:val="22"/>
          <w:szCs w:val="22"/>
          <w:lang w:val="sr-Latn-ME"/>
        </w:rPr>
        <w:t>једила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адекватна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хидратација. Ваља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размотрити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потпуно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испирање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цријева. Ако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је </w:t>
      </w:r>
      <w:r w:rsidRPr="00F953E4">
        <w:rPr>
          <w:rFonts w:ascii="Times New Roman" w:hAnsi="Times New Roman"/>
          <w:sz w:val="22"/>
          <w:szCs w:val="22"/>
          <w:lang w:val="sr-Latn-ME"/>
        </w:rPr>
        <w:t>метаболичка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ацидоза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D12D02" w:rsidRPr="00F953E4">
        <w:rPr>
          <w:rFonts w:ascii="Times New Roman" w:hAnsi="Times New Roman"/>
          <w:sz w:val="22"/>
          <w:szCs w:val="22"/>
          <w:lang w:val="sr-Latn-ME"/>
        </w:rPr>
        <w:t>и даље присутна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упркос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корекцији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хипоксије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адекватном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уносу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течности, 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код одраслих се </w:t>
      </w:r>
      <w:r w:rsidRPr="00F953E4">
        <w:rPr>
          <w:rFonts w:ascii="Times New Roman" w:hAnsi="Times New Roman"/>
          <w:sz w:val="22"/>
          <w:szCs w:val="22"/>
          <w:lang w:val="sr-Latn-ME"/>
        </w:rPr>
        <w:t>може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прим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>и</w:t>
      </w:r>
      <w:r w:rsidRPr="00F953E4">
        <w:rPr>
          <w:rFonts w:ascii="Times New Roman" w:hAnsi="Times New Roman"/>
          <w:sz w:val="22"/>
          <w:szCs w:val="22"/>
          <w:lang w:val="sr-Latn-ME"/>
        </w:rPr>
        <w:t>јенити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AF55AB" w:rsidRPr="00F953E4">
        <w:rPr>
          <w:rFonts w:ascii="Times New Roman" w:hAnsi="Times New Roman"/>
          <w:sz w:val="22"/>
          <w:szCs w:val="22"/>
          <w:lang w:val="sr-Latn-ME"/>
        </w:rPr>
        <w:t xml:space="preserve">почетна доза </w:t>
      </w:r>
      <w:r w:rsidRPr="00F953E4">
        <w:rPr>
          <w:rFonts w:ascii="Times New Roman" w:hAnsi="Times New Roman"/>
          <w:sz w:val="22"/>
          <w:szCs w:val="22"/>
          <w:lang w:val="sr-Latn-ME"/>
        </w:rPr>
        <w:t>натријум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бикарбонат</w:t>
      </w:r>
      <w:r w:rsidR="00AF55AB" w:rsidRPr="00F953E4">
        <w:rPr>
          <w:rFonts w:ascii="Times New Roman" w:hAnsi="Times New Roman"/>
          <w:sz w:val="22"/>
          <w:szCs w:val="22"/>
          <w:lang w:val="sr-Latn-ME"/>
        </w:rPr>
        <w:t>а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од 50 mmol, која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по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потреби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може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поновити, уз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континуирано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праћење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гасова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артеријској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крви (циљни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pH 7.4). Може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размотрити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примјена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дефероксамина ако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су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код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пацијента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развили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симптоми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знакови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предозирања (осим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мучнине) ако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су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концентрације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серуму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гвожђа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између 3-5 mg/l (55-90 μmol/l) 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даље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расту. Гвожђе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не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може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уклонити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хемодијализом, али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ваља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размотрити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њену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примјену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као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супортивну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мјеру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случају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акутне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бубрежне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инсуфицијенције, јер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ће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се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на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тај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начин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убрзати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елиминација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комплекса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дефероксамина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и</w:t>
      </w:r>
      <w:r w:rsidR="00F57F5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гвожђа.</w:t>
      </w:r>
    </w:p>
    <w:p w14:paraId="5C4C3DAF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73E73FC8" w14:textId="77777777" w:rsidR="00E1270C" w:rsidRPr="00F953E4" w:rsidRDefault="00E1270C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0986DA5D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5. ФАРМАКОЛОШКИ ПОДАЦИ</w:t>
      </w:r>
    </w:p>
    <w:p w14:paraId="1573DB42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14:paraId="18AF32AB" w14:textId="7D71E9FA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5.1. Фармакодинамски</w:t>
      </w:r>
      <w:r w:rsidR="00BF7B4E" w:rsidRPr="00F953E4">
        <w:rPr>
          <w:rFonts w:ascii="Times New Roman" w:hAnsi="Times New Roman"/>
          <w:b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подаци</w:t>
      </w:r>
    </w:p>
    <w:p w14:paraId="162A1D60" w14:textId="77777777" w:rsidR="00134025" w:rsidRPr="00F953E4" w:rsidRDefault="00134025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14:paraId="321ECE22" w14:textId="14D023F2" w:rsidR="005D17B3" w:rsidRPr="00F953E4" w:rsidRDefault="005D17B3" w:rsidP="009A5C97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Фармакотерапијска</w:t>
      </w:r>
      <w:r w:rsidR="00BF7B4E" w:rsidRPr="00F953E4">
        <w:rPr>
          <w:rFonts w:ascii="Times New Roman" w:hAnsi="Times New Roman"/>
          <w:b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група:</w:t>
      </w:r>
      <w:r w:rsidR="005B66CE" w:rsidRPr="00F953E4">
        <w:rPr>
          <w:rFonts w:ascii="Times New Roman" w:hAnsi="Times New Roman"/>
          <w:b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антианемик – двов</w:t>
      </w:r>
      <w:r w:rsidR="004A5143" w:rsidRPr="00F953E4">
        <w:rPr>
          <w:rFonts w:ascii="Times New Roman" w:hAnsi="Times New Roman"/>
          <w:sz w:val="22"/>
          <w:szCs w:val="22"/>
          <w:lang w:val="sr-Latn-ME"/>
        </w:rPr>
        <w:t>алентно гвожђе, орални препарат</w:t>
      </w:r>
    </w:p>
    <w:p w14:paraId="039D77CD" w14:textId="77777777" w:rsidR="000831B9" w:rsidRPr="00F953E4" w:rsidRDefault="000831B9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14:paraId="60B4808C" w14:textId="4089DAD8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АТЦ код:</w:t>
      </w:r>
      <w:r w:rsidR="005B66CE" w:rsidRPr="00F953E4">
        <w:rPr>
          <w:rFonts w:ascii="Times New Roman" w:hAnsi="Times New Roman"/>
          <w:b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B03AA02</w:t>
      </w:r>
    </w:p>
    <w:p w14:paraId="07B45826" w14:textId="77777777" w:rsidR="005D17B3" w:rsidRPr="00F953E4" w:rsidRDefault="005D17B3" w:rsidP="009B7F92">
      <w:pPr>
        <w:pStyle w:val="BodyText"/>
        <w:spacing w:after="0"/>
        <w:rPr>
          <w:rFonts w:ascii="Times New Roman" w:hAnsi="Times New Roman"/>
          <w:sz w:val="22"/>
          <w:szCs w:val="22"/>
          <w:lang w:val="sr-Latn-ME"/>
        </w:rPr>
      </w:pPr>
    </w:p>
    <w:p w14:paraId="2CA662C0" w14:textId="0D676FBB" w:rsidR="005D17B3" w:rsidRPr="00F953E4" w:rsidRDefault="005B66CE" w:rsidP="009B7F92">
      <w:pPr>
        <w:pStyle w:val="BodyText"/>
        <w:spacing w:after="0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 xml:space="preserve">Лијек </w:t>
      </w:r>
      <w:r w:rsidR="00BC4099" w:rsidRPr="00F953E4">
        <w:rPr>
          <w:rFonts w:ascii="Times New Roman" w:hAnsi="Times New Roman"/>
          <w:sz w:val="22"/>
          <w:szCs w:val="22"/>
          <w:lang w:val="sr-Latn-ME"/>
        </w:rPr>
        <w:t>HEFEROL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 xml:space="preserve"> садржи висок 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проценат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 xml:space="preserve"> елементарног гвожђа у облику гвожђе (II) фумарата.</w:t>
      </w:r>
    </w:p>
    <w:p w14:paraId="06273B64" w14:textId="4CB0F0B0" w:rsidR="005D17B3" w:rsidRPr="00F953E4" w:rsidRDefault="005D17B3" w:rsidP="009B7F92">
      <w:pPr>
        <w:pStyle w:val="BodyText"/>
        <w:spacing w:after="0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Гвожђе је најважнији биокатализатор у организму.</w:t>
      </w:r>
      <w:r w:rsidR="00BF7B4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Гвожђе је есенцијални</w:t>
      </w:r>
      <w:r w:rsidR="00BF7B4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нутритивни састојак потребан у процесу еритропоезе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.</w:t>
      </w:r>
      <w:r w:rsidR="005B66C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С</w:t>
      </w:r>
      <w:r w:rsidRPr="00F953E4">
        <w:rPr>
          <w:rFonts w:ascii="Times New Roman" w:hAnsi="Times New Roman"/>
          <w:sz w:val="22"/>
          <w:szCs w:val="22"/>
          <w:lang w:val="sr-Latn-ME"/>
        </w:rPr>
        <w:t>аставни је дио хемоглобина, миоглобина и неких ензима. Његов недостатак узрокује појаву микроцитне, хипохромне анемије.</w:t>
      </w:r>
    </w:p>
    <w:p w14:paraId="2A1E246D" w14:textId="1BA39296" w:rsidR="005D17B3" w:rsidRPr="00F953E4" w:rsidRDefault="005D17B3" w:rsidP="009B7F92">
      <w:pPr>
        <w:pStyle w:val="BodyText"/>
        <w:spacing w:after="0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 xml:space="preserve">Хемоглобин транспортује кисеоник, </w:t>
      </w:r>
      <w:r w:rsidR="00BF1559" w:rsidRPr="00F953E4">
        <w:rPr>
          <w:rFonts w:ascii="Times New Roman" w:hAnsi="Times New Roman"/>
          <w:sz w:val="22"/>
          <w:szCs w:val="22"/>
          <w:lang w:val="sr-Latn-ME"/>
        </w:rPr>
        <w:t>ре</w:t>
      </w:r>
      <w:r w:rsidRPr="00F953E4">
        <w:rPr>
          <w:rFonts w:ascii="Times New Roman" w:hAnsi="Times New Roman"/>
          <w:sz w:val="22"/>
          <w:szCs w:val="22"/>
          <w:lang w:val="sr-Latn-ME"/>
        </w:rPr>
        <w:t>сорбован из ваздуха у плућима, до свих ткива и органа у тијелу. Када има премало хемоглобина, ткива тешко функционишу што је посебно важно за мишиће и мозак. Одговарајуће вриједности хемоглобина су посебно потребне током трудноће, како би се фетус одговарајуће развијао; у супротном новорођенче има ниску порођајну тежину и лако постаје потхрањено.</w:t>
      </w:r>
    </w:p>
    <w:p w14:paraId="61682CCE" w14:textId="14912EC0" w:rsidR="005D17B3" w:rsidRPr="00F953E4" w:rsidRDefault="005D17B3" w:rsidP="009B7F92">
      <w:pPr>
        <w:pStyle w:val="BodyText"/>
        <w:spacing w:after="0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Капсуларни облик лијека омогућује заштиту зуба и брзи пролаз кроз желудац и тако спречава нежељен</w:t>
      </w:r>
      <w:r w:rsidR="009F5ECE" w:rsidRPr="00F953E4">
        <w:rPr>
          <w:rFonts w:ascii="Times New Roman" w:hAnsi="Times New Roman"/>
          <w:sz w:val="22"/>
          <w:szCs w:val="22"/>
          <w:lang w:val="sr-Latn-ME"/>
        </w:rPr>
        <w:t>а</w:t>
      </w:r>
      <w:r w:rsidR="00AF55AB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дејства,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 кој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а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 се иначе јављају због иритирајућег 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ефекта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 гвожђа на слузницу желуца. У цријевима се гвожђе полагано ослобађа што је праћено симултаном интестиналном 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ап</w:t>
      </w:r>
      <w:r w:rsidRPr="00F953E4">
        <w:rPr>
          <w:rFonts w:ascii="Times New Roman" w:hAnsi="Times New Roman"/>
          <w:sz w:val="22"/>
          <w:szCs w:val="22"/>
          <w:lang w:val="sr-Latn-ME"/>
        </w:rPr>
        <w:t>сорпцијом.</w:t>
      </w:r>
    </w:p>
    <w:p w14:paraId="748BD86A" w14:textId="77777777" w:rsidR="005D17B3" w:rsidRPr="00F953E4" w:rsidRDefault="005D17B3" w:rsidP="009B7F92">
      <w:pPr>
        <w:pStyle w:val="BodyText"/>
        <w:spacing w:after="0"/>
        <w:rPr>
          <w:rFonts w:ascii="Times New Roman" w:hAnsi="Times New Roman"/>
          <w:sz w:val="22"/>
          <w:szCs w:val="22"/>
          <w:lang w:val="sr-Latn-ME"/>
        </w:rPr>
      </w:pPr>
    </w:p>
    <w:p w14:paraId="33FA44D5" w14:textId="087E24F0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5.2. Фармакокинетички</w:t>
      </w:r>
      <w:r w:rsidR="00C53D15" w:rsidRPr="00F953E4">
        <w:rPr>
          <w:rFonts w:ascii="Times New Roman" w:hAnsi="Times New Roman"/>
          <w:b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подаци</w:t>
      </w:r>
    </w:p>
    <w:p w14:paraId="6A5BD271" w14:textId="77777777" w:rsidR="00C213DE" w:rsidRPr="00F953E4" w:rsidRDefault="00C213DE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14:paraId="232F6FA1" w14:textId="20BB3BD1" w:rsidR="005D17B3" w:rsidRPr="00F953E4" w:rsidRDefault="00E85DF8" w:rsidP="009B7F92">
      <w:pPr>
        <w:pStyle w:val="Heading2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F953E4">
        <w:rPr>
          <w:rFonts w:ascii="Times New Roman" w:hAnsi="Times New Roman" w:cs="Times New Roman"/>
          <w:color w:val="auto"/>
          <w:sz w:val="22"/>
          <w:szCs w:val="22"/>
          <w:lang w:val="sr-Latn-ME"/>
        </w:rPr>
        <w:t>Ресорпција</w:t>
      </w:r>
    </w:p>
    <w:p w14:paraId="6DDA3B91" w14:textId="49F28004" w:rsidR="005D17B3" w:rsidRPr="00F953E4" w:rsidRDefault="005D17B3" w:rsidP="009B7F92">
      <w:pPr>
        <w:pStyle w:val="Header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 xml:space="preserve">Гвожђе се предоминантно </w:t>
      </w:r>
      <w:r w:rsidR="00E85DF8" w:rsidRPr="00F953E4">
        <w:rPr>
          <w:rFonts w:ascii="Times New Roman" w:hAnsi="Times New Roman"/>
          <w:sz w:val="22"/>
          <w:szCs w:val="22"/>
          <w:lang w:val="sr-Latn-ME"/>
        </w:rPr>
        <w:t xml:space="preserve">ресорбује 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у дуоденуму и јејунуму активним транспортом. Код здравих особа, 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ап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сорбује се само 5-10% гвожђа из хране, док се код особа са смањеном количином гвожђа 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ап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сорбује 10-30% гвожђа из хране. Код пацијената са недостатком гвожђа може се 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ап</w:t>
      </w:r>
      <w:r w:rsidRPr="00F953E4">
        <w:rPr>
          <w:rFonts w:ascii="Times New Roman" w:hAnsi="Times New Roman"/>
          <w:sz w:val="22"/>
          <w:szCs w:val="22"/>
          <w:lang w:val="sr-Latn-ME"/>
        </w:rPr>
        <w:t>сорбовати 60% примијењеног гвожђа у облику неорганских соли, а код тешких анемија до 90%.</w:t>
      </w:r>
    </w:p>
    <w:p w14:paraId="682C1FD6" w14:textId="77777777" w:rsidR="005D17B3" w:rsidRPr="00F953E4" w:rsidRDefault="005D17B3" w:rsidP="009B7F92">
      <w:pPr>
        <w:pStyle w:val="Header"/>
        <w:rPr>
          <w:rFonts w:ascii="Times New Roman" w:hAnsi="Times New Roman"/>
          <w:sz w:val="22"/>
          <w:szCs w:val="22"/>
          <w:lang w:val="sr-Latn-ME"/>
        </w:rPr>
      </w:pPr>
    </w:p>
    <w:p w14:paraId="7FCE3FD0" w14:textId="059D19CD" w:rsidR="005D17B3" w:rsidRPr="00F953E4" w:rsidRDefault="005D17B3" w:rsidP="009B7F92">
      <w:pPr>
        <w:pStyle w:val="Header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 xml:space="preserve">Гвожђе се већим дијелом </w:t>
      </w:r>
      <w:r w:rsidR="00E85DF8" w:rsidRPr="00F953E4">
        <w:rPr>
          <w:rFonts w:ascii="Times New Roman" w:hAnsi="Times New Roman"/>
          <w:sz w:val="22"/>
          <w:szCs w:val="22"/>
          <w:lang w:val="sr-Latn-ME"/>
        </w:rPr>
        <w:t>ре</w:t>
      </w:r>
      <w:r w:rsidRPr="00F953E4">
        <w:rPr>
          <w:rFonts w:ascii="Times New Roman" w:hAnsi="Times New Roman"/>
          <w:sz w:val="22"/>
          <w:szCs w:val="22"/>
          <w:lang w:val="sr-Latn-ME"/>
        </w:rPr>
        <w:t>сорбује у дуоденуму и проксималном д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иј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елу интестинума, углавном активним транспортом у интестиналним мукозним ћелијама. Када се дају велике количине гвожђа, гвожђе може да се не </w:t>
      </w:r>
      <w:r w:rsidR="00E85DF8" w:rsidRPr="00F953E4">
        <w:rPr>
          <w:rFonts w:ascii="Times New Roman" w:hAnsi="Times New Roman"/>
          <w:sz w:val="22"/>
          <w:szCs w:val="22"/>
          <w:lang w:val="sr-Latn-ME"/>
        </w:rPr>
        <w:t>ре</w:t>
      </w:r>
      <w:r w:rsidRPr="00F953E4">
        <w:rPr>
          <w:rFonts w:ascii="Times New Roman" w:hAnsi="Times New Roman"/>
          <w:sz w:val="22"/>
          <w:szCs w:val="22"/>
          <w:lang w:val="sr-Latn-ME"/>
        </w:rPr>
        <w:t>сорбује дифузијом и може доћи до такозване „мукозом блокиране пенетрације“. У интестиналним ћелијама гвожђе се везује за апоферитин, стварајући феритин. Из ових ћелија гвожђе пролази у циркулацију, везан за транспортни протеин трансферин.</w:t>
      </w:r>
    </w:p>
    <w:p w14:paraId="2672FE0F" w14:textId="77777777" w:rsidR="005D17B3" w:rsidRPr="00F953E4" w:rsidRDefault="005D17B3" w:rsidP="009B7F92">
      <w:pPr>
        <w:pStyle w:val="Header"/>
        <w:rPr>
          <w:rFonts w:ascii="Times New Roman" w:hAnsi="Times New Roman"/>
          <w:sz w:val="22"/>
          <w:szCs w:val="22"/>
          <w:lang w:val="sr-Latn-ME"/>
        </w:rPr>
      </w:pPr>
    </w:p>
    <w:p w14:paraId="248943B7" w14:textId="77DD2DFB" w:rsidR="005D17B3" w:rsidRPr="00F953E4" w:rsidRDefault="005D17B3" w:rsidP="009B7F92">
      <w:pPr>
        <w:pStyle w:val="Header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lastRenderedPageBreak/>
        <w:t xml:space="preserve">Феро-фумарат се готово потпуно </w:t>
      </w:r>
      <w:r w:rsidR="00E85DF8" w:rsidRPr="00F953E4">
        <w:rPr>
          <w:rFonts w:ascii="Times New Roman" w:hAnsi="Times New Roman"/>
          <w:sz w:val="22"/>
          <w:szCs w:val="22"/>
          <w:lang w:val="sr-Latn-ME"/>
        </w:rPr>
        <w:t xml:space="preserve">ресорбује </w:t>
      </w:r>
      <w:r w:rsidRPr="00F953E4">
        <w:rPr>
          <w:rFonts w:ascii="Times New Roman" w:hAnsi="Times New Roman"/>
          <w:sz w:val="22"/>
          <w:szCs w:val="22"/>
          <w:lang w:val="sr-Latn-ME"/>
        </w:rPr>
        <w:t>у дигестивном систему. Максимална концентрација феро-фумарата у плазми постиже се 4 сата након ингестије.</w:t>
      </w:r>
    </w:p>
    <w:p w14:paraId="40F79B26" w14:textId="77777777" w:rsidR="005D17B3" w:rsidRPr="00F953E4" w:rsidRDefault="005D17B3" w:rsidP="009B7F92">
      <w:pPr>
        <w:pStyle w:val="Header"/>
        <w:rPr>
          <w:rFonts w:ascii="Times New Roman" w:hAnsi="Times New Roman"/>
          <w:sz w:val="22"/>
          <w:szCs w:val="22"/>
          <w:lang w:val="sr-Latn-ME"/>
        </w:rPr>
      </w:pPr>
    </w:p>
    <w:p w14:paraId="7607C835" w14:textId="7B39DF01" w:rsidR="005D17B3" w:rsidRPr="00F953E4" w:rsidRDefault="005D17B3" w:rsidP="009B7F92">
      <w:pPr>
        <w:pStyle w:val="Header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Соли гвожђа</w:t>
      </w:r>
      <w:r w:rsidR="00C53D15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обично се примјењују на празан желудац, јер истовремена примјена са храном може смањити </w:t>
      </w:r>
      <w:r w:rsidR="009959C3" w:rsidRPr="00F953E4">
        <w:rPr>
          <w:rFonts w:ascii="Times New Roman" w:hAnsi="Times New Roman"/>
          <w:sz w:val="22"/>
          <w:szCs w:val="22"/>
          <w:lang w:val="sr-Latn-ME"/>
        </w:rPr>
        <w:t>ре</w:t>
      </w:r>
      <w:r w:rsidRPr="00F953E4">
        <w:rPr>
          <w:rFonts w:ascii="Times New Roman" w:hAnsi="Times New Roman"/>
          <w:sz w:val="22"/>
          <w:szCs w:val="22"/>
          <w:lang w:val="sr-Latn-ME"/>
        </w:rPr>
        <w:t>сорпцију.</w:t>
      </w:r>
    </w:p>
    <w:p w14:paraId="5EBDB4E6" w14:textId="77777777" w:rsidR="00E85DF8" w:rsidRPr="00F953E4" w:rsidRDefault="00E85DF8" w:rsidP="009B7F92">
      <w:pPr>
        <w:pStyle w:val="Header"/>
        <w:rPr>
          <w:rFonts w:ascii="Times New Roman" w:hAnsi="Times New Roman"/>
          <w:sz w:val="22"/>
          <w:szCs w:val="22"/>
          <w:lang w:val="sr-Latn-ME"/>
        </w:rPr>
      </w:pPr>
    </w:p>
    <w:p w14:paraId="1BAB75C5" w14:textId="58D1C94F" w:rsidR="009959C3" w:rsidRPr="00F953E4" w:rsidRDefault="005D17B3" w:rsidP="009B7F92">
      <w:pPr>
        <w:pStyle w:val="Header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 xml:space="preserve">Главни инхибитори </w:t>
      </w:r>
      <w:r w:rsidR="00E85DF8" w:rsidRPr="00F953E4">
        <w:rPr>
          <w:rFonts w:ascii="Times New Roman" w:hAnsi="Times New Roman"/>
          <w:sz w:val="22"/>
          <w:szCs w:val="22"/>
          <w:lang w:val="sr-Latn-ME"/>
        </w:rPr>
        <w:t xml:space="preserve">ресорпције </w:t>
      </w:r>
      <w:r w:rsidRPr="00F953E4">
        <w:rPr>
          <w:rFonts w:ascii="Times New Roman" w:hAnsi="Times New Roman"/>
          <w:sz w:val="22"/>
          <w:szCs w:val="22"/>
          <w:lang w:val="sr-Latn-ME"/>
        </w:rPr>
        <w:t>нон-хем гвожђа у храни су</w:t>
      </w:r>
      <w:r w:rsidR="00C53D15" w:rsidRPr="00F953E4">
        <w:rPr>
          <w:rFonts w:ascii="Times New Roman" w:hAnsi="Times New Roman"/>
          <w:sz w:val="22"/>
          <w:szCs w:val="22"/>
          <w:lang w:val="sr-Latn-ME"/>
        </w:rPr>
        <w:t>: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 фитокиселине (могу се наћи у непрерађеним житарицама, соји), полифеноли (чај, кафа, какао, биљни чајеви, црвено вино), хидролизирајући танини чаја су најпотентнији инхибитори; калцијум – у органским једињењима</w:t>
      </w:r>
      <w:r w:rsidR="00E85DF8" w:rsidRPr="00F953E4">
        <w:rPr>
          <w:rFonts w:ascii="Times New Roman" w:hAnsi="Times New Roman"/>
          <w:sz w:val="22"/>
          <w:szCs w:val="22"/>
          <w:lang w:val="sr-Latn-ME"/>
        </w:rPr>
        <w:t xml:space="preserve"> прехрамбених производа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 или у млијечним производима; одређени протеини (соја, албумин у јајима, казеин), хелати са неким љековима (тетрациклини, антациди) (</w:t>
      </w:r>
      <w:r w:rsidR="00E1270C" w:rsidRPr="00F953E4">
        <w:rPr>
          <w:rFonts w:ascii="Times New Roman" w:hAnsi="Times New Roman"/>
          <w:sz w:val="22"/>
          <w:szCs w:val="22"/>
          <w:lang w:val="sr-Latn-ME"/>
        </w:rPr>
        <w:t xml:space="preserve">погледати дио 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4.5). </w:t>
      </w:r>
    </w:p>
    <w:p w14:paraId="23989D6E" w14:textId="343B0AF3" w:rsidR="005D17B3" w:rsidRPr="00F953E4" w:rsidRDefault="005D17B3" w:rsidP="009B7F92">
      <w:pPr>
        <w:pStyle w:val="Header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 xml:space="preserve">Главни састојци исхране који повећавају </w:t>
      </w:r>
      <w:r w:rsidR="009959C3" w:rsidRPr="00F953E4">
        <w:rPr>
          <w:rFonts w:ascii="Times New Roman" w:hAnsi="Times New Roman"/>
          <w:sz w:val="22"/>
          <w:szCs w:val="22"/>
          <w:lang w:val="sr-Latn-ME"/>
        </w:rPr>
        <w:t>ре</w:t>
      </w:r>
      <w:r w:rsidRPr="00F953E4">
        <w:rPr>
          <w:rFonts w:ascii="Times New Roman" w:hAnsi="Times New Roman"/>
          <w:sz w:val="22"/>
          <w:szCs w:val="22"/>
          <w:lang w:val="sr-Latn-ME"/>
        </w:rPr>
        <w:t>сорпцију нон-хем</w:t>
      </w:r>
      <w:r w:rsidR="00C53D15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гвожђа су</w:t>
      </w:r>
      <w:r w:rsidR="00C53D15" w:rsidRPr="00F953E4">
        <w:rPr>
          <w:rFonts w:ascii="Times New Roman" w:hAnsi="Times New Roman"/>
          <w:sz w:val="22"/>
          <w:szCs w:val="22"/>
          <w:lang w:val="sr-Latn-ME"/>
        </w:rPr>
        <w:t>: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 мишићно ткиво (протеини који садрже цистеин), алкохол и аскорбинска киселина.</w:t>
      </w:r>
    </w:p>
    <w:p w14:paraId="30DC4853" w14:textId="59D7A091" w:rsidR="005D17B3" w:rsidRPr="00F953E4" w:rsidRDefault="005D17B3" w:rsidP="009B7F92">
      <w:pPr>
        <w:pStyle w:val="Header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 xml:space="preserve">Витамин </w:t>
      </w:r>
      <w:r w:rsidR="00F236B8" w:rsidRPr="00F953E4">
        <w:rPr>
          <w:rFonts w:ascii="Times New Roman" w:hAnsi="Times New Roman"/>
          <w:sz w:val="22"/>
          <w:szCs w:val="22"/>
          <w:lang w:val="sr-Latn-ME"/>
        </w:rPr>
        <w:t xml:space="preserve">A </w:t>
      </w:r>
      <w:r w:rsidRPr="00F953E4">
        <w:rPr>
          <w:rFonts w:ascii="Times New Roman" w:hAnsi="Times New Roman"/>
          <w:sz w:val="22"/>
          <w:szCs w:val="22"/>
          <w:lang w:val="sr-Latn-ME"/>
        </w:rPr>
        <w:t>и бета-каротен стварају комплекс са гвожђем из феро-фумарата, и као резултат гвожђе постаје растворљиво у интестиналном лумену и онемогућава се инхибиторни ефекат фитокиселина и полифенола.</w:t>
      </w:r>
      <w:r w:rsidR="00C53D15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Присуство витамина А повећава апсорпцију од 1.8 до 3 пута из пшенице, пиринча и кукуруза, док бета-каротен повећава 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ап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сорпцију гвожђа око 3 пута из свих типова пшенице. Присуство EDTA такође повећава 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ап</w:t>
      </w:r>
      <w:r w:rsidRPr="00F953E4">
        <w:rPr>
          <w:rFonts w:ascii="Times New Roman" w:hAnsi="Times New Roman"/>
          <w:sz w:val="22"/>
          <w:szCs w:val="22"/>
          <w:lang w:val="sr-Latn-ME"/>
        </w:rPr>
        <w:t>сорпцију гвожђа из феро-фумарата.</w:t>
      </w:r>
    </w:p>
    <w:p w14:paraId="0DCF56F2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66473DA1" w14:textId="77777777" w:rsidR="005D17B3" w:rsidRPr="00F953E4" w:rsidRDefault="005D17B3" w:rsidP="009B7F92">
      <w:pPr>
        <w:rPr>
          <w:rFonts w:ascii="Times New Roman" w:hAnsi="Times New Roman"/>
          <w:i/>
          <w:sz w:val="22"/>
          <w:szCs w:val="22"/>
          <w:lang w:val="sr-Latn-ME"/>
        </w:rPr>
      </w:pPr>
      <w:r w:rsidRPr="00F953E4">
        <w:rPr>
          <w:rFonts w:ascii="Times New Roman" w:hAnsi="Times New Roman"/>
          <w:i/>
          <w:sz w:val="22"/>
          <w:szCs w:val="22"/>
          <w:lang w:val="sr-Latn-ME"/>
        </w:rPr>
        <w:t>Дистрибуција</w:t>
      </w:r>
    </w:p>
    <w:p w14:paraId="561440C6" w14:textId="4DD2D2B7" w:rsidR="005D17B3" w:rsidRPr="00F953E4" w:rsidRDefault="005D17B3" w:rsidP="009B7F92">
      <w:pPr>
        <w:rPr>
          <w:rFonts w:ascii="Times New Roman" w:hAnsi="Times New Roman"/>
          <w:i/>
          <w:iCs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 xml:space="preserve">Једна трећина трансферина се нормално 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везује</w:t>
      </w:r>
      <w:r w:rsidR="00C53D15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у организму за</w:t>
      </w:r>
      <w:r w:rsidR="00C53D15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гвожђе, а двије трећине се налазе у слободном облику. У физиолошким условима гвожђе се не налази у слободном облику у циркулацији. Оно се у ткива дистрибуира везано за трансферин.</w:t>
      </w:r>
      <w:r w:rsidR="00C53D15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Већи дио се уграђује у хемоглобин, а затим у друге структуре.</w:t>
      </w:r>
    </w:p>
    <w:p w14:paraId="6205CC5C" w14:textId="2BEA8AC7" w:rsidR="005D17B3" w:rsidRPr="00F953E4" w:rsidRDefault="005D17B3" w:rsidP="009B7F92">
      <w:pPr>
        <w:rPr>
          <w:rFonts w:ascii="Times New Roman" w:hAnsi="Times New Roman"/>
          <w:iCs/>
          <w:sz w:val="22"/>
          <w:szCs w:val="22"/>
          <w:lang w:val="sr-Latn-ME"/>
        </w:rPr>
      </w:pPr>
      <w:r w:rsidRPr="00F953E4">
        <w:rPr>
          <w:rFonts w:ascii="Times New Roman" w:hAnsi="Times New Roman"/>
          <w:iCs/>
          <w:sz w:val="22"/>
          <w:szCs w:val="22"/>
          <w:lang w:val="sr-Latn-ME"/>
        </w:rPr>
        <w:t>У облику феритина и хемосидерина депонује се као извор гвожђа за потребе организма. Депои се могу стварати у макрофагама, јетри, слезини и коштаној сржи. Феритин се налази у интестиналним ћелијама мукозе и плазми.</w:t>
      </w:r>
    </w:p>
    <w:p w14:paraId="137DDCDC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iCs/>
          <w:sz w:val="22"/>
          <w:szCs w:val="22"/>
          <w:lang w:val="sr-Latn-ME"/>
        </w:rPr>
        <w:t>Гвожђе пролази плаценту активним транспортом са носачем.</w:t>
      </w:r>
    </w:p>
    <w:p w14:paraId="5E8EABED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2266924B" w14:textId="77777777" w:rsidR="005D17B3" w:rsidRPr="00F953E4" w:rsidRDefault="005D17B3" w:rsidP="009B7F92">
      <w:pPr>
        <w:rPr>
          <w:rFonts w:ascii="Times New Roman" w:hAnsi="Times New Roman"/>
          <w:i/>
          <w:sz w:val="22"/>
          <w:szCs w:val="22"/>
          <w:lang w:val="sr-Latn-ME"/>
        </w:rPr>
      </w:pPr>
      <w:r w:rsidRPr="00F953E4">
        <w:rPr>
          <w:rFonts w:ascii="Times New Roman" w:hAnsi="Times New Roman"/>
          <w:i/>
          <w:sz w:val="22"/>
          <w:szCs w:val="22"/>
          <w:lang w:val="sr-Latn-ME"/>
        </w:rPr>
        <w:t>Метаболизам</w:t>
      </w:r>
    </w:p>
    <w:p w14:paraId="54071000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Већи дио гвожђа се након дезинтеграције хемоглобина поново користи у организму.</w:t>
      </w:r>
    </w:p>
    <w:p w14:paraId="2DFDB827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798E7613" w14:textId="77777777" w:rsidR="005D17B3" w:rsidRPr="00F953E4" w:rsidRDefault="005D17B3" w:rsidP="009B7F92">
      <w:pPr>
        <w:rPr>
          <w:rFonts w:ascii="Times New Roman" w:hAnsi="Times New Roman"/>
          <w:i/>
          <w:sz w:val="22"/>
          <w:szCs w:val="22"/>
          <w:lang w:val="sr-Latn-ME"/>
        </w:rPr>
      </w:pPr>
      <w:r w:rsidRPr="00F953E4">
        <w:rPr>
          <w:rFonts w:ascii="Times New Roman" w:hAnsi="Times New Roman"/>
          <w:i/>
          <w:sz w:val="22"/>
          <w:szCs w:val="22"/>
          <w:lang w:val="sr-Latn-ME"/>
        </w:rPr>
        <w:t>Екскреција</w:t>
      </w:r>
    </w:p>
    <w:p w14:paraId="6954A2CC" w14:textId="5FDAB508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Дневни губитак гвожђа је око 0.5 до 2 mg, првенствено десквамацијом ћелија коже, гастроинтестиналном мукозом, косом и ноктима. Само мала количина се излучује путем жучи и</w:t>
      </w:r>
      <w:r w:rsidR="00C53D15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>зноја, а 12-30 mg гвожђа може се изгубити нормалним менструалним крварењем.</w:t>
      </w:r>
    </w:p>
    <w:p w14:paraId="6EF65B86" w14:textId="77777777" w:rsidR="005D17B3" w:rsidRPr="00F953E4" w:rsidRDefault="005D17B3" w:rsidP="009B7F92">
      <w:pPr>
        <w:pStyle w:val="Header"/>
        <w:rPr>
          <w:rFonts w:ascii="Times New Roman" w:hAnsi="Times New Roman"/>
          <w:sz w:val="22"/>
          <w:szCs w:val="22"/>
          <w:lang w:val="sr-Latn-ME"/>
        </w:rPr>
      </w:pPr>
    </w:p>
    <w:p w14:paraId="7C2227B3" w14:textId="645FCB58" w:rsidR="005D17B3" w:rsidRPr="00F953E4" w:rsidRDefault="005D17B3" w:rsidP="009B7F92">
      <w:pPr>
        <w:pStyle w:val="Header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Полувријеме елиминације оралног и парентералног гвожђа је око 6 сати. Биолошки полуживот феро-фумарата је 12.9 сати.</w:t>
      </w:r>
    </w:p>
    <w:p w14:paraId="455A0054" w14:textId="43AC71D8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 xml:space="preserve">Гвожђе се излучује </w:t>
      </w:r>
      <w:r w:rsidR="00C53D15" w:rsidRPr="00F953E4">
        <w:rPr>
          <w:rFonts w:ascii="Times New Roman" w:hAnsi="Times New Roman"/>
          <w:sz w:val="22"/>
          <w:szCs w:val="22"/>
          <w:lang w:val="sr-Latn-ME"/>
        </w:rPr>
        <w:t xml:space="preserve">са </w:t>
      </w:r>
      <w:r w:rsidRPr="00F953E4">
        <w:rPr>
          <w:rFonts w:ascii="Times New Roman" w:hAnsi="Times New Roman"/>
          <w:sz w:val="22"/>
          <w:szCs w:val="22"/>
          <w:lang w:val="sr-Latn-ME"/>
        </w:rPr>
        <w:t>млијеком отприлике 0.25 mg/дан (0.15 до 0.3) током нормалног периода лактације.</w:t>
      </w:r>
    </w:p>
    <w:p w14:paraId="28CB6B90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14:paraId="1EEA2D02" w14:textId="6F2F55D2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5.3. Пре</w:t>
      </w:r>
      <w:r w:rsidR="00D343D8" w:rsidRPr="00F953E4">
        <w:rPr>
          <w:rFonts w:ascii="Times New Roman" w:hAnsi="Times New Roman"/>
          <w:b/>
          <w:bCs/>
          <w:sz w:val="22"/>
          <w:szCs w:val="22"/>
          <w:lang w:val="sr-Latn-ME"/>
        </w:rPr>
        <w:t>т</w:t>
      </w: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клинички подаци о безб</w:t>
      </w:r>
      <w:r w:rsidR="00C53D15" w:rsidRPr="00F953E4">
        <w:rPr>
          <w:rFonts w:ascii="Times New Roman" w:hAnsi="Times New Roman"/>
          <w:b/>
          <w:bCs/>
          <w:sz w:val="22"/>
          <w:szCs w:val="22"/>
          <w:lang w:val="sr-Latn-ME"/>
        </w:rPr>
        <w:t>ј</w:t>
      </w: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 xml:space="preserve">едности </w:t>
      </w:r>
    </w:p>
    <w:p w14:paraId="18CD7A53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1DDA7867" w14:textId="4037B005" w:rsidR="005D17B3" w:rsidRPr="00F953E4" w:rsidRDefault="00D343D8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Прет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 xml:space="preserve">клинички подаци нијесу показали посебан ризик за људе на </w:t>
      </w:r>
      <w:r w:rsidR="009959C3" w:rsidRPr="00F953E4">
        <w:rPr>
          <w:rFonts w:ascii="Times New Roman" w:hAnsi="Times New Roman"/>
          <w:sz w:val="22"/>
          <w:szCs w:val="22"/>
          <w:lang w:val="sr-Latn-ME"/>
        </w:rPr>
        <w:t xml:space="preserve">основу 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>уобичајних испитивања фармаколошке сигурности примјене, токсичности понављане дозе, генотоксичности, карциногеног потенцијала, токсичног утицаја на репродукцију.</w:t>
      </w:r>
    </w:p>
    <w:p w14:paraId="6149CE60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677F133D" w14:textId="77777777" w:rsidR="00E1270C" w:rsidRPr="00F953E4" w:rsidRDefault="00E1270C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1111E740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6. ФАРМАЦЕУТСКИ ПОДАЦИ</w:t>
      </w:r>
    </w:p>
    <w:p w14:paraId="4C0353AB" w14:textId="77777777" w:rsidR="005274AC" w:rsidRPr="00F953E4" w:rsidRDefault="005274AC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14:paraId="76E13ECA" w14:textId="6AF8207D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6.1. Листа</w:t>
      </w:r>
      <w:r w:rsidR="00C53D15" w:rsidRPr="00F953E4">
        <w:rPr>
          <w:rFonts w:ascii="Times New Roman" w:hAnsi="Times New Roman"/>
          <w:b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помоћних супстанци</w:t>
      </w:r>
      <w:r w:rsidR="00C53D15" w:rsidRPr="00F953E4">
        <w:rPr>
          <w:rFonts w:ascii="Times New Roman" w:hAnsi="Times New Roman"/>
          <w:b/>
          <w:bCs/>
          <w:sz w:val="22"/>
          <w:szCs w:val="22"/>
          <w:lang w:val="sr-Latn-ME"/>
        </w:rPr>
        <w:t xml:space="preserve"> </w:t>
      </w:r>
      <w:r w:rsidR="00E1270C" w:rsidRPr="00F953E4">
        <w:rPr>
          <w:rFonts w:ascii="Times New Roman" w:hAnsi="Times New Roman"/>
          <w:b/>
          <w:bCs/>
          <w:sz w:val="22"/>
          <w:szCs w:val="22"/>
          <w:lang w:val="sr-Latn-ME"/>
        </w:rPr>
        <w:t>(ексципијенаса)</w:t>
      </w:r>
    </w:p>
    <w:p w14:paraId="3A32C298" w14:textId="77777777" w:rsidR="005D17B3" w:rsidRPr="00F953E4" w:rsidRDefault="005D17B3" w:rsidP="009B7F92">
      <w:pPr>
        <w:pStyle w:val="Heading1"/>
        <w:jc w:val="left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0B861B82" w14:textId="77777777" w:rsidR="005274AC" w:rsidRPr="00F953E4" w:rsidRDefault="005274AC" w:rsidP="005274AC">
      <w:pPr>
        <w:jc w:val="left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 xml:space="preserve">Лактоза, монохидрат; </w:t>
      </w:r>
    </w:p>
    <w:p w14:paraId="7FA88B44" w14:textId="77777777" w:rsidR="005274AC" w:rsidRPr="00F953E4" w:rsidRDefault="005274AC" w:rsidP="005274AC">
      <w:pPr>
        <w:jc w:val="left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Силицијум диоксид, колоидни, безводни;</w:t>
      </w:r>
    </w:p>
    <w:p w14:paraId="5F29A025" w14:textId="77777777" w:rsidR="005274AC" w:rsidRPr="00F953E4" w:rsidRDefault="005274AC" w:rsidP="005274AC">
      <w:pPr>
        <w:jc w:val="left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 xml:space="preserve">Натријум лаурилсулфат; </w:t>
      </w:r>
    </w:p>
    <w:p w14:paraId="48601AC2" w14:textId="00B177E4" w:rsidR="005D17B3" w:rsidRPr="00F953E4" w:rsidRDefault="005D17B3" w:rsidP="009B7F92">
      <w:pPr>
        <w:jc w:val="left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Магнезијум</w:t>
      </w:r>
      <w:r w:rsidR="005B66C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стеарат; </w:t>
      </w:r>
    </w:p>
    <w:p w14:paraId="524D6019" w14:textId="77777777" w:rsidR="005274AC" w:rsidRPr="00F953E4" w:rsidRDefault="005274AC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188A1178" w14:textId="5983AF71" w:rsidR="005D17B3" w:rsidRPr="00F953E4" w:rsidRDefault="005274AC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Cyrl-ME"/>
        </w:rPr>
        <w:t xml:space="preserve">Омотач 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тврде 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>желатинске капсуле</w:t>
      </w:r>
      <w:r w:rsidRPr="00F953E4">
        <w:rPr>
          <w:rFonts w:ascii="Times New Roman" w:hAnsi="Times New Roman"/>
          <w:sz w:val="22"/>
          <w:szCs w:val="22"/>
          <w:lang w:val="sr-Cyrl-ME"/>
        </w:rPr>
        <w:t>: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 xml:space="preserve"> желатин, титан</w:t>
      </w:r>
      <w:r w:rsidR="005B66CE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 xml:space="preserve">диоксид </w:t>
      </w:r>
      <w:r w:rsidRPr="00F953E4">
        <w:rPr>
          <w:rFonts w:ascii="Times New Roman" w:hAnsi="Times New Roman"/>
          <w:sz w:val="22"/>
          <w:szCs w:val="22"/>
          <w:lang w:val="sr-Cyrl-ME"/>
        </w:rPr>
        <w:t>(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>Е171</w:t>
      </w:r>
      <w:r w:rsidRPr="00F953E4">
        <w:rPr>
          <w:rFonts w:ascii="Times New Roman" w:hAnsi="Times New Roman"/>
          <w:sz w:val="22"/>
          <w:szCs w:val="22"/>
          <w:lang w:val="sr-Cyrl-ME"/>
        </w:rPr>
        <w:t>)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 xml:space="preserve">, боја </w:t>
      </w:r>
      <w:r w:rsidRPr="00F953E4">
        <w:rPr>
          <w:rFonts w:ascii="Times New Roman" w:hAnsi="Times New Roman"/>
          <w:i/>
          <w:sz w:val="22"/>
          <w:szCs w:val="22"/>
          <w:lang w:val="sr-Latn-ME"/>
        </w:rPr>
        <w:t>Quinoline yellow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Cyrl-ME"/>
        </w:rPr>
        <w:t>(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>Е104), боја</w:t>
      </w:r>
      <w:r w:rsidRPr="00F953E4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Pr="00F953E4">
        <w:rPr>
          <w:rFonts w:ascii="Times New Roman" w:hAnsi="Times New Roman"/>
          <w:i/>
          <w:sz w:val="22"/>
          <w:szCs w:val="22"/>
          <w:lang w:val="sr-Cyrl-ME"/>
        </w:rPr>
        <w:t>Azorubin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Cyrl-ME"/>
        </w:rPr>
        <w:t>(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 xml:space="preserve">Е122), боја </w:t>
      </w:r>
      <w:r w:rsidRPr="00F953E4">
        <w:rPr>
          <w:rFonts w:ascii="Times New Roman" w:hAnsi="Times New Roman"/>
          <w:i/>
          <w:sz w:val="22"/>
          <w:szCs w:val="22"/>
          <w:lang w:val="sr-Latn-ME"/>
        </w:rPr>
        <w:t>Patent Blue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Cyrl-ME"/>
        </w:rPr>
        <w:t>(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 xml:space="preserve">Е131), боја </w:t>
      </w:r>
      <w:r w:rsidRPr="00F953E4">
        <w:rPr>
          <w:rFonts w:ascii="Times New Roman" w:hAnsi="Times New Roman"/>
          <w:i/>
          <w:sz w:val="22"/>
          <w:szCs w:val="22"/>
          <w:lang w:val="sr-Latn-ME"/>
        </w:rPr>
        <w:t>Brilliant black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Cyrl-ME"/>
        </w:rPr>
        <w:t>(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>Е151)</w:t>
      </w:r>
      <w:r w:rsidRPr="00F953E4">
        <w:rPr>
          <w:rFonts w:ascii="Times New Roman" w:hAnsi="Times New Roman"/>
          <w:sz w:val="22"/>
          <w:szCs w:val="22"/>
          <w:lang w:val="sr-Cyrl-ME"/>
        </w:rPr>
        <w:t>.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</w:p>
    <w:p w14:paraId="03CCFA45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69A9DC17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6.2. Инкомпатибилности</w:t>
      </w:r>
    </w:p>
    <w:p w14:paraId="346D52F2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6113D9AA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Није примјенљиво.</w:t>
      </w:r>
    </w:p>
    <w:p w14:paraId="51924119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72D83CF6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6.3. Рок</w:t>
      </w:r>
      <w:r w:rsidR="00C53D15" w:rsidRPr="00F953E4">
        <w:rPr>
          <w:rFonts w:ascii="Times New Roman" w:hAnsi="Times New Roman"/>
          <w:b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употребе</w:t>
      </w:r>
    </w:p>
    <w:p w14:paraId="6CA7A43F" w14:textId="77777777" w:rsidR="005D17B3" w:rsidRPr="00F953E4" w:rsidRDefault="005D17B3" w:rsidP="009B7F92">
      <w:pPr>
        <w:pStyle w:val="BodyText3"/>
        <w:rPr>
          <w:szCs w:val="22"/>
          <w:lang w:val="sr-Latn-ME"/>
        </w:rPr>
      </w:pPr>
    </w:p>
    <w:p w14:paraId="765500E4" w14:textId="77777777" w:rsidR="005D17B3" w:rsidRPr="00F953E4" w:rsidRDefault="005D17B3" w:rsidP="009B7F92">
      <w:pPr>
        <w:pStyle w:val="BodyText3"/>
        <w:rPr>
          <w:szCs w:val="22"/>
          <w:lang w:val="sr-Latn-ME"/>
        </w:rPr>
      </w:pPr>
      <w:r w:rsidRPr="00F953E4">
        <w:rPr>
          <w:szCs w:val="22"/>
          <w:lang w:val="sr-Latn-ME"/>
        </w:rPr>
        <w:t>Пет (5) година.</w:t>
      </w:r>
    </w:p>
    <w:p w14:paraId="36101C58" w14:textId="77777777" w:rsidR="005D17B3" w:rsidRPr="00F953E4" w:rsidRDefault="005D17B3" w:rsidP="009B7F92">
      <w:pPr>
        <w:pStyle w:val="BodyText3"/>
        <w:rPr>
          <w:szCs w:val="22"/>
          <w:lang w:val="sr-Latn-ME"/>
        </w:rPr>
      </w:pPr>
    </w:p>
    <w:p w14:paraId="231C3D01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6.4. Посебне мјере упозорења при чувању лијека</w:t>
      </w:r>
    </w:p>
    <w:p w14:paraId="0D5D0B76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458D54E8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Чувати на температури испод 30</w:t>
      </w:r>
      <w:r w:rsidRPr="00F953E4">
        <w:rPr>
          <w:rFonts w:ascii="Times New Roman" w:hAnsi="Times New Roman"/>
          <w:sz w:val="22"/>
          <w:szCs w:val="22"/>
          <w:lang w:val="sr-Latn-ME"/>
        </w:rPr>
        <w:sym w:font="Symbol" w:char="F0B0"/>
      </w:r>
      <w:r w:rsidRPr="00F953E4">
        <w:rPr>
          <w:rFonts w:ascii="Times New Roman" w:hAnsi="Times New Roman"/>
          <w:sz w:val="22"/>
          <w:szCs w:val="22"/>
          <w:lang w:val="sr-Latn-ME"/>
        </w:rPr>
        <w:t>C.</w:t>
      </w:r>
    </w:p>
    <w:p w14:paraId="59FF141C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29B3491F" w14:textId="4A2D1973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6.5. Врста</w:t>
      </w:r>
      <w:r w:rsidR="00C53D15" w:rsidRPr="00F953E4">
        <w:rPr>
          <w:rFonts w:ascii="Times New Roman" w:hAnsi="Times New Roman"/>
          <w:b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и садржај паковања</w:t>
      </w:r>
    </w:p>
    <w:p w14:paraId="5E08E0A8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159F884B" w14:textId="0F2590CF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Капсуле су паковане у блистер паковање од про</w:t>
      </w:r>
      <w:r w:rsidR="00D343D8" w:rsidRPr="00F953E4">
        <w:rPr>
          <w:rFonts w:ascii="Times New Roman" w:hAnsi="Times New Roman"/>
          <w:sz w:val="22"/>
          <w:szCs w:val="22"/>
          <w:lang w:val="sr-Latn-ME"/>
        </w:rPr>
        <w:t>видне</w:t>
      </w:r>
      <w:r w:rsidR="00C53D15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PVC/PVDC/Al фолије. Један блистер садржи 10 капсула. Кутија садржи 30 капсула (3 блистера) и </w:t>
      </w:r>
      <w:r w:rsidR="00E1270C" w:rsidRPr="00F953E4">
        <w:rPr>
          <w:rFonts w:ascii="Times New Roman" w:hAnsi="Times New Roman"/>
          <w:sz w:val="22"/>
          <w:szCs w:val="22"/>
          <w:lang w:val="sr-Latn-ME"/>
        </w:rPr>
        <w:t>У</w:t>
      </w:r>
      <w:r w:rsidRPr="00F953E4">
        <w:rPr>
          <w:rFonts w:ascii="Times New Roman" w:hAnsi="Times New Roman"/>
          <w:sz w:val="22"/>
          <w:szCs w:val="22"/>
          <w:lang w:val="sr-Latn-ME"/>
        </w:rPr>
        <w:t>путство</w:t>
      </w:r>
      <w:r w:rsidR="004A5143" w:rsidRPr="00F953E4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E1270C" w:rsidRPr="00F953E4">
        <w:rPr>
          <w:rFonts w:ascii="Times New Roman" w:hAnsi="Times New Roman"/>
          <w:sz w:val="22"/>
          <w:szCs w:val="22"/>
          <w:lang w:val="sr-Latn-ME"/>
        </w:rPr>
        <w:t>за лијек</w:t>
      </w:r>
      <w:r w:rsidRPr="00F953E4">
        <w:rPr>
          <w:rFonts w:ascii="Times New Roman" w:hAnsi="Times New Roman"/>
          <w:sz w:val="22"/>
          <w:szCs w:val="22"/>
          <w:lang w:val="sr-Latn-ME"/>
        </w:rPr>
        <w:t>.</w:t>
      </w:r>
    </w:p>
    <w:p w14:paraId="243C5102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</w:p>
    <w:p w14:paraId="38FC7033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 xml:space="preserve">6.6. Посебне мјере опреза при одлагању материјала који треба одбацити након примјене лијека </w:t>
      </w:r>
      <w:r w:rsidR="00E1270C" w:rsidRPr="00F953E4">
        <w:rPr>
          <w:rFonts w:ascii="Times New Roman" w:hAnsi="Times New Roman"/>
          <w:b/>
          <w:bCs/>
          <w:sz w:val="22"/>
          <w:szCs w:val="22"/>
          <w:lang w:val="sr-Latn-ME"/>
        </w:rPr>
        <w:t>(и друга упутства за руковање лијеком)</w:t>
      </w:r>
    </w:p>
    <w:p w14:paraId="47693064" w14:textId="77777777" w:rsidR="005D17B3" w:rsidRPr="00F953E4" w:rsidRDefault="005D17B3" w:rsidP="009B7F92">
      <w:pPr>
        <w:rPr>
          <w:rFonts w:ascii="Times New Roman" w:hAnsi="Times New Roman"/>
          <w:bCs/>
          <w:iCs/>
          <w:sz w:val="22"/>
          <w:szCs w:val="22"/>
          <w:lang w:val="sr-Latn-ME"/>
        </w:rPr>
      </w:pPr>
    </w:p>
    <w:p w14:paraId="29723A55" w14:textId="77777777" w:rsidR="005D17B3" w:rsidRPr="00F953E4" w:rsidRDefault="005D17B3" w:rsidP="009B7F92">
      <w:pPr>
        <w:rPr>
          <w:rFonts w:ascii="Times New Roman" w:hAnsi="Times New Roman"/>
          <w:bCs/>
          <w:iCs/>
          <w:sz w:val="22"/>
          <w:szCs w:val="22"/>
          <w:lang w:val="sr-Latn-ME"/>
        </w:rPr>
      </w:pPr>
      <w:r w:rsidRPr="00F953E4">
        <w:rPr>
          <w:rFonts w:ascii="Times New Roman" w:hAnsi="Times New Roman"/>
          <w:bCs/>
          <w:iCs/>
          <w:sz w:val="22"/>
          <w:szCs w:val="22"/>
          <w:lang w:val="sr-Latn-ME"/>
        </w:rPr>
        <w:t>За оралну употребу.</w:t>
      </w:r>
    </w:p>
    <w:p w14:paraId="1E3485BB" w14:textId="77777777" w:rsidR="005D17B3" w:rsidRPr="00F953E4" w:rsidRDefault="005D17B3" w:rsidP="009B7F92">
      <w:pPr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Неупотријебљени лијек или отпадни материјал се уништава у складу са важећим прописима.</w:t>
      </w:r>
    </w:p>
    <w:p w14:paraId="5FFB08E9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52873A0A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6EF7C86F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 xml:space="preserve">7. НОСИЛАЦ ДОЗВОЛЕ </w:t>
      </w:r>
    </w:p>
    <w:p w14:paraId="32D146C8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21953542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АЛКАЛОИД д.о.о. Подгорица</w:t>
      </w:r>
    </w:p>
    <w:p w14:paraId="6120E7FD" w14:textId="3735D566" w:rsidR="00C03860" w:rsidRPr="00F953E4" w:rsidRDefault="005D17B3" w:rsidP="009B7F92">
      <w:pPr>
        <w:tabs>
          <w:tab w:val="clear" w:pos="284"/>
        </w:tabs>
        <w:rPr>
          <w:rFonts w:ascii="Times New Roman" w:hAnsi="Times New Roman"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Cs/>
          <w:sz w:val="22"/>
          <w:szCs w:val="22"/>
          <w:lang w:val="sr-Latn-ME"/>
        </w:rPr>
        <w:t>Ул. Светлане</w:t>
      </w:r>
      <w:r w:rsidR="00C53D15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Кане</w:t>
      </w:r>
      <w:r w:rsidR="00C53D15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Радевић</w:t>
      </w:r>
      <w:r w:rsidR="00C53D15" w:rsidRPr="00F953E4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F953E4">
        <w:rPr>
          <w:rFonts w:ascii="Times New Roman" w:hAnsi="Times New Roman"/>
          <w:bCs/>
          <w:sz w:val="22"/>
          <w:szCs w:val="22"/>
          <w:lang w:val="sr-Latn-ME"/>
        </w:rPr>
        <w:t>бр. 3/V</w:t>
      </w:r>
      <w:r w:rsidR="00C03860" w:rsidRPr="00F953E4">
        <w:rPr>
          <w:rFonts w:ascii="Times New Roman" w:hAnsi="Times New Roman"/>
          <w:bCs/>
          <w:sz w:val="22"/>
          <w:szCs w:val="22"/>
          <w:lang w:val="sr-Latn-ME"/>
        </w:rPr>
        <w:t>,</w:t>
      </w:r>
    </w:p>
    <w:p w14:paraId="6D45BDE6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81 000 Подгорица, Црна Гора</w:t>
      </w:r>
    </w:p>
    <w:p w14:paraId="27932481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52EC3DC2" w14:textId="77777777" w:rsidR="00E1270C" w:rsidRPr="00F953E4" w:rsidRDefault="00E1270C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4C0A0D99" w14:textId="62F18774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8. БРОЈ ДОЗВОЛЕ</w:t>
      </w:r>
      <w:r w:rsidR="00C53D15" w:rsidRPr="00F953E4">
        <w:rPr>
          <w:rFonts w:ascii="Times New Roman" w:hAnsi="Times New Roman"/>
          <w:b/>
          <w:bCs/>
          <w:sz w:val="22"/>
          <w:szCs w:val="22"/>
          <w:lang w:val="sr-Latn-ME"/>
        </w:rPr>
        <w:t xml:space="preserve"> </w:t>
      </w:r>
      <w:r w:rsidR="00E1270C" w:rsidRPr="00F953E4">
        <w:rPr>
          <w:rFonts w:ascii="Times New Roman" w:hAnsi="Times New Roman"/>
          <w:b/>
          <w:bCs/>
          <w:sz w:val="22"/>
          <w:szCs w:val="22"/>
          <w:lang w:val="sr-Latn-ME"/>
        </w:rPr>
        <w:t>ЗА СТАВЉАЊЕ ЛИЈЕКА У ПРОМЕТ</w:t>
      </w:r>
    </w:p>
    <w:p w14:paraId="38B8836B" w14:textId="77777777" w:rsidR="005D17B3" w:rsidRPr="00F953E4" w:rsidRDefault="005D17B3" w:rsidP="009B7F92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ME"/>
        </w:rPr>
      </w:pPr>
    </w:p>
    <w:p w14:paraId="030CA5D3" w14:textId="6170948F" w:rsidR="00E1270C" w:rsidRPr="00F953E4" w:rsidRDefault="0090370B" w:rsidP="009B7F92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>2030/24/6195 – 7473</w:t>
      </w:r>
    </w:p>
    <w:p w14:paraId="22DEEA57" w14:textId="5BAE96D1" w:rsidR="0090370B" w:rsidRPr="00F953E4" w:rsidRDefault="0090370B" w:rsidP="009B7F92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ME"/>
        </w:rPr>
      </w:pPr>
    </w:p>
    <w:p w14:paraId="53DCB0BB" w14:textId="77777777" w:rsidR="0090370B" w:rsidRPr="00F953E4" w:rsidRDefault="0090370B" w:rsidP="009B7F92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ME"/>
        </w:rPr>
      </w:pPr>
    </w:p>
    <w:p w14:paraId="174241A2" w14:textId="2BC4F6C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9. ДАТУМ ПРВЕ ДОЗВОЛЕ /ОБНОВЕ ДОЗВОЛЕ</w:t>
      </w:r>
      <w:r w:rsidR="00E1270C" w:rsidRPr="00F953E4">
        <w:rPr>
          <w:rFonts w:ascii="Times New Roman" w:hAnsi="Times New Roman"/>
          <w:b/>
          <w:bCs/>
          <w:sz w:val="22"/>
          <w:szCs w:val="22"/>
          <w:lang w:val="sr-Latn-ME"/>
        </w:rPr>
        <w:t xml:space="preserve"> ЗА СТАВЉАЊЕ ЛИЈЕКА У ПРОМЕТ</w:t>
      </w:r>
    </w:p>
    <w:p w14:paraId="5DC0E302" w14:textId="77777777" w:rsidR="00E55F64" w:rsidRPr="00F953E4" w:rsidRDefault="00E55F64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63DC9D3F" w14:textId="21BE1484" w:rsidR="005D17B3" w:rsidRPr="00F953E4" w:rsidRDefault="00D056FC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 xml:space="preserve">Датум прве дозволе: </w:t>
      </w:r>
      <w:r w:rsidR="005D17B3" w:rsidRPr="00F953E4">
        <w:rPr>
          <w:rFonts w:ascii="Times New Roman" w:hAnsi="Times New Roman"/>
          <w:sz w:val="22"/>
          <w:szCs w:val="22"/>
          <w:lang w:val="sr-Latn-ME"/>
        </w:rPr>
        <w:t>17.07.2012. године</w:t>
      </w:r>
    </w:p>
    <w:p w14:paraId="21896FFA" w14:textId="3C07EC0E" w:rsidR="00E1270C" w:rsidRPr="00F953E4" w:rsidRDefault="00D056FC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  <w:r w:rsidRPr="00F953E4">
        <w:rPr>
          <w:rFonts w:ascii="Times New Roman" w:hAnsi="Times New Roman"/>
          <w:sz w:val="22"/>
          <w:szCs w:val="22"/>
          <w:lang w:val="sr-Latn-ME"/>
        </w:rPr>
        <w:t xml:space="preserve">Датум </w:t>
      </w:r>
      <w:r w:rsidRPr="00F953E4">
        <w:rPr>
          <w:rFonts w:ascii="Times New Roman" w:hAnsi="Times New Roman"/>
          <w:sz w:val="22"/>
          <w:szCs w:val="22"/>
          <w:lang w:val="sr-Cyrl-ME"/>
        </w:rPr>
        <w:t>посљедње</w:t>
      </w:r>
      <w:r w:rsidRPr="00F953E4">
        <w:rPr>
          <w:rFonts w:ascii="Times New Roman" w:hAnsi="Times New Roman"/>
          <w:sz w:val="22"/>
          <w:szCs w:val="22"/>
          <w:lang w:val="sr-Latn-ME"/>
        </w:rPr>
        <w:t xml:space="preserve"> обнове дозволе:</w:t>
      </w:r>
      <w:r w:rsidR="0090370B" w:rsidRPr="00F953E4">
        <w:rPr>
          <w:rFonts w:ascii="Times New Roman" w:hAnsi="Times New Roman"/>
          <w:sz w:val="22"/>
          <w:szCs w:val="22"/>
          <w:lang w:val="sr-Latn-ME"/>
        </w:rPr>
        <w:t xml:space="preserve"> 20.11.2024. године</w:t>
      </w:r>
    </w:p>
    <w:p w14:paraId="3099877D" w14:textId="61FCA37C" w:rsidR="00E1270C" w:rsidRPr="00F953E4" w:rsidRDefault="00E1270C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3418A8E2" w14:textId="77777777" w:rsidR="00427D0D" w:rsidRPr="00F953E4" w:rsidRDefault="00427D0D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0CEF8CB2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F953E4">
        <w:rPr>
          <w:rFonts w:ascii="Times New Roman" w:hAnsi="Times New Roman"/>
          <w:b/>
          <w:bCs/>
          <w:sz w:val="22"/>
          <w:szCs w:val="22"/>
          <w:lang w:val="sr-Latn-ME"/>
        </w:rPr>
        <w:t>10. ДАТУМ РЕВИЗИЈЕ ТЕКСТА</w:t>
      </w:r>
    </w:p>
    <w:p w14:paraId="5CF54AAD" w14:textId="7B02280B" w:rsidR="00BC169E" w:rsidRPr="00F953E4" w:rsidRDefault="00BC169E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14:paraId="1CC73578" w14:textId="5FAB3A31" w:rsidR="001F4788" w:rsidRPr="00F953E4" w:rsidRDefault="001F4788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mk-MK"/>
        </w:rPr>
      </w:pPr>
      <w:r w:rsidRPr="00F953E4">
        <w:rPr>
          <w:rFonts w:ascii="Times New Roman" w:hAnsi="Times New Roman"/>
          <w:bCs/>
          <w:sz w:val="22"/>
          <w:szCs w:val="22"/>
          <w:lang w:val="mk-MK"/>
        </w:rPr>
        <w:t>Новембар, 2024.</w:t>
      </w:r>
      <w:r w:rsidR="00926FA4" w:rsidRPr="00F953E4">
        <w:rPr>
          <w:rFonts w:ascii="Times New Roman" w:hAnsi="Times New Roman"/>
          <w:bCs/>
          <w:sz w:val="22"/>
          <w:szCs w:val="22"/>
          <w:lang w:val="mk-MK"/>
        </w:rPr>
        <w:t xml:space="preserve"> године</w:t>
      </w:r>
    </w:p>
    <w:p w14:paraId="03FF97EF" w14:textId="77777777" w:rsidR="005D17B3" w:rsidRPr="00F953E4" w:rsidRDefault="005D17B3" w:rsidP="009B7F9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14:paraId="7F744FA3" w14:textId="77777777" w:rsidR="00143D6C" w:rsidRPr="00F953E4" w:rsidRDefault="00143D6C" w:rsidP="009B7F92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Cyrl-ME"/>
        </w:rPr>
      </w:pPr>
    </w:p>
    <w:p w14:paraId="2C2019AD" w14:textId="77777777" w:rsidR="00143D6C" w:rsidRPr="00F953E4" w:rsidRDefault="00143D6C" w:rsidP="009B7F92">
      <w:pPr>
        <w:rPr>
          <w:rFonts w:ascii="Times New Roman" w:hAnsi="Times New Roman"/>
          <w:sz w:val="22"/>
          <w:szCs w:val="22"/>
          <w:lang w:val="sr-Latn-ME"/>
        </w:rPr>
      </w:pPr>
    </w:p>
    <w:sectPr w:rsidR="00143D6C" w:rsidRPr="00F953E4" w:rsidSect="00985E2C">
      <w:footerReference w:type="even" r:id="rId15"/>
      <w:footerReference w:type="default" r:id="rId16"/>
      <w:footerReference w:type="first" r:id="rId17"/>
      <w:pgSz w:w="11907" w:h="16840" w:code="9"/>
      <w:pgMar w:top="1276" w:right="1417" w:bottom="1135" w:left="1418" w:header="357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EB33B" w14:textId="77777777" w:rsidR="006A43CB" w:rsidRDefault="006A43CB">
      <w:r>
        <w:separator/>
      </w:r>
    </w:p>
  </w:endnote>
  <w:endnote w:type="continuationSeparator" w:id="0">
    <w:p w14:paraId="32142517" w14:textId="77777777" w:rsidR="006A43CB" w:rsidRDefault="006A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anist777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03B2D" w14:textId="77777777" w:rsidR="009B7F92" w:rsidRDefault="009B7F92" w:rsidP="00D561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FAEE0D" w14:textId="77777777" w:rsidR="009B7F92" w:rsidRDefault="009B7F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62802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2"/>
            <w:szCs w:val="22"/>
          </w:rPr>
        </w:sdtEndPr>
        <w:sdtContent>
          <w:p w14:paraId="2EC145F3" w14:textId="479D0F9D" w:rsidR="00985E2C" w:rsidRPr="00026EC6" w:rsidRDefault="00985E2C">
            <w:pPr>
              <w:pStyle w:val="Footer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6EC6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7E3DCC">
              <w:rPr>
                <w:rFonts w:ascii="Times New Roman" w:hAnsi="Times New Roman"/>
                <w:bCs/>
                <w:sz w:val="22"/>
                <w:szCs w:val="22"/>
              </w:rPr>
              <w:instrText xml:space="preserve"> PAGE </w:instrText>
            </w:r>
            <w:r w:rsidRPr="00026EC6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F953E4">
              <w:rPr>
                <w:rFonts w:ascii="Times New Roman" w:hAnsi="Times New Roman"/>
                <w:bCs/>
                <w:noProof/>
                <w:sz w:val="22"/>
                <w:szCs w:val="22"/>
              </w:rPr>
              <w:t>7</w:t>
            </w:r>
            <w:r w:rsidRPr="00026EC6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026EC6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 w:rsidRPr="00026EC6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7E3DCC">
              <w:rPr>
                <w:rFonts w:ascii="Times New Roman" w:hAnsi="Times New Roman"/>
                <w:bCs/>
                <w:sz w:val="22"/>
                <w:szCs w:val="22"/>
              </w:rPr>
              <w:instrText xml:space="preserve"> NUMPAGES  </w:instrText>
            </w:r>
            <w:r w:rsidRPr="00026EC6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F953E4">
              <w:rPr>
                <w:rFonts w:ascii="Times New Roman" w:hAnsi="Times New Roman"/>
                <w:bCs/>
                <w:noProof/>
                <w:sz w:val="22"/>
                <w:szCs w:val="22"/>
              </w:rPr>
              <w:t>7</w:t>
            </w:r>
            <w:r w:rsidRPr="00026EC6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EBEC379" w14:textId="77777777" w:rsidR="009B7F92" w:rsidRPr="005D0826" w:rsidRDefault="009B7F92" w:rsidP="00EA39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469475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2"/>
        <w:szCs w:val="22"/>
      </w:rPr>
    </w:sdtEndPr>
    <w:sdtContent>
      <w:p w14:paraId="2BFEE65B" w14:textId="22549A16" w:rsidR="005D0826" w:rsidRPr="00EA395F" w:rsidRDefault="005D0826">
        <w:pPr>
          <w:pStyle w:val="Footer"/>
          <w:jc w:val="center"/>
          <w:rPr>
            <w:rFonts w:ascii="Times New Roman" w:hAnsi="Times New Roman"/>
            <w:sz w:val="22"/>
            <w:szCs w:val="22"/>
          </w:rPr>
        </w:pPr>
        <w:r w:rsidRPr="00EA395F">
          <w:rPr>
            <w:rFonts w:ascii="Times New Roman" w:hAnsi="Times New Roman"/>
            <w:sz w:val="22"/>
            <w:szCs w:val="22"/>
          </w:rPr>
          <w:fldChar w:fldCharType="begin"/>
        </w:r>
        <w:r w:rsidRPr="00EA395F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EA395F">
          <w:rPr>
            <w:rFonts w:ascii="Times New Roman" w:hAnsi="Times New Roman"/>
            <w:sz w:val="22"/>
            <w:szCs w:val="22"/>
          </w:rPr>
          <w:fldChar w:fldCharType="separate"/>
        </w:r>
        <w:r w:rsidR="00985E2C">
          <w:rPr>
            <w:rFonts w:ascii="Times New Roman" w:hAnsi="Times New Roman"/>
            <w:noProof/>
            <w:sz w:val="22"/>
            <w:szCs w:val="22"/>
          </w:rPr>
          <w:t>1</w:t>
        </w:r>
        <w:r w:rsidRPr="00EA395F">
          <w:rPr>
            <w:rFonts w:ascii="Times New Roman" w:hAnsi="Times New Roman"/>
            <w:noProof/>
            <w:sz w:val="22"/>
            <w:szCs w:val="22"/>
          </w:rPr>
          <w:fldChar w:fldCharType="end"/>
        </w:r>
        <w:r w:rsidR="0083103E">
          <w:rPr>
            <w:rFonts w:ascii="Times New Roman" w:hAnsi="Times New Roman"/>
            <w:noProof/>
            <w:sz w:val="22"/>
            <w:szCs w:val="22"/>
          </w:rPr>
          <w:t xml:space="preserve"> / 8</w:t>
        </w:r>
      </w:p>
    </w:sdtContent>
  </w:sdt>
  <w:p w14:paraId="7A6C0DBA" w14:textId="77777777" w:rsidR="005D0826" w:rsidRDefault="005D0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72D14" w14:textId="77777777" w:rsidR="006A43CB" w:rsidRDefault="006A43CB">
      <w:r>
        <w:separator/>
      </w:r>
    </w:p>
  </w:footnote>
  <w:footnote w:type="continuationSeparator" w:id="0">
    <w:p w14:paraId="30D30012" w14:textId="77777777" w:rsidR="006A43CB" w:rsidRDefault="006A4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1DB"/>
    <w:multiLevelType w:val="hybridMultilevel"/>
    <w:tmpl w:val="3B20B73C"/>
    <w:lvl w:ilvl="0" w:tplc="C2B07F12">
      <w:numFmt w:val="bullet"/>
      <w:lvlText w:val=""/>
      <w:lvlJc w:val="left"/>
      <w:pPr>
        <w:tabs>
          <w:tab w:val="num" w:pos="340"/>
        </w:tabs>
        <w:ind w:left="0" w:firstLine="113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F0863"/>
    <w:multiLevelType w:val="hybridMultilevel"/>
    <w:tmpl w:val="CC34A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D746D"/>
    <w:multiLevelType w:val="hybridMultilevel"/>
    <w:tmpl w:val="9D402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54F9E"/>
    <w:multiLevelType w:val="hybridMultilevel"/>
    <w:tmpl w:val="437A2A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BE"/>
    <w:rsid w:val="00004E28"/>
    <w:rsid w:val="0000645E"/>
    <w:rsid w:val="0001693D"/>
    <w:rsid w:val="00017A10"/>
    <w:rsid w:val="00020217"/>
    <w:rsid w:val="00020D94"/>
    <w:rsid w:val="00024D72"/>
    <w:rsid w:val="000268CB"/>
    <w:rsid w:val="00026EC6"/>
    <w:rsid w:val="00041EA9"/>
    <w:rsid w:val="00056845"/>
    <w:rsid w:val="0006133B"/>
    <w:rsid w:val="00064DAC"/>
    <w:rsid w:val="00075946"/>
    <w:rsid w:val="000772FE"/>
    <w:rsid w:val="000831B9"/>
    <w:rsid w:val="00086AA9"/>
    <w:rsid w:val="000A344D"/>
    <w:rsid w:val="000A477D"/>
    <w:rsid w:val="000B47DA"/>
    <w:rsid w:val="000C3D5B"/>
    <w:rsid w:val="000C4588"/>
    <w:rsid w:val="000E4AA9"/>
    <w:rsid w:val="000F7931"/>
    <w:rsid w:val="00105F90"/>
    <w:rsid w:val="00113245"/>
    <w:rsid w:val="00123F57"/>
    <w:rsid w:val="00125D21"/>
    <w:rsid w:val="001315C3"/>
    <w:rsid w:val="00132131"/>
    <w:rsid w:val="00134025"/>
    <w:rsid w:val="00134E4A"/>
    <w:rsid w:val="00143D6C"/>
    <w:rsid w:val="00150A08"/>
    <w:rsid w:val="00171EE8"/>
    <w:rsid w:val="00195F2F"/>
    <w:rsid w:val="001974D3"/>
    <w:rsid w:val="001C21EB"/>
    <w:rsid w:val="001E0092"/>
    <w:rsid w:val="001F4788"/>
    <w:rsid w:val="0020114B"/>
    <w:rsid w:val="00201DDC"/>
    <w:rsid w:val="00211993"/>
    <w:rsid w:val="002221DB"/>
    <w:rsid w:val="00223FC4"/>
    <w:rsid w:val="00235980"/>
    <w:rsid w:val="0024021F"/>
    <w:rsid w:val="0025350A"/>
    <w:rsid w:val="00270F3B"/>
    <w:rsid w:val="00273669"/>
    <w:rsid w:val="00281125"/>
    <w:rsid w:val="00283373"/>
    <w:rsid w:val="002A28B1"/>
    <w:rsid w:val="002A5C7A"/>
    <w:rsid w:val="002D0065"/>
    <w:rsid w:val="002F274A"/>
    <w:rsid w:val="002F29A5"/>
    <w:rsid w:val="0030055E"/>
    <w:rsid w:val="00303EBB"/>
    <w:rsid w:val="0032202E"/>
    <w:rsid w:val="00346FC2"/>
    <w:rsid w:val="00350855"/>
    <w:rsid w:val="00367B06"/>
    <w:rsid w:val="00373297"/>
    <w:rsid w:val="00396250"/>
    <w:rsid w:val="003A168B"/>
    <w:rsid w:val="003A2D22"/>
    <w:rsid w:val="003B273F"/>
    <w:rsid w:val="003B5AD9"/>
    <w:rsid w:val="003C054F"/>
    <w:rsid w:val="003C7BE2"/>
    <w:rsid w:val="003D24C2"/>
    <w:rsid w:val="003D66B6"/>
    <w:rsid w:val="003E4886"/>
    <w:rsid w:val="003F08AD"/>
    <w:rsid w:val="00405BC6"/>
    <w:rsid w:val="00407B98"/>
    <w:rsid w:val="00414424"/>
    <w:rsid w:val="004234EF"/>
    <w:rsid w:val="00427D0D"/>
    <w:rsid w:val="004410C7"/>
    <w:rsid w:val="00485880"/>
    <w:rsid w:val="004927A2"/>
    <w:rsid w:val="004A5143"/>
    <w:rsid w:val="004A65AF"/>
    <w:rsid w:val="004C2F54"/>
    <w:rsid w:val="004D1465"/>
    <w:rsid w:val="004D3C0C"/>
    <w:rsid w:val="005062D2"/>
    <w:rsid w:val="0051016D"/>
    <w:rsid w:val="005260EE"/>
    <w:rsid w:val="00526EAA"/>
    <w:rsid w:val="005274AC"/>
    <w:rsid w:val="00527F39"/>
    <w:rsid w:val="005314BC"/>
    <w:rsid w:val="00553C23"/>
    <w:rsid w:val="00566AEB"/>
    <w:rsid w:val="00571CED"/>
    <w:rsid w:val="005742DC"/>
    <w:rsid w:val="0057568D"/>
    <w:rsid w:val="0058397B"/>
    <w:rsid w:val="00590873"/>
    <w:rsid w:val="005A173B"/>
    <w:rsid w:val="005B66CE"/>
    <w:rsid w:val="005B66FB"/>
    <w:rsid w:val="005C6B82"/>
    <w:rsid w:val="005D0826"/>
    <w:rsid w:val="005D17B3"/>
    <w:rsid w:val="005D50E3"/>
    <w:rsid w:val="005D7035"/>
    <w:rsid w:val="006067D3"/>
    <w:rsid w:val="00610940"/>
    <w:rsid w:val="00613B8B"/>
    <w:rsid w:val="00617394"/>
    <w:rsid w:val="006218FE"/>
    <w:rsid w:val="0063634C"/>
    <w:rsid w:val="00641FF6"/>
    <w:rsid w:val="00647C8B"/>
    <w:rsid w:val="00650ECB"/>
    <w:rsid w:val="006702AD"/>
    <w:rsid w:val="00692D37"/>
    <w:rsid w:val="006A3A98"/>
    <w:rsid w:val="006A42B7"/>
    <w:rsid w:val="006A43CB"/>
    <w:rsid w:val="006B191A"/>
    <w:rsid w:val="006B4CA6"/>
    <w:rsid w:val="006C33D2"/>
    <w:rsid w:val="006C7D23"/>
    <w:rsid w:val="006E7AD2"/>
    <w:rsid w:val="006F3B4D"/>
    <w:rsid w:val="006F595E"/>
    <w:rsid w:val="00723C72"/>
    <w:rsid w:val="00726B90"/>
    <w:rsid w:val="00742FE2"/>
    <w:rsid w:val="007549EF"/>
    <w:rsid w:val="007752BC"/>
    <w:rsid w:val="00783075"/>
    <w:rsid w:val="007A0D2E"/>
    <w:rsid w:val="007A12D4"/>
    <w:rsid w:val="007B0E02"/>
    <w:rsid w:val="007C79EE"/>
    <w:rsid w:val="007D0A2C"/>
    <w:rsid w:val="007E3DCC"/>
    <w:rsid w:val="007F2C50"/>
    <w:rsid w:val="007F551D"/>
    <w:rsid w:val="00812ED0"/>
    <w:rsid w:val="00813E57"/>
    <w:rsid w:val="0083015B"/>
    <w:rsid w:val="0083103E"/>
    <w:rsid w:val="008363E3"/>
    <w:rsid w:val="008428C6"/>
    <w:rsid w:val="008500EE"/>
    <w:rsid w:val="008519AA"/>
    <w:rsid w:val="00851A02"/>
    <w:rsid w:val="00855DA8"/>
    <w:rsid w:val="0085660D"/>
    <w:rsid w:val="00857C1F"/>
    <w:rsid w:val="00862EA1"/>
    <w:rsid w:val="00870424"/>
    <w:rsid w:val="008837ED"/>
    <w:rsid w:val="00887301"/>
    <w:rsid w:val="008A07A3"/>
    <w:rsid w:val="008A5047"/>
    <w:rsid w:val="008E1656"/>
    <w:rsid w:val="00902A94"/>
    <w:rsid w:val="0090370B"/>
    <w:rsid w:val="00926FA4"/>
    <w:rsid w:val="009409C4"/>
    <w:rsid w:val="00941236"/>
    <w:rsid w:val="00950510"/>
    <w:rsid w:val="00976352"/>
    <w:rsid w:val="00980CB0"/>
    <w:rsid w:val="00985CE8"/>
    <w:rsid w:val="00985E2C"/>
    <w:rsid w:val="009959C3"/>
    <w:rsid w:val="0099799D"/>
    <w:rsid w:val="009A5C97"/>
    <w:rsid w:val="009A6D9C"/>
    <w:rsid w:val="009A7D30"/>
    <w:rsid w:val="009B23BA"/>
    <w:rsid w:val="009B7F92"/>
    <w:rsid w:val="009C18B4"/>
    <w:rsid w:val="009D3C84"/>
    <w:rsid w:val="009E54FF"/>
    <w:rsid w:val="009F0E3A"/>
    <w:rsid w:val="009F5ECE"/>
    <w:rsid w:val="00A12E38"/>
    <w:rsid w:val="00A138D2"/>
    <w:rsid w:val="00A27F1D"/>
    <w:rsid w:val="00A3557B"/>
    <w:rsid w:val="00A611C3"/>
    <w:rsid w:val="00AA274C"/>
    <w:rsid w:val="00AB7576"/>
    <w:rsid w:val="00AC25A3"/>
    <w:rsid w:val="00AC2BF6"/>
    <w:rsid w:val="00AC49EE"/>
    <w:rsid w:val="00AD5179"/>
    <w:rsid w:val="00AE3CB5"/>
    <w:rsid w:val="00AF55AB"/>
    <w:rsid w:val="00B0109E"/>
    <w:rsid w:val="00B022EB"/>
    <w:rsid w:val="00B03136"/>
    <w:rsid w:val="00B330C4"/>
    <w:rsid w:val="00B4019F"/>
    <w:rsid w:val="00B46DBE"/>
    <w:rsid w:val="00B576BE"/>
    <w:rsid w:val="00B7134A"/>
    <w:rsid w:val="00B835B6"/>
    <w:rsid w:val="00B84DB1"/>
    <w:rsid w:val="00B85DA3"/>
    <w:rsid w:val="00B86008"/>
    <w:rsid w:val="00B867AE"/>
    <w:rsid w:val="00B90E8A"/>
    <w:rsid w:val="00B940C1"/>
    <w:rsid w:val="00B9484E"/>
    <w:rsid w:val="00B97575"/>
    <w:rsid w:val="00BA0C8D"/>
    <w:rsid w:val="00BA6173"/>
    <w:rsid w:val="00BC169E"/>
    <w:rsid w:val="00BC4099"/>
    <w:rsid w:val="00BE18F3"/>
    <w:rsid w:val="00BE3CCE"/>
    <w:rsid w:val="00BE6E2D"/>
    <w:rsid w:val="00BF13E4"/>
    <w:rsid w:val="00BF1559"/>
    <w:rsid w:val="00BF7B4E"/>
    <w:rsid w:val="00C03860"/>
    <w:rsid w:val="00C155DC"/>
    <w:rsid w:val="00C213DE"/>
    <w:rsid w:val="00C22FC6"/>
    <w:rsid w:val="00C30520"/>
    <w:rsid w:val="00C43F08"/>
    <w:rsid w:val="00C53D15"/>
    <w:rsid w:val="00C640AC"/>
    <w:rsid w:val="00C77EBD"/>
    <w:rsid w:val="00C820A8"/>
    <w:rsid w:val="00C94913"/>
    <w:rsid w:val="00CA0768"/>
    <w:rsid w:val="00CA5F9F"/>
    <w:rsid w:val="00CE7EE8"/>
    <w:rsid w:val="00D01E4F"/>
    <w:rsid w:val="00D056FC"/>
    <w:rsid w:val="00D05932"/>
    <w:rsid w:val="00D12D02"/>
    <w:rsid w:val="00D23214"/>
    <w:rsid w:val="00D23CA0"/>
    <w:rsid w:val="00D343D8"/>
    <w:rsid w:val="00D40B3B"/>
    <w:rsid w:val="00D4650E"/>
    <w:rsid w:val="00D561B5"/>
    <w:rsid w:val="00D6088E"/>
    <w:rsid w:val="00D74AAB"/>
    <w:rsid w:val="00D8420F"/>
    <w:rsid w:val="00D86252"/>
    <w:rsid w:val="00D87FA9"/>
    <w:rsid w:val="00D9421E"/>
    <w:rsid w:val="00DB3EC4"/>
    <w:rsid w:val="00DC31BC"/>
    <w:rsid w:val="00DC78D1"/>
    <w:rsid w:val="00DD244C"/>
    <w:rsid w:val="00DE63C9"/>
    <w:rsid w:val="00DF554A"/>
    <w:rsid w:val="00E1270C"/>
    <w:rsid w:val="00E1538F"/>
    <w:rsid w:val="00E355AB"/>
    <w:rsid w:val="00E369EB"/>
    <w:rsid w:val="00E3745B"/>
    <w:rsid w:val="00E506BF"/>
    <w:rsid w:val="00E51797"/>
    <w:rsid w:val="00E55F64"/>
    <w:rsid w:val="00E67981"/>
    <w:rsid w:val="00E7195B"/>
    <w:rsid w:val="00E734FD"/>
    <w:rsid w:val="00E81D0C"/>
    <w:rsid w:val="00E85DF8"/>
    <w:rsid w:val="00E87E7B"/>
    <w:rsid w:val="00E92450"/>
    <w:rsid w:val="00EA110E"/>
    <w:rsid w:val="00EA395F"/>
    <w:rsid w:val="00EC6FDE"/>
    <w:rsid w:val="00EF138B"/>
    <w:rsid w:val="00F0227C"/>
    <w:rsid w:val="00F032B9"/>
    <w:rsid w:val="00F177F0"/>
    <w:rsid w:val="00F236B8"/>
    <w:rsid w:val="00F26C0C"/>
    <w:rsid w:val="00F31C1F"/>
    <w:rsid w:val="00F32EA9"/>
    <w:rsid w:val="00F465DE"/>
    <w:rsid w:val="00F57F53"/>
    <w:rsid w:val="00F62156"/>
    <w:rsid w:val="00F62780"/>
    <w:rsid w:val="00F65137"/>
    <w:rsid w:val="00F92346"/>
    <w:rsid w:val="00F953E4"/>
    <w:rsid w:val="00FA3738"/>
    <w:rsid w:val="00FE0BF7"/>
    <w:rsid w:val="00FE0EF2"/>
    <w:rsid w:val="00FE4EE5"/>
    <w:rsid w:val="00FF1971"/>
    <w:rsid w:val="00FF5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12DB4C"/>
  <w15:docId w15:val="{A6DB7809-F264-42F5-B019-2B8FC473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3D8"/>
    <w:pPr>
      <w:tabs>
        <w:tab w:val="left" w:pos="284"/>
      </w:tabs>
      <w:jc w:val="both"/>
    </w:pPr>
    <w:rPr>
      <w:rFonts w:ascii="Humanist777" w:hAnsi="Humanist777"/>
      <w:sz w:val="24"/>
      <w:szCs w:val="24"/>
    </w:rPr>
  </w:style>
  <w:style w:type="paragraph" w:styleId="Heading1">
    <w:name w:val="heading 1"/>
    <w:basedOn w:val="Normal"/>
    <w:next w:val="Normal"/>
    <w:qFormat/>
    <w:rsid w:val="00D343D8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D343D8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D343D8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D343D8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3D8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343D8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343D8"/>
  </w:style>
  <w:style w:type="paragraph" w:styleId="BodyText2">
    <w:name w:val="Body Text 2"/>
    <w:basedOn w:val="Normal"/>
    <w:rsid w:val="00CA5F9F"/>
    <w:pPr>
      <w:tabs>
        <w:tab w:val="clear" w:pos="284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8000"/>
      <w:sz w:val="20"/>
      <w:szCs w:val="20"/>
      <w:lang w:val="en-GB"/>
    </w:rPr>
  </w:style>
  <w:style w:type="paragraph" w:styleId="BodyText3">
    <w:name w:val="Body Text 3"/>
    <w:basedOn w:val="Normal"/>
    <w:rsid w:val="00CA5F9F"/>
    <w:pPr>
      <w:tabs>
        <w:tab w:val="clear" w:pos="284"/>
      </w:tabs>
    </w:pPr>
    <w:rPr>
      <w:rFonts w:ascii="Times New Roman" w:hAnsi="Times New Roman"/>
      <w:sz w:val="22"/>
      <w:szCs w:val="20"/>
    </w:rPr>
  </w:style>
  <w:style w:type="paragraph" w:styleId="BodyTextIndent">
    <w:name w:val="Body Text Indent"/>
    <w:basedOn w:val="Normal"/>
    <w:rsid w:val="00CA5F9F"/>
    <w:pPr>
      <w:spacing w:after="120"/>
      <w:ind w:left="283"/>
    </w:pPr>
  </w:style>
  <w:style w:type="paragraph" w:styleId="BodyText">
    <w:name w:val="Body Text"/>
    <w:basedOn w:val="Normal"/>
    <w:rsid w:val="00CA5F9F"/>
    <w:pPr>
      <w:spacing w:after="120"/>
    </w:pPr>
  </w:style>
  <w:style w:type="paragraph" w:styleId="BodyTextIndent3">
    <w:name w:val="Body Text Indent 3"/>
    <w:basedOn w:val="Normal"/>
    <w:rsid w:val="00CA5F9F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E87E7B"/>
    <w:pPr>
      <w:tabs>
        <w:tab w:val="clear" w:pos="284"/>
      </w:tabs>
      <w:spacing w:before="100" w:beforeAutospacing="1" w:after="100" w:afterAutospacing="1"/>
      <w:jc w:val="left"/>
    </w:pPr>
    <w:rPr>
      <w:rFonts w:ascii="Times New Roman" w:hAnsi="Times New Roman"/>
      <w:lang w:val="en-GB" w:eastAsia="en-GB"/>
    </w:rPr>
  </w:style>
  <w:style w:type="paragraph" w:styleId="BalloonText">
    <w:name w:val="Balloon Text"/>
    <w:basedOn w:val="Normal"/>
    <w:link w:val="BalloonTextChar"/>
    <w:rsid w:val="00C305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5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37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37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3738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FA3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3738"/>
    <w:rPr>
      <w:rFonts w:ascii="Humanist777" w:hAnsi="Humanist777"/>
      <w:b/>
      <w:bCs/>
    </w:rPr>
  </w:style>
  <w:style w:type="table" w:styleId="TableGrid">
    <w:name w:val="Table Grid"/>
    <w:basedOn w:val="TableNormal"/>
    <w:rsid w:val="00E67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D74AAB"/>
    <w:rPr>
      <w:rFonts w:ascii="Humanist777" w:hAnsi="Humanist777"/>
      <w:sz w:val="24"/>
      <w:szCs w:val="24"/>
    </w:rPr>
  </w:style>
  <w:style w:type="character" w:styleId="Hyperlink">
    <w:name w:val="Hyperlink"/>
    <w:rsid w:val="00B85DA3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D0826"/>
    <w:rPr>
      <w:rFonts w:ascii="Humanist777" w:hAnsi="Humanist777"/>
      <w:sz w:val="24"/>
      <w:szCs w:val="24"/>
    </w:rPr>
  </w:style>
  <w:style w:type="paragraph" w:styleId="Revision">
    <w:name w:val="Revision"/>
    <w:hidden/>
    <w:uiPriority w:val="99"/>
    <w:semiHidden/>
    <w:rsid w:val="00F236B8"/>
    <w:rPr>
      <w:rFonts w:ascii="Humanist777" w:hAnsi="Humanist777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0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c8f14d-de17-4729-8cd2-1c2c3f027e5c">
      <Terms xmlns="http://schemas.microsoft.com/office/infopath/2007/PartnerControls"/>
    </lcf76f155ced4ddcb4097134ff3c332f>
    <TaxCatchAll xmlns="b621dfd6-c00f-47c5-b5af-67d3653e8304" xsi:nil="true"/>
    <PharmaDIALT xmlns="c3c8f14d-de17-4729-8cd2-1c2c3f027e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E6B2463DCD468DDA6340563834B3" ma:contentTypeVersion="19" ma:contentTypeDescription="Create a new document." ma:contentTypeScope="" ma:versionID="99b3024df81ea1bd2661f8c31eaa1807">
  <xsd:schema xmlns:xsd="http://www.w3.org/2001/XMLSchema" xmlns:xs="http://www.w3.org/2001/XMLSchema" xmlns:p="http://schemas.microsoft.com/office/2006/metadata/properties" xmlns:ns2="c3c8f14d-de17-4729-8cd2-1c2c3f027e5c" xmlns:ns3="b621dfd6-c00f-47c5-b5af-67d3653e8304" targetNamespace="http://schemas.microsoft.com/office/2006/metadata/properties" ma:root="true" ma:fieldsID="79fdd55dd30f1478465132b5088a487c" ns2:_="" ns3:_="">
    <xsd:import namespace="c3c8f14d-de17-4729-8cd2-1c2c3f027e5c"/>
    <xsd:import namespace="b621dfd6-c00f-47c5-b5af-67d3653e8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PharmaDIA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8f14d-de17-4729-8cd2-1c2c3f027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7e887b-1209-4573-9ff2-b0cecb188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harmaDIALT" ma:index="26" nillable="true" ma:displayName="PharmaDIA LT" ma:format="Dropdown" ma:internalName="PharmaDIAL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1dfd6-c00f-47c5-b5af-67d3653e8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c1a041-ff7c-4483-8ed2-8551aa9b4c3b}" ma:internalName="TaxCatchAll" ma:showField="CatchAllData" ma:web="b621dfd6-c00f-47c5-b5af-67d3653e8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1DFFF-CBAF-4D2A-8898-87F222389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71D70-621B-47E1-8A59-009177CC79C6}">
  <ds:schemaRefs>
    <ds:schemaRef ds:uri="http://schemas.microsoft.com/office/2006/metadata/properties"/>
    <ds:schemaRef ds:uri="http://schemas.microsoft.com/office/infopath/2007/PartnerControls"/>
    <ds:schemaRef ds:uri="c3c8f14d-de17-4729-8cd2-1c2c3f027e5c"/>
    <ds:schemaRef ds:uri="b621dfd6-c00f-47c5-b5af-67d3653e8304"/>
  </ds:schemaRefs>
</ds:datastoreItem>
</file>

<file path=customXml/itemProps3.xml><?xml version="1.0" encoding="utf-8"?>
<ds:datastoreItem xmlns:ds="http://schemas.openxmlformats.org/officeDocument/2006/customXml" ds:itemID="{EF771FDF-248F-4923-B9A3-32A78111F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8f14d-de17-4729-8cd2-1c2c3f027e5c"/>
    <ds:schemaRef ds:uri="b621dfd6-c00f-47c5-b5af-67d3653e8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7583F-06EF-424D-924A-7D68AEAE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vcvetanovska</dc:creator>
  <cp:lastModifiedBy>Tatjana Banković</cp:lastModifiedBy>
  <cp:revision>14</cp:revision>
  <cp:lastPrinted>2017-01-23T14:35:00Z</cp:lastPrinted>
  <dcterms:created xsi:type="dcterms:W3CDTF">2024-10-29T14:08:00Z</dcterms:created>
  <dcterms:modified xsi:type="dcterms:W3CDTF">2024-11-19T12:39:00Z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0x01010006FFE6B2463DCD468DDA6340563834B3</vt:lpwstr>
  </property>
</Properties>
</file>