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35" w:rsidRDefault="005839CA">
      <w:pPr>
        <w:widowControl w:val="0"/>
        <w:jc w:val="center"/>
        <w:rPr>
          <w:b/>
          <w:szCs w:val="22"/>
          <w:u w:val="single"/>
          <w:lang w:val="sr-Latn-ME"/>
        </w:rPr>
      </w:pPr>
      <w:r>
        <w:rPr>
          <w:b/>
          <w:szCs w:val="22"/>
          <w:u w:val="single"/>
          <w:lang w:val="sr-Latn-ME"/>
        </w:rPr>
        <w:t>SAŽETAK KARAKTERISTIKA LIJEKA</w:t>
      </w:r>
    </w:p>
    <w:p w:rsidR="00D76435" w:rsidRDefault="00D76435">
      <w:pPr>
        <w:widowControl w:val="0"/>
        <w:jc w:val="center"/>
        <w:rPr>
          <w:b/>
          <w:szCs w:val="22"/>
          <w:u w:val="single"/>
          <w:lang w:val="sr-Latn-ME"/>
        </w:rPr>
      </w:pPr>
    </w:p>
    <w:p w:rsidR="00D76435" w:rsidRDefault="00D76435">
      <w:pPr>
        <w:widowControl w:val="0"/>
        <w:jc w:val="center"/>
        <w:rPr>
          <w:b/>
          <w:szCs w:val="22"/>
          <w:u w:val="single"/>
          <w:lang w:val="sr-Latn-ME"/>
        </w:rPr>
      </w:pPr>
    </w:p>
    <w:p w:rsidR="00D76435" w:rsidRDefault="005839CA">
      <w:pPr>
        <w:widowControl w:val="0"/>
        <w:numPr>
          <w:ilvl w:val="0"/>
          <w:numId w:val="26"/>
        </w:numPr>
        <w:spacing w:line="240" w:lineRule="auto"/>
        <w:ind w:left="567"/>
        <w:jc w:val="both"/>
        <w:rPr>
          <w:b/>
          <w:szCs w:val="22"/>
          <w:lang w:val="sr-Latn-ME"/>
        </w:rPr>
      </w:pPr>
      <w:r>
        <w:rPr>
          <w:b/>
          <w:szCs w:val="22"/>
          <w:lang w:val="sr-Latn-ME"/>
        </w:rPr>
        <w:t>NAZIV LIJEKA</w:t>
      </w:r>
    </w:p>
    <w:p w:rsidR="00D76435" w:rsidRDefault="00D76435">
      <w:pPr>
        <w:widowControl w:val="0"/>
        <w:ind w:left="930"/>
        <w:jc w:val="both"/>
        <w:rPr>
          <w:b/>
          <w:szCs w:val="22"/>
          <w:lang w:val="sr-Latn-ME"/>
        </w:rPr>
      </w:pPr>
    </w:p>
    <w:p w:rsidR="00D76435" w:rsidRDefault="005839CA">
      <w:pPr>
        <w:jc w:val="both"/>
        <w:rPr>
          <w:szCs w:val="22"/>
          <w:lang w:val="sr-Latn-ME"/>
        </w:rPr>
      </w:pPr>
      <w:r>
        <w:rPr>
          <w:szCs w:val="22"/>
          <w:lang w:val="sr-Latn-ME"/>
        </w:rPr>
        <w:t>Nolpaza, 40 mg, prašak za rastvor za injekciju</w:t>
      </w:r>
    </w:p>
    <w:p w:rsidR="00D76435" w:rsidRDefault="00D76435">
      <w:pPr>
        <w:jc w:val="both"/>
        <w:rPr>
          <w:szCs w:val="22"/>
          <w:lang w:val="sr-Latn-ME"/>
        </w:rPr>
      </w:pPr>
    </w:p>
    <w:p w:rsidR="00D76435" w:rsidRDefault="005839CA">
      <w:pPr>
        <w:jc w:val="both"/>
        <w:rPr>
          <w:szCs w:val="22"/>
          <w:lang w:val="sr-Latn-ME"/>
        </w:rPr>
      </w:pPr>
      <w:r>
        <w:rPr>
          <w:szCs w:val="22"/>
          <w:lang w:val="sr-Latn-ME"/>
        </w:rPr>
        <w:t>INN: pantoprazol</w:t>
      </w:r>
    </w:p>
    <w:p w:rsidR="00D76435" w:rsidRDefault="00D76435">
      <w:pPr>
        <w:widowControl w:val="0"/>
        <w:jc w:val="both"/>
        <w:rPr>
          <w:szCs w:val="22"/>
          <w:lang w:val="sr-Latn-ME"/>
        </w:rPr>
      </w:pPr>
    </w:p>
    <w:p w:rsidR="00D76435" w:rsidRDefault="00D76435">
      <w:pPr>
        <w:widowControl w:val="0"/>
        <w:jc w:val="both"/>
        <w:rPr>
          <w:szCs w:val="22"/>
          <w:lang w:val="sr-Latn-ME"/>
        </w:rPr>
      </w:pPr>
    </w:p>
    <w:p w:rsidR="00D76435" w:rsidRDefault="005839CA">
      <w:pPr>
        <w:widowControl w:val="0"/>
        <w:jc w:val="both"/>
        <w:rPr>
          <w:szCs w:val="22"/>
          <w:lang w:val="sr-Latn-ME"/>
        </w:rPr>
      </w:pPr>
      <w:r>
        <w:rPr>
          <w:b/>
          <w:szCs w:val="22"/>
          <w:lang w:val="sr-Latn-ME"/>
        </w:rPr>
        <w:t>2.</w:t>
      </w:r>
      <w:r>
        <w:rPr>
          <w:b/>
          <w:szCs w:val="22"/>
          <w:lang w:val="sr-Latn-ME"/>
        </w:rPr>
        <w:tab/>
        <w:t>KVALITATIVNI I KVANTITATIVNI SASTAV</w:t>
      </w:r>
    </w:p>
    <w:p w:rsidR="00D76435" w:rsidRDefault="00D76435">
      <w:pPr>
        <w:widowControl w:val="0"/>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Svaka bočica sadrži 40 mg pantoprazola, u obliku pantoprazol natrijum seskvihidrata.</w:t>
      </w:r>
    </w:p>
    <w:p w:rsidR="00D76435" w:rsidRDefault="00D76435">
      <w:pPr>
        <w:widowControl w:val="0"/>
        <w:jc w:val="both"/>
        <w:rPr>
          <w:szCs w:val="22"/>
          <w:lang w:val="sr-Latn-ME"/>
        </w:rPr>
      </w:pPr>
    </w:p>
    <w:p w:rsidR="00D76435" w:rsidRDefault="005839CA">
      <w:pPr>
        <w:widowControl w:val="0"/>
        <w:autoSpaceDE w:val="0"/>
        <w:autoSpaceDN w:val="0"/>
        <w:adjustRightInd w:val="0"/>
        <w:jc w:val="both"/>
        <w:rPr>
          <w:szCs w:val="22"/>
          <w:lang w:val="sr-Latn-ME"/>
        </w:rPr>
      </w:pPr>
      <w:r>
        <w:rPr>
          <w:szCs w:val="22"/>
          <w:lang w:val="sr-Latn-ME"/>
        </w:rPr>
        <w:t>Za spisak svih ekscipijenasa, pogledati dio 6.1.</w:t>
      </w:r>
    </w:p>
    <w:p w:rsidR="00D76435" w:rsidRDefault="00D76435">
      <w:pPr>
        <w:widowControl w:val="0"/>
        <w:jc w:val="both"/>
        <w:rPr>
          <w:szCs w:val="22"/>
          <w:lang w:val="sr-Latn-ME"/>
        </w:rPr>
      </w:pPr>
    </w:p>
    <w:p w:rsidR="00D76435" w:rsidRDefault="00D76435">
      <w:pPr>
        <w:widowControl w:val="0"/>
        <w:jc w:val="both"/>
        <w:rPr>
          <w:szCs w:val="22"/>
          <w:lang w:val="sr-Latn-ME"/>
        </w:rPr>
      </w:pPr>
    </w:p>
    <w:p w:rsidR="00D76435" w:rsidRDefault="005839CA">
      <w:pPr>
        <w:widowControl w:val="0"/>
        <w:jc w:val="both"/>
        <w:rPr>
          <w:b/>
          <w:szCs w:val="22"/>
          <w:lang w:val="sr-Latn-ME"/>
        </w:rPr>
      </w:pPr>
      <w:r>
        <w:rPr>
          <w:b/>
          <w:szCs w:val="22"/>
          <w:lang w:val="sr-Latn-ME"/>
        </w:rPr>
        <w:t>3.</w:t>
      </w:r>
      <w:r>
        <w:rPr>
          <w:b/>
          <w:szCs w:val="22"/>
          <w:lang w:val="sr-Latn-ME"/>
        </w:rPr>
        <w:tab/>
        <w:t>FARMACEUTSKI OBLIK</w:t>
      </w:r>
    </w:p>
    <w:p w:rsidR="00D76435" w:rsidRDefault="00D76435">
      <w:pPr>
        <w:widowControl w:val="0"/>
        <w:jc w:val="both"/>
        <w:rPr>
          <w:b/>
          <w:caps/>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Prašak za rastvor za injekciju.</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 xml:space="preserve">Liofilizat je ujednačen, porozan kolač, bijele ili gotovo bijele boje. </w:t>
      </w:r>
    </w:p>
    <w:p w:rsidR="00D76435" w:rsidRDefault="00D76435">
      <w:pPr>
        <w:jc w:val="both"/>
        <w:rPr>
          <w:szCs w:val="22"/>
          <w:lang w:val="sr-Latn-ME"/>
        </w:rPr>
      </w:pPr>
    </w:p>
    <w:p w:rsidR="00D76435" w:rsidRDefault="005839CA">
      <w:pPr>
        <w:jc w:val="both"/>
        <w:rPr>
          <w:szCs w:val="22"/>
          <w:lang w:val="sr-Latn-ME"/>
        </w:rPr>
      </w:pPr>
      <w:r>
        <w:rPr>
          <w:szCs w:val="22"/>
          <w:lang w:val="sr-Latn-ME"/>
        </w:rPr>
        <w:t>Za rastvor rekonstituisan sa 10 ml 0,9% rastvora NaCl pH je oko 10, a osmolalnost približno 382 mOsm/kg.</w:t>
      </w:r>
    </w:p>
    <w:p w:rsidR="00D76435" w:rsidRDefault="005839CA">
      <w:pPr>
        <w:jc w:val="both"/>
        <w:rPr>
          <w:szCs w:val="22"/>
          <w:lang w:val="sr-Latn-ME"/>
        </w:rPr>
      </w:pPr>
      <w:r>
        <w:rPr>
          <w:szCs w:val="22"/>
          <w:lang w:val="sr-Latn-ME"/>
        </w:rPr>
        <w:t>Za rastvor rekonstituisan sa dodatnih 100 ml 0,9% rastvora NaCl ili sa 5% rastvorom glukoze, pH je oko 9, odnosno 8,5.</w:t>
      </w:r>
    </w:p>
    <w:p w:rsidR="00D76435" w:rsidRDefault="00D76435">
      <w:pPr>
        <w:widowControl w:val="0"/>
        <w:jc w:val="both"/>
        <w:rPr>
          <w:szCs w:val="22"/>
          <w:lang w:val="sr-Latn-ME"/>
        </w:rPr>
      </w:pPr>
    </w:p>
    <w:p w:rsidR="00D76435" w:rsidRDefault="00D76435">
      <w:pPr>
        <w:widowControl w:val="0"/>
        <w:jc w:val="both"/>
        <w:rPr>
          <w:szCs w:val="22"/>
          <w:lang w:val="sr-Latn-ME"/>
        </w:rPr>
      </w:pPr>
    </w:p>
    <w:p w:rsidR="00D76435" w:rsidRDefault="005839CA">
      <w:pPr>
        <w:widowControl w:val="0"/>
        <w:ind w:left="567" w:hanging="567"/>
        <w:jc w:val="both"/>
        <w:rPr>
          <w:caps/>
          <w:szCs w:val="22"/>
          <w:lang w:val="sr-Latn-ME"/>
        </w:rPr>
      </w:pPr>
      <w:r>
        <w:rPr>
          <w:b/>
          <w:caps/>
          <w:szCs w:val="22"/>
          <w:lang w:val="sr-Latn-ME"/>
        </w:rPr>
        <w:t>4.</w:t>
      </w:r>
      <w:r>
        <w:rPr>
          <w:b/>
          <w:caps/>
          <w:szCs w:val="22"/>
          <w:lang w:val="sr-Latn-ME"/>
        </w:rPr>
        <w:tab/>
        <w:t>KLINIČKI PODACI</w:t>
      </w:r>
    </w:p>
    <w:p w:rsidR="00D76435" w:rsidRDefault="00D76435">
      <w:pPr>
        <w:widowControl w:val="0"/>
        <w:jc w:val="both"/>
        <w:rPr>
          <w:szCs w:val="22"/>
          <w:lang w:val="sr-Latn-ME"/>
        </w:rPr>
      </w:pPr>
    </w:p>
    <w:p w:rsidR="00D76435" w:rsidRDefault="005839CA">
      <w:pPr>
        <w:widowControl w:val="0"/>
        <w:ind w:left="567" w:hanging="567"/>
        <w:jc w:val="both"/>
        <w:outlineLvl w:val="0"/>
        <w:rPr>
          <w:b/>
          <w:szCs w:val="22"/>
          <w:lang w:val="sr-Latn-ME"/>
        </w:rPr>
      </w:pPr>
      <w:r>
        <w:rPr>
          <w:b/>
          <w:szCs w:val="22"/>
          <w:lang w:val="sr-Latn-ME"/>
        </w:rPr>
        <w:t>4.1</w:t>
      </w:r>
      <w:r>
        <w:rPr>
          <w:b/>
          <w:szCs w:val="22"/>
          <w:lang w:val="sr-Latn-ME"/>
        </w:rPr>
        <w:tab/>
        <w:t>Terapijske indikacije</w:t>
      </w:r>
    </w:p>
    <w:p w:rsidR="00D76435" w:rsidRDefault="00D76435">
      <w:pPr>
        <w:widowControl w:val="0"/>
        <w:ind w:left="567" w:hanging="567"/>
        <w:jc w:val="both"/>
        <w:outlineLvl w:val="0"/>
        <w:rPr>
          <w:b/>
          <w:szCs w:val="22"/>
          <w:lang w:val="sr-Latn-ME"/>
        </w:rPr>
      </w:pPr>
    </w:p>
    <w:p w:rsidR="00D76435" w:rsidRDefault="005839CA">
      <w:pPr>
        <w:widowControl w:val="0"/>
        <w:ind w:left="567" w:hanging="567"/>
        <w:jc w:val="both"/>
        <w:outlineLvl w:val="0"/>
        <w:rPr>
          <w:szCs w:val="22"/>
          <w:lang w:val="sr-Latn-ME"/>
        </w:rPr>
      </w:pPr>
      <w:r>
        <w:rPr>
          <w:szCs w:val="22"/>
          <w:lang w:val="sr-Latn-ME"/>
        </w:rPr>
        <w:t>Lijek Noplaza je indikovan kod odraslih za liječenje sljedećih stanja:</w:t>
      </w:r>
    </w:p>
    <w:p w:rsidR="00D76435" w:rsidRDefault="005839CA">
      <w:pPr>
        <w:numPr>
          <w:ilvl w:val="0"/>
          <w:numId w:val="27"/>
        </w:numPr>
        <w:tabs>
          <w:tab w:val="clear" w:pos="567"/>
          <w:tab w:val="left" w:pos="284"/>
        </w:tabs>
        <w:spacing w:line="240" w:lineRule="auto"/>
        <w:jc w:val="both"/>
        <w:rPr>
          <w:szCs w:val="22"/>
          <w:lang w:val="sr-Latn-ME"/>
        </w:rPr>
      </w:pPr>
      <w:r>
        <w:rPr>
          <w:szCs w:val="22"/>
          <w:lang w:val="sr-Latn-ME"/>
        </w:rPr>
        <w:t>Refluksni ezofagitis</w:t>
      </w:r>
    </w:p>
    <w:p w:rsidR="00D76435" w:rsidRDefault="005839CA">
      <w:pPr>
        <w:numPr>
          <w:ilvl w:val="0"/>
          <w:numId w:val="27"/>
        </w:numPr>
        <w:tabs>
          <w:tab w:val="clear" w:pos="567"/>
          <w:tab w:val="left" w:pos="284"/>
        </w:tabs>
        <w:spacing w:line="240" w:lineRule="auto"/>
        <w:jc w:val="both"/>
        <w:rPr>
          <w:szCs w:val="22"/>
          <w:lang w:val="sr-Latn-ME"/>
        </w:rPr>
      </w:pPr>
      <w:r>
        <w:rPr>
          <w:szCs w:val="22"/>
          <w:lang w:val="sr-Latn-ME"/>
        </w:rPr>
        <w:t>Želudačni i duodenalni ulkus</w:t>
      </w:r>
    </w:p>
    <w:p w:rsidR="00D76435" w:rsidRDefault="005839CA">
      <w:pPr>
        <w:numPr>
          <w:ilvl w:val="0"/>
          <w:numId w:val="27"/>
        </w:numPr>
        <w:tabs>
          <w:tab w:val="clear" w:pos="567"/>
          <w:tab w:val="left" w:pos="284"/>
        </w:tabs>
        <w:spacing w:line="240" w:lineRule="auto"/>
        <w:jc w:val="both"/>
        <w:rPr>
          <w:szCs w:val="22"/>
          <w:lang w:val="sr-Latn-ME"/>
        </w:rPr>
      </w:pPr>
      <w:r>
        <w:rPr>
          <w:szCs w:val="22"/>
          <w:lang w:val="sr-Latn-ME"/>
        </w:rPr>
        <w:t>Zolinger-Elisonov sindrom i ostala patološka hipersekretorna stanja.</w:t>
      </w:r>
    </w:p>
    <w:p w:rsidR="00D76435" w:rsidRDefault="00D76435">
      <w:pPr>
        <w:widowControl w:val="0"/>
        <w:jc w:val="both"/>
        <w:rPr>
          <w:szCs w:val="22"/>
          <w:lang w:val="sr-Latn-ME"/>
        </w:rPr>
      </w:pPr>
    </w:p>
    <w:p w:rsidR="00D76435" w:rsidRDefault="005839CA">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Pr>
          <w:b/>
          <w:szCs w:val="22"/>
          <w:lang w:val="sr-Latn-ME"/>
        </w:rPr>
        <w:t>Doziranje i način primjene</w:t>
      </w:r>
    </w:p>
    <w:p w:rsidR="00D76435" w:rsidRDefault="00D76435">
      <w:pPr>
        <w:widowControl w:val="0"/>
        <w:jc w:val="both"/>
        <w:outlineLvl w:val="0"/>
        <w:rPr>
          <w:b/>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Ovaj lijek treba da primjenjuje zdravstveni radnik pod odgovarajućim medicinskim nadzorom.</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Intravenska primjena lijeka Nolpaza se preporučuje samo kada oralna primjena nije pogodna. Dostupni su podaci o intravenskoj primjeni pantoprazola i do 7 dana. Zbog toga, čim je oralna terapija moguća, intravensko liječenje lijekom Nolpaza treba prekinuti i umjesto toga primijeniti 40 mg pantoprazola oralnim putem.</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Doziranje</w:t>
      </w:r>
    </w:p>
    <w:p w:rsidR="00D76435" w:rsidRDefault="00D76435">
      <w:pPr>
        <w:tabs>
          <w:tab w:val="left" w:pos="284"/>
          <w:tab w:val="center" w:pos="4320"/>
          <w:tab w:val="right" w:pos="8640"/>
        </w:tabs>
        <w:jc w:val="both"/>
        <w:rPr>
          <w:i/>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Ulkus na želucu i duodenumu, refluksni ezofagitis</w:t>
      </w:r>
    </w:p>
    <w:p w:rsidR="00D76435" w:rsidRDefault="005839CA">
      <w:pPr>
        <w:tabs>
          <w:tab w:val="left" w:pos="284"/>
          <w:tab w:val="center" w:pos="4320"/>
          <w:tab w:val="right" w:pos="8640"/>
        </w:tabs>
        <w:jc w:val="both"/>
        <w:rPr>
          <w:szCs w:val="22"/>
          <w:lang w:val="sr-Latn-ME"/>
        </w:rPr>
      </w:pPr>
      <w:r>
        <w:rPr>
          <w:szCs w:val="22"/>
          <w:lang w:val="sr-Latn-ME"/>
        </w:rPr>
        <w:t>Preporučena intravenska doza je jedna bočica lijeka Nolpaza (40 mg pantoprazola) na dan.</w:t>
      </w:r>
    </w:p>
    <w:p w:rsidR="00D76435" w:rsidRDefault="00D76435">
      <w:pPr>
        <w:tabs>
          <w:tab w:val="left" w:pos="284"/>
          <w:tab w:val="center" w:pos="4320"/>
          <w:tab w:val="right" w:pos="8640"/>
        </w:tabs>
        <w:jc w:val="both"/>
        <w:rPr>
          <w:szCs w:val="22"/>
          <w:u w:val="single"/>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Zollinger-Ellison-ov sindrom i ostala patološka hipersekretorna stanja</w:t>
      </w:r>
    </w:p>
    <w:p w:rsidR="00D76435" w:rsidRDefault="005839CA">
      <w:pPr>
        <w:tabs>
          <w:tab w:val="left" w:pos="284"/>
          <w:tab w:val="center" w:pos="4320"/>
          <w:tab w:val="right" w:pos="8640"/>
        </w:tabs>
        <w:jc w:val="both"/>
        <w:rPr>
          <w:szCs w:val="22"/>
          <w:lang w:val="sr-Latn-ME"/>
        </w:rPr>
      </w:pPr>
      <w:r>
        <w:rPr>
          <w:szCs w:val="22"/>
          <w:lang w:val="sr-Latn-ME"/>
        </w:rPr>
        <w:t xml:space="preserve">Za dugotrajno kontrolisanje Zolinger-Elisonovog sindroma i drugih patoloških hipersekretornih stanja pacijentima se u početku daje dnevna doza od 80 mg lijeka Nolpaza. Nakon toga, dozu treba titrirati ka nižim ili višim vrijednostima, po potrebi, na osnovu mjerenja lučenja želudačne kiseline. Ako su doze </w:t>
      </w:r>
      <w:r>
        <w:rPr>
          <w:szCs w:val="22"/>
          <w:lang w:val="sr-Latn-ME"/>
        </w:rPr>
        <w:lastRenderedPageBreak/>
        <w:t xml:space="preserve">veće od 80 mg dnevno, treba ih podijeliti i davati dva puta dnevno. Privremeno povećanje doze preko 160 mg pantoprazola je moguće, ali ga ne bi trebalo primjenjivati duže nego što je potrebno za postizanje zadovoljavajuće kontrole sekrecije želudačne kiseline. </w:t>
      </w:r>
    </w:p>
    <w:p w:rsidR="00D76435" w:rsidRDefault="005839CA">
      <w:pPr>
        <w:tabs>
          <w:tab w:val="left" w:pos="284"/>
          <w:tab w:val="center" w:pos="4320"/>
          <w:tab w:val="right" w:pos="8640"/>
        </w:tabs>
        <w:jc w:val="both"/>
        <w:rPr>
          <w:szCs w:val="22"/>
          <w:lang w:val="sr-Latn-ME"/>
        </w:rPr>
      </w:pPr>
      <w:r>
        <w:rPr>
          <w:szCs w:val="22"/>
          <w:lang w:val="sr-Latn-ME"/>
        </w:rPr>
        <w:t>U slučaju da je neophodno veoma brzo kontrolisanje sekrecije želudačne kiseline, početna doza od 2 x 80 mg lijeka Nolpaza je dovoljna da bi se smanjilo lučenje kiseline do ciljnog opsega (&lt;10 mEq/h) u roku od jednog sata kod većine pacijenata.</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i/>
          <w:szCs w:val="22"/>
          <w:u w:val="single"/>
          <w:lang w:val="sr-Latn-ME"/>
        </w:rPr>
      </w:pPr>
      <w:r>
        <w:rPr>
          <w:i/>
          <w:szCs w:val="22"/>
          <w:u w:val="single"/>
          <w:lang w:val="sr-Latn-ME"/>
        </w:rPr>
        <w:t>Posene populacije</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i/>
          <w:szCs w:val="22"/>
          <w:lang w:val="sr-Latn-ME"/>
        </w:rPr>
      </w:pPr>
      <w:r>
        <w:rPr>
          <w:i/>
          <w:szCs w:val="22"/>
          <w:lang w:val="sr-Latn-ME"/>
        </w:rPr>
        <w:t>Pacijenti sa oštećenjem jetre</w:t>
      </w:r>
    </w:p>
    <w:p w:rsidR="00D76435" w:rsidRDefault="005839CA">
      <w:pPr>
        <w:tabs>
          <w:tab w:val="left" w:pos="284"/>
          <w:tab w:val="center" w:pos="4320"/>
          <w:tab w:val="right" w:pos="8640"/>
        </w:tabs>
        <w:jc w:val="both"/>
        <w:rPr>
          <w:szCs w:val="22"/>
          <w:lang w:val="sr-Latn-ME"/>
        </w:rPr>
      </w:pPr>
      <w:r>
        <w:rPr>
          <w:szCs w:val="22"/>
          <w:lang w:val="sr-Latn-ME"/>
        </w:rPr>
        <w:t>Ne smije se prekoračiti dnevna doza od 20 mg pantoprazola (polovina bočice od 40 mg pantoprazola) kod pacijenata sa teškim oštećenjem jetre (vidjeti dio 4.4).</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i/>
          <w:szCs w:val="22"/>
          <w:lang w:val="sr-Latn-ME"/>
        </w:rPr>
      </w:pPr>
      <w:r>
        <w:rPr>
          <w:i/>
          <w:szCs w:val="22"/>
          <w:lang w:val="sr-Latn-ME"/>
        </w:rPr>
        <w:t>Pacijenti sa oštećenjem bubrega</w:t>
      </w:r>
    </w:p>
    <w:p w:rsidR="00D76435" w:rsidRDefault="005839CA">
      <w:pPr>
        <w:tabs>
          <w:tab w:val="left" w:pos="284"/>
          <w:tab w:val="center" w:pos="4320"/>
          <w:tab w:val="right" w:pos="8640"/>
        </w:tabs>
        <w:jc w:val="both"/>
        <w:rPr>
          <w:szCs w:val="22"/>
          <w:lang w:val="sr-Latn-ME"/>
        </w:rPr>
      </w:pPr>
      <w:r>
        <w:rPr>
          <w:szCs w:val="22"/>
          <w:lang w:val="sr-Latn-ME"/>
        </w:rPr>
        <w:t>Nije neophodno prilagođavanje doze kod pacijenata sa oštećenjem bubrežne funkcije.</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i/>
          <w:szCs w:val="22"/>
          <w:lang w:val="sr-Latn-ME"/>
        </w:rPr>
      </w:pPr>
      <w:r>
        <w:rPr>
          <w:i/>
          <w:szCs w:val="22"/>
          <w:lang w:val="sr-Latn-ME"/>
        </w:rPr>
        <w:t>Stariji pacijenti</w:t>
      </w:r>
    </w:p>
    <w:p w:rsidR="00D76435" w:rsidRDefault="005839CA">
      <w:pPr>
        <w:tabs>
          <w:tab w:val="left" w:pos="284"/>
          <w:tab w:val="center" w:pos="4320"/>
          <w:tab w:val="right" w:pos="8640"/>
        </w:tabs>
        <w:jc w:val="both"/>
        <w:rPr>
          <w:szCs w:val="22"/>
          <w:lang w:val="sr-Latn-ME"/>
        </w:rPr>
      </w:pPr>
      <w:r>
        <w:rPr>
          <w:szCs w:val="22"/>
          <w:lang w:val="sr-Latn-ME"/>
        </w:rPr>
        <w:t>Nije neophodno prilagođavanje doze kod starijih pacijenata.</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i/>
          <w:szCs w:val="22"/>
          <w:lang w:val="sr-Latn-ME"/>
        </w:rPr>
      </w:pPr>
      <w:r>
        <w:rPr>
          <w:i/>
          <w:szCs w:val="22"/>
          <w:lang w:val="sr-Latn-ME"/>
        </w:rPr>
        <w:t>Pedijatrijski pacijenti</w:t>
      </w:r>
    </w:p>
    <w:p w:rsidR="00D76435" w:rsidRDefault="005839CA">
      <w:pPr>
        <w:tabs>
          <w:tab w:val="left" w:pos="284"/>
          <w:tab w:val="center" w:pos="4320"/>
          <w:tab w:val="right" w:pos="8640"/>
        </w:tabs>
        <w:jc w:val="both"/>
        <w:rPr>
          <w:szCs w:val="22"/>
          <w:lang w:val="sr-Latn-ME"/>
        </w:rPr>
      </w:pPr>
      <w:r>
        <w:rPr>
          <w:szCs w:val="22"/>
          <w:lang w:val="sr-Latn-ME"/>
        </w:rPr>
        <w:t>Iskustvo sa primjenom lijeka kod djece je ograničena. Zato se primjena lijeka Nolpaza, prašak za rastvor za injekciju, 40 mg, ne preporučuje za upotrebu kod pacijenata mlađih od 18 godina, dok ne budu dostupni detaljniji podaci.</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Trenutno dostupni podaci opisani su u dijelu 5.2., ali se ne mogu dati preporuke za doziranje.</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i/>
          <w:szCs w:val="22"/>
          <w:u w:val="single"/>
          <w:lang w:val="sr-Latn-ME"/>
        </w:rPr>
      </w:pPr>
      <w:r>
        <w:rPr>
          <w:i/>
          <w:szCs w:val="22"/>
          <w:u w:val="single"/>
          <w:lang w:val="sr-Latn-ME"/>
        </w:rPr>
        <w:t>Način primjene</w:t>
      </w:r>
    </w:p>
    <w:p w:rsidR="00D76435" w:rsidRDefault="005839CA">
      <w:pPr>
        <w:tabs>
          <w:tab w:val="left" w:pos="284"/>
          <w:tab w:val="center" w:pos="4320"/>
          <w:tab w:val="right" w:pos="8640"/>
        </w:tabs>
        <w:jc w:val="both"/>
        <w:rPr>
          <w:szCs w:val="22"/>
          <w:lang w:val="sr-Latn-ME"/>
        </w:rPr>
      </w:pPr>
      <w:r>
        <w:rPr>
          <w:szCs w:val="22"/>
          <w:lang w:val="sr-Latn-ME"/>
        </w:rPr>
        <w:t>Rastvor za primjenu se priprema u 10 ml 0.9% rastvora za injekcije natrijum hlorida (9mg/ml). Za instrukcije o pripremi vidjeti dio 6.6. Pripremljeni rastvor se može primijeniti direktno ili nakon miješanja sa 100 ml 0.9% rastvora za injekcije natrijum hlorida (9 mg/ml) ili 100 ml 5 % rastvora za injekcije (55 mg/ml) glukoze.</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Nakon pripreme, rastvor se mora upotrijebiti u roku od 12 sati.</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Lijek treba primijeniti intravenski tokom 2-15 minuta.</w:t>
      </w:r>
    </w:p>
    <w:p w:rsidR="00D76435" w:rsidRDefault="00D76435">
      <w:pPr>
        <w:widowControl w:val="0"/>
        <w:jc w:val="both"/>
        <w:rPr>
          <w:szCs w:val="22"/>
          <w:lang w:val="sr-Latn-ME"/>
        </w:rPr>
      </w:pPr>
    </w:p>
    <w:p w:rsidR="00D76435" w:rsidRDefault="005839CA">
      <w:pPr>
        <w:widowControl w:val="0"/>
        <w:jc w:val="both"/>
        <w:rPr>
          <w:szCs w:val="22"/>
          <w:lang w:val="sr-Latn-ME"/>
        </w:rPr>
      </w:pPr>
      <w:r>
        <w:rPr>
          <w:b/>
          <w:szCs w:val="22"/>
          <w:lang w:val="sr-Latn-ME"/>
        </w:rPr>
        <w:t>4.3</w:t>
      </w:r>
      <w:r>
        <w:rPr>
          <w:b/>
          <w:szCs w:val="22"/>
          <w:lang w:val="sr-Latn-ME"/>
        </w:rPr>
        <w:tab/>
        <w:t>Kontraindikacije</w:t>
      </w:r>
    </w:p>
    <w:p w:rsidR="00D76435" w:rsidRDefault="00D76435">
      <w:pPr>
        <w:widowControl w:val="0"/>
        <w:jc w:val="both"/>
        <w:rPr>
          <w:szCs w:val="22"/>
          <w:lang w:val="sr-Latn-ME"/>
        </w:rPr>
      </w:pPr>
    </w:p>
    <w:p w:rsidR="00D76435" w:rsidRDefault="005839CA">
      <w:pPr>
        <w:tabs>
          <w:tab w:val="clear" w:pos="567"/>
          <w:tab w:val="left" w:pos="540"/>
          <w:tab w:val="left" w:pos="569"/>
        </w:tabs>
        <w:jc w:val="both"/>
        <w:rPr>
          <w:szCs w:val="22"/>
          <w:lang w:val="sr-Latn-ME"/>
        </w:rPr>
      </w:pPr>
      <w:r>
        <w:rPr>
          <w:szCs w:val="22"/>
          <w:lang w:val="sr-Latn-ME"/>
        </w:rPr>
        <w:t>Preosjetljivost na aktivnu supstancu, supstituisane benzimidazole ili bilo koju pomoćnu supstancu lijeka navedenih u dijelu 6.1</w:t>
      </w:r>
    </w:p>
    <w:p w:rsidR="00D76435" w:rsidRDefault="00D76435">
      <w:pPr>
        <w:widowControl w:val="0"/>
        <w:jc w:val="both"/>
        <w:rPr>
          <w:szCs w:val="22"/>
          <w:lang w:val="sr-Latn-ME"/>
        </w:rPr>
      </w:pPr>
    </w:p>
    <w:p w:rsidR="00D76435" w:rsidRDefault="005839CA">
      <w:pPr>
        <w:widowControl w:val="0"/>
        <w:jc w:val="both"/>
        <w:rPr>
          <w:b/>
          <w:szCs w:val="22"/>
          <w:lang w:val="sr-Latn-ME"/>
        </w:rPr>
      </w:pPr>
      <w:r>
        <w:rPr>
          <w:b/>
          <w:szCs w:val="22"/>
          <w:lang w:val="sr-Latn-ME"/>
        </w:rPr>
        <w:t>4.4</w:t>
      </w:r>
      <w:r>
        <w:rPr>
          <w:b/>
          <w:szCs w:val="22"/>
          <w:lang w:val="sr-Latn-ME"/>
        </w:rPr>
        <w:tab/>
        <w:t>Posebna upozorenja i mjere opreza pri upotrebi lijeka</w:t>
      </w:r>
    </w:p>
    <w:p w:rsidR="00D76435" w:rsidRDefault="00D76435">
      <w:pPr>
        <w:widowControl w:val="0"/>
        <w:jc w:val="both"/>
        <w:rPr>
          <w:b/>
          <w:szCs w:val="22"/>
          <w:lang w:val="sr-Latn-ME"/>
        </w:rPr>
      </w:pPr>
    </w:p>
    <w:p w:rsidR="00D76435" w:rsidRDefault="005839CA">
      <w:pPr>
        <w:pStyle w:val="Default"/>
        <w:jc w:val="both"/>
        <w:rPr>
          <w:i/>
          <w:sz w:val="22"/>
          <w:szCs w:val="22"/>
          <w:u w:val="single"/>
          <w:lang w:val="sr-Latn-ME"/>
        </w:rPr>
      </w:pPr>
      <w:r>
        <w:rPr>
          <w:i/>
          <w:sz w:val="22"/>
          <w:szCs w:val="22"/>
          <w:u w:val="single"/>
          <w:lang w:val="sr-Latn-ME"/>
        </w:rPr>
        <w:t xml:space="preserve">Gastrični malignitet </w:t>
      </w:r>
    </w:p>
    <w:p w:rsidR="00D76435" w:rsidRDefault="00D76435">
      <w:pPr>
        <w:tabs>
          <w:tab w:val="left" w:pos="284"/>
          <w:tab w:val="center" w:pos="4320"/>
          <w:tab w:val="right" w:pos="8640"/>
        </w:tabs>
        <w:jc w:val="both"/>
        <w:rPr>
          <w:szCs w:val="22"/>
          <w:lang w:val="sr-Latn-ME"/>
        </w:rPr>
      </w:pPr>
    </w:p>
    <w:p w:rsidR="00D76435" w:rsidRDefault="005839CA">
      <w:pPr>
        <w:jc w:val="both"/>
        <w:rPr>
          <w:szCs w:val="22"/>
          <w:lang w:val="sr-Latn-ME"/>
        </w:rPr>
      </w:pPr>
      <w:r>
        <w:rPr>
          <w:szCs w:val="22"/>
          <w:lang w:val="sr-Latn-ME"/>
        </w:rPr>
        <w:t xml:space="preserve">Simptomatski odgovor na terapiju pantoprazolom može da maskira simptome gastričnog maligniteta i može da odloži postavljanje dijagnoze. U prisustvu bilo kojih simptoma upozorenja (npr. značajan, neželjeni gubitak tjelesne mase, ponavljano povraćanje, disfagija, hematemeza, anemija ili melena) i u slučaju sumnje na gastrični ulkus ili njegovo prisustvo, potrebno je isključiti malignitet. </w:t>
      </w:r>
    </w:p>
    <w:p w:rsidR="00D76435" w:rsidRDefault="00D76435">
      <w:pPr>
        <w:jc w:val="both"/>
        <w:rPr>
          <w:szCs w:val="22"/>
          <w:lang w:val="sr-Latn-ME"/>
        </w:rPr>
      </w:pPr>
    </w:p>
    <w:p w:rsidR="00D76435" w:rsidRDefault="005839CA">
      <w:pPr>
        <w:jc w:val="both"/>
        <w:rPr>
          <w:szCs w:val="22"/>
          <w:lang w:val="sr-Latn-ME"/>
        </w:rPr>
      </w:pPr>
      <w:r>
        <w:rPr>
          <w:szCs w:val="22"/>
          <w:lang w:val="sr-Latn-ME"/>
        </w:rPr>
        <w:t>Ako uprkos adekvatnoj terapiji simptomi i dalje perzistiraju, treba uzeti u obzir sprovođenje daljih ispitivanja.</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Oštećenje funkcije jetre</w:t>
      </w:r>
    </w:p>
    <w:p w:rsidR="00D76435" w:rsidRDefault="005839CA">
      <w:pPr>
        <w:tabs>
          <w:tab w:val="left" w:pos="284"/>
          <w:tab w:val="center" w:pos="4320"/>
          <w:tab w:val="right" w:pos="8640"/>
        </w:tabs>
        <w:jc w:val="both"/>
        <w:rPr>
          <w:szCs w:val="22"/>
          <w:lang w:val="sr-Latn-ME"/>
        </w:rPr>
      </w:pPr>
      <w:r>
        <w:rPr>
          <w:szCs w:val="22"/>
          <w:lang w:val="sr-Latn-ME"/>
        </w:rPr>
        <w:t>Kod pacijenata sa teškim oštećenjem jetre, vrijednosti enzima jetre treba redovno pratiti tokom terapije pantoprazolom. U slučaju porasta enzima jetre, terapiju treba prekinuti (vidjeti dio 4.2).</w:t>
      </w:r>
    </w:p>
    <w:p w:rsidR="00D76435" w:rsidRDefault="00D76435">
      <w:pPr>
        <w:tabs>
          <w:tab w:val="left" w:pos="284"/>
          <w:tab w:val="center" w:pos="4320"/>
          <w:tab w:val="right" w:pos="8640"/>
        </w:tabs>
        <w:jc w:val="both"/>
        <w:rPr>
          <w:szCs w:val="22"/>
          <w:u w:val="single"/>
          <w:lang w:val="sr-Latn-ME"/>
        </w:rPr>
      </w:pPr>
    </w:p>
    <w:p w:rsidR="00D76435" w:rsidRDefault="005839CA">
      <w:pPr>
        <w:widowControl w:val="0"/>
        <w:jc w:val="both"/>
        <w:rPr>
          <w:rFonts w:eastAsia="Times"/>
          <w:szCs w:val="22"/>
          <w:u w:val="single"/>
          <w:lang w:val="sr-Latn-ME" w:eastAsia="es-ES"/>
        </w:rPr>
      </w:pPr>
      <w:r>
        <w:rPr>
          <w:szCs w:val="22"/>
          <w:u w:val="single"/>
          <w:lang w:val="sr-Latn-ME"/>
        </w:rPr>
        <w:t>Istovremena primjena sa inhibitorima HIV proteaze</w:t>
      </w:r>
    </w:p>
    <w:p w:rsidR="00D76435" w:rsidRDefault="005839CA">
      <w:pPr>
        <w:tabs>
          <w:tab w:val="left" w:pos="284"/>
          <w:tab w:val="center" w:pos="4320"/>
          <w:tab w:val="right" w:pos="8640"/>
        </w:tabs>
        <w:jc w:val="both"/>
        <w:rPr>
          <w:szCs w:val="22"/>
          <w:lang w:val="sr-Latn-ME"/>
        </w:rPr>
      </w:pPr>
      <w:r>
        <w:rPr>
          <w:szCs w:val="22"/>
          <w:lang w:val="sr-Latn-ME"/>
        </w:rPr>
        <w:t>Ne preporučuje se istovremena primjena pantoprazola sa inhibitorima HIV proteaze, čija resporpcija zavisi od pH vrijednosti u želucu, kao što je atazanavir, jer može doći do značajnog smanjenja bioraspoloživosti ovih ljekova (vidjeti dio 4.5).</w:t>
      </w:r>
    </w:p>
    <w:p w:rsidR="00D76435" w:rsidRDefault="00D76435">
      <w:pPr>
        <w:tabs>
          <w:tab w:val="left" w:pos="284"/>
          <w:tab w:val="center" w:pos="4320"/>
          <w:tab w:val="right" w:pos="8640"/>
        </w:tabs>
        <w:jc w:val="both"/>
        <w:rPr>
          <w:szCs w:val="22"/>
          <w:u w:val="single"/>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Gastrointestinalne infekcije uzrokovane bakterijama</w:t>
      </w:r>
    </w:p>
    <w:p w:rsidR="00D76435" w:rsidRDefault="005839CA">
      <w:pPr>
        <w:tabs>
          <w:tab w:val="left" w:pos="284"/>
          <w:tab w:val="center" w:pos="4320"/>
          <w:tab w:val="right" w:pos="8640"/>
        </w:tabs>
        <w:jc w:val="both"/>
        <w:rPr>
          <w:i/>
          <w:szCs w:val="22"/>
          <w:lang w:val="sr-Latn-ME"/>
        </w:rPr>
      </w:pPr>
      <w:r>
        <w:rPr>
          <w:szCs w:val="22"/>
          <w:lang w:val="sr-Latn-ME"/>
        </w:rPr>
        <w:t xml:space="preserve">Terapija lijekom Nolpaza može dovesti do blagog povećanja rizika od gastrointestinalnih infekcija uzrokovanih bakterijama </w:t>
      </w:r>
      <w:r>
        <w:rPr>
          <w:i/>
          <w:szCs w:val="22"/>
          <w:lang w:val="sr-Latn-ME"/>
        </w:rPr>
        <w:t xml:space="preserve">Salmonella </w:t>
      </w:r>
      <w:r>
        <w:rPr>
          <w:szCs w:val="22"/>
          <w:lang w:val="sr-Latn-ME"/>
        </w:rPr>
        <w:t xml:space="preserve">i </w:t>
      </w:r>
      <w:r>
        <w:rPr>
          <w:i/>
          <w:szCs w:val="22"/>
          <w:lang w:val="sr-Latn-ME"/>
        </w:rPr>
        <w:t>Campylobacter</w:t>
      </w:r>
      <w:r>
        <w:rPr>
          <w:szCs w:val="22"/>
          <w:lang w:val="sr-Latn-ME"/>
        </w:rPr>
        <w:t xml:space="preserve"> ili </w:t>
      </w:r>
      <w:r>
        <w:rPr>
          <w:i/>
          <w:szCs w:val="22"/>
          <w:lang w:val="sr-Latn-ME"/>
        </w:rPr>
        <w:t>C.difficile.</w:t>
      </w:r>
    </w:p>
    <w:p w:rsidR="00D76435" w:rsidRDefault="00D76435">
      <w:pPr>
        <w:tabs>
          <w:tab w:val="left" w:pos="284"/>
          <w:tab w:val="center" w:pos="4320"/>
          <w:tab w:val="right" w:pos="8640"/>
        </w:tabs>
        <w:jc w:val="both"/>
        <w:rPr>
          <w:i/>
          <w:szCs w:val="22"/>
          <w:lang w:val="sr-Latn-ME"/>
        </w:rPr>
      </w:pPr>
    </w:p>
    <w:p w:rsidR="00D76435" w:rsidRDefault="005839CA">
      <w:pPr>
        <w:tabs>
          <w:tab w:val="left" w:pos="284"/>
          <w:tab w:val="center" w:pos="4320"/>
          <w:tab w:val="right" w:pos="8640"/>
        </w:tabs>
        <w:jc w:val="both"/>
        <w:rPr>
          <w:i/>
          <w:szCs w:val="22"/>
          <w:u w:val="single"/>
          <w:lang w:val="sr-Latn-ME"/>
        </w:rPr>
      </w:pPr>
      <w:r>
        <w:rPr>
          <w:i/>
          <w:szCs w:val="22"/>
          <w:u w:val="single"/>
          <w:lang w:val="sr-Latn-ME"/>
        </w:rPr>
        <w:t>Natrijum</w:t>
      </w:r>
    </w:p>
    <w:p w:rsidR="00D76435" w:rsidRDefault="005839CA">
      <w:pPr>
        <w:tabs>
          <w:tab w:val="left" w:pos="284"/>
          <w:tab w:val="center" w:pos="4320"/>
          <w:tab w:val="right" w:pos="8640"/>
        </w:tabs>
        <w:jc w:val="both"/>
        <w:rPr>
          <w:szCs w:val="22"/>
          <w:lang w:val="sr-Latn-ME"/>
        </w:rPr>
      </w:pPr>
      <w:bookmarkStart w:id="0" w:name="_Hlk151021226"/>
      <w:r>
        <w:rPr>
          <w:szCs w:val="22"/>
          <w:lang w:val="sr-Latn-ME"/>
        </w:rPr>
        <w:t>Ovaj lijek sadrži manje od 1 mmol natrijuma (23 mg) po bočici, tj. zanemarljive količine natrijuma.</w:t>
      </w:r>
    </w:p>
    <w:bookmarkEnd w:id="0"/>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Hipomagnezijemija</w:t>
      </w:r>
    </w:p>
    <w:p w:rsidR="00D76435" w:rsidRDefault="005839CA">
      <w:pPr>
        <w:tabs>
          <w:tab w:val="left" w:pos="284"/>
          <w:tab w:val="center" w:pos="4320"/>
          <w:tab w:val="right" w:pos="8640"/>
        </w:tabs>
        <w:jc w:val="both"/>
        <w:rPr>
          <w:szCs w:val="22"/>
          <w:lang w:val="sr-Latn-ME"/>
        </w:rPr>
      </w:pPr>
      <w:r>
        <w:rPr>
          <w:szCs w:val="22"/>
          <w:lang w:val="sr-Latn-ME"/>
        </w:rPr>
        <w:t>Teška hipomagnezijemija prijavljena je</w:t>
      </w:r>
      <w:r>
        <w:rPr>
          <w:color w:val="000000"/>
          <w:szCs w:val="22"/>
          <w:lang w:val="sr-Latn-ME" w:eastAsia="sl-SI"/>
        </w:rPr>
        <w:t xml:space="preserve"> </w:t>
      </w:r>
      <w:r>
        <w:rPr>
          <w:szCs w:val="22"/>
          <w:lang w:val="sr-Latn-ME"/>
        </w:rPr>
        <w:t xml:space="preserve">u rijetkim slučajevima kod pacijenata liječenih sa PPI kao što je pantoprazol tokom najmanje tri mjeseca, a u većini slučajeva tokom godinu dana. Ozbiljne manifestacije hipomagnezijemije kao što su zamor, tetanija, delirijum, konvulzije, ošamućenost i ventrikularne aritmije se mogu javiti, ali mogu započeti podmuklo i mogu se previdjeti. Hipomagnezijemija može dovesti do hipokalcijemije i/ili hipokalijemije (vidjeti dio 4.8). Kod većine pacijenata kod kojih se javi, hipomagnezijemija (i hipomagnezemija povezana sa hipokalcijemijom i/ili hipokalijemijom) se može korigovati nadoknadom magnezijuma i prekidom terapije sa PPI. </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Kod pacijenata kod kojih se očekuje da će duže vrijeme uzimati PPI ili onih koji uzimaju PPI sa digoksinom ili ljekovima koji mogu uzrokovati hipomagnezijemiju (npr. diuretici), ljekari bi trebalo da razmotre mogućnost određivanja vrijednosti magnezijuma prije započinjanja terapije sa PPI kao i periodično tokom terapije.</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Frakture kostiju</w:t>
      </w:r>
    </w:p>
    <w:p w:rsidR="00D76435" w:rsidRDefault="005839CA">
      <w:pPr>
        <w:tabs>
          <w:tab w:val="left" w:pos="284"/>
          <w:tab w:val="center" w:pos="4320"/>
          <w:tab w:val="right" w:pos="8640"/>
        </w:tabs>
        <w:jc w:val="both"/>
        <w:rPr>
          <w:szCs w:val="22"/>
          <w:lang w:val="sr-Latn-ME"/>
        </w:rPr>
      </w:pPr>
      <w:r>
        <w:rPr>
          <w:szCs w:val="22"/>
          <w:lang w:val="sr-Latn-ME"/>
        </w:rPr>
        <w:t>Inhibitori protonske pumpe (PPI), naročito ako se primjenjuju u visokim dozama i tokom dužeg perioda (&gt; 1 godine), mogu umjereno da povećaju rizik od frakture kuka, ručnog zgloba i kičme, prije svega kod starijih pacijenata ili u prisustvu drugih poznatih faktora rizika. Opservacione studije ukazuju na to da inhibitori protonske pumpe mogu povećati ukupni rizik od frakture za 10-40%. Neka od ovih povećanja mogu biti uzrokovana drugim faktorima rizika. Pacijenti koji su pod rizikom od nastanka osteoporoze moraju da dobijaju njegu u skladu sa važećim kliničkim smjernicama kao i da imaju adekvatan unos vitamina D i kalcijuma.</w:t>
      </w:r>
    </w:p>
    <w:p w:rsidR="00D76435" w:rsidRDefault="00D76435">
      <w:pPr>
        <w:tabs>
          <w:tab w:val="left" w:pos="284"/>
          <w:tab w:val="center" w:pos="4320"/>
          <w:tab w:val="right" w:pos="8640"/>
        </w:tabs>
        <w:jc w:val="both"/>
        <w:rPr>
          <w:szCs w:val="22"/>
          <w:lang w:val="sr-Latn-ME"/>
        </w:rPr>
      </w:pPr>
    </w:p>
    <w:p w:rsidR="00D76435" w:rsidRDefault="005839CA">
      <w:pPr>
        <w:numPr>
          <w:ilvl w:val="12"/>
          <w:numId w:val="0"/>
        </w:numPr>
        <w:tabs>
          <w:tab w:val="left" w:pos="284"/>
        </w:tabs>
        <w:jc w:val="both"/>
        <w:rPr>
          <w:i/>
          <w:szCs w:val="22"/>
          <w:u w:val="single"/>
          <w:lang w:val="sr-Latn-ME"/>
        </w:rPr>
      </w:pPr>
      <w:r>
        <w:rPr>
          <w:i/>
          <w:szCs w:val="22"/>
          <w:u w:val="single"/>
          <w:lang w:val="sr-Latn-ME"/>
        </w:rPr>
        <w:t>Subakutni kutani lupus erythematosus (SCLE)</w:t>
      </w:r>
    </w:p>
    <w:p w:rsidR="00D76435" w:rsidRDefault="005839CA">
      <w:pPr>
        <w:numPr>
          <w:ilvl w:val="12"/>
          <w:numId w:val="0"/>
        </w:numPr>
        <w:tabs>
          <w:tab w:val="left" w:pos="284"/>
        </w:tabs>
        <w:jc w:val="both"/>
        <w:rPr>
          <w:szCs w:val="22"/>
          <w:lang w:val="sr-Latn-ME"/>
        </w:rPr>
      </w:pPr>
      <w:r>
        <w:rPr>
          <w:szCs w:val="22"/>
          <w:lang w:val="sr-Latn-ME"/>
        </w:rPr>
        <w:t>Primjena inhibitora protonske pumpe je povezana sa veoma rijetkim slučajevima SCLE. Ukoliko se pojave lezije, naročito na regijama kože izloženim sunčevim zracima, i ukoliko pojavu ovih simptoma prati i artralgija, pacijent treba odmah da potraži medicinsku pomoć, dok bi ljekar trebalo da razmotri prekid primjene lijeka Nolpaza. SCLE nakon prethodne terapije inhibitorima protonske pumpe može povećati rizik od kasnijeg ispoljavanja SCLE prilikom primjene drugih inhibitora protonske pumpe.</w:t>
      </w:r>
    </w:p>
    <w:p w:rsidR="00D76435" w:rsidRDefault="00D76435">
      <w:pPr>
        <w:numPr>
          <w:ilvl w:val="12"/>
          <w:numId w:val="0"/>
        </w:numPr>
        <w:tabs>
          <w:tab w:val="left" w:pos="284"/>
        </w:tabs>
        <w:jc w:val="both"/>
        <w:rPr>
          <w:szCs w:val="22"/>
          <w:lang w:val="sr-Latn-ME"/>
        </w:rPr>
      </w:pPr>
    </w:p>
    <w:p w:rsidR="00D76435" w:rsidRDefault="005839CA">
      <w:pPr>
        <w:numPr>
          <w:ilvl w:val="12"/>
          <w:numId w:val="0"/>
        </w:numPr>
        <w:tabs>
          <w:tab w:val="left" w:pos="284"/>
        </w:tabs>
        <w:jc w:val="both"/>
        <w:rPr>
          <w:i/>
          <w:szCs w:val="22"/>
          <w:u w:val="single"/>
          <w:lang w:val="sr-Latn-ME"/>
        </w:rPr>
      </w:pPr>
      <w:r>
        <w:rPr>
          <w:i/>
          <w:szCs w:val="22"/>
          <w:u w:val="single"/>
          <w:lang w:val="sr-Latn-ME"/>
        </w:rPr>
        <w:t xml:space="preserve">Interferencija sa laboratorijskim testovima </w:t>
      </w:r>
    </w:p>
    <w:p w:rsidR="00D76435" w:rsidRDefault="005839CA">
      <w:pPr>
        <w:numPr>
          <w:ilvl w:val="12"/>
          <w:numId w:val="0"/>
        </w:numPr>
        <w:tabs>
          <w:tab w:val="left" w:pos="284"/>
        </w:tabs>
        <w:jc w:val="both"/>
        <w:rPr>
          <w:spacing w:val="-3"/>
          <w:szCs w:val="22"/>
          <w:lang w:val="sr-Latn-ME"/>
        </w:rPr>
      </w:pPr>
      <w:r>
        <w:rPr>
          <w:szCs w:val="22"/>
          <w:lang w:val="sr-Latn-ME"/>
        </w:rPr>
        <w:t>Povećana vrijednost hromogranina A (CgA) može da utiče na ispitivanje prisustva neuroendokrinih tumora. Da bi se ovo izbjeglo, terapiju lijekom Nolpaza treba obustaviti najmanje 5 dana prije određivanja vrijednosti CgA (vidjeti dio 5.1). Ako se nakon početnog određivanja koncentracije CgA i gastrina ne vrate na referentne vrijednosti, potrebno je ponoviti analizu 14 dana nakon prestanka primjene inhibitora protonske pumpe.</w:t>
      </w:r>
    </w:p>
    <w:p w:rsidR="00D76435" w:rsidRDefault="00D76435">
      <w:pPr>
        <w:widowControl w:val="0"/>
        <w:jc w:val="both"/>
        <w:rPr>
          <w:szCs w:val="22"/>
          <w:lang w:val="sr-Latn-ME"/>
        </w:rPr>
      </w:pPr>
    </w:p>
    <w:p w:rsidR="00D76435" w:rsidRDefault="005839CA">
      <w:pPr>
        <w:widowControl w:val="0"/>
        <w:ind w:left="567" w:hanging="567"/>
        <w:jc w:val="both"/>
        <w:outlineLvl w:val="0"/>
        <w:rPr>
          <w:b/>
          <w:szCs w:val="22"/>
          <w:lang w:val="sr-Latn-ME"/>
        </w:rPr>
      </w:pPr>
      <w:r>
        <w:rPr>
          <w:b/>
          <w:szCs w:val="22"/>
          <w:lang w:val="sr-Latn-ME"/>
        </w:rPr>
        <w:t>4.5</w:t>
      </w:r>
      <w:r>
        <w:rPr>
          <w:b/>
          <w:szCs w:val="22"/>
          <w:lang w:val="sr-Latn-ME"/>
        </w:rPr>
        <w:tab/>
        <w:t>Interakcije sa drugim ljekovima i druge vrste interakcija</w:t>
      </w:r>
    </w:p>
    <w:p w:rsidR="00D76435" w:rsidRDefault="00D76435">
      <w:pPr>
        <w:widowControl w:val="0"/>
        <w:ind w:left="567" w:hanging="567"/>
        <w:jc w:val="both"/>
        <w:outlineLvl w:val="0"/>
        <w:rPr>
          <w:szCs w:val="22"/>
          <w:lang w:val="sr-Latn-ME"/>
        </w:rPr>
      </w:pPr>
    </w:p>
    <w:p w:rsidR="00D76435" w:rsidRDefault="005839CA">
      <w:pPr>
        <w:widowControl w:val="0"/>
        <w:tabs>
          <w:tab w:val="left" w:pos="284"/>
        </w:tabs>
        <w:autoSpaceDE w:val="0"/>
        <w:autoSpaceDN w:val="0"/>
        <w:adjustRightInd w:val="0"/>
        <w:jc w:val="both"/>
        <w:rPr>
          <w:szCs w:val="22"/>
          <w:u w:val="single"/>
          <w:lang w:val="sr-Latn-ME"/>
        </w:rPr>
      </w:pPr>
      <w:r>
        <w:rPr>
          <w:i/>
          <w:szCs w:val="22"/>
          <w:u w:val="single"/>
          <w:lang w:val="sr-Latn-ME"/>
        </w:rPr>
        <w:t>Ljekovi sa pH zavisnom resorpcionom farmakokinetikom</w:t>
      </w:r>
      <w:r>
        <w:rPr>
          <w:szCs w:val="22"/>
          <w:lang w:val="sr-Latn-ME"/>
        </w:rPr>
        <w:t xml:space="preserve"> </w:t>
      </w:r>
    </w:p>
    <w:p w:rsidR="00D76435" w:rsidRDefault="005839CA">
      <w:pPr>
        <w:tabs>
          <w:tab w:val="left" w:pos="284"/>
          <w:tab w:val="center" w:pos="4320"/>
          <w:tab w:val="right" w:pos="8640"/>
        </w:tabs>
        <w:jc w:val="both"/>
        <w:rPr>
          <w:szCs w:val="22"/>
          <w:lang w:val="sr-Latn-ME"/>
        </w:rPr>
      </w:pPr>
      <w:r>
        <w:rPr>
          <w:szCs w:val="22"/>
          <w:lang w:val="sr-Latn-ME"/>
        </w:rPr>
        <w:t>Usljed izražene i dugotrajne inhibicije sekrecije želudačne kiseline, pantoprazol može smanjiti resorpciju ljekova čija je bioraspoloživost zavisna od pH želudačnog sadržaja, npr. neki azolni antimikotici kao što su ketokonazol, itrakonazol, posakonazol i ostali ljekovi kao što je erlotinib.</w:t>
      </w:r>
    </w:p>
    <w:p w:rsidR="00D76435" w:rsidRDefault="00D76435">
      <w:pPr>
        <w:tabs>
          <w:tab w:val="left" w:pos="284"/>
          <w:tab w:val="center" w:pos="4320"/>
          <w:tab w:val="right" w:pos="8640"/>
        </w:tabs>
        <w:jc w:val="both"/>
        <w:rPr>
          <w:szCs w:val="22"/>
          <w:u w:val="single"/>
          <w:lang w:val="sr-Latn-ME"/>
        </w:rPr>
      </w:pPr>
    </w:p>
    <w:p w:rsidR="00D76435" w:rsidRDefault="005839CA">
      <w:pPr>
        <w:widowControl w:val="0"/>
        <w:tabs>
          <w:tab w:val="left" w:pos="284"/>
        </w:tabs>
        <w:autoSpaceDE w:val="0"/>
        <w:autoSpaceDN w:val="0"/>
        <w:adjustRightInd w:val="0"/>
        <w:jc w:val="both"/>
        <w:rPr>
          <w:i/>
          <w:szCs w:val="22"/>
          <w:u w:val="single"/>
          <w:lang w:val="sr-Latn-ME"/>
        </w:rPr>
      </w:pPr>
      <w:r>
        <w:rPr>
          <w:i/>
          <w:szCs w:val="22"/>
          <w:u w:val="single"/>
          <w:lang w:val="sr-Latn-ME"/>
        </w:rPr>
        <w:t>Inhibitori HIV proteaze</w:t>
      </w:r>
    </w:p>
    <w:p w:rsidR="00D76435" w:rsidRDefault="005839CA">
      <w:pPr>
        <w:jc w:val="both"/>
        <w:rPr>
          <w:szCs w:val="22"/>
          <w:lang w:val="sr-Latn-ME"/>
        </w:rPr>
      </w:pPr>
      <w:r>
        <w:rPr>
          <w:szCs w:val="22"/>
          <w:lang w:val="sr-Latn-ME"/>
        </w:rPr>
        <w:t xml:space="preserve">Ne preporučuje se istovremena primjena pantoprazola sa inhibitorima HIV proteaze, čija resporpcija zavisi od pH vrijednosti u želucu, kao što je atazanavir, jer može doći do značajnog smanjenja bioraspoloživosti ovih ljekova (vidjeti dio 4.4). </w:t>
      </w:r>
    </w:p>
    <w:p w:rsidR="00D76435" w:rsidRDefault="005839CA">
      <w:pPr>
        <w:jc w:val="both"/>
        <w:rPr>
          <w:szCs w:val="22"/>
          <w:lang w:val="sr-Latn-ME"/>
        </w:rPr>
      </w:pPr>
      <w:r>
        <w:rPr>
          <w:szCs w:val="22"/>
          <w:lang w:val="sr-Latn-ME"/>
        </w:rPr>
        <w:t xml:space="preserve">Ako se procijeni da je istovremena primjena inhibitora protonske pumpe i inhibitora HIV proteaze neizbježna, preporučuje se pažljivo kliničko praćenje (npr. virusnog opterećenja, engl. </w:t>
      </w:r>
      <w:r>
        <w:rPr>
          <w:i/>
          <w:szCs w:val="22"/>
          <w:lang w:val="sr-Latn-ME"/>
        </w:rPr>
        <w:t>virus load</w:t>
      </w:r>
      <w:r>
        <w:rPr>
          <w:szCs w:val="22"/>
          <w:lang w:val="sr-Latn-ME"/>
        </w:rPr>
        <w:t>). Dozu pantoprazola od 20 mg dnevno ne treba prekoračiti. Možda će biti potrebno prilagođavanje doze inhibitora HIV proteaze.</w:t>
      </w:r>
    </w:p>
    <w:p w:rsidR="00D76435" w:rsidRDefault="00D76435">
      <w:pPr>
        <w:tabs>
          <w:tab w:val="left" w:pos="284"/>
          <w:tab w:val="center" w:pos="4320"/>
          <w:tab w:val="right" w:pos="8640"/>
        </w:tabs>
        <w:jc w:val="both"/>
        <w:rPr>
          <w:szCs w:val="22"/>
          <w:u w:val="single"/>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Kumarinski antikoagulansi (fenprokumon ili varfarin)</w:t>
      </w:r>
    </w:p>
    <w:p w:rsidR="00D76435" w:rsidRDefault="005839CA">
      <w:pPr>
        <w:tabs>
          <w:tab w:val="left" w:pos="284"/>
          <w:tab w:val="center" w:pos="4320"/>
          <w:tab w:val="right" w:pos="8640"/>
        </w:tabs>
        <w:jc w:val="both"/>
        <w:rPr>
          <w:szCs w:val="22"/>
          <w:lang w:val="sr-Latn-ME"/>
        </w:rPr>
      </w:pPr>
      <w:r>
        <w:rPr>
          <w:szCs w:val="22"/>
          <w:lang w:val="sr-Latn-ME"/>
        </w:rPr>
        <w:t xml:space="preserve">Iako u kliničkim farmakokinetičkim studijama nije zabilježena interakcija tokom istovremene primjene sa fenprokumonom ili varfarinom, prijavljeno je nekoliko izolovanih slučajeva promjene protrombinskog vremena/INR tokom istovremene primjene u postmarketinškom periodu. Zbog toga se kod pacijenata koji su na terapiji kumarinskim antikoagulansima (npr. fenprokumon ili varfarin), preporučuje praćenje protrombinskog vremena/INR-a nakon započinjanja terapije, nakon završetka terapije ili tokom neredovne upotrebe pantoprazola. </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Metotreksat</w:t>
      </w:r>
    </w:p>
    <w:p w:rsidR="00D76435" w:rsidRDefault="005839CA">
      <w:pPr>
        <w:tabs>
          <w:tab w:val="left" w:pos="284"/>
          <w:tab w:val="center" w:pos="4320"/>
          <w:tab w:val="right" w:pos="8640"/>
        </w:tabs>
        <w:jc w:val="both"/>
        <w:rPr>
          <w:szCs w:val="22"/>
          <w:lang w:val="sr-Latn-ME"/>
        </w:rPr>
      </w:pPr>
      <w:r>
        <w:rPr>
          <w:szCs w:val="22"/>
          <w:lang w:val="sr-Latn-ME"/>
        </w:rPr>
        <w:t>Prijavljeno je da istovremena primjena visokih doza metotreksata (npr.300 mg) i inhibitora protonske pumpe dovodi do porasta vrijednosti metotreksata kod nekih pacijenata. U situacijama kada se primjenjuju visoke doze metotreksata, na primjer za liječenje karcinoma ili psorijaze, potrebno je razmotriti privremeni prekid primjene pantoprazola.</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Ostale studije interakcija</w:t>
      </w:r>
    </w:p>
    <w:p w:rsidR="00D76435" w:rsidRDefault="005839CA">
      <w:pPr>
        <w:tabs>
          <w:tab w:val="left" w:pos="284"/>
          <w:tab w:val="center" w:pos="4320"/>
          <w:tab w:val="right" w:pos="8640"/>
        </w:tabs>
        <w:jc w:val="both"/>
        <w:rPr>
          <w:szCs w:val="22"/>
          <w:lang w:val="sr-Latn-ME"/>
        </w:rPr>
      </w:pPr>
      <w:r>
        <w:rPr>
          <w:szCs w:val="22"/>
          <w:lang w:val="sr-Latn-ME"/>
        </w:rPr>
        <w:t>Pantoprazol se intezivno metaboliše u jetri putem sistema enzima citohroma P450. Glavni metabolički put je demetilacija putem CYP2C19 i ostalih metaboličkih puteva uključujući i oksidaciju putem CYP 3A4.</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Studije čiji su predmet istraživanja bile interakcije pantoprazola sa ljekovima koji se takođe metabolišu ovim putevima, kao što su karbamazepin, diazepam, glibenklamid, nifedipin i oralni kontraceptivi koji sadrže levonorgestrel i etinil estradiol nijesu pokazale klinički značajne interakcije.</w:t>
      </w:r>
    </w:p>
    <w:p w:rsidR="00D76435" w:rsidRDefault="00D76435">
      <w:pPr>
        <w:tabs>
          <w:tab w:val="left" w:pos="284"/>
          <w:tab w:val="center" w:pos="4320"/>
          <w:tab w:val="right" w:pos="8640"/>
        </w:tabs>
        <w:jc w:val="both"/>
        <w:rPr>
          <w:szCs w:val="22"/>
          <w:lang w:val="sr-Latn-ME"/>
        </w:rPr>
      </w:pPr>
    </w:p>
    <w:p w:rsidR="00D76435" w:rsidRDefault="005839CA">
      <w:pPr>
        <w:widowControl w:val="0"/>
        <w:tabs>
          <w:tab w:val="left" w:pos="284"/>
        </w:tabs>
        <w:overflowPunct w:val="0"/>
        <w:autoSpaceDE w:val="0"/>
        <w:autoSpaceDN w:val="0"/>
        <w:adjustRightInd w:val="0"/>
        <w:spacing w:line="239" w:lineRule="auto"/>
        <w:jc w:val="both"/>
        <w:rPr>
          <w:szCs w:val="22"/>
          <w:lang w:val="sr-Latn-ME"/>
        </w:rPr>
      </w:pPr>
      <w:r>
        <w:rPr>
          <w:szCs w:val="22"/>
          <w:lang w:val="sr-Latn-ME"/>
        </w:rPr>
        <w:t xml:space="preserve">Ne mogu se isključiti interakcije pantoprazola i drugih ljekova ili jedinjenja, koji se metabolišu putem ovog enzimskog sistema. </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Rezultati opsežnih studija interakcija pokazali su da pantoprazol ne utiče na metabolizam aktivnih supstanci koje se metabolišu putem CYP1A2 (kao što su kofein, teofilin), CYP2C9 (kao što su piroksikam, diklofenak, naproksen), CYP2D6 (kao što je metoprolol), CYP2E1 (kao što je etanol) i ne remeti resorpciju digoksina povezanu sa p-glikoproteinom.</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Nema interakcije tokom istovremene upotrebe sa antacidima.</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Takođe su sprovedene studije u kojima je istovremeno primjenjivan pantoprazol sa odgovarajućim antibioticima (klaritromicin, metronidazol, amoksicilin). Nijesu utvrđene klinički značajne interakcije.</w:t>
      </w:r>
    </w:p>
    <w:p w:rsidR="00D76435" w:rsidRDefault="00D76435">
      <w:pPr>
        <w:tabs>
          <w:tab w:val="clear" w:pos="567"/>
          <w:tab w:val="left" w:pos="540"/>
          <w:tab w:val="left" w:pos="569"/>
        </w:tabs>
        <w:jc w:val="both"/>
        <w:rPr>
          <w:bCs/>
          <w:szCs w:val="22"/>
          <w:lang w:val="sr-Latn-ME"/>
        </w:rPr>
      </w:pPr>
    </w:p>
    <w:p w:rsidR="00D76435" w:rsidRDefault="005839CA">
      <w:pPr>
        <w:widowControl w:val="0"/>
        <w:tabs>
          <w:tab w:val="left" w:pos="284"/>
        </w:tabs>
        <w:overflowPunct w:val="0"/>
        <w:autoSpaceDE w:val="0"/>
        <w:autoSpaceDN w:val="0"/>
        <w:adjustRightInd w:val="0"/>
        <w:spacing w:line="267" w:lineRule="auto"/>
        <w:jc w:val="both"/>
        <w:rPr>
          <w:szCs w:val="22"/>
          <w:u w:val="single"/>
          <w:lang w:val="sr-Latn-ME"/>
        </w:rPr>
      </w:pPr>
      <w:r>
        <w:rPr>
          <w:szCs w:val="22"/>
          <w:u w:val="single"/>
          <w:lang w:val="sr-Latn-ME"/>
        </w:rPr>
        <w:t xml:space="preserve">Ljekovi koji inhibiraju/indukuju CYP2C19: </w:t>
      </w:r>
    </w:p>
    <w:p w:rsidR="00D76435" w:rsidRDefault="005839CA">
      <w:pPr>
        <w:widowControl w:val="0"/>
        <w:tabs>
          <w:tab w:val="left" w:pos="284"/>
        </w:tabs>
        <w:overflowPunct w:val="0"/>
        <w:autoSpaceDE w:val="0"/>
        <w:autoSpaceDN w:val="0"/>
        <w:adjustRightInd w:val="0"/>
        <w:spacing w:line="267" w:lineRule="auto"/>
        <w:jc w:val="both"/>
        <w:rPr>
          <w:szCs w:val="22"/>
          <w:lang w:val="sr-Latn-ME"/>
        </w:rPr>
      </w:pPr>
      <w:r>
        <w:rPr>
          <w:szCs w:val="22"/>
          <w:lang w:val="sr-Latn-ME"/>
        </w:rPr>
        <w:t>CYP2C19 inhibitori, kao što je fluvoksamin, mogu da povećaju sistemsku izloženost pantoprazolu. Potrebno je razmotriti smanjenje doze lijeka kod pacijenata na dugotrajnoj terapiji visokim dozama pantoprazola ili kod pacijenata sa oštećenom funkcijom jetre.</w:t>
      </w:r>
    </w:p>
    <w:p w:rsidR="00D76435" w:rsidRDefault="005839CA">
      <w:pPr>
        <w:widowControl w:val="0"/>
        <w:tabs>
          <w:tab w:val="left" w:pos="284"/>
        </w:tabs>
        <w:overflowPunct w:val="0"/>
        <w:autoSpaceDE w:val="0"/>
        <w:autoSpaceDN w:val="0"/>
        <w:adjustRightInd w:val="0"/>
        <w:spacing w:line="267" w:lineRule="auto"/>
        <w:jc w:val="both"/>
        <w:rPr>
          <w:szCs w:val="22"/>
          <w:lang w:val="sr-Latn-ME"/>
        </w:rPr>
      </w:pPr>
      <w:r>
        <w:rPr>
          <w:szCs w:val="22"/>
          <w:lang w:val="sr-Latn-ME"/>
        </w:rPr>
        <w:t>CYP2C19 i CYP3A4 induktori, kao što su rifampicin i kantarion (</w:t>
      </w:r>
      <w:r>
        <w:rPr>
          <w:i/>
          <w:szCs w:val="22"/>
          <w:lang w:val="sr-Latn-ME"/>
        </w:rPr>
        <w:t>Hypericum perforatum</w:t>
      </w:r>
      <w:r>
        <w:rPr>
          <w:szCs w:val="22"/>
          <w:lang w:val="sr-Latn-ME"/>
        </w:rPr>
        <w:t>) mogu da smanje koncentraciju inhibitora protonske pumpe u plazmi, koji se metabolišu posredstvom ovih enzima.</w:t>
      </w:r>
    </w:p>
    <w:p w:rsidR="00D76435" w:rsidRDefault="00D76435">
      <w:pPr>
        <w:widowControl w:val="0"/>
        <w:jc w:val="both"/>
        <w:rPr>
          <w:szCs w:val="22"/>
          <w:lang w:val="sr-Latn-ME"/>
        </w:rPr>
      </w:pPr>
    </w:p>
    <w:p w:rsidR="00D76435" w:rsidRDefault="00D76435">
      <w:pPr>
        <w:widowControl w:val="0"/>
        <w:jc w:val="both"/>
        <w:rPr>
          <w:szCs w:val="22"/>
          <w:lang w:val="sr-Latn-ME"/>
        </w:rPr>
      </w:pPr>
    </w:p>
    <w:p w:rsidR="00D76435" w:rsidRDefault="005839CA">
      <w:pPr>
        <w:widowControl w:val="0"/>
        <w:ind w:left="567" w:hanging="567"/>
        <w:jc w:val="both"/>
        <w:outlineLvl w:val="0"/>
        <w:rPr>
          <w:b/>
          <w:bCs/>
          <w:szCs w:val="22"/>
          <w:lang w:val="sr-Latn-ME"/>
        </w:rPr>
      </w:pPr>
      <w:r>
        <w:rPr>
          <w:b/>
          <w:szCs w:val="22"/>
          <w:lang w:val="sr-Latn-ME"/>
        </w:rPr>
        <w:lastRenderedPageBreak/>
        <w:t>4.6</w:t>
      </w:r>
      <w:r>
        <w:rPr>
          <w:b/>
          <w:szCs w:val="22"/>
          <w:lang w:val="sr-Latn-ME"/>
        </w:rPr>
        <w:tab/>
      </w:r>
      <w:r>
        <w:rPr>
          <w:b/>
          <w:bCs/>
          <w:szCs w:val="22"/>
          <w:lang w:val="sr-Latn-ME"/>
        </w:rPr>
        <w:t>Plodnost, trudnoća i dojenje</w:t>
      </w:r>
    </w:p>
    <w:p w:rsidR="00D76435" w:rsidRDefault="00D76435">
      <w:pPr>
        <w:widowControl w:val="0"/>
        <w:ind w:left="567" w:hanging="567"/>
        <w:jc w:val="both"/>
        <w:outlineLvl w:val="0"/>
        <w:rPr>
          <w:b/>
          <w:bCs/>
          <w:szCs w:val="22"/>
          <w:lang w:val="sr-Latn-ME"/>
        </w:rPr>
      </w:pPr>
    </w:p>
    <w:p w:rsidR="00D76435" w:rsidRDefault="005839CA">
      <w:pPr>
        <w:tabs>
          <w:tab w:val="left" w:pos="284"/>
          <w:tab w:val="center" w:pos="4320"/>
          <w:tab w:val="right" w:pos="8640"/>
        </w:tabs>
        <w:jc w:val="both"/>
        <w:rPr>
          <w:szCs w:val="22"/>
          <w:lang w:val="sr-Latn-ME"/>
        </w:rPr>
      </w:pPr>
      <w:r>
        <w:rPr>
          <w:szCs w:val="22"/>
          <w:u w:val="single"/>
          <w:lang w:val="sr-Latn-ME"/>
        </w:rPr>
        <w:t>Trudnoća</w:t>
      </w:r>
    </w:p>
    <w:p w:rsidR="00D76435" w:rsidRDefault="005839CA">
      <w:pPr>
        <w:jc w:val="both"/>
        <w:rPr>
          <w:szCs w:val="22"/>
          <w:lang w:val="sr-Latn-ME"/>
        </w:rPr>
      </w:pPr>
      <w:r>
        <w:rPr>
          <w:szCs w:val="22"/>
          <w:lang w:val="sr-Latn-ME"/>
        </w:rPr>
        <w:t xml:space="preserve">Ograničen broj podataka kod trudnica (između 300-1000 ishoda trudnoće) ukazuju da pantoprazol nema malformativnu ili feto/neonatalnu toksičnost. Ispitivanja na životinjama su pokazala reproduktivnu toksičnost (vidjeti dio 5.3). </w:t>
      </w:r>
    </w:p>
    <w:p w:rsidR="00D76435" w:rsidRDefault="005839CA">
      <w:pPr>
        <w:jc w:val="both"/>
        <w:rPr>
          <w:szCs w:val="22"/>
          <w:lang w:val="sr-Latn-ME"/>
        </w:rPr>
      </w:pPr>
      <w:r>
        <w:rPr>
          <w:szCs w:val="22"/>
          <w:lang w:val="sr-Latn-ME"/>
        </w:rPr>
        <w:t>Lijek pantoprazol ne treba primjenjivati tokom trudnoće, osim ukoliko je neophodno.</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Dojenje</w:t>
      </w:r>
    </w:p>
    <w:p w:rsidR="00D76435" w:rsidRDefault="005839CA">
      <w:pPr>
        <w:tabs>
          <w:tab w:val="left" w:pos="284"/>
          <w:tab w:val="center" w:pos="4320"/>
          <w:tab w:val="right" w:pos="8640"/>
        </w:tabs>
        <w:jc w:val="both"/>
        <w:rPr>
          <w:szCs w:val="22"/>
          <w:lang w:val="sr-Latn-ME"/>
        </w:rPr>
      </w:pPr>
      <w:r>
        <w:rPr>
          <w:szCs w:val="22"/>
          <w:lang w:val="sr-Latn-ME"/>
        </w:rPr>
        <w:t>Studije na životinjama pokazale su da se pantoprazol izlučuje u mlijeko. Potvrđeno je izlučivanje pantoprazola u humano mlijeko. Zbog toga odluku o nastavku/prekidu dojenja ili nastavku/prekidu terapije pantoprazolom treba donijeti uzimajući u obzir korist dojenja za dijete i korist primjene terapije kod žene.</w:t>
      </w:r>
    </w:p>
    <w:p w:rsidR="00D76435" w:rsidRDefault="00D76435">
      <w:pPr>
        <w:tabs>
          <w:tab w:val="clear" w:pos="567"/>
          <w:tab w:val="left" w:pos="540"/>
          <w:tab w:val="left" w:pos="569"/>
        </w:tabs>
        <w:ind w:left="540" w:hanging="540"/>
        <w:jc w:val="both"/>
        <w:rPr>
          <w:b/>
          <w:bCs/>
          <w:szCs w:val="22"/>
          <w:lang w:val="sr-Latn-ME"/>
        </w:rPr>
      </w:pPr>
    </w:p>
    <w:p w:rsidR="00D76435" w:rsidRDefault="005839CA">
      <w:pPr>
        <w:tabs>
          <w:tab w:val="left" w:pos="284"/>
        </w:tabs>
        <w:autoSpaceDE w:val="0"/>
        <w:autoSpaceDN w:val="0"/>
        <w:adjustRightInd w:val="0"/>
        <w:jc w:val="both"/>
        <w:rPr>
          <w:szCs w:val="22"/>
          <w:u w:val="single"/>
          <w:lang w:val="sr-Latn-ME"/>
        </w:rPr>
      </w:pPr>
      <w:r>
        <w:rPr>
          <w:szCs w:val="22"/>
          <w:u w:val="single"/>
          <w:lang w:val="sr-Latn-ME"/>
        </w:rPr>
        <w:t xml:space="preserve">Plodnost </w:t>
      </w:r>
    </w:p>
    <w:p w:rsidR="00D76435" w:rsidRDefault="005839CA">
      <w:pPr>
        <w:tabs>
          <w:tab w:val="left" w:pos="284"/>
        </w:tabs>
        <w:autoSpaceDE w:val="0"/>
        <w:autoSpaceDN w:val="0"/>
        <w:adjustRightInd w:val="0"/>
        <w:jc w:val="both"/>
        <w:rPr>
          <w:szCs w:val="22"/>
          <w:lang w:val="sr-Latn-ME"/>
        </w:rPr>
      </w:pPr>
      <w:r>
        <w:rPr>
          <w:szCs w:val="22"/>
          <w:lang w:val="sr-Latn-ME"/>
        </w:rPr>
        <w:t>Ispitivanja na životinjama nijesu pokazala da primjena pantoprazola ima uticaja na plodnost (vidjeti dio 5.3).</w:t>
      </w:r>
    </w:p>
    <w:p w:rsidR="00D76435" w:rsidRDefault="00D76435">
      <w:pPr>
        <w:jc w:val="both"/>
        <w:rPr>
          <w:szCs w:val="22"/>
          <w:u w:val="single"/>
          <w:lang w:val="sr-Latn-ME"/>
        </w:rPr>
      </w:pPr>
    </w:p>
    <w:p w:rsidR="00D76435" w:rsidRDefault="005839CA">
      <w:pPr>
        <w:widowControl w:val="0"/>
        <w:ind w:left="567" w:hanging="567"/>
        <w:jc w:val="both"/>
        <w:outlineLvl w:val="0"/>
        <w:rPr>
          <w:szCs w:val="22"/>
          <w:lang w:val="sr-Latn-ME"/>
        </w:rPr>
      </w:pPr>
      <w:r>
        <w:rPr>
          <w:b/>
          <w:szCs w:val="22"/>
          <w:lang w:val="sr-Latn-ME"/>
        </w:rPr>
        <w:t>4.7</w:t>
      </w:r>
      <w:r>
        <w:rPr>
          <w:b/>
          <w:szCs w:val="22"/>
          <w:lang w:val="sr-Latn-ME"/>
        </w:rPr>
        <w:tab/>
      </w:r>
      <w:r>
        <w:rPr>
          <w:b/>
          <w:bCs/>
          <w:szCs w:val="22"/>
          <w:lang w:val="sr-Latn-ME"/>
        </w:rPr>
        <w:t xml:space="preserve">Uticaj na sposobnost upravljanja vozilima i rukovanje mašinama </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Mogu se javiti neželjena dejstva kao što su ošamućenost i poremećaj vida (vidjeti dio 4.8). Ako se  nešto od navedenog  javi, pacijent ne treba da vozi niti rukuje mašinama.</w:t>
      </w:r>
    </w:p>
    <w:p w:rsidR="00D76435" w:rsidRDefault="00D76435">
      <w:pPr>
        <w:widowControl w:val="0"/>
        <w:jc w:val="both"/>
        <w:rPr>
          <w:szCs w:val="22"/>
          <w:lang w:val="sr-Latn-ME"/>
        </w:rPr>
      </w:pPr>
    </w:p>
    <w:p w:rsidR="00D76435" w:rsidRDefault="005839CA">
      <w:pPr>
        <w:widowControl w:val="0"/>
        <w:numPr>
          <w:ilvl w:val="1"/>
          <w:numId w:val="11"/>
        </w:numPr>
        <w:spacing w:line="240" w:lineRule="auto"/>
        <w:jc w:val="both"/>
        <w:outlineLvl w:val="0"/>
        <w:rPr>
          <w:b/>
          <w:szCs w:val="22"/>
          <w:lang w:val="sr-Latn-ME"/>
        </w:rPr>
      </w:pPr>
      <w:r>
        <w:rPr>
          <w:b/>
          <w:szCs w:val="22"/>
          <w:lang w:val="sr-Latn-ME"/>
        </w:rPr>
        <w:t>Neželjena dejstva</w:t>
      </w:r>
    </w:p>
    <w:p w:rsidR="00D76435" w:rsidRDefault="00D76435">
      <w:pPr>
        <w:pStyle w:val="Default"/>
        <w:widowControl w:val="0"/>
        <w:jc w:val="both"/>
        <w:rPr>
          <w:sz w:val="22"/>
          <w:szCs w:val="22"/>
          <w:lang w:val="sr-Latn-ME"/>
        </w:rPr>
      </w:pPr>
    </w:p>
    <w:p w:rsidR="00D76435" w:rsidRDefault="005839CA">
      <w:pPr>
        <w:jc w:val="both"/>
        <w:rPr>
          <w:szCs w:val="22"/>
          <w:lang w:val="sr-Latn-ME"/>
        </w:rPr>
      </w:pPr>
      <w:r>
        <w:rPr>
          <w:szCs w:val="22"/>
          <w:lang w:val="sr-Latn-ME"/>
        </w:rPr>
        <w:t>U prosjeku se kod 5% pacijenata može očekivati pojava neželjenih reakcija na lijek.</w:t>
      </w:r>
    </w:p>
    <w:p w:rsidR="00D76435" w:rsidRDefault="00D76435">
      <w:pPr>
        <w:jc w:val="both"/>
        <w:rPr>
          <w:szCs w:val="22"/>
          <w:lang w:val="sr-Latn-ME"/>
        </w:rPr>
      </w:pPr>
    </w:p>
    <w:p w:rsidR="00D76435" w:rsidRDefault="005839CA">
      <w:pPr>
        <w:jc w:val="both"/>
        <w:rPr>
          <w:szCs w:val="22"/>
          <w:lang w:val="sr-Latn-ME"/>
        </w:rPr>
      </w:pPr>
      <w:r>
        <w:rPr>
          <w:szCs w:val="22"/>
          <w:lang w:val="sr-Latn-ME"/>
        </w:rPr>
        <w:t>Prijavljena neželjena dejstva pantoprazola su u tabeli niže navedena prema sljedećim kategorijama učestalosti:</w:t>
      </w:r>
    </w:p>
    <w:p w:rsidR="00D76435" w:rsidRDefault="005839CA">
      <w:pPr>
        <w:jc w:val="both"/>
        <w:rPr>
          <w:szCs w:val="22"/>
          <w:lang w:val="sr-Latn-ME"/>
        </w:rPr>
      </w:pPr>
      <w:r>
        <w:rPr>
          <w:szCs w:val="22"/>
          <w:lang w:val="sr-Latn-ME"/>
        </w:rPr>
        <w:t xml:space="preserve">Veoma česta (≥ 1/10) </w:t>
      </w:r>
    </w:p>
    <w:p w:rsidR="00D76435" w:rsidRDefault="005839CA">
      <w:pPr>
        <w:jc w:val="both"/>
        <w:rPr>
          <w:szCs w:val="22"/>
          <w:lang w:val="sr-Latn-ME"/>
        </w:rPr>
      </w:pPr>
      <w:r>
        <w:rPr>
          <w:szCs w:val="22"/>
          <w:lang w:val="sr-Latn-ME"/>
        </w:rPr>
        <w:t xml:space="preserve">Česta (≥ 1/100 do &lt; 1/10) </w:t>
      </w:r>
    </w:p>
    <w:p w:rsidR="00D76435" w:rsidRDefault="005839CA">
      <w:pPr>
        <w:jc w:val="both"/>
        <w:rPr>
          <w:szCs w:val="22"/>
          <w:lang w:val="sr-Latn-ME"/>
        </w:rPr>
      </w:pPr>
      <w:r>
        <w:rPr>
          <w:szCs w:val="22"/>
          <w:lang w:val="sr-Latn-ME"/>
        </w:rPr>
        <w:t xml:space="preserve">Povremena (≥ 1/1000 do &lt; 1/100) </w:t>
      </w:r>
    </w:p>
    <w:p w:rsidR="00D76435" w:rsidRDefault="005839CA">
      <w:pPr>
        <w:jc w:val="both"/>
        <w:rPr>
          <w:szCs w:val="22"/>
          <w:lang w:val="sr-Latn-ME"/>
        </w:rPr>
      </w:pPr>
      <w:r>
        <w:rPr>
          <w:szCs w:val="22"/>
          <w:lang w:val="sr-Latn-ME"/>
        </w:rPr>
        <w:t xml:space="preserve">Rijetka (≥ 1/10000 do &lt; 1/1000) </w:t>
      </w:r>
    </w:p>
    <w:p w:rsidR="00D76435" w:rsidRDefault="005839CA">
      <w:pPr>
        <w:jc w:val="both"/>
        <w:rPr>
          <w:szCs w:val="22"/>
          <w:lang w:val="sr-Latn-ME"/>
        </w:rPr>
      </w:pPr>
      <w:r>
        <w:rPr>
          <w:szCs w:val="22"/>
          <w:lang w:val="sr-Latn-ME"/>
        </w:rPr>
        <w:t>Veoma rijetka (&lt; 1/10000)</w:t>
      </w:r>
    </w:p>
    <w:p w:rsidR="00D76435" w:rsidRDefault="005839CA">
      <w:pPr>
        <w:jc w:val="both"/>
        <w:rPr>
          <w:szCs w:val="22"/>
          <w:lang w:val="sr-Latn-ME"/>
        </w:rPr>
      </w:pPr>
      <w:r>
        <w:rPr>
          <w:szCs w:val="22"/>
          <w:lang w:val="sr-Latn-ME"/>
        </w:rPr>
        <w:t>Nepoznata (ne može se procijeniti na osnovu raspoloživih podataka)</w:t>
      </w:r>
    </w:p>
    <w:p w:rsidR="00D76435" w:rsidRDefault="00D76435">
      <w:pPr>
        <w:jc w:val="both"/>
        <w:rPr>
          <w:szCs w:val="22"/>
          <w:lang w:val="sr-Latn-ME"/>
        </w:rPr>
      </w:pPr>
    </w:p>
    <w:p w:rsidR="00D76435" w:rsidRDefault="005839CA">
      <w:pPr>
        <w:jc w:val="both"/>
        <w:rPr>
          <w:szCs w:val="22"/>
          <w:lang w:val="sr-Latn-ME"/>
        </w:rPr>
      </w:pPr>
      <w:r>
        <w:rPr>
          <w:szCs w:val="22"/>
          <w:lang w:val="sr-Latn-ME"/>
        </w:rPr>
        <w:t>Neželjena dejstva prijavljena u post-marketinškom iskustvu nije moguće svrstati prema učestalosti i zbog toga se nalaze u dijelu "nepoznata" učestalost.</w:t>
      </w:r>
    </w:p>
    <w:p w:rsidR="00D76435" w:rsidRDefault="00D76435">
      <w:pPr>
        <w:jc w:val="both"/>
        <w:rPr>
          <w:szCs w:val="22"/>
          <w:lang w:val="sr-Latn-ME"/>
        </w:rPr>
      </w:pPr>
    </w:p>
    <w:p w:rsidR="00D76435" w:rsidRDefault="005839CA">
      <w:pPr>
        <w:jc w:val="both"/>
        <w:rPr>
          <w:szCs w:val="22"/>
          <w:lang w:val="sr-Latn-ME"/>
        </w:rPr>
      </w:pPr>
      <w:r>
        <w:rPr>
          <w:szCs w:val="22"/>
          <w:lang w:val="sr-Latn-ME"/>
        </w:rPr>
        <w:t>Neželjena dejstva su u svakoj grupi učestalosti prikazana prema opadajućem stepenu ozbiljnosti.</w:t>
      </w:r>
    </w:p>
    <w:p w:rsidR="00D76435" w:rsidRDefault="00D76435">
      <w:pPr>
        <w:jc w:val="both"/>
        <w:rPr>
          <w:szCs w:val="22"/>
          <w:lang w:val="sr-Latn-ME"/>
        </w:rPr>
      </w:pPr>
    </w:p>
    <w:p w:rsidR="00D76435" w:rsidRDefault="005839CA">
      <w:pPr>
        <w:jc w:val="both"/>
        <w:rPr>
          <w:szCs w:val="22"/>
          <w:lang w:val="sr-Latn-ME"/>
        </w:rPr>
      </w:pPr>
      <w:r>
        <w:rPr>
          <w:szCs w:val="22"/>
          <w:lang w:val="sr-Latn-ME"/>
        </w:rPr>
        <w:t>Tabela 1. Neželjene reakcije pantoprazola u kliničkim studijama i post-marketinškom iskustvu</w:t>
      </w:r>
    </w:p>
    <w:p w:rsidR="00D76435" w:rsidRDefault="00D76435">
      <w:pPr>
        <w:jc w:val="both"/>
        <w:rPr>
          <w:b/>
          <w:szCs w:val="22"/>
          <w:lang w:val="sr-Latn-ME"/>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966"/>
        <w:gridCol w:w="1666"/>
        <w:gridCol w:w="1637"/>
        <w:gridCol w:w="1190"/>
        <w:gridCol w:w="1816"/>
      </w:tblGrid>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Učestalost</w:t>
            </w:r>
          </w:p>
        </w:tc>
        <w:tc>
          <w:tcPr>
            <w:tcW w:w="966" w:type="dxa"/>
          </w:tcPr>
          <w:p w:rsidR="00D76435" w:rsidRDefault="005839CA" w:rsidP="00F06D69">
            <w:pPr>
              <w:ind w:left="-89" w:right="-99"/>
              <w:rPr>
                <w:b/>
                <w:szCs w:val="22"/>
                <w:lang w:val="sr-Latn-ME"/>
              </w:rPr>
            </w:pPr>
            <w:r>
              <w:rPr>
                <w:b/>
                <w:szCs w:val="22"/>
                <w:lang w:val="sr-Latn-ME"/>
              </w:rPr>
              <w:t>Česta</w:t>
            </w:r>
          </w:p>
        </w:tc>
        <w:tc>
          <w:tcPr>
            <w:tcW w:w="1666" w:type="dxa"/>
            <w:shd w:val="clear" w:color="auto" w:fill="auto"/>
          </w:tcPr>
          <w:p w:rsidR="00D76435" w:rsidRDefault="005839CA" w:rsidP="00F06D69">
            <w:pPr>
              <w:ind w:left="-89" w:right="-94"/>
              <w:rPr>
                <w:b/>
                <w:szCs w:val="22"/>
                <w:lang w:val="sr-Latn-ME"/>
              </w:rPr>
            </w:pPr>
            <w:r>
              <w:rPr>
                <w:b/>
                <w:szCs w:val="22"/>
                <w:lang w:val="sr-Latn-ME"/>
              </w:rPr>
              <w:t>Povremena</w:t>
            </w:r>
          </w:p>
        </w:tc>
        <w:tc>
          <w:tcPr>
            <w:tcW w:w="1637" w:type="dxa"/>
            <w:shd w:val="clear" w:color="auto" w:fill="auto"/>
          </w:tcPr>
          <w:p w:rsidR="00D76435" w:rsidRDefault="005839CA" w:rsidP="00F06D69">
            <w:pPr>
              <w:ind w:left="-94" w:right="-95"/>
              <w:rPr>
                <w:b/>
                <w:szCs w:val="22"/>
                <w:lang w:val="sr-Latn-ME"/>
              </w:rPr>
            </w:pPr>
            <w:r>
              <w:rPr>
                <w:b/>
                <w:szCs w:val="22"/>
                <w:lang w:val="sr-Latn-ME"/>
              </w:rPr>
              <w:t>Rijetka</w:t>
            </w:r>
          </w:p>
        </w:tc>
        <w:tc>
          <w:tcPr>
            <w:tcW w:w="1190" w:type="dxa"/>
            <w:shd w:val="clear" w:color="auto" w:fill="auto"/>
          </w:tcPr>
          <w:p w:rsidR="00D76435" w:rsidRDefault="005839CA" w:rsidP="00F06D69">
            <w:pPr>
              <w:ind w:left="-95" w:right="-91"/>
              <w:rPr>
                <w:b/>
                <w:szCs w:val="22"/>
                <w:lang w:val="sr-Latn-ME"/>
              </w:rPr>
            </w:pPr>
            <w:r>
              <w:rPr>
                <w:b/>
                <w:szCs w:val="22"/>
                <w:lang w:val="sr-Latn-ME"/>
              </w:rPr>
              <w:t>Veoma rijetka</w:t>
            </w:r>
          </w:p>
        </w:tc>
        <w:tc>
          <w:tcPr>
            <w:tcW w:w="1816" w:type="dxa"/>
            <w:shd w:val="clear" w:color="auto" w:fill="auto"/>
          </w:tcPr>
          <w:p w:rsidR="00D76435" w:rsidRDefault="005839CA" w:rsidP="00F06D69">
            <w:pPr>
              <w:ind w:left="-96" w:right="-83"/>
              <w:rPr>
                <w:b/>
                <w:szCs w:val="22"/>
                <w:lang w:val="sr-Latn-ME"/>
              </w:rPr>
            </w:pPr>
            <w:r>
              <w:rPr>
                <w:b/>
                <w:szCs w:val="22"/>
                <w:lang w:val="sr-Latn-ME"/>
              </w:rPr>
              <w:t>Nepoznata</w:t>
            </w: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Klasa sistema organa</w:t>
            </w:r>
          </w:p>
        </w:tc>
        <w:tc>
          <w:tcPr>
            <w:tcW w:w="966" w:type="dxa"/>
          </w:tcPr>
          <w:p w:rsidR="00D76435" w:rsidRDefault="00D76435" w:rsidP="00F06D69">
            <w:pPr>
              <w:ind w:left="-89" w:right="-99"/>
              <w:rPr>
                <w:b/>
                <w:szCs w:val="22"/>
                <w:lang w:val="sr-Latn-ME"/>
              </w:rPr>
            </w:pPr>
          </w:p>
        </w:tc>
        <w:tc>
          <w:tcPr>
            <w:tcW w:w="1666" w:type="dxa"/>
            <w:shd w:val="clear" w:color="auto" w:fill="auto"/>
          </w:tcPr>
          <w:p w:rsidR="00D76435" w:rsidRDefault="00D76435" w:rsidP="00F06D69">
            <w:pPr>
              <w:ind w:left="-89" w:right="-94"/>
              <w:rPr>
                <w:b/>
                <w:szCs w:val="22"/>
                <w:lang w:val="sr-Latn-ME"/>
              </w:rPr>
            </w:pPr>
          </w:p>
        </w:tc>
        <w:tc>
          <w:tcPr>
            <w:tcW w:w="1637" w:type="dxa"/>
            <w:shd w:val="clear" w:color="auto" w:fill="auto"/>
          </w:tcPr>
          <w:p w:rsidR="00D76435" w:rsidRDefault="00D76435" w:rsidP="00F06D69">
            <w:pPr>
              <w:ind w:left="-94" w:right="-79"/>
              <w:rPr>
                <w:b/>
                <w:szCs w:val="22"/>
                <w:lang w:val="sr-Latn-ME"/>
              </w:rPr>
            </w:pP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D76435" w:rsidP="00F06D69">
            <w:pPr>
              <w:ind w:left="-45" w:right="-21"/>
              <w:rPr>
                <w:b/>
                <w:szCs w:val="22"/>
                <w:lang w:val="sr-Latn-ME"/>
              </w:rPr>
            </w:pP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Poremećaji na nivou krvi i limfnog sistema</w:t>
            </w:r>
          </w:p>
        </w:tc>
        <w:tc>
          <w:tcPr>
            <w:tcW w:w="966" w:type="dxa"/>
          </w:tcPr>
          <w:p w:rsidR="00D76435" w:rsidRDefault="00D76435" w:rsidP="00F06D69">
            <w:pPr>
              <w:ind w:left="-89" w:right="-99"/>
              <w:rPr>
                <w:b/>
                <w:szCs w:val="22"/>
                <w:lang w:val="sr-Latn-ME"/>
              </w:rPr>
            </w:pPr>
          </w:p>
        </w:tc>
        <w:tc>
          <w:tcPr>
            <w:tcW w:w="1666" w:type="dxa"/>
            <w:shd w:val="clear" w:color="auto" w:fill="auto"/>
          </w:tcPr>
          <w:p w:rsidR="00D76435" w:rsidRDefault="00D76435" w:rsidP="00F06D69">
            <w:pPr>
              <w:ind w:left="-89" w:right="-94"/>
              <w:rPr>
                <w:b/>
                <w:szCs w:val="22"/>
                <w:lang w:val="sr-Latn-ME"/>
              </w:rPr>
            </w:pPr>
          </w:p>
        </w:tc>
        <w:tc>
          <w:tcPr>
            <w:tcW w:w="1637" w:type="dxa"/>
            <w:shd w:val="clear" w:color="auto" w:fill="auto"/>
          </w:tcPr>
          <w:p w:rsidR="00D76435" w:rsidRDefault="005839CA" w:rsidP="00F06D69">
            <w:pPr>
              <w:ind w:left="-94" w:right="-79"/>
              <w:rPr>
                <w:b/>
                <w:szCs w:val="22"/>
                <w:lang w:val="sr-Latn-ME"/>
              </w:rPr>
            </w:pPr>
            <w:r>
              <w:rPr>
                <w:szCs w:val="22"/>
                <w:lang w:val="sr-Latn-ME"/>
              </w:rPr>
              <w:t>Agranulocitoza</w:t>
            </w:r>
          </w:p>
        </w:tc>
        <w:tc>
          <w:tcPr>
            <w:tcW w:w="1190" w:type="dxa"/>
            <w:shd w:val="clear" w:color="auto" w:fill="auto"/>
          </w:tcPr>
          <w:p w:rsidR="00D76435" w:rsidRDefault="005839CA" w:rsidP="00F06D69">
            <w:pPr>
              <w:ind w:left="-95" w:right="-91"/>
              <w:rPr>
                <w:szCs w:val="22"/>
                <w:lang w:val="sr-Latn-ME"/>
              </w:rPr>
            </w:pPr>
            <w:r>
              <w:rPr>
                <w:szCs w:val="22"/>
                <w:lang w:val="sr-Latn-ME"/>
              </w:rPr>
              <w:t>Trombocito</w:t>
            </w:r>
            <w:r w:rsidR="009234A3">
              <w:rPr>
                <w:szCs w:val="22"/>
                <w:lang w:val="sr-Latn-ME"/>
              </w:rPr>
              <w:t>-</w:t>
            </w:r>
            <w:r>
              <w:rPr>
                <w:szCs w:val="22"/>
                <w:lang w:val="sr-Latn-ME"/>
              </w:rPr>
              <w:t>penija, leukopenija, pancitopeni</w:t>
            </w:r>
            <w:r w:rsidR="009234A3">
              <w:rPr>
                <w:szCs w:val="22"/>
                <w:lang w:val="sr-Latn-ME"/>
              </w:rPr>
              <w:t>-</w:t>
            </w:r>
            <w:r>
              <w:rPr>
                <w:szCs w:val="22"/>
                <w:lang w:val="sr-Latn-ME"/>
              </w:rPr>
              <w:t>ja</w:t>
            </w:r>
          </w:p>
        </w:tc>
        <w:tc>
          <w:tcPr>
            <w:tcW w:w="1816" w:type="dxa"/>
            <w:shd w:val="clear" w:color="auto" w:fill="auto"/>
          </w:tcPr>
          <w:p w:rsidR="00D76435" w:rsidRDefault="00D76435" w:rsidP="00F06D69">
            <w:pPr>
              <w:ind w:left="-45" w:right="-21"/>
              <w:rPr>
                <w:b/>
                <w:szCs w:val="22"/>
                <w:lang w:val="sr-Latn-ME"/>
              </w:rPr>
            </w:pP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Imunološki poremećaji</w:t>
            </w:r>
          </w:p>
          <w:p w:rsidR="00D76435" w:rsidRDefault="00D76435" w:rsidP="00F06D69">
            <w:pPr>
              <w:ind w:left="-85" w:right="-85" w:hanging="7"/>
              <w:rPr>
                <w:b/>
                <w:szCs w:val="22"/>
                <w:lang w:val="sr-Latn-ME"/>
              </w:rPr>
            </w:pPr>
          </w:p>
        </w:tc>
        <w:tc>
          <w:tcPr>
            <w:tcW w:w="966" w:type="dxa"/>
          </w:tcPr>
          <w:p w:rsidR="00D76435" w:rsidRDefault="00D76435" w:rsidP="00F06D69">
            <w:pPr>
              <w:ind w:left="-89" w:right="-99"/>
              <w:rPr>
                <w:b/>
                <w:szCs w:val="22"/>
                <w:lang w:val="sr-Latn-ME"/>
              </w:rPr>
            </w:pPr>
          </w:p>
        </w:tc>
        <w:tc>
          <w:tcPr>
            <w:tcW w:w="1666" w:type="dxa"/>
            <w:shd w:val="clear" w:color="auto" w:fill="auto"/>
          </w:tcPr>
          <w:p w:rsidR="00D76435" w:rsidRDefault="00D76435" w:rsidP="00F06D69">
            <w:pPr>
              <w:ind w:left="-89" w:right="-94"/>
              <w:rPr>
                <w:b/>
                <w:szCs w:val="22"/>
                <w:lang w:val="sr-Latn-ME"/>
              </w:rPr>
            </w:pPr>
          </w:p>
        </w:tc>
        <w:tc>
          <w:tcPr>
            <w:tcW w:w="1637" w:type="dxa"/>
            <w:shd w:val="clear" w:color="auto" w:fill="auto"/>
          </w:tcPr>
          <w:p w:rsidR="00D76435" w:rsidRDefault="005839CA" w:rsidP="00F06D69">
            <w:pPr>
              <w:ind w:left="-94" w:right="-79"/>
              <w:rPr>
                <w:szCs w:val="22"/>
                <w:lang w:val="sr-Latn-ME"/>
              </w:rPr>
            </w:pPr>
            <w:r>
              <w:rPr>
                <w:szCs w:val="22"/>
                <w:lang w:val="sr-Latn-ME"/>
              </w:rPr>
              <w:t xml:space="preserve">Hipersenzitivnost (uključujući anafilaktičke </w:t>
            </w:r>
            <w:r>
              <w:rPr>
                <w:szCs w:val="22"/>
                <w:lang w:val="sr-Latn-ME"/>
              </w:rPr>
              <w:lastRenderedPageBreak/>
              <w:t>reakcije i anafilaktički šok)</w:t>
            </w: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D76435" w:rsidP="00F06D69">
            <w:pPr>
              <w:ind w:left="-45" w:right="-21"/>
              <w:rPr>
                <w:b/>
                <w:szCs w:val="22"/>
                <w:lang w:val="sr-Latn-ME"/>
              </w:rPr>
            </w:pP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Poremećaji metabolizma i ishrane</w:t>
            </w:r>
          </w:p>
          <w:p w:rsidR="00D76435" w:rsidRDefault="00D76435" w:rsidP="00F06D69">
            <w:pPr>
              <w:ind w:left="-85" w:right="-85" w:hanging="7"/>
              <w:rPr>
                <w:b/>
                <w:szCs w:val="22"/>
                <w:lang w:val="sr-Latn-ME"/>
              </w:rPr>
            </w:pPr>
          </w:p>
        </w:tc>
        <w:tc>
          <w:tcPr>
            <w:tcW w:w="966" w:type="dxa"/>
          </w:tcPr>
          <w:p w:rsidR="00D76435" w:rsidRDefault="00D76435" w:rsidP="00F06D69">
            <w:pPr>
              <w:ind w:left="-89" w:right="-99"/>
              <w:rPr>
                <w:b/>
                <w:szCs w:val="22"/>
                <w:lang w:val="sr-Latn-ME"/>
              </w:rPr>
            </w:pPr>
          </w:p>
        </w:tc>
        <w:tc>
          <w:tcPr>
            <w:tcW w:w="1666" w:type="dxa"/>
            <w:shd w:val="clear" w:color="auto" w:fill="auto"/>
          </w:tcPr>
          <w:p w:rsidR="00D76435" w:rsidRDefault="00D76435" w:rsidP="00F06D69">
            <w:pPr>
              <w:ind w:left="-89" w:right="-94"/>
              <w:rPr>
                <w:b/>
                <w:szCs w:val="22"/>
                <w:lang w:val="sr-Latn-ME"/>
              </w:rPr>
            </w:pPr>
          </w:p>
        </w:tc>
        <w:tc>
          <w:tcPr>
            <w:tcW w:w="1637" w:type="dxa"/>
            <w:shd w:val="clear" w:color="auto" w:fill="auto"/>
          </w:tcPr>
          <w:p w:rsidR="00D76435" w:rsidRDefault="005839CA" w:rsidP="00F06D69">
            <w:pPr>
              <w:ind w:left="-94" w:right="-79"/>
              <w:rPr>
                <w:szCs w:val="22"/>
                <w:lang w:val="sr-Latn-ME"/>
              </w:rPr>
            </w:pPr>
            <w:r>
              <w:rPr>
                <w:szCs w:val="22"/>
                <w:lang w:val="sr-Latn-ME"/>
              </w:rPr>
              <w:t>Hiperlipidemija i porast lipida (triglicerida, holesterola); promjena tjelesne mase</w:t>
            </w: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5839CA" w:rsidP="00F06D69">
            <w:pPr>
              <w:ind w:left="-45" w:right="-21"/>
              <w:rPr>
                <w:szCs w:val="22"/>
                <w:vertAlign w:val="superscript"/>
                <w:lang w:val="sr-Latn-ME"/>
              </w:rPr>
            </w:pPr>
            <w:r>
              <w:rPr>
                <w:szCs w:val="22"/>
                <w:lang w:val="sr-Latn-ME"/>
              </w:rPr>
              <w:t>Hiponatrijemija, hipomagnezijemi</w:t>
            </w:r>
            <w:r w:rsidR="009234A3">
              <w:rPr>
                <w:szCs w:val="22"/>
                <w:lang w:val="sr-Latn-ME"/>
              </w:rPr>
              <w:t>-</w:t>
            </w:r>
            <w:r>
              <w:rPr>
                <w:szCs w:val="22"/>
                <w:lang w:val="sr-Latn-ME"/>
              </w:rPr>
              <w:t>ja (vidjeti dio 4.4), hipokalcijemija</w:t>
            </w:r>
            <w:r>
              <w:rPr>
                <w:szCs w:val="22"/>
                <w:vertAlign w:val="superscript"/>
                <w:lang w:val="sr-Latn-ME"/>
              </w:rPr>
              <w:t>1</w:t>
            </w:r>
            <w:r>
              <w:rPr>
                <w:szCs w:val="22"/>
                <w:lang w:val="sr-Latn-ME"/>
              </w:rPr>
              <w:t>,</w:t>
            </w:r>
            <w:r w:rsidR="00DA5112">
              <w:rPr>
                <w:szCs w:val="22"/>
                <w:lang w:val="sr-Latn-ME"/>
              </w:rPr>
              <w:t xml:space="preserve"> h</w:t>
            </w:r>
            <w:r>
              <w:rPr>
                <w:szCs w:val="22"/>
                <w:lang w:val="sr-Latn-ME"/>
              </w:rPr>
              <w:t>ipokalijemija</w:t>
            </w:r>
            <w:r>
              <w:rPr>
                <w:szCs w:val="22"/>
                <w:vertAlign w:val="superscript"/>
                <w:lang w:val="sr-Latn-ME"/>
              </w:rPr>
              <w:t>1</w:t>
            </w: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Psihijatrijski poremećaji</w:t>
            </w:r>
          </w:p>
          <w:p w:rsidR="00D76435" w:rsidRDefault="00D76435" w:rsidP="00F06D69">
            <w:pPr>
              <w:ind w:left="-85" w:right="-85" w:hanging="7"/>
              <w:rPr>
                <w:b/>
                <w:szCs w:val="22"/>
                <w:lang w:val="sr-Latn-ME"/>
              </w:rPr>
            </w:pPr>
          </w:p>
        </w:tc>
        <w:tc>
          <w:tcPr>
            <w:tcW w:w="966" w:type="dxa"/>
          </w:tcPr>
          <w:p w:rsidR="00D76435" w:rsidRDefault="00D76435" w:rsidP="00F06D69">
            <w:pPr>
              <w:ind w:left="-89" w:right="-99"/>
              <w:rPr>
                <w:szCs w:val="22"/>
                <w:lang w:val="sr-Latn-ME"/>
              </w:rPr>
            </w:pPr>
          </w:p>
        </w:tc>
        <w:tc>
          <w:tcPr>
            <w:tcW w:w="1666" w:type="dxa"/>
            <w:shd w:val="clear" w:color="auto" w:fill="auto"/>
          </w:tcPr>
          <w:p w:rsidR="00D76435" w:rsidRDefault="005839CA" w:rsidP="00F06D69">
            <w:pPr>
              <w:ind w:left="-89" w:right="-94"/>
              <w:rPr>
                <w:b/>
                <w:szCs w:val="22"/>
                <w:lang w:val="sr-Latn-ME"/>
              </w:rPr>
            </w:pPr>
            <w:r>
              <w:rPr>
                <w:szCs w:val="22"/>
                <w:lang w:val="sr-Latn-ME"/>
              </w:rPr>
              <w:t>Poremećaji spavanja</w:t>
            </w:r>
          </w:p>
        </w:tc>
        <w:tc>
          <w:tcPr>
            <w:tcW w:w="1637" w:type="dxa"/>
            <w:shd w:val="clear" w:color="auto" w:fill="auto"/>
          </w:tcPr>
          <w:p w:rsidR="00D76435" w:rsidRDefault="005839CA" w:rsidP="00F06D69">
            <w:pPr>
              <w:ind w:left="-94" w:right="-79"/>
              <w:rPr>
                <w:b/>
                <w:szCs w:val="22"/>
                <w:lang w:val="sr-Latn-ME"/>
              </w:rPr>
            </w:pPr>
            <w:r>
              <w:rPr>
                <w:szCs w:val="22"/>
                <w:lang w:val="sr-Latn-ME"/>
              </w:rPr>
              <w:t>Depresija (i sva pogoršanja)</w:t>
            </w:r>
          </w:p>
        </w:tc>
        <w:tc>
          <w:tcPr>
            <w:tcW w:w="1190" w:type="dxa"/>
            <w:shd w:val="clear" w:color="auto" w:fill="auto"/>
          </w:tcPr>
          <w:p w:rsidR="00D76435" w:rsidRDefault="005839CA" w:rsidP="00F06D69">
            <w:pPr>
              <w:ind w:left="-95" w:right="-91"/>
              <w:rPr>
                <w:szCs w:val="22"/>
                <w:lang w:val="sr-Latn-ME"/>
              </w:rPr>
            </w:pPr>
            <w:r>
              <w:rPr>
                <w:szCs w:val="22"/>
                <w:lang w:val="sr-Latn-ME"/>
              </w:rPr>
              <w:t>Dezorijenta</w:t>
            </w:r>
            <w:r w:rsidR="006F3A80">
              <w:rPr>
                <w:szCs w:val="22"/>
                <w:lang w:val="sr-Latn-ME"/>
              </w:rPr>
              <w:t>-</w:t>
            </w:r>
            <w:r>
              <w:rPr>
                <w:szCs w:val="22"/>
                <w:lang w:val="sr-Latn-ME"/>
              </w:rPr>
              <w:t>cija (i sva pogoršanja)</w:t>
            </w:r>
          </w:p>
          <w:p w:rsidR="00D76435" w:rsidRDefault="00D76435" w:rsidP="00F06D69">
            <w:pPr>
              <w:ind w:left="-95" w:right="-91"/>
              <w:rPr>
                <w:b/>
                <w:szCs w:val="22"/>
                <w:lang w:val="sr-Latn-ME"/>
              </w:rPr>
            </w:pPr>
          </w:p>
        </w:tc>
        <w:tc>
          <w:tcPr>
            <w:tcW w:w="1816" w:type="dxa"/>
            <w:shd w:val="clear" w:color="auto" w:fill="auto"/>
          </w:tcPr>
          <w:p w:rsidR="00D76435" w:rsidRDefault="005839CA" w:rsidP="00F06D69">
            <w:pPr>
              <w:ind w:left="-45" w:right="-21"/>
              <w:rPr>
                <w:szCs w:val="22"/>
                <w:lang w:val="sr-Latn-ME"/>
              </w:rPr>
            </w:pPr>
            <w:r>
              <w:rPr>
                <w:szCs w:val="22"/>
                <w:lang w:val="sr-Latn-ME"/>
              </w:rPr>
              <w:t>Halucinacije, konfuzija (naročito kod predisponiranih pacijenata, kao i pogoršanja kod pacijenata sa već prisutnim navedenim simptomima)</w:t>
            </w: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Poremećaji nervnog sistema</w:t>
            </w:r>
          </w:p>
        </w:tc>
        <w:tc>
          <w:tcPr>
            <w:tcW w:w="966" w:type="dxa"/>
          </w:tcPr>
          <w:p w:rsidR="00D76435" w:rsidRDefault="00D76435" w:rsidP="00F06D69">
            <w:pPr>
              <w:ind w:left="-89" w:right="-99"/>
              <w:rPr>
                <w:szCs w:val="22"/>
                <w:lang w:val="sr-Latn-ME"/>
              </w:rPr>
            </w:pPr>
          </w:p>
        </w:tc>
        <w:tc>
          <w:tcPr>
            <w:tcW w:w="1666" w:type="dxa"/>
            <w:shd w:val="clear" w:color="auto" w:fill="auto"/>
          </w:tcPr>
          <w:p w:rsidR="00D76435" w:rsidRDefault="005839CA" w:rsidP="00F06D69">
            <w:pPr>
              <w:ind w:left="-89" w:right="-94"/>
              <w:rPr>
                <w:b/>
                <w:szCs w:val="22"/>
                <w:lang w:val="sr-Latn-ME"/>
              </w:rPr>
            </w:pPr>
            <w:r>
              <w:rPr>
                <w:szCs w:val="22"/>
                <w:lang w:val="sr-Latn-ME"/>
              </w:rPr>
              <w:t>Glavobolja, ošamućenost</w:t>
            </w:r>
          </w:p>
        </w:tc>
        <w:tc>
          <w:tcPr>
            <w:tcW w:w="1637" w:type="dxa"/>
            <w:shd w:val="clear" w:color="auto" w:fill="auto"/>
          </w:tcPr>
          <w:p w:rsidR="00D76435" w:rsidRDefault="005839CA" w:rsidP="00F06D69">
            <w:pPr>
              <w:ind w:left="-94" w:right="-79"/>
              <w:rPr>
                <w:szCs w:val="22"/>
                <w:lang w:val="sr-Latn-ME"/>
              </w:rPr>
            </w:pPr>
            <w:r>
              <w:rPr>
                <w:szCs w:val="22"/>
                <w:lang w:val="sr-Latn-ME"/>
              </w:rPr>
              <w:t>Poremećaj ukusa</w:t>
            </w: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5839CA" w:rsidP="00F06D69">
            <w:pPr>
              <w:ind w:left="-45" w:right="-21"/>
              <w:rPr>
                <w:szCs w:val="22"/>
                <w:lang w:val="sr-Latn-ME"/>
              </w:rPr>
            </w:pPr>
            <w:r>
              <w:rPr>
                <w:szCs w:val="22"/>
                <w:lang w:val="sr-Latn-ME"/>
              </w:rPr>
              <w:t>Parestezija</w:t>
            </w: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Poremećaji na nivou oka</w:t>
            </w:r>
          </w:p>
        </w:tc>
        <w:tc>
          <w:tcPr>
            <w:tcW w:w="966" w:type="dxa"/>
          </w:tcPr>
          <w:p w:rsidR="00D76435" w:rsidRDefault="00D76435" w:rsidP="00F06D69">
            <w:pPr>
              <w:ind w:left="-89" w:right="-99"/>
              <w:rPr>
                <w:b/>
                <w:szCs w:val="22"/>
                <w:lang w:val="sr-Latn-ME"/>
              </w:rPr>
            </w:pPr>
          </w:p>
        </w:tc>
        <w:tc>
          <w:tcPr>
            <w:tcW w:w="1666" w:type="dxa"/>
            <w:shd w:val="clear" w:color="auto" w:fill="auto"/>
          </w:tcPr>
          <w:p w:rsidR="00D76435" w:rsidRDefault="00D76435" w:rsidP="00F06D69">
            <w:pPr>
              <w:ind w:left="-89" w:right="-94"/>
              <w:rPr>
                <w:b/>
                <w:szCs w:val="22"/>
                <w:lang w:val="sr-Latn-ME"/>
              </w:rPr>
            </w:pPr>
          </w:p>
        </w:tc>
        <w:tc>
          <w:tcPr>
            <w:tcW w:w="1637" w:type="dxa"/>
            <w:shd w:val="clear" w:color="auto" w:fill="auto"/>
          </w:tcPr>
          <w:p w:rsidR="00D76435" w:rsidRDefault="005839CA" w:rsidP="00F06D69">
            <w:pPr>
              <w:ind w:left="-94" w:right="-79"/>
              <w:rPr>
                <w:b/>
                <w:szCs w:val="22"/>
                <w:lang w:val="sr-Latn-ME"/>
              </w:rPr>
            </w:pPr>
            <w:r>
              <w:rPr>
                <w:szCs w:val="22"/>
                <w:lang w:val="sr-Latn-ME"/>
              </w:rPr>
              <w:t>Poremećaji vida/ zamućenje vida</w:t>
            </w: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D76435" w:rsidP="00F06D69">
            <w:pPr>
              <w:ind w:left="-45" w:right="-21"/>
              <w:rPr>
                <w:b/>
                <w:szCs w:val="22"/>
                <w:lang w:val="sr-Latn-ME"/>
              </w:rPr>
            </w:pP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Gastrointestinalni poremećaji</w:t>
            </w:r>
          </w:p>
          <w:p w:rsidR="00D76435" w:rsidRDefault="00D76435" w:rsidP="00F06D69">
            <w:pPr>
              <w:ind w:left="-85" w:right="-85" w:hanging="7"/>
              <w:rPr>
                <w:b/>
                <w:szCs w:val="22"/>
                <w:lang w:val="sr-Latn-ME"/>
              </w:rPr>
            </w:pPr>
          </w:p>
        </w:tc>
        <w:tc>
          <w:tcPr>
            <w:tcW w:w="966" w:type="dxa"/>
          </w:tcPr>
          <w:p w:rsidR="00D76435" w:rsidRDefault="005839CA" w:rsidP="00F06D69">
            <w:pPr>
              <w:ind w:left="-89" w:right="-99"/>
              <w:rPr>
                <w:szCs w:val="22"/>
                <w:lang w:val="sr-Latn-ME"/>
              </w:rPr>
            </w:pPr>
            <w:r>
              <w:rPr>
                <w:szCs w:val="22"/>
                <w:lang w:val="sr-Latn-ME"/>
              </w:rPr>
              <w:t>Polipi fundusnih žlijezda (benigni)</w:t>
            </w:r>
          </w:p>
        </w:tc>
        <w:tc>
          <w:tcPr>
            <w:tcW w:w="1666" w:type="dxa"/>
            <w:shd w:val="clear" w:color="auto" w:fill="auto"/>
          </w:tcPr>
          <w:p w:rsidR="00D76435" w:rsidRDefault="005839CA" w:rsidP="00F06D69">
            <w:pPr>
              <w:ind w:left="-89" w:right="-94"/>
              <w:rPr>
                <w:szCs w:val="22"/>
                <w:lang w:val="sr-Latn-ME"/>
              </w:rPr>
            </w:pPr>
            <w:r>
              <w:rPr>
                <w:szCs w:val="22"/>
                <w:lang w:val="sr-Latn-ME"/>
              </w:rPr>
              <w:t xml:space="preserve">Dijareja, </w:t>
            </w:r>
            <w:r w:rsidR="005A374A">
              <w:rPr>
                <w:szCs w:val="22"/>
                <w:lang w:val="sr-Latn-ME"/>
              </w:rPr>
              <w:t>m</w:t>
            </w:r>
            <w:r>
              <w:rPr>
                <w:szCs w:val="22"/>
                <w:lang w:val="sr-Latn-ME"/>
              </w:rPr>
              <w:t>učnina/ povraćanje, istegnutost i naduvenost abdomena, konstipacija, suva usta, abdominalni bol i nelagodnost</w:t>
            </w:r>
          </w:p>
        </w:tc>
        <w:tc>
          <w:tcPr>
            <w:tcW w:w="1637" w:type="dxa"/>
            <w:shd w:val="clear" w:color="auto" w:fill="auto"/>
          </w:tcPr>
          <w:p w:rsidR="00D76435" w:rsidRDefault="00D76435" w:rsidP="00F06D69">
            <w:pPr>
              <w:ind w:left="-94" w:right="-79"/>
              <w:rPr>
                <w:b/>
                <w:szCs w:val="22"/>
                <w:lang w:val="sr-Latn-ME"/>
              </w:rPr>
            </w:pP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5839CA" w:rsidP="00F06D69">
            <w:pPr>
              <w:ind w:left="-45" w:right="-21"/>
              <w:rPr>
                <w:szCs w:val="22"/>
                <w:lang w:val="sr-Latn-ME"/>
              </w:rPr>
            </w:pPr>
            <w:r>
              <w:rPr>
                <w:szCs w:val="22"/>
                <w:lang w:val="sr-Latn-ME"/>
              </w:rPr>
              <w:t>Mikroskopski kolitis</w:t>
            </w: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Hepatobilijarni poremećaji</w:t>
            </w:r>
          </w:p>
          <w:p w:rsidR="00D76435" w:rsidRDefault="00D76435" w:rsidP="00F06D69">
            <w:pPr>
              <w:ind w:left="-85" w:right="-85" w:hanging="7"/>
              <w:rPr>
                <w:b/>
                <w:szCs w:val="22"/>
                <w:lang w:val="sr-Latn-ME"/>
              </w:rPr>
            </w:pPr>
          </w:p>
        </w:tc>
        <w:tc>
          <w:tcPr>
            <w:tcW w:w="966" w:type="dxa"/>
          </w:tcPr>
          <w:p w:rsidR="00D76435" w:rsidRDefault="00D76435" w:rsidP="00F06D69">
            <w:pPr>
              <w:ind w:left="-89" w:right="-99"/>
              <w:rPr>
                <w:szCs w:val="22"/>
                <w:lang w:val="sr-Latn-ME"/>
              </w:rPr>
            </w:pPr>
          </w:p>
        </w:tc>
        <w:tc>
          <w:tcPr>
            <w:tcW w:w="1666" w:type="dxa"/>
            <w:shd w:val="clear" w:color="auto" w:fill="auto"/>
          </w:tcPr>
          <w:p w:rsidR="00DA5112" w:rsidRDefault="005839CA" w:rsidP="00F06D69">
            <w:pPr>
              <w:ind w:left="-89" w:right="-94"/>
              <w:rPr>
                <w:szCs w:val="22"/>
                <w:lang w:val="sr-Latn-ME"/>
              </w:rPr>
            </w:pPr>
            <w:r>
              <w:rPr>
                <w:szCs w:val="22"/>
                <w:lang w:val="sr-Latn-ME"/>
              </w:rPr>
              <w:t>Porast enzima jetre</w:t>
            </w:r>
            <w:r w:rsidR="00DA5112">
              <w:rPr>
                <w:szCs w:val="22"/>
                <w:lang w:val="sr-Latn-ME"/>
              </w:rPr>
              <w:t xml:space="preserve"> </w:t>
            </w:r>
            <w:r>
              <w:rPr>
                <w:szCs w:val="22"/>
                <w:lang w:val="sr-Latn-ME"/>
              </w:rPr>
              <w:t>(transaminaze,</w:t>
            </w:r>
          </w:p>
          <w:p w:rsidR="00D76435" w:rsidRDefault="005839CA" w:rsidP="00F06D69">
            <w:pPr>
              <w:ind w:left="-89" w:right="-94"/>
              <w:rPr>
                <w:b/>
                <w:szCs w:val="22"/>
                <w:lang w:val="sr-Latn-ME"/>
              </w:rPr>
            </w:pPr>
            <w:r>
              <w:rPr>
                <w:szCs w:val="22"/>
                <w:lang w:val="sr-Latn-ME"/>
              </w:rPr>
              <w:t>γ-GT)</w:t>
            </w:r>
          </w:p>
        </w:tc>
        <w:tc>
          <w:tcPr>
            <w:tcW w:w="1637" w:type="dxa"/>
            <w:shd w:val="clear" w:color="auto" w:fill="auto"/>
          </w:tcPr>
          <w:p w:rsidR="00D76435" w:rsidRDefault="005839CA" w:rsidP="00F06D69">
            <w:pPr>
              <w:ind w:left="-94" w:right="-79"/>
              <w:rPr>
                <w:b/>
                <w:szCs w:val="22"/>
                <w:lang w:val="sr-Latn-ME"/>
              </w:rPr>
            </w:pPr>
            <w:r>
              <w:rPr>
                <w:szCs w:val="22"/>
                <w:lang w:val="sr-Latn-ME"/>
              </w:rPr>
              <w:t>Porast bilirubina</w:t>
            </w: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5839CA" w:rsidP="00F06D69">
            <w:pPr>
              <w:ind w:left="-45" w:right="-21"/>
              <w:rPr>
                <w:b/>
                <w:szCs w:val="22"/>
                <w:lang w:val="sr-Latn-ME"/>
              </w:rPr>
            </w:pPr>
            <w:r>
              <w:rPr>
                <w:szCs w:val="22"/>
                <w:lang w:val="sr-Latn-ME"/>
              </w:rPr>
              <w:t>Hepatocelularna oštećenja, žutica, insuficijencija jetre</w:t>
            </w: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Poremećaji na nivou kože i potkožnog tkiva</w:t>
            </w:r>
          </w:p>
          <w:p w:rsidR="00D76435" w:rsidRDefault="00D76435" w:rsidP="00F06D69">
            <w:pPr>
              <w:ind w:left="-85" w:right="-85" w:hanging="7"/>
              <w:rPr>
                <w:b/>
                <w:szCs w:val="22"/>
                <w:lang w:val="sr-Latn-ME"/>
              </w:rPr>
            </w:pPr>
          </w:p>
        </w:tc>
        <w:tc>
          <w:tcPr>
            <w:tcW w:w="966" w:type="dxa"/>
          </w:tcPr>
          <w:p w:rsidR="00D76435" w:rsidRDefault="00D76435" w:rsidP="00F06D69">
            <w:pPr>
              <w:ind w:left="-89" w:right="-99"/>
              <w:rPr>
                <w:szCs w:val="22"/>
                <w:lang w:val="sr-Latn-ME"/>
              </w:rPr>
            </w:pPr>
          </w:p>
        </w:tc>
        <w:tc>
          <w:tcPr>
            <w:tcW w:w="1666" w:type="dxa"/>
            <w:shd w:val="clear" w:color="auto" w:fill="auto"/>
          </w:tcPr>
          <w:p w:rsidR="00D76435" w:rsidRDefault="005839CA" w:rsidP="00F06D69">
            <w:pPr>
              <w:ind w:left="-89" w:right="-94"/>
              <w:rPr>
                <w:b/>
                <w:szCs w:val="22"/>
                <w:lang w:val="sr-Latn-ME"/>
              </w:rPr>
            </w:pPr>
            <w:r>
              <w:rPr>
                <w:szCs w:val="22"/>
                <w:lang w:val="sr-Latn-ME"/>
              </w:rPr>
              <w:t>Osip/egzantem/ erupcije, svrab</w:t>
            </w:r>
          </w:p>
        </w:tc>
        <w:tc>
          <w:tcPr>
            <w:tcW w:w="1637" w:type="dxa"/>
            <w:shd w:val="clear" w:color="auto" w:fill="auto"/>
          </w:tcPr>
          <w:p w:rsidR="00D76435" w:rsidRDefault="005839CA" w:rsidP="00F06D69">
            <w:pPr>
              <w:ind w:left="-94" w:right="-79"/>
              <w:rPr>
                <w:b/>
                <w:szCs w:val="22"/>
                <w:lang w:val="sr-Latn-ME"/>
              </w:rPr>
            </w:pPr>
            <w:r>
              <w:rPr>
                <w:szCs w:val="22"/>
                <w:lang w:val="sr-Latn-ME"/>
              </w:rPr>
              <w:t>Urtikarija, angioedem</w:t>
            </w: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5839CA" w:rsidP="00F06D69">
            <w:pPr>
              <w:ind w:left="-45" w:right="-21"/>
              <w:rPr>
                <w:szCs w:val="22"/>
                <w:lang w:val="sr-Latn-ME"/>
              </w:rPr>
            </w:pPr>
            <w:r>
              <w:rPr>
                <w:szCs w:val="22"/>
                <w:lang w:val="sr-Latn-ME"/>
              </w:rPr>
              <w:t>Stevens-Johnson-ov sindrom, Lyell-ov sindrom, multiformni eritem,</w:t>
            </w:r>
          </w:p>
          <w:p w:rsidR="00D76435" w:rsidRDefault="005839CA" w:rsidP="00F06D69">
            <w:pPr>
              <w:ind w:left="-45" w:right="-21"/>
              <w:rPr>
                <w:b/>
                <w:szCs w:val="22"/>
                <w:lang w:val="sr-Latn-ME"/>
              </w:rPr>
            </w:pPr>
            <w:r>
              <w:rPr>
                <w:szCs w:val="22"/>
                <w:lang w:val="sr-Latn-ME"/>
              </w:rPr>
              <w:t xml:space="preserve">Fotosenzitivnost, Subakutni kutani </w:t>
            </w:r>
            <w:r>
              <w:rPr>
                <w:i/>
                <w:szCs w:val="22"/>
                <w:u w:val="single"/>
                <w:lang w:val="sr-Latn-ME"/>
              </w:rPr>
              <w:t xml:space="preserve">lupus erythematosus </w:t>
            </w:r>
            <w:r>
              <w:rPr>
                <w:szCs w:val="22"/>
                <w:lang w:val="sr-Latn-ME"/>
              </w:rPr>
              <w:t>(vidjeti dio 4.4); Reakcija na lijek sa eozinofilijom i sistemskim simptomima DRESS</w:t>
            </w: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Poremećaji mišićno-skeletnog, vezivnog i koštanog sistema</w:t>
            </w:r>
          </w:p>
        </w:tc>
        <w:tc>
          <w:tcPr>
            <w:tcW w:w="966" w:type="dxa"/>
          </w:tcPr>
          <w:p w:rsidR="00D76435" w:rsidRDefault="00D76435" w:rsidP="00F06D69">
            <w:pPr>
              <w:ind w:left="-89" w:right="-99"/>
              <w:rPr>
                <w:szCs w:val="22"/>
                <w:lang w:val="sr-Latn-ME"/>
              </w:rPr>
            </w:pPr>
          </w:p>
        </w:tc>
        <w:tc>
          <w:tcPr>
            <w:tcW w:w="1666" w:type="dxa"/>
            <w:shd w:val="clear" w:color="auto" w:fill="auto"/>
          </w:tcPr>
          <w:p w:rsidR="00D76435" w:rsidRDefault="005839CA" w:rsidP="00F06D69">
            <w:pPr>
              <w:ind w:left="-89" w:right="-94"/>
              <w:rPr>
                <w:szCs w:val="22"/>
                <w:lang w:val="sr-Latn-ME"/>
              </w:rPr>
            </w:pPr>
            <w:r>
              <w:rPr>
                <w:szCs w:val="22"/>
                <w:lang w:val="sr-Latn-ME"/>
              </w:rPr>
              <w:t>Fraktura kuka, zgloba ili kičme (dio 4.4)</w:t>
            </w:r>
          </w:p>
        </w:tc>
        <w:tc>
          <w:tcPr>
            <w:tcW w:w="1637" w:type="dxa"/>
            <w:shd w:val="clear" w:color="auto" w:fill="auto"/>
          </w:tcPr>
          <w:p w:rsidR="00D76435" w:rsidRDefault="005839CA" w:rsidP="00F06D69">
            <w:pPr>
              <w:ind w:left="-94" w:right="-79"/>
              <w:rPr>
                <w:szCs w:val="22"/>
                <w:lang w:val="sr-Latn-ME"/>
              </w:rPr>
            </w:pPr>
            <w:r>
              <w:rPr>
                <w:szCs w:val="22"/>
                <w:lang w:val="sr-Latn-ME"/>
              </w:rPr>
              <w:t>Artralgija, mialgija</w:t>
            </w:r>
          </w:p>
          <w:p w:rsidR="00D76435" w:rsidRDefault="00D76435" w:rsidP="00F06D69">
            <w:pPr>
              <w:ind w:left="-94" w:right="-79"/>
              <w:rPr>
                <w:szCs w:val="22"/>
                <w:lang w:val="sr-Latn-ME"/>
              </w:rPr>
            </w:pP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5839CA" w:rsidP="00F06D69">
            <w:pPr>
              <w:ind w:left="-45" w:right="-21"/>
              <w:rPr>
                <w:szCs w:val="22"/>
                <w:lang w:val="sr-Latn-ME"/>
              </w:rPr>
            </w:pPr>
            <w:r>
              <w:rPr>
                <w:szCs w:val="22"/>
                <w:lang w:val="sr-Latn-ME"/>
              </w:rPr>
              <w:t xml:space="preserve">Mišićni spazmi </w:t>
            </w:r>
            <w:r>
              <w:rPr>
                <w:szCs w:val="22"/>
                <w:vertAlign w:val="superscript"/>
                <w:lang w:val="sr-Latn-ME"/>
              </w:rPr>
              <w:t>2</w:t>
            </w: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lastRenderedPageBreak/>
              <w:t>Poremećaji na nivou bubrega i urinarnog sistema</w:t>
            </w:r>
          </w:p>
        </w:tc>
        <w:tc>
          <w:tcPr>
            <w:tcW w:w="966" w:type="dxa"/>
          </w:tcPr>
          <w:p w:rsidR="00D76435" w:rsidRDefault="00D76435" w:rsidP="00F06D69">
            <w:pPr>
              <w:ind w:left="-89" w:right="-99"/>
              <w:rPr>
                <w:b/>
                <w:szCs w:val="22"/>
                <w:lang w:val="sr-Latn-ME"/>
              </w:rPr>
            </w:pPr>
          </w:p>
        </w:tc>
        <w:tc>
          <w:tcPr>
            <w:tcW w:w="1666" w:type="dxa"/>
            <w:shd w:val="clear" w:color="auto" w:fill="auto"/>
          </w:tcPr>
          <w:p w:rsidR="00D76435" w:rsidRDefault="00D76435" w:rsidP="00F06D69">
            <w:pPr>
              <w:ind w:left="-89" w:right="-94"/>
              <w:rPr>
                <w:b/>
                <w:szCs w:val="22"/>
                <w:lang w:val="sr-Latn-ME"/>
              </w:rPr>
            </w:pPr>
          </w:p>
        </w:tc>
        <w:tc>
          <w:tcPr>
            <w:tcW w:w="1637" w:type="dxa"/>
            <w:shd w:val="clear" w:color="auto" w:fill="auto"/>
          </w:tcPr>
          <w:p w:rsidR="00D76435" w:rsidRDefault="00D76435" w:rsidP="00F06D69">
            <w:pPr>
              <w:ind w:left="-94" w:right="-79"/>
              <w:rPr>
                <w:b/>
                <w:szCs w:val="22"/>
                <w:lang w:val="sr-Latn-ME"/>
              </w:rPr>
            </w:pP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5839CA" w:rsidP="00F06D69">
            <w:pPr>
              <w:ind w:left="-45" w:right="-21"/>
              <w:rPr>
                <w:b/>
                <w:szCs w:val="22"/>
                <w:lang w:val="sr-Latn-ME"/>
              </w:rPr>
            </w:pPr>
            <w:r>
              <w:rPr>
                <w:szCs w:val="22"/>
              </w:rPr>
              <w:t>Tubulointersticija</w:t>
            </w:r>
            <w:r w:rsidR="006F3A80">
              <w:rPr>
                <w:szCs w:val="22"/>
              </w:rPr>
              <w:t>-</w:t>
            </w:r>
            <w:r>
              <w:rPr>
                <w:szCs w:val="22"/>
              </w:rPr>
              <w:t>lni</w:t>
            </w:r>
            <w:r>
              <w:rPr>
                <w:szCs w:val="22"/>
                <w:lang w:val="sr-Latn-ME"/>
              </w:rPr>
              <w:t xml:space="preserve"> nefritis </w:t>
            </w:r>
            <w:r>
              <w:rPr>
                <w:szCs w:val="22"/>
              </w:rPr>
              <w:t>(TIN)</w:t>
            </w:r>
            <w:r>
              <w:rPr>
                <w:szCs w:val="22"/>
                <w:lang w:val="sr-Latn-ME"/>
              </w:rPr>
              <w:t xml:space="preserve"> (sa mogućim pogoršanjem do bubrežne insuficijencije)</w:t>
            </w: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Poremećaji reproduktivnog sistema i dojki</w:t>
            </w:r>
          </w:p>
        </w:tc>
        <w:tc>
          <w:tcPr>
            <w:tcW w:w="966" w:type="dxa"/>
          </w:tcPr>
          <w:p w:rsidR="00D76435" w:rsidRDefault="00D76435" w:rsidP="00F06D69">
            <w:pPr>
              <w:ind w:left="-89" w:right="-99"/>
              <w:rPr>
                <w:b/>
                <w:szCs w:val="22"/>
                <w:lang w:val="sr-Latn-ME"/>
              </w:rPr>
            </w:pPr>
          </w:p>
        </w:tc>
        <w:tc>
          <w:tcPr>
            <w:tcW w:w="1666" w:type="dxa"/>
            <w:shd w:val="clear" w:color="auto" w:fill="auto"/>
          </w:tcPr>
          <w:p w:rsidR="00D76435" w:rsidRDefault="00D76435" w:rsidP="00F06D69">
            <w:pPr>
              <w:ind w:left="-89" w:right="-94"/>
              <w:rPr>
                <w:b/>
                <w:szCs w:val="22"/>
                <w:lang w:val="sr-Latn-ME"/>
              </w:rPr>
            </w:pPr>
          </w:p>
        </w:tc>
        <w:tc>
          <w:tcPr>
            <w:tcW w:w="1637" w:type="dxa"/>
            <w:shd w:val="clear" w:color="auto" w:fill="auto"/>
          </w:tcPr>
          <w:p w:rsidR="00D76435" w:rsidRDefault="005839CA" w:rsidP="00F06D69">
            <w:pPr>
              <w:ind w:left="-94" w:right="-79"/>
              <w:rPr>
                <w:b/>
                <w:szCs w:val="22"/>
                <w:lang w:val="sr-Latn-ME"/>
              </w:rPr>
            </w:pPr>
            <w:r>
              <w:rPr>
                <w:szCs w:val="22"/>
                <w:lang w:val="sr-Latn-ME"/>
              </w:rPr>
              <w:t>Ginekomastija</w:t>
            </w: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D76435" w:rsidP="00F06D69">
            <w:pPr>
              <w:ind w:left="-45" w:right="-21"/>
              <w:rPr>
                <w:b/>
                <w:szCs w:val="22"/>
                <w:lang w:val="sr-Latn-ME"/>
              </w:rPr>
            </w:pPr>
          </w:p>
        </w:tc>
      </w:tr>
      <w:tr w:rsidR="00DA5112" w:rsidTr="00F06D69">
        <w:trPr>
          <w:jc w:val="center"/>
        </w:trPr>
        <w:tc>
          <w:tcPr>
            <w:tcW w:w="1759" w:type="dxa"/>
            <w:shd w:val="clear" w:color="auto" w:fill="auto"/>
          </w:tcPr>
          <w:p w:rsidR="00D76435" w:rsidRDefault="005839CA" w:rsidP="00F06D69">
            <w:pPr>
              <w:ind w:left="-85" w:right="-85" w:hanging="7"/>
              <w:rPr>
                <w:b/>
                <w:szCs w:val="22"/>
                <w:lang w:val="sr-Latn-ME"/>
              </w:rPr>
            </w:pPr>
            <w:r>
              <w:rPr>
                <w:b/>
                <w:szCs w:val="22"/>
                <w:lang w:val="sr-Latn-ME"/>
              </w:rPr>
              <w:t>Opšti poremećaji i reakcije na mjestu primjene</w:t>
            </w:r>
          </w:p>
        </w:tc>
        <w:tc>
          <w:tcPr>
            <w:tcW w:w="966" w:type="dxa"/>
          </w:tcPr>
          <w:p w:rsidR="00D76435" w:rsidRDefault="005839CA" w:rsidP="00F06D69">
            <w:pPr>
              <w:ind w:left="-89" w:right="-99"/>
              <w:rPr>
                <w:szCs w:val="22"/>
                <w:lang w:val="sr-Latn-ME"/>
              </w:rPr>
            </w:pPr>
            <w:r>
              <w:rPr>
                <w:szCs w:val="22"/>
                <w:lang w:val="sr-Latn-ME"/>
              </w:rPr>
              <w:t>Trombo</w:t>
            </w:r>
            <w:r w:rsidR="006F3A80">
              <w:rPr>
                <w:szCs w:val="22"/>
                <w:lang w:val="sr-Latn-ME"/>
              </w:rPr>
              <w:t>-</w:t>
            </w:r>
          </w:p>
          <w:p w:rsidR="00D76435" w:rsidRDefault="005839CA" w:rsidP="00F06D69">
            <w:pPr>
              <w:ind w:left="-89" w:right="-99"/>
              <w:rPr>
                <w:szCs w:val="22"/>
                <w:lang w:val="sr-Latn-ME"/>
              </w:rPr>
            </w:pPr>
            <w:r>
              <w:rPr>
                <w:szCs w:val="22"/>
                <w:lang w:val="sr-Latn-ME"/>
              </w:rPr>
              <w:t>flebitis na mjestu primjene lijeka</w:t>
            </w:r>
          </w:p>
        </w:tc>
        <w:tc>
          <w:tcPr>
            <w:tcW w:w="1666" w:type="dxa"/>
            <w:shd w:val="clear" w:color="auto" w:fill="auto"/>
          </w:tcPr>
          <w:p w:rsidR="00D76435" w:rsidRDefault="005839CA" w:rsidP="00F06D69">
            <w:pPr>
              <w:ind w:left="-89" w:right="-94"/>
              <w:rPr>
                <w:b/>
                <w:szCs w:val="22"/>
                <w:lang w:val="sr-Latn-ME"/>
              </w:rPr>
            </w:pPr>
            <w:r>
              <w:rPr>
                <w:szCs w:val="22"/>
                <w:lang w:val="sr-Latn-ME"/>
              </w:rPr>
              <w:t>Astenija, zamor i malaksalost</w:t>
            </w:r>
          </w:p>
        </w:tc>
        <w:tc>
          <w:tcPr>
            <w:tcW w:w="1637" w:type="dxa"/>
            <w:shd w:val="clear" w:color="auto" w:fill="auto"/>
          </w:tcPr>
          <w:p w:rsidR="00D76435" w:rsidRDefault="005839CA" w:rsidP="00F06D69">
            <w:pPr>
              <w:ind w:left="-94" w:right="-79"/>
              <w:rPr>
                <w:b/>
                <w:szCs w:val="22"/>
                <w:lang w:val="sr-Latn-ME"/>
              </w:rPr>
            </w:pPr>
            <w:r>
              <w:rPr>
                <w:szCs w:val="22"/>
                <w:lang w:val="sr-Latn-ME"/>
              </w:rPr>
              <w:t>Porast tjelesne temperature, periferni edem</w:t>
            </w:r>
          </w:p>
        </w:tc>
        <w:tc>
          <w:tcPr>
            <w:tcW w:w="1190" w:type="dxa"/>
            <w:shd w:val="clear" w:color="auto" w:fill="auto"/>
          </w:tcPr>
          <w:p w:rsidR="00D76435" w:rsidRDefault="00D76435" w:rsidP="00F06D69">
            <w:pPr>
              <w:ind w:left="-95" w:right="-91"/>
              <w:rPr>
                <w:b/>
                <w:szCs w:val="22"/>
                <w:lang w:val="sr-Latn-ME"/>
              </w:rPr>
            </w:pPr>
          </w:p>
        </w:tc>
        <w:tc>
          <w:tcPr>
            <w:tcW w:w="1816" w:type="dxa"/>
            <w:shd w:val="clear" w:color="auto" w:fill="auto"/>
          </w:tcPr>
          <w:p w:rsidR="00D76435" w:rsidRDefault="00D76435" w:rsidP="00F06D69">
            <w:pPr>
              <w:ind w:left="-45" w:right="-21"/>
              <w:rPr>
                <w:b/>
                <w:szCs w:val="22"/>
                <w:lang w:val="sr-Latn-ME"/>
              </w:rPr>
            </w:pPr>
          </w:p>
        </w:tc>
      </w:tr>
    </w:tbl>
    <w:p w:rsidR="00D76435" w:rsidRDefault="005839CA">
      <w:pPr>
        <w:jc w:val="both"/>
        <w:rPr>
          <w:rFonts w:eastAsia="Calibri"/>
          <w:szCs w:val="22"/>
          <w:lang w:val="sr-Latn-ME"/>
        </w:rPr>
      </w:pPr>
      <w:r>
        <w:rPr>
          <w:rFonts w:eastAsia="Calibri"/>
          <w:szCs w:val="22"/>
          <w:vertAlign w:val="superscript"/>
          <w:lang w:val="sr-Latn-ME"/>
        </w:rPr>
        <w:t>1</w:t>
      </w:r>
      <w:r>
        <w:rPr>
          <w:rFonts w:eastAsia="Calibri"/>
          <w:szCs w:val="22"/>
          <w:lang w:val="sr-Latn-ME"/>
        </w:rPr>
        <w:t xml:space="preserve"> Hipokalcijemija</w:t>
      </w:r>
      <w:r>
        <w:rPr>
          <w:szCs w:val="22"/>
          <w:u w:val="single"/>
          <w:lang w:val="sr-Latn-ME" w:eastAsia="sl-SI"/>
        </w:rPr>
        <w:t xml:space="preserve"> </w:t>
      </w:r>
      <w:r>
        <w:rPr>
          <w:rFonts w:eastAsia="Calibri"/>
          <w:szCs w:val="22"/>
          <w:u w:val="single"/>
          <w:lang w:val="sr-Latn-ME"/>
        </w:rPr>
        <w:t xml:space="preserve">i/ili hipokalijemija </w:t>
      </w:r>
      <w:r>
        <w:rPr>
          <w:rFonts w:eastAsia="Calibri"/>
          <w:szCs w:val="22"/>
          <w:lang w:val="sr-Latn-ME"/>
        </w:rPr>
        <w:t>je povezana sa hipomagnezijemijom</w:t>
      </w:r>
      <w:r>
        <w:rPr>
          <w:szCs w:val="22"/>
          <w:u w:val="single"/>
          <w:lang w:val="sr-Latn-ME" w:eastAsia="sl-SI"/>
        </w:rPr>
        <w:t xml:space="preserve"> (</w:t>
      </w:r>
      <w:r>
        <w:rPr>
          <w:rFonts w:eastAsia="Calibri"/>
          <w:szCs w:val="22"/>
          <w:u w:val="single"/>
          <w:lang w:val="sr-Latn-ME"/>
        </w:rPr>
        <w:t>vidjeti dio 4.4)</w:t>
      </w:r>
    </w:p>
    <w:p w:rsidR="00D76435" w:rsidRDefault="005839CA">
      <w:pPr>
        <w:jc w:val="both"/>
        <w:rPr>
          <w:rFonts w:eastAsia="Calibri"/>
          <w:szCs w:val="22"/>
          <w:lang w:val="sr-Latn-ME"/>
        </w:rPr>
      </w:pPr>
      <w:r>
        <w:rPr>
          <w:rFonts w:eastAsia="Calibri"/>
          <w:szCs w:val="22"/>
          <w:vertAlign w:val="superscript"/>
          <w:lang w:val="sr-Latn-ME"/>
        </w:rPr>
        <w:t>2</w:t>
      </w:r>
      <w:r>
        <w:rPr>
          <w:rFonts w:eastAsia="Calibri"/>
          <w:szCs w:val="22"/>
          <w:lang w:val="sr-Latn-ME"/>
        </w:rPr>
        <w:t xml:space="preserve"> Mišićni spazam kao posljedica elektrolitnog disbalansa</w:t>
      </w:r>
    </w:p>
    <w:p w:rsidR="00D76435" w:rsidRDefault="00D76435">
      <w:pPr>
        <w:widowControl w:val="0"/>
        <w:autoSpaceDE w:val="0"/>
        <w:autoSpaceDN w:val="0"/>
        <w:adjustRightInd w:val="0"/>
        <w:jc w:val="both"/>
        <w:rPr>
          <w:szCs w:val="22"/>
          <w:u w:val="single"/>
          <w:lang w:val="sr-Latn-ME"/>
        </w:rPr>
      </w:pPr>
    </w:p>
    <w:p w:rsidR="00D76435" w:rsidRDefault="005839CA">
      <w:pPr>
        <w:tabs>
          <w:tab w:val="clear" w:pos="567"/>
        </w:tabs>
        <w:spacing w:line="276" w:lineRule="auto"/>
        <w:jc w:val="both"/>
        <w:rPr>
          <w:rFonts w:eastAsia="Calibri"/>
          <w:szCs w:val="22"/>
          <w:u w:val="single"/>
          <w:lang w:val="sr-Latn-ME"/>
        </w:rPr>
      </w:pPr>
      <w:r>
        <w:rPr>
          <w:rFonts w:eastAsia="Calibri"/>
          <w:szCs w:val="22"/>
          <w:u w:val="single"/>
          <w:lang w:val="sr-Latn-ME"/>
        </w:rPr>
        <w:t>Prijavljivanje sumnji na neželjena dejstva</w:t>
      </w:r>
    </w:p>
    <w:p w:rsidR="00D76435" w:rsidRDefault="005839CA">
      <w:pPr>
        <w:tabs>
          <w:tab w:val="clear" w:pos="567"/>
        </w:tabs>
        <w:spacing w:line="240" w:lineRule="auto"/>
        <w:jc w:val="both"/>
        <w:rPr>
          <w:rFonts w:eastAsia="Calibri"/>
          <w:szCs w:val="22"/>
          <w:lang w:val="sr-Latn-ME"/>
        </w:rPr>
      </w:pPr>
      <w:r>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D76435" w:rsidRDefault="005839CA">
      <w:pPr>
        <w:tabs>
          <w:tab w:val="clear" w:pos="567"/>
        </w:tabs>
        <w:spacing w:line="240" w:lineRule="auto"/>
        <w:jc w:val="both"/>
        <w:rPr>
          <w:rFonts w:eastAsia="Calibri"/>
          <w:szCs w:val="22"/>
          <w:lang w:val="sr-Latn-ME"/>
        </w:rPr>
      </w:pPr>
      <w:r>
        <w:rPr>
          <w:rFonts w:eastAsia="Calibri"/>
          <w:szCs w:val="22"/>
          <w:lang w:val="sr-Latn-ME"/>
        </w:rPr>
        <w:t xml:space="preserve">Institut za ljekove i medicinska sredstva </w:t>
      </w:r>
    </w:p>
    <w:p w:rsidR="00D76435" w:rsidRDefault="005839CA">
      <w:pPr>
        <w:tabs>
          <w:tab w:val="clear" w:pos="567"/>
        </w:tabs>
        <w:spacing w:line="240" w:lineRule="auto"/>
        <w:jc w:val="both"/>
        <w:rPr>
          <w:rFonts w:eastAsia="Calibri"/>
          <w:szCs w:val="22"/>
          <w:lang w:val="sr-Latn-ME"/>
        </w:rPr>
      </w:pPr>
      <w:r>
        <w:rPr>
          <w:rFonts w:eastAsia="Calibri"/>
          <w:szCs w:val="22"/>
          <w:lang w:val="sr-Latn-ME"/>
        </w:rPr>
        <w:t>Odjeljenje za farmakovigilancu</w:t>
      </w:r>
    </w:p>
    <w:p w:rsidR="00D76435" w:rsidRDefault="005839CA">
      <w:pPr>
        <w:tabs>
          <w:tab w:val="clear" w:pos="567"/>
        </w:tabs>
        <w:spacing w:line="240" w:lineRule="auto"/>
        <w:jc w:val="both"/>
        <w:rPr>
          <w:rFonts w:eastAsia="Calibri"/>
          <w:szCs w:val="22"/>
          <w:lang w:val="sr-Latn-ME"/>
        </w:rPr>
      </w:pPr>
      <w:r>
        <w:rPr>
          <w:rFonts w:eastAsia="Calibri"/>
          <w:szCs w:val="22"/>
          <w:lang w:val="sr-Latn-ME"/>
        </w:rPr>
        <w:t>Bulevar Ivana Crnojevića 64a, 81000 Podgorica</w:t>
      </w:r>
    </w:p>
    <w:p w:rsidR="00D76435" w:rsidRDefault="00D76435">
      <w:pPr>
        <w:tabs>
          <w:tab w:val="clear" w:pos="567"/>
        </w:tabs>
        <w:spacing w:line="240" w:lineRule="auto"/>
        <w:jc w:val="both"/>
        <w:rPr>
          <w:rFonts w:eastAsia="Calibri"/>
          <w:szCs w:val="22"/>
          <w:lang w:val="sr-Latn-ME"/>
        </w:rPr>
      </w:pPr>
    </w:p>
    <w:p w:rsidR="00D76435" w:rsidRDefault="005839CA">
      <w:pPr>
        <w:tabs>
          <w:tab w:val="clear" w:pos="567"/>
        </w:tabs>
        <w:spacing w:line="240" w:lineRule="auto"/>
        <w:jc w:val="both"/>
        <w:rPr>
          <w:rFonts w:eastAsia="Calibri"/>
          <w:szCs w:val="22"/>
          <w:lang w:val="sr-Latn-ME"/>
        </w:rPr>
      </w:pPr>
      <w:r>
        <w:rPr>
          <w:rFonts w:eastAsia="Calibri"/>
          <w:szCs w:val="22"/>
          <w:lang w:val="sr-Latn-ME"/>
        </w:rPr>
        <w:t>tel: +382 (0) 20 310 280</w:t>
      </w:r>
    </w:p>
    <w:p w:rsidR="00D76435" w:rsidRDefault="005839CA">
      <w:pPr>
        <w:tabs>
          <w:tab w:val="clear" w:pos="567"/>
          <w:tab w:val="left" w:pos="6720"/>
        </w:tabs>
        <w:spacing w:line="240" w:lineRule="auto"/>
        <w:jc w:val="both"/>
        <w:rPr>
          <w:rFonts w:eastAsia="Calibri"/>
          <w:szCs w:val="22"/>
          <w:lang w:val="sr-Latn-ME"/>
        </w:rPr>
      </w:pPr>
      <w:r>
        <w:rPr>
          <w:rFonts w:eastAsia="Calibri"/>
          <w:szCs w:val="22"/>
          <w:lang w:val="sr-Latn-ME"/>
        </w:rPr>
        <w:t>fax: +382 (0) 20 310 581</w:t>
      </w:r>
      <w:r>
        <w:rPr>
          <w:rFonts w:eastAsia="Calibri"/>
          <w:szCs w:val="22"/>
          <w:lang w:val="sr-Latn-ME"/>
        </w:rPr>
        <w:tab/>
      </w:r>
    </w:p>
    <w:p w:rsidR="00D76435" w:rsidRDefault="00463F81">
      <w:pPr>
        <w:tabs>
          <w:tab w:val="clear" w:pos="567"/>
        </w:tabs>
        <w:spacing w:line="240" w:lineRule="auto"/>
        <w:jc w:val="both"/>
        <w:rPr>
          <w:rFonts w:eastAsia="Calibri"/>
          <w:szCs w:val="22"/>
          <w:lang w:val="sr-Latn-ME"/>
        </w:rPr>
      </w:pPr>
      <w:hyperlink r:id="rId8" w:history="1">
        <w:r w:rsidR="005839CA">
          <w:rPr>
            <w:rFonts w:eastAsia="Calibri"/>
            <w:color w:val="0563C1"/>
            <w:szCs w:val="22"/>
            <w:u w:val="single"/>
            <w:lang w:val="sr-Latn-ME"/>
          </w:rPr>
          <w:t>www.cinmed.me</w:t>
        </w:r>
      </w:hyperlink>
    </w:p>
    <w:p w:rsidR="00D76435" w:rsidRDefault="00463F81">
      <w:pPr>
        <w:tabs>
          <w:tab w:val="clear" w:pos="567"/>
        </w:tabs>
        <w:spacing w:line="240" w:lineRule="auto"/>
        <w:jc w:val="both"/>
        <w:rPr>
          <w:rFonts w:eastAsia="Calibri"/>
          <w:color w:val="0000FF"/>
          <w:szCs w:val="22"/>
          <w:u w:val="single"/>
          <w:lang w:val="sr-Latn-ME"/>
        </w:rPr>
      </w:pPr>
      <w:hyperlink r:id="rId9" w:history="1">
        <w:r w:rsidR="005839CA">
          <w:rPr>
            <w:rFonts w:eastAsia="Calibri"/>
            <w:color w:val="0563C1"/>
            <w:szCs w:val="22"/>
            <w:u w:val="single"/>
            <w:lang w:val="sr-Latn-ME"/>
          </w:rPr>
          <w:t>nezeljenadejstva@cinmed.me</w:t>
        </w:r>
      </w:hyperlink>
    </w:p>
    <w:p w:rsidR="00D76435" w:rsidRDefault="005839CA">
      <w:pPr>
        <w:tabs>
          <w:tab w:val="clear" w:pos="567"/>
        </w:tabs>
        <w:spacing w:line="240" w:lineRule="auto"/>
        <w:jc w:val="both"/>
        <w:rPr>
          <w:rFonts w:eastAsia="Calibri"/>
          <w:szCs w:val="22"/>
          <w:lang w:val="sr-Latn-ME"/>
        </w:rPr>
      </w:pPr>
      <w:r>
        <w:rPr>
          <w:rFonts w:eastAsia="Calibri"/>
          <w:szCs w:val="22"/>
          <w:lang w:val="sr-Latn-ME"/>
        </w:rPr>
        <w:t>putem IS zdravstvene zaštite</w:t>
      </w:r>
    </w:p>
    <w:p w:rsidR="00D76435" w:rsidRDefault="005839CA">
      <w:pPr>
        <w:tabs>
          <w:tab w:val="clear" w:pos="567"/>
        </w:tabs>
        <w:spacing w:line="240" w:lineRule="auto"/>
        <w:jc w:val="both"/>
        <w:rPr>
          <w:rFonts w:eastAsia="Calibri"/>
          <w:szCs w:val="22"/>
          <w:lang w:val="sr-Latn-ME"/>
        </w:rPr>
      </w:pPr>
      <w:r>
        <w:rPr>
          <w:rFonts w:eastAsia="Calibri"/>
          <w:szCs w:val="22"/>
          <w:lang w:val="sr-Latn-ME"/>
        </w:rPr>
        <w:t>QR kod za online prijavu sumnje na neželjeno dejstvo lijeka:</w:t>
      </w:r>
    </w:p>
    <w:p w:rsidR="00D76435" w:rsidRDefault="00D76435">
      <w:pPr>
        <w:tabs>
          <w:tab w:val="clear" w:pos="567"/>
        </w:tabs>
        <w:spacing w:line="240" w:lineRule="auto"/>
        <w:jc w:val="both"/>
        <w:rPr>
          <w:rFonts w:eastAsia="Calibri"/>
          <w:szCs w:val="22"/>
          <w:lang w:val="sr-Latn-ME"/>
        </w:rPr>
      </w:pPr>
    </w:p>
    <w:p w:rsidR="00D76435" w:rsidRDefault="005839CA">
      <w:pPr>
        <w:tabs>
          <w:tab w:val="clear" w:pos="567"/>
        </w:tabs>
        <w:spacing w:line="240" w:lineRule="auto"/>
        <w:rPr>
          <w:rFonts w:eastAsia="Calibri"/>
          <w:szCs w:val="22"/>
          <w:lang w:val="sr-Latn-ME"/>
        </w:rPr>
      </w:pPr>
      <w:r>
        <w:rPr>
          <w:b/>
          <w:bCs/>
          <w:noProof/>
          <w:szCs w:val="22"/>
          <w:lang w:val="en-US"/>
        </w:rPr>
        <w:drawing>
          <wp:inline distT="0" distB="0" distL="0" distR="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D76435" w:rsidRDefault="00D76435">
      <w:pPr>
        <w:widowControl w:val="0"/>
        <w:rPr>
          <w:szCs w:val="22"/>
          <w:lang w:val="sr-Latn-ME"/>
        </w:rPr>
      </w:pPr>
    </w:p>
    <w:p w:rsidR="00D76435" w:rsidRDefault="005839CA">
      <w:pPr>
        <w:widowControl w:val="0"/>
        <w:ind w:left="567" w:hanging="567"/>
        <w:jc w:val="both"/>
        <w:outlineLvl w:val="0"/>
        <w:rPr>
          <w:szCs w:val="22"/>
          <w:lang w:val="sr-Latn-ME"/>
        </w:rPr>
      </w:pPr>
      <w:r>
        <w:rPr>
          <w:b/>
          <w:szCs w:val="22"/>
          <w:lang w:val="sr-Latn-ME"/>
        </w:rPr>
        <w:t>4.9</w:t>
      </w:r>
      <w:r>
        <w:rPr>
          <w:b/>
          <w:szCs w:val="22"/>
          <w:lang w:val="sr-Latn-ME"/>
        </w:rPr>
        <w:tab/>
        <w:t>Predoziranje</w:t>
      </w:r>
    </w:p>
    <w:p w:rsidR="00D76435" w:rsidRDefault="00D76435">
      <w:pPr>
        <w:widowControl w:val="0"/>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Nema poznatih simptoma predoziranja kod ljudi.</w:t>
      </w:r>
    </w:p>
    <w:p w:rsidR="00D76435" w:rsidRDefault="005839CA">
      <w:pPr>
        <w:tabs>
          <w:tab w:val="left" w:pos="284"/>
          <w:tab w:val="center" w:pos="4320"/>
          <w:tab w:val="right" w:pos="8640"/>
        </w:tabs>
        <w:jc w:val="both"/>
        <w:rPr>
          <w:szCs w:val="22"/>
          <w:lang w:val="sr-Latn-ME"/>
        </w:rPr>
      </w:pPr>
      <w:r>
        <w:rPr>
          <w:szCs w:val="22"/>
          <w:lang w:val="sr-Latn-ME"/>
        </w:rPr>
        <w:t>Sistemska izloženost dozi do 240 mg primijenjene intravenskim putem tokom 2 minuta dobro je tolerisana.</w:t>
      </w:r>
    </w:p>
    <w:p w:rsidR="00D76435" w:rsidRDefault="005839CA">
      <w:pPr>
        <w:tabs>
          <w:tab w:val="left" w:pos="284"/>
          <w:tab w:val="center" w:pos="4320"/>
          <w:tab w:val="right" w:pos="8640"/>
        </w:tabs>
        <w:jc w:val="both"/>
        <w:rPr>
          <w:szCs w:val="22"/>
          <w:lang w:val="sr-Latn-ME"/>
        </w:rPr>
      </w:pPr>
      <w:r>
        <w:rPr>
          <w:szCs w:val="22"/>
          <w:lang w:val="sr-Latn-ME"/>
        </w:rPr>
        <w:t>S obzirom da se pantoprazol u velikom procentu vezuje za proteine plazme, ne dijalizira se lako.</w:t>
      </w:r>
    </w:p>
    <w:p w:rsidR="00D76435" w:rsidRDefault="005839CA">
      <w:pPr>
        <w:tabs>
          <w:tab w:val="left" w:pos="284"/>
          <w:tab w:val="center" w:pos="4320"/>
          <w:tab w:val="right" w:pos="8640"/>
        </w:tabs>
        <w:jc w:val="both"/>
        <w:rPr>
          <w:szCs w:val="22"/>
          <w:lang w:val="sr-Latn-ME"/>
        </w:rPr>
      </w:pPr>
      <w:r>
        <w:rPr>
          <w:szCs w:val="22"/>
          <w:lang w:val="sr-Latn-ME"/>
        </w:rPr>
        <w:t>U slučaju predoziranja sa kliničkim znacima predoziranja, osim simptomatske i potporne terapije, ne mogu se dati druge specifične preporuke kod predoziranja pantoprazolom.</w:t>
      </w:r>
    </w:p>
    <w:p w:rsidR="00D76435" w:rsidRDefault="00D76435">
      <w:pPr>
        <w:tabs>
          <w:tab w:val="left" w:pos="284"/>
          <w:tab w:val="center" w:pos="4320"/>
          <w:tab w:val="right" w:pos="8640"/>
        </w:tabs>
        <w:jc w:val="both"/>
        <w:rPr>
          <w:szCs w:val="22"/>
          <w:lang w:val="sr-Latn-ME"/>
        </w:rPr>
      </w:pPr>
    </w:p>
    <w:p w:rsidR="00D76435" w:rsidRDefault="00D76435">
      <w:pPr>
        <w:widowControl w:val="0"/>
        <w:jc w:val="both"/>
        <w:rPr>
          <w:szCs w:val="22"/>
          <w:lang w:val="sr-Latn-ME"/>
        </w:rPr>
      </w:pPr>
    </w:p>
    <w:p w:rsidR="00D76435" w:rsidRDefault="005839CA">
      <w:pPr>
        <w:widowControl w:val="0"/>
        <w:ind w:left="567" w:hanging="567"/>
        <w:jc w:val="both"/>
        <w:rPr>
          <w:szCs w:val="22"/>
          <w:lang w:val="sr-Latn-ME"/>
        </w:rPr>
      </w:pPr>
      <w:r>
        <w:rPr>
          <w:b/>
          <w:szCs w:val="22"/>
          <w:lang w:val="sr-Latn-ME"/>
        </w:rPr>
        <w:t>5.</w:t>
      </w:r>
      <w:r>
        <w:rPr>
          <w:b/>
          <w:szCs w:val="22"/>
          <w:lang w:val="sr-Latn-ME"/>
        </w:rPr>
        <w:tab/>
      </w:r>
      <w:r>
        <w:rPr>
          <w:b/>
          <w:bCs/>
          <w:szCs w:val="22"/>
          <w:lang w:val="sr-Latn-ME"/>
        </w:rPr>
        <w:t>FARMAKOLOŠKI PODACI</w:t>
      </w:r>
    </w:p>
    <w:p w:rsidR="00D76435" w:rsidRDefault="00D76435">
      <w:pPr>
        <w:widowControl w:val="0"/>
        <w:jc w:val="both"/>
        <w:rPr>
          <w:szCs w:val="22"/>
          <w:lang w:val="sr-Latn-ME"/>
        </w:rPr>
      </w:pPr>
    </w:p>
    <w:p w:rsidR="00D76435" w:rsidRDefault="005839CA">
      <w:pPr>
        <w:widowControl w:val="0"/>
        <w:ind w:left="567" w:hanging="567"/>
        <w:jc w:val="both"/>
        <w:outlineLvl w:val="0"/>
        <w:rPr>
          <w:szCs w:val="22"/>
          <w:lang w:val="sr-Latn-ME"/>
        </w:rPr>
      </w:pPr>
      <w:r>
        <w:rPr>
          <w:b/>
          <w:szCs w:val="22"/>
          <w:lang w:val="sr-Latn-ME"/>
        </w:rPr>
        <w:t>5.1</w:t>
      </w:r>
      <w:r>
        <w:rPr>
          <w:b/>
          <w:szCs w:val="22"/>
          <w:lang w:val="sr-Latn-ME"/>
        </w:rPr>
        <w:tab/>
      </w:r>
      <w:r>
        <w:rPr>
          <w:b/>
          <w:bCs/>
          <w:szCs w:val="22"/>
          <w:lang w:val="sr-Latn-ME"/>
        </w:rPr>
        <w:t>Farmakodinamski podaci</w:t>
      </w:r>
    </w:p>
    <w:p w:rsidR="00D76435" w:rsidRDefault="00D76435">
      <w:pPr>
        <w:widowControl w:val="0"/>
        <w:jc w:val="both"/>
        <w:rPr>
          <w:szCs w:val="22"/>
          <w:lang w:val="sr-Latn-ME"/>
        </w:rPr>
      </w:pPr>
    </w:p>
    <w:p w:rsidR="00D76435" w:rsidRDefault="005839CA">
      <w:pPr>
        <w:tabs>
          <w:tab w:val="clear" w:pos="567"/>
          <w:tab w:val="left" w:pos="540"/>
          <w:tab w:val="left" w:pos="569"/>
        </w:tabs>
        <w:jc w:val="both"/>
        <w:rPr>
          <w:szCs w:val="22"/>
          <w:lang w:val="sr-Latn-ME"/>
        </w:rPr>
      </w:pPr>
      <w:r>
        <w:rPr>
          <w:bCs/>
          <w:szCs w:val="22"/>
          <w:lang w:val="sr-Latn-ME"/>
        </w:rPr>
        <w:t>Farmakoterapijska grupa:</w:t>
      </w:r>
      <w:r>
        <w:rPr>
          <w:szCs w:val="22"/>
          <w:lang w:val="sr-Latn-ME"/>
        </w:rPr>
        <w:t xml:space="preserve"> inhibitori protonske pumpe</w:t>
      </w:r>
    </w:p>
    <w:p w:rsidR="00D76435" w:rsidRDefault="00D76435">
      <w:pPr>
        <w:tabs>
          <w:tab w:val="clear" w:pos="567"/>
          <w:tab w:val="left" w:pos="540"/>
          <w:tab w:val="left" w:pos="569"/>
        </w:tabs>
        <w:jc w:val="both"/>
        <w:rPr>
          <w:bCs/>
          <w:szCs w:val="22"/>
          <w:lang w:val="sr-Latn-ME"/>
        </w:rPr>
      </w:pPr>
    </w:p>
    <w:p w:rsidR="00D76435" w:rsidRDefault="005839CA">
      <w:pPr>
        <w:tabs>
          <w:tab w:val="clear" w:pos="567"/>
          <w:tab w:val="left" w:pos="540"/>
          <w:tab w:val="left" w:pos="569"/>
        </w:tabs>
        <w:jc w:val="both"/>
        <w:rPr>
          <w:szCs w:val="22"/>
          <w:lang w:val="sr-Latn-ME"/>
        </w:rPr>
      </w:pPr>
      <w:r>
        <w:rPr>
          <w:bCs/>
          <w:szCs w:val="22"/>
          <w:lang w:val="sr-Latn-ME"/>
        </w:rPr>
        <w:t xml:space="preserve">ATC kod: </w:t>
      </w:r>
      <w:r>
        <w:rPr>
          <w:szCs w:val="22"/>
          <w:lang w:val="sr-Latn-ME"/>
        </w:rPr>
        <w:t>A02BC02</w:t>
      </w:r>
    </w:p>
    <w:p w:rsidR="00D76435" w:rsidRDefault="00D76435">
      <w:pPr>
        <w:tabs>
          <w:tab w:val="clear" w:pos="567"/>
          <w:tab w:val="left" w:pos="540"/>
          <w:tab w:val="left" w:pos="569"/>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Mehanizam djelovanja</w:t>
      </w:r>
    </w:p>
    <w:p w:rsidR="00D76435" w:rsidRDefault="005839CA">
      <w:pPr>
        <w:tabs>
          <w:tab w:val="left" w:pos="284"/>
          <w:tab w:val="center" w:pos="4320"/>
          <w:tab w:val="right" w:pos="8640"/>
        </w:tabs>
        <w:jc w:val="both"/>
        <w:rPr>
          <w:szCs w:val="22"/>
          <w:lang w:val="sr-Latn-ME"/>
        </w:rPr>
      </w:pPr>
      <w:r>
        <w:rPr>
          <w:szCs w:val="22"/>
          <w:lang w:val="sr-Latn-ME"/>
        </w:rPr>
        <w:t>Pantoprazol je supstituisani benzimidazol koji inhibira sekreciju želudačne kiseline putem specifične blokade protonske pumpe parijetalnih ćelija.</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Pantoprazol se konvertuje u aktivnu formu u kisjelim kanalima parijetalnih ćelija gdje inhibira enzim H+, K+- ATP-azu, tj. završnu fazu produkcije hlorovodonične kiseline u želucu. Inhibicija je dozno zavisna i djeluje i na bazalnu i na stimulisanu sekreciju kiseline. Kod većine pacijenata, gubitak simptoma se javlja nakon 2 nedjelje. Kao i kod primjene drugih inhibitora protonske pumpe i inhibitora H2 receptora, terapija pantoprazolom uzrokuje smanjenje kisjelosti u želucu a time povećanje sekrecije gastrina proporcionalno smanjenju aciditeta. Povećanje sekrecije gastrina je reverzibilno. S obzirom da se pantoprazol vezuje za enzime jetre distalno od ćelijskih receptora, može inhibirati sekreciju hlorovodonične kiseline nezavisno od stimulacije drugim supstancama (acetilholin, histamin, gastrin). Efekat je isti bilo da se lijek primjenjuje oralnim ili intravenskim putem.</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Farmakodinamski efekti</w:t>
      </w:r>
    </w:p>
    <w:p w:rsidR="00D76435" w:rsidRDefault="005839CA">
      <w:pPr>
        <w:tabs>
          <w:tab w:val="left" w:pos="284"/>
          <w:tab w:val="center" w:pos="4320"/>
          <w:tab w:val="right" w:pos="8640"/>
        </w:tabs>
        <w:jc w:val="both"/>
        <w:rPr>
          <w:szCs w:val="22"/>
          <w:lang w:val="sr-Latn-ME"/>
        </w:rPr>
      </w:pPr>
      <w:r>
        <w:rPr>
          <w:szCs w:val="22"/>
          <w:lang w:val="sr-Latn-ME"/>
        </w:rPr>
        <w:t>Vrijednosti gastrina natašte se povećavaju pod dejstvom pantoprazola. Pri kratkotrajnoj upotrebi, u većini slučajeva vrijednosti gastrina ne prelaze gornju granicu normalnih vrijednosti. Tokom dugotrajne terapije, u većini slučajeva se vrijednosti gastrina udvostručuju. Međutim, izraziti porast vrijednosti gastrina se javlja samo u izolovanim slučajevima. Kao rezultat toga, u malom broju slučajeva tokom dugotrajne primjene zabilježen je blagi do umjereni porast broja specifičnih endokrinih ćelija (</w:t>
      </w:r>
      <w:smartTag w:uri="urn:schemas-microsoft-com:office:smarttags" w:element="stockticker">
        <w:r>
          <w:rPr>
            <w:szCs w:val="22"/>
            <w:lang w:val="sr-Latn-ME"/>
          </w:rPr>
          <w:t>ECL</w:t>
        </w:r>
      </w:smartTag>
      <w:r>
        <w:rPr>
          <w:szCs w:val="22"/>
          <w:lang w:val="sr-Latn-ME"/>
        </w:rPr>
        <w:t>) u želucu (što odgovara jednostavnoj do adenomatoidnoj hiperplaziji). Međutim, na osnovu do sada sprovedenih studija, formiranje karcinoidnih prekursora (atipična hiperplazija) ili gastrični karcinoidi koji su zabilježeni u eksperimentima na životinjama (vidjeti dio 5.3), nijesu zabilježeni kod ljudi.</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Prema rezultatima studija na životinjama, ne može se u potpunosti isključiti uticaj dugotrajne terapije pantoprazolom (duže od jedne godine) na endokrine parametre tireoidne žlijezde i enzima jetre.</w:t>
      </w:r>
    </w:p>
    <w:p w:rsidR="00D76435" w:rsidRDefault="00D76435">
      <w:pPr>
        <w:tabs>
          <w:tab w:val="clear" w:pos="567"/>
          <w:tab w:val="left" w:pos="540"/>
          <w:tab w:val="left" w:pos="569"/>
        </w:tabs>
        <w:jc w:val="both"/>
        <w:rPr>
          <w:bCs/>
          <w:szCs w:val="22"/>
          <w:lang w:val="sr-Latn-ME"/>
        </w:rPr>
      </w:pPr>
    </w:p>
    <w:p w:rsidR="00D76435" w:rsidRDefault="005839CA">
      <w:pPr>
        <w:pStyle w:val="Default"/>
        <w:jc w:val="both"/>
        <w:rPr>
          <w:sz w:val="22"/>
          <w:szCs w:val="22"/>
          <w:lang w:val="sr-Latn-ME"/>
        </w:rPr>
      </w:pPr>
      <w:r>
        <w:rPr>
          <w:sz w:val="22"/>
          <w:szCs w:val="22"/>
          <w:lang w:val="sr-Latn-ME"/>
        </w:rPr>
        <w:t>Tokom primjene antisekretornih ljekova, koncentracija gastrina u serumu se povećava kao odgovor na smanjenje sekrecije želudačne kiseline. Takođe, zbog smanjenja želudačne kiselosti dolazi do povećanja nivoa CgA. Povećani nivoi CgA mogu da utiču na laboratorijska ispitivanja prisustva neuroendokrinih tumora.</w:t>
      </w:r>
    </w:p>
    <w:p w:rsidR="00D76435" w:rsidRDefault="00D76435">
      <w:pPr>
        <w:pStyle w:val="Default"/>
        <w:jc w:val="both"/>
        <w:rPr>
          <w:sz w:val="22"/>
          <w:szCs w:val="22"/>
          <w:lang w:val="sr-Latn-ME"/>
        </w:rPr>
      </w:pPr>
    </w:p>
    <w:p w:rsidR="00D76435" w:rsidRDefault="005839CA">
      <w:pPr>
        <w:pStyle w:val="Default"/>
        <w:jc w:val="both"/>
        <w:rPr>
          <w:sz w:val="22"/>
          <w:szCs w:val="22"/>
          <w:lang w:val="sr-Latn-ME"/>
        </w:rPr>
      </w:pPr>
      <w:r>
        <w:rPr>
          <w:sz w:val="22"/>
          <w:szCs w:val="22"/>
          <w:lang w:val="sr-Latn-ME"/>
        </w:rPr>
        <w:t>Dostupni objavljeni dokazi ukazuju na to da je potrebno obustaviti primjenu inhibitora protonske pumpe između 5 dana i 2 nedjelje prije određivanja nivoa CgA. Ovaj prekid omogućava da se nivo CgA, koji može biti povećan usljed liječenja inhibitorima protonske pumpe, vrati u okvire referentnih vrijednosti.</w:t>
      </w:r>
    </w:p>
    <w:p w:rsidR="00D76435" w:rsidRDefault="00D76435">
      <w:pPr>
        <w:jc w:val="both"/>
        <w:rPr>
          <w:szCs w:val="22"/>
          <w:lang w:val="sr-Latn-ME"/>
        </w:rPr>
      </w:pPr>
    </w:p>
    <w:p w:rsidR="00D76435" w:rsidRDefault="005839CA">
      <w:pPr>
        <w:widowControl w:val="0"/>
        <w:ind w:left="567" w:hanging="567"/>
        <w:jc w:val="both"/>
        <w:outlineLvl w:val="0"/>
        <w:rPr>
          <w:b/>
          <w:szCs w:val="22"/>
          <w:lang w:val="sr-Latn-ME"/>
        </w:rPr>
      </w:pPr>
      <w:r>
        <w:rPr>
          <w:b/>
          <w:szCs w:val="22"/>
          <w:lang w:val="sr-Latn-ME"/>
        </w:rPr>
        <w:t>5.2</w:t>
      </w:r>
      <w:r>
        <w:rPr>
          <w:b/>
          <w:szCs w:val="22"/>
          <w:lang w:val="sr-Latn-ME"/>
        </w:rPr>
        <w:tab/>
      </w:r>
      <w:r>
        <w:rPr>
          <w:b/>
          <w:bCs/>
          <w:szCs w:val="22"/>
          <w:lang w:val="sr-Latn-ME"/>
        </w:rPr>
        <w:t>Farmakokinetički podaci</w:t>
      </w:r>
    </w:p>
    <w:p w:rsidR="00D76435" w:rsidRDefault="00D76435">
      <w:pPr>
        <w:widowControl w:val="0"/>
        <w:jc w:val="both"/>
        <w:rPr>
          <w:szCs w:val="22"/>
          <w:lang w:val="sr-Latn-ME"/>
        </w:rPr>
      </w:pPr>
    </w:p>
    <w:p w:rsidR="00D76435" w:rsidRDefault="005839CA">
      <w:pPr>
        <w:tabs>
          <w:tab w:val="left" w:pos="284"/>
          <w:tab w:val="center" w:pos="4320"/>
          <w:tab w:val="right" w:pos="8640"/>
        </w:tabs>
        <w:jc w:val="both"/>
        <w:rPr>
          <w:szCs w:val="22"/>
          <w:lang w:val="sr-Latn-ME"/>
        </w:rPr>
      </w:pPr>
      <w:r>
        <w:rPr>
          <w:szCs w:val="22"/>
          <w:u w:val="single"/>
          <w:lang w:val="sr-Latn-ME"/>
        </w:rPr>
        <w:t>Opšta farmakokinetika</w:t>
      </w:r>
    </w:p>
    <w:p w:rsidR="00D76435" w:rsidRDefault="005839CA">
      <w:pPr>
        <w:tabs>
          <w:tab w:val="left" w:pos="284"/>
          <w:tab w:val="center" w:pos="4320"/>
          <w:tab w:val="right" w:pos="8640"/>
        </w:tabs>
        <w:jc w:val="both"/>
        <w:rPr>
          <w:szCs w:val="22"/>
          <w:lang w:val="sr-Latn-ME"/>
        </w:rPr>
      </w:pPr>
      <w:r>
        <w:rPr>
          <w:szCs w:val="22"/>
          <w:lang w:val="sr-Latn-ME"/>
        </w:rPr>
        <w:t>Farmakokinetike se ne razlikuju nakon pojedinačne ili ponavljane primjene. U opsegu doza od 10 mg do 80 mg, plazma kinetika pantoprazola je linearna i nakon oralne i nakon intravenske primjene.</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Distribucija</w:t>
      </w:r>
    </w:p>
    <w:p w:rsidR="00D76435" w:rsidRDefault="005839CA">
      <w:pPr>
        <w:tabs>
          <w:tab w:val="left" w:pos="284"/>
          <w:tab w:val="center" w:pos="4320"/>
          <w:tab w:val="right" w:pos="8640"/>
        </w:tabs>
        <w:jc w:val="both"/>
        <w:rPr>
          <w:szCs w:val="22"/>
          <w:lang w:val="sr-Latn-ME"/>
        </w:rPr>
      </w:pPr>
      <w:r>
        <w:rPr>
          <w:szCs w:val="22"/>
          <w:lang w:val="sr-Latn-ME"/>
        </w:rPr>
        <w:t>Vezivanje pantoprazola za proteine plazme je oko 98%. Volumen distribucije je oko 0,15 l/kg.</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Metabolizam</w:t>
      </w:r>
    </w:p>
    <w:p w:rsidR="00D76435" w:rsidRDefault="005839CA">
      <w:pPr>
        <w:tabs>
          <w:tab w:val="left" w:pos="284"/>
          <w:tab w:val="center" w:pos="4320"/>
          <w:tab w:val="right" w:pos="8640"/>
        </w:tabs>
        <w:jc w:val="both"/>
        <w:rPr>
          <w:szCs w:val="22"/>
          <w:lang w:val="sr-Latn-ME"/>
        </w:rPr>
      </w:pPr>
      <w:r>
        <w:rPr>
          <w:szCs w:val="22"/>
          <w:lang w:val="sr-Latn-ME"/>
        </w:rPr>
        <w:t>Lijek se skoro u potpunosti metabiliše u jetri. Glavni metabolički put je demetilacija putem CYP2C19 sa kasnijom sulfatnom konjugacijom. Drugi metabolički put uključuje oksidaciju putem CYP3A4.</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Eliminacija</w:t>
      </w:r>
    </w:p>
    <w:p w:rsidR="00D76435" w:rsidRDefault="005839CA">
      <w:pPr>
        <w:tabs>
          <w:tab w:val="left" w:pos="284"/>
          <w:tab w:val="center" w:pos="4320"/>
          <w:tab w:val="right" w:pos="8640"/>
        </w:tabs>
        <w:jc w:val="both"/>
        <w:rPr>
          <w:szCs w:val="22"/>
          <w:lang w:val="sr-Latn-ME"/>
        </w:rPr>
      </w:pPr>
      <w:r>
        <w:rPr>
          <w:szCs w:val="22"/>
          <w:lang w:val="sr-Latn-ME"/>
        </w:rPr>
        <w:t>Terminalno poluvrijeme eliminacije je oko 1 sat i klirens je oko 0.1 l/h/kg. Postoji nekoliko slučajeva ispitanika sa odloženom eliminacijom. Zbog specifičnog vezivanja pantoprazola za protonske pumpe parijetalnih ćelija poluvrijeme eliminacije nije u korelaciji sa mnogo dužim vremenom djelovanja (inhibicije sekrecije želudačne kiseline).</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lastRenderedPageBreak/>
        <w:t>Eliminacija putem bubrega predstavlja glavni put eliminacije (oko 80%) za metabolite pantoprazola, ostatak se eliminiše putem fecesa. Glavni metabolit i u urinu i u fecesu je desmetilpantoprazol koji je konjugovan sa sulfatima. Poluvrijeme eliminacije glavnog metabolita (oko 1.5 sata) nije mnogo duže u odnosu na pantoprazol.</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Posebne populacije</w:t>
      </w:r>
    </w:p>
    <w:p w:rsidR="00D76435" w:rsidRDefault="00D76435">
      <w:pPr>
        <w:tabs>
          <w:tab w:val="left" w:pos="284"/>
          <w:tab w:val="center" w:pos="4320"/>
          <w:tab w:val="right" w:pos="8640"/>
        </w:tabs>
        <w:jc w:val="both"/>
        <w:rPr>
          <w:szCs w:val="22"/>
          <w:u w:val="single"/>
          <w:lang w:val="sr-Latn-ME"/>
        </w:rPr>
      </w:pPr>
    </w:p>
    <w:p w:rsidR="00D76435" w:rsidRDefault="005839CA">
      <w:pPr>
        <w:tabs>
          <w:tab w:val="left" w:pos="284"/>
          <w:tab w:val="center" w:pos="4320"/>
          <w:tab w:val="right" w:pos="8640"/>
        </w:tabs>
        <w:jc w:val="both"/>
        <w:rPr>
          <w:i/>
          <w:szCs w:val="22"/>
          <w:lang w:val="sr-Latn-ME"/>
        </w:rPr>
      </w:pPr>
      <w:r>
        <w:rPr>
          <w:i/>
          <w:szCs w:val="22"/>
          <w:lang w:val="sr-Latn-ME"/>
        </w:rPr>
        <w:t>Spori  metabolizeri</w:t>
      </w:r>
    </w:p>
    <w:p w:rsidR="00D76435" w:rsidRDefault="005839CA">
      <w:pPr>
        <w:tabs>
          <w:tab w:val="left" w:pos="284"/>
          <w:tab w:val="center" w:pos="4320"/>
          <w:tab w:val="right" w:pos="8640"/>
        </w:tabs>
        <w:jc w:val="both"/>
        <w:rPr>
          <w:szCs w:val="22"/>
          <w:lang w:val="sr-Latn-ME"/>
        </w:rPr>
      </w:pPr>
      <w:r>
        <w:rPr>
          <w:szCs w:val="22"/>
          <w:lang w:val="sr-Latn-ME"/>
        </w:rPr>
        <w:t xml:space="preserve">Oko 3% evropske populacije ima smanjenu funkciju enzima CYP2C19 i oni se nazivaju spori metabolizeri. Kod ovih osoba metabolizam pantoprazola je vjerovatno uglavnom katalizovan enzimom CYP3A4. Nakon primjene jedne doze pantoprazola od 40 mg, </w:t>
      </w:r>
      <w:smartTag w:uri="urn:schemas-microsoft-com:office:smarttags" w:element="stockticker">
        <w:r>
          <w:rPr>
            <w:szCs w:val="22"/>
            <w:lang w:val="sr-Latn-ME"/>
          </w:rPr>
          <w:t>PIK</w:t>
        </w:r>
      </w:smartTag>
      <w:r>
        <w:rPr>
          <w:szCs w:val="22"/>
          <w:lang w:val="sr-Latn-ME"/>
        </w:rPr>
        <w:t xml:space="preserve"> (površina ispod krive) pantoprazola bio je oko 6 puta veći kod sporih metabolizera nego kod osoba sa očuvanom funkcijom enzima CYP2C19 (ekstenzivni metabolizeri). Srednja vrijednost maksimalnih koncentracija u plazmi bila je povećana za oko 60%. Ovi nalazi ne utiču na doziranje pantoprazola.</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i/>
          <w:szCs w:val="22"/>
          <w:lang w:val="sr-Latn-ME"/>
        </w:rPr>
      </w:pPr>
      <w:r>
        <w:rPr>
          <w:i/>
          <w:szCs w:val="22"/>
          <w:lang w:val="sr-Latn-ME"/>
        </w:rPr>
        <w:t>Oštećenje funkcije bubrega</w:t>
      </w:r>
    </w:p>
    <w:p w:rsidR="00D76435" w:rsidRDefault="005839CA">
      <w:pPr>
        <w:tabs>
          <w:tab w:val="left" w:pos="284"/>
          <w:tab w:val="center" w:pos="4320"/>
          <w:tab w:val="right" w:pos="8640"/>
        </w:tabs>
        <w:jc w:val="both"/>
        <w:rPr>
          <w:szCs w:val="22"/>
          <w:lang w:val="sr-Latn-ME"/>
        </w:rPr>
      </w:pPr>
      <w:r>
        <w:rPr>
          <w:szCs w:val="22"/>
          <w:lang w:val="sr-Latn-ME"/>
        </w:rPr>
        <w:t xml:space="preserve">Ne preporučuje se smanjenje doze kada se pantoprazol primjenjuje kod pacijenata sa oštećenjem funkcije bubrega (uključujući i pacijente na dijalizi). Kao i kod zdravih ispitanika, poluvrijeme eliminacije pantoprazola je kratko. Samo mala količina pantoprazola se može dijalizirati. Iako glavni metabolit ima umjereno produženo poluvrijeme eliminacije (2-3 sata), izlučivanje je i dalje brzo, pa se time ne javlja ni akumulacija lijeka. </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i/>
          <w:szCs w:val="22"/>
          <w:lang w:val="sr-Latn-ME"/>
        </w:rPr>
      </w:pPr>
      <w:r>
        <w:rPr>
          <w:i/>
          <w:szCs w:val="22"/>
          <w:lang w:val="sr-Latn-ME"/>
        </w:rPr>
        <w:t>Oštećenje funkcije jetre</w:t>
      </w:r>
    </w:p>
    <w:p w:rsidR="00D76435" w:rsidRDefault="005839CA">
      <w:pPr>
        <w:tabs>
          <w:tab w:val="left" w:pos="284"/>
          <w:tab w:val="center" w:pos="4320"/>
          <w:tab w:val="right" w:pos="8640"/>
        </w:tabs>
        <w:jc w:val="both"/>
        <w:rPr>
          <w:szCs w:val="22"/>
          <w:lang w:val="sr-Latn-ME"/>
        </w:rPr>
      </w:pPr>
      <w:r>
        <w:rPr>
          <w:szCs w:val="22"/>
          <w:lang w:val="sr-Latn-ME"/>
        </w:rPr>
        <w:t xml:space="preserve">Iako su kod pacijenata sa cirozom jetre (Child klasa A i B) vrijednosti poluvremena eliminacije  povećane za 7-9 sati i vrijednosti </w:t>
      </w:r>
      <w:smartTag w:uri="urn:schemas-microsoft-com:office:smarttags" w:element="stockticker">
        <w:r>
          <w:rPr>
            <w:szCs w:val="22"/>
            <w:lang w:val="sr-Latn-ME"/>
          </w:rPr>
          <w:t>PIK</w:t>
        </w:r>
      </w:smartTag>
      <w:r>
        <w:rPr>
          <w:szCs w:val="22"/>
          <w:lang w:val="sr-Latn-ME"/>
        </w:rPr>
        <w:t xml:space="preserve"> povećane za faktor 5-7, maksimalna plazma koncentracija se samo blago povećava za faktor 1.5, u poređenju sa zdravim ispitanicima.</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i/>
          <w:szCs w:val="22"/>
          <w:lang w:val="sr-Latn-ME"/>
        </w:rPr>
      </w:pPr>
      <w:r>
        <w:rPr>
          <w:i/>
          <w:szCs w:val="22"/>
          <w:lang w:val="sr-Latn-ME"/>
        </w:rPr>
        <w:t>Stariji pacijenti</w:t>
      </w:r>
    </w:p>
    <w:p w:rsidR="00D76435" w:rsidRDefault="005839CA">
      <w:pPr>
        <w:tabs>
          <w:tab w:val="left" w:pos="284"/>
          <w:tab w:val="center" w:pos="4320"/>
          <w:tab w:val="right" w:pos="8640"/>
        </w:tabs>
        <w:jc w:val="both"/>
        <w:rPr>
          <w:szCs w:val="22"/>
          <w:lang w:val="sr-Latn-ME"/>
        </w:rPr>
      </w:pPr>
      <w:r>
        <w:rPr>
          <w:szCs w:val="22"/>
          <w:lang w:val="sr-Latn-ME"/>
        </w:rPr>
        <w:t xml:space="preserve">Slično tome, blagi porast </w:t>
      </w:r>
      <w:smartTag w:uri="urn:schemas-microsoft-com:office:smarttags" w:element="stockticker">
        <w:r>
          <w:rPr>
            <w:szCs w:val="22"/>
            <w:lang w:val="sr-Latn-ME"/>
          </w:rPr>
          <w:t>PIK</w:t>
        </w:r>
      </w:smartTag>
      <w:r>
        <w:rPr>
          <w:szCs w:val="22"/>
          <w:lang w:val="sr-Latn-ME"/>
        </w:rPr>
        <w:t xml:space="preserve"> i Cmax kod starijih osoba u poređenju sa mlađim ispitanicima nije pokazao klinički značaj.</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i/>
          <w:szCs w:val="22"/>
          <w:lang w:val="sr-Latn-ME"/>
        </w:rPr>
      </w:pPr>
      <w:r>
        <w:rPr>
          <w:i/>
          <w:szCs w:val="22"/>
          <w:lang w:val="sr-Latn-ME"/>
        </w:rPr>
        <w:t>Pedijatrijska populacija</w:t>
      </w:r>
    </w:p>
    <w:p w:rsidR="00D76435" w:rsidRDefault="005839CA">
      <w:pPr>
        <w:tabs>
          <w:tab w:val="left" w:pos="284"/>
          <w:tab w:val="center" w:pos="4320"/>
          <w:tab w:val="right" w:pos="8640"/>
        </w:tabs>
        <w:jc w:val="both"/>
        <w:rPr>
          <w:szCs w:val="22"/>
          <w:lang w:val="sr-Latn-ME"/>
        </w:rPr>
      </w:pPr>
      <w:r>
        <w:rPr>
          <w:szCs w:val="22"/>
          <w:lang w:val="sr-Latn-ME"/>
        </w:rPr>
        <w:t xml:space="preserve">Nakon primjene jedne intravenske doze pantoprazola od 0,8 ili 1,6 mg/kg kod djece starosti 2-16 godina nije bilo značajne povezanosti između klirensa pantoprazola i starosne dobi ili tjelesne mase. </w:t>
      </w:r>
      <w:smartTag w:uri="urn:schemas-microsoft-com:office:smarttags" w:element="stockticker">
        <w:r>
          <w:rPr>
            <w:szCs w:val="22"/>
            <w:lang w:val="sr-Latn-ME"/>
          </w:rPr>
          <w:t>PIK</w:t>
        </w:r>
      </w:smartTag>
      <w:r>
        <w:rPr>
          <w:szCs w:val="22"/>
          <w:lang w:val="sr-Latn-ME"/>
        </w:rPr>
        <w:t xml:space="preserve"> i volumen distribucije bili su u skladu sa podacima dobijenim kod odraslih osoba.</w:t>
      </w:r>
    </w:p>
    <w:p w:rsidR="00D76435" w:rsidRDefault="00D76435">
      <w:pPr>
        <w:widowControl w:val="0"/>
        <w:jc w:val="both"/>
        <w:rPr>
          <w:szCs w:val="22"/>
          <w:lang w:val="sr-Latn-ME"/>
        </w:rPr>
      </w:pPr>
    </w:p>
    <w:p w:rsidR="00D76435" w:rsidRDefault="005839CA">
      <w:pPr>
        <w:widowControl w:val="0"/>
        <w:ind w:left="567" w:hanging="567"/>
        <w:jc w:val="both"/>
        <w:outlineLvl w:val="0"/>
        <w:rPr>
          <w:szCs w:val="22"/>
          <w:lang w:val="sr-Latn-ME"/>
        </w:rPr>
      </w:pPr>
      <w:r>
        <w:rPr>
          <w:b/>
          <w:szCs w:val="22"/>
          <w:lang w:val="sr-Latn-ME"/>
        </w:rPr>
        <w:t>5.3</w:t>
      </w:r>
      <w:r>
        <w:rPr>
          <w:b/>
          <w:szCs w:val="22"/>
          <w:lang w:val="sr-Latn-ME"/>
        </w:rPr>
        <w:tab/>
      </w:r>
      <w:r>
        <w:rPr>
          <w:b/>
          <w:bCs/>
          <w:szCs w:val="22"/>
          <w:lang w:val="sr-Latn-ME"/>
        </w:rPr>
        <w:t>Pretklinički podaci o bezbjednosti</w:t>
      </w:r>
    </w:p>
    <w:p w:rsidR="00D76435" w:rsidRDefault="005839CA">
      <w:pPr>
        <w:widowControl w:val="0"/>
        <w:jc w:val="both"/>
        <w:rPr>
          <w:szCs w:val="22"/>
          <w:lang w:val="sr-Latn-ME"/>
        </w:rPr>
      </w:pPr>
      <w:r>
        <w:rPr>
          <w:szCs w:val="22"/>
          <w:lang w:val="sr-Latn-ME"/>
        </w:rPr>
        <w:t xml:space="preserve"> </w:t>
      </w:r>
    </w:p>
    <w:p w:rsidR="00D76435" w:rsidRDefault="005839CA">
      <w:pPr>
        <w:tabs>
          <w:tab w:val="left" w:pos="284"/>
          <w:tab w:val="center" w:pos="4320"/>
          <w:tab w:val="right" w:pos="8640"/>
        </w:tabs>
        <w:jc w:val="both"/>
        <w:rPr>
          <w:szCs w:val="22"/>
          <w:lang w:val="sr-Latn-ME"/>
        </w:rPr>
      </w:pPr>
      <w:r>
        <w:rPr>
          <w:szCs w:val="22"/>
          <w:lang w:val="sr-Latn-ME"/>
        </w:rPr>
        <w:t>Pretklinički podaci bazirani na konvencionalnim studijama o bezbjednosti lijeka, toksičnosti ponavljanih doza i genotoksičnosti ne ukazuju na posebne štetne efekte lijeka na ljude.</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U dvogodišnjoj studiji karcinogenosti kod pacova, pronađena je neuroendokrina neoplazma. Pored toga, u predželucu pacova utvrđen je skvamocelularni papilom. Pažljivo je ispitan mehanizam kojim supstituisani benzimidazoli dovode do stvaranja gastričnih karcinoida i zaključeno je da je to sekundarna reakcija na izraziti porast serumskog gastrina koji se javlja kod pacova tokom hronične terapije visokim dozama. U dvogodišnjoj studiji, kod pacova i ženki miševa je uočen porast broja tumora jetre, što se objašnjava visokim stepenom metabolizma pantoprazola u jetri.</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U grupi pacova koja je primala visoke doze (200 mg/kg) uočen je blagi porast neoplastičnih promjena tireoidne žlijezde. Pojava ovih neoplazmi udružena je sa pantoprazol-indukovanim promjenama u razgradnji tiroksina u jetri pacova. S obzirom da je terapijska doza za ljude niska, ne očekuju se neželjena dejstva na tireoidnoj žlijezdi.</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U peri-postnatalnom ispitivanju reproduktivne toksičnosti u pacova, dizajniranom za procjenu razvoja</w:t>
      </w:r>
    </w:p>
    <w:p w:rsidR="00D76435" w:rsidRDefault="005839CA">
      <w:pPr>
        <w:tabs>
          <w:tab w:val="left" w:pos="284"/>
          <w:tab w:val="center" w:pos="4320"/>
          <w:tab w:val="right" w:pos="8640"/>
        </w:tabs>
        <w:jc w:val="both"/>
        <w:rPr>
          <w:szCs w:val="22"/>
          <w:lang w:val="sr-Latn-ME"/>
        </w:rPr>
      </w:pPr>
      <w:r>
        <w:rPr>
          <w:szCs w:val="22"/>
          <w:lang w:val="sr-Latn-ME"/>
        </w:rPr>
        <w:t xml:space="preserve">kostiju, znakovi toksičnosti u potomstva (smrtnost, snižena srednja vrijednost tjelesne mase, snižena srednja vrijednost prirasta tjelesne mase i smanjen rast kostiju) zabilježeni su pri izloženostima (Cmax) </w:t>
      </w:r>
      <w:r>
        <w:rPr>
          <w:szCs w:val="22"/>
          <w:lang w:val="sr-Latn-ME"/>
        </w:rPr>
        <w:lastRenderedPageBreak/>
        <w:t>približno 2x većima od kliničke izloženosti kod ljudi. Do kraja faze oporavka, kostni parametri bili su slični u svim ispitivanim grupama, a tjelesna masa je tokom perioda oporavka bez primjene lijeka pokazivala trend ka reverzibilnosti. Povećana smrtnost prijavljena je samo kod mladunaca pacova u periodu prije prestanka sisanja (u doba do 21. dana), za koje je procijenjeno da odgovara životnom periodu djece uzrasta od 2 godine. Značaj ovog opažanja za pedijatrijsku populaciju nije jasan. U prethodnom peri-postnatalnom ispitivanju kod pacova u nešto nižim dozama nijesu zabilježeni štetni efekti pri 3 mg/kg, u poređenju sa niskom dozom od 5 mg/kg u ovom ispitivanju. U ispitivanjima nijesu zabilježeni dokazi oštećenja plodnosti ili teratogeni efekti.</w:t>
      </w:r>
    </w:p>
    <w:p w:rsidR="00D76435" w:rsidRDefault="00D76435">
      <w:pPr>
        <w:tabs>
          <w:tab w:val="left" w:pos="284"/>
          <w:tab w:val="center" w:pos="4320"/>
          <w:tab w:val="right" w:pos="8640"/>
        </w:tabs>
        <w:jc w:val="both"/>
        <w:rPr>
          <w:szCs w:val="22"/>
          <w:lang w:val="sr-Latn-ME"/>
        </w:rPr>
      </w:pPr>
    </w:p>
    <w:p w:rsidR="00D76435" w:rsidRDefault="005839CA">
      <w:pPr>
        <w:tabs>
          <w:tab w:val="left" w:pos="284"/>
          <w:tab w:val="center" w:pos="4320"/>
          <w:tab w:val="right" w:pos="8640"/>
        </w:tabs>
        <w:jc w:val="both"/>
        <w:rPr>
          <w:szCs w:val="22"/>
          <w:lang w:val="sr-Latn-ME"/>
        </w:rPr>
      </w:pPr>
      <w:r>
        <w:rPr>
          <w:szCs w:val="22"/>
          <w:lang w:val="sr-Latn-ME"/>
        </w:rPr>
        <w:t>Kod pacova je ispitivana sposobnost pantoprazola da prodire kroz placentu i utvrđeno je da se povećava sa napredovanjem trudnoće. Kao rezultat toga, neposredno pred porođaj su povišene koncentracije pantoprazola kod fetusa.</w:t>
      </w:r>
    </w:p>
    <w:p w:rsidR="00D76435" w:rsidRDefault="00D76435">
      <w:pPr>
        <w:widowControl w:val="0"/>
        <w:jc w:val="both"/>
        <w:rPr>
          <w:szCs w:val="22"/>
          <w:lang w:val="sr-Latn-ME"/>
        </w:rPr>
      </w:pPr>
    </w:p>
    <w:p w:rsidR="00D76435" w:rsidRDefault="00D76435">
      <w:pPr>
        <w:widowControl w:val="0"/>
        <w:rPr>
          <w:szCs w:val="22"/>
          <w:lang w:val="sr-Latn-ME"/>
        </w:rPr>
      </w:pPr>
    </w:p>
    <w:p w:rsidR="00D76435" w:rsidRDefault="005839CA">
      <w:pPr>
        <w:widowControl w:val="0"/>
        <w:jc w:val="both"/>
        <w:rPr>
          <w:b/>
          <w:szCs w:val="22"/>
          <w:lang w:val="sr-Latn-ME"/>
        </w:rPr>
      </w:pPr>
      <w:r>
        <w:rPr>
          <w:b/>
          <w:szCs w:val="22"/>
          <w:lang w:val="sr-Latn-ME"/>
        </w:rPr>
        <w:t>6.</w:t>
      </w:r>
      <w:r>
        <w:rPr>
          <w:b/>
          <w:szCs w:val="22"/>
          <w:lang w:val="sr-Latn-ME"/>
        </w:rPr>
        <w:tab/>
        <w:t>FARMACEUTSKI PODACI</w:t>
      </w:r>
    </w:p>
    <w:p w:rsidR="00D76435" w:rsidRDefault="00D76435">
      <w:pPr>
        <w:widowControl w:val="0"/>
        <w:jc w:val="both"/>
        <w:rPr>
          <w:b/>
          <w:szCs w:val="22"/>
          <w:lang w:val="sr-Latn-ME"/>
        </w:rPr>
      </w:pPr>
    </w:p>
    <w:p w:rsidR="00D76435" w:rsidRDefault="005839CA">
      <w:pPr>
        <w:widowControl w:val="0"/>
        <w:jc w:val="both"/>
        <w:rPr>
          <w:b/>
          <w:szCs w:val="22"/>
          <w:lang w:val="sr-Latn-ME"/>
        </w:rPr>
      </w:pPr>
      <w:r>
        <w:rPr>
          <w:b/>
          <w:szCs w:val="22"/>
          <w:lang w:val="sr-Latn-ME"/>
        </w:rPr>
        <w:t>6.1</w:t>
      </w:r>
      <w:r>
        <w:rPr>
          <w:b/>
          <w:szCs w:val="22"/>
          <w:lang w:val="sr-Latn-ME"/>
        </w:rPr>
        <w:tab/>
        <w:t>Lista pomoćnih supstanci (ekscipijenasa)</w:t>
      </w:r>
    </w:p>
    <w:p w:rsidR="00D76435" w:rsidRDefault="00D76435">
      <w:pPr>
        <w:widowControl w:val="0"/>
        <w:jc w:val="both"/>
        <w:rPr>
          <w:szCs w:val="22"/>
          <w:lang w:val="sr-Latn-ME"/>
        </w:rPr>
      </w:pPr>
    </w:p>
    <w:p w:rsidR="00D76435" w:rsidRDefault="005839CA">
      <w:pPr>
        <w:widowControl w:val="0"/>
        <w:jc w:val="both"/>
        <w:rPr>
          <w:szCs w:val="22"/>
          <w:lang w:val="sr-Latn-ME"/>
        </w:rPr>
      </w:pPr>
      <w:r>
        <w:rPr>
          <w:szCs w:val="22"/>
          <w:lang w:val="sr-Latn-ME"/>
        </w:rPr>
        <w:t>Manitol</w:t>
      </w:r>
    </w:p>
    <w:p w:rsidR="00D76435" w:rsidRDefault="005839CA">
      <w:pPr>
        <w:widowControl w:val="0"/>
        <w:jc w:val="both"/>
        <w:rPr>
          <w:szCs w:val="22"/>
          <w:lang w:val="sr-Latn-ME"/>
        </w:rPr>
      </w:pPr>
      <w:r>
        <w:rPr>
          <w:szCs w:val="22"/>
          <w:lang w:val="sr-Latn-ME"/>
        </w:rPr>
        <w:t>Natrijum citrat dihidrat</w:t>
      </w:r>
    </w:p>
    <w:p w:rsidR="00D76435" w:rsidRDefault="005839CA">
      <w:pPr>
        <w:widowControl w:val="0"/>
        <w:jc w:val="both"/>
        <w:rPr>
          <w:szCs w:val="22"/>
          <w:lang w:val="sr-Latn-ME"/>
        </w:rPr>
      </w:pPr>
      <w:r>
        <w:rPr>
          <w:szCs w:val="22"/>
          <w:lang w:val="sr-Latn-ME"/>
        </w:rPr>
        <w:t xml:space="preserve">Natrijum hidroksid </w:t>
      </w:r>
      <w:r>
        <w:rPr>
          <w:bCs/>
          <w:szCs w:val="22"/>
          <w:lang w:val="sr-Latn-ME"/>
        </w:rPr>
        <w:t>(za podešavanje pH)</w:t>
      </w:r>
    </w:p>
    <w:p w:rsidR="00D76435" w:rsidRDefault="00D76435">
      <w:pPr>
        <w:widowControl w:val="0"/>
        <w:jc w:val="both"/>
        <w:rPr>
          <w:szCs w:val="22"/>
          <w:lang w:val="sr-Latn-ME"/>
        </w:rPr>
      </w:pPr>
    </w:p>
    <w:p w:rsidR="00D76435" w:rsidRDefault="005839CA">
      <w:pPr>
        <w:widowControl w:val="0"/>
        <w:jc w:val="both"/>
        <w:rPr>
          <w:b/>
          <w:szCs w:val="22"/>
          <w:lang w:val="sr-Latn-ME"/>
        </w:rPr>
      </w:pPr>
      <w:r>
        <w:rPr>
          <w:b/>
          <w:szCs w:val="22"/>
          <w:lang w:val="sr-Latn-ME"/>
        </w:rPr>
        <w:t>6.2</w:t>
      </w:r>
      <w:r>
        <w:rPr>
          <w:b/>
          <w:szCs w:val="22"/>
          <w:lang w:val="sr-Latn-ME"/>
        </w:rPr>
        <w:tab/>
        <w:t>Inkompatibilnosti</w:t>
      </w:r>
    </w:p>
    <w:p w:rsidR="00D76435" w:rsidRDefault="00D76435">
      <w:pPr>
        <w:widowControl w:val="0"/>
        <w:jc w:val="both"/>
        <w:rPr>
          <w:szCs w:val="22"/>
          <w:lang w:val="sr-Latn-ME"/>
        </w:rPr>
      </w:pPr>
    </w:p>
    <w:p w:rsidR="00D76435" w:rsidRDefault="005839CA">
      <w:pPr>
        <w:widowControl w:val="0"/>
        <w:jc w:val="both"/>
        <w:rPr>
          <w:szCs w:val="22"/>
          <w:lang w:val="sr-Latn-ME"/>
        </w:rPr>
      </w:pPr>
      <w:r>
        <w:rPr>
          <w:szCs w:val="22"/>
          <w:lang w:val="sr-Latn-ME"/>
        </w:rPr>
        <w:t>Lijek se ne smije miješati sa drugim rastvaračima, osim onih koji su navedeni u dijelu 6.6.</w:t>
      </w:r>
    </w:p>
    <w:p w:rsidR="00D76435" w:rsidRDefault="00D76435">
      <w:pPr>
        <w:widowControl w:val="0"/>
        <w:jc w:val="both"/>
        <w:rPr>
          <w:szCs w:val="22"/>
          <w:lang w:val="sr-Latn-ME"/>
        </w:rPr>
      </w:pPr>
    </w:p>
    <w:p w:rsidR="00D76435" w:rsidRDefault="005839CA">
      <w:pPr>
        <w:widowControl w:val="0"/>
        <w:jc w:val="both"/>
        <w:rPr>
          <w:b/>
          <w:szCs w:val="22"/>
          <w:lang w:val="sr-Latn-ME"/>
        </w:rPr>
      </w:pPr>
      <w:r>
        <w:rPr>
          <w:b/>
          <w:szCs w:val="22"/>
          <w:lang w:val="sr-Latn-ME"/>
        </w:rPr>
        <w:t>6.3</w:t>
      </w:r>
      <w:r>
        <w:rPr>
          <w:b/>
          <w:szCs w:val="22"/>
          <w:lang w:val="sr-Latn-ME"/>
        </w:rPr>
        <w:tab/>
        <w:t>Rok upotrebe</w:t>
      </w:r>
    </w:p>
    <w:p w:rsidR="00D76435" w:rsidRDefault="00D76435">
      <w:pPr>
        <w:tabs>
          <w:tab w:val="left" w:pos="284"/>
          <w:tab w:val="center" w:pos="4320"/>
          <w:tab w:val="right" w:pos="8640"/>
        </w:tabs>
        <w:jc w:val="both"/>
        <w:rPr>
          <w:szCs w:val="22"/>
          <w:u w:val="single"/>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Rok upotrebe neotvorenog lijeka</w:t>
      </w:r>
    </w:p>
    <w:p w:rsidR="00D76435" w:rsidRDefault="005839CA">
      <w:pPr>
        <w:widowControl w:val="0"/>
        <w:jc w:val="both"/>
        <w:rPr>
          <w:szCs w:val="22"/>
          <w:lang w:val="sr-Latn-ME"/>
        </w:rPr>
      </w:pPr>
      <w:r>
        <w:rPr>
          <w:szCs w:val="22"/>
          <w:lang w:val="sr-Latn-ME"/>
        </w:rPr>
        <w:t>3 godine</w:t>
      </w:r>
    </w:p>
    <w:p w:rsidR="00D76435" w:rsidRDefault="00D76435">
      <w:pPr>
        <w:widowControl w:val="0"/>
        <w:jc w:val="both"/>
        <w:rPr>
          <w:szCs w:val="22"/>
          <w:lang w:val="sr-Latn-ME"/>
        </w:rPr>
      </w:pPr>
    </w:p>
    <w:p w:rsidR="00D76435" w:rsidRDefault="005839CA">
      <w:pPr>
        <w:tabs>
          <w:tab w:val="left" w:pos="284"/>
          <w:tab w:val="center" w:pos="4320"/>
          <w:tab w:val="right" w:pos="8640"/>
        </w:tabs>
        <w:jc w:val="both"/>
        <w:rPr>
          <w:szCs w:val="22"/>
          <w:u w:val="single"/>
          <w:lang w:val="sr-Latn-ME"/>
        </w:rPr>
      </w:pPr>
      <w:r>
        <w:rPr>
          <w:szCs w:val="22"/>
          <w:u w:val="single"/>
          <w:lang w:val="sr-Latn-ME"/>
        </w:rPr>
        <w:t>Rok upotrebe nakon rekonstitucije/razblaženja</w:t>
      </w:r>
    </w:p>
    <w:p w:rsidR="00D76435" w:rsidRDefault="005839CA">
      <w:pPr>
        <w:widowControl w:val="0"/>
        <w:jc w:val="both"/>
        <w:rPr>
          <w:szCs w:val="22"/>
          <w:lang w:val="sr-Latn-ME"/>
        </w:rPr>
      </w:pPr>
      <w:r>
        <w:rPr>
          <w:szCs w:val="22"/>
          <w:lang w:val="sr-Latn-ME"/>
        </w:rPr>
        <w:t>Dokazana je fizička i hemijska stabilnost rekonstituisanog/razblaženog rastvora u toku 12 sati, ako se čuva na temperaturi do 25°C. Sa mikrobiološke tačke gledišta, rekonstituisani /razblaženi lijek treba primijeniti odmah. Ukoliko se ne primijeni odmah, vrijeme i uslovi čuvanja lijeka prije primjene odgovornost su korisnika, i isti ne smiju biti duži od 12 sati na temperaturi do 25ºC.</w:t>
      </w:r>
    </w:p>
    <w:p w:rsidR="00D76435" w:rsidRDefault="00D76435">
      <w:pPr>
        <w:widowControl w:val="0"/>
        <w:jc w:val="both"/>
        <w:rPr>
          <w:szCs w:val="22"/>
          <w:lang w:val="sr-Latn-ME"/>
        </w:rPr>
      </w:pPr>
    </w:p>
    <w:p w:rsidR="00D76435" w:rsidRDefault="005839CA">
      <w:pPr>
        <w:widowControl w:val="0"/>
        <w:jc w:val="both"/>
        <w:rPr>
          <w:b/>
          <w:szCs w:val="22"/>
          <w:lang w:val="sr-Latn-ME"/>
        </w:rPr>
      </w:pPr>
      <w:r>
        <w:rPr>
          <w:b/>
          <w:szCs w:val="22"/>
          <w:lang w:val="sr-Latn-ME"/>
        </w:rPr>
        <w:t>6.4</w:t>
      </w:r>
      <w:r>
        <w:rPr>
          <w:b/>
          <w:szCs w:val="22"/>
          <w:lang w:val="sr-Latn-ME"/>
        </w:rPr>
        <w:tab/>
        <w:t>Posebne mjere upozorenja pri čuvanju lijeka</w:t>
      </w:r>
    </w:p>
    <w:p w:rsidR="00D76435" w:rsidRDefault="00D76435">
      <w:pPr>
        <w:widowControl w:val="0"/>
        <w:jc w:val="both"/>
        <w:rPr>
          <w:szCs w:val="22"/>
          <w:lang w:val="sr-Latn-ME"/>
        </w:rPr>
      </w:pPr>
    </w:p>
    <w:p w:rsidR="00D76435" w:rsidRDefault="005839CA">
      <w:pPr>
        <w:widowControl w:val="0"/>
        <w:jc w:val="both"/>
        <w:rPr>
          <w:szCs w:val="22"/>
          <w:lang w:val="sr-Latn-ME"/>
        </w:rPr>
      </w:pPr>
      <w:r>
        <w:rPr>
          <w:szCs w:val="22"/>
          <w:lang w:val="sr-Latn-ME"/>
        </w:rPr>
        <w:t>Lijek čuvajte na temperaturi do 25°C.</w:t>
      </w:r>
    </w:p>
    <w:p w:rsidR="00D76435" w:rsidRDefault="005839CA">
      <w:pPr>
        <w:widowControl w:val="0"/>
        <w:jc w:val="both"/>
        <w:rPr>
          <w:szCs w:val="22"/>
          <w:lang w:val="sr-Latn-ME"/>
        </w:rPr>
      </w:pPr>
      <w:r>
        <w:rPr>
          <w:szCs w:val="22"/>
          <w:lang w:val="sr-Latn-ME"/>
        </w:rPr>
        <w:t>Lijek čuvajte u originalnom pakovanju, zbog zaštite od svjetlosti.</w:t>
      </w:r>
    </w:p>
    <w:p w:rsidR="00D76435" w:rsidRDefault="005839CA">
      <w:pPr>
        <w:widowControl w:val="0"/>
        <w:jc w:val="both"/>
        <w:rPr>
          <w:szCs w:val="22"/>
          <w:lang w:val="sr-Latn-ME"/>
        </w:rPr>
      </w:pPr>
      <w:r>
        <w:rPr>
          <w:szCs w:val="22"/>
          <w:lang w:val="sr-Latn-ME"/>
        </w:rPr>
        <w:t>Za uslove čuvanja lijeka nakon rekonstitucije/razblaženja, vidjeti dio 6.3.</w:t>
      </w:r>
    </w:p>
    <w:p w:rsidR="00D76435" w:rsidRDefault="00D76435">
      <w:pPr>
        <w:widowControl w:val="0"/>
        <w:jc w:val="both"/>
        <w:rPr>
          <w:szCs w:val="22"/>
          <w:lang w:val="sr-Latn-ME"/>
        </w:rPr>
      </w:pPr>
    </w:p>
    <w:p w:rsidR="00D76435" w:rsidRDefault="005839CA">
      <w:pPr>
        <w:widowControl w:val="0"/>
        <w:jc w:val="both"/>
        <w:rPr>
          <w:b/>
          <w:szCs w:val="22"/>
          <w:lang w:val="sr-Latn-ME"/>
        </w:rPr>
      </w:pPr>
      <w:r>
        <w:rPr>
          <w:b/>
          <w:szCs w:val="22"/>
          <w:lang w:val="sr-Latn-ME"/>
        </w:rPr>
        <w:t>6.5</w:t>
      </w:r>
      <w:r>
        <w:rPr>
          <w:b/>
          <w:szCs w:val="22"/>
          <w:lang w:val="sr-Latn-ME"/>
        </w:rPr>
        <w:tab/>
        <w:t>Vrsta i sadržaj pakovanja</w:t>
      </w:r>
    </w:p>
    <w:p w:rsidR="00D76435" w:rsidRDefault="00D76435">
      <w:pPr>
        <w:widowControl w:val="0"/>
        <w:jc w:val="both"/>
        <w:rPr>
          <w:szCs w:val="22"/>
          <w:lang w:val="sr-Latn-ME"/>
        </w:rPr>
      </w:pPr>
    </w:p>
    <w:p w:rsidR="00D76435" w:rsidRDefault="005839CA">
      <w:pPr>
        <w:widowControl w:val="0"/>
        <w:jc w:val="both"/>
        <w:rPr>
          <w:szCs w:val="22"/>
          <w:lang w:val="sr-Latn-ME"/>
        </w:rPr>
      </w:pPr>
      <w:r>
        <w:rPr>
          <w:szCs w:val="22"/>
          <w:lang w:val="sr-Latn-ME"/>
        </w:rPr>
        <w:t>Unutrašnje pakovanje lijeka je bočica od bezbojnog stakla tip I, zapremine 15 ml, zatvorena sivim čepom od hlorbutil gume i aluminijumskim „flip-off“ zatvaračem, koja sadrži prašak za rastvor za injekciju.</w:t>
      </w:r>
    </w:p>
    <w:p w:rsidR="00D76435" w:rsidRDefault="005839CA">
      <w:pPr>
        <w:widowControl w:val="0"/>
        <w:jc w:val="both"/>
        <w:rPr>
          <w:szCs w:val="22"/>
          <w:lang w:val="sr-Latn-ME"/>
        </w:rPr>
      </w:pPr>
      <w:r>
        <w:rPr>
          <w:szCs w:val="22"/>
          <w:lang w:val="sr-Latn-ME"/>
        </w:rPr>
        <w:t>Spoljašnje pakovanje lijeka je složiva kartonska kutija koja sadrži 1 bočicu i Uputstvo za lijek.</w:t>
      </w:r>
    </w:p>
    <w:p w:rsidR="00D76435" w:rsidRDefault="00D76435">
      <w:pPr>
        <w:widowControl w:val="0"/>
        <w:jc w:val="both"/>
        <w:rPr>
          <w:szCs w:val="22"/>
          <w:lang w:val="sr-Latn-ME"/>
        </w:rPr>
      </w:pPr>
    </w:p>
    <w:p w:rsidR="00D76435" w:rsidRDefault="005839CA">
      <w:pPr>
        <w:widowControl w:val="0"/>
        <w:jc w:val="both"/>
        <w:rPr>
          <w:b/>
          <w:szCs w:val="22"/>
          <w:lang w:val="sr-Latn-ME"/>
        </w:rPr>
      </w:pPr>
      <w:r>
        <w:rPr>
          <w:b/>
          <w:szCs w:val="22"/>
          <w:lang w:val="sr-Latn-ME"/>
        </w:rPr>
        <w:t>6.6</w:t>
      </w:r>
      <w:r>
        <w:rPr>
          <w:b/>
          <w:szCs w:val="22"/>
          <w:lang w:val="sr-Latn-ME"/>
        </w:rPr>
        <w:tab/>
        <w:t>Posebne mjere opreza pri odlaganju materijala koji treba odbaciti nakon primjene</w:t>
      </w:r>
    </w:p>
    <w:p w:rsidR="00D76435" w:rsidRDefault="005839CA">
      <w:pPr>
        <w:widowControl w:val="0"/>
        <w:jc w:val="both"/>
        <w:rPr>
          <w:b/>
          <w:szCs w:val="22"/>
          <w:lang w:val="sr-Latn-ME"/>
        </w:rPr>
      </w:pPr>
      <w:r>
        <w:rPr>
          <w:b/>
          <w:szCs w:val="22"/>
          <w:lang w:val="sr-Latn-ME"/>
        </w:rPr>
        <w:t>lijeka (i druga uputstva za rukovanje lijekom)</w:t>
      </w:r>
    </w:p>
    <w:p w:rsidR="00D76435" w:rsidRDefault="00D76435">
      <w:pPr>
        <w:widowControl w:val="0"/>
        <w:jc w:val="both"/>
        <w:rPr>
          <w:szCs w:val="22"/>
          <w:lang w:val="sr-Latn-ME"/>
        </w:rPr>
      </w:pPr>
    </w:p>
    <w:p w:rsidR="00D76435" w:rsidRDefault="005839CA">
      <w:pPr>
        <w:widowControl w:val="0"/>
        <w:jc w:val="both"/>
        <w:rPr>
          <w:szCs w:val="22"/>
          <w:lang w:val="sr-Latn-ME"/>
        </w:rPr>
      </w:pPr>
      <w:r>
        <w:rPr>
          <w:szCs w:val="22"/>
          <w:lang w:val="sr-Latn-ME"/>
        </w:rPr>
        <w:t xml:space="preserve">Rastvor za intravensku primjenu se priprema ubrizgavanjem 10 ml 0,9% rastvora natrijum hlorida (9 mg/ml) u bočicu sa praškom. Rekonstituisani rastvor mora biti bistar i bezbojan. Pripremljeni rastvor se može primijeniti direktno ili nakon razblaženja miješanjem sa 100 ml 0,9% rastvora natrijum hlorida  ili </w:t>
      </w:r>
      <w:r>
        <w:rPr>
          <w:szCs w:val="22"/>
          <w:lang w:val="sr-Latn-ME"/>
        </w:rPr>
        <w:lastRenderedPageBreak/>
        <w:t xml:space="preserve">sa 100 ml 5% rastvora glukoze. </w:t>
      </w:r>
    </w:p>
    <w:p w:rsidR="00D76435" w:rsidRDefault="005839CA">
      <w:pPr>
        <w:widowControl w:val="0"/>
        <w:jc w:val="both"/>
        <w:rPr>
          <w:szCs w:val="22"/>
          <w:lang w:val="sr-Latn-ME"/>
        </w:rPr>
      </w:pPr>
      <w:r>
        <w:rPr>
          <w:szCs w:val="22"/>
          <w:lang w:val="sr-Latn-ME"/>
        </w:rPr>
        <w:t>Ovaj lijek  ne smije da se priprema ili miješa sa drugim rastvaračima, osim prethodno navedenih.</w:t>
      </w:r>
    </w:p>
    <w:p w:rsidR="00D76435" w:rsidRDefault="005839CA">
      <w:pPr>
        <w:tabs>
          <w:tab w:val="left" w:pos="284"/>
          <w:tab w:val="center" w:pos="4320"/>
          <w:tab w:val="right" w:pos="8640"/>
        </w:tabs>
        <w:jc w:val="both"/>
        <w:rPr>
          <w:szCs w:val="22"/>
          <w:lang w:val="sr-Latn-ME"/>
        </w:rPr>
      </w:pPr>
      <w:r>
        <w:rPr>
          <w:szCs w:val="22"/>
          <w:lang w:val="sr-Latn-ME"/>
        </w:rPr>
        <w:t>Za uslove čuvanja lijeka nakon rekonstitucije/razblaženja vidjeti dio 6.3.</w:t>
      </w:r>
    </w:p>
    <w:p w:rsidR="00D76435" w:rsidRDefault="005839CA">
      <w:pPr>
        <w:widowControl w:val="0"/>
        <w:jc w:val="both"/>
        <w:rPr>
          <w:szCs w:val="22"/>
          <w:lang w:val="sr-Latn-ME"/>
        </w:rPr>
      </w:pPr>
      <w:r>
        <w:rPr>
          <w:szCs w:val="22"/>
          <w:lang w:val="sr-Latn-ME"/>
        </w:rPr>
        <w:t>Lijek treba primijeniti intravenskim putem tokom 2-15 minuta.</w:t>
      </w:r>
    </w:p>
    <w:p w:rsidR="00D76435" w:rsidRDefault="005839CA">
      <w:pPr>
        <w:widowControl w:val="0"/>
        <w:jc w:val="both"/>
        <w:rPr>
          <w:szCs w:val="22"/>
          <w:lang w:val="sr-Latn-ME"/>
        </w:rPr>
      </w:pPr>
      <w:r>
        <w:rPr>
          <w:szCs w:val="22"/>
          <w:lang w:val="sr-Latn-ME"/>
        </w:rPr>
        <w:t xml:space="preserve">Sadržaj bočice je samo za jednokratnu upotrebu. </w:t>
      </w:r>
    </w:p>
    <w:p w:rsidR="00D76435" w:rsidRDefault="005839CA">
      <w:pPr>
        <w:widowControl w:val="0"/>
        <w:jc w:val="both"/>
        <w:rPr>
          <w:szCs w:val="22"/>
          <w:lang w:val="sr-Latn-ME"/>
        </w:rPr>
      </w:pPr>
      <w:r>
        <w:rPr>
          <w:szCs w:val="22"/>
          <w:lang w:val="sr-Latn-ME"/>
        </w:rPr>
        <w:t>Neiskorišćeni lijek ili lijek promijenjenog izgleda (npr. ako se uoči zamućenje ili precipitacija) treba odbaciti u skladu sa važećim propisima.</w:t>
      </w:r>
    </w:p>
    <w:p w:rsidR="00D76435" w:rsidRDefault="00D76435">
      <w:pPr>
        <w:widowControl w:val="0"/>
        <w:jc w:val="both"/>
        <w:rPr>
          <w:szCs w:val="22"/>
          <w:lang w:val="sr-Latn-ME"/>
        </w:rPr>
      </w:pPr>
    </w:p>
    <w:p w:rsidR="00D76435" w:rsidRDefault="00D76435">
      <w:pPr>
        <w:widowControl w:val="0"/>
        <w:ind w:left="567" w:hanging="567"/>
        <w:jc w:val="both"/>
        <w:outlineLvl w:val="0"/>
        <w:rPr>
          <w:b/>
          <w:szCs w:val="22"/>
          <w:lang w:val="sr-Latn-ME"/>
        </w:rPr>
      </w:pPr>
    </w:p>
    <w:p w:rsidR="00D76435" w:rsidRDefault="005839CA">
      <w:pPr>
        <w:widowControl w:val="0"/>
        <w:ind w:left="567" w:hanging="567"/>
        <w:rPr>
          <w:szCs w:val="22"/>
          <w:lang w:val="sr-Latn-ME"/>
        </w:rPr>
      </w:pPr>
      <w:r>
        <w:rPr>
          <w:b/>
          <w:szCs w:val="22"/>
          <w:lang w:val="sr-Latn-ME"/>
        </w:rPr>
        <w:t>7.</w:t>
      </w:r>
      <w:r>
        <w:rPr>
          <w:b/>
          <w:szCs w:val="22"/>
          <w:lang w:val="sr-Latn-ME"/>
        </w:rPr>
        <w:tab/>
      </w:r>
      <w:r>
        <w:rPr>
          <w:b/>
          <w:bCs/>
          <w:szCs w:val="22"/>
          <w:lang w:val="sr-Latn-ME"/>
        </w:rPr>
        <w:t>NOSILAC DOZVOLE</w:t>
      </w:r>
    </w:p>
    <w:p w:rsidR="00D76435" w:rsidRDefault="00D76435">
      <w:pPr>
        <w:widowControl w:val="0"/>
        <w:rPr>
          <w:szCs w:val="22"/>
          <w:lang w:val="sr-Latn-ME"/>
        </w:rPr>
      </w:pPr>
    </w:p>
    <w:p w:rsidR="00D76435" w:rsidRDefault="005839CA">
      <w:pPr>
        <w:autoSpaceDE w:val="0"/>
        <w:autoSpaceDN w:val="0"/>
        <w:adjustRightInd w:val="0"/>
        <w:ind w:left="1985" w:hanging="1985"/>
        <w:jc w:val="both"/>
        <w:rPr>
          <w:szCs w:val="22"/>
          <w:lang w:val="sr-Latn-ME"/>
        </w:rPr>
      </w:pPr>
      <w:r>
        <w:rPr>
          <w:szCs w:val="22"/>
          <w:lang w:val="sr-Latn-ME"/>
        </w:rPr>
        <w:t>D.S.D. „KRKA d.d. Novo mesto“ Slovenija - predstavništvo Podgorica,</w:t>
      </w:r>
    </w:p>
    <w:p w:rsidR="00D76435" w:rsidRDefault="005839CA">
      <w:pPr>
        <w:autoSpaceDE w:val="0"/>
        <w:autoSpaceDN w:val="0"/>
        <w:adjustRightInd w:val="0"/>
        <w:ind w:right="71"/>
        <w:rPr>
          <w:szCs w:val="22"/>
          <w:lang w:val="sr-Latn-ME"/>
        </w:rPr>
      </w:pPr>
      <w:r>
        <w:rPr>
          <w:szCs w:val="22"/>
          <w:lang w:val="sr-Latn-ME"/>
        </w:rPr>
        <w:t>Svetlane Kane Radević 3, 81000 Podgorica, Crna Gora</w:t>
      </w:r>
    </w:p>
    <w:p w:rsidR="00D76435" w:rsidRDefault="00D76435">
      <w:pPr>
        <w:widowControl w:val="0"/>
        <w:rPr>
          <w:szCs w:val="22"/>
          <w:lang w:val="sr-Latn-ME"/>
        </w:rPr>
      </w:pPr>
    </w:p>
    <w:p w:rsidR="00D76435" w:rsidRDefault="00D76435">
      <w:pPr>
        <w:widowControl w:val="0"/>
        <w:rPr>
          <w:szCs w:val="22"/>
          <w:lang w:val="sr-Latn-ME"/>
        </w:rPr>
      </w:pPr>
    </w:p>
    <w:p w:rsidR="00D76435" w:rsidRDefault="005839CA">
      <w:pPr>
        <w:tabs>
          <w:tab w:val="clear" w:pos="567"/>
          <w:tab w:val="left" w:pos="540"/>
          <w:tab w:val="left" w:pos="569"/>
        </w:tabs>
        <w:rPr>
          <w:b/>
          <w:bCs/>
          <w:szCs w:val="22"/>
          <w:lang w:val="sr-Latn-ME"/>
        </w:rPr>
      </w:pPr>
      <w:r>
        <w:rPr>
          <w:b/>
          <w:bCs/>
          <w:szCs w:val="22"/>
          <w:lang w:val="sr-Latn-ME"/>
        </w:rPr>
        <w:t xml:space="preserve">8. </w:t>
      </w:r>
      <w:r>
        <w:rPr>
          <w:b/>
          <w:bCs/>
          <w:szCs w:val="22"/>
          <w:lang w:val="sr-Latn-ME"/>
        </w:rPr>
        <w:tab/>
        <w:t>BROJ DOZVOLE ZA STAVLJANJE LIJEKA U PROMET</w:t>
      </w:r>
    </w:p>
    <w:p w:rsidR="00D76435" w:rsidRDefault="00D76435">
      <w:pPr>
        <w:tabs>
          <w:tab w:val="clear" w:pos="567"/>
          <w:tab w:val="left" w:pos="540"/>
          <w:tab w:val="left" w:pos="569"/>
        </w:tabs>
        <w:rPr>
          <w:b/>
          <w:bCs/>
          <w:szCs w:val="22"/>
          <w:lang w:val="sr-Latn-ME"/>
        </w:rPr>
      </w:pPr>
    </w:p>
    <w:p w:rsidR="00D76435" w:rsidRDefault="005839CA">
      <w:pPr>
        <w:tabs>
          <w:tab w:val="clear" w:pos="567"/>
          <w:tab w:val="left" w:pos="540"/>
          <w:tab w:val="left" w:pos="569"/>
        </w:tabs>
        <w:rPr>
          <w:bCs/>
          <w:szCs w:val="22"/>
          <w:lang w:val="sr-Latn-ME"/>
        </w:rPr>
      </w:pPr>
      <w:r>
        <w:rPr>
          <w:rFonts w:eastAsia="SimSun"/>
          <w:szCs w:val="22"/>
          <w:lang w:val="sr-Latn-ME" w:eastAsia="mk-MK"/>
        </w:rPr>
        <w:t xml:space="preserve">2030/24/4921 – 3949 </w:t>
      </w:r>
    </w:p>
    <w:p w:rsidR="00D76435" w:rsidRDefault="00D76435">
      <w:pPr>
        <w:tabs>
          <w:tab w:val="clear" w:pos="567"/>
          <w:tab w:val="left" w:pos="540"/>
          <w:tab w:val="left" w:pos="569"/>
        </w:tabs>
        <w:rPr>
          <w:bCs/>
          <w:szCs w:val="22"/>
          <w:lang w:val="sr-Latn-ME"/>
        </w:rPr>
      </w:pPr>
    </w:p>
    <w:p w:rsidR="00D76435" w:rsidRDefault="00D76435">
      <w:pPr>
        <w:tabs>
          <w:tab w:val="clear" w:pos="567"/>
          <w:tab w:val="left" w:pos="540"/>
          <w:tab w:val="left" w:pos="569"/>
        </w:tabs>
        <w:rPr>
          <w:bCs/>
          <w:szCs w:val="22"/>
          <w:lang w:val="sr-Latn-ME"/>
        </w:rPr>
      </w:pPr>
    </w:p>
    <w:p w:rsidR="00D76435" w:rsidRDefault="005839CA">
      <w:pPr>
        <w:tabs>
          <w:tab w:val="clear" w:pos="567"/>
          <w:tab w:val="left" w:pos="540"/>
          <w:tab w:val="left" w:pos="569"/>
        </w:tabs>
        <w:rPr>
          <w:b/>
          <w:bCs/>
          <w:szCs w:val="22"/>
          <w:lang w:val="sr-Latn-ME"/>
        </w:rPr>
      </w:pPr>
      <w:r>
        <w:rPr>
          <w:b/>
          <w:bCs/>
          <w:szCs w:val="22"/>
          <w:lang w:val="sr-Latn-ME"/>
        </w:rPr>
        <w:t xml:space="preserve">9. </w:t>
      </w:r>
      <w:r>
        <w:rPr>
          <w:b/>
          <w:bCs/>
          <w:szCs w:val="22"/>
          <w:lang w:val="sr-Latn-ME"/>
        </w:rPr>
        <w:tab/>
        <w:t>DATUM PRVE DOZVOLE/ OBNOVE DOZVOLE ZA STAVLJANJE LIJEKA U PROMET</w:t>
      </w:r>
    </w:p>
    <w:p w:rsidR="00D76435" w:rsidRDefault="00D76435">
      <w:pPr>
        <w:tabs>
          <w:tab w:val="clear" w:pos="567"/>
          <w:tab w:val="left" w:pos="540"/>
          <w:tab w:val="left" w:pos="569"/>
        </w:tabs>
        <w:rPr>
          <w:b/>
          <w:bCs/>
          <w:szCs w:val="22"/>
          <w:lang w:val="sr-Latn-ME"/>
        </w:rPr>
      </w:pPr>
    </w:p>
    <w:p w:rsidR="00D76435" w:rsidRDefault="005839CA">
      <w:pPr>
        <w:rPr>
          <w:szCs w:val="22"/>
          <w:lang w:val="sr-Latn-ME"/>
        </w:rPr>
      </w:pPr>
      <w:r>
        <w:rPr>
          <w:bCs/>
          <w:szCs w:val="22"/>
          <w:lang w:val="sr-Latn-ME" w:eastAsia="sr-Latn-ME"/>
        </w:rPr>
        <w:t>Datum prve dozvole: 03.12.2015. godine</w:t>
      </w:r>
    </w:p>
    <w:p w:rsidR="00D76435" w:rsidRDefault="005839CA">
      <w:pPr>
        <w:jc w:val="both"/>
        <w:rPr>
          <w:szCs w:val="22"/>
          <w:lang w:val="sr-Latn-ME"/>
        </w:rPr>
      </w:pPr>
      <w:r>
        <w:rPr>
          <w:bCs/>
          <w:iCs/>
          <w:szCs w:val="22"/>
          <w:lang w:val="sr-Latn-ME"/>
        </w:rPr>
        <w:t>Datum posljednje obnove dozvole:</w:t>
      </w:r>
      <w:r>
        <w:rPr>
          <w:rFonts w:eastAsia="SimSun"/>
          <w:szCs w:val="22"/>
          <w:lang w:val="sr-Latn-ME" w:eastAsia="mk-MK"/>
        </w:rPr>
        <w:t xml:space="preserve"> 04.10.2024. godine</w:t>
      </w:r>
    </w:p>
    <w:p w:rsidR="00D76435" w:rsidRDefault="00D76435">
      <w:pPr>
        <w:tabs>
          <w:tab w:val="clear" w:pos="567"/>
          <w:tab w:val="left" w:pos="540"/>
          <w:tab w:val="left" w:pos="569"/>
        </w:tabs>
        <w:rPr>
          <w:bCs/>
          <w:szCs w:val="22"/>
          <w:lang w:val="sr-Latn-ME"/>
        </w:rPr>
      </w:pPr>
    </w:p>
    <w:p w:rsidR="00D76435" w:rsidRDefault="00D76435">
      <w:pPr>
        <w:tabs>
          <w:tab w:val="clear" w:pos="567"/>
          <w:tab w:val="left" w:pos="540"/>
          <w:tab w:val="left" w:pos="569"/>
        </w:tabs>
        <w:rPr>
          <w:bCs/>
          <w:szCs w:val="22"/>
          <w:lang w:val="sr-Latn-ME"/>
        </w:rPr>
      </w:pPr>
    </w:p>
    <w:p w:rsidR="00D76435" w:rsidRDefault="005839CA">
      <w:pPr>
        <w:tabs>
          <w:tab w:val="clear" w:pos="567"/>
          <w:tab w:val="left" w:pos="540"/>
          <w:tab w:val="left" w:pos="569"/>
        </w:tabs>
        <w:ind w:left="540" w:hanging="540"/>
        <w:rPr>
          <w:b/>
          <w:bCs/>
          <w:szCs w:val="22"/>
          <w:lang w:val="sr-Latn-ME"/>
        </w:rPr>
      </w:pPr>
      <w:r>
        <w:rPr>
          <w:b/>
          <w:bCs/>
          <w:szCs w:val="22"/>
          <w:lang w:val="sr-Latn-ME"/>
        </w:rPr>
        <w:t xml:space="preserve">10. </w:t>
      </w:r>
      <w:r>
        <w:rPr>
          <w:b/>
          <w:bCs/>
          <w:szCs w:val="22"/>
          <w:lang w:val="sr-Latn-ME"/>
        </w:rPr>
        <w:tab/>
        <w:t xml:space="preserve">DATUM  REVIZIJE TEKSTA </w:t>
      </w:r>
    </w:p>
    <w:p w:rsidR="00D76435" w:rsidRDefault="00D76435">
      <w:pPr>
        <w:tabs>
          <w:tab w:val="clear" w:pos="567"/>
          <w:tab w:val="left" w:pos="540"/>
          <w:tab w:val="left" w:pos="569"/>
        </w:tabs>
        <w:ind w:left="540" w:hanging="540"/>
        <w:rPr>
          <w:b/>
          <w:bCs/>
          <w:szCs w:val="22"/>
          <w:lang w:val="sr-Latn-ME"/>
        </w:rPr>
      </w:pPr>
    </w:p>
    <w:p w:rsidR="00D76435" w:rsidRDefault="001734FB">
      <w:pPr>
        <w:rPr>
          <w:szCs w:val="22"/>
          <w:lang w:val="sr-Latn-ME"/>
        </w:rPr>
      </w:pPr>
      <w:r>
        <w:rPr>
          <w:szCs w:val="22"/>
          <w:lang w:val="sr-Latn-ME"/>
        </w:rPr>
        <w:t>Novembar</w:t>
      </w:r>
      <w:bookmarkStart w:id="1" w:name="_GoBack"/>
      <w:bookmarkEnd w:id="1"/>
      <w:r w:rsidR="005839CA">
        <w:rPr>
          <w:szCs w:val="22"/>
          <w:lang w:val="sr-Latn-ME"/>
        </w:rPr>
        <w:t>, 2024. godine</w:t>
      </w:r>
    </w:p>
    <w:p w:rsidR="00D76435" w:rsidRDefault="00D76435"/>
    <w:sectPr w:rsidR="00D7643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F81" w:rsidRDefault="00463F81">
      <w:pPr>
        <w:spacing w:line="240" w:lineRule="auto"/>
      </w:pPr>
      <w:r>
        <w:separator/>
      </w:r>
    </w:p>
  </w:endnote>
  <w:endnote w:type="continuationSeparator" w:id="0">
    <w:p w:rsidR="00463F81" w:rsidRDefault="00463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35" w:rsidRDefault="00D76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35" w:rsidRDefault="005839CA">
    <w:pPr>
      <w:pStyle w:val="Footer"/>
      <w:jc w:val="center"/>
      <w:rPr>
        <w:rFonts w:ascii="Times New Roman" w:hAnsi="Times New Roman"/>
        <w:sz w:val="22"/>
        <w:szCs w:val="22"/>
      </w:rPr>
    </w:pPr>
    <w:r>
      <w:fldChar w:fldCharType="begin"/>
    </w:r>
    <w:r>
      <w:instrText xml:space="preserve"> EQ </w:instrText>
    </w:r>
    <w:r>
      <w:fldChar w:fldCharType="end"/>
    </w:r>
    <w:r>
      <w:rPr>
        <w:rFonts w:ascii="Times New Roman" w:hAnsi="Times New Roman"/>
        <w:sz w:val="22"/>
        <w:szCs w:val="22"/>
      </w:rPr>
      <w:fldChar w:fldCharType="begin"/>
    </w:r>
    <w:r>
      <w:rPr>
        <w:rFonts w:ascii="Times New Roman" w:hAnsi="Times New Roman"/>
        <w:sz w:val="22"/>
        <w:szCs w:val="22"/>
      </w:rPr>
      <w:instrText xml:space="preserve"> PAGE </w:instrText>
    </w:r>
    <w:r>
      <w:rPr>
        <w:rFonts w:ascii="Times New Roman" w:hAnsi="Times New Roman"/>
        <w:sz w:val="22"/>
        <w:szCs w:val="22"/>
      </w:rPr>
      <w:fldChar w:fldCharType="separate"/>
    </w:r>
    <w:r w:rsidR="001734FB">
      <w:rPr>
        <w:rFonts w:ascii="Times New Roman" w:hAnsi="Times New Roman"/>
        <w:sz w:val="22"/>
        <w:szCs w:val="22"/>
      </w:rPr>
      <w:t>11</w: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rPr>
      <w:fldChar w:fldCharType="begin"/>
    </w:r>
    <w:r>
      <w:rPr>
        <w:rFonts w:ascii="Times New Roman" w:hAnsi="Times New Roman"/>
        <w:sz w:val="22"/>
        <w:szCs w:val="22"/>
      </w:rPr>
      <w:instrText xml:space="preserve"> NUMPAGES </w:instrText>
    </w:r>
    <w:r>
      <w:rPr>
        <w:rFonts w:ascii="Times New Roman" w:hAnsi="Times New Roman"/>
        <w:sz w:val="22"/>
        <w:szCs w:val="22"/>
      </w:rPr>
      <w:fldChar w:fldCharType="separate"/>
    </w:r>
    <w:r w:rsidR="001734FB">
      <w:rPr>
        <w:rFonts w:ascii="Times New Roman" w:hAnsi="Times New Roman"/>
        <w:sz w:val="22"/>
        <w:szCs w:val="22"/>
      </w:rPr>
      <w:t>11</w:t>
    </w:r>
    <w:r>
      <w:rPr>
        <w:rFonts w:ascii="Times New Roman" w:hAnsi="Times New Roman"/>
        <w:sz w:val="22"/>
        <w:szCs w:val="22"/>
      </w:rPr>
      <w:fldChar w:fldCharType="end"/>
    </w:r>
    <w:r>
      <w:rPr>
        <w:rFonts w:ascii="Times New Roman" w:hAnsi="Times New Roman"/>
        <w:sz w:val="22"/>
        <w:szCs w:val="22"/>
      </w:rPr>
      <w:fldChar w:fldCharType="begin"/>
    </w:r>
    <w:r>
      <w:rPr>
        <w:rFonts w:ascii="Times New Roman" w:hAnsi="Times New Roman"/>
        <w:sz w:val="22"/>
        <w:szCs w:val="22"/>
      </w:rPr>
      <w:instrText xml:space="preserve"> EQ </w:instrText>
    </w:r>
    <w:r>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35" w:rsidRDefault="005839CA">
    <w:pPr>
      <w:pStyle w:val="Footer"/>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w:instrText>
    </w:r>
    <w:r>
      <w:rPr>
        <w:rFonts w:ascii="Times New Roman" w:hAnsi="Times New Roman"/>
        <w:sz w:val="22"/>
        <w:szCs w:val="22"/>
      </w:rPr>
      <w:fldChar w:fldCharType="separate"/>
    </w:r>
    <w:r w:rsidR="001734FB">
      <w:rPr>
        <w:rFonts w:ascii="Times New Roman" w:hAnsi="Times New Roman"/>
        <w:sz w:val="22"/>
        <w:szCs w:val="22"/>
      </w:rPr>
      <w:t>1</w: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rPr>
      <w:fldChar w:fldCharType="begin"/>
    </w:r>
    <w:r>
      <w:rPr>
        <w:rFonts w:ascii="Times New Roman" w:hAnsi="Times New Roman"/>
        <w:sz w:val="22"/>
        <w:szCs w:val="22"/>
      </w:rPr>
      <w:instrText xml:space="preserve"> NUMPAGES </w:instrText>
    </w:r>
    <w:r>
      <w:rPr>
        <w:rFonts w:ascii="Times New Roman" w:hAnsi="Times New Roman"/>
        <w:sz w:val="22"/>
        <w:szCs w:val="22"/>
      </w:rPr>
      <w:fldChar w:fldCharType="separate"/>
    </w:r>
    <w:r w:rsidR="001734FB">
      <w:rPr>
        <w:rFonts w:ascii="Times New Roman" w:hAnsi="Times New Roman"/>
        <w:sz w:val="22"/>
        <w:szCs w:val="22"/>
      </w:rPr>
      <w:t>11</w:t>
    </w:r>
    <w:r>
      <w:rPr>
        <w:rFonts w:ascii="Times New Roman" w:hAnsi="Times New Roman"/>
        <w:sz w:val="22"/>
        <w:szCs w:val="22"/>
      </w:rPr>
      <w:fldChar w:fldCharType="end"/>
    </w:r>
    <w:r>
      <w:rPr>
        <w:rFonts w:ascii="Times New Roman" w:hAnsi="Times New Roman"/>
        <w:sz w:val="22"/>
        <w:szCs w:val="22"/>
      </w:rPr>
      <w:fldChar w:fldCharType="begin"/>
    </w:r>
    <w:r>
      <w:rPr>
        <w:rFonts w:ascii="Times New Roman" w:hAnsi="Times New Roman"/>
        <w:sz w:val="22"/>
        <w:szCs w:val="22"/>
      </w:rPr>
      <w:instrText xml:space="preserve"> EQ </w:instrText>
    </w:r>
    <w:r>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F81" w:rsidRDefault="00463F81">
      <w:pPr>
        <w:spacing w:line="240" w:lineRule="auto"/>
      </w:pPr>
      <w:r>
        <w:separator/>
      </w:r>
    </w:p>
  </w:footnote>
  <w:footnote w:type="continuationSeparator" w:id="0">
    <w:p w:rsidR="00463F81" w:rsidRDefault="00463F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35" w:rsidRDefault="00D76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35" w:rsidRDefault="00D76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35" w:rsidRDefault="00D76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E476CAE"/>
    <w:multiLevelType w:val="hybridMultilevel"/>
    <w:tmpl w:val="9E605176"/>
    <w:lvl w:ilvl="0" w:tplc="73527F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13"/>
  </w:num>
  <w:num w:numId="7">
    <w:abstractNumId w:val="6"/>
  </w:num>
  <w:num w:numId="8">
    <w:abstractNumId w:val="9"/>
  </w:num>
  <w:num w:numId="9">
    <w:abstractNumId w:val="21"/>
  </w:num>
  <w:num w:numId="10">
    <w:abstractNumId w:val="1"/>
  </w:num>
  <w:num w:numId="11">
    <w:abstractNumId w:val="18"/>
  </w:num>
  <w:num w:numId="12">
    <w:abstractNumId w:val="7"/>
  </w:num>
  <w:num w:numId="13">
    <w:abstractNumId w:val="4"/>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19"/>
  </w:num>
  <w:num w:numId="17">
    <w:abstractNumId w:val="10"/>
  </w:num>
  <w:num w:numId="18">
    <w:abstractNumId w:val="12"/>
  </w:num>
  <w:num w:numId="19">
    <w:abstractNumId w:val="22"/>
  </w:num>
  <w:num w:numId="20">
    <w:abstractNumId w:val="14"/>
  </w:num>
  <w:num w:numId="21">
    <w:abstractNumId w:val="20"/>
  </w:num>
  <w:num w:numId="22">
    <w:abstractNumId w:val="17"/>
  </w:num>
  <w:num w:numId="23">
    <w:abstractNumId w:val="5"/>
  </w:num>
  <w:num w:numId="24">
    <w:abstractNumId w:val="20"/>
  </w:num>
  <w:num w:numId="25">
    <w:abstractNumId w:val="3"/>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76435"/>
    <w:rsid w:val="001734FB"/>
    <w:rsid w:val="00463F81"/>
    <w:rsid w:val="005839CA"/>
    <w:rsid w:val="005A374A"/>
    <w:rsid w:val="006F3A80"/>
    <w:rsid w:val="00840ED3"/>
    <w:rsid w:val="009234A3"/>
    <w:rsid w:val="00B96ABA"/>
    <w:rsid w:val="00BB781F"/>
    <w:rsid w:val="00D76435"/>
    <w:rsid w:val="00D964CE"/>
    <w:rsid w:val="00DA5112"/>
    <w:rsid w:val="00F06D69"/>
    <w:rsid w:val="00F7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383A46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sz w:val="24"/>
      <w:szCs w:val="24"/>
    </w:rPr>
  </w:style>
  <w:style w:type="character" w:customStyle="1" w:styleId="FooterChar">
    <w:name w:val="Footer Char"/>
    <w:link w:val="Footer"/>
    <w:rPr>
      <w:rFonts w:ascii="Arial" w:eastAsia="Times New Roman" w:hAnsi="Arial"/>
      <w:noProof/>
      <w:sz w:val="16"/>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478E4D-B079-4C81-9745-C3CBAE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4133</Words>
  <Characters>23564</Characters>
  <Application>Microsoft Office Word</Application>
  <DocSecurity>0</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Tamara Dedejić</cp:lastModifiedBy>
  <cp:revision>2</cp:revision>
  <cp:lastPrinted>2024-06-28T06:33:00Z</cp:lastPrinted>
  <dcterms:created xsi:type="dcterms:W3CDTF">2024-11-21T09:58:00Z</dcterms:created>
  <dcterms:modified xsi:type="dcterms:W3CDTF">2024-11-21T09:58:00Z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