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08087" w14:textId="77777777" w:rsidR="00523BC9" w:rsidRPr="00394D9A" w:rsidRDefault="00523BC9" w:rsidP="00187D17">
      <w:pPr>
        <w:widowControl w:val="0"/>
        <w:tabs>
          <w:tab w:val="clear" w:pos="284"/>
        </w:tabs>
        <w:jc w:val="center"/>
        <w:rPr>
          <w:b/>
          <w:bCs/>
          <w:iCs/>
          <w:szCs w:val="22"/>
          <w:u w:val="single"/>
          <w:lang w:val="sr-Latn-RS"/>
        </w:rPr>
      </w:pPr>
      <w:r w:rsidRPr="00394D9A">
        <w:rPr>
          <w:b/>
          <w:bCs/>
          <w:iCs/>
          <w:szCs w:val="22"/>
          <w:u w:val="single"/>
          <w:lang w:val="sr-Latn-RS"/>
        </w:rPr>
        <w:t>SAŽETAK KARAKTERISTIKA LIJEKA</w:t>
      </w:r>
    </w:p>
    <w:p w14:paraId="6D1786B8" w14:textId="77777777" w:rsidR="00383195" w:rsidRPr="00394D9A" w:rsidRDefault="003E3EC7" w:rsidP="00187D17">
      <w:pPr>
        <w:widowControl w:val="0"/>
        <w:rPr>
          <w:szCs w:val="22"/>
          <w:lang w:val="sr-Latn-RS"/>
        </w:rPr>
      </w:pPr>
      <w:r w:rsidRPr="00394D9A">
        <w:rPr>
          <w:szCs w:val="22"/>
          <w:lang w:val="sr-Latn-RS"/>
        </w:rPr>
        <w:t xml:space="preserve"> </w:t>
      </w:r>
    </w:p>
    <w:p w14:paraId="20F56664" w14:textId="77777777" w:rsidR="00CE09F3" w:rsidRPr="00394D9A" w:rsidRDefault="00CE09F3" w:rsidP="00187D17">
      <w:pPr>
        <w:widowControl w:val="0"/>
        <w:rPr>
          <w:b/>
          <w:bCs/>
          <w:szCs w:val="22"/>
          <w:lang w:val="sr-Latn-RS"/>
        </w:rPr>
      </w:pPr>
    </w:p>
    <w:p w14:paraId="3CD7268B" w14:textId="77777777" w:rsidR="00523BC9" w:rsidRPr="00394D9A" w:rsidRDefault="00523BC9" w:rsidP="00187D17">
      <w:pPr>
        <w:widowControl w:val="0"/>
        <w:tabs>
          <w:tab w:val="clear" w:pos="284"/>
          <w:tab w:val="left" w:pos="540"/>
          <w:tab w:val="left" w:pos="569"/>
        </w:tabs>
        <w:jc w:val="left"/>
        <w:rPr>
          <w:b/>
          <w:bCs/>
          <w:szCs w:val="22"/>
          <w:lang w:val="sr-Latn-RS"/>
        </w:rPr>
      </w:pPr>
      <w:r w:rsidRPr="00394D9A">
        <w:rPr>
          <w:b/>
          <w:bCs/>
          <w:szCs w:val="22"/>
          <w:lang w:val="sr-Latn-RS"/>
        </w:rPr>
        <w:t>1.</w:t>
      </w:r>
      <w:r w:rsidRPr="00394D9A">
        <w:rPr>
          <w:b/>
          <w:bCs/>
          <w:szCs w:val="22"/>
          <w:lang w:val="sr-Latn-RS"/>
        </w:rPr>
        <w:tab/>
        <w:t>NAZIV LIJEKA</w:t>
      </w:r>
    </w:p>
    <w:p w14:paraId="4FDC68A2" w14:textId="77777777" w:rsidR="00523BC9" w:rsidRPr="00394D9A" w:rsidRDefault="00523BC9" w:rsidP="00187D17">
      <w:pPr>
        <w:widowControl w:val="0"/>
        <w:rPr>
          <w:bCs/>
          <w:szCs w:val="22"/>
          <w:lang w:val="sr-Latn-RS"/>
        </w:rPr>
      </w:pPr>
    </w:p>
    <w:p w14:paraId="3B6EDA8E" w14:textId="5C67A8F4" w:rsidR="00CE09F3" w:rsidRPr="00394D9A" w:rsidRDefault="00F779D6" w:rsidP="00DF17BA">
      <w:pPr>
        <w:widowControl w:val="0"/>
        <w:rPr>
          <w:bCs/>
          <w:szCs w:val="22"/>
          <w:lang w:val="sr-Latn-RS"/>
        </w:rPr>
      </w:pPr>
      <w:r w:rsidRPr="00394D9A">
        <w:rPr>
          <w:bCs/>
          <w:szCs w:val="22"/>
          <w:lang w:val="sr-Latn-RS"/>
        </w:rPr>
        <w:t>Dabigatran SK</w:t>
      </w:r>
      <w:r w:rsidR="00CE09F3" w:rsidRPr="00394D9A">
        <w:rPr>
          <w:bCs/>
          <w:szCs w:val="22"/>
          <w:lang w:val="sr-Latn-RS"/>
        </w:rPr>
        <w:t xml:space="preserve">, </w:t>
      </w:r>
      <w:r w:rsidR="001A2860" w:rsidRPr="00394D9A">
        <w:rPr>
          <w:bCs/>
          <w:szCs w:val="22"/>
          <w:lang w:val="sr-Latn-RS"/>
        </w:rPr>
        <w:t>1</w:t>
      </w:r>
      <w:r w:rsidR="00F45EE3" w:rsidRPr="00394D9A">
        <w:rPr>
          <w:bCs/>
          <w:szCs w:val="22"/>
          <w:lang w:val="sr-Latn-RS"/>
        </w:rPr>
        <w:t>5</w:t>
      </w:r>
      <w:r w:rsidR="001A2860" w:rsidRPr="00394D9A">
        <w:rPr>
          <w:bCs/>
          <w:szCs w:val="22"/>
          <w:lang w:val="sr-Latn-RS"/>
        </w:rPr>
        <w:t>0</w:t>
      </w:r>
      <w:r w:rsidRPr="00394D9A">
        <w:rPr>
          <w:bCs/>
          <w:szCs w:val="22"/>
          <w:lang w:val="sr-Latn-RS"/>
        </w:rPr>
        <w:t xml:space="preserve"> mg</w:t>
      </w:r>
      <w:r w:rsidR="00CE09F3" w:rsidRPr="00394D9A">
        <w:rPr>
          <w:bCs/>
          <w:szCs w:val="22"/>
          <w:lang w:val="sr-Latn-RS"/>
        </w:rPr>
        <w:t xml:space="preserve">, </w:t>
      </w:r>
      <w:r w:rsidRPr="00394D9A">
        <w:rPr>
          <w:bCs/>
          <w:szCs w:val="22"/>
          <w:lang w:val="sr-Latn-RS"/>
        </w:rPr>
        <w:t>kapsul</w:t>
      </w:r>
      <w:r w:rsidR="004D3BF7" w:rsidRPr="00394D9A">
        <w:rPr>
          <w:bCs/>
          <w:szCs w:val="22"/>
          <w:lang w:val="sr-Latn-RS"/>
        </w:rPr>
        <w:t>a</w:t>
      </w:r>
      <w:r w:rsidR="005D5797" w:rsidRPr="00394D9A">
        <w:rPr>
          <w:bCs/>
          <w:szCs w:val="22"/>
          <w:lang w:val="sr-Latn-RS"/>
        </w:rPr>
        <w:t>, tvrd</w:t>
      </w:r>
      <w:r w:rsidR="004D3BF7" w:rsidRPr="00394D9A">
        <w:rPr>
          <w:bCs/>
          <w:szCs w:val="22"/>
          <w:lang w:val="sr-Latn-RS"/>
        </w:rPr>
        <w:t>a</w:t>
      </w:r>
    </w:p>
    <w:p w14:paraId="26C3402C" w14:textId="77777777" w:rsidR="00CE09F3" w:rsidRPr="00394D9A" w:rsidRDefault="00CE09F3" w:rsidP="00DF17BA">
      <w:pPr>
        <w:widowControl w:val="0"/>
        <w:rPr>
          <w:bCs/>
          <w:szCs w:val="22"/>
          <w:lang w:val="sr-Latn-RS"/>
        </w:rPr>
      </w:pPr>
    </w:p>
    <w:p w14:paraId="2B818F82" w14:textId="3CF568A4" w:rsidR="00CE09F3" w:rsidRPr="00394D9A" w:rsidRDefault="00CE09F3" w:rsidP="00DF17BA">
      <w:pPr>
        <w:widowControl w:val="0"/>
        <w:rPr>
          <w:szCs w:val="22"/>
          <w:lang w:val="sr-Latn-RS"/>
        </w:rPr>
      </w:pPr>
      <w:r w:rsidRPr="00394D9A">
        <w:rPr>
          <w:szCs w:val="22"/>
          <w:lang w:val="sr-Latn-RS"/>
        </w:rPr>
        <w:t>INN:</w:t>
      </w:r>
      <w:r w:rsidR="00F779D6" w:rsidRPr="00394D9A">
        <w:rPr>
          <w:szCs w:val="22"/>
          <w:lang w:val="sr-Latn-RS"/>
        </w:rPr>
        <w:t xml:space="preserve"> </w:t>
      </w:r>
      <w:r w:rsidR="005D5797" w:rsidRPr="00394D9A">
        <w:rPr>
          <w:szCs w:val="22"/>
          <w:lang w:val="sr-Latn-RS"/>
        </w:rPr>
        <w:t>d</w:t>
      </w:r>
      <w:r w:rsidR="00F779D6" w:rsidRPr="00394D9A">
        <w:rPr>
          <w:szCs w:val="22"/>
          <w:lang w:val="sr-Latn-RS"/>
        </w:rPr>
        <w:t>abigatraneteksilat</w:t>
      </w:r>
    </w:p>
    <w:p w14:paraId="66EAD026" w14:textId="228DA06E" w:rsidR="00523BC9" w:rsidRPr="00394D9A" w:rsidRDefault="00523BC9" w:rsidP="00DF17BA">
      <w:pPr>
        <w:widowControl w:val="0"/>
        <w:rPr>
          <w:b/>
          <w:bCs/>
          <w:szCs w:val="22"/>
          <w:lang w:val="sr-Latn-RS"/>
        </w:rPr>
      </w:pPr>
    </w:p>
    <w:p w14:paraId="2E5062B2" w14:textId="77777777" w:rsidR="00523BC9" w:rsidRPr="00394D9A" w:rsidRDefault="00523BC9">
      <w:pPr>
        <w:widowControl w:val="0"/>
        <w:rPr>
          <w:b/>
          <w:bCs/>
          <w:szCs w:val="22"/>
          <w:lang w:val="sr-Latn-RS"/>
        </w:rPr>
      </w:pPr>
    </w:p>
    <w:p w14:paraId="019B048F" w14:textId="3909E3EE" w:rsidR="00523BC9" w:rsidRPr="00394D9A" w:rsidRDefault="00523BC9" w:rsidP="00DF17BA">
      <w:pPr>
        <w:widowControl w:val="0"/>
        <w:tabs>
          <w:tab w:val="clear" w:pos="284"/>
          <w:tab w:val="left" w:pos="540"/>
          <w:tab w:val="left" w:pos="569"/>
        </w:tabs>
        <w:rPr>
          <w:b/>
          <w:bCs/>
          <w:szCs w:val="22"/>
          <w:lang w:val="sr-Latn-RS"/>
        </w:rPr>
      </w:pPr>
      <w:r w:rsidRPr="00394D9A">
        <w:rPr>
          <w:b/>
          <w:bCs/>
          <w:szCs w:val="22"/>
          <w:lang w:val="sr-Latn-RS"/>
        </w:rPr>
        <w:t xml:space="preserve">2. </w:t>
      </w:r>
      <w:r w:rsidRPr="00394D9A">
        <w:rPr>
          <w:b/>
          <w:bCs/>
          <w:szCs w:val="22"/>
          <w:lang w:val="sr-Latn-RS"/>
        </w:rPr>
        <w:tab/>
        <w:t>KVALITATIVNI I KVANTITATIVNI SASTAV</w:t>
      </w:r>
    </w:p>
    <w:p w14:paraId="4B7A0138" w14:textId="77777777" w:rsidR="00523BC9" w:rsidRPr="00394D9A" w:rsidRDefault="00523BC9" w:rsidP="00DF17BA">
      <w:pPr>
        <w:widowControl w:val="0"/>
        <w:tabs>
          <w:tab w:val="clear" w:pos="284"/>
          <w:tab w:val="left" w:pos="540"/>
          <w:tab w:val="left" w:pos="569"/>
        </w:tabs>
        <w:rPr>
          <w:b/>
          <w:bCs/>
          <w:szCs w:val="22"/>
          <w:lang w:val="sr-Latn-RS"/>
        </w:rPr>
      </w:pPr>
    </w:p>
    <w:p w14:paraId="1F780F1D" w14:textId="0FC986DD" w:rsidR="00CE09F3" w:rsidRPr="00394D9A" w:rsidRDefault="00F779D6" w:rsidP="00DF17BA">
      <w:pPr>
        <w:widowControl w:val="0"/>
        <w:rPr>
          <w:szCs w:val="22"/>
          <w:lang w:val="sr-Latn-RS"/>
        </w:rPr>
      </w:pPr>
      <w:r w:rsidRPr="00394D9A">
        <w:rPr>
          <w:szCs w:val="22"/>
          <w:lang w:val="sr-Latn-RS"/>
        </w:rPr>
        <w:t xml:space="preserve">Jedna tvrda kapsula sadrži </w:t>
      </w:r>
      <w:r w:rsidR="001A2860" w:rsidRPr="00394D9A">
        <w:rPr>
          <w:szCs w:val="22"/>
          <w:lang w:val="sr-Latn-RS"/>
        </w:rPr>
        <w:t>1</w:t>
      </w:r>
      <w:r w:rsidR="00010FF2" w:rsidRPr="00394D9A">
        <w:rPr>
          <w:szCs w:val="22"/>
          <w:lang w:val="sr-Latn-RS"/>
        </w:rPr>
        <w:t>5</w:t>
      </w:r>
      <w:r w:rsidR="001A2860" w:rsidRPr="00394D9A">
        <w:rPr>
          <w:szCs w:val="22"/>
          <w:lang w:val="sr-Latn-RS"/>
        </w:rPr>
        <w:t>0</w:t>
      </w:r>
      <w:r w:rsidRPr="00394D9A">
        <w:rPr>
          <w:szCs w:val="22"/>
          <w:lang w:val="sr-Latn-RS"/>
        </w:rPr>
        <w:t xml:space="preserve"> mg dabigatraneteksilata (u obliku dabigatraneteksilat</w:t>
      </w:r>
      <w:r w:rsidR="004D3BF7" w:rsidRPr="00394D9A">
        <w:rPr>
          <w:szCs w:val="22"/>
          <w:lang w:val="sr-Latn-RS"/>
        </w:rPr>
        <w:t xml:space="preserve"> </w:t>
      </w:r>
      <w:r w:rsidRPr="00394D9A">
        <w:rPr>
          <w:szCs w:val="22"/>
          <w:lang w:val="sr-Latn-RS"/>
        </w:rPr>
        <w:t>mesilata).</w:t>
      </w:r>
    </w:p>
    <w:p w14:paraId="5BE881EF" w14:textId="1C7FBC49" w:rsidR="00CE09F3" w:rsidRPr="00394D9A" w:rsidRDefault="00CE09F3" w:rsidP="00DF17BA">
      <w:pPr>
        <w:widowControl w:val="0"/>
        <w:rPr>
          <w:szCs w:val="22"/>
          <w:lang w:val="sr-Latn-RS"/>
        </w:rPr>
      </w:pPr>
    </w:p>
    <w:p w14:paraId="26C8E9B7" w14:textId="77777777" w:rsidR="00523BC9" w:rsidRPr="00394D9A" w:rsidRDefault="00523BC9" w:rsidP="00DF17BA">
      <w:pPr>
        <w:widowControl w:val="0"/>
        <w:rPr>
          <w:szCs w:val="22"/>
          <w:lang w:val="sr-Latn-RS"/>
        </w:rPr>
      </w:pPr>
      <w:r w:rsidRPr="00394D9A">
        <w:rPr>
          <w:szCs w:val="22"/>
          <w:lang w:val="sr-Latn-RS"/>
        </w:rPr>
        <w:t>Za spisak svih ekscipijenasa, pogledati dio 6.1.</w:t>
      </w:r>
    </w:p>
    <w:p w14:paraId="0B030670" w14:textId="6DAD58DD" w:rsidR="00F779D6" w:rsidRDefault="00F779D6">
      <w:pPr>
        <w:widowControl w:val="0"/>
        <w:rPr>
          <w:szCs w:val="22"/>
          <w:lang w:val="sr-Latn-RS"/>
        </w:rPr>
      </w:pPr>
    </w:p>
    <w:p w14:paraId="2E3716A4" w14:textId="77777777" w:rsidR="00187D17" w:rsidRPr="00394D9A" w:rsidRDefault="00187D17">
      <w:pPr>
        <w:widowControl w:val="0"/>
        <w:rPr>
          <w:szCs w:val="22"/>
          <w:lang w:val="sr-Latn-RS"/>
        </w:rPr>
      </w:pPr>
    </w:p>
    <w:p w14:paraId="073AB1E2" w14:textId="77777777" w:rsidR="00523BC9" w:rsidRPr="00394D9A" w:rsidRDefault="00523BC9" w:rsidP="00DF17BA">
      <w:pPr>
        <w:widowControl w:val="0"/>
        <w:tabs>
          <w:tab w:val="clear" w:pos="284"/>
          <w:tab w:val="left" w:pos="540"/>
          <w:tab w:val="left" w:pos="569"/>
        </w:tabs>
        <w:rPr>
          <w:b/>
          <w:bCs/>
          <w:szCs w:val="22"/>
          <w:lang w:val="sr-Latn-RS"/>
        </w:rPr>
      </w:pPr>
      <w:r w:rsidRPr="00394D9A">
        <w:rPr>
          <w:b/>
          <w:bCs/>
          <w:szCs w:val="22"/>
          <w:lang w:val="sr-Latn-RS"/>
        </w:rPr>
        <w:t xml:space="preserve">3. </w:t>
      </w:r>
      <w:r w:rsidRPr="00394D9A">
        <w:rPr>
          <w:b/>
          <w:bCs/>
          <w:szCs w:val="22"/>
          <w:lang w:val="sr-Latn-RS"/>
        </w:rPr>
        <w:tab/>
        <w:t xml:space="preserve">FARMACEUTSKI OBLIK </w:t>
      </w:r>
    </w:p>
    <w:p w14:paraId="2C078A6E" w14:textId="77777777" w:rsidR="00523BC9" w:rsidRPr="00394D9A" w:rsidRDefault="00523BC9">
      <w:pPr>
        <w:widowControl w:val="0"/>
        <w:rPr>
          <w:szCs w:val="22"/>
          <w:lang w:val="sr-Latn-RS"/>
        </w:rPr>
      </w:pPr>
    </w:p>
    <w:p w14:paraId="441C9EF7" w14:textId="67F7E48B" w:rsidR="00CE09F3" w:rsidRPr="00394D9A" w:rsidRDefault="005D5797" w:rsidP="00DF17BA">
      <w:pPr>
        <w:widowControl w:val="0"/>
        <w:rPr>
          <w:szCs w:val="22"/>
          <w:lang w:val="sr-Latn-RS"/>
        </w:rPr>
      </w:pPr>
      <w:r w:rsidRPr="00394D9A">
        <w:rPr>
          <w:szCs w:val="22"/>
          <w:lang w:val="sr-Latn-RS"/>
        </w:rPr>
        <w:t>K</w:t>
      </w:r>
      <w:r w:rsidR="00F779D6" w:rsidRPr="00394D9A">
        <w:rPr>
          <w:szCs w:val="22"/>
          <w:lang w:val="sr-Latn-RS"/>
        </w:rPr>
        <w:t>apsula</w:t>
      </w:r>
      <w:r w:rsidRPr="00394D9A">
        <w:rPr>
          <w:szCs w:val="22"/>
          <w:lang w:val="sr-Latn-RS"/>
        </w:rPr>
        <w:t>, tvrda</w:t>
      </w:r>
      <w:r w:rsidR="00F779D6" w:rsidRPr="00394D9A">
        <w:rPr>
          <w:szCs w:val="22"/>
          <w:lang w:val="sr-Latn-RS"/>
        </w:rPr>
        <w:t>.</w:t>
      </w:r>
    </w:p>
    <w:p w14:paraId="38B8E99D" w14:textId="086ECB52" w:rsidR="00E76098" w:rsidRPr="00394D9A" w:rsidRDefault="00E76098" w:rsidP="00DF17BA">
      <w:pPr>
        <w:widowControl w:val="0"/>
        <w:rPr>
          <w:szCs w:val="22"/>
          <w:highlight w:val="yellow"/>
          <w:lang w:val="sr-Latn-RS"/>
        </w:rPr>
      </w:pPr>
    </w:p>
    <w:p w14:paraId="711DC38D" w14:textId="5C1B647A" w:rsidR="005D5797" w:rsidRPr="00394D9A" w:rsidRDefault="001F1F32" w:rsidP="00DF17BA">
      <w:pPr>
        <w:widowControl w:val="0"/>
        <w:rPr>
          <w:szCs w:val="22"/>
          <w:lang w:val="sr-Latn-RS"/>
        </w:rPr>
      </w:pPr>
      <w:r w:rsidRPr="00394D9A">
        <w:rPr>
          <w:szCs w:val="22"/>
          <w:lang w:val="sr-Latn-RS"/>
        </w:rPr>
        <w:t>K</w:t>
      </w:r>
      <w:r w:rsidR="005D5797" w:rsidRPr="00394D9A">
        <w:rPr>
          <w:szCs w:val="22"/>
          <w:lang w:val="sr-Latn-RS"/>
        </w:rPr>
        <w:t>apsule sa neprovidn</w:t>
      </w:r>
      <w:r w:rsidR="000B4D23" w:rsidRPr="00394D9A">
        <w:rPr>
          <w:szCs w:val="22"/>
          <w:lang w:val="sr-Latn-RS"/>
        </w:rPr>
        <w:t>i</w:t>
      </w:r>
      <w:r w:rsidR="005D5797" w:rsidRPr="00394D9A">
        <w:rPr>
          <w:szCs w:val="22"/>
          <w:lang w:val="sr-Latn-RS"/>
        </w:rPr>
        <w:t xml:space="preserve">m </w:t>
      </w:r>
      <w:r w:rsidR="00A639DA" w:rsidRPr="00394D9A">
        <w:rPr>
          <w:szCs w:val="22"/>
          <w:lang w:val="sr-Latn-RS"/>
        </w:rPr>
        <w:t>tijelom</w:t>
      </w:r>
      <w:r w:rsidR="005D5797" w:rsidRPr="00394D9A">
        <w:rPr>
          <w:szCs w:val="22"/>
          <w:lang w:val="sr-Latn-RS"/>
        </w:rPr>
        <w:t xml:space="preserve"> i kapom kapsule ružičaste boje</w:t>
      </w:r>
      <w:r w:rsidR="00E1584E" w:rsidRPr="00394D9A">
        <w:rPr>
          <w:szCs w:val="22"/>
          <w:lang w:val="sr-Latn-RS"/>
        </w:rPr>
        <w:t>,</w:t>
      </w:r>
      <w:r w:rsidR="00785A3B" w:rsidRPr="00394D9A">
        <w:rPr>
          <w:szCs w:val="22"/>
          <w:lang w:val="sr-Latn-RS"/>
        </w:rPr>
        <w:t xml:space="preserve"> veličine 0</w:t>
      </w:r>
      <w:r w:rsidR="00886739">
        <w:rPr>
          <w:szCs w:val="22"/>
          <w:lang w:val="sr-Latn-RS"/>
        </w:rPr>
        <w:t>el</w:t>
      </w:r>
      <w:r w:rsidR="00785A3B" w:rsidRPr="00394D9A">
        <w:rPr>
          <w:szCs w:val="22"/>
          <w:lang w:val="sr-Latn-RS"/>
        </w:rPr>
        <w:t xml:space="preserve"> (</w:t>
      </w:r>
      <w:r w:rsidR="00471C50" w:rsidRPr="00394D9A">
        <w:rPr>
          <w:szCs w:val="22"/>
          <w:lang w:val="sr-Latn-RS"/>
        </w:rPr>
        <w:t>približno 24 mm)</w:t>
      </w:r>
      <w:r w:rsidR="005D5797" w:rsidRPr="00394D9A">
        <w:rPr>
          <w:szCs w:val="22"/>
          <w:lang w:val="sr-Latn-RS"/>
        </w:rPr>
        <w:t xml:space="preserve"> i odštampanom oznakom „</w:t>
      </w:r>
      <w:r w:rsidR="00471C50" w:rsidRPr="00394D9A">
        <w:rPr>
          <w:szCs w:val="22"/>
          <w:lang w:val="sr-Latn-RS"/>
        </w:rPr>
        <w:t>DA</w:t>
      </w:r>
      <w:r w:rsidR="0010295F" w:rsidRPr="00394D9A">
        <w:rPr>
          <w:szCs w:val="22"/>
          <w:lang w:val="sr-Latn-RS"/>
        </w:rPr>
        <w:t>150</w:t>
      </w:r>
      <w:r w:rsidR="005D5797" w:rsidRPr="00394D9A">
        <w:rPr>
          <w:szCs w:val="22"/>
          <w:lang w:val="sr-Latn-RS"/>
        </w:rPr>
        <w:t>“.</w:t>
      </w:r>
    </w:p>
    <w:p w14:paraId="036BA316" w14:textId="77777777" w:rsidR="007463DB" w:rsidRPr="00394D9A" w:rsidRDefault="007463DB">
      <w:pPr>
        <w:widowControl w:val="0"/>
        <w:rPr>
          <w:szCs w:val="22"/>
          <w:lang w:val="sr-Latn-RS"/>
        </w:rPr>
      </w:pPr>
    </w:p>
    <w:p w14:paraId="1D7AC050" w14:textId="77777777" w:rsidR="005D5797" w:rsidRPr="00394D9A" w:rsidRDefault="005D5797">
      <w:pPr>
        <w:widowControl w:val="0"/>
        <w:rPr>
          <w:szCs w:val="22"/>
          <w:lang w:val="sr-Latn-RS"/>
        </w:rPr>
      </w:pPr>
    </w:p>
    <w:p w14:paraId="64D20C96" w14:textId="77777777" w:rsidR="00523BC9" w:rsidRPr="00394D9A" w:rsidRDefault="00523BC9">
      <w:pPr>
        <w:widowControl w:val="0"/>
        <w:tabs>
          <w:tab w:val="left" w:pos="540"/>
          <w:tab w:val="left" w:pos="569"/>
        </w:tabs>
        <w:rPr>
          <w:b/>
          <w:bCs/>
          <w:szCs w:val="22"/>
          <w:lang w:val="sr-Latn-RS"/>
        </w:rPr>
      </w:pPr>
      <w:r w:rsidRPr="00394D9A">
        <w:rPr>
          <w:b/>
          <w:bCs/>
          <w:szCs w:val="22"/>
          <w:lang w:val="sr-Latn-RS"/>
        </w:rPr>
        <w:t xml:space="preserve">4. </w:t>
      </w:r>
      <w:r w:rsidRPr="00394D9A">
        <w:rPr>
          <w:b/>
          <w:bCs/>
          <w:szCs w:val="22"/>
          <w:lang w:val="sr-Latn-RS"/>
        </w:rPr>
        <w:tab/>
        <w:t>KLINIČKI PODACI</w:t>
      </w:r>
    </w:p>
    <w:p w14:paraId="3DE3B353" w14:textId="77777777" w:rsidR="00523BC9" w:rsidRPr="00394D9A" w:rsidRDefault="00523BC9" w:rsidP="00187D17">
      <w:pPr>
        <w:widowControl w:val="0"/>
        <w:rPr>
          <w:b/>
          <w:bCs/>
          <w:szCs w:val="22"/>
          <w:lang w:val="sr-Latn-RS"/>
        </w:rPr>
      </w:pPr>
    </w:p>
    <w:p w14:paraId="75D33EAC" w14:textId="77777777" w:rsidR="00523BC9" w:rsidRPr="00394D9A" w:rsidRDefault="00523BC9" w:rsidP="00187D17">
      <w:pPr>
        <w:widowControl w:val="0"/>
        <w:tabs>
          <w:tab w:val="left" w:pos="540"/>
          <w:tab w:val="left" w:pos="569"/>
        </w:tabs>
        <w:rPr>
          <w:b/>
          <w:bCs/>
          <w:szCs w:val="22"/>
          <w:lang w:val="sr-Latn-RS"/>
        </w:rPr>
      </w:pPr>
      <w:r w:rsidRPr="00394D9A">
        <w:rPr>
          <w:b/>
          <w:bCs/>
          <w:szCs w:val="22"/>
          <w:lang w:val="sr-Latn-RS"/>
        </w:rPr>
        <w:t xml:space="preserve">4.1. </w:t>
      </w:r>
      <w:r w:rsidRPr="00394D9A">
        <w:rPr>
          <w:b/>
          <w:bCs/>
          <w:szCs w:val="22"/>
          <w:lang w:val="sr-Latn-RS"/>
        </w:rPr>
        <w:tab/>
        <w:t>Terapijske indikacije</w:t>
      </w:r>
    </w:p>
    <w:p w14:paraId="2D58C0B5" w14:textId="40E5ADD4" w:rsidR="001A2860" w:rsidRPr="00394D9A" w:rsidRDefault="001A2860" w:rsidP="00187D17">
      <w:pPr>
        <w:widowControl w:val="0"/>
        <w:rPr>
          <w:szCs w:val="22"/>
          <w:lang w:val="sr-Latn-RS"/>
        </w:rPr>
      </w:pPr>
    </w:p>
    <w:p w14:paraId="169059E1" w14:textId="6F37C078" w:rsidR="001A2860" w:rsidRPr="00394D9A" w:rsidRDefault="001A2860" w:rsidP="00187D17">
      <w:pPr>
        <w:widowControl w:val="0"/>
        <w:rPr>
          <w:szCs w:val="22"/>
          <w:lang w:val="sr-Latn-RS"/>
        </w:rPr>
      </w:pPr>
      <w:r w:rsidRPr="00394D9A">
        <w:rPr>
          <w:szCs w:val="22"/>
          <w:lang w:val="sr-Latn-RS"/>
        </w:rPr>
        <w:t>Prevencija moždanog udara i sistemske embolije kod odraslih pacijenata sa nevalvularnom atrijalnom fibrilacijom (</w:t>
      </w:r>
      <w:r w:rsidR="007463DB" w:rsidRPr="00394D9A">
        <w:rPr>
          <w:szCs w:val="22"/>
          <w:lang w:val="sr-Latn-RS"/>
        </w:rPr>
        <w:t xml:space="preserve">engl. </w:t>
      </w:r>
      <w:r w:rsidR="007463DB" w:rsidRPr="00394D9A">
        <w:rPr>
          <w:i/>
          <w:szCs w:val="22"/>
          <w:lang w:val="sr-Latn-RS"/>
        </w:rPr>
        <w:t>non valvular atrial fibrillation</w:t>
      </w:r>
      <w:r w:rsidR="007463DB" w:rsidRPr="00394D9A">
        <w:rPr>
          <w:szCs w:val="22"/>
          <w:lang w:val="sr-Latn-RS"/>
        </w:rPr>
        <w:t xml:space="preserve">, </w:t>
      </w:r>
      <w:r w:rsidRPr="00394D9A">
        <w:rPr>
          <w:szCs w:val="22"/>
          <w:lang w:val="sr-Latn-RS"/>
        </w:rPr>
        <w:t>NVAF) sa jednim ili više faktora rizika kao što su prethodni moždani udar ili tranzitorni ishemijski atak (TIA); starost ≥</w:t>
      </w:r>
      <w:r w:rsidR="007463DB" w:rsidRPr="00394D9A">
        <w:rPr>
          <w:szCs w:val="22"/>
          <w:lang w:val="sr-Latn-RS"/>
        </w:rPr>
        <w:t xml:space="preserve"> </w:t>
      </w:r>
      <w:r w:rsidRPr="00394D9A">
        <w:rPr>
          <w:szCs w:val="22"/>
          <w:lang w:val="sr-Latn-RS"/>
        </w:rPr>
        <w:t>75 godina; srčana insuficijencija (NYHA klasa ≥ II); dijabetes melitus; hipertenzija.</w:t>
      </w:r>
    </w:p>
    <w:p w14:paraId="08F4E20B" w14:textId="77777777" w:rsidR="001A2860" w:rsidRPr="00394D9A" w:rsidRDefault="001A2860" w:rsidP="00187D17">
      <w:pPr>
        <w:widowControl w:val="0"/>
        <w:rPr>
          <w:szCs w:val="22"/>
          <w:lang w:val="sr-Latn-RS"/>
        </w:rPr>
      </w:pPr>
    </w:p>
    <w:p w14:paraId="464A8232" w14:textId="3CDE4AAD" w:rsidR="001A2860" w:rsidRPr="00394D9A" w:rsidRDefault="001A2860" w:rsidP="00187D17">
      <w:pPr>
        <w:widowControl w:val="0"/>
        <w:rPr>
          <w:szCs w:val="22"/>
          <w:lang w:val="sr-Latn-RS"/>
        </w:rPr>
      </w:pPr>
      <w:r w:rsidRPr="00394D9A">
        <w:rPr>
          <w:szCs w:val="22"/>
          <w:lang w:val="sr-Latn-RS"/>
        </w:rPr>
        <w:t>L</w:t>
      </w:r>
      <w:r w:rsidR="00A639DA" w:rsidRPr="00394D9A">
        <w:rPr>
          <w:szCs w:val="22"/>
          <w:lang w:val="sr-Latn-RS"/>
        </w:rPr>
        <w:t>ij</w:t>
      </w:r>
      <w:r w:rsidRPr="00394D9A">
        <w:rPr>
          <w:szCs w:val="22"/>
          <w:lang w:val="sr-Latn-RS"/>
        </w:rPr>
        <w:t>ečenje duboke venske tromboze (DVT) i plućne embolije (PE) i prevencija rekurentne DVT i PE kod odraslih osoba.</w:t>
      </w:r>
    </w:p>
    <w:p w14:paraId="6DB5271A" w14:textId="77777777" w:rsidR="00001972" w:rsidRPr="00394D9A" w:rsidRDefault="00001972" w:rsidP="00187D17">
      <w:pPr>
        <w:widowControl w:val="0"/>
        <w:rPr>
          <w:szCs w:val="22"/>
          <w:lang w:val="sr-Latn-RS"/>
        </w:rPr>
      </w:pPr>
    </w:p>
    <w:p w14:paraId="61F6F74C" w14:textId="160B636E" w:rsidR="00001972" w:rsidRPr="00394D9A" w:rsidRDefault="00051233" w:rsidP="00187D17">
      <w:pPr>
        <w:widowControl w:val="0"/>
        <w:rPr>
          <w:szCs w:val="22"/>
          <w:lang w:val="sr-Latn-RS"/>
        </w:rPr>
      </w:pPr>
      <w:r w:rsidRPr="00394D9A">
        <w:rPr>
          <w:szCs w:val="22"/>
          <w:lang w:val="sr-Latn-RS"/>
        </w:rPr>
        <w:t xml:space="preserve">Liječenje </w:t>
      </w:r>
      <w:r w:rsidR="001F057D" w:rsidRPr="00394D9A">
        <w:rPr>
          <w:szCs w:val="22"/>
          <w:lang w:val="sr-Latn-RS"/>
        </w:rPr>
        <w:t>venskih tromboembolijskih događaja (</w:t>
      </w:r>
      <w:r w:rsidR="00001972" w:rsidRPr="00394D9A">
        <w:rPr>
          <w:szCs w:val="22"/>
          <w:lang w:val="sr-Latn-RS"/>
        </w:rPr>
        <w:t>VTE</w:t>
      </w:r>
      <w:r w:rsidR="001F057D" w:rsidRPr="00394D9A">
        <w:rPr>
          <w:szCs w:val="22"/>
          <w:lang w:val="sr-Latn-RS"/>
        </w:rPr>
        <w:t>)</w:t>
      </w:r>
      <w:r w:rsidR="00001972" w:rsidRPr="00394D9A">
        <w:rPr>
          <w:szCs w:val="22"/>
          <w:lang w:val="sr-Latn-RS"/>
        </w:rPr>
        <w:t xml:space="preserve"> i prevencija rekurentn</w:t>
      </w:r>
      <w:r w:rsidR="00E71F36" w:rsidRPr="00394D9A">
        <w:rPr>
          <w:szCs w:val="22"/>
          <w:lang w:val="sr-Latn-RS"/>
        </w:rPr>
        <w:t>ih</w:t>
      </w:r>
      <w:r w:rsidR="00001972" w:rsidRPr="00394D9A">
        <w:rPr>
          <w:szCs w:val="22"/>
          <w:lang w:val="sr-Latn-RS"/>
        </w:rPr>
        <w:t xml:space="preserve"> VTE kod pedijatrijskih pacijenata </w:t>
      </w:r>
      <w:r w:rsidR="00AB0BC3" w:rsidRPr="00AB0BC3">
        <w:rPr>
          <w:szCs w:val="22"/>
          <w:lang w:val="sr-Latn-RS"/>
        </w:rPr>
        <w:t>od trenutka kada djete može progutati kašastu hranu</w:t>
      </w:r>
      <w:r w:rsidR="0045123C" w:rsidRPr="00394D9A">
        <w:rPr>
          <w:szCs w:val="22"/>
          <w:lang w:val="sr-Latn-RS"/>
        </w:rPr>
        <w:t xml:space="preserve">do </w:t>
      </w:r>
      <w:r w:rsidR="00B625CA" w:rsidRPr="00394D9A">
        <w:rPr>
          <w:szCs w:val="22"/>
          <w:lang w:val="sr-Latn-RS"/>
        </w:rPr>
        <w:t xml:space="preserve">manje od </w:t>
      </w:r>
      <w:r w:rsidR="0045123C" w:rsidRPr="00394D9A">
        <w:rPr>
          <w:szCs w:val="22"/>
          <w:lang w:val="sr-Latn-RS"/>
        </w:rPr>
        <w:t xml:space="preserve">18 </w:t>
      </w:r>
      <w:r w:rsidR="00001972" w:rsidRPr="00394D9A">
        <w:rPr>
          <w:szCs w:val="22"/>
          <w:lang w:val="sr-Latn-RS"/>
        </w:rPr>
        <w:t>godina.</w:t>
      </w:r>
    </w:p>
    <w:p w14:paraId="3D3F389A" w14:textId="77777777" w:rsidR="00C0373E" w:rsidRPr="00394D9A" w:rsidRDefault="00C0373E" w:rsidP="00187D17">
      <w:pPr>
        <w:widowControl w:val="0"/>
        <w:rPr>
          <w:szCs w:val="22"/>
          <w:lang w:val="sr-Latn-RS"/>
        </w:rPr>
      </w:pPr>
    </w:p>
    <w:p w14:paraId="592CB660" w14:textId="70E9EAA4" w:rsidR="00C0373E" w:rsidRPr="00394D9A" w:rsidRDefault="00C0373E" w:rsidP="00187D17">
      <w:pPr>
        <w:widowControl w:val="0"/>
        <w:rPr>
          <w:szCs w:val="22"/>
          <w:lang w:val="sr-Latn-RS"/>
        </w:rPr>
      </w:pPr>
      <w:r w:rsidRPr="00394D9A">
        <w:rPr>
          <w:szCs w:val="22"/>
          <w:lang w:val="sr-Latn-RS"/>
        </w:rPr>
        <w:t>Za oblike doza prikladne za određenu dob, vidjeti dio 4.2.</w:t>
      </w:r>
    </w:p>
    <w:p w14:paraId="039C0BE8" w14:textId="77777777" w:rsidR="00CE09F3" w:rsidRPr="00394D9A" w:rsidRDefault="00CE09F3" w:rsidP="00187D17">
      <w:pPr>
        <w:widowControl w:val="0"/>
        <w:rPr>
          <w:szCs w:val="22"/>
          <w:lang w:val="sr-Latn-RS"/>
        </w:rPr>
      </w:pPr>
    </w:p>
    <w:p w14:paraId="5A7E3D25" w14:textId="77777777" w:rsidR="00523BC9" w:rsidRPr="00394D9A" w:rsidRDefault="00523BC9" w:rsidP="00187D17">
      <w:pPr>
        <w:widowControl w:val="0"/>
        <w:tabs>
          <w:tab w:val="left" w:pos="540"/>
          <w:tab w:val="left" w:pos="569"/>
        </w:tabs>
        <w:rPr>
          <w:b/>
          <w:bCs/>
          <w:szCs w:val="22"/>
          <w:lang w:val="sr-Latn-RS"/>
        </w:rPr>
      </w:pPr>
      <w:r w:rsidRPr="00394D9A">
        <w:rPr>
          <w:b/>
          <w:bCs/>
          <w:szCs w:val="22"/>
          <w:lang w:val="sr-Latn-RS"/>
        </w:rPr>
        <w:t xml:space="preserve">4.2. </w:t>
      </w:r>
      <w:r w:rsidRPr="00394D9A">
        <w:rPr>
          <w:b/>
          <w:bCs/>
          <w:szCs w:val="22"/>
          <w:lang w:val="sr-Latn-RS"/>
        </w:rPr>
        <w:tab/>
        <w:t>Doziranje i način primjene</w:t>
      </w:r>
    </w:p>
    <w:p w14:paraId="459343B3" w14:textId="4165FD5B" w:rsidR="00CE09F3" w:rsidRPr="00394D9A" w:rsidRDefault="00CE09F3" w:rsidP="00187D17">
      <w:pPr>
        <w:widowControl w:val="0"/>
        <w:rPr>
          <w:szCs w:val="22"/>
          <w:lang w:val="sr-Latn-RS"/>
        </w:rPr>
      </w:pPr>
    </w:p>
    <w:p w14:paraId="3BE085FD" w14:textId="008C863B" w:rsidR="001A2860" w:rsidRPr="00394D9A" w:rsidRDefault="00E76098" w:rsidP="00187D17">
      <w:pPr>
        <w:widowControl w:val="0"/>
        <w:rPr>
          <w:szCs w:val="22"/>
          <w:u w:val="single"/>
          <w:lang w:val="sr-Latn-RS"/>
        </w:rPr>
      </w:pPr>
      <w:r w:rsidRPr="00394D9A">
        <w:rPr>
          <w:szCs w:val="22"/>
          <w:u w:val="single"/>
          <w:lang w:val="sr-Latn-RS"/>
        </w:rPr>
        <w:t>Doziranje</w:t>
      </w:r>
    </w:p>
    <w:p w14:paraId="09A8FA3C" w14:textId="77777777" w:rsidR="002F432C" w:rsidRPr="00394D9A" w:rsidRDefault="002F432C" w:rsidP="00187D17">
      <w:pPr>
        <w:widowControl w:val="0"/>
        <w:rPr>
          <w:szCs w:val="22"/>
          <w:u w:val="single"/>
          <w:lang w:val="sr-Latn-RS"/>
        </w:rPr>
      </w:pPr>
    </w:p>
    <w:p w14:paraId="67A3988A" w14:textId="4147872E" w:rsidR="002F432C" w:rsidRPr="00394D9A" w:rsidRDefault="002F432C" w:rsidP="00187D17">
      <w:pPr>
        <w:widowControl w:val="0"/>
        <w:rPr>
          <w:szCs w:val="22"/>
          <w:lang w:val="sr-Latn-RS"/>
        </w:rPr>
      </w:pPr>
      <w:r w:rsidRPr="00394D9A">
        <w:rPr>
          <w:szCs w:val="22"/>
          <w:lang w:val="sr-Latn-RS"/>
        </w:rPr>
        <w:t>L</w:t>
      </w:r>
      <w:r w:rsidR="00605200" w:rsidRPr="00394D9A">
        <w:rPr>
          <w:szCs w:val="22"/>
          <w:lang w:val="sr-Latn-RS"/>
        </w:rPr>
        <w:t>ij</w:t>
      </w:r>
      <w:r w:rsidRPr="00394D9A">
        <w:rPr>
          <w:szCs w:val="22"/>
          <w:lang w:val="sr-Latn-RS"/>
        </w:rPr>
        <w:t xml:space="preserve">ek </w:t>
      </w:r>
      <w:r w:rsidR="00781E02" w:rsidRPr="00394D9A">
        <w:rPr>
          <w:szCs w:val="22"/>
          <w:lang w:val="sr-Latn-RS"/>
        </w:rPr>
        <w:t xml:space="preserve">Dabigatran SK </w:t>
      </w:r>
      <w:r w:rsidRPr="00394D9A">
        <w:rPr>
          <w:szCs w:val="22"/>
          <w:lang w:val="sr-Latn-RS"/>
        </w:rPr>
        <w:t>kapsule se mogu prim</w:t>
      </w:r>
      <w:r w:rsidR="00054680" w:rsidRPr="00394D9A">
        <w:rPr>
          <w:szCs w:val="22"/>
          <w:lang w:val="sr-Latn-RS"/>
        </w:rPr>
        <w:t>ij</w:t>
      </w:r>
      <w:r w:rsidRPr="00394D9A">
        <w:rPr>
          <w:szCs w:val="22"/>
          <w:lang w:val="sr-Latn-RS"/>
        </w:rPr>
        <w:t>eniti kod odraslih i pedijatrijskih pacijenata uzrasta od 8 godina ili starijih koji mogu progutati c</w:t>
      </w:r>
      <w:r w:rsidR="00054680" w:rsidRPr="00394D9A">
        <w:rPr>
          <w:szCs w:val="22"/>
          <w:lang w:val="sr-Latn-RS"/>
        </w:rPr>
        <w:t>ij</w:t>
      </w:r>
      <w:r w:rsidRPr="00394D9A">
        <w:rPr>
          <w:szCs w:val="22"/>
          <w:lang w:val="sr-Latn-RS"/>
        </w:rPr>
        <w:t>ele kapsule.</w:t>
      </w:r>
    </w:p>
    <w:p w14:paraId="0A1FC1B3" w14:textId="28399E9C" w:rsidR="002F432C" w:rsidRPr="00394D9A" w:rsidRDefault="007300CC" w:rsidP="00187D17">
      <w:pPr>
        <w:widowControl w:val="0"/>
        <w:rPr>
          <w:szCs w:val="22"/>
          <w:lang w:val="sr-Latn-RS"/>
        </w:rPr>
      </w:pPr>
      <w:r w:rsidRPr="00394D9A">
        <w:rPr>
          <w:szCs w:val="22"/>
          <w:lang w:val="sr-Latn-RS"/>
        </w:rPr>
        <w:t>Kod prelaska između formulacija, možda će biti potrebno prom</w:t>
      </w:r>
      <w:r w:rsidR="00054680" w:rsidRPr="00394D9A">
        <w:rPr>
          <w:szCs w:val="22"/>
          <w:lang w:val="sr-Latn-RS"/>
        </w:rPr>
        <w:t>ij</w:t>
      </w:r>
      <w:r w:rsidRPr="00394D9A">
        <w:rPr>
          <w:szCs w:val="22"/>
          <w:lang w:val="sr-Latn-RS"/>
        </w:rPr>
        <w:t xml:space="preserve">eniti propisanu dozu. </w:t>
      </w:r>
      <w:r w:rsidR="002F432C" w:rsidRPr="00394D9A">
        <w:rPr>
          <w:szCs w:val="22"/>
          <w:lang w:val="sr-Latn-RS"/>
        </w:rPr>
        <w:t>Dozu navedenu u odgovarajućoj tabeli za doziranje potrebno je propisati na osnovu t</w:t>
      </w:r>
      <w:r w:rsidR="00054680" w:rsidRPr="00394D9A">
        <w:rPr>
          <w:szCs w:val="22"/>
          <w:lang w:val="sr-Latn-RS"/>
        </w:rPr>
        <w:t>j</w:t>
      </w:r>
      <w:r w:rsidR="002F432C" w:rsidRPr="00394D9A">
        <w:rPr>
          <w:szCs w:val="22"/>
          <w:lang w:val="sr-Latn-RS"/>
        </w:rPr>
        <w:t>elesne mase i starosne dobi d</w:t>
      </w:r>
      <w:r w:rsidR="00054680" w:rsidRPr="00394D9A">
        <w:rPr>
          <w:szCs w:val="22"/>
          <w:lang w:val="sr-Latn-RS"/>
        </w:rPr>
        <w:t>j</w:t>
      </w:r>
      <w:r w:rsidR="002F432C" w:rsidRPr="00394D9A">
        <w:rPr>
          <w:szCs w:val="22"/>
          <w:lang w:val="sr-Latn-RS"/>
        </w:rPr>
        <w:t>eteta.</w:t>
      </w:r>
    </w:p>
    <w:p w14:paraId="2A06431A" w14:textId="77777777" w:rsidR="006668BB" w:rsidRPr="00394D9A" w:rsidRDefault="006668BB" w:rsidP="00187D17">
      <w:pPr>
        <w:widowControl w:val="0"/>
        <w:rPr>
          <w:szCs w:val="22"/>
          <w:u w:val="single"/>
          <w:lang w:val="sr-Latn-RS"/>
        </w:rPr>
      </w:pPr>
    </w:p>
    <w:p w14:paraId="75516C04" w14:textId="5EE80E56" w:rsidR="001A2860" w:rsidRPr="00394D9A" w:rsidRDefault="001A2860" w:rsidP="00187D17">
      <w:pPr>
        <w:widowControl w:val="0"/>
        <w:rPr>
          <w:b/>
          <w:bCs/>
          <w:i/>
          <w:iCs/>
          <w:szCs w:val="22"/>
          <w:u w:val="single"/>
          <w:lang w:val="sr-Latn-RS"/>
        </w:rPr>
      </w:pPr>
      <w:r w:rsidRPr="00394D9A">
        <w:rPr>
          <w:b/>
          <w:bCs/>
          <w:i/>
          <w:iCs/>
          <w:szCs w:val="22"/>
          <w:u w:val="single"/>
          <w:lang w:val="sr-Latn-RS"/>
        </w:rPr>
        <w:t>Prevencija moždanog udara i sistemske embolije kod odraslih pacijenata sa NVAF sa jednim ili više faktora rizika (prevencija MU i SE kod AF)</w:t>
      </w:r>
    </w:p>
    <w:p w14:paraId="3EC19F05" w14:textId="25538F18" w:rsidR="001A2860" w:rsidRPr="00394D9A" w:rsidRDefault="001A2860" w:rsidP="00187D17">
      <w:pPr>
        <w:widowControl w:val="0"/>
        <w:rPr>
          <w:b/>
          <w:bCs/>
          <w:i/>
          <w:iCs/>
          <w:szCs w:val="22"/>
          <w:u w:val="single"/>
          <w:lang w:val="sr-Latn-RS"/>
        </w:rPr>
      </w:pPr>
      <w:r w:rsidRPr="00394D9A">
        <w:rPr>
          <w:b/>
          <w:bCs/>
          <w:i/>
          <w:iCs/>
          <w:szCs w:val="22"/>
          <w:u w:val="single"/>
          <w:lang w:val="sr-Latn-RS"/>
        </w:rPr>
        <w:t>L</w:t>
      </w:r>
      <w:r w:rsidR="00A639DA" w:rsidRPr="00394D9A">
        <w:rPr>
          <w:b/>
          <w:bCs/>
          <w:i/>
          <w:iCs/>
          <w:szCs w:val="22"/>
          <w:u w:val="single"/>
          <w:lang w:val="sr-Latn-RS"/>
        </w:rPr>
        <w:t>ij</w:t>
      </w:r>
      <w:r w:rsidRPr="00394D9A">
        <w:rPr>
          <w:b/>
          <w:bCs/>
          <w:i/>
          <w:iCs/>
          <w:szCs w:val="22"/>
          <w:u w:val="single"/>
          <w:lang w:val="sr-Latn-RS"/>
        </w:rPr>
        <w:t>ečenje duboke venske tromboze (DVT) i plućne embolije (PE) i prevencija rekurentne DVT i PE kod odraslih osoba (DVT/PE)</w:t>
      </w:r>
    </w:p>
    <w:p w14:paraId="24FE65E0" w14:textId="6C56877F" w:rsidR="001A2860" w:rsidRPr="00394D9A" w:rsidRDefault="001A2860" w:rsidP="00187D17">
      <w:pPr>
        <w:widowControl w:val="0"/>
        <w:rPr>
          <w:szCs w:val="22"/>
          <w:lang w:val="sr-Latn-RS"/>
        </w:rPr>
      </w:pPr>
    </w:p>
    <w:p w14:paraId="11203556" w14:textId="5C0053FF" w:rsidR="001A2860" w:rsidRPr="00394D9A" w:rsidRDefault="001A2860" w:rsidP="00187D17">
      <w:pPr>
        <w:widowControl w:val="0"/>
        <w:rPr>
          <w:szCs w:val="22"/>
          <w:lang w:val="sr-Latn-RS"/>
        </w:rPr>
      </w:pPr>
      <w:r w:rsidRPr="00394D9A">
        <w:rPr>
          <w:szCs w:val="22"/>
          <w:lang w:val="sr-Latn-RS"/>
        </w:rPr>
        <w:t xml:space="preserve">Preporučene doze </w:t>
      </w:r>
      <w:r w:rsidR="00A639DA" w:rsidRPr="00394D9A">
        <w:rPr>
          <w:szCs w:val="22"/>
          <w:lang w:val="sr-Latn-RS"/>
        </w:rPr>
        <w:t>lijeka</w:t>
      </w:r>
      <w:r w:rsidRPr="00394D9A">
        <w:rPr>
          <w:szCs w:val="22"/>
          <w:lang w:val="sr-Latn-RS"/>
        </w:rPr>
        <w:t xml:space="preserve"> Dabigatran SK u indikaciji prevencije MU i SE kod AF i indikaciji DVT i PE </w:t>
      </w:r>
      <w:r w:rsidRPr="00394D9A">
        <w:rPr>
          <w:szCs w:val="22"/>
          <w:lang w:val="sr-Latn-RS"/>
        </w:rPr>
        <w:lastRenderedPageBreak/>
        <w:t xml:space="preserve">prikazane su u tabeli </w:t>
      </w:r>
      <w:r w:rsidR="008A4300" w:rsidRPr="00394D9A">
        <w:rPr>
          <w:szCs w:val="22"/>
          <w:lang w:val="sr-Latn-RS"/>
        </w:rPr>
        <w:t>1</w:t>
      </w:r>
      <w:r w:rsidRPr="00394D9A">
        <w:rPr>
          <w:szCs w:val="22"/>
          <w:lang w:val="sr-Latn-RS"/>
        </w:rPr>
        <w:t>.</w:t>
      </w:r>
    </w:p>
    <w:p w14:paraId="61CB0268" w14:textId="77777777" w:rsidR="001A2860" w:rsidRPr="00394D9A" w:rsidRDefault="001A2860" w:rsidP="00187D17">
      <w:pPr>
        <w:widowControl w:val="0"/>
        <w:rPr>
          <w:szCs w:val="22"/>
          <w:lang w:val="sr-Latn-RS"/>
        </w:rPr>
      </w:pPr>
    </w:p>
    <w:p w14:paraId="03F2135A" w14:textId="09F19823" w:rsidR="001A2860" w:rsidRPr="00394D9A" w:rsidRDefault="001A2860" w:rsidP="00187D17">
      <w:pPr>
        <w:widowControl w:val="0"/>
        <w:rPr>
          <w:b/>
          <w:bCs/>
          <w:szCs w:val="22"/>
          <w:lang w:val="sr-Latn-RS"/>
        </w:rPr>
      </w:pPr>
      <w:r w:rsidRPr="00394D9A">
        <w:rPr>
          <w:b/>
          <w:bCs/>
          <w:szCs w:val="22"/>
          <w:lang w:val="sr-Latn-RS"/>
        </w:rPr>
        <w:t xml:space="preserve">Tabela </w:t>
      </w:r>
      <w:r w:rsidR="008A4300" w:rsidRPr="00394D9A">
        <w:rPr>
          <w:b/>
          <w:bCs/>
          <w:szCs w:val="22"/>
          <w:lang w:val="sr-Latn-RS"/>
        </w:rPr>
        <w:t>1</w:t>
      </w:r>
      <w:r w:rsidRPr="00394D9A">
        <w:rPr>
          <w:b/>
          <w:bCs/>
          <w:szCs w:val="22"/>
          <w:lang w:val="sr-Latn-RS"/>
        </w:rPr>
        <w:t>: Preporučene doze za prevenciju MU i SE kod AF i preporučene doze za DVT i PE</w:t>
      </w:r>
    </w:p>
    <w:p w14:paraId="6E71B2C5" w14:textId="16DED341" w:rsidR="00AF3417" w:rsidRPr="00394D9A" w:rsidRDefault="00AF3417" w:rsidP="00187D17">
      <w:pPr>
        <w:widowControl w:val="0"/>
        <w:rPr>
          <w:b/>
          <w:bCs/>
          <w:szCs w:val="22"/>
          <w:lang w:val="sr-Latn-RS"/>
        </w:rPr>
      </w:pPr>
    </w:p>
    <w:tbl>
      <w:tblPr>
        <w:tblStyle w:val="TableGrid"/>
        <w:tblW w:w="0" w:type="auto"/>
        <w:tblLook w:val="04A0" w:firstRow="1" w:lastRow="0" w:firstColumn="1" w:lastColumn="0" w:noHBand="0" w:noVBand="1"/>
      </w:tblPr>
      <w:tblGrid>
        <w:gridCol w:w="4396"/>
        <w:gridCol w:w="4665"/>
      </w:tblGrid>
      <w:tr w:rsidR="001A2860" w:rsidRPr="00394D9A" w14:paraId="280603A7" w14:textId="77777777" w:rsidTr="00DF17BA">
        <w:tc>
          <w:tcPr>
            <w:tcW w:w="0" w:type="auto"/>
          </w:tcPr>
          <w:p w14:paraId="22411763" w14:textId="77777777" w:rsidR="001A2860" w:rsidRPr="00394D9A" w:rsidRDefault="001A2860" w:rsidP="00187D17">
            <w:pPr>
              <w:widowControl w:val="0"/>
              <w:rPr>
                <w:b/>
                <w:bCs/>
                <w:szCs w:val="22"/>
                <w:lang w:val="sr-Latn-RS"/>
              </w:rPr>
            </w:pPr>
          </w:p>
        </w:tc>
        <w:tc>
          <w:tcPr>
            <w:tcW w:w="0" w:type="auto"/>
          </w:tcPr>
          <w:p w14:paraId="362AEE55" w14:textId="01F0E19B" w:rsidR="001A2860" w:rsidRPr="00394D9A" w:rsidRDefault="001A2860" w:rsidP="00187D17">
            <w:pPr>
              <w:widowControl w:val="0"/>
              <w:rPr>
                <w:b/>
                <w:bCs/>
                <w:szCs w:val="22"/>
                <w:lang w:val="sr-Latn-RS"/>
              </w:rPr>
            </w:pPr>
            <w:r w:rsidRPr="00394D9A">
              <w:rPr>
                <w:b/>
                <w:bCs/>
                <w:szCs w:val="22"/>
                <w:lang w:val="sr-Latn-RS"/>
              </w:rPr>
              <w:t>Preporučena doza</w:t>
            </w:r>
          </w:p>
        </w:tc>
      </w:tr>
      <w:tr w:rsidR="001A2860" w:rsidRPr="00A01BFA" w14:paraId="64D152A8" w14:textId="77777777" w:rsidTr="00DF17BA">
        <w:tc>
          <w:tcPr>
            <w:tcW w:w="0" w:type="auto"/>
            <w:vAlign w:val="center"/>
          </w:tcPr>
          <w:p w14:paraId="09C6F02B" w14:textId="7B4768D1" w:rsidR="001A2860" w:rsidRPr="00394D9A" w:rsidRDefault="001A2860" w:rsidP="00187D17">
            <w:pPr>
              <w:widowControl w:val="0"/>
              <w:jc w:val="left"/>
              <w:rPr>
                <w:szCs w:val="22"/>
                <w:lang w:val="sr-Latn-RS"/>
              </w:rPr>
            </w:pPr>
            <w:r w:rsidRPr="00394D9A">
              <w:rPr>
                <w:szCs w:val="22"/>
                <w:lang w:val="sr-Latn-RS"/>
              </w:rPr>
              <w:t>Prevencija moždanog udara i sistemske embolije kod odraslih pacijenata s</w:t>
            </w:r>
            <w:r w:rsidR="003D2DBC" w:rsidRPr="00394D9A">
              <w:rPr>
                <w:szCs w:val="22"/>
                <w:lang w:val="sr-Latn-RS"/>
              </w:rPr>
              <w:t>a</w:t>
            </w:r>
            <w:r w:rsidRPr="00394D9A">
              <w:rPr>
                <w:szCs w:val="22"/>
                <w:lang w:val="sr-Latn-RS"/>
              </w:rPr>
              <w:t xml:space="preserve"> NVAF i jednim ili više faktora rizika (prevencija MU i SE kod AF)</w:t>
            </w:r>
          </w:p>
        </w:tc>
        <w:tc>
          <w:tcPr>
            <w:tcW w:w="0" w:type="auto"/>
            <w:vAlign w:val="center"/>
          </w:tcPr>
          <w:p w14:paraId="2FF85493" w14:textId="77A27458" w:rsidR="001A2860" w:rsidRPr="00394D9A" w:rsidRDefault="001A2860" w:rsidP="00187D17">
            <w:pPr>
              <w:widowControl w:val="0"/>
              <w:jc w:val="left"/>
              <w:rPr>
                <w:szCs w:val="22"/>
                <w:lang w:val="sr-Latn-RS"/>
              </w:rPr>
            </w:pPr>
            <w:r w:rsidRPr="00394D9A">
              <w:rPr>
                <w:szCs w:val="22"/>
                <w:lang w:val="sr-Latn-RS"/>
              </w:rPr>
              <w:t xml:space="preserve">300 mg </w:t>
            </w:r>
            <w:r w:rsidR="00A639DA" w:rsidRPr="00394D9A">
              <w:rPr>
                <w:szCs w:val="22"/>
                <w:lang w:val="sr-Latn-RS"/>
              </w:rPr>
              <w:t>lijeka</w:t>
            </w:r>
            <w:r w:rsidRPr="00394D9A">
              <w:rPr>
                <w:szCs w:val="22"/>
                <w:lang w:val="sr-Latn-RS"/>
              </w:rPr>
              <w:t xml:space="preserve"> </w:t>
            </w:r>
            <w:r w:rsidR="00056A5F" w:rsidRPr="00394D9A">
              <w:rPr>
                <w:szCs w:val="22"/>
                <w:lang w:val="sr-Latn-RS"/>
              </w:rPr>
              <w:t>Dabigatran SK</w:t>
            </w:r>
            <w:r w:rsidRPr="00394D9A">
              <w:rPr>
                <w:szCs w:val="22"/>
                <w:lang w:val="sr-Latn-RS"/>
              </w:rPr>
              <w:t xml:space="preserve"> uzetog u obliku jedne </w:t>
            </w:r>
            <w:r w:rsidR="005D5797" w:rsidRPr="00394D9A">
              <w:rPr>
                <w:szCs w:val="22"/>
                <w:lang w:val="sr-Latn-RS"/>
              </w:rPr>
              <w:t>k</w:t>
            </w:r>
            <w:r w:rsidRPr="00394D9A">
              <w:rPr>
                <w:szCs w:val="22"/>
                <w:lang w:val="sr-Latn-RS"/>
              </w:rPr>
              <w:t>apsule od 150 mg dva puta dnevno</w:t>
            </w:r>
          </w:p>
        </w:tc>
      </w:tr>
      <w:tr w:rsidR="001A2860" w:rsidRPr="00A01BFA" w14:paraId="0D88F387" w14:textId="77777777" w:rsidTr="00DF17BA">
        <w:tc>
          <w:tcPr>
            <w:tcW w:w="0" w:type="auto"/>
            <w:vAlign w:val="center"/>
          </w:tcPr>
          <w:p w14:paraId="4D5CED45" w14:textId="23E2242B" w:rsidR="001A2860" w:rsidRPr="00394D9A" w:rsidRDefault="001A2860" w:rsidP="00187D17">
            <w:pPr>
              <w:widowControl w:val="0"/>
              <w:jc w:val="left"/>
              <w:rPr>
                <w:szCs w:val="22"/>
                <w:lang w:val="sr-Latn-RS"/>
              </w:rPr>
            </w:pPr>
            <w:r w:rsidRPr="00394D9A">
              <w:rPr>
                <w:szCs w:val="22"/>
                <w:lang w:val="sr-Latn-RS"/>
              </w:rPr>
              <w:t>L</w:t>
            </w:r>
            <w:r w:rsidR="00A639DA" w:rsidRPr="00394D9A">
              <w:rPr>
                <w:szCs w:val="22"/>
                <w:lang w:val="sr-Latn-RS"/>
              </w:rPr>
              <w:t>ij</w:t>
            </w:r>
            <w:r w:rsidRPr="00394D9A">
              <w:rPr>
                <w:szCs w:val="22"/>
                <w:lang w:val="sr-Latn-RS"/>
              </w:rPr>
              <w:t xml:space="preserve">ečenje duboke venske tromboze (DVT) </w:t>
            </w:r>
            <w:r w:rsidR="00056A5F" w:rsidRPr="00394D9A">
              <w:rPr>
                <w:szCs w:val="22"/>
                <w:lang w:val="sr-Latn-RS"/>
              </w:rPr>
              <w:t xml:space="preserve">i </w:t>
            </w:r>
            <w:r w:rsidRPr="00394D9A">
              <w:rPr>
                <w:szCs w:val="22"/>
                <w:lang w:val="sr-Latn-RS"/>
              </w:rPr>
              <w:t>plućne embolije (PE) i prevencija rekurentne</w:t>
            </w:r>
            <w:r w:rsidR="00056A5F" w:rsidRPr="00394D9A">
              <w:rPr>
                <w:szCs w:val="22"/>
                <w:lang w:val="sr-Latn-RS"/>
              </w:rPr>
              <w:t xml:space="preserve"> </w:t>
            </w:r>
            <w:r w:rsidRPr="00394D9A">
              <w:rPr>
                <w:szCs w:val="22"/>
                <w:lang w:val="sr-Latn-RS"/>
              </w:rPr>
              <w:t>DVT i PE kod odraslih osoba (DVT/PE)</w:t>
            </w:r>
          </w:p>
        </w:tc>
        <w:tc>
          <w:tcPr>
            <w:tcW w:w="0" w:type="auto"/>
            <w:vAlign w:val="center"/>
          </w:tcPr>
          <w:p w14:paraId="01073BAC" w14:textId="3DC03226" w:rsidR="001A2860" w:rsidRPr="00394D9A" w:rsidRDefault="001A2860" w:rsidP="00187D17">
            <w:pPr>
              <w:widowControl w:val="0"/>
              <w:jc w:val="left"/>
              <w:rPr>
                <w:szCs w:val="22"/>
                <w:lang w:val="sr-Latn-RS"/>
              </w:rPr>
            </w:pPr>
            <w:r w:rsidRPr="00394D9A">
              <w:rPr>
                <w:szCs w:val="22"/>
                <w:lang w:val="sr-Latn-RS"/>
              </w:rPr>
              <w:t xml:space="preserve">300 mg </w:t>
            </w:r>
            <w:r w:rsidR="00A639DA" w:rsidRPr="00394D9A">
              <w:rPr>
                <w:szCs w:val="22"/>
                <w:lang w:val="sr-Latn-RS"/>
              </w:rPr>
              <w:t>lijeka</w:t>
            </w:r>
            <w:r w:rsidRPr="00394D9A">
              <w:rPr>
                <w:szCs w:val="22"/>
                <w:lang w:val="sr-Latn-RS"/>
              </w:rPr>
              <w:t xml:space="preserve"> </w:t>
            </w:r>
            <w:r w:rsidR="00056A5F" w:rsidRPr="00394D9A">
              <w:rPr>
                <w:szCs w:val="22"/>
                <w:lang w:val="sr-Latn-RS"/>
              </w:rPr>
              <w:t>Dabigatran SK</w:t>
            </w:r>
            <w:r w:rsidRPr="00394D9A">
              <w:rPr>
                <w:szCs w:val="22"/>
                <w:lang w:val="sr-Latn-RS"/>
              </w:rPr>
              <w:t xml:space="preserve"> uzetog u obliku jedne</w:t>
            </w:r>
            <w:r w:rsidR="00056A5F" w:rsidRPr="00394D9A">
              <w:rPr>
                <w:szCs w:val="22"/>
                <w:lang w:val="sr-Latn-RS"/>
              </w:rPr>
              <w:t xml:space="preserve"> </w:t>
            </w:r>
            <w:r w:rsidRPr="00394D9A">
              <w:rPr>
                <w:szCs w:val="22"/>
                <w:lang w:val="sr-Latn-RS"/>
              </w:rPr>
              <w:t>kapsule od</w:t>
            </w:r>
            <w:r w:rsidR="00056A5F" w:rsidRPr="00394D9A">
              <w:rPr>
                <w:szCs w:val="22"/>
                <w:lang w:val="sr-Latn-RS"/>
              </w:rPr>
              <w:t xml:space="preserve"> </w:t>
            </w:r>
            <w:r w:rsidRPr="00394D9A">
              <w:rPr>
                <w:szCs w:val="22"/>
                <w:lang w:val="sr-Latn-RS"/>
              </w:rPr>
              <w:t>150 mg dva puta dnevno nakon</w:t>
            </w:r>
            <w:r w:rsidR="00056A5F" w:rsidRPr="00394D9A">
              <w:rPr>
                <w:szCs w:val="22"/>
                <w:lang w:val="sr-Latn-RS"/>
              </w:rPr>
              <w:t xml:space="preserve"> </w:t>
            </w:r>
            <w:r w:rsidRPr="00394D9A">
              <w:rPr>
                <w:szCs w:val="22"/>
                <w:lang w:val="sr-Latn-RS"/>
              </w:rPr>
              <w:t>terapije parenteralnim</w:t>
            </w:r>
            <w:r w:rsidR="00056A5F" w:rsidRPr="00394D9A">
              <w:rPr>
                <w:szCs w:val="22"/>
                <w:lang w:val="sr-Latn-RS"/>
              </w:rPr>
              <w:t xml:space="preserve"> </w:t>
            </w:r>
            <w:r w:rsidRPr="00394D9A">
              <w:rPr>
                <w:szCs w:val="22"/>
                <w:lang w:val="sr-Latn-RS"/>
              </w:rPr>
              <w:t>antikoagulansom u trajanju od najmanje 5 dana</w:t>
            </w:r>
          </w:p>
        </w:tc>
      </w:tr>
      <w:tr w:rsidR="001A2860" w:rsidRPr="00394D9A" w14:paraId="6D5D611A" w14:textId="77777777" w:rsidTr="00DF17BA">
        <w:tc>
          <w:tcPr>
            <w:tcW w:w="0" w:type="auto"/>
            <w:vAlign w:val="center"/>
          </w:tcPr>
          <w:p w14:paraId="59F344CE" w14:textId="064C993B" w:rsidR="001A2860" w:rsidRPr="00394D9A" w:rsidRDefault="001A2860" w:rsidP="00187D17">
            <w:pPr>
              <w:widowControl w:val="0"/>
              <w:jc w:val="left"/>
              <w:rPr>
                <w:b/>
                <w:bCs/>
                <w:i/>
                <w:iCs/>
                <w:szCs w:val="22"/>
                <w:u w:val="single"/>
                <w:lang w:val="sr-Latn-RS"/>
              </w:rPr>
            </w:pPr>
            <w:r w:rsidRPr="00394D9A">
              <w:rPr>
                <w:b/>
                <w:bCs/>
                <w:i/>
                <w:iCs/>
                <w:szCs w:val="22"/>
                <w:u w:val="single"/>
                <w:lang w:val="sr-Latn-RS"/>
              </w:rPr>
              <w:t xml:space="preserve">Preporučeno </w:t>
            </w:r>
            <w:r w:rsidR="005D5797" w:rsidRPr="00394D9A">
              <w:rPr>
                <w:b/>
                <w:bCs/>
                <w:i/>
                <w:iCs/>
                <w:szCs w:val="22"/>
                <w:u w:val="single"/>
                <w:lang w:val="sr-Latn-RS"/>
              </w:rPr>
              <w:t>smanjenje</w:t>
            </w:r>
            <w:r w:rsidRPr="00394D9A">
              <w:rPr>
                <w:b/>
                <w:bCs/>
                <w:i/>
                <w:iCs/>
                <w:szCs w:val="22"/>
                <w:u w:val="single"/>
                <w:lang w:val="sr-Latn-RS"/>
              </w:rPr>
              <w:t xml:space="preserve"> doze</w:t>
            </w:r>
          </w:p>
        </w:tc>
        <w:tc>
          <w:tcPr>
            <w:tcW w:w="0" w:type="auto"/>
            <w:vAlign w:val="center"/>
          </w:tcPr>
          <w:p w14:paraId="64A3721B" w14:textId="77777777" w:rsidR="001A2860" w:rsidRPr="00394D9A" w:rsidRDefault="001A2860" w:rsidP="00187D17">
            <w:pPr>
              <w:widowControl w:val="0"/>
              <w:jc w:val="left"/>
              <w:rPr>
                <w:szCs w:val="22"/>
                <w:lang w:val="sr-Latn-RS"/>
              </w:rPr>
            </w:pPr>
          </w:p>
        </w:tc>
      </w:tr>
      <w:tr w:rsidR="001A2860" w:rsidRPr="00A01BFA" w14:paraId="4D8358F5" w14:textId="77777777" w:rsidTr="00DF17BA">
        <w:tc>
          <w:tcPr>
            <w:tcW w:w="0" w:type="auto"/>
            <w:vAlign w:val="center"/>
          </w:tcPr>
          <w:p w14:paraId="326326D8" w14:textId="02788514" w:rsidR="001A2860" w:rsidRPr="00394D9A" w:rsidRDefault="001A2860" w:rsidP="00187D17">
            <w:pPr>
              <w:widowControl w:val="0"/>
              <w:jc w:val="left"/>
              <w:rPr>
                <w:szCs w:val="22"/>
                <w:lang w:val="sr-Latn-RS"/>
              </w:rPr>
            </w:pPr>
            <w:r w:rsidRPr="00394D9A">
              <w:rPr>
                <w:szCs w:val="22"/>
                <w:lang w:val="sr-Latn-RS"/>
              </w:rPr>
              <w:t>Pacijenti starosti ≥</w:t>
            </w:r>
            <w:r w:rsidR="007463DB" w:rsidRPr="00394D9A">
              <w:rPr>
                <w:szCs w:val="22"/>
                <w:lang w:val="sr-Latn-RS"/>
              </w:rPr>
              <w:t xml:space="preserve"> </w:t>
            </w:r>
            <w:r w:rsidRPr="00394D9A">
              <w:rPr>
                <w:szCs w:val="22"/>
                <w:lang w:val="sr-Latn-RS"/>
              </w:rPr>
              <w:t>80 godina</w:t>
            </w:r>
          </w:p>
        </w:tc>
        <w:tc>
          <w:tcPr>
            <w:tcW w:w="0" w:type="auto"/>
            <w:vMerge w:val="restart"/>
            <w:vAlign w:val="center"/>
          </w:tcPr>
          <w:p w14:paraId="20D604D0" w14:textId="5DAC0B43" w:rsidR="001A2860" w:rsidRPr="00394D9A" w:rsidRDefault="005D5797" w:rsidP="00187D17">
            <w:pPr>
              <w:widowControl w:val="0"/>
              <w:jc w:val="left"/>
              <w:rPr>
                <w:szCs w:val="22"/>
                <w:lang w:val="sr-Latn-RS"/>
              </w:rPr>
            </w:pPr>
            <w:r w:rsidRPr="00394D9A">
              <w:rPr>
                <w:szCs w:val="22"/>
                <w:lang w:val="sr-Latn-RS"/>
              </w:rPr>
              <w:t>d</w:t>
            </w:r>
            <w:r w:rsidR="001A2860" w:rsidRPr="00394D9A">
              <w:rPr>
                <w:szCs w:val="22"/>
                <w:lang w:val="sr-Latn-RS"/>
              </w:rPr>
              <w:t xml:space="preserve">nevna doza </w:t>
            </w:r>
            <w:r w:rsidR="00A639DA" w:rsidRPr="00394D9A">
              <w:rPr>
                <w:szCs w:val="22"/>
                <w:lang w:val="sr-Latn-RS"/>
              </w:rPr>
              <w:t>lijeka</w:t>
            </w:r>
            <w:r w:rsidR="001A2860" w:rsidRPr="00394D9A">
              <w:rPr>
                <w:szCs w:val="22"/>
                <w:lang w:val="sr-Latn-RS"/>
              </w:rPr>
              <w:t xml:space="preserve"> Dabigatran SK od 220 mg</w:t>
            </w:r>
            <w:r w:rsidR="00056A5F" w:rsidRPr="00394D9A">
              <w:rPr>
                <w:szCs w:val="22"/>
                <w:lang w:val="sr-Latn-RS"/>
              </w:rPr>
              <w:t xml:space="preserve"> </w:t>
            </w:r>
            <w:r w:rsidR="001A2860" w:rsidRPr="00394D9A">
              <w:rPr>
                <w:szCs w:val="22"/>
                <w:lang w:val="sr-Latn-RS"/>
              </w:rPr>
              <w:t xml:space="preserve">uzeta u obliku jedne </w:t>
            </w:r>
            <w:r w:rsidRPr="00394D9A">
              <w:rPr>
                <w:szCs w:val="22"/>
                <w:lang w:val="sr-Latn-RS"/>
              </w:rPr>
              <w:t>k</w:t>
            </w:r>
            <w:r w:rsidR="001A2860" w:rsidRPr="00394D9A">
              <w:rPr>
                <w:szCs w:val="22"/>
                <w:lang w:val="sr-Latn-RS"/>
              </w:rPr>
              <w:t>apsule od 110 mg dva puta</w:t>
            </w:r>
            <w:r w:rsidR="00056A5F" w:rsidRPr="00394D9A">
              <w:rPr>
                <w:szCs w:val="22"/>
                <w:lang w:val="sr-Latn-RS"/>
              </w:rPr>
              <w:t xml:space="preserve"> </w:t>
            </w:r>
            <w:r w:rsidR="001A2860" w:rsidRPr="00394D9A">
              <w:rPr>
                <w:szCs w:val="22"/>
                <w:lang w:val="sr-Latn-RS"/>
              </w:rPr>
              <w:t>dnevno</w:t>
            </w:r>
          </w:p>
        </w:tc>
      </w:tr>
      <w:tr w:rsidR="001A2860" w:rsidRPr="00394D9A" w14:paraId="60686AD0" w14:textId="77777777" w:rsidTr="00DF17BA">
        <w:tc>
          <w:tcPr>
            <w:tcW w:w="0" w:type="auto"/>
            <w:vAlign w:val="center"/>
          </w:tcPr>
          <w:p w14:paraId="42F88E17" w14:textId="6DEC9321" w:rsidR="001A2860" w:rsidRPr="00394D9A" w:rsidRDefault="001A2860" w:rsidP="00187D17">
            <w:pPr>
              <w:widowControl w:val="0"/>
              <w:jc w:val="left"/>
              <w:rPr>
                <w:szCs w:val="22"/>
                <w:lang w:val="sr-Latn-RS"/>
              </w:rPr>
            </w:pPr>
            <w:r w:rsidRPr="00394D9A">
              <w:rPr>
                <w:szCs w:val="22"/>
                <w:lang w:val="sr-Latn-RS"/>
              </w:rPr>
              <w:t xml:space="preserve">Pacijenti koji </w:t>
            </w:r>
            <w:r w:rsidR="00303D2F" w:rsidRPr="00394D9A">
              <w:rPr>
                <w:szCs w:val="22"/>
                <w:lang w:val="sr-Latn-RS"/>
              </w:rPr>
              <w:t>istovremeno</w:t>
            </w:r>
            <w:r w:rsidRPr="00394D9A">
              <w:rPr>
                <w:szCs w:val="22"/>
                <w:lang w:val="sr-Latn-RS"/>
              </w:rPr>
              <w:t xml:space="preserve"> primaju verapamil</w:t>
            </w:r>
          </w:p>
        </w:tc>
        <w:tc>
          <w:tcPr>
            <w:tcW w:w="0" w:type="auto"/>
            <w:vMerge/>
            <w:vAlign w:val="center"/>
          </w:tcPr>
          <w:p w14:paraId="546FCF16" w14:textId="77777777" w:rsidR="001A2860" w:rsidRPr="00394D9A" w:rsidRDefault="001A2860" w:rsidP="00187D17">
            <w:pPr>
              <w:widowControl w:val="0"/>
              <w:jc w:val="left"/>
              <w:rPr>
                <w:szCs w:val="22"/>
                <w:lang w:val="sr-Latn-RS"/>
              </w:rPr>
            </w:pPr>
          </w:p>
        </w:tc>
      </w:tr>
      <w:tr w:rsidR="001A2860" w:rsidRPr="00394D9A" w14:paraId="08B7906E" w14:textId="77777777" w:rsidTr="00DF17BA">
        <w:tc>
          <w:tcPr>
            <w:tcW w:w="0" w:type="auto"/>
            <w:vAlign w:val="center"/>
          </w:tcPr>
          <w:p w14:paraId="20D69604" w14:textId="28051A87" w:rsidR="001A2860" w:rsidRPr="00394D9A" w:rsidRDefault="001A2860" w:rsidP="00187D17">
            <w:pPr>
              <w:widowControl w:val="0"/>
              <w:jc w:val="left"/>
              <w:rPr>
                <w:b/>
                <w:bCs/>
                <w:i/>
                <w:iCs/>
                <w:szCs w:val="22"/>
                <w:u w:val="single"/>
                <w:lang w:val="sr-Latn-RS"/>
              </w:rPr>
            </w:pPr>
            <w:r w:rsidRPr="00394D9A">
              <w:rPr>
                <w:b/>
                <w:bCs/>
                <w:i/>
                <w:iCs/>
                <w:szCs w:val="22"/>
                <w:u w:val="single"/>
                <w:lang w:val="sr-Latn-RS"/>
              </w:rPr>
              <w:t xml:space="preserve">Razmotriti </w:t>
            </w:r>
            <w:r w:rsidR="005D5797" w:rsidRPr="00394D9A">
              <w:rPr>
                <w:b/>
                <w:bCs/>
                <w:i/>
                <w:iCs/>
                <w:szCs w:val="22"/>
                <w:u w:val="single"/>
                <w:lang w:val="sr-Latn-RS"/>
              </w:rPr>
              <w:t>smanjenje</w:t>
            </w:r>
            <w:r w:rsidRPr="00394D9A">
              <w:rPr>
                <w:b/>
                <w:bCs/>
                <w:i/>
                <w:iCs/>
                <w:szCs w:val="22"/>
                <w:u w:val="single"/>
                <w:lang w:val="sr-Latn-RS"/>
              </w:rPr>
              <w:t xml:space="preserve"> doze</w:t>
            </w:r>
          </w:p>
        </w:tc>
        <w:tc>
          <w:tcPr>
            <w:tcW w:w="0" w:type="auto"/>
            <w:vAlign w:val="center"/>
          </w:tcPr>
          <w:p w14:paraId="6345D2DF" w14:textId="77777777" w:rsidR="001A2860" w:rsidRPr="00394D9A" w:rsidRDefault="001A2860" w:rsidP="00187D17">
            <w:pPr>
              <w:widowControl w:val="0"/>
              <w:jc w:val="left"/>
              <w:rPr>
                <w:szCs w:val="22"/>
                <w:lang w:val="sr-Latn-RS"/>
              </w:rPr>
            </w:pPr>
          </w:p>
        </w:tc>
      </w:tr>
      <w:tr w:rsidR="00056A5F" w:rsidRPr="00A01BFA" w14:paraId="244DEA1E" w14:textId="77777777" w:rsidTr="00DF17BA">
        <w:tc>
          <w:tcPr>
            <w:tcW w:w="0" w:type="auto"/>
            <w:vAlign w:val="center"/>
          </w:tcPr>
          <w:p w14:paraId="052C7028" w14:textId="0D91C876" w:rsidR="00056A5F" w:rsidRPr="00394D9A" w:rsidRDefault="00056A5F" w:rsidP="00187D17">
            <w:pPr>
              <w:widowControl w:val="0"/>
              <w:jc w:val="left"/>
              <w:rPr>
                <w:szCs w:val="22"/>
                <w:lang w:val="sr-Latn-RS"/>
              </w:rPr>
            </w:pPr>
            <w:r w:rsidRPr="00394D9A">
              <w:rPr>
                <w:szCs w:val="22"/>
                <w:lang w:val="sr-Latn-RS"/>
              </w:rPr>
              <w:t>Pacijenti između 75-80 godina</w:t>
            </w:r>
          </w:p>
        </w:tc>
        <w:tc>
          <w:tcPr>
            <w:tcW w:w="0" w:type="auto"/>
            <w:vMerge w:val="restart"/>
            <w:vAlign w:val="center"/>
          </w:tcPr>
          <w:p w14:paraId="14D757BF" w14:textId="4803CA77" w:rsidR="00056A5F" w:rsidRPr="00394D9A" w:rsidRDefault="00056A5F" w:rsidP="00187D17">
            <w:pPr>
              <w:widowControl w:val="0"/>
              <w:jc w:val="left"/>
              <w:rPr>
                <w:szCs w:val="22"/>
                <w:lang w:val="sr-Latn-RS"/>
              </w:rPr>
            </w:pPr>
            <w:r w:rsidRPr="00394D9A">
              <w:rPr>
                <w:szCs w:val="22"/>
                <w:lang w:val="sr-Latn-RS"/>
              </w:rPr>
              <w:t xml:space="preserve">dnevna doza </w:t>
            </w:r>
            <w:r w:rsidR="00A639DA" w:rsidRPr="00394D9A">
              <w:rPr>
                <w:szCs w:val="22"/>
                <w:lang w:val="sr-Latn-RS"/>
              </w:rPr>
              <w:t>lijeka</w:t>
            </w:r>
            <w:r w:rsidRPr="00394D9A">
              <w:rPr>
                <w:szCs w:val="22"/>
                <w:lang w:val="sr-Latn-RS"/>
              </w:rPr>
              <w:t xml:space="preserve"> Dabigatran SK od 300 mg ili 220 mg određuje se na osnovu individualne proc</w:t>
            </w:r>
            <w:r w:rsidR="00A639DA" w:rsidRPr="00394D9A">
              <w:rPr>
                <w:szCs w:val="22"/>
                <w:lang w:val="sr-Latn-RS"/>
              </w:rPr>
              <w:t>j</w:t>
            </w:r>
            <w:r w:rsidRPr="00394D9A">
              <w:rPr>
                <w:szCs w:val="22"/>
                <w:lang w:val="sr-Latn-RS"/>
              </w:rPr>
              <w:t>ene rizika od tromboembolije i krvarenja</w:t>
            </w:r>
          </w:p>
        </w:tc>
      </w:tr>
      <w:tr w:rsidR="00056A5F" w:rsidRPr="00A01BFA" w14:paraId="31C6DEC8" w14:textId="77777777" w:rsidTr="00DF17BA">
        <w:tc>
          <w:tcPr>
            <w:tcW w:w="0" w:type="auto"/>
          </w:tcPr>
          <w:p w14:paraId="5C1B4F6C" w14:textId="309F167C" w:rsidR="00056A5F" w:rsidRPr="00394D9A" w:rsidRDefault="00056A5F" w:rsidP="00187D17">
            <w:pPr>
              <w:widowControl w:val="0"/>
              <w:rPr>
                <w:szCs w:val="22"/>
                <w:lang w:val="sr-Latn-RS"/>
              </w:rPr>
            </w:pPr>
            <w:r w:rsidRPr="00394D9A">
              <w:rPr>
                <w:szCs w:val="22"/>
                <w:lang w:val="sr-Latn-RS"/>
              </w:rPr>
              <w:t>Pacijenti s</w:t>
            </w:r>
            <w:r w:rsidR="003D2DBC" w:rsidRPr="00394D9A">
              <w:rPr>
                <w:szCs w:val="22"/>
                <w:lang w:val="sr-Latn-RS"/>
              </w:rPr>
              <w:t>a</w:t>
            </w:r>
            <w:r w:rsidRPr="00394D9A">
              <w:rPr>
                <w:szCs w:val="22"/>
                <w:lang w:val="sr-Latn-RS"/>
              </w:rPr>
              <w:t xml:space="preserve"> um</w:t>
            </w:r>
            <w:r w:rsidR="00A639DA" w:rsidRPr="00394D9A">
              <w:rPr>
                <w:szCs w:val="22"/>
                <w:lang w:val="sr-Latn-RS"/>
              </w:rPr>
              <w:t>j</w:t>
            </w:r>
            <w:r w:rsidRPr="00394D9A">
              <w:rPr>
                <w:szCs w:val="22"/>
                <w:lang w:val="sr-Latn-RS"/>
              </w:rPr>
              <w:t>erenim oštećenjem funkcije bubrega (CrCL 30-50 m</w:t>
            </w:r>
            <w:r w:rsidR="007463DB" w:rsidRPr="00394D9A">
              <w:rPr>
                <w:szCs w:val="22"/>
                <w:lang w:val="sr-Latn-RS"/>
              </w:rPr>
              <w:t>l</w:t>
            </w:r>
            <w:r w:rsidRPr="00394D9A">
              <w:rPr>
                <w:szCs w:val="22"/>
                <w:lang w:val="sr-Latn-RS"/>
              </w:rPr>
              <w:t>/min)</w:t>
            </w:r>
          </w:p>
        </w:tc>
        <w:tc>
          <w:tcPr>
            <w:tcW w:w="0" w:type="auto"/>
            <w:vMerge/>
          </w:tcPr>
          <w:p w14:paraId="1EC2C9DD" w14:textId="77777777" w:rsidR="00056A5F" w:rsidRPr="00394D9A" w:rsidRDefault="00056A5F" w:rsidP="00187D17">
            <w:pPr>
              <w:widowControl w:val="0"/>
              <w:rPr>
                <w:b/>
                <w:bCs/>
                <w:szCs w:val="22"/>
                <w:lang w:val="sr-Latn-RS"/>
              </w:rPr>
            </w:pPr>
          </w:p>
        </w:tc>
      </w:tr>
      <w:tr w:rsidR="00056A5F" w:rsidRPr="00A01BFA" w14:paraId="2E764B1B" w14:textId="77777777" w:rsidTr="00DF17BA">
        <w:tc>
          <w:tcPr>
            <w:tcW w:w="0" w:type="auto"/>
          </w:tcPr>
          <w:p w14:paraId="355D5AAD" w14:textId="292D55F1" w:rsidR="00056A5F" w:rsidRPr="00394D9A" w:rsidRDefault="00056A5F" w:rsidP="00187D17">
            <w:pPr>
              <w:widowControl w:val="0"/>
              <w:jc w:val="left"/>
              <w:rPr>
                <w:szCs w:val="22"/>
                <w:lang w:val="sr-Latn-RS"/>
              </w:rPr>
            </w:pPr>
            <w:r w:rsidRPr="00394D9A">
              <w:rPr>
                <w:szCs w:val="22"/>
                <w:lang w:val="sr-Latn-RS"/>
              </w:rPr>
              <w:t>Pacijenti s</w:t>
            </w:r>
            <w:r w:rsidR="003D2DBC" w:rsidRPr="00394D9A">
              <w:rPr>
                <w:szCs w:val="22"/>
                <w:lang w:val="sr-Latn-RS"/>
              </w:rPr>
              <w:t>a</w:t>
            </w:r>
            <w:r w:rsidRPr="00394D9A">
              <w:rPr>
                <w:szCs w:val="22"/>
                <w:lang w:val="sr-Latn-RS"/>
              </w:rPr>
              <w:t xml:space="preserve"> gastritisom, ezofagitisom ili gastroezofagealnim refluksom</w:t>
            </w:r>
          </w:p>
        </w:tc>
        <w:tc>
          <w:tcPr>
            <w:tcW w:w="0" w:type="auto"/>
            <w:vMerge/>
          </w:tcPr>
          <w:p w14:paraId="596C6547" w14:textId="77777777" w:rsidR="00056A5F" w:rsidRPr="00394D9A" w:rsidRDefault="00056A5F" w:rsidP="00187D17">
            <w:pPr>
              <w:widowControl w:val="0"/>
              <w:rPr>
                <w:b/>
                <w:bCs/>
                <w:szCs w:val="22"/>
                <w:lang w:val="sr-Latn-RS"/>
              </w:rPr>
            </w:pPr>
          </w:p>
        </w:tc>
      </w:tr>
      <w:tr w:rsidR="00056A5F" w:rsidRPr="00394D9A" w14:paraId="7FB7C1D0" w14:textId="77777777" w:rsidTr="00DF17BA">
        <w:tc>
          <w:tcPr>
            <w:tcW w:w="0" w:type="auto"/>
          </w:tcPr>
          <w:p w14:paraId="1F4E63FE" w14:textId="77777777" w:rsidR="00056A5F" w:rsidRPr="00394D9A" w:rsidRDefault="00056A5F" w:rsidP="00187D17">
            <w:pPr>
              <w:widowControl w:val="0"/>
              <w:rPr>
                <w:szCs w:val="22"/>
                <w:lang w:val="sr-Latn-RS"/>
              </w:rPr>
            </w:pPr>
            <w:r w:rsidRPr="00394D9A">
              <w:rPr>
                <w:szCs w:val="22"/>
                <w:lang w:val="sr-Latn-RS"/>
              </w:rPr>
              <w:t>Drugi pacijenti sa povećanim rizikom od</w:t>
            </w:r>
          </w:p>
          <w:p w14:paraId="0B2C1D62" w14:textId="1D5ED6A0" w:rsidR="00056A5F" w:rsidRPr="00394D9A" w:rsidRDefault="00056A5F" w:rsidP="00187D17">
            <w:pPr>
              <w:widowControl w:val="0"/>
              <w:rPr>
                <w:szCs w:val="22"/>
                <w:lang w:val="sr-Latn-RS"/>
              </w:rPr>
            </w:pPr>
            <w:r w:rsidRPr="00394D9A">
              <w:rPr>
                <w:szCs w:val="22"/>
                <w:lang w:val="sr-Latn-RS"/>
              </w:rPr>
              <w:t>krvarenja</w:t>
            </w:r>
          </w:p>
        </w:tc>
        <w:tc>
          <w:tcPr>
            <w:tcW w:w="0" w:type="auto"/>
            <w:vMerge/>
          </w:tcPr>
          <w:p w14:paraId="366FF286" w14:textId="77777777" w:rsidR="00056A5F" w:rsidRPr="00394D9A" w:rsidRDefault="00056A5F" w:rsidP="00187D17">
            <w:pPr>
              <w:widowControl w:val="0"/>
              <w:rPr>
                <w:b/>
                <w:bCs/>
                <w:szCs w:val="22"/>
                <w:lang w:val="sr-Latn-RS"/>
              </w:rPr>
            </w:pPr>
          </w:p>
        </w:tc>
      </w:tr>
    </w:tbl>
    <w:p w14:paraId="7D5B2DF7" w14:textId="2DFF5644" w:rsidR="001A2860" w:rsidRPr="00394D9A" w:rsidRDefault="001A2860" w:rsidP="00187D17">
      <w:pPr>
        <w:widowControl w:val="0"/>
        <w:rPr>
          <w:b/>
          <w:bCs/>
          <w:szCs w:val="22"/>
          <w:lang w:val="sr-Latn-RS"/>
        </w:rPr>
      </w:pPr>
    </w:p>
    <w:p w14:paraId="659916B8" w14:textId="27765045" w:rsidR="00056A5F" w:rsidRPr="00394D9A" w:rsidRDefault="00056A5F" w:rsidP="00187D17">
      <w:pPr>
        <w:widowControl w:val="0"/>
        <w:rPr>
          <w:szCs w:val="22"/>
          <w:lang w:val="sr-Latn-RS"/>
        </w:rPr>
      </w:pPr>
      <w:r w:rsidRPr="00394D9A">
        <w:rPr>
          <w:szCs w:val="22"/>
          <w:lang w:val="sr-Latn-RS"/>
        </w:rPr>
        <w:t xml:space="preserve">Kod DVT/PE, preporuka za uzimanje </w:t>
      </w:r>
      <w:r w:rsidR="00A639DA" w:rsidRPr="00394D9A">
        <w:rPr>
          <w:szCs w:val="22"/>
          <w:lang w:val="sr-Latn-RS"/>
        </w:rPr>
        <w:t>lijeka</w:t>
      </w:r>
      <w:r w:rsidRPr="00394D9A">
        <w:rPr>
          <w:szCs w:val="22"/>
          <w:lang w:val="sr-Latn-RS"/>
        </w:rPr>
        <w:t xml:space="preserve"> Dabigatran SK 220 mg uzeta u obliku jedne kapsule od 110 mg dva puta dnevno zasniva se na farmakokinetičkim i farmakodinamičkim analizama i nije ispitivana u ovom kliničkom okruženju. </w:t>
      </w:r>
      <w:r w:rsidR="007463DB" w:rsidRPr="00394D9A">
        <w:rPr>
          <w:szCs w:val="22"/>
          <w:lang w:val="sr-Latn-RS"/>
        </w:rPr>
        <w:t xml:space="preserve">Vidjeti </w:t>
      </w:r>
      <w:r w:rsidRPr="00394D9A">
        <w:rPr>
          <w:szCs w:val="22"/>
          <w:lang w:val="sr-Latn-RS"/>
        </w:rPr>
        <w:t xml:space="preserve">nastavak teksta i </w:t>
      </w:r>
      <w:r w:rsidR="00D7145C" w:rsidRPr="00394D9A">
        <w:rPr>
          <w:szCs w:val="22"/>
          <w:lang w:val="sr-Latn-RS"/>
        </w:rPr>
        <w:t>djelove</w:t>
      </w:r>
      <w:r w:rsidRPr="00394D9A">
        <w:rPr>
          <w:szCs w:val="22"/>
          <w:lang w:val="sr-Latn-RS"/>
        </w:rPr>
        <w:t xml:space="preserve"> 4.4, 4.5, 5.1 i 5.2.</w:t>
      </w:r>
    </w:p>
    <w:p w14:paraId="21ED79A9" w14:textId="77777777" w:rsidR="00056A5F" w:rsidRPr="00394D9A" w:rsidRDefault="00056A5F" w:rsidP="00187D17">
      <w:pPr>
        <w:widowControl w:val="0"/>
        <w:rPr>
          <w:szCs w:val="22"/>
          <w:lang w:val="sr-Latn-RS"/>
        </w:rPr>
      </w:pPr>
    </w:p>
    <w:p w14:paraId="6E5CEE48" w14:textId="1224FBE0" w:rsidR="00056A5F" w:rsidRPr="00394D9A" w:rsidRDefault="00056A5F" w:rsidP="00187D17">
      <w:pPr>
        <w:widowControl w:val="0"/>
        <w:rPr>
          <w:b/>
          <w:bCs/>
          <w:szCs w:val="22"/>
          <w:lang w:val="sr-Latn-RS"/>
        </w:rPr>
      </w:pPr>
      <w:r w:rsidRPr="00394D9A">
        <w:rPr>
          <w:szCs w:val="22"/>
          <w:lang w:val="sr-Latn-RS"/>
        </w:rPr>
        <w:t xml:space="preserve">U slučaju nepodnošljivosti </w:t>
      </w:r>
      <w:r w:rsidR="00A639DA" w:rsidRPr="00394D9A">
        <w:rPr>
          <w:szCs w:val="22"/>
          <w:lang w:val="sr-Latn-RS"/>
        </w:rPr>
        <w:t>lijeka</w:t>
      </w:r>
      <w:r w:rsidRPr="00394D9A">
        <w:rPr>
          <w:szCs w:val="22"/>
          <w:lang w:val="sr-Latn-RS"/>
        </w:rPr>
        <w:t xml:space="preserve"> Dabigatran SK, pacijente treba uputiti da se odmah jave svom </w:t>
      </w:r>
      <w:r w:rsidR="00A639DA" w:rsidRPr="00394D9A">
        <w:rPr>
          <w:szCs w:val="22"/>
          <w:lang w:val="sr-Latn-RS"/>
        </w:rPr>
        <w:t>ljeka</w:t>
      </w:r>
      <w:r w:rsidRPr="00394D9A">
        <w:rPr>
          <w:szCs w:val="22"/>
          <w:lang w:val="sr-Latn-RS"/>
        </w:rPr>
        <w:t>ru radi prelaza na drugu prihvatljivu terapiju za prevenciju moždanog udara i sistemske embolije povezanih s</w:t>
      </w:r>
      <w:r w:rsidR="003D2DBC" w:rsidRPr="00394D9A">
        <w:rPr>
          <w:szCs w:val="22"/>
          <w:lang w:val="sr-Latn-RS"/>
        </w:rPr>
        <w:t>a</w:t>
      </w:r>
      <w:r w:rsidRPr="00394D9A">
        <w:rPr>
          <w:szCs w:val="22"/>
          <w:lang w:val="sr-Latn-RS"/>
        </w:rPr>
        <w:t xml:space="preserve"> atrijalnom fibrilacijom ili za DVT/PE</w:t>
      </w:r>
      <w:r w:rsidRPr="00394D9A">
        <w:rPr>
          <w:b/>
          <w:bCs/>
          <w:szCs w:val="22"/>
          <w:lang w:val="sr-Latn-RS"/>
        </w:rPr>
        <w:t>.</w:t>
      </w:r>
    </w:p>
    <w:p w14:paraId="086A27BB" w14:textId="77777777" w:rsidR="00056A5F" w:rsidRPr="00394D9A" w:rsidRDefault="00056A5F" w:rsidP="00187D17">
      <w:pPr>
        <w:widowControl w:val="0"/>
        <w:rPr>
          <w:b/>
          <w:bCs/>
          <w:szCs w:val="22"/>
          <w:lang w:val="sr-Latn-RS"/>
        </w:rPr>
      </w:pPr>
    </w:p>
    <w:p w14:paraId="7E2E2FF2" w14:textId="74702C7C" w:rsidR="00056A5F" w:rsidRPr="00394D9A" w:rsidRDefault="00056A5F" w:rsidP="00187D17">
      <w:pPr>
        <w:widowControl w:val="0"/>
        <w:rPr>
          <w:i/>
          <w:iCs/>
          <w:szCs w:val="22"/>
          <w:u w:val="single"/>
          <w:lang w:val="sr-Latn-RS"/>
        </w:rPr>
      </w:pPr>
      <w:r w:rsidRPr="00394D9A">
        <w:rPr>
          <w:i/>
          <w:iCs/>
          <w:szCs w:val="22"/>
          <w:u w:val="single"/>
          <w:lang w:val="sr-Latn-RS"/>
        </w:rPr>
        <w:t>Proc</w:t>
      </w:r>
      <w:r w:rsidR="00A639DA" w:rsidRPr="00394D9A">
        <w:rPr>
          <w:i/>
          <w:iCs/>
          <w:szCs w:val="22"/>
          <w:u w:val="single"/>
          <w:lang w:val="sr-Latn-RS"/>
        </w:rPr>
        <w:t>j</w:t>
      </w:r>
      <w:r w:rsidRPr="00394D9A">
        <w:rPr>
          <w:i/>
          <w:iCs/>
          <w:szCs w:val="22"/>
          <w:u w:val="single"/>
          <w:lang w:val="sr-Latn-RS"/>
        </w:rPr>
        <w:t>ena bubrežne funkcije pr</w:t>
      </w:r>
      <w:r w:rsidR="00A639DA" w:rsidRPr="00394D9A">
        <w:rPr>
          <w:i/>
          <w:iCs/>
          <w:szCs w:val="22"/>
          <w:u w:val="single"/>
          <w:lang w:val="sr-Latn-RS"/>
        </w:rPr>
        <w:t>ij</w:t>
      </w:r>
      <w:r w:rsidRPr="00394D9A">
        <w:rPr>
          <w:i/>
          <w:iCs/>
          <w:szCs w:val="22"/>
          <w:u w:val="single"/>
          <w:lang w:val="sr-Latn-RS"/>
        </w:rPr>
        <w:t>e i tokom terapije l</w:t>
      </w:r>
      <w:r w:rsidR="00A639DA" w:rsidRPr="00394D9A">
        <w:rPr>
          <w:i/>
          <w:iCs/>
          <w:szCs w:val="22"/>
          <w:u w:val="single"/>
          <w:lang w:val="sr-Latn-RS"/>
        </w:rPr>
        <w:t>ij</w:t>
      </w:r>
      <w:r w:rsidRPr="00394D9A">
        <w:rPr>
          <w:i/>
          <w:iCs/>
          <w:szCs w:val="22"/>
          <w:u w:val="single"/>
          <w:lang w:val="sr-Latn-RS"/>
        </w:rPr>
        <w:t>ekom Dabigatran SK</w:t>
      </w:r>
    </w:p>
    <w:p w14:paraId="18983546" w14:textId="77777777" w:rsidR="00056A5F" w:rsidRPr="00394D9A" w:rsidRDefault="00056A5F" w:rsidP="00187D17">
      <w:pPr>
        <w:widowControl w:val="0"/>
        <w:rPr>
          <w:b/>
          <w:bCs/>
          <w:szCs w:val="22"/>
          <w:lang w:val="sr-Latn-RS"/>
        </w:rPr>
      </w:pPr>
    </w:p>
    <w:p w14:paraId="088DF109" w14:textId="723BDB45" w:rsidR="00847A0B" w:rsidRPr="00394D9A" w:rsidRDefault="00056A5F" w:rsidP="00187D17">
      <w:pPr>
        <w:widowControl w:val="0"/>
        <w:rPr>
          <w:szCs w:val="22"/>
          <w:lang w:val="sr-Latn-RS"/>
        </w:rPr>
      </w:pPr>
      <w:r w:rsidRPr="00394D9A">
        <w:rPr>
          <w:szCs w:val="22"/>
          <w:lang w:val="sr-Latn-RS"/>
        </w:rPr>
        <w:t>Kod svih pacijenata, a posebno kod starijih osoba (&gt;</w:t>
      </w:r>
      <w:r w:rsidR="007463DB" w:rsidRPr="00394D9A">
        <w:rPr>
          <w:szCs w:val="22"/>
          <w:lang w:val="sr-Latn-RS"/>
        </w:rPr>
        <w:t xml:space="preserve"> </w:t>
      </w:r>
      <w:r w:rsidRPr="00394D9A">
        <w:rPr>
          <w:szCs w:val="22"/>
          <w:lang w:val="sr-Latn-RS"/>
        </w:rPr>
        <w:t>75 godina), jer oštećenje funkcije bubrega može biti često u ovoj starosnoj grupi:</w:t>
      </w:r>
    </w:p>
    <w:p w14:paraId="3B3C6B23" w14:textId="4386840C" w:rsidR="00847A0B" w:rsidRPr="00394D9A" w:rsidRDefault="00847A0B" w:rsidP="00187D17">
      <w:pPr>
        <w:widowControl w:val="0"/>
        <w:numPr>
          <w:ilvl w:val="0"/>
          <w:numId w:val="4"/>
        </w:numPr>
        <w:rPr>
          <w:szCs w:val="22"/>
          <w:lang w:val="sr-Latn-RS"/>
        </w:rPr>
      </w:pPr>
      <w:r w:rsidRPr="00394D9A">
        <w:rPr>
          <w:szCs w:val="22"/>
          <w:lang w:val="sr-Latn-RS"/>
        </w:rPr>
        <w:t>Bubrežnu funkciju treba proc</w:t>
      </w:r>
      <w:r w:rsidR="00A639DA" w:rsidRPr="00394D9A">
        <w:rPr>
          <w:szCs w:val="22"/>
          <w:lang w:val="sr-Latn-RS"/>
        </w:rPr>
        <w:t>j</w:t>
      </w:r>
      <w:r w:rsidRPr="00394D9A">
        <w:rPr>
          <w:szCs w:val="22"/>
          <w:lang w:val="sr-Latn-RS"/>
        </w:rPr>
        <w:t>enjivati izračunavanjem klirensa kreatinina (CrCL) pr</w:t>
      </w:r>
      <w:r w:rsidR="00A639DA" w:rsidRPr="00394D9A">
        <w:rPr>
          <w:szCs w:val="22"/>
          <w:lang w:val="sr-Latn-RS"/>
        </w:rPr>
        <w:t>ij</w:t>
      </w:r>
      <w:r w:rsidRPr="00394D9A">
        <w:rPr>
          <w:szCs w:val="22"/>
          <w:lang w:val="sr-Latn-RS"/>
        </w:rPr>
        <w:t>e započinjanja terapije l</w:t>
      </w:r>
      <w:r w:rsidR="00A639DA" w:rsidRPr="00394D9A">
        <w:rPr>
          <w:szCs w:val="22"/>
          <w:lang w:val="sr-Latn-RS"/>
        </w:rPr>
        <w:t>ij</w:t>
      </w:r>
      <w:r w:rsidRPr="00394D9A">
        <w:rPr>
          <w:szCs w:val="22"/>
          <w:lang w:val="sr-Latn-RS"/>
        </w:rPr>
        <w:t>ekom Dabigatran SK da bi se isključili pacijenti sa teškim oštećenjem funkcije bubrega (tj. CrCL &lt;30 m</w:t>
      </w:r>
      <w:r w:rsidR="00CA3AFF" w:rsidRPr="00394D9A">
        <w:rPr>
          <w:szCs w:val="22"/>
          <w:lang w:val="sr-Latn-RS"/>
        </w:rPr>
        <w:t>l</w:t>
      </w:r>
      <w:r w:rsidRPr="00394D9A">
        <w:rPr>
          <w:szCs w:val="22"/>
          <w:lang w:val="sr-Latn-RS"/>
        </w:rPr>
        <w:t>/min) (</w:t>
      </w:r>
      <w:r w:rsidR="00CA3AFF" w:rsidRPr="00394D9A">
        <w:rPr>
          <w:szCs w:val="22"/>
          <w:lang w:val="sr-Latn-RS"/>
        </w:rPr>
        <w:t xml:space="preserve">vidjeti </w:t>
      </w:r>
      <w:r w:rsidR="00D7145C" w:rsidRPr="00394D9A">
        <w:rPr>
          <w:szCs w:val="22"/>
          <w:lang w:val="sr-Latn-RS"/>
        </w:rPr>
        <w:t>djelove</w:t>
      </w:r>
      <w:r w:rsidRPr="00394D9A">
        <w:rPr>
          <w:szCs w:val="22"/>
          <w:lang w:val="sr-Latn-RS"/>
        </w:rPr>
        <w:t xml:space="preserve"> 4.3, 4.4 i 5.2).</w:t>
      </w:r>
    </w:p>
    <w:p w14:paraId="17E6F443" w14:textId="4D7DAA25" w:rsidR="00847A0B" w:rsidRPr="00394D9A" w:rsidRDefault="00847A0B" w:rsidP="00187D17">
      <w:pPr>
        <w:widowControl w:val="0"/>
        <w:numPr>
          <w:ilvl w:val="0"/>
          <w:numId w:val="4"/>
        </w:numPr>
        <w:rPr>
          <w:szCs w:val="22"/>
          <w:lang w:val="sr-Latn-RS"/>
        </w:rPr>
      </w:pPr>
      <w:r w:rsidRPr="00394D9A">
        <w:rPr>
          <w:szCs w:val="22"/>
          <w:lang w:val="sr-Latn-RS"/>
        </w:rPr>
        <w:t>Bubrežnu funkciju treba proc</w:t>
      </w:r>
      <w:r w:rsidR="00A639DA" w:rsidRPr="00394D9A">
        <w:rPr>
          <w:szCs w:val="22"/>
          <w:lang w:val="sr-Latn-RS"/>
        </w:rPr>
        <w:t>j</w:t>
      </w:r>
      <w:r w:rsidRPr="00394D9A">
        <w:rPr>
          <w:szCs w:val="22"/>
          <w:lang w:val="sr-Latn-RS"/>
        </w:rPr>
        <w:t>enjivati i kada se sumnja na slabljenje funkcije bubrega tokom terapije (npr. hipovolemija, dehidratacija, isto</w:t>
      </w:r>
      <w:r w:rsidR="00382644" w:rsidRPr="00394D9A">
        <w:rPr>
          <w:szCs w:val="22"/>
          <w:lang w:val="sr-Latn-RS"/>
        </w:rPr>
        <w:t>vremena</w:t>
      </w:r>
      <w:r w:rsidRPr="00394D9A">
        <w:rPr>
          <w:szCs w:val="22"/>
          <w:lang w:val="sr-Latn-RS"/>
        </w:rPr>
        <w:t xml:space="preserve"> </w:t>
      </w:r>
      <w:r w:rsidR="00A639DA" w:rsidRPr="00394D9A">
        <w:rPr>
          <w:szCs w:val="22"/>
          <w:lang w:val="sr-Latn-RS"/>
        </w:rPr>
        <w:t>primjena</w:t>
      </w:r>
      <w:r w:rsidRPr="00394D9A">
        <w:rPr>
          <w:szCs w:val="22"/>
          <w:lang w:val="sr-Latn-RS"/>
        </w:rPr>
        <w:t xml:space="preserve"> određenih </w:t>
      </w:r>
      <w:r w:rsidR="00A639DA" w:rsidRPr="00394D9A">
        <w:rPr>
          <w:szCs w:val="22"/>
          <w:lang w:val="sr-Latn-RS"/>
        </w:rPr>
        <w:t>ljekova</w:t>
      </w:r>
      <w:r w:rsidRPr="00394D9A">
        <w:rPr>
          <w:szCs w:val="22"/>
          <w:lang w:val="sr-Latn-RS"/>
        </w:rPr>
        <w:t>)</w:t>
      </w:r>
      <w:r w:rsidR="005D5797" w:rsidRPr="00394D9A">
        <w:rPr>
          <w:szCs w:val="22"/>
          <w:lang w:val="sr-Latn-RS"/>
        </w:rPr>
        <w:t>.</w:t>
      </w:r>
    </w:p>
    <w:p w14:paraId="67811FC5" w14:textId="77777777" w:rsidR="00056A5F" w:rsidRPr="00394D9A" w:rsidRDefault="00056A5F" w:rsidP="00187D17">
      <w:pPr>
        <w:widowControl w:val="0"/>
        <w:rPr>
          <w:b/>
          <w:bCs/>
          <w:szCs w:val="22"/>
          <w:lang w:val="sr-Latn-RS"/>
        </w:rPr>
      </w:pPr>
    </w:p>
    <w:p w14:paraId="6A86F9C6" w14:textId="2DCF36AD" w:rsidR="00056A5F" w:rsidRPr="00394D9A" w:rsidRDefault="00056A5F" w:rsidP="00187D17">
      <w:pPr>
        <w:widowControl w:val="0"/>
        <w:rPr>
          <w:szCs w:val="22"/>
          <w:lang w:val="sr-Latn-RS"/>
        </w:rPr>
      </w:pPr>
      <w:r w:rsidRPr="00394D9A">
        <w:rPr>
          <w:szCs w:val="22"/>
          <w:lang w:val="sr-Latn-RS"/>
        </w:rPr>
        <w:t xml:space="preserve">Dodatni </w:t>
      </w:r>
      <w:r w:rsidR="00A639DA" w:rsidRPr="00394D9A">
        <w:rPr>
          <w:szCs w:val="22"/>
          <w:lang w:val="sr-Latn-RS"/>
        </w:rPr>
        <w:t xml:space="preserve">zahtjevi </w:t>
      </w:r>
      <w:r w:rsidRPr="00394D9A">
        <w:rPr>
          <w:szCs w:val="22"/>
          <w:lang w:val="sr-Latn-RS"/>
        </w:rPr>
        <w:t xml:space="preserve"> za pacijente sa blagim do um</w:t>
      </w:r>
      <w:r w:rsidR="00A639DA" w:rsidRPr="00394D9A">
        <w:rPr>
          <w:szCs w:val="22"/>
          <w:lang w:val="sr-Latn-RS"/>
        </w:rPr>
        <w:t>j</w:t>
      </w:r>
      <w:r w:rsidRPr="00394D9A">
        <w:rPr>
          <w:szCs w:val="22"/>
          <w:lang w:val="sr-Latn-RS"/>
        </w:rPr>
        <w:t>erenim oštećenjem funkcije bubrega i pacijente starosti</w:t>
      </w:r>
      <w:r w:rsidR="00847A0B" w:rsidRPr="00394D9A">
        <w:rPr>
          <w:szCs w:val="22"/>
          <w:lang w:val="sr-Latn-RS"/>
        </w:rPr>
        <w:t xml:space="preserve"> </w:t>
      </w:r>
      <w:r w:rsidRPr="00394D9A">
        <w:rPr>
          <w:szCs w:val="22"/>
          <w:lang w:val="sr-Latn-RS"/>
        </w:rPr>
        <w:t>preko</w:t>
      </w:r>
      <w:r w:rsidR="00847A0B" w:rsidRPr="00394D9A">
        <w:rPr>
          <w:szCs w:val="22"/>
          <w:lang w:val="sr-Latn-RS"/>
        </w:rPr>
        <w:t xml:space="preserve"> </w:t>
      </w:r>
      <w:r w:rsidRPr="00394D9A">
        <w:rPr>
          <w:szCs w:val="22"/>
          <w:lang w:val="sr-Latn-RS"/>
        </w:rPr>
        <w:t>75 godina:</w:t>
      </w:r>
    </w:p>
    <w:p w14:paraId="506279C6" w14:textId="69019E1F" w:rsidR="00056A5F" w:rsidRPr="00394D9A" w:rsidRDefault="00056A5F" w:rsidP="00187D17">
      <w:pPr>
        <w:pStyle w:val="ListParagraph"/>
        <w:widowControl w:val="0"/>
        <w:numPr>
          <w:ilvl w:val="0"/>
          <w:numId w:val="4"/>
        </w:numPr>
        <w:rPr>
          <w:szCs w:val="22"/>
          <w:lang w:val="sr-Latn-RS"/>
        </w:rPr>
      </w:pPr>
      <w:r w:rsidRPr="00394D9A">
        <w:rPr>
          <w:szCs w:val="22"/>
          <w:lang w:val="sr-Latn-RS"/>
        </w:rPr>
        <w:t>Tokom terapije l</w:t>
      </w:r>
      <w:r w:rsidR="00A639DA" w:rsidRPr="00394D9A">
        <w:rPr>
          <w:szCs w:val="22"/>
          <w:lang w:val="sr-Latn-RS"/>
        </w:rPr>
        <w:t>ij</w:t>
      </w:r>
      <w:r w:rsidRPr="00394D9A">
        <w:rPr>
          <w:szCs w:val="22"/>
          <w:lang w:val="sr-Latn-RS"/>
        </w:rPr>
        <w:t xml:space="preserve">ekom </w:t>
      </w:r>
      <w:r w:rsidR="00847A0B" w:rsidRPr="00394D9A">
        <w:rPr>
          <w:szCs w:val="22"/>
          <w:lang w:val="sr-Latn-RS"/>
        </w:rPr>
        <w:t>Dabigatra</w:t>
      </w:r>
      <w:r w:rsidR="004264E4" w:rsidRPr="00394D9A">
        <w:rPr>
          <w:szCs w:val="22"/>
          <w:lang w:val="sr-Latn-RS"/>
        </w:rPr>
        <w:t>n</w:t>
      </w:r>
      <w:r w:rsidR="00847A0B" w:rsidRPr="00394D9A">
        <w:rPr>
          <w:szCs w:val="22"/>
          <w:lang w:val="sr-Latn-RS"/>
        </w:rPr>
        <w:t xml:space="preserve"> SK</w:t>
      </w:r>
      <w:r w:rsidRPr="00394D9A">
        <w:rPr>
          <w:szCs w:val="22"/>
          <w:lang w:val="sr-Latn-RS"/>
        </w:rPr>
        <w:t xml:space="preserve"> bubrežnu funkciju treba proc</w:t>
      </w:r>
      <w:r w:rsidR="00A639DA" w:rsidRPr="00394D9A">
        <w:rPr>
          <w:szCs w:val="22"/>
          <w:lang w:val="sr-Latn-RS"/>
        </w:rPr>
        <w:t>j</w:t>
      </w:r>
      <w:r w:rsidRPr="00394D9A">
        <w:rPr>
          <w:szCs w:val="22"/>
          <w:lang w:val="sr-Latn-RS"/>
        </w:rPr>
        <w:t>enjivati najmanje jednom godišnje ili</w:t>
      </w:r>
      <w:r w:rsidR="00847A0B" w:rsidRPr="00394D9A">
        <w:rPr>
          <w:szCs w:val="22"/>
          <w:lang w:val="sr-Latn-RS"/>
        </w:rPr>
        <w:t xml:space="preserve"> </w:t>
      </w:r>
      <w:r w:rsidRPr="00394D9A">
        <w:rPr>
          <w:szCs w:val="22"/>
          <w:lang w:val="sr-Latn-RS"/>
        </w:rPr>
        <w:t>češće, po potrebi u određenim kliničkim situacijama kada se sumnja da bi funkcija bubrega mogla da</w:t>
      </w:r>
      <w:r w:rsidR="00847A0B" w:rsidRPr="00394D9A">
        <w:rPr>
          <w:szCs w:val="22"/>
          <w:lang w:val="sr-Latn-RS"/>
        </w:rPr>
        <w:t xml:space="preserve"> </w:t>
      </w:r>
      <w:r w:rsidRPr="00394D9A">
        <w:rPr>
          <w:szCs w:val="22"/>
          <w:lang w:val="sr-Latn-RS"/>
        </w:rPr>
        <w:t>oslabi ili da se pogorša (npr. hipovolemija, dehidratacija, isto</w:t>
      </w:r>
      <w:r w:rsidR="00382644" w:rsidRPr="00394D9A">
        <w:rPr>
          <w:szCs w:val="22"/>
          <w:lang w:val="sr-Latn-RS"/>
        </w:rPr>
        <w:t>vremena</w:t>
      </w:r>
      <w:r w:rsidRPr="00394D9A">
        <w:rPr>
          <w:szCs w:val="22"/>
          <w:lang w:val="sr-Latn-RS"/>
        </w:rPr>
        <w:t xml:space="preserve"> </w:t>
      </w:r>
      <w:r w:rsidR="00A639DA" w:rsidRPr="00394D9A">
        <w:rPr>
          <w:szCs w:val="22"/>
          <w:lang w:val="sr-Latn-RS"/>
        </w:rPr>
        <w:t>primjena</w:t>
      </w:r>
      <w:r w:rsidRPr="00394D9A">
        <w:rPr>
          <w:szCs w:val="22"/>
          <w:lang w:val="sr-Latn-RS"/>
        </w:rPr>
        <w:t xml:space="preserve"> određenih </w:t>
      </w:r>
      <w:r w:rsidR="00A639DA" w:rsidRPr="00394D9A">
        <w:rPr>
          <w:szCs w:val="22"/>
          <w:lang w:val="sr-Latn-RS"/>
        </w:rPr>
        <w:t>ljekova</w:t>
      </w:r>
      <w:r w:rsidRPr="00394D9A">
        <w:rPr>
          <w:szCs w:val="22"/>
          <w:lang w:val="sr-Latn-RS"/>
        </w:rPr>
        <w:t>).</w:t>
      </w:r>
    </w:p>
    <w:p w14:paraId="6FF74DEA" w14:textId="77777777" w:rsidR="00056A5F" w:rsidRPr="00394D9A" w:rsidRDefault="00056A5F" w:rsidP="00187D17">
      <w:pPr>
        <w:widowControl w:val="0"/>
        <w:rPr>
          <w:b/>
          <w:bCs/>
          <w:szCs w:val="22"/>
          <w:lang w:val="sr-Latn-RS"/>
        </w:rPr>
      </w:pPr>
    </w:p>
    <w:p w14:paraId="642E24A3" w14:textId="1A849D6C" w:rsidR="00056A5F" w:rsidRPr="00394D9A" w:rsidRDefault="00056A5F" w:rsidP="00187D17">
      <w:pPr>
        <w:widowControl w:val="0"/>
        <w:rPr>
          <w:szCs w:val="22"/>
          <w:lang w:val="sr-Latn-RS"/>
        </w:rPr>
      </w:pPr>
      <w:r w:rsidRPr="00394D9A">
        <w:rPr>
          <w:szCs w:val="22"/>
          <w:lang w:val="sr-Latn-RS"/>
        </w:rPr>
        <w:t>Za proc</w:t>
      </w:r>
      <w:r w:rsidR="00A639DA" w:rsidRPr="00394D9A">
        <w:rPr>
          <w:szCs w:val="22"/>
          <w:lang w:val="sr-Latn-RS"/>
        </w:rPr>
        <w:t>j</w:t>
      </w:r>
      <w:r w:rsidRPr="00394D9A">
        <w:rPr>
          <w:szCs w:val="22"/>
          <w:lang w:val="sr-Latn-RS"/>
        </w:rPr>
        <w:t>enu funkcije bubrega (CrCL u m</w:t>
      </w:r>
      <w:r w:rsidR="00CA3AFF" w:rsidRPr="00394D9A">
        <w:rPr>
          <w:szCs w:val="22"/>
          <w:lang w:val="sr-Latn-RS"/>
        </w:rPr>
        <w:t>l</w:t>
      </w:r>
      <w:r w:rsidRPr="00394D9A">
        <w:rPr>
          <w:szCs w:val="22"/>
          <w:lang w:val="sr-Latn-RS"/>
        </w:rPr>
        <w:t xml:space="preserve">/min) koristi se metoda </w:t>
      </w:r>
      <w:r w:rsidRPr="00394D9A">
        <w:rPr>
          <w:i/>
          <w:iCs/>
          <w:szCs w:val="22"/>
          <w:lang w:val="sr-Latn-RS"/>
        </w:rPr>
        <w:t>Cockgroft-Gault</w:t>
      </w:r>
      <w:r w:rsidRPr="00394D9A">
        <w:rPr>
          <w:szCs w:val="22"/>
          <w:lang w:val="sr-Latn-RS"/>
        </w:rPr>
        <w:t>.</w:t>
      </w:r>
    </w:p>
    <w:p w14:paraId="6DE63DA9" w14:textId="77777777" w:rsidR="00056A5F" w:rsidRPr="00394D9A" w:rsidRDefault="00056A5F" w:rsidP="00187D17">
      <w:pPr>
        <w:widowControl w:val="0"/>
        <w:rPr>
          <w:i/>
          <w:iCs/>
          <w:szCs w:val="22"/>
          <w:u w:val="single"/>
          <w:lang w:val="sr-Latn-RS"/>
        </w:rPr>
      </w:pPr>
    </w:p>
    <w:p w14:paraId="594071AE" w14:textId="74774AC2" w:rsidR="00056A5F" w:rsidRPr="00394D9A" w:rsidRDefault="00056A5F" w:rsidP="00187D17">
      <w:pPr>
        <w:widowControl w:val="0"/>
        <w:rPr>
          <w:i/>
          <w:iCs/>
          <w:szCs w:val="22"/>
          <w:u w:val="single"/>
          <w:lang w:val="sr-Latn-RS"/>
        </w:rPr>
      </w:pPr>
      <w:r w:rsidRPr="00394D9A">
        <w:rPr>
          <w:i/>
          <w:iCs/>
          <w:szCs w:val="22"/>
          <w:u w:val="single"/>
          <w:lang w:val="sr-Latn-RS"/>
        </w:rPr>
        <w:t xml:space="preserve">Trajanje </w:t>
      </w:r>
      <w:r w:rsidR="00A639DA" w:rsidRPr="00394D9A">
        <w:rPr>
          <w:i/>
          <w:iCs/>
          <w:szCs w:val="22"/>
          <w:u w:val="single"/>
          <w:lang w:val="sr-Latn-RS"/>
        </w:rPr>
        <w:t>primjene</w:t>
      </w:r>
    </w:p>
    <w:p w14:paraId="065A60D5" w14:textId="77777777" w:rsidR="00056A5F" w:rsidRPr="00394D9A" w:rsidRDefault="00056A5F" w:rsidP="00187D17">
      <w:pPr>
        <w:widowControl w:val="0"/>
        <w:rPr>
          <w:i/>
          <w:iCs/>
          <w:szCs w:val="22"/>
          <w:u w:val="single"/>
          <w:lang w:val="sr-Latn-RS"/>
        </w:rPr>
      </w:pPr>
    </w:p>
    <w:p w14:paraId="39184BD9" w14:textId="6DA39434" w:rsidR="00056A5F" w:rsidRPr="00394D9A" w:rsidRDefault="00056A5F" w:rsidP="00187D17">
      <w:pPr>
        <w:widowControl w:val="0"/>
        <w:rPr>
          <w:szCs w:val="22"/>
          <w:lang w:val="sr-Latn-RS"/>
        </w:rPr>
      </w:pPr>
      <w:r w:rsidRPr="00394D9A">
        <w:rPr>
          <w:szCs w:val="22"/>
          <w:lang w:val="sr-Latn-RS"/>
        </w:rPr>
        <w:t xml:space="preserve">Trajanje </w:t>
      </w:r>
      <w:r w:rsidR="00A639DA" w:rsidRPr="00394D9A">
        <w:rPr>
          <w:szCs w:val="22"/>
          <w:lang w:val="sr-Latn-RS"/>
        </w:rPr>
        <w:t>primjene</w:t>
      </w:r>
      <w:r w:rsidRPr="00394D9A">
        <w:rPr>
          <w:szCs w:val="22"/>
          <w:lang w:val="sr-Latn-RS"/>
        </w:rPr>
        <w:t xml:space="preserve"> </w:t>
      </w:r>
      <w:r w:rsidR="00A639DA" w:rsidRPr="00394D9A">
        <w:rPr>
          <w:szCs w:val="22"/>
          <w:lang w:val="sr-Latn-RS"/>
        </w:rPr>
        <w:t>lijeka</w:t>
      </w:r>
      <w:r w:rsidRPr="00394D9A">
        <w:rPr>
          <w:szCs w:val="22"/>
          <w:lang w:val="sr-Latn-RS"/>
        </w:rPr>
        <w:t xml:space="preserve"> Dabigatran SK u indikacijama prevencije MU i SE kod AF i indikaciji DVT i </w:t>
      </w:r>
      <w:r w:rsidRPr="00394D9A">
        <w:rPr>
          <w:szCs w:val="22"/>
          <w:lang w:val="sr-Latn-RS"/>
        </w:rPr>
        <w:lastRenderedPageBreak/>
        <w:t xml:space="preserve">PE prikazano je u tabeli </w:t>
      </w:r>
      <w:r w:rsidR="008A4300" w:rsidRPr="00394D9A">
        <w:rPr>
          <w:szCs w:val="22"/>
          <w:lang w:val="sr-Latn-RS"/>
        </w:rPr>
        <w:t>2</w:t>
      </w:r>
      <w:r w:rsidRPr="00394D9A">
        <w:rPr>
          <w:szCs w:val="22"/>
          <w:lang w:val="sr-Latn-RS"/>
        </w:rPr>
        <w:t>.</w:t>
      </w:r>
    </w:p>
    <w:p w14:paraId="5FE972C6" w14:textId="77777777" w:rsidR="00056A5F" w:rsidRPr="00394D9A" w:rsidRDefault="00056A5F" w:rsidP="00187D17">
      <w:pPr>
        <w:widowControl w:val="0"/>
        <w:rPr>
          <w:b/>
          <w:bCs/>
          <w:szCs w:val="22"/>
          <w:lang w:val="sr-Latn-RS"/>
        </w:rPr>
      </w:pPr>
    </w:p>
    <w:p w14:paraId="379D3A28" w14:textId="4D4DFF39" w:rsidR="001A2860" w:rsidRPr="00394D9A" w:rsidRDefault="00056A5F" w:rsidP="00187D17">
      <w:pPr>
        <w:widowControl w:val="0"/>
        <w:rPr>
          <w:b/>
          <w:bCs/>
          <w:szCs w:val="22"/>
          <w:lang w:val="sr-Latn-RS"/>
        </w:rPr>
      </w:pPr>
      <w:r w:rsidRPr="00394D9A">
        <w:rPr>
          <w:b/>
          <w:bCs/>
          <w:szCs w:val="22"/>
          <w:lang w:val="sr-Latn-RS"/>
        </w:rPr>
        <w:t xml:space="preserve">Tabela </w:t>
      </w:r>
      <w:r w:rsidR="008A4300" w:rsidRPr="00394D9A">
        <w:rPr>
          <w:b/>
          <w:bCs/>
          <w:szCs w:val="22"/>
          <w:lang w:val="sr-Latn-RS"/>
        </w:rPr>
        <w:t>2</w:t>
      </w:r>
      <w:r w:rsidRPr="00394D9A">
        <w:rPr>
          <w:b/>
          <w:bCs/>
          <w:szCs w:val="22"/>
          <w:lang w:val="sr-Latn-RS"/>
        </w:rPr>
        <w:t xml:space="preserve">: Trajanje </w:t>
      </w:r>
      <w:r w:rsidR="00A639DA" w:rsidRPr="00394D9A">
        <w:rPr>
          <w:b/>
          <w:bCs/>
          <w:szCs w:val="22"/>
          <w:lang w:val="sr-Latn-RS"/>
        </w:rPr>
        <w:t>primjene</w:t>
      </w:r>
      <w:r w:rsidRPr="00394D9A">
        <w:rPr>
          <w:b/>
          <w:bCs/>
          <w:szCs w:val="22"/>
          <w:lang w:val="sr-Latn-RS"/>
        </w:rPr>
        <w:t xml:space="preserve"> u prevenciji MU i SE kod AF i kod DVT/PE</w:t>
      </w:r>
    </w:p>
    <w:p w14:paraId="252C27C6" w14:textId="746A8B78" w:rsidR="00056A5F" w:rsidRPr="00394D9A" w:rsidRDefault="00056A5F" w:rsidP="00187D17">
      <w:pPr>
        <w:widowControl w:val="0"/>
        <w:rPr>
          <w:b/>
          <w:bCs/>
          <w:szCs w:val="22"/>
          <w:lang w:val="sr-Latn-RS"/>
        </w:rPr>
      </w:pPr>
    </w:p>
    <w:tbl>
      <w:tblPr>
        <w:tblStyle w:val="TableGrid"/>
        <w:tblW w:w="0" w:type="auto"/>
        <w:tblLook w:val="04A0" w:firstRow="1" w:lastRow="0" w:firstColumn="1" w:lastColumn="0" w:noHBand="0" w:noVBand="1"/>
      </w:tblPr>
      <w:tblGrid>
        <w:gridCol w:w="1621"/>
        <w:gridCol w:w="7440"/>
      </w:tblGrid>
      <w:tr w:rsidR="00847A0B" w:rsidRPr="00394D9A" w14:paraId="3604F3F2" w14:textId="77777777" w:rsidTr="00DF17BA">
        <w:tc>
          <w:tcPr>
            <w:tcW w:w="0" w:type="auto"/>
          </w:tcPr>
          <w:p w14:paraId="5C1C6F7A" w14:textId="7D2A142C" w:rsidR="00847A0B" w:rsidRPr="00394D9A" w:rsidRDefault="00847A0B" w:rsidP="00187D17">
            <w:pPr>
              <w:widowControl w:val="0"/>
              <w:rPr>
                <w:b/>
                <w:bCs/>
                <w:szCs w:val="22"/>
                <w:lang w:val="sr-Latn-RS"/>
              </w:rPr>
            </w:pPr>
            <w:r w:rsidRPr="00394D9A">
              <w:rPr>
                <w:b/>
                <w:bCs/>
                <w:szCs w:val="22"/>
                <w:lang w:val="sr-Latn-RS"/>
              </w:rPr>
              <w:t xml:space="preserve">Indikacija </w:t>
            </w:r>
          </w:p>
        </w:tc>
        <w:tc>
          <w:tcPr>
            <w:tcW w:w="0" w:type="auto"/>
          </w:tcPr>
          <w:p w14:paraId="49ED7742" w14:textId="25CC8837" w:rsidR="00847A0B" w:rsidRPr="00394D9A" w:rsidRDefault="00847A0B" w:rsidP="00187D17">
            <w:pPr>
              <w:widowControl w:val="0"/>
              <w:rPr>
                <w:b/>
                <w:bCs/>
                <w:szCs w:val="22"/>
                <w:lang w:val="sr-Latn-RS"/>
              </w:rPr>
            </w:pPr>
            <w:r w:rsidRPr="00394D9A">
              <w:rPr>
                <w:b/>
                <w:bCs/>
                <w:szCs w:val="22"/>
                <w:lang w:val="sr-Latn-RS"/>
              </w:rPr>
              <w:t xml:space="preserve">Trajanje </w:t>
            </w:r>
            <w:r w:rsidR="00A639DA" w:rsidRPr="00394D9A">
              <w:rPr>
                <w:b/>
                <w:bCs/>
                <w:szCs w:val="22"/>
                <w:lang w:val="sr-Latn-RS"/>
              </w:rPr>
              <w:t>primjene</w:t>
            </w:r>
          </w:p>
        </w:tc>
      </w:tr>
      <w:tr w:rsidR="00847A0B" w:rsidRPr="00A01BFA" w14:paraId="508C0280" w14:textId="77777777" w:rsidTr="00DF17BA">
        <w:tc>
          <w:tcPr>
            <w:tcW w:w="0" w:type="auto"/>
          </w:tcPr>
          <w:p w14:paraId="770F6400" w14:textId="14EE35C9" w:rsidR="00847A0B" w:rsidRPr="00394D9A" w:rsidRDefault="00847A0B" w:rsidP="00187D17">
            <w:pPr>
              <w:widowControl w:val="0"/>
              <w:rPr>
                <w:szCs w:val="22"/>
                <w:lang w:val="sr-Latn-RS"/>
              </w:rPr>
            </w:pPr>
            <w:r w:rsidRPr="00394D9A">
              <w:rPr>
                <w:szCs w:val="22"/>
                <w:lang w:val="sr-Latn-RS"/>
              </w:rPr>
              <w:t>Prevencija MU i SE kod AF</w:t>
            </w:r>
          </w:p>
        </w:tc>
        <w:tc>
          <w:tcPr>
            <w:tcW w:w="0" w:type="auto"/>
          </w:tcPr>
          <w:p w14:paraId="247C5315" w14:textId="66630AD2" w:rsidR="00847A0B" w:rsidRPr="00394D9A" w:rsidRDefault="00847A0B" w:rsidP="00187D17">
            <w:pPr>
              <w:widowControl w:val="0"/>
              <w:rPr>
                <w:szCs w:val="22"/>
                <w:lang w:val="sr-Latn-RS"/>
              </w:rPr>
            </w:pPr>
            <w:r w:rsidRPr="00394D9A">
              <w:rPr>
                <w:szCs w:val="22"/>
                <w:lang w:val="sr-Latn-RS"/>
              </w:rPr>
              <w:t>Terapija treba da bude dugotrajna.</w:t>
            </w:r>
          </w:p>
        </w:tc>
      </w:tr>
      <w:tr w:rsidR="00847A0B" w:rsidRPr="00A01BFA" w14:paraId="0CC95A9F" w14:textId="77777777" w:rsidTr="00DF17BA">
        <w:tc>
          <w:tcPr>
            <w:tcW w:w="0" w:type="auto"/>
          </w:tcPr>
          <w:p w14:paraId="2648D958" w14:textId="45BB3921" w:rsidR="00847A0B" w:rsidRPr="00394D9A" w:rsidRDefault="00847A0B" w:rsidP="00187D17">
            <w:pPr>
              <w:widowControl w:val="0"/>
              <w:rPr>
                <w:szCs w:val="22"/>
                <w:lang w:val="sr-Latn-RS"/>
              </w:rPr>
            </w:pPr>
            <w:r w:rsidRPr="00394D9A">
              <w:rPr>
                <w:szCs w:val="22"/>
                <w:lang w:val="sr-Latn-RS"/>
              </w:rPr>
              <w:t>DVT/PE</w:t>
            </w:r>
          </w:p>
        </w:tc>
        <w:tc>
          <w:tcPr>
            <w:tcW w:w="0" w:type="auto"/>
          </w:tcPr>
          <w:p w14:paraId="434136AE" w14:textId="1EAA0F38" w:rsidR="00847A0B" w:rsidRPr="00394D9A" w:rsidRDefault="00847A0B" w:rsidP="00187D17">
            <w:pPr>
              <w:widowControl w:val="0"/>
              <w:rPr>
                <w:szCs w:val="22"/>
                <w:lang w:val="sr-Latn-RS"/>
              </w:rPr>
            </w:pPr>
            <w:r w:rsidRPr="00394D9A">
              <w:rPr>
                <w:szCs w:val="22"/>
                <w:lang w:val="sr-Latn-RS"/>
              </w:rPr>
              <w:t xml:space="preserve">Trajanje terapije mora se prilagoditi individualnim potrebama nakon pažljive </w:t>
            </w:r>
            <w:r w:rsidR="00A639DA" w:rsidRPr="00394D9A">
              <w:rPr>
                <w:szCs w:val="22"/>
                <w:lang w:val="sr-Latn-RS"/>
              </w:rPr>
              <w:t>procjene</w:t>
            </w:r>
            <w:r w:rsidRPr="00394D9A">
              <w:rPr>
                <w:szCs w:val="22"/>
                <w:lang w:val="sr-Latn-RS"/>
              </w:rPr>
              <w:t xml:space="preserve"> koristi l</w:t>
            </w:r>
            <w:r w:rsidR="00A639DA" w:rsidRPr="00394D9A">
              <w:rPr>
                <w:szCs w:val="22"/>
                <w:lang w:val="sr-Latn-RS"/>
              </w:rPr>
              <w:t>ij</w:t>
            </w:r>
            <w:r w:rsidRPr="00394D9A">
              <w:rPr>
                <w:szCs w:val="22"/>
                <w:lang w:val="sr-Latn-RS"/>
              </w:rPr>
              <w:t>ečenja u odnosu na rizik od krvarenja (</w:t>
            </w:r>
            <w:r w:rsidR="00CA3AFF" w:rsidRPr="00394D9A">
              <w:rPr>
                <w:szCs w:val="22"/>
                <w:lang w:val="sr-Latn-RS"/>
              </w:rPr>
              <w:t xml:space="preserve">vidjeti </w:t>
            </w:r>
            <w:r w:rsidR="00D7145C" w:rsidRPr="00394D9A">
              <w:rPr>
                <w:szCs w:val="22"/>
                <w:lang w:val="sr-Latn-RS"/>
              </w:rPr>
              <w:t>dio</w:t>
            </w:r>
            <w:r w:rsidRPr="00394D9A">
              <w:rPr>
                <w:szCs w:val="22"/>
                <w:lang w:val="sr-Latn-RS"/>
              </w:rPr>
              <w:t xml:space="preserve"> 4.4).</w:t>
            </w:r>
          </w:p>
          <w:p w14:paraId="178DEFF3" w14:textId="77777777" w:rsidR="00847A0B" w:rsidRPr="00394D9A" w:rsidRDefault="00847A0B" w:rsidP="00187D17">
            <w:pPr>
              <w:widowControl w:val="0"/>
              <w:rPr>
                <w:szCs w:val="22"/>
                <w:lang w:val="sr-Latn-RS"/>
              </w:rPr>
            </w:pPr>
          </w:p>
          <w:p w14:paraId="53C6CD93" w14:textId="3C138174" w:rsidR="00847A0B" w:rsidRPr="00394D9A" w:rsidRDefault="00847A0B" w:rsidP="00187D17">
            <w:pPr>
              <w:widowControl w:val="0"/>
              <w:rPr>
                <w:szCs w:val="22"/>
                <w:lang w:val="sr-Latn-RS"/>
              </w:rPr>
            </w:pPr>
            <w:r w:rsidRPr="00394D9A">
              <w:rPr>
                <w:szCs w:val="22"/>
                <w:lang w:val="sr-Latn-RS"/>
              </w:rPr>
              <w:t>Kratko trajanje terapije (najmanje 3 m</w:t>
            </w:r>
            <w:r w:rsidR="00A639DA" w:rsidRPr="00394D9A">
              <w:rPr>
                <w:szCs w:val="22"/>
                <w:lang w:val="sr-Latn-RS"/>
              </w:rPr>
              <w:t>j</w:t>
            </w:r>
            <w:r w:rsidRPr="00394D9A">
              <w:rPr>
                <w:szCs w:val="22"/>
                <w:lang w:val="sr-Latn-RS"/>
              </w:rPr>
              <w:t>eseca) treba odrediti na osnovu prolaznh faktora rizika (npr. nedavni hirurški zahvat, trauma, imobilizacija), a duže trajanje treba odrediti prema trajnim faktorima rizika ili da li se radi o idiopatskoj DVT ili PE.</w:t>
            </w:r>
          </w:p>
        </w:tc>
      </w:tr>
    </w:tbl>
    <w:p w14:paraId="6B5B8AA6" w14:textId="77777777" w:rsidR="00847A0B" w:rsidRPr="00394D9A" w:rsidRDefault="00847A0B" w:rsidP="00187D17">
      <w:pPr>
        <w:widowControl w:val="0"/>
        <w:rPr>
          <w:b/>
          <w:bCs/>
          <w:szCs w:val="22"/>
          <w:lang w:val="sr-Latn-RS"/>
        </w:rPr>
      </w:pPr>
    </w:p>
    <w:p w14:paraId="67632A55" w14:textId="31E2EC54" w:rsidR="00847A0B" w:rsidRPr="00394D9A" w:rsidRDefault="00847A0B" w:rsidP="00187D17">
      <w:pPr>
        <w:widowControl w:val="0"/>
        <w:rPr>
          <w:i/>
          <w:iCs/>
          <w:szCs w:val="22"/>
          <w:u w:val="single"/>
          <w:lang w:val="sr-Latn-RS"/>
        </w:rPr>
      </w:pPr>
      <w:r w:rsidRPr="00394D9A">
        <w:rPr>
          <w:i/>
          <w:iCs/>
          <w:szCs w:val="22"/>
          <w:u w:val="single"/>
          <w:lang w:val="sr-Latn-RS"/>
        </w:rPr>
        <w:t>Propuštena doza</w:t>
      </w:r>
    </w:p>
    <w:p w14:paraId="69912D40" w14:textId="77777777" w:rsidR="00847A0B" w:rsidRPr="00394D9A" w:rsidRDefault="00847A0B" w:rsidP="00187D17">
      <w:pPr>
        <w:widowControl w:val="0"/>
        <w:rPr>
          <w:szCs w:val="22"/>
          <w:lang w:val="sr-Latn-RS"/>
        </w:rPr>
      </w:pPr>
    </w:p>
    <w:p w14:paraId="798471C7" w14:textId="410C261A" w:rsidR="00847A0B" w:rsidRPr="00394D9A" w:rsidRDefault="00847A0B" w:rsidP="00187D17">
      <w:pPr>
        <w:widowControl w:val="0"/>
        <w:rPr>
          <w:szCs w:val="22"/>
          <w:lang w:val="sr-Latn-RS"/>
        </w:rPr>
      </w:pPr>
      <w:r w:rsidRPr="00394D9A">
        <w:rPr>
          <w:szCs w:val="22"/>
          <w:lang w:val="sr-Latn-RS"/>
        </w:rPr>
        <w:t>Propuštena doza se i dalje može uzeti do 6 časova pr</w:t>
      </w:r>
      <w:r w:rsidR="00A639DA" w:rsidRPr="00394D9A">
        <w:rPr>
          <w:szCs w:val="22"/>
          <w:lang w:val="sr-Latn-RS"/>
        </w:rPr>
        <w:t>ij</w:t>
      </w:r>
      <w:r w:rsidRPr="00394D9A">
        <w:rPr>
          <w:szCs w:val="22"/>
          <w:lang w:val="sr-Latn-RS"/>
        </w:rPr>
        <w:t xml:space="preserve">e </w:t>
      </w:r>
      <w:r w:rsidR="00382644" w:rsidRPr="00394D9A">
        <w:rPr>
          <w:szCs w:val="22"/>
          <w:lang w:val="sr-Latn-RS"/>
        </w:rPr>
        <w:t>vremena</w:t>
      </w:r>
      <w:r w:rsidRPr="00394D9A">
        <w:rPr>
          <w:szCs w:val="22"/>
          <w:lang w:val="sr-Latn-RS"/>
        </w:rPr>
        <w:t xml:space="preserve"> za narednu redovnu dozu. Ako je do naredne doze ostalo manje od 6 časova, propuštenu dozu treba izostaviti.</w:t>
      </w:r>
    </w:p>
    <w:p w14:paraId="19A60227" w14:textId="77777777" w:rsidR="00847A0B" w:rsidRPr="00394D9A" w:rsidRDefault="00847A0B" w:rsidP="00187D17">
      <w:pPr>
        <w:widowControl w:val="0"/>
        <w:rPr>
          <w:szCs w:val="22"/>
          <w:lang w:val="sr-Latn-RS"/>
        </w:rPr>
      </w:pPr>
    </w:p>
    <w:p w14:paraId="690DE244" w14:textId="1E7E1015" w:rsidR="00847A0B" w:rsidRPr="00394D9A" w:rsidRDefault="00243904" w:rsidP="00187D17">
      <w:pPr>
        <w:widowControl w:val="0"/>
        <w:rPr>
          <w:szCs w:val="22"/>
          <w:lang w:val="sr-Latn-RS"/>
        </w:rPr>
      </w:pPr>
      <w:r w:rsidRPr="00394D9A">
        <w:rPr>
          <w:szCs w:val="22"/>
          <w:lang w:val="sr-Latn-RS"/>
        </w:rPr>
        <w:t>Ne treba</w:t>
      </w:r>
      <w:r w:rsidR="00847A0B" w:rsidRPr="00394D9A">
        <w:rPr>
          <w:szCs w:val="22"/>
          <w:lang w:val="sr-Latn-RS"/>
        </w:rPr>
        <w:t xml:space="preserve"> uzimati dvostruk</w:t>
      </w:r>
      <w:r w:rsidRPr="00394D9A">
        <w:rPr>
          <w:szCs w:val="22"/>
          <w:lang w:val="sr-Latn-RS"/>
        </w:rPr>
        <w:t>u</w:t>
      </w:r>
      <w:r w:rsidR="00847A0B" w:rsidRPr="00394D9A">
        <w:rPr>
          <w:szCs w:val="22"/>
          <w:lang w:val="sr-Latn-RS"/>
        </w:rPr>
        <w:t xml:space="preserve"> doz</w:t>
      </w:r>
      <w:r w:rsidRPr="00394D9A">
        <w:rPr>
          <w:szCs w:val="22"/>
          <w:lang w:val="sr-Latn-RS"/>
        </w:rPr>
        <w:t>u</w:t>
      </w:r>
      <w:r w:rsidR="00847A0B" w:rsidRPr="00394D9A">
        <w:rPr>
          <w:szCs w:val="22"/>
          <w:lang w:val="sr-Latn-RS"/>
        </w:rPr>
        <w:t xml:space="preserve"> da </w:t>
      </w:r>
      <w:r w:rsidRPr="00394D9A">
        <w:rPr>
          <w:szCs w:val="22"/>
          <w:lang w:val="sr-Latn-RS"/>
        </w:rPr>
        <w:t xml:space="preserve">bi </w:t>
      </w:r>
      <w:r w:rsidR="00847A0B" w:rsidRPr="00394D9A">
        <w:rPr>
          <w:szCs w:val="22"/>
          <w:lang w:val="sr-Latn-RS"/>
        </w:rPr>
        <w:t>se nadoknad</w:t>
      </w:r>
      <w:r w:rsidRPr="00394D9A">
        <w:rPr>
          <w:szCs w:val="22"/>
          <w:lang w:val="sr-Latn-RS"/>
        </w:rPr>
        <w:t>e pojedinačne</w:t>
      </w:r>
      <w:r w:rsidR="00847A0B" w:rsidRPr="00394D9A">
        <w:rPr>
          <w:szCs w:val="22"/>
          <w:lang w:val="sr-Latn-RS"/>
        </w:rPr>
        <w:t xml:space="preserve"> propušten</w:t>
      </w:r>
      <w:r w:rsidRPr="00394D9A">
        <w:rPr>
          <w:szCs w:val="22"/>
          <w:lang w:val="sr-Latn-RS"/>
        </w:rPr>
        <w:t>e doze</w:t>
      </w:r>
      <w:r w:rsidR="00847A0B" w:rsidRPr="00394D9A">
        <w:rPr>
          <w:szCs w:val="22"/>
          <w:lang w:val="sr-Latn-RS"/>
        </w:rPr>
        <w:t>.</w:t>
      </w:r>
    </w:p>
    <w:p w14:paraId="6183C60D" w14:textId="77777777" w:rsidR="00847A0B" w:rsidRPr="00394D9A" w:rsidRDefault="00847A0B" w:rsidP="00187D17">
      <w:pPr>
        <w:widowControl w:val="0"/>
        <w:rPr>
          <w:szCs w:val="22"/>
          <w:lang w:val="sr-Latn-RS"/>
        </w:rPr>
      </w:pPr>
    </w:p>
    <w:p w14:paraId="54AE3806" w14:textId="07286DAB" w:rsidR="00847A0B" w:rsidRPr="00394D9A" w:rsidRDefault="00847A0B" w:rsidP="00187D17">
      <w:pPr>
        <w:widowControl w:val="0"/>
        <w:rPr>
          <w:i/>
          <w:iCs/>
          <w:szCs w:val="22"/>
          <w:u w:val="single"/>
          <w:lang w:val="sr-Latn-RS"/>
        </w:rPr>
      </w:pPr>
      <w:r w:rsidRPr="00394D9A">
        <w:rPr>
          <w:i/>
          <w:iCs/>
          <w:szCs w:val="22"/>
          <w:u w:val="single"/>
          <w:lang w:val="sr-Latn-RS"/>
        </w:rPr>
        <w:t>Prekid terapije l</w:t>
      </w:r>
      <w:r w:rsidR="00A639DA" w:rsidRPr="00394D9A">
        <w:rPr>
          <w:i/>
          <w:iCs/>
          <w:szCs w:val="22"/>
          <w:u w:val="single"/>
          <w:lang w:val="sr-Latn-RS"/>
        </w:rPr>
        <w:t>ij</w:t>
      </w:r>
      <w:r w:rsidRPr="00394D9A">
        <w:rPr>
          <w:i/>
          <w:iCs/>
          <w:szCs w:val="22"/>
          <w:u w:val="single"/>
          <w:lang w:val="sr-Latn-RS"/>
        </w:rPr>
        <w:t>ekom Dabigatran SK</w:t>
      </w:r>
    </w:p>
    <w:p w14:paraId="3A34A106" w14:textId="77777777" w:rsidR="00847A0B" w:rsidRPr="00394D9A" w:rsidRDefault="00847A0B" w:rsidP="00187D17">
      <w:pPr>
        <w:widowControl w:val="0"/>
        <w:rPr>
          <w:szCs w:val="22"/>
          <w:lang w:val="sr-Latn-RS"/>
        </w:rPr>
      </w:pPr>
    </w:p>
    <w:p w14:paraId="5DC26895" w14:textId="6584E433" w:rsidR="00847A0B" w:rsidRPr="00394D9A" w:rsidRDefault="00847A0B" w:rsidP="00187D17">
      <w:pPr>
        <w:widowControl w:val="0"/>
        <w:rPr>
          <w:szCs w:val="22"/>
          <w:lang w:val="sr-Latn-RS"/>
        </w:rPr>
      </w:pPr>
      <w:r w:rsidRPr="00394D9A">
        <w:rPr>
          <w:szCs w:val="22"/>
          <w:lang w:val="sr-Latn-RS"/>
        </w:rPr>
        <w:t>Terapija l</w:t>
      </w:r>
      <w:r w:rsidR="00A639DA" w:rsidRPr="00394D9A">
        <w:rPr>
          <w:szCs w:val="22"/>
          <w:lang w:val="sr-Latn-RS"/>
        </w:rPr>
        <w:t>ij</w:t>
      </w:r>
      <w:r w:rsidRPr="00394D9A">
        <w:rPr>
          <w:szCs w:val="22"/>
          <w:lang w:val="sr-Latn-RS"/>
        </w:rPr>
        <w:t>ekom Dabigatran SK se ne sm</w:t>
      </w:r>
      <w:r w:rsidR="00A639DA" w:rsidRPr="00394D9A">
        <w:rPr>
          <w:szCs w:val="22"/>
          <w:lang w:val="sr-Latn-RS"/>
        </w:rPr>
        <w:t>ij</w:t>
      </w:r>
      <w:r w:rsidRPr="00394D9A">
        <w:rPr>
          <w:szCs w:val="22"/>
          <w:lang w:val="sr-Latn-RS"/>
        </w:rPr>
        <w:t>e prekinuti bez sav</w:t>
      </w:r>
      <w:r w:rsidR="00054680" w:rsidRPr="00394D9A">
        <w:rPr>
          <w:szCs w:val="22"/>
          <w:lang w:val="sr-Latn-RS"/>
        </w:rPr>
        <w:t>j</w:t>
      </w:r>
      <w:r w:rsidRPr="00394D9A">
        <w:rPr>
          <w:szCs w:val="22"/>
          <w:lang w:val="sr-Latn-RS"/>
        </w:rPr>
        <w:t xml:space="preserve">eta sa </w:t>
      </w:r>
      <w:r w:rsidR="00A639DA" w:rsidRPr="00394D9A">
        <w:rPr>
          <w:szCs w:val="22"/>
          <w:lang w:val="sr-Latn-RS"/>
        </w:rPr>
        <w:t>ljeka</w:t>
      </w:r>
      <w:r w:rsidRPr="00394D9A">
        <w:rPr>
          <w:szCs w:val="22"/>
          <w:lang w:val="sr-Latn-RS"/>
        </w:rPr>
        <w:t xml:space="preserve">rom. Pacijentima treba reći da se jave nadležnom </w:t>
      </w:r>
      <w:r w:rsidR="00A639DA" w:rsidRPr="00394D9A">
        <w:rPr>
          <w:szCs w:val="22"/>
          <w:lang w:val="sr-Latn-RS"/>
        </w:rPr>
        <w:t>ljeka</w:t>
      </w:r>
      <w:r w:rsidRPr="00394D9A">
        <w:rPr>
          <w:szCs w:val="22"/>
          <w:lang w:val="sr-Latn-RS"/>
        </w:rPr>
        <w:t>ru ako se pojave gastrointestinalni simptomi, kao što je dispepsija (</w:t>
      </w:r>
      <w:r w:rsidR="00CA3AFF" w:rsidRPr="00394D9A">
        <w:rPr>
          <w:szCs w:val="22"/>
          <w:lang w:val="sr-Latn-RS"/>
        </w:rPr>
        <w:t xml:space="preserve">vidjeti </w:t>
      </w:r>
      <w:r w:rsidR="00D7145C" w:rsidRPr="00394D9A">
        <w:rPr>
          <w:szCs w:val="22"/>
          <w:lang w:val="sr-Latn-RS"/>
        </w:rPr>
        <w:t>dio</w:t>
      </w:r>
      <w:r w:rsidRPr="00394D9A">
        <w:rPr>
          <w:szCs w:val="22"/>
          <w:lang w:val="sr-Latn-RS"/>
        </w:rPr>
        <w:t xml:space="preserve"> 4.8).</w:t>
      </w:r>
    </w:p>
    <w:p w14:paraId="22E78697" w14:textId="77777777" w:rsidR="00847A0B" w:rsidRPr="00394D9A" w:rsidRDefault="00847A0B" w:rsidP="00187D17">
      <w:pPr>
        <w:widowControl w:val="0"/>
        <w:rPr>
          <w:szCs w:val="22"/>
          <w:lang w:val="sr-Latn-RS"/>
        </w:rPr>
      </w:pPr>
    </w:p>
    <w:p w14:paraId="0632FF0A" w14:textId="32D33CE7" w:rsidR="00847A0B" w:rsidRPr="00394D9A" w:rsidRDefault="00847A0B" w:rsidP="00187D17">
      <w:pPr>
        <w:widowControl w:val="0"/>
        <w:rPr>
          <w:i/>
          <w:iCs/>
          <w:szCs w:val="22"/>
          <w:u w:val="single"/>
          <w:lang w:val="sr-Latn-RS"/>
        </w:rPr>
      </w:pPr>
      <w:r w:rsidRPr="00394D9A">
        <w:rPr>
          <w:i/>
          <w:iCs/>
          <w:szCs w:val="22"/>
          <w:u w:val="single"/>
          <w:lang w:val="sr-Latn-RS"/>
        </w:rPr>
        <w:t>Prom</w:t>
      </w:r>
      <w:r w:rsidR="00A639DA" w:rsidRPr="00394D9A">
        <w:rPr>
          <w:i/>
          <w:iCs/>
          <w:szCs w:val="22"/>
          <w:u w:val="single"/>
          <w:lang w:val="sr-Latn-RS"/>
        </w:rPr>
        <w:t>j</w:t>
      </w:r>
      <w:r w:rsidRPr="00394D9A">
        <w:rPr>
          <w:i/>
          <w:iCs/>
          <w:szCs w:val="22"/>
          <w:u w:val="single"/>
          <w:lang w:val="sr-Latn-RS"/>
        </w:rPr>
        <w:t>ena terapije</w:t>
      </w:r>
    </w:p>
    <w:p w14:paraId="713CFF89" w14:textId="77777777" w:rsidR="00847A0B" w:rsidRPr="00394D9A" w:rsidRDefault="00847A0B" w:rsidP="00187D17">
      <w:pPr>
        <w:widowControl w:val="0"/>
        <w:rPr>
          <w:szCs w:val="22"/>
          <w:lang w:val="sr-Latn-RS"/>
        </w:rPr>
      </w:pPr>
    </w:p>
    <w:p w14:paraId="6D6ECD1D" w14:textId="267D380C" w:rsidR="00847A0B" w:rsidRPr="00394D9A" w:rsidRDefault="00847A0B" w:rsidP="00187D17">
      <w:pPr>
        <w:widowControl w:val="0"/>
        <w:rPr>
          <w:szCs w:val="22"/>
          <w:lang w:val="sr-Latn-RS"/>
        </w:rPr>
      </w:pPr>
      <w:r w:rsidRPr="00394D9A">
        <w:rPr>
          <w:szCs w:val="22"/>
          <w:lang w:val="sr-Latn-RS"/>
        </w:rPr>
        <w:t>Prelaz sa terapije l</w:t>
      </w:r>
      <w:r w:rsidR="00A639DA" w:rsidRPr="00394D9A">
        <w:rPr>
          <w:szCs w:val="22"/>
          <w:lang w:val="sr-Latn-RS"/>
        </w:rPr>
        <w:t>ij</w:t>
      </w:r>
      <w:r w:rsidRPr="00394D9A">
        <w:rPr>
          <w:szCs w:val="22"/>
          <w:lang w:val="sr-Latn-RS"/>
        </w:rPr>
        <w:t xml:space="preserve">ekom </w:t>
      </w:r>
      <w:r w:rsidR="00805AF0" w:rsidRPr="00394D9A">
        <w:rPr>
          <w:szCs w:val="22"/>
          <w:lang w:val="sr-Latn-RS"/>
        </w:rPr>
        <w:t>Dabigatran SK</w:t>
      </w:r>
      <w:r w:rsidRPr="00394D9A">
        <w:rPr>
          <w:szCs w:val="22"/>
          <w:lang w:val="sr-Latn-RS"/>
        </w:rPr>
        <w:t xml:space="preserve"> na parenteralni antikoagulans:</w:t>
      </w:r>
    </w:p>
    <w:p w14:paraId="2FCFB221" w14:textId="6D108D9B" w:rsidR="00847A0B" w:rsidRPr="00394D9A" w:rsidRDefault="00847A0B" w:rsidP="00187D17">
      <w:pPr>
        <w:widowControl w:val="0"/>
        <w:rPr>
          <w:szCs w:val="22"/>
          <w:lang w:val="sr-Latn-RS"/>
        </w:rPr>
      </w:pPr>
      <w:r w:rsidRPr="00394D9A">
        <w:rPr>
          <w:szCs w:val="22"/>
          <w:lang w:val="sr-Latn-RS"/>
        </w:rPr>
        <w:t>Pr</w:t>
      </w:r>
      <w:r w:rsidR="00A639DA" w:rsidRPr="00394D9A">
        <w:rPr>
          <w:szCs w:val="22"/>
          <w:lang w:val="sr-Latn-RS"/>
        </w:rPr>
        <w:t>ij</w:t>
      </w:r>
      <w:r w:rsidRPr="00394D9A">
        <w:rPr>
          <w:szCs w:val="22"/>
          <w:lang w:val="sr-Latn-RS"/>
        </w:rPr>
        <w:t xml:space="preserve">e nego što se pređe sa </w:t>
      </w:r>
      <w:r w:rsidR="00A639DA" w:rsidRPr="00394D9A">
        <w:rPr>
          <w:szCs w:val="22"/>
          <w:lang w:val="sr-Latn-RS"/>
        </w:rPr>
        <w:t>lijeka</w:t>
      </w:r>
      <w:r w:rsidRPr="00394D9A">
        <w:rPr>
          <w:szCs w:val="22"/>
          <w:lang w:val="sr-Latn-RS"/>
        </w:rPr>
        <w:t xml:space="preserve"> </w:t>
      </w:r>
      <w:r w:rsidR="00805AF0" w:rsidRPr="00394D9A">
        <w:rPr>
          <w:szCs w:val="22"/>
          <w:lang w:val="sr-Latn-RS"/>
        </w:rPr>
        <w:t>Dabigatran SK</w:t>
      </w:r>
      <w:r w:rsidRPr="00394D9A">
        <w:rPr>
          <w:szCs w:val="22"/>
          <w:lang w:val="sr-Latn-RS"/>
        </w:rPr>
        <w:t xml:space="preserve"> na parenteralni antikoagulans, preporučuje se da se sačeka 12 časova po uzimanju posl</w:t>
      </w:r>
      <w:r w:rsidR="00157169" w:rsidRPr="00394D9A">
        <w:rPr>
          <w:szCs w:val="22"/>
          <w:lang w:val="sr-Latn-RS"/>
        </w:rPr>
        <w:t>j</w:t>
      </w:r>
      <w:r w:rsidRPr="00394D9A">
        <w:rPr>
          <w:szCs w:val="22"/>
          <w:lang w:val="sr-Latn-RS"/>
        </w:rPr>
        <w:t>ednje doze (</w:t>
      </w:r>
      <w:r w:rsidR="00CA3AFF" w:rsidRPr="00394D9A">
        <w:rPr>
          <w:szCs w:val="22"/>
          <w:lang w:val="sr-Latn-RS"/>
        </w:rPr>
        <w:t xml:space="preserve">vidjeti </w:t>
      </w:r>
      <w:r w:rsidR="00D7145C" w:rsidRPr="00394D9A">
        <w:rPr>
          <w:szCs w:val="22"/>
          <w:lang w:val="sr-Latn-RS"/>
        </w:rPr>
        <w:t>dio</w:t>
      </w:r>
      <w:r w:rsidRPr="00394D9A">
        <w:rPr>
          <w:szCs w:val="22"/>
          <w:lang w:val="sr-Latn-RS"/>
        </w:rPr>
        <w:t xml:space="preserve"> 4.5).</w:t>
      </w:r>
    </w:p>
    <w:p w14:paraId="412C22E3" w14:textId="77777777" w:rsidR="00847A0B" w:rsidRPr="00394D9A" w:rsidRDefault="00847A0B" w:rsidP="00187D17">
      <w:pPr>
        <w:widowControl w:val="0"/>
        <w:rPr>
          <w:i/>
          <w:szCs w:val="22"/>
          <w:lang w:val="sr-Latn-RS"/>
        </w:rPr>
      </w:pPr>
    </w:p>
    <w:p w14:paraId="4DF1718E" w14:textId="1FAC0DC5" w:rsidR="00847A0B" w:rsidRPr="00394D9A" w:rsidRDefault="00847A0B" w:rsidP="00187D17">
      <w:pPr>
        <w:widowControl w:val="0"/>
        <w:rPr>
          <w:i/>
          <w:szCs w:val="22"/>
          <w:lang w:val="sr-Latn-RS"/>
        </w:rPr>
      </w:pPr>
      <w:r w:rsidRPr="00394D9A">
        <w:rPr>
          <w:i/>
          <w:szCs w:val="22"/>
          <w:lang w:val="sr-Latn-RS"/>
        </w:rPr>
        <w:t>Prelaz sa terapije parenteralnim antikoagulansom na l</w:t>
      </w:r>
      <w:r w:rsidR="00A639DA" w:rsidRPr="00394D9A">
        <w:rPr>
          <w:i/>
          <w:szCs w:val="22"/>
          <w:lang w:val="sr-Latn-RS"/>
        </w:rPr>
        <w:t>ij</w:t>
      </w:r>
      <w:r w:rsidRPr="00394D9A">
        <w:rPr>
          <w:i/>
          <w:szCs w:val="22"/>
          <w:lang w:val="sr-Latn-RS"/>
        </w:rPr>
        <w:t xml:space="preserve">ek </w:t>
      </w:r>
      <w:bookmarkStart w:id="0" w:name="_Hlk57892301"/>
      <w:r w:rsidR="00805AF0" w:rsidRPr="00394D9A">
        <w:rPr>
          <w:i/>
          <w:szCs w:val="22"/>
          <w:lang w:val="sr-Latn-RS"/>
        </w:rPr>
        <w:t>Dabigatran SK</w:t>
      </w:r>
      <w:bookmarkEnd w:id="0"/>
      <w:r w:rsidRPr="00394D9A">
        <w:rPr>
          <w:i/>
          <w:szCs w:val="22"/>
          <w:lang w:val="sr-Latn-RS"/>
        </w:rPr>
        <w:t>:</w:t>
      </w:r>
    </w:p>
    <w:p w14:paraId="51B04D2F" w14:textId="7F56EAF3" w:rsidR="00847A0B" w:rsidRPr="00394D9A" w:rsidRDefault="00847A0B" w:rsidP="00187D17">
      <w:pPr>
        <w:widowControl w:val="0"/>
        <w:rPr>
          <w:szCs w:val="22"/>
          <w:lang w:val="sr-Latn-RS"/>
        </w:rPr>
      </w:pPr>
      <w:r w:rsidRPr="00394D9A">
        <w:rPr>
          <w:szCs w:val="22"/>
          <w:lang w:val="sr-Latn-RS"/>
        </w:rPr>
        <w:t>Prekinuti terapiju parenteralnim antikoagulansom i početi terapiju l</w:t>
      </w:r>
      <w:r w:rsidR="00A639DA" w:rsidRPr="00394D9A">
        <w:rPr>
          <w:szCs w:val="22"/>
          <w:lang w:val="sr-Latn-RS"/>
        </w:rPr>
        <w:t>ij</w:t>
      </w:r>
      <w:r w:rsidRPr="00394D9A">
        <w:rPr>
          <w:szCs w:val="22"/>
          <w:lang w:val="sr-Latn-RS"/>
        </w:rPr>
        <w:t xml:space="preserve">ekom </w:t>
      </w:r>
      <w:r w:rsidR="00805AF0" w:rsidRPr="00394D9A">
        <w:rPr>
          <w:szCs w:val="22"/>
          <w:lang w:val="sr-Latn-RS"/>
        </w:rPr>
        <w:t>Dabigatran SK</w:t>
      </w:r>
      <w:r w:rsidRPr="00394D9A">
        <w:rPr>
          <w:szCs w:val="22"/>
          <w:lang w:val="sr-Latn-RS"/>
        </w:rPr>
        <w:t xml:space="preserve"> 0-2 sata pr</w:t>
      </w:r>
      <w:r w:rsidR="00A639DA" w:rsidRPr="00394D9A">
        <w:rPr>
          <w:szCs w:val="22"/>
          <w:lang w:val="sr-Latn-RS"/>
        </w:rPr>
        <w:t>ij</w:t>
      </w:r>
      <w:r w:rsidRPr="00394D9A">
        <w:rPr>
          <w:szCs w:val="22"/>
          <w:lang w:val="sr-Latn-RS"/>
        </w:rPr>
        <w:t xml:space="preserve">e </w:t>
      </w:r>
      <w:r w:rsidR="00382644" w:rsidRPr="00394D9A">
        <w:rPr>
          <w:szCs w:val="22"/>
          <w:lang w:val="sr-Latn-RS"/>
        </w:rPr>
        <w:t>vremena</w:t>
      </w:r>
      <w:r w:rsidRPr="00394D9A">
        <w:rPr>
          <w:szCs w:val="22"/>
          <w:lang w:val="sr-Latn-RS"/>
        </w:rPr>
        <w:t xml:space="preserve"> kada bi trebalo dati sl</w:t>
      </w:r>
      <w:r w:rsidR="00157169" w:rsidRPr="00394D9A">
        <w:rPr>
          <w:szCs w:val="22"/>
          <w:lang w:val="sr-Latn-RS"/>
        </w:rPr>
        <w:t>j</w:t>
      </w:r>
      <w:r w:rsidRPr="00394D9A">
        <w:rPr>
          <w:szCs w:val="22"/>
          <w:lang w:val="sr-Latn-RS"/>
        </w:rPr>
        <w:t>edeću dozu parenteralnog antikoagulansa, ili u trenutku obustave u slučaju kontinuirane terapije (npr. intravenski nefrakcionisani heparin (NFH)</w:t>
      </w:r>
      <w:r w:rsidR="00243904" w:rsidRPr="00394D9A">
        <w:rPr>
          <w:szCs w:val="22"/>
          <w:lang w:val="sr-Latn-RS"/>
        </w:rPr>
        <w:t>)</w:t>
      </w:r>
      <w:r w:rsidRPr="00394D9A">
        <w:rPr>
          <w:szCs w:val="22"/>
          <w:lang w:val="sr-Latn-RS"/>
        </w:rPr>
        <w:t xml:space="preserve"> (</w:t>
      </w:r>
      <w:r w:rsidR="00CA3AFF" w:rsidRPr="00394D9A">
        <w:rPr>
          <w:szCs w:val="22"/>
          <w:lang w:val="sr-Latn-RS"/>
        </w:rPr>
        <w:t xml:space="preserve">vidjeti </w:t>
      </w:r>
      <w:r w:rsidR="00D7145C" w:rsidRPr="00394D9A">
        <w:rPr>
          <w:szCs w:val="22"/>
          <w:lang w:val="sr-Latn-RS"/>
        </w:rPr>
        <w:t>dio</w:t>
      </w:r>
      <w:r w:rsidRPr="00394D9A">
        <w:rPr>
          <w:szCs w:val="22"/>
          <w:lang w:val="sr-Latn-RS"/>
        </w:rPr>
        <w:t xml:space="preserve"> 4.5).</w:t>
      </w:r>
    </w:p>
    <w:p w14:paraId="5C6F4062" w14:textId="77777777" w:rsidR="00847A0B" w:rsidRPr="00394D9A" w:rsidRDefault="00847A0B" w:rsidP="00187D17">
      <w:pPr>
        <w:widowControl w:val="0"/>
        <w:rPr>
          <w:b/>
          <w:bCs/>
          <w:i/>
          <w:szCs w:val="22"/>
          <w:lang w:val="sr-Latn-RS"/>
        </w:rPr>
      </w:pPr>
    </w:p>
    <w:p w14:paraId="738DD8BE" w14:textId="1C551CF5" w:rsidR="00847A0B" w:rsidRPr="00394D9A" w:rsidRDefault="00847A0B" w:rsidP="00187D17">
      <w:pPr>
        <w:widowControl w:val="0"/>
        <w:rPr>
          <w:i/>
          <w:szCs w:val="22"/>
          <w:lang w:val="sr-Latn-RS"/>
        </w:rPr>
      </w:pPr>
      <w:r w:rsidRPr="00394D9A">
        <w:rPr>
          <w:i/>
          <w:szCs w:val="22"/>
          <w:lang w:val="sr-Latn-RS"/>
        </w:rPr>
        <w:t>Prelaz sa terapije l</w:t>
      </w:r>
      <w:r w:rsidR="00A639DA" w:rsidRPr="00394D9A">
        <w:rPr>
          <w:i/>
          <w:szCs w:val="22"/>
          <w:lang w:val="sr-Latn-RS"/>
        </w:rPr>
        <w:t>ij</w:t>
      </w:r>
      <w:r w:rsidRPr="00394D9A">
        <w:rPr>
          <w:i/>
          <w:szCs w:val="22"/>
          <w:lang w:val="sr-Latn-RS"/>
        </w:rPr>
        <w:t xml:space="preserve">ekom </w:t>
      </w:r>
      <w:r w:rsidR="00805AF0" w:rsidRPr="00394D9A">
        <w:rPr>
          <w:i/>
          <w:szCs w:val="22"/>
          <w:lang w:val="sr-Latn-RS"/>
        </w:rPr>
        <w:t>Dabigatran SK</w:t>
      </w:r>
      <w:r w:rsidRPr="00394D9A">
        <w:rPr>
          <w:i/>
          <w:szCs w:val="22"/>
          <w:lang w:val="sr-Latn-RS"/>
        </w:rPr>
        <w:t xml:space="preserve"> na antagoniste Vitamina K (VKA):</w:t>
      </w:r>
    </w:p>
    <w:p w14:paraId="23C0D49B" w14:textId="58D39663" w:rsidR="00847A0B" w:rsidRPr="00394D9A" w:rsidRDefault="00847A0B" w:rsidP="00187D17">
      <w:pPr>
        <w:widowControl w:val="0"/>
        <w:rPr>
          <w:szCs w:val="22"/>
          <w:lang w:val="sr-Latn-RS"/>
        </w:rPr>
      </w:pPr>
      <w:r w:rsidRPr="00394D9A">
        <w:rPr>
          <w:szCs w:val="22"/>
          <w:lang w:val="sr-Latn-RS"/>
        </w:rPr>
        <w:t>Podesiti vr</w:t>
      </w:r>
      <w:r w:rsidR="00A639DA" w:rsidRPr="00394D9A">
        <w:rPr>
          <w:szCs w:val="22"/>
          <w:lang w:val="sr-Latn-RS"/>
        </w:rPr>
        <w:t>ij</w:t>
      </w:r>
      <w:r w:rsidRPr="00394D9A">
        <w:rPr>
          <w:szCs w:val="22"/>
          <w:lang w:val="sr-Latn-RS"/>
        </w:rPr>
        <w:t>eme početka VKA na osnovu klirensa kreatinina, na sl</w:t>
      </w:r>
      <w:r w:rsidR="00157169" w:rsidRPr="00394D9A">
        <w:rPr>
          <w:szCs w:val="22"/>
          <w:lang w:val="sr-Latn-RS"/>
        </w:rPr>
        <w:t>j</w:t>
      </w:r>
      <w:r w:rsidRPr="00394D9A">
        <w:rPr>
          <w:szCs w:val="22"/>
          <w:lang w:val="sr-Latn-RS"/>
        </w:rPr>
        <w:t>edeći način:</w:t>
      </w:r>
    </w:p>
    <w:p w14:paraId="37A90138" w14:textId="44807BEA" w:rsidR="00847A0B" w:rsidRPr="00394D9A" w:rsidRDefault="00847A0B" w:rsidP="00187D17">
      <w:pPr>
        <w:widowControl w:val="0"/>
        <w:rPr>
          <w:szCs w:val="22"/>
          <w:lang w:val="sr-Latn-RS"/>
        </w:rPr>
      </w:pPr>
      <w:r w:rsidRPr="00394D9A">
        <w:rPr>
          <w:szCs w:val="22"/>
          <w:lang w:val="sr-Latn-RS"/>
        </w:rPr>
        <w:t>• CrCL ≥</w:t>
      </w:r>
      <w:r w:rsidR="00CA3AFF" w:rsidRPr="00394D9A">
        <w:rPr>
          <w:szCs w:val="22"/>
          <w:lang w:val="sr-Latn-RS"/>
        </w:rPr>
        <w:t xml:space="preserve"> </w:t>
      </w:r>
      <w:r w:rsidRPr="00394D9A">
        <w:rPr>
          <w:szCs w:val="22"/>
          <w:lang w:val="sr-Latn-RS"/>
        </w:rPr>
        <w:t>50 m</w:t>
      </w:r>
      <w:r w:rsidR="00CA3AFF" w:rsidRPr="00394D9A">
        <w:rPr>
          <w:szCs w:val="22"/>
          <w:lang w:val="sr-Latn-RS"/>
        </w:rPr>
        <w:t>l</w:t>
      </w:r>
      <w:r w:rsidRPr="00394D9A">
        <w:rPr>
          <w:szCs w:val="22"/>
          <w:lang w:val="sr-Latn-RS"/>
        </w:rPr>
        <w:t>/min, početi VKA 3 dana pr</w:t>
      </w:r>
      <w:r w:rsidR="00A639DA" w:rsidRPr="00394D9A">
        <w:rPr>
          <w:szCs w:val="22"/>
          <w:lang w:val="sr-Latn-RS"/>
        </w:rPr>
        <w:t>ij</w:t>
      </w:r>
      <w:r w:rsidRPr="00394D9A">
        <w:rPr>
          <w:szCs w:val="22"/>
          <w:lang w:val="sr-Latn-RS"/>
        </w:rPr>
        <w:t xml:space="preserve">e obustave </w:t>
      </w:r>
      <w:r w:rsidR="00A639DA" w:rsidRPr="00394D9A">
        <w:rPr>
          <w:szCs w:val="22"/>
          <w:lang w:val="sr-Latn-RS"/>
        </w:rPr>
        <w:t>lijeka</w:t>
      </w:r>
      <w:r w:rsidRPr="00394D9A">
        <w:rPr>
          <w:szCs w:val="22"/>
          <w:lang w:val="sr-Latn-RS"/>
        </w:rPr>
        <w:t xml:space="preserve"> </w:t>
      </w:r>
      <w:r w:rsidR="00805AF0" w:rsidRPr="00394D9A">
        <w:rPr>
          <w:szCs w:val="22"/>
          <w:lang w:val="sr-Latn-RS"/>
        </w:rPr>
        <w:t>Dabigatran SK</w:t>
      </w:r>
    </w:p>
    <w:p w14:paraId="69A0A30C" w14:textId="101EA1CB" w:rsidR="00847A0B" w:rsidRPr="00394D9A" w:rsidRDefault="00847A0B" w:rsidP="00187D17">
      <w:pPr>
        <w:widowControl w:val="0"/>
        <w:rPr>
          <w:szCs w:val="22"/>
          <w:lang w:val="sr-Latn-RS"/>
        </w:rPr>
      </w:pPr>
      <w:r w:rsidRPr="00394D9A">
        <w:rPr>
          <w:szCs w:val="22"/>
          <w:lang w:val="sr-Latn-RS"/>
        </w:rPr>
        <w:t>• CrCL ≥</w:t>
      </w:r>
      <w:r w:rsidR="00CA3AFF" w:rsidRPr="00394D9A">
        <w:rPr>
          <w:szCs w:val="22"/>
          <w:lang w:val="sr-Latn-RS"/>
        </w:rPr>
        <w:t xml:space="preserve"> </w:t>
      </w:r>
      <w:r w:rsidRPr="00394D9A">
        <w:rPr>
          <w:szCs w:val="22"/>
          <w:lang w:val="sr-Latn-RS"/>
        </w:rPr>
        <w:t>30</w:t>
      </w:r>
      <w:r w:rsidR="00243904" w:rsidRPr="00394D9A">
        <w:rPr>
          <w:szCs w:val="22"/>
          <w:lang w:val="sr-Latn-RS"/>
        </w:rPr>
        <w:t xml:space="preserve"> </w:t>
      </w:r>
      <w:r w:rsidRPr="00394D9A">
        <w:rPr>
          <w:szCs w:val="22"/>
          <w:lang w:val="sr-Latn-RS"/>
        </w:rPr>
        <w:t>-</w:t>
      </w:r>
      <w:r w:rsidR="00243904" w:rsidRPr="00394D9A">
        <w:rPr>
          <w:szCs w:val="22"/>
          <w:lang w:val="sr-Latn-RS"/>
        </w:rPr>
        <w:t xml:space="preserve"> </w:t>
      </w:r>
      <w:r w:rsidRPr="00394D9A">
        <w:rPr>
          <w:szCs w:val="22"/>
          <w:lang w:val="sr-Latn-RS"/>
        </w:rPr>
        <w:t>&lt;</w:t>
      </w:r>
      <w:r w:rsidR="00CA3AFF" w:rsidRPr="00394D9A">
        <w:rPr>
          <w:szCs w:val="22"/>
          <w:lang w:val="sr-Latn-RS"/>
        </w:rPr>
        <w:t xml:space="preserve"> </w:t>
      </w:r>
      <w:r w:rsidRPr="00394D9A">
        <w:rPr>
          <w:szCs w:val="22"/>
          <w:lang w:val="sr-Latn-RS"/>
        </w:rPr>
        <w:t>50 m</w:t>
      </w:r>
      <w:r w:rsidR="00CA3AFF" w:rsidRPr="00394D9A">
        <w:rPr>
          <w:szCs w:val="22"/>
          <w:lang w:val="sr-Latn-RS"/>
        </w:rPr>
        <w:t>l</w:t>
      </w:r>
      <w:r w:rsidRPr="00394D9A">
        <w:rPr>
          <w:szCs w:val="22"/>
          <w:lang w:val="sr-Latn-RS"/>
        </w:rPr>
        <w:t>/min, početi VKA 2 dana pr</w:t>
      </w:r>
      <w:r w:rsidR="00A639DA" w:rsidRPr="00394D9A">
        <w:rPr>
          <w:szCs w:val="22"/>
          <w:lang w:val="sr-Latn-RS"/>
        </w:rPr>
        <w:t>ij</w:t>
      </w:r>
      <w:r w:rsidRPr="00394D9A">
        <w:rPr>
          <w:szCs w:val="22"/>
          <w:lang w:val="sr-Latn-RS"/>
        </w:rPr>
        <w:t xml:space="preserve">e obustave </w:t>
      </w:r>
      <w:r w:rsidR="00A639DA" w:rsidRPr="00394D9A">
        <w:rPr>
          <w:szCs w:val="22"/>
          <w:lang w:val="sr-Latn-RS"/>
        </w:rPr>
        <w:t>lijeka</w:t>
      </w:r>
      <w:r w:rsidRPr="00394D9A">
        <w:rPr>
          <w:szCs w:val="22"/>
          <w:lang w:val="sr-Latn-RS"/>
        </w:rPr>
        <w:t xml:space="preserve"> </w:t>
      </w:r>
      <w:r w:rsidR="00805AF0" w:rsidRPr="00394D9A">
        <w:rPr>
          <w:szCs w:val="22"/>
          <w:lang w:val="sr-Latn-RS"/>
        </w:rPr>
        <w:t>Dabigatran SK</w:t>
      </w:r>
    </w:p>
    <w:p w14:paraId="33D104CA" w14:textId="77777777" w:rsidR="00805AF0" w:rsidRPr="00394D9A" w:rsidRDefault="00805AF0" w:rsidP="00187D17">
      <w:pPr>
        <w:widowControl w:val="0"/>
        <w:rPr>
          <w:szCs w:val="22"/>
          <w:lang w:val="sr-Latn-RS"/>
        </w:rPr>
      </w:pPr>
    </w:p>
    <w:p w14:paraId="4572864C" w14:textId="2BC44BBE" w:rsidR="00847A0B" w:rsidRPr="00394D9A" w:rsidRDefault="00847A0B" w:rsidP="00187D17">
      <w:pPr>
        <w:widowControl w:val="0"/>
        <w:rPr>
          <w:szCs w:val="22"/>
          <w:lang w:val="sr-Latn-RS"/>
        </w:rPr>
      </w:pPr>
      <w:r w:rsidRPr="00394D9A">
        <w:rPr>
          <w:szCs w:val="22"/>
          <w:lang w:val="sr-Latn-RS"/>
        </w:rPr>
        <w:t xml:space="preserve">S obzirom da </w:t>
      </w:r>
      <w:r w:rsidR="00805AF0" w:rsidRPr="00394D9A">
        <w:rPr>
          <w:szCs w:val="22"/>
          <w:lang w:val="sr-Latn-RS"/>
        </w:rPr>
        <w:t xml:space="preserve">Dabigatran SK </w:t>
      </w:r>
      <w:r w:rsidRPr="00394D9A">
        <w:rPr>
          <w:szCs w:val="22"/>
          <w:lang w:val="sr-Latn-RS"/>
        </w:rPr>
        <w:t>može povisiti INR vr</w:t>
      </w:r>
      <w:r w:rsidR="00A639DA" w:rsidRPr="00394D9A">
        <w:rPr>
          <w:szCs w:val="22"/>
          <w:lang w:val="sr-Latn-RS"/>
        </w:rPr>
        <w:t>ij</w:t>
      </w:r>
      <w:r w:rsidRPr="00394D9A">
        <w:rPr>
          <w:szCs w:val="22"/>
          <w:lang w:val="sr-Latn-RS"/>
        </w:rPr>
        <w:t>ednosti, INR će bolje odražavati dejstvo VKA najmanje 2 dana</w:t>
      </w:r>
      <w:r w:rsidR="00805AF0" w:rsidRPr="00394D9A">
        <w:rPr>
          <w:szCs w:val="22"/>
          <w:lang w:val="sr-Latn-RS"/>
        </w:rPr>
        <w:t xml:space="preserve"> </w:t>
      </w:r>
      <w:r w:rsidRPr="00394D9A">
        <w:rPr>
          <w:szCs w:val="22"/>
          <w:lang w:val="sr-Latn-RS"/>
        </w:rPr>
        <w:t xml:space="preserve">nakon prekida </w:t>
      </w:r>
      <w:r w:rsidR="00A639DA" w:rsidRPr="00394D9A">
        <w:rPr>
          <w:szCs w:val="22"/>
          <w:lang w:val="sr-Latn-RS"/>
        </w:rPr>
        <w:t>primjene</w:t>
      </w:r>
      <w:r w:rsidRPr="00394D9A">
        <w:rPr>
          <w:szCs w:val="22"/>
          <w:lang w:val="sr-Latn-RS"/>
        </w:rPr>
        <w:t xml:space="preserve"> </w:t>
      </w:r>
      <w:r w:rsidR="00A639DA" w:rsidRPr="00394D9A">
        <w:rPr>
          <w:szCs w:val="22"/>
          <w:lang w:val="sr-Latn-RS"/>
        </w:rPr>
        <w:t>lijeka</w:t>
      </w:r>
      <w:r w:rsidRPr="00394D9A">
        <w:rPr>
          <w:szCs w:val="22"/>
          <w:lang w:val="sr-Latn-RS"/>
        </w:rPr>
        <w:t xml:space="preserve"> </w:t>
      </w:r>
      <w:r w:rsidR="00805AF0" w:rsidRPr="00394D9A">
        <w:rPr>
          <w:szCs w:val="22"/>
          <w:lang w:val="sr-Latn-RS"/>
        </w:rPr>
        <w:t>Dabigatran SK</w:t>
      </w:r>
      <w:r w:rsidRPr="00394D9A">
        <w:rPr>
          <w:szCs w:val="22"/>
          <w:lang w:val="sr-Latn-RS"/>
        </w:rPr>
        <w:t>. Do tada, potreban je oprez u</w:t>
      </w:r>
      <w:r w:rsidR="00805AF0" w:rsidRPr="00394D9A">
        <w:rPr>
          <w:szCs w:val="22"/>
          <w:lang w:val="sr-Latn-RS"/>
        </w:rPr>
        <w:t xml:space="preserve"> </w:t>
      </w:r>
      <w:r w:rsidRPr="00394D9A">
        <w:rPr>
          <w:szCs w:val="22"/>
          <w:lang w:val="sr-Latn-RS"/>
        </w:rPr>
        <w:t>interpretaciji INR vr</w:t>
      </w:r>
      <w:r w:rsidR="00A639DA" w:rsidRPr="00394D9A">
        <w:rPr>
          <w:szCs w:val="22"/>
          <w:lang w:val="sr-Latn-RS"/>
        </w:rPr>
        <w:t>ij</w:t>
      </w:r>
      <w:r w:rsidRPr="00394D9A">
        <w:rPr>
          <w:szCs w:val="22"/>
          <w:lang w:val="sr-Latn-RS"/>
        </w:rPr>
        <w:t>ednosti.</w:t>
      </w:r>
    </w:p>
    <w:p w14:paraId="14B7CFF8" w14:textId="77777777" w:rsidR="00805AF0" w:rsidRPr="00394D9A" w:rsidRDefault="00805AF0" w:rsidP="00187D17">
      <w:pPr>
        <w:widowControl w:val="0"/>
        <w:rPr>
          <w:szCs w:val="22"/>
          <w:lang w:val="sr-Latn-RS"/>
        </w:rPr>
      </w:pPr>
    </w:p>
    <w:p w14:paraId="5596E0CF" w14:textId="66387F8B" w:rsidR="00847A0B" w:rsidRPr="00394D9A" w:rsidRDefault="00847A0B" w:rsidP="00187D17">
      <w:pPr>
        <w:widowControl w:val="0"/>
        <w:rPr>
          <w:szCs w:val="22"/>
          <w:lang w:val="sr-Latn-RS"/>
        </w:rPr>
      </w:pPr>
      <w:r w:rsidRPr="00394D9A">
        <w:rPr>
          <w:szCs w:val="22"/>
          <w:lang w:val="sr-Latn-RS"/>
        </w:rPr>
        <w:t>Prelaz sa VKA na l</w:t>
      </w:r>
      <w:r w:rsidR="00A639DA" w:rsidRPr="00394D9A">
        <w:rPr>
          <w:szCs w:val="22"/>
          <w:lang w:val="sr-Latn-RS"/>
        </w:rPr>
        <w:t>ij</w:t>
      </w:r>
      <w:r w:rsidRPr="00394D9A">
        <w:rPr>
          <w:szCs w:val="22"/>
          <w:lang w:val="sr-Latn-RS"/>
        </w:rPr>
        <w:t xml:space="preserve">ek </w:t>
      </w:r>
      <w:r w:rsidR="00805AF0" w:rsidRPr="00394D9A">
        <w:rPr>
          <w:szCs w:val="22"/>
          <w:lang w:val="sr-Latn-RS"/>
        </w:rPr>
        <w:t>Dabigatran SK</w:t>
      </w:r>
      <w:r w:rsidRPr="00394D9A">
        <w:rPr>
          <w:szCs w:val="22"/>
          <w:lang w:val="sr-Latn-RS"/>
        </w:rPr>
        <w:t>:</w:t>
      </w:r>
    </w:p>
    <w:p w14:paraId="0986300F" w14:textId="138A6BCF" w:rsidR="00847A0B" w:rsidRPr="00394D9A" w:rsidRDefault="00A639DA" w:rsidP="00187D17">
      <w:pPr>
        <w:widowControl w:val="0"/>
        <w:rPr>
          <w:szCs w:val="22"/>
          <w:lang w:val="sr-Latn-RS"/>
        </w:rPr>
      </w:pPr>
      <w:r w:rsidRPr="00394D9A">
        <w:rPr>
          <w:szCs w:val="22"/>
          <w:lang w:val="sr-Latn-RS"/>
        </w:rPr>
        <w:t xml:space="preserve">Primjena </w:t>
      </w:r>
      <w:r w:rsidR="00847A0B" w:rsidRPr="00394D9A">
        <w:rPr>
          <w:szCs w:val="22"/>
          <w:lang w:val="sr-Latn-RS"/>
        </w:rPr>
        <w:t xml:space="preserve"> VKA se prekida. </w:t>
      </w:r>
      <w:r w:rsidR="00CA3AFF" w:rsidRPr="00394D9A">
        <w:rPr>
          <w:szCs w:val="22"/>
          <w:lang w:val="sr-Latn-RS"/>
        </w:rPr>
        <w:t xml:space="preserve">Lijek </w:t>
      </w:r>
      <w:r w:rsidR="00805AF0" w:rsidRPr="00394D9A">
        <w:rPr>
          <w:szCs w:val="22"/>
          <w:lang w:val="sr-Latn-RS"/>
        </w:rPr>
        <w:t xml:space="preserve">Dabigatran SK </w:t>
      </w:r>
      <w:r w:rsidR="00847A0B" w:rsidRPr="00394D9A">
        <w:rPr>
          <w:szCs w:val="22"/>
          <w:lang w:val="sr-Latn-RS"/>
        </w:rPr>
        <w:t>se može dati čim vr</w:t>
      </w:r>
      <w:r w:rsidRPr="00394D9A">
        <w:rPr>
          <w:szCs w:val="22"/>
          <w:lang w:val="sr-Latn-RS"/>
        </w:rPr>
        <w:t>ij</w:t>
      </w:r>
      <w:r w:rsidR="00847A0B" w:rsidRPr="00394D9A">
        <w:rPr>
          <w:szCs w:val="22"/>
          <w:lang w:val="sr-Latn-RS"/>
        </w:rPr>
        <w:t>ednost normalizovanog internacionalnog koeficijenta</w:t>
      </w:r>
      <w:r w:rsidR="00805AF0" w:rsidRPr="00394D9A">
        <w:rPr>
          <w:szCs w:val="22"/>
          <w:lang w:val="sr-Latn-RS"/>
        </w:rPr>
        <w:t xml:space="preserve"> </w:t>
      </w:r>
      <w:r w:rsidR="00847A0B" w:rsidRPr="00394D9A">
        <w:rPr>
          <w:szCs w:val="22"/>
          <w:lang w:val="sr-Latn-RS"/>
        </w:rPr>
        <w:t>(INR) bude &lt;</w:t>
      </w:r>
      <w:r w:rsidR="00CA3AFF" w:rsidRPr="00394D9A">
        <w:rPr>
          <w:szCs w:val="22"/>
          <w:lang w:val="sr-Latn-RS"/>
        </w:rPr>
        <w:t xml:space="preserve"> </w:t>
      </w:r>
      <w:r w:rsidR="00847A0B" w:rsidRPr="00394D9A">
        <w:rPr>
          <w:szCs w:val="22"/>
          <w:lang w:val="sr-Latn-RS"/>
        </w:rPr>
        <w:t>2,0.</w:t>
      </w:r>
    </w:p>
    <w:p w14:paraId="3625580F" w14:textId="77777777" w:rsidR="00805AF0" w:rsidRPr="00394D9A" w:rsidRDefault="00805AF0" w:rsidP="00187D17">
      <w:pPr>
        <w:widowControl w:val="0"/>
        <w:rPr>
          <w:b/>
          <w:bCs/>
          <w:szCs w:val="22"/>
          <w:lang w:val="sr-Latn-RS"/>
        </w:rPr>
      </w:pPr>
    </w:p>
    <w:p w14:paraId="7BEE562F" w14:textId="51AFF6D6" w:rsidR="00847A0B" w:rsidRPr="00394D9A" w:rsidRDefault="00847A0B" w:rsidP="00187D17">
      <w:pPr>
        <w:widowControl w:val="0"/>
        <w:rPr>
          <w:i/>
          <w:iCs/>
          <w:szCs w:val="22"/>
          <w:u w:val="single"/>
          <w:lang w:val="sr-Latn-RS"/>
        </w:rPr>
      </w:pPr>
      <w:r w:rsidRPr="00394D9A">
        <w:rPr>
          <w:i/>
          <w:iCs/>
          <w:szCs w:val="22"/>
          <w:u w:val="single"/>
          <w:lang w:val="sr-Latn-RS"/>
        </w:rPr>
        <w:t>Kardioverzija (prevencija MU i SE kod AF)</w:t>
      </w:r>
    </w:p>
    <w:p w14:paraId="669D6334" w14:textId="77777777" w:rsidR="00805AF0" w:rsidRPr="00394D9A" w:rsidRDefault="00805AF0" w:rsidP="00187D17">
      <w:pPr>
        <w:widowControl w:val="0"/>
        <w:rPr>
          <w:szCs w:val="22"/>
          <w:lang w:val="sr-Latn-RS"/>
        </w:rPr>
      </w:pPr>
    </w:p>
    <w:p w14:paraId="016D45C2" w14:textId="73EC693A" w:rsidR="00847A0B" w:rsidRPr="00394D9A" w:rsidRDefault="00847A0B" w:rsidP="00187D17">
      <w:pPr>
        <w:widowControl w:val="0"/>
        <w:rPr>
          <w:szCs w:val="22"/>
          <w:lang w:val="sr-Latn-RS"/>
        </w:rPr>
      </w:pPr>
      <w:r w:rsidRPr="00394D9A">
        <w:rPr>
          <w:szCs w:val="22"/>
          <w:lang w:val="sr-Latn-RS"/>
        </w:rPr>
        <w:t xml:space="preserve">Pacijenti mogu da ostanu na </w:t>
      </w:r>
      <w:r w:rsidR="00243904" w:rsidRPr="00394D9A">
        <w:rPr>
          <w:szCs w:val="22"/>
          <w:lang w:val="sr-Latn-RS"/>
        </w:rPr>
        <w:t xml:space="preserve">terapiji </w:t>
      </w:r>
      <w:r w:rsidRPr="00394D9A">
        <w:rPr>
          <w:szCs w:val="22"/>
          <w:lang w:val="sr-Latn-RS"/>
        </w:rPr>
        <w:t>l</w:t>
      </w:r>
      <w:r w:rsidR="00A639DA" w:rsidRPr="00394D9A">
        <w:rPr>
          <w:szCs w:val="22"/>
          <w:lang w:val="sr-Latn-RS"/>
        </w:rPr>
        <w:t>ij</w:t>
      </w:r>
      <w:r w:rsidRPr="00394D9A">
        <w:rPr>
          <w:szCs w:val="22"/>
          <w:lang w:val="sr-Latn-RS"/>
        </w:rPr>
        <w:t>ek</w:t>
      </w:r>
      <w:r w:rsidR="00243904" w:rsidRPr="00394D9A">
        <w:rPr>
          <w:szCs w:val="22"/>
          <w:lang w:val="sr-Latn-RS"/>
        </w:rPr>
        <w:t>om</w:t>
      </w:r>
      <w:r w:rsidRPr="00394D9A">
        <w:rPr>
          <w:szCs w:val="22"/>
          <w:lang w:val="sr-Latn-RS"/>
        </w:rPr>
        <w:t xml:space="preserve"> </w:t>
      </w:r>
      <w:r w:rsidR="00805AF0" w:rsidRPr="00394D9A">
        <w:rPr>
          <w:szCs w:val="22"/>
          <w:lang w:val="sr-Latn-RS"/>
        </w:rPr>
        <w:t xml:space="preserve">Dabigatran SK </w:t>
      </w:r>
      <w:r w:rsidRPr="00394D9A">
        <w:rPr>
          <w:szCs w:val="22"/>
          <w:lang w:val="sr-Latn-RS"/>
        </w:rPr>
        <w:t>i dok se podvrgavaju kardioverziji.</w:t>
      </w:r>
    </w:p>
    <w:p w14:paraId="27E2CA78" w14:textId="77777777" w:rsidR="00805AF0" w:rsidRPr="00394D9A" w:rsidRDefault="00805AF0" w:rsidP="00187D17">
      <w:pPr>
        <w:widowControl w:val="0"/>
        <w:rPr>
          <w:szCs w:val="22"/>
          <w:lang w:val="sr-Latn-RS"/>
        </w:rPr>
      </w:pPr>
    </w:p>
    <w:p w14:paraId="5819E08B" w14:textId="6119FC9E" w:rsidR="00847A0B" w:rsidRPr="00394D9A" w:rsidRDefault="00847A0B" w:rsidP="00187D17">
      <w:pPr>
        <w:widowControl w:val="0"/>
        <w:rPr>
          <w:i/>
          <w:iCs/>
          <w:szCs w:val="22"/>
          <w:u w:val="single"/>
          <w:lang w:val="sr-Latn-RS"/>
        </w:rPr>
      </w:pPr>
      <w:r w:rsidRPr="00394D9A">
        <w:rPr>
          <w:i/>
          <w:iCs/>
          <w:szCs w:val="22"/>
          <w:u w:val="single"/>
          <w:lang w:val="sr-Latn-RS"/>
        </w:rPr>
        <w:t>Kateterska ablacija kod atrijalne fibrilacije (prevencija MU i SE kod AF)</w:t>
      </w:r>
    </w:p>
    <w:p w14:paraId="3CFD3568" w14:textId="77777777" w:rsidR="00805AF0" w:rsidRPr="00394D9A" w:rsidRDefault="00805AF0" w:rsidP="00187D17">
      <w:pPr>
        <w:widowControl w:val="0"/>
        <w:rPr>
          <w:szCs w:val="22"/>
          <w:lang w:val="sr-Latn-RS"/>
        </w:rPr>
      </w:pPr>
    </w:p>
    <w:p w14:paraId="08AC4EEA" w14:textId="447F65AA" w:rsidR="00805AF0" w:rsidRPr="00394D9A" w:rsidRDefault="008A4300" w:rsidP="00187D17">
      <w:pPr>
        <w:widowControl w:val="0"/>
        <w:rPr>
          <w:szCs w:val="22"/>
          <w:lang w:val="sr-Latn-RS"/>
        </w:rPr>
      </w:pPr>
      <w:r w:rsidRPr="00394D9A">
        <w:rPr>
          <w:szCs w:val="22"/>
          <w:lang w:val="sr-Latn-RS"/>
        </w:rPr>
        <w:t>Kateterska ablacija se može sprovesti kod pacijenata koji su na terapiji l</w:t>
      </w:r>
      <w:r w:rsidR="00A639DA" w:rsidRPr="00394D9A">
        <w:rPr>
          <w:szCs w:val="22"/>
          <w:lang w:val="sr-Latn-RS"/>
        </w:rPr>
        <w:t>ij</w:t>
      </w:r>
      <w:r w:rsidRPr="00394D9A">
        <w:rPr>
          <w:szCs w:val="22"/>
          <w:lang w:val="sr-Latn-RS"/>
        </w:rPr>
        <w:t xml:space="preserve">ekom Dabigatran SK 150 mg dva puta dnevno. Terapiju </w:t>
      </w:r>
      <w:r w:rsidR="00A639DA" w:rsidRPr="00394D9A">
        <w:rPr>
          <w:szCs w:val="22"/>
          <w:lang w:val="sr-Latn-RS"/>
        </w:rPr>
        <w:t>lijekom</w:t>
      </w:r>
      <w:r w:rsidRPr="00394D9A">
        <w:rPr>
          <w:szCs w:val="22"/>
          <w:lang w:val="sr-Latn-RS"/>
        </w:rPr>
        <w:t xml:space="preserve"> Dabigatran SK ne treba prekidati (</w:t>
      </w:r>
      <w:r w:rsidR="00CA3AFF" w:rsidRPr="00394D9A">
        <w:rPr>
          <w:szCs w:val="22"/>
          <w:lang w:val="sr-Latn-RS"/>
        </w:rPr>
        <w:t xml:space="preserve">vidjeti </w:t>
      </w:r>
      <w:r w:rsidR="00D7145C" w:rsidRPr="00394D9A">
        <w:rPr>
          <w:szCs w:val="22"/>
          <w:lang w:val="sr-Latn-RS"/>
        </w:rPr>
        <w:t>dio</w:t>
      </w:r>
      <w:r w:rsidRPr="00394D9A">
        <w:rPr>
          <w:szCs w:val="22"/>
          <w:lang w:val="sr-Latn-RS"/>
        </w:rPr>
        <w:t xml:space="preserve"> 5.1).</w:t>
      </w:r>
    </w:p>
    <w:p w14:paraId="4F1A5872" w14:textId="77777777" w:rsidR="008A4300" w:rsidRPr="00394D9A" w:rsidRDefault="008A4300" w:rsidP="00187D17">
      <w:pPr>
        <w:widowControl w:val="0"/>
        <w:rPr>
          <w:szCs w:val="22"/>
          <w:lang w:val="sr-Latn-RS"/>
        </w:rPr>
      </w:pPr>
    </w:p>
    <w:p w14:paraId="5D1173EB" w14:textId="74CEE9B1" w:rsidR="00847A0B" w:rsidRPr="00394D9A" w:rsidRDefault="00847A0B" w:rsidP="00187D17">
      <w:pPr>
        <w:widowControl w:val="0"/>
        <w:rPr>
          <w:i/>
          <w:iCs/>
          <w:szCs w:val="22"/>
          <w:u w:val="single"/>
          <w:lang w:val="sr-Latn-RS"/>
        </w:rPr>
      </w:pPr>
      <w:r w:rsidRPr="00394D9A">
        <w:rPr>
          <w:i/>
          <w:iCs/>
          <w:szCs w:val="22"/>
          <w:u w:val="single"/>
          <w:lang w:val="sr-Latn-RS"/>
        </w:rPr>
        <w:t>Perkutana koronarna intervencija (PCI) s</w:t>
      </w:r>
      <w:r w:rsidR="003D2DBC" w:rsidRPr="00394D9A">
        <w:rPr>
          <w:i/>
          <w:iCs/>
          <w:szCs w:val="22"/>
          <w:u w:val="single"/>
          <w:lang w:val="sr-Latn-RS"/>
        </w:rPr>
        <w:t>a</w:t>
      </w:r>
      <w:r w:rsidRPr="00394D9A">
        <w:rPr>
          <w:i/>
          <w:iCs/>
          <w:szCs w:val="22"/>
          <w:u w:val="single"/>
          <w:lang w:val="sr-Latn-RS"/>
        </w:rPr>
        <w:t xml:space="preserve"> ugradnjom stenta (prevencija MU i SE kod AF)</w:t>
      </w:r>
    </w:p>
    <w:p w14:paraId="4A4E2EC3" w14:textId="77777777" w:rsidR="00805AF0" w:rsidRPr="00394D9A" w:rsidRDefault="00805AF0" w:rsidP="00187D17">
      <w:pPr>
        <w:widowControl w:val="0"/>
        <w:rPr>
          <w:b/>
          <w:bCs/>
          <w:szCs w:val="22"/>
          <w:lang w:val="sr-Latn-RS"/>
        </w:rPr>
      </w:pPr>
    </w:p>
    <w:p w14:paraId="7D455BB9" w14:textId="7B9AC11A" w:rsidR="00847A0B" w:rsidRPr="00394D9A" w:rsidRDefault="00847A0B" w:rsidP="00187D17">
      <w:pPr>
        <w:widowControl w:val="0"/>
        <w:rPr>
          <w:szCs w:val="22"/>
          <w:lang w:val="sr-Latn-RS"/>
        </w:rPr>
      </w:pPr>
      <w:r w:rsidRPr="00394D9A">
        <w:rPr>
          <w:szCs w:val="22"/>
          <w:lang w:val="sr-Latn-RS"/>
        </w:rPr>
        <w:t>Pacijenti s</w:t>
      </w:r>
      <w:r w:rsidR="003D2DBC" w:rsidRPr="00394D9A">
        <w:rPr>
          <w:szCs w:val="22"/>
          <w:lang w:val="sr-Latn-RS"/>
        </w:rPr>
        <w:t>a</w:t>
      </w:r>
      <w:r w:rsidRPr="00394D9A">
        <w:rPr>
          <w:szCs w:val="22"/>
          <w:lang w:val="sr-Latn-RS"/>
        </w:rPr>
        <w:t xml:space="preserve"> nevalvularnom atrijalnom fibrilacijom koji se podvrgavaju zahvatu PCI s</w:t>
      </w:r>
      <w:r w:rsidR="003D2DBC" w:rsidRPr="00394D9A">
        <w:rPr>
          <w:szCs w:val="22"/>
          <w:lang w:val="sr-Latn-RS"/>
        </w:rPr>
        <w:t>a</w:t>
      </w:r>
      <w:r w:rsidRPr="00394D9A">
        <w:rPr>
          <w:szCs w:val="22"/>
          <w:lang w:val="sr-Latn-RS"/>
        </w:rPr>
        <w:t xml:space="preserve"> ugradnjom stenta mogu</w:t>
      </w:r>
      <w:r w:rsidR="00805AF0" w:rsidRPr="00394D9A">
        <w:rPr>
          <w:szCs w:val="22"/>
          <w:lang w:val="sr-Latn-RS"/>
        </w:rPr>
        <w:t xml:space="preserve"> </w:t>
      </w:r>
      <w:r w:rsidRPr="00394D9A">
        <w:rPr>
          <w:szCs w:val="22"/>
          <w:lang w:val="sr-Latn-RS"/>
        </w:rPr>
        <w:t xml:space="preserve">da primaju </w:t>
      </w:r>
      <w:r w:rsidR="00A639DA" w:rsidRPr="00394D9A">
        <w:rPr>
          <w:szCs w:val="22"/>
          <w:lang w:val="sr-Latn-RS"/>
        </w:rPr>
        <w:t>lijek</w:t>
      </w:r>
      <w:r w:rsidRPr="00394D9A">
        <w:rPr>
          <w:szCs w:val="22"/>
          <w:lang w:val="sr-Latn-RS"/>
        </w:rPr>
        <w:t xml:space="preserve"> </w:t>
      </w:r>
      <w:r w:rsidR="00805AF0" w:rsidRPr="00394D9A">
        <w:rPr>
          <w:szCs w:val="22"/>
          <w:lang w:val="sr-Latn-RS"/>
        </w:rPr>
        <w:t xml:space="preserve">Dabigatran SK </w:t>
      </w:r>
      <w:r w:rsidRPr="00394D9A">
        <w:rPr>
          <w:szCs w:val="22"/>
          <w:lang w:val="sr-Latn-RS"/>
        </w:rPr>
        <w:t>u kombinaciji s</w:t>
      </w:r>
      <w:r w:rsidR="003D2DBC" w:rsidRPr="00394D9A">
        <w:rPr>
          <w:szCs w:val="22"/>
          <w:lang w:val="sr-Latn-RS"/>
        </w:rPr>
        <w:t>a</w:t>
      </w:r>
      <w:r w:rsidRPr="00394D9A">
        <w:rPr>
          <w:szCs w:val="22"/>
          <w:lang w:val="sr-Latn-RS"/>
        </w:rPr>
        <w:t xml:space="preserve"> antitrombocitnim </w:t>
      </w:r>
      <w:r w:rsidR="00A639DA" w:rsidRPr="00394D9A">
        <w:rPr>
          <w:szCs w:val="22"/>
          <w:lang w:val="sr-Latn-RS"/>
        </w:rPr>
        <w:t>ljek</w:t>
      </w:r>
      <w:r w:rsidRPr="00394D9A">
        <w:rPr>
          <w:szCs w:val="22"/>
          <w:lang w:val="sr-Latn-RS"/>
        </w:rPr>
        <w:t>ovima nakon što se postigne hemostaza</w:t>
      </w:r>
      <w:r w:rsidR="00805AF0" w:rsidRPr="00394D9A">
        <w:rPr>
          <w:szCs w:val="22"/>
          <w:lang w:val="sr-Latn-RS"/>
        </w:rPr>
        <w:t xml:space="preserve"> </w:t>
      </w:r>
      <w:r w:rsidRPr="00394D9A">
        <w:rPr>
          <w:szCs w:val="22"/>
          <w:lang w:val="sr-Latn-RS"/>
        </w:rPr>
        <w:t>(</w:t>
      </w:r>
      <w:r w:rsidR="00446D02" w:rsidRPr="00394D9A">
        <w:rPr>
          <w:szCs w:val="22"/>
          <w:lang w:val="sr-Latn-RS"/>
        </w:rPr>
        <w:t xml:space="preserve">vidjeti </w:t>
      </w:r>
      <w:r w:rsidR="00D7145C" w:rsidRPr="00394D9A">
        <w:rPr>
          <w:szCs w:val="22"/>
          <w:lang w:val="sr-Latn-RS"/>
        </w:rPr>
        <w:t>dio</w:t>
      </w:r>
      <w:r w:rsidRPr="00394D9A">
        <w:rPr>
          <w:szCs w:val="22"/>
          <w:lang w:val="sr-Latn-RS"/>
        </w:rPr>
        <w:t xml:space="preserve"> 5.1).</w:t>
      </w:r>
    </w:p>
    <w:p w14:paraId="6922CF45" w14:textId="77777777" w:rsidR="00805AF0" w:rsidRPr="00394D9A" w:rsidRDefault="00805AF0" w:rsidP="00187D17">
      <w:pPr>
        <w:widowControl w:val="0"/>
        <w:rPr>
          <w:b/>
          <w:bCs/>
          <w:szCs w:val="22"/>
          <w:lang w:val="sr-Latn-RS"/>
        </w:rPr>
      </w:pPr>
    </w:p>
    <w:p w14:paraId="68DCBD2B" w14:textId="34DC3BDA" w:rsidR="00847A0B" w:rsidRPr="00394D9A" w:rsidRDefault="00847A0B" w:rsidP="00187D17">
      <w:pPr>
        <w:widowControl w:val="0"/>
        <w:rPr>
          <w:i/>
          <w:iCs/>
          <w:szCs w:val="22"/>
          <w:u w:val="single"/>
          <w:lang w:val="sr-Latn-RS"/>
        </w:rPr>
      </w:pPr>
      <w:r w:rsidRPr="00394D9A">
        <w:rPr>
          <w:i/>
          <w:iCs/>
          <w:szCs w:val="22"/>
          <w:u w:val="single"/>
          <w:lang w:val="sr-Latn-RS"/>
        </w:rPr>
        <w:t>Posebne populacije</w:t>
      </w:r>
    </w:p>
    <w:p w14:paraId="7FF0E27F" w14:textId="77777777" w:rsidR="00805AF0" w:rsidRPr="00394D9A" w:rsidRDefault="00805AF0" w:rsidP="00187D17">
      <w:pPr>
        <w:widowControl w:val="0"/>
        <w:rPr>
          <w:i/>
          <w:iCs/>
          <w:szCs w:val="22"/>
          <w:u w:val="single"/>
          <w:lang w:val="sr-Latn-RS"/>
        </w:rPr>
      </w:pPr>
    </w:p>
    <w:p w14:paraId="7752094A" w14:textId="0E6A01CB" w:rsidR="00847A0B" w:rsidRPr="00394D9A" w:rsidRDefault="00DB7609" w:rsidP="00187D17">
      <w:pPr>
        <w:widowControl w:val="0"/>
        <w:rPr>
          <w:i/>
          <w:iCs/>
          <w:szCs w:val="22"/>
          <w:lang w:val="sr-Latn-RS"/>
        </w:rPr>
      </w:pPr>
      <w:r w:rsidRPr="00394D9A">
        <w:rPr>
          <w:i/>
          <w:iCs/>
          <w:szCs w:val="22"/>
          <w:lang w:val="sr-Latn-RS"/>
        </w:rPr>
        <w:t>Stariji pacijenti</w:t>
      </w:r>
    </w:p>
    <w:p w14:paraId="21890287" w14:textId="77777777" w:rsidR="00805AF0" w:rsidRPr="00394D9A" w:rsidRDefault="00805AF0" w:rsidP="00187D17">
      <w:pPr>
        <w:widowControl w:val="0"/>
        <w:rPr>
          <w:i/>
          <w:iCs/>
          <w:szCs w:val="22"/>
          <w:lang w:val="sr-Latn-RS"/>
        </w:rPr>
      </w:pPr>
    </w:p>
    <w:p w14:paraId="213B4097" w14:textId="6AF3EB47" w:rsidR="00847A0B" w:rsidRPr="00394D9A" w:rsidRDefault="00847A0B" w:rsidP="00187D17">
      <w:pPr>
        <w:widowControl w:val="0"/>
        <w:rPr>
          <w:szCs w:val="22"/>
          <w:lang w:val="sr-Latn-RS"/>
        </w:rPr>
      </w:pPr>
      <w:r w:rsidRPr="00394D9A">
        <w:rPr>
          <w:szCs w:val="22"/>
          <w:lang w:val="sr-Latn-RS"/>
        </w:rPr>
        <w:t>Za pode</w:t>
      </w:r>
      <w:r w:rsidR="00DB7609" w:rsidRPr="00394D9A">
        <w:rPr>
          <w:szCs w:val="22"/>
          <w:lang w:val="sr-Latn-RS"/>
        </w:rPr>
        <w:t>š</w:t>
      </w:r>
      <w:r w:rsidRPr="00394D9A">
        <w:rPr>
          <w:szCs w:val="22"/>
          <w:lang w:val="sr-Latn-RS"/>
        </w:rPr>
        <w:t xml:space="preserve">avanje doze u ovoj populaciji </w:t>
      </w:r>
      <w:r w:rsidR="00CA3AFF" w:rsidRPr="00394D9A">
        <w:rPr>
          <w:szCs w:val="22"/>
          <w:lang w:val="sr-Latn-RS"/>
        </w:rPr>
        <w:t xml:space="preserve">vidjeti </w:t>
      </w:r>
      <w:r w:rsidRPr="00394D9A">
        <w:rPr>
          <w:szCs w:val="22"/>
          <w:lang w:val="sr-Latn-RS"/>
        </w:rPr>
        <w:t xml:space="preserve">tabelu </w:t>
      </w:r>
      <w:r w:rsidR="00E11647" w:rsidRPr="00394D9A">
        <w:rPr>
          <w:szCs w:val="22"/>
          <w:lang w:val="sr-Latn-RS"/>
        </w:rPr>
        <w:t>1</w:t>
      </w:r>
      <w:r w:rsidRPr="00394D9A">
        <w:rPr>
          <w:szCs w:val="22"/>
          <w:lang w:val="sr-Latn-RS"/>
        </w:rPr>
        <w:t xml:space="preserve"> gore.</w:t>
      </w:r>
    </w:p>
    <w:p w14:paraId="54D64CB3" w14:textId="77777777" w:rsidR="00805AF0" w:rsidRPr="00394D9A" w:rsidRDefault="00805AF0" w:rsidP="00187D17">
      <w:pPr>
        <w:widowControl w:val="0"/>
        <w:rPr>
          <w:szCs w:val="22"/>
          <w:lang w:val="sr-Latn-RS"/>
        </w:rPr>
      </w:pPr>
    </w:p>
    <w:p w14:paraId="79299920" w14:textId="3C49553B" w:rsidR="00847A0B" w:rsidRPr="00394D9A" w:rsidRDefault="00847A0B" w:rsidP="00187D17">
      <w:pPr>
        <w:widowControl w:val="0"/>
        <w:rPr>
          <w:i/>
          <w:iCs/>
          <w:szCs w:val="22"/>
          <w:lang w:val="sr-Latn-RS"/>
        </w:rPr>
      </w:pPr>
      <w:r w:rsidRPr="00394D9A">
        <w:rPr>
          <w:i/>
          <w:iCs/>
          <w:szCs w:val="22"/>
          <w:lang w:val="sr-Latn-RS"/>
        </w:rPr>
        <w:t>Pacijenti u riziku od krvarenja</w:t>
      </w:r>
    </w:p>
    <w:p w14:paraId="645788FB" w14:textId="77777777" w:rsidR="00805AF0" w:rsidRPr="00394D9A" w:rsidRDefault="00805AF0" w:rsidP="00187D17">
      <w:pPr>
        <w:widowControl w:val="0"/>
        <w:rPr>
          <w:b/>
          <w:bCs/>
          <w:szCs w:val="22"/>
          <w:lang w:val="sr-Latn-RS"/>
        </w:rPr>
      </w:pPr>
    </w:p>
    <w:p w14:paraId="59ED8F27" w14:textId="1FA79ABB" w:rsidR="00805AF0" w:rsidRPr="00394D9A" w:rsidRDefault="00847A0B" w:rsidP="00187D17">
      <w:pPr>
        <w:widowControl w:val="0"/>
        <w:rPr>
          <w:szCs w:val="22"/>
          <w:lang w:val="sr-Latn-RS"/>
        </w:rPr>
      </w:pPr>
      <w:r w:rsidRPr="00394D9A">
        <w:rPr>
          <w:szCs w:val="22"/>
          <w:lang w:val="sr-Latn-RS"/>
        </w:rPr>
        <w:t>Pacijente sa povećanim rizikom od krvarenja (</w:t>
      </w:r>
      <w:r w:rsidR="00CA3AFF" w:rsidRPr="00394D9A">
        <w:rPr>
          <w:szCs w:val="22"/>
          <w:lang w:val="sr-Latn-RS"/>
        </w:rPr>
        <w:t xml:space="preserve">vidjeti </w:t>
      </w:r>
      <w:r w:rsidR="00D7145C" w:rsidRPr="00394D9A">
        <w:rPr>
          <w:szCs w:val="22"/>
          <w:lang w:val="sr-Latn-RS"/>
        </w:rPr>
        <w:t>djelove</w:t>
      </w:r>
      <w:r w:rsidRPr="00394D9A">
        <w:rPr>
          <w:szCs w:val="22"/>
          <w:lang w:val="sr-Latn-RS"/>
        </w:rPr>
        <w:t xml:space="preserve"> 4.4, 4.5, 5.1 i 5.2) treba klinički pažljivo</w:t>
      </w:r>
      <w:r w:rsidR="00805AF0" w:rsidRPr="00394D9A">
        <w:rPr>
          <w:szCs w:val="22"/>
          <w:lang w:val="sr-Latn-RS"/>
        </w:rPr>
        <w:t xml:space="preserve"> </w:t>
      </w:r>
      <w:r w:rsidRPr="00394D9A">
        <w:rPr>
          <w:szCs w:val="22"/>
          <w:lang w:val="sr-Latn-RS"/>
        </w:rPr>
        <w:t>pratiti</w:t>
      </w:r>
      <w:r w:rsidR="00805AF0" w:rsidRPr="00394D9A">
        <w:rPr>
          <w:szCs w:val="22"/>
          <w:lang w:val="sr-Latn-RS"/>
        </w:rPr>
        <w:t xml:space="preserve"> </w:t>
      </w:r>
      <w:r w:rsidRPr="00394D9A">
        <w:rPr>
          <w:szCs w:val="22"/>
          <w:lang w:val="sr-Latn-RS"/>
        </w:rPr>
        <w:t xml:space="preserve">(tražiti znake krvarenja ili anemije). Odluku o podešavanju doze donosi ordinirajući </w:t>
      </w:r>
      <w:r w:rsidR="00A639DA" w:rsidRPr="00394D9A">
        <w:rPr>
          <w:szCs w:val="22"/>
          <w:lang w:val="sr-Latn-RS"/>
        </w:rPr>
        <w:t>ljeka</w:t>
      </w:r>
      <w:r w:rsidRPr="00394D9A">
        <w:rPr>
          <w:szCs w:val="22"/>
          <w:lang w:val="sr-Latn-RS"/>
        </w:rPr>
        <w:t>r po proc</w:t>
      </w:r>
      <w:r w:rsidR="003E3709" w:rsidRPr="00394D9A">
        <w:rPr>
          <w:szCs w:val="22"/>
          <w:lang w:val="sr-Latn-RS"/>
        </w:rPr>
        <w:t>j</w:t>
      </w:r>
      <w:r w:rsidRPr="00394D9A">
        <w:rPr>
          <w:szCs w:val="22"/>
          <w:lang w:val="sr-Latn-RS"/>
        </w:rPr>
        <w:t>eni</w:t>
      </w:r>
      <w:r w:rsidR="00805AF0" w:rsidRPr="00394D9A">
        <w:rPr>
          <w:szCs w:val="22"/>
          <w:lang w:val="sr-Latn-RS"/>
        </w:rPr>
        <w:t xml:space="preserve"> </w:t>
      </w:r>
      <w:r w:rsidRPr="00394D9A">
        <w:rPr>
          <w:szCs w:val="22"/>
          <w:lang w:val="sr-Latn-RS"/>
        </w:rPr>
        <w:t>potencijalne koristi i rizika za svakog pojedin</w:t>
      </w:r>
      <w:r w:rsidR="00DB7609" w:rsidRPr="00394D9A">
        <w:rPr>
          <w:szCs w:val="22"/>
          <w:lang w:val="sr-Latn-RS"/>
        </w:rPr>
        <w:t>ačn</w:t>
      </w:r>
      <w:r w:rsidRPr="00394D9A">
        <w:rPr>
          <w:szCs w:val="22"/>
          <w:lang w:val="sr-Latn-RS"/>
        </w:rPr>
        <w:t>og pacijenta (</w:t>
      </w:r>
      <w:r w:rsidR="00CA3AFF" w:rsidRPr="00394D9A">
        <w:rPr>
          <w:szCs w:val="22"/>
          <w:lang w:val="sr-Latn-RS"/>
        </w:rPr>
        <w:t xml:space="preserve">vidjeti </w:t>
      </w:r>
      <w:r w:rsidRPr="00394D9A">
        <w:rPr>
          <w:szCs w:val="22"/>
          <w:lang w:val="sr-Latn-RS"/>
        </w:rPr>
        <w:t>tabelu 2 gore). Test koagulacije (</w:t>
      </w:r>
      <w:r w:rsidR="00CA3AFF" w:rsidRPr="00394D9A">
        <w:rPr>
          <w:szCs w:val="22"/>
          <w:lang w:val="sr-Latn-RS"/>
        </w:rPr>
        <w:t xml:space="preserve">vidjeti  </w:t>
      </w:r>
      <w:r w:rsidR="00D7145C" w:rsidRPr="00394D9A">
        <w:rPr>
          <w:szCs w:val="22"/>
          <w:lang w:val="sr-Latn-RS"/>
        </w:rPr>
        <w:t>dio</w:t>
      </w:r>
      <w:r w:rsidRPr="00394D9A">
        <w:rPr>
          <w:szCs w:val="22"/>
          <w:lang w:val="sr-Latn-RS"/>
        </w:rPr>
        <w:t xml:space="preserve"> 4.4) može da pomogne da se identifikuju pacijenti sa povećanim rizikom od krvarenja usl</w:t>
      </w:r>
      <w:r w:rsidR="00C521B7" w:rsidRPr="00394D9A">
        <w:rPr>
          <w:szCs w:val="22"/>
          <w:lang w:val="sr-Latn-RS"/>
        </w:rPr>
        <w:t>j</w:t>
      </w:r>
      <w:r w:rsidRPr="00394D9A">
        <w:rPr>
          <w:szCs w:val="22"/>
          <w:lang w:val="sr-Latn-RS"/>
        </w:rPr>
        <w:t>ed</w:t>
      </w:r>
      <w:r w:rsidR="00805AF0" w:rsidRPr="00394D9A">
        <w:rPr>
          <w:szCs w:val="22"/>
          <w:lang w:val="sr-Latn-RS"/>
        </w:rPr>
        <w:t xml:space="preserve"> </w:t>
      </w:r>
      <w:r w:rsidRPr="00394D9A">
        <w:rPr>
          <w:szCs w:val="22"/>
          <w:lang w:val="sr-Latn-RS"/>
        </w:rPr>
        <w:t>prekom</w:t>
      </w:r>
      <w:r w:rsidR="00C521B7" w:rsidRPr="00394D9A">
        <w:rPr>
          <w:szCs w:val="22"/>
          <w:lang w:val="sr-Latn-RS"/>
        </w:rPr>
        <w:t>j</w:t>
      </w:r>
      <w:r w:rsidRPr="00394D9A">
        <w:rPr>
          <w:szCs w:val="22"/>
          <w:lang w:val="sr-Latn-RS"/>
        </w:rPr>
        <w:t>ernog izlaganja dabigatranu. Kada se prekom</w:t>
      </w:r>
      <w:r w:rsidR="00C521B7" w:rsidRPr="00394D9A">
        <w:rPr>
          <w:szCs w:val="22"/>
          <w:lang w:val="sr-Latn-RS"/>
        </w:rPr>
        <w:t>j</w:t>
      </w:r>
      <w:r w:rsidRPr="00394D9A">
        <w:rPr>
          <w:szCs w:val="22"/>
          <w:lang w:val="sr-Latn-RS"/>
        </w:rPr>
        <w:t xml:space="preserve">erno izlaganje dabigatranu identifikuje kod pacijenata </w:t>
      </w:r>
      <w:r w:rsidR="00CA3AFF" w:rsidRPr="00394D9A">
        <w:rPr>
          <w:szCs w:val="22"/>
          <w:lang w:val="sr-Latn-RS"/>
        </w:rPr>
        <w:t>sa</w:t>
      </w:r>
      <w:r w:rsidR="00805AF0" w:rsidRPr="00394D9A">
        <w:rPr>
          <w:szCs w:val="22"/>
          <w:lang w:val="sr-Latn-RS"/>
        </w:rPr>
        <w:t xml:space="preserve"> </w:t>
      </w:r>
      <w:r w:rsidRPr="00394D9A">
        <w:rPr>
          <w:szCs w:val="22"/>
          <w:lang w:val="sr-Latn-RS"/>
        </w:rPr>
        <w:t>visok</w:t>
      </w:r>
      <w:r w:rsidR="00CA3AFF" w:rsidRPr="00394D9A">
        <w:rPr>
          <w:szCs w:val="22"/>
          <w:lang w:val="sr-Latn-RS"/>
        </w:rPr>
        <w:t>i</w:t>
      </w:r>
      <w:r w:rsidRPr="00394D9A">
        <w:rPr>
          <w:szCs w:val="22"/>
          <w:lang w:val="sr-Latn-RS"/>
        </w:rPr>
        <w:t>m rizik</w:t>
      </w:r>
      <w:r w:rsidR="00CA3AFF" w:rsidRPr="00394D9A">
        <w:rPr>
          <w:szCs w:val="22"/>
          <w:lang w:val="sr-Latn-RS"/>
        </w:rPr>
        <w:t>om</w:t>
      </w:r>
      <w:r w:rsidRPr="00394D9A">
        <w:rPr>
          <w:szCs w:val="22"/>
          <w:lang w:val="sr-Latn-RS"/>
        </w:rPr>
        <w:t xml:space="preserve"> od krvarenja, preporučuje se da se </w:t>
      </w:r>
      <w:r w:rsidR="00DB7609" w:rsidRPr="00394D9A">
        <w:rPr>
          <w:szCs w:val="22"/>
          <w:lang w:val="sr-Latn-RS"/>
        </w:rPr>
        <w:t>smanjena</w:t>
      </w:r>
      <w:r w:rsidRPr="00394D9A">
        <w:rPr>
          <w:szCs w:val="22"/>
          <w:lang w:val="sr-Latn-RS"/>
        </w:rPr>
        <w:t xml:space="preserve"> doza od 220 mg uzima u vidu jedne kapsule od</w:t>
      </w:r>
      <w:r w:rsidR="00805AF0" w:rsidRPr="00394D9A">
        <w:rPr>
          <w:szCs w:val="22"/>
          <w:lang w:val="sr-Latn-RS"/>
        </w:rPr>
        <w:t xml:space="preserve"> </w:t>
      </w:r>
      <w:r w:rsidRPr="00394D9A">
        <w:rPr>
          <w:szCs w:val="22"/>
          <w:lang w:val="sr-Latn-RS"/>
        </w:rPr>
        <w:t>110 mg dva puta na dan. Kada dođe do klinički relevantnog krvarenja, terapiju treba obustaviti.</w:t>
      </w:r>
      <w:r w:rsidR="00805AF0" w:rsidRPr="00394D9A">
        <w:rPr>
          <w:szCs w:val="22"/>
          <w:lang w:val="sr-Latn-RS"/>
        </w:rPr>
        <w:t xml:space="preserve"> </w:t>
      </w:r>
    </w:p>
    <w:p w14:paraId="67A6A086" w14:textId="77777777" w:rsidR="00805AF0" w:rsidRPr="00394D9A" w:rsidRDefault="00805AF0" w:rsidP="00187D17">
      <w:pPr>
        <w:widowControl w:val="0"/>
        <w:rPr>
          <w:szCs w:val="22"/>
          <w:lang w:val="sr-Latn-RS"/>
        </w:rPr>
      </w:pPr>
    </w:p>
    <w:p w14:paraId="20F7B274" w14:textId="6889FFCB" w:rsidR="00847A0B" w:rsidRPr="00394D9A" w:rsidRDefault="00847A0B" w:rsidP="00187D17">
      <w:pPr>
        <w:widowControl w:val="0"/>
        <w:rPr>
          <w:szCs w:val="22"/>
          <w:lang w:val="sr-Latn-RS"/>
        </w:rPr>
      </w:pPr>
      <w:r w:rsidRPr="00394D9A">
        <w:rPr>
          <w:szCs w:val="22"/>
          <w:lang w:val="sr-Latn-RS"/>
        </w:rPr>
        <w:t xml:space="preserve">Kod pacijenata sa gastritisom, ezofagitisom ili gastroezofagealnim refluksom treba razmotriti </w:t>
      </w:r>
      <w:r w:rsidR="00DB7609" w:rsidRPr="00394D9A">
        <w:rPr>
          <w:szCs w:val="22"/>
          <w:lang w:val="sr-Latn-RS"/>
        </w:rPr>
        <w:t>smanjenje</w:t>
      </w:r>
      <w:r w:rsidRPr="00394D9A">
        <w:rPr>
          <w:szCs w:val="22"/>
          <w:lang w:val="sr-Latn-RS"/>
        </w:rPr>
        <w:t xml:space="preserve"> doze</w:t>
      </w:r>
      <w:r w:rsidR="00805AF0" w:rsidRPr="00394D9A">
        <w:rPr>
          <w:szCs w:val="22"/>
          <w:lang w:val="sr-Latn-RS"/>
        </w:rPr>
        <w:t xml:space="preserve"> </w:t>
      </w:r>
      <w:r w:rsidRPr="00394D9A">
        <w:rPr>
          <w:szCs w:val="22"/>
          <w:lang w:val="sr-Latn-RS"/>
        </w:rPr>
        <w:t>zbog povećanog rizika od gastrointestinalnog krvarenja (</w:t>
      </w:r>
      <w:r w:rsidR="00CA3AFF" w:rsidRPr="00394D9A">
        <w:rPr>
          <w:szCs w:val="22"/>
          <w:lang w:val="sr-Latn-RS"/>
        </w:rPr>
        <w:t xml:space="preserve">vidjeti </w:t>
      </w:r>
      <w:r w:rsidRPr="00394D9A">
        <w:rPr>
          <w:szCs w:val="22"/>
          <w:lang w:val="sr-Latn-RS"/>
        </w:rPr>
        <w:t xml:space="preserve">tabelu </w:t>
      </w:r>
      <w:r w:rsidR="003B48EB" w:rsidRPr="00394D9A">
        <w:rPr>
          <w:szCs w:val="22"/>
          <w:lang w:val="sr-Latn-RS"/>
        </w:rPr>
        <w:t>1</w:t>
      </w:r>
      <w:r w:rsidRPr="00394D9A">
        <w:rPr>
          <w:szCs w:val="22"/>
          <w:lang w:val="sr-Latn-RS"/>
        </w:rPr>
        <w:t xml:space="preserve"> gore i </w:t>
      </w:r>
      <w:r w:rsidR="00D7145C" w:rsidRPr="00394D9A">
        <w:rPr>
          <w:szCs w:val="22"/>
          <w:lang w:val="sr-Latn-RS"/>
        </w:rPr>
        <w:t>dio</w:t>
      </w:r>
      <w:r w:rsidRPr="00394D9A">
        <w:rPr>
          <w:szCs w:val="22"/>
          <w:lang w:val="sr-Latn-RS"/>
        </w:rPr>
        <w:t xml:space="preserve"> 4.4).</w:t>
      </w:r>
    </w:p>
    <w:p w14:paraId="23050BF6" w14:textId="77777777" w:rsidR="00805AF0" w:rsidRPr="00394D9A" w:rsidRDefault="00805AF0" w:rsidP="00187D17">
      <w:pPr>
        <w:widowControl w:val="0"/>
        <w:rPr>
          <w:b/>
          <w:bCs/>
          <w:szCs w:val="22"/>
          <w:lang w:val="sr-Latn-RS"/>
        </w:rPr>
      </w:pPr>
    </w:p>
    <w:p w14:paraId="5985DCB0" w14:textId="13A892D8" w:rsidR="00847A0B" w:rsidRPr="00394D9A" w:rsidRDefault="00847A0B" w:rsidP="00187D17">
      <w:pPr>
        <w:widowControl w:val="0"/>
        <w:rPr>
          <w:i/>
          <w:iCs/>
          <w:szCs w:val="22"/>
          <w:lang w:val="sr-Latn-RS"/>
        </w:rPr>
      </w:pPr>
      <w:r w:rsidRPr="00394D9A">
        <w:rPr>
          <w:i/>
          <w:iCs/>
          <w:szCs w:val="22"/>
          <w:lang w:val="sr-Latn-RS"/>
        </w:rPr>
        <w:t>Oštećenje funkcije bubrega</w:t>
      </w:r>
    </w:p>
    <w:p w14:paraId="45161DF8" w14:textId="77777777" w:rsidR="00805AF0" w:rsidRPr="00394D9A" w:rsidRDefault="00805AF0" w:rsidP="00187D17">
      <w:pPr>
        <w:widowControl w:val="0"/>
        <w:rPr>
          <w:i/>
          <w:iCs/>
          <w:szCs w:val="22"/>
          <w:lang w:val="sr-Latn-RS"/>
        </w:rPr>
      </w:pPr>
    </w:p>
    <w:p w14:paraId="0DEA2382" w14:textId="33D754D4" w:rsidR="00847A0B" w:rsidRPr="00394D9A" w:rsidRDefault="00847A0B" w:rsidP="00187D17">
      <w:pPr>
        <w:widowControl w:val="0"/>
        <w:rPr>
          <w:szCs w:val="22"/>
          <w:lang w:val="sr-Latn-RS"/>
        </w:rPr>
      </w:pPr>
      <w:r w:rsidRPr="00394D9A">
        <w:rPr>
          <w:szCs w:val="22"/>
          <w:lang w:val="sr-Latn-RS"/>
        </w:rPr>
        <w:t xml:space="preserve">Terapija </w:t>
      </w:r>
      <w:r w:rsidR="00A639DA" w:rsidRPr="00394D9A">
        <w:rPr>
          <w:szCs w:val="22"/>
          <w:lang w:val="sr-Latn-RS"/>
        </w:rPr>
        <w:t>lijekom</w:t>
      </w:r>
      <w:r w:rsidRPr="00394D9A">
        <w:rPr>
          <w:szCs w:val="22"/>
          <w:lang w:val="sr-Latn-RS"/>
        </w:rPr>
        <w:t xml:space="preserve"> </w:t>
      </w:r>
      <w:r w:rsidR="00805AF0" w:rsidRPr="00394D9A">
        <w:rPr>
          <w:szCs w:val="22"/>
          <w:lang w:val="sr-Latn-RS"/>
        </w:rPr>
        <w:t xml:space="preserve">Dabigatran SK </w:t>
      </w:r>
      <w:r w:rsidRPr="00394D9A">
        <w:rPr>
          <w:szCs w:val="22"/>
          <w:lang w:val="sr-Latn-RS"/>
        </w:rPr>
        <w:t>kod pacijenata sa teškim oštećenjem funkcije bubrega (CrCL &lt;30 m</w:t>
      </w:r>
      <w:r w:rsidR="00AC7094" w:rsidRPr="00394D9A">
        <w:rPr>
          <w:szCs w:val="22"/>
          <w:lang w:val="sr-Latn-RS"/>
        </w:rPr>
        <w:t>l</w:t>
      </w:r>
      <w:r w:rsidRPr="00394D9A">
        <w:rPr>
          <w:szCs w:val="22"/>
          <w:lang w:val="sr-Latn-RS"/>
        </w:rPr>
        <w:t>/min) je</w:t>
      </w:r>
      <w:r w:rsidR="00805AF0" w:rsidRPr="00394D9A">
        <w:rPr>
          <w:szCs w:val="22"/>
          <w:lang w:val="sr-Latn-RS"/>
        </w:rPr>
        <w:t xml:space="preserve"> </w:t>
      </w:r>
      <w:r w:rsidRPr="00394D9A">
        <w:rPr>
          <w:szCs w:val="22"/>
          <w:lang w:val="sr-Latn-RS"/>
        </w:rPr>
        <w:t xml:space="preserve">kontraindikovana </w:t>
      </w:r>
      <w:r w:rsidR="00AC7094" w:rsidRPr="00394D9A">
        <w:rPr>
          <w:szCs w:val="22"/>
          <w:lang w:val="sr-Latn-RS"/>
        </w:rPr>
        <w:t>vidjeti</w:t>
      </w:r>
      <w:r w:rsidRPr="00394D9A">
        <w:rPr>
          <w:szCs w:val="22"/>
          <w:lang w:val="sr-Latn-RS"/>
        </w:rPr>
        <w:t xml:space="preserve"> </w:t>
      </w:r>
      <w:r w:rsidR="00D7145C" w:rsidRPr="00394D9A">
        <w:rPr>
          <w:szCs w:val="22"/>
          <w:lang w:val="sr-Latn-RS"/>
        </w:rPr>
        <w:t>dio</w:t>
      </w:r>
      <w:r w:rsidRPr="00394D9A">
        <w:rPr>
          <w:szCs w:val="22"/>
          <w:lang w:val="sr-Latn-RS"/>
        </w:rPr>
        <w:t xml:space="preserve"> 4.3).</w:t>
      </w:r>
    </w:p>
    <w:p w14:paraId="25F1BD7F" w14:textId="77777777" w:rsidR="00805AF0" w:rsidRPr="00394D9A" w:rsidRDefault="00805AF0" w:rsidP="00187D17">
      <w:pPr>
        <w:widowControl w:val="0"/>
        <w:rPr>
          <w:szCs w:val="22"/>
          <w:lang w:val="sr-Latn-RS"/>
        </w:rPr>
      </w:pPr>
    </w:p>
    <w:p w14:paraId="09FBE300" w14:textId="035455B3" w:rsidR="00847A0B" w:rsidRPr="00394D9A" w:rsidRDefault="00847A0B" w:rsidP="00187D17">
      <w:pPr>
        <w:widowControl w:val="0"/>
        <w:rPr>
          <w:szCs w:val="22"/>
          <w:lang w:val="sr-Latn-RS"/>
        </w:rPr>
      </w:pPr>
      <w:r w:rsidRPr="00394D9A">
        <w:rPr>
          <w:szCs w:val="22"/>
          <w:lang w:val="sr-Latn-RS"/>
        </w:rPr>
        <w:t>Nije potrebno podešavanje doze kod pacijenata sa blagim oštećenjem funkcije bubrega (CrCL 50 - ≤</w:t>
      </w:r>
      <w:r w:rsidR="00AC7094" w:rsidRPr="00394D9A">
        <w:rPr>
          <w:szCs w:val="22"/>
          <w:lang w:val="sr-Latn-RS"/>
        </w:rPr>
        <w:t xml:space="preserve"> </w:t>
      </w:r>
      <w:r w:rsidRPr="00394D9A">
        <w:rPr>
          <w:szCs w:val="22"/>
          <w:lang w:val="sr-Latn-RS"/>
        </w:rPr>
        <w:t>80</w:t>
      </w:r>
      <w:r w:rsidR="00805AF0" w:rsidRPr="00394D9A">
        <w:rPr>
          <w:szCs w:val="22"/>
          <w:lang w:val="sr-Latn-RS"/>
        </w:rPr>
        <w:t xml:space="preserve"> </w:t>
      </w:r>
      <w:r w:rsidRPr="00394D9A">
        <w:rPr>
          <w:szCs w:val="22"/>
          <w:lang w:val="sr-Latn-RS"/>
        </w:rPr>
        <w:t>m</w:t>
      </w:r>
      <w:r w:rsidR="00AC7094" w:rsidRPr="00394D9A">
        <w:rPr>
          <w:szCs w:val="22"/>
          <w:lang w:val="sr-Latn-RS"/>
        </w:rPr>
        <w:t>l</w:t>
      </w:r>
      <w:r w:rsidRPr="00394D9A">
        <w:rPr>
          <w:szCs w:val="22"/>
          <w:lang w:val="sr-Latn-RS"/>
        </w:rPr>
        <w:t>/min). Kod pacijenata sa um</w:t>
      </w:r>
      <w:r w:rsidR="003E3709" w:rsidRPr="00394D9A">
        <w:rPr>
          <w:szCs w:val="22"/>
          <w:lang w:val="sr-Latn-RS"/>
        </w:rPr>
        <w:t>j</w:t>
      </w:r>
      <w:r w:rsidRPr="00394D9A">
        <w:rPr>
          <w:szCs w:val="22"/>
          <w:lang w:val="sr-Latn-RS"/>
        </w:rPr>
        <w:t>erenim oštećenjem funkcije bubrega (CrCL 30-50 m</w:t>
      </w:r>
      <w:r w:rsidR="00AC7094" w:rsidRPr="00394D9A">
        <w:rPr>
          <w:szCs w:val="22"/>
          <w:lang w:val="sr-Latn-RS"/>
        </w:rPr>
        <w:t>l</w:t>
      </w:r>
      <w:r w:rsidRPr="00394D9A">
        <w:rPr>
          <w:szCs w:val="22"/>
          <w:lang w:val="sr-Latn-RS"/>
        </w:rPr>
        <w:t>/min) preporučena doza</w:t>
      </w:r>
      <w:r w:rsidR="00805AF0" w:rsidRPr="00394D9A">
        <w:rPr>
          <w:szCs w:val="22"/>
          <w:lang w:val="sr-Latn-RS"/>
        </w:rPr>
        <w:t xml:space="preserve"> </w:t>
      </w:r>
      <w:r w:rsidR="00A639DA" w:rsidRPr="00394D9A">
        <w:rPr>
          <w:szCs w:val="22"/>
          <w:lang w:val="sr-Latn-RS"/>
        </w:rPr>
        <w:t>lijeka</w:t>
      </w:r>
      <w:r w:rsidRPr="00394D9A">
        <w:rPr>
          <w:szCs w:val="22"/>
          <w:lang w:val="sr-Latn-RS"/>
        </w:rPr>
        <w:t xml:space="preserve"> </w:t>
      </w:r>
      <w:r w:rsidR="00805AF0" w:rsidRPr="00394D9A">
        <w:rPr>
          <w:szCs w:val="22"/>
          <w:lang w:val="sr-Latn-RS"/>
        </w:rPr>
        <w:t xml:space="preserve">Dabigatran SK </w:t>
      </w:r>
      <w:r w:rsidRPr="00394D9A">
        <w:rPr>
          <w:szCs w:val="22"/>
          <w:lang w:val="sr-Latn-RS"/>
        </w:rPr>
        <w:t>je isto 300 mg u vidu jedne kapsule od 150 mg dva puta na dan.</w:t>
      </w:r>
      <w:r w:rsidR="00805AF0" w:rsidRPr="00394D9A">
        <w:rPr>
          <w:szCs w:val="22"/>
          <w:lang w:val="sr-Latn-RS"/>
        </w:rPr>
        <w:t xml:space="preserve"> </w:t>
      </w:r>
      <w:r w:rsidRPr="00394D9A">
        <w:rPr>
          <w:szCs w:val="22"/>
          <w:lang w:val="sr-Latn-RS"/>
        </w:rPr>
        <w:t>Međutim, kod pacijenata sa</w:t>
      </w:r>
      <w:r w:rsidR="00805AF0" w:rsidRPr="00394D9A">
        <w:rPr>
          <w:szCs w:val="22"/>
          <w:lang w:val="sr-Latn-RS"/>
        </w:rPr>
        <w:t xml:space="preserve"> </w:t>
      </w:r>
      <w:r w:rsidRPr="00394D9A">
        <w:rPr>
          <w:szCs w:val="22"/>
          <w:lang w:val="sr-Latn-RS"/>
        </w:rPr>
        <w:t xml:space="preserve">visokim rizikom od krvarenja treba uzeti u obzir mogućnost smanjivanja doze </w:t>
      </w:r>
      <w:r w:rsidR="00A639DA" w:rsidRPr="00394D9A">
        <w:rPr>
          <w:szCs w:val="22"/>
          <w:lang w:val="sr-Latn-RS"/>
        </w:rPr>
        <w:t>lijeka</w:t>
      </w:r>
      <w:r w:rsidRPr="00394D9A">
        <w:rPr>
          <w:szCs w:val="22"/>
          <w:lang w:val="sr-Latn-RS"/>
        </w:rPr>
        <w:t xml:space="preserve"> </w:t>
      </w:r>
      <w:r w:rsidR="00805AF0" w:rsidRPr="00394D9A">
        <w:rPr>
          <w:szCs w:val="22"/>
          <w:lang w:val="sr-Latn-RS"/>
        </w:rPr>
        <w:t xml:space="preserve">Dabigatran SK </w:t>
      </w:r>
      <w:r w:rsidRPr="00394D9A">
        <w:rPr>
          <w:szCs w:val="22"/>
          <w:lang w:val="sr-Latn-RS"/>
        </w:rPr>
        <w:t>na 220 mg u</w:t>
      </w:r>
      <w:r w:rsidR="00805AF0" w:rsidRPr="00394D9A">
        <w:rPr>
          <w:szCs w:val="22"/>
          <w:lang w:val="sr-Latn-RS"/>
        </w:rPr>
        <w:t xml:space="preserve"> </w:t>
      </w:r>
      <w:r w:rsidRPr="00394D9A">
        <w:rPr>
          <w:szCs w:val="22"/>
          <w:lang w:val="sr-Latn-RS"/>
        </w:rPr>
        <w:t>vidu jedne kapsule od 110 mg dva puta na dan (</w:t>
      </w:r>
      <w:r w:rsidR="00AC7094" w:rsidRPr="00394D9A">
        <w:rPr>
          <w:szCs w:val="22"/>
          <w:lang w:val="sr-Latn-RS"/>
        </w:rPr>
        <w:t xml:space="preserve">vidjeti </w:t>
      </w:r>
      <w:r w:rsidR="00D7145C" w:rsidRPr="00394D9A">
        <w:rPr>
          <w:szCs w:val="22"/>
          <w:lang w:val="sr-Latn-RS"/>
        </w:rPr>
        <w:t>djelove</w:t>
      </w:r>
      <w:r w:rsidRPr="00394D9A">
        <w:rPr>
          <w:szCs w:val="22"/>
          <w:lang w:val="sr-Latn-RS"/>
        </w:rPr>
        <w:t xml:space="preserve"> 4.4 i 5.2). Kod pacijenata sa oštećenjem</w:t>
      </w:r>
      <w:r w:rsidR="00805AF0" w:rsidRPr="00394D9A">
        <w:rPr>
          <w:szCs w:val="22"/>
          <w:lang w:val="sr-Latn-RS"/>
        </w:rPr>
        <w:t xml:space="preserve"> </w:t>
      </w:r>
      <w:r w:rsidRPr="00394D9A">
        <w:rPr>
          <w:szCs w:val="22"/>
          <w:lang w:val="sr-Latn-RS"/>
        </w:rPr>
        <w:t>funkcije bubrega preporučuje se pažljivo kliničko praćenje.</w:t>
      </w:r>
    </w:p>
    <w:p w14:paraId="736F6906" w14:textId="77777777" w:rsidR="00805AF0" w:rsidRPr="00394D9A" w:rsidRDefault="00805AF0" w:rsidP="00187D17">
      <w:pPr>
        <w:widowControl w:val="0"/>
        <w:rPr>
          <w:b/>
          <w:bCs/>
          <w:szCs w:val="22"/>
          <w:lang w:val="sr-Latn-RS"/>
        </w:rPr>
      </w:pPr>
    </w:p>
    <w:p w14:paraId="7CAD1059" w14:textId="1229B936" w:rsidR="00847A0B" w:rsidRPr="00394D9A" w:rsidRDefault="00847A0B" w:rsidP="00187D17">
      <w:pPr>
        <w:widowControl w:val="0"/>
        <w:rPr>
          <w:i/>
          <w:iCs/>
          <w:szCs w:val="22"/>
          <w:lang w:val="sr-Latn-RS"/>
        </w:rPr>
      </w:pPr>
      <w:r w:rsidRPr="00394D9A">
        <w:rPr>
          <w:i/>
          <w:iCs/>
          <w:szCs w:val="22"/>
          <w:lang w:val="sr-Latn-RS"/>
        </w:rPr>
        <w:t>Isto</w:t>
      </w:r>
      <w:r w:rsidR="00382644" w:rsidRPr="00394D9A">
        <w:rPr>
          <w:i/>
          <w:iCs/>
          <w:szCs w:val="22"/>
          <w:lang w:val="sr-Latn-RS"/>
        </w:rPr>
        <w:t>vremena</w:t>
      </w:r>
      <w:r w:rsidRPr="00394D9A">
        <w:rPr>
          <w:i/>
          <w:iCs/>
          <w:szCs w:val="22"/>
          <w:lang w:val="sr-Latn-RS"/>
        </w:rPr>
        <w:t xml:space="preserve"> </w:t>
      </w:r>
      <w:r w:rsidR="00A639DA" w:rsidRPr="00394D9A">
        <w:rPr>
          <w:i/>
          <w:iCs/>
          <w:szCs w:val="22"/>
          <w:lang w:val="sr-Latn-RS"/>
        </w:rPr>
        <w:t xml:space="preserve">primjena </w:t>
      </w:r>
      <w:r w:rsidRPr="00394D9A">
        <w:rPr>
          <w:i/>
          <w:iCs/>
          <w:szCs w:val="22"/>
          <w:lang w:val="sr-Latn-RS"/>
        </w:rPr>
        <w:t xml:space="preserve"> </w:t>
      </w:r>
      <w:r w:rsidR="00A639DA" w:rsidRPr="00394D9A">
        <w:rPr>
          <w:i/>
          <w:iCs/>
          <w:szCs w:val="22"/>
          <w:lang w:val="sr-Latn-RS"/>
        </w:rPr>
        <w:t>lijeka</w:t>
      </w:r>
      <w:r w:rsidRPr="00394D9A">
        <w:rPr>
          <w:i/>
          <w:iCs/>
          <w:szCs w:val="22"/>
          <w:lang w:val="sr-Latn-RS"/>
        </w:rPr>
        <w:t xml:space="preserve"> </w:t>
      </w:r>
      <w:r w:rsidR="00805AF0" w:rsidRPr="00394D9A">
        <w:rPr>
          <w:i/>
          <w:iCs/>
          <w:szCs w:val="22"/>
          <w:lang w:val="sr-Latn-RS"/>
        </w:rPr>
        <w:t xml:space="preserve">Dabigatran SK </w:t>
      </w:r>
      <w:r w:rsidRPr="00394D9A">
        <w:rPr>
          <w:i/>
          <w:iCs/>
          <w:szCs w:val="22"/>
          <w:lang w:val="sr-Latn-RS"/>
        </w:rPr>
        <w:t>sa blagim do um</w:t>
      </w:r>
      <w:r w:rsidR="003E3709" w:rsidRPr="00394D9A">
        <w:rPr>
          <w:i/>
          <w:iCs/>
          <w:szCs w:val="22"/>
          <w:lang w:val="sr-Latn-RS"/>
        </w:rPr>
        <w:t>j</w:t>
      </w:r>
      <w:r w:rsidRPr="00394D9A">
        <w:rPr>
          <w:i/>
          <w:iCs/>
          <w:szCs w:val="22"/>
          <w:lang w:val="sr-Latn-RS"/>
        </w:rPr>
        <w:t>erenim inhibitorima P-glikoproteina (P-gp) tj.</w:t>
      </w:r>
      <w:r w:rsidR="00805AF0" w:rsidRPr="00394D9A">
        <w:rPr>
          <w:i/>
          <w:iCs/>
          <w:szCs w:val="22"/>
          <w:lang w:val="sr-Latn-RS"/>
        </w:rPr>
        <w:t xml:space="preserve"> </w:t>
      </w:r>
      <w:r w:rsidRPr="00394D9A">
        <w:rPr>
          <w:i/>
          <w:iCs/>
          <w:szCs w:val="22"/>
          <w:lang w:val="sr-Latn-RS"/>
        </w:rPr>
        <w:t>amjodaronom, hinidinom ili verapamilom</w:t>
      </w:r>
    </w:p>
    <w:p w14:paraId="6833631A" w14:textId="77777777" w:rsidR="00805AF0" w:rsidRPr="00394D9A" w:rsidRDefault="00805AF0" w:rsidP="00187D17">
      <w:pPr>
        <w:widowControl w:val="0"/>
        <w:rPr>
          <w:szCs w:val="22"/>
          <w:lang w:val="sr-Latn-RS"/>
        </w:rPr>
      </w:pPr>
    </w:p>
    <w:p w14:paraId="76FF924E" w14:textId="23C195BC" w:rsidR="00847A0B" w:rsidRPr="00394D9A" w:rsidRDefault="00847A0B" w:rsidP="00187D17">
      <w:pPr>
        <w:widowControl w:val="0"/>
        <w:rPr>
          <w:szCs w:val="22"/>
          <w:lang w:val="sr-Latn-RS"/>
        </w:rPr>
      </w:pPr>
      <w:r w:rsidRPr="00394D9A">
        <w:rPr>
          <w:szCs w:val="22"/>
          <w:lang w:val="sr-Latn-RS"/>
        </w:rPr>
        <w:t xml:space="preserve">Nije potrebno nikakvo podešavanje doze kada se </w:t>
      </w:r>
      <w:r w:rsidR="00805AF0" w:rsidRPr="00394D9A">
        <w:rPr>
          <w:szCs w:val="22"/>
          <w:lang w:val="sr-Latn-RS"/>
        </w:rPr>
        <w:t xml:space="preserve">Dabigatran SK </w:t>
      </w:r>
      <w:r w:rsidRPr="00394D9A">
        <w:rPr>
          <w:szCs w:val="22"/>
          <w:lang w:val="sr-Latn-RS"/>
        </w:rPr>
        <w:t xml:space="preserve">uzima </w:t>
      </w:r>
      <w:r w:rsidR="00303D2F" w:rsidRPr="00394D9A">
        <w:rPr>
          <w:szCs w:val="22"/>
          <w:lang w:val="sr-Latn-RS"/>
        </w:rPr>
        <w:t>istovremeno</w:t>
      </w:r>
      <w:r w:rsidRPr="00394D9A">
        <w:rPr>
          <w:szCs w:val="22"/>
          <w:lang w:val="sr-Latn-RS"/>
        </w:rPr>
        <w:t xml:space="preserve"> sa amjodaronom ili hinidinom</w:t>
      </w:r>
      <w:r w:rsidR="00805AF0" w:rsidRPr="00394D9A">
        <w:rPr>
          <w:szCs w:val="22"/>
          <w:lang w:val="sr-Latn-RS"/>
        </w:rPr>
        <w:t xml:space="preserve"> </w:t>
      </w:r>
      <w:r w:rsidRPr="00394D9A">
        <w:rPr>
          <w:szCs w:val="22"/>
          <w:lang w:val="sr-Latn-RS"/>
        </w:rPr>
        <w:t>(</w:t>
      </w:r>
      <w:r w:rsidR="00AC7094" w:rsidRPr="00394D9A">
        <w:rPr>
          <w:szCs w:val="22"/>
          <w:lang w:val="sr-Latn-RS"/>
        </w:rPr>
        <w:t xml:space="preserve">vidjeti </w:t>
      </w:r>
      <w:r w:rsidR="00D7145C" w:rsidRPr="00394D9A">
        <w:rPr>
          <w:szCs w:val="22"/>
          <w:lang w:val="sr-Latn-RS"/>
        </w:rPr>
        <w:t>djelove</w:t>
      </w:r>
      <w:r w:rsidRPr="00394D9A">
        <w:rPr>
          <w:szCs w:val="22"/>
          <w:lang w:val="sr-Latn-RS"/>
        </w:rPr>
        <w:t xml:space="preserve"> 4.4, 4.5 i 5.2).</w:t>
      </w:r>
    </w:p>
    <w:p w14:paraId="3AFA0CAD" w14:textId="77777777" w:rsidR="00805AF0" w:rsidRPr="00394D9A" w:rsidRDefault="00805AF0" w:rsidP="00187D17">
      <w:pPr>
        <w:widowControl w:val="0"/>
        <w:rPr>
          <w:szCs w:val="22"/>
          <w:lang w:val="sr-Latn-RS"/>
        </w:rPr>
      </w:pPr>
    </w:p>
    <w:p w14:paraId="261ACF92" w14:textId="35F0DD03" w:rsidR="00847A0B" w:rsidRPr="00394D9A" w:rsidRDefault="00847A0B" w:rsidP="00187D17">
      <w:pPr>
        <w:widowControl w:val="0"/>
        <w:rPr>
          <w:szCs w:val="22"/>
          <w:lang w:val="sr-Latn-RS"/>
        </w:rPr>
      </w:pPr>
      <w:r w:rsidRPr="00394D9A">
        <w:rPr>
          <w:szCs w:val="22"/>
          <w:lang w:val="sr-Latn-RS"/>
        </w:rPr>
        <w:t xml:space="preserve">Preporučuje se </w:t>
      </w:r>
      <w:r w:rsidR="00AB776E" w:rsidRPr="00394D9A">
        <w:rPr>
          <w:szCs w:val="22"/>
          <w:lang w:val="sr-Latn-RS"/>
        </w:rPr>
        <w:t>smanjenje</w:t>
      </w:r>
      <w:r w:rsidRPr="00394D9A">
        <w:rPr>
          <w:szCs w:val="22"/>
          <w:lang w:val="sr-Latn-RS"/>
        </w:rPr>
        <w:t xml:space="preserve"> doze kod pacijenata koji </w:t>
      </w:r>
      <w:r w:rsidR="00303D2F" w:rsidRPr="00394D9A">
        <w:rPr>
          <w:szCs w:val="22"/>
          <w:lang w:val="sr-Latn-RS"/>
        </w:rPr>
        <w:t>istovremeno</w:t>
      </w:r>
      <w:r w:rsidRPr="00394D9A">
        <w:rPr>
          <w:szCs w:val="22"/>
          <w:lang w:val="sr-Latn-RS"/>
        </w:rPr>
        <w:t xml:space="preserve"> primaju i verapamil (</w:t>
      </w:r>
      <w:r w:rsidR="00AC7094" w:rsidRPr="00394D9A">
        <w:rPr>
          <w:szCs w:val="22"/>
          <w:lang w:val="sr-Latn-RS"/>
        </w:rPr>
        <w:t xml:space="preserve">vidjeti </w:t>
      </w:r>
      <w:r w:rsidRPr="00394D9A">
        <w:rPr>
          <w:szCs w:val="22"/>
          <w:lang w:val="sr-Latn-RS"/>
        </w:rPr>
        <w:t xml:space="preserve">tabelu </w:t>
      </w:r>
      <w:r w:rsidR="003B48EB" w:rsidRPr="00394D9A">
        <w:rPr>
          <w:szCs w:val="22"/>
          <w:lang w:val="sr-Latn-RS"/>
        </w:rPr>
        <w:t>1</w:t>
      </w:r>
      <w:r w:rsidRPr="00394D9A">
        <w:rPr>
          <w:szCs w:val="22"/>
          <w:lang w:val="sr-Latn-RS"/>
        </w:rPr>
        <w:t xml:space="preserve"> gore </w:t>
      </w:r>
      <w:r w:rsidR="00805AF0" w:rsidRPr="00394D9A">
        <w:rPr>
          <w:szCs w:val="22"/>
          <w:lang w:val="sr-Latn-RS"/>
        </w:rPr>
        <w:t xml:space="preserve">i </w:t>
      </w:r>
      <w:r w:rsidR="00D7145C" w:rsidRPr="00394D9A">
        <w:rPr>
          <w:szCs w:val="22"/>
          <w:lang w:val="sr-Latn-RS"/>
        </w:rPr>
        <w:t>djelove</w:t>
      </w:r>
      <w:r w:rsidRPr="00394D9A">
        <w:rPr>
          <w:szCs w:val="22"/>
          <w:lang w:val="sr-Latn-RS"/>
        </w:rPr>
        <w:t xml:space="preserve"> 4.4 i 4.5). U toj situaciji </w:t>
      </w:r>
      <w:r w:rsidR="00A639DA" w:rsidRPr="00394D9A">
        <w:rPr>
          <w:szCs w:val="22"/>
          <w:lang w:val="sr-Latn-RS"/>
        </w:rPr>
        <w:t>lijek</w:t>
      </w:r>
      <w:r w:rsidRPr="00394D9A">
        <w:rPr>
          <w:szCs w:val="22"/>
          <w:lang w:val="sr-Latn-RS"/>
        </w:rPr>
        <w:t xml:space="preserve"> </w:t>
      </w:r>
      <w:r w:rsidR="00805AF0" w:rsidRPr="00394D9A">
        <w:rPr>
          <w:szCs w:val="22"/>
          <w:lang w:val="sr-Latn-RS"/>
        </w:rPr>
        <w:t xml:space="preserve">Dabigatran SK </w:t>
      </w:r>
      <w:r w:rsidRPr="00394D9A">
        <w:rPr>
          <w:szCs w:val="22"/>
          <w:lang w:val="sr-Latn-RS"/>
        </w:rPr>
        <w:t xml:space="preserve">i verapamil bi trebalo uzimati </w:t>
      </w:r>
      <w:r w:rsidR="00303D2F" w:rsidRPr="00394D9A">
        <w:rPr>
          <w:szCs w:val="22"/>
          <w:lang w:val="sr-Latn-RS"/>
        </w:rPr>
        <w:t>istovremeno</w:t>
      </w:r>
      <w:r w:rsidRPr="00394D9A">
        <w:rPr>
          <w:szCs w:val="22"/>
          <w:lang w:val="sr-Latn-RS"/>
        </w:rPr>
        <w:t>.</w:t>
      </w:r>
    </w:p>
    <w:p w14:paraId="472EF5BC" w14:textId="77777777" w:rsidR="00847A0B" w:rsidRPr="00394D9A" w:rsidRDefault="00847A0B" w:rsidP="00187D17">
      <w:pPr>
        <w:widowControl w:val="0"/>
        <w:rPr>
          <w:b/>
          <w:bCs/>
          <w:szCs w:val="22"/>
          <w:lang w:val="sr-Latn-RS"/>
        </w:rPr>
      </w:pPr>
    </w:p>
    <w:p w14:paraId="44FFC5A5" w14:textId="03BF2289" w:rsidR="00847A0B" w:rsidRPr="00394D9A" w:rsidRDefault="003E3709" w:rsidP="00187D17">
      <w:pPr>
        <w:widowControl w:val="0"/>
        <w:rPr>
          <w:i/>
          <w:iCs/>
          <w:szCs w:val="22"/>
          <w:lang w:val="sr-Latn-RS"/>
        </w:rPr>
      </w:pPr>
      <w:r w:rsidRPr="00394D9A">
        <w:rPr>
          <w:i/>
          <w:iCs/>
          <w:szCs w:val="22"/>
          <w:lang w:val="sr-Latn-RS"/>
        </w:rPr>
        <w:t>Tjelesna</w:t>
      </w:r>
      <w:r w:rsidR="00847A0B" w:rsidRPr="00394D9A">
        <w:rPr>
          <w:i/>
          <w:iCs/>
          <w:szCs w:val="22"/>
          <w:lang w:val="sr-Latn-RS"/>
        </w:rPr>
        <w:t xml:space="preserve"> masa</w:t>
      </w:r>
    </w:p>
    <w:p w14:paraId="0DA0C730" w14:textId="77777777" w:rsidR="00847A0B" w:rsidRPr="00394D9A" w:rsidRDefault="00847A0B" w:rsidP="00187D17">
      <w:pPr>
        <w:widowControl w:val="0"/>
        <w:rPr>
          <w:szCs w:val="22"/>
          <w:lang w:val="sr-Latn-RS"/>
        </w:rPr>
      </w:pPr>
    </w:p>
    <w:p w14:paraId="0608B3CD" w14:textId="59BDF0CE" w:rsidR="00847A0B" w:rsidRPr="00394D9A" w:rsidRDefault="00847A0B" w:rsidP="00187D17">
      <w:pPr>
        <w:widowControl w:val="0"/>
        <w:rPr>
          <w:szCs w:val="22"/>
          <w:lang w:val="sr-Latn-RS"/>
        </w:rPr>
      </w:pPr>
      <w:r w:rsidRPr="00394D9A">
        <w:rPr>
          <w:szCs w:val="22"/>
          <w:lang w:val="sr-Latn-RS"/>
        </w:rPr>
        <w:t>Nije potrebno podešavanje doze (</w:t>
      </w:r>
      <w:r w:rsidR="00AC7094" w:rsidRPr="00394D9A">
        <w:rPr>
          <w:szCs w:val="22"/>
          <w:lang w:val="sr-Latn-RS"/>
        </w:rPr>
        <w:t xml:space="preserve">vidjeti </w:t>
      </w:r>
      <w:r w:rsidR="00D7145C" w:rsidRPr="00394D9A">
        <w:rPr>
          <w:szCs w:val="22"/>
          <w:lang w:val="sr-Latn-RS"/>
        </w:rPr>
        <w:t>dio</w:t>
      </w:r>
      <w:r w:rsidRPr="00394D9A">
        <w:rPr>
          <w:szCs w:val="22"/>
          <w:lang w:val="sr-Latn-RS"/>
        </w:rPr>
        <w:t xml:space="preserve"> 5.2), ali se preporučuje pažljivo kliničko praćenje kod pacijenata čija je </w:t>
      </w:r>
      <w:r w:rsidR="003E3709" w:rsidRPr="00394D9A">
        <w:rPr>
          <w:szCs w:val="22"/>
          <w:lang w:val="sr-Latn-RS"/>
        </w:rPr>
        <w:t>tjelesna</w:t>
      </w:r>
      <w:r w:rsidRPr="00394D9A">
        <w:rPr>
          <w:szCs w:val="22"/>
          <w:lang w:val="sr-Latn-RS"/>
        </w:rPr>
        <w:t xml:space="preserve"> masa &lt;</w:t>
      </w:r>
      <w:r w:rsidR="00AC7094" w:rsidRPr="00394D9A">
        <w:rPr>
          <w:szCs w:val="22"/>
          <w:lang w:val="sr-Latn-RS"/>
        </w:rPr>
        <w:t xml:space="preserve"> </w:t>
      </w:r>
      <w:r w:rsidRPr="00394D9A">
        <w:rPr>
          <w:szCs w:val="22"/>
          <w:lang w:val="sr-Latn-RS"/>
        </w:rPr>
        <w:t>50 kg (</w:t>
      </w:r>
      <w:r w:rsidR="00AC7094" w:rsidRPr="00394D9A">
        <w:rPr>
          <w:szCs w:val="22"/>
          <w:lang w:val="sr-Latn-RS"/>
        </w:rPr>
        <w:t xml:space="preserve">vidjeti </w:t>
      </w:r>
      <w:r w:rsidR="00D7145C" w:rsidRPr="00394D9A">
        <w:rPr>
          <w:szCs w:val="22"/>
          <w:lang w:val="sr-Latn-RS"/>
        </w:rPr>
        <w:t>dio</w:t>
      </w:r>
      <w:r w:rsidRPr="00394D9A">
        <w:rPr>
          <w:szCs w:val="22"/>
          <w:lang w:val="sr-Latn-RS"/>
        </w:rPr>
        <w:t xml:space="preserve"> 4.4).</w:t>
      </w:r>
    </w:p>
    <w:p w14:paraId="14C5B749" w14:textId="77777777" w:rsidR="00847A0B" w:rsidRPr="00394D9A" w:rsidRDefault="00847A0B" w:rsidP="00187D17">
      <w:pPr>
        <w:widowControl w:val="0"/>
        <w:rPr>
          <w:szCs w:val="22"/>
          <w:lang w:val="sr-Latn-RS"/>
        </w:rPr>
      </w:pPr>
    </w:p>
    <w:p w14:paraId="16E66C0F" w14:textId="35917E39" w:rsidR="00847A0B" w:rsidRPr="00394D9A" w:rsidRDefault="00847A0B" w:rsidP="00187D17">
      <w:pPr>
        <w:widowControl w:val="0"/>
        <w:rPr>
          <w:i/>
          <w:iCs/>
          <w:szCs w:val="22"/>
          <w:lang w:val="sr-Latn-RS"/>
        </w:rPr>
      </w:pPr>
      <w:r w:rsidRPr="00394D9A">
        <w:rPr>
          <w:i/>
          <w:iCs/>
          <w:szCs w:val="22"/>
          <w:lang w:val="sr-Latn-RS"/>
        </w:rPr>
        <w:t>Pol</w:t>
      </w:r>
    </w:p>
    <w:p w14:paraId="29A4102C" w14:textId="77777777" w:rsidR="00847A0B" w:rsidRPr="00394D9A" w:rsidRDefault="00847A0B" w:rsidP="00187D17">
      <w:pPr>
        <w:widowControl w:val="0"/>
        <w:rPr>
          <w:szCs w:val="22"/>
          <w:lang w:val="sr-Latn-RS"/>
        </w:rPr>
      </w:pPr>
    </w:p>
    <w:p w14:paraId="20CC31D9" w14:textId="3B83FA29" w:rsidR="00847A0B" w:rsidRPr="00394D9A" w:rsidRDefault="00847A0B" w:rsidP="00187D17">
      <w:pPr>
        <w:widowControl w:val="0"/>
        <w:rPr>
          <w:szCs w:val="22"/>
          <w:lang w:val="sr-Latn-RS"/>
        </w:rPr>
      </w:pPr>
      <w:r w:rsidRPr="00394D9A">
        <w:rPr>
          <w:szCs w:val="22"/>
          <w:lang w:val="sr-Latn-RS"/>
        </w:rPr>
        <w:t>Nije potrebno podešavanje doze (</w:t>
      </w:r>
      <w:r w:rsidR="00AC7094" w:rsidRPr="00394D9A">
        <w:rPr>
          <w:szCs w:val="22"/>
          <w:lang w:val="sr-Latn-RS"/>
        </w:rPr>
        <w:t xml:space="preserve">vidjeti </w:t>
      </w:r>
      <w:r w:rsidR="00D7145C" w:rsidRPr="00394D9A">
        <w:rPr>
          <w:szCs w:val="22"/>
          <w:lang w:val="sr-Latn-RS"/>
        </w:rPr>
        <w:t>dio</w:t>
      </w:r>
      <w:r w:rsidRPr="00394D9A">
        <w:rPr>
          <w:szCs w:val="22"/>
          <w:lang w:val="sr-Latn-RS"/>
        </w:rPr>
        <w:t xml:space="preserve"> 5.2).</w:t>
      </w:r>
    </w:p>
    <w:p w14:paraId="7BD85713" w14:textId="77777777" w:rsidR="00847A0B" w:rsidRPr="00394D9A" w:rsidRDefault="00847A0B" w:rsidP="00187D17">
      <w:pPr>
        <w:widowControl w:val="0"/>
        <w:rPr>
          <w:szCs w:val="22"/>
          <w:lang w:val="sr-Latn-RS"/>
        </w:rPr>
      </w:pPr>
    </w:p>
    <w:p w14:paraId="54A126BA" w14:textId="607BE659" w:rsidR="00847A0B" w:rsidRPr="00394D9A" w:rsidRDefault="00847A0B" w:rsidP="00187D17">
      <w:pPr>
        <w:widowControl w:val="0"/>
        <w:rPr>
          <w:i/>
          <w:iCs/>
          <w:szCs w:val="22"/>
          <w:lang w:val="sr-Latn-RS"/>
        </w:rPr>
      </w:pPr>
      <w:r w:rsidRPr="00394D9A">
        <w:rPr>
          <w:i/>
          <w:iCs/>
          <w:szCs w:val="22"/>
          <w:lang w:val="sr-Latn-RS"/>
        </w:rPr>
        <w:t>Pedijatrijska populacija</w:t>
      </w:r>
    </w:p>
    <w:p w14:paraId="0C40C285" w14:textId="77777777" w:rsidR="00847A0B" w:rsidRPr="00394D9A" w:rsidRDefault="00847A0B" w:rsidP="00187D17">
      <w:pPr>
        <w:widowControl w:val="0"/>
        <w:rPr>
          <w:szCs w:val="22"/>
          <w:lang w:val="sr-Latn-RS"/>
        </w:rPr>
      </w:pPr>
    </w:p>
    <w:p w14:paraId="48CA8623" w14:textId="746F0AAE" w:rsidR="00847A0B" w:rsidRPr="00394D9A" w:rsidRDefault="00847A0B" w:rsidP="00187D17">
      <w:pPr>
        <w:widowControl w:val="0"/>
        <w:rPr>
          <w:szCs w:val="22"/>
          <w:lang w:val="sr-Latn-RS"/>
        </w:rPr>
      </w:pPr>
      <w:r w:rsidRPr="00394D9A">
        <w:rPr>
          <w:szCs w:val="22"/>
          <w:lang w:val="sr-Latn-RS"/>
        </w:rPr>
        <w:t xml:space="preserve">Nema relevantne </w:t>
      </w:r>
      <w:r w:rsidR="00A639DA" w:rsidRPr="00394D9A">
        <w:rPr>
          <w:szCs w:val="22"/>
          <w:lang w:val="sr-Latn-RS"/>
        </w:rPr>
        <w:t>primjene</w:t>
      </w:r>
      <w:r w:rsidRPr="00394D9A">
        <w:rPr>
          <w:szCs w:val="22"/>
          <w:lang w:val="sr-Latn-RS"/>
        </w:rPr>
        <w:t xml:space="preserve"> </w:t>
      </w:r>
      <w:r w:rsidR="00A639DA" w:rsidRPr="00394D9A">
        <w:rPr>
          <w:szCs w:val="22"/>
          <w:lang w:val="sr-Latn-RS"/>
        </w:rPr>
        <w:t>lijeka</w:t>
      </w:r>
      <w:r w:rsidRPr="00394D9A">
        <w:rPr>
          <w:szCs w:val="22"/>
          <w:lang w:val="sr-Latn-RS"/>
        </w:rPr>
        <w:t xml:space="preserve"> Dabigatran SK u pedijatrijskoj populaciji u indikaciji prevencija moždanog udara i sistemske embolije kod pacijenata sa NVAF.</w:t>
      </w:r>
    </w:p>
    <w:p w14:paraId="65B15E4F" w14:textId="77777777" w:rsidR="00847A0B" w:rsidRPr="00394D9A" w:rsidRDefault="00847A0B" w:rsidP="00187D17">
      <w:pPr>
        <w:widowControl w:val="0"/>
        <w:rPr>
          <w:szCs w:val="22"/>
          <w:lang w:val="sr-Latn-RS"/>
        </w:rPr>
      </w:pPr>
    </w:p>
    <w:p w14:paraId="72B6911E" w14:textId="77777777" w:rsidR="007A5478" w:rsidRPr="00394D9A" w:rsidRDefault="007A5478" w:rsidP="00187D17">
      <w:pPr>
        <w:widowControl w:val="0"/>
        <w:rPr>
          <w:b/>
          <w:bCs/>
          <w:i/>
          <w:iCs/>
          <w:spacing w:val="-2"/>
          <w:szCs w:val="22"/>
          <w:lang w:val="sr-Latn-RS"/>
        </w:rPr>
      </w:pPr>
      <w:r w:rsidRPr="00394D9A">
        <w:rPr>
          <w:b/>
          <w:bCs/>
          <w:i/>
          <w:iCs/>
          <w:szCs w:val="22"/>
          <w:lang w:val="sr-Latn-RS"/>
        </w:rPr>
        <w:t>Terapija</w:t>
      </w:r>
      <w:r w:rsidRPr="00394D9A">
        <w:rPr>
          <w:b/>
          <w:bCs/>
          <w:i/>
          <w:iCs/>
          <w:spacing w:val="-7"/>
          <w:szCs w:val="22"/>
          <w:lang w:val="sr-Latn-RS"/>
        </w:rPr>
        <w:t xml:space="preserve"> </w:t>
      </w:r>
      <w:r w:rsidRPr="00394D9A">
        <w:rPr>
          <w:b/>
          <w:bCs/>
          <w:i/>
          <w:iCs/>
          <w:szCs w:val="22"/>
          <w:lang w:val="sr-Latn-RS"/>
        </w:rPr>
        <w:t>VTE</w:t>
      </w:r>
      <w:r w:rsidRPr="00394D9A">
        <w:rPr>
          <w:b/>
          <w:bCs/>
          <w:i/>
          <w:iCs/>
          <w:spacing w:val="-6"/>
          <w:szCs w:val="22"/>
          <w:lang w:val="sr-Latn-RS"/>
        </w:rPr>
        <w:t xml:space="preserve"> </w:t>
      </w:r>
      <w:r w:rsidRPr="00394D9A">
        <w:rPr>
          <w:b/>
          <w:bCs/>
          <w:i/>
          <w:iCs/>
          <w:szCs w:val="22"/>
          <w:lang w:val="sr-Latn-RS"/>
        </w:rPr>
        <w:t>i</w:t>
      </w:r>
      <w:r w:rsidRPr="00394D9A">
        <w:rPr>
          <w:b/>
          <w:bCs/>
          <w:i/>
          <w:iCs/>
          <w:spacing w:val="-7"/>
          <w:szCs w:val="22"/>
          <w:lang w:val="sr-Latn-RS"/>
        </w:rPr>
        <w:t xml:space="preserve"> </w:t>
      </w:r>
      <w:r w:rsidRPr="00394D9A">
        <w:rPr>
          <w:b/>
          <w:bCs/>
          <w:i/>
          <w:iCs/>
          <w:szCs w:val="22"/>
          <w:lang w:val="sr-Latn-RS"/>
        </w:rPr>
        <w:t>prevencija</w:t>
      </w:r>
      <w:r w:rsidRPr="00394D9A">
        <w:rPr>
          <w:b/>
          <w:bCs/>
          <w:i/>
          <w:iCs/>
          <w:spacing w:val="-6"/>
          <w:szCs w:val="22"/>
          <w:lang w:val="sr-Latn-RS"/>
        </w:rPr>
        <w:t xml:space="preserve"> </w:t>
      </w:r>
      <w:r w:rsidRPr="00394D9A">
        <w:rPr>
          <w:b/>
          <w:bCs/>
          <w:i/>
          <w:iCs/>
          <w:szCs w:val="22"/>
          <w:lang w:val="sr-Latn-RS"/>
        </w:rPr>
        <w:t>rekurentne</w:t>
      </w:r>
      <w:r w:rsidRPr="00394D9A">
        <w:rPr>
          <w:b/>
          <w:bCs/>
          <w:i/>
          <w:iCs/>
          <w:spacing w:val="-7"/>
          <w:szCs w:val="22"/>
          <w:lang w:val="sr-Latn-RS"/>
        </w:rPr>
        <w:t xml:space="preserve"> </w:t>
      </w:r>
      <w:r w:rsidRPr="00394D9A">
        <w:rPr>
          <w:b/>
          <w:bCs/>
          <w:i/>
          <w:iCs/>
          <w:szCs w:val="22"/>
          <w:lang w:val="sr-Latn-RS"/>
        </w:rPr>
        <w:t>VTE</w:t>
      </w:r>
      <w:r w:rsidRPr="00394D9A">
        <w:rPr>
          <w:b/>
          <w:bCs/>
          <w:i/>
          <w:iCs/>
          <w:spacing w:val="-6"/>
          <w:szCs w:val="22"/>
          <w:lang w:val="sr-Latn-RS"/>
        </w:rPr>
        <w:t xml:space="preserve"> </w:t>
      </w:r>
      <w:r w:rsidRPr="00394D9A">
        <w:rPr>
          <w:b/>
          <w:bCs/>
          <w:i/>
          <w:iCs/>
          <w:szCs w:val="22"/>
          <w:lang w:val="sr-Latn-RS"/>
        </w:rPr>
        <w:t>kod</w:t>
      </w:r>
      <w:r w:rsidRPr="00394D9A">
        <w:rPr>
          <w:b/>
          <w:bCs/>
          <w:i/>
          <w:iCs/>
          <w:spacing w:val="-7"/>
          <w:szCs w:val="22"/>
          <w:lang w:val="sr-Latn-RS"/>
        </w:rPr>
        <w:t xml:space="preserve"> </w:t>
      </w:r>
      <w:r w:rsidRPr="00394D9A">
        <w:rPr>
          <w:b/>
          <w:bCs/>
          <w:i/>
          <w:iCs/>
          <w:szCs w:val="22"/>
          <w:lang w:val="sr-Latn-RS"/>
        </w:rPr>
        <w:t>pedijatrijskih</w:t>
      </w:r>
      <w:r w:rsidRPr="00394D9A">
        <w:rPr>
          <w:b/>
          <w:bCs/>
          <w:i/>
          <w:iCs/>
          <w:spacing w:val="-3"/>
          <w:szCs w:val="22"/>
          <w:lang w:val="sr-Latn-RS"/>
        </w:rPr>
        <w:t xml:space="preserve"> </w:t>
      </w:r>
      <w:r w:rsidRPr="00394D9A">
        <w:rPr>
          <w:b/>
          <w:bCs/>
          <w:i/>
          <w:iCs/>
          <w:spacing w:val="-2"/>
          <w:szCs w:val="22"/>
          <w:lang w:val="sr-Latn-RS"/>
        </w:rPr>
        <w:t>pacijenata</w:t>
      </w:r>
    </w:p>
    <w:p w14:paraId="1474580F" w14:textId="77777777" w:rsidR="0071018B" w:rsidRPr="00394D9A" w:rsidRDefault="0071018B" w:rsidP="00187D17">
      <w:pPr>
        <w:widowControl w:val="0"/>
        <w:rPr>
          <w:b/>
          <w:bCs/>
          <w:i/>
          <w:iCs/>
          <w:szCs w:val="22"/>
          <w:lang w:val="sr-Latn-RS"/>
        </w:rPr>
      </w:pPr>
    </w:p>
    <w:p w14:paraId="60EA0FC7" w14:textId="77777777" w:rsidR="007A5478" w:rsidRPr="00394D9A" w:rsidRDefault="007A5478" w:rsidP="00187D17">
      <w:pPr>
        <w:widowControl w:val="0"/>
        <w:tabs>
          <w:tab w:val="clear" w:pos="284"/>
        </w:tabs>
        <w:autoSpaceDE w:val="0"/>
        <w:autoSpaceDN w:val="0"/>
        <w:rPr>
          <w:szCs w:val="22"/>
          <w:lang w:val="sr-Latn-RS"/>
        </w:rPr>
      </w:pPr>
      <w:r w:rsidRPr="00394D9A">
        <w:rPr>
          <w:szCs w:val="22"/>
          <w:lang w:val="sr-Latn-RS"/>
        </w:rPr>
        <w:t>Terapiju VTE kod pedijatrijskih pacijenata potrebno je započeti nakon terapije parenteralnim antikoagulansom</w:t>
      </w:r>
      <w:r w:rsidRPr="00394D9A">
        <w:rPr>
          <w:spacing w:val="-3"/>
          <w:szCs w:val="22"/>
          <w:lang w:val="sr-Latn-RS"/>
        </w:rPr>
        <w:t xml:space="preserve"> </w:t>
      </w:r>
      <w:r w:rsidRPr="00394D9A">
        <w:rPr>
          <w:szCs w:val="22"/>
          <w:lang w:val="sr-Latn-RS"/>
        </w:rPr>
        <w:t>u</w:t>
      </w:r>
      <w:r w:rsidRPr="00394D9A">
        <w:rPr>
          <w:spacing w:val="-3"/>
          <w:szCs w:val="22"/>
          <w:lang w:val="sr-Latn-RS"/>
        </w:rPr>
        <w:t xml:space="preserve"> </w:t>
      </w:r>
      <w:r w:rsidRPr="00394D9A">
        <w:rPr>
          <w:szCs w:val="22"/>
          <w:lang w:val="sr-Latn-RS"/>
        </w:rPr>
        <w:t>trajanju</w:t>
      </w:r>
      <w:r w:rsidRPr="00394D9A">
        <w:rPr>
          <w:spacing w:val="-3"/>
          <w:szCs w:val="22"/>
          <w:lang w:val="sr-Latn-RS"/>
        </w:rPr>
        <w:t xml:space="preserve"> </w:t>
      </w:r>
      <w:r w:rsidRPr="00394D9A">
        <w:rPr>
          <w:szCs w:val="22"/>
          <w:lang w:val="sr-Latn-RS"/>
        </w:rPr>
        <w:t>od</w:t>
      </w:r>
      <w:r w:rsidRPr="00394D9A">
        <w:rPr>
          <w:spacing w:val="-3"/>
          <w:szCs w:val="22"/>
          <w:lang w:val="sr-Latn-RS"/>
        </w:rPr>
        <w:t xml:space="preserve"> </w:t>
      </w:r>
      <w:r w:rsidRPr="00394D9A">
        <w:rPr>
          <w:szCs w:val="22"/>
          <w:lang w:val="sr-Latn-RS"/>
        </w:rPr>
        <w:t>najmanje</w:t>
      </w:r>
      <w:r w:rsidRPr="00394D9A">
        <w:rPr>
          <w:spacing w:val="-3"/>
          <w:szCs w:val="22"/>
          <w:lang w:val="sr-Latn-RS"/>
        </w:rPr>
        <w:t xml:space="preserve"> </w:t>
      </w:r>
      <w:r w:rsidRPr="00394D9A">
        <w:rPr>
          <w:szCs w:val="22"/>
          <w:lang w:val="sr-Latn-RS"/>
        </w:rPr>
        <w:t>5</w:t>
      </w:r>
      <w:r w:rsidRPr="00394D9A">
        <w:rPr>
          <w:spacing w:val="-3"/>
          <w:szCs w:val="22"/>
          <w:lang w:val="sr-Latn-RS"/>
        </w:rPr>
        <w:t xml:space="preserve"> </w:t>
      </w:r>
      <w:r w:rsidRPr="00394D9A">
        <w:rPr>
          <w:szCs w:val="22"/>
          <w:lang w:val="sr-Latn-RS"/>
        </w:rPr>
        <w:t>dana.</w:t>
      </w:r>
      <w:r w:rsidRPr="00394D9A">
        <w:rPr>
          <w:spacing w:val="-3"/>
          <w:szCs w:val="22"/>
          <w:lang w:val="sr-Latn-RS"/>
        </w:rPr>
        <w:t xml:space="preserve"> </w:t>
      </w:r>
      <w:r w:rsidRPr="00394D9A">
        <w:rPr>
          <w:szCs w:val="22"/>
          <w:lang w:val="sr-Latn-RS"/>
        </w:rPr>
        <w:t>Za</w:t>
      </w:r>
      <w:r w:rsidRPr="00394D9A">
        <w:rPr>
          <w:spacing w:val="-3"/>
          <w:szCs w:val="22"/>
          <w:lang w:val="sr-Latn-RS"/>
        </w:rPr>
        <w:t xml:space="preserve"> </w:t>
      </w:r>
      <w:r w:rsidRPr="00394D9A">
        <w:rPr>
          <w:szCs w:val="22"/>
          <w:lang w:val="sr-Latn-RS"/>
        </w:rPr>
        <w:t>prevenciju</w:t>
      </w:r>
      <w:r w:rsidRPr="00394D9A">
        <w:rPr>
          <w:spacing w:val="-3"/>
          <w:szCs w:val="22"/>
          <w:lang w:val="sr-Latn-RS"/>
        </w:rPr>
        <w:t xml:space="preserve"> </w:t>
      </w:r>
      <w:r w:rsidRPr="00394D9A">
        <w:rPr>
          <w:szCs w:val="22"/>
          <w:lang w:val="sr-Latn-RS"/>
        </w:rPr>
        <w:t>rekurentne</w:t>
      </w:r>
      <w:r w:rsidRPr="00394D9A">
        <w:rPr>
          <w:spacing w:val="-3"/>
          <w:szCs w:val="22"/>
          <w:lang w:val="sr-Latn-RS"/>
        </w:rPr>
        <w:t xml:space="preserve"> </w:t>
      </w:r>
      <w:r w:rsidRPr="00394D9A">
        <w:rPr>
          <w:szCs w:val="22"/>
          <w:lang w:val="sr-Latn-RS"/>
        </w:rPr>
        <w:t>VTE,</w:t>
      </w:r>
      <w:r w:rsidRPr="00394D9A">
        <w:rPr>
          <w:spacing w:val="-3"/>
          <w:szCs w:val="22"/>
          <w:lang w:val="sr-Latn-RS"/>
        </w:rPr>
        <w:t xml:space="preserve"> </w:t>
      </w:r>
      <w:r w:rsidRPr="00394D9A">
        <w:rPr>
          <w:szCs w:val="22"/>
          <w:lang w:val="sr-Latn-RS"/>
        </w:rPr>
        <w:t>terapiju</w:t>
      </w:r>
      <w:r w:rsidRPr="00394D9A">
        <w:rPr>
          <w:spacing w:val="-3"/>
          <w:szCs w:val="22"/>
          <w:lang w:val="sr-Latn-RS"/>
        </w:rPr>
        <w:t xml:space="preserve"> </w:t>
      </w:r>
      <w:r w:rsidRPr="00394D9A">
        <w:rPr>
          <w:szCs w:val="22"/>
          <w:lang w:val="sr-Latn-RS"/>
        </w:rPr>
        <w:t>je</w:t>
      </w:r>
      <w:r w:rsidRPr="00394D9A">
        <w:rPr>
          <w:spacing w:val="-3"/>
          <w:szCs w:val="22"/>
          <w:lang w:val="sr-Latn-RS"/>
        </w:rPr>
        <w:t xml:space="preserve"> </w:t>
      </w:r>
      <w:r w:rsidRPr="00394D9A">
        <w:rPr>
          <w:szCs w:val="22"/>
          <w:lang w:val="sr-Latn-RS"/>
        </w:rPr>
        <w:t>potrebno započeti nakon prethodne terapije.</w:t>
      </w:r>
    </w:p>
    <w:p w14:paraId="4A05EC79" w14:textId="77777777" w:rsidR="0071018B" w:rsidRPr="00394D9A" w:rsidRDefault="0071018B" w:rsidP="00187D17">
      <w:pPr>
        <w:widowControl w:val="0"/>
        <w:tabs>
          <w:tab w:val="clear" w:pos="284"/>
        </w:tabs>
        <w:autoSpaceDE w:val="0"/>
        <w:autoSpaceDN w:val="0"/>
        <w:rPr>
          <w:b/>
          <w:szCs w:val="22"/>
          <w:lang w:val="sr-Latn-RS"/>
        </w:rPr>
      </w:pPr>
    </w:p>
    <w:p w14:paraId="65B0E47C" w14:textId="1F29342F" w:rsidR="007A5478" w:rsidRPr="00394D9A" w:rsidRDefault="007A5478" w:rsidP="00187D17">
      <w:pPr>
        <w:widowControl w:val="0"/>
        <w:tabs>
          <w:tab w:val="clear" w:pos="284"/>
        </w:tabs>
        <w:autoSpaceDE w:val="0"/>
        <w:autoSpaceDN w:val="0"/>
        <w:rPr>
          <w:szCs w:val="22"/>
          <w:lang w:val="sr-Latn-RS"/>
        </w:rPr>
      </w:pPr>
      <w:r w:rsidRPr="00394D9A">
        <w:rPr>
          <w:b/>
          <w:szCs w:val="22"/>
          <w:lang w:val="sr-Latn-RS"/>
        </w:rPr>
        <w:t>Dabigatraneteksilat</w:t>
      </w:r>
      <w:r w:rsidRPr="00394D9A">
        <w:rPr>
          <w:b/>
          <w:spacing w:val="-4"/>
          <w:szCs w:val="22"/>
          <w:lang w:val="sr-Latn-RS"/>
        </w:rPr>
        <w:t xml:space="preserve"> </w:t>
      </w:r>
      <w:r w:rsidRPr="00394D9A">
        <w:rPr>
          <w:b/>
          <w:szCs w:val="22"/>
          <w:lang w:val="sr-Latn-RS"/>
        </w:rPr>
        <w:t>kapsule</w:t>
      </w:r>
      <w:r w:rsidRPr="00394D9A">
        <w:rPr>
          <w:b/>
          <w:spacing w:val="-4"/>
          <w:szCs w:val="22"/>
          <w:lang w:val="sr-Latn-RS"/>
        </w:rPr>
        <w:t xml:space="preserve"> </w:t>
      </w:r>
      <w:r w:rsidRPr="00394D9A">
        <w:rPr>
          <w:b/>
          <w:szCs w:val="22"/>
          <w:lang w:val="sr-Latn-RS"/>
        </w:rPr>
        <w:t>potrebno</w:t>
      </w:r>
      <w:r w:rsidRPr="00394D9A">
        <w:rPr>
          <w:b/>
          <w:spacing w:val="-4"/>
          <w:szCs w:val="22"/>
          <w:lang w:val="sr-Latn-RS"/>
        </w:rPr>
        <w:t xml:space="preserve"> </w:t>
      </w:r>
      <w:r w:rsidRPr="00394D9A">
        <w:rPr>
          <w:b/>
          <w:szCs w:val="22"/>
          <w:lang w:val="sr-Latn-RS"/>
        </w:rPr>
        <w:t>je</w:t>
      </w:r>
      <w:r w:rsidRPr="00394D9A">
        <w:rPr>
          <w:b/>
          <w:spacing w:val="-4"/>
          <w:szCs w:val="22"/>
          <w:lang w:val="sr-Latn-RS"/>
        </w:rPr>
        <w:t xml:space="preserve"> </w:t>
      </w:r>
      <w:r w:rsidRPr="00394D9A">
        <w:rPr>
          <w:b/>
          <w:szCs w:val="22"/>
          <w:lang w:val="sr-Latn-RS"/>
        </w:rPr>
        <w:t>uzimati</w:t>
      </w:r>
      <w:r w:rsidRPr="00394D9A">
        <w:rPr>
          <w:b/>
          <w:spacing w:val="-4"/>
          <w:szCs w:val="22"/>
          <w:lang w:val="sr-Latn-RS"/>
        </w:rPr>
        <w:t xml:space="preserve"> </w:t>
      </w:r>
      <w:r w:rsidRPr="00394D9A">
        <w:rPr>
          <w:b/>
          <w:szCs w:val="22"/>
          <w:lang w:val="sr-Latn-RS"/>
        </w:rPr>
        <w:t>dva</w:t>
      </w:r>
      <w:r w:rsidR="00AC7094" w:rsidRPr="00394D9A">
        <w:rPr>
          <w:b/>
          <w:szCs w:val="22"/>
          <w:lang w:val="sr-Latn-RS"/>
        </w:rPr>
        <w:t xml:space="preserve"> </w:t>
      </w:r>
      <w:r w:rsidRPr="00394D9A">
        <w:rPr>
          <w:b/>
          <w:szCs w:val="22"/>
          <w:lang w:val="sr-Latn-RS"/>
        </w:rPr>
        <w:t>put</w:t>
      </w:r>
      <w:r w:rsidR="00AC7094" w:rsidRPr="00394D9A">
        <w:rPr>
          <w:b/>
          <w:szCs w:val="22"/>
          <w:lang w:val="sr-Latn-RS"/>
        </w:rPr>
        <w:t>a</w:t>
      </w:r>
      <w:r w:rsidRPr="00394D9A">
        <w:rPr>
          <w:b/>
          <w:spacing w:val="-4"/>
          <w:szCs w:val="22"/>
          <w:lang w:val="sr-Latn-RS"/>
        </w:rPr>
        <w:t xml:space="preserve"> </w:t>
      </w:r>
      <w:r w:rsidRPr="00394D9A">
        <w:rPr>
          <w:b/>
          <w:szCs w:val="22"/>
          <w:lang w:val="sr-Latn-RS"/>
        </w:rPr>
        <w:t>dnevno</w:t>
      </w:r>
      <w:r w:rsidRPr="00394D9A">
        <w:rPr>
          <w:szCs w:val="22"/>
          <w:lang w:val="sr-Latn-RS"/>
        </w:rPr>
        <w:t>,</w:t>
      </w:r>
      <w:r w:rsidRPr="00394D9A">
        <w:rPr>
          <w:spacing w:val="-4"/>
          <w:szCs w:val="22"/>
          <w:lang w:val="sr-Latn-RS"/>
        </w:rPr>
        <w:t xml:space="preserve"> </w:t>
      </w:r>
      <w:r w:rsidRPr="00394D9A">
        <w:rPr>
          <w:szCs w:val="22"/>
          <w:lang w:val="sr-Latn-RS"/>
        </w:rPr>
        <w:t>jednu</w:t>
      </w:r>
      <w:r w:rsidRPr="00394D9A">
        <w:rPr>
          <w:spacing w:val="-4"/>
          <w:szCs w:val="22"/>
          <w:lang w:val="sr-Latn-RS"/>
        </w:rPr>
        <w:t xml:space="preserve"> </w:t>
      </w:r>
      <w:r w:rsidRPr="00394D9A">
        <w:rPr>
          <w:szCs w:val="22"/>
          <w:lang w:val="sr-Latn-RS"/>
        </w:rPr>
        <w:t>dozu</w:t>
      </w:r>
      <w:r w:rsidRPr="00394D9A">
        <w:rPr>
          <w:spacing w:val="-4"/>
          <w:szCs w:val="22"/>
          <w:lang w:val="sr-Latn-RS"/>
        </w:rPr>
        <w:t xml:space="preserve"> </w:t>
      </w:r>
      <w:r w:rsidRPr="00394D9A">
        <w:rPr>
          <w:szCs w:val="22"/>
          <w:lang w:val="sr-Latn-RS"/>
        </w:rPr>
        <w:t>ujutro</w:t>
      </w:r>
      <w:r w:rsidRPr="00394D9A">
        <w:rPr>
          <w:spacing w:val="-4"/>
          <w:szCs w:val="22"/>
          <w:lang w:val="sr-Latn-RS"/>
        </w:rPr>
        <w:t xml:space="preserve"> </w:t>
      </w:r>
      <w:r w:rsidRPr="00394D9A">
        <w:rPr>
          <w:szCs w:val="22"/>
          <w:lang w:val="sr-Latn-RS"/>
        </w:rPr>
        <w:t>i</w:t>
      </w:r>
      <w:r w:rsidRPr="00394D9A">
        <w:rPr>
          <w:spacing w:val="-4"/>
          <w:szCs w:val="22"/>
          <w:lang w:val="sr-Latn-RS"/>
        </w:rPr>
        <w:t xml:space="preserve"> </w:t>
      </w:r>
      <w:r w:rsidRPr="00394D9A">
        <w:rPr>
          <w:szCs w:val="22"/>
          <w:lang w:val="sr-Latn-RS"/>
        </w:rPr>
        <w:t>jednu</w:t>
      </w:r>
      <w:r w:rsidRPr="00394D9A">
        <w:rPr>
          <w:spacing w:val="-4"/>
          <w:szCs w:val="22"/>
          <w:lang w:val="sr-Latn-RS"/>
        </w:rPr>
        <w:t xml:space="preserve"> </w:t>
      </w:r>
      <w:r w:rsidRPr="00394D9A">
        <w:rPr>
          <w:szCs w:val="22"/>
          <w:lang w:val="sr-Latn-RS"/>
        </w:rPr>
        <w:t>dozu uveče, približno u isto vr</w:t>
      </w:r>
      <w:r w:rsidR="00C521B7" w:rsidRPr="00394D9A">
        <w:rPr>
          <w:szCs w:val="22"/>
          <w:lang w:val="sr-Latn-RS"/>
        </w:rPr>
        <w:t>ij</w:t>
      </w:r>
      <w:r w:rsidRPr="00394D9A">
        <w:rPr>
          <w:szCs w:val="22"/>
          <w:lang w:val="sr-Latn-RS"/>
        </w:rPr>
        <w:t>eme svakog dana. Potrebno je da interval doziranja iznosi što je moguće bliže intervalu od 12 sati.</w:t>
      </w:r>
    </w:p>
    <w:p w14:paraId="2E13DEEB" w14:textId="77777777" w:rsidR="0071018B" w:rsidRPr="00394D9A" w:rsidRDefault="0071018B" w:rsidP="00187D17">
      <w:pPr>
        <w:widowControl w:val="0"/>
        <w:tabs>
          <w:tab w:val="clear" w:pos="284"/>
        </w:tabs>
        <w:autoSpaceDE w:val="0"/>
        <w:autoSpaceDN w:val="0"/>
        <w:rPr>
          <w:szCs w:val="22"/>
          <w:lang w:val="sr-Latn-RS"/>
        </w:rPr>
      </w:pPr>
    </w:p>
    <w:p w14:paraId="4E3A655A" w14:textId="5033702F" w:rsidR="007A5478" w:rsidRPr="00394D9A" w:rsidRDefault="007A5478" w:rsidP="00187D17">
      <w:pPr>
        <w:widowControl w:val="0"/>
        <w:tabs>
          <w:tab w:val="clear" w:pos="284"/>
        </w:tabs>
        <w:autoSpaceDE w:val="0"/>
        <w:autoSpaceDN w:val="0"/>
        <w:rPr>
          <w:szCs w:val="22"/>
          <w:lang w:val="sr-Latn-RS"/>
        </w:rPr>
      </w:pPr>
      <w:r w:rsidRPr="00394D9A">
        <w:rPr>
          <w:szCs w:val="22"/>
          <w:lang w:val="sr-Latn-RS"/>
        </w:rPr>
        <w:t>Preporučena</w:t>
      </w:r>
      <w:r w:rsidRPr="00394D9A">
        <w:rPr>
          <w:spacing w:val="-4"/>
          <w:szCs w:val="22"/>
          <w:lang w:val="sr-Latn-RS"/>
        </w:rPr>
        <w:t xml:space="preserve"> </w:t>
      </w:r>
      <w:r w:rsidRPr="00394D9A">
        <w:rPr>
          <w:szCs w:val="22"/>
          <w:lang w:val="sr-Latn-RS"/>
        </w:rPr>
        <w:t>doza</w:t>
      </w:r>
      <w:r w:rsidRPr="00394D9A">
        <w:rPr>
          <w:spacing w:val="-4"/>
          <w:szCs w:val="22"/>
          <w:lang w:val="sr-Latn-RS"/>
        </w:rPr>
        <w:t xml:space="preserve"> </w:t>
      </w:r>
      <w:r w:rsidRPr="00394D9A">
        <w:rPr>
          <w:szCs w:val="22"/>
          <w:lang w:val="sr-Latn-RS"/>
        </w:rPr>
        <w:t>dabigatraneteksilat</w:t>
      </w:r>
      <w:r w:rsidRPr="00394D9A">
        <w:rPr>
          <w:spacing w:val="-3"/>
          <w:szCs w:val="22"/>
          <w:lang w:val="sr-Latn-RS"/>
        </w:rPr>
        <w:t xml:space="preserve"> </w:t>
      </w:r>
      <w:r w:rsidRPr="00394D9A">
        <w:rPr>
          <w:szCs w:val="22"/>
          <w:lang w:val="sr-Latn-RS"/>
        </w:rPr>
        <w:t>kapsula</w:t>
      </w:r>
      <w:r w:rsidRPr="00394D9A">
        <w:rPr>
          <w:spacing w:val="-3"/>
          <w:szCs w:val="22"/>
          <w:lang w:val="sr-Latn-RS"/>
        </w:rPr>
        <w:t xml:space="preserve"> </w:t>
      </w:r>
      <w:r w:rsidRPr="00394D9A">
        <w:rPr>
          <w:szCs w:val="22"/>
          <w:lang w:val="sr-Latn-RS"/>
        </w:rPr>
        <w:t>se</w:t>
      </w:r>
      <w:r w:rsidRPr="00394D9A">
        <w:rPr>
          <w:spacing w:val="-1"/>
          <w:szCs w:val="22"/>
          <w:lang w:val="sr-Latn-RS"/>
        </w:rPr>
        <w:t xml:space="preserve"> </w:t>
      </w:r>
      <w:r w:rsidRPr="00394D9A">
        <w:rPr>
          <w:szCs w:val="22"/>
          <w:lang w:val="sr-Latn-RS"/>
        </w:rPr>
        <w:t>zasniva</w:t>
      </w:r>
      <w:r w:rsidRPr="00394D9A">
        <w:rPr>
          <w:spacing w:val="-2"/>
          <w:szCs w:val="22"/>
          <w:lang w:val="sr-Latn-RS"/>
        </w:rPr>
        <w:t xml:space="preserve"> </w:t>
      </w:r>
      <w:r w:rsidRPr="00394D9A">
        <w:rPr>
          <w:szCs w:val="22"/>
          <w:lang w:val="sr-Latn-RS"/>
        </w:rPr>
        <w:t>na</w:t>
      </w:r>
      <w:r w:rsidRPr="00394D9A">
        <w:rPr>
          <w:spacing w:val="-6"/>
          <w:szCs w:val="22"/>
          <w:lang w:val="sr-Latn-RS"/>
        </w:rPr>
        <w:t xml:space="preserve"> </w:t>
      </w:r>
      <w:r w:rsidRPr="00394D9A">
        <w:rPr>
          <w:szCs w:val="22"/>
          <w:lang w:val="sr-Latn-RS"/>
        </w:rPr>
        <w:t>t</w:t>
      </w:r>
      <w:r w:rsidR="00C521B7" w:rsidRPr="00394D9A">
        <w:rPr>
          <w:szCs w:val="22"/>
          <w:lang w:val="sr-Latn-RS"/>
        </w:rPr>
        <w:t>j</w:t>
      </w:r>
      <w:r w:rsidRPr="00394D9A">
        <w:rPr>
          <w:szCs w:val="22"/>
          <w:lang w:val="sr-Latn-RS"/>
        </w:rPr>
        <w:t>elesnoj masi</w:t>
      </w:r>
      <w:r w:rsidRPr="00394D9A">
        <w:rPr>
          <w:spacing w:val="-7"/>
          <w:szCs w:val="22"/>
          <w:lang w:val="sr-Latn-RS"/>
        </w:rPr>
        <w:t xml:space="preserve"> </w:t>
      </w:r>
      <w:r w:rsidRPr="00394D9A">
        <w:rPr>
          <w:szCs w:val="22"/>
          <w:lang w:val="sr-Latn-RS"/>
        </w:rPr>
        <w:t>i</w:t>
      </w:r>
      <w:r w:rsidRPr="00394D9A">
        <w:rPr>
          <w:spacing w:val="-3"/>
          <w:szCs w:val="22"/>
          <w:lang w:val="sr-Latn-RS"/>
        </w:rPr>
        <w:t xml:space="preserve"> </w:t>
      </w:r>
      <w:r w:rsidRPr="00394D9A">
        <w:rPr>
          <w:szCs w:val="22"/>
          <w:lang w:val="sr-Latn-RS"/>
        </w:rPr>
        <w:t>životnoj</w:t>
      </w:r>
      <w:r w:rsidRPr="00394D9A">
        <w:rPr>
          <w:spacing w:val="-3"/>
          <w:szCs w:val="22"/>
          <w:lang w:val="sr-Latn-RS"/>
        </w:rPr>
        <w:t xml:space="preserve"> </w:t>
      </w:r>
      <w:r w:rsidRPr="00394D9A">
        <w:rPr>
          <w:szCs w:val="22"/>
          <w:lang w:val="sr-Latn-RS"/>
        </w:rPr>
        <w:t>dobi</w:t>
      </w:r>
      <w:r w:rsidRPr="00394D9A">
        <w:rPr>
          <w:spacing w:val="-5"/>
          <w:szCs w:val="22"/>
          <w:lang w:val="sr-Latn-RS"/>
        </w:rPr>
        <w:t xml:space="preserve"> </w:t>
      </w:r>
      <w:r w:rsidRPr="00394D9A">
        <w:rPr>
          <w:szCs w:val="22"/>
          <w:lang w:val="sr-Latn-RS"/>
        </w:rPr>
        <w:t>pacijenta,</w:t>
      </w:r>
      <w:r w:rsidRPr="00394D9A">
        <w:rPr>
          <w:spacing w:val="-1"/>
          <w:szCs w:val="22"/>
          <w:lang w:val="sr-Latn-RS"/>
        </w:rPr>
        <w:t xml:space="preserve"> </w:t>
      </w:r>
      <w:r w:rsidRPr="00394D9A">
        <w:rPr>
          <w:szCs w:val="22"/>
          <w:lang w:val="sr-Latn-RS"/>
        </w:rPr>
        <w:t>kao što je prikazano u tabeli 3. U skladu sa napredovanjem terapije potrebno je prilagoditi dozu prema t</w:t>
      </w:r>
      <w:r w:rsidR="00C521B7" w:rsidRPr="00394D9A">
        <w:rPr>
          <w:szCs w:val="22"/>
          <w:lang w:val="sr-Latn-RS"/>
        </w:rPr>
        <w:t>j</w:t>
      </w:r>
      <w:r w:rsidRPr="00394D9A">
        <w:rPr>
          <w:szCs w:val="22"/>
          <w:lang w:val="sr-Latn-RS"/>
        </w:rPr>
        <w:t>elesnoj masi i starosnoj dobi.</w:t>
      </w:r>
    </w:p>
    <w:p w14:paraId="123A295C" w14:textId="77777777" w:rsidR="0014319A" w:rsidRPr="00394D9A" w:rsidRDefault="0014319A" w:rsidP="00187D17">
      <w:pPr>
        <w:widowControl w:val="0"/>
        <w:tabs>
          <w:tab w:val="clear" w:pos="284"/>
        </w:tabs>
        <w:autoSpaceDE w:val="0"/>
        <w:autoSpaceDN w:val="0"/>
        <w:rPr>
          <w:szCs w:val="22"/>
          <w:lang w:val="sr-Latn-RS"/>
        </w:rPr>
      </w:pPr>
    </w:p>
    <w:p w14:paraId="1BA20744" w14:textId="2AEE3E98" w:rsidR="0014319A" w:rsidRPr="00394D9A" w:rsidRDefault="0014319A" w:rsidP="00187D17">
      <w:pPr>
        <w:widowControl w:val="0"/>
        <w:rPr>
          <w:szCs w:val="22"/>
          <w:lang w:val="sr-Latn-RS"/>
        </w:rPr>
      </w:pPr>
      <w:r w:rsidRPr="00394D9A">
        <w:rPr>
          <w:szCs w:val="22"/>
          <w:lang w:val="sr-Latn-RS"/>
        </w:rPr>
        <w:t xml:space="preserve">Za kombinacije tjelesne </w:t>
      </w:r>
      <w:r w:rsidR="00C521B7" w:rsidRPr="00394D9A">
        <w:rPr>
          <w:szCs w:val="22"/>
          <w:lang w:val="sr-Latn-RS"/>
        </w:rPr>
        <w:t>mase</w:t>
      </w:r>
      <w:r w:rsidRPr="00394D9A">
        <w:rPr>
          <w:szCs w:val="22"/>
          <w:lang w:val="sr-Latn-RS"/>
        </w:rPr>
        <w:t xml:space="preserve"> i dobi koje ni</w:t>
      </w:r>
      <w:r w:rsidR="00157169" w:rsidRPr="00394D9A">
        <w:rPr>
          <w:szCs w:val="22"/>
          <w:lang w:val="sr-Latn-RS"/>
        </w:rPr>
        <w:t>je</w:t>
      </w:r>
      <w:r w:rsidRPr="00394D9A">
        <w:rPr>
          <w:szCs w:val="22"/>
          <w:lang w:val="sr-Latn-RS"/>
        </w:rPr>
        <w:t>su navedene u tab</w:t>
      </w:r>
      <w:r w:rsidR="003A2DDC" w:rsidRPr="00394D9A">
        <w:rPr>
          <w:szCs w:val="22"/>
          <w:lang w:val="sr-Latn-RS"/>
        </w:rPr>
        <w:t>eli</w:t>
      </w:r>
      <w:r w:rsidRPr="00394D9A">
        <w:rPr>
          <w:szCs w:val="22"/>
          <w:lang w:val="sr-Latn-RS"/>
        </w:rPr>
        <w:t xml:space="preserve"> doziranja, ne mogu se dati preporuke za doziranje.</w:t>
      </w:r>
    </w:p>
    <w:p w14:paraId="459B1821" w14:textId="77777777" w:rsidR="00876FB4" w:rsidRPr="00394D9A" w:rsidRDefault="00876FB4" w:rsidP="00187D17">
      <w:pPr>
        <w:widowControl w:val="0"/>
        <w:tabs>
          <w:tab w:val="clear" w:pos="284"/>
        </w:tabs>
        <w:autoSpaceDE w:val="0"/>
        <w:autoSpaceDN w:val="0"/>
        <w:rPr>
          <w:szCs w:val="22"/>
          <w:lang w:val="sr-Latn-RS"/>
        </w:rPr>
      </w:pPr>
    </w:p>
    <w:p w14:paraId="314F14A6" w14:textId="1A8C2857" w:rsidR="007A5478" w:rsidRPr="00394D9A" w:rsidRDefault="007A5478" w:rsidP="00187D17">
      <w:pPr>
        <w:widowControl w:val="0"/>
        <w:tabs>
          <w:tab w:val="clear" w:pos="284"/>
        </w:tabs>
        <w:autoSpaceDE w:val="0"/>
        <w:autoSpaceDN w:val="0"/>
        <w:rPr>
          <w:b/>
          <w:bCs/>
          <w:szCs w:val="22"/>
          <w:lang w:val="sr-Latn-RS"/>
        </w:rPr>
      </w:pPr>
      <w:r w:rsidRPr="00394D9A">
        <w:rPr>
          <w:b/>
          <w:bCs/>
          <w:szCs w:val="22"/>
          <w:lang w:val="sr-Latn-RS"/>
        </w:rPr>
        <w:t>Tabela 3: Jednokratne i ukupne dnevne doze dabigatraneteksilata u miligramima (mg) po t</w:t>
      </w:r>
      <w:r w:rsidR="00C521B7" w:rsidRPr="00394D9A">
        <w:rPr>
          <w:b/>
          <w:bCs/>
          <w:szCs w:val="22"/>
          <w:lang w:val="sr-Latn-RS"/>
        </w:rPr>
        <w:t>j</w:t>
      </w:r>
      <w:r w:rsidRPr="00394D9A">
        <w:rPr>
          <w:b/>
          <w:bCs/>
          <w:szCs w:val="22"/>
          <w:lang w:val="sr-Latn-RS"/>
        </w:rPr>
        <w:t>elesnoj masi pacijenta u kilogramima (kg) i njegovoj starosnoj dobi u godinama</w:t>
      </w:r>
    </w:p>
    <w:p w14:paraId="41D7EDCF" w14:textId="77777777" w:rsidR="007A5478" w:rsidRPr="00394D9A" w:rsidRDefault="007A5478" w:rsidP="00187D17">
      <w:pPr>
        <w:widowControl w:val="0"/>
        <w:tabs>
          <w:tab w:val="clear" w:pos="284"/>
        </w:tabs>
        <w:autoSpaceDE w:val="0"/>
        <w:autoSpaceDN w:val="0"/>
        <w:rPr>
          <w:b/>
          <w:bCs/>
          <w:szCs w:val="22"/>
          <w:lang w:val="sr-Latn-R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5"/>
        <w:gridCol w:w="2020"/>
        <w:gridCol w:w="2059"/>
        <w:gridCol w:w="2407"/>
      </w:tblGrid>
      <w:tr w:rsidR="007A5478" w:rsidRPr="00A01BFA" w14:paraId="7314479C" w14:textId="77777777" w:rsidTr="00DF17BA">
        <w:tc>
          <w:tcPr>
            <w:tcW w:w="4595" w:type="dxa"/>
            <w:gridSpan w:val="2"/>
          </w:tcPr>
          <w:p w14:paraId="13CAFF4F" w14:textId="3AC0165D" w:rsidR="007A5478" w:rsidRPr="00394D9A" w:rsidRDefault="007A5478" w:rsidP="00187D17">
            <w:pPr>
              <w:widowControl w:val="0"/>
              <w:tabs>
                <w:tab w:val="clear" w:pos="284"/>
              </w:tabs>
              <w:autoSpaceDE w:val="0"/>
              <w:autoSpaceDN w:val="0"/>
              <w:jc w:val="center"/>
              <w:rPr>
                <w:b/>
                <w:szCs w:val="22"/>
                <w:lang w:val="sr-Latn-RS"/>
              </w:rPr>
            </w:pPr>
            <w:r w:rsidRPr="00394D9A">
              <w:rPr>
                <w:b/>
                <w:szCs w:val="22"/>
                <w:lang w:val="sr-Latn-RS"/>
              </w:rPr>
              <w:t>Kombinacija</w:t>
            </w:r>
            <w:r w:rsidRPr="00394D9A">
              <w:rPr>
                <w:b/>
                <w:spacing w:val="-14"/>
                <w:szCs w:val="22"/>
                <w:lang w:val="sr-Latn-RS"/>
              </w:rPr>
              <w:t xml:space="preserve"> </w:t>
            </w:r>
            <w:r w:rsidRPr="00394D9A">
              <w:rPr>
                <w:b/>
                <w:szCs w:val="22"/>
                <w:lang w:val="sr-Latn-RS"/>
              </w:rPr>
              <w:t>t</w:t>
            </w:r>
            <w:r w:rsidR="00C521B7" w:rsidRPr="00394D9A">
              <w:rPr>
                <w:b/>
                <w:szCs w:val="22"/>
                <w:lang w:val="sr-Latn-RS"/>
              </w:rPr>
              <w:t>j</w:t>
            </w:r>
            <w:r w:rsidRPr="00394D9A">
              <w:rPr>
                <w:b/>
                <w:szCs w:val="22"/>
                <w:lang w:val="sr-Latn-RS"/>
              </w:rPr>
              <w:t>elesna</w:t>
            </w:r>
            <w:r w:rsidRPr="00394D9A">
              <w:rPr>
                <w:b/>
                <w:spacing w:val="-8"/>
                <w:szCs w:val="22"/>
                <w:lang w:val="sr-Latn-RS"/>
              </w:rPr>
              <w:t xml:space="preserve"> </w:t>
            </w:r>
            <w:r w:rsidRPr="00394D9A">
              <w:rPr>
                <w:b/>
                <w:szCs w:val="22"/>
                <w:lang w:val="sr-Latn-RS"/>
              </w:rPr>
              <w:t>masa/starosna</w:t>
            </w:r>
            <w:r w:rsidRPr="00394D9A">
              <w:rPr>
                <w:b/>
                <w:spacing w:val="-11"/>
                <w:szCs w:val="22"/>
                <w:lang w:val="sr-Latn-RS"/>
              </w:rPr>
              <w:t xml:space="preserve"> </w:t>
            </w:r>
            <w:r w:rsidRPr="00394D9A">
              <w:rPr>
                <w:b/>
                <w:spacing w:val="-5"/>
                <w:szCs w:val="22"/>
                <w:lang w:val="sr-Latn-RS"/>
              </w:rPr>
              <w:t>dob</w:t>
            </w:r>
          </w:p>
        </w:tc>
        <w:tc>
          <w:tcPr>
            <w:tcW w:w="2059" w:type="dxa"/>
            <w:vMerge w:val="restart"/>
          </w:tcPr>
          <w:p w14:paraId="6847DE7C" w14:textId="77777777" w:rsidR="00E34D3B" w:rsidRPr="00394D9A" w:rsidRDefault="007A5478" w:rsidP="00187D17">
            <w:pPr>
              <w:widowControl w:val="0"/>
              <w:tabs>
                <w:tab w:val="clear" w:pos="284"/>
              </w:tabs>
              <w:autoSpaceDE w:val="0"/>
              <w:autoSpaceDN w:val="0"/>
              <w:jc w:val="center"/>
              <w:rPr>
                <w:b/>
                <w:szCs w:val="22"/>
                <w:lang w:val="sr-Latn-RS"/>
              </w:rPr>
            </w:pPr>
            <w:r w:rsidRPr="00394D9A">
              <w:rPr>
                <w:b/>
                <w:szCs w:val="22"/>
                <w:lang w:val="sr-Latn-RS"/>
              </w:rPr>
              <w:t>Jednokratna</w:t>
            </w:r>
            <w:r w:rsidRPr="00394D9A">
              <w:rPr>
                <w:b/>
                <w:spacing w:val="-14"/>
                <w:szCs w:val="22"/>
                <w:lang w:val="sr-Latn-RS"/>
              </w:rPr>
              <w:t xml:space="preserve"> </w:t>
            </w:r>
            <w:r w:rsidRPr="00394D9A">
              <w:rPr>
                <w:b/>
                <w:szCs w:val="22"/>
                <w:lang w:val="sr-Latn-RS"/>
              </w:rPr>
              <w:t>doza</w:t>
            </w:r>
          </w:p>
          <w:p w14:paraId="6DB13CC2" w14:textId="10E42843" w:rsidR="007A5478" w:rsidRPr="00394D9A" w:rsidRDefault="007A5478" w:rsidP="00187D17">
            <w:pPr>
              <w:widowControl w:val="0"/>
              <w:tabs>
                <w:tab w:val="clear" w:pos="284"/>
              </w:tabs>
              <w:autoSpaceDE w:val="0"/>
              <w:autoSpaceDN w:val="0"/>
              <w:jc w:val="center"/>
              <w:rPr>
                <w:b/>
                <w:szCs w:val="22"/>
                <w:lang w:val="sr-Latn-RS"/>
              </w:rPr>
            </w:pPr>
            <w:r w:rsidRPr="00394D9A">
              <w:rPr>
                <w:b/>
                <w:szCs w:val="22"/>
                <w:lang w:val="sr-Latn-RS"/>
              </w:rPr>
              <w:t>u mg</w:t>
            </w:r>
          </w:p>
        </w:tc>
        <w:tc>
          <w:tcPr>
            <w:tcW w:w="2407" w:type="dxa"/>
            <w:vMerge w:val="restart"/>
          </w:tcPr>
          <w:p w14:paraId="4342EE10" w14:textId="77777777" w:rsidR="00E34D3B" w:rsidRPr="00394D9A" w:rsidRDefault="007A5478" w:rsidP="00187D17">
            <w:pPr>
              <w:widowControl w:val="0"/>
              <w:tabs>
                <w:tab w:val="clear" w:pos="284"/>
              </w:tabs>
              <w:autoSpaceDE w:val="0"/>
              <w:autoSpaceDN w:val="0"/>
              <w:jc w:val="center"/>
              <w:rPr>
                <w:b/>
                <w:szCs w:val="22"/>
                <w:lang w:val="sr-Latn-RS"/>
              </w:rPr>
            </w:pPr>
            <w:r w:rsidRPr="00394D9A">
              <w:rPr>
                <w:b/>
                <w:szCs w:val="22"/>
                <w:lang w:val="sr-Latn-RS"/>
              </w:rPr>
              <w:t>Ukupna</w:t>
            </w:r>
            <w:r w:rsidRPr="00394D9A">
              <w:rPr>
                <w:b/>
                <w:spacing w:val="-14"/>
                <w:szCs w:val="22"/>
                <w:lang w:val="sr-Latn-RS"/>
              </w:rPr>
              <w:t xml:space="preserve"> </w:t>
            </w:r>
            <w:r w:rsidRPr="00394D9A">
              <w:rPr>
                <w:b/>
                <w:szCs w:val="22"/>
                <w:lang w:val="sr-Latn-RS"/>
              </w:rPr>
              <w:t>dnevna</w:t>
            </w:r>
            <w:r w:rsidRPr="00394D9A">
              <w:rPr>
                <w:b/>
                <w:spacing w:val="-14"/>
                <w:szCs w:val="22"/>
                <w:lang w:val="sr-Latn-RS"/>
              </w:rPr>
              <w:t xml:space="preserve"> </w:t>
            </w:r>
            <w:r w:rsidRPr="00394D9A">
              <w:rPr>
                <w:b/>
                <w:szCs w:val="22"/>
                <w:lang w:val="sr-Latn-RS"/>
              </w:rPr>
              <w:t>doza</w:t>
            </w:r>
          </w:p>
          <w:p w14:paraId="4374CE1F" w14:textId="1BE93A0E" w:rsidR="007A5478" w:rsidRPr="00394D9A" w:rsidRDefault="007A5478" w:rsidP="00187D17">
            <w:pPr>
              <w:widowControl w:val="0"/>
              <w:tabs>
                <w:tab w:val="clear" w:pos="284"/>
              </w:tabs>
              <w:autoSpaceDE w:val="0"/>
              <w:autoSpaceDN w:val="0"/>
              <w:jc w:val="center"/>
              <w:rPr>
                <w:b/>
                <w:szCs w:val="22"/>
                <w:lang w:val="sr-Latn-RS"/>
              </w:rPr>
            </w:pPr>
            <w:r w:rsidRPr="00394D9A">
              <w:rPr>
                <w:b/>
                <w:szCs w:val="22"/>
                <w:lang w:val="sr-Latn-RS"/>
              </w:rPr>
              <w:t>u mg</w:t>
            </w:r>
          </w:p>
        </w:tc>
      </w:tr>
      <w:tr w:rsidR="007A5478" w:rsidRPr="00394D9A" w14:paraId="626D71ED" w14:textId="77777777" w:rsidTr="00DF17BA">
        <w:tc>
          <w:tcPr>
            <w:tcW w:w="2575" w:type="dxa"/>
          </w:tcPr>
          <w:p w14:paraId="6C0C2F65" w14:textId="2E00E78C" w:rsidR="007A5478" w:rsidRPr="00394D9A" w:rsidRDefault="007A5478" w:rsidP="00187D17">
            <w:pPr>
              <w:widowControl w:val="0"/>
              <w:tabs>
                <w:tab w:val="clear" w:pos="284"/>
              </w:tabs>
              <w:autoSpaceDE w:val="0"/>
              <w:autoSpaceDN w:val="0"/>
              <w:jc w:val="center"/>
              <w:rPr>
                <w:b/>
                <w:szCs w:val="22"/>
                <w:lang w:val="sr-Latn-RS"/>
              </w:rPr>
            </w:pPr>
            <w:r w:rsidRPr="00394D9A">
              <w:rPr>
                <w:b/>
                <w:szCs w:val="22"/>
                <w:lang w:val="sr-Latn-RS"/>
              </w:rPr>
              <w:t>T</w:t>
            </w:r>
            <w:r w:rsidR="00C521B7" w:rsidRPr="00394D9A">
              <w:rPr>
                <w:b/>
                <w:szCs w:val="22"/>
                <w:lang w:val="sr-Latn-RS"/>
              </w:rPr>
              <w:t>j</w:t>
            </w:r>
            <w:r w:rsidRPr="00394D9A">
              <w:rPr>
                <w:b/>
                <w:szCs w:val="22"/>
                <w:lang w:val="sr-Latn-RS"/>
              </w:rPr>
              <w:t>elesna masa</w:t>
            </w:r>
            <w:r w:rsidRPr="00394D9A">
              <w:rPr>
                <w:b/>
                <w:spacing w:val="-11"/>
                <w:szCs w:val="22"/>
                <w:lang w:val="sr-Latn-RS"/>
              </w:rPr>
              <w:t xml:space="preserve"> </w:t>
            </w:r>
            <w:r w:rsidRPr="00394D9A">
              <w:rPr>
                <w:b/>
                <w:szCs w:val="22"/>
                <w:lang w:val="sr-Latn-RS"/>
              </w:rPr>
              <w:t>u</w:t>
            </w:r>
            <w:r w:rsidRPr="00394D9A">
              <w:rPr>
                <w:b/>
                <w:spacing w:val="-1"/>
                <w:szCs w:val="22"/>
                <w:lang w:val="sr-Latn-RS"/>
              </w:rPr>
              <w:t xml:space="preserve"> </w:t>
            </w:r>
            <w:r w:rsidRPr="00394D9A">
              <w:rPr>
                <w:b/>
                <w:spacing w:val="-5"/>
                <w:szCs w:val="22"/>
                <w:lang w:val="sr-Latn-RS"/>
              </w:rPr>
              <w:t>kg</w:t>
            </w:r>
          </w:p>
        </w:tc>
        <w:tc>
          <w:tcPr>
            <w:tcW w:w="2020" w:type="dxa"/>
          </w:tcPr>
          <w:p w14:paraId="2A831C1F" w14:textId="77777777" w:rsidR="007A5478" w:rsidRPr="00394D9A" w:rsidRDefault="007A5478" w:rsidP="00187D17">
            <w:pPr>
              <w:widowControl w:val="0"/>
              <w:tabs>
                <w:tab w:val="clear" w:pos="284"/>
              </w:tabs>
              <w:autoSpaceDE w:val="0"/>
              <w:autoSpaceDN w:val="0"/>
              <w:jc w:val="center"/>
              <w:rPr>
                <w:b/>
                <w:szCs w:val="22"/>
                <w:lang w:val="sr-Latn-RS"/>
              </w:rPr>
            </w:pPr>
            <w:r w:rsidRPr="00394D9A">
              <w:rPr>
                <w:b/>
                <w:szCs w:val="22"/>
                <w:lang w:val="sr-Latn-RS"/>
              </w:rPr>
              <w:t>Starosna</w:t>
            </w:r>
            <w:r w:rsidRPr="00394D9A">
              <w:rPr>
                <w:b/>
                <w:spacing w:val="-8"/>
                <w:szCs w:val="22"/>
                <w:lang w:val="sr-Latn-RS"/>
              </w:rPr>
              <w:t xml:space="preserve"> </w:t>
            </w:r>
            <w:r w:rsidRPr="00394D9A">
              <w:rPr>
                <w:b/>
                <w:szCs w:val="22"/>
                <w:lang w:val="sr-Latn-RS"/>
              </w:rPr>
              <w:t>dob</w:t>
            </w:r>
            <w:r w:rsidRPr="00394D9A">
              <w:rPr>
                <w:b/>
                <w:spacing w:val="-7"/>
                <w:szCs w:val="22"/>
                <w:lang w:val="sr-Latn-RS"/>
              </w:rPr>
              <w:t xml:space="preserve"> </w:t>
            </w:r>
            <w:r w:rsidRPr="00394D9A">
              <w:rPr>
                <w:b/>
                <w:spacing w:val="-10"/>
                <w:szCs w:val="22"/>
                <w:lang w:val="sr-Latn-RS"/>
              </w:rPr>
              <w:t>u</w:t>
            </w:r>
          </w:p>
          <w:p w14:paraId="02DA906E" w14:textId="77777777" w:rsidR="007A5478" w:rsidRPr="00394D9A" w:rsidRDefault="007A5478" w:rsidP="00187D17">
            <w:pPr>
              <w:widowControl w:val="0"/>
              <w:tabs>
                <w:tab w:val="clear" w:pos="284"/>
              </w:tabs>
              <w:autoSpaceDE w:val="0"/>
              <w:autoSpaceDN w:val="0"/>
              <w:jc w:val="center"/>
              <w:rPr>
                <w:b/>
                <w:szCs w:val="22"/>
                <w:lang w:val="sr-Latn-RS"/>
              </w:rPr>
            </w:pPr>
            <w:r w:rsidRPr="00394D9A">
              <w:rPr>
                <w:b/>
                <w:spacing w:val="-2"/>
                <w:szCs w:val="22"/>
                <w:lang w:val="sr-Latn-RS"/>
              </w:rPr>
              <w:t>godinama</w:t>
            </w:r>
          </w:p>
        </w:tc>
        <w:tc>
          <w:tcPr>
            <w:tcW w:w="2059" w:type="dxa"/>
            <w:vMerge/>
            <w:tcBorders>
              <w:top w:val="nil"/>
            </w:tcBorders>
          </w:tcPr>
          <w:p w14:paraId="15E38429" w14:textId="77777777" w:rsidR="007A5478" w:rsidRPr="00394D9A" w:rsidRDefault="007A5478" w:rsidP="00187D17">
            <w:pPr>
              <w:widowControl w:val="0"/>
              <w:tabs>
                <w:tab w:val="clear" w:pos="284"/>
              </w:tabs>
              <w:autoSpaceDE w:val="0"/>
              <w:autoSpaceDN w:val="0"/>
              <w:jc w:val="center"/>
              <w:rPr>
                <w:szCs w:val="22"/>
                <w:lang w:val="sr-Latn-RS"/>
              </w:rPr>
            </w:pPr>
          </w:p>
        </w:tc>
        <w:tc>
          <w:tcPr>
            <w:tcW w:w="2407" w:type="dxa"/>
            <w:vMerge/>
            <w:tcBorders>
              <w:top w:val="nil"/>
            </w:tcBorders>
          </w:tcPr>
          <w:p w14:paraId="5451D537" w14:textId="77777777" w:rsidR="007A5478" w:rsidRPr="00394D9A" w:rsidRDefault="007A5478" w:rsidP="00187D17">
            <w:pPr>
              <w:widowControl w:val="0"/>
              <w:tabs>
                <w:tab w:val="clear" w:pos="284"/>
              </w:tabs>
              <w:autoSpaceDE w:val="0"/>
              <w:autoSpaceDN w:val="0"/>
              <w:jc w:val="center"/>
              <w:rPr>
                <w:szCs w:val="22"/>
                <w:lang w:val="sr-Latn-RS"/>
              </w:rPr>
            </w:pPr>
          </w:p>
        </w:tc>
      </w:tr>
      <w:tr w:rsidR="007A5478" w:rsidRPr="00394D9A" w14:paraId="4D6AFC07" w14:textId="77777777" w:rsidTr="00DF17BA">
        <w:tc>
          <w:tcPr>
            <w:tcW w:w="2575" w:type="dxa"/>
          </w:tcPr>
          <w:p w14:paraId="1BB86DDD" w14:textId="77777777" w:rsidR="007A5478" w:rsidRPr="00394D9A" w:rsidRDefault="007A5478" w:rsidP="00187D17">
            <w:pPr>
              <w:widowControl w:val="0"/>
              <w:tabs>
                <w:tab w:val="clear" w:pos="284"/>
              </w:tabs>
              <w:autoSpaceDE w:val="0"/>
              <w:autoSpaceDN w:val="0"/>
              <w:jc w:val="left"/>
              <w:rPr>
                <w:szCs w:val="22"/>
                <w:lang w:val="sr-Latn-RS"/>
              </w:rPr>
            </w:pPr>
            <w:r w:rsidRPr="00394D9A">
              <w:rPr>
                <w:szCs w:val="22"/>
                <w:lang w:val="sr-Latn-RS"/>
              </w:rPr>
              <w:t>11 do</w:t>
            </w:r>
            <w:r w:rsidRPr="00394D9A">
              <w:rPr>
                <w:spacing w:val="-5"/>
                <w:szCs w:val="22"/>
                <w:lang w:val="sr-Latn-RS"/>
              </w:rPr>
              <w:t xml:space="preserve"> </w:t>
            </w:r>
            <w:r w:rsidRPr="00394D9A">
              <w:rPr>
                <w:szCs w:val="22"/>
                <w:lang w:val="sr-Latn-RS"/>
              </w:rPr>
              <w:t>&lt;</w:t>
            </w:r>
            <w:r w:rsidRPr="00394D9A">
              <w:rPr>
                <w:spacing w:val="1"/>
                <w:szCs w:val="22"/>
                <w:lang w:val="sr-Latn-RS"/>
              </w:rPr>
              <w:t xml:space="preserve"> </w:t>
            </w:r>
            <w:r w:rsidRPr="00394D9A">
              <w:rPr>
                <w:spacing w:val="-5"/>
                <w:szCs w:val="22"/>
                <w:lang w:val="sr-Latn-RS"/>
              </w:rPr>
              <w:t>13</w:t>
            </w:r>
          </w:p>
        </w:tc>
        <w:tc>
          <w:tcPr>
            <w:tcW w:w="2020" w:type="dxa"/>
          </w:tcPr>
          <w:p w14:paraId="0D5B65D2" w14:textId="77777777" w:rsidR="007A5478" w:rsidRPr="00394D9A" w:rsidRDefault="007A5478" w:rsidP="00187D17">
            <w:pPr>
              <w:widowControl w:val="0"/>
              <w:tabs>
                <w:tab w:val="clear" w:pos="284"/>
              </w:tabs>
              <w:autoSpaceDE w:val="0"/>
              <w:autoSpaceDN w:val="0"/>
              <w:jc w:val="left"/>
              <w:rPr>
                <w:szCs w:val="22"/>
                <w:lang w:val="sr-Latn-RS"/>
              </w:rPr>
            </w:pPr>
            <w:r w:rsidRPr="00394D9A">
              <w:rPr>
                <w:szCs w:val="22"/>
                <w:lang w:val="sr-Latn-RS"/>
              </w:rPr>
              <w:t>8 do</w:t>
            </w:r>
            <w:r w:rsidRPr="00394D9A">
              <w:rPr>
                <w:spacing w:val="-5"/>
                <w:szCs w:val="22"/>
                <w:lang w:val="sr-Latn-RS"/>
              </w:rPr>
              <w:t xml:space="preserve"> </w:t>
            </w:r>
            <w:r w:rsidRPr="00394D9A">
              <w:rPr>
                <w:szCs w:val="22"/>
                <w:lang w:val="sr-Latn-RS"/>
              </w:rPr>
              <w:t>&lt;</w:t>
            </w:r>
            <w:r w:rsidRPr="00394D9A">
              <w:rPr>
                <w:spacing w:val="1"/>
                <w:szCs w:val="22"/>
                <w:lang w:val="sr-Latn-RS"/>
              </w:rPr>
              <w:t xml:space="preserve"> </w:t>
            </w:r>
            <w:r w:rsidRPr="00394D9A">
              <w:rPr>
                <w:spacing w:val="-10"/>
                <w:szCs w:val="22"/>
                <w:lang w:val="sr-Latn-RS"/>
              </w:rPr>
              <w:t>9</w:t>
            </w:r>
          </w:p>
        </w:tc>
        <w:tc>
          <w:tcPr>
            <w:tcW w:w="2059" w:type="dxa"/>
          </w:tcPr>
          <w:p w14:paraId="065DD50D" w14:textId="77777777" w:rsidR="007A5478" w:rsidRPr="00394D9A" w:rsidRDefault="007A5478" w:rsidP="00187D17">
            <w:pPr>
              <w:widowControl w:val="0"/>
              <w:tabs>
                <w:tab w:val="clear" w:pos="284"/>
              </w:tabs>
              <w:autoSpaceDE w:val="0"/>
              <w:autoSpaceDN w:val="0"/>
              <w:jc w:val="center"/>
              <w:rPr>
                <w:szCs w:val="22"/>
                <w:lang w:val="sr-Latn-RS"/>
              </w:rPr>
            </w:pPr>
            <w:r w:rsidRPr="00394D9A">
              <w:rPr>
                <w:spacing w:val="-5"/>
                <w:szCs w:val="22"/>
                <w:lang w:val="sr-Latn-RS"/>
              </w:rPr>
              <w:t>75</w:t>
            </w:r>
          </w:p>
        </w:tc>
        <w:tc>
          <w:tcPr>
            <w:tcW w:w="2407" w:type="dxa"/>
          </w:tcPr>
          <w:p w14:paraId="58C30A32" w14:textId="77777777" w:rsidR="007A5478" w:rsidRPr="00394D9A" w:rsidRDefault="007A5478" w:rsidP="00187D17">
            <w:pPr>
              <w:widowControl w:val="0"/>
              <w:tabs>
                <w:tab w:val="clear" w:pos="284"/>
              </w:tabs>
              <w:autoSpaceDE w:val="0"/>
              <w:autoSpaceDN w:val="0"/>
              <w:jc w:val="center"/>
              <w:rPr>
                <w:szCs w:val="22"/>
                <w:lang w:val="sr-Latn-RS"/>
              </w:rPr>
            </w:pPr>
            <w:r w:rsidRPr="00394D9A">
              <w:rPr>
                <w:spacing w:val="-5"/>
                <w:szCs w:val="22"/>
                <w:lang w:val="sr-Latn-RS"/>
              </w:rPr>
              <w:t>150</w:t>
            </w:r>
          </w:p>
        </w:tc>
      </w:tr>
      <w:tr w:rsidR="007A5478" w:rsidRPr="00394D9A" w14:paraId="69753267" w14:textId="77777777" w:rsidTr="00DF17BA">
        <w:tc>
          <w:tcPr>
            <w:tcW w:w="2575" w:type="dxa"/>
          </w:tcPr>
          <w:p w14:paraId="1C53668C" w14:textId="77777777" w:rsidR="007A5478" w:rsidRPr="00394D9A" w:rsidRDefault="007A5478" w:rsidP="00187D17">
            <w:pPr>
              <w:widowControl w:val="0"/>
              <w:tabs>
                <w:tab w:val="clear" w:pos="284"/>
              </w:tabs>
              <w:autoSpaceDE w:val="0"/>
              <w:autoSpaceDN w:val="0"/>
              <w:jc w:val="left"/>
              <w:rPr>
                <w:szCs w:val="22"/>
                <w:lang w:val="sr-Latn-RS"/>
              </w:rPr>
            </w:pPr>
            <w:r w:rsidRPr="00394D9A">
              <w:rPr>
                <w:szCs w:val="22"/>
                <w:lang w:val="sr-Latn-RS"/>
              </w:rPr>
              <w:t>13 do</w:t>
            </w:r>
            <w:r w:rsidRPr="00394D9A">
              <w:rPr>
                <w:spacing w:val="-5"/>
                <w:szCs w:val="22"/>
                <w:lang w:val="sr-Latn-RS"/>
              </w:rPr>
              <w:t xml:space="preserve"> </w:t>
            </w:r>
            <w:r w:rsidRPr="00394D9A">
              <w:rPr>
                <w:szCs w:val="22"/>
                <w:lang w:val="sr-Latn-RS"/>
              </w:rPr>
              <w:t>&lt;</w:t>
            </w:r>
            <w:r w:rsidRPr="00394D9A">
              <w:rPr>
                <w:spacing w:val="1"/>
                <w:szCs w:val="22"/>
                <w:lang w:val="sr-Latn-RS"/>
              </w:rPr>
              <w:t xml:space="preserve"> </w:t>
            </w:r>
            <w:r w:rsidRPr="00394D9A">
              <w:rPr>
                <w:spacing w:val="-5"/>
                <w:szCs w:val="22"/>
                <w:lang w:val="sr-Latn-RS"/>
              </w:rPr>
              <w:t>16</w:t>
            </w:r>
          </w:p>
        </w:tc>
        <w:tc>
          <w:tcPr>
            <w:tcW w:w="2020" w:type="dxa"/>
          </w:tcPr>
          <w:p w14:paraId="4691BFB5" w14:textId="77777777" w:rsidR="007A5478" w:rsidRPr="00394D9A" w:rsidRDefault="007A5478" w:rsidP="00187D17">
            <w:pPr>
              <w:widowControl w:val="0"/>
              <w:tabs>
                <w:tab w:val="clear" w:pos="284"/>
              </w:tabs>
              <w:autoSpaceDE w:val="0"/>
              <w:autoSpaceDN w:val="0"/>
              <w:jc w:val="left"/>
              <w:rPr>
                <w:szCs w:val="22"/>
                <w:lang w:val="sr-Latn-RS"/>
              </w:rPr>
            </w:pPr>
            <w:r w:rsidRPr="00394D9A">
              <w:rPr>
                <w:szCs w:val="22"/>
                <w:lang w:val="sr-Latn-RS"/>
              </w:rPr>
              <w:t>8 do</w:t>
            </w:r>
            <w:r w:rsidRPr="00394D9A">
              <w:rPr>
                <w:spacing w:val="-5"/>
                <w:szCs w:val="22"/>
                <w:lang w:val="sr-Latn-RS"/>
              </w:rPr>
              <w:t xml:space="preserve"> </w:t>
            </w:r>
            <w:r w:rsidRPr="00394D9A">
              <w:rPr>
                <w:szCs w:val="22"/>
                <w:lang w:val="sr-Latn-RS"/>
              </w:rPr>
              <w:t>&lt;</w:t>
            </w:r>
            <w:r w:rsidRPr="00394D9A">
              <w:rPr>
                <w:spacing w:val="1"/>
                <w:szCs w:val="22"/>
                <w:lang w:val="sr-Latn-RS"/>
              </w:rPr>
              <w:t xml:space="preserve"> </w:t>
            </w:r>
            <w:r w:rsidRPr="00394D9A">
              <w:rPr>
                <w:spacing w:val="-5"/>
                <w:szCs w:val="22"/>
                <w:lang w:val="sr-Latn-RS"/>
              </w:rPr>
              <w:t>11</w:t>
            </w:r>
          </w:p>
        </w:tc>
        <w:tc>
          <w:tcPr>
            <w:tcW w:w="2059" w:type="dxa"/>
          </w:tcPr>
          <w:p w14:paraId="60745B18" w14:textId="77777777" w:rsidR="007A5478" w:rsidRPr="00394D9A" w:rsidRDefault="007A5478" w:rsidP="00187D17">
            <w:pPr>
              <w:widowControl w:val="0"/>
              <w:tabs>
                <w:tab w:val="clear" w:pos="284"/>
              </w:tabs>
              <w:autoSpaceDE w:val="0"/>
              <w:autoSpaceDN w:val="0"/>
              <w:jc w:val="center"/>
              <w:rPr>
                <w:szCs w:val="22"/>
                <w:lang w:val="sr-Latn-RS"/>
              </w:rPr>
            </w:pPr>
            <w:r w:rsidRPr="00394D9A">
              <w:rPr>
                <w:spacing w:val="-5"/>
                <w:szCs w:val="22"/>
                <w:lang w:val="sr-Latn-RS"/>
              </w:rPr>
              <w:t>110</w:t>
            </w:r>
          </w:p>
        </w:tc>
        <w:tc>
          <w:tcPr>
            <w:tcW w:w="2407" w:type="dxa"/>
          </w:tcPr>
          <w:p w14:paraId="6AD7877A" w14:textId="77777777" w:rsidR="007A5478" w:rsidRPr="00394D9A" w:rsidRDefault="007A5478" w:rsidP="00187D17">
            <w:pPr>
              <w:widowControl w:val="0"/>
              <w:tabs>
                <w:tab w:val="clear" w:pos="284"/>
              </w:tabs>
              <w:autoSpaceDE w:val="0"/>
              <w:autoSpaceDN w:val="0"/>
              <w:jc w:val="center"/>
              <w:rPr>
                <w:szCs w:val="22"/>
                <w:lang w:val="sr-Latn-RS"/>
              </w:rPr>
            </w:pPr>
            <w:r w:rsidRPr="00394D9A">
              <w:rPr>
                <w:spacing w:val="-5"/>
                <w:szCs w:val="22"/>
                <w:lang w:val="sr-Latn-RS"/>
              </w:rPr>
              <w:t>220</w:t>
            </w:r>
          </w:p>
        </w:tc>
      </w:tr>
      <w:tr w:rsidR="007A5478" w:rsidRPr="00394D9A" w14:paraId="797602C7" w14:textId="77777777" w:rsidTr="00DF17BA">
        <w:tc>
          <w:tcPr>
            <w:tcW w:w="2575" w:type="dxa"/>
          </w:tcPr>
          <w:p w14:paraId="501B8696" w14:textId="77777777" w:rsidR="007A5478" w:rsidRPr="00394D9A" w:rsidRDefault="007A5478" w:rsidP="00187D17">
            <w:pPr>
              <w:widowControl w:val="0"/>
              <w:tabs>
                <w:tab w:val="clear" w:pos="284"/>
              </w:tabs>
              <w:autoSpaceDE w:val="0"/>
              <w:autoSpaceDN w:val="0"/>
              <w:jc w:val="left"/>
              <w:rPr>
                <w:szCs w:val="22"/>
                <w:lang w:val="sr-Latn-RS"/>
              </w:rPr>
            </w:pPr>
            <w:r w:rsidRPr="00394D9A">
              <w:rPr>
                <w:szCs w:val="22"/>
                <w:lang w:val="sr-Latn-RS"/>
              </w:rPr>
              <w:t>16 do</w:t>
            </w:r>
            <w:r w:rsidRPr="00394D9A">
              <w:rPr>
                <w:spacing w:val="-5"/>
                <w:szCs w:val="22"/>
                <w:lang w:val="sr-Latn-RS"/>
              </w:rPr>
              <w:t xml:space="preserve"> </w:t>
            </w:r>
            <w:r w:rsidRPr="00394D9A">
              <w:rPr>
                <w:szCs w:val="22"/>
                <w:lang w:val="sr-Latn-RS"/>
              </w:rPr>
              <w:t>&lt;</w:t>
            </w:r>
            <w:r w:rsidRPr="00394D9A">
              <w:rPr>
                <w:spacing w:val="1"/>
                <w:szCs w:val="22"/>
                <w:lang w:val="sr-Latn-RS"/>
              </w:rPr>
              <w:t xml:space="preserve"> </w:t>
            </w:r>
            <w:r w:rsidRPr="00394D9A">
              <w:rPr>
                <w:spacing w:val="-5"/>
                <w:szCs w:val="22"/>
                <w:lang w:val="sr-Latn-RS"/>
              </w:rPr>
              <w:t>21</w:t>
            </w:r>
          </w:p>
        </w:tc>
        <w:tc>
          <w:tcPr>
            <w:tcW w:w="2020" w:type="dxa"/>
          </w:tcPr>
          <w:p w14:paraId="4B071B48" w14:textId="77777777" w:rsidR="007A5478" w:rsidRPr="00394D9A" w:rsidRDefault="007A5478" w:rsidP="00187D17">
            <w:pPr>
              <w:widowControl w:val="0"/>
              <w:tabs>
                <w:tab w:val="clear" w:pos="284"/>
              </w:tabs>
              <w:autoSpaceDE w:val="0"/>
              <w:autoSpaceDN w:val="0"/>
              <w:jc w:val="left"/>
              <w:rPr>
                <w:szCs w:val="22"/>
                <w:lang w:val="sr-Latn-RS"/>
              </w:rPr>
            </w:pPr>
            <w:r w:rsidRPr="00394D9A">
              <w:rPr>
                <w:szCs w:val="22"/>
                <w:lang w:val="sr-Latn-RS"/>
              </w:rPr>
              <w:t>8 do</w:t>
            </w:r>
            <w:r w:rsidRPr="00394D9A">
              <w:rPr>
                <w:spacing w:val="-5"/>
                <w:szCs w:val="22"/>
                <w:lang w:val="sr-Latn-RS"/>
              </w:rPr>
              <w:t xml:space="preserve"> </w:t>
            </w:r>
            <w:r w:rsidRPr="00394D9A">
              <w:rPr>
                <w:szCs w:val="22"/>
                <w:lang w:val="sr-Latn-RS"/>
              </w:rPr>
              <w:t>&lt;</w:t>
            </w:r>
            <w:r w:rsidRPr="00394D9A">
              <w:rPr>
                <w:spacing w:val="1"/>
                <w:szCs w:val="22"/>
                <w:lang w:val="sr-Latn-RS"/>
              </w:rPr>
              <w:t xml:space="preserve"> </w:t>
            </w:r>
            <w:r w:rsidRPr="00394D9A">
              <w:rPr>
                <w:spacing w:val="-5"/>
                <w:szCs w:val="22"/>
                <w:lang w:val="sr-Latn-RS"/>
              </w:rPr>
              <w:t>14</w:t>
            </w:r>
          </w:p>
        </w:tc>
        <w:tc>
          <w:tcPr>
            <w:tcW w:w="2059" w:type="dxa"/>
          </w:tcPr>
          <w:p w14:paraId="6AAE7D7C" w14:textId="77777777" w:rsidR="007A5478" w:rsidRPr="00394D9A" w:rsidRDefault="007A5478" w:rsidP="00187D17">
            <w:pPr>
              <w:widowControl w:val="0"/>
              <w:tabs>
                <w:tab w:val="clear" w:pos="284"/>
              </w:tabs>
              <w:autoSpaceDE w:val="0"/>
              <w:autoSpaceDN w:val="0"/>
              <w:jc w:val="center"/>
              <w:rPr>
                <w:szCs w:val="22"/>
                <w:lang w:val="sr-Latn-RS"/>
              </w:rPr>
            </w:pPr>
            <w:r w:rsidRPr="00394D9A">
              <w:rPr>
                <w:spacing w:val="-5"/>
                <w:szCs w:val="22"/>
                <w:lang w:val="sr-Latn-RS"/>
              </w:rPr>
              <w:t>110</w:t>
            </w:r>
          </w:p>
        </w:tc>
        <w:tc>
          <w:tcPr>
            <w:tcW w:w="2407" w:type="dxa"/>
          </w:tcPr>
          <w:p w14:paraId="4310E034" w14:textId="77777777" w:rsidR="007A5478" w:rsidRPr="00394D9A" w:rsidRDefault="007A5478" w:rsidP="00187D17">
            <w:pPr>
              <w:widowControl w:val="0"/>
              <w:tabs>
                <w:tab w:val="clear" w:pos="284"/>
              </w:tabs>
              <w:autoSpaceDE w:val="0"/>
              <w:autoSpaceDN w:val="0"/>
              <w:jc w:val="center"/>
              <w:rPr>
                <w:szCs w:val="22"/>
                <w:lang w:val="sr-Latn-RS"/>
              </w:rPr>
            </w:pPr>
            <w:r w:rsidRPr="00394D9A">
              <w:rPr>
                <w:spacing w:val="-5"/>
                <w:szCs w:val="22"/>
                <w:lang w:val="sr-Latn-RS"/>
              </w:rPr>
              <w:t>220</w:t>
            </w:r>
          </w:p>
        </w:tc>
      </w:tr>
      <w:tr w:rsidR="007A5478" w:rsidRPr="00394D9A" w14:paraId="52CEDE8F" w14:textId="77777777" w:rsidTr="00DF17BA">
        <w:tc>
          <w:tcPr>
            <w:tcW w:w="2575" w:type="dxa"/>
          </w:tcPr>
          <w:p w14:paraId="3F558EF8" w14:textId="77777777" w:rsidR="007A5478" w:rsidRPr="00394D9A" w:rsidRDefault="007A5478" w:rsidP="00187D17">
            <w:pPr>
              <w:widowControl w:val="0"/>
              <w:tabs>
                <w:tab w:val="clear" w:pos="284"/>
              </w:tabs>
              <w:autoSpaceDE w:val="0"/>
              <w:autoSpaceDN w:val="0"/>
              <w:jc w:val="left"/>
              <w:rPr>
                <w:szCs w:val="22"/>
                <w:lang w:val="sr-Latn-RS"/>
              </w:rPr>
            </w:pPr>
            <w:r w:rsidRPr="00394D9A">
              <w:rPr>
                <w:szCs w:val="22"/>
                <w:lang w:val="sr-Latn-RS"/>
              </w:rPr>
              <w:t>21 do</w:t>
            </w:r>
            <w:r w:rsidRPr="00394D9A">
              <w:rPr>
                <w:spacing w:val="-5"/>
                <w:szCs w:val="22"/>
                <w:lang w:val="sr-Latn-RS"/>
              </w:rPr>
              <w:t xml:space="preserve"> </w:t>
            </w:r>
            <w:r w:rsidRPr="00394D9A">
              <w:rPr>
                <w:szCs w:val="22"/>
                <w:lang w:val="sr-Latn-RS"/>
              </w:rPr>
              <w:t>&lt;</w:t>
            </w:r>
            <w:r w:rsidRPr="00394D9A">
              <w:rPr>
                <w:spacing w:val="1"/>
                <w:szCs w:val="22"/>
                <w:lang w:val="sr-Latn-RS"/>
              </w:rPr>
              <w:t xml:space="preserve"> </w:t>
            </w:r>
            <w:r w:rsidRPr="00394D9A">
              <w:rPr>
                <w:spacing w:val="-5"/>
                <w:szCs w:val="22"/>
                <w:lang w:val="sr-Latn-RS"/>
              </w:rPr>
              <w:t>26</w:t>
            </w:r>
          </w:p>
        </w:tc>
        <w:tc>
          <w:tcPr>
            <w:tcW w:w="2020" w:type="dxa"/>
          </w:tcPr>
          <w:p w14:paraId="505A918A" w14:textId="77777777" w:rsidR="007A5478" w:rsidRPr="00394D9A" w:rsidRDefault="007A5478" w:rsidP="00187D17">
            <w:pPr>
              <w:widowControl w:val="0"/>
              <w:tabs>
                <w:tab w:val="clear" w:pos="284"/>
              </w:tabs>
              <w:autoSpaceDE w:val="0"/>
              <w:autoSpaceDN w:val="0"/>
              <w:jc w:val="left"/>
              <w:rPr>
                <w:szCs w:val="22"/>
                <w:lang w:val="sr-Latn-RS"/>
              </w:rPr>
            </w:pPr>
            <w:r w:rsidRPr="00394D9A">
              <w:rPr>
                <w:szCs w:val="22"/>
                <w:lang w:val="sr-Latn-RS"/>
              </w:rPr>
              <w:t>8 do</w:t>
            </w:r>
            <w:r w:rsidRPr="00394D9A">
              <w:rPr>
                <w:spacing w:val="-5"/>
                <w:szCs w:val="22"/>
                <w:lang w:val="sr-Latn-RS"/>
              </w:rPr>
              <w:t xml:space="preserve"> </w:t>
            </w:r>
            <w:r w:rsidRPr="00394D9A">
              <w:rPr>
                <w:szCs w:val="22"/>
                <w:lang w:val="sr-Latn-RS"/>
              </w:rPr>
              <w:t>&lt;</w:t>
            </w:r>
            <w:r w:rsidRPr="00394D9A">
              <w:rPr>
                <w:spacing w:val="1"/>
                <w:szCs w:val="22"/>
                <w:lang w:val="sr-Latn-RS"/>
              </w:rPr>
              <w:t xml:space="preserve"> </w:t>
            </w:r>
            <w:r w:rsidRPr="00394D9A">
              <w:rPr>
                <w:spacing w:val="-5"/>
                <w:szCs w:val="22"/>
                <w:lang w:val="sr-Latn-RS"/>
              </w:rPr>
              <w:t>16</w:t>
            </w:r>
          </w:p>
        </w:tc>
        <w:tc>
          <w:tcPr>
            <w:tcW w:w="2059" w:type="dxa"/>
          </w:tcPr>
          <w:p w14:paraId="3D8E45FB" w14:textId="77777777" w:rsidR="007A5478" w:rsidRPr="00394D9A" w:rsidRDefault="007A5478" w:rsidP="00187D17">
            <w:pPr>
              <w:widowControl w:val="0"/>
              <w:tabs>
                <w:tab w:val="clear" w:pos="284"/>
              </w:tabs>
              <w:autoSpaceDE w:val="0"/>
              <w:autoSpaceDN w:val="0"/>
              <w:jc w:val="center"/>
              <w:rPr>
                <w:szCs w:val="22"/>
                <w:lang w:val="sr-Latn-RS"/>
              </w:rPr>
            </w:pPr>
            <w:r w:rsidRPr="00394D9A">
              <w:rPr>
                <w:spacing w:val="-5"/>
                <w:szCs w:val="22"/>
                <w:lang w:val="sr-Latn-RS"/>
              </w:rPr>
              <w:t>150</w:t>
            </w:r>
          </w:p>
        </w:tc>
        <w:tc>
          <w:tcPr>
            <w:tcW w:w="2407" w:type="dxa"/>
          </w:tcPr>
          <w:p w14:paraId="161F88C6" w14:textId="77777777" w:rsidR="007A5478" w:rsidRPr="00394D9A" w:rsidRDefault="007A5478" w:rsidP="00187D17">
            <w:pPr>
              <w:widowControl w:val="0"/>
              <w:tabs>
                <w:tab w:val="clear" w:pos="284"/>
              </w:tabs>
              <w:autoSpaceDE w:val="0"/>
              <w:autoSpaceDN w:val="0"/>
              <w:jc w:val="center"/>
              <w:rPr>
                <w:szCs w:val="22"/>
                <w:lang w:val="sr-Latn-RS"/>
              </w:rPr>
            </w:pPr>
            <w:r w:rsidRPr="00394D9A">
              <w:rPr>
                <w:spacing w:val="-5"/>
                <w:szCs w:val="22"/>
                <w:lang w:val="sr-Latn-RS"/>
              </w:rPr>
              <w:t>300</w:t>
            </w:r>
          </w:p>
        </w:tc>
      </w:tr>
      <w:tr w:rsidR="007A5478" w:rsidRPr="00394D9A" w14:paraId="355C923F" w14:textId="77777777" w:rsidTr="00DF17BA">
        <w:tc>
          <w:tcPr>
            <w:tcW w:w="2575" w:type="dxa"/>
          </w:tcPr>
          <w:p w14:paraId="653CEA7D" w14:textId="77777777" w:rsidR="007A5478" w:rsidRPr="00394D9A" w:rsidRDefault="007A5478" w:rsidP="00187D17">
            <w:pPr>
              <w:widowControl w:val="0"/>
              <w:tabs>
                <w:tab w:val="clear" w:pos="284"/>
              </w:tabs>
              <w:autoSpaceDE w:val="0"/>
              <w:autoSpaceDN w:val="0"/>
              <w:jc w:val="left"/>
              <w:rPr>
                <w:szCs w:val="22"/>
                <w:lang w:val="sr-Latn-RS"/>
              </w:rPr>
            </w:pPr>
            <w:r w:rsidRPr="00394D9A">
              <w:rPr>
                <w:szCs w:val="22"/>
                <w:lang w:val="sr-Latn-RS"/>
              </w:rPr>
              <w:t>26 do</w:t>
            </w:r>
            <w:r w:rsidRPr="00394D9A">
              <w:rPr>
                <w:spacing w:val="-5"/>
                <w:szCs w:val="22"/>
                <w:lang w:val="sr-Latn-RS"/>
              </w:rPr>
              <w:t xml:space="preserve"> </w:t>
            </w:r>
            <w:r w:rsidRPr="00394D9A">
              <w:rPr>
                <w:szCs w:val="22"/>
                <w:lang w:val="sr-Latn-RS"/>
              </w:rPr>
              <w:t>&lt;</w:t>
            </w:r>
            <w:r w:rsidRPr="00394D9A">
              <w:rPr>
                <w:spacing w:val="1"/>
                <w:szCs w:val="22"/>
                <w:lang w:val="sr-Latn-RS"/>
              </w:rPr>
              <w:t xml:space="preserve"> </w:t>
            </w:r>
            <w:r w:rsidRPr="00394D9A">
              <w:rPr>
                <w:spacing w:val="-5"/>
                <w:szCs w:val="22"/>
                <w:lang w:val="sr-Latn-RS"/>
              </w:rPr>
              <w:t>31</w:t>
            </w:r>
          </w:p>
        </w:tc>
        <w:tc>
          <w:tcPr>
            <w:tcW w:w="2020" w:type="dxa"/>
          </w:tcPr>
          <w:p w14:paraId="6CFCB5BE" w14:textId="77777777" w:rsidR="007A5478" w:rsidRPr="00394D9A" w:rsidRDefault="007A5478" w:rsidP="00187D17">
            <w:pPr>
              <w:widowControl w:val="0"/>
              <w:tabs>
                <w:tab w:val="clear" w:pos="284"/>
              </w:tabs>
              <w:autoSpaceDE w:val="0"/>
              <w:autoSpaceDN w:val="0"/>
              <w:jc w:val="left"/>
              <w:rPr>
                <w:szCs w:val="22"/>
                <w:lang w:val="sr-Latn-RS"/>
              </w:rPr>
            </w:pPr>
            <w:r w:rsidRPr="00394D9A">
              <w:rPr>
                <w:szCs w:val="22"/>
                <w:lang w:val="sr-Latn-RS"/>
              </w:rPr>
              <w:t>8 do</w:t>
            </w:r>
            <w:r w:rsidRPr="00394D9A">
              <w:rPr>
                <w:spacing w:val="-5"/>
                <w:szCs w:val="22"/>
                <w:lang w:val="sr-Latn-RS"/>
              </w:rPr>
              <w:t xml:space="preserve"> </w:t>
            </w:r>
            <w:r w:rsidRPr="00394D9A">
              <w:rPr>
                <w:szCs w:val="22"/>
                <w:lang w:val="sr-Latn-RS"/>
              </w:rPr>
              <w:t>&lt;</w:t>
            </w:r>
            <w:r w:rsidRPr="00394D9A">
              <w:rPr>
                <w:spacing w:val="1"/>
                <w:szCs w:val="22"/>
                <w:lang w:val="sr-Latn-RS"/>
              </w:rPr>
              <w:t xml:space="preserve"> </w:t>
            </w:r>
            <w:r w:rsidRPr="00394D9A">
              <w:rPr>
                <w:spacing w:val="-5"/>
                <w:szCs w:val="22"/>
                <w:lang w:val="sr-Latn-RS"/>
              </w:rPr>
              <w:t>18</w:t>
            </w:r>
          </w:p>
        </w:tc>
        <w:tc>
          <w:tcPr>
            <w:tcW w:w="2059" w:type="dxa"/>
          </w:tcPr>
          <w:p w14:paraId="35D52F4A" w14:textId="77777777" w:rsidR="007A5478" w:rsidRPr="00394D9A" w:rsidRDefault="007A5478" w:rsidP="00187D17">
            <w:pPr>
              <w:widowControl w:val="0"/>
              <w:tabs>
                <w:tab w:val="clear" w:pos="284"/>
              </w:tabs>
              <w:autoSpaceDE w:val="0"/>
              <w:autoSpaceDN w:val="0"/>
              <w:jc w:val="center"/>
              <w:rPr>
                <w:szCs w:val="22"/>
                <w:lang w:val="sr-Latn-RS"/>
              </w:rPr>
            </w:pPr>
            <w:r w:rsidRPr="00394D9A">
              <w:rPr>
                <w:spacing w:val="-5"/>
                <w:szCs w:val="22"/>
                <w:lang w:val="sr-Latn-RS"/>
              </w:rPr>
              <w:t>150</w:t>
            </w:r>
          </w:p>
        </w:tc>
        <w:tc>
          <w:tcPr>
            <w:tcW w:w="2407" w:type="dxa"/>
          </w:tcPr>
          <w:p w14:paraId="4E83E7B3" w14:textId="77777777" w:rsidR="007A5478" w:rsidRPr="00394D9A" w:rsidRDefault="007A5478" w:rsidP="00187D17">
            <w:pPr>
              <w:widowControl w:val="0"/>
              <w:tabs>
                <w:tab w:val="clear" w:pos="284"/>
              </w:tabs>
              <w:autoSpaceDE w:val="0"/>
              <w:autoSpaceDN w:val="0"/>
              <w:jc w:val="center"/>
              <w:rPr>
                <w:szCs w:val="22"/>
                <w:lang w:val="sr-Latn-RS"/>
              </w:rPr>
            </w:pPr>
            <w:r w:rsidRPr="00394D9A">
              <w:rPr>
                <w:spacing w:val="-5"/>
                <w:szCs w:val="22"/>
                <w:lang w:val="sr-Latn-RS"/>
              </w:rPr>
              <w:t>300</w:t>
            </w:r>
          </w:p>
        </w:tc>
      </w:tr>
      <w:tr w:rsidR="007A5478" w:rsidRPr="00394D9A" w14:paraId="248CDB6B" w14:textId="77777777" w:rsidTr="00DF17BA">
        <w:tc>
          <w:tcPr>
            <w:tcW w:w="2575" w:type="dxa"/>
          </w:tcPr>
          <w:p w14:paraId="3B635B05" w14:textId="77777777" w:rsidR="007A5478" w:rsidRPr="00394D9A" w:rsidRDefault="007A5478" w:rsidP="00187D17">
            <w:pPr>
              <w:widowControl w:val="0"/>
              <w:tabs>
                <w:tab w:val="clear" w:pos="284"/>
              </w:tabs>
              <w:autoSpaceDE w:val="0"/>
              <w:autoSpaceDN w:val="0"/>
              <w:jc w:val="left"/>
              <w:rPr>
                <w:szCs w:val="22"/>
                <w:lang w:val="sr-Latn-RS"/>
              </w:rPr>
            </w:pPr>
            <w:r w:rsidRPr="00394D9A">
              <w:rPr>
                <w:szCs w:val="22"/>
                <w:lang w:val="sr-Latn-RS"/>
              </w:rPr>
              <w:t>31 do</w:t>
            </w:r>
            <w:r w:rsidRPr="00394D9A">
              <w:rPr>
                <w:spacing w:val="-5"/>
                <w:szCs w:val="22"/>
                <w:lang w:val="sr-Latn-RS"/>
              </w:rPr>
              <w:t xml:space="preserve"> </w:t>
            </w:r>
            <w:r w:rsidRPr="00394D9A">
              <w:rPr>
                <w:szCs w:val="22"/>
                <w:lang w:val="sr-Latn-RS"/>
              </w:rPr>
              <w:t>&lt;</w:t>
            </w:r>
            <w:r w:rsidRPr="00394D9A">
              <w:rPr>
                <w:spacing w:val="1"/>
                <w:szCs w:val="22"/>
                <w:lang w:val="sr-Latn-RS"/>
              </w:rPr>
              <w:t xml:space="preserve"> </w:t>
            </w:r>
            <w:r w:rsidRPr="00394D9A">
              <w:rPr>
                <w:spacing w:val="-5"/>
                <w:szCs w:val="22"/>
                <w:lang w:val="sr-Latn-RS"/>
              </w:rPr>
              <w:t>41</w:t>
            </w:r>
          </w:p>
        </w:tc>
        <w:tc>
          <w:tcPr>
            <w:tcW w:w="2020" w:type="dxa"/>
          </w:tcPr>
          <w:p w14:paraId="6DA7AA60" w14:textId="77777777" w:rsidR="007A5478" w:rsidRPr="00394D9A" w:rsidRDefault="007A5478" w:rsidP="00187D17">
            <w:pPr>
              <w:widowControl w:val="0"/>
              <w:tabs>
                <w:tab w:val="clear" w:pos="284"/>
              </w:tabs>
              <w:autoSpaceDE w:val="0"/>
              <w:autoSpaceDN w:val="0"/>
              <w:jc w:val="left"/>
              <w:rPr>
                <w:szCs w:val="22"/>
                <w:lang w:val="sr-Latn-RS"/>
              </w:rPr>
            </w:pPr>
            <w:r w:rsidRPr="00394D9A">
              <w:rPr>
                <w:szCs w:val="22"/>
                <w:lang w:val="sr-Latn-RS"/>
              </w:rPr>
              <w:t>8 do</w:t>
            </w:r>
            <w:r w:rsidRPr="00394D9A">
              <w:rPr>
                <w:spacing w:val="-5"/>
                <w:szCs w:val="22"/>
                <w:lang w:val="sr-Latn-RS"/>
              </w:rPr>
              <w:t xml:space="preserve"> </w:t>
            </w:r>
            <w:r w:rsidRPr="00394D9A">
              <w:rPr>
                <w:szCs w:val="22"/>
                <w:lang w:val="sr-Latn-RS"/>
              </w:rPr>
              <w:t>&lt;</w:t>
            </w:r>
            <w:r w:rsidRPr="00394D9A">
              <w:rPr>
                <w:spacing w:val="1"/>
                <w:szCs w:val="22"/>
                <w:lang w:val="sr-Latn-RS"/>
              </w:rPr>
              <w:t xml:space="preserve"> </w:t>
            </w:r>
            <w:r w:rsidRPr="00394D9A">
              <w:rPr>
                <w:spacing w:val="-5"/>
                <w:szCs w:val="22"/>
                <w:lang w:val="sr-Latn-RS"/>
              </w:rPr>
              <w:t>18</w:t>
            </w:r>
          </w:p>
        </w:tc>
        <w:tc>
          <w:tcPr>
            <w:tcW w:w="2059" w:type="dxa"/>
          </w:tcPr>
          <w:p w14:paraId="544023BA" w14:textId="77777777" w:rsidR="007A5478" w:rsidRPr="00394D9A" w:rsidRDefault="007A5478" w:rsidP="00187D17">
            <w:pPr>
              <w:widowControl w:val="0"/>
              <w:tabs>
                <w:tab w:val="clear" w:pos="284"/>
              </w:tabs>
              <w:autoSpaceDE w:val="0"/>
              <w:autoSpaceDN w:val="0"/>
              <w:jc w:val="center"/>
              <w:rPr>
                <w:szCs w:val="22"/>
                <w:lang w:val="sr-Latn-RS"/>
              </w:rPr>
            </w:pPr>
            <w:r w:rsidRPr="00394D9A">
              <w:rPr>
                <w:spacing w:val="-5"/>
                <w:szCs w:val="22"/>
                <w:lang w:val="sr-Latn-RS"/>
              </w:rPr>
              <w:t>185</w:t>
            </w:r>
          </w:p>
        </w:tc>
        <w:tc>
          <w:tcPr>
            <w:tcW w:w="2407" w:type="dxa"/>
          </w:tcPr>
          <w:p w14:paraId="3BA78457" w14:textId="77777777" w:rsidR="007A5478" w:rsidRPr="00394D9A" w:rsidRDefault="007A5478" w:rsidP="00187D17">
            <w:pPr>
              <w:widowControl w:val="0"/>
              <w:tabs>
                <w:tab w:val="clear" w:pos="284"/>
              </w:tabs>
              <w:autoSpaceDE w:val="0"/>
              <w:autoSpaceDN w:val="0"/>
              <w:jc w:val="center"/>
              <w:rPr>
                <w:szCs w:val="22"/>
                <w:lang w:val="sr-Latn-RS"/>
              </w:rPr>
            </w:pPr>
            <w:r w:rsidRPr="00394D9A">
              <w:rPr>
                <w:spacing w:val="-5"/>
                <w:szCs w:val="22"/>
                <w:lang w:val="sr-Latn-RS"/>
              </w:rPr>
              <w:t>370</w:t>
            </w:r>
          </w:p>
        </w:tc>
      </w:tr>
      <w:tr w:rsidR="007A5478" w:rsidRPr="00394D9A" w14:paraId="009EFB97" w14:textId="77777777" w:rsidTr="00DF17BA">
        <w:tc>
          <w:tcPr>
            <w:tcW w:w="2575" w:type="dxa"/>
          </w:tcPr>
          <w:p w14:paraId="4ACA5B3B" w14:textId="77777777" w:rsidR="007A5478" w:rsidRPr="00394D9A" w:rsidRDefault="007A5478" w:rsidP="00187D17">
            <w:pPr>
              <w:widowControl w:val="0"/>
              <w:tabs>
                <w:tab w:val="clear" w:pos="284"/>
              </w:tabs>
              <w:autoSpaceDE w:val="0"/>
              <w:autoSpaceDN w:val="0"/>
              <w:jc w:val="left"/>
              <w:rPr>
                <w:szCs w:val="22"/>
                <w:lang w:val="sr-Latn-RS"/>
              </w:rPr>
            </w:pPr>
            <w:r w:rsidRPr="00394D9A">
              <w:rPr>
                <w:szCs w:val="22"/>
                <w:lang w:val="sr-Latn-RS"/>
              </w:rPr>
              <w:t>41 do</w:t>
            </w:r>
            <w:r w:rsidRPr="00394D9A">
              <w:rPr>
                <w:spacing w:val="-5"/>
                <w:szCs w:val="22"/>
                <w:lang w:val="sr-Latn-RS"/>
              </w:rPr>
              <w:t xml:space="preserve"> </w:t>
            </w:r>
            <w:r w:rsidRPr="00394D9A">
              <w:rPr>
                <w:szCs w:val="22"/>
                <w:lang w:val="sr-Latn-RS"/>
              </w:rPr>
              <w:t>&lt;</w:t>
            </w:r>
            <w:r w:rsidRPr="00394D9A">
              <w:rPr>
                <w:spacing w:val="1"/>
                <w:szCs w:val="22"/>
                <w:lang w:val="sr-Latn-RS"/>
              </w:rPr>
              <w:t xml:space="preserve"> </w:t>
            </w:r>
            <w:r w:rsidRPr="00394D9A">
              <w:rPr>
                <w:spacing w:val="-5"/>
                <w:szCs w:val="22"/>
                <w:lang w:val="sr-Latn-RS"/>
              </w:rPr>
              <w:t>51</w:t>
            </w:r>
          </w:p>
        </w:tc>
        <w:tc>
          <w:tcPr>
            <w:tcW w:w="2020" w:type="dxa"/>
          </w:tcPr>
          <w:p w14:paraId="501ACB96" w14:textId="77777777" w:rsidR="007A5478" w:rsidRPr="00394D9A" w:rsidRDefault="007A5478" w:rsidP="00187D17">
            <w:pPr>
              <w:widowControl w:val="0"/>
              <w:tabs>
                <w:tab w:val="clear" w:pos="284"/>
              </w:tabs>
              <w:autoSpaceDE w:val="0"/>
              <w:autoSpaceDN w:val="0"/>
              <w:jc w:val="left"/>
              <w:rPr>
                <w:szCs w:val="22"/>
                <w:lang w:val="sr-Latn-RS"/>
              </w:rPr>
            </w:pPr>
            <w:r w:rsidRPr="00394D9A">
              <w:rPr>
                <w:szCs w:val="22"/>
                <w:lang w:val="sr-Latn-RS"/>
              </w:rPr>
              <w:t>8 do</w:t>
            </w:r>
            <w:r w:rsidRPr="00394D9A">
              <w:rPr>
                <w:spacing w:val="-5"/>
                <w:szCs w:val="22"/>
                <w:lang w:val="sr-Latn-RS"/>
              </w:rPr>
              <w:t xml:space="preserve"> </w:t>
            </w:r>
            <w:r w:rsidRPr="00394D9A">
              <w:rPr>
                <w:szCs w:val="22"/>
                <w:lang w:val="sr-Latn-RS"/>
              </w:rPr>
              <w:t>&lt;</w:t>
            </w:r>
            <w:r w:rsidRPr="00394D9A">
              <w:rPr>
                <w:spacing w:val="1"/>
                <w:szCs w:val="22"/>
                <w:lang w:val="sr-Latn-RS"/>
              </w:rPr>
              <w:t xml:space="preserve"> </w:t>
            </w:r>
            <w:r w:rsidRPr="00394D9A">
              <w:rPr>
                <w:spacing w:val="-5"/>
                <w:szCs w:val="22"/>
                <w:lang w:val="sr-Latn-RS"/>
              </w:rPr>
              <w:t>18</w:t>
            </w:r>
          </w:p>
        </w:tc>
        <w:tc>
          <w:tcPr>
            <w:tcW w:w="2059" w:type="dxa"/>
          </w:tcPr>
          <w:p w14:paraId="2F011B93" w14:textId="77777777" w:rsidR="007A5478" w:rsidRPr="00394D9A" w:rsidRDefault="007A5478" w:rsidP="00187D17">
            <w:pPr>
              <w:widowControl w:val="0"/>
              <w:tabs>
                <w:tab w:val="clear" w:pos="284"/>
              </w:tabs>
              <w:autoSpaceDE w:val="0"/>
              <w:autoSpaceDN w:val="0"/>
              <w:jc w:val="center"/>
              <w:rPr>
                <w:szCs w:val="22"/>
                <w:lang w:val="sr-Latn-RS"/>
              </w:rPr>
            </w:pPr>
            <w:r w:rsidRPr="00394D9A">
              <w:rPr>
                <w:spacing w:val="-5"/>
                <w:szCs w:val="22"/>
                <w:lang w:val="sr-Latn-RS"/>
              </w:rPr>
              <w:t>220</w:t>
            </w:r>
          </w:p>
        </w:tc>
        <w:tc>
          <w:tcPr>
            <w:tcW w:w="2407" w:type="dxa"/>
          </w:tcPr>
          <w:p w14:paraId="588BA753" w14:textId="77777777" w:rsidR="007A5478" w:rsidRPr="00394D9A" w:rsidRDefault="007A5478" w:rsidP="00187D17">
            <w:pPr>
              <w:widowControl w:val="0"/>
              <w:tabs>
                <w:tab w:val="clear" w:pos="284"/>
              </w:tabs>
              <w:autoSpaceDE w:val="0"/>
              <w:autoSpaceDN w:val="0"/>
              <w:jc w:val="center"/>
              <w:rPr>
                <w:szCs w:val="22"/>
                <w:lang w:val="sr-Latn-RS"/>
              </w:rPr>
            </w:pPr>
            <w:r w:rsidRPr="00394D9A">
              <w:rPr>
                <w:spacing w:val="-5"/>
                <w:szCs w:val="22"/>
                <w:lang w:val="sr-Latn-RS"/>
              </w:rPr>
              <w:t>440</w:t>
            </w:r>
          </w:p>
        </w:tc>
      </w:tr>
      <w:tr w:rsidR="007A5478" w:rsidRPr="00394D9A" w14:paraId="56DC68F9" w14:textId="77777777" w:rsidTr="00DF17BA">
        <w:tc>
          <w:tcPr>
            <w:tcW w:w="2575" w:type="dxa"/>
          </w:tcPr>
          <w:p w14:paraId="6E267A90" w14:textId="77777777" w:rsidR="007A5478" w:rsidRPr="00394D9A" w:rsidRDefault="007A5478" w:rsidP="00187D17">
            <w:pPr>
              <w:widowControl w:val="0"/>
              <w:tabs>
                <w:tab w:val="clear" w:pos="284"/>
              </w:tabs>
              <w:autoSpaceDE w:val="0"/>
              <w:autoSpaceDN w:val="0"/>
              <w:jc w:val="left"/>
              <w:rPr>
                <w:szCs w:val="22"/>
                <w:lang w:val="sr-Latn-RS"/>
              </w:rPr>
            </w:pPr>
            <w:r w:rsidRPr="00394D9A">
              <w:rPr>
                <w:szCs w:val="22"/>
                <w:lang w:val="sr-Latn-RS"/>
              </w:rPr>
              <w:t>51 do</w:t>
            </w:r>
            <w:r w:rsidRPr="00394D9A">
              <w:rPr>
                <w:spacing w:val="-5"/>
                <w:szCs w:val="22"/>
                <w:lang w:val="sr-Latn-RS"/>
              </w:rPr>
              <w:t xml:space="preserve"> </w:t>
            </w:r>
            <w:r w:rsidRPr="00394D9A">
              <w:rPr>
                <w:szCs w:val="22"/>
                <w:lang w:val="sr-Latn-RS"/>
              </w:rPr>
              <w:t>&lt;</w:t>
            </w:r>
            <w:r w:rsidRPr="00394D9A">
              <w:rPr>
                <w:spacing w:val="1"/>
                <w:szCs w:val="22"/>
                <w:lang w:val="sr-Latn-RS"/>
              </w:rPr>
              <w:t xml:space="preserve"> </w:t>
            </w:r>
            <w:r w:rsidRPr="00394D9A">
              <w:rPr>
                <w:spacing w:val="-5"/>
                <w:szCs w:val="22"/>
                <w:lang w:val="sr-Latn-RS"/>
              </w:rPr>
              <w:t>61</w:t>
            </w:r>
          </w:p>
        </w:tc>
        <w:tc>
          <w:tcPr>
            <w:tcW w:w="2020" w:type="dxa"/>
          </w:tcPr>
          <w:p w14:paraId="5538D4AF" w14:textId="77777777" w:rsidR="007A5478" w:rsidRPr="00394D9A" w:rsidRDefault="007A5478" w:rsidP="00187D17">
            <w:pPr>
              <w:widowControl w:val="0"/>
              <w:tabs>
                <w:tab w:val="clear" w:pos="284"/>
              </w:tabs>
              <w:autoSpaceDE w:val="0"/>
              <w:autoSpaceDN w:val="0"/>
              <w:jc w:val="left"/>
              <w:rPr>
                <w:szCs w:val="22"/>
                <w:lang w:val="sr-Latn-RS"/>
              </w:rPr>
            </w:pPr>
            <w:r w:rsidRPr="00394D9A">
              <w:rPr>
                <w:szCs w:val="22"/>
                <w:lang w:val="sr-Latn-RS"/>
              </w:rPr>
              <w:t>8 do</w:t>
            </w:r>
            <w:r w:rsidRPr="00394D9A">
              <w:rPr>
                <w:spacing w:val="-5"/>
                <w:szCs w:val="22"/>
                <w:lang w:val="sr-Latn-RS"/>
              </w:rPr>
              <w:t xml:space="preserve"> </w:t>
            </w:r>
            <w:r w:rsidRPr="00394D9A">
              <w:rPr>
                <w:szCs w:val="22"/>
                <w:lang w:val="sr-Latn-RS"/>
              </w:rPr>
              <w:t>&lt;</w:t>
            </w:r>
            <w:r w:rsidRPr="00394D9A">
              <w:rPr>
                <w:spacing w:val="1"/>
                <w:szCs w:val="22"/>
                <w:lang w:val="sr-Latn-RS"/>
              </w:rPr>
              <w:t xml:space="preserve"> </w:t>
            </w:r>
            <w:r w:rsidRPr="00394D9A">
              <w:rPr>
                <w:spacing w:val="-5"/>
                <w:szCs w:val="22"/>
                <w:lang w:val="sr-Latn-RS"/>
              </w:rPr>
              <w:t>18</w:t>
            </w:r>
          </w:p>
        </w:tc>
        <w:tc>
          <w:tcPr>
            <w:tcW w:w="2059" w:type="dxa"/>
          </w:tcPr>
          <w:p w14:paraId="00441206" w14:textId="77777777" w:rsidR="007A5478" w:rsidRPr="00394D9A" w:rsidRDefault="007A5478" w:rsidP="00187D17">
            <w:pPr>
              <w:widowControl w:val="0"/>
              <w:tabs>
                <w:tab w:val="clear" w:pos="284"/>
              </w:tabs>
              <w:autoSpaceDE w:val="0"/>
              <w:autoSpaceDN w:val="0"/>
              <w:jc w:val="center"/>
              <w:rPr>
                <w:szCs w:val="22"/>
                <w:lang w:val="sr-Latn-RS"/>
              </w:rPr>
            </w:pPr>
            <w:r w:rsidRPr="00394D9A">
              <w:rPr>
                <w:spacing w:val="-5"/>
                <w:szCs w:val="22"/>
                <w:lang w:val="sr-Latn-RS"/>
              </w:rPr>
              <w:t>260</w:t>
            </w:r>
          </w:p>
        </w:tc>
        <w:tc>
          <w:tcPr>
            <w:tcW w:w="2407" w:type="dxa"/>
          </w:tcPr>
          <w:p w14:paraId="4E74187E" w14:textId="77777777" w:rsidR="007A5478" w:rsidRPr="00394D9A" w:rsidRDefault="007A5478" w:rsidP="00187D17">
            <w:pPr>
              <w:widowControl w:val="0"/>
              <w:tabs>
                <w:tab w:val="clear" w:pos="284"/>
              </w:tabs>
              <w:autoSpaceDE w:val="0"/>
              <w:autoSpaceDN w:val="0"/>
              <w:jc w:val="center"/>
              <w:rPr>
                <w:szCs w:val="22"/>
                <w:lang w:val="sr-Latn-RS"/>
              </w:rPr>
            </w:pPr>
            <w:r w:rsidRPr="00394D9A">
              <w:rPr>
                <w:spacing w:val="-5"/>
                <w:szCs w:val="22"/>
                <w:lang w:val="sr-Latn-RS"/>
              </w:rPr>
              <w:t>520</w:t>
            </w:r>
          </w:p>
        </w:tc>
      </w:tr>
      <w:tr w:rsidR="007A5478" w:rsidRPr="00394D9A" w14:paraId="6DFE7339" w14:textId="77777777" w:rsidTr="00DF17BA">
        <w:tc>
          <w:tcPr>
            <w:tcW w:w="2575" w:type="dxa"/>
          </w:tcPr>
          <w:p w14:paraId="60B40075" w14:textId="77777777" w:rsidR="007A5478" w:rsidRPr="00394D9A" w:rsidRDefault="007A5478" w:rsidP="00187D17">
            <w:pPr>
              <w:widowControl w:val="0"/>
              <w:tabs>
                <w:tab w:val="clear" w:pos="284"/>
              </w:tabs>
              <w:autoSpaceDE w:val="0"/>
              <w:autoSpaceDN w:val="0"/>
              <w:jc w:val="left"/>
              <w:rPr>
                <w:szCs w:val="22"/>
                <w:lang w:val="sr-Latn-RS"/>
              </w:rPr>
            </w:pPr>
            <w:r w:rsidRPr="00394D9A">
              <w:rPr>
                <w:szCs w:val="22"/>
                <w:lang w:val="sr-Latn-RS"/>
              </w:rPr>
              <w:t>61 do</w:t>
            </w:r>
            <w:r w:rsidRPr="00394D9A">
              <w:rPr>
                <w:spacing w:val="-5"/>
                <w:szCs w:val="22"/>
                <w:lang w:val="sr-Latn-RS"/>
              </w:rPr>
              <w:t xml:space="preserve"> </w:t>
            </w:r>
            <w:r w:rsidRPr="00394D9A">
              <w:rPr>
                <w:szCs w:val="22"/>
                <w:lang w:val="sr-Latn-RS"/>
              </w:rPr>
              <w:t>&lt;</w:t>
            </w:r>
            <w:r w:rsidRPr="00394D9A">
              <w:rPr>
                <w:spacing w:val="1"/>
                <w:szCs w:val="22"/>
                <w:lang w:val="sr-Latn-RS"/>
              </w:rPr>
              <w:t xml:space="preserve"> </w:t>
            </w:r>
            <w:r w:rsidRPr="00394D9A">
              <w:rPr>
                <w:spacing w:val="-5"/>
                <w:szCs w:val="22"/>
                <w:lang w:val="sr-Latn-RS"/>
              </w:rPr>
              <w:t>71</w:t>
            </w:r>
          </w:p>
        </w:tc>
        <w:tc>
          <w:tcPr>
            <w:tcW w:w="2020" w:type="dxa"/>
          </w:tcPr>
          <w:p w14:paraId="748266D6" w14:textId="77777777" w:rsidR="007A5478" w:rsidRPr="00394D9A" w:rsidRDefault="007A5478" w:rsidP="00187D17">
            <w:pPr>
              <w:widowControl w:val="0"/>
              <w:tabs>
                <w:tab w:val="clear" w:pos="284"/>
              </w:tabs>
              <w:autoSpaceDE w:val="0"/>
              <w:autoSpaceDN w:val="0"/>
              <w:jc w:val="left"/>
              <w:rPr>
                <w:szCs w:val="22"/>
                <w:lang w:val="sr-Latn-RS"/>
              </w:rPr>
            </w:pPr>
            <w:r w:rsidRPr="00394D9A">
              <w:rPr>
                <w:szCs w:val="22"/>
                <w:lang w:val="sr-Latn-RS"/>
              </w:rPr>
              <w:t>8 do</w:t>
            </w:r>
            <w:r w:rsidRPr="00394D9A">
              <w:rPr>
                <w:spacing w:val="-5"/>
                <w:szCs w:val="22"/>
                <w:lang w:val="sr-Latn-RS"/>
              </w:rPr>
              <w:t xml:space="preserve"> </w:t>
            </w:r>
            <w:r w:rsidRPr="00394D9A">
              <w:rPr>
                <w:szCs w:val="22"/>
                <w:lang w:val="sr-Latn-RS"/>
              </w:rPr>
              <w:t>&lt;</w:t>
            </w:r>
            <w:r w:rsidRPr="00394D9A">
              <w:rPr>
                <w:spacing w:val="1"/>
                <w:szCs w:val="22"/>
                <w:lang w:val="sr-Latn-RS"/>
              </w:rPr>
              <w:t xml:space="preserve"> </w:t>
            </w:r>
            <w:r w:rsidRPr="00394D9A">
              <w:rPr>
                <w:spacing w:val="-5"/>
                <w:szCs w:val="22"/>
                <w:lang w:val="sr-Latn-RS"/>
              </w:rPr>
              <w:t>18</w:t>
            </w:r>
          </w:p>
        </w:tc>
        <w:tc>
          <w:tcPr>
            <w:tcW w:w="2059" w:type="dxa"/>
          </w:tcPr>
          <w:p w14:paraId="49B013E1" w14:textId="77777777" w:rsidR="007A5478" w:rsidRPr="00394D9A" w:rsidRDefault="007A5478" w:rsidP="00187D17">
            <w:pPr>
              <w:widowControl w:val="0"/>
              <w:tabs>
                <w:tab w:val="clear" w:pos="284"/>
              </w:tabs>
              <w:autoSpaceDE w:val="0"/>
              <w:autoSpaceDN w:val="0"/>
              <w:jc w:val="center"/>
              <w:rPr>
                <w:szCs w:val="22"/>
                <w:lang w:val="sr-Latn-RS"/>
              </w:rPr>
            </w:pPr>
            <w:r w:rsidRPr="00394D9A">
              <w:rPr>
                <w:spacing w:val="-5"/>
                <w:szCs w:val="22"/>
                <w:lang w:val="sr-Latn-RS"/>
              </w:rPr>
              <w:t>300</w:t>
            </w:r>
          </w:p>
        </w:tc>
        <w:tc>
          <w:tcPr>
            <w:tcW w:w="2407" w:type="dxa"/>
          </w:tcPr>
          <w:p w14:paraId="02F78D90" w14:textId="77777777" w:rsidR="007A5478" w:rsidRPr="00394D9A" w:rsidRDefault="007A5478" w:rsidP="00187D17">
            <w:pPr>
              <w:widowControl w:val="0"/>
              <w:tabs>
                <w:tab w:val="clear" w:pos="284"/>
              </w:tabs>
              <w:autoSpaceDE w:val="0"/>
              <w:autoSpaceDN w:val="0"/>
              <w:jc w:val="center"/>
              <w:rPr>
                <w:szCs w:val="22"/>
                <w:lang w:val="sr-Latn-RS"/>
              </w:rPr>
            </w:pPr>
            <w:r w:rsidRPr="00394D9A">
              <w:rPr>
                <w:spacing w:val="-5"/>
                <w:szCs w:val="22"/>
                <w:lang w:val="sr-Latn-RS"/>
              </w:rPr>
              <w:t>600</w:t>
            </w:r>
          </w:p>
        </w:tc>
      </w:tr>
      <w:tr w:rsidR="007A5478" w:rsidRPr="00394D9A" w14:paraId="30106832" w14:textId="77777777" w:rsidTr="00DF17BA">
        <w:tc>
          <w:tcPr>
            <w:tcW w:w="2575" w:type="dxa"/>
          </w:tcPr>
          <w:p w14:paraId="55974E77" w14:textId="77777777" w:rsidR="007A5478" w:rsidRPr="00394D9A" w:rsidRDefault="007A5478" w:rsidP="00187D17">
            <w:pPr>
              <w:widowControl w:val="0"/>
              <w:tabs>
                <w:tab w:val="clear" w:pos="284"/>
              </w:tabs>
              <w:autoSpaceDE w:val="0"/>
              <w:autoSpaceDN w:val="0"/>
              <w:jc w:val="left"/>
              <w:rPr>
                <w:szCs w:val="22"/>
                <w:lang w:val="sr-Latn-RS"/>
              </w:rPr>
            </w:pPr>
            <w:r w:rsidRPr="00394D9A">
              <w:rPr>
                <w:szCs w:val="22"/>
                <w:lang w:val="sr-Latn-RS"/>
              </w:rPr>
              <w:t>71 do</w:t>
            </w:r>
            <w:r w:rsidRPr="00394D9A">
              <w:rPr>
                <w:spacing w:val="-5"/>
                <w:szCs w:val="22"/>
                <w:lang w:val="sr-Latn-RS"/>
              </w:rPr>
              <w:t xml:space="preserve"> </w:t>
            </w:r>
            <w:r w:rsidRPr="00394D9A">
              <w:rPr>
                <w:szCs w:val="22"/>
                <w:lang w:val="sr-Latn-RS"/>
              </w:rPr>
              <w:t>&lt;</w:t>
            </w:r>
            <w:r w:rsidRPr="00394D9A">
              <w:rPr>
                <w:spacing w:val="1"/>
                <w:szCs w:val="22"/>
                <w:lang w:val="sr-Latn-RS"/>
              </w:rPr>
              <w:t xml:space="preserve"> </w:t>
            </w:r>
            <w:r w:rsidRPr="00394D9A">
              <w:rPr>
                <w:spacing w:val="-5"/>
                <w:szCs w:val="22"/>
                <w:lang w:val="sr-Latn-RS"/>
              </w:rPr>
              <w:t>81</w:t>
            </w:r>
          </w:p>
        </w:tc>
        <w:tc>
          <w:tcPr>
            <w:tcW w:w="2020" w:type="dxa"/>
          </w:tcPr>
          <w:p w14:paraId="28AA0645" w14:textId="77777777" w:rsidR="007A5478" w:rsidRPr="00394D9A" w:rsidRDefault="007A5478" w:rsidP="00187D17">
            <w:pPr>
              <w:widowControl w:val="0"/>
              <w:tabs>
                <w:tab w:val="clear" w:pos="284"/>
              </w:tabs>
              <w:autoSpaceDE w:val="0"/>
              <w:autoSpaceDN w:val="0"/>
              <w:jc w:val="left"/>
              <w:rPr>
                <w:szCs w:val="22"/>
                <w:lang w:val="sr-Latn-RS"/>
              </w:rPr>
            </w:pPr>
            <w:r w:rsidRPr="00394D9A">
              <w:rPr>
                <w:szCs w:val="22"/>
                <w:lang w:val="sr-Latn-RS"/>
              </w:rPr>
              <w:t>8 do</w:t>
            </w:r>
            <w:r w:rsidRPr="00394D9A">
              <w:rPr>
                <w:spacing w:val="-5"/>
                <w:szCs w:val="22"/>
                <w:lang w:val="sr-Latn-RS"/>
              </w:rPr>
              <w:t xml:space="preserve"> </w:t>
            </w:r>
            <w:r w:rsidRPr="00394D9A">
              <w:rPr>
                <w:szCs w:val="22"/>
                <w:lang w:val="sr-Latn-RS"/>
              </w:rPr>
              <w:t>&lt;</w:t>
            </w:r>
            <w:r w:rsidRPr="00394D9A">
              <w:rPr>
                <w:spacing w:val="1"/>
                <w:szCs w:val="22"/>
                <w:lang w:val="sr-Latn-RS"/>
              </w:rPr>
              <w:t xml:space="preserve"> </w:t>
            </w:r>
            <w:r w:rsidRPr="00394D9A">
              <w:rPr>
                <w:spacing w:val="-5"/>
                <w:szCs w:val="22"/>
                <w:lang w:val="sr-Latn-RS"/>
              </w:rPr>
              <w:t>18</w:t>
            </w:r>
          </w:p>
        </w:tc>
        <w:tc>
          <w:tcPr>
            <w:tcW w:w="2059" w:type="dxa"/>
          </w:tcPr>
          <w:p w14:paraId="1DBF5325" w14:textId="77777777" w:rsidR="007A5478" w:rsidRPr="00394D9A" w:rsidRDefault="007A5478" w:rsidP="00187D17">
            <w:pPr>
              <w:widowControl w:val="0"/>
              <w:tabs>
                <w:tab w:val="clear" w:pos="284"/>
              </w:tabs>
              <w:autoSpaceDE w:val="0"/>
              <w:autoSpaceDN w:val="0"/>
              <w:jc w:val="center"/>
              <w:rPr>
                <w:szCs w:val="22"/>
                <w:lang w:val="sr-Latn-RS"/>
              </w:rPr>
            </w:pPr>
            <w:r w:rsidRPr="00394D9A">
              <w:rPr>
                <w:spacing w:val="-5"/>
                <w:szCs w:val="22"/>
                <w:lang w:val="sr-Latn-RS"/>
              </w:rPr>
              <w:t>300</w:t>
            </w:r>
          </w:p>
        </w:tc>
        <w:tc>
          <w:tcPr>
            <w:tcW w:w="2407" w:type="dxa"/>
          </w:tcPr>
          <w:p w14:paraId="4FE57042" w14:textId="77777777" w:rsidR="007A5478" w:rsidRPr="00394D9A" w:rsidRDefault="007A5478" w:rsidP="00187D17">
            <w:pPr>
              <w:widowControl w:val="0"/>
              <w:tabs>
                <w:tab w:val="clear" w:pos="284"/>
              </w:tabs>
              <w:autoSpaceDE w:val="0"/>
              <w:autoSpaceDN w:val="0"/>
              <w:jc w:val="center"/>
              <w:rPr>
                <w:szCs w:val="22"/>
                <w:lang w:val="sr-Latn-RS"/>
              </w:rPr>
            </w:pPr>
            <w:r w:rsidRPr="00394D9A">
              <w:rPr>
                <w:spacing w:val="-5"/>
                <w:szCs w:val="22"/>
                <w:lang w:val="sr-Latn-RS"/>
              </w:rPr>
              <w:t>600</w:t>
            </w:r>
          </w:p>
        </w:tc>
      </w:tr>
      <w:tr w:rsidR="007A5478" w:rsidRPr="00394D9A" w14:paraId="6E074DCC" w14:textId="77777777" w:rsidTr="00DF17BA">
        <w:tc>
          <w:tcPr>
            <w:tcW w:w="2575" w:type="dxa"/>
          </w:tcPr>
          <w:p w14:paraId="007A264D" w14:textId="77777777" w:rsidR="007A5478" w:rsidRPr="00394D9A" w:rsidRDefault="007A5478" w:rsidP="00187D17">
            <w:pPr>
              <w:widowControl w:val="0"/>
              <w:tabs>
                <w:tab w:val="clear" w:pos="284"/>
              </w:tabs>
              <w:autoSpaceDE w:val="0"/>
              <w:autoSpaceDN w:val="0"/>
              <w:jc w:val="left"/>
              <w:rPr>
                <w:szCs w:val="22"/>
                <w:lang w:val="sr-Latn-RS"/>
              </w:rPr>
            </w:pPr>
            <w:r w:rsidRPr="00394D9A">
              <w:rPr>
                <w:szCs w:val="22"/>
                <w:lang w:val="sr-Latn-RS"/>
              </w:rPr>
              <w:t>&gt;</w:t>
            </w:r>
            <w:r w:rsidRPr="00394D9A">
              <w:rPr>
                <w:spacing w:val="2"/>
                <w:szCs w:val="22"/>
                <w:lang w:val="sr-Latn-RS"/>
              </w:rPr>
              <w:t xml:space="preserve"> </w:t>
            </w:r>
            <w:r w:rsidRPr="00394D9A">
              <w:rPr>
                <w:spacing w:val="-5"/>
                <w:szCs w:val="22"/>
                <w:lang w:val="sr-Latn-RS"/>
              </w:rPr>
              <w:t>81</w:t>
            </w:r>
          </w:p>
        </w:tc>
        <w:tc>
          <w:tcPr>
            <w:tcW w:w="2020" w:type="dxa"/>
          </w:tcPr>
          <w:p w14:paraId="691C0D2B" w14:textId="77777777" w:rsidR="007A5478" w:rsidRPr="00394D9A" w:rsidRDefault="007A5478" w:rsidP="00187D17">
            <w:pPr>
              <w:widowControl w:val="0"/>
              <w:tabs>
                <w:tab w:val="clear" w:pos="284"/>
              </w:tabs>
              <w:autoSpaceDE w:val="0"/>
              <w:autoSpaceDN w:val="0"/>
              <w:jc w:val="left"/>
              <w:rPr>
                <w:szCs w:val="22"/>
                <w:lang w:val="sr-Latn-RS"/>
              </w:rPr>
            </w:pPr>
            <w:r w:rsidRPr="00394D9A">
              <w:rPr>
                <w:szCs w:val="22"/>
                <w:lang w:val="sr-Latn-RS"/>
              </w:rPr>
              <w:t>10 do</w:t>
            </w:r>
            <w:r w:rsidRPr="00394D9A">
              <w:rPr>
                <w:spacing w:val="-5"/>
                <w:szCs w:val="22"/>
                <w:lang w:val="sr-Latn-RS"/>
              </w:rPr>
              <w:t xml:space="preserve"> </w:t>
            </w:r>
            <w:r w:rsidRPr="00394D9A">
              <w:rPr>
                <w:szCs w:val="22"/>
                <w:lang w:val="sr-Latn-RS"/>
              </w:rPr>
              <w:t>&lt;</w:t>
            </w:r>
            <w:r w:rsidRPr="00394D9A">
              <w:rPr>
                <w:spacing w:val="1"/>
                <w:szCs w:val="22"/>
                <w:lang w:val="sr-Latn-RS"/>
              </w:rPr>
              <w:t xml:space="preserve"> </w:t>
            </w:r>
            <w:r w:rsidRPr="00394D9A">
              <w:rPr>
                <w:spacing w:val="-5"/>
                <w:szCs w:val="22"/>
                <w:lang w:val="sr-Latn-RS"/>
              </w:rPr>
              <w:t>18</w:t>
            </w:r>
          </w:p>
        </w:tc>
        <w:tc>
          <w:tcPr>
            <w:tcW w:w="2059" w:type="dxa"/>
          </w:tcPr>
          <w:p w14:paraId="74322979" w14:textId="77777777" w:rsidR="007A5478" w:rsidRPr="00394D9A" w:rsidRDefault="007A5478" w:rsidP="00187D17">
            <w:pPr>
              <w:widowControl w:val="0"/>
              <w:tabs>
                <w:tab w:val="clear" w:pos="284"/>
              </w:tabs>
              <w:autoSpaceDE w:val="0"/>
              <w:autoSpaceDN w:val="0"/>
              <w:jc w:val="center"/>
              <w:rPr>
                <w:szCs w:val="22"/>
                <w:lang w:val="sr-Latn-RS"/>
              </w:rPr>
            </w:pPr>
            <w:r w:rsidRPr="00394D9A">
              <w:rPr>
                <w:spacing w:val="-5"/>
                <w:szCs w:val="22"/>
                <w:lang w:val="sr-Latn-RS"/>
              </w:rPr>
              <w:t>300</w:t>
            </w:r>
          </w:p>
        </w:tc>
        <w:tc>
          <w:tcPr>
            <w:tcW w:w="2407" w:type="dxa"/>
          </w:tcPr>
          <w:p w14:paraId="436E001E" w14:textId="77777777" w:rsidR="007A5478" w:rsidRPr="00394D9A" w:rsidRDefault="007A5478" w:rsidP="00187D17">
            <w:pPr>
              <w:widowControl w:val="0"/>
              <w:tabs>
                <w:tab w:val="clear" w:pos="284"/>
              </w:tabs>
              <w:autoSpaceDE w:val="0"/>
              <w:autoSpaceDN w:val="0"/>
              <w:jc w:val="center"/>
              <w:rPr>
                <w:szCs w:val="22"/>
                <w:lang w:val="sr-Latn-RS"/>
              </w:rPr>
            </w:pPr>
            <w:r w:rsidRPr="00394D9A">
              <w:rPr>
                <w:spacing w:val="-5"/>
                <w:szCs w:val="22"/>
                <w:lang w:val="sr-Latn-RS"/>
              </w:rPr>
              <w:t>600</w:t>
            </w:r>
          </w:p>
        </w:tc>
      </w:tr>
    </w:tbl>
    <w:p w14:paraId="79A3C9C7" w14:textId="77777777" w:rsidR="00B72B9A" w:rsidRPr="00394D9A" w:rsidRDefault="00B72B9A" w:rsidP="00187D17">
      <w:pPr>
        <w:widowControl w:val="0"/>
        <w:tabs>
          <w:tab w:val="clear" w:pos="284"/>
        </w:tabs>
        <w:autoSpaceDE w:val="0"/>
        <w:autoSpaceDN w:val="0"/>
        <w:rPr>
          <w:szCs w:val="22"/>
          <w:lang w:val="sr-Latn-RS"/>
        </w:rPr>
      </w:pPr>
    </w:p>
    <w:p w14:paraId="25205AB3" w14:textId="1E4935DB" w:rsidR="00E34D3B" w:rsidRPr="00394D9A" w:rsidRDefault="007A5478" w:rsidP="00187D17">
      <w:pPr>
        <w:widowControl w:val="0"/>
        <w:tabs>
          <w:tab w:val="clear" w:pos="284"/>
        </w:tabs>
        <w:autoSpaceDE w:val="0"/>
        <w:autoSpaceDN w:val="0"/>
        <w:rPr>
          <w:szCs w:val="22"/>
          <w:lang w:val="sr-Latn-RS"/>
        </w:rPr>
      </w:pPr>
      <w:r w:rsidRPr="00394D9A">
        <w:rPr>
          <w:szCs w:val="22"/>
          <w:lang w:val="sr-Latn-RS"/>
        </w:rPr>
        <w:t>Jednokratne</w:t>
      </w:r>
      <w:r w:rsidRPr="00394D9A">
        <w:rPr>
          <w:spacing w:val="-4"/>
          <w:szCs w:val="22"/>
          <w:lang w:val="sr-Latn-RS"/>
        </w:rPr>
        <w:t xml:space="preserve"> </w:t>
      </w:r>
      <w:r w:rsidRPr="00394D9A">
        <w:rPr>
          <w:szCs w:val="22"/>
          <w:lang w:val="sr-Latn-RS"/>
        </w:rPr>
        <w:t>doze</w:t>
      </w:r>
      <w:r w:rsidRPr="00394D9A">
        <w:rPr>
          <w:spacing w:val="-4"/>
          <w:szCs w:val="22"/>
          <w:lang w:val="sr-Latn-RS"/>
        </w:rPr>
        <w:t xml:space="preserve"> </w:t>
      </w:r>
      <w:r w:rsidRPr="00394D9A">
        <w:rPr>
          <w:szCs w:val="22"/>
          <w:lang w:val="sr-Latn-RS"/>
        </w:rPr>
        <w:t>za</w:t>
      </w:r>
      <w:r w:rsidRPr="00394D9A">
        <w:rPr>
          <w:spacing w:val="-4"/>
          <w:szCs w:val="22"/>
          <w:lang w:val="sr-Latn-RS"/>
        </w:rPr>
        <w:t xml:space="preserve"> </w:t>
      </w:r>
      <w:r w:rsidRPr="00394D9A">
        <w:rPr>
          <w:szCs w:val="22"/>
          <w:lang w:val="sr-Latn-RS"/>
        </w:rPr>
        <w:t>koje</w:t>
      </w:r>
      <w:r w:rsidRPr="00394D9A">
        <w:rPr>
          <w:spacing w:val="-4"/>
          <w:szCs w:val="22"/>
          <w:lang w:val="sr-Latn-RS"/>
        </w:rPr>
        <w:t xml:space="preserve"> </w:t>
      </w:r>
      <w:r w:rsidRPr="00394D9A">
        <w:rPr>
          <w:szCs w:val="22"/>
          <w:lang w:val="sr-Latn-RS"/>
        </w:rPr>
        <w:t>su</w:t>
      </w:r>
      <w:r w:rsidRPr="00394D9A">
        <w:rPr>
          <w:spacing w:val="-4"/>
          <w:szCs w:val="22"/>
          <w:lang w:val="sr-Latn-RS"/>
        </w:rPr>
        <w:t xml:space="preserve"> </w:t>
      </w:r>
      <w:r w:rsidRPr="00394D9A">
        <w:rPr>
          <w:szCs w:val="22"/>
          <w:lang w:val="sr-Latn-RS"/>
        </w:rPr>
        <w:t>potrebne</w:t>
      </w:r>
      <w:r w:rsidRPr="00394D9A">
        <w:rPr>
          <w:spacing w:val="-4"/>
          <w:szCs w:val="22"/>
          <w:lang w:val="sr-Latn-RS"/>
        </w:rPr>
        <w:t xml:space="preserve"> </w:t>
      </w:r>
      <w:r w:rsidRPr="00394D9A">
        <w:rPr>
          <w:szCs w:val="22"/>
          <w:lang w:val="sr-Latn-RS"/>
        </w:rPr>
        <w:t>kombinacije</w:t>
      </w:r>
      <w:r w:rsidRPr="00394D9A">
        <w:rPr>
          <w:spacing w:val="-4"/>
          <w:szCs w:val="22"/>
          <w:lang w:val="sr-Latn-RS"/>
        </w:rPr>
        <w:t xml:space="preserve"> </w:t>
      </w:r>
      <w:r w:rsidRPr="00394D9A">
        <w:rPr>
          <w:szCs w:val="22"/>
          <w:lang w:val="sr-Latn-RS"/>
        </w:rPr>
        <w:t>više</w:t>
      </w:r>
      <w:r w:rsidRPr="00394D9A">
        <w:rPr>
          <w:spacing w:val="-4"/>
          <w:szCs w:val="22"/>
          <w:lang w:val="sr-Latn-RS"/>
        </w:rPr>
        <w:t xml:space="preserve"> </w:t>
      </w:r>
      <w:r w:rsidRPr="00394D9A">
        <w:rPr>
          <w:szCs w:val="22"/>
          <w:lang w:val="sr-Latn-RS"/>
        </w:rPr>
        <w:t>od</w:t>
      </w:r>
      <w:r w:rsidRPr="00394D9A">
        <w:rPr>
          <w:spacing w:val="-3"/>
          <w:szCs w:val="22"/>
          <w:lang w:val="sr-Latn-RS"/>
        </w:rPr>
        <w:t xml:space="preserve"> </w:t>
      </w:r>
      <w:r w:rsidRPr="00394D9A">
        <w:rPr>
          <w:szCs w:val="22"/>
          <w:lang w:val="sr-Latn-RS"/>
        </w:rPr>
        <w:t>jedne</w:t>
      </w:r>
      <w:r w:rsidRPr="00394D9A">
        <w:rPr>
          <w:spacing w:val="-4"/>
          <w:szCs w:val="22"/>
          <w:lang w:val="sr-Latn-RS"/>
        </w:rPr>
        <w:t xml:space="preserve"> </w:t>
      </w:r>
      <w:r w:rsidRPr="00394D9A">
        <w:rPr>
          <w:szCs w:val="22"/>
          <w:lang w:val="sr-Latn-RS"/>
        </w:rPr>
        <w:t>kapsule:</w:t>
      </w:r>
    </w:p>
    <w:p w14:paraId="29406F37" w14:textId="5D64E8E6" w:rsidR="007A5478" w:rsidRPr="00394D9A" w:rsidRDefault="007A5478" w:rsidP="00187D17">
      <w:pPr>
        <w:widowControl w:val="0"/>
        <w:tabs>
          <w:tab w:val="clear" w:pos="284"/>
        </w:tabs>
        <w:autoSpaceDE w:val="0"/>
        <w:autoSpaceDN w:val="0"/>
        <w:rPr>
          <w:szCs w:val="22"/>
          <w:lang w:val="sr-Latn-RS"/>
        </w:rPr>
      </w:pPr>
      <w:r w:rsidRPr="00394D9A">
        <w:rPr>
          <w:szCs w:val="22"/>
          <w:lang w:val="sr-Latn-RS"/>
        </w:rPr>
        <w:t>300 mg: dv</w:t>
      </w:r>
      <w:r w:rsidR="00C521B7" w:rsidRPr="00394D9A">
        <w:rPr>
          <w:szCs w:val="22"/>
          <w:lang w:val="sr-Latn-RS"/>
        </w:rPr>
        <w:t>ij</w:t>
      </w:r>
      <w:r w:rsidRPr="00394D9A">
        <w:rPr>
          <w:szCs w:val="22"/>
          <w:lang w:val="sr-Latn-RS"/>
        </w:rPr>
        <w:t>e kapsule od 150 mg ili</w:t>
      </w:r>
    </w:p>
    <w:p w14:paraId="25F8D103" w14:textId="0347BA24" w:rsidR="00E34D3B" w:rsidRPr="00394D9A" w:rsidRDefault="00E34D3B" w:rsidP="00187D17">
      <w:pPr>
        <w:widowControl w:val="0"/>
        <w:tabs>
          <w:tab w:val="clear" w:pos="284"/>
        </w:tabs>
        <w:autoSpaceDE w:val="0"/>
        <w:autoSpaceDN w:val="0"/>
        <w:ind w:left="720"/>
        <w:rPr>
          <w:szCs w:val="22"/>
          <w:lang w:val="sr-Latn-RS"/>
        </w:rPr>
      </w:pPr>
      <w:r w:rsidRPr="00394D9A">
        <w:rPr>
          <w:szCs w:val="22"/>
          <w:lang w:val="sr-Latn-RS"/>
        </w:rPr>
        <w:t xml:space="preserve"> </w:t>
      </w:r>
      <w:r w:rsidR="007A5478" w:rsidRPr="00394D9A">
        <w:rPr>
          <w:szCs w:val="22"/>
          <w:lang w:val="sr-Latn-RS"/>
        </w:rPr>
        <w:t>četiri</w:t>
      </w:r>
      <w:r w:rsidR="007A5478" w:rsidRPr="00394D9A">
        <w:rPr>
          <w:spacing w:val="-5"/>
          <w:szCs w:val="22"/>
          <w:lang w:val="sr-Latn-RS"/>
        </w:rPr>
        <w:t xml:space="preserve"> </w:t>
      </w:r>
      <w:r w:rsidR="007A5478" w:rsidRPr="00394D9A">
        <w:rPr>
          <w:szCs w:val="22"/>
          <w:lang w:val="sr-Latn-RS"/>
        </w:rPr>
        <w:t>kapsule</w:t>
      </w:r>
      <w:r w:rsidR="007A5478" w:rsidRPr="00394D9A">
        <w:rPr>
          <w:spacing w:val="-4"/>
          <w:szCs w:val="22"/>
          <w:lang w:val="sr-Latn-RS"/>
        </w:rPr>
        <w:t xml:space="preserve"> </w:t>
      </w:r>
      <w:r w:rsidR="007A5478" w:rsidRPr="00394D9A">
        <w:rPr>
          <w:szCs w:val="22"/>
          <w:lang w:val="sr-Latn-RS"/>
        </w:rPr>
        <w:t>od</w:t>
      </w:r>
      <w:r w:rsidR="007A5478" w:rsidRPr="00394D9A">
        <w:rPr>
          <w:spacing w:val="-4"/>
          <w:szCs w:val="22"/>
          <w:lang w:val="sr-Latn-RS"/>
        </w:rPr>
        <w:t xml:space="preserve"> </w:t>
      </w:r>
      <w:r w:rsidR="007A5478" w:rsidRPr="00394D9A">
        <w:rPr>
          <w:szCs w:val="22"/>
          <w:lang w:val="sr-Latn-RS"/>
        </w:rPr>
        <w:t>75</w:t>
      </w:r>
      <w:r w:rsidR="007A5478" w:rsidRPr="00394D9A">
        <w:rPr>
          <w:spacing w:val="-4"/>
          <w:szCs w:val="22"/>
          <w:lang w:val="sr-Latn-RS"/>
        </w:rPr>
        <w:t xml:space="preserve"> </w:t>
      </w:r>
      <w:r w:rsidR="007A5478" w:rsidRPr="00394D9A">
        <w:rPr>
          <w:spacing w:val="-5"/>
          <w:szCs w:val="22"/>
          <w:lang w:val="sr-Latn-RS"/>
        </w:rPr>
        <w:t>mg</w:t>
      </w:r>
    </w:p>
    <w:p w14:paraId="32D342E5" w14:textId="77777777" w:rsidR="00E34D3B" w:rsidRPr="00394D9A" w:rsidRDefault="007A5478" w:rsidP="00187D17">
      <w:pPr>
        <w:widowControl w:val="0"/>
        <w:tabs>
          <w:tab w:val="clear" w:pos="284"/>
        </w:tabs>
        <w:autoSpaceDE w:val="0"/>
        <w:autoSpaceDN w:val="0"/>
        <w:rPr>
          <w:szCs w:val="22"/>
          <w:lang w:val="sr-Latn-RS"/>
        </w:rPr>
      </w:pPr>
      <w:r w:rsidRPr="00394D9A">
        <w:rPr>
          <w:szCs w:val="22"/>
          <w:lang w:val="sr-Latn-RS"/>
        </w:rPr>
        <w:t>260</w:t>
      </w:r>
      <w:r w:rsidRPr="00394D9A">
        <w:rPr>
          <w:spacing w:val="-3"/>
          <w:szCs w:val="22"/>
          <w:lang w:val="sr-Latn-RS"/>
        </w:rPr>
        <w:t xml:space="preserve"> </w:t>
      </w:r>
      <w:r w:rsidRPr="00394D9A">
        <w:rPr>
          <w:szCs w:val="22"/>
          <w:lang w:val="sr-Latn-RS"/>
        </w:rPr>
        <w:t>mg:</w:t>
      </w:r>
      <w:r w:rsidRPr="00394D9A">
        <w:rPr>
          <w:spacing w:val="-3"/>
          <w:szCs w:val="22"/>
          <w:lang w:val="sr-Latn-RS"/>
        </w:rPr>
        <w:t xml:space="preserve"> </w:t>
      </w:r>
      <w:r w:rsidRPr="00394D9A">
        <w:rPr>
          <w:szCs w:val="22"/>
          <w:lang w:val="sr-Latn-RS"/>
        </w:rPr>
        <w:t>jedna</w:t>
      </w:r>
      <w:r w:rsidRPr="00394D9A">
        <w:rPr>
          <w:spacing w:val="-3"/>
          <w:szCs w:val="22"/>
          <w:lang w:val="sr-Latn-RS"/>
        </w:rPr>
        <w:t xml:space="preserve"> </w:t>
      </w:r>
      <w:r w:rsidRPr="00394D9A">
        <w:rPr>
          <w:szCs w:val="22"/>
          <w:lang w:val="sr-Latn-RS"/>
        </w:rPr>
        <w:t>kapsula</w:t>
      </w:r>
      <w:r w:rsidRPr="00394D9A">
        <w:rPr>
          <w:spacing w:val="-3"/>
          <w:szCs w:val="22"/>
          <w:lang w:val="sr-Latn-RS"/>
        </w:rPr>
        <w:t xml:space="preserve"> </w:t>
      </w:r>
      <w:r w:rsidRPr="00394D9A">
        <w:rPr>
          <w:szCs w:val="22"/>
          <w:lang w:val="sr-Latn-RS"/>
        </w:rPr>
        <w:t>od</w:t>
      </w:r>
      <w:r w:rsidRPr="00394D9A">
        <w:rPr>
          <w:spacing w:val="-3"/>
          <w:szCs w:val="22"/>
          <w:lang w:val="sr-Latn-RS"/>
        </w:rPr>
        <w:t xml:space="preserve"> </w:t>
      </w:r>
      <w:r w:rsidRPr="00394D9A">
        <w:rPr>
          <w:szCs w:val="22"/>
          <w:lang w:val="sr-Latn-RS"/>
        </w:rPr>
        <w:t>110</w:t>
      </w:r>
      <w:r w:rsidRPr="00394D9A">
        <w:rPr>
          <w:spacing w:val="-3"/>
          <w:szCs w:val="22"/>
          <w:lang w:val="sr-Latn-RS"/>
        </w:rPr>
        <w:t xml:space="preserve"> </w:t>
      </w:r>
      <w:r w:rsidRPr="00394D9A">
        <w:rPr>
          <w:szCs w:val="22"/>
          <w:lang w:val="sr-Latn-RS"/>
        </w:rPr>
        <w:t>mg</w:t>
      </w:r>
      <w:r w:rsidRPr="00394D9A">
        <w:rPr>
          <w:spacing w:val="-3"/>
          <w:szCs w:val="22"/>
          <w:lang w:val="sr-Latn-RS"/>
        </w:rPr>
        <w:t xml:space="preserve"> </w:t>
      </w:r>
      <w:r w:rsidRPr="00394D9A">
        <w:rPr>
          <w:szCs w:val="22"/>
          <w:lang w:val="sr-Latn-RS"/>
        </w:rPr>
        <w:t>plus</w:t>
      </w:r>
      <w:r w:rsidRPr="00394D9A">
        <w:rPr>
          <w:spacing w:val="-3"/>
          <w:szCs w:val="22"/>
          <w:lang w:val="sr-Latn-RS"/>
        </w:rPr>
        <w:t xml:space="preserve"> </w:t>
      </w:r>
      <w:r w:rsidRPr="00394D9A">
        <w:rPr>
          <w:szCs w:val="22"/>
          <w:lang w:val="sr-Latn-RS"/>
        </w:rPr>
        <w:t>jedna</w:t>
      </w:r>
      <w:r w:rsidRPr="00394D9A">
        <w:rPr>
          <w:spacing w:val="-3"/>
          <w:szCs w:val="22"/>
          <w:lang w:val="sr-Latn-RS"/>
        </w:rPr>
        <w:t xml:space="preserve"> </w:t>
      </w:r>
      <w:r w:rsidRPr="00394D9A">
        <w:rPr>
          <w:szCs w:val="22"/>
          <w:lang w:val="sr-Latn-RS"/>
        </w:rPr>
        <w:t>kapsula</w:t>
      </w:r>
      <w:r w:rsidRPr="00394D9A">
        <w:rPr>
          <w:spacing w:val="-3"/>
          <w:szCs w:val="22"/>
          <w:lang w:val="sr-Latn-RS"/>
        </w:rPr>
        <w:t xml:space="preserve"> </w:t>
      </w:r>
      <w:r w:rsidRPr="00394D9A">
        <w:rPr>
          <w:szCs w:val="22"/>
          <w:lang w:val="sr-Latn-RS"/>
        </w:rPr>
        <w:t>od</w:t>
      </w:r>
      <w:r w:rsidRPr="00394D9A">
        <w:rPr>
          <w:spacing w:val="-3"/>
          <w:szCs w:val="22"/>
          <w:lang w:val="sr-Latn-RS"/>
        </w:rPr>
        <w:t xml:space="preserve"> </w:t>
      </w:r>
      <w:r w:rsidRPr="00394D9A">
        <w:rPr>
          <w:szCs w:val="22"/>
          <w:lang w:val="sr-Latn-RS"/>
        </w:rPr>
        <w:t>150</w:t>
      </w:r>
      <w:r w:rsidRPr="00394D9A">
        <w:rPr>
          <w:spacing w:val="-3"/>
          <w:szCs w:val="22"/>
          <w:lang w:val="sr-Latn-RS"/>
        </w:rPr>
        <w:t xml:space="preserve"> </w:t>
      </w:r>
      <w:r w:rsidRPr="00394D9A">
        <w:rPr>
          <w:szCs w:val="22"/>
          <w:lang w:val="sr-Latn-RS"/>
        </w:rPr>
        <w:t>mg</w:t>
      </w:r>
      <w:r w:rsidRPr="00394D9A">
        <w:rPr>
          <w:spacing w:val="-3"/>
          <w:szCs w:val="22"/>
          <w:lang w:val="sr-Latn-RS"/>
        </w:rPr>
        <w:t xml:space="preserve"> </w:t>
      </w:r>
      <w:r w:rsidRPr="00394D9A">
        <w:rPr>
          <w:szCs w:val="22"/>
          <w:lang w:val="sr-Latn-RS"/>
        </w:rPr>
        <w:t>ili</w:t>
      </w:r>
    </w:p>
    <w:p w14:paraId="57E6E1B0" w14:textId="71BCB0D8" w:rsidR="007A5478" w:rsidRPr="00394D9A" w:rsidRDefault="00E34D3B" w:rsidP="00187D17">
      <w:pPr>
        <w:widowControl w:val="0"/>
        <w:tabs>
          <w:tab w:val="clear" w:pos="284"/>
        </w:tabs>
        <w:autoSpaceDE w:val="0"/>
        <w:autoSpaceDN w:val="0"/>
        <w:ind w:firstLine="720"/>
        <w:rPr>
          <w:szCs w:val="22"/>
          <w:lang w:val="sr-Latn-RS"/>
        </w:rPr>
      </w:pPr>
      <w:r w:rsidRPr="00394D9A">
        <w:rPr>
          <w:szCs w:val="22"/>
          <w:lang w:val="sr-Latn-RS"/>
        </w:rPr>
        <w:t xml:space="preserve"> </w:t>
      </w:r>
      <w:r w:rsidR="007A5478" w:rsidRPr="00394D9A">
        <w:rPr>
          <w:szCs w:val="22"/>
          <w:lang w:val="sr-Latn-RS"/>
        </w:rPr>
        <w:t>jedna kapsula od 110 mg plus dv</w:t>
      </w:r>
      <w:r w:rsidR="00C521B7" w:rsidRPr="00394D9A">
        <w:rPr>
          <w:szCs w:val="22"/>
          <w:lang w:val="sr-Latn-RS"/>
        </w:rPr>
        <w:t>ij</w:t>
      </w:r>
      <w:r w:rsidR="007A5478" w:rsidRPr="00394D9A">
        <w:rPr>
          <w:szCs w:val="22"/>
          <w:lang w:val="sr-Latn-RS"/>
        </w:rPr>
        <w:t>e kapsule od 75 mg</w:t>
      </w:r>
    </w:p>
    <w:p w14:paraId="4F6CF820" w14:textId="7F768147" w:rsidR="007A5478" w:rsidRPr="00394D9A" w:rsidRDefault="007A5478" w:rsidP="00187D17">
      <w:pPr>
        <w:widowControl w:val="0"/>
        <w:tabs>
          <w:tab w:val="clear" w:pos="284"/>
        </w:tabs>
        <w:autoSpaceDE w:val="0"/>
        <w:autoSpaceDN w:val="0"/>
        <w:rPr>
          <w:szCs w:val="22"/>
          <w:lang w:val="sr-Latn-RS"/>
        </w:rPr>
      </w:pPr>
      <w:r w:rsidRPr="00394D9A">
        <w:rPr>
          <w:szCs w:val="22"/>
          <w:lang w:val="sr-Latn-RS"/>
        </w:rPr>
        <w:t>220</w:t>
      </w:r>
      <w:r w:rsidRPr="00394D9A">
        <w:rPr>
          <w:spacing w:val="-4"/>
          <w:szCs w:val="22"/>
          <w:lang w:val="sr-Latn-RS"/>
        </w:rPr>
        <w:t xml:space="preserve"> </w:t>
      </w:r>
      <w:r w:rsidRPr="00394D9A">
        <w:rPr>
          <w:szCs w:val="22"/>
          <w:lang w:val="sr-Latn-RS"/>
        </w:rPr>
        <w:t>mg:</w:t>
      </w:r>
      <w:r w:rsidRPr="00394D9A">
        <w:rPr>
          <w:spacing w:val="-3"/>
          <w:szCs w:val="22"/>
          <w:lang w:val="sr-Latn-RS"/>
        </w:rPr>
        <w:t xml:space="preserve"> </w:t>
      </w:r>
      <w:r w:rsidRPr="00394D9A">
        <w:rPr>
          <w:szCs w:val="22"/>
          <w:lang w:val="sr-Latn-RS"/>
        </w:rPr>
        <w:t>dv</w:t>
      </w:r>
      <w:r w:rsidR="003A2DDC" w:rsidRPr="00394D9A">
        <w:rPr>
          <w:szCs w:val="22"/>
          <w:lang w:val="sr-Latn-RS"/>
        </w:rPr>
        <w:t>ij</w:t>
      </w:r>
      <w:r w:rsidRPr="00394D9A">
        <w:rPr>
          <w:szCs w:val="22"/>
          <w:lang w:val="sr-Latn-RS"/>
        </w:rPr>
        <w:t>e</w:t>
      </w:r>
      <w:r w:rsidRPr="00394D9A">
        <w:rPr>
          <w:spacing w:val="-4"/>
          <w:szCs w:val="22"/>
          <w:lang w:val="sr-Latn-RS"/>
        </w:rPr>
        <w:t xml:space="preserve"> </w:t>
      </w:r>
      <w:r w:rsidRPr="00394D9A">
        <w:rPr>
          <w:szCs w:val="22"/>
          <w:lang w:val="sr-Latn-RS"/>
        </w:rPr>
        <w:t>kapsule</w:t>
      </w:r>
      <w:r w:rsidRPr="00394D9A">
        <w:rPr>
          <w:spacing w:val="-3"/>
          <w:szCs w:val="22"/>
          <w:lang w:val="sr-Latn-RS"/>
        </w:rPr>
        <w:t xml:space="preserve"> </w:t>
      </w:r>
      <w:r w:rsidRPr="00394D9A">
        <w:rPr>
          <w:szCs w:val="22"/>
          <w:lang w:val="sr-Latn-RS"/>
        </w:rPr>
        <w:t>od</w:t>
      </w:r>
      <w:r w:rsidRPr="00394D9A">
        <w:rPr>
          <w:spacing w:val="-4"/>
          <w:szCs w:val="22"/>
          <w:lang w:val="sr-Latn-RS"/>
        </w:rPr>
        <w:t xml:space="preserve"> </w:t>
      </w:r>
      <w:r w:rsidRPr="00394D9A">
        <w:rPr>
          <w:szCs w:val="22"/>
          <w:lang w:val="sr-Latn-RS"/>
        </w:rPr>
        <w:t>110</w:t>
      </w:r>
      <w:r w:rsidRPr="00394D9A">
        <w:rPr>
          <w:spacing w:val="-3"/>
          <w:szCs w:val="22"/>
          <w:lang w:val="sr-Latn-RS"/>
        </w:rPr>
        <w:t xml:space="preserve"> </w:t>
      </w:r>
      <w:r w:rsidRPr="00394D9A">
        <w:rPr>
          <w:spacing w:val="-5"/>
          <w:szCs w:val="22"/>
          <w:lang w:val="sr-Latn-RS"/>
        </w:rPr>
        <w:t>mg</w:t>
      </w:r>
    </w:p>
    <w:p w14:paraId="27DBC21F" w14:textId="77777777" w:rsidR="00EC59AB" w:rsidRPr="00394D9A" w:rsidRDefault="007A5478" w:rsidP="00187D17">
      <w:pPr>
        <w:widowControl w:val="0"/>
        <w:tabs>
          <w:tab w:val="clear" w:pos="284"/>
        </w:tabs>
        <w:autoSpaceDE w:val="0"/>
        <w:autoSpaceDN w:val="0"/>
        <w:rPr>
          <w:szCs w:val="22"/>
          <w:lang w:val="sr-Latn-RS"/>
        </w:rPr>
      </w:pPr>
      <w:r w:rsidRPr="00394D9A">
        <w:rPr>
          <w:szCs w:val="22"/>
          <w:lang w:val="sr-Latn-RS"/>
        </w:rPr>
        <w:t>185</w:t>
      </w:r>
      <w:r w:rsidRPr="00394D9A">
        <w:rPr>
          <w:spacing w:val="-3"/>
          <w:szCs w:val="22"/>
          <w:lang w:val="sr-Latn-RS"/>
        </w:rPr>
        <w:t xml:space="preserve"> </w:t>
      </w:r>
      <w:r w:rsidRPr="00394D9A">
        <w:rPr>
          <w:szCs w:val="22"/>
          <w:lang w:val="sr-Latn-RS"/>
        </w:rPr>
        <w:t>mg:</w:t>
      </w:r>
      <w:r w:rsidRPr="00394D9A">
        <w:rPr>
          <w:spacing w:val="-3"/>
          <w:szCs w:val="22"/>
          <w:lang w:val="sr-Latn-RS"/>
        </w:rPr>
        <w:t xml:space="preserve"> </w:t>
      </w:r>
      <w:r w:rsidRPr="00394D9A">
        <w:rPr>
          <w:szCs w:val="22"/>
          <w:lang w:val="sr-Latn-RS"/>
        </w:rPr>
        <w:t>jedna</w:t>
      </w:r>
      <w:r w:rsidRPr="00394D9A">
        <w:rPr>
          <w:spacing w:val="-3"/>
          <w:szCs w:val="22"/>
          <w:lang w:val="sr-Latn-RS"/>
        </w:rPr>
        <w:t xml:space="preserve"> </w:t>
      </w:r>
      <w:r w:rsidRPr="00394D9A">
        <w:rPr>
          <w:szCs w:val="22"/>
          <w:lang w:val="sr-Latn-RS"/>
        </w:rPr>
        <w:t>kapsula</w:t>
      </w:r>
      <w:r w:rsidRPr="00394D9A">
        <w:rPr>
          <w:spacing w:val="-3"/>
          <w:szCs w:val="22"/>
          <w:lang w:val="sr-Latn-RS"/>
        </w:rPr>
        <w:t xml:space="preserve"> </w:t>
      </w:r>
      <w:r w:rsidRPr="00394D9A">
        <w:rPr>
          <w:szCs w:val="22"/>
          <w:lang w:val="sr-Latn-RS"/>
        </w:rPr>
        <w:t>od</w:t>
      </w:r>
      <w:r w:rsidRPr="00394D9A">
        <w:rPr>
          <w:spacing w:val="-3"/>
          <w:szCs w:val="22"/>
          <w:lang w:val="sr-Latn-RS"/>
        </w:rPr>
        <w:t xml:space="preserve"> </w:t>
      </w:r>
      <w:r w:rsidRPr="00394D9A">
        <w:rPr>
          <w:szCs w:val="22"/>
          <w:lang w:val="sr-Latn-RS"/>
        </w:rPr>
        <w:t>75</w:t>
      </w:r>
      <w:r w:rsidRPr="00394D9A">
        <w:rPr>
          <w:spacing w:val="-3"/>
          <w:szCs w:val="22"/>
          <w:lang w:val="sr-Latn-RS"/>
        </w:rPr>
        <w:t xml:space="preserve"> </w:t>
      </w:r>
      <w:r w:rsidRPr="00394D9A">
        <w:rPr>
          <w:szCs w:val="22"/>
          <w:lang w:val="sr-Latn-RS"/>
        </w:rPr>
        <w:t>mg</w:t>
      </w:r>
      <w:r w:rsidRPr="00394D9A">
        <w:rPr>
          <w:spacing w:val="-3"/>
          <w:szCs w:val="22"/>
          <w:lang w:val="sr-Latn-RS"/>
        </w:rPr>
        <w:t xml:space="preserve"> </w:t>
      </w:r>
      <w:r w:rsidRPr="00394D9A">
        <w:rPr>
          <w:szCs w:val="22"/>
          <w:lang w:val="sr-Latn-RS"/>
        </w:rPr>
        <w:t>plus</w:t>
      </w:r>
      <w:r w:rsidRPr="00394D9A">
        <w:rPr>
          <w:spacing w:val="-1"/>
          <w:szCs w:val="22"/>
          <w:lang w:val="sr-Latn-RS"/>
        </w:rPr>
        <w:t xml:space="preserve"> </w:t>
      </w:r>
      <w:r w:rsidRPr="00394D9A">
        <w:rPr>
          <w:szCs w:val="22"/>
          <w:lang w:val="sr-Latn-RS"/>
        </w:rPr>
        <w:t>jedna</w:t>
      </w:r>
      <w:r w:rsidRPr="00394D9A">
        <w:rPr>
          <w:spacing w:val="-3"/>
          <w:szCs w:val="22"/>
          <w:lang w:val="sr-Latn-RS"/>
        </w:rPr>
        <w:t xml:space="preserve"> </w:t>
      </w:r>
      <w:r w:rsidRPr="00394D9A">
        <w:rPr>
          <w:szCs w:val="22"/>
          <w:lang w:val="sr-Latn-RS"/>
        </w:rPr>
        <w:t>kapsula</w:t>
      </w:r>
      <w:r w:rsidRPr="00394D9A">
        <w:rPr>
          <w:spacing w:val="-3"/>
          <w:szCs w:val="22"/>
          <w:lang w:val="sr-Latn-RS"/>
        </w:rPr>
        <w:t xml:space="preserve"> </w:t>
      </w:r>
      <w:r w:rsidRPr="00394D9A">
        <w:rPr>
          <w:szCs w:val="22"/>
          <w:lang w:val="sr-Latn-RS"/>
        </w:rPr>
        <w:t>od</w:t>
      </w:r>
      <w:r w:rsidRPr="00394D9A">
        <w:rPr>
          <w:spacing w:val="-3"/>
          <w:szCs w:val="22"/>
          <w:lang w:val="sr-Latn-RS"/>
        </w:rPr>
        <w:t xml:space="preserve"> </w:t>
      </w:r>
      <w:r w:rsidRPr="00394D9A">
        <w:rPr>
          <w:szCs w:val="22"/>
          <w:lang w:val="sr-Latn-RS"/>
        </w:rPr>
        <w:t>110</w:t>
      </w:r>
      <w:r w:rsidRPr="00394D9A">
        <w:rPr>
          <w:spacing w:val="-3"/>
          <w:szCs w:val="22"/>
          <w:lang w:val="sr-Latn-RS"/>
        </w:rPr>
        <w:t xml:space="preserve"> </w:t>
      </w:r>
      <w:r w:rsidRPr="00394D9A">
        <w:rPr>
          <w:szCs w:val="22"/>
          <w:lang w:val="sr-Latn-RS"/>
        </w:rPr>
        <w:t>mg</w:t>
      </w:r>
    </w:p>
    <w:p w14:paraId="5E97A7A0" w14:textId="6ED95065" w:rsidR="00EC59AB" w:rsidRPr="00394D9A" w:rsidRDefault="007A5478" w:rsidP="00187D17">
      <w:pPr>
        <w:widowControl w:val="0"/>
        <w:tabs>
          <w:tab w:val="clear" w:pos="284"/>
        </w:tabs>
        <w:autoSpaceDE w:val="0"/>
        <w:autoSpaceDN w:val="0"/>
        <w:rPr>
          <w:szCs w:val="22"/>
          <w:lang w:val="sr-Latn-RS"/>
        </w:rPr>
      </w:pPr>
      <w:r w:rsidRPr="00394D9A">
        <w:rPr>
          <w:szCs w:val="22"/>
          <w:lang w:val="sr-Latn-RS"/>
        </w:rPr>
        <w:t>150 mg: jedna kapsula od 150 mg ili</w:t>
      </w:r>
    </w:p>
    <w:p w14:paraId="2277BFA4" w14:textId="21EE2243" w:rsidR="007A5478" w:rsidRPr="00394D9A" w:rsidRDefault="00EC59AB" w:rsidP="00187D17">
      <w:pPr>
        <w:widowControl w:val="0"/>
        <w:tabs>
          <w:tab w:val="clear" w:pos="284"/>
        </w:tabs>
        <w:autoSpaceDE w:val="0"/>
        <w:autoSpaceDN w:val="0"/>
        <w:ind w:firstLine="720"/>
        <w:rPr>
          <w:szCs w:val="22"/>
          <w:lang w:val="sr-Latn-RS"/>
        </w:rPr>
      </w:pPr>
      <w:r w:rsidRPr="00394D9A">
        <w:rPr>
          <w:szCs w:val="22"/>
          <w:lang w:val="sr-Latn-RS"/>
        </w:rPr>
        <w:t xml:space="preserve"> </w:t>
      </w:r>
      <w:r w:rsidR="007A5478" w:rsidRPr="00394D9A">
        <w:rPr>
          <w:szCs w:val="22"/>
          <w:lang w:val="sr-Latn-RS"/>
        </w:rPr>
        <w:t>dv</w:t>
      </w:r>
      <w:r w:rsidR="00C521B7" w:rsidRPr="00394D9A">
        <w:rPr>
          <w:szCs w:val="22"/>
          <w:lang w:val="sr-Latn-RS"/>
        </w:rPr>
        <w:t>ij</w:t>
      </w:r>
      <w:r w:rsidR="007A5478" w:rsidRPr="00394D9A">
        <w:rPr>
          <w:szCs w:val="22"/>
          <w:lang w:val="sr-Latn-RS"/>
        </w:rPr>
        <w:t>e kapsule od 75 mg</w:t>
      </w:r>
    </w:p>
    <w:p w14:paraId="66FFAC26" w14:textId="77777777" w:rsidR="007A5478" w:rsidRPr="00394D9A" w:rsidRDefault="007A5478" w:rsidP="00187D17">
      <w:pPr>
        <w:widowControl w:val="0"/>
        <w:rPr>
          <w:b/>
          <w:bCs/>
          <w:szCs w:val="22"/>
          <w:lang w:val="sr-Latn-RS"/>
        </w:rPr>
      </w:pPr>
    </w:p>
    <w:p w14:paraId="797C2922" w14:textId="4355F1FC" w:rsidR="007A5478" w:rsidRPr="00394D9A" w:rsidRDefault="007A5478" w:rsidP="00187D17">
      <w:pPr>
        <w:widowControl w:val="0"/>
        <w:tabs>
          <w:tab w:val="clear" w:pos="284"/>
        </w:tabs>
        <w:autoSpaceDE w:val="0"/>
        <w:autoSpaceDN w:val="0"/>
        <w:rPr>
          <w:i/>
          <w:spacing w:val="-2"/>
          <w:szCs w:val="22"/>
          <w:u w:val="single"/>
          <w:lang w:val="sr-Latn-RS"/>
        </w:rPr>
      </w:pPr>
      <w:r w:rsidRPr="00394D9A">
        <w:rPr>
          <w:i/>
          <w:szCs w:val="22"/>
          <w:u w:val="single"/>
          <w:lang w:val="sr-Latn-RS"/>
        </w:rPr>
        <w:t>Proc</w:t>
      </w:r>
      <w:r w:rsidR="00C521B7" w:rsidRPr="00394D9A">
        <w:rPr>
          <w:i/>
          <w:szCs w:val="22"/>
          <w:u w:val="single"/>
          <w:lang w:val="sr-Latn-RS"/>
        </w:rPr>
        <w:t>j</w:t>
      </w:r>
      <w:r w:rsidRPr="00394D9A">
        <w:rPr>
          <w:i/>
          <w:szCs w:val="22"/>
          <w:u w:val="single"/>
          <w:lang w:val="sr-Latn-RS"/>
        </w:rPr>
        <w:t>ena</w:t>
      </w:r>
      <w:r w:rsidRPr="00394D9A">
        <w:rPr>
          <w:i/>
          <w:spacing w:val="-6"/>
          <w:szCs w:val="22"/>
          <w:u w:val="single"/>
          <w:lang w:val="sr-Latn-RS"/>
        </w:rPr>
        <w:t xml:space="preserve"> </w:t>
      </w:r>
      <w:r w:rsidRPr="00394D9A">
        <w:rPr>
          <w:i/>
          <w:szCs w:val="22"/>
          <w:u w:val="single"/>
          <w:lang w:val="sr-Latn-RS"/>
        </w:rPr>
        <w:t>bubrežne</w:t>
      </w:r>
      <w:r w:rsidRPr="00394D9A">
        <w:rPr>
          <w:i/>
          <w:spacing w:val="-5"/>
          <w:szCs w:val="22"/>
          <w:u w:val="single"/>
          <w:lang w:val="sr-Latn-RS"/>
        </w:rPr>
        <w:t xml:space="preserve"> </w:t>
      </w:r>
      <w:r w:rsidRPr="00394D9A">
        <w:rPr>
          <w:i/>
          <w:szCs w:val="22"/>
          <w:u w:val="single"/>
          <w:lang w:val="sr-Latn-RS"/>
        </w:rPr>
        <w:t>funkcije</w:t>
      </w:r>
      <w:r w:rsidRPr="00394D9A">
        <w:rPr>
          <w:i/>
          <w:spacing w:val="-5"/>
          <w:szCs w:val="22"/>
          <w:u w:val="single"/>
          <w:lang w:val="sr-Latn-RS"/>
        </w:rPr>
        <w:t xml:space="preserve"> </w:t>
      </w:r>
      <w:r w:rsidRPr="00394D9A">
        <w:rPr>
          <w:i/>
          <w:szCs w:val="22"/>
          <w:u w:val="single"/>
          <w:lang w:val="sr-Latn-RS"/>
        </w:rPr>
        <w:t>pr</w:t>
      </w:r>
      <w:r w:rsidR="00C521B7" w:rsidRPr="00394D9A">
        <w:rPr>
          <w:i/>
          <w:szCs w:val="22"/>
          <w:u w:val="single"/>
          <w:lang w:val="sr-Latn-RS"/>
        </w:rPr>
        <w:t>ij</w:t>
      </w:r>
      <w:r w:rsidRPr="00394D9A">
        <w:rPr>
          <w:i/>
          <w:szCs w:val="22"/>
          <w:u w:val="single"/>
          <w:lang w:val="sr-Latn-RS"/>
        </w:rPr>
        <w:t>e</w:t>
      </w:r>
      <w:r w:rsidRPr="00394D9A">
        <w:rPr>
          <w:i/>
          <w:spacing w:val="-6"/>
          <w:szCs w:val="22"/>
          <w:u w:val="single"/>
          <w:lang w:val="sr-Latn-RS"/>
        </w:rPr>
        <w:t xml:space="preserve"> </w:t>
      </w:r>
      <w:r w:rsidRPr="00394D9A">
        <w:rPr>
          <w:i/>
          <w:szCs w:val="22"/>
          <w:u w:val="single"/>
          <w:lang w:val="sr-Latn-RS"/>
        </w:rPr>
        <w:t>i</w:t>
      </w:r>
      <w:r w:rsidRPr="00394D9A">
        <w:rPr>
          <w:i/>
          <w:spacing w:val="-5"/>
          <w:szCs w:val="22"/>
          <w:u w:val="single"/>
          <w:lang w:val="sr-Latn-RS"/>
        </w:rPr>
        <w:t xml:space="preserve"> </w:t>
      </w:r>
      <w:r w:rsidRPr="00394D9A">
        <w:rPr>
          <w:i/>
          <w:szCs w:val="22"/>
          <w:u w:val="single"/>
          <w:lang w:val="sr-Latn-RS"/>
        </w:rPr>
        <w:t>tokom</w:t>
      </w:r>
      <w:r w:rsidRPr="00394D9A">
        <w:rPr>
          <w:i/>
          <w:spacing w:val="-5"/>
          <w:szCs w:val="22"/>
          <w:u w:val="single"/>
          <w:lang w:val="sr-Latn-RS"/>
        </w:rPr>
        <w:t xml:space="preserve"> </w:t>
      </w:r>
      <w:r w:rsidRPr="00394D9A">
        <w:rPr>
          <w:i/>
          <w:spacing w:val="-2"/>
          <w:szCs w:val="22"/>
          <w:u w:val="single"/>
          <w:lang w:val="sr-Latn-RS"/>
        </w:rPr>
        <w:t>terapije</w:t>
      </w:r>
    </w:p>
    <w:p w14:paraId="53313267" w14:textId="77777777" w:rsidR="00B72B9A" w:rsidRPr="00394D9A" w:rsidRDefault="00B72B9A" w:rsidP="00187D17">
      <w:pPr>
        <w:widowControl w:val="0"/>
        <w:tabs>
          <w:tab w:val="clear" w:pos="284"/>
        </w:tabs>
        <w:autoSpaceDE w:val="0"/>
        <w:autoSpaceDN w:val="0"/>
        <w:rPr>
          <w:i/>
          <w:szCs w:val="22"/>
          <w:lang w:val="sr-Latn-RS"/>
        </w:rPr>
      </w:pPr>
    </w:p>
    <w:p w14:paraId="2B42FCCE" w14:textId="55F612CC" w:rsidR="007A5478" w:rsidRPr="00394D9A" w:rsidRDefault="007A5478" w:rsidP="00187D17">
      <w:pPr>
        <w:widowControl w:val="0"/>
        <w:tabs>
          <w:tab w:val="clear" w:pos="284"/>
        </w:tabs>
        <w:autoSpaceDE w:val="0"/>
        <w:autoSpaceDN w:val="0"/>
        <w:rPr>
          <w:szCs w:val="22"/>
          <w:lang w:val="sr-Latn-RS"/>
        </w:rPr>
      </w:pPr>
      <w:r w:rsidRPr="00394D9A">
        <w:rPr>
          <w:szCs w:val="22"/>
          <w:lang w:val="sr-Latn-RS"/>
        </w:rPr>
        <w:t>Pr</w:t>
      </w:r>
      <w:r w:rsidR="00C521B7" w:rsidRPr="00394D9A">
        <w:rPr>
          <w:szCs w:val="22"/>
          <w:lang w:val="sr-Latn-RS"/>
        </w:rPr>
        <w:t>ij</w:t>
      </w:r>
      <w:r w:rsidRPr="00394D9A">
        <w:rPr>
          <w:szCs w:val="22"/>
          <w:lang w:val="sr-Latn-RS"/>
        </w:rPr>
        <w:t>e započinjanja terapije potrebno je odrediti proc</w:t>
      </w:r>
      <w:r w:rsidR="00C521B7" w:rsidRPr="00394D9A">
        <w:rPr>
          <w:szCs w:val="22"/>
          <w:lang w:val="sr-Latn-RS"/>
        </w:rPr>
        <w:t>ij</w:t>
      </w:r>
      <w:r w:rsidRPr="00394D9A">
        <w:rPr>
          <w:szCs w:val="22"/>
          <w:lang w:val="sr-Latn-RS"/>
        </w:rPr>
        <w:t>enjenu brzinu glomerularne filtracije (eGFR) prim</w:t>
      </w:r>
      <w:r w:rsidR="00C521B7" w:rsidRPr="00394D9A">
        <w:rPr>
          <w:szCs w:val="22"/>
          <w:lang w:val="sr-Latn-RS"/>
        </w:rPr>
        <w:t>j</w:t>
      </w:r>
      <w:r w:rsidRPr="00394D9A">
        <w:rPr>
          <w:szCs w:val="22"/>
          <w:lang w:val="sr-Latn-RS"/>
        </w:rPr>
        <w:t>enom</w:t>
      </w:r>
      <w:r w:rsidRPr="00394D9A">
        <w:rPr>
          <w:spacing w:val="-4"/>
          <w:szCs w:val="22"/>
          <w:lang w:val="sr-Latn-RS"/>
        </w:rPr>
        <w:t xml:space="preserve"> </w:t>
      </w:r>
      <w:r w:rsidRPr="00394D9A">
        <w:rPr>
          <w:szCs w:val="22"/>
          <w:lang w:val="sr-Latn-RS"/>
        </w:rPr>
        <w:t>Schwartz-ove</w:t>
      </w:r>
      <w:r w:rsidRPr="00394D9A">
        <w:rPr>
          <w:spacing w:val="-7"/>
          <w:szCs w:val="22"/>
          <w:lang w:val="sr-Latn-RS"/>
        </w:rPr>
        <w:t xml:space="preserve"> </w:t>
      </w:r>
      <w:r w:rsidRPr="00394D9A">
        <w:rPr>
          <w:szCs w:val="22"/>
          <w:lang w:val="sr-Latn-RS"/>
        </w:rPr>
        <w:t>formule</w:t>
      </w:r>
      <w:r w:rsidRPr="00394D9A">
        <w:rPr>
          <w:spacing w:val="-5"/>
          <w:szCs w:val="22"/>
          <w:lang w:val="sr-Latn-RS"/>
        </w:rPr>
        <w:t xml:space="preserve"> </w:t>
      </w:r>
      <w:r w:rsidRPr="00394D9A">
        <w:rPr>
          <w:szCs w:val="22"/>
          <w:lang w:val="sr-Latn-RS"/>
        </w:rPr>
        <w:t>(prov</w:t>
      </w:r>
      <w:r w:rsidR="00C521B7" w:rsidRPr="00394D9A">
        <w:rPr>
          <w:szCs w:val="22"/>
          <w:lang w:val="sr-Latn-RS"/>
        </w:rPr>
        <w:t>j</w:t>
      </w:r>
      <w:r w:rsidRPr="00394D9A">
        <w:rPr>
          <w:szCs w:val="22"/>
          <w:lang w:val="sr-Latn-RS"/>
        </w:rPr>
        <w:t>eriti</w:t>
      </w:r>
      <w:r w:rsidRPr="00394D9A">
        <w:rPr>
          <w:spacing w:val="-5"/>
          <w:szCs w:val="22"/>
          <w:lang w:val="sr-Latn-RS"/>
        </w:rPr>
        <w:t xml:space="preserve"> </w:t>
      </w:r>
      <w:r w:rsidRPr="00394D9A">
        <w:rPr>
          <w:szCs w:val="22"/>
          <w:lang w:val="sr-Latn-RS"/>
        </w:rPr>
        <w:t>u</w:t>
      </w:r>
      <w:r w:rsidRPr="00394D9A">
        <w:rPr>
          <w:spacing w:val="-5"/>
          <w:szCs w:val="22"/>
          <w:lang w:val="sr-Latn-RS"/>
        </w:rPr>
        <w:t xml:space="preserve"> </w:t>
      </w:r>
      <w:r w:rsidRPr="00394D9A">
        <w:rPr>
          <w:szCs w:val="22"/>
          <w:lang w:val="sr-Latn-RS"/>
        </w:rPr>
        <w:t>nadležnoj</w:t>
      </w:r>
      <w:r w:rsidRPr="00394D9A">
        <w:rPr>
          <w:spacing w:val="-1"/>
          <w:szCs w:val="22"/>
          <w:lang w:val="sr-Latn-RS"/>
        </w:rPr>
        <w:t xml:space="preserve"> </w:t>
      </w:r>
      <w:r w:rsidRPr="00394D9A">
        <w:rPr>
          <w:szCs w:val="22"/>
          <w:lang w:val="sr-Latn-RS"/>
        </w:rPr>
        <w:t>laboratoriji</w:t>
      </w:r>
      <w:r w:rsidRPr="00394D9A">
        <w:rPr>
          <w:spacing w:val="-6"/>
          <w:szCs w:val="22"/>
          <w:lang w:val="sr-Latn-RS"/>
        </w:rPr>
        <w:t xml:space="preserve"> </w:t>
      </w:r>
      <w:r w:rsidRPr="00394D9A">
        <w:rPr>
          <w:szCs w:val="22"/>
          <w:lang w:val="sr-Latn-RS"/>
        </w:rPr>
        <w:t>koja se</w:t>
      </w:r>
      <w:r w:rsidRPr="00394D9A">
        <w:rPr>
          <w:spacing w:val="-4"/>
          <w:szCs w:val="22"/>
          <w:lang w:val="sr-Latn-RS"/>
        </w:rPr>
        <w:t xml:space="preserve"> </w:t>
      </w:r>
      <w:r w:rsidRPr="00394D9A">
        <w:rPr>
          <w:szCs w:val="22"/>
          <w:lang w:val="sr-Latn-RS"/>
        </w:rPr>
        <w:t>metoda koristi</w:t>
      </w:r>
      <w:r w:rsidRPr="00394D9A">
        <w:rPr>
          <w:spacing w:val="-6"/>
          <w:szCs w:val="22"/>
          <w:lang w:val="sr-Latn-RS"/>
        </w:rPr>
        <w:t xml:space="preserve"> </w:t>
      </w:r>
      <w:r w:rsidRPr="00394D9A">
        <w:rPr>
          <w:szCs w:val="22"/>
          <w:lang w:val="sr-Latn-RS"/>
        </w:rPr>
        <w:t>za</w:t>
      </w:r>
      <w:r w:rsidRPr="00394D9A">
        <w:rPr>
          <w:spacing w:val="-6"/>
          <w:szCs w:val="22"/>
          <w:lang w:val="sr-Latn-RS"/>
        </w:rPr>
        <w:t xml:space="preserve"> </w:t>
      </w:r>
      <w:r w:rsidRPr="00394D9A">
        <w:rPr>
          <w:szCs w:val="22"/>
          <w:lang w:val="sr-Latn-RS"/>
        </w:rPr>
        <w:t>proc</w:t>
      </w:r>
      <w:r w:rsidR="00C521B7" w:rsidRPr="00394D9A">
        <w:rPr>
          <w:szCs w:val="22"/>
          <w:lang w:val="sr-Latn-RS"/>
        </w:rPr>
        <w:t>j</w:t>
      </w:r>
      <w:r w:rsidRPr="00394D9A">
        <w:rPr>
          <w:szCs w:val="22"/>
          <w:lang w:val="sr-Latn-RS"/>
        </w:rPr>
        <w:t xml:space="preserve">enu </w:t>
      </w:r>
      <w:r w:rsidRPr="00394D9A">
        <w:rPr>
          <w:spacing w:val="-2"/>
          <w:szCs w:val="22"/>
          <w:lang w:val="sr-Latn-RS"/>
        </w:rPr>
        <w:lastRenderedPageBreak/>
        <w:t>kreatinina).</w:t>
      </w:r>
    </w:p>
    <w:p w14:paraId="43E943A0" w14:textId="77777777" w:rsidR="007A5478" w:rsidRPr="00394D9A" w:rsidRDefault="007A5478" w:rsidP="00187D17">
      <w:pPr>
        <w:widowControl w:val="0"/>
        <w:tabs>
          <w:tab w:val="clear" w:pos="284"/>
        </w:tabs>
        <w:autoSpaceDE w:val="0"/>
        <w:autoSpaceDN w:val="0"/>
        <w:rPr>
          <w:szCs w:val="22"/>
          <w:lang w:val="sr-Latn-RS"/>
        </w:rPr>
      </w:pPr>
    </w:p>
    <w:p w14:paraId="66D43454" w14:textId="73C66486" w:rsidR="007A5478" w:rsidRPr="00394D9A" w:rsidRDefault="007A5478" w:rsidP="00187D17">
      <w:pPr>
        <w:widowControl w:val="0"/>
        <w:tabs>
          <w:tab w:val="clear" w:pos="284"/>
        </w:tabs>
        <w:autoSpaceDE w:val="0"/>
        <w:autoSpaceDN w:val="0"/>
        <w:rPr>
          <w:szCs w:val="22"/>
          <w:lang w:val="sr-Latn-RS"/>
        </w:rPr>
      </w:pPr>
      <w:r w:rsidRPr="00394D9A">
        <w:rPr>
          <w:szCs w:val="22"/>
          <w:lang w:val="sr-Latn-RS"/>
        </w:rPr>
        <w:t>Terapija dabigatraneteksilatom</w:t>
      </w:r>
      <w:r w:rsidRPr="00394D9A">
        <w:rPr>
          <w:spacing w:val="-6"/>
          <w:szCs w:val="22"/>
          <w:lang w:val="sr-Latn-RS"/>
        </w:rPr>
        <w:t xml:space="preserve"> </w:t>
      </w:r>
      <w:r w:rsidRPr="00394D9A">
        <w:rPr>
          <w:szCs w:val="22"/>
          <w:lang w:val="sr-Latn-RS"/>
        </w:rPr>
        <w:t>kod</w:t>
      </w:r>
      <w:r w:rsidRPr="00394D9A">
        <w:rPr>
          <w:spacing w:val="-7"/>
          <w:szCs w:val="22"/>
          <w:lang w:val="sr-Latn-RS"/>
        </w:rPr>
        <w:t xml:space="preserve"> </w:t>
      </w:r>
      <w:r w:rsidRPr="00394D9A">
        <w:rPr>
          <w:szCs w:val="22"/>
          <w:lang w:val="sr-Latn-RS"/>
        </w:rPr>
        <w:t>pedijatrijskih</w:t>
      </w:r>
      <w:r w:rsidRPr="00394D9A">
        <w:rPr>
          <w:spacing w:val="-3"/>
          <w:szCs w:val="22"/>
          <w:lang w:val="sr-Latn-RS"/>
        </w:rPr>
        <w:t xml:space="preserve"> </w:t>
      </w:r>
      <w:r w:rsidRPr="00394D9A">
        <w:rPr>
          <w:szCs w:val="22"/>
          <w:lang w:val="sr-Latn-RS"/>
        </w:rPr>
        <w:t>pacijenata sa</w:t>
      </w:r>
      <w:r w:rsidRPr="00394D9A">
        <w:rPr>
          <w:spacing w:val="-4"/>
          <w:szCs w:val="22"/>
          <w:lang w:val="sr-Latn-RS"/>
        </w:rPr>
        <w:t xml:space="preserve"> </w:t>
      </w:r>
      <w:r w:rsidRPr="00394D9A">
        <w:rPr>
          <w:szCs w:val="22"/>
          <w:lang w:val="sr-Latn-RS"/>
        </w:rPr>
        <w:t>eGFR</w:t>
      </w:r>
      <w:r w:rsidRPr="00394D9A">
        <w:rPr>
          <w:spacing w:val="-5"/>
          <w:szCs w:val="22"/>
          <w:lang w:val="sr-Latn-RS"/>
        </w:rPr>
        <w:t xml:space="preserve"> </w:t>
      </w:r>
      <w:r w:rsidRPr="00394D9A">
        <w:rPr>
          <w:szCs w:val="22"/>
          <w:lang w:val="sr-Latn-RS"/>
        </w:rPr>
        <w:t>&lt;</w:t>
      </w:r>
      <w:r w:rsidRPr="00394D9A">
        <w:rPr>
          <w:spacing w:val="-5"/>
          <w:szCs w:val="22"/>
          <w:lang w:val="sr-Latn-RS"/>
        </w:rPr>
        <w:t xml:space="preserve"> </w:t>
      </w:r>
      <w:r w:rsidRPr="00394D9A">
        <w:rPr>
          <w:szCs w:val="22"/>
          <w:lang w:val="sr-Latn-RS"/>
        </w:rPr>
        <w:t>50</w:t>
      </w:r>
      <w:r w:rsidRPr="00394D9A">
        <w:rPr>
          <w:spacing w:val="-5"/>
          <w:szCs w:val="22"/>
          <w:lang w:val="sr-Latn-RS"/>
        </w:rPr>
        <w:t xml:space="preserve"> </w:t>
      </w:r>
      <w:r w:rsidRPr="00394D9A">
        <w:rPr>
          <w:szCs w:val="22"/>
          <w:lang w:val="sr-Latn-RS"/>
        </w:rPr>
        <w:t>m</w:t>
      </w:r>
      <w:r w:rsidR="00B72B9A" w:rsidRPr="00394D9A">
        <w:rPr>
          <w:szCs w:val="22"/>
          <w:lang w:val="sr-Latn-RS"/>
        </w:rPr>
        <w:t>l</w:t>
      </w:r>
      <w:r w:rsidRPr="00394D9A">
        <w:rPr>
          <w:szCs w:val="22"/>
          <w:lang w:val="sr-Latn-RS"/>
        </w:rPr>
        <w:t>/min/1,73</w:t>
      </w:r>
      <w:r w:rsidRPr="00394D9A">
        <w:rPr>
          <w:spacing w:val="-3"/>
          <w:szCs w:val="22"/>
          <w:lang w:val="sr-Latn-RS"/>
        </w:rPr>
        <w:t xml:space="preserve"> </w:t>
      </w:r>
      <w:r w:rsidRPr="00394D9A">
        <w:rPr>
          <w:szCs w:val="22"/>
          <w:lang w:val="sr-Latn-RS"/>
        </w:rPr>
        <w:t>m</w:t>
      </w:r>
      <w:r w:rsidRPr="00394D9A">
        <w:rPr>
          <w:szCs w:val="22"/>
          <w:vertAlign w:val="superscript"/>
          <w:lang w:val="sr-Latn-RS"/>
        </w:rPr>
        <w:t>2</w:t>
      </w:r>
      <w:r w:rsidRPr="00394D9A">
        <w:rPr>
          <w:spacing w:val="-4"/>
          <w:szCs w:val="22"/>
          <w:lang w:val="sr-Latn-RS"/>
        </w:rPr>
        <w:t xml:space="preserve"> </w:t>
      </w:r>
      <w:r w:rsidRPr="00394D9A">
        <w:rPr>
          <w:szCs w:val="22"/>
          <w:lang w:val="sr-Latn-RS"/>
        </w:rPr>
        <w:t>je kontraindikovana (vid</w:t>
      </w:r>
      <w:r w:rsidR="00C521B7" w:rsidRPr="00394D9A">
        <w:rPr>
          <w:szCs w:val="22"/>
          <w:lang w:val="sr-Latn-RS"/>
        </w:rPr>
        <w:t>j</w:t>
      </w:r>
      <w:r w:rsidRPr="00394D9A">
        <w:rPr>
          <w:szCs w:val="22"/>
          <w:lang w:val="sr-Latn-RS"/>
        </w:rPr>
        <w:t xml:space="preserve">eti </w:t>
      </w:r>
      <w:r w:rsidR="003A2DDC" w:rsidRPr="00394D9A">
        <w:rPr>
          <w:szCs w:val="22"/>
          <w:lang w:val="sr-Latn-RS"/>
        </w:rPr>
        <w:t>dio</w:t>
      </w:r>
      <w:r w:rsidRPr="00394D9A">
        <w:rPr>
          <w:szCs w:val="22"/>
          <w:lang w:val="sr-Latn-RS"/>
        </w:rPr>
        <w:t xml:space="preserve"> 4.3).</w:t>
      </w:r>
    </w:p>
    <w:p w14:paraId="75E8673C" w14:textId="77777777" w:rsidR="007A5478" w:rsidRPr="00394D9A" w:rsidRDefault="007A5478" w:rsidP="00187D17">
      <w:pPr>
        <w:widowControl w:val="0"/>
        <w:tabs>
          <w:tab w:val="clear" w:pos="284"/>
        </w:tabs>
        <w:autoSpaceDE w:val="0"/>
        <w:autoSpaceDN w:val="0"/>
        <w:rPr>
          <w:szCs w:val="22"/>
          <w:lang w:val="sr-Latn-RS"/>
        </w:rPr>
      </w:pPr>
    </w:p>
    <w:p w14:paraId="6FCD5823" w14:textId="1D0B6E81" w:rsidR="007A5478" w:rsidRPr="00394D9A" w:rsidRDefault="007A5478" w:rsidP="00187D17">
      <w:pPr>
        <w:widowControl w:val="0"/>
        <w:tabs>
          <w:tab w:val="clear" w:pos="284"/>
        </w:tabs>
        <w:autoSpaceDE w:val="0"/>
        <w:autoSpaceDN w:val="0"/>
        <w:rPr>
          <w:spacing w:val="-5"/>
          <w:szCs w:val="22"/>
          <w:lang w:val="sr-Latn-RS"/>
        </w:rPr>
      </w:pPr>
      <w:r w:rsidRPr="00394D9A">
        <w:rPr>
          <w:szCs w:val="22"/>
          <w:lang w:val="sr-Latn-RS"/>
        </w:rPr>
        <w:t>Pacijenti</w:t>
      </w:r>
      <w:r w:rsidRPr="00394D9A">
        <w:rPr>
          <w:spacing w:val="-6"/>
          <w:szCs w:val="22"/>
          <w:lang w:val="sr-Latn-RS"/>
        </w:rPr>
        <w:t xml:space="preserve"> </w:t>
      </w:r>
      <w:r w:rsidRPr="00394D9A">
        <w:rPr>
          <w:szCs w:val="22"/>
          <w:lang w:val="sr-Latn-RS"/>
        </w:rPr>
        <w:t>sa</w:t>
      </w:r>
      <w:r w:rsidRPr="00394D9A">
        <w:rPr>
          <w:spacing w:val="-1"/>
          <w:szCs w:val="22"/>
          <w:lang w:val="sr-Latn-RS"/>
        </w:rPr>
        <w:t xml:space="preserve"> </w:t>
      </w:r>
      <w:r w:rsidRPr="00394D9A">
        <w:rPr>
          <w:szCs w:val="22"/>
          <w:lang w:val="sr-Latn-RS"/>
        </w:rPr>
        <w:t>eGFR</w:t>
      </w:r>
      <w:r w:rsidRPr="00394D9A">
        <w:rPr>
          <w:spacing w:val="-3"/>
          <w:szCs w:val="22"/>
          <w:lang w:val="sr-Latn-RS"/>
        </w:rPr>
        <w:t xml:space="preserve"> </w:t>
      </w:r>
      <w:r w:rsidRPr="00394D9A">
        <w:rPr>
          <w:szCs w:val="22"/>
          <w:lang w:val="sr-Latn-RS"/>
        </w:rPr>
        <w:t>≥</w:t>
      </w:r>
      <w:r w:rsidRPr="00394D9A">
        <w:rPr>
          <w:spacing w:val="-6"/>
          <w:szCs w:val="22"/>
          <w:lang w:val="sr-Latn-RS"/>
        </w:rPr>
        <w:t xml:space="preserve"> </w:t>
      </w:r>
      <w:r w:rsidRPr="00394D9A">
        <w:rPr>
          <w:szCs w:val="22"/>
          <w:lang w:val="sr-Latn-RS"/>
        </w:rPr>
        <w:t>50</w:t>
      </w:r>
      <w:r w:rsidRPr="00394D9A">
        <w:rPr>
          <w:spacing w:val="-5"/>
          <w:szCs w:val="22"/>
          <w:lang w:val="sr-Latn-RS"/>
        </w:rPr>
        <w:t xml:space="preserve"> </w:t>
      </w:r>
      <w:r w:rsidRPr="00394D9A">
        <w:rPr>
          <w:szCs w:val="22"/>
          <w:lang w:val="sr-Latn-RS"/>
        </w:rPr>
        <w:t>m</w:t>
      </w:r>
      <w:r w:rsidR="00B72B9A" w:rsidRPr="00394D9A">
        <w:rPr>
          <w:szCs w:val="22"/>
          <w:lang w:val="sr-Latn-RS"/>
        </w:rPr>
        <w:t>l</w:t>
      </w:r>
      <w:r w:rsidRPr="00394D9A">
        <w:rPr>
          <w:szCs w:val="22"/>
          <w:lang w:val="sr-Latn-RS"/>
        </w:rPr>
        <w:t>/min/1,73</w:t>
      </w:r>
      <w:r w:rsidRPr="00394D9A">
        <w:rPr>
          <w:spacing w:val="-3"/>
          <w:szCs w:val="22"/>
          <w:lang w:val="sr-Latn-RS"/>
        </w:rPr>
        <w:t xml:space="preserve"> </w:t>
      </w:r>
      <w:r w:rsidRPr="00394D9A">
        <w:rPr>
          <w:szCs w:val="22"/>
          <w:lang w:val="sr-Latn-RS"/>
        </w:rPr>
        <w:t>m</w:t>
      </w:r>
      <w:r w:rsidRPr="00394D9A">
        <w:rPr>
          <w:szCs w:val="22"/>
          <w:vertAlign w:val="superscript"/>
          <w:lang w:val="sr-Latn-RS"/>
        </w:rPr>
        <w:t>2</w:t>
      </w:r>
      <w:r w:rsidRPr="00394D9A">
        <w:rPr>
          <w:spacing w:val="-5"/>
          <w:szCs w:val="22"/>
          <w:lang w:val="sr-Latn-RS"/>
        </w:rPr>
        <w:t xml:space="preserve"> </w:t>
      </w:r>
      <w:r w:rsidRPr="00394D9A">
        <w:rPr>
          <w:szCs w:val="22"/>
          <w:lang w:val="sr-Latn-RS"/>
        </w:rPr>
        <w:t>potrebno</w:t>
      </w:r>
      <w:r w:rsidRPr="00394D9A">
        <w:rPr>
          <w:spacing w:val="-6"/>
          <w:szCs w:val="22"/>
          <w:lang w:val="sr-Latn-RS"/>
        </w:rPr>
        <w:t xml:space="preserve"> </w:t>
      </w:r>
      <w:r w:rsidRPr="00394D9A">
        <w:rPr>
          <w:szCs w:val="22"/>
          <w:lang w:val="sr-Latn-RS"/>
        </w:rPr>
        <w:t>je</w:t>
      </w:r>
      <w:r w:rsidRPr="00394D9A">
        <w:rPr>
          <w:spacing w:val="1"/>
          <w:szCs w:val="22"/>
          <w:lang w:val="sr-Latn-RS"/>
        </w:rPr>
        <w:t xml:space="preserve"> </w:t>
      </w:r>
      <w:r w:rsidRPr="00394D9A">
        <w:rPr>
          <w:szCs w:val="22"/>
          <w:lang w:val="sr-Latn-RS"/>
        </w:rPr>
        <w:t>da</w:t>
      </w:r>
      <w:r w:rsidRPr="00394D9A">
        <w:rPr>
          <w:spacing w:val="-4"/>
          <w:szCs w:val="22"/>
          <w:lang w:val="sr-Latn-RS"/>
        </w:rPr>
        <w:t xml:space="preserve"> </w:t>
      </w:r>
      <w:r w:rsidRPr="00394D9A">
        <w:rPr>
          <w:szCs w:val="22"/>
          <w:lang w:val="sr-Latn-RS"/>
        </w:rPr>
        <w:t>primaju</w:t>
      </w:r>
      <w:r w:rsidRPr="00394D9A">
        <w:rPr>
          <w:spacing w:val="-2"/>
          <w:szCs w:val="22"/>
          <w:lang w:val="sr-Latn-RS"/>
        </w:rPr>
        <w:t xml:space="preserve"> </w:t>
      </w:r>
      <w:r w:rsidRPr="00394D9A">
        <w:rPr>
          <w:szCs w:val="22"/>
          <w:lang w:val="sr-Latn-RS"/>
        </w:rPr>
        <w:t>dozu</w:t>
      </w:r>
      <w:r w:rsidRPr="00394D9A">
        <w:rPr>
          <w:spacing w:val="-6"/>
          <w:szCs w:val="22"/>
          <w:lang w:val="sr-Latn-RS"/>
        </w:rPr>
        <w:t xml:space="preserve"> </w:t>
      </w:r>
      <w:r w:rsidRPr="00394D9A">
        <w:rPr>
          <w:szCs w:val="22"/>
          <w:lang w:val="sr-Latn-RS"/>
        </w:rPr>
        <w:t>prema</w:t>
      </w:r>
      <w:r w:rsidRPr="00394D9A">
        <w:rPr>
          <w:spacing w:val="-5"/>
          <w:szCs w:val="22"/>
          <w:lang w:val="sr-Latn-RS"/>
        </w:rPr>
        <w:t xml:space="preserve"> </w:t>
      </w:r>
      <w:r w:rsidRPr="00394D9A">
        <w:rPr>
          <w:szCs w:val="22"/>
          <w:lang w:val="sr-Latn-RS"/>
        </w:rPr>
        <w:t>tabeli</w:t>
      </w:r>
      <w:r w:rsidRPr="00394D9A">
        <w:rPr>
          <w:spacing w:val="-6"/>
          <w:szCs w:val="22"/>
          <w:lang w:val="sr-Latn-RS"/>
        </w:rPr>
        <w:t xml:space="preserve"> </w:t>
      </w:r>
      <w:r w:rsidRPr="00394D9A">
        <w:rPr>
          <w:spacing w:val="-5"/>
          <w:szCs w:val="22"/>
          <w:lang w:val="sr-Latn-RS"/>
        </w:rPr>
        <w:t>3.</w:t>
      </w:r>
    </w:p>
    <w:p w14:paraId="7491116B" w14:textId="77777777" w:rsidR="00845CD6" w:rsidRPr="00394D9A" w:rsidRDefault="00845CD6" w:rsidP="00187D17">
      <w:pPr>
        <w:widowControl w:val="0"/>
        <w:tabs>
          <w:tab w:val="clear" w:pos="284"/>
        </w:tabs>
        <w:autoSpaceDE w:val="0"/>
        <w:autoSpaceDN w:val="0"/>
        <w:rPr>
          <w:szCs w:val="22"/>
          <w:lang w:val="sr-Latn-RS"/>
        </w:rPr>
      </w:pPr>
    </w:p>
    <w:p w14:paraId="33BB33EC" w14:textId="18EB223A" w:rsidR="007A5478" w:rsidRPr="00394D9A" w:rsidRDefault="007A5478" w:rsidP="00187D17">
      <w:pPr>
        <w:widowControl w:val="0"/>
        <w:tabs>
          <w:tab w:val="clear" w:pos="284"/>
        </w:tabs>
        <w:autoSpaceDE w:val="0"/>
        <w:autoSpaceDN w:val="0"/>
        <w:rPr>
          <w:szCs w:val="22"/>
          <w:lang w:val="sr-Latn-RS"/>
        </w:rPr>
      </w:pPr>
      <w:r w:rsidRPr="00394D9A">
        <w:rPr>
          <w:szCs w:val="22"/>
          <w:lang w:val="sr-Latn-RS"/>
        </w:rPr>
        <w:t>Tokom terapije potrebno je proc</w:t>
      </w:r>
      <w:r w:rsidR="00C521B7" w:rsidRPr="00394D9A">
        <w:rPr>
          <w:szCs w:val="22"/>
          <w:lang w:val="sr-Latn-RS"/>
        </w:rPr>
        <w:t>ij</w:t>
      </w:r>
      <w:r w:rsidRPr="00394D9A">
        <w:rPr>
          <w:szCs w:val="22"/>
          <w:lang w:val="sr-Latn-RS"/>
        </w:rPr>
        <w:t>eniti bubrežnu funkciju u određenim kliničkim situacijama kada se sumnja</w:t>
      </w:r>
      <w:r w:rsidRPr="00394D9A">
        <w:rPr>
          <w:spacing w:val="-3"/>
          <w:szCs w:val="22"/>
          <w:lang w:val="sr-Latn-RS"/>
        </w:rPr>
        <w:t xml:space="preserve"> </w:t>
      </w:r>
      <w:r w:rsidRPr="00394D9A">
        <w:rPr>
          <w:szCs w:val="22"/>
          <w:lang w:val="sr-Latn-RS"/>
        </w:rPr>
        <w:t>na</w:t>
      </w:r>
      <w:r w:rsidRPr="00394D9A">
        <w:rPr>
          <w:spacing w:val="-3"/>
          <w:szCs w:val="22"/>
          <w:lang w:val="sr-Latn-RS"/>
        </w:rPr>
        <w:t xml:space="preserve"> </w:t>
      </w:r>
      <w:r w:rsidRPr="00394D9A">
        <w:rPr>
          <w:szCs w:val="22"/>
          <w:lang w:val="sr-Latn-RS"/>
        </w:rPr>
        <w:t>mogućnost</w:t>
      </w:r>
      <w:r w:rsidRPr="00394D9A">
        <w:rPr>
          <w:spacing w:val="-3"/>
          <w:szCs w:val="22"/>
          <w:lang w:val="sr-Latn-RS"/>
        </w:rPr>
        <w:t xml:space="preserve"> </w:t>
      </w:r>
      <w:r w:rsidRPr="00394D9A">
        <w:rPr>
          <w:szCs w:val="22"/>
          <w:lang w:val="sr-Latn-RS"/>
        </w:rPr>
        <w:t>smanjenja</w:t>
      </w:r>
      <w:r w:rsidRPr="00394D9A">
        <w:rPr>
          <w:spacing w:val="-3"/>
          <w:szCs w:val="22"/>
          <w:lang w:val="sr-Latn-RS"/>
        </w:rPr>
        <w:t xml:space="preserve"> </w:t>
      </w:r>
      <w:r w:rsidRPr="00394D9A">
        <w:rPr>
          <w:szCs w:val="22"/>
          <w:lang w:val="sr-Latn-RS"/>
        </w:rPr>
        <w:t>ili</w:t>
      </w:r>
      <w:r w:rsidRPr="00394D9A">
        <w:rPr>
          <w:spacing w:val="-3"/>
          <w:szCs w:val="22"/>
          <w:lang w:val="sr-Latn-RS"/>
        </w:rPr>
        <w:t xml:space="preserve"> </w:t>
      </w:r>
      <w:r w:rsidRPr="00394D9A">
        <w:rPr>
          <w:szCs w:val="22"/>
          <w:lang w:val="sr-Latn-RS"/>
        </w:rPr>
        <w:t>pogoršanja</w:t>
      </w:r>
      <w:r w:rsidRPr="00394D9A">
        <w:rPr>
          <w:spacing w:val="-3"/>
          <w:szCs w:val="22"/>
          <w:lang w:val="sr-Latn-RS"/>
        </w:rPr>
        <w:t xml:space="preserve"> </w:t>
      </w:r>
      <w:r w:rsidRPr="00394D9A">
        <w:rPr>
          <w:szCs w:val="22"/>
          <w:lang w:val="sr-Latn-RS"/>
        </w:rPr>
        <w:t>bubrežne</w:t>
      </w:r>
      <w:r w:rsidRPr="00394D9A">
        <w:rPr>
          <w:spacing w:val="-3"/>
          <w:szCs w:val="22"/>
          <w:lang w:val="sr-Latn-RS"/>
        </w:rPr>
        <w:t xml:space="preserve"> </w:t>
      </w:r>
      <w:r w:rsidRPr="00394D9A">
        <w:rPr>
          <w:szCs w:val="22"/>
          <w:lang w:val="sr-Latn-RS"/>
        </w:rPr>
        <w:t>funkcije</w:t>
      </w:r>
      <w:r w:rsidRPr="00394D9A">
        <w:rPr>
          <w:spacing w:val="-3"/>
          <w:szCs w:val="22"/>
          <w:lang w:val="sr-Latn-RS"/>
        </w:rPr>
        <w:t xml:space="preserve"> </w:t>
      </w:r>
      <w:r w:rsidRPr="00394D9A">
        <w:rPr>
          <w:szCs w:val="22"/>
          <w:lang w:val="sr-Latn-RS"/>
        </w:rPr>
        <w:t>(kao</w:t>
      </w:r>
      <w:r w:rsidRPr="00394D9A">
        <w:rPr>
          <w:spacing w:val="-3"/>
          <w:szCs w:val="22"/>
          <w:lang w:val="sr-Latn-RS"/>
        </w:rPr>
        <w:t xml:space="preserve"> </w:t>
      </w:r>
      <w:r w:rsidRPr="00394D9A">
        <w:rPr>
          <w:szCs w:val="22"/>
          <w:lang w:val="sr-Latn-RS"/>
        </w:rPr>
        <w:t>kod</w:t>
      </w:r>
      <w:r w:rsidRPr="00394D9A">
        <w:rPr>
          <w:spacing w:val="-3"/>
          <w:szCs w:val="22"/>
          <w:lang w:val="sr-Latn-RS"/>
        </w:rPr>
        <w:t xml:space="preserve"> </w:t>
      </w:r>
      <w:r w:rsidRPr="00394D9A">
        <w:rPr>
          <w:szCs w:val="22"/>
          <w:lang w:val="sr-Latn-RS"/>
        </w:rPr>
        <w:t>hipovolemije,</w:t>
      </w:r>
      <w:r w:rsidRPr="00394D9A">
        <w:rPr>
          <w:spacing w:val="-3"/>
          <w:szCs w:val="22"/>
          <w:lang w:val="sr-Latn-RS"/>
        </w:rPr>
        <w:t xml:space="preserve"> </w:t>
      </w:r>
      <w:r w:rsidRPr="00394D9A">
        <w:rPr>
          <w:szCs w:val="22"/>
          <w:lang w:val="sr-Latn-RS"/>
        </w:rPr>
        <w:t>dehidracije</w:t>
      </w:r>
      <w:r w:rsidRPr="00394D9A">
        <w:rPr>
          <w:spacing w:val="-3"/>
          <w:szCs w:val="22"/>
          <w:lang w:val="sr-Latn-RS"/>
        </w:rPr>
        <w:t xml:space="preserve"> </w:t>
      </w:r>
      <w:r w:rsidRPr="00394D9A">
        <w:rPr>
          <w:szCs w:val="22"/>
          <w:lang w:val="sr-Latn-RS"/>
        </w:rPr>
        <w:t>i kod istovremene prim</w:t>
      </w:r>
      <w:r w:rsidR="00C521B7" w:rsidRPr="00394D9A">
        <w:rPr>
          <w:szCs w:val="22"/>
          <w:lang w:val="sr-Latn-RS"/>
        </w:rPr>
        <w:t>j</w:t>
      </w:r>
      <w:r w:rsidRPr="00394D9A">
        <w:rPr>
          <w:szCs w:val="22"/>
          <w:lang w:val="sr-Latn-RS"/>
        </w:rPr>
        <w:t>ene određenih l</w:t>
      </w:r>
      <w:r w:rsidR="00C521B7" w:rsidRPr="00394D9A">
        <w:rPr>
          <w:szCs w:val="22"/>
          <w:lang w:val="sr-Latn-RS"/>
        </w:rPr>
        <w:t>j</w:t>
      </w:r>
      <w:r w:rsidRPr="00394D9A">
        <w:rPr>
          <w:szCs w:val="22"/>
          <w:lang w:val="sr-Latn-RS"/>
        </w:rPr>
        <w:t>ekova, itd.).</w:t>
      </w:r>
    </w:p>
    <w:p w14:paraId="2FC3AC4B" w14:textId="77777777" w:rsidR="007A5478" w:rsidRPr="00394D9A" w:rsidRDefault="007A5478" w:rsidP="00187D17">
      <w:pPr>
        <w:widowControl w:val="0"/>
        <w:rPr>
          <w:b/>
          <w:bCs/>
          <w:szCs w:val="22"/>
          <w:lang w:val="sr-Latn-RS"/>
        </w:rPr>
      </w:pPr>
    </w:p>
    <w:p w14:paraId="00B57EA2" w14:textId="75102BA4" w:rsidR="007A5478" w:rsidRPr="00394D9A" w:rsidRDefault="007A5478" w:rsidP="00187D17">
      <w:pPr>
        <w:widowControl w:val="0"/>
        <w:tabs>
          <w:tab w:val="clear" w:pos="284"/>
        </w:tabs>
        <w:autoSpaceDE w:val="0"/>
        <w:autoSpaceDN w:val="0"/>
        <w:rPr>
          <w:i/>
          <w:szCs w:val="22"/>
          <w:lang w:val="sr-Latn-RS"/>
        </w:rPr>
      </w:pPr>
      <w:r w:rsidRPr="00394D9A">
        <w:rPr>
          <w:i/>
          <w:szCs w:val="22"/>
          <w:u w:val="single"/>
          <w:lang w:val="sr-Latn-RS"/>
        </w:rPr>
        <w:t>Trajanje</w:t>
      </w:r>
      <w:r w:rsidRPr="00394D9A">
        <w:rPr>
          <w:i/>
          <w:spacing w:val="-7"/>
          <w:szCs w:val="22"/>
          <w:u w:val="single"/>
          <w:lang w:val="sr-Latn-RS"/>
        </w:rPr>
        <w:t xml:space="preserve"> </w:t>
      </w:r>
      <w:r w:rsidRPr="00394D9A">
        <w:rPr>
          <w:i/>
          <w:spacing w:val="-2"/>
          <w:szCs w:val="22"/>
          <w:u w:val="single"/>
          <w:lang w:val="sr-Latn-RS"/>
        </w:rPr>
        <w:t>prim</w:t>
      </w:r>
      <w:r w:rsidR="00C521B7" w:rsidRPr="00394D9A">
        <w:rPr>
          <w:i/>
          <w:spacing w:val="-2"/>
          <w:szCs w:val="22"/>
          <w:u w:val="single"/>
          <w:lang w:val="sr-Latn-RS"/>
        </w:rPr>
        <w:t>j</w:t>
      </w:r>
      <w:r w:rsidRPr="00394D9A">
        <w:rPr>
          <w:i/>
          <w:spacing w:val="-2"/>
          <w:szCs w:val="22"/>
          <w:u w:val="single"/>
          <w:lang w:val="sr-Latn-RS"/>
        </w:rPr>
        <w:t>ene</w:t>
      </w:r>
    </w:p>
    <w:p w14:paraId="4DC7C7F8" w14:textId="77777777" w:rsidR="007A5478" w:rsidRPr="00394D9A" w:rsidRDefault="007A5478" w:rsidP="00187D17">
      <w:pPr>
        <w:widowControl w:val="0"/>
        <w:tabs>
          <w:tab w:val="clear" w:pos="284"/>
        </w:tabs>
        <w:autoSpaceDE w:val="0"/>
        <w:autoSpaceDN w:val="0"/>
        <w:rPr>
          <w:i/>
          <w:szCs w:val="22"/>
          <w:lang w:val="sr-Latn-RS"/>
        </w:rPr>
      </w:pPr>
    </w:p>
    <w:p w14:paraId="044F5B00" w14:textId="15F8EBCE" w:rsidR="007A5478" w:rsidRPr="00394D9A" w:rsidRDefault="007A5478" w:rsidP="00187D17">
      <w:pPr>
        <w:widowControl w:val="0"/>
        <w:tabs>
          <w:tab w:val="clear" w:pos="284"/>
        </w:tabs>
        <w:autoSpaceDE w:val="0"/>
        <w:autoSpaceDN w:val="0"/>
        <w:rPr>
          <w:szCs w:val="22"/>
          <w:lang w:val="sr-Latn-RS"/>
        </w:rPr>
      </w:pPr>
      <w:r w:rsidRPr="00394D9A">
        <w:rPr>
          <w:szCs w:val="22"/>
          <w:lang w:val="sr-Latn-RS"/>
        </w:rPr>
        <w:t>Trajanje</w:t>
      </w:r>
      <w:r w:rsidRPr="00394D9A">
        <w:rPr>
          <w:spacing w:val="-5"/>
          <w:szCs w:val="22"/>
          <w:lang w:val="sr-Latn-RS"/>
        </w:rPr>
        <w:t xml:space="preserve"> </w:t>
      </w:r>
      <w:r w:rsidRPr="00394D9A">
        <w:rPr>
          <w:szCs w:val="22"/>
          <w:lang w:val="sr-Latn-RS"/>
        </w:rPr>
        <w:t>terapije</w:t>
      </w:r>
      <w:r w:rsidRPr="00394D9A">
        <w:rPr>
          <w:spacing w:val="-2"/>
          <w:szCs w:val="22"/>
          <w:lang w:val="sr-Latn-RS"/>
        </w:rPr>
        <w:t xml:space="preserve"> </w:t>
      </w:r>
      <w:r w:rsidRPr="00394D9A">
        <w:rPr>
          <w:szCs w:val="22"/>
          <w:lang w:val="sr-Latn-RS"/>
        </w:rPr>
        <w:t>treba</w:t>
      </w:r>
      <w:r w:rsidRPr="00394D9A">
        <w:rPr>
          <w:spacing w:val="-3"/>
          <w:szCs w:val="22"/>
          <w:lang w:val="sr-Latn-RS"/>
        </w:rPr>
        <w:t xml:space="preserve"> </w:t>
      </w:r>
      <w:r w:rsidRPr="00394D9A">
        <w:rPr>
          <w:szCs w:val="22"/>
          <w:lang w:val="sr-Latn-RS"/>
        </w:rPr>
        <w:t>da</w:t>
      </w:r>
      <w:r w:rsidRPr="00394D9A">
        <w:rPr>
          <w:spacing w:val="-3"/>
          <w:szCs w:val="22"/>
          <w:lang w:val="sr-Latn-RS"/>
        </w:rPr>
        <w:t xml:space="preserve"> </w:t>
      </w:r>
      <w:r w:rsidRPr="00394D9A">
        <w:rPr>
          <w:szCs w:val="22"/>
          <w:lang w:val="sr-Latn-RS"/>
        </w:rPr>
        <w:t>se</w:t>
      </w:r>
      <w:r w:rsidRPr="00394D9A">
        <w:rPr>
          <w:spacing w:val="-3"/>
          <w:szCs w:val="22"/>
          <w:lang w:val="sr-Latn-RS"/>
        </w:rPr>
        <w:t xml:space="preserve"> </w:t>
      </w:r>
      <w:r w:rsidRPr="00394D9A">
        <w:rPr>
          <w:szCs w:val="22"/>
          <w:lang w:val="sr-Latn-RS"/>
        </w:rPr>
        <w:t>prilagodi</w:t>
      </w:r>
      <w:r w:rsidRPr="00394D9A">
        <w:rPr>
          <w:spacing w:val="-5"/>
          <w:szCs w:val="22"/>
          <w:lang w:val="sr-Latn-RS"/>
        </w:rPr>
        <w:t xml:space="preserve"> </w:t>
      </w:r>
      <w:r w:rsidRPr="00394D9A">
        <w:rPr>
          <w:szCs w:val="22"/>
          <w:lang w:val="sr-Latn-RS"/>
        </w:rPr>
        <w:t>individualnim</w:t>
      </w:r>
      <w:r w:rsidRPr="00394D9A">
        <w:rPr>
          <w:spacing w:val="-4"/>
          <w:szCs w:val="22"/>
          <w:lang w:val="sr-Latn-RS"/>
        </w:rPr>
        <w:t xml:space="preserve"> </w:t>
      </w:r>
      <w:r w:rsidRPr="00394D9A">
        <w:rPr>
          <w:szCs w:val="22"/>
          <w:lang w:val="sr-Latn-RS"/>
        </w:rPr>
        <w:t>potrebama</w:t>
      </w:r>
      <w:r w:rsidRPr="00394D9A">
        <w:rPr>
          <w:spacing w:val="-4"/>
          <w:szCs w:val="22"/>
          <w:lang w:val="sr-Latn-RS"/>
        </w:rPr>
        <w:t xml:space="preserve"> </w:t>
      </w:r>
      <w:r w:rsidRPr="00394D9A">
        <w:rPr>
          <w:szCs w:val="22"/>
          <w:lang w:val="sr-Latn-RS"/>
        </w:rPr>
        <w:t>na</w:t>
      </w:r>
      <w:r w:rsidRPr="00394D9A">
        <w:rPr>
          <w:spacing w:val="-2"/>
          <w:szCs w:val="22"/>
          <w:lang w:val="sr-Latn-RS"/>
        </w:rPr>
        <w:t xml:space="preserve"> </w:t>
      </w:r>
      <w:r w:rsidRPr="00394D9A">
        <w:rPr>
          <w:szCs w:val="22"/>
          <w:lang w:val="sr-Latn-RS"/>
        </w:rPr>
        <w:t>osnovu</w:t>
      </w:r>
      <w:r w:rsidRPr="00394D9A">
        <w:rPr>
          <w:spacing w:val="-1"/>
          <w:szCs w:val="22"/>
          <w:lang w:val="sr-Latn-RS"/>
        </w:rPr>
        <w:t xml:space="preserve"> </w:t>
      </w:r>
      <w:r w:rsidRPr="00394D9A">
        <w:rPr>
          <w:szCs w:val="22"/>
          <w:lang w:val="sr-Latn-RS"/>
        </w:rPr>
        <w:t>proc</w:t>
      </w:r>
      <w:r w:rsidR="00C521B7" w:rsidRPr="00394D9A">
        <w:rPr>
          <w:szCs w:val="22"/>
          <w:lang w:val="sr-Latn-RS"/>
        </w:rPr>
        <w:t>j</w:t>
      </w:r>
      <w:r w:rsidRPr="00394D9A">
        <w:rPr>
          <w:szCs w:val="22"/>
          <w:lang w:val="sr-Latn-RS"/>
        </w:rPr>
        <w:t>ene</w:t>
      </w:r>
      <w:r w:rsidRPr="00394D9A">
        <w:rPr>
          <w:spacing w:val="-3"/>
          <w:szCs w:val="22"/>
          <w:lang w:val="sr-Latn-RS"/>
        </w:rPr>
        <w:t xml:space="preserve"> </w:t>
      </w:r>
      <w:r w:rsidRPr="00394D9A">
        <w:rPr>
          <w:szCs w:val="22"/>
          <w:lang w:val="sr-Latn-RS"/>
        </w:rPr>
        <w:t>odnosa koristi</w:t>
      </w:r>
      <w:r w:rsidRPr="00394D9A">
        <w:rPr>
          <w:spacing w:val="-4"/>
          <w:szCs w:val="22"/>
          <w:lang w:val="sr-Latn-RS"/>
        </w:rPr>
        <w:t xml:space="preserve"> </w:t>
      </w:r>
      <w:r w:rsidRPr="00394D9A">
        <w:rPr>
          <w:szCs w:val="22"/>
          <w:lang w:val="sr-Latn-RS"/>
        </w:rPr>
        <w:t xml:space="preserve">i </w:t>
      </w:r>
      <w:r w:rsidRPr="00394D9A">
        <w:rPr>
          <w:spacing w:val="-2"/>
          <w:szCs w:val="22"/>
          <w:lang w:val="sr-Latn-RS"/>
        </w:rPr>
        <w:t>rizika.</w:t>
      </w:r>
    </w:p>
    <w:p w14:paraId="7362CF23" w14:textId="77777777" w:rsidR="007A5478" w:rsidRPr="00394D9A" w:rsidRDefault="007A5478" w:rsidP="00187D17">
      <w:pPr>
        <w:widowControl w:val="0"/>
        <w:rPr>
          <w:b/>
          <w:bCs/>
          <w:szCs w:val="22"/>
          <w:lang w:val="sr-Latn-RS"/>
        </w:rPr>
      </w:pPr>
    </w:p>
    <w:p w14:paraId="30B15E23" w14:textId="77777777" w:rsidR="007A5478" w:rsidRPr="00394D9A" w:rsidRDefault="007A5478" w:rsidP="00187D17">
      <w:pPr>
        <w:widowControl w:val="0"/>
        <w:rPr>
          <w:i/>
          <w:iCs/>
          <w:szCs w:val="22"/>
          <w:u w:val="single"/>
          <w:lang w:val="sr-Latn-RS"/>
        </w:rPr>
      </w:pPr>
      <w:r w:rsidRPr="00394D9A">
        <w:rPr>
          <w:i/>
          <w:iCs/>
          <w:szCs w:val="22"/>
          <w:u w:val="single"/>
          <w:lang w:val="sr-Latn-RS"/>
        </w:rPr>
        <w:t>Propuštena doza</w:t>
      </w:r>
    </w:p>
    <w:p w14:paraId="1F753843" w14:textId="77777777" w:rsidR="007A5478" w:rsidRPr="00394D9A" w:rsidRDefault="007A5478" w:rsidP="00187D17">
      <w:pPr>
        <w:widowControl w:val="0"/>
        <w:rPr>
          <w:b/>
          <w:bCs/>
          <w:szCs w:val="22"/>
          <w:lang w:val="sr-Latn-RS"/>
        </w:rPr>
      </w:pPr>
    </w:p>
    <w:p w14:paraId="2E56136B" w14:textId="5A9B0E39" w:rsidR="007A5478" w:rsidRPr="00394D9A" w:rsidRDefault="007A5478" w:rsidP="00187D17">
      <w:pPr>
        <w:widowControl w:val="0"/>
        <w:tabs>
          <w:tab w:val="clear" w:pos="284"/>
        </w:tabs>
        <w:autoSpaceDE w:val="0"/>
        <w:autoSpaceDN w:val="0"/>
        <w:rPr>
          <w:szCs w:val="22"/>
          <w:lang w:val="sr-Latn-RS"/>
        </w:rPr>
      </w:pPr>
      <w:r w:rsidRPr="00394D9A">
        <w:rPr>
          <w:szCs w:val="22"/>
          <w:lang w:val="sr-Latn-RS"/>
        </w:rPr>
        <w:t>Propuštena</w:t>
      </w:r>
      <w:r w:rsidRPr="00394D9A">
        <w:rPr>
          <w:spacing w:val="47"/>
          <w:szCs w:val="22"/>
          <w:lang w:val="sr-Latn-RS"/>
        </w:rPr>
        <w:t xml:space="preserve"> </w:t>
      </w:r>
      <w:r w:rsidRPr="00394D9A">
        <w:rPr>
          <w:szCs w:val="22"/>
          <w:lang w:val="sr-Latn-RS"/>
        </w:rPr>
        <w:t>doza dabigatraneteksilata</w:t>
      </w:r>
      <w:r w:rsidRPr="00394D9A">
        <w:rPr>
          <w:spacing w:val="-5"/>
          <w:szCs w:val="22"/>
          <w:lang w:val="sr-Latn-RS"/>
        </w:rPr>
        <w:t xml:space="preserve"> </w:t>
      </w:r>
      <w:r w:rsidRPr="00394D9A">
        <w:rPr>
          <w:szCs w:val="22"/>
          <w:lang w:val="sr-Latn-RS"/>
        </w:rPr>
        <w:t>može</w:t>
      </w:r>
      <w:r w:rsidRPr="00394D9A">
        <w:rPr>
          <w:spacing w:val="-5"/>
          <w:szCs w:val="22"/>
          <w:lang w:val="sr-Latn-RS"/>
        </w:rPr>
        <w:t xml:space="preserve"> </w:t>
      </w:r>
      <w:r w:rsidRPr="00394D9A">
        <w:rPr>
          <w:szCs w:val="22"/>
          <w:lang w:val="sr-Latn-RS"/>
        </w:rPr>
        <w:t>se</w:t>
      </w:r>
      <w:r w:rsidRPr="00394D9A">
        <w:rPr>
          <w:spacing w:val="-6"/>
          <w:szCs w:val="22"/>
          <w:lang w:val="sr-Latn-RS"/>
        </w:rPr>
        <w:t xml:space="preserve"> </w:t>
      </w:r>
      <w:r w:rsidRPr="00394D9A">
        <w:rPr>
          <w:szCs w:val="22"/>
          <w:lang w:val="sr-Latn-RS"/>
        </w:rPr>
        <w:t>još</w:t>
      </w:r>
      <w:r w:rsidRPr="00394D9A">
        <w:rPr>
          <w:spacing w:val="-5"/>
          <w:szCs w:val="22"/>
          <w:lang w:val="sr-Latn-RS"/>
        </w:rPr>
        <w:t xml:space="preserve"> </w:t>
      </w:r>
      <w:r w:rsidRPr="00394D9A">
        <w:rPr>
          <w:szCs w:val="22"/>
          <w:lang w:val="sr-Latn-RS"/>
        </w:rPr>
        <w:t>uv</w:t>
      </w:r>
      <w:r w:rsidR="00C521B7" w:rsidRPr="00394D9A">
        <w:rPr>
          <w:szCs w:val="22"/>
          <w:lang w:val="sr-Latn-RS"/>
        </w:rPr>
        <w:t>ij</w:t>
      </w:r>
      <w:r w:rsidRPr="00394D9A">
        <w:rPr>
          <w:szCs w:val="22"/>
          <w:lang w:val="sr-Latn-RS"/>
        </w:rPr>
        <w:t>ek</w:t>
      </w:r>
      <w:r w:rsidRPr="00394D9A">
        <w:rPr>
          <w:spacing w:val="-6"/>
          <w:szCs w:val="22"/>
          <w:lang w:val="sr-Latn-RS"/>
        </w:rPr>
        <w:t xml:space="preserve"> </w:t>
      </w:r>
      <w:r w:rsidRPr="00394D9A">
        <w:rPr>
          <w:szCs w:val="22"/>
          <w:lang w:val="sr-Latn-RS"/>
        </w:rPr>
        <w:t>uzeti</w:t>
      </w:r>
      <w:r w:rsidRPr="00394D9A">
        <w:rPr>
          <w:spacing w:val="-5"/>
          <w:szCs w:val="22"/>
          <w:lang w:val="sr-Latn-RS"/>
        </w:rPr>
        <w:t xml:space="preserve"> </w:t>
      </w:r>
      <w:r w:rsidRPr="00394D9A">
        <w:rPr>
          <w:szCs w:val="22"/>
          <w:lang w:val="sr-Latn-RS"/>
        </w:rPr>
        <w:t>do</w:t>
      </w:r>
      <w:r w:rsidRPr="00394D9A">
        <w:rPr>
          <w:spacing w:val="-6"/>
          <w:szCs w:val="22"/>
          <w:lang w:val="sr-Latn-RS"/>
        </w:rPr>
        <w:t xml:space="preserve"> </w:t>
      </w:r>
      <w:r w:rsidRPr="00394D9A">
        <w:rPr>
          <w:szCs w:val="22"/>
          <w:lang w:val="sr-Latn-RS"/>
        </w:rPr>
        <w:t>6</w:t>
      </w:r>
      <w:r w:rsidRPr="00394D9A">
        <w:rPr>
          <w:spacing w:val="-5"/>
          <w:szCs w:val="22"/>
          <w:lang w:val="sr-Latn-RS"/>
        </w:rPr>
        <w:t xml:space="preserve"> </w:t>
      </w:r>
      <w:r w:rsidRPr="00394D9A">
        <w:rPr>
          <w:szCs w:val="22"/>
          <w:lang w:val="sr-Latn-RS"/>
        </w:rPr>
        <w:t>sati</w:t>
      </w:r>
      <w:r w:rsidRPr="00394D9A">
        <w:rPr>
          <w:spacing w:val="-6"/>
          <w:szCs w:val="22"/>
          <w:lang w:val="sr-Latn-RS"/>
        </w:rPr>
        <w:t xml:space="preserve"> </w:t>
      </w:r>
      <w:r w:rsidRPr="00394D9A">
        <w:rPr>
          <w:szCs w:val="22"/>
          <w:lang w:val="sr-Latn-RS"/>
        </w:rPr>
        <w:t>pr</w:t>
      </w:r>
      <w:r w:rsidR="00C521B7" w:rsidRPr="00394D9A">
        <w:rPr>
          <w:szCs w:val="22"/>
          <w:lang w:val="sr-Latn-RS"/>
        </w:rPr>
        <w:t>ij</w:t>
      </w:r>
      <w:r w:rsidRPr="00394D9A">
        <w:rPr>
          <w:szCs w:val="22"/>
          <w:lang w:val="sr-Latn-RS"/>
        </w:rPr>
        <w:t>e</w:t>
      </w:r>
      <w:r w:rsidRPr="00394D9A">
        <w:rPr>
          <w:spacing w:val="-5"/>
          <w:szCs w:val="22"/>
          <w:lang w:val="sr-Latn-RS"/>
        </w:rPr>
        <w:t xml:space="preserve"> </w:t>
      </w:r>
      <w:r w:rsidRPr="00394D9A">
        <w:rPr>
          <w:szCs w:val="22"/>
          <w:lang w:val="sr-Latn-RS"/>
        </w:rPr>
        <w:t>sl</w:t>
      </w:r>
      <w:r w:rsidR="00157169" w:rsidRPr="00394D9A">
        <w:rPr>
          <w:szCs w:val="22"/>
          <w:lang w:val="sr-Latn-RS"/>
        </w:rPr>
        <w:t>j</w:t>
      </w:r>
      <w:r w:rsidRPr="00394D9A">
        <w:rPr>
          <w:szCs w:val="22"/>
          <w:lang w:val="sr-Latn-RS"/>
        </w:rPr>
        <w:t>edeće</w:t>
      </w:r>
      <w:r w:rsidRPr="00394D9A">
        <w:rPr>
          <w:spacing w:val="-6"/>
          <w:szCs w:val="22"/>
          <w:lang w:val="sr-Latn-RS"/>
        </w:rPr>
        <w:t xml:space="preserve"> </w:t>
      </w:r>
      <w:r w:rsidRPr="00394D9A">
        <w:rPr>
          <w:szCs w:val="22"/>
          <w:lang w:val="sr-Latn-RS"/>
        </w:rPr>
        <w:t>planirane</w:t>
      </w:r>
      <w:r w:rsidRPr="00394D9A">
        <w:rPr>
          <w:spacing w:val="-5"/>
          <w:szCs w:val="22"/>
          <w:lang w:val="sr-Latn-RS"/>
        </w:rPr>
        <w:t xml:space="preserve"> </w:t>
      </w:r>
      <w:r w:rsidRPr="00394D9A">
        <w:rPr>
          <w:spacing w:val="-4"/>
          <w:szCs w:val="22"/>
          <w:lang w:val="sr-Latn-RS"/>
        </w:rPr>
        <w:t>doze</w:t>
      </w:r>
      <w:r w:rsidR="00B72B9A" w:rsidRPr="00394D9A">
        <w:rPr>
          <w:szCs w:val="22"/>
          <w:lang w:val="sr-Latn-RS"/>
        </w:rPr>
        <w:t xml:space="preserve"> </w:t>
      </w:r>
      <w:r w:rsidRPr="00394D9A">
        <w:rPr>
          <w:szCs w:val="22"/>
          <w:lang w:val="sr-Latn-RS"/>
        </w:rPr>
        <w:t>prema</w:t>
      </w:r>
      <w:r w:rsidRPr="00394D9A">
        <w:rPr>
          <w:spacing w:val="-3"/>
          <w:szCs w:val="22"/>
          <w:lang w:val="sr-Latn-RS"/>
        </w:rPr>
        <w:t xml:space="preserve"> </w:t>
      </w:r>
      <w:r w:rsidRPr="00394D9A">
        <w:rPr>
          <w:szCs w:val="22"/>
          <w:lang w:val="sr-Latn-RS"/>
        </w:rPr>
        <w:t>rasporedu</w:t>
      </w:r>
      <w:r w:rsidRPr="00394D9A">
        <w:rPr>
          <w:spacing w:val="-3"/>
          <w:szCs w:val="22"/>
          <w:lang w:val="sr-Latn-RS"/>
        </w:rPr>
        <w:t xml:space="preserve"> </w:t>
      </w:r>
      <w:r w:rsidRPr="00394D9A">
        <w:rPr>
          <w:szCs w:val="22"/>
          <w:lang w:val="sr-Latn-RS"/>
        </w:rPr>
        <w:t>doziranja. Ako je</w:t>
      </w:r>
      <w:r w:rsidRPr="00394D9A">
        <w:rPr>
          <w:spacing w:val="-3"/>
          <w:szCs w:val="22"/>
          <w:lang w:val="sr-Latn-RS"/>
        </w:rPr>
        <w:t xml:space="preserve"> </w:t>
      </w:r>
      <w:r w:rsidRPr="00394D9A">
        <w:rPr>
          <w:szCs w:val="22"/>
          <w:lang w:val="sr-Latn-RS"/>
        </w:rPr>
        <w:t>preostalo</w:t>
      </w:r>
      <w:r w:rsidRPr="00394D9A">
        <w:rPr>
          <w:spacing w:val="-3"/>
          <w:szCs w:val="22"/>
          <w:lang w:val="sr-Latn-RS"/>
        </w:rPr>
        <w:t xml:space="preserve"> </w:t>
      </w:r>
      <w:r w:rsidRPr="00394D9A">
        <w:rPr>
          <w:szCs w:val="22"/>
          <w:lang w:val="sr-Latn-RS"/>
        </w:rPr>
        <w:t>vr</w:t>
      </w:r>
      <w:r w:rsidR="00C521B7" w:rsidRPr="00394D9A">
        <w:rPr>
          <w:szCs w:val="22"/>
          <w:lang w:val="sr-Latn-RS"/>
        </w:rPr>
        <w:t>ij</w:t>
      </w:r>
      <w:r w:rsidRPr="00394D9A">
        <w:rPr>
          <w:szCs w:val="22"/>
          <w:lang w:val="sr-Latn-RS"/>
        </w:rPr>
        <w:t>eme</w:t>
      </w:r>
      <w:r w:rsidRPr="00394D9A">
        <w:rPr>
          <w:spacing w:val="-3"/>
          <w:szCs w:val="22"/>
          <w:lang w:val="sr-Latn-RS"/>
        </w:rPr>
        <w:t xml:space="preserve"> </w:t>
      </w:r>
      <w:r w:rsidRPr="00394D9A">
        <w:rPr>
          <w:szCs w:val="22"/>
          <w:lang w:val="sr-Latn-RS"/>
        </w:rPr>
        <w:t>do</w:t>
      </w:r>
      <w:r w:rsidRPr="00394D9A">
        <w:rPr>
          <w:spacing w:val="-3"/>
          <w:szCs w:val="22"/>
          <w:lang w:val="sr-Latn-RS"/>
        </w:rPr>
        <w:t xml:space="preserve"> </w:t>
      </w:r>
      <w:r w:rsidRPr="00394D9A">
        <w:rPr>
          <w:szCs w:val="22"/>
          <w:lang w:val="sr-Latn-RS"/>
        </w:rPr>
        <w:t>sl</w:t>
      </w:r>
      <w:r w:rsidR="00157169" w:rsidRPr="00394D9A">
        <w:rPr>
          <w:szCs w:val="22"/>
          <w:lang w:val="sr-Latn-RS"/>
        </w:rPr>
        <w:t>j</w:t>
      </w:r>
      <w:r w:rsidRPr="00394D9A">
        <w:rPr>
          <w:szCs w:val="22"/>
          <w:lang w:val="sr-Latn-RS"/>
        </w:rPr>
        <w:t>edeće</w:t>
      </w:r>
      <w:r w:rsidRPr="00394D9A">
        <w:rPr>
          <w:spacing w:val="-3"/>
          <w:szCs w:val="22"/>
          <w:lang w:val="sr-Latn-RS"/>
        </w:rPr>
        <w:t xml:space="preserve"> </w:t>
      </w:r>
      <w:r w:rsidRPr="00394D9A">
        <w:rPr>
          <w:szCs w:val="22"/>
          <w:lang w:val="sr-Latn-RS"/>
        </w:rPr>
        <w:t>planirane</w:t>
      </w:r>
      <w:r w:rsidRPr="00394D9A">
        <w:rPr>
          <w:spacing w:val="-3"/>
          <w:szCs w:val="22"/>
          <w:lang w:val="sr-Latn-RS"/>
        </w:rPr>
        <w:t xml:space="preserve"> </w:t>
      </w:r>
      <w:r w:rsidRPr="00394D9A">
        <w:rPr>
          <w:szCs w:val="22"/>
          <w:lang w:val="sr-Latn-RS"/>
        </w:rPr>
        <w:t>doze</w:t>
      </w:r>
      <w:r w:rsidRPr="00394D9A">
        <w:rPr>
          <w:spacing w:val="-3"/>
          <w:szCs w:val="22"/>
          <w:lang w:val="sr-Latn-RS"/>
        </w:rPr>
        <w:t xml:space="preserve"> </w:t>
      </w:r>
      <w:r w:rsidRPr="00394D9A">
        <w:rPr>
          <w:szCs w:val="22"/>
          <w:lang w:val="sr-Latn-RS"/>
        </w:rPr>
        <w:t>kraće</w:t>
      </w:r>
      <w:r w:rsidRPr="00394D9A">
        <w:rPr>
          <w:spacing w:val="-3"/>
          <w:szCs w:val="22"/>
          <w:lang w:val="sr-Latn-RS"/>
        </w:rPr>
        <w:t xml:space="preserve"> </w:t>
      </w:r>
      <w:r w:rsidRPr="00394D9A">
        <w:rPr>
          <w:szCs w:val="22"/>
          <w:lang w:val="sr-Latn-RS"/>
        </w:rPr>
        <w:t>od</w:t>
      </w:r>
      <w:r w:rsidRPr="00394D9A">
        <w:rPr>
          <w:spacing w:val="-3"/>
          <w:szCs w:val="22"/>
          <w:lang w:val="sr-Latn-RS"/>
        </w:rPr>
        <w:t xml:space="preserve"> </w:t>
      </w:r>
      <w:r w:rsidRPr="00394D9A">
        <w:rPr>
          <w:szCs w:val="22"/>
          <w:lang w:val="sr-Latn-RS"/>
        </w:rPr>
        <w:t>6</w:t>
      </w:r>
      <w:r w:rsidRPr="00394D9A">
        <w:rPr>
          <w:spacing w:val="-3"/>
          <w:szCs w:val="22"/>
          <w:lang w:val="sr-Latn-RS"/>
        </w:rPr>
        <w:t xml:space="preserve"> </w:t>
      </w:r>
      <w:r w:rsidRPr="00394D9A">
        <w:rPr>
          <w:szCs w:val="22"/>
          <w:lang w:val="sr-Latn-RS"/>
        </w:rPr>
        <w:t>sati,</w:t>
      </w:r>
      <w:r w:rsidRPr="00394D9A">
        <w:rPr>
          <w:spacing w:val="-3"/>
          <w:szCs w:val="22"/>
          <w:lang w:val="sr-Latn-RS"/>
        </w:rPr>
        <w:t xml:space="preserve"> </w:t>
      </w:r>
      <w:r w:rsidRPr="00394D9A">
        <w:rPr>
          <w:szCs w:val="22"/>
          <w:lang w:val="sr-Latn-RS"/>
        </w:rPr>
        <w:t>propuštena doza se preskače.</w:t>
      </w:r>
      <w:r w:rsidR="00845CD6" w:rsidRPr="00394D9A">
        <w:rPr>
          <w:szCs w:val="22"/>
          <w:lang w:val="sr-Latn-RS"/>
        </w:rPr>
        <w:t xml:space="preserve"> </w:t>
      </w:r>
      <w:r w:rsidRPr="00394D9A">
        <w:rPr>
          <w:szCs w:val="22"/>
          <w:lang w:val="sr-Latn-RS"/>
        </w:rPr>
        <w:t>Nikada</w:t>
      </w:r>
      <w:r w:rsidRPr="00394D9A">
        <w:rPr>
          <w:spacing w:val="-3"/>
          <w:szCs w:val="22"/>
          <w:lang w:val="sr-Latn-RS"/>
        </w:rPr>
        <w:t xml:space="preserve"> </w:t>
      </w:r>
      <w:r w:rsidRPr="00394D9A">
        <w:rPr>
          <w:szCs w:val="22"/>
          <w:lang w:val="sr-Latn-RS"/>
        </w:rPr>
        <w:t>se</w:t>
      </w:r>
      <w:r w:rsidRPr="00394D9A">
        <w:rPr>
          <w:spacing w:val="-5"/>
          <w:szCs w:val="22"/>
          <w:lang w:val="sr-Latn-RS"/>
        </w:rPr>
        <w:t xml:space="preserve"> </w:t>
      </w:r>
      <w:r w:rsidRPr="00394D9A">
        <w:rPr>
          <w:szCs w:val="22"/>
          <w:lang w:val="sr-Latn-RS"/>
        </w:rPr>
        <w:t>ne</w:t>
      </w:r>
      <w:r w:rsidRPr="00394D9A">
        <w:rPr>
          <w:spacing w:val="-6"/>
          <w:szCs w:val="22"/>
          <w:lang w:val="sr-Latn-RS"/>
        </w:rPr>
        <w:t xml:space="preserve"> </w:t>
      </w:r>
      <w:r w:rsidRPr="00394D9A">
        <w:rPr>
          <w:szCs w:val="22"/>
          <w:lang w:val="sr-Latn-RS"/>
        </w:rPr>
        <w:t>sm</w:t>
      </w:r>
      <w:r w:rsidR="00C521B7" w:rsidRPr="00394D9A">
        <w:rPr>
          <w:szCs w:val="22"/>
          <w:lang w:val="sr-Latn-RS"/>
        </w:rPr>
        <w:t>ij</w:t>
      </w:r>
      <w:r w:rsidRPr="00394D9A">
        <w:rPr>
          <w:szCs w:val="22"/>
          <w:lang w:val="sr-Latn-RS"/>
        </w:rPr>
        <w:t>e</w:t>
      </w:r>
      <w:r w:rsidRPr="00394D9A">
        <w:rPr>
          <w:spacing w:val="-6"/>
          <w:szCs w:val="22"/>
          <w:lang w:val="sr-Latn-RS"/>
        </w:rPr>
        <w:t xml:space="preserve"> </w:t>
      </w:r>
      <w:r w:rsidRPr="00394D9A">
        <w:rPr>
          <w:szCs w:val="22"/>
          <w:lang w:val="sr-Latn-RS"/>
        </w:rPr>
        <w:t>uzeti</w:t>
      </w:r>
      <w:r w:rsidRPr="00394D9A">
        <w:rPr>
          <w:spacing w:val="-6"/>
          <w:szCs w:val="22"/>
          <w:lang w:val="sr-Latn-RS"/>
        </w:rPr>
        <w:t xml:space="preserve"> </w:t>
      </w:r>
      <w:r w:rsidRPr="00394D9A">
        <w:rPr>
          <w:szCs w:val="22"/>
          <w:lang w:val="sr-Latn-RS"/>
        </w:rPr>
        <w:t>dvostruka</w:t>
      </w:r>
      <w:r w:rsidRPr="00394D9A">
        <w:rPr>
          <w:spacing w:val="-5"/>
          <w:szCs w:val="22"/>
          <w:lang w:val="sr-Latn-RS"/>
        </w:rPr>
        <w:t xml:space="preserve"> </w:t>
      </w:r>
      <w:r w:rsidRPr="00394D9A">
        <w:rPr>
          <w:szCs w:val="22"/>
          <w:lang w:val="sr-Latn-RS"/>
        </w:rPr>
        <w:t>doza</w:t>
      </w:r>
      <w:r w:rsidRPr="00394D9A">
        <w:rPr>
          <w:spacing w:val="-6"/>
          <w:szCs w:val="22"/>
          <w:lang w:val="sr-Latn-RS"/>
        </w:rPr>
        <w:t xml:space="preserve"> </w:t>
      </w:r>
      <w:r w:rsidRPr="00394D9A">
        <w:rPr>
          <w:szCs w:val="22"/>
          <w:lang w:val="sr-Latn-RS"/>
        </w:rPr>
        <w:t>kako</w:t>
      </w:r>
      <w:r w:rsidRPr="00394D9A">
        <w:rPr>
          <w:spacing w:val="-6"/>
          <w:szCs w:val="22"/>
          <w:lang w:val="sr-Latn-RS"/>
        </w:rPr>
        <w:t xml:space="preserve"> </w:t>
      </w:r>
      <w:r w:rsidRPr="00394D9A">
        <w:rPr>
          <w:szCs w:val="22"/>
          <w:lang w:val="sr-Latn-RS"/>
        </w:rPr>
        <w:t>bi</w:t>
      </w:r>
      <w:r w:rsidRPr="00394D9A">
        <w:rPr>
          <w:spacing w:val="-6"/>
          <w:szCs w:val="22"/>
          <w:lang w:val="sr-Latn-RS"/>
        </w:rPr>
        <w:t xml:space="preserve"> </w:t>
      </w:r>
      <w:r w:rsidRPr="00394D9A">
        <w:rPr>
          <w:szCs w:val="22"/>
          <w:lang w:val="sr-Latn-RS"/>
        </w:rPr>
        <w:t>se</w:t>
      </w:r>
      <w:r w:rsidRPr="00394D9A">
        <w:rPr>
          <w:spacing w:val="-5"/>
          <w:szCs w:val="22"/>
          <w:lang w:val="sr-Latn-RS"/>
        </w:rPr>
        <w:t xml:space="preserve"> </w:t>
      </w:r>
      <w:r w:rsidRPr="00394D9A">
        <w:rPr>
          <w:szCs w:val="22"/>
          <w:lang w:val="sr-Latn-RS"/>
        </w:rPr>
        <w:t>nadoknadile</w:t>
      </w:r>
      <w:r w:rsidRPr="00394D9A">
        <w:rPr>
          <w:spacing w:val="-6"/>
          <w:szCs w:val="22"/>
          <w:lang w:val="sr-Latn-RS"/>
        </w:rPr>
        <w:t xml:space="preserve"> </w:t>
      </w:r>
      <w:r w:rsidRPr="00394D9A">
        <w:rPr>
          <w:szCs w:val="22"/>
          <w:lang w:val="sr-Latn-RS"/>
        </w:rPr>
        <w:t>propuštene</w:t>
      </w:r>
      <w:r w:rsidRPr="00394D9A">
        <w:rPr>
          <w:spacing w:val="-5"/>
          <w:szCs w:val="22"/>
          <w:lang w:val="sr-Latn-RS"/>
        </w:rPr>
        <w:t xml:space="preserve"> </w:t>
      </w:r>
      <w:r w:rsidRPr="00394D9A">
        <w:rPr>
          <w:szCs w:val="22"/>
          <w:lang w:val="sr-Latn-RS"/>
        </w:rPr>
        <w:t>pojedinačne</w:t>
      </w:r>
      <w:r w:rsidRPr="00394D9A">
        <w:rPr>
          <w:spacing w:val="-5"/>
          <w:szCs w:val="22"/>
          <w:lang w:val="sr-Latn-RS"/>
        </w:rPr>
        <w:t xml:space="preserve"> </w:t>
      </w:r>
      <w:r w:rsidRPr="00394D9A">
        <w:rPr>
          <w:spacing w:val="-2"/>
          <w:szCs w:val="22"/>
          <w:lang w:val="sr-Latn-RS"/>
        </w:rPr>
        <w:t>doze.</w:t>
      </w:r>
    </w:p>
    <w:p w14:paraId="3733B781" w14:textId="77777777" w:rsidR="007A5478" w:rsidRPr="00394D9A" w:rsidRDefault="007A5478" w:rsidP="00187D17">
      <w:pPr>
        <w:widowControl w:val="0"/>
        <w:tabs>
          <w:tab w:val="clear" w:pos="284"/>
        </w:tabs>
        <w:autoSpaceDE w:val="0"/>
        <w:autoSpaceDN w:val="0"/>
        <w:rPr>
          <w:szCs w:val="22"/>
          <w:lang w:val="sr-Latn-RS"/>
        </w:rPr>
      </w:pPr>
    </w:p>
    <w:p w14:paraId="56139C37" w14:textId="228B6DD6" w:rsidR="007A5478" w:rsidRPr="00394D9A" w:rsidRDefault="007A5478" w:rsidP="00187D17">
      <w:pPr>
        <w:widowControl w:val="0"/>
        <w:tabs>
          <w:tab w:val="clear" w:pos="284"/>
        </w:tabs>
        <w:autoSpaceDE w:val="0"/>
        <w:autoSpaceDN w:val="0"/>
        <w:rPr>
          <w:i/>
          <w:spacing w:val="-2"/>
          <w:szCs w:val="22"/>
          <w:u w:val="single"/>
          <w:lang w:val="sr-Latn-RS"/>
        </w:rPr>
      </w:pPr>
      <w:r w:rsidRPr="00394D9A">
        <w:rPr>
          <w:i/>
          <w:szCs w:val="22"/>
          <w:u w:val="single"/>
          <w:lang w:val="sr-Latn-RS"/>
        </w:rPr>
        <w:t xml:space="preserve">Prekid terapije </w:t>
      </w:r>
      <w:r w:rsidRPr="00394D9A">
        <w:rPr>
          <w:i/>
          <w:spacing w:val="-2"/>
          <w:szCs w:val="22"/>
          <w:u w:val="single"/>
          <w:lang w:val="sr-Latn-RS"/>
        </w:rPr>
        <w:t>dabigatraneteksilatom</w:t>
      </w:r>
    </w:p>
    <w:p w14:paraId="5A0165B6" w14:textId="77777777" w:rsidR="00B72B9A" w:rsidRPr="00394D9A" w:rsidRDefault="00B72B9A" w:rsidP="00187D17">
      <w:pPr>
        <w:widowControl w:val="0"/>
        <w:tabs>
          <w:tab w:val="clear" w:pos="284"/>
        </w:tabs>
        <w:autoSpaceDE w:val="0"/>
        <w:autoSpaceDN w:val="0"/>
        <w:rPr>
          <w:i/>
          <w:szCs w:val="22"/>
          <w:lang w:val="sr-Latn-RS"/>
        </w:rPr>
      </w:pPr>
    </w:p>
    <w:p w14:paraId="495CC757" w14:textId="097D85DD" w:rsidR="007A5478" w:rsidRPr="00394D9A" w:rsidRDefault="007A5478" w:rsidP="00187D17">
      <w:pPr>
        <w:widowControl w:val="0"/>
        <w:tabs>
          <w:tab w:val="clear" w:pos="284"/>
        </w:tabs>
        <w:autoSpaceDE w:val="0"/>
        <w:autoSpaceDN w:val="0"/>
        <w:rPr>
          <w:szCs w:val="22"/>
          <w:lang w:val="sr-Latn-RS"/>
        </w:rPr>
      </w:pPr>
      <w:r w:rsidRPr="00394D9A">
        <w:rPr>
          <w:szCs w:val="22"/>
          <w:lang w:val="sr-Latn-RS"/>
        </w:rPr>
        <w:t>Terapija dabigatraneteksilatom</w:t>
      </w:r>
      <w:r w:rsidRPr="00394D9A">
        <w:rPr>
          <w:spacing w:val="-8"/>
          <w:szCs w:val="22"/>
          <w:lang w:val="sr-Latn-RS"/>
        </w:rPr>
        <w:t xml:space="preserve"> </w:t>
      </w:r>
      <w:r w:rsidRPr="00394D9A">
        <w:rPr>
          <w:szCs w:val="22"/>
          <w:lang w:val="sr-Latn-RS"/>
        </w:rPr>
        <w:t>se</w:t>
      </w:r>
      <w:r w:rsidRPr="00394D9A">
        <w:rPr>
          <w:spacing w:val="-6"/>
          <w:szCs w:val="22"/>
          <w:lang w:val="sr-Latn-RS"/>
        </w:rPr>
        <w:t xml:space="preserve"> </w:t>
      </w:r>
      <w:r w:rsidRPr="00394D9A">
        <w:rPr>
          <w:szCs w:val="22"/>
          <w:lang w:val="sr-Latn-RS"/>
        </w:rPr>
        <w:t>ne</w:t>
      </w:r>
      <w:r w:rsidRPr="00394D9A">
        <w:rPr>
          <w:spacing w:val="-9"/>
          <w:szCs w:val="22"/>
          <w:lang w:val="sr-Latn-RS"/>
        </w:rPr>
        <w:t xml:space="preserve"> </w:t>
      </w:r>
      <w:r w:rsidRPr="00394D9A">
        <w:rPr>
          <w:szCs w:val="22"/>
          <w:lang w:val="sr-Latn-RS"/>
        </w:rPr>
        <w:t>sm</w:t>
      </w:r>
      <w:r w:rsidR="00C521B7" w:rsidRPr="00394D9A">
        <w:rPr>
          <w:szCs w:val="22"/>
          <w:lang w:val="sr-Latn-RS"/>
        </w:rPr>
        <w:t>ij</w:t>
      </w:r>
      <w:r w:rsidRPr="00394D9A">
        <w:rPr>
          <w:szCs w:val="22"/>
          <w:lang w:val="sr-Latn-RS"/>
        </w:rPr>
        <w:t>e</w:t>
      </w:r>
      <w:r w:rsidRPr="00394D9A">
        <w:rPr>
          <w:spacing w:val="-3"/>
          <w:szCs w:val="22"/>
          <w:lang w:val="sr-Latn-RS"/>
        </w:rPr>
        <w:t xml:space="preserve"> </w:t>
      </w:r>
      <w:r w:rsidRPr="00394D9A">
        <w:rPr>
          <w:szCs w:val="22"/>
          <w:lang w:val="sr-Latn-RS"/>
        </w:rPr>
        <w:t>prekinuti</w:t>
      </w:r>
      <w:r w:rsidRPr="00394D9A">
        <w:rPr>
          <w:spacing w:val="-3"/>
          <w:szCs w:val="22"/>
          <w:lang w:val="sr-Latn-RS"/>
        </w:rPr>
        <w:t xml:space="preserve"> </w:t>
      </w:r>
      <w:r w:rsidRPr="00394D9A">
        <w:rPr>
          <w:szCs w:val="22"/>
          <w:lang w:val="sr-Latn-RS"/>
        </w:rPr>
        <w:t>bez</w:t>
      </w:r>
      <w:r w:rsidRPr="00394D9A">
        <w:rPr>
          <w:spacing w:val="-3"/>
          <w:szCs w:val="22"/>
          <w:lang w:val="sr-Latn-RS"/>
        </w:rPr>
        <w:t xml:space="preserve"> </w:t>
      </w:r>
      <w:r w:rsidRPr="00394D9A">
        <w:rPr>
          <w:szCs w:val="22"/>
          <w:lang w:val="sr-Latn-RS"/>
        </w:rPr>
        <w:t>sav</w:t>
      </w:r>
      <w:r w:rsidR="00C521B7" w:rsidRPr="00394D9A">
        <w:rPr>
          <w:szCs w:val="22"/>
          <w:lang w:val="sr-Latn-RS"/>
        </w:rPr>
        <w:t>j</w:t>
      </w:r>
      <w:r w:rsidRPr="00394D9A">
        <w:rPr>
          <w:szCs w:val="22"/>
          <w:lang w:val="sr-Latn-RS"/>
        </w:rPr>
        <w:t>eta l</w:t>
      </w:r>
      <w:r w:rsidR="00C521B7" w:rsidRPr="00394D9A">
        <w:rPr>
          <w:szCs w:val="22"/>
          <w:lang w:val="sr-Latn-RS"/>
        </w:rPr>
        <w:t>j</w:t>
      </w:r>
      <w:r w:rsidRPr="00394D9A">
        <w:rPr>
          <w:szCs w:val="22"/>
          <w:lang w:val="sr-Latn-RS"/>
        </w:rPr>
        <w:t>ekara.</w:t>
      </w:r>
      <w:r w:rsidRPr="00394D9A">
        <w:rPr>
          <w:spacing w:val="-2"/>
          <w:szCs w:val="22"/>
          <w:lang w:val="sr-Latn-RS"/>
        </w:rPr>
        <w:t xml:space="preserve"> </w:t>
      </w:r>
      <w:r w:rsidRPr="00394D9A">
        <w:rPr>
          <w:szCs w:val="22"/>
          <w:lang w:val="sr-Latn-RS"/>
        </w:rPr>
        <w:t>Pacijente</w:t>
      </w:r>
      <w:r w:rsidRPr="00394D9A">
        <w:rPr>
          <w:spacing w:val="-7"/>
          <w:szCs w:val="22"/>
          <w:lang w:val="sr-Latn-RS"/>
        </w:rPr>
        <w:t xml:space="preserve"> </w:t>
      </w:r>
      <w:r w:rsidRPr="00394D9A">
        <w:rPr>
          <w:szCs w:val="22"/>
          <w:lang w:val="sr-Latn-RS"/>
        </w:rPr>
        <w:t>ili</w:t>
      </w:r>
      <w:r w:rsidRPr="00394D9A">
        <w:rPr>
          <w:spacing w:val="-3"/>
          <w:szCs w:val="22"/>
          <w:lang w:val="sr-Latn-RS"/>
        </w:rPr>
        <w:t xml:space="preserve"> </w:t>
      </w:r>
      <w:r w:rsidRPr="00394D9A">
        <w:rPr>
          <w:szCs w:val="22"/>
          <w:lang w:val="sr-Latn-RS"/>
        </w:rPr>
        <w:t>njihove n</w:t>
      </w:r>
      <w:r w:rsidR="00C521B7" w:rsidRPr="00394D9A">
        <w:rPr>
          <w:szCs w:val="22"/>
          <w:lang w:val="sr-Latn-RS"/>
        </w:rPr>
        <w:t>j</w:t>
      </w:r>
      <w:r w:rsidRPr="00394D9A">
        <w:rPr>
          <w:szCs w:val="22"/>
          <w:lang w:val="sr-Latn-RS"/>
        </w:rPr>
        <w:t>egovatelje je potrebno sav</w:t>
      </w:r>
      <w:r w:rsidR="00C521B7" w:rsidRPr="00394D9A">
        <w:rPr>
          <w:szCs w:val="22"/>
          <w:lang w:val="sr-Latn-RS"/>
        </w:rPr>
        <w:t>j</w:t>
      </w:r>
      <w:r w:rsidRPr="00394D9A">
        <w:rPr>
          <w:szCs w:val="22"/>
          <w:lang w:val="sr-Latn-RS"/>
        </w:rPr>
        <w:t>etovati da se obrate ordinirajućem l</w:t>
      </w:r>
      <w:r w:rsidR="00C521B7" w:rsidRPr="00394D9A">
        <w:rPr>
          <w:szCs w:val="22"/>
          <w:lang w:val="sr-Latn-RS"/>
        </w:rPr>
        <w:t>j</w:t>
      </w:r>
      <w:r w:rsidRPr="00394D9A">
        <w:rPr>
          <w:szCs w:val="22"/>
          <w:lang w:val="sr-Latn-RS"/>
        </w:rPr>
        <w:t>ekaru ako pacijent razvije gastrointestinalne simptome, kao što je dispepsija (vid</w:t>
      </w:r>
      <w:r w:rsidR="00C521B7" w:rsidRPr="00394D9A">
        <w:rPr>
          <w:szCs w:val="22"/>
          <w:lang w:val="sr-Latn-RS"/>
        </w:rPr>
        <w:t>j</w:t>
      </w:r>
      <w:r w:rsidRPr="00394D9A">
        <w:rPr>
          <w:szCs w:val="22"/>
          <w:lang w:val="sr-Latn-RS"/>
        </w:rPr>
        <w:t xml:space="preserve">eti </w:t>
      </w:r>
      <w:r w:rsidR="003A2DDC" w:rsidRPr="00394D9A">
        <w:rPr>
          <w:szCs w:val="22"/>
          <w:lang w:val="sr-Latn-RS"/>
        </w:rPr>
        <w:t>dio</w:t>
      </w:r>
      <w:r w:rsidRPr="00394D9A">
        <w:rPr>
          <w:szCs w:val="22"/>
          <w:lang w:val="sr-Latn-RS"/>
        </w:rPr>
        <w:t xml:space="preserve"> 4.8).</w:t>
      </w:r>
    </w:p>
    <w:p w14:paraId="07583AE3" w14:textId="77777777" w:rsidR="007A5478" w:rsidRPr="00394D9A" w:rsidRDefault="007A5478" w:rsidP="00187D17">
      <w:pPr>
        <w:widowControl w:val="0"/>
        <w:tabs>
          <w:tab w:val="clear" w:pos="284"/>
        </w:tabs>
        <w:autoSpaceDE w:val="0"/>
        <w:autoSpaceDN w:val="0"/>
        <w:rPr>
          <w:szCs w:val="22"/>
          <w:lang w:val="sr-Latn-RS"/>
        </w:rPr>
      </w:pPr>
    </w:p>
    <w:p w14:paraId="5ED7C79E" w14:textId="57253C96" w:rsidR="007A5478" w:rsidRPr="00394D9A" w:rsidRDefault="007A5478" w:rsidP="00187D17">
      <w:pPr>
        <w:widowControl w:val="0"/>
        <w:tabs>
          <w:tab w:val="clear" w:pos="284"/>
        </w:tabs>
        <w:autoSpaceDE w:val="0"/>
        <w:autoSpaceDN w:val="0"/>
        <w:rPr>
          <w:i/>
          <w:szCs w:val="22"/>
          <w:lang w:val="sr-Latn-RS"/>
        </w:rPr>
      </w:pPr>
      <w:r w:rsidRPr="00394D9A">
        <w:rPr>
          <w:i/>
          <w:szCs w:val="22"/>
          <w:u w:val="single"/>
          <w:lang w:val="sr-Latn-RS"/>
        </w:rPr>
        <w:t>Prelazak</w:t>
      </w:r>
      <w:r w:rsidRPr="00394D9A">
        <w:rPr>
          <w:i/>
          <w:spacing w:val="-3"/>
          <w:szCs w:val="22"/>
          <w:u w:val="single"/>
          <w:lang w:val="sr-Latn-RS"/>
        </w:rPr>
        <w:t xml:space="preserve"> </w:t>
      </w:r>
      <w:r w:rsidRPr="00394D9A">
        <w:rPr>
          <w:i/>
          <w:szCs w:val="22"/>
          <w:u w:val="single"/>
          <w:lang w:val="sr-Latn-RS"/>
        </w:rPr>
        <w:t>na</w:t>
      </w:r>
      <w:r w:rsidRPr="00394D9A">
        <w:rPr>
          <w:i/>
          <w:spacing w:val="-2"/>
          <w:szCs w:val="22"/>
          <w:u w:val="single"/>
          <w:lang w:val="sr-Latn-RS"/>
        </w:rPr>
        <w:t xml:space="preserve"> </w:t>
      </w:r>
      <w:r w:rsidRPr="00394D9A">
        <w:rPr>
          <w:i/>
          <w:szCs w:val="22"/>
          <w:u w:val="single"/>
          <w:lang w:val="sr-Latn-RS"/>
        </w:rPr>
        <w:t>drugi</w:t>
      </w:r>
      <w:r w:rsidRPr="00394D9A">
        <w:rPr>
          <w:i/>
          <w:spacing w:val="-2"/>
          <w:szCs w:val="22"/>
          <w:u w:val="single"/>
          <w:lang w:val="sr-Latn-RS"/>
        </w:rPr>
        <w:t xml:space="preserve"> </w:t>
      </w:r>
      <w:r w:rsidRPr="00394D9A">
        <w:rPr>
          <w:i/>
          <w:spacing w:val="-5"/>
          <w:szCs w:val="22"/>
          <w:u w:val="single"/>
          <w:lang w:val="sr-Latn-RS"/>
        </w:rPr>
        <w:t>l</w:t>
      </w:r>
      <w:r w:rsidR="007979BD" w:rsidRPr="00394D9A">
        <w:rPr>
          <w:i/>
          <w:spacing w:val="-5"/>
          <w:szCs w:val="22"/>
          <w:u w:val="single"/>
          <w:lang w:val="sr-Latn-RS"/>
        </w:rPr>
        <w:t>ij</w:t>
      </w:r>
      <w:r w:rsidRPr="00394D9A">
        <w:rPr>
          <w:i/>
          <w:spacing w:val="-5"/>
          <w:szCs w:val="22"/>
          <w:u w:val="single"/>
          <w:lang w:val="sr-Latn-RS"/>
        </w:rPr>
        <w:t>ek</w:t>
      </w:r>
    </w:p>
    <w:p w14:paraId="1711D83C" w14:textId="77777777" w:rsidR="007A5478" w:rsidRPr="00394D9A" w:rsidRDefault="007A5478" w:rsidP="00187D17">
      <w:pPr>
        <w:widowControl w:val="0"/>
        <w:tabs>
          <w:tab w:val="clear" w:pos="284"/>
        </w:tabs>
        <w:autoSpaceDE w:val="0"/>
        <w:autoSpaceDN w:val="0"/>
        <w:rPr>
          <w:i/>
          <w:szCs w:val="22"/>
          <w:lang w:val="sr-Latn-RS"/>
        </w:rPr>
      </w:pPr>
    </w:p>
    <w:p w14:paraId="22A1357D" w14:textId="77777777" w:rsidR="007A5478" w:rsidRPr="00394D9A" w:rsidRDefault="007A5478" w:rsidP="00187D17">
      <w:pPr>
        <w:widowControl w:val="0"/>
        <w:tabs>
          <w:tab w:val="clear" w:pos="284"/>
        </w:tabs>
        <w:autoSpaceDE w:val="0"/>
        <w:autoSpaceDN w:val="0"/>
        <w:rPr>
          <w:szCs w:val="22"/>
          <w:lang w:val="sr-Latn-RS"/>
        </w:rPr>
      </w:pPr>
      <w:r w:rsidRPr="00394D9A">
        <w:rPr>
          <w:szCs w:val="22"/>
          <w:lang w:val="sr-Latn-RS"/>
        </w:rPr>
        <w:t>Prelazak</w:t>
      </w:r>
      <w:r w:rsidRPr="00394D9A">
        <w:rPr>
          <w:spacing w:val="-9"/>
          <w:szCs w:val="22"/>
          <w:lang w:val="sr-Latn-RS"/>
        </w:rPr>
        <w:t xml:space="preserve"> </w:t>
      </w:r>
      <w:r w:rsidRPr="00394D9A">
        <w:rPr>
          <w:szCs w:val="22"/>
          <w:lang w:val="sr-Latn-RS"/>
        </w:rPr>
        <w:t>sa</w:t>
      </w:r>
      <w:r w:rsidRPr="00394D9A">
        <w:rPr>
          <w:spacing w:val="-7"/>
          <w:szCs w:val="22"/>
          <w:lang w:val="sr-Latn-RS"/>
        </w:rPr>
        <w:t xml:space="preserve"> </w:t>
      </w:r>
      <w:r w:rsidRPr="00394D9A">
        <w:rPr>
          <w:szCs w:val="22"/>
          <w:lang w:val="sr-Latn-RS"/>
        </w:rPr>
        <w:t>terapije</w:t>
      </w:r>
      <w:r w:rsidRPr="00394D9A">
        <w:rPr>
          <w:spacing w:val="45"/>
          <w:szCs w:val="22"/>
          <w:lang w:val="sr-Latn-RS"/>
        </w:rPr>
        <w:t xml:space="preserve"> </w:t>
      </w:r>
      <w:r w:rsidRPr="00394D9A">
        <w:rPr>
          <w:szCs w:val="22"/>
          <w:lang w:val="sr-Latn-RS"/>
        </w:rPr>
        <w:t>dabigatraneteksilatom</w:t>
      </w:r>
      <w:r w:rsidRPr="00394D9A">
        <w:rPr>
          <w:spacing w:val="-8"/>
          <w:szCs w:val="22"/>
          <w:lang w:val="sr-Latn-RS"/>
        </w:rPr>
        <w:t xml:space="preserve"> </w:t>
      </w:r>
      <w:r w:rsidRPr="00394D9A">
        <w:rPr>
          <w:szCs w:val="22"/>
          <w:lang w:val="sr-Latn-RS"/>
        </w:rPr>
        <w:t>na</w:t>
      </w:r>
      <w:r w:rsidRPr="00394D9A">
        <w:rPr>
          <w:spacing w:val="-7"/>
          <w:szCs w:val="22"/>
          <w:lang w:val="sr-Latn-RS"/>
        </w:rPr>
        <w:t xml:space="preserve"> </w:t>
      </w:r>
      <w:r w:rsidRPr="00394D9A">
        <w:rPr>
          <w:szCs w:val="22"/>
          <w:lang w:val="sr-Latn-RS"/>
        </w:rPr>
        <w:t>parenteralni</w:t>
      </w:r>
      <w:r w:rsidRPr="00394D9A">
        <w:rPr>
          <w:spacing w:val="-7"/>
          <w:szCs w:val="22"/>
          <w:lang w:val="sr-Latn-RS"/>
        </w:rPr>
        <w:t xml:space="preserve"> </w:t>
      </w:r>
      <w:r w:rsidRPr="00394D9A">
        <w:rPr>
          <w:spacing w:val="-2"/>
          <w:szCs w:val="22"/>
          <w:lang w:val="sr-Latn-RS"/>
        </w:rPr>
        <w:t>antikoagulans:</w:t>
      </w:r>
    </w:p>
    <w:p w14:paraId="1D8DBF06" w14:textId="22CF964A" w:rsidR="007A5478" w:rsidRPr="00394D9A" w:rsidRDefault="007A5478" w:rsidP="00187D17">
      <w:pPr>
        <w:widowControl w:val="0"/>
        <w:tabs>
          <w:tab w:val="clear" w:pos="284"/>
        </w:tabs>
        <w:autoSpaceDE w:val="0"/>
        <w:autoSpaceDN w:val="0"/>
        <w:rPr>
          <w:szCs w:val="22"/>
          <w:lang w:val="sr-Latn-RS"/>
        </w:rPr>
      </w:pPr>
      <w:r w:rsidRPr="00394D9A">
        <w:rPr>
          <w:szCs w:val="22"/>
          <w:lang w:val="sr-Latn-RS"/>
        </w:rPr>
        <w:t>Preporučuje</w:t>
      </w:r>
      <w:r w:rsidRPr="00394D9A">
        <w:rPr>
          <w:spacing w:val="-4"/>
          <w:szCs w:val="22"/>
          <w:lang w:val="sr-Latn-RS"/>
        </w:rPr>
        <w:t xml:space="preserve"> </w:t>
      </w:r>
      <w:r w:rsidRPr="00394D9A">
        <w:rPr>
          <w:szCs w:val="22"/>
          <w:lang w:val="sr-Latn-RS"/>
        </w:rPr>
        <w:t>se</w:t>
      </w:r>
      <w:r w:rsidRPr="00394D9A">
        <w:rPr>
          <w:spacing w:val="-4"/>
          <w:szCs w:val="22"/>
          <w:lang w:val="sr-Latn-RS"/>
        </w:rPr>
        <w:t xml:space="preserve"> </w:t>
      </w:r>
      <w:r w:rsidRPr="00394D9A">
        <w:rPr>
          <w:szCs w:val="22"/>
          <w:lang w:val="sr-Latn-RS"/>
        </w:rPr>
        <w:t>da</w:t>
      </w:r>
      <w:r w:rsidRPr="00394D9A">
        <w:rPr>
          <w:spacing w:val="-4"/>
          <w:szCs w:val="22"/>
          <w:lang w:val="sr-Latn-RS"/>
        </w:rPr>
        <w:t xml:space="preserve"> </w:t>
      </w:r>
      <w:r w:rsidRPr="00394D9A">
        <w:rPr>
          <w:szCs w:val="22"/>
          <w:lang w:val="sr-Latn-RS"/>
        </w:rPr>
        <w:t>se</w:t>
      </w:r>
      <w:r w:rsidRPr="00394D9A">
        <w:rPr>
          <w:spacing w:val="-4"/>
          <w:szCs w:val="22"/>
          <w:lang w:val="sr-Latn-RS"/>
        </w:rPr>
        <w:t xml:space="preserve"> </w:t>
      </w:r>
      <w:r w:rsidRPr="00394D9A">
        <w:rPr>
          <w:szCs w:val="22"/>
          <w:lang w:val="sr-Latn-RS"/>
        </w:rPr>
        <w:t>čeka</w:t>
      </w:r>
      <w:r w:rsidRPr="00394D9A">
        <w:rPr>
          <w:spacing w:val="-4"/>
          <w:szCs w:val="22"/>
          <w:lang w:val="sr-Latn-RS"/>
        </w:rPr>
        <w:t xml:space="preserve"> </w:t>
      </w:r>
      <w:r w:rsidRPr="00394D9A">
        <w:rPr>
          <w:szCs w:val="22"/>
          <w:lang w:val="sr-Latn-RS"/>
        </w:rPr>
        <w:t>12</w:t>
      </w:r>
      <w:r w:rsidRPr="00394D9A">
        <w:rPr>
          <w:spacing w:val="-4"/>
          <w:szCs w:val="22"/>
          <w:lang w:val="sr-Latn-RS"/>
        </w:rPr>
        <w:t xml:space="preserve"> </w:t>
      </w:r>
      <w:r w:rsidRPr="00394D9A">
        <w:rPr>
          <w:szCs w:val="22"/>
          <w:lang w:val="sr-Latn-RS"/>
        </w:rPr>
        <w:t>sati</w:t>
      </w:r>
      <w:r w:rsidRPr="00394D9A">
        <w:rPr>
          <w:spacing w:val="-4"/>
          <w:szCs w:val="22"/>
          <w:lang w:val="sr-Latn-RS"/>
        </w:rPr>
        <w:t xml:space="preserve"> </w:t>
      </w:r>
      <w:r w:rsidRPr="00394D9A">
        <w:rPr>
          <w:szCs w:val="22"/>
          <w:lang w:val="sr-Latn-RS"/>
        </w:rPr>
        <w:t>nakon</w:t>
      </w:r>
      <w:r w:rsidRPr="00394D9A">
        <w:rPr>
          <w:spacing w:val="-4"/>
          <w:szCs w:val="22"/>
          <w:lang w:val="sr-Latn-RS"/>
        </w:rPr>
        <w:t xml:space="preserve"> </w:t>
      </w:r>
      <w:r w:rsidRPr="00394D9A">
        <w:rPr>
          <w:szCs w:val="22"/>
          <w:lang w:val="sr-Latn-RS"/>
        </w:rPr>
        <w:t>posl</w:t>
      </w:r>
      <w:r w:rsidR="00157169" w:rsidRPr="00394D9A">
        <w:rPr>
          <w:szCs w:val="22"/>
          <w:lang w:val="sr-Latn-RS"/>
        </w:rPr>
        <w:t>j</w:t>
      </w:r>
      <w:r w:rsidRPr="00394D9A">
        <w:rPr>
          <w:szCs w:val="22"/>
          <w:lang w:val="sr-Latn-RS"/>
        </w:rPr>
        <w:t>ednje</w:t>
      </w:r>
      <w:r w:rsidRPr="00394D9A">
        <w:rPr>
          <w:spacing w:val="-4"/>
          <w:szCs w:val="22"/>
          <w:lang w:val="sr-Latn-RS"/>
        </w:rPr>
        <w:t xml:space="preserve"> </w:t>
      </w:r>
      <w:r w:rsidRPr="00394D9A">
        <w:rPr>
          <w:szCs w:val="22"/>
          <w:lang w:val="sr-Latn-RS"/>
        </w:rPr>
        <w:t>doze,</w:t>
      </w:r>
      <w:r w:rsidRPr="00394D9A">
        <w:rPr>
          <w:spacing w:val="-4"/>
          <w:szCs w:val="22"/>
          <w:lang w:val="sr-Latn-RS"/>
        </w:rPr>
        <w:t xml:space="preserve"> </w:t>
      </w:r>
      <w:r w:rsidRPr="00394D9A">
        <w:rPr>
          <w:szCs w:val="22"/>
          <w:lang w:val="sr-Latn-RS"/>
        </w:rPr>
        <w:t>pr</w:t>
      </w:r>
      <w:r w:rsidR="007979BD" w:rsidRPr="00394D9A">
        <w:rPr>
          <w:szCs w:val="22"/>
          <w:lang w:val="sr-Latn-RS"/>
        </w:rPr>
        <w:t>ij</w:t>
      </w:r>
      <w:r w:rsidRPr="00394D9A">
        <w:rPr>
          <w:szCs w:val="22"/>
          <w:lang w:val="sr-Latn-RS"/>
        </w:rPr>
        <w:t>e</w:t>
      </w:r>
      <w:r w:rsidRPr="00394D9A">
        <w:rPr>
          <w:spacing w:val="-4"/>
          <w:szCs w:val="22"/>
          <w:lang w:val="sr-Latn-RS"/>
        </w:rPr>
        <w:t xml:space="preserve"> </w:t>
      </w:r>
      <w:r w:rsidRPr="00394D9A">
        <w:rPr>
          <w:szCs w:val="22"/>
          <w:lang w:val="sr-Latn-RS"/>
        </w:rPr>
        <w:t>prelaska</w:t>
      </w:r>
      <w:r w:rsidRPr="00394D9A">
        <w:rPr>
          <w:spacing w:val="-4"/>
          <w:szCs w:val="22"/>
          <w:lang w:val="sr-Latn-RS"/>
        </w:rPr>
        <w:t xml:space="preserve"> </w:t>
      </w:r>
      <w:r w:rsidRPr="00394D9A">
        <w:rPr>
          <w:szCs w:val="22"/>
          <w:lang w:val="sr-Latn-RS"/>
        </w:rPr>
        <w:t>sa</w:t>
      </w:r>
      <w:r w:rsidRPr="00394D9A">
        <w:rPr>
          <w:spacing w:val="-3"/>
          <w:szCs w:val="22"/>
          <w:lang w:val="sr-Latn-RS"/>
        </w:rPr>
        <w:t xml:space="preserve"> </w:t>
      </w:r>
      <w:r w:rsidRPr="00394D9A">
        <w:rPr>
          <w:szCs w:val="22"/>
          <w:lang w:val="sr-Latn-RS"/>
        </w:rPr>
        <w:t>dabigatraneteksilata na parenteralni antikoagulans (vid</w:t>
      </w:r>
      <w:r w:rsidR="007979BD" w:rsidRPr="00394D9A">
        <w:rPr>
          <w:szCs w:val="22"/>
          <w:lang w:val="sr-Latn-RS"/>
        </w:rPr>
        <w:t>j</w:t>
      </w:r>
      <w:r w:rsidRPr="00394D9A">
        <w:rPr>
          <w:szCs w:val="22"/>
          <w:lang w:val="sr-Latn-RS"/>
        </w:rPr>
        <w:t xml:space="preserve">eti </w:t>
      </w:r>
      <w:r w:rsidR="003A2DDC" w:rsidRPr="00394D9A">
        <w:rPr>
          <w:szCs w:val="22"/>
          <w:lang w:val="sr-Latn-RS"/>
        </w:rPr>
        <w:t>dio</w:t>
      </w:r>
      <w:r w:rsidRPr="00394D9A">
        <w:rPr>
          <w:szCs w:val="22"/>
          <w:lang w:val="sr-Latn-RS"/>
        </w:rPr>
        <w:t xml:space="preserve"> 4.5).</w:t>
      </w:r>
    </w:p>
    <w:p w14:paraId="17D63DC3" w14:textId="77777777" w:rsidR="00845CD6" w:rsidRPr="00394D9A" w:rsidRDefault="00845CD6" w:rsidP="00187D17">
      <w:pPr>
        <w:widowControl w:val="0"/>
        <w:tabs>
          <w:tab w:val="clear" w:pos="284"/>
        </w:tabs>
        <w:autoSpaceDE w:val="0"/>
        <w:autoSpaceDN w:val="0"/>
        <w:rPr>
          <w:szCs w:val="22"/>
          <w:lang w:val="sr-Latn-RS"/>
        </w:rPr>
      </w:pPr>
    </w:p>
    <w:p w14:paraId="61E60F03" w14:textId="77777777" w:rsidR="007A5478" w:rsidRPr="00394D9A" w:rsidRDefault="007A5478" w:rsidP="00187D17">
      <w:pPr>
        <w:widowControl w:val="0"/>
        <w:tabs>
          <w:tab w:val="clear" w:pos="284"/>
        </w:tabs>
        <w:autoSpaceDE w:val="0"/>
        <w:autoSpaceDN w:val="0"/>
        <w:rPr>
          <w:szCs w:val="22"/>
          <w:lang w:val="sr-Latn-RS"/>
        </w:rPr>
      </w:pPr>
      <w:r w:rsidRPr="00394D9A">
        <w:rPr>
          <w:szCs w:val="22"/>
          <w:lang w:val="sr-Latn-RS"/>
        </w:rPr>
        <w:t>Prelazak</w:t>
      </w:r>
      <w:r w:rsidRPr="00394D9A">
        <w:rPr>
          <w:spacing w:val="-10"/>
          <w:szCs w:val="22"/>
          <w:lang w:val="sr-Latn-RS"/>
        </w:rPr>
        <w:t xml:space="preserve"> </w:t>
      </w:r>
      <w:r w:rsidRPr="00394D9A">
        <w:rPr>
          <w:szCs w:val="22"/>
          <w:lang w:val="sr-Latn-RS"/>
        </w:rPr>
        <w:t>sa</w:t>
      </w:r>
      <w:r w:rsidRPr="00394D9A">
        <w:rPr>
          <w:spacing w:val="-3"/>
          <w:szCs w:val="22"/>
          <w:lang w:val="sr-Latn-RS"/>
        </w:rPr>
        <w:t xml:space="preserve"> </w:t>
      </w:r>
      <w:r w:rsidRPr="00394D9A">
        <w:rPr>
          <w:szCs w:val="22"/>
          <w:lang w:val="sr-Latn-RS"/>
        </w:rPr>
        <w:t>terapije</w:t>
      </w:r>
      <w:r w:rsidRPr="00394D9A">
        <w:rPr>
          <w:spacing w:val="-12"/>
          <w:szCs w:val="22"/>
          <w:lang w:val="sr-Latn-RS"/>
        </w:rPr>
        <w:t xml:space="preserve"> </w:t>
      </w:r>
      <w:r w:rsidRPr="00394D9A">
        <w:rPr>
          <w:szCs w:val="22"/>
          <w:lang w:val="sr-Latn-RS"/>
        </w:rPr>
        <w:t>parenteralnim</w:t>
      </w:r>
      <w:r w:rsidRPr="00394D9A">
        <w:rPr>
          <w:spacing w:val="-9"/>
          <w:szCs w:val="22"/>
          <w:lang w:val="sr-Latn-RS"/>
        </w:rPr>
        <w:t xml:space="preserve"> </w:t>
      </w:r>
      <w:r w:rsidRPr="00394D9A">
        <w:rPr>
          <w:szCs w:val="22"/>
          <w:lang w:val="sr-Latn-RS"/>
        </w:rPr>
        <w:t>antikoagulansima</w:t>
      </w:r>
      <w:r w:rsidRPr="00394D9A">
        <w:rPr>
          <w:spacing w:val="-2"/>
          <w:szCs w:val="22"/>
          <w:lang w:val="sr-Latn-RS"/>
        </w:rPr>
        <w:t xml:space="preserve"> </w:t>
      </w:r>
      <w:r w:rsidRPr="00394D9A">
        <w:rPr>
          <w:szCs w:val="22"/>
          <w:lang w:val="sr-Latn-RS"/>
        </w:rPr>
        <w:t>na</w:t>
      </w:r>
      <w:r w:rsidRPr="00394D9A">
        <w:rPr>
          <w:spacing w:val="-8"/>
          <w:szCs w:val="22"/>
          <w:lang w:val="sr-Latn-RS"/>
        </w:rPr>
        <w:t xml:space="preserve"> </w:t>
      </w:r>
      <w:r w:rsidRPr="00394D9A">
        <w:rPr>
          <w:spacing w:val="-2"/>
          <w:szCs w:val="22"/>
          <w:lang w:val="sr-Latn-RS"/>
        </w:rPr>
        <w:t>dabigatraneteksilat:</w:t>
      </w:r>
    </w:p>
    <w:p w14:paraId="51DACB04" w14:textId="2EDA1126" w:rsidR="007A5478" w:rsidRPr="00394D9A" w:rsidRDefault="007A5478" w:rsidP="00187D17">
      <w:pPr>
        <w:widowControl w:val="0"/>
        <w:tabs>
          <w:tab w:val="clear" w:pos="284"/>
        </w:tabs>
        <w:autoSpaceDE w:val="0"/>
        <w:autoSpaceDN w:val="0"/>
        <w:rPr>
          <w:szCs w:val="22"/>
          <w:lang w:val="sr-Latn-RS"/>
        </w:rPr>
      </w:pPr>
      <w:r w:rsidRPr="00394D9A">
        <w:rPr>
          <w:szCs w:val="22"/>
          <w:lang w:val="sr-Latn-RS"/>
        </w:rPr>
        <w:t>Potrebno</w:t>
      </w:r>
      <w:r w:rsidRPr="00394D9A">
        <w:rPr>
          <w:spacing w:val="-5"/>
          <w:szCs w:val="22"/>
          <w:lang w:val="sr-Latn-RS"/>
        </w:rPr>
        <w:t xml:space="preserve"> </w:t>
      </w:r>
      <w:r w:rsidRPr="00394D9A">
        <w:rPr>
          <w:szCs w:val="22"/>
          <w:lang w:val="sr-Latn-RS"/>
        </w:rPr>
        <w:t>je</w:t>
      </w:r>
      <w:r w:rsidRPr="00394D9A">
        <w:rPr>
          <w:spacing w:val="-5"/>
          <w:szCs w:val="22"/>
          <w:lang w:val="sr-Latn-RS"/>
        </w:rPr>
        <w:t xml:space="preserve"> </w:t>
      </w:r>
      <w:r w:rsidRPr="00394D9A">
        <w:rPr>
          <w:szCs w:val="22"/>
          <w:lang w:val="sr-Latn-RS"/>
        </w:rPr>
        <w:t>prekinuti</w:t>
      </w:r>
      <w:r w:rsidRPr="00394D9A">
        <w:rPr>
          <w:spacing w:val="-5"/>
          <w:szCs w:val="22"/>
          <w:lang w:val="sr-Latn-RS"/>
        </w:rPr>
        <w:t xml:space="preserve"> </w:t>
      </w:r>
      <w:r w:rsidRPr="00394D9A">
        <w:rPr>
          <w:szCs w:val="22"/>
          <w:lang w:val="sr-Latn-RS"/>
        </w:rPr>
        <w:t>prim</w:t>
      </w:r>
      <w:r w:rsidR="003A2DDC" w:rsidRPr="00394D9A">
        <w:rPr>
          <w:szCs w:val="22"/>
          <w:lang w:val="sr-Latn-RS"/>
        </w:rPr>
        <w:t>j</w:t>
      </w:r>
      <w:r w:rsidRPr="00394D9A">
        <w:rPr>
          <w:szCs w:val="22"/>
          <w:lang w:val="sr-Latn-RS"/>
        </w:rPr>
        <w:t>enu</w:t>
      </w:r>
      <w:r w:rsidRPr="00394D9A">
        <w:rPr>
          <w:spacing w:val="-5"/>
          <w:szCs w:val="22"/>
          <w:lang w:val="sr-Latn-RS"/>
        </w:rPr>
        <w:t xml:space="preserve"> </w:t>
      </w:r>
      <w:r w:rsidRPr="00394D9A">
        <w:rPr>
          <w:szCs w:val="22"/>
          <w:lang w:val="sr-Latn-RS"/>
        </w:rPr>
        <w:t>parenteralnog</w:t>
      </w:r>
      <w:r w:rsidRPr="00394D9A">
        <w:rPr>
          <w:spacing w:val="-5"/>
          <w:szCs w:val="22"/>
          <w:lang w:val="sr-Latn-RS"/>
        </w:rPr>
        <w:t xml:space="preserve"> </w:t>
      </w:r>
      <w:r w:rsidRPr="00394D9A">
        <w:rPr>
          <w:szCs w:val="22"/>
          <w:lang w:val="sr-Latn-RS"/>
        </w:rPr>
        <w:t>antikoagulansa</w:t>
      </w:r>
      <w:r w:rsidRPr="00394D9A">
        <w:rPr>
          <w:spacing w:val="-5"/>
          <w:szCs w:val="22"/>
          <w:lang w:val="sr-Latn-RS"/>
        </w:rPr>
        <w:t xml:space="preserve"> </w:t>
      </w:r>
      <w:r w:rsidRPr="00394D9A">
        <w:rPr>
          <w:szCs w:val="22"/>
          <w:lang w:val="sr-Latn-RS"/>
        </w:rPr>
        <w:t>i</w:t>
      </w:r>
      <w:r w:rsidRPr="00394D9A">
        <w:rPr>
          <w:spacing w:val="-5"/>
          <w:szCs w:val="22"/>
          <w:lang w:val="sr-Latn-RS"/>
        </w:rPr>
        <w:t xml:space="preserve"> </w:t>
      </w:r>
      <w:r w:rsidRPr="00394D9A">
        <w:rPr>
          <w:szCs w:val="22"/>
          <w:lang w:val="sr-Latn-RS"/>
        </w:rPr>
        <w:t>započeti</w:t>
      </w:r>
      <w:r w:rsidRPr="00394D9A">
        <w:rPr>
          <w:spacing w:val="-4"/>
          <w:szCs w:val="22"/>
          <w:lang w:val="sr-Latn-RS"/>
        </w:rPr>
        <w:t xml:space="preserve"> </w:t>
      </w:r>
      <w:r w:rsidRPr="00394D9A">
        <w:rPr>
          <w:szCs w:val="22"/>
          <w:lang w:val="sr-Latn-RS"/>
        </w:rPr>
        <w:t>terapiju dabigatraneteksilatom</w:t>
      </w:r>
      <w:r w:rsidRPr="00394D9A">
        <w:rPr>
          <w:spacing w:val="-9"/>
          <w:szCs w:val="22"/>
          <w:lang w:val="sr-Latn-RS"/>
        </w:rPr>
        <w:t xml:space="preserve"> </w:t>
      </w:r>
      <w:r w:rsidRPr="00394D9A">
        <w:rPr>
          <w:szCs w:val="22"/>
          <w:lang w:val="sr-Latn-RS"/>
        </w:rPr>
        <w:t>0-2 sata pr</w:t>
      </w:r>
      <w:r w:rsidR="003A2DDC" w:rsidRPr="00394D9A">
        <w:rPr>
          <w:szCs w:val="22"/>
          <w:lang w:val="sr-Latn-RS"/>
        </w:rPr>
        <w:t>ij</w:t>
      </w:r>
      <w:r w:rsidRPr="00394D9A">
        <w:rPr>
          <w:szCs w:val="22"/>
          <w:lang w:val="sr-Latn-RS"/>
        </w:rPr>
        <w:t>e vremena predviđenog za sl</w:t>
      </w:r>
      <w:r w:rsidR="00157169" w:rsidRPr="00394D9A">
        <w:rPr>
          <w:szCs w:val="22"/>
          <w:lang w:val="sr-Latn-RS"/>
        </w:rPr>
        <w:t>j</w:t>
      </w:r>
      <w:r w:rsidRPr="00394D9A">
        <w:rPr>
          <w:szCs w:val="22"/>
          <w:lang w:val="sr-Latn-RS"/>
        </w:rPr>
        <w:t>edeću dozu dosadašnje terapije ili u trenutku prekida u slučaju kontinuirane terapije (npr. intravenski nefrakcionirani heparin (</w:t>
      </w:r>
      <w:r w:rsidRPr="00394D9A">
        <w:rPr>
          <w:i/>
          <w:szCs w:val="22"/>
          <w:lang w:val="sr-Latn-RS"/>
        </w:rPr>
        <w:t>engl. Unfractionated Heparin</w:t>
      </w:r>
      <w:r w:rsidRPr="00394D9A">
        <w:rPr>
          <w:szCs w:val="22"/>
          <w:lang w:val="sr-Latn-RS"/>
        </w:rPr>
        <w:t>, UFH)) (vid</w:t>
      </w:r>
      <w:r w:rsidR="003A2DDC" w:rsidRPr="00394D9A">
        <w:rPr>
          <w:szCs w:val="22"/>
          <w:lang w:val="sr-Latn-RS"/>
        </w:rPr>
        <w:t>j</w:t>
      </w:r>
      <w:r w:rsidRPr="00394D9A">
        <w:rPr>
          <w:szCs w:val="22"/>
          <w:lang w:val="sr-Latn-RS"/>
        </w:rPr>
        <w:t xml:space="preserve">eti </w:t>
      </w:r>
      <w:r w:rsidR="003A2DDC" w:rsidRPr="00394D9A">
        <w:rPr>
          <w:szCs w:val="22"/>
          <w:lang w:val="sr-Latn-RS"/>
        </w:rPr>
        <w:t>dio</w:t>
      </w:r>
      <w:r w:rsidRPr="00394D9A">
        <w:rPr>
          <w:szCs w:val="22"/>
          <w:lang w:val="sr-Latn-RS"/>
        </w:rPr>
        <w:t xml:space="preserve"> 4.5).</w:t>
      </w:r>
    </w:p>
    <w:p w14:paraId="51AB4BFE" w14:textId="77777777" w:rsidR="007A5478" w:rsidRPr="00394D9A" w:rsidRDefault="007A5478" w:rsidP="00187D17">
      <w:pPr>
        <w:widowControl w:val="0"/>
        <w:tabs>
          <w:tab w:val="clear" w:pos="284"/>
        </w:tabs>
        <w:autoSpaceDE w:val="0"/>
        <w:autoSpaceDN w:val="0"/>
        <w:rPr>
          <w:szCs w:val="22"/>
          <w:lang w:val="sr-Latn-RS"/>
        </w:rPr>
      </w:pPr>
    </w:p>
    <w:p w14:paraId="338F2C8F" w14:textId="77777777" w:rsidR="007A5478" w:rsidRPr="00394D9A" w:rsidRDefault="007A5478" w:rsidP="00187D17">
      <w:pPr>
        <w:widowControl w:val="0"/>
        <w:tabs>
          <w:tab w:val="clear" w:pos="284"/>
        </w:tabs>
        <w:autoSpaceDE w:val="0"/>
        <w:autoSpaceDN w:val="0"/>
        <w:rPr>
          <w:szCs w:val="22"/>
          <w:lang w:val="sr-Latn-RS"/>
        </w:rPr>
      </w:pPr>
      <w:r w:rsidRPr="00394D9A">
        <w:rPr>
          <w:szCs w:val="22"/>
          <w:lang w:val="sr-Latn-RS"/>
        </w:rPr>
        <w:t>Prelazak</w:t>
      </w:r>
      <w:r w:rsidRPr="00394D9A">
        <w:rPr>
          <w:spacing w:val="-6"/>
          <w:szCs w:val="22"/>
          <w:lang w:val="sr-Latn-RS"/>
        </w:rPr>
        <w:t xml:space="preserve"> </w:t>
      </w:r>
      <w:r w:rsidRPr="00394D9A">
        <w:rPr>
          <w:szCs w:val="22"/>
          <w:lang w:val="sr-Latn-RS"/>
        </w:rPr>
        <w:t>sa terapije</w:t>
      </w:r>
      <w:r w:rsidRPr="00394D9A">
        <w:rPr>
          <w:spacing w:val="40"/>
          <w:szCs w:val="22"/>
          <w:lang w:val="sr-Latn-RS"/>
        </w:rPr>
        <w:t xml:space="preserve"> </w:t>
      </w:r>
      <w:r w:rsidRPr="00394D9A">
        <w:rPr>
          <w:szCs w:val="22"/>
          <w:lang w:val="sr-Latn-RS"/>
        </w:rPr>
        <w:t>dabigatraneteksilatom</w:t>
      </w:r>
      <w:r w:rsidRPr="00394D9A">
        <w:rPr>
          <w:spacing w:val="-5"/>
          <w:szCs w:val="22"/>
          <w:lang w:val="sr-Latn-RS"/>
        </w:rPr>
        <w:t xml:space="preserve"> </w:t>
      </w:r>
      <w:r w:rsidRPr="00394D9A">
        <w:rPr>
          <w:szCs w:val="22"/>
          <w:lang w:val="sr-Latn-RS"/>
        </w:rPr>
        <w:t>na</w:t>
      </w:r>
      <w:r w:rsidRPr="00394D9A">
        <w:rPr>
          <w:spacing w:val="-4"/>
          <w:szCs w:val="22"/>
          <w:lang w:val="sr-Latn-RS"/>
        </w:rPr>
        <w:t xml:space="preserve"> </w:t>
      </w:r>
      <w:r w:rsidRPr="00394D9A">
        <w:rPr>
          <w:szCs w:val="22"/>
          <w:lang w:val="sr-Latn-RS"/>
        </w:rPr>
        <w:t>antagoniste</w:t>
      </w:r>
      <w:r w:rsidRPr="00394D9A">
        <w:rPr>
          <w:spacing w:val="-4"/>
          <w:szCs w:val="22"/>
          <w:lang w:val="sr-Latn-RS"/>
        </w:rPr>
        <w:t xml:space="preserve"> </w:t>
      </w:r>
      <w:r w:rsidRPr="00394D9A">
        <w:rPr>
          <w:szCs w:val="22"/>
          <w:lang w:val="sr-Latn-RS"/>
        </w:rPr>
        <w:t>vitamina</w:t>
      </w:r>
      <w:r w:rsidRPr="00394D9A">
        <w:rPr>
          <w:spacing w:val="-4"/>
          <w:szCs w:val="22"/>
          <w:lang w:val="sr-Latn-RS"/>
        </w:rPr>
        <w:t xml:space="preserve"> </w:t>
      </w:r>
      <w:r w:rsidRPr="00394D9A">
        <w:rPr>
          <w:szCs w:val="22"/>
          <w:lang w:val="sr-Latn-RS"/>
        </w:rPr>
        <w:t>K</w:t>
      </w:r>
      <w:r w:rsidRPr="00394D9A">
        <w:rPr>
          <w:spacing w:val="-4"/>
          <w:szCs w:val="22"/>
          <w:lang w:val="sr-Latn-RS"/>
        </w:rPr>
        <w:t xml:space="preserve"> </w:t>
      </w:r>
      <w:r w:rsidRPr="00394D9A">
        <w:rPr>
          <w:szCs w:val="22"/>
          <w:lang w:val="sr-Latn-RS"/>
        </w:rPr>
        <w:t>(</w:t>
      </w:r>
      <w:r w:rsidRPr="00394D9A">
        <w:rPr>
          <w:i/>
          <w:szCs w:val="22"/>
          <w:lang w:val="sr-Latn-RS"/>
        </w:rPr>
        <w:t>engl. vitamin</w:t>
      </w:r>
      <w:r w:rsidRPr="00394D9A">
        <w:rPr>
          <w:i/>
          <w:spacing w:val="-4"/>
          <w:szCs w:val="22"/>
          <w:lang w:val="sr-Latn-RS"/>
        </w:rPr>
        <w:t xml:space="preserve"> </w:t>
      </w:r>
      <w:r w:rsidRPr="00394D9A">
        <w:rPr>
          <w:i/>
          <w:szCs w:val="22"/>
          <w:lang w:val="sr-Latn-RS"/>
        </w:rPr>
        <w:t>K</w:t>
      </w:r>
      <w:r w:rsidRPr="00394D9A">
        <w:rPr>
          <w:i/>
          <w:spacing w:val="-4"/>
          <w:szCs w:val="22"/>
          <w:lang w:val="sr-Latn-RS"/>
        </w:rPr>
        <w:t xml:space="preserve"> </w:t>
      </w:r>
      <w:r w:rsidRPr="00394D9A">
        <w:rPr>
          <w:i/>
          <w:szCs w:val="22"/>
          <w:lang w:val="sr-Latn-RS"/>
        </w:rPr>
        <w:t>antagonist</w:t>
      </w:r>
      <w:r w:rsidRPr="00394D9A">
        <w:rPr>
          <w:szCs w:val="22"/>
          <w:lang w:val="sr-Latn-RS"/>
        </w:rPr>
        <w:t xml:space="preserve">s, </w:t>
      </w:r>
      <w:r w:rsidRPr="00394D9A">
        <w:rPr>
          <w:spacing w:val="-2"/>
          <w:szCs w:val="22"/>
          <w:lang w:val="sr-Latn-RS"/>
        </w:rPr>
        <w:t>VKA):</w:t>
      </w:r>
    </w:p>
    <w:p w14:paraId="16AD4943" w14:textId="56CE7DFC" w:rsidR="007A5478" w:rsidRPr="00394D9A" w:rsidRDefault="007A5478" w:rsidP="00187D17">
      <w:pPr>
        <w:widowControl w:val="0"/>
        <w:tabs>
          <w:tab w:val="clear" w:pos="284"/>
        </w:tabs>
        <w:autoSpaceDE w:val="0"/>
        <w:autoSpaceDN w:val="0"/>
        <w:rPr>
          <w:szCs w:val="22"/>
          <w:lang w:val="sr-Latn-RS"/>
        </w:rPr>
      </w:pPr>
      <w:r w:rsidRPr="00394D9A">
        <w:rPr>
          <w:szCs w:val="22"/>
          <w:lang w:val="sr-Latn-RS"/>
        </w:rPr>
        <w:t>Pacijenti</w:t>
      </w:r>
      <w:r w:rsidRPr="00394D9A">
        <w:rPr>
          <w:spacing w:val="-2"/>
          <w:szCs w:val="22"/>
          <w:lang w:val="sr-Latn-RS"/>
        </w:rPr>
        <w:t xml:space="preserve"> </w:t>
      </w:r>
      <w:r w:rsidRPr="00394D9A">
        <w:rPr>
          <w:szCs w:val="22"/>
          <w:lang w:val="sr-Latn-RS"/>
        </w:rPr>
        <w:t>bi</w:t>
      </w:r>
      <w:r w:rsidRPr="00394D9A">
        <w:rPr>
          <w:spacing w:val="-1"/>
          <w:szCs w:val="22"/>
          <w:lang w:val="sr-Latn-RS"/>
        </w:rPr>
        <w:t xml:space="preserve"> </w:t>
      </w:r>
      <w:r w:rsidRPr="00394D9A">
        <w:rPr>
          <w:szCs w:val="22"/>
          <w:lang w:val="sr-Latn-RS"/>
        </w:rPr>
        <w:t>trebalo</w:t>
      </w:r>
      <w:r w:rsidRPr="00394D9A">
        <w:rPr>
          <w:spacing w:val="-1"/>
          <w:szCs w:val="22"/>
          <w:lang w:val="sr-Latn-RS"/>
        </w:rPr>
        <w:t xml:space="preserve"> </w:t>
      </w:r>
      <w:r w:rsidRPr="00394D9A">
        <w:rPr>
          <w:szCs w:val="22"/>
          <w:lang w:val="sr-Latn-RS"/>
        </w:rPr>
        <w:t>da</w:t>
      </w:r>
      <w:r w:rsidRPr="00394D9A">
        <w:rPr>
          <w:spacing w:val="-1"/>
          <w:szCs w:val="22"/>
          <w:lang w:val="sr-Latn-RS"/>
        </w:rPr>
        <w:t xml:space="preserve"> </w:t>
      </w:r>
      <w:r w:rsidRPr="00394D9A">
        <w:rPr>
          <w:szCs w:val="22"/>
          <w:lang w:val="sr-Latn-RS"/>
        </w:rPr>
        <w:t>započnu terapiju sa VKA</w:t>
      </w:r>
      <w:r w:rsidRPr="00394D9A">
        <w:rPr>
          <w:spacing w:val="-1"/>
          <w:szCs w:val="22"/>
          <w:lang w:val="sr-Latn-RS"/>
        </w:rPr>
        <w:t xml:space="preserve"> </w:t>
      </w:r>
      <w:r w:rsidRPr="00394D9A">
        <w:rPr>
          <w:szCs w:val="22"/>
          <w:lang w:val="sr-Latn-RS"/>
        </w:rPr>
        <w:t>3</w:t>
      </w:r>
      <w:r w:rsidRPr="00394D9A">
        <w:rPr>
          <w:spacing w:val="-1"/>
          <w:szCs w:val="22"/>
          <w:lang w:val="sr-Latn-RS"/>
        </w:rPr>
        <w:t xml:space="preserve"> </w:t>
      </w:r>
      <w:r w:rsidRPr="00394D9A">
        <w:rPr>
          <w:szCs w:val="22"/>
          <w:lang w:val="sr-Latn-RS"/>
        </w:rPr>
        <w:t>dana</w:t>
      </w:r>
      <w:r w:rsidRPr="00394D9A">
        <w:rPr>
          <w:spacing w:val="-1"/>
          <w:szCs w:val="22"/>
          <w:lang w:val="sr-Latn-RS"/>
        </w:rPr>
        <w:t xml:space="preserve"> </w:t>
      </w:r>
      <w:r w:rsidRPr="00394D9A">
        <w:rPr>
          <w:szCs w:val="22"/>
          <w:lang w:val="sr-Latn-RS"/>
        </w:rPr>
        <w:t>pr</w:t>
      </w:r>
      <w:r w:rsidR="003A2DDC" w:rsidRPr="00394D9A">
        <w:rPr>
          <w:szCs w:val="22"/>
          <w:lang w:val="sr-Latn-RS"/>
        </w:rPr>
        <w:t>ij</w:t>
      </w:r>
      <w:r w:rsidRPr="00394D9A">
        <w:rPr>
          <w:szCs w:val="22"/>
          <w:lang w:val="sr-Latn-RS"/>
        </w:rPr>
        <w:t>e</w:t>
      </w:r>
      <w:r w:rsidRPr="00394D9A">
        <w:rPr>
          <w:spacing w:val="-1"/>
          <w:szCs w:val="22"/>
          <w:lang w:val="sr-Latn-RS"/>
        </w:rPr>
        <w:t xml:space="preserve"> </w:t>
      </w:r>
      <w:r w:rsidRPr="00394D9A">
        <w:rPr>
          <w:szCs w:val="22"/>
          <w:lang w:val="sr-Latn-RS"/>
        </w:rPr>
        <w:t>prekida prim</w:t>
      </w:r>
      <w:r w:rsidR="003A2DDC" w:rsidRPr="00394D9A">
        <w:rPr>
          <w:szCs w:val="22"/>
          <w:lang w:val="sr-Latn-RS"/>
        </w:rPr>
        <w:t>j</w:t>
      </w:r>
      <w:r w:rsidRPr="00394D9A">
        <w:rPr>
          <w:szCs w:val="22"/>
          <w:lang w:val="sr-Latn-RS"/>
        </w:rPr>
        <w:t>ene dabigatraneteksilata. Budući</w:t>
      </w:r>
      <w:r w:rsidRPr="00394D9A">
        <w:rPr>
          <w:spacing w:val="-5"/>
          <w:szCs w:val="22"/>
          <w:lang w:val="sr-Latn-RS"/>
        </w:rPr>
        <w:t xml:space="preserve"> </w:t>
      </w:r>
      <w:r w:rsidRPr="00394D9A">
        <w:rPr>
          <w:szCs w:val="22"/>
          <w:lang w:val="sr-Latn-RS"/>
        </w:rPr>
        <w:t>da</w:t>
      </w:r>
      <w:r w:rsidRPr="00394D9A">
        <w:rPr>
          <w:spacing w:val="-5"/>
          <w:szCs w:val="22"/>
          <w:lang w:val="sr-Latn-RS"/>
        </w:rPr>
        <w:t xml:space="preserve"> </w:t>
      </w:r>
      <w:r w:rsidRPr="00394D9A">
        <w:rPr>
          <w:szCs w:val="22"/>
          <w:lang w:val="sr-Latn-RS"/>
        </w:rPr>
        <w:t>dabigatraneteksilat</w:t>
      </w:r>
      <w:r w:rsidRPr="00394D9A">
        <w:rPr>
          <w:spacing w:val="-5"/>
          <w:szCs w:val="22"/>
          <w:lang w:val="sr-Latn-RS"/>
        </w:rPr>
        <w:t xml:space="preserve"> </w:t>
      </w:r>
      <w:r w:rsidRPr="00394D9A">
        <w:rPr>
          <w:szCs w:val="22"/>
          <w:lang w:val="sr-Latn-RS"/>
        </w:rPr>
        <w:t>može</w:t>
      </w:r>
      <w:r w:rsidRPr="00394D9A">
        <w:rPr>
          <w:spacing w:val="-5"/>
          <w:szCs w:val="22"/>
          <w:lang w:val="sr-Latn-RS"/>
        </w:rPr>
        <w:t xml:space="preserve"> </w:t>
      </w:r>
      <w:r w:rsidRPr="00394D9A">
        <w:rPr>
          <w:szCs w:val="22"/>
          <w:lang w:val="sr-Latn-RS"/>
        </w:rPr>
        <w:t>uticati</w:t>
      </w:r>
      <w:r w:rsidRPr="00394D9A">
        <w:rPr>
          <w:spacing w:val="-5"/>
          <w:szCs w:val="22"/>
          <w:lang w:val="sr-Latn-RS"/>
        </w:rPr>
        <w:t xml:space="preserve"> </w:t>
      </w:r>
      <w:r w:rsidRPr="00394D9A">
        <w:rPr>
          <w:szCs w:val="22"/>
          <w:lang w:val="sr-Latn-RS"/>
        </w:rPr>
        <w:t>na</w:t>
      </w:r>
      <w:r w:rsidRPr="00394D9A">
        <w:rPr>
          <w:spacing w:val="-5"/>
          <w:szCs w:val="22"/>
          <w:lang w:val="sr-Latn-RS"/>
        </w:rPr>
        <w:t xml:space="preserve"> </w:t>
      </w:r>
      <w:r w:rsidRPr="00394D9A">
        <w:rPr>
          <w:szCs w:val="22"/>
          <w:lang w:val="sr-Latn-RS"/>
        </w:rPr>
        <w:t>vr</w:t>
      </w:r>
      <w:r w:rsidR="003A2DDC" w:rsidRPr="00394D9A">
        <w:rPr>
          <w:szCs w:val="22"/>
          <w:lang w:val="sr-Latn-RS"/>
        </w:rPr>
        <w:t>ij</w:t>
      </w:r>
      <w:r w:rsidRPr="00394D9A">
        <w:rPr>
          <w:szCs w:val="22"/>
          <w:lang w:val="sr-Latn-RS"/>
        </w:rPr>
        <w:t>ednosti</w:t>
      </w:r>
      <w:r w:rsidRPr="00394D9A">
        <w:rPr>
          <w:spacing w:val="-3"/>
          <w:szCs w:val="22"/>
          <w:lang w:val="sr-Latn-RS"/>
        </w:rPr>
        <w:t xml:space="preserve"> </w:t>
      </w:r>
      <w:r w:rsidRPr="00394D9A">
        <w:rPr>
          <w:szCs w:val="22"/>
          <w:lang w:val="sr-Latn-RS"/>
        </w:rPr>
        <w:t>internacionalnog</w:t>
      </w:r>
      <w:r w:rsidRPr="00394D9A">
        <w:rPr>
          <w:spacing w:val="-2"/>
          <w:szCs w:val="22"/>
          <w:lang w:val="sr-Latn-RS"/>
        </w:rPr>
        <w:t xml:space="preserve"> </w:t>
      </w:r>
      <w:r w:rsidRPr="00394D9A">
        <w:rPr>
          <w:szCs w:val="22"/>
          <w:lang w:val="sr-Latn-RS"/>
        </w:rPr>
        <w:t>normalizovanog</w:t>
      </w:r>
      <w:r w:rsidRPr="00394D9A">
        <w:rPr>
          <w:spacing w:val="-7"/>
          <w:szCs w:val="22"/>
          <w:lang w:val="sr-Latn-RS"/>
        </w:rPr>
        <w:t xml:space="preserve"> </w:t>
      </w:r>
      <w:r w:rsidRPr="00394D9A">
        <w:rPr>
          <w:szCs w:val="22"/>
          <w:lang w:val="sr-Latn-RS"/>
        </w:rPr>
        <w:t>odnosa (</w:t>
      </w:r>
      <w:r w:rsidRPr="00394D9A">
        <w:rPr>
          <w:i/>
          <w:szCs w:val="22"/>
          <w:lang w:val="sr-Latn-RS"/>
        </w:rPr>
        <w:t>engl. international normalised ratio</w:t>
      </w:r>
      <w:r w:rsidRPr="00394D9A">
        <w:rPr>
          <w:szCs w:val="22"/>
          <w:lang w:val="sr-Latn-RS"/>
        </w:rPr>
        <w:t>, INR), INR će bolje pokazati efekat VKA tek nakon što je prošlo najmanje 2 dana od prekida prim</w:t>
      </w:r>
      <w:r w:rsidR="003A2DDC" w:rsidRPr="00394D9A">
        <w:rPr>
          <w:szCs w:val="22"/>
          <w:lang w:val="sr-Latn-RS"/>
        </w:rPr>
        <w:t>j</w:t>
      </w:r>
      <w:r w:rsidRPr="00394D9A">
        <w:rPr>
          <w:szCs w:val="22"/>
          <w:lang w:val="sr-Latn-RS"/>
        </w:rPr>
        <w:t>ene dabigatraneteksilat. Do tada, potreban je oprez u interpretaciji INR vr</w:t>
      </w:r>
      <w:r w:rsidR="003A2DDC" w:rsidRPr="00394D9A">
        <w:rPr>
          <w:szCs w:val="22"/>
          <w:lang w:val="sr-Latn-RS"/>
        </w:rPr>
        <w:t>ij</w:t>
      </w:r>
      <w:r w:rsidRPr="00394D9A">
        <w:rPr>
          <w:szCs w:val="22"/>
          <w:lang w:val="sr-Latn-RS"/>
        </w:rPr>
        <w:t>ednosti.</w:t>
      </w:r>
    </w:p>
    <w:p w14:paraId="13884CC9" w14:textId="77777777" w:rsidR="00DA7328" w:rsidRPr="00394D9A" w:rsidRDefault="00DA7328" w:rsidP="00187D17">
      <w:pPr>
        <w:widowControl w:val="0"/>
        <w:tabs>
          <w:tab w:val="clear" w:pos="284"/>
        </w:tabs>
        <w:autoSpaceDE w:val="0"/>
        <w:autoSpaceDN w:val="0"/>
        <w:rPr>
          <w:szCs w:val="22"/>
          <w:lang w:val="sr-Latn-RS"/>
        </w:rPr>
      </w:pPr>
    </w:p>
    <w:p w14:paraId="10E0449E" w14:textId="77777777" w:rsidR="007A5478" w:rsidRPr="00394D9A" w:rsidRDefault="007A5478" w:rsidP="00187D17">
      <w:pPr>
        <w:widowControl w:val="0"/>
        <w:tabs>
          <w:tab w:val="clear" w:pos="284"/>
        </w:tabs>
        <w:autoSpaceDE w:val="0"/>
        <w:autoSpaceDN w:val="0"/>
        <w:rPr>
          <w:szCs w:val="22"/>
          <w:lang w:val="sr-Latn-RS"/>
        </w:rPr>
      </w:pPr>
      <w:r w:rsidRPr="00394D9A">
        <w:rPr>
          <w:szCs w:val="22"/>
          <w:lang w:val="sr-Latn-RS"/>
        </w:rPr>
        <w:t>Prelazak</w:t>
      </w:r>
      <w:r w:rsidRPr="00394D9A">
        <w:rPr>
          <w:spacing w:val="-8"/>
          <w:szCs w:val="22"/>
          <w:lang w:val="sr-Latn-RS"/>
        </w:rPr>
        <w:t xml:space="preserve"> </w:t>
      </w:r>
      <w:r w:rsidRPr="00394D9A">
        <w:rPr>
          <w:szCs w:val="22"/>
          <w:lang w:val="sr-Latn-RS"/>
        </w:rPr>
        <w:t>sa terapije VKA</w:t>
      </w:r>
      <w:r w:rsidRPr="00394D9A">
        <w:rPr>
          <w:spacing w:val="-5"/>
          <w:szCs w:val="22"/>
          <w:lang w:val="sr-Latn-RS"/>
        </w:rPr>
        <w:t xml:space="preserve"> </w:t>
      </w:r>
      <w:r w:rsidRPr="00394D9A">
        <w:rPr>
          <w:szCs w:val="22"/>
          <w:lang w:val="sr-Latn-RS"/>
        </w:rPr>
        <w:t>na</w:t>
      </w:r>
      <w:r w:rsidRPr="00394D9A">
        <w:rPr>
          <w:spacing w:val="-5"/>
          <w:szCs w:val="22"/>
          <w:lang w:val="sr-Latn-RS"/>
        </w:rPr>
        <w:t xml:space="preserve"> </w:t>
      </w:r>
      <w:r w:rsidRPr="00394D9A">
        <w:rPr>
          <w:spacing w:val="-2"/>
          <w:szCs w:val="22"/>
          <w:lang w:val="sr-Latn-RS"/>
        </w:rPr>
        <w:t>dabigatraneteksilat:</w:t>
      </w:r>
    </w:p>
    <w:p w14:paraId="06B51A7F" w14:textId="143A21C2" w:rsidR="007A5478" w:rsidRPr="00394D9A" w:rsidRDefault="007A5478" w:rsidP="00187D17">
      <w:pPr>
        <w:widowControl w:val="0"/>
        <w:rPr>
          <w:b/>
          <w:bCs/>
          <w:szCs w:val="22"/>
          <w:lang w:val="sr-Latn-RS"/>
        </w:rPr>
      </w:pPr>
      <w:r w:rsidRPr="00394D9A">
        <w:rPr>
          <w:szCs w:val="22"/>
          <w:lang w:val="sr-Latn-RS"/>
        </w:rPr>
        <w:t>Prim</w:t>
      </w:r>
      <w:r w:rsidR="003A2DDC" w:rsidRPr="00394D9A">
        <w:rPr>
          <w:szCs w:val="22"/>
          <w:lang w:val="sr-Latn-RS"/>
        </w:rPr>
        <w:t>j</w:t>
      </w:r>
      <w:r w:rsidRPr="00394D9A">
        <w:rPr>
          <w:szCs w:val="22"/>
          <w:lang w:val="sr-Latn-RS"/>
        </w:rPr>
        <w:t>ena</w:t>
      </w:r>
      <w:r w:rsidRPr="00394D9A">
        <w:rPr>
          <w:spacing w:val="-3"/>
          <w:szCs w:val="22"/>
          <w:lang w:val="sr-Latn-RS"/>
        </w:rPr>
        <w:t xml:space="preserve"> </w:t>
      </w:r>
      <w:r w:rsidRPr="00394D9A">
        <w:rPr>
          <w:szCs w:val="22"/>
          <w:lang w:val="sr-Latn-RS"/>
        </w:rPr>
        <w:t>VKA</w:t>
      </w:r>
      <w:r w:rsidRPr="00394D9A">
        <w:rPr>
          <w:spacing w:val="-6"/>
          <w:szCs w:val="22"/>
          <w:lang w:val="sr-Latn-RS"/>
        </w:rPr>
        <w:t xml:space="preserve"> </w:t>
      </w:r>
      <w:r w:rsidRPr="00394D9A">
        <w:rPr>
          <w:szCs w:val="22"/>
          <w:lang w:val="sr-Latn-RS"/>
        </w:rPr>
        <w:t>treba</w:t>
      </w:r>
      <w:r w:rsidRPr="00394D9A">
        <w:rPr>
          <w:spacing w:val="-2"/>
          <w:szCs w:val="22"/>
          <w:lang w:val="sr-Latn-RS"/>
        </w:rPr>
        <w:t xml:space="preserve"> </w:t>
      </w:r>
      <w:r w:rsidRPr="00394D9A">
        <w:rPr>
          <w:szCs w:val="22"/>
          <w:lang w:val="sr-Latn-RS"/>
        </w:rPr>
        <w:t>da</w:t>
      </w:r>
      <w:r w:rsidRPr="00394D9A">
        <w:rPr>
          <w:spacing w:val="-2"/>
          <w:szCs w:val="22"/>
          <w:lang w:val="sr-Latn-RS"/>
        </w:rPr>
        <w:t xml:space="preserve"> </w:t>
      </w:r>
      <w:r w:rsidRPr="00394D9A">
        <w:rPr>
          <w:szCs w:val="22"/>
          <w:lang w:val="sr-Latn-RS"/>
        </w:rPr>
        <w:t>se</w:t>
      </w:r>
      <w:r w:rsidRPr="00394D9A">
        <w:rPr>
          <w:spacing w:val="-2"/>
          <w:szCs w:val="22"/>
          <w:lang w:val="sr-Latn-RS"/>
        </w:rPr>
        <w:t xml:space="preserve"> </w:t>
      </w:r>
      <w:r w:rsidRPr="00394D9A">
        <w:rPr>
          <w:szCs w:val="22"/>
          <w:lang w:val="sr-Latn-RS"/>
        </w:rPr>
        <w:t>obustavi.</w:t>
      </w:r>
      <w:r w:rsidRPr="00394D9A">
        <w:rPr>
          <w:spacing w:val="-3"/>
          <w:szCs w:val="22"/>
          <w:lang w:val="sr-Latn-RS"/>
        </w:rPr>
        <w:t xml:space="preserve"> </w:t>
      </w:r>
      <w:r w:rsidRPr="00394D9A">
        <w:rPr>
          <w:szCs w:val="22"/>
          <w:lang w:val="sr-Latn-RS"/>
        </w:rPr>
        <w:t>Dabigatraneteksilat</w:t>
      </w:r>
      <w:r w:rsidRPr="00394D9A">
        <w:rPr>
          <w:spacing w:val="-3"/>
          <w:szCs w:val="22"/>
          <w:lang w:val="sr-Latn-RS"/>
        </w:rPr>
        <w:t xml:space="preserve"> </w:t>
      </w:r>
      <w:r w:rsidRPr="00394D9A">
        <w:rPr>
          <w:szCs w:val="22"/>
          <w:lang w:val="sr-Latn-RS"/>
        </w:rPr>
        <w:t>se</w:t>
      </w:r>
      <w:r w:rsidRPr="00394D9A">
        <w:rPr>
          <w:spacing w:val="-3"/>
          <w:szCs w:val="22"/>
          <w:lang w:val="sr-Latn-RS"/>
        </w:rPr>
        <w:t xml:space="preserve"> </w:t>
      </w:r>
      <w:r w:rsidRPr="00394D9A">
        <w:rPr>
          <w:szCs w:val="22"/>
          <w:lang w:val="sr-Latn-RS"/>
        </w:rPr>
        <w:t>može</w:t>
      </w:r>
      <w:r w:rsidRPr="00394D9A">
        <w:rPr>
          <w:spacing w:val="-3"/>
          <w:szCs w:val="22"/>
          <w:lang w:val="sr-Latn-RS"/>
        </w:rPr>
        <w:t xml:space="preserve"> </w:t>
      </w:r>
      <w:r w:rsidRPr="00394D9A">
        <w:rPr>
          <w:szCs w:val="22"/>
          <w:lang w:val="sr-Latn-RS"/>
        </w:rPr>
        <w:t>davati</w:t>
      </w:r>
      <w:r w:rsidRPr="00394D9A">
        <w:rPr>
          <w:spacing w:val="-3"/>
          <w:szCs w:val="22"/>
          <w:lang w:val="sr-Latn-RS"/>
        </w:rPr>
        <w:t xml:space="preserve"> </w:t>
      </w:r>
      <w:r w:rsidRPr="00394D9A">
        <w:rPr>
          <w:szCs w:val="22"/>
          <w:lang w:val="sr-Latn-RS"/>
        </w:rPr>
        <w:t>čim</w:t>
      </w:r>
      <w:r w:rsidRPr="00394D9A">
        <w:rPr>
          <w:spacing w:val="-3"/>
          <w:szCs w:val="22"/>
          <w:lang w:val="sr-Latn-RS"/>
        </w:rPr>
        <w:t xml:space="preserve"> </w:t>
      </w:r>
      <w:r w:rsidRPr="00394D9A">
        <w:rPr>
          <w:szCs w:val="22"/>
          <w:lang w:val="sr-Latn-RS"/>
        </w:rPr>
        <w:t>INR dostigne</w:t>
      </w:r>
      <w:r w:rsidRPr="00394D9A">
        <w:rPr>
          <w:spacing w:val="-3"/>
          <w:szCs w:val="22"/>
          <w:lang w:val="sr-Latn-RS"/>
        </w:rPr>
        <w:t xml:space="preserve"> </w:t>
      </w:r>
      <w:r w:rsidRPr="00394D9A">
        <w:rPr>
          <w:szCs w:val="22"/>
          <w:lang w:val="sr-Latn-RS"/>
        </w:rPr>
        <w:t>vr</w:t>
      </w:r>
      <w:r w:rsidR="003A2DDC" w:rsidRPr="00394D9A">
        <w:rPr>
          <w:szCs w:val="22"/>
          <w:lang w:val="sr-Latn-RS"/>
        </w:rPr>
        <w:t>ij</w:t>
      </w:r>
      <w:r w:rsidRPr="00394D9A">
        <w:rPr>
          <w:szCs w:val="22"/>
          <w:lang w:val="sr-Latn-RS"/>
        </w:rPr>
        <w:t>ednost</w:t>
      </w:r>
      <w:r w:rsidRPr="00394D9A">
        <w:rPr>
          <w:spacing w:val="-1"/>
          <w:szCs w:val="22"/>
          <w:lang w:val="sr-Latn-RS"/>
        </w:rPr>
        <w:t xml:space="preserve"> </w:t>
      </w:r>
      <w:r w:rsidRPr="00394D9A">
        <w:rPr>
          <w:szCs w:val="22"/>
          <w:lang w:val="sr-Latn-RS"/>
        </w:rPr>
        <w:t>&lt;</w:t>
      </w:r>
      <w:r w:rsidRPr="00394D9A">
        <w:rPr>
          <w:spacing w:val="-2"/>
          <w:szCs w:val="22"/>
          <w:lang w:val="sr-Latn-RS"/>
        </w:rPr>
        <w:t xml:space="preserve"> </w:t>
      </w:r>
      <w:r w:rsidRPr="00394D9A">
        <w:rPr>
          <w:szCs w:val="22"/>
          <w:lang w:val="sr-Latn-RS"/>
        </w:rPr>
        <w:t>2,0.</w:t>
      </w:r>
    </w:p>
    <w:p w14:paraId="52B2B989" w14:textId="77777777" w:rsidR="00185952" w:rsidRPr="00394D9A" w:rsidRDefault="00185952" w:rsidP="00187D17">
      <w:pPr>
        <w:widowControl w:val="0"/>
        <w:rPr>
          <w:b/>
          <w:bCs/>
          <w:szCs w:val="22"/>
          <w:lang w:val="sr-Latn-RS"/>
        </w:rPr>
      </w:pPr>
    </w:p>
    <w:p w14:paraId="5776E295" w14:textId="77777777" w:rsidR="00523BC9" w:rsidRPr="00394D9A" w:rsidRDefault="00523BC9" w:rsidP="00187D17">
      <w:pPr>
        <w:widowControl w:val="0"/>
        <w:tabs>
          <w:tab w:val="left" w:pos="540"/>
          <w:tab w:val="left" w:pos="569"/>
        </w:tabs>
        <w:rPr>
          <w:bCs/>
          <w:szCs w:val="22"/>
          <w:u w:val="single"/>
          <w:lang w:val="sr-Latn-RS"/>
        </w:rPr>
      </w:pPr>
      <w:r w:rsidRPr="00394D9A">
        <w:rPr>
          <w:bCs/>
          <w:szCs w:val="22"/>
          <w:u w:val="single"/>
          <w:lang w:val="sr-Latn-RS"/>
        </w:rPr>
        <w:t>Način primjene</w:t>
      </w:r>
    </w:p>
    <w:p w14:paraId="3A971D87" w14:textId="77777777" w:rsidR="00AF3417" w:rsidRPr="00394D9A" w:rsidRDefault="00AF3417" w:rsidP="00187D17">
      <w:pPr>
        <w:widowControl w:val="0"/>
        <w:rPr>
          <w:szCs w:val="22"/>
          <w:lang w:val="sr-Latn-RS"/>
        </w:rPr>
      </w:pPr>
    </w:p>
    <w:p w14:paraId="4F2E00C1" w14:textId="11C1B963" w:rsidR="00CD2993" w:rsidRPr="00394D9A" w:rsidRDefault="00A639DA" w:rsidP="00187D17">
      <w:pPr>
        <w:widowControl w:val="0"/>
        <w:rPr>
          <w:szCs w:val="22"/>
          <w:lang w:val="sr-Latn-RS"/>
        </w:rPr>
      </w:pPr>
      <w:r w:rsidRPr="00394D9A">
        <w:rPr>
          <w:szCs w:val="22"/>
          <w:lang w:val="sr-Latn-RS"/>
        </w:rPr>
        <w:t>Lijek</w:t>
      </w:r>
      <w:r w:rsidR="00CD2993" w:rsidRPr="00394D9A">
        <w:rPr>
          <w:szCs w:val="22"/>
          <w:lang w:val="sr-Latn-RS"/>
        </w:rPr>
        <w:t xml:space="preserve"> </w:t>
      </w:r>
      <w:r w:rsidR="00AF3417" w:rsidRPr="00394D9A">
        <w:rPr>
          <w:szCs w:val="22"/>
          <w:lang w:val="sr-Latn-RS"/>
        </w:rPr>
        <w:t>Dabigatran SK</w:t>
      </w:r>
      <w:r w:rsidR="00CD2993" w:rsidRPr="00394D9A">
        <w:rPr>
          <w:szCs w:val="22"/>
          <w:lang w:val="sr-Latn-RS"/>
        </w:rPr>
        <w:t xml:space="preserve"> je nam</w:t>
      </w:r>
      <w:r w:rsidR="0066602D" w:rsidRPr="00394D9A">
        <w:rPr>
          <w:szCs w:val="22"/>
          <w:lang w:val="sr-Latn-RS"/>
        </w:rPr>
        <w:t>i</w:t>
      </w:r>
      <w:r w:rsidR="003E3709" w:rsidRPr="00394D9A">
        <w:rPr>
          <w:szCs w:val="22"/>
          <w:lang w:val="sr-Latn-RS"/>
        </w:rPr>
        <w:t>j</w:t>
      </w:r>
      <w:r w:rsidR="00CD2993" w:rsidRPr="00394D9A">
        <w:rPr>
          <w:szCs w:val="22"/>
          <w:lang w:val="sr-Latn-RS"/>
        </w:rPr>
        <w:t>enjen za oralnu upotrebu.</w:t>
      </w:r>
    </w:p>
    <w:p w14:paraId="4E6F0B2A" w14:textId="47563235" w:rsidR="00CD2993" w:rsidRPr="00394D9A" w:rsidRDefault="00CD2993" w:rsidP="00187D17">
      <w:pPr>
        <w:widowControl w:val="0"/>
        <w:rPr>
          <w:szCs w:val="22"/>
          <w:lang w:val="sr-Latn-RS"/>
        </w:rPr>
      </w:pPr>
      <w:r w:rsidRPr="00394D9A">
        <w:rPr>
          <w:szCs w:val="22"/>
          <w:lang w:val="sr-Latn-RS"/>
        </w:rPr>
        <w:t xml:space="preserve">Kapsule se mogu uzeti sa ili bez hrane. </w:t>
      </w:r>
      <w:r w:rsidR="00A639DA" w:rsidRPr="00394D9A">
        <w:rPr>
          <w:szCs w:val="22"/>
          <w:lang w:val="sr-Latn-RS"/>
        </w:rPr>
        <w:t>Lijek</w:t>
      </w:r>
      <w:r w:rsidRPr="00394D9A">
        <w:rPr>
          <w:szCs w:val="22"/>
          <w:lang w:val="sr-Latn-RS"/>
        </w:rPr>
        <w:t xml:space="preserve"> </w:t>
      </w:r>
      <w:r w:rsidR="008D05E8" w:rsidRPr="00394D9A">
        <w:rPr>
          <w:szCs w:val="22"/>
          <w:lang w:val="sr-Latn-RS"/>
        </w:rPr>
        <w:t>Dabigatran SK</w:t>
      </w:r>
      <w:r w:rsidRPr="00394D9A">
        <w:rPr>
          <w:szCs w:val="22"/>
          <w:lang w:val="sr-Latn-RS"/>
        </w:rPr>
        <w:t xml:space="preserve"> treba da se proguta kao </w:t>
      </w:r>
      <w:r w:rsidR="003E3709" w:rsidRPr="00394D9A">
        <w:rPr>
          <w:szCs w:val="22"/>
          <w:lang w:val="sr-Latn-RS"/>
        </w:rPr>
        <w:t>cijela</w:t>
      </w:r>
      <w:r w:rsidRPr="00394D9A">
        <w:rPr>
          <w:szCs w:val="22"/>
          <w:lang w:val="sr-Latn-RS"/>
        </w:rPr>
        <w:t xml:space="preserve"> kapsula sa </w:t>
      </w:r>
      <w:r w:rsidRPr="00394D9A">
        <w:rPr>
          <w:szCs w:val="22"/>
          <w:lang w:val="sr-Latn-RS"/>
        </w:rPr>
        <w:lastRenderedPageBreak/>
        <w:t>čašom vode</w:t>
      </w:r>
      <w:r w:rsidR="00AF3417" w:rsidRPr="00394D9A">
        <w:rPr>
          <w:szCs w:val="22"/>
          <w:lang w:val="sr-Latn-RS"/>
        </w:rPr>
        <w:t xml:space="preserve"> </w:t>
      </w:r>
      <w:r w:rsidRPr="00394D9A">
        <w:rPr>
          <w:szCs w:val="22"/>
          <w:lang w:val="sr-Latn-RS"/>
        </w:rPr>
        <w:t>kako bi se omogućilo da lakše dosp</w:t>
      </w:r>
      <w:r w:rsidR="003E3709" w:rsidRPr="00394D9A">
        <w:rPr>
          <w:szCs w:val="22"/>
          <w:lang w:val="sr-Latn-RS"/>
        </w:rPr>
        <w:t>ij</w:t>
      </w:r>
      <w:r w:rsidRPr="00394D9A">
        <w:rPr>
          <w:szCs w:val="22"/>
          <w:lang w:val="sr-Latn-RS"/>
        </w:rPr>
        <w:t>e do želuca.</w:t>
      </w:r>
    </w:p>
    <w:p w14:paraId="2B46226B" w14:textId="7C72B7B6" w:rsidR="00CD2993" w:rsidRPr="00394D9A" w:rsidRDefault="00CD2993" w:rsidP="00187D17">
      <w:pPr>
        <w:widowControl w:val="0"/>
        <w:rPr>
          <w:szCs w:val="22"/>
          <w:lang w:val="sr-Latn-RS"/>
        </w:rPr>
      </w:pPr>
      <w:r w:rsidRPr="00394D9A">
        <w:rPr>
          <w:szCs w:val="22"/>
          <w:lang w:val="sr-Latn-RS"/>
        </w:rPr>
        <w:t>Pacijente treba uputiti da ne otvaraju kapsule jer to može da poveća rizik od krvarenja (</w:t>
      </w:r>
      <w:r w:rsidR="00B72B9A" w:rsidRPr="00394D9A">
        <w:rPr>
          <w:szCs w:val="22"/>
          <w:lang w:val="sr-Latn-RS"/>
        </w:rPr>
        <w:t xml:space="preserve">vidjeti </w:t>
      </w:r>
      <w:r w:rsidR="00D7145C" w:rsidRPr="00394D9A">
        <w:rPr>
          <w:szCs w:val="22"/>
          <w:lang w:val="sr-Latn-RS"/>
        </w:rPr>
        <w:t>djelove</w:t>
      </w:r>
      <w:r w:rsidRPr="00394D9A">
        <w:rPr>
          <w:szCs w:val="22"/>
          <w:lang w:val="sr-Latn-RS"/>
        </w:rPr>
        <w:t xml:space="preserve"> 5.2 </w:t>
      </w:r>
      <w:r w:rsidR="008D05E8" w:rsidRPr="00394D9A">
        <w:rPr>
          <w:szCs w:val="22"/>
          <w:lang w:val="sr-Latn-RS"/>
        </w:rPr>
        <w:t xml:space="preserve">i </w:t>
      </w:r>
      <w:r w:rsidRPr="00394D9A">
        <w:rPr>
          <w:szCs w:val="22"/>
          <w:lang w:val="sr-Latn-RS"/>
        </w:rPr>
        <w:t>6.6).</w:t>
      </w:r>
    </w:p>
    <w:p w14:paraId="3D990E82" w14:textId="77777777" w:rsidR="00CE09F3" w:rsidRPr="00394D9A" w:rsidRDefault="00CE09F3" w:rsidP="00187D17">
      <w:pPr>
        <w:widowControl w:val="0"/>
        <w:rPr>
          <w:szCs w:val="22"/>
          <w:lang w:val="sr-Latn-RS"/>
        </w:rPr>
      </w:pPr>
    </w:p>
    <w:p w14:paraId="50E6AABE" w14:textId="77777777" w:rsidR="00523BC9" w:rsidRPr="00394D9A" w:rsidRDefault="00523BC9" w:rsidP="00187D17">
      <w:pPr>
        <w:widowControl w:val="0"/>
        <w:tabs>
          <w:tab w:val="left" w:pos="540"/>
          <w:tab w:val="left" w:pos="569"/>
        </w:tabs>
        <w:rPr>
          <w:b/>
          <w:bCs/>
          <w:szCs w:val="22"/>
          <w:lang w:val="sr-Latn-RS"/>
        </w:rPr>
      </w:pPr>
      <w:r w:rsidRPr="00394D9A">
        <w:rPr>
          <w:b/>
          <w:bCs/>
          <w:szCs w:val="22"/>
          <w:lang w:val="sr-Latn-RS"/>
        </w:rPr>
        <w:t xml:space="preserve">4.3. </w:t>
      </w:r>
      <w:r w:rsidRPr="00394D9A">
        <w:rPr>
          <w:b/>
          <w:bCs/>
          <w:szCs w:val="22"/>
          <w:lang w:val="sr-Latn-RS"/>
        </w:rPr>
        <w:tab/>
        <w:t>Kontraindikacije</w:t>
      </w:r>
    </w:p>
    <w:p w14:paraId="0E8438A8" w14:textId="103221B2" w:rsidR="00CE09F3" w:rsidRPr="00394D9A" w:rsidRDefault="00CE09F3" w:rsidP="00187D17">
      <w:pPr>
        <w:widowControl w:val="0"/>
        <w:rPr>
          <w:szCs w:val="22"/>
          <w:lang w:val="sr-Latn-RS"/>
        </w:rPr>
      </w:pPr>
    </w:p>
    <w:p w14:paraId="23121B27" w14:textId="5C483E78" w:rsidR="008D05E8" w:rsidRPr="00394D9A" w:rsidRDefault="008D05E8" w:rsidP="00187D17">
      <w:pPr>
        <w:pStyle w:val="ListParagraph"/>
        <w:widowControl w:val="0"/>
        <w:numPr>
          <w:ilvl w:val="0"/>
          <w:numId w:val="5"/>
        </w:numPr>
        <w:rPr>
          <w:szCs w:val="22"/>
          <w:lang w:val="sr-Latn-RS"/>
        </w:rPr>
      </w:pPr>
      <w:r w:rsidRPr="00394D9A">
        <w:rPr>
          <w:szCs w:val="22"/>
          <w:lang w:val="sr-Latn-RS"/>
        </w:rPr>
        <w:t>Preos</w:t>
      </w:r>
      <w:r w:rsidR="003E3709" w:rsidRPr="00394D9A">
        <w:rPr>
          <w:szCs w:val="22"/>
          <w:lang w:val="sr-Latn-RS"/>
        </w:rPr>
        <w:t>j</w:t>
      </w:r>
      <w:r w:rsidRPr="00394D9A">
        <w:rPr>
          <w:szCs w:val="22"/>
          <w:lang w:val="sr-Latn-RS"/>
        </w:rPr>
        <w:t xml:space="preserve">etljivost na aktivnu supstancu ili na bilo koju od pomoćnih supstanci </w:t>
      </w:r>
      <w:r w:rsidR="00A639DA" w:rsidRPr="00394D9A">
        <w:rPr>
          <w:szCs w:val="22"/>
          <w:lang w:val="sr-Latn-RS"/>
        </w:rPr>
        <w:t>lijeka</w:t>
      </w:r>
      <w:r w:rsidRPr="00394D9A">
        <w:rPr>
          <w:szCs w:val="22"/>
          <w:lang w:val="sr-Latn-RS"/>
        </w:rPr>
        <w:t xml:space="preserve"> naveden</w:t>
      </w:r>
      <w:r w:rsidR="003E276C" w:rsidRPr="00394D9A">
        <w:rPr>
          <w:szCs w:val="22"/>
          <w:lang w:val="sr-Latn-RS"/>
        </w:rPr>
        <w:t>ih</w:t>
      </w:r>
      <w:r w:rsidRPr="00394D9A">
        <w:rPr>
          <w:szCs w:val="22"/>
          <w:lang w:val="sr-Latn-RS"/>
        </w:rPr>
        <w:t xml:space="preserve"> u</w:t>
      </w:r>
      <w:r w:rsidR="008216FC" w:rsidRPr="00394D9A">
        <w:rPr>
          <w:szCs w:val="22"/>
          <w:lang w:val="sr-Latn-RS"/>
        </w:rPr>
        <w:t xml:space="preserve"> </w:t>
      </w:r>
      <w:r w:rsidR="0066602D" w:rsidRPr="00394D9A">
        <w:rPr>
          <w:szCs w:val="22"/>
          <w:lang w:val="sr-Latn-RS"/>
        </w:rPr>
        <w:t xml:space="preserve">dijelu </w:t>
      </w:r>
      <w:r w:rsidRPr="00394D9A">
        <w:rPr>
          <w:szCs w:val="22"/>
          <w:lang w:val="sr-Latn-RS"/>
        </w:rPr>
        <w:t>6.1</w:t>
      </w:r>
      <w:r w:rsidR="003E276C" w:rsidRPr="00394D9A">
        <w:rPr>
          <w:szCs w:val="22"/>
          <w:lang w:val="sr-Latn-RS"/>
        </w:rPr>
        <w:t>;</w:t>
      </w:r>
    </w:p>
    <w:p w14:paraId="08A85FE4" w14:textId="57FEAF7C" w:rsidR="008D05E8" w:rsidRPr="00394D9A" w:rsidRDefault="008D05E8" w:rsidP="00187D17">
      <w:pPr>
        <w:pStyle w:val="ListParagraph"/>
        <w:widowControl w:val="0"/>
        <w:numPr>
          <w:ilvl w:val="0"/>
          <w:numId w:val="5"/>
        </w:numPr>
        <w:rPr>
          <w:szCs w:val="22"/>
          <w:lang w:val="sr-Latn-RS"/>
        </w:rPr>
      </w:pPr>
      <w:r w:rsidRPr="00394D9A">
        <w:rPr>
          <w:szCs w:val="22"/>
          <w:lang w:val="sr-Latn-RS"/>
        </w:rPr>
        <w:t>Pacijenti sa teškim oštećenjem funkcije bubrega (CrCl &lt;30 m</w:t>
      </w:r>
      <w:r w:rsidR="00B72B9A" w:rsidRPr="00394D9A">
        <w:rPr>
          <w:szCs w:val="22"/>
          <w:lang w:val="sr-Latn-RS"/>
        </w:rPr>
        <w:t>l</w:t>
      </w:r>
      <w:r w:rsidRPr="00394D9A">
        <w:rPr>
          <w:szCs w:val="22"/>
          <w:lang w:val="sr-Latn-RS"/>
        </w:rPr>
        <w:t>/min)</w:t>
      </w:r>
      <w:r w:rsidR="003E276C" w:rsidRPr="00394D9A">
        <w:rPr>
          <w:szCs w:val="22"/>
          <w:lang w:val="sr-Latn-RS"/>
        </w:rPr>
        <w:t>;</w:t>
      </w:r>
    </w:p>
    <w:p w14:paraId="0B69B0AC" w14:textId="609F1750" w:rsidR="003C72EA" w:rsidRPr="00394D9A" w:rsidRDefault="00DB4585" w:rsidP="00187D17">
      <w:pPr>
        <w:pStyle w:val="ListParagraph"/>
        <w:widowControl w:val="0"/>
        <w:numPr>
          <w:ilvl w:val="0"/>
          <w:numId w:val="5"/>
        </w:numPr>
        <w:rPr>
          <w:szCs w:val="22"/>
          <w:lang w:val="sr-Latn-RS"/>
        </w:rPr>
      </w:pPr>
      <w:r w:rsidRPr="00394D9A">
        <w:rPr>
          <w:szCs w:val="22"/>
          <w:lang w:val="sr-Latn-RS"/>
        </w:rPr>
        <w:t>Vr</w:t>
      </w:r>
      <w:r w:rsidR="0066602D" w:rsidRPr="00394D9A">
        <w:rPr>
          <w:szCs w:val="22"/>
          <w:lang w:val="sr-Latn-RS"/>
        </w:rPr>
        <w:t>ij</w:t>
      </w:r>
      <w:r w:rsidRPr="00394D9A">
        <w:rPr>
          <w:szCs w:val="22"/>
          <w:lang w:val="sr-Latn-RS"/>
        </w:rPr>
        <w:t>ednost eGFR &lt;</w:t>
      </w:r>
      <w:r w:rsidR="00B72B9A" w:rsidRPr="00394D9A">
        <w:rPr>
          <w:szCs w:val="22"/>
          <w:lang w:val="sr-Latn-RS"/>
        </w:rPr>
        <w:t xml:space="preserve"> </w:t>
      </w:r>
      <w:r w:rsidRPr="00394D9A">
        <w:rPr>
          <w:szCs w:val="22"/>
          <w:lang w:val="sr-Latn-RS"/>
        </w:rPr>
        <w:t>50 m</w:t>
      </w:r>
      <w:r w:rsidR="00B72B9A" w:rsidRPr="00394D9A">
        <w:rPr>
          <w:szCs w:val="22"/>
          <w:lang w:val="sr-Latn-RS"/>
        </w:rPr>
        <w:t>l</w:t>
      </w:r>
      <w:r w:rsidRPr="00394D9A">
        <w:rPr>
          <w:szCs w:val="22"/>
          <w:lang w:val="sr-Latn-RS"/>
        </w:rPr>
        <w:t>/min/1,73 m</w:t>
      </w:r>
      <w:r w:rsidRPr="00394D9A">
        <w:rPr>
          <w:szCs w:val="22"/>
          <w:vertAlign w:val="superscript"/>
          <w:lang w:val="sr-Latn-RS"/>
        </w:rPr>
        <w:t xml:space="preserve">2 </w:t>
      </w:r>
      <w:r w:rsidRPr="00394D9A">
        <w:rPr>
          <w:szCs w:val="22"/>
          <w:lang w:val="sr-Latn-RS"/>
        </w:rPr>
        <w:t>kod pedijatrijskih pacijenata;</w:t>
      </w:r>
    </w:p>
    <w:p w14:paraId="3E737490" w14:textId="366B96C9" w:rsidR="008D05E8" w:rsidRPr="00394D9A" w:rsidRDefault="008D05E8" w:rsidP="00187D17">
      <w:pPr>
        <w:pStyle w:val="ListParagraph"/>
        <w:widowControl w:val="0"/>
        <w:numPr>
          <w:ilvl w:val="0"/>
          <w:numId w:val="5"/>
        </w:numPr>
        <w:rPr>
          <w:szCs w:val="22"/>
          <w:lang w:val="sr-Latn-RS"/>
        </w:rPr>
      </w:pPr>
      <w:r w:rsidRPr="00394D9A">
        <w:rPr>
          <w:szCs w:val="22"/>
          <w:lang w:val="sr-Latn-RS"/>
        </w:rPr>
        <w:t>Aktivno, klinički značajno krvarenje</w:t>
      </w:r>
      <w:r w:rsidR="003E276C" w:rsidRPr="00394D9A">
        <w:rPr>
          <w:szCs w:val="22"/>
          <w:lang w:val="sr-Latn-RS"/>
        </w:rPr>
        <w:t>;</w:t>
      </w:r>
    </w:p>
    <w:p w14:paraId="501A70F7" w14:textId="04960292" w:rsidR="008D05E8" w:rsidRPr="00394D9A" w:rsidRDefault="008D05E8" w:rsidP="00187D17">
      <w:pPr>
        <w:pStyle w:val="ListParagraph"/>
        <w:widowControl w:val="0"/>
        <w:numPr>
          <w:ilvl w:val="0"/>
          <w:numId w:val="5"/>
        </w:numPr>
        <w:rPr>
          <w:szCs w:val="22"/>
          <w:lang w:val="sr-Latn-RS"/>
        </w:rPr>
      </w:pPr>
      <w:r w:rsidRPr="00394D9A">
        <w:rPr>
          <w:szCs w:val="22"/>
          <w:lang w:val="sr-Latn-RS"/>
        </w:rPr>
        <w:t>Lezija ili stanje, ako se smatra značajnim faktorom rizika za veće krvarenje. Ovo može da se</w:t>
      </w:r>
      <w:r w:rsidR="008216FC" w:rsidRPr="00394D9A">
        <w:rPr>
          <w:szCs w:val="22"/>
          <w:lang w:val="sr-Latn-RS"/>
        </w:rPr>
        <w:t xml:space="preserve"> </w:t>
      </w:r>
      <w:r w:rsidRPr="00394D9A">
        <w:rPr>
          <w:szCs w:val="22"/>
          <w:lang w:val="sr-Latn-RS"/>
        </w:rPr>
        <w:t>odnosi na tekuće ili nedavne gastrointestinalne ulceracije, prisustvo malignih neoplazmi u</w:t>
      </w:r>
      <w:r w:rsidR="008216FC" w:rsidRPr="00394D9A">
        <w:rPr>
          <w:szCs w:val="22"/>
          <w:lang w:val="sr-Latn-RS"/>
        </w:rPr>
        <w:t xml:space="preserve"> </w:t>
      </w:r>
      <w:r w:rsidRPr="00394D9A">
        <w:rPr>
          <w:szCs w:val="22"/>
          <w:lang w:val="sr-Latn-RS"/>
        </w:rPr>
        <w:t>visokom riziku od krvarenja, povreda mozga ili kičmene moždine skorijeg datuma, nedavni</w:t>
      </w:r>
      <w:r w:rsidR="008216FC" w:rsidRPr="00394D9A">
        <w:rPr>
          <w:szCs w:val="22"/>
          <w:lang w:val="sr-Latn-RS"/>
        </w:rPr>
        <w:t xml:space="preserve"> </w:t>
      </w:r>
      <w:r w:rsidRPr="00394D9A">
        <w:rPr>
          <w:szCs w:val="22"/>
          <w:lang w:val="sr-Latn-RS"/>
        </w:rPr>
        <w:t>hiruški zahvati na mozgu, kičmenoj moždini ili očima, skorija intrakranijalna hemoragija,</w:t>
      </w:r>
      <w:r w:rsidR="008216FC" w:rsidRPr="00394D9A">
        <w:rPr>
          <w:szCs w:val="22"/>
          <w:lang w:val="sr-Latn-RS"/>
        </w:rPr>
        <w:t xml:space="preserve"> </w:t>
      </w:r>
      <w:r w:rsidRPr="00394D9A">
        <w:rPr>
          <w:szCs w:val="22"/>
          <w:lang w:val="sr-Latn-RS"/>
        </w:rPr>
        <w:t>prisustvo ezofagealnih variksa ili sumnja na njih, arteriovenske malformacije, vaskularne</w:t>
      </w:r>
      <w:r w:rsidR="008216FC" w:rsidRPr="00394D9A">
        <w:rPr>
          <w:szCs w:val="22"/>
          <w:lang w:val="sr-Latn-RS"/>
        </w:rPr>
        <w:t xml:space="preserve"> </w:t>
      </w:r>
      <w:r w:rsidRPr="00394D9A">
        <w:rPr>
          <w:szCs w:val="22"/>
          <w:lang w:val="sr-Latn-RS"/>
        </w:rPr>
        <w:t>aneurizme ili veće intraspinalne ili intracerebralne vaskularne abnormalnosti</w:t>
      </w:r>
      <w:r w:rsidR="003E276C" w:rsidRPr="00394D9A">
        <w:rPr>
          <w:szCs w:val="22"/>
          <w:lang w:val="sr-Latn-RS"/>
        </w:rPr>
        <w:t>;</w:t>
      </w:r>
    </w:p>
    <w:p w14:paraId="32D8C746" w14:textId="637C2766" w:rsidR="008216FC" w:rsidRPr="00394D9A" w:rsidRDefault="008D05E8" w:rsidP="00187D17">
      <w:pPr>
        <w:pStyle w:val="ListParagraph"/>
        <w:widowControl w:val="0"/>
        <w:numPr>
          <w:ilvl w:val="0"/>
          <w:numId w:val="5"/>
        </w:numPr>
        <w:rPr>
          <w:szCs w:val="22"/>
          <w:lang w:val="sr-Latn-RS"/>
        </w:rPr>
      </w:pPr>
      <w:r w:rsidRPr="00394D9A">
        <w:rPr>
          <w:szCs w:val="22"/>
          <w:lang w:val="sr-Latn-RS"/>
        </w:rPr>
        <w:t>Isto</w:t>
      </w:r>
      <w:r w:rsidR="00382644" w:rsidRPr="00394D9A">
        <w:rPr>
          <w:szCs w:val="22"/>
          <w:lang w:val="sr-Latn-RS"/>
        </w:rPr>
        <w:t>vremena</w:t>
      </w:r>
      <w:r w:rsidRPr="00394D9A">
        <w:rPr>
          <w:szCs w:val="22"/>
          <w:lang w:val="sr-Latn-RS"/>
        </w:rPr>
        <w:t xml:space="preserve"> terapija </w:t>
      </w:r>
      <w:r w:rsidR="003E276C" w:rsidRPr="00394D9A">
        <w:rPr>
          <w:szCs w:val="22"/>
          <w:lang w:val="sr-Latn-RS"/>
        </w:rPr>
        <w:t>bilo</w:t>
      </w:r>
      <w:r w:rsidRPr="00394D9A">
        <w:rPr>
          <w:szCs w:val="22"/>
          <w:lang w:val="sr-Latn-RS"/>
        </w:rPr>
        <w:t xml:space="preserve"> kojim drugim antikoagulansom npr. nefrakcionisani heparin</w:t>
      </w:r>
      <w:r w:rsidR="008216FC" w:rsidRPr="00394D9A">
        <w:rPr>
          <w:szCs w:val="22"/>
          <w:lang w:val="sr-Latn-RS"/>
        </w:rPr>
        <w:t xml:space="preserve"> (NFH)</w:t>
      </w:r>
      <w:r w:rsidRPr="00394D9A">
        <w:rPr>
          <w:szCs w:val="22"/>
          <w:lang w:val="sr-Latn-RS"/>
        </w:rPr>
        <w:t>, heparini</w:t>
      </w:r>
      <w:r w:rsidR="008216FC" w:rsidRPr="00394D9A">
        <w:rPr>
          <w:szCs w:val="22"/>
          <w:lang w:val="sr-Latn-RS"/>
        </w:rPr>
        <w:t xml:space="preserve"> </w:t>
      </w:r>
      <w:r w:rsidRPr="00394D9A">
        <w:rPr>
          <w:szCs w:val="22"/>
          <w:lang w:val="sr-Latn-RS"/>
        </w:rPr>
        <w:t>niske mo</w:t>
      </w:r>
      <w:r w:rsidR="00A639DA" w:rsidRPr="00394D9A">
        <w:rPr>
          <w:szCs w:val="22"/>
          <w:lang w:val="sr-Latn-RS"/>
        </w:rPr>
        <w:t>lek</w:t>
      </w:r>
      <w:r w:rsidRPr="00394D9A">
        <w:rPr>
          <w:szCs w:val="22"/>
          <w:lang w:val="sr-Latn-RS"/>
        </w:rPr>
        <w:t>ulske težine (enoksaparin, dalteparin itd.), derivati heparina (fondaparinuks itd.),</w:t>
      </w:r>
      <w:r w:rsidR="008216FC" w:rsidRPr="00394D9A">
        <w:rPr>
          <w:szCs w:val="22"/>
          <w:lang w:val="sr-Latn-RS"/>
        </w:rPr>
        <w:t xml:space="preserve"> </w:t>
      </w:r>
      <w:r w:rsidRPr="00394D9A">
        <w:rPr>
          <w:szCs w:val="22"/>
          <w:lang w:val="sr-Latn-RS"/>
        </w:rPr>
        <w:t>oralni antikoagulansi (varfarin, rivaroksaban, apiksaban itd.) izuzev u specifičnim uslovima. To su</w:t>
      </w:r>
      <w:r w:rsidR="008216FC" w:rsidRPr="00394D9A">
        <w:rPr>
          <w:szCs w:val="22"/>
          <w:lang w:val="sr-Latn-RS"/>
        </w:rPr>
        <w:t xml:space="preserve"> </w:t>
      </w:r>
      <w:r w:rsidRPr="00394D9A">
        <w:rPr>
          <w:szCs w:val="22"/>
          <w:lang w:val="sr-Latn-RS"/>
        </w:rPr>
        <w:t>prelaz sa jedne na drugu antikoagulacionu terapiju (</w:t>
      </w:r>
      <w:r w:rsidR="005D0815" w:rsidRPr="00394D9A">
        <w:rPr>
          <w:szCs w:val="22"/>
          <w:lang w:val="sr-Latn-RS"/>
        </w:rPr>
        <w:t xml:space="preserve">vidjeti </w:t>
      </w:r>
      <w:r w:rsidR="00D7145C" w:rsidRPr="00394D9A">
        <w:rPr>
          <w:szCs w:val="22"/>
          <w:lang w:val="sr-Latn-RS"/>
        </w:rPr>
        <w:t>dio</w:t>
      </w:r>
      <w:r w:rsidRPr="00394D9A">
        <w:rPr>
          <w:szCs w:val="22"/>
          <w:lang w:val="sr-Latn-RS"/>
        </w:rPr>
        <w:t xml:space="preserve"> 4.2), kada se NFH prim</w:t>
      </w:r>
      <w:r w:rsidR="003E3709" w:rsidRPr="00394D9A">
        <w:rPr>
          <w:szCs w:val="22"/>
          <w:lang w:val="sr-Latn-RS"/>
        </w:rPr>
        <w:t>j</w:t>
      </w:r>
      <w:r w:rsidRPr="00394D9A">
        <w:rPr>
          <w:szCs w:val="22"/>
          <w:lang w:val="sr-Latn-RS"/>
        </w:rPr>
        <w:t>enjuje u</w:t>
      </w:r>
      <w:r w:rsidR="008216FC" w:rsidRPr="00394D9A">
        <w:rPr>
          <w:szCs w:val="22"/>
          <w:lang w:val="sr-Latn-RS"/>
        </w:rPr>
        <w:t xml:space="preserve"> </w:t>
      </w:r>
      <w:r w:rsidRPr="00394D9A">
        <w:rPr>
          <w:szCs w:val="22"/>
          <w:lang w:val="sr-Latn-RS"/>
        </w:rPr>
        <w:t>dozi koja je neophodna za održavanje prohodnosti centralnog venskog ili arterijskog katetera ili</w:t>
      </w:r>
      <w:r w:rsidR="008216FC" w:rsidRPr="00394D9A">
        <w:rPr>
          <w:szCs w:val="22"/>
          <w:lang w:val="sr-Latn-RS"/>
        </w:rPr>
        <w:t xml:space="preserve"> </w:t>
      </w:r>
      <w:r w:rsidRPr="00394D9A">
        <w:rPr>
          <w:szCs w:val="22"/>
          <w:lang w:val="sr-Latn-RS"/>
        </w:rPr>
        <w:t xml:space="preserve">kada se NFH daje tokom kateterske ablacije </w:t>
      </w:r>
      <w:r w:rsidR="003E276C" w:rsidRPr="00394D9A">
        <w:rPr>
          <w:szCs w:val="22"/>
          <w:lang w:val="sr-Latn-RS"/>
        </w:rPr>
        <w:t xml:space="preserve">zbog </w:t>
      </w:r>
      <w:r w:rsidRPr="00394D9A">
        <w:rPr>
          <w:szCs w:val="22"/>
          <w:lang w:val="sr-Latn-RS"/>
        </w:rPr>
        <w:t>atrijalne fibrilacije (</w:t>
      </w:r>
      <w:r w:rsidR="005D0815" w:rsidRPr="00394D9A">
        <w:rPr>
          <w:szCs w:val="22"/>
          <w:lang w:val="sr-Latn-RS"/>
        </w:rPr>
        <w:t xml:space="preserve">vidjeti </w:t>
      </w:r>
      <w:r w:rsidR="00D7145C" w:rsidRPr="00394D9A">
        <w:rPr>
          <w:szCs w:val="22"/>
          <w:lang w:val="sr-Latn-RS"/>
        </w:rPr>
        <w:t>dio</w:t>
      </w:r>
      <w:r w:rsidRPr="00394D9A">
        <w:rPr>
          <w:szCs w:val="22"/>
          <w:lang w:val="sr-Latn-RS"/>
        </w:rPr>
        <w:t xml:space="preserve"> 4.5)</w:t>
      </w:r>
      <w:r w:rsidR="003E276C" w:rsidRPr="00394D9A">
        <w:rPr>
          <w:szCs w:val="22"/>
          <w:lang w:val="sr-Latn-RS"/>
        </w:rPr>
        <w:t>;</w:t>
      </w:r>
    </w:p>
    <w:p w14:paraId="4BA44522" w14:textId="38BC4F90" w:rsidR="008D05E8" w:rsidRPr="00394D9A" w:rsidRDefault="008D05E8" w:rsidP="00187D17">
      <w:pPr>
        <w:pStyle w:val="ListParagraph"/>
        <w:widowControl w:val="0"/>
        <w:numPr>
          <w:ilvl w:val="0"/>
          <w:numId w:val="5"/>
        </w:numPr>
        <w:rPr>
          <w:szCs w:val="22"/>
          <w:lang w:val="sr-Latn-RS"/>
        </w:rPr>
      </w:pPr>
      <w:r w:rsidRPr="00394D9A">
        <w:rPr>
          <w:szCs w:val="22"/>
          <w:lang w:val="sr-Latn-RS"/>
        </w:rPr>
        <w:t xml:space="preserve">Oštećenje funkcije jetre ili </w:t>
      </w:r>
      <w:r w:rsidR="003E276C" w:rsidRPr="00394D9A">
        <w:rPr>
          <w:szCs w:val="22"/>
          <w:lang w:val="sr-Latn-RS"/>
        </w:rPr>
        <w:t>oboljenje</w:t>
      </w:r>
      <w:r w:rsidRPr="00394D9A">
        <w:rPr>
          <w:szCs w:val="22"/>
          <w:lang w:val="sr-Latn-RS"/>
        </w:rPr>
        <w:t xml:space="preserve"> jetre koje može da ima uticaj na preživljavanje pacijenta</w:t>
      </w:r>
      <w:r w:rsidR="003E276C" w:rsidRPr="00394D9A">
        <w:rPr>
          <w:szCs w:val="22"/>
          <w:lang w:val="sr-Latn-RS"/>
        </w:rPr>
        <w:t>;</w:t>
      </w:r>
    </w:p>
    <w:p w14:paraId="1E52BEB0" w14:textId="3856365E" w:rsidR="00CF4723" w:rsidRPr="00394D9A" w:rsidRDefault="00CF4723" w:rsidP="00187D17">
      <w:pPr>
        <w:pStyle w:val="ListParagraph"/>
        <w:widowControl w:val="0"/>
        <w:numPr>
          <w:ilvl w:val="0"/>
          <w:numId w:val="5"/>
        </w:numPr>
        <w:rPr>
          <w:szCs w:val="22"/>
          <w:lang w:val="sr-Latn-RS"/>
        </w:rPr>
      </w:pPr>
      <w:r w:rsidRPr="00394D9A">
        <w:rPr>
          <w:szCs w:val="22"/>
          <w:lang w:val="sr-Latn-RS"/>
        </w:rPr>
        <w:t>Isto</w:t>
      </w:r>
      <w:r w:rsidR="00382644" w:rsidRPr="00394D9A">
        <w:rPr>
          <w:szCs w:val="22"/>
          <w:lang w:val="sr-Latn-RS"/>
        </w:rPr>
        <w:t>vremena</w:t>
      </w:r>
      <w:r w:rsidRPr="00394D9A">
        <w:rPr>
          <w:szCs w:val="22"/>
          <w:lang w:val="sr-Latn-RS"/>
        </w:rPr>
        <w:t xml:space="preserve"> </w:t>
      </w:r>
      <w:r w:rsidR="00A639DA" w:rsidRPr="00394D9A">
        <w:rPr>
          <w:szCs w:val="22"/>
          <w:lang w:val="sr-Latn-RS"/>
        </w:rPr>
        <w:t>primjena</w:t>
      </w:r>
      <w:r w:rsidRPr="00394D9A">
        <w:rPr>
          <w:szCs w:val="22"/>
          <w:lang w:val="sr-Latn-RS"/>
        </w:rPr>
        <w:t xml:space="preserve"> sa sl</w:t>
      </w:r>
      <w:r w:rsidR="00157169" w:rsidRPr="00394D9A">
        <w:rPr>
          <w:szCs w:val="22"/>
          <w:lang w:val="sr-Latn-RS"/>
        </w:rPr>
        <w:t>j</w:t>
      </w:r>
      <w:r w:rsidRPr="00394D9A">
        <w:rPr>
          <w:szCs w:val="22"/>
          <w:lang w:val="sr-Latn-RS"/>
        </w:rPr>
        <w:t>edećim snažnim P-gp inhibitorima: sistemski prim</w:t>
      </w:r>
      <w:r w:rsidR="0066602D" w:rsidRPr="00394D9A">
        <w:rPr>
          <w:szCs w:val="22"/>
          <w:lang w:val="sr-Latn-RS"/>
        </w:rPr>
        <w:t>i</w:t>
      </w:r>
      <w:r w:rsidR="003E3709" w:rsidRPr="00394D9A">
        <w:rPr>
          <w:szCs w:val="22"/>
          <w:lang w:val="sr-Latn-RS"/>
        </w:rPr>
        <w:t>j</w:t>
      </w:r>
      <w:r w:rsidRPr="00394D9A">
        <w:rPr>
          <w:szCs w:val="22"/>
          <w:lang w:val="sr-Latn-RS"/>
        </w:rPr>
        <w:t>enjenim ketokonazolom, ciklosporinom, itrakonazolom, dronedaronom i fiksnom kombinacijom g</w:t>
      </w:r>
      <w:r w:rsidR="00A639DA" w:rsidRPr="00394D9A">
        <w:rPr>
          <w:szCs w:val="22"/>
          <w:lang w:val="sr-Latn-RS"/>
        </w:rPr>
        <w:t>lijeka</w:t>
      </w:r>
      <w:r w:rsidRPr="00394D9A">
        <w:rPr>
          <w:szCs w:val="22"/>
          <w:lang w:val="sr-Latn-RS"/>
        </w:rPr>
        <w:t>previr/pibrentasvir (</w:t>
      </w:r>
      <w:r w:rsidR="005D0815" w:rsidRPr="00394D9A">
        <w:rPr>
          <w:szCs w:val="22"/>
          <w:lang w:val="sr-Latn-RS"/>
        </w:rPr>
        <w:t xml:space="preserve">vidjeti </w:t>
      </w:r>
      <w:r w:rsidR="00D7145C" w:rsidRPr="00394D9A">
        <w:rPr>
          <w:szCs w:val="22"/>
          <w:lang w:val="sr-Latn-RS"/>
        </w:rPr>
        <w:t>dio</w:t>
      </w:r>
      <w:r w:rsidRPr="00394D9A">
        <w:rPr>
          <w:szCs w:val="22"/>
          <w:lang w:val="sr-Latn-RS"/>
        </w:rPr>
        <w:t xml:space="preserve"> 4.5);</w:t>
      </w:r>
    </w:p>
    <w:p w14:paraId="6E4366A7" w14:textId="1BCB052A" w:rsidR="008D05E8" w:rsidRPr="00394D9A" w:rsidRDefault="008D05E8" w:rsidP="00187D17">
      <w:pPr>
        <w:pStyle w:val="ListParagraph"/>
        <w:widowControl w:val="0"/>
        <w:numPr>
          <w:ilvl w:val="0"/>
          <w:numId w:val="5"/>
        </w:numPr>
        <w:rPr>
          <w:szCs w:val="22"/>
          <w:lang w:val="sr-Latn-RS"/>
        </w:rPr>
      </w:pPr>
      <w:r w:rsidRPr="00394D9A">
        <w:rPr>
          <w:szCs w:val="22"/>
          <w:lang w:val="sr-Latn-RS"/>
        </w:rPr>
        <w:t>Prisustvo v</w:t>
      </w:r>
      <w:r w:rsidR="003E3709" w:rsidRPr="00394D9A">
        <w:rPr>
          <w:szCs w:val="22"/>
          <w:lang w:val="sr-Latn-RS"/>
        </w:rPr>
        <w:t>j</w:t>
      </w:r>
      <w:r w:rsidRPr="00394D9A">
        <w:rPr>
          <w:szCs w:val="22"/>
          <w:lang w:val="sr-Latn-RS"/>
        </w:rPr>
        <w:t>eštačkih srčanih zalistaka kod kojih je potrebna antikoagulantna terapija (</w:t>
      </w:r>
      <w:r w:rsidR="005D0815" w:rsidRPr="00394D9A">
        <w:rPr>
          <w:szCs w:val="22"/>
          <w:lang w:val="sr-Latn-RS"/>
        </w:rPr>
        <w:t xml:space="preserve">vidjeti </w:t>
      </w:r>
      <w:r w:rsidR="00D7145C" w:rsidRPr="00394D9A">
        <w:rPr>
          <w:szCs w:val="22"/>
          <w:lang w:val="sr-Latn-RS"/>
        </w:rPr>
        <w:t>dio</w:t>
      </w:r>
      <w:r w:rsidR="008216FC" w:rsidRPr="00394D9A">
        <w:rPr>
          <w:szCs w:val="22"/>
          <w:lang w:val="sr-Latn-RS"/>
        </w:rPr>
        <w:t xml:space="preserve"> </w:t>
      </w:r>
      <w:r w:rsidRPr="00394D9A">
        <w:rPr>
          <w:szCs w:val="22"/>
          <w:lang w:val="sr-Latn-RS"/>
        </w:rPr>
        <w:t>5.1)</w:t>
      </w:r>
      <w:r w:rsidR="003E276C" w:rsidRPr="00394D9A">
        <w:rPr>
          <w:szCs w:val="22"/>
          <w:lang w:val="sr-Latn-RS"/>
        </w:rPr>
        <w:t>.</w:t>
      </w:r>
    </w:p>
    <w:p w14:paraId="017E3BBC" w14:textId="77777777" w:rsidR="00CE09F3" w:rsidRPr="00394D9A" w:rsidRDefault="00CE09F3" w:rsidP="00187D17">
      <w:pPr>
        <w:widowControl w:val="0"/>
        <w:rPr>
          <w:szCs w:val="22"/>
          <w:lang w:val="sr-Latn-RS"/>
        </w:rPr>
      </w:pPr>
    </w:p>
    <w:p w14:paraId="13AAEDFC" w14:textId="77777777" w:rsidR="00523BC9" w:rsidRPr="00394D9A" w:rsidRDefault="00523BC9" w:rsidP="00187D17">
      <w:pPr>
        <w:widowControl w:val="0"/>
        <w:tabs>
          <w:tab w:val="left" w:pos="540"/>
          <w:tab w:val="left" w:pos="569"/>
        </w:tabs>
        <w:rPr>
          <w:b/>
          <w:bCs/>
          <w:szCs w:val="22"/>
          <w:lang w:val="sr-Latn-RS"/>
        </w:rPr>
      </w:pPr>
      <w:r w:rsidRPr="00394D9A">
        <w:rPr>
          <w:b/>
          <w:bCs/>
          <w:szCs w:val="22"/>
          <w:lang w:val="sr-Latn-RS"/>
        </w:rPr>
        <w:t xml:space="preserve">4.4. </w:t>
      </w:r>
      <w:r w:rsidRPr="00394D9A">
        <w:rPr>
          <w:b/>
          <w:bCs/>
          <w:szCs w:val="22"/>
          <w:lang w:val="sr-Latn-RS"/>
        </w:rPr>
        <w:tab/>
        <w:t>Posebna upozorenja i mjere opreza pri upotrebi lijeka</w:t>
      </w:r>
    </w:p>
    <w:p w14:paraId="6A78AE3E" w14:textId="76C33B0F" w:rsidR="00CE09F3" w:rsidRPr="00394D9A" w:rsidRDefault="00CE09F3" w:rsidP="00187D17">
      <w:pPr>
        <w:widowControl w:val="0"/>
        <w:rPr>
          <w:szCs w:val="22"/>
          <w:lang w:val="sr-Latn-RS"/>
        </w:rPr>
      </w:pPr>
    </w:p>
    <w:p w14:paraId="03D947B8" w14:textId="288DA931" w:rsidR="008216FC" w:rsidRPr="00394D9A" w:rsidRDefault="008216FC" w:rsidP="00187D17">
      <w:pPr>
        <w:widowControl w:val="0"/>
        <w:rPr>
          <w:szCs w:val="22"/>
          <w:u w:val="single"/>
          <w:lang w:val="sr-Latn-RS"/>
        </w:rPr>
      </w:pPr>
      <w:r w:rsidRPr="00394D9A">
        <w:rPr>
          <w:szCs w:val="22"/>
          <w:u w:val="single"/>
          <w:lang w:val="sr-Latn-RS"/>
        </w:rPr>
        <w:t>Rizik od krvarenja</w:t>
      </w:r>
    </w:p>
    <w:p w14:paraId="5DA07F56" w14:textId="77777777" w:rsidR="00D5610B" w:rsidRPr="00394D9A" w:rsidRDefault="00D5610B" w:rsidP="00187D17">
      <w:pPr>
        <w:widowControl w:val="0"/>
        <w:rPr>
          <w:szCs w:val="22"/>
          <w:u w:val="single"/>
          <w:lang w:val="sr-Latn-RS"/>
        </w:rPr>
      </w:pPr>
    </w:p>
    <w:p w14:paraId="3FD19478" w14:textId="03C38160" w:rsidR="008216FC" w:rsidRPr="00394D9A" w:rsidRDefault="00A639DA" w:rsidP="00187D17">
      <w:pPr>
        <w:widowControl w:val="0"/>
        <w:rPr>
          <w:szCs w:val="22"/>
          <w:lang w:val="sr-Latn-RS"/>
        </w:rPr>
      </w:pPr>
      <w:r w:rsidRPr="00394D9A">
        <w:rPr>
          <w:szCs w:val="22"/>
          <w:lang w:val="sr-Latn-RS"/>
        </w:rPr>
        <w:t>Lijek</w:t>
      </w:r>
      <w:r w:rsidR="008216FC" w:rsidRPr="00394D9A">
        <w:rPr>
          <w:szCs w:val="22"/>
          <w:lang w:val="sr-Latn-RS"/>
        </w:rPr>
        <w:t xml:space="preserve"> </w:t>
      </w:r>
      <w:r w:rsidR="00D5610B" w:rsidRPr="00394D9A">
        <w:rPr>
          <w:szCs w:val="22"/>
          <w:lang w:val="sr-Latn-RS"/>
        </w:rPr>
        <w:t>Dabigatran SK</w:t>
      </w:r>
      <w:r w:rsidR="008216FC" w:rsidRPr="00394D9A">
        <w:rPr>
          <w:szCs w:val="22"/>
          <w:lang w:val="sr-Latn-RS"/>
        </w:rPr>
        <w:t xml:space="preserve"> treba pažljivo koristiti u stanjima sa povećanim rizikom od krvarenja </w:t>
      </w:r>
      <w:r w:rsidR="008D58A0" w:rsidRPr="00394D9A">
        <w:rPr>
          <w:szCs w:val="22"/>
          <w:lang w:val="sr-Latn-RS"/>
        </w:rPr>
        <w:t>i u situacijama</w:t>
      </w:r>
      <w:r w:rsidR="008216FC" w:rsidRPr="00394D9A">
        <w:rPr>
          <w:szCs w:val="22"/>
          <w:lang w:val="sr-Latn-RS"/>
        </w:rPr>
        <w:t xml:space="preserve"> kada se </w:t>
      </w:r>
      <w:r w:rsidR="00303D2F" w:rsidRPr="00394D9A">
        <w:rPr>
          <w:szCs w:val="22"/>
          <w:lang w:val="sr-Latn-RS"/>
        </w:rPr>
        <w:t>istovremeno</w:t>
      </w:r>
      <w:r w:rsidR="00D5610B" w:rsidRPr="00394D9A">
        <w:rPr>
          <w:szCs w:val="22"/>
          <w:lang w:val="sr-Latn-RS"/>
        </w:rPr>
        <w:t xml:space="preserve"> </w:t>
      </w:r>
      <w:r w:rsidR="008216FC" w:rsidRPr="00394D9A">
        <w:rPr>
          <w:szCs w:val="22"/>
          <w:lang w:val="sr-Latn-RS"/>
        </w:rPr>
        <w:t xml:space="preserve">koriste </w:t>
      </w:r>
      <w:r w:rsidRPr="00394D9A">
        <w:rPr>
          <w:szCs w:val="22"/>
          <w:lang w:val="sr-Latn-RS"/>
        </w:rPr>
        <w:t>ljek</w:t>
      </w:r>
      <w:r w:rsidR="008216FC" w:rsidRPr="00394D9A">
        <w:rPr>
          <w:szCs w:val="22"/>
          <w:lang w:val="sr-Latn-RS"/>
        </w:rPr>
        <w:t>ovi koji utiču na hemostazu putem inhibicije agregacije trombocita.</w:t>
      </w:r>
      <w:r w:rsidR="00144498" w:rsidRPr="00394D9A">
        <w:rPr>
          <w:szCs w:val="22"/>
          <w:lang w:val="sr-Latn-RS"/>
        </w:rPr>
        <w:t xml:space="preserve"> </w:t>
      </w:r>
      <w:r w:rsidR="008216FC" w:rsidRPr="00394D9A">
        <w:rPr>
          <w:szCs w:val="22"/>
          <w:lang w:val="sr-Latn-RS"/>
        </w:rPr>
        <w:t>Krvarenje može da se desi</w:t>
      </w:r>
      <w:r w:rsidR="00D5610B" w:rsidRPr="00394D9A">
        <w:rPr>
          <w:szCs w:val="22"/>
          <w:lang w:val="sr-Latn-RS"/>
        </w:rPr>
        <w:t xml:space="preserve"> </w:t>
      </w:r>
      <w:r w:rsidR="008216FC" w:rsidRPr="00394D9A">
        <w:rPr>
          <w:szCs w:val="22"/>
          <w:lang w:val="sr-Latn-RS"/>
        </w:rPr>
        <w:t xml:space="preserve">na bilo kom </w:t>
      </w:r>
      <w:r w:rsidR="003E3709" w:rsidRPr="00394D9A">
        <w:rPr>
          <w:szCs w:val="22"/>
          <w:lang w:val="sr-Latn-RS"/>
        </w:rPr>
        <w:t>mjestu</w:t>
      </w:r>
      <w:r w:rsidR="008216FC" w:rsidRPr="00394D9A">
        <w:rPr>
          <w:szCs w:val="22"/>
          <w:lang w:val="sr-Latn-RS"/>
        </w:rPr>
        <w:t xml:space="preserve"> tokom terapije </w:t>
      </w:r>
      <w:r w:rsidRPr="00394D9A">
        <w:rPr>
          <w:szCs w:val="22"/>
          <w:lang w:val="sr-Latn-RS"/>
        </w:rPr>
        <w:t>lijekom</w:t>
      </w:r>
      <w:r w:rsidR="008216FC" w:rsidRPr="00394D9A">
        <w:rPr>
          <w:szCs w:val="22"/>
          <w:lang w:val="sr-Latn-RS"/>
        </w:rPr>
        <w:t xml:space="preserve"> </w:t>
      </w:r>
      <w:r w:rsidR="00D5610B" w:rsidRPr="00394D9A">
        <w:rPr>
          <w:szCs w:val="22"/>
          <w:lang w:val="sr-Latn-RS"/>
        </w:rPr>
        <w:t>Dabigatran SK</w:t>
      </w:r>
      <w:r w:rsidR="008216FC" w:rsidRPr="00394D9A">
        <w:rPr>
          <w:szCs w:val="22"/>
          <w:lang w:val="sr-Latn-RS"/>
        </w:rPr>
        <w:t>. Neobjašnjen pad hemoglobina i/ili hematokrita ili</w:t>
      </w:r>
      <w:r w:rsidR="00D5610B" w:rsidRPr="00394D9A">
        <w:rPr>
          <w:szCs w:val="22"/>
          <w:lang w:val="sr-Latn-RS"/>
        </w:rPr>
        <w:t xml:space="preserve"> </w:t>
      </w:r>
      <w:r w:rsidR="008216FC" w:rsidRPr="00394D9A">
        <w:rPr>
          <w:szCs w:val="22"/>
          <w:lang w:val="sr-Latn-RS"/>
        </w:rPr>
        <w:t xml:space="preserve">krvnog pritiska </w:t>
      </w:r>
      <w:r w:rsidR="005D0815" w:rsidRPr="00394D9A">
        <w:rPr>
          <w:szCs w:val="22"/>
          <w:lang w:val="sr-Latn-RS"/>
        </w:rPr>
        <w:t>zahtijeva nalaženje</w:t>
      </w:r>
      <w:r w:rsidR="008216FC" w:rsidRPr="00394D9A">
        <w:rPr>
          <w:szCs w:val="22"/>
          <w:lang w:val="sr-Latn-RS"/>
        </w:rPr>
        <w:t xml:space="preserve"> </w:t>
      </w:r>
      <w:r w:rsidR="003E3709" w:rsidRPr="00394D9A">
        <w:rPr>
          <w:szCs w:val="22"/>
          <w:lang w:val="sr-Latn-RS"/>
        </w:rPr>
        <w:t>mjesta</w:t>
      </w:r>
      <w:r w:rsidR="008216FC" w:rsidRPr="00394D9A">
        <w:rPr>
          <w:szCs w:val="22"/>
          <w:lang w:val="sr-Latn-RS"/>
        </w:rPr>
        <w:t xml:space="preserve"> krvarenja.</w:t>
      </w:r>
    </w:p>
    <w:p w14:paraId="66399E00" w14:textId="4AAFA5AB" w:rsidR="008216FC" w:rsidRPr="00394D9A" w:rsidRDefault="008216FC" w:rsidP="00187D17">
      <w:pPr>
        <w:widowControl w:val="0"/>
        <w:rPr>
          <w:szCs w:val="22"/>
          <w:lang w:val="sr-Latn-RS"/>
        </w:rPr>
      </w:pPr>
    </w:p>
    <w:p w14:paraId="22E07773" w14:textId="7E46E988" w:rsidR="00550243" w:rsidRPr="00394D9A" w:rsidRDefault="00550243" w:rsidP="00187D17">
      <w:pPr>
        <w:widowControl w:val="0"/>
        <w:rPr>
          <w:szCs w:val="22"/>
          <w:lang w:val="sr-Latn-RS"/>
        </w:rPr>
      </w:pPr>
      <w:r w:rsidRPr="00394D9A">
        <w:rPr>
          <w:szCs w:val="22"/>
          <w:lang w:val="sr-Latn-RS"/>
        </w:rPr>
        <w:t>Za odrasle pacijente u</w:t>
      </w:r>
      <w:r w:rsidR="008216FC" w:rsidRPr="00394D9A">
        <w:rPr>
          <w:szCs w:val="22"/>
          <w:lang w:val="sr-Latn-RS"/>
        </w:rPr>
        <w:t xml:space="preserve"> situacijama po život opasnog ili nekontrolir</w:t>
      </w:r>
      <w:r w:rsidR="00D45574" w:rsidRPr="00394D9A">
        <w:rPr>
          <w:szCs w:val="22"/>
          <w:lang w:val="sr-Latn-RS"/>
        </w:rPr>
        <w:t>s</w:t>
      </w:r>
      <w:r w:rsidR="008216FC" w:rsidRPr="00394D9A">
        <w:rPr>
          <w:szCs w:val="22"/>
          <w:lang w:val="sr-Latn-RS"/>
        </w:rPr>
        <w:t>nog krvarenja, kada je potrebno brzo poništenje</w:t>
      </w:r>
      <w:r w:rsidR="00D5610B" w:rsidRPr="00394D9A">
        <w:rPr>
          <w:szCs w:val="22"/>
          <w:lang w:val="sr-Latn-RS"/>
        </w:rPr>
        <w:t xml:space="preserve"> </w:t>
      </w:r>
      <w:r w:rsidR="008216FC" w:rsidRPr="00394D9A">
        <w:rPr>
          <w:szCs w:val="22"/>
          <w:lang w:val="sr-Latn-RS"/>
        </w:rPr>
        <w:t>antikoagulantnog dejstva dabigatrana, dostupan je specifičan antagonist idarucizumab.</w:t>
      </w:r>
      <w:r w:rsidR="00643432" w:rsidRPr="00394D9A">
        <w:rPr>
          <w:szCs w:val="22"/>
          <w:lang w:val="sr-Latn-RS"/>
        </w:rPr>
        <w:t xml:space="preserve"> </w:t>
      </w:r>
    </w:p>
    <w:p w14:paraId="159323EB" w14:textId="43CCCCFA" w:rsidR="00643432" w:rsidRPr="00394D9A" w:rsidRDefault="00643432" w:rsidP="00187D17">
      <w:pPr>
        <w:widowControl w:val="0"/>
        <w:rPr>
          <w:szCs w:val="22"/>
          <w:lang w:val="sr-Latn-RS"/>
        </w:rPr>
      </w:pPr>
      <w:r w:rsidRPr="00394D9A">
        <w:rPr>
          <w:szCs w:val="22"/>
          <w:lang w:val="sr-Latn-RS"/>
        </w:rPr>
        <w:t>Efikasnost i bezb</w:t>
      </w:r>
      <w:r w:rsidR="0066602D" w:rsidRPr="00394D9A">
        <w:rPr>
          <w:szCs w:val="22"/>
          <w:lang w:val="sr-Latn-RS"/>
        </w:rPr>
        <w:t>j</w:t>
      </w:r>
      <w:r w:rsidRPr="00394D9A">
        <w:rPr>
          <w:szCs w:val="22"/>
          <w:lang w:val="sr-Latn-RS"/>
        </w:rPr>
        <w:t>ednost idarucizumaba nije ustanovljena kod pedijatrijskih pacijenata. Dabigatran se može ukloniti hemodijalizom. Za odrasle pacijente, druge moguće opcije su sv</w:t>
      </w:r>
      <w:r w:rsidR="0066602D" w:rsidRPr="00394D9A">
        <w:rPr>
          <w:szCs w:val="22"/>
          <w:lang w:val="sr-Latn-RS"/>
        </w:rPr>
        <w:t>j</w:t>
      </w:r>
      <w:r w:rsidRPr="00394D9A">
        <w:rPr>
          <w:szCs w:val="22"/>
          <w:lang w:val="sr-Latn-RS"/>
        </w:rPr>
        <w:t>eža puna krv ili sv</w:t>
      </w:r>
      <w:r w:rsidR="0066602D" w:rsidRPr="00394D9A">
        <w:rPr>
          <w:szCs w:val="22"/>
          <w:lang w:val="sr-Latn-RS"/>
        </w:rPr>
        <w:t>j</w:t>
      </w:r>
      <w:r w:rsidRPr="00394D9A">
        <w:rPr>
          <w:szCs w:val="22"/>
          <w:lang w:val="sr-Latn-RS"/>
        </w:rPr>
        <w:t>eža smrznuta plazma, koncentrat faktora koagulacije (aktivirani ili neaktivirani), rekombinantni faktor VIIa ili koncentrati trombocita (vid</w:t>
      </w:r>
      <w:r w:rsidR="0066602D" w:rsidRPr="00394D9A">
        <w:rPr>
          <w:szCs w:val="22"/>
          <w:lang w:val="sr-Latn-RS"/>
        </w:rPr>
        <w:t>j</w:t>
      </w:r>
      <w:r w:rsidRPr="00394D9A">
        <w:rPr>
          <w:szCs w:val="22"/>
          <w:lang w:val="sr-Latn-RS"/>
        </w:rPr>
        <w:t xml:space="preserve">eti takođe </w:t>
      </w:r>
      <w:r w:rsidR="003A2DDC" w:rsidRPr="00394D9A">
        <w:rPr>
          <w:szCs w:val="22"/>
          <w:lang w:val="sr-Latn-RS"/>
        </w:rPr>
        <w:t>dio</w:t>
      </w:r>
      <w:r w:rsidRPr="00394D9A">
        <w:rPr>
          <w:szCs w:val="22"/>
          <w:lang w:val="sr-Latn-RS"/>
        </w:rPr>
        <w:t xml:space="preserve"> 4.9).</w:t>
      </w:r>
      <w:r w:rsidR="00BF34D0" w:rsidRPr="00394D9A">
        <w:rPr>
          <w:szCs w:val="22"/>
          <w:lang w:val="sr-Latn-RS"/>
        </w:rPr>
        <w:t xml:space="preserve"> </w:t>
      </w:r>
    </w:p>
    <w:p w14:paraId="179C61E9" w14:textId="77777777" w:rsidR="00D5610B" w:rsidRPr="00394D9A" w:rsidRDefault="00D5610B" w:rsidP="00187D17">
      <w:pPr>
        <w:widowControl w:val="0"/>
        <w:rPr>
          <w:szCs w:val="22"/>
          <w:lang w:val="sr-Latn-RS"/>
        </w:rPr>
      </w:pPr>
    </w:p>
    <w:p w14:paraId="6A92D648" w14:textId="4150E0F0" w:rsidR="00D5610B" w:rsidRPr="00394D9A" w:rsidRDefault="00144498" w:rsidP="00187D17">
      <w:pPr>
        <w:widowControl w:val="0"/>
        <w:rPr>
          <w:szCs w:val="22"/>
          <w:lang w:val="sr-Latn-RS"/>
        </w:rPr>
      </w:pPr>
      <w:r w:rsidRPr="00394D9A">
        <w:rPr>
          <w:szCs w:val="22"/>
          <w:lang w:val="sr-Latn-RS"/>
        </w:rPr>
        <w:t>U kliničkim ispitivanjima</w:t>
      </w:r>
      <w:r w:rsidR="00D45574" w:rsidRPr="00394D9A">
        <w:rPr>
          <w:szCs w:val="22"/>
          <w:lang w:val="sr-Latn-RS"/>
        </w:rPr>
        <w:t xml:space="preserve">, </w:t>
      </w:r>
      <w:r w:rsidR="00A639DA" w:rsidRPr="00394D9A">
        <w:rPr>
          <w:szCs w:val="22"/>
          <w:lang w:val="sr-Latn-RS"/>
        </w:rPr>
        <w:t>primjena</w:t>
      </w:r>
      <w:r w:rsidR="00D45574" w:rsidRPr="00394D9A">
        <w:rPr>
          <w:szCs w:val="22"/>
          <w:lang w:val="sr-Latn-RS"/>
        </w:rPr>
        <w:t xml:space="preserve"> dabigatraneteksilata </w:t>
      </w:r>
      <w:r w:rsidRPr="00394D9A">
        <w:rPr>
          <w:szCs w:val="22"/>
          <w:lang w:val="sr-Latn-RS"/>
        </w:rPr>
        <w:t>je bila povezana sa višom stopom težih gastrointestinalnih (GI) krvarenja. Ovaj povećani rizik se b</w:t>
      </w:r>
      <w:r w:rsidR="003E3709" w:rsidRPr="00394D9A">
        <w:rPr>
          <w:szCs w:val="22"/>
          <w:lang w:val="sr-Latn-RS"/>
        </w:rPr>
        <w:t>i</w:t>
      </w:r>
      <w:r w:rsidRPr="00394D9A">
        <w:rPr>
          <w:szCs w:val="22"/>
          <w:lang w:val="sr-Latn-RS"/>
        </w:rPr>
        <w:t>l</w:t>
      </w:r>
      <w:r w:rsidR="003E3709" w:rsidRPr="00394D9A">
        <w:rPr>
          <w:szCs w:val="22"/>
          <w:lang w:val="sr-Latn-RS"/>
        </w:rPr>
        <w:t>j</w:t>
      </w:r>
      <w:r w:rsidRPr="00394D9A">
        <w:rPr>
          <w:szCs w:val="22"/>
          <w:lang w:val="sr-Latn-RS"/>
        </w:rPr>
        <w:t>eži kod pacijenata starije životn</w:t>
      </w:r>
      <w:r w:rsidR="00D45574" w:rsidRPr="00394D9A">
        <w:rPr>
          <w:szCs w:val="22"/>
          <w:lang w:val="sr-Latn-RS"/>
        </w:rPr>
        <w:t>e</w:t>
      </w:r>
      <w:r w:rsidRPr="00394D9A">
        <w:rPr>
          <w:szCs w:val="22"/>
          <w:lang w:val="sr-Latn-RS"/>
        </w:rPr>
        <w:t xml:space="preserve"> dob</w:t>
      </w:r>
      <w:r w:rsidR="00D45574" w:rsidRPr="00394D9A">
        <w:rPr>
          <w:szCs w:val="22"/>
          <w:lang w:val="sr-Latn-RS"/>
        </w:rPr>
        <w:t>i</w:t>
      </w:r>
      <w:r w:rsidRPr="00394D9A">
        <w:rPr>
          <w:szCs w:val="22"/>
          <w:lang w:val="sr-Latn-RS"/>
        </w:rPr>
        <w:t xml:space="preserve"> (≥</w:t>
      </w:r>
      <w:r w:rsidR="00550243" w:rsidRPr="00394D9A">
        <w:rPr>
          <w:szCs w:val="22"/>
          <w:lang w:val="sr-Latn-RS"/>
        </w:rPr>
        <w:t xml:space="preserve"> </w:t>
      </w:r>
      <w:r w:rsidRPr="00394D9A">
        <w:rPr>
          <w:szCs w:val="22"/>
          <w:lang w:val="sr-Latn-RS"/>
        </w:rPr>
        <w:t>75 godina) koji su primali dnevnu dozu od 150 mg dva puta dnevno. Dodatni faktori rizika (</w:t>
      </w:r>
      <w:r w:rsidR="00550243" w:rsidRPr="00394D9A">
        <w:rPr>
          <w:szCs w:val="22"/>
          <w:lang w:val="sr-Latn-RS"/>
        </w:rPr>
        <w:t xml:space="preserve">vidjeti </w:t>
      </w:r>
      <w:r w:rsidRPr="00394D9A">
        <w:rPr>
          <w:szCs w:val="22"/>
          <w:lang w:val="sr-Latn-RS"/>
        </w:rPr>
        <w:t>takođe tabelu 4) uključuju isto</w:t>
      </w:r>
      <w:r w:rsidR="00BD52DD" w:rsidRPr="00394D9A">
        <w:rPr>
          <w:szCs w:val="22"/>
          <w:lang w:val="sr-Latn-RS"/>
        </w:rPr>
        <w:t>vreme</w:t>
      </w:r>
      <w:r w:rsidRPr="00394D9A">
        <w:rPr>
          <w:szCs w:val="22"/>
          <w:lang w:val="sr-Latn-RS"/>
        </w:rPr>
        <w:t xml:space="preserve">nu terapiju inhibitorima agregacije trombocita kao što su klopidogrel i acetilsalicilatna kiselina (ASK) ili nesteroidni antiinflamatorni </w:t>
      </w:r>
      <w:r w:rsidR="00A639DA" w:rsidRPr="00394D9A">
        <w:rPr>
          <w:szCs w:val="22"/>
          <w:lang w:val="sr-Latn-RS"/>
        </w:rPr>
        <w:t>ljek</w:t>
      </w:r>
      <w:r w:rsidRPr="00394D9A">
        <w:rPr>
          <w:szCs w:val="22"/>
          <w:lang w:val="sr-Latn-RS"/>
        </w:rPr>
        <w:t>ovi (NSAIL), kao i prisustvo ezofagitisa, gastritisa ili gastroezofagealnog refluksa.</w:t>
      </w:r>
    </w:p>
    <w:p w14:paraId="78F36AE0" w14:textId="77777777" w:rsidR="00144498" w:rsidRPr="00394D9A" w:rsidRDefault="00144498" w:rsidP="00187D17">
      <w:pPr>
        <w:widowControl w:val="0"/>
        <w:rPr>
          <w:i/>
          <w:iCs/>
          <w:szCs w:val="22"/>
          <w:u w:val="single"/>
          <w:lang w:val="sr-Latn-RS"/>
        </w:rPr>
      </w:pPr>
    </w:p>
    <w:p w14:paraId="643F38D2" w14:textId="428EBCF2" w:rsidR="008216FC" w:rsidRPr="00394D9A" w:rsidRDefault="008216FC" w:rsidP="00187D17">
      <w:pPr>
        <w:widowControl w:val="0"/>
        <w:rPr>
          <w:i/>
          <w:iCs/>
          <w:szCs w:val="22"/>
          <w:u w:val="single"/>
          <w:lang w:val="sr-Latn-RS"/>
        </w:rPr>
      </w:pPr>
      <w:r w:rsidRPr="00394D9A">
        <w:rPr>
          <w:i/>
          <w:iCs/>
          <w:szCs w:val="22"/>
          <w:u w:val="single"/>
          <w:lang w:val="sr-Latn-RS"/>
        </w:rPr>
        <w:t>Faktori rizika</w:t>
      </w:r>
    </w:p>
    <w:p w14:paraId="39F4A3BE" w14:textId="77777777" w:rsidR="00D5610B" w:rsidRPr="00394D9A" w:rsidRDefault="00D5610B" w:rsidP="00187D17">
      <w:pPr>
        <w:widowControl w:val="0"/>
        <w:rPr>
          <w:i/>
          <w:iCs/>
          <w:szCs w:val="22"/>
          <w:u w:val="single"/>
          <w:lang w:val="sr-Latn-RS"/>
        </w:rPr>
      </w:pPr>
    </w:p>
    <w:p w14:paraId="6873ACF9" w14:textId="5254408E" w:rsidR="008216FC" w:rsidRPr="00394D9A" w:rsidRDefault="008216FC" w:rsidP="00187D17">
      <w:pPr>
        <w:widowControl w:val="0"/>
        <w:rPr>
          <w:szCs w:val="22"/>
          <w:lang w:val="sr-Latn-RS"/>
        </w:rPr>
      </w:pPr>
      <w:r w:rsidRPr="00394D9A">
        <w:rPr>
          <w:szCs w:val="22"/>
          <w:lang w:val="sr-Latn-RS"/>
        </w:rPr>
        <w:t xml:space="preserve">U Tabeli </w:t>
      </w:r>
      <w:r w:rsidR="00880255" w:rsidRPr="00394D9A">
        <w:rPr>
          <w:szCs w:val="22"/>
          <w:lang w:val="sr-Latn-RS"/>
        </w:rPr>
        <w:t>4</w:t>
      </w:r>
      <w:r w:rsidRPr="00394D9A">
        <w:rPr>
          <w:szCs w:val="22"/>
          <w:lang w:val="sr-Latn-RS"/>
        </w:rPr>
        <w:t xml:space="preserve"> </w:t>
      </w:r>
      <w:r w:rsidR="00D5610B" w:rsidRPr="00394D9A">
        <w:rPr>
          <w:szCs w:val="22"/>
          <w:lang w:val="sr-Latn-RS"/>
        </w:rPr>
        <w:t xml:space="preserve">su </w:t>
      </w:r>
      <w:r w:rsidRPr="00394D9A">
        <w:rPr>
          <w:szCs w:val="22"/>
          <w:lang w:val="sr-Latn-RS"/>
        </w:rPr>
        <w:t>prikazani faktori koji mogu da povećaju rizik od krvarenja.</w:t>
      </w:r>
    </w:p>
    <w:p w14:paraId="384DCE21" w14:textId="77777777" w:rsidR="00D5610B" w:rsidRPr="00394D9A" w:rsidRDefault="00D5610B" w:rsidP="00187D17">
      <w:pPr>
        <w:widowControl w:val="0"/>
        <w:rPr>
          <w:szCs w:val="22"/>
          <w:lang w:val="sr-Latn-RS"/>
        </w:rPr>
      </w:pPr>
    </w:p>
    <w:p w14:paraId="3ABDAE5A" w14:textId="053D68C6" w:rsidR="008216FC" w:rsidRPr="00394D9A" w:rsidRDefault="008216FC" w:rsidP="00187D17">
      <w:pPr>
        <w:widowControl w:val="0"/>
        <w:rPr>
          <w:b/>
          <w:bCs/>
          <w:szCs w:val="22"/>
          <w:lang w:val="sr-Latn-RS"/>
        </w:rPr>
      </w:pPr>
      <w:r w:rsidRPr="00394D9A">
        <w:rPr>
          <w:b/>
          <w:bCs/>
          <w:szCs w:val="22"/>
          <w:lang w:val="sr-Latn-RS"/>
        </w:rPr>
        <w:t xml:space="preserve">Tabela </w:t>
      </w:r>
      <w:r w:rsidR="00880255" w:rsidRPr="00394D9A">
        <w:rPr>
          <w:b/>
          <w:bCs/>
          <w:szCs w:val="22"/>
          <w:lang w:val="sr-Latn-RS"/>
        </w:rPr>
        <w:t>4</w:t>
      </w:r>
      <w:r w:rsidRPr="00394D9A">
        <w:rPr>
          <w:b/>
          <w:bCs/>
          <w:szCs w:val="22"/>
          <w:lang w:val="sr-Latn-RS"/>
        </w:rPr>
        <w:t>: Faktori rizika koji mogu da povećaju rizik od krvarenja</w:t>
      </w:r>
    </w:p>
    <w:p w14:paraId="7FE03DF2" w14:textId="58B572A9" w:rsidR="008216FC" w:rsidRPr="00394D9A" w:rsidRDefault="008216FC" w:rsidP="00187D17">
      <w:pPr>
        <w:widowControl w:val="0"/>
        <w:rPr>
          <w:szCs w:val="22"/>
          <w:lang w:val="sr-Latn-RS"/>
        </w:rPr>
      </w:pPr>
    </w:p>
    <w:tbl>
      <w:tblPr>
        <w:tblStyle w:val="TableGrid"/>
        <w:tblW w:w="0" w:type="auto"/>
        <w:tblLook w:val="04A0" w:firstRow="1" w:lastRow="0" w:firstColumn="1" w:lastColumn="0" w:noHBand="0" w:noVBand="1"/>
      </w:tblPr>
      <w:tblGrid>
        <w:gridCol w:w="2991"/>
        <w:gridCol w:w="6070"/>
      </w:tblGrid>
      <w:tr w:rsidR="007446BA" w:rsidRPr="00394D9A" w14:paraId="11FE77AE" w14:textId="77777777" w:rsidTr="00DF17BA">
        <w:tc>
          <w:tcPr>
            <w:tcW w:w="0" w:type="auto"/>
          </w:tcPr>
          <w:p w14:paraId="7096BED4" w14:textId="77777777" w:rsidR="007446BA" w:rsidRPr="00394D9A" w:rsidRDefault="007446BA" w:rsidP="00187D17">
            <w:pPr>
              <w:widowControl w:val="0"/>
              <w:jc w:val="left"/>
              <w:rPr>
                <w:szCs w:val="22"/>
                <w:lang w:val="sr-Latn-RS"/>
              </w:rPr>
            </w:pPr>
          </w:p>
        </w:tc>
        <w:tc>
          <w:tcPr>
            <w:tcW w:w="0" w:type="auto"/>
          </w:tcPr>
          <w:p w14:paraId="6223C9B8" w14:textId="7B5FC120" w:rsidR="007446BA" w:rsidRPr="00394D9A" w:rsidRDefault="007446BA" w:rsidP="00187D17">
            <w:pPr>
              <w:widowControl w:val="0"/>
              <w:rPr>
                <w:szCs w:val="22"/>
                <w:lang w:val="sr-Latn-RS"/>
              </w:rPr>
            </w:pPr>
            <w:r>
              <w:rPr>
                <w:szCs w:val="22"/>
                <w:lang w:val="sr-Latn-RS"/>
              </w:rPr>
              <w:t>Faktor rizika</w:t>
            </w:r>
          </w:p>
        </w:tc>
      </w:tr>
      <w:tr w:rsidR="008216FC" w:rsidRPr="00394D9A" w14:paraId="3628D18F" w14:textId="77777777" w:rsidTr="00DF17BA">
        <w:tc>
          <w:tcPr>
            <w:tcW w:w="0" w:type="auto"/>
          </w:tcPr>
          <w:p w14:paraId="0AF9557C" w14:textId="3A0DD2CD" w:rsidR="008216FC" w:rsidRPr="00394D9A" w:rsidRDefault="008216FC" w:rsidP="00187D17">
            <w:pPr>
              <w:widowControl w:val="0"/>
              <w:jc w:val="left"/>
              <w:rPr>
                <w:szCs w:val="22"/>
                <w:lang w:val="sr-Latn-RS"/>
              </w:rPr>
            </w:pPr>
            <w:r w:rsidRPr="00394D9A">
              <w:rPr>
                <w:szCs w:val="22"/>
                <w:lang w:val="sr-Latn-RS"/>
              </w:rPr>
              <w:t>Farmakodinamski i farmakokinetski faktori</w:t>
            </w:r>
          </w:p>
        </w:tc>
        <w:tc>
          <w:tcPr>
            <w:tcW w:w="0" w:type="auto"/>
          </w:tcPr>
          <w:p w14:paraId="1A5125EE" w14:textId="10E09F50" w:rsidR="008216FC" w:rsidRPr="00394D9A" w:rsidRDefault="008216FC" w:rsidP="00187D17">
            <w:pPr>
              <w:widowControl w:val="0"/>
              <w:rPr>
                <w:szCs w:val="22"/>
                <w:lang w:val="sr-Latn-RS"/>
              </w:rPr>
            </w:pPr>
            <w:r w:rsidRPr="00394D9A">
              <w:rPr>
                <w:szCs w:val="22"/>
                <w:lang w:val="sr-Latn-RS"/>
              </w:rPr>
              <w:t>Starost ≥</w:t>
            </w:r>
            <w:r w:rsidR="00550243" w:rsidRPr="00394D9A">
              <w:rPr>
                <w:szCs w:val="22"/>
                <w:lang w:val="sr-Latn-RS"/>
              </w:rPr>
              <w:t xml:space="preserve"> </w:t>
            </w:r>
            <w:r w:rsidRPr="00394D9A">
              <w:rPr>
                <w:szCs w:val="22"/>
                <w:lang w:val="sr-Latn-RS"/>
              </w:rPr>
              <w:t>75 godina</w:t>
            </w:r>
          </w:p>
        </w:tc>
      </w:tr>
      <w:tr w:rsidR="008216FC" w:rsidRPr="00A01BFA" w14:paraId="09E3BD63" w14:textId="77777777" w:rsidTr="00DF17BA">
        <w:tc>
          <w:tcPr>
            <w:tcW w:w="0" w:type="auto"/>
          </w:tcPr>
          <w:p w14:paraId="56FC3A55" w14:textId="5DB9F810" w:rsidR="008216FC" w:rsidRPr="00394D9A" w:rsidRDefault="008216FC" w:rsidP="00187D17">
            <w:pPr>
              <w:widowControl w:val="0"/>
              <w:jc w:val="left"/>
              <w:rPr>
                <w:szCs w:val="22"/>
                <w:lang w:val="sr-Latn-RS"/>
              </w:rPr>
            </w:pPr>
            <w:r w:rsidRPr="00394D9A">
              <w:rPr>
                <w:szCs w:val="22"/>
                <w:lang w:val="sr-Latn-RS"/>
              </w:rPr>
              <w:t>Faktori koji povećavaju nivoe dabigatrana u plazmi</w:t>
            </w:r>
          </w:p>
        </w:tc>
        <w:tc>
          <w:tcPr>
            <w:tcW w:w="0" w:type="auto"/>
          </w:tcPr>
          <w:p w14:paraId="558707BE" w14:textId="77777777" w:rsidR="00D5610B" w:rsidRPr="00394D9A" w:rsidRDefault="008216FC" w:rsidP="00187D17">
            <w:pPr>
              <w:widowControl w:val="0"/>
              <w:rPr>
                <w:szCs w:val="22"/>
                <w:u w:val="single"/>
                <w:lang w:val="sr-Latn-RS"/>
              </w:rPr>
            </w:pPr>
            <w:r w:rsidRPr="00394D9A">
              <w:rPr>
                <w:szCs w:val="22"/>
                <w:u w:val="single"/>
                <w:lang w:val="sr-Latn-RS"/>
              </w:rPr>
              <w:t>Značajni:</w:t>
            </w:r>
          </w:p>
          <w:p w14:paraId="1E1EA6B1" w14:textId="599B3562" w:rsidR="008216FC" w:rsidRPr="00394D9A" w:rsidRDefault="008216FC" w:rsidP="00187D17">
            <w:pPr>
              <w:pStyle w:val="ListParagraph"/>
              <w:widowControl w:val="0"/>
              <w:numPr>
                <w:ilvl w:val="0"/>
                <w:numId w:val="6"/>
              </w:numPr>
              <w:jc w:val="left"/>
              <w:rPr>
                <w:szCs w:val="22"/>
                <w:lang w:val="sr-Latn-RS"/>
              </w:rPr>
            </w:pPr>
            <w:r w:rsidRPr="00394D9A">
              <w:rPr>
                <w:szCs w:val="22"/>
                <w:lang w:val="sr-Latn-RS"/>
              </w:rPr>
              <w:t>Um</w:t>
            </w:r>
            <w:r w:rsidR="003E3709" w:rsidRPr="00394D9A">
              <w:rPr>
                <w:szCs w:val="22"/>
                <w:lang w:val="sr-Latn-RS"/>
              </w:rPr>
              <w:t>j</w:t>
            </w:r>
            <w:r w:rsidRPr="00394D9A">
              <w:rPr>
                <w:szCs w:val="22"/>
                <w:lang w:val="sr-Latn-RS"/>
              </w:rPr>
              <w:t>ereno oštećenje funkcije bubrega</w:t>
            </w:r>
            <w:r w:rsidR="00D25985">
              <w:rPr>
                <w:szCs w:val="22"/>
                <w:lang w:val="sr-Latn-RS"/>
              </w:rPr>
              <w:t xml:space="preserve"> </w:t>
            </w:r>
            <w:r w:rsidR="00D25985" w:rsidRPr="00D25985">
              <w:rPr>
                <w:szCs w:val="22"/>
                <w:lang w:val="sr-Latn-RS"/>
              </w:rPr>
              <w:t>kod odraslih pacijenata</w:t>
            </w:r>
            <w:r w:rsidRPr="00394D9A">
              <w:rPr>
                <w:szCs w:val="22"/>
                <w:lang w:val="sr-Latn-RS"/>
              </w:rPr>
              <w:t xml:space="preserve"> (30-50</w:t>
            </w:r>
            <w:r w:rsidR="00FB48C3" w:rsidRPr="00394D9A">
              <w:rPr>
                <w:szCs w:val="22"/>
                <w:lang w:val="sr-Latn-RS"/>
              </w:rPr>
              <w:t xml:space="preserve"> </w:t>
            </w:r>
            <w:r w:rsidRPr="00394D9A">
              <w:rPr>
                <w:szCs w:val="22"/>
                <w:lang w:val="sr-Latn-RS"/>
              </w:rPr>
              <w:t>m</w:t>
            </w:r>
            <w:r w:rsidR="00550243" w:rsidRPr="00394D9A">
              <w:rPr>
                <w:szCs w:val="22"/>
                <w:lang w:val="sr-Latn-RS"/>
              </w:rPr>
              <w:t>l</w:t>
            </w:r>
            <w:r w:rsidRPr="00394D9A">
              <w:rPr>
                <w:szCs w:val="22"/>
                <w:lang w:val="sr-Latn-RS"/>
              </w:rPr>
              <w:t>/min CrCL)</w:t>
            </w:r>
          </w:p>
          <w:p w14:paraId="18ED8E13" w14:textId="199D3700" w:rsidR="008216FC" w:rsidRPr="00394D9A" w:rsidRDefault="008216FC" w:rsidP="00187D17">
            <w:pPr>
              <w:pStyle w:val="ListParagraph"/>
              <w:widowControl w:val="0"/>
              <w:numPr>
                <w:ilvl w:val="0"/>
                <w:numId w:val="6"/>
              </w:numPr>
              <w:jc w:val="left"/>
              <w:rPr>
                <w:szCs w:val="22"/>
                <w:lang w:val="sr-Latn-RS"/>
              </w:rPr>
            </w:pPr>
            <w:r w:rsidRPr="00394D9A">
              <w:rPr>
                <w:szCs w:val="22"/>
                <w:lang w:val="sr-Latn-RS"/>
              </w:rPr>
              <w:t>Snažni P-gp inhibitori (</w:t>
            </w:r>
            <w:r w:rsidR="00550243" w:rsidRPr="00394D9A">
              <w:rPr>
                <w:szCs w:val="22"/>
                <w:lang w:val="sr-Latn-RS"/>
              </w:rPr>
              <w:t xml:space="preserve">vidjeti </w:t>
            </w:r>
            <w:r w:rsidR="00D7145C" w:rsidRPr="00394D9A">
              <w:rPr>
                <w:szCs w:val="22"/>
                <w:lang w:val="sr-Latn-RS"/>
              </w:rPr>
              <w:t>djelove</w:t>
            </w:r>
            <w:r w:rsidRPr="00394D9A">
              <w:rPr>
                <w:szCs w:val="22"/>
                <w:lang w:val="sr-Latn-RS"/>
              </w:rPr>
              <w:t xml:space="preserve"> 4.3 i 4.5)</w:t>
            </w:r>
          </w:p>
          <w:p w14:paraId="36F3AB98" w14:textId="09D79ECC" w:rsidR="008216FC" w:rsidRPr="00394D9A" w:rsidRDefault="008216FC" w:rsidP="00187D17">
            <w:pPr>
              <w:pStyle w:val="ListParagraph"/>
              <w:widowControl w:val="0"/>
              <w:numPr>
                <w:ilvl w:val="0"/>
                <w:numId w:val="6"/>
              </w:numPr>
              <w:jc w:val="left"/>
              <w:rPr>
                <w:szCs w:val="22"/>
                <w:lang w:val="sr-Latn-RS"/>
              </w:rPr>
            </w:pPr>
            <w:r w:rsidRPr="00394D9A">
              <w:rPr>
                <w:szCs w:val="22"/>
                <w:lang w:val="sr-Latn-RS"/>
              </w:rPr>
              <w:t>Isto</w:t>
            </w:r>
            <w:r w:rsidR="00382644" w:rsidRPr="00394D9A">
              <w:rPr>
                <w:szCs w:val="22"/>
                <w:lang w:val="sr-Latn-RS"/>
              </w:rPr>
              <w:t>vremena</w:t>
            </w:r>
            <w:r w:rsidRPr="00394D9A">
              <w:rPr>
                <w:szCs w:val="22"/>
                <w:lang w:val="sr-Latn-RS"/>
              </w:rPr>
              <w:t xml:space="preserve"> </w:t>
            </w:r>
            <w:r w:rsidR="00A639DA" w:rsidRPr="00394D9A">
              <w:rPr>
                <w:szCs w:val="22"/>
                <w:lang w:val="sr-Latn-RS"/>
              </w:rPr>
              <w:t xml:space="preserve">primjena </w:t>
            </w:r>
            <w:r w:rsidRPr="00394D9A">
              <w:rPr>
                <w:szCs w:val="22"/>
                <w:lang w:val="sr-Latn-RS"/>
              </w:rPr>
              <w:t xml:space="preserve"> blagih do um</w:t>
            </w:r>
            <w:r w:rsidR="003E3709" w:rsidRPr="00394D9A">
              <w:rPr>
                <w:szCs w:val="22"/>
                <w:lang w:val="sr-Latn-RS"/>
              </w:rPr>
              <w:t>j</w:t>
            </w:r>
            <w:r w:rsidRPr="00394D9A">
              <w:rPr>
                <w:szCs w:val="22"/>
                <w:lang w:val="sr-Latn-RS"/>
              </w:rPr>
              <w:t>erenih P-gp</w:t>
            </w:r>
            <w:r w:rsidR="00FB48C3" w:rsidRPr="00394D9A">
              <w:rPr>
                <w:szCs w:val="22"/>
                <w:lang w:val="sr-Latn-RS"/>
              </w:rPr>
              <w:t xml:space="preserve"> </w:t>
            </w:r>
            <w:r w:rsidRPr="00394D9A">
              <w:rPr>
                <w:szCs w:val="22"/>
                <w:lang w:val="sr-Latn-RS"/>
              </w:rPr>
              <w:t>inhibitora (npr. amjodaron, verapamil, hinidin</w:t>
            </w:r>
            <w:r w:rsidR="00FB48C3" w:rsidRPr="00394D9A">
              <w:rPr>
                <w:szCs w:val="22"/>
                <w:lang w:val="sr-Latn-RS"/>
              </w:rPr>
              <w:t xml:space="preserve"> </w:t>
            </w:r>
            <w:r w:rsidRPr="00394D9A">
              <w:rPr>
                <w:szCs w:val="22"/>
                <w:lang w:val="sr-Latn-RS"/>
              </w:rPr>
              <w:t xml:space="preserve">i tikagrelor; </w:t>
            </w:r>
            <w:r w:rsidR="00550243" w:rsidRPr="00394D9A">
              <w:rPr>
                <w:szCs w:val="22"/>
                <w:lang w:val="sr-Latn-RS"/>
              </w:rPr>
              <w:t xml:space="preserve">vidjeti </w:t>
            </w:r>
            <w:r w:rsidR="00D7145C" w:rsidRPr="00394D9A">
              <w:rPr>
                <w:szCs w:val="22"/>
                <w:lang w:val="sr-Latn-RS"/>
              </w:rPr>
              <w:t>dio</w:t>
            </w:r>
            <w:r w:rsidRPr="00394D9A">
              <w:rPr>
                <w:szCs w:val="22"/>
                <w:lang w:val="sr-Latn-RS"/>
              </w:rPr>
              <w:t xml:space="preserve"> 4.5)</w:t>
            </w:r>
          </w:p>
          <w:p w14:paraId="5A2A1910" w14:textId="77777777" w:rsidR="00DB19BD" w:rsidRPr="00394D9A" w:rsidRDefault="00DB19BD" w:rsidP="00187D17">
            <w:pPr>
              <w:pStyle w:val="ListParagraph"/>
              <w:widowControl w:val="0"/>
              <w:rPr>
                <w:szCs w:val="22"/>
                <w:lang w:val="sr-Latn-RS"/>
              </w:rPr>
            </w:pPr>
          </w:p>
          <w:p w14:paraId="3D0AC408" w14:textId="77777777" w:rsidR="008216FC" w:rsidRPr="00394D9A" w:rsidRDefault="008216FC" w:rsidP="00187D17">
            <w:pPr>
              <w:widowControl w:val="0"/>
              <w:rPr>
                <w:szCs w:val="22"/>
                <w:u w:val="single"/>
                <w:lang w:val="sr-Latn-RS"/>
              </w:rPr>
            </w:pPr>
            <w:r w:rsidRPr="00394D9A">
              <w:rPr>
                <w:szCs w:val="22"/>
                <w:u w:val="single"/>
                <w:lang w:val="sr-Latn-RS"/>
              </w:rPr>
              <w:t>Manje značajni:</w:t>
            </w:r>
          </w:p>
          <w:p w14:paraId="2556B17D" w14:textId="2CAD411D" w:rsidR="008216FC" w:rsidRPr="00394D9A" w:rsidRDefault="008216FC" w:rsidP="00187D17">
            <w:pPr>
              <w:pStyle w:val="ListParagraph"/>
              <w:widowControl w:val="0"/>
              <w:numPr>
                <w:ilvl w:val="0"/>
                <w:numId w:val="7"/>
              </w:numPr>
              <w:rPr>
                <w:szCs w:val="22"/>
                <w:lang w:val="sr-Latn-RS"/>
              </w:rPr>
            </w:pPr>
            <w:r w:rsidRPr="00394D9A">
              <w:rPr>
                <w:szCs w:val="22"/>
                <w:lang w:val="sr-Latn-RS"/>
              </w:rPr>
              <w:t xml:space="preserve">Mala </w:t>
            </w:r>
            <w:r w:rsidR="003E3709" w:rsidRPr="00394D9A">
              <w:rPr>
                <w:szCs w:val="22"/>
                <w:lang w:val="sr-Latn-RS"/>
              </w:rPr>
              <w:t>tjelesna</w:t>
            </w:r>
            <w:r w:rsidRPr="00394D9A">
              <w:rPr>
                <w:szCs w:val="22"/>
                <w:lang w:val="sr-Latn-RS"/>
              </w:rPr>
              <w:t xml:space="preserve"> masa (&lt;</w:t>
            </w:r>
            <w:r w:rsidR="00550243" w:rsidRPr="00394D9A">
              <w:rPr>
                <w:szCs w:val="22"/>
                <w:lang w:val="sr-Latn-RS"/>
              </w:rPr>
              <w:t xml:space="preserve"> </w:t>
            </w:r>
            <w:r w:rsidRPr="00394D9A">
              <w:rPr>
                <w:szCs w:val="22"/>
                <w:lang w:val="sr-Latn-RS"/>
              </w:rPr>
              <w:t>50 kg)</w:t>
            </w:r>
            <w:r w:rsidR="00550243" w:rsidRPr="00394D9A">
              <w:rPr>
                <w:szCs w:val="22"/>
                <w:lang w:val="sr-Latn-RS"/>
              </w:rPr>
              <w:t xml:space="preserve"> kod odraslih pacijenata</w:t>
            </w:r>
          </w:p>
        </w:tc>
      </w:tr>
      <w:tr w:rsidR="008216FC" w:rsidRPr="00A01BFA" w14:paraId="34788317" w14:textId="77777777" w:rsidTr="00DF17BA">
        <w:tc>
          <w:tcPr>
            <w:tcW w:w="0" w:type="auto"/>
          </w:tcPr>
          <w:p w14:paraId="00E5428E" w14:textId="30529EF4" w:rsidR="008216FC" w:rsidRPr="00394D9A" w:rsidRDefault="008216FC" w:rsidP="00187D17">
            <w:pPr>
              <w:widowControl w:val="0"/>
              <w:jc w:val="left"/>
              <w:rPr>
                <w:szCs w:val="22"/>
                <w:lang w:val="sr-Latn-RS"/>
              </w:rPr>
            </w:pPr>
            <w:r w:rsidRPr="00394D9A">
              <w:rPr>
                <w:szCs w:val="22"/>
                <w:lang w:val="sr-Latn-RS"/>
              </w:rPr>
              <w:t>Farmakodinamske interakcije (</w:t>
            </w:r>
            <w:r w:rsidR="00550243" w:rsidRPr="00394D9A">
              <w:rPr>
                <w:szCs w:val="22"/>
                <w:lang w:val="sr-Latn-RS"/>
              </w:rPr>
              <w:t xml:space="preserve">vidjeti </w:t>
            </w:r>
            <w:r w:rsidR="00D7145C" w:rsidRPr="00394D9A">
              <w:rPr>
                <w:szCs w:val="22"/>
                <w:lang w:val="sr-Latn-RS"/>
              </w:rPr>
              <w:t>dio</w:t>
            </w:r>
            <w:r w:rsidRPr="00394D9A">
              <w:rPr>
                <w:szCs w:val="22"/>
                <w:lang w:val="sr-Latn-RS"/>
              </w:rPr>
              <w:t xml:space="preserve"> 4.5)</w:t>
            </w:r>
          </w:p>
        </w:tc>
        <w:tc>
          <w:tcPr>
            <w:tcW w:w="0" w:type="auto"/>
          </w:tcPr>
          <w:p w14:paraId="367B1C9A" w14:textId="5720B56C" w:rsidR="008216FC" w:rsidRPr="00394D9A" w:rsidRDefault="008216FC" w:rsidP="00187D17">
            <w:pPr>
              <w:pStyle w:val="ListParagraph"/>
              <w:widowControl w:val="0"/>
              <w:numPr>
                <w:ilvl w:val="0"/>
                <w:numId w:val="7"/>
              </w:numPr>
              <w:jc w:val="left"/>
              <w:rPr>
                <w:szCs w:val="22"/>
                <w:lang w:val="sr-Latn-RS"/>
              </w:rPr>
            </w:pPr>
            <w:r w:rsidRPr="00394D9A">
              <w:rPr>
                <w:szCs w:val="22"/>
                <w:lang w:val="sr-Latn-RS"/>
              </w:rPr>
              <w:t>ASK i drugi inhibitori agregacije trombocita</w:t>
            </w:r>
            <w:r w:rsidR="00FB48C3" w:rsidRPr="00394D9A">
              <w:rPr>
                <w:szCs w:val="22"/>
                <w:lang w:val="sr-Latn-RS"/>
              </w:rPr>
              <w:t xml:space="preserve"> </w:t>
            </w:r>
            <w:r w:rsidRPr="00394D9A">
              <w:rPr>
                <w:szCs w:val="22"/>
                <w:lang w:val="sr-Latn-RS"/>
              </w:rPr>
              <w:t>kao što je klopidogrel</w:t>
            </w:r>
          </w:p>
          <w:p w14:paraId="2C04FED0" w14:textId="4B687F1D" w:rsidR="008216FC" w:rsidRPr="00394D9A" w:rsidRDefault="008216FC" w:rsidP="00187D17">
            <w:pPr>
              <w:pStyle w:val="ListParagraph"/>
              <w:widowControl w:val="0"/>
              <w:numPr>
                <w:ilvl w:val="0"/>
                <w:numId w:val="7"/>
              </w:numPr>
              <w:jc w:val="left"/>
              <w:rPr>
                <w:szCs w:val="22"/>
                <w:lang w:val="sr-Latn-RS"/>
              </w:rPr>
            </w:pPr>
            <w:r w:rsidRPr="00394D9A">
              <w:rPr>
                <w:szCs w:val="22"/>
                <w:lang w:val="sr-Latn-RS"/>
              </w:rPr>
              <w:t>NSAIL</w:t>
            </w:r>
          </w:p>
          <w:p w14:paraId="56B0343F" w14:textId="04523D69" w:rsidR="008216FC" w:rsidRPr="00394D9A" w:rsidRDefault="008216FC" w:rsidP="00187D17">
            <w:pPr>
              <w:pStyle w:val="ListParagraph"/>
              <w:widowControl w:val="0"/>
              <w:numPr>
                <w:ilvl w:val="0"/>
                <w:numId w:val="7"/>
              </w:numPr>
              <w:jc w:val="left"/>
              <w:rPr>
                <w:szCs w:val="22"/>
                <w:lang w:val="sr-Latn-RS"/>
              </w:rPr>
            </w:pPr>
            <w:r w:rsidRPr="00394D9A">
              <w:rPr>
                <w:szCs w:val="22"/>
                <w:lang w:val="sr-Latn-RS"/>
              </w:rPr>
              <w:t>SSRI ili SNRI</w:t>
            </w:r>
          </w:p>
          <w:p w14:paraId="7636EEEA" w14:textId="058BB8BF" w:rsidR="008216FC" w:rsidRPr="00394D9A" w:rsidRDefault="008216FC" w:rsidP="00187D17">
            <w:pPr>
              <w:pStyle w:val="ListParagraph"/>
              <w:widowControl w:val="0"/>
              <w:numPr>
                <w:ilvl w:val="0"/>
                <w:numId w:val="7"/>
              </w:numPr>
              <w:jc w:val="left"/>
              <w:rPr>
                <w:szCs w:val="22"/>
                <w:lang w:val="sr-Latn-RS"/>
              </w:rPr>
            </w:pPr>
            <w:r w:rsidRPr="00394D9A">
              <w:rPr>
                <w:szCs w:val="22"/>
                <w:lang w:val="sr-Latn-RS"/>
              </w:rPr>
              <w:t xml:space="preserve">Ostali </w:t>
            </w:r>
            <w:r w:rsidR="00A639DA" w:rsidRPr="00394D9A">
              <w:rPr>
                <w:szCs w:val="22"/>
                <w:lang w:val="sr-Latn-RS"/>
              </w:rPr>
              <w:t>ljek</w:t>
            </w:r>
            <w:r w:rsidRPr="00394D9A">
              <w:rPr>
                <w:szCs w:val="22"/>
                <w:lang w:val="sr-Latn-RS"/>
              </w:rPr>
              <w:t>ovi koji mogu negativno uticati na</w:t>
            </w:r>
            <w:r w:rsidR="002D1C34" w:rsidRPr="00394D9A">
              <w:rPr>
                <w:szCs w:val="22"/>
                <w:lang w:val="sr-Latn-RS"/>
              </w:rPr>
              <w:t xml:space="preserve"> </w:t>
            </w:r>
            <w:r w:rsidRPr="00394D9A">
              <w:rPr>
                <w:szCs w:val="22"/>
                <w:lang w:val="sr-Latn-RS"/>
              </w:rPr>
              <w:t>hemostazu</w:t>
            </w:r>
          </w:p>
        </w:tc>
      </w:tr>
      <w:tr w:rsidR="008216FC" w:rsidRPr="00A01BFA" w14:paraId="20A287AB" w14:textId="77777777" w:rsidTr="00DF17BA">
        <w:tc>
          <w:tcPr>
            <w:tcW w:w="0" w:type="auto"/>
          </w:tcPr>
          <w:p w14:paraId="0E49E6F2" w14:textId="2002D682" w:rsidR="008216FC" w:rsidRPr="00394D9A" w:rsidRDefault="008216FC" w:rsidP="00187D17">
            <w:pPr>
              <w:widowControl w:val="0"/>
              <w:jc w:val="left"/>
              <w:rPr>
                <w:szCs w:val="22"/>
                <w:lang w:val="sr-Latn-RS"/>
              </w:rPr>
            </w:pPr>
            <w:r w:rsidRPr="00394D9A">
              <w:rPr>
                <w:szCs w:val="22"/>
                <w:lang w:val="sr-Latn-RS"/>
              </w:rPr>
              <w:t>Bolesti/procedure sa posebnim rizikom od krvarenja</w:t>
            </w:r>
          </w:p>
        </w:tc>
        <w:tc>
          <w:tcPr>
            <w:tcW w:w="0" w:type="auto"/>
          </w:tcPr>
          <w:p w14:paraId="6FE8727B" w14:textId="06952C60" w:rsidR="008216FC" w:rsidRPr="00394D9A" w:rsidRDefault="008216FC" w:rsidP="00187D17">
            <w:pPr>
              <w:pStyle w:val="ListParagraph"/>
              <w:widowControl w:val="0"/>
              <w:numPr>
                <w:ilvl w:val="0"/>
                <w:numId w:val="8"/>
              </w:numPr>
              <w:jc w:val="left"/>
              <w:rPr>
                <w:szCs w:val="22"/>
                <w:lang w:val="sr-Latn-RS"/>
              </w:rPr>
            </w:pPr>
            <w:r w:rsidRPr="00394D9A">
              <w:rPr>
                <w:szCs w:val="22"/>
                <w:lang w:val="sr-Latn-RS"/>
              </w:rPr>
              <w:t>Kongenitalni ili stečeni poremećaji</w:t>
            </w:r>
            <w:r w:rsidR="00FB48C3" w:rsidRPr="00394D9A">
              <w:rPr>
                <w:szCs w:val="22"/>
                <w:lang w:val="sr-Latn-RS"/>
              </w:rPr>
              <w:t xml:space="preserve"> </w:t>
            </w:r>
            <w:r w:rsidRPr="00394D9A">
              <w:rPr>
                <w:szCs w:val="22"/>
                <w:lang w:val="sr-Latn-RS"/>
              </w:rPr>
              <w:t>koagulacije</w:t>
            </w:r>
          </w:p>
          <w:p w14:paraId="25298A5A" w14:textId="404FFE8B" w:rsidR="008216FC" w:rsidRPr="00394D9A" w:rsidRDefault="008216FC" w:rsidP="00187D17">
            <w:pPr>
              <w:pStyle w:val="ListParagraph"/>
              <w:widowControl w:val="0"/>
              <w:numPr>
                <w:ilvl w:val="0"/>
                <w:numId w:val="8"/>
              </w:numPr>
              <w:jc w:val="left"/>
              <w:rPr>
                <w:szCs w:val="22"/>
                <w:lang w:val="sr-Latn-RS"/>
              </w:rPr>
            </w:pPr>
            <w:r w:rsidRPr="00394D9A">
              <w:rPr>
                <w:szCs w:val="22"/>
                <w:lang w:val="sr-Latn-RS"/>
              </w:rPr>
              <w:t>Trombocitopenija ili funkcionalni trombocitni</w:t>
            </w:r>
            <w:r w:rsidR="00FB48C3" w:rsidRPr="00394D9A">
              <w:rPr>
                <w:szCs w:val="22"/>
                <w:lang w:val="sr-Latn-RS"/>
              </w:rPr>
              <w:t xml:space="preserve"> </w:t>
            </w:r>
            <w:r w:rsidRPr="00394D9A">
              <w:rPr>
                <w:szCs w:val="22"/>
                <w:lang w:val="sr-Latn-RS"/>
              </w:rPr>
              <w:t>deficit</w:t>
            </w:r>
          </w:p>
          <w:p w14:paraId="45AD6B92" w14:textId="2D22C480" w:rsidR="008216FC" w:rsidRPr="00394D9A" w:rsidRDefault="00D45574" w:rsidP="00187D17">
            <w:pPr>
              <w:pStyle w:val="ListParagraph"/>
              <w:widowControl w:val="0"/>
              <w:numPr>
                <w:ilvl w:val="0"/>
                <w:numId w:val="8"/>
              </w:numPr>
              <w:jc w:val="left"/>
              <w:rPr>
                <w:szCs w:val="22"/>
                <w:lang w:val="sr-Latn-RS"/>
              </w:rPr>
            </w:pPr>
            <w:r w:rsidRPr="00394D9A">
              <w:rPr>
                <w:szCs w:val="22"/>
                <w:lang w:val="sr-Latn-RS"/>
              </w:rPr>
              <w:t>Nedavna</w:t>
            </w:r>
            <w:r w:rsidR="008216FC" w:rsidRPr="00394D9A">
              <w:rPr>
                <w:szCs w:val="22"/>
                <w:lang w:val="sr-Latn-RS"/>
              </w:rPr>
              <w:t xml:space="preserve"> biopsija ili teža trauma</w:t>
            </w:r>
          </w:p>
          <w:p w14:paraId="2904A7D1" w14:textId="175594F3" w:rsidR="008216FC" w:rsidRPr="00394D9A" w:rsidRDefault="008216FC" w:rsidP="00187D17">
            <w:pPr>
              <w:pStyle w:val="ListParagraph"/>
              <w:widowControl w:val="0"/>
              <w:numPr>
                <w:ilvl w:val="0"/>
                <w:numId w:val="8"/>
              </w:numPr>
              <w:jc w:val="left"/>
              <w:rPr>
                <w:szCs w:val="22"/>
                <w:lang w:val="sr-Latn-RS"/>
              </w:rPr>
            </w:pPr>
            <w:r w:rsidRPr="00394D9A">
              <w:rPr>
                <w:szCs w:val="22"/>
                <w:lang w:val="sr-Latn-RS"/>
              </w:rPr>
              <w:t>Bakterijski endokarditis</w:t>
            </w:r>
          </w:p>
          <w:p w14:paraId="442D805F" w14:textId="190F4801" w:rsidR="008216FC" w:rsidRPr="00394D9A" w:rsidRDefault="008216FC" w:rsidP="00187D17">
            <w:pPr>
              <w:pStyle w:val="ListParagraph"/>
              <w:widowControl w:val="0"/>
              <w:numPr>
                <w:ilvl w:val="0"/>
                <w:numId w:val="8"/>
              </w:numPr>
              <w:jc w:val="left"/>
              <w:rPr>
                <w:szCs w:val="22"/>
                <w:lang w:val="sr-Latn-RS"/>
              </w:rPr>
            </w:pPr>
            <w:r w:rsidRPr="00394D9A">
              <w:rPr>
                <w:szCs w:val="22"/>
                <w:lang w:val="sr-Latn-RS"/>
              </w:rPr>
              <w:t>Ezofagitis, gastritis ili gastroezofagealni</w:t>
            </w:r>
            <w:r w:rsidR="00FB48C3" w:rsidRPr="00394D9A">
              <w:rPr>
                <w:szCs w:val="22"/>
                <w:lang w:val="sr-Latn-RS"/>
              </w:rPr>
              <w:t xml:space="preserve"> </w:t>
            </w:r>
            <w:r w:rsidRPr="00394D9A">
              <w:rPr>
                <w:szCs w:val="22"/>
                <w:lang w:val="sr-Latn-RS"/>
              </w:rPr>
              <w:t>refluks</w:t>
            </w:r>
          </w:p>
        </w:tc>
      </w:tr>
    </w:tbl>
    <w:p w14:paraId="7982D34D" w14:textId="77777777" w:rsidR="00FB48C3" w:rsidRPr="00394D9A" w:rsidRDefault="00FB48C3" w:rsidP="00187D17">
      <w:pPr>
        <w:widowControl w:val="0"/>
        <w:rPr>
          <w:szCs w:val="22"/>
          <w:lang w:val="sr-Latn-RS"/>
        </w:rPr>
      </w:pPr>
    </w:p>
    <w:p w14:paraId="5A82A2DE" w14:textId="7DC327B9" w:rsidR="002E231D" w:rsidRPr="00394D9A" w:rsidRDefault="002E231D" w:rsidP="00187D17">
      <w:pPr>
        <w:widowControl w:val="0"/>
        <w:rPr>
          <w:szCs w:val="22"/>
          <w:lang w:val="sr-Latn-RS"/>
        </w:rPr>
      </w:pPr>
      <w:r w:rsidRPr="00394D9A">
        <w:rPr>
          <w:szCs w:val="22"/>
          <w:lang w:val="sr-Latn-RS"/>
        </w:rPr>
        <w:t xml:space="preserve">Podaci za </w:t>
      </w:r>
      <w:r w:rsidR="00D25985">
        <w:rPr>
          <w:szCs w:val="22"/>
          <w:lang w:val="sr-Latn-RS"/>
        </w:rPr>
        <w:t xml:space="preserve">odrasle </w:t>
      </w:r>
      <w:r w:rsidRPr="00394D9A">
        <w:rPr>
          <w:szCs w:val="22"/>
          <w:lang w:val="sr-Latn-RS"/>
        </w:rPr>
        <w:t>pacijente t</w:t>
      </w:r>
      <w:r w:rsidR="00BD52DD" w:rsidRPr="00394D9A">
        <w:rPr>
          <w:szCs w:val="22"/>
          <w:lang w:val="sr-Latn-RS"/>
        </w:rPr>
        <w:t>j</w:t>
      </w:r>
      <w:r w:rsidRPr="00394D9A">
        <w:rPr>
          <w:szCs w:val="22"/>
          <w:lang w:val="sr-Latn-RS"/>
        </w:rPr>
        <w:t>elesne mase &lt;</w:t>
      </w:r>
      <w:r w:rsidR="00550243" w:rsidRPr="00394D9A">
        <w:rPr>
          <w:szCs w:val="22"/>
          <w:lang w:val="sr-Latn-RS"/>
        </w:rPr>
        <w:t xml:space="preserve"> </w:t>
      </w:r>
      <w:r w:rsidRPr="00394D9A">
        <w:rPr>
          <w:szCs w:val="22"/>
          <w:lang w:val="sr-Latn-RS"/>
        </w:rPr>
        <w:t>50 kg su ograničeni (</w:t>
      </w:r>
      <w:r w:rsidR="00550243" w:rsidRPr="00394D9A">
        <w:rPr>
          <w:szCs w:val="22"/>
          <w:lang w:val="sr-Latn-RS"/>
        </w:rPr>
        <w:t xml:space="preserve">vidite </w:t>
      </w:r>
      <w:r w:rsidR="00D7145C" w:rsidRPr="00394D9A">
        <w:rPr>
          <w:szCs w:val="22"/>
          <w:lang w:val="sr-Latn-RS"/>
        </w:rPr>
        <w:t>dio</w:t>
      </w:r>
      <w:r w:rsidRPr="00394D9A">
        <w:rPr>
          <w:szCs w:val="22"/>
          <w:lang w:val="sr-Latn-RS"/>
        </w:rPr>
        <w:t xml:space="preserve"> 5.2).</w:t>
      </w:r>
    </w:p>
    <w:p w14:paraId="0BC11D77" w14:textId="77777777" w:rsidR="00CD4EE8" w:rsidRPr="00394D9A" w:rsidRDefault="00CD4EE8" w:rsidP="00187D17">
      <w:pPr>
        <w:widowControl w:val="0"/>
        <w:rPr>
          <w:szCs w:val="22"/>
          <w:lang w:val="sr-Latn-RS"/>
        </w:rPr>
      </w:pPr>
    </w:p>
    <w:p w14:paraId="628D9406" w14:textId="3F5625D9" w:rsidR="00CD4EE8" w:rsidRPr="00394D9A" w:rsidRDefault="00CD4EE8" w:rsidP="00187D17">
      <w:pPr>
        <w:widowControl w:val="0"/>
        <w:jc w:val="left"/>
        <w:rPr>
          <w:szCs w:val="22"/>
          <w:lang w:val="sr-Latn-RS"/>
        </w:rPr>
      </w:pPr>
      <w:r w:rsidRPr="00394D9A">
        <w:rPr>
          <w:szCs w:val="22"/>
          <w:lang w:val="sr-Latn-RS"/>
        </w:rPr>
        <w:t>Nije ispitana istovremena prim</w:t>
      </w:r>
      <w:r w:rsidR="00157169" w:rsidRPr="00394D9A">
        <w:rPr>
          <w:szCs w:val="22"/>
          <w:lang w:val="sr-Latn-RS"/>
        </w:rPr>
        <w:t>j</w:t>
      </w:r>
      <w:r w:rsidRPr="00394D9A">
        <w:rPr>
          <w:szCs w:val="22"/>
          <w:lang w:val="sr-Latn-RS"/>
        </w:rPr>
        <w:t>ena dabigatraneteksilata i P-gp inhibitora kod pedijatrijskih pacijenata, ali može povećati rizik od krvarenja (vid</w:t>
      </w:r>
      <w:r w:rsidR="0066602D" w:rsidRPr="00394D9A">
        <w:rPr>
          <w:szCs w:val="22"/>
          <w:lang w:val="sr-Latn-RS"/>
        </w:rPr>
        <w:t>j</w:t>
      </w:r>
      <w:r w:rsidRPr="00394D9A">
        <w:rPr>
          <w:szCs w:val="22"/>
          <w:lang w:val="sr-Latn-RS"/>
        </w:rPr>
        <w:t xml:space="preserve">eti </w:t>
      </w:r>
      <w:r w:rsidR="003A2DDC" w:rsidRPr="00394D9A">
        <w:rPr>
          <w:szCs w:val="22"/>
          <w:lang w:val="sr-Latn-RS"/>
        </w:rPr>
        <w:t>dio</w:t>
      </w:r>
      <w:r w:rsidRPr="00394D9A">
        <w:rPr>
          <w:szCs w:val="22"/>
          <w:lang w:val="sr-Latn-RS"/>
        </w:rPr>
        <w:t xml:space="preserve"> 4.5).</w:t>
      </w:r>
    </w:p>
    <w:p w14:paraId="062CEB03" w14:textId="77777777" w:rsidR="00FB48C3" w:rsidRPr="00394D9A" w:rsidRDefault="00FB48C3" w:rsidP="00187D17">
      <w:pPr>
        <w:widowControl w:val="0"/>
        <w:rPr>
          <w:szCs w:val="22"/>
          <w:lang w:val="sr-Latn-RS"/>
        </w:rPr>
      </w:pPr>
    </w:p>
    <w:p w14:paraId="60AF011A" w14:textId="0B9EDAB1" w:rsidR="002E231D" w:rsidRPr="00394D9A" w:rsidRDefault="002E231D" w:rsidP="00187D17">
      <w:pPr>
        <w:widowControl w:val="0"/>
        <w:rPr>
          <w:i/>
          <w:iCs/>
          <w:szCs w:val="22"/>
          <w:u w:val="single"/>
          <w:lang w:val="sr-Latn-RS"/>
        </w:rPr>
      </w:pPr>
      <w:r w:rsidRPr="00394D9A">
        <w:rPr>
          <w:i/>
          <w:iCs/>
          <w:szCs w:val="22"/>
          <w:u w:val="single"/>
          <w:lang w:val="sr-Latn-RS"/>
        </w:rPr>
        <w:t>M</w:t>
      </w:r>
      <w:r w:rsidR="00BD52DD" w:rsidRPr="00394D9A">
        <w:rPr>
          <w:i/>
          <w:iCs/>
          <w:szCs w:val="22"/>
          <w:u w:val="single"/>
          <w:lang w:val="sr-Latn-RS"/>
        </w:rPr>
        <w:t>j</w:t>
      </w:r>
      <w:r w:rsidRPr="00394D9A">
        <w:rPr>
          <w:i/>
          <w:iCs/>
          <w:szCs w:val="22"/>
          <w:u w:val="single"/>
          <w:lang w:val="sr-Latn-RS"/>
        </w:rPr>
        <w:t>ere opreza i zbrinjavanje rizika od krvarenja</w:t>
      </w:r>
    </w:p>
    <w:p w14:paraId="3B6A90AD" w14:textId="77777777" w:rsidR="00FB48C3" w:rsidRPr="00394D9A" w:rsidRDefault="00FB48C3" w:rsidP="00187D17">
      <w:pPr>
        <w:widowControl w:val="0"/>
        <w:rPr>
          <w:szCs w:val="22"/>
          <w:lang w:val="sr-Latn-RS"/>
        </w:rPr>
      </w:pPr>
    </w:p>
    <w:p w14:paraId="34CA3636" w14:textId="72CE81AD" w:rsidR="002E231D" w:rsidRPr="00394D9A" w:rsidRDefault="002E231D" w:rsidP="00187D17">
      <w:pPr>
        <w:widowControl w:val="0"/>
        <w:rPr>
          <w:szCs w:val="22"/>
          <w:lang w:val="sr-Latn-RS"/>
        </w:rPr>
      </w:pPr>
      <w:r w:rsidRPr="00394D9A">
        <w:rPr>
          <w:szCs w:val="22"/>
          <w:lang w:val="sr-Latn-RS"/>
        </w:rPr>
        <w:t xml:space="preserve">Za zbrinjavanje komplikacija krvarenja, </w:t>
      </w:r>
      <w:r w:rsidR="00550243" w:rsidRPr="00394D9A">
        <w:rPr>
          <w:szCs w:val="22"/>
          <w:lang w:val="sr-Latn-RS"/>
        </w:rPr>
        <w:t xml:space="preserve">vidjeti </w:t>
      </w:r>
      <w:r w:rsidRPr="00394D9A">
        <w:rPr>
          <w:szCs w:val="22"/>
          <w:lang w:val="sr-Latn-RS"/>
        </w:rPr>
        <w:t xml:space="preserve">takođe </w:t>
      </w:r>
      <w:r w:rsidR="00D7145C" w:rsidRPr="00394D9A">
        <w:rPr>
          <w:szCs w:val="22"/>
          <w:lang w:val="sr-Latn-RS"/>
        </w:rPr>
        <w:t>dio</w:t>
      </w:r>
      <w:r w:rsidRPr="00394D9A">
        <w:rPr>
          <w:szCs w:val="22"/>
          <w:lang w:val="sr-Latn-RS"/>
        </w:rPr>
        <w:t xml:space="preserve"> 4.9.</w:t>
      </w:r>
    </w:p>
    <w:p w14:paraId="7FE1CC13" w14:textId="77777777" w:rsidR="00FB48C3" w:rsidRPr="00394D9A" w:rsidRDefault="00FB48C3" w:rsidP="00187D17">
      <w:pPr>
        <w:widowControl w:val="0"/>
        <w:rPr>
          <w:szCs w:val="22"/>
          <w:lang w:val="sr-Latn-RS"/>
        </w:rPr>
      </w:pPr>
    </w:p>
    <w:p w14:paraId="4C8E8172" w14:textId="68386196" w:rsidR="002E231D" w:rsidRPr="00394D9A" w:rsidRDefault="002E231D" w:rsidP="00187D17">
      <w:pPr>
        <w:widowControl w:val="0"/>
        <w:rPr>
          <w:i/>
          <w:iCs/>
          <w:szCs w:val="22"/>
          <w:lang w:val="sr-Latn-RS"/>
        </w:rPr>
      </w:pPr>
      <w:r w:rsidRPr="00394D9A">
        <w:rPr>
          <w:i/>
          <w:iCs/>
          <w:szCs w:val="22"/>
          <w:lang w:val="sr-Latn-RS"/>
        </w:rPr>
        <w:t>Proc</w:t>
      </w:r>
      <w:r w:rsidR="00BD52DD" w:rsidRPr="00394D9A">
        <w:rPr>
          <w:i/>
          <w:iCs/>
          <w:szCs w:val="22"/>
          <w:lang w:val="sr-Latn-RS"/>
        </w:rPr>
        <w:t>j</w:t>
      </w:r>
      <w:r w:rsidRPr="00394D9A">
        <w:rPr>
          <w:i/>
          <w:iCs/>
          <w:szCs w:val="22"/>
          <w:lang w:val="sr-Latn-RS"/>
        </w:rPr>
        <w:t xml:space="preserve">ena odnosa koristi </w:t>
      </w:r>
      <w:r w:rsidR="00B81FA7" w:rsidRPr="00394D9A">
        <w:rPr>
          <w:i/>
          <w:iCs/>
          <w:szCs w:val="22"/>
          <w:lang w:val="sr-Latn-RS"/>
        </w:rPr>
        <w:t>i</w:t>
      </w:r>
      <w:r w:rsidRPr="00394D9A">
        <w:rPr>
          <w:i/>
          <w:iCs/>
          <w:szCs w:val="22"/>
          <w:lang w:val="sr-Latn-RS"/>
        </w:rPr>
        <w:t xml:space="preserve"> rizika</w:t>
      </w:r>
    </w:p>
    <w:p w14:paraId="1864105A" w14:textId="77777777" w:rsidR="00FB48C3" w:rsidRPr="00394D9A" w:rsidRDefault="00FB48C3" w:rsidP="00187D17">
      <w:pPr>
        <w:widowControl w:val="0"/>
        <w:rPr>
          <w:szCs w:val="22"/>
          <w:lang w:val="sr-Latn-RS"/>
        </w:rPr>
      </w:pPr>
    </w:p>
    <w:p w14:paraId="61FB88E0" w14:textId="7BEB7B84" w:rsidR="002E231D" w:rsidRPr="00394D9A" w:rsidRDefault="002E231D" w:rsidP="00187D17">
      <w:pPr>
        <w:widowControl w:val="0"/>
        <w:rPr>
          <w:szCs w:val="22"/>
          <w:lang w:val="sr-Latn-RS"/>
        </w:rPr>
      </w:pPr>
      <w:r w:rsidRPr="00394D9A">
        <w:rPr>
          <w:szCs w:val="22"/>
          <w:lang w:val="sr-Latn-RS"/>
        </w:rPr>
        <w:t>Prisustvo lezija, stanja, procedura i/ili farmakoloških terapija (kao što su NSAIL, inhibitori agregacije</w:t>
      </w:r>
      <w:r w:rsidR="00FB48C3" w:rsidRPr="00394D9A">
        <w:rPr>
          <w:szCs w:val="22"/>
          <w:lang w:val="sr-Latn-RS"/>
        </w:rPr>
        <w:t xml:space="preserve"> </w:t>
      </w:r>
      <w:r w:rsidRPr="00394D9A">
        <w:rPr>
          <w:szCs w:val="22"/>
          <w:lang w:val="sr-Latn-RS"/>
        </w:rPr>
        <w:t>trombocita, SSRI i SNRI, (</w:t>
      </w:r>
      <w:r w:rsidR="00550243" w:rsidRPr="00394D9A">
        <w:rPr>
          <w:szCs w:val="22"/>
          <w:lang w:val="sr-Latn-RS"/>
        </w:rPr>
        <w:t xml:space="preserve">vidjeti </w:t>
      </w:r>
      <w:r w:rsidR="00D7145C" w:rsidRPr="00394D9A">
        <w:rPr>
          <w:szCs w:val="22"/>
          <w:lang w:val="sr-Latn-RS"/>
        </w:rPr>
        <w:t>dio</w:t>
      </w:r>
      <w:r w:rsidRPr="00394D9A">
        <w:rPr>
          <w:szCs w:val="22"/>
          <w:lang w:val="sr-Latn-RS"/>
        </w:rPr>
        <w:t xml:space="preserve"> 4.5), koji značajno povećavaju rizik od većeg krvarenja iziskuju pažljivu proc</w:t>
      </w:r>
      <w:r w:rsidR="00BD52DD" w:rsidRPr="00394D9A">
        <w:rPr>
          <w:szCs w:val="22"/>
          <w:lang w:val="sr-Latn-RS"/>
        </w:rPr>
        <w:t>j</w:t>
      </w:r>
      <w:r w:rsidRPr="00394D9A">
        <w:rPr>
          <w:szCs w:val="22"/>
          <w:lang w:val="sr-Latn-RS"/>
        </w:rPr>
        <w:t xml:space="preserve">enu odnosa koristi i rizika. </w:t>
      </w:r>
      <w:r w:rsidR="00A639DA" w:rsidRPr="00394D9A">
        <w:rPr>
          <w:szCs w:val="22"/>
          <w:lang w:val="sr-Latn-RS"/>
        </w:rPr>
        <w:t>Lijek</w:t>
      </w:r>
      <w:r w:rsidRPr="00394D9A">
        <w:rPr>
          <w:szCs w:val="22"/>
          <w:lang w:val="sr-Latn-RS"/>
        </w:rPr>
        <w:t xml:space="preserve"> </w:t>
      </w:r>
      <w:r w:rsidR="00FB48C3" w:rsidRPr="00394D9A">
        <w:rPr>
          <w:szCs w:val="22"/>
          <w:lang w:val="sr-Latn-RS"/>
        </w:rPr>
        <w:t>Dabigatran SK</w:t>
      </w:r>
      <w:r w:rsidRPr="00394D9A">
        <w:rPr>
          <w:szCs w:val="22"/>
          <w:lang w:val="sr-Latn-RS"/>
        </w:rPr>
        <w:t xml:space="preserve"> treba prim</w:t>
      </w:r>
      <w:r w:rsidR="0066602D" w:rsidRPr="00394D9A">
        <w:rPr>
          <w:szCs w:val="22"/>
          <w:lang w:val="sr-Latn-RS"/>
        </w:rPr>
        <w:t>i</w:t>
      </w:r>
      <w:r w:rsidR="00BD52DD" w:rsidRPr="00394D9A">
        <w:rPr>
          <w:szCs w:val="22"/>
          <w:lang w:val="sr-Latn-RS"/>
        </w:rPr>
        <w:t>j</w:t>
      </w:r>
      <w:r w:rsidRPr="00394D9A">
        <w:rPr>
          <w:szCs w:val="22"/>
          <w:lang w:val="sr-Latn-RS"/>
        </w:rPr>
        <w:t>eniti samo ako je korist veća od</w:t>
      </w:r>
      <w:r w:rsidR="00FB48C3" w:rsidRPr="00394D9A">
        <w:rPr>
          <w:szCs w:val="22"/>
          <w:lang w:val="sr-Latn-RS"/>
        </w:rPr>
        <w:t xml:space="preserve"> </w:t>
      </w:r>
      <w:r w:rsidRPr="00394D9A">
        <w:rPr>
          <w:szCs w:val="22"/>
          <w:lang w:val="sr-Latn-RS"/>
        </w:rPr>
        <w:t>proc</w:t>
      </w:r>
      <w:r w:rsidR="0066602D" w:rsidRPr="00394D9A">
        <w:rPr>
          <w:szCs w:val="22"/>
          <w:lang w:val="sr-Latn-RS"/>
        </w:rPr>
        <w:t>i</w:t>
      </w:r>
      <w:r w:rsidR="00BD52DD" w:rsidRPr="00394D9A">
        <w:rPr>
          <w:szCs w:val="22"/>
          <w:lang w:val="sr-Latn-RS"/>
        </w:rPr>
        <w:t>j</w:t>
      </w:r>
      <w:r w:rsidRPr="00394D9A">
        <w:rPr>
          <w:szCs w:val="22"/>
          <w:lang w:val="sr-Latn-RS"/>
        </w:rPr>
        <w:t>enjenog rizika od krvarenja.</w:t>
      </w:r>
    </w:p>
    <w:p w14:paraId="33BC05EA" w14:textId="77777777" w:rsidR="00573BE4" w:rsidRPr="00394D9A" w:rsidRDefault="00573BE4" w:rsidP="00187D17">
      <w:pPr>
        <w:widowControl w:val="0"/>
        <w:rPr>
          <w:szCs w:val="22"/>
          <w:lang w:val="sr-Latn-RS"/>
        </w:rPr>
      </w:pPr>
    </w:p>
    <w:p w14:paraId="3CBF0665" w14:textId="66F6CFBE" w:rsidR="00BF2283" w:rsidRPr="00394D9A" w:rsidRDefault="00BF2283" w:rsidP="00187D17">
      <w:pPr>
        <w:widowControl w:val="0"/>
        <w:rPr>
          <w:szCs w:val="22"/>
          <w:lang w:val="sr-Latn-RS"/>
        </w:rPr>
      </w:pPr>
      <w:r w:rsidRPr="00394D9A">
        <w:rPr>
          <w:szCs w:val="22"/>
          <w:lang w:val="sr-Latn-RS"/>
        </w:rPr>
        <w:t>Za pedijatrijske pacijente sa faktorima rizika, uključujući pacijente sa aktivnim meningitisom, encefalitisom i intrakranijalnim apscesom, dostupni su ograničeni klinički podaci (vid</w:t>
      </w:r>
      <w:r w:rsidR="0066602D" w:rsidRPr="00394D9A">
        <w:rPr>
          <w:szCs w:val="22"/>
          <w:lang w:val="sr-Latn-RS"/>
        </w:rPr>
        <w:t>j</w:t>
      </w:r>
      <w:r w:rsidRPr="00394D9A">
        <w:rPr>
          <w:szCs w:val="22"/>
          <w:lang w:val="sr-Latn-RS"/>
        </w:rPr>
        <w:t xml:space="preserve">eti </w:t>
      </w:r>
      <w:r w:rsidR="003A2DDC" w:rsidRPr="00394D9A">
        <w:rPr>
          <w:szCs w:val="22"/>
          <w:lang w:val="sr-Latn-RS"/>
        </w:rPr>
        <w:t>dio</w:t>
      </w:r>
      <w:r w:rsidRPr="00394D9A">
        <w:rPr>
          <w:szCs w:val="22"/>
          <w:lang w:val="sr-Latn-RS"/>
        </w:rPr>
        <w:t xml:space="preserve"> 5.1). Kod ovih pacijenata dabigatraneteksilat je potrebno dati samo ako je očekivana korist veća od rizika od krvarenja.</w:t>
      </w:r>
    </w:p>
    <w:p w14:paraId="61866952" w14:textId="77777777" w:rsidR="00FB48C3" w:rsidRPr="00394D9A" w:rsidRDefault="00FB48C3" w:rsidP="00187D17">
      <w:pPr>
        <w:widowControl w:val="0"/>
        <w:rPr>
          <w:szCs w:val="22"/>
          <w:lang w:val="sr-Latn-RS"/>
        </w:rPr>
      </w:pPr>
    </w:p>
    <w:p w14:paraId="09BED5B1" w14:textId="77777777" w:rsidR="002E231D" w:rsidRPr="00394D9A" w:rsidRDefault="002E231D" w:rsidP="00187D17">
      <w:pPr>
        <w:widowControl w:val="0"/>
        <w:rPr>
          <w:i/>
          <w:iCs/>
          <w:szCs w:val="22"/>
          <w:lang w:val="sr-Latn-RS"/>
        </w:rPr>
      </w:pPr>
      <w:r w:rsidRPr="00394D9A">
        <w:rPr>
          <w:i/>
          <w:iCs/>
          <w:szCs w:val="22"/>
          <w:lang w:val="sr-Latn-RS"/>
        </w:rPr>
        <w:t>Pažljivo kliničko praćenje</w:t>
      </w:r>
    </w:p>
    <w:p w14:paraId="7BC6634B" w14:textId="77777777" w:rsidR="00FB48C3" w:rsidRPr="00394D9A" w:rsidRDefault="00FB48C3" w:rsidP="00187D17">
      <w:pPr>
        <w:widowControl w:val="0"/>
        <w:rPr>
          <w:szCs w:val="22"/>
          <w:lang w:val="sr-Latn-RS"/>
        </w:rPr>
      </w:pPr>
    </w:p>
    <w:p w14:paraId="3E3F569E" w14:textId="76A89AA4" w:rsidR="002E231D" w:rsidRPr="00394D9A" w:rsidRDefault="002E231D" w:rsidP="00187D17">
      <w:pPr>
        <w:widowControl w:val="0"/>
        <w:rPr>
          <w:szCs w:val="22"/>
          <w:lang w:val="sr-Latn-RS"/>
        </w:rPr>
      </w:pPr>
      <w:r w:rsidRPr="00394D9A">
        <w:rPr>
          <w:szCs w:val="22"/>
          <w:lang w:val="sr-Latn-RS"/>
        </w:rPr>
        <w:t>Preporučuje se pažljivo praćenje zbog znakova krvarenja ili anemije tokom trajanja terapije, posebno u</w:t>
      </w:r>
      <w:r w:rsidR="00FB48C3" w:rsidRPr="00394D9A">
        <w:rPr>
          <w:szCs w:val="22"/>
          <w:lang w:val="sr-Latn-RS"/>
        </w:rPr>
        <w:t xml:space="preserve"> </w:t>
      </w:r>
      <w:r w:rsidRPr="00394D9A">
        <w:rPr>
          <w:szCs w:val="22"/>
          <w:lang w:val="sr-Latn-RS"/>
        </w:rPr>
        <w:t>slučaju kombinacije faktora rizika (</w:t>
      </w:r>
      <w:r w:rsidR="00550243" w:rsidRPr="00394D9A">
        <w:rPr>
          <w:szCs w:val="22"/>
          <w:lang w:val="sr-Latn-RS"/>
        </w:rPr>
        <w:t xml:space="preserve">vidjeti </w:t>
      </w:r>
      <w:r w:rsidRPr="00394D9A">
        <w:rPr>
          <w:szCs w:val="22"/>
          <w:lang w:val="sr-Latn-RS"/>
        </w:rPr>
        <w:t xml:space="preserve">tabelu </w:t>
      </w:r>
      <w:r w:rsidR="00B81FA7" w:rsidRPr="00394D9A">
        <w:rPr>
          <w:szCs w:val="22"/>
          <w:lang w:val="sr-Latn-RS"/>
        </w:rPr>
        <w:t>3</w:t>
      </w:r>
      <w:r w:rsidRPr="00394D9A">
        <w:rPr>
          <w:szCs w:val="22"/>
          <w:lang w:val="sr-Latn-RS"/>
        </w:rPr>
        <w:t xml:space="preserve"> gore). Poseban oprez je potreban kada se </w:t>
      </w:r>
      <w:r w:rsidR="00A639DA" w:rsidRPr="00394D9A">
        <w:rPr>
          <w:szCs w:val="22"/>
          <w:lang w:val="sr-Latn-RS"/>
        </w:rPr>
        <w:t>lijek</w:t>
      </w:r>
      <w:r w:rsidRPr="00394D9A">
        <w:rPr>
          <w:szCs w:val="22"/>
          <w:lang w:val="sr-Latn-RS"/>
        </w:rPr>
        <w:t xml:space="preserve"> </w:t>
      </w:r>
      <w:r w:rsidR="00FB48C3" w:rsidRPr="00394D9A">
        <w:rPr>
          <w:szCs w:val="22"/>
          <w:lang w:val="sr-Latn-RS"/>
        </w:rPr>
        <w:t xml:space="preserve">Dabigatran SK </w:t>
      </w:r>
      <w:r w:rsidRPr="00394D9A">
        <w:rPr>
          <w:szCs w:val="22"/>
          <w:lang w:val="sr-Latn-RS"/>
        </w:rPr>
        <w:t>prim</w:t>
      </w:r>
      <w:r w:rsidR="00BD52DD" w:rsidRPr="00394D9A">
        <w:rPr>
          <w:szCs w:val="22"/>
          <w:lang w:val="sr-Latn-RS"/>
        </w:rPr>
        <w:t>j</w:t>
      </w:r>
      <w:r w:rsidRPr="00394D9A">
        <w:rPr>
          <w:szCs w:val="22"/>
          <w:lang w:val="sr-Latn-RS"/>
        </w:rPr>
        <w:t xml:space="preserve">enjuje </w:t>
      </w:r>
      <w:r w:rsidR="00303D2F" w:rsidRPr="00394D9A">
        <w:rPr>
          <w:szCs w:val="22"/>
          <w:lang w:val="sr-Latn-RS"/>
        </w:rPr>
        <w:t>istovremeno</w:t>
      </w:r>
      <w:r w:rsidRPr="00394D9A">
        <w:rPr>
          <w:szCs w:val="22"/>
          <w:lang w:val="sr-Latn-RS"/>
        </w:rPr>
        <w:t xml:space="preserve"> s</w:t>
      </w:r>
      <w:r w:rsidR="003D2DBC" w:rsidRPr="00394D9A">
        <w:rPr>
          <w:szCs w:val="22"/>
          <w:lang w:val="sr-Latn-RS"/>
        </w:rPr>
        <w:t>a</w:t>
      </w:r>
      <w:r w:rsidRPr="00394D9A">
        <w:rPr>
          <w:szCs w:val="22"/>
          <w:lang w:val="sr-Latn-RS"/>
        </w:rPr>
        <w:t xml:space="preserve"> verapamilom, amjodaronom, hinidinom ili klaritromicinom (P-gp inhibitori),</w:t>
      </w:r>
      <w:r w:rsidR="00FB48C3" w:rsidRPr="00394D9A">
        <w:rPr>
          <w:szCs w:val="22"/>
          <w:lang w:val="sr-Latn-RS"/>
        </w:rPr>
        <w:t xml:space="preserve"> </w:t>
      </w:r>
      <w:r w:rsidRPr="00394D9A">
        <w:rPr>
          <w:szCs w:val="22"/>
          <w:lang w:val="sr-Latn-RS"/>
        </w:rPr>
        <w:t xml:space="preserve">posebno u slučaju krvarenja, naročito kod pacijenta koji imaju </w:t>
      </w:r>
      <w:r w:rsidR="00C6661A" w:rsidRPr="00C6661A">
        <w:rPr>
          <w:szCs w:val="22"/>
          <w:lang w:val="sr-Latn-RS"/>
        </w:rPr>
        <w:t>smanjenu</w:t>
      </w:r>
      <w:r w:rsidR="00C6661A">
        <w:rPr>
          <w:szCs w:val="22"/>
          <w:lang w:val="sr-Latn-RS"/>
        </w:rPr>
        <w:t xml:space="preserve"> </w:t>
      </w:r>
      <w:r w:rsidRPr="00394D9A">
        <w:rPr>
          <w:szCs w:val="22"/>
          <w:lang w:val="sr-Latn-RS"/>
        </w:rPr>
        <w:t>funkcij</w:t>
      </w:r>
      <w:r w:rsidR="00C6661A">
        <w:rPr>
          <w:szCs w:val="22"/>
          <w:lang w:val="sr-Latn-RS"/>
        </w:rPr>
        <w:t>u</w:t>
      </w:r>
      <w:r w:rsidR="00FB48C3" w:rsidRPr="00394D9A">
        <w:rPr>
          <w:szCs w:val="22"/>
          <w:lang w:val="sr-Latn-RS"/>
        </w:rPr>
        <w:t xml:space="preserve"> </w:t>
      </w:r>
      <w:r w:rsidRPr="00394D9A">
        <w:rPr>
          <w:szCs w:val="22"/>
          <w:lang w:val="sr-Latn-RS"/>
        </w:rPr>
        <w:t>bubrega (</w:t>
      </w:r>
      <w:r w:rsidR="00244997" w:rsidRPr="00394D9A">
        <w:rPr>
          <w:szCs w:val="22"/>
          <w:lang w:val="sr-Latn-RS"/>
        </w:rPr>
        <w:t xml:space="preserve">vidjeti </w:t>
      </w:r>
      <w:r w:rsidR="00D7145C" w:rsidRPr="00394D9A">
        <w:rPr>
          <w:szCs w:val="22"/>
          <w:lang w:val="sr-Latn-RS"/>
        </w:rPr>
        <w:t>dio</w:t>
      </w:r>
      <w:r w:rsidRPr="00394D9A">
        <w:rPr>
          <w:szCs w:val="22"/>
          <w:lang w:val="sr-Latn-RS"/>
        </w:rPr>
        <w:t xml:space="preserve"> 4.5).</w:t>
      </w:r>
    </w:p>
    <w:p w14:paraId="2E8C731F" w14:textId="65D14AC3" w:rsidR="002E231D" w:rsidRPr="00394D9A" w:rsidRDefault="002E231D" w:rsidP="00187D17">
      <w:pPr>
        <w:widowControl w:val="0"/>
        <w:rPr>
          <w:szCs w:val="22"/>
          <w:lang w:val="sr-Latn-RS"/>
        </w:rPr>
      </w:pPr>
      <w:r w:rsidRPr="00394D9A">
        <w:rPr>
          <w:szCs w:val="22"/>
          <w:lang w:val="sr-Latn-RS"/>
        </w:rPr>
        <w:t xml:space="preserve">Preporučuje se pažljivo praćenje znakova krvarenja kod pacijenata koji </w:t>
      </w:r>
      <w:r w:rsidR="00303D2F" w:rsidRPr="00394D9A">
        <w:rPr>
          <w:szCs w:val="22"/>
          <w:lang w:val="sr-Latn-RS"/>
        </w:rPr>
        <w:t>istovremeno</w:t>
      </w:r>
      <w:r w:rsidRPr="00394D9A">
        <w:rPr>
          <w:szCs w:val="22"/>
          <w:lang w:val="sr-Latn-RS"/>
        </w:rPr>
        <w:t xml:space="preserve"> primaju NSAIL</w:t>
      </w:r>
      <w:r w:rsidR="00FB48C3" w:rsidRPr="00394D9A">
        <w:rPr>
          <w:szCs w:val="22"/>
          <w:lang w:val="sr-Latn-RS"/>
        </w:rPr>
        <w:t xml:space="preserve"> </w:t>
      </w:r>
      <w:r w:rsidRPr="00394D9A">
        <w:rPr>
          <w:szCs w:val="22"/>
          <w:lang w:val="sr-Latn-RS"/>
        </w:rPr>
        <w:lastRenderedPageBreak/>
        <w:t>(</w:t>
      </w:r>
      <w:r w:rsidR="00244997" w:rsidRPr="00394D9A">
        <w:rPr>
          <w:szCs w:val="22"/>
          <w:lang w:val="sr-Latn-RS"/>
        </w:rPr>
        <w:t xml:space="preserve">vidjeti </w:t>
      </w:r>
      <w:r w:rsidR="00D7145C" w:rsidRPr="00394D9A">
        <w:rPr>
          <w:szCs w:val="22"/>
          <w:lang w:val="sr-Latn-RS"/>
        </w:rPr>
        <w:t>dio</w:t>
      </w:r>
      <w:r w:rsidRPr="00394D9A">
        <w:rPr>
          <w:szCs w:val="22"/>
          <w:lang w:val="sr-Latn-RS"/>
        </w:rPr>
        <w:t xml:space="preserve"> 4.5).</w:t>
      </w:r>
    </w:p>
    <w:p w14:paraId="0C932B99" w14:textId="04D39228" w:rsidR="00FB48C3" w:rsidRPr="00394D9A" w:rsidRDefault="003007F6" w:rsidP="00187D17">
      <w:pPr>
        <w:widowControl w:val="0"/>
        <w:tabs>
          <w:tab w:val="clear" w:pos="284"/>
          <w:tab w:val="left" w:pos="6768"/>
        </w:tabs>
        <w:rPr>
          <w:szCs w:val="22"/>
          <w:lang w:val="sr-Latn-RS"/>
        </w:rPr>
      </w:pPr>
      <w:r w:rsidRPr="00394D9A">
        <w:rPr>
          <w:szCs w:val="22"/>
          <w:lang w:val="sr-Latn-RS"/>
        </w:rPr>
        <w:tab/>
      </w:r>
    </w:p>
    <w:p w14:paraId="5D292727" w14:textId="4E346C12" w:rsidR="002E231D" w:rsidRPr="00394D9A" w:rsidRDefault="002E231D" w:rsidP="00187D17">
      <w:pPr>
        <w:widowControl w:val="0"/>
        <w:rPr>
          <w:i/>
          <w:iCs/>
          <w:szCs w:val="22"/>
          <w:lang w:val="sr-Latn-RS"/>
        </w:rPr>
      </w:pPr>
      <w:r w:rsidRPr="00394D9A">
        <w:rPr>
          <w:i/>
          <w:iCs/>
          <w:szCs w:val="22"/>
          <w:lang w:val="sr-Latn-RS"/>
        </w:rPr>
        <w:t xml:space="preserve">Prekid terapije </w:t>
      </w:r>
      <w:r w:rsidR="00A639DA" w:rsidRPr="00394D9A">
        <w:rPr>
          <w:i/>
          <w:iCs/>
          <w:szCs w:val="22"/>
          <w:lang w:val="sr-Latn-RS"/>
        </w:rPr>
        <w:t>lijekom</w:t>
      </w:r>
      <w:r w:rsidRPr="00394D9A">
        <w:rPr>
          <w:i/>
          <w:iCs/>
          <w:szCs w:val="22"/>
          <w:lang w:val="sr-Latn-RS"/>
        </w:rPr>
        <w:t xml:space="preserve"> </w:t>
      </w:r>
      <w:r w:rsidR="00FB48C3" w:rsidRPr="00394D9A">
        <w:rPr>
          <w:i/>
          <w:iCs/>
          <w:szCs w:val="22"/>
          <w:lang w:val="sr-Latn-RS"/>
        </w:rPr>
        <w:t>Dabigatran SK</w:t>
      </w:r>
    </w:p>
    <w:p w14:paraId="1064906A" w14:textId="77777777" w:rsidR="00FB48C3" w:rsidRPr="00394D9A" w:rsidRDefault="00FB48C3" w:rsidP="00187D17">
      <w:pPr>
        <w:widowControl w:val="0"/>
        <w:rPr>
          <w:szCs w:val="22"/>
          <w:lang w:val="sr-Latn-RS"/>
        </w:rPr>
      </w:pPr>
    </w:p>
    <w:p w14:paraId="5BCAF471" w14:textId="64FC12C4" w:rsidR="002E231D" w:rsidRPr="00394D9A" w:rsidRDefault="002E231D" w:rsidP="00187D17">
      <w:pPr>
        <w:widowControl w:val="0"/>
        <w:rPr>
          <w:szCs w:val="22"/>
          <w:lang w:val="sr-Latn-RS"/>
        </w:rPr>
      </w:pPr>
      <w:r w:rsidRPr="00394D9A">
        <w:rPr>
          <w:szCs w:val="22"/>
          <w:lang w:val="sr-Latn-RS"/>
        </w:rPr>
        <w:t>Pacijenti kod kojih dođe do razvoja akutne bubrežne insuficijencije moraju da prekinu l</w:t>
      </w:r>
      <w:r w:rsidR="00BD52DD" w:rsidRPr="00394D9A">
        <w:rPr>
          <w:szCs w:val="22"/>
          <w:lang w:val="sr-Latn-RS"/>
        </w:rPr>
        <w:t>ij</w:t>
      </w:r>
      <w:r w:rsidRPr="00394D9A">
        <w:rPr>
          <w:szCs w:val="22"/>
          <w:lang w:val="sr-Latn-RS"/>
        </w:rPr>
        <w:t xml:space="preserve">ečenje </w:t>
      </w:r>
      <w:r w:rsidR="00A639DA" w:rsidRPr="00394D9A">
        <w:rPr>
          <w:szCs w:val="22"/>
          <w:lang w:val="sr-Latn-RS"/>
        </w:rPr>
        <w:t>lijekom</w:t>
      </w:r>
      <w:r w:rsidR="00FB48C3" w:rsidRPr="00394D9A">
        <w:rPr>
          <w:szCs w:val="22"/>
          <w:lang w:val="sr-Latn-RS"/>
        </w:rPr>
        <w:t xml:space="preserve"> Dabigatran SK</w:t>
      </w:r>
      <w:r w:rsidRPr="00394D9A">
        <w:rPr>
          <w:szCs w:val="22"/>
          <w:lang w:val="sr-Latn-RS"/>
        </w:rPr>
        <w:t xml:space="preserve"> (</w:t>
      </w:r>
      <w:r w:rsidR="00244997" w:rsidRPr="00394D9A">
        <w:rPr>
          <w:szCs w:val="22"/>
          <w:lang w:val="sr-Latn-RS"/>
        </w:rPr>
        <w:t xml:space="preserve">vidjeti </w:t>
      </w:r>
      <w:r w:rsidRPr="00394D9A">
        <w:rPr>
          <w:szCs w:val="22"/>
          <w:lang w:val="sr-Latn-RS"/>
        </w:rPr>
        <w:t xml:space="preserve">takođe </w:t>
      </w:r>
      <w:r w:rsidR="00D7145C" w:rsidRPr="00394D9A">
        <w:rPr>
          <w:szCs w:val="22"/>
          <w:lang w:val="sr-Latn-RS"/>
        </w:rPr>
        <w:t>dio</w:t>
      </w:r>
      <w:r w:rsidRPr="00394D9A">
        <w:rPr>
          <w:szCs w:val="22"/>
          <w:lang w:val="sr-Latn-RS"/>
        </w:rPr>
        <w:t xml:space="preserve"> 4.3).</w:t>
      </w:r>
    </w:p>
    <w:p w14:paraId="1C48DC62" w14:textId="77777777" w:rsidR="00F85670" w:rsidRPr="00394D9A" w:rsidRDefault="00F85670" w:rsidP="00187D17">
      <w:pPr>
        <w:widowControl w:val="0"/>
        <w:rPr>
          <w:szCs w:val="22"/>
          <w:lang w:val="sr-Latn-RS"/>
        </w:rPr>
      </w:pPr>
    </w:p>
    <w:p w14:paraId="5EBF02B7" w14:textId="3568DACC" w:rsidR="002E231D" w:rsidRPr="00394D9A" w:rsidRDefault="002E231D" w:rsidP="00187D17">
      <w:pPr>
        <w:widowControl w:val="0"/>
        <w:rPr>
          <w:szCs w:val="22"/>
          <w:lang w:val="sr-Latn-RS"/>
        </w:rPr>
      </w:pPr>
      <w:r w:rsidRPr="00394D9A">
        <w:rPr>
          <w:szCs w:val="22"/>
          <w:lang w:val="sr-Latn-RS"/>
        </w:rPr>
        <w:t xml:space="preserve">Ukoliko </w:t>
      </w:r>
      <w:r w:rsidR="00A46FAD" w:rsidRPr="00394D9A">
        <w:rPr>
          <w:szCs w:val="22"/>
          <w:lang w:val="sr-Latn-RS"/>
        </w:rPr>
        <w:t>dođe do</w:t>
      </w:r>
      <w:r w:rsidRPr="00394D9A">
        <w:rPr>
          <w:szCs w:val="22"/>
          <w:lang w:val="sr-Latn-RS"/>
        </w:rPr>
        <w:t xml:space="preserve"> teško</w:t>
      </w:r>
      <w:r w:rsidR="00A46FAD" w:rsidRPr="00394D9A">
        <w:rPr>
          <w:szCs w:val="22"/>
          <w:lang w:val="sr-Latn-RS"/>
        </w:rPr>
        <w:t>g</w:t>
      </w:r>
      <w:r w:rsidRPr="00394D9A">
        <w:rPr>
          <w:szCs w:val="22"/>
          <w:lang w:val="sr-Latn-RS"/>
        </w:rPr>
        <w:t xml:space="preserve"> krvarenj</w:t>
      </w:r>
      <w:r w:rsidR="00A46FAD" w:rsidRPr="00394D9A">
        <w:rPr>
          <w:szCs w:val="22"/>
          <w:lang w:val="sr-Latn-RS"/>
        </w:rPr>
        <w:t>a</w:t>
      </w:r>
      <w:r w:rsidRPr="00394D9A">
        <w:rPr>
          <w:szCs w:val="22"/>
          <w:lang w:val="sr-Latn-RS"/>
        </w:rPr>
        <w:t xml:space="preserve">, terapiju treba prekinuti i potražiti izvor krvarenja, a može se razmotriti </w:t>
      </w:r>
      <w:r w:rsidR="00FB48C3" w:rsidRPr="00394D9A">
        <w:rPr>
          <w:szCs w:val="22"/>
          <w:lang w:val="sr-Latn-RS"/>
        </w:rPr>
        <w:t xml:space="preserve">i </w:t>
      </w:r>
      <w:r w:rsidR="00A639DA" w:rsidRPr="00394D9A">
        <w:rPr>
          <w:szCs w:val="22"/>
          <w:lang w:val="sr-Latn-RS"/>
        </w:rPr>
        <w:t>primjena</w:t>
      </w:r>
      <w:r w:rsidRPr="00394D9A">
        <w:rPr>
          <w:szCs w:val="22"/>
          <w:lang w:val="sr-Latn-RS"/>
        </w:rPr>
        <w:t xml:space="preserve"> specifičnog antagoniste (idarucizumab)</w:t>
      </w:r>
      <w:r w:rsidR="004050C3" w:rsidRPr="00394D9A">
        <w:rPr>
          <w:szCs w:val="22"/>
          <w:lang w:val="sr-Latn-RS"/>
        </w:rPr>
        <w:t xml:space="preserve"> kod o</w:t>
      </w:r>
      <w:r w:rsidR="007041D6" w:rsidRPr="00394D9A">
        <w:rPr>
          <w:szCs w:val="22"/>
          <w:lang w:val="sr-Latn-RS"/>
        </w:rPr>
        <w:t>draslih pacijenata.</w:t>
      </w:r>
      <w:r w:rsidR="00181644" w:rsidRPr="00394D9A">
        <w:rPr>
          <w:szCs w:val="22"/>
          <w:lang w:val="sr-Latn-RS"/>
        </w:rPr>
        <w:t xml:space="preserve"> Efikasnost i bezb</w:t>
      </w:r>
      <w:r w:rsidR="0066602D" w:rsidRPr="00394D9A">
        <w:rPr>
          <w:szCs w:val="22"/>
          <w:lang w:val="sr-Latn-RS"/>
        </w:rPr>
        <w:t>j</w:t>
      </w:r>
      <w:r w:rsidR="00181644" w:rsidRPr="00394D9A">
        <w:rPr>
          <w:szCs w:val="22"/>
          <w:lang w:val="sr-Latn-RS"/>
        </w:rPr>
        <w:t>ednost idarucizumaba nije ustanovljena kod pedijatrijskih pacijata. Dabigatran se može ukloniti hemodijalizom.</w:t>
      </w:r>
    </w:p>
    <w:p w14:paraId="08B7F9CE" w14:textId="77777777" w:rsidR="00242BCA" w:rsidRPr="00394D9A" w:rsidRDefault="00242BCA" w:rsidP="00187D17">
      <w:pPr>
        <w:widowControl w:val="0"/>
        <w:rPr>
          <w:szCs w:val="22"/>
          <w:lang w:val="sr-Latn-RS"/>
        </w:rPr>
      </w:pPr>
    </w:p>
    <w:p w14:paraId="0F511047" w14:textId="3E62EAC2" w:rsidR="002E231D" w:rsidRPr="00394D9A" w:rsidRDefault="00A639DA" w:rsidP="00187D17">
      <w:pPr>
        <w:widowControl w:val="0"/>
        <w:rPr>
          <w:i/>
          <w:iCs/>
          <w:szCs w:val="22"/>
          <w:lang w:val="sr-Latn-RS"/>
        </w:rPr>
      </w:pPr>
      <w:r w:rsidRPr="00394D9A">
        <w:rPr>
          <w:i/>
          <w:iCs/>
          <w:szCs w:val="22"/>
          <w:lang w:val="sr-Latn-RS"/>
        </w:rPr>
        <w:t xml:space="preserve">Primjena </w:t>
      </w:r>
      <w:r w:rsidR="002E231D" w:rsidRPr="00394D9A">
        <w:rPr>
          <w:i/>
          <w:iCs/>
          <w:szCs w:val="22"/>
          <w:lang w:val="sr-Latn-RS"/>
        </w:rPr>
        <w:t xml:space="preserve"> inhibitora protonske pumpe</w:t>
      </w:r>
    </w:p>
    <w:p w14:paraId="633C811B" w14:textId="77777777" w:rsidR="00242BCA" w:rsidRPr="00394D9A" w:rsidRDefault="00242BCA" w:rsidP="00187D17">
      <w:pPr>
        <w:widowControl w:val="0"/>
        <w:rPr>
          <w:szCs w:val="22"/>
          <w:lang w:val="sr-Latn-RS"/>
        </w:rPr>
      </w:pPr>
    </w:p>
    <w:p w14:paraId="5338C910" w14:textId="1203CB7B" w:rsidR="00D21368" w:rsidRPr="00394D9A" w:rsidRDefault="002E231D" w:rsidP="00187D17">
      <w:pPr>
        <w:widowControl w:val="0"/>
        <w:rPr>
          <w:szCs w:val="22"/>
          <w:lang w:val="sr-Latn-RS"/>
        </w:rPr>
      </w:pPr>
      <w:r w:rsidRPr="00394D9A">
        <w:rPr>
          <w:szCs w:val="22"/>
          <w:lang w:val="sr-Latn-RS"/>
        </w:rPr>
        <w:t>Da bi se spr</w:t>
      </w:r>
      <w:r w:rsidR="00BD52DD" w:rsidRPr="00394D9A">
        <w:rPr>
          <w:szCs w:val="22"/>
          <w:lang w:val="sr-Latn-RS"/>
        </w:rPr>
        <w:t>ij</w:t>
      </w:r>
      <w:r w:rsidRPr="00394D9A">
        <w:rPr>
          <w:szCs w:val="22"/>
          <w:lang w:val="sr-Latn-RS"/>
        </w:rPr>
        <w:t xml:space="preserve">ečilo gastrointestinalno krvarenje, može se razmotriti </w:t>
      </w:r>
      <w:r w:rsidR="00A639DA" w:rsidRPr="00394D9A">
        <w:rPr>
          <w:szCs w:val="22"/>
          <w:lang w:val="sr-Latn-RS"/>
        </w:rPr>
        <w:t xml:space="preserve">primjena </w:t>
      </w:r>
      <w:r w:rsidRPr="00394D9A">
        <w:rPr>
          <w:szCs w:val="22"/>
          <w:lang w:val="sr-Latn-RS"/>
        </w:rPr>
        <w:t xml:space="preserve"> inhibitora protonske pumpe</w:t>
      </w:r>
      <w:r w:rsidR="00242BCA" w:rsidRPr="00394D9A">
        <w:rPr>
          <w:szCs w:val="22"/>
          <w:lang w:val="sr-Latn-RS"/>
        </w:rPr>
        <w:t xml:space="preserve"> </w:t>
      </w:r>
      <w:r w:rsidRPr="00394D9A">
        <w:rPr>
          <w:szCs w:val="22"/>
          <w:lang w:val="sr-Latn-RS"/>
        </w:rPr>
        <w:t>(PPI).</w:t>
      </w:r>
      <w:r w:rsidR="00D21368" w:rsidRPr="00394D9A">
        <w:rPr>
          <w:szCs w:val="22"/>
          <w:lang w:val="sr-Latn-RS"/>
        </w:rPr>
        <w:t xml:space="preserve"> U slučaju pedijatrijskih pacijenata moraju se sl</w:t>
      </w:r>
      <w:r w:rsidR="00873B3C" w:rsidRPr="00394D9A">
        <w:rPr>
          <w:szCs w:val="22"/>
          <w:lang w:val="sr-Latn-RS"/>
        </w:rPr>
        <w:t>ij</w:t>
      </w:r>
      <w:r w:rsidR="00D21368" w:rsidRPr="00394D9A">
        <w:rPr>
          <w:szCs w:val="22"/>
          <w:lang w:val="sr-Latn-RS"/>
        </w:rPr>
        <w:t>editi preporuke koje se nalaze u lokalnim informacijama o l</w:t>
      </w:r>
      <w:r w:rsidR="00873B3C" w:rsidRPr="00394D9A">
        <w:rPr>
          <w:szCs w:val="22"/>
          <w:lang w:val="sr-Latn-RS"/>
        </w:rPr>
        <w:t>ij</w:t>
      </w:r>
      <w:r w:rsidR="00D21368" w:rsidRPr="00394D9A">
        <w:rPr>
          <w:szCs w:val="22"/>
          <w:lang w:val="sr-Latn-RS"/>
        </w:rPr>
        <w:t>eku za inhibitore protonske pumpe.</w:t>
      </w:r>
    </w:p>
    <w:p w14:paraId="59079466" w14:textId="77777777" w:rsidR="00242BCA" w:rsidRPr="00394D9A" w:rsidRDefault="00242BCA" w:rsidP="00187D17">
      <w:pPr>
        <w:widowControl w:val="0"/>
        <w:rPr>
          <w:szCs w:val="22"/>
          <w:lang w:val="sr-Latn-RS"/>
        </w:rPr>
      </w:pPr>
    </w:p>
    <w:p w14:paraId="3AE4D314" w14:textId="3A2282FA" w:rsidR="002E231D" w:rsidRPr="00394D9A" w:rsidRDefault="002E231D" w:rsidP="00187D17">
      <w:pPr>
        <w:widowControl w:val="0"/>
        <w:rPr>
          <w:i/>
          <w:iCs/>
          <w:szCs w:val="22"/>
          <w:lang w:val="sr-Latn-RS"/>
        </w:rPr>
      </w:pPr>
      <w:r w:rsidRPr="00394D9A">
        <w:rPr>
          <w:i/>
          <w:iCs/>
          <w:szCs w:val="22"/>
          <w:lang w:val="sr-Latn-RS"/>
        </w:rPr>
        <w:t>Laboratorijski parametri koagulacije</w:t>
      </w:r>
    </w:p>
    <w:p w14:paraId="0EF7F65B" w14:textId="77777777" w:rsidR="00242BCA" w:rsidRPr="00394D9A" w:rsidRDefault="00242BCA" w:rsidP="00187D17">
      <w:pPr>
        <w:widowControl w:val="0"/>
        <w:rPr>
          <w:szCs w:val="22"/>
          <w:lang w:val="sr-Latn-RS"/>
        </w:rPr>
      </w:pPr>
    </w:p>
    <w:p w14:paraId="7BEE3C3F" w14:textId="61400781" w:rsidR="002E231D" w:rsidRPr="00394D9A" w:rsidRDefault="00A46FAD" w:rsidP="00187D17">
      <w:pPr>
        <w:widowControl w:val="0"/>
        <w:rPr>
          <w:szCs w:val="22"/>
          <w:lang w:val="sr-Latn-RS"/>
        </w:rPr>
      </w:pPr>
      <w:r w:rsidRPr="00394D9A">
        <w:rPr>
          <w:szCs w:val="22"/>
          <w:lang w:val="sr-Latn-RS"/>
        </w:rPr>
        <w:t>Iako</w:t>
      </w:r>
      <w:r w:rsidR="002E231D" w:rsidRPr="00394D9A">
        <w:rPr>
          <w:szCs w:val="22"/>
          <w:lang w:val="sr-Latn-RS"/>
        </w:rPr>
        <w:t xml:space="preserve"> terapija </w:t>
      </w:r>
      <w:r w:rsidR="00A639DA" w:rsidRPr="00394D9A">
        <w:rPr>
          <w:szCs w:val="22"/>
          <w:lang w:val="sr-Latn-RS"/>
        </w:rPr>
        <w:t>lijekom</w:t>
      </w:r>
      <w:r w:rsidR="002E231D" w:rsidRPr="00394D9A">
        <w:rPr>
          <w:szCs w:val="22"/>
          <w:lang w:val="sr-Latn-RS"/>
        </w:rPr>
        <w:t xml:space="preserve"> </w:t>
      </w:r>
      <w:r w:rsidR="00242BCA" w:rsidRPr="00394D9A">
        <w:rPr>
          <w:szCs w:val="22"/>
          <w:lang w:val="sr-Latn-RS"/>
        </w:rPr>
        <w:t>Dabigatran SK</w:t>
      </w:r>
      <w:r w:rsidR="002E231D" w:rsidRPr="00394D9A">
        <w:rPr>
          <w:szCs w:val="22"/>
          <w:lang w:val="sr-Latn-RS"/>
        </w:rPr>
        <w:t xml:space="preserve"> u principu ne zaht</w:t>
      </w:r>
      <w:r w:rsidR="00873B3C" w:rsidRPr="00394D9A">
        <w:rPr>
          <w:szCs w:val="22"/>
          <w:lang w:val="sr-Latn-RS"/>
        </w:rPr>
        <w:t>ij</w:t>
      </w:r>
      <w:r w:rsidR="00BD52DD" w:rsidRPr="00394D9A">
        <w:rPr>
          <w:szCs w:val="22"/>
          <w:lang w:val="sr-Latn-RS"/>
        </w:rPr>
        <w:t>j</w:t>
      </w:r>
      <w:r w:rsidR="002E231D" w:rsidRPr="00394D9A">
        <w:rPr>
          <w:szCs w:val="22"/>
          <w:lang w:val="sr-Latn-RS"/>
        </w:rPr>
        <w:t>eva rutinsko praćenje antikoagulacije, m</w:t>
      </w:r>
      <w:r w:rsidR="00BD52DD" w:rsidRPr="00394D9A">
        <w:rPr>
          <w:szCs w:val="22"/>
          <w:lang w:val="sr-Latn-RS"/>
        </w:rPr>
        <w:t>j</w:t>
      </w:r>
      <w:r w:rsidR="002E231D" w:rsidRPr="00394D9A">
        <w:rPr>
          <w:szCs w:val="22"/>
          <w:lang w:val="sr-Latn-RS"/>
        </w:rPr>
        <w:t>erenje intenziteta</w:t>
      </w:r>
      <w:r w:rsidR="00242BCA" w:rsidRPr="00394D9A">
        <w:rPr>
          <w:szCs w:val="22"/>
          <w:lang w:val="sr-Latn-RS"/>
        </w:rPr>
        <w:t xml:space="preserve"> </w:t>
      </w:r>
      <w:r w:rsidR="002E231D" w:rsidRPr="00394D9A">
        <w:rPr>
          <w:szCs w:val="22"/>
          <w:lang w:val="sr-Latn-RS"/>
        </w:rPr>
        <w:t>antikoagulacije koji je postignut sa dabigatranom može da bude od koristi kako bi se otkrila pret</w:t>
      </w:r>
      <w:r w:rsidR="00873B3C" w:rsidRPr="00394D9A">
        <w:rPr>
          <w:szCs w:val="22"/>
          <w:lang w:val="sr-Latn-RS"/>
        </w:rPr>
        <w:t>j</w:t>
      </w:r>
      <w:r w:rsidR="002E231D" w:rsidRPr="00394D9A">
        <w:rPr>
          <w:szCs w:val="22"/>
          <w:lang w:val="sr-Latn-RS"/>
        </w:rPr>
        <w:t>erano</w:t>
      </w:r>
      <w:r w:rsidR="00242BCA" w:rsidRPr="00394D9A">
        <w:rPr>
          <w:szCs w:val="22"/>
          <w:lang w:val="sr-Latn-RS"/>
        </w:rPr>
        <w:t xml:space="preserve"> </w:t>
      </w:r>
      <w:r w:rsidR="002E231D" w:rsidRPr="00394D9A">
        <w:rPr>
          <w:szCs w:val="22"/>
          <w:lang w:val="sr-Latn-RS"/>
        </w:rPr>
        <w:t>visoka izloženost dabigatranu ukoliko postoje dodatni faktori rizika.</w:t>
      </w:r>
    </w:p>
    <w:p w14:paraId="6D885342" w14:textId="667AEED9" w:rsidR="002E231D" w:rsidRPr="00394D9A" w:rsidRDefault="002E231D" w:rsidP="00187D17">
      <w:pPr>
        <w:widowControl w:val="0"/>
        <w:rPr>
          <w:szCs w:val="22"/>
          <w:lang w:val="sr-Latn-RS"/>
        </w:rPr>
      </w:pPr>
      <w:r w:rsidRPr="00394D9A">
        <w:rPr>
          <w:szCs w:val="22"/>
          <w:lang w:val="sr-Latn-RS"/>
        </w:rPr>
        <w:t xml:space="preserve">Razblaženo trombinsko </w:t>
      </w:r>
      <w:r w:rsidR="00BD52DD" w:rsidRPr="00394D9A">
        <w:rPr>
          <w:szCs w:val="22"/>
          <w:lang w:val="sr-Latn-RS"/>
        </w:rPr>
        <w:t>vrijeme</w:t>
      </w:r>
      <w:r w:rsidRPr="00394D9A">
        <w:rPr>
          <w:szCs w:val="22"/>
          <w:lang w:val="sr-Latn-RS"/>
        </w:rPr>
        <w:t xml:space="preserve"> (dTT), ekarinsko </w:t>
      </w:r>
      <w:r w:rsidR="00BD52DD" w:rsidRPr="00394D9A">
        <w:rPr>
          <w:szCs w:val="22"/>
          <w:lang w:val="sr-Latn-RS"/>
        </w:rPr>
        <w:t>vrijeme</w:t>
      </w:r>
      <w:r w:rsidRPr="00394D9A">
        <w:rPr>
          <w:szCs w:val="22"/>
          <w:lang w:val="sr-Latn-RS"/>
        </w:rPr>
        <w:t xml:space="preserve"> koagulacije (ECT) i aktivirano parcijalno</w:t>
      </w:r>
      <w:r w:rsidR="00242BCA" w:rsidRPr="00394D9A">
        <w:rPr>
          <w:szCs w:val="22"/>
          <w:lang w:val="sr-Latn-RS"/>
        </w:rPr>
        <w:t xml:space="preserve"> </w:t>
      </w:r>
      <w:r w:rsidRPr="00394D9A">
        <w:rPr>
          <w:szCs w:val="22"/>
          <w:lang w:val="sr-Latn-RS"/>
        </w:rPr>
        <w:t xml:space="preserve">tromboplastinsko </w:t>
      </w:r>
      <w:r w:rsidR="00BD52DD" w:rsidRPr="00394D9A">
        <w:rPr>
          <w:szCs w:val="22"/>
          <w:lang w:val="sr-Latn-RS"/>
        </w:rPr>
        <w:t>vrijeme</w:t>
      </w:r>
      <w:r w:rsidRPr="00394D9A">
        <w:rPr>
          <w:szCs w:val="22"/>
          <w:lang w:val="sr-Latn-RS"/>
        </w:rPr>
        <w:t xml:space="preserve"> (aPTT) mogu da obezb</w:t>
      </w:r>
      <w:r w:rsidR="00873B3C" w:rsidRPr="00394D9A">
        <w:rPr>
          <w:szCs w:val="22"/>
          <w:lang w:val="sr-Latn-RS"/>
        </w:rPr>
        <w:t>i</w:t>
      </w:r>
      <w:r w:rsidR="00BD52DD" w:rsidRPr="00394D9A">
        <w:rPr>
          <w:szCs w:val="22"/>
          <w:lang w:val="sr-Latn-RS"/>
        </w:rPr>
        <w:t>j</w:t>
      </w:r>
      <w:r w:rsidRPr="00394D9A">
        <w:rPr>
          <w:szCs w:val="22"/>
          <w:lang w:val="sr-Latn-RS"/>
        </w:rPr>
        <w:t>ede korisne informacije, ali njihove rezultate treba</w:t>
      </w:r>
      <w:r w:rsidR="00242BCA" w:rsidRPr="00394D9A">
        <w:rPr>
          <w:szCs w:val="22"/>
          <w:lang w:val="sr-Latn-RS"/>
        </w:rPr>
        <w:t xml:space="preserve"> </w:t>
      </w:r>
      <w:r w:rsidRPr="00394D9A">
        <w:rPr>
          <w:szCs w:val="22"/>
          <w:lang w:val="sr-Latn-RS"/>
        </w:rPr>
        <w:t>tumačiti sa oprezom zbog varijabilnosti između testova (</w:t>
      </w:r>
      <w:r w:rsidR="00244997" w:rsidRPr="00394D9A">
        <w:rPr>
          <w:szCs w:val="22"/>
          <w:lang w:val="sr-Latn-RS"/>
        </w:rPr>
        <w:t xml:space="preserve">vidjeti </w:t>
      </w:r>
      <w:r w:rsidR="00D7145C" w:rsidRPr="00394D9A">
        <w:rPr>
          <w:szCs w:val="22"/>
          <w:lang w:val="sr-Latn-RS"/>
        </w:rPr>
        <w:t>dio</w:t>
      </w:r>
      <w:r w:rsidRPr="00394D9A">
        <w:rPr>
          <w:szCs w:val="22"/>
          <w:lang w:val="sr-Latn-RS"/>
        </w:rPr>
        <w:t xml:space="preserve"> 5.1). Test za internacionalni</w:t>
      </w:r>
      <w:r w:rsidR="00242BCA" w:rsidRPr="00394D9A">
        <w:rPr>
          <w:szCs w:val="22"/>
          <w:lang w:val="sr-Latn-RS"/>
        </w:rPr>
        <w:t xml:space="preserve"> </w:t>
      </w:r>
      <w:r w:rsidRPr="00394D9A">
        <w:rPr>
          <w:szCs w:val="22"/>
          <w:lang w:val="sr-Latn-RS"/>
        </w:rPr>
        <w:t xml:space="preserve">normalizovani odnos (INR) je nepouzdan kod pacijenata koji primaju </w:t>
      </w:r>
      <w:r w:rsidR="00A639DA" w:rsidRPr="00394D9A">
        <w:rPr>
          <w:szCs w:val="22"/>
          <w:lang w:val="sr-Latn-RS"/>
        </w:rPr>
        <w:t>lijek</w:t>
      </w:r>
      <w:r w:rsidRPr="00394D9A">
        <w:rPr>
          <w:szCs w:val="22"/>
          <w:lang w:val="sr-Latn-RS"/>
        </w:rPr>
        <w:t xml:space="preserve"> </w:t>
      </w:r>
      <w:r w:rsidR="00242BCA" w:rsidRPr="00394D9A">
        <w:rPr>
          <w:szCs w:val="22"/>
          <w:lang w:val="sr-Latn-RS"/>
        </w:rPr>
        <w:t>Dabigatran SK</w:t>
      </w:r>
      <w:r w:rsidRPr="00394D9A">
        <w:rPr>
          <w:szCs w:val="22"/>
          <w:lang w:val="sr-Latn-RS"/>
        </w:rPr>
        <w:t xml:space="preserve"> i prijavljivana su lažno</w:t>
      </w:r>
      <w:r w:rsidR="00244997" w:rsidRPr="00394D9A">
        <w:rPr>
          <w:szCs w:val="22"/>
          <w:lang w:val="sr-Latn-RS"/>
        </w:rPr>
        <w:t xml:space="preserve"> </w:t>
      </w:r>
      <w:r w:rsidRPr="00394D9A">
        <w:rPr>
          <w:szCs w:val="22"/>
          <w:lang w:val="sr-Latn-RS"/>
        </w:rPr>
        <w:t>pozitivna</w:t>
      </w:r>
      <w:r w:rsidR="00242BCA" w:rsidRPr="00394D9A">
        <w:rPr>
          <w:szCs w:val="22"/>
          <w:lang w:val="sr-Latn-RS"/>
        </w:rPr>
        <w:t xml:space="preserve"> </w:t>
      </w:r>
      <w:r w:rsidRPr="00394D9A">
        <w:rPr>
          <w:szCs w:val="22"/>
          <w:lang w:val="sr-Latn-RS"/>
        </w:rPr>
        <w:t>povećanja INR vr</w:t>
      </w:r>
      <w:r w:rsidR="00BD52DD" w:rsidRPr="00394D9A">
        <w:rPr>
          <w:szCs w:val="22"/>
          <w:lang w:val="sr-Latn-RS"/>
        </w:rPr>
        <w:t>ij</w:t>
      </w:r>
      <w:r w:rsidRPr="00394D9A">
        <w:rPr>
          <w:szCs w:val="22"/>
          <w:lang w:val="sr-Latn-RS"/>
        </w:rPr>
        <w:t>ednosti. Zbog toga INR ne treba raditi.</w:t>
      </w:r>
    </w:p>
    <w:p w14:paraId="3793DFA4" w14:textId="77777777" w:rsidR="00242BCA" w:rsidRPr="00394D9A" w:rsidRDefault="00242BCA" w:rsidP="00187D17">
      <w:pPr>
        <w:widowControl w:val="0"/>
        <w:rPr>
          <w:szCs w:val="22"/>
          <w:lang w:val="sr-Latn-RS"/>
        </w:rPr>
      </w:pPr>
    </w:p>
    <w:p w14:paraId="664B4665" w14:textId="4BDF0AB3" w:rsidR="002E231D" w:rsidRPr="00394D9A" w:rsidRDefault="002E231D" w:rsidP="00187D17">
      <w:pPr>
        <w:widowControl w:val="0"/>
        <w:rPr>
          <w:szCs w:val="22"/>
          <w:lang w:val="sr-Latn-RS"/>
        </w:rPr>
      </w:pPr>
      <w:r w:rsidRPr="00394D9A">
        <w:rPr>
          <w:szCs w:val="22"/>
          <w:lang w:val="sr-Latn-RS"/>
        </w:rPr>
        <w:t xml:space="preserve">Tabela </w:t>
      </w:r>
      <w:r w:rsidR="00880255" w:rsidRPr="00394D9A">
        <w:rPr>
          <w:szCs w:val="22"/>
          <w:lang w:val="sr-Latn-RS"/>
        </w:rPr>
        <w:t>5</w:t>
      </w:r>
      <w:r w:rsidRPr="00394D9A">
        <w:rPr>
          <w:szCs w:val="22"/>
          <w:lang w:val="sr-Latn-RS"/>
        </w:rPr>
        <w:t xml:space="preserve"> prikazuje granične </w:t>
      </w:r>
      <w:r w:rsidR="00BD52DD" w:rsidRPr="00394D9A">
        <w:rPr>
          <w:szCs w:val="22"/>
          <w:lang w:val="sr-Latn-RS"/>
        </w:rPr>
        <w:t>vrijednosti</w:t>
      </w:r>
      <w:r w:rsidRPr="00394D9A">
        <w:rPr>
          <w:szCs w:val="22"/>
          <w:lang w:val="sr-Latn-RS"/>
        </w:rPr>
        <w:t xml:space="preserve"> testova koagulacije pri kraju intervala doziranja </w:t>
      </w:r>
      <w:r w:rsidR="002D4F02" w:rsidRPr="002D4F02">
        <w:rPr>
          <w:szCs w:val="22"/>
          <w:lang w:val="sr-Latn-RS"/>
        </w:rPr>
        <w:t xml:space="preserve">za odrasle pacijente </w:t>
      </w:r>
      <w:r w:rsidRPr="00394D9A">
        <w:rPr>
          <w:szCs w:val="22"/>
          <w:lang w:val="sr-Latn-RS"/>
        </w:rPr>
        <w:t>koje mogu da budu</w:t>
      </w:r>
      <w:r w:rsidR="00242BCA" w:rsidRPr="00394D9A">
        <w:rPr>
          <w:szCs w:val="22"/>
          <w:lang w:val="sr-Latn-RS"/>
        </w:rPr>
        <w:t xml:space="preserve"> </w:t>
      </w:r>
      <w:r w:rsidRPr="00394D9A">
        <w:rPr>
          <w:szCs w:val="22"/>
          <w:lang w:val="sr-Latn-RS"/>
        </w:rPr>
        <w:t>povezane sa povećanim rizikom od krvarenja</w:t>
      </w:r>
      <w:r w:rsidR="00C85763" w:rsidRPr="00C85763">
        <w:rPr>
          <w:szCs w:val="22"/>
          <w:lang w:val="sr-Latn-RS"/>
        </w:rPr>
        <w:t>. Odgovarajuće granične vrijednosti za pedijatrijske pacijente nijesu poznate</w:t>
      </w:r>
      <w:r w:rsidRPr="00394D9A">
        <w:rPr>
          <w:szCs w:val="22"/>
          <w:lang w:val="sr-Latn-RS"/>
        </w:rPr>
        <w:t xml:space="preserve"> (</w:t>
      </w:r>
      <w:r w:rsidR="00244997" w:rsidRPr="00394D9A">
        <w:rPr>
          <w:szCs w:val="22"/>
          <w:lang w:val="sr-Latn-RS"/>
        </w:rPr>
        <w:t xml:space="preserve">vidjeti </w:t>
      </w:r>
      <w:r w:rsidR="00D7145C" w:rsidRPr="00394D9A">
        <w:rPr>
          <w:szCs w:val="22"/>
          <w:lang w:val="sr-Latn-RS"/>
        </w:rPr>
        <w:t>dio</w:t>
      </w:r>
      <w:r w:rsidRPr="00394D9A">
        <w:rPr>
          <w:szCs w:val="22"/>
          <w:lang w:val="sr-Latn-RS"/>
        </w:rPr>
        <w:t xml:space="preserve"> 5.1)</w:t>
      </w:r>
      <w:r w:rsidR="00A46FAD" w:rsidRPr="00394D9A">
        <w:rPr>
          <w:szCs w:val="22"/>
          <w:lang w:val="sr-Latn-RS"/>
        </w:rPr>
        <w:t>.</w:t>
      </w:r>
    </w:p>
    <w:p w14:paraId="348F76D4" w14:textId="77777777" w:rsidR="00242BCA" w:rsidRPr="00394D9A" w:rsidRDefault="00242BCA" w:rsidP="00187D17">
      <w:pPr>
        <w:widowControl w:val="0"/>
        <w:rPr>
          <w:b/>
          <w:bCs/>
          <w:szCs w:val="22"/>
          <w:lang w:val="sr-Latn-RS"/>
        </w:rPr>
      </w:pPr>
    </w:p>
    <w:p w14:paraId="43FCA013" w14:textId="2BAED3BC" w:rsidR="008216FC" w:rsidRPr="00394D9A" w:rsidRDefault="002E231D" w:rsidP="00187D17">
      <w:pPr>
        <w:widowControl w:val="0"/>
        <w:rPr>
          <w:b/>
          <w:bCs/>
          <w:szCs w:val="22"/>
          <w:lang w:val="sr-Latn-RS"/>
        </w:rPr>
      </w:pPr>
      <w:r w:rsidRPr="00394D9A">
        <w:rPr>
          <w:b/>
          <w:bCs/>
          <w:szCs w:val="22"/>
          <w:lang w:val="sr-Latn-RS"/>
        </w:rPr>
        <w:t xml:space="preserve">Tabela </w:t>
      </w:r>
      <w:r w:rsidR="00880255" w:rsidRPr="00394D9A">
        <w:rPr>
          <w:b/>
          <w:bCs/>
          <w:szCs w:val="22"/>
          <w:lang w:val="sr-Latn-RS"/>
        </w:rPr>
        <w:t>5</w:t>
      </w:r>
      <w:r w:rsidRPr="00394D9A">
        <w:rPr>
          <w:b/>
          <w:bCs/>
          <w:szCs w:val="22"/>
          <w:lang w:val="sr-Latn-RS"/>
        </w:rPr>
        <w:t xml:space="preserve">: Granične </w:t>
      </w:r>
      <w:r w:rsidR="00BD52DD" w:rsidRPr="00394D9A">
        <w:rPr>
          <w:b/>
          <w:bCs/>
          <w:szCs w:val="22"/>
          <w:lang w:val="sr-Latn-RS"/>
        </w:rPr>
        <w:t>vrijednosti</w:t>
      </w:r>
      <w:r w:rsidRPr="00394D9A">
        <w:rPr>
          <w:b/>
          <w:bCs/>
          <w:szCs w:val="22"/>
          <w:lang w:val="sr-Latn-RS"/>
        </w:rPr>
        <w:t xml:space="preserve"> testova koagulacije</w:t>
      </w:r>
      <w:r w:rsidR="00E9707F">
        <w:rPr>
          <w:b/>
          <w:bCs/>
          <w:szCs w:val="22"/>
          <w:lang w:val="sr-Latn-RS"/>
        </w:rPr>
        <w:t xml:space="preserve"> za odrasle pacijente</w:t>
      </w:r>
      <w:r w:rsidRPr="00394D9A">
        <w:rPr>
          <w:b/>
          <w:bCs/>
          <w:szCs w:val="22"/>
          <w:lang w:val="sr-Latn-RS"/>
        </w:rPr>
        <w:t xml:space="preserve"> koje mogu da budu povezane sa povećanim</w:t>
      </w:r>
      <w:r w:rsidR="00242BCA" w:rsidRPr="00394D9A">
        <w:rPr>
          <w:b/>
          <w:bCs/>
          <w:szCs w:val="22"/>
          <w:lang w:val="sr-Latn-RS"/>
        </w:rPr>
        <w:t xml:space="preserve"> </w:t>
      </w:r>
      <w:r w:rsidRPr="00394D9A">
        <w:rPr>
          <w:b/>
          <w:bCs/>
          <w:szCs w:val="22"/>
          <w:lang w:val="sr-Latn-RS"/>
        </w:rPr>
        <w:t>rizikom od krvarenja.</w:t>
      </w:r>
    </w:p>
    <w:p w14:paraId="62B46F16" w14:textId="6EEF5EA4" w:rsidR="002E231D" w:rsidRPr="00394D9A" w:rsidRDefault="002E231D" w:rsidP="00187D17">
      <w:pPr>
        <w:widowControl w:val="0"/>
        <w:rPr>
          <w:szCs w:val="22"/>
          <w:lang w:val="sr-Latn-RS"/>
        </w:rPr>
      </w:pPr>
    </w:p>
    <w:tbl>
      <w:tblPr>
        <w:tblStyle w:val="TableGrid"/>
        <w:tblW w:w="0" w:type="auto"/>
        <w:tblInd w:w="108" w:type="dxa"/>
        <w:tblLook w:val="04A0" w:firstRow="1" w:lastRow="0" w:firstColumn="1" w:lastColumn="0" w:noHBand="0" w:noVBand="1"/>
      </w:tblPr>
      <w:tblGrid>
        <w:gridCol w:w="4629"/>
        <w:gridCol w:w="4324"/>
      </w:tblGrid>
      <w:tr w:rsidR="008E4543" w:rsidRPr="00394D9A" w14:paraId="7CC0DF7F" w14:textId="77777777" w:rsidTr="00A46FAD">
        <w:tc>
          <w:tcPr>
            <w:tcW w:w="4962" w:type="dxa"/>
          </w:tcPr>
          <w:p w14:paraId="07F33351" w14:textId="7645BA9D" w:rsidR="008E4543" w:rsidRPr="00394D9A" w:rsidRDefault="008E4543" w:rsidP="00187D17">
            <w:pPr>
              <w:widowControl w:val="0"/>
              <w:rPr>
                <w:szCs w:val="22"/>
                <w:lang w:val="sr-Latn-RS"/>
              </w:rPr>
            </w:pPr>
            <w:r w:rsidRPr="00394D9A">
              <w:rPr>
                <w:szCs w:val="22"/>
                <w:u w:val="single"/>
                <w:lang w:val="sr-Latn-RS"/>
              </w:rPr>
              <w:t>Test (na kraju intervala doziranja)</w:t>
            </w:r>
          </w:p>
        </w:tc>
        <w:tc>
          <w:tcPr>
            <w:tcW w:w="4677" w:type="dxa"/>
          </w:tcPr>
          <w:p w14:paraId="18046C71" w14:textId="629B295C" w:rsidR="008E4543" w:rsidRPr="00394D9A" w:rsidRDefault="008E4543" w:rsidP="00187D17">
            <w:pPr>
              <w:widowControl w:val="0"/>
              <w:rPr>
                <w:szCs w:val="22"/>
                <w:lang w:val="sr-Latn-RS"/>
              </w:rPr>
            </w:pPr>
            <w:r w:rsidRPr="00394D9A">
              <w:rPr>
                <w:szCs w:val="22"/>
                <w:lang w:val="sr-Latn-RS"/>
              </w:rPr>
              <w:t>Indikacija</w:t>
            </w:r>
          </w:p>
        </w:tc>
      </w:tr>
      <w:tr w:rsidR="008E4543" w:rsidRPr="00394D9A" w14:paraId="5BF2FEBE" w14:textId="77777777" w:rsidTr="00A46FAD">
        <w:tc>
          <w:tcPr>
            <w:tcW w:w="4962" w:type="dxa"/>
          </w:tcPr>
          <w:p w14:paraId="0E4B1109" w14:textId="77777777" w:rsidR="008E4543" w:rsidRPr="00394D9A" w:rsidRDefault="008E4543" w:rsidP="00187D17">
            <w:pPr>
              <w:widowControl w:val="0"/>
              <w:rPr>
                <w:szCs w:val="22"/>
                <w:lang w:val="sr-Latn-RS"/>
              </w:rPr>
            </w:pPr>
          </w:p>
        </w:tc>
        <w:tc>
          <w:tcPr>
            <w:tcW w:w="4677" w:type="dxa"/>
          </w:tcPr>
          <w:p w14:paraId="70D95085" w14:textId="577D75DA" w:rsidR="008E4543" w:rsidRPr="00394D9A" w:rsidRDefault="008E4543" w:rsidP="00187D17">
            <w:pPr>
              <w:widowControl w:val="0"/>
              <w:rPr>
                <w:szCs w:val="22"/>
                <w:lang w:val="sr-Latn-RS"/>
              </w:rPr>
            </w:pPr>
            <w:r w:rsidRPr="00394D9A">
              <w:rPr>
                <w:szCs w:val="22"/>
                <w:lang w:val="sr-Latn-RS"/>
              </w:rPr>
              <w:t>Prevencija MU i SE kod AF, DVT/PE</w:t>
            </w:r>
          </w:p>
        </w:tc>
      </w:tr>
      <w:tr w:rsidR="008E4543" w:rsidRPr="00394D9A" w14:paraId="62D4E096" w14:textId="77777777" w:rsidTr="00A46FAD">
        <w:tc>
          <w:tcPr>
            <w:tcW w:w="4962" w:type="dxa"/>
          </w:tcPr>
          <w:p w14:paraId="1423A5C1" w14:textId="41AF7388" w:rsidR="008E4543" w:rsidRPr="00394D9A" w:rsidRDefault="008E4543" w:rsidP="00187D17">
            <w:pPr>
              <w:widowControl w:val="0"/>
              <w:rPr>
                <w:szCs w:val="22"/>
                <w:lang w:val="sr-Latn-RS"/>
              </w:rPr>
            </w:pPr>
            <w:r w:rsidRPr="00394D9A">
              <w:rPr>
                <w:szCs w:val="22"/>
                <w:lang w:val="sr-Latn-RS"/>
              </w:rPr>
              <w:t>dTT [nanograma/m</w:t>
            </w:r>
            <w:r w:rsidR="00244997" w:rsidRPr="00394D9A">
              <w:rPr>
                <w:szCs w:val="22"/>
                <w:lang w:val="sr-Latn-RS"/>
              </w:rPr>
              <w:t>l</w:t>
            </w:r>
            <w:r w:rsidRPr="00394D9A">
              <w:rPr>
                <w:szCs w:val="22"/>
                <w:lang w:val="sr-Latn-RS"/>
              </w:rPr>
              <w:t>]</w:t>
            </w:r>
          </w:p>
        </w:tc>
        <w:tc>
          <w:tcPr>
            <w:tcW w:w="4677" w:type="dxa"/>
          </w:tcPr>
          <w:p w14:paraId="369A91B7" w14:textId="1D0A12F1" w:rsidR="008E4543" w:rsidRPr="00394D9A" w:rsidRDefault="008E4543" w:rsidP="00187D17">
            <w:pPr>
              <w:widowControl w:val="0"/>
              <w:rPr>
                <w:szCs w:val="22"/>
                <w:lang w:val="sr-Latn-RS"/>
              </w:rPr>
            </w:pPr>
            <w:r w:rsidRPr="00394D9A">
              <w:rPr>
                <w:szCs w:val="22"/>
                <w:lang w:val="sr-Latn-RS"/>
              </w:rPr>
              <w:t>&gt;200</w:t>
            </w:r>
          </w:p>
        </w:tc>
      </w:tr>
      <w:tr w:rsidR="008E4543" w:rsidRPr="00394D9A" w14:paraId="4E7DB982" w14:textId="77777777" w:rsidTr="00A46FAD">
        <w:tc>
          <w:tcPr>
            <w:tcW w:w="4962" w:type="dxa"/>
          </w:tcPr>
          <w:p w14:paraId="1BB8C2CB" w14:textId="613110EA" w:rsidR="008E4543" w:rsidRPr="00394D9A" w:rsidRDefault="008E4543" w:rsidP="00187D17">
            <w:pPr>
              <w:widowControl w:val="0"/>
              <w:rPr>
                <w:szCs w:val="22"/>
                <w:lang w:val="sr-Latn-RS"/>
              </w:rPr>
            </w:pPr>
            <w:r w:rsidRPr="00394D9A">
              <w:rPr>
                <w:szCs w:val="22"/>
                <w:lang w:val="sr-Latn-RS"/>
              </w:rPr>
              <w:t xml:space="preserve">ECT [x-puta povećane </w:t>
            </w:r>
            <w:r w:rsidR="00BD52DD" w:rsidRPr="00394D9A">
              <w:rPr>
                <w:szCs w:val="22"/>
                <w:lang w:val="sr-Latn-RS"/>
              </w:rPr>
              <w:t>vrijednosti</w:t>
            </w:r>
            <w:r w:rsidRPr="00394D9A">
              <w:rPr>
                <w:szCs w:val="22"/>
                <w:lang w:val="sr-Latn-RS"/>
              </w:rPr>
              <w:t xml:space="preserve"> iznad normale]</w:t>
            </w:r>
          </w:p>
        </w:tc>
        <w:tc>
          <w:tcPr>
            <w:tcW w:w="4677" w:type="dxa"/>
          </w:tcPr>
          <w:p w14:paraId="1A15B998" w14:textId="2E0E57CF" w:rsidR="008E4543" w:rsidRPr="00394D9A" w:rsidRDefault="008E4543" w:rsidP="00187D17">
            <w:pPr>
              <w:widowControl w:val="0"/>
              <w:rPr>
                <w:szCs w:val="22"/>
                <w:lang w:val="sr-Latn-RS"/>
              </w:rPr>
            </w:pPr>
            <w:r w:rsidRPr="00394D9A">
              <w:rPr>
                <w:szCs w:val="22"/>
                <w:lang w:val="sr-Latn-RS"/>
              </w:rPr>
              <w:t>&gt;3</w:t>
            </w:r>
          </w:p>
        </w:tc>
      </w:tr>
      <w:tr w:rsidR="008E4543" w:rsidRPr="00394D9A" w14:paraId="67A7C4A3" w14:textId="77777777" w:rsidTr="00A46FAD">
        <w:tc>
          <w:tcPr>
            <w:tcW w:w="4962" w:type="dxa"/>
          </w:tcPr>
          <w:p w14:paraId="4842A065" w14:textId="1516556C" w:rsidR="008E4543" w:rsidRPr="00394D9A" w:rsidRDefault="008E4543" w:rsidP="00187D17">
            <w:pPr>
              <w:widowControl w:val="0"/>
              <w:rPr>
                <w:szCs w:val="22"/>
                <w:lang w:val="sr-Latn-RS"/>
              </w:rPr>
            </w:pPr>
            <w:r w:rsidRPr="00394D9A">
              <w:rPr>
                <w:szCs w:val="22"/>
                <w:lang w:val="sr-Latn-RS"/>
              </w:rPr>
              <w:t xml:space="preserve">aPTT [x-puta povećane </w:t>
            </w:r>
            <w:r w:rsidR="00BD52DD" w:rsidRPr="00394D9A">
              <w:rPr>
                <w:szCs w:val="22"/>
                <w:lang w:val="sr-Latn-RS"/>
              </w:rPr>
              <w:t>vrijednosti</w:t>
            </w:r>
            <w:r w:rsidRPr="00394D9A">
              <w:rPr>
                <w:szCs w:val="22"/>
                <w:lang w:val="sr-Latn-RS"/>
              </w:rPr>
              <w:t xml:space="preserve"> iznad normale]</w:t>
            </w:r>
          </w:p>
        </w:tc>
        <w:tc>
          <w:tcPr>
            <w:tcW w:w="4677" w:type="dxa"/>
          </w:tcPr>
          <w:p w14:paraId="3F10194F" w14:textId="2881ABFA" w:rsidR="008E4543" w:rsidRPr="00394D9A" w:rsidRDefault="008E4543" w:rsidP="00187D17">
            <w:pPr>
              <w:widowControl w:val="0"/>
              <w:rPr>
                <w:szCs w:val="22"/>
                <w:lang w:val="sr-Latn-RS"/>
              </w:rPr>
            </w:pPr>
            <w:r w:rsidRPr="00394D9A">
              <w:rPr>
                <w:szCs w:val="22"/>
                <w:lang w:val="sr-Latn-RS"/>
              </w:rPr>
              <w:t>&gt;2</w:t>
            </w:r>
          </w:p>
        </w:tc>
      </w:tr>
      <w:tr w:rsidR="008E4543" w:rsidRPr="00394D9A" w14:paraId="0FF224DE" w14:textId="77777777" w:rsidTr="00A46FAD">
        <w:tc>
          <w:tcPr>
            <w:tcW w:w="4962" w:type="dxa"/>
          </w:tcPr>
          <w:p w14:paraId="2A2F925C" w14:textId="2CE3234B" w:rsidR="008E4543" w:rsidRPr="00394D9A" w:rsidRDefault="008E4543" w:rsidP="00187D17">
            <w:pPr>
              <w:widowControl w:val="0"/>
              <w:rPr>
                <w:szCs w:val="22"/>
                <w:lang w:val="sr-Latn-RS"/>
              </w:rPr>
            </w:pPr>
            <w:r w:rsidRPr="00394D9A">
              <w:rPr>
                <w:szCs w:val="22"/>
                <w:lang w:val="sr-Latn-RS"/>
              </w:rPr>
              <w:t>INR</w:t>
            </w:r>
          </w:p>
        </w:tc>
        <w:tc>
          <w:tcPr>
            <w:tcW w:w="4677" w:type="dxa"/>
          </w:tcPr>
          <w:p w14:paraId="7E0E9189" w14:textId="7DDA62AB" w:rsidR="008E4543" w:rsidRPr="00394D9A" w:rsidRDefault="008E4543" w:rsidP="00187D17">
            <w:pPr>
              <w:widowControl w:val="0"/>
              <w:rPr>
                <w:szCs w:val="22"/>
                <w:lang w:val="sr-Latn-RS"/>
              </w:rPr>
            </w:pPr>
            <w:r w:rsidRPr="00394D9A">
              <w:rPr>
                <w:szCs w:val="22"/>
                <w:lang w:val="sr-Latn-RS"/>
              </w:rPr>
              <w:t>Ne treba raditi</w:t>
            </w:r>
          </w:p>
        </w:tc>
      </w:tr>
    </w:tbl>
    <w:p w14:paraId="700EA3AD" w14:textId="77777777" w:rsidR="008E4543" w:rsidRPr="00394D9A" w:rsidRDefault="008E4543" w:rsidP="00187D17">
      <w:pPr>
        <w:widowControl w:val="0"/>
        <w:rPr>
          <w:szCs w:val="22"/>
          <w:lang w:val="sr-Latn-RS"/>
        </w:rPr>
      </w:pPr>
    </w:p>
    <w:p w14:paraId="4863EE04" w14:textId="085CFF68" w:rsidR="002E231D" w:rsidRPr="00394D9A" w:rsidRDefault="00A639DA" w:rsidP="00187D17">
      <w:pPr>
        <w:widowControl w:val="0"/>
        <w:rPr>
          <w:szCs w:val="22"/>
          <w:u w:val="single"/>
          <w:lang w:val="sr-Latn-RS"/>
        </w:rPr>
      </w:pPr>
      <w:r w:rsidRPr="00394D9A">
        <w:rPr>
          <w:szCs w:val="22"/>
          <w:u w:val="single"/>
          <w:lang w:val="sr-Latn-RS"/>
        </w:rPr>
        <w:t>Primjena</w:t>
      </w:r>
      <w:r w:rsidR="002E231D" w:rsidRPr="00394D9A">
        <w:rPr>
          <w:szCs w:val="22"/>
          <w:u w:val="single"/>
          <w:lang w:val="sr-Latn-RS"/>
        </w:rPr>
        <w:t xml:space="preserve"> fibrinolitičkih </w:t>
      </w:r>
      <w:r w:rsidRPr="00394D9A">
        <w:rPr>
          <w:szCs w:val="22"/>
          <w:u w:val="single"/>
          <w:lang w:val="sr-Latn-RS"/>
        </w:rPr>
        <w:t xml:space="preserve">ljekova </w:t>
      </w:r>
      <w:r w:rsidR="002E231D" w:rsidRPr="00394D9A">
        <w:rPr>
          <w:szCs w:val="22"/>
          <w:u w:val="single"/>
          <w:lang w:val="sr-Latn-RS"/>
        </w:rPr>
        <w:t xml:space="preserve"> u terapiji akutnog ishemijskog moždanog udara</w:t>
      </w:r>
    </w:p>
    <w:p w14:paraId="1E1C2C6D" w14:textId="77777777" w:rsidR="00242BCA" w:rsidRPr="00394D9A" w:rsidRDefault="00242BCA" w:rsidP="00187D17">
      <w:pPr>
        <w:widowControl w:val="0"/>
        <w:rPr>
          <w:szCs w:val="22"/>
          <w:lang w:val="sr-Latn-RS"/>
        </w:rPr>
      </w:pPr>
    </w:p>
    <w:p w14:paraId="22DEA356" w14:textId="1F584A39" w:rsidR="002E231D" w:rsidRPr="00394D9A" w:rsidRDefault="00A639DA" w:rsidP="00187D17">
      <w:pPr>
        <w:widowControl w:val="0"/>
        <w:rPr>
          <w:szCs w:val="22"/>
          <w:lang w:val="sr-Latn-RS"/>
        </w:rPr>
      </w:pPr>
      <w:r w:rsidRPr="00394D9A">
        <w:rPr>
          <w:szCs w:val="22"/>
          <w:lang w:val="sr-Latn-RS"/>
        </w:rPr>
        <w:t>Primjena</w:t>
      </w:r>
      <w:r w:rsidR="002E231D" w:rsidRPr="00394D9A">
        <w:rPr>
          <w:szCs w:val="22"/>
          <w:lang w:val="sr-Latn-RS"/>
        </w:rPr>
        <w:t xml:space="preserve"> fibrinolitičkih </w:t>
      </w:r>
      <w:r w:rsidRPr="00394D9A">
        <w:rPr>
          <w:szCs w:val="22"/>
          <w:lang w:val="sr-Latn-RS"/>
        </w:rPr>
        <w:t>ljekova</w:t>
      </w:r>
      <w:r w:rsidR="002E231D" w:rsidRPr="00394D9A">
        <w:rPr>
          <w:szCs w:val="22"/>
          <w:lang w:val="sr-Latn-RS"/>
        </w:rPr>
        <w:t xml:space="preserve"> u terapiji akutnog ishemijskog moždanog udara se može razmotriti kod</w:t>
      </w:r>
      <w:r w:rsidR="005C7C34" w:rsidRPr="00394D9A">
        <w:rPr>
          <w:szCs w:val="22"/>
          <w:lang w:val="sr-Latn-RS"/>
        </w:rPr>
        <w:t xml:space="preserve"> </w:t>
      </w:r>
      <w:r w:rsidR="002E231D" w:rsidRPr="00394D9A">
        <w:rPr>
          <w:szCs w:val="22"/>
          <w:lang w:val="sr-Latn-RS"/>
        </w:rPr>
        <w:t xml:space="preserve">pacijenata čije </w:t>
      </w:r>
      <w:r w:rsidR="00BD52DD" w:rsidRPr="00394D9A">
        <w:rPr>
          <w:szCs w:val="22"/>
          <w:lang w:val="sr-Latn-RS"/>
        </w:rPr>
        <w:t>vrijednosti</w:t>
      </w:r>
      <w:r w:rsidR="002E231D" w:rsidRPr="00394D9A">
        <w:rPr>
          <w:szCs w:val="22"/>
          <w:lang w:val="sr-Latn-RS"/>
        </w:rPr>
        <w:t xml:space="preserve"> dTT, ECT ili aPTT ne prelaze gornju granicu normalnih </w:t>
      </w:r>
      <w:r w:rsidR="00BD52DD" w:rsidRPr="00394D9A">
        <w:rPr>
          <w:szCs w:val="22"/>
          <w:lang w:val="sr-Latn-RS"/>
        </w:rPr>
        <w:t>vrijednosti</w:t>
      </w:r>
      <w:r w:rsidR="002E231D" w:rsidRPr="00394D9A">
        <w:rPr>
          <w:szCs w:val="22"/>
          <w:lang w:val="sr-Latn-RS"/>
        </w:rPr>
        <w:t xml:space="preserve"> (GGN) prema</w:t>
      </w:r>
      <w:r w:rsidR="005C7C34" w:rsidRPr="00394D9A">
        <w:rPr>
          <w:szCs w:val="22"/>
          <w:lang w:val="sr-Latn-RS"/>
        </w:rPr>
        <w:t xml:space="preserve"> </w:t>
      </w:r>
      <w:r w:rsidR="002E231D" w:rsidRPr="00394D9A">
        <w:rPr>
          <w:szCs w:val="22"/>
          <w:lang w:val="sr-Latn-RS"/>
        </w:rPr>
        <w:t>lokalnom referentnom rasponu.</w:t>
      </w:r>
    </w:p>
    <w:p w14:paraId="09589265" w14:textId="77777777" w:rsidR="00242BCA" w:rsidRPr="00394D9A" w:rsidRDefault="00242BCA" w:rsidP="00187D17">
      <w:pPr>
        <w:widowControl w:val="0"/>
        <w:rPr>
          <w:szCs w:val="22"/>
          <w:lang w:val="sr-Latn-RS"/>
        </w:rPr>
      </w:pPr>
    </w:p>
    <w:p w14:paraId="522CD6C9" w14:textId="39E10A65" w:rsidR="002E231D" w:rsidRPr="00394D9A" w:rsidRDefault="002E231D" w:rsidP="00187D17">
      <w:pPr>
        <w:widowControl w:val="0"/>
        <w:rPr>
          <w:szCs w:val="22"/>
          <w:u w:val="single"/>
          <w:lang w:val="sr-Latn-RS"/>
        </w:rPr>
      </w:pPr>
      <w:r w:rsidRPr="00394D9A">
        <w:rPr>
          <w:szCs w:val="22"/>
          <w:u w:val="single"/>
          <w:lang w:val="sr-Latn-RS"/>
        </w:rPr>
        <w:t>Hirurške ili druge intervencije</w:t>
      </w:r>
    </w:p>
    <w:p w14:paraId="405C6B5E" w14:textId="77777777" w:rsidR="00242BCA" w:rsidRPr="00394D9A" w:rsidRDefault="00242BCA" w:rsidP="00187D17">
      <w:pPr>
        <w:widowControl w:val="0"/>
        <w:rPr>
          <w:szCs w:val="22"/>
          <w:lang w:val="sr-Latn-RS"/>
        </w:rPr>
      </w:pPr>
    </w:p>
    <w:p w14:paraId="2F7EE8BB" w14:textId="0F092D8F" w:rsidR="002E231D" w:rsidRPr="00394D9A" w:rsidRDefault="002E231D" w:rsidP="00187D17">
      <w:pPr>
        <w:widowControl w:val="0"/>
        <w:rPr>
          <w:szCs w:val="22"/>
          <w:lang w:val="sr-Latn-RS"/>
        </w:rPr>
      </w:pPr>
      <w:r w:rsidRPr="00394D9A">
        <w:rPr>
          <w:szCs w:val="22"/>
          <w:lang w:val="sr-Latn-RS"/>
        </w:rPr>
        <w:t xml:space="preserve">Pacijenti koji primaju </w:t>
      </w:r>
      <w:r w:rsidR="00A639DA" w:rsidRPr="00394D9A">
        <w:rPr>
          <w:szCs w:val="22"/>
          <w:lang w:val="sr-Latn-RS"/>
        </w:rPr>
        <w:t>lijek</w:t>
      </w:r>
      <w:r w:rsidRPr="00394D9A">
        <w:rPr>
          <w:szCs w:val="22"/>
          <w:lang w:val="sr-Latn-RS"/>
        </w:rPr>
        <w:t xml:space="preserve"> </w:t>
      </w:r>
      <w:r w:rsidR="005C7C34" w:rsidRPr="00394D9A">
        <w:rPr>
          <w:szCs w:val="22"/>
          <w:lang w:val="sr-Latn-RS"/>
        </w:rPr>
        <w:t>Dabigatran SK</w:t>
      </w:r>
      <w:r w:rsidRPr="00394D9A">
        <w:rPr>
          <w:szCs w:val="22"/>
          <w:lang w:val="sr-Latn-RS"/>
        </w:rPr>
        <w:t xml:space="preserve"> i podvrgavaju se hirurškim ili drugim invazivnim procedurama su u</w:t>
      </w:r>
      <w:r w:rsidR="005C7C34" w:rsidRPr="00394D9A">
        <w:rPr>
          <w:szCs w:val="22"/>
          <w:lang w:val="sr-Latn-RS"/>
        </w:rPr>
        <w:t xml:space="preserve"> </w:t>
      </w:r>
      <w:r w:rsidRPr="00394D9A">
        <w:rPr>
          <w:szCs w:val="22"/>
          <w:lang w:val="sr-Latn-RS"/>
        </w:rPr>
        <w:t>povećanom riziku od krvarenja. Prema tome, hirurške intervencije mogu da iziskuju pri</w:t>
      </w:r>
      <w:r w:rsidR="00BD52DD" w:rsidRPr="00394D9A">
        <w:rPr>
          <w:szCs w:val="22"/>
          <w:lang w:val="sr-Latn-RS"/>
        </w:rPr>
        <w:t>vreme</w:t>
      </w:r>
      <w:r w:rsidRPr="00394D9A">
        <w:rPr>
          <w:szCs w:val="22"/>
          <w:lang w:val="sr-Latn-RS"/>
        </w:rPr>
        <w:t>nu obustavu</w:t>
      </w:r>
      <w:r w:rsidR="005C7C34" w:rsidRPr="00394D9A">
        <w:rPr>
          <w:szCs w:val="22"/>
          <w:lang w:val="sr-Latn-RS"/>
        </w:rPr>
        <w:t xml:space="preserve"> </w:t>
      </w:r>
      <w:r w:rsidR="00A639DA" w:rsidRPr="00394D9A">
        <w:rPr>
          <w:szCs w:val="22"/>
          <w:lang w:val="sr-Latn-RS"/>
        </w:rPr>
        <w:t>lijeka</w:t>
      </w:r>
      <w:r w:rsidRPr="00394D9A">
        <w:rPr>
          <w:szCs w:val="22"/>
          <w:lang w:val="sr-Latn-RS"/>
        </w:rPr>
        <w:t xml:space="preserve"> </w:t>
      </w:r>
      <w:r w:rsidR="005C7C34" w:rsidRPr="00394D9A">
        <w:rPr>
          <w:szCs w:val="22"/>
          <w:lang w:val="sr-Latn-RS"/>
        </w:rPr>
        <w:t>Dabigatran SK</w:t>
      </w:r>
      <w:r w:rsidRPr="00394D9A">
        <w:rPr>
          <w:szCs w:val="22"/>
          <w:lang w:val="sr-Latn-RS"/>
        </w:rPr>
        <w:t>.</w:t>
      </w:r>
    </w:p>
    <w:p w14:paraId="3ADD1B10" w14:textId="65B0E00B" w:rsidR="00951AD4" w:rsidRPr="00394D9A" w:rsidRDefault="00951AD4" w:rsidP="00187D17">
      <w:pPr>
        <w:widowControl w:val="0"/>
        <w:rPr>
          <w:szCs w:val="22"/>
          <w:lang w:val="sr-Latn-RS"/>
        </w:rPr>
      </w:pPr>
    </w:p>
    <w:p w14:paraId="4D900347" w14:textId="4AA1B2EE" w:rsidR="00951AD4" w:rsidRPr="00394D9A" w:rsidRDefault="00951AD4" w:rsidP="00187D17">
      <w:pPr>
        <w:widowControl w:val="0"/>
        <w:rPr>
          <w:szCs w:val="22"/>
          <w:lang w:val="sr-Latn-RS"/>
        </w:rPr>
      </w:pPr>
      <w:r w:rsidRPr="00394D9A">
        <w:rPr>
          <w:szCs w:val="22"/>
          <w:lang w:val="sr-Latn-RS"/>
        </w:rPr>
        <w:t xml:space="preserve">U slučaju kardioverzije, pacijenti ne moraju prekidati terapiju </w:t>
      </w:r>
      <w:r w:rsidR="00A639DA" w:rsidRPr="00394D9A">
        <w:rPr>
          <w:szCs w:val="22"/>
          <w:lang w:val="sr-Latn-RS"/>
        </w:rPr>
        <w:t>lijekom</w:t>
      </w:r>
      <w:r w:rsidRPr="00394D9A">
        <w:rPr>
          <w:szCs w:val="22"/>
          <w:lang w:val="sr-Latn-RS"/>
        </w:rPr>
        <w:t xml:space="preserve"> Dabigatran SK. </w:t>
      </w:r>
      <w:r w:rsidR="006A0D8D" w:rsidRPr="00394D9A">
        <w:rPr>
          <w:szCs w:val="22"/>
          <w:lang w:val="sr-Latn-RS"/>
        </w:rPr>
        <w:t>T</w:t>
      </w:r>
      <w:r w:rsidRPr="00394D9A">
        <w:rPr>
          <w:szCs w:val="22"/>
          <w:lang w:val="sr-Latn-RS"/>
        </w:rPr>
        <w:t>erapij</w:t>
      </w:r>
      <w:r w:rsidR="006A0D8D" w:rsidRPr="00394D9A">
        <w:rPr>
          <w:szCs w:val="22"/>
          <w:lang w:val="sr-Latn-RS"/>
        </w:rPr>
        <w:t>a</w:t>
      </w:r>
      <w:r w:rsidRPr="00394D9A">
        <w:rPr>
          <w:szCs w:val="22"/>
          <w:lang w:val="sr-Latn-RS"/>
        </w:rPr>
        <w:t xml:space="preserve"> </w:t>
      </w:r>
      <w:r w:rsidR="00A639DA" w:rsidRPr="00394D9A">
        <w:rPr>
          <w:szCs w:val="22"/>
          <w:lang w:val="sr-Latn-RS"/>
        </w:rPr>
        <w:t>lijekom</w:t>
      </w:r>
      <w:r w:rsidRPr="00394D9A">
        <w:rPr>
          <w:szCs w:val="22"/>
          <w:lang w:val="sr-Latn-RS"/>
        </w:rPr>
        <w:t xml:space="preserve"> Dabigatran SK </w:t>
      </w:r>
      <w:r w:rsidR="006A0D8D" w:rsidRPr="00394D9A">
        <w:rPr>
          <w:szCs w:val="22"/>
          <w:lang w:val="sr-Latn-RS"/>
        </w:rPr>
        <w:t>(</w:t>
      </w:r>
      <w:r w:rsidRPr="00394D9A">
        <w:rPr>
          <w:szCs w:val="22"/>
          <w:lang w:val="sr-Latn-RS"/>
        </w:rPr>
        <w:t>1</w:t>
      </w:r>
      <w:r w:rsidR="00ED3638" w:rsidRPr="00394D9A">
        <w:rPr>
          <w:szCs w:val="22"/>
          <w:lang w:val="sr-Latn-RS"/>
        </w:rPr>
        <w:t>5</w:t>
      </w:r>
      <w:r w:rsidRPr="00394D9A">
        <w:rPr>
          <w:szCs w:val="22"/>
          <w:lang w:val="sr-Latn-RS"/>
        </w:rPr>
        <w:t>0 mg dva puta na dan</w:t>
      </w:r>
      <w:r w:rsidR="006A0D8D" w:rsidRPr="00394D9A">
        <w:rPr>
          <w:szCs w:val="22"/>
          <w:lang w:val="sr-Latn-RS"/>
        </w:rPr>
        <w:t>)</w:t>
      </w:r>
      <w:r w:rsidRPr="00394D9A">
        <w:rPr>
          <w:szCs w:val="22"/>
          <w:lang w:val="sr-Latn-RS"/>
        </w:rPr>
        <w:t xml:space="preserve"> </w:t>
      </w:r>
      <w:r w:rsidR="006A0D8D" w:rsidRPr="00394D9A">
        <w:rPr>
          <w:szCs w:val="22"/>
          <w:lang w:val="sr-Latn-RS"/>
        </w:rPr>
        <w:t xml:space="preserve">ne mora se prekidati </w:t>
      </w:r>
      <w:r w:rsidRPr="00394D9A">
        <w:rPr>
          <w:szCs w:val="22"/>
          <w:lang w:val="sr-Latn-RS"/>
        </w:rPr>
        <w:t>kod pacijenata</w:t>
      </w:r>
      <w:r w:rsidR="006A0D8D" w:rsidRPr="00394D9A">
        <w:rPr>
          <w:szCs w:val="22"/>
          <w:lang w:val="sr-Latn-RS"/>
        </w:rPr>
        <w:t xml:space="preserve"> koji se</w:t>
      </w:r>
      <w:r w:rsidRPr="00394D9A">
        <w:rPr>
          <w:szCs w:val="22"/>
          <w:lang w:val="sr-Latn-RS"/>
        </w:rPr>
        <w:t xml:space="preserve"> podvrg</w:t>
      </w:r>
      <w:r w:rsidR="006A0D8D" w:rsidRPr="00394D9A">
        <w:rPr>
          <w:szCs w:val="22"/>
          <w:lang w:val="sr-Latn-RS"/>
        </w:rPr>
        <w:t>avaju</w:t>
      </w:r>
      <w:r w:rsidRPr="00394D9A">
        <w:rPr>
          <w:szCs w:val="22"/>
          <w:lang w:val="sr-Latn-RS"/>
        </w:rPr>
        <w:t xml:space="preserve"> </w:t>
      </w:r>
      <w:r w:rsidRPr="00394D9A">
        <w:rPr>
          <w:szCs w:val="22"/>
          <w:lang w:val="sr-Latn-RS"/>
        </w:rPr>
        <w:lastRenderedPageBreak/>
        <w:t>kateterskoj ablaciji zbog atrijalne fibrilacije (</w:t>
      </w:r>
      <w:r w:rsidR="00244997" w:rsidRPr="00394D9A">
        <w:rPr>
          <w:szCs w:val="22"/>
          <w:lang w:val="sr-Latn-RS"/>
        </w:rPr>
        <w:t xml:space="preserve">vidjeti </w:t>
      </w:r>
      <w:r w:rsidR="00D7145C" w:rsidRPr="00394D9A">
        <w:rPr>
          <w:szCs w:val="22"/>
          <w:lang w:val="sr-Latn-RS"/>
        </w:rPr>
        <w:t>dio</w:t>
      </w:r>
      <w:r w:rsidRPr="00394D9A">
        <w:rPr>
          <w:szCs w:val="22"/>
          <w:lang w:val="sr-Latn-RS"/>
        </w:rPr>
        <w:t xml:space="preserve"> 4.2).</w:t>
      </w:r>
    </w:p>
    <w:p w14:paraId="0CAE29F5" w14:textId="77777777" w:rsidR="00242BCA" w:rsidRPr="00394D9A" w:rsidRDefault="00242BCA" w:rsidP="00187D17">
      <w:pPr>
        <w:widowControl w:val="0"/>
        <w:rPr>
          <w:szCs w:val="22"/>
          <w:lang w:val="sr-Latn-RS"/>
        </w:rPr>
      </w:pPr>
    </w:p>
    <w:p w14:paraId="39819132" w14:textId="2E5C1306" w:rsidR="002E231D" w:rsidRPr="00394D9A" w:rsidRDefault="002E231D" w:rsidP="00187D17">
      <w:pPr>
        <w:widowControl w:val="0"/>
        <w:rPr>
          <w:szCs w:val="22"/>
          <w:lang w:val="sr-Latn-RS"/>
        </w:rPr>
      </w:pPr>
      <w:r w:rsidRPr="00394D9A">
        <w:rPr>
          <w:szCs w:val="22"/>
          <w:lang w:val="sr-Latn-RS"/>
        </w:rPr>
        <w:t>Kada se terapija pri</w:t>
      </w:r>
      <w:r w:rsidR="00BD52DD" w:rsidRPr="00394D9A">
        <w:rPr>
          <w:szCs w:val="22"/>
          <w:lang w:val="sr-Latn-RS"/>
        </w:rPr>
        <w:t>vreme</w:t>
      </w:r>
      <w:r w:rsidRPr="00394D9A">
        <w:rPr>
          <w:szCs w:val="22"/>
          <w:lang w:val="sr-Latn-RS"/>
        </w:rPr>
        <w:t>no obustavi zbog intervencije, potreban je oprez i praćenje antikoagulanasa. Kod</w:t>
      </w:r>
      <w:r w:rsidR="005C7C34" w:rsidRPr="00394D9A">
        <w:rPr>
          <w:szCs w:val="22"/>
          <w:lang w:val="sr-Latn-RS"/>
        </w:rPr>
        <w:t xml:space="preserve"> </w:t>
      </w:r>
      <w:r w:rsidRPr="00394D9A">
        <w:rPr>
          <w:szCs w:val="22"/>
          <w:lang w:val="sr-Latn-RS"/>
        </w:rPr>
        <w:t>pacijenata sa oštećenjem funkcije bubrega klirens dabigatrana može da potraje duže (</w:t>
      </w:r>
      <w:r w:rsidR="00244997" w:rsidRPr="00394D9A">
        <w:rPr>
          <w:szCs w:val="22"/>
          <w:lang w:val="sr-Latn-RS"/>
        </w:rPr>
        <w:t xml:space="preserve">vidjeti </w:t>
      </w:r>
      <w:r w:rsidR="00D7145C" w:rsidRPr="00394D9A">
        <w:rPr>
          <w:szCs w:val="22"/>
          <w:lang w:val="sr-Latn-RS"/>
        </w:rPr>
        <w:t>dio</w:t>
      </w:r>
      <w:r w:rsidRPr="00394D9A">
        <w:rPr>
          <w:szCs w:val="22"/>
          <w:lang w:val="sr-Latn-RS"/>
        </w:rPr>
        <w:t xml:space="preserve"> 5.2).</w:t>
      </w:r>
      <w:r w:rsidR="005C7C34" w:rsidRPr="00394D9A">
        <w:rPr>
          <w:szCs w:val="22"/>
          <w:lang w:val="sr-Latn-RS"/>
        </w:rPr>
        <w:t xml:space="preserve"> </w:t>
      </w:r>
      <w:r w:rsidRPr="00394D9A">
        <w:rPr>
          <w:szCs w:val="22"/>
          <w:lang w:val="sr-Latn-RS"/>
        </w:rPr>
        <w:t>Ovo treba uzeti u obzir pr</w:t>
      </w:r>
      <w:r w:rsidR="00BD52DD" w:rsidRPr="00394D9A">
        <w:rPr>
          <w:szCs w:val="22"/>
          <w:lang w:val="sr-Latn-RS"/>
        </w:rPr>
        <w:t>ij</w:t>
      </w:r>
      <w:r w:rsidRPr="00394D9A">
        <w:rPr>
          <w:szCs w:val="22"/>
          <w:lang w:val="sr-Latn-RS"/>
        </w:rPr>
        <w:t>e svake procedure. U takvim slučajevima test koagulacije (</w:t>
      </w:r>
      <w:r w:rsidR="00244997" w:rsidRPr="00394D9A">
        <w:rPr>
          <w:szCs w:val="22"/>
          <w:lang w:val="sr-Latn-RS"/>
        </w:rPr>
        <w:t xml:space="preserve">vidjeti </w:t>
      </w:r>
      <w:r w:rsidR="00D7145C" w:rsidRPr="00394D9A">
        <w:rPr>
          <w:szCs w:val="22"/>
          <w:lang w:val="sr-Latn-RS"/>
        </w:rPr>
        <w:t>djelove</w:t>
      </w:r>
      <w:r w:rsidRPr="00394D9A">
        <w:rPr>
          <w:szCs w:val="22"/>
          <w:lang w:val="sr-Latn-RS"/>
        </w:rPr>
        <w:t xml:space="preserve"> 4.4 </w:t>
      </w:r>
      <w:r w:rsidR="006A7602" w:rsidRPr="00394D9A">
        <w:rPr>
          <w:szCs w:val="22"/>
          <w:lang w:val="sr-Latn-RS"/>
        </w:rPr>
        <w:t>i</w:t>
      </w:r>
      <w:r w:rsidR="005C7C34" w:rsidRPr="00394D9A">
        <w:rPr>
          <w:szCs w:val="22"/>
          <w:lang w:val="sr-Latn-RS"/>
        </w:rPr>
        <w:t xml:space="preserve"> </w:t>
      </w:r>
      <w:r w:rsidRPr="00394D9A">
        <w:rPr>
          <w:szCs w:val="22"/>
          <w:lang w:val="sr-Latn-RS"/>
        </w:rPr>
        <w:t>5.1) može da pomogne da se utvrdi da li je hemostaza i dalje smanjena.</w:t>
      </w:r>
    </w:p>
    <w:p w14:paraId="47D159FB" w14:textId="77777777" w:rsidR="005C7C34" w:rsidRPr="00394D9A" w:rsidRDefault="005C7C34" w:rsidP="00187D17">
      <w:pPr>
        <w:widowControl w:val="0"/>
        <w:rPr>
          <w:szCs w:val="22"/>
          <w:lang w:val="sr-Latn-RS"/>
        </w:rPr>
      </w:pPr>
    </w:p>
    <w:p w14:paraId="3AAC02AE" w14:textId="7BD57AB5" w:rsidR="002E231D" w:rsidRPr="00394D9A" w:rsidRDefault="002E231D" w:rsidP="00187D17">
      <w:pPr>
        <w:widowControl w:val="0"/>
        <w:rPr>
          <w:i/>
          <w:iCs/>
          <w:szCs w:val="22"/>
          <w:u w:val="single"/>
          <w:lang w:val="sr-Latn-RS"/>
        </w:rPr>
      </w:pPr>
      <w:r w:rsidRPr="00394D9A">
        <w:rPr>
          <w:i/>
          <w:iCs/>
          <w:szCs w:val="22"/>
          <w:u w:val="single"/>
          <w:lang w:val="sr-Latn-RS"/>
        </w:rPr>
        <w:t>Hitni hirurški zahvati ili hitne procedure</w:t>
      </w:r>
    </w:p>
    <w:p w14:paraId="51326A18" w14:textId="77777777" w:rsidR="005C7C34" w:rsidRPr="00394D9A" w:rsidRDefault="005C7C34" w:rsidP="00187D17">
      <w:pPr>
        <w:widowControl w:val="0"/>
        <w:rPr>
          <w:i/>
          <w:iCs/>
          <w:szCs w:val="22"/>
          <w:lang w:val="sr-Latn-RS"/>
        </w:rPr>
      </w:pPr>
    </w:p>
    <w:p w14:paraId="4CCE650C" w14:textId="1C3DE25E" w:rsidR="002E231D" w:rsidRPr="00394D9A" w:rsidRDefault="002E231D" w:rsidP="00187D17">
      <w:pPr>
        <w:widowControl w:val="0"/>
        <w:rPr>
          <w:szCs w:val="22"/>
          <w:lang w:val="sr-Latn-RS"/>
        </w:rPr>
      </w:pPr>
      <w:r w:rsidRPr="00394D9A">
        <w:rPr>
          <w:szCs w:val="22"/>
          <w:lang w:val="sr-Latn-RS"/>
        </w:rPr>
        <w:t>Prim</w:t>
      </w:r>
      <w:r w:rsidR="00BD52DD" w:rsidRPr="00394D9A">
        <w:rPr>
          <w:szCs w:val="22"/>
          <w:lang w:val="sr-Latn-RS"/>
        </w:rPr>
        <w:t>j</w:t>
      </w:r>
      <w:r w:rsidRPr="00394D9A">
        <w:rPr>
          <w:szCs w:val="22"/>
          <w:lang w:val="sr-Latn-RS"/>
        </w:rPr>
        <w:t xml:space="preserve">enu </w:t>
      </w:r>
      <w:r w:rsidR="00A639DA" w:rsidRPr="00394D9A">
        <w:rPr>
          <w:szCs w:val="22"/>
          <w:lang w:val="sr-Latn-RS"/>
        </w:rPr>
        <w:t>lijeka</w:t>
      </w:r>
      <w:r w:rsidRPr="00394D9A">
        <w:rPr>
          <w:szCs w:val="22"/>
          <w:lang w:val="sr-Latn-RS"/>
        </w:rPr>
        <w:t xml:space="preserve"> </w:t>
      </w:r>
      <w:r w:rsidR="005C7C34" w:rsidRPr="00394D9A">
        <w:rPr>
          <w:szCs w:val="22"/>
          <w:lang w:val="sr-Latn-RS"/>
        </w:rPr>
        <w:t>Dabigatran SK</w:t>
      </w:r>
      <w:r w:rsidRPr="00394D9A">
        <w:rPr>
          <w:szCs w:val="22"/>
          <w:lang w:val="sr-Latn-RS"/>
        </w:rPr>
        <w:t xml:space="preserve"> potrebno je pri</w:t>
      </w:r>
      <w:r w:rsidR="00BD52DD" w:rsidRPr="00394D9A">
        <w:rPr>
          <w:szCs w:val="22"/>
          <w:lang w:val="sr-Latn-RS"/>
        </w:rPr>
        <w:t>vreme</w:t>
      </w:r>
      <w:r w:rsidRPr="00394D9A">
        <w:rPr>
          <w:szCs w:val="22"/>
          <w:lang w:val="sr-Latn-RS"/>
        </w:rPr>
        <w:t>no prekinuti. U slučajevima kada je potrebno brzo poništenje</w:t>
      </w:r>
      <w:r w:rsidR="005C7C34" w:rsidRPr="00394D9A">
        <w:rPr>
          <w:szCs w:val="22"/>
          <w:lang w:val="sr-Latn-RS"/>
        </w:rPr>
        <w:t xml:space="preserve"> </w:t>
      </w:r>
      <w:r w:rsidRPr="00394D9A">
        <w:rPr>
          <w:szCs w:val="22"/>
          <w:lang w:val="sr-Latn-RS"/>
        </w:rPr>
        <w:t xml:space="preserve">antikoagulantnog dejstva, dostupan je specifičan antagonist za </w:t>
      </w:r>
      <w:r w:rsidR="00A639DA" w:rsidRPr="00394D9A">
        <w:rPr>
          <w:szCs w:val="22"/>
          <w:lang w:val="sr-Latn-RS"/>
        </w:rPr>
        <w:t>lijek</w:t>
      </w:r>
      <w:r w:rsidRPr="00394D9A">
        <w:rPr>
          <w:szCs w:val="22"/>
          <w:lang w:val="sr-Latn-RS"/>
        </w:rPr>
        <w:t xml:space="preserve"> </w:t>
      </w:r>
      <w:r w:rsidR="002F623A" w:rsidRPr="00394D9A">
        <w:rPr>
          <w:szCs w:val="22"/>
          <w:lang w:val="sr-Latn-RS"/>
        </w:rPr>
        <w:t>Dabigatran SK</w:t>
      </w:r>
      <w:r w:rsidRPr="00394D9A">
        <w:rPr>
          <w:szCs w:val="22"/>
          <w:lang w:val="sr-Latn-RS"/>
        </w:rPr>
        <w:t xml:space="preserve"> (idarucizumab)</w:t>
      </w:r>
      <w:r w:rsidR="000E7B27" w:rsidRPr="00394D9A">
        <w:rPr>
          <w:szCs w:val="22"/>
          <w:lang w:val="sr-Latn-RS"/>
        </w:rPr>
        <w:t xml:space="preserve"> kod o</w:t>
      </w:r>
      <w:r w:rsidR="00873B3C" w:rsidRPr="00394D9A">
        <w:rPr>
          <w:szCs w:val="22"/>
          <w:lang w:val="sr-Latn-RS"/>
        </w:rPr>
        <w:t>d</w:t>
      </w:r>
      <w:r w:rsidR="000E7B27" w:rsidRPr="00394D9A">
        <w:rPr>
          <w:szCs w:val="22"/>
          <w:lang w:val="sr-Latn-RS"/>
        </w:rPr>
        <w:t>raslih pacijenata</w:t>
      </w:r>
      <w:r w:rsidRPr="00394D9A">
        <w:rPr>
          <w:szCs w:val="22"/>
          <w:lang w:val="sr-Latn-RS"/>
        </w:rPr>
        <w:t>.</w:t>
      </w:r>
      <w:r w:rsidR="00FD00E8" w:rsidRPr="00394D9A">
        <w:rPr>
          <w:szCs w:val="22"/>
          <w:lang w:val="sr-Latn-RS"/>
        </w:rPr>
        <w:t xml:space="preserve"> Efikasnost i bezb</w:t>
      </w:r>
      <w:r w:rsidR="00873B3C" w:rsidRPr="00394D9A">
        <w:rPr>
          <w:szCs w:val="22"/>
          <w:lang w:val="sr-Latn-RS"/>
        </w:rPr>
        <w:t>j</w:t>
      </w:r>
      <w:r w:rsidR="00FD00E8" w:rsidRPr="00394D9A">
        <w:rPr>
          <w:szCs w:val="22"/>
          <w:lang w:val="sr-Latn-RS"/>
        </w:rPr>
        <w:t>ednost idarucizumaba nije ustanovljena kod pedijatrijskih pacijenata. Dabigatran se može ukloniti hemodijalizom.</w:t>
      </w:r>
    </w:p>
    <w:p w14:paraId="31700522" w14:textId="77777777" w:rsidR="00951AD4" w:rsidRPr="00394D9A" w:rsidRDefault="00951AD4" w:rsidP="00187D17">
      <w:pPr>
        <w:widowControl w:val="0"/>
        <w:rPr>
          <w:szCs w:val="22"/>
          <w:lang w:val="sr-Latn-RS"/>
        </w:rPr>
      </w:pPr>
    </w:p>
    <w:p w14:paraId="2507667C" w14:textId="77777777" w:rsidR="002E231D" w:rsidRPr="00394D9A" w:rsidRDefault="002E231D" w:rsidP="00187D17">
      <w:pPr>
        <w:widowControl w:val="0"/>
        <w:rPr>
          <w:szCs w:val="22"/>
          <w:lang w:val="sr-Latn-RS"/>
        </w:rPr>
      </w:pPr>
      <w:r w:rsidRPr="00394D9A">
        <w:rPr>
          <w:szCs w:val="22"/>
          <w:lang w:val="sr-Latn-RS"/>
        </w:rPr>
        <w:t>Poništenje terapije dabigatranom izlaže pacijente riziku od tromboze zbog njihove osnovne bolesti.</w:t>
      </w:r>
    </w:p>
    <w:p w14:paraId="42220C9D" w14:textId="7D511D57" w:rsidR="002E231D" w:rsidRPr="00394D9A" w:rsidRDefault="002E231D" w:rsidP="00187D17">
      <w:pPr>
        <w:widowControl w:val="0"/>
        <w:rPr>
          <w:szCs w:val="22"/>
          <w:lang w:val="sr-Latn-RS"/>
        </w:rPr>
      </w:pPr>
      <w:r w:rsidRPr="00394D9A">
        <w:rPr>
          <w:szCs w:val="22"/>
          <w:lang w:val="sr-Latn-RS"/>
        </w:rPr>
        <w:t xml:space="preserve">Terapija </w:t>
      </w:r>
      <w:r w:rsidR="00A639DA" w:rsidRPr="00394D9A">
        <w:rPr>
          <w:szCs w:val="22"/>
          <w:lang w:val="sr-Latn-RS"/>
        </w:rPr>
        <w:t>lijekom</w:t>
      </w:r>
      <w:r w:rsidRPr="00394D9A">
        <w:rPr>
          <w:szCs w:val="22"/>
          <w:lang w:val="sr-Latn-RS"/>
        </w:rPr>
        <w:t xml:space="preserve"> </w:t>
      </w:r>
      <w:r w:rsidR="005C7C34" w:rsidRPr="00394D9A">
        <w:rPr>
          <w:szCs w:val="22"/>
          <w:lang w:val="sr-Latn-RS"/>
        </w:rPr>
        <w:t>Dabigatran SK</w:t>
      </w:r>
      <w:r w:rsidRPr="00394D9A">
        <w:rPr>
          <w:szCs w:val="22"/>
          <w:lang w:val="sr-Latn-RS"/>
        </w:rPr>
        <w:t xml:space="preserve"> može se ponovo započeti 24 sata nakon </w:t>
      </w:r>
      <w:r w:rsidR="00A639DA" w:rsidRPr="00394D9A">
        <w:rPr>
          <w:szCs w:val="22"/>
          <w:lang w:val="sr-Latn-RS"/>
        </w:rPr>
        <w:t>primjene</w:t>
      </w:r>
      <w:r w:rsidRPr="00394D9A">
        <w:rPr>
          <w:szCs w:val="22"/>
          <w:lang w:val="sr-Latn-RS"/>
        </w:rPr>
        <w:t xml:space="preserve"> idarucizumab</w:t>
      </w:r>
      <w:r w:rsidR="00FD00E8" w:rsidRPr="00394D9A">
        <w:rPr>
          <w:szCs w:val="22"/>
          <w:lang w:val="sr-Latn-RS"/>
        </w:rPr>
        <w:t>a</w:t>
      </w:r>
      <w:r w:rsidRPr="00394D9A">
        <w:rPr>
          <w:szCs w:val="22"/>
          <w:lang w:val="sr-Latn-RS"/>
        </w:rPr>
        <w:t>,</w:t>
      </w:r>
      <w:r w:rsidR="005C7C34" w:rsidRPr="00394D9A">
        <w:rPr>
          <w:szCs w:val="22"/>
          <w:lang w:val="sr-Latn-RS"/>
        </w:rPr>
        <w:t xml:space="preserve"> </w:t>
      </w:r>
      <w:r w:rsidRPr="00394D9A">
        <w:rPr>
          <w:szCs w:val="22"/>
          <w:lang w:val="sr-Latn-RS"/>
        </w:rPr>
        <w:t>ako je pacijent klinički stabilan i ako je postignuta odgovarajuća hemostaza.</w:t>
      </w:r>
    </w:p>
    <w:p w14:paraId="7AB2A6AD" w14:textId="77777777" w:rsidR="005C7C34" w:rsidRPr="00394D9A" w:rsidRDefault="005C7C34" w:rsidP="00187D17">
      <w:pPr>
        <w:widowControl w:val="0"/>
        <w:rPr>
          <w:szCs w:val="22"/>
          <w:u w:val="single"/>
          <w:lang w:val="sr-Latn-RS"/>
        </w:rPr>
      </w:pPr>
    </w:p>
    <w:p w14:paraId="2F4AB0F6" w14:textId="6C46FF07" w:rsidR="002E231D" w:rsidRPr="00394D9A" w:rsidRDefault="002E231D" w:rsidP="00187D17">
      <w:pPr>
        <w:widowControl w:val="0"/>
        <w:rPr>
          <w:i/>
          <w:iCs/>
          <w:szCs w:val="22"/>
          <w:u w:val="single"/>
          <w:lang w:val="sr-Latn-RS"/>
        </w:rPr>
      </w:pPr>
      <w:r w:rsidRPr="00394D9A">
        <w:rPr>
          <w:i/>
          <w:iCs/>
          <w:szCs w:val="22"/>
          <w:u w:val="single"/>
          <w:lang w:val="sr-Latn-RS"/>
        </w:rPr>
        <w:t>Subakutni hirurški zahvati/intervencije</w:t>
      </w:r>
    </w:p>
    <w:p w14:paraId="531F3FE2" w14:textId="77777777" w:rsidR="005C7C34" w:rsidRPr="00394D9A" w:rsidRDefault="005C7C34" w:rsidP="00187D17">
      <w:pPr>
        <w:widowControl w:val="0"/>
        <w:rPr>
          <w:szCs w:val="22"/>
          <w:lang w:val="sr-Latn-RS"/>
        </w:rPr>
      </w:pPr>
    </w:p>
    <w:p w14:paraId="3C70DDFA" w14:textId="066581EC" w:rsidR="002E231D" w:rsidRPr="00394D9A" w:rsidRDefault="002E231D" w:rsidP="00187D17">
      <w:pPr>
        <w:widowControl w:val="0"/>
        <w:rPr>
          <w:szCs w:val="22"/>
          <w:lang w:val="sr-Latn-RS"/>
        </w:rPr>
      </w:pPr>
      <w:r w:rsidRPr="00394D9A">
        <w:rPr>
          <w:szCs w:val="22"/>
          <w:lang w:val="sr-Latn-RS"/>
        </w:rPr>
        <w:t>Prim</w:t>
      </w:r>
      <w:r w:rsidR="00BD52DD" w:rsidRPr="00394D9A">
        <w:rPr>
          <w:szCs w:val="22"/>
          <w:lang w:val="sr-Latn-RS"/>
        </w:rPr>
        <w:t>j</w:t>
      </w:r>
      <w:r w:rsidRPr="00394D9A">
        <w:rPr>
          <w:szCs w:val="22"/>
          <w:lang w:val="sr-Latn-RS"/>
        </w:rPr>
        <w:t xml:space="preserve">enu </w:t>
      </w:r>
      <w:r w:rsidR="00A639DA" w:rsidRPr="00394D9A">
        <w:rPr>
          <w:szCs w:val="22"/>
          <w:lang w:val="sr-Latn-RS"/>
        </w:rPr>
        <w:t>lijeka</w:t>
      </w:r>
      <w:r w:rsidRPr="00394D9A">
        <w:rPr>
          <w:szCs w:val="22"/>
          <w:lang w:val="sr-Latn-RS"/>
        </w:rPr>
        <w:t xml:space="preserve"> </w:t>
      </w:r>
      <w:r w:rsidR="005C7C34" w:rsidRPr="00394D9A">
        <w:rPr>
          <w:szCs w:val="22"/>
          <w:lang w:val="sr-Latn-RS"/>
        </w:rPr>
        <w:t>Dabigatran SK</w:t>
      </w:r>
      <w:r w:rsidRPr="00394D9A">
        <w:rPr>
          <w:szCs w:val="22"/>
          <w:lang w:val="sr-Latn-RS"/>
        </w:rPr>
        <w:t xml:space="preserve"> potrebno je pri</w:t>
      </w:r>
      <w:r w:rsidR="00BD52DD" w:rsidRPr="00394D9A">
        <w:rPr>
          <w:szCs w:val="22"/>
          <w:lang w:val="sr-Latn-RS"/>
        </w:rPr>
        <w:t>vreme</w:t>
      </w:r>
      <w:r w:rsidRPr="00394D9A">
        <w:rPr>
          <w:szCs w:val="22"/>
          <w:lang w:val="sr-Latn-RS"/>
        </w:rPr>
        <w:t>no prekinuti. Hirurški zahvat/intervenciju je potrebno,</w:t>
      </w:r>
      <w:r w:rsidR="005C7C34" w:rsidRPr="00394D9A">
        <w:rPr>
          <w:szCs w:val="22"/>
          <w:lang w:val="sr-Latn-RS"/>
        </w:rPr>
        <w:t xml:space="preserve"> </w:t>
      </w:r>
      <w:r w:rsidRPr="00394D9A">
        <w:rPr>
          <w:szCs w:val="22"/>
          <w:lang w:val="sr-Latn-RS"/>
        </w:rPr>
        <w:t>ukoliko postoji mogućnost, odložiti za najmanje 12 sati nakon posl</w:t>
      </w:r>
      <w:r w:rsidR="00157169" w:rsidRPr="00394D9A">
        <w:rPr>
          <w:szCs w:val="22"/>
          <w:lang w:val="sr-Latn-RS"/>
        </w:rPr>
        <w:t>j</w:t>
      </w:r>
      <w:r w:rsidRPr="00394D9A">
        <w:rPr>
          <w:szCs w:val="22"/>
          <w:lang w:val="sr-Latn-RS"/>
        </w:rPr>
        <w:t>ednje doze. Ako se hirurški zahvat ne</w:t>
      </w:r>
      <w:r w:rsidR="005C7C34" w:rsidRPr="00394D9A">
        <w:rPr>
          <w:szCs w:val="22"/>
          <w:lang w:val="sr-Latn-RS"/>
        </w:rPr>
        <w:t xml:space="preserve"> </w:t>
      </w:r>
      <w:r w:rsidRPr="00394D9A">
        <w:rPr>
          <w:szCs w:val="22"/>
          <w:lang w:val="sr-Latn-RS"/>
        </w:rPr>
        <w:t>može odložiti, rizik od krvarenja se može povećati. Potrebno je proc</w:t>
      </w:r>
      <w:r w:rsidR="00873B3C" w:rsidRPr="00394D9A">
        <w:rPr>
          <w:szCs w:val="22"/>
          <w:lang w:val="sr-Latn-RS"/>
        </w:rPr>
        <w:t>i</w:t>
      </w:r>
      <w:r w:rsidR="00BD52DD" w:rsidRPr="00394D9A">
        <w:rPr>
          <w:szCs w:val="22"/>
          <w:lang w:val="sr-Latn-RS"/>
        </w:rPr>
        <w:t>j</w:t>
      </w:r>
      <w:r w:rsidRPr="00394D9A">
        <w:rPr>
          <w:szCs w:val="22"/>
          <w:lang w:val="sr-Latn-RS"/>
        </w:rPr>
        <w:t>eniti rizik od krvarenja u odnosu na</w:t>
      </w:r>
      <w:r w:rsidR="005C7C34" w:rsidRPr="00394D9A">
        <w:rPr>
          <w:szCs w:val="22"/>
          <w:lang w:val="sr-Latn-RS"/>
        </w:rPr>
        <w:t xml:space="preserve"> </w:t>
      </w:r>
      <w:r w:rsidRPr="00394D9A">
        <w:rPr>
          <w:szCs w:val="22"/>
          <w:lang w:val="sr-Latn-RS"/>
        </w:rPr>
        <w:t>hitnost intervencije.</w:t>
      </w:r>
    </w:p>
    <w:p w14:paraId="7185B426" w14:textId="77777777" w:rsidR="005C7C34" w:rsidRPr="00394D9A" w:rsidRDefault="005C7C34" w:rsidP="00187D17">
      <w:pPr>
        <w:widowControl w:val="0"/>
        <w:rPr>
          <w:szCs w:val="22"/>
          <w:u w:val="single"/>
          <w:lang w:val="sr-Latn-RS"/>
        </w:rPr>
      </w:pPr>
    </w:p>
    <w:p w14:paraId="5100A220" w14:textId="00026BE8" w:rsidR="002E231D" w:rsidRPr="00394D9A" w:rsidRDefault="002E231D" w:rsidP="00187D17">
      <w:pPr>
        <w:widowControl w:val="0"/>
        <w:rPr>
          <w:i/>
          <w:iCs/>
          <w:szCs w:val="22"/>
          <w:u w:val="single"/>
          <w:lang w:val="sr-Latn-RS"/>
        </w:rPr>
      </w:pPr>
      <w:r w:rsidRPr="00394D9A">
        <w:rPr>
          <w:i/>
          <w:iCs/>
          <w:szCs w:val="22"/>
          <w:u w:val="single"/>
          <w:lang w:val="sr-Latn-RS"/>
        </w:rPr>
        <w:t>E</w:t>
      </w:r>
      <w:r w:rsidR="00A639DA" w:rsidRPr="00394D9A">
        <w:rPr>
          <w:i/>
          <w:iCs/>
          <w:szCs w:val="22"/>
          <w:u w:val="single"/>
          <w:lang w:val="sr-Latn-RS"/>
        </w:rPr>
        <w:t>lijek</w:t>
      </w:r>
      <w:r w:rsidRPr="00394D9A">
        <w:rPr>
          <w:i/>
          <w:iCs/>
          <w:szCs w:val="22"/>
          <w:u w:val="single"/>
          <w:lang w:val="sr-Latn-RS"/>
        </w:rPr>
        <w:t>tivni hirurški zahvati</w:t>
      </w:r>
    </w:p>
    <w:p w14:paraId="795A56B1" w14:textId="77777777" w:rsidR="005C7C34" w:rsidRPr="00394D9A" w:rsidRDefault="005C7C34" w:rsidP="00187D17">
      <w:pPr>
        <w:widowControl w:val="0"/>
        <w:rPr>
          <w:szCs w:val="22"/>
          <w:lang w:val="sr-Latn-RS"/>
        </w:rPr>
      </w:pPr>
    </w:p>
    <w:p w14:paraId="4E43D171" w14:textId="47075435" w:rsidR="002E231D" w:rsidRPr="00394D9A" w:rsidRDefault="002E231D" w:rsidP="00187D17">
      <w:pPr>
        <w:widowControl w:val="0"/>
        <w:rPr>
          <w:szCs w:val="22"/>
          <w:lang w:val="sr-Latn-RS"/>
        </w:rPr>
      </w:pPr>
      <w:r w:rsidRPr="00394D9A">
        <w:rPr>
          <w:szCs w:val="22"/>
          <w:lang w:val="sr-Latn-RS"/>
        </w:rPr>
        <w:t>Ukoliko postoji mogućnost, prim</w:t>
      </w:r>
      <w:r w:rsidR="00BD52DD" w:rsidRPr="00394D9A">
        <w:rPr>
          <w:szCs w:val="22"/>
          <w:lang w:val="sr-Latn-RS"/>
        </w:rPr>
        <w:t>j</w:t>
      </w:r>
      <w:r w:rsidRPr="00394D9A">
        <w:rPr>
          <w:szCs w:val="22"/>
          <w:lang w:val="sr-Latn-RS"/>
        </w:rPr>
        <w:t xml:space="preserve">enu </w:t>
      </w:r>
      <w:r w:rsidR="00A639DA" w:rsidRPr="00394D9A">
        <w:rPr>
          <w:szCs w:val="22"/>
          <w:lang w:val="sr-Latn-RS"/>
        </w:rPr>
        <w:t>lijeka</w:t>
      </w:r>
      <w:r w:rsidRPr="00394D9A">
        <w:rPr>
          <w:szCs w:val="22"/>
          <w:lang w:val="sr-Latn-RS"/>
        </w:rPr>
        <w:t xml:space="preserve"> </w:t>
      </w:r>
      <w:r w:rsidR="005C7C34" w:rsidRPr="00394D9A">
        <w:rPr>
          <w:szCs w:val="22"/>
          <w:lang w:val="sr-Latn-RS"/>
        </w:rPr>
        <w:t>Dabigatran SK</w:t>
      </w:r>
      <w:r w:rsidRPr="00394D9A">
        <w:rPr>
          <w:szCs w:val="22"/>
          <w:lang w:val="sr-Latn-RS"/>
        </w:rPr>
        <w:t xml:space="preserve"> je potrebno prekinuti najmanje 24 časa pr</w:t>
      </w:r>
      <w:r w:rsidR="00BD52DD" w:rsidRPr="00394D9A">
        <w:rPr>
          <w:szCs w:val="22"/>
          <w:lang w:val="sr-Latn-RS"/>
        </w:rPr>
        <w:t>ij</w:t>
      </w:r>
      <w:r w:rsidRPr="00394D9A">
        <w:rPr>
          <w:szCs w:val="22"/>
          <w:lang w:val="sr-Latn-RS"/>
        </w:rPr>
        <w:t>e invazivnih</w:t>
      </w:r>
      <w:r w:rsidR="005C7C34" w:rsidRPr="00394D9A">
        <w:rPr>
          <w:szCs w:val="22"/>
          <w:lang w:val="sr-Latn-RS"/>
        </w:rPr>
        <w:t xml:space="preserve"> </w:t>
      </w:r>
      <w:r w:rsidRPr="00394D9A">
        <w:rPr>
          <w:szCs w:val="22"/>
          <w:lang w:val="sr-Latn-RS"/>
        </w:rPr>
        <w:t>ili hirurških postupaka. Kod pacijenata s</w:t>
      </w:r>
      <w:r w:rsidR="003D2DBC" w:rsidRPr="00394D9A">
        <w:rPr>
          <w:szCs w:val="22"/>
          <w:lang w:val="sr-Latn-RS"/>
        </w:rPr>
        <w:t>a</w:t>
      </w:r>
      <w:r w:rsidRPr="00394D9A">
        <w:rPr>
          <w:szCs w:val="22"/>
          <w:lang w:val="sr-Latn-RS"/>
        </w:rPr>
        <w:t xml:space="preserve"> povećanim rizikom od krvarenja ili u slučaju velikog hirurškog</w:t>
      </w:r>
      <w:r w:rsidR="005C7C34" w:rsidRPr="00394D9A">
        <w:rPr>
          <w:szCs w:val="22"/>
          <w:lang w:val="sr-Latn-RS"/>
        </w:rPr>
        <w:t xml:space="preserve"> </w:t>
      </w:r>
      <w:r w:rsidRPr="00394D9A">
        <w:rPr>
          <w:szCs w:val="22"/>
          <w:lang w:val="sr-Latn-RS"/>
        </w:rPr>
        <w:t xml:space="preserve">zahvata u kome može biti potrebna potpuna hemostaza, razmotrite prekid </w:t>
      </w:r>
      <w:r w:rsidR="00A639DA" w:rsidRPr="00394D9A">
        <w:rPr>
          <w:szCs w:val="22"/>
          <w:lang w:val="sr-Latn-RS"/>
        </w:rPr>
        <w:t>primjene</w:t>
      </w:r>
      <w:r w:rsidRPr="00394D9A">
        <w:rPr>
          <w:szCs w:val="22"/>
          <w:lang w:val="sr-Latn-RS"/>
        </w:rPr>
        <w:t xml:space="preserve"> </w:t>
      </w:r>
      <w:r w:rsidR="00A639DA" w:rsidRPr="00394D9A">
        <w:rPr>
          <w:szCs w:val="22"/>
          <w:lang w:val="sr-Latn-RS"/>
        </w:rPr>
        <w:t>lijeka</w:t>
      </w:r>
      <w:r w:rsidRPr="00394D9A">
        <w:rPr>
          <w:szCs w:val="22"/>
          <w:lang w:val="sr-Latn-RS"/>
        </w:rPr>
        <w:t xml:space="preserve"> </w:t>
      </w:r>
      <w:r w:rsidR="00EE51A6" w:rsidRPr="00394D9A">
        <w:rPr>
          <w:szCs w:val="22"/>
          <w:lang w:val="sr-Latn-RS"/>
        </w:rPr>
        <w:t>Dabigatran SK</w:t>
      </w:r>
      <w:r w:rsidRPr="00394D9A">
        <w:rPr>
          <w:szCs w:val="22"/>
          <w:lang w:val="sr-Latn-RS"/>
        </w:rPr>
        <w:t xml:space="preserve"> 2-4 dana</w:t>
      </w:r>
      <w:r w:rsidR="005C7C34" w:rsidRPr="00394D9A">
        <w:rPr>
          <w:szCs w:val="22"/>
          <w:lang w:val="sr-Latn-RS"/>
        </w:rPr>
        <w:t xml:space="preserve"> </w:t>
      </w:r>
      <w:r w:rsidRPr="00394D9A">
        <w:rPr>
          <w:szCs w:val="22"/>
          <w:lang w:val="sr-Latn-RS"/>
        </w:rPr>
        <w:t>pr</w:t>
      </w:r>
      <w:r w:rsidR="00BD52DD" w:rsidRPr="00394D9A">
        <w:rPr>
          <w:szCs w:val="22"/>
          <w:lang w:val="sr-Latn-RS"/>
        </w:rPr>
        <w:t>ij</w:t>
      </w:r>
      <w:r w:rsidRPr="00394D9A">
        <w:rPr>
          <w:szCs w:val="22"/>
          <w:lang w:val="sr-Latn-RS"/>
        </w:rPr>
        <w:t>e hirurškog zahvata.</w:t>
      </w:r>
    </w:p>
    <w:p w14:paraId="2F458F86" w14:textId="77777777" w:rsidR="005C7C34" w:rsidRPr="00394D9A" w:rsidRDefault="005C7C34" w:rsidP="00187D17">
      <w:pPr>
        <w:widowControl w:val="0"/>
        <w:rPr>
          <w:szCs w:val="22"/>
          <w:lang w:val="sr-Latn-RS"/>
        </w:rPr>
      </w:pPr>
    </w:p>
    <w:p w14:paraId="1AC6BAC3" w14:textId="25369B7A" w:rsidR="002E231D" w:rsidRPr="00394D9A" w:rsidRDefault="002E231D" w:rsidP="00187D17">
      <w:pPr>
        <w:widowControl w:val="0"/>
        <w:rPr>
          <w:szCs w:val="22"/>
          <w:lang w:val="sr-Latn-RS"/>
        </w:rPr>
      </w:pPr>
      <w:r w:rsidRPr="00394D9A">
        <w:rPr>
          <w:szCs w:val="22"/>
          <w:lang w:val="sr-Latn-RS"/>
        </w:rPr>
        <w:t xml:space="preserve">U Tabeli </w:t>
      </w:r>
      <w:r w:rsidR="008B0F92" w:rsidRPr="00394D9A">
        <w:rPr>
          <w:szCs w:val="22"/>
          <w:lang w:val="sr-Latn-RS"/>
        </w:rPr>
        <w:t>6</w:t>
      </w:r>
      <w:r w:rsidRPr="00394D9A">
        <w:rPr>
          <w:szCs w:val="22"/>
          <w:lang w:val="sr-Latn-RS"/>
        </w:rPr>
        <w:t xml:space="preserve"> dat je sažet prikaz pravila za obustavu terapije pr</w:t>
      </w:r>
      <w:r w:rsidR="00BD52DD" w:rsidRPr="00394D9A">
        <w:rPr>
          <w:szCs w:val="22"/>
          <w:lang w:val="sr-Latn-RS"/>
        </w:rPr>
        <w:t>ij</w:t>
      </w:r>
      <w:r w:rsidRPr="00394D9A">
        <w:rPr>
          <w:szCs w:val="22"/>
          <w:lang w:val="sr-Latn-RS"/>
        </w:rPr>
        <w:t>e hirurških ili invazivnih procedura</w:t>
      </w:r>
      <w:r w:rsidR="00E9707F">
        <w:rPr>
          <w:szCs w:val="22"/>
          <w:lang w:val="sr-Latn-RS"/>
        </w:rPr>
        <w:t xml:space="preserve"> kod odraslih pacijenata</w:t>
      </w:r>
      <w:r w:rsidRPr="00394D9A">
        <w:rPr>
          <w:szCs w:val="22"/>
          <w:lang w:val="sr-Latn-RS"/>
        </w:rPr>
        <w:t>.</w:t>
      </w:r>
    </w:p>
    <w:p w14:paraId="0317176E" w14:textId="77777777" w:rsidR="005C7C34" w:rsidRPr="00394D9A" w:rsidRDefault="005C7C34" w:rsidP="00187D17">
      <w:pPr>
        <w:widowControl w:val="0"/>
        <w:rPr>
          <w:szCs w:val="22"/>
          <w:lang w:val="sr-Latn-RS"/>
        </w:rPr>
      </w:pPr>
    </w:p>
    <w:p w14:paraId="32C16A53" w14:textId="3D418C86" w:rsidR="00CE09F3" w:rsidRPr="00394D9A" w:rsidRDefault="002E231D" w:rsidP="00187D17">
      <w:pPr>
        <w:widowControl w:val="0"/>
        <w:rPr>
          <w:b/>
          <w:bCs/>
          <w:szCs w:val="22"/>
          <w:lang w:val="sr-Latn-RS"/>
        </w:rPr>
      </w:pPr>
      <w:r w:rsidRPr="00394D9A">
        <w:rPr>
          <w:b/>
          <w:bCs/>
          <w:szCs w:val="22"/>
          <w:lang w:val="sr-Latn-RS"/>
        </w:rPr>
        <w:t xml:space="preserve">Tabela </w:t>
      </w:r>
      <w:r w:rsidR="008B0F92" w:rsidRPr="00394D9A">
        <w:rPr>
          <w:b/>
          <w:bCs/>
          <w:szCs w:val="22"/>
          <w:lang w:val="sr-Latn-RS"/>
        </w:rPr>
        <w:t>6</w:t>
      </w:r>
      <w:r w:rsidRPr="00394D9A">
        <w:rPr>
          <w:b/>
          <w:bCs/>
          <w:szCs w:val="22"/>
          <w:lang w:val="sr-Latn-RS"/>
        </w:rPr>
        <w:t>: Pravila za obustavu terapije pr</w:t>
      </w:r>
      <w:r w:rsidR="00BD52DD" w:rsidRPr="00394D9A">
        <w:rPr>
          <w:b/>
          <w:bCs/>
          <w:szCs w:val="22"/>
          <w:lang w:val="sr-Latn-RS"/>
        </w:rPr>
        <w:t>ij</w:t>
      </w:r>
      <w:r w:rsidRPr="00394D9A">
        <w:rPr>
          <w:b/>
          <w:bCs/>
          <w:szCs w:val="22"/>
          <w:lang w:val="sr-Latn-RS"/>
        </w:rPr>
        <w:t>e invazivnih ili hirurških procedura</w:t>
      </w:r>
      <w:r w:rsidR="00E9707F">
        <w:rPr>
          <w:b/>
          <w:bCs/>
          <w:szCs w:val="22"/>
          <w:lang w:val="sr-Latn-RS"/>
        </w:rPr>
        <w:t xml:space="preserve"> za odrasle pacijente</w:t>
      </w:r>
    </w:p>
    <w:p w14:paraId="52419FA1" w14:textId="77777777" w:rsidR="00244997" w:rsidRPr="00394D9A" w:rsidRDefault="00244997" w:rsidP="00187D17">
      <w:pPr>
        <w:widowControl w:val="0"/>
        <w:rPr>
          <w:b/>
          <w:bCs/>
          <w:szCs w:val="22"/>
          <w:lang w:val="sr-Latn-RS"/>
        </w:rPr>
      </w:pPr>
    </w:p>
    <w:tbl>
      <w:tblPr>
        <w:tblStyle w:val="TableGrid"/>
        <w:tblW w:w="0" w:type="auto"/>
        <w:tblLook w:val="04A0" w:firstRow="1" w:lastRow="0" w:firstColumn="1" w:lastColumn="0" w:noHBand="0" w:noVBand="1"/>
      </w:tblPr>
      <w:tblGrid>
        <w:gridCol w:w="1711"/>
        <w:gridCol w:w="2140"/>
        <w:gridCol w:w="2597"/>
        <w:gridCol w:w="2613"/>
      </w:tblGrid>
      <w:tr w:rsidR="00ED2EAF" w:rsidRPr="00A01BFA" w14:paraId="28098097" w14:textId="77777777" w:rsidTr="00A46FAD">
        <w:tc>
          <w:tcPr>
            <w:tcW w:w="1812" w:type="dxa"/>
            <w:vMerge w:val="restart"/>
          </w:tcPr>
          <w:p w14:paraId="42C47FA5" w14:textId="395C0319" w:rsidR="00A46FAD" w:rsidRPr="00394D9A" w:rsidRDefault="00ED2EAF" w:rsidP="00187D17">
            <w:pPr>
              <w:widowControl w:val="0"/>
              <w:jc w:val="center"/>
              <w:rPr>
                <w:szCs w:val="22"/>
                <w:lang w:val="sr-Latn-RS"/>
              </w:rPr>
            </w:pPr>
            <w:r w:rsidRPr="00394D9A">
              <w:rPr>
                <w:szCs w:val="22"/>
                <w:lang w:val="sr-Latn-RS"/>
              </w:rPr>
              <w:t>Bubrežna</w:t>
            </w:r>
            <w:r w:rsidR="00EE51A6" w:rsidRPr="00394D9A">
              <w:rPr>
                <w:szCs w:val="22"/>
                <w:lang w:val="sr-Latn-RS"/>
              </w:rPr>
              <w:t xml:space="preserve"> </w:t>
            </w:r>
            <w:r w:rsidRPr="00394D9A">
              <w:rPr>
                <w:szCs w:val="22"/>
                <w:lang w:val="sr-Latn-RS"/>
              </w:rPr>
              <w:t>funkcija</w:t>
            </w:r>
          </w:p>
          <w:p w14:paraId="473AFCEF" w14:textId="7F360163" w:rsidR="00ED2EAF" w:rsidRPr="00394D9A" w:rsidRDefault="00ED2EAF" w:rsidP="00187D17">
            <w:pPr>
              <w:widowControl w:val="0"/>
              <w:jc w:val="center"/>
              <w:rPr>
                <w:szCs w:val="22"/>
                <w:lang w:val="sr-Latn-RS"/>
              </w:rPr>
            </w:pPr>
            <w:r w:rsidRPr="00394D9A">
              <w:rPr>
                <w:szCs w:val="22"/>
                <w:lang w:val="sr-Latn-RS"/>
              </w:rPr>
              <w:t>(CrCL</w:t>
            </w:r>
            <w:r w:rsidR="00EE51A6" w:rsidRPr="00394D9A">
              <w:rPr>
                <w:szCs w:val="22"/>
                <w:lang w:val="sr-Latn-RS"/>
              </w:rPr>
              <w:t xml:space="preserve"> </w:t>
            </w:r>
            <w:r w:rsidRPr="00394D9A">
              <w:rPr>
                <w:szCs w:val="22"/>
                <w:lang w:val="sr-Latn-RS"/>
              </w:rPr>
              <w:t>m</w:t>
            </w:r>
            <w:r w:rsidR="00244997" w:rsidRPr="00394D9A">
              <w:rPr>
                <w:szCs w:val="22"/>
                <w:lang w:val="sr-Latn-RS"/>
              </w:rPr>
              <w:t>l</w:t>
            </w:r>
            <w:r w:rsidRPr="00394D9A">
              <w:rPr>
                <w:szCs w:val="22"/>
                <w:lang w:val="sr-Latn-RS"/>
              </w:rPr>
              <w:t>/min)</w:t>
            </w:r>
          </w:p>
        </w:tc>
        <w:tc>
          <w:tcPr>
            <w:tcW w:w="2265" w:type="dxa"/>
            <w:vMerge w:val="restart"/>
          </w:tcPr>
          <w:p w14:paraId="3D063DEF" w14:textId="4427D2E3" w:rsidR="00ED2EAF" w:rsidRPr="00394D9A" w:rsidRDefault="00ED2EAF" w:rsidP="00187D17">
            <w:pPr>
              <w:widowControl w:val="0"/>
              <w:jc w:val="center"/>
              <w:rPr>
                <w:szCs w:val="22"/>
                <w:lang w:val="sr-Latn-RS"/>
              </w:rPr>
            </w:pPr>
            <w:r w:rsidRPr="00394D9A">
              <w:rPr>
                <w:szCs w:val="22"/>
                <w:lang w:val="sr-Latn-RS"/>
              </w:rPr>
              <w:t>Proc</w:t>
            </w:r>
            <w:r w:rsidR="00873B3C" w:rsidRPr="00394D9A">
              <w:rPr>
                <w:szCs w:val="22"/>
                <w:lang w:val="sr-Latn-RS"/>
              </w:rPr>
              <w:t>i</w:t>
            </w:r>
            <w:r w:rsidR="00BD52DD" w:rsidRPr="00394D9A">
              <w:rPr>
                <w:szCs w:val="22"/>
                <w:lang w:val="sr-Latn-RS"/>
              </w:rPr>
              <w:t>j</w:t>
            </w:r>
            <w:r w:rsidRPr="00394D9A">
              <w:rPr>
                <w:szCs w:val="22"/>
                <w:lang w:val="sr-Latn-RS"/>
              </w:rPr>
              <w:t>enjeno</w:t>
            </w:r>
            <w:r w:rsidR="00EE51A6" w:rsidRPr="00394D9A">
              <w:rPr>
                <w:szCs w:val="22"/>
                <w:lang w:val="sr-Latn-RS"/>
              </w:rPr>
              <w:t xml:space="preserve"> </w:t>
            </w:r>
            <w:r w:rsidRPr="00394D9A">
              <w:rPr>
                <w:szCs w:val="22"/>
                <w:lang w:val="sr-Latn-RS"/>
              </w:rPr>
              <w:t>polu</w:t>
            </w:r>
            <w:r w:rsidR="00BD52DD" w:rsidRPr="00394D9A">
              <w:rPr>
                <w:szCs w:val="22"/>
                <w:lang w:val="sr-Latn-RS"/>
              </w:rPr>
              <w:t>vrijeme</w:t>
            </w:r>
            <w:r w:rsidR="00EE51A6" w:rsidRPr="00394D9A">
              <w:rPr>
                <w:szCs w:val="22"/>
                <w:lang w:val="sr-Latn-RS"/>
              </w:rPr>
              <w:t xml:space="preserve"> </w:t>
            </w:r>
            <w:r w:rsidRPr="00394D9A">
              <w:rPr>
                <w:szCs w:val="22"/>
                <w:lang w:val="sr-Latn-RS"/>
              </w:rPr>
              <w:t>eliminacije (sati)</w:t>
            </w:r>
          </w:p>
        </w:tc>
        <w:tc>
          <w:tcPr>
            <w:tcW w:w="5670" w:type="dxa"/>
            <w:gridSpan w:val="2"/>
          </w:tcPr>
          <w:p w14:paraId="399519BF" w14:textId="1C63949D" w:rsidR="00ED2EAF" w:rsidRPr="00394D9A" w:rsidRDefault="00ED2EAF" w:rsidP="00187D17">
            <w:pPr>
              <w:widowControl w:val="0"/>
              <w:jc w:val="center"/>
              <w:rPr>
                <w:szCs w:val="22"/>
                <w:lang w:val="sr-Latn-RS"/>
              </w:rPr>
            </w:pPr>
            <w:r w:rsidRPr="00394D9A">
              <w:rPr>
                <w:szCs w:val="22"/>
                <w:lang w:val="sr-Latn-RS"/>
              </w:rPr>
              <w:t>Prim</w:t>
            </w:r>
            <w:r w:rsidR="00BD52DD" w:rsidRPr="00394D9A">
              <w:rPr>
                <w:szCs w:val="22"/>
                <w:lang w:val="sr-Latn-RS"/>
              </w:rPr>
              <w:t>j</w:t>
            </w:r>
            <w:r w:rsidRPr="00394D9A">
              <w:rPr>
                <w:szCs w:val="22"/>
                <w:lang w:val="sr-Latn-RS"/>
              </w:rPr>
              <w:t xml:space="preserve">enu </w:t>
            </w:r>
            <w:r w:rsidR="00A639DA" w:rsidRPr="00394D9A">
              <w:rPr>
                <w:szCs w:val="22"/>
                <w:lang w:val="sr-Latn-RS"/>
              </w:rPr>
              <w:t>lijeka</w:t>
            </w:r>
            <w:r w:rsidRPr="00394D9A">
              <w:rPr>
                <w:szCs w:val="22"/>
                <w:lang w:val="sr-Latn-RS"/>
              </w:rPr>
              <w:t xml:space="preserve"> </w:t>
            </w:r>
            <w:r w:rsidR="00EE51A6" w:rsidRPr="00394D9A">
              <w:rPr>
                <w:szCs w:val="22"/>
                <w:lang w:val="sr-Latn-RS"/>
              </w:rPr>
              <w:t>Dabigatran SK</w:t>
            </w:r>
            <w:r w:rsidRPr="00394D9A">
              <w:rPr>
                <w:szCs w:val="22"/>
                <w:lang w:val="sr-Latn-RS"/>
              </w:rPr>
              <w:t xml:space="preserve"> treba prekinuti pr</w:t>
            </w:r>
            <w:r w:rsidR="00BD52DD" w:rsidRPr="00394D9A">
              <w:rPr>
                <w:szCs w:val="22"/>
                <w:lang w:val="sr-Latn-RS"/>
              </w:rPr>
              <w:t>ij</w:t>
            </w:r>
            <w:r w:rsidRPr="00394D9A">
              <w:rPr>
                <w:szCs w:val="22"/>
                <w:lang w:val="sr-Latn-RS"/>
              </w:rPr>
              <w:t>e e</w:t>
            </w:r>
            <w:r w:rsidR="00A639DA" w:rsidRPr="00394D9A">
              <w:rPr>
                <w:szCs w:val="22"/>
                <w:lang w:val="sr-Latn-RS"/>
              </w:rPr>
              <w:t>lek</w:t>
            </w:r>
            <w:r w:rsidRPr="00394D9A">
              <w:rPr>
                <w:szCs w:val="22"/>
                <w:lang w:val="sr-Latn-RS"/>
              </w:rPr>
              <w:t>tivne hirurgije</w:t>
            </w:r>
          </w:p>
        </w:tc>
      </w:tr>
      <w:tr w:rsidR="00ED2EAF" w:rsidRPr="00394D9A" w14:paraId="5F5FA7BA" w14:textId="77777777" w:rsidTr="00A46FAD">
        <w:tc>
          <w:tcPr>
            <w:tcW w:w="1812" w:type="dxa"/>
            <w:vMerge/>
          </w:tcPr>
          <w:p w14:paraId="0F96F048" w14:textId="77777777" w:rsidR="00ED2EAF" w:rsidRPr="00394D9A" w:rsidRDefault="00ED2EAF" w:rsidP="00187D17">
            <w:pPr>
              <w:widowControl w:val="0"/>
              <w:rPr>
                <w:szCs w:val="22"/>
                <w:lang w:val="sr-Latn-RS"/>
              </w:rPr>
            </w:pPr>
          </w:p>
        </w:tc>
        <w:tc>
          <w:tcPr>
            <w:tcW w:w="2265" w:type="dxa"/>
            <w:vMerge/>
          </w:tcPr>
          <w:p w14:paraId="2C8CC250" w14:textId="77777777" w:rsidR="00ED2EAF" w:rsidRPr="00394D9A" w:rsidRDefault="00ED2EAF" w:rsidP="00187D17">
            <w:pPr>
              <w:widowControl w:val="0"/>
              <w:rPr>
                <w:szCs w:val="22"/>
                <w:lang w:val="sr-Latn-RS"/>
              </w:rPr>
            </w:pPr>
          </w:p>
        </w:tc>
        <w:tc>
          <w:tcPr>
            <w:tcW w:w="2835" w:type="dxa"/>
            <w:vAlign w:val="center"/>
          </w:tcPr>
          <w:p w14:paraId="2F074DD5" w14:textId="4F0C7100" w:rsidR="00ED2EAF" w:rsidRPr="00394D9A" w:rsidRDefault="00ED2EAF" w:rsidP="00187D17">
            <w:pPr>
              <w:widowControl w:val="0"/>
              <w:jc w:val="center"/>
              <w:rPr>
                <w:szCs w:val="22"/>
                <w:lang w:val="sr-Latn-RS"/>
              </w:rPr>
            </w:pPr>
            <w:r w:rsidRPr="00394D9A">
              <w:rPr>
                <w:szCs w:val="22"/>
                <w:lang w:val="sr-Latn-RS"/>
              </w:rPr>
              <w:t>Visok rizik od krvarenja ili</w:t>
            </w:r>
            <w:r w:rsidR="00EE51A6" w:rsidRPr="00394D9A">
              <w:rPr>
                <w:szCs w:val="22"/>
                <w:lang w:val="sr-Latn-RS"/>
              </w:rPr>
              <w:t xml:space="preserve"> </w:t>
            </w:r>
            <w:r w:rsidRPr="00394D9A">
              <w:rPr>
                <w:szCs w:val="22"/>
                <w:lang w:val="sr-Latn-RS"/>
              </w:rPr>
              <w:t>velike hirurgije</w:t>
            </w:r>
          </w:p>
        </w:tc>
        <w:tc>
          <w:tcPr>
            <w:tcW w:w="2835" w:type="dxa"/>
            <w:vAlign w:val="center"/>
          </w:tcPr>
          <w:p w14:paraId="4641A4E4" w14:textId="7DA093EE" w:rsidR="00ED2EAF" w:rsidRPr="00394D9A" w:rsidRDefault="00ED2EAF" w:rsidP="00187D17">
            <w:pPr>
              <w:widowControl w:val="0"/>
              <w:jc w:val="center"/>
              <w:rPr>
                <w:szCs w:val="22"/>
                <w:lang w:val="sr-Latn-RS"/>
              </w:rPr>
            </w:pPr>
            <w:r w:rsidRPr="00394D9A">
              <w:rPr>
                <w:szCs w:val="22"/>
                <w:lang w:val="sr-Latn-RS"/>
              </w:rPr>
              <w:t>Standardni rizik</w:t>
            </w:r>
          </w:p>
        </w:tc>
      </w:tr>
      <w:tr w:rsidR="00AF3E34" w:rsidRPr="00394D9A" w14:paraId="410B3B4A" w14:textId="77777777" w:rsidTr="00A46FAD">
        <w:tc>
          <w:tcPr>
            <w:tcW w:w="1812" w:type="dxa"/>
          </w:tcPr>
          <w:p w14:paraId="73B26FCC" w14:textId="76B709FA" w:rsidR="00AF3E34" w:rsidRPr="00394D9A" w:rsidRDefault="00ED2EAF" w:rsidP="00187D17">
            <w:pPr>
              <w:widowControl w:val="0"/>
              <w:jc w:val="center"/>
              <w:rPr>
                <w:szCs w:val="22"/>
                <w:lang w:val="sr-Latn-RS"/>
              </w:rPr>
            </w:pPr>
            <w:r w:rsidRPr="00394D9A">
              <w:rPr>
                <w:szCs w:val="22"/>
                <w:lang w:val="sr-Latn-RS"/>
              </w:rPr>
              <w:t>≥</w:t>
            </w:r>
            <w:r w:rsidR="004F6973" w:rsidRPr="00394D9A">
              <w:rPr>
                <w:szCs w:val="22"/>
                <w:lang w:val="sr-Latn-RS"/>
              </w:rPr>
              <w:t xml:space="preserve"> </w:t>
            </w:r>
            <w:r w:rsidRPr="00394D9A">
              <w:rPr>
                <w:szCs w:val="22"/>
                <w:lang w:val="sr-Latn-RS"/>
              </w:rPr>
              <w:t>80</w:t>
            </w:r>
          </w:p>
        </w:tc>
        <w:tc>
          <w:tcPr>
            <w:tcW w:w="2265" w:type="dxa"/>
          </w:tcPr>
          <w:p w14:paraId="1F77CE29" w14:textId="6A2534E8" w:rsidR="00AF3E34" w:rsidRPr="00394D9A" w:rsidRDefault="00ED2EAF" w:rsidP="00187D17">
            <w:pPr>
              <w:widowControl w:val="0"/>
              <w:jc w:val="center"/>
              <w:rPr>
                <w:szCs w:val="22"/>
                <w:lang w:val="sr-Latn-RS"/>
              </w:rPr>
            </w:pPr>
            <w:r w:rsidRPr="00394D9A">
              <w:rPr>
                <w:szCs w:val="22"/>
                <w:lang w:val="sr-Latn-RS"/>
              </w:rPr>
              <w:t>~13</w:t>
            </w:r>
          </w:p>
        </w:tc>
        <w:tc>
          <w:tcPr>
            <w:tcW w:w="2835" w:type="dxa"/>
          </w:tcPr>
          <w:p w14:paraId="522CC7D8" w14:textId="1504DA7C" w:rsidR="00AF3E34" w:rsidRPr="00394D9A" w:rsidRDefault="00ED2EAF" w:rsidP="00187D17">
            <w:pPr>
              <w:widowControl w:val="0"/>
              <w:jc w:val="center"/>
              <w:rPr>
                <w:szCs w:val="22"/>
                <w:lang w:val="sr-Latn-RS"/>
              </w:rPr>
            </w:pPr>
            <w:r w:rsidRPr="00394D9A">
              <w:rPr>
                <w:szCs w:val="22"/>
                <w:lang w:val="sr-Latn-RS"/>
              </w:rPr>
              <w:t>2 dana pr</w:t>
            </w:r>
            <w:r w:rsidR="00BD52DD" w:rsidRPr="00394D9A">
              <w:rPr>
                <w:szCs w:val="22"/>
                <w:lang w:val="sr-Latn-RS"/>
              </w:rPr>
              <w:t>ij</w:t>
            </w:r>
            <w:r w:rsidRPr="00394D9A">
              <w:rPr>
                <w:szCs w:val="22"/>
                <w:lang w:val="sr-Latn-RS"/>
              </w:rPr>
              <w:t>e</w:t>
            </w:r>
          </w:p>
        </w:tc>
        <w:tc>
          <w:tcPr>
            <w:tcW w:w="2835" w:type="dxa"/>
          </w:tcPr>
          <w:p w14:paraId="1AFB9837" w14:textId="2122DF43" w:rsidR="00AF3E34" w:rsidRPr="00394D9A" w:rsidRDefault="00ED2EAF" w:rsidP="00187D17">
            <w:pPr>
              <w:widowControl w:val="0"/>
              <w:jc w:val="center"/>
              <w:rPr>
                <w:szCs w:val="22"/>
                <w:lang w:val="sr-Latn-RS"/>
              </w:rPr>
            </w:pPr>
            <w:r w:rsidRPr="00394D9A">
              <w:rPr>
                <w:szCs w:val="22"/>
                <w:lang w:val="sr-Latn-RS"/>
              </w:rPr>
              <w:t>24 sata pr</w:t>
            </w:r>
            <w:r w:rsidR="00BD52DD" w:rsidRPr="00394D9A">
              <w:rPr>
                <w:szCs w:val="22"/>
                <w:lang w:val="sr-Latn-RS"/>
              </w:rPr>
              <w:t>ij</w:t>
            </w:r>
            <w:r w:rsidRPr="00394D9A">
              <w:rPr>
                <w:szCs w:val="22"/>
                <w:lang w:val="sr-Latn-RS"/>
              </w:rPr>
              <w:t>e</w:t>
            </w:r>
          </w:p>
        </w:tc>
      </w:tr>
      <w:tr w:rsidR="00AF3E34" w:rsidRPr="00394D9A" w14:paraId="78BB760D" w14:textId="77777777" w:rsidTr="00A46FAD">
        <w:tc>
          <w:tcPr>
            <w:tcW w:w="1812" w:type="dxa"/>
          </w:tcPr>
          <w:p w14:paraId="66EE6065" w14:textId="574A5C8C" w:rsidR="00AF3E34" w:rsidRPr="00394D9A" w:rsidRDefault="00ED2EAF" w:rsidP="00187D17">
            <w:pPr>
              <w:widowControl w:val="0"/>
              <w:jc w:val="center"/>
              <w:rPr>
                <w:szCs w:val="22"/>
                <w:lang w:val="sr-Latn-RS"/>
              </w:rPr>
            </w:pPr>
            <w:r w:rsidRPr="00394D9A">
              <w:rPr>
                <w:szCs w:val="22"/>
                <w:lang w:val="sr-Latn-RS"/>
              </w:rPr>
              <w:t>≥</w:t>
            </w:r>
            <w:r w:rsidR="004F6973" w:rsidRPr="00394D9A">
              <w:rPr>
                <w:szCs w:val="22"/>
                <w:lang w:val="sr-Latn-RS"/>
              </w:rPr>
              <w:t xml:space="preserve"> </w:t>
            </w:r>
            <w:r w:rsidRPr="00394D9A">
              <w:rPr>
                <w:szCs w:val="22"/>
                <w:lang w:val="sr-Latn-RS"/>
              </w:rPr>
              <w:t>50 - &lt;</w:t>
            </w:r>
            <w:r w:rsidR="004F6973" w:rsidRPr="00394D9A">
              <w:rPr>
                <w:szCs w:val="22"/>
                <w:lang w:val="sr-Latn-RS"/>
              </w:rPr>
              <w:t xml:space="preserve"> </w:t>
            </w:r>
            <w:r w:rsidRPr="00394D9A">
              <w:rPr>
                <w:szCs w:val="22"/>
                <w:lang w:val="sr-Latn-RS"/>
              </w:rPr>
              <w:t>80</w:t>
            </w:r>
          </w:p>
        </w:tc>
        <w:tc>
          <w:tcPr>
            <w:tcW w:w="2265" w:type="dxa"/>
          </w:tcPr>
          <w:p w14:paraId="61F4ECB7" w14:textId="6FC8F771" w:rsidR="00AF3E34" w:rsidRPr="00394D9A" w:rsidRDefault="00ED2EAF" w:rsidP="00187D17">
            <w:pPr>
              <w:widowControl w:val="0"/>
              <w:jc w:val="center"/>
              <w:rPr>
                <w:szCs w:val="22"/>
                <w:lang w:val="sr-Latn-RS"/>
              </w:rPr>
            </w:pPr>
            <w:r w:rsidRPr="00394D9A">
              <w:rPr>
                <w:szCs w:val="22"/>
                <w:lang w:val="sr-Latn-RS"/>
              </w:rPr>
              <w:t>~15</w:t>
            </w:r>
          </w:p>
        </w:tc>
        <w:tc>
          <w:tcPr>
            <w:tcW w:w="2835" w:type="dxa"/>
          </w:tcPr>
          <w:p w14:paraId="0C2A0326" w14:textId="585C1C6A" w:rsidR="00AF3E34" w:rsidRPr="00394D9A" w:rsidRDefault="00ED2EAF" w:rsidP="00187D17">
            <w:pPr>
              <w:widowControl w:val="0"/>
              <w:jc w:val="center"/>
              <w:rPr>
                <w:szCs w:val="22"/>
                <w:lang w:val="sr-Latn-RS"/>
              </w:rPr>
            </w:pPr>
            <w:r w:rsidRPr="00394D9A">
              <w:rPr>
                <w:szCs w:val="22"/>
                <w:lang w:val="sr-Latn-RS"/>
              </w:rPr>
              <w:t>2-3 dana pr</w:t>
            </w:r>
            <w:r w:rsidR="00BD52DD" w:rsidRPr="00394D9A">
              <w:rPr>
                <w:szCs w:val="22"/>
                <w:lang w:val="sr-Latn-RS"/>
              </w:rPr>
              <w:t>ij</w:t>
            </w:r>
            <w:r w:rsidRPr="00394D9A">
              <w:rPr>
                <w:szCs w:val="22"/>
                <w:lang w:val="sr-Latn-RS"/>
              </w:rPr>
              <w:t>e</w:t>
            </w:r>
          </w:p>
        </w:tc>
        <w:tc>
          <w:tcPr>
            <w:tcW w:w="2835" w:type="dxa"/>
          </w:tcPr>
          <w:p w14:paraId="42C7740A" w14:textId="775879E5" w:rsidR="00AF3E34" w:rsidRPr="00394D9A" w:rsidRDefault="00ED2EAF" w:rsidP="00187D17">
            <w:pPr>
              <w:widowControl w:val="0"/>
              <w:jc w:val="center"/>
              <w:rPr>
                <w:szCs w:val="22"/>
                <w:lang w:val="sr-Latn-RS"/>
              </w:rPr>
            </w:pPr>
            <w:r w:rsidRPr="00394D9A">
              <w:rPr>
                <w:szCs w:val="22"/>
                <w:lang w:val="sr-Latn-RS"/>
              </w:rPr>
              <w:t>1-2 dana pr</w:t>
            </w:r>
            <w:r w:rsidR="00BD52DD" w:rsidRPr="00394D9A">
              <w:rPr>
                <w:szCs w:val="22"/>
                <w:lang w:val="sr-Latn-RS"/>
              </w:rPr>
              <w:t>ij</w:t>
            </w:r>
            <w:r w:rsidRPr="00394D9A">
              <w:rPr>
                <w:szCs w:val="22"/>
                <w:lang w:val="sr-Latn-RS"/>
              </w:rPr>
              <w:t>e</w:t>
            </w:r>
          </w:p>
        </w:tc>
      </w:tr>
      <w:tr w:rsidR="00AF3E34" w:rsidRPr="00394D9A" w14:paraId="58126A90" w14:textId="77777777" w:rsidTr="00A46FAD">
        <w:tc>
          <w:tcPr>
            <w:tcW w:w="1812" w:type="dxa"/>
          </w:tcPr>
          <w:p w14:paraId="4AACC96F" w14:textId="41A8E98A" w:rsidR="00AF3E34" w:rsidRPr="00394D9A" w:rsidRDefault="00ED2EAF" w:rsidP="00187D17">
            <w:pPr>
              <w:widowControl w:val="0"/>
              <w:jc w:val="center"/>
              <w:rPr>
                <w:szCs w:val="22"/>
                <w:lang w:val="sr-Latn-RS"/>
              </w:rPr>
            </w:pPr>
            <w:r w:rsidRPr="00394D9A">
              <w:rPr>
                <w:szCs w:val="22"/>
                <w:lang w:val="sr-Latn-RS"/>
              </w:rPr>
              <w:t>≥30 - &lt;50</w:t>
            </w:r>
          </w:p>
        </w:tc>
        <w:tc>
          <w:tcPr>
            <w:tcW w:w="2265" w:type="dxa"/>
          </w:tcPr>
          <w:p w14:paraId="61B872C6" w14:textId="5286F215" w:rsidR="00AF3E34" w:rsidRPr="00394D9A" w:rsidRDefault="00ED2EAF" w:rsidP="00187D17">
            <w:pPr>
              <w:widowControl w:val="0"/>
              <w:jc w:val="center"/>
              <w:rPr>
                <w:szCs w:val="22"/>
                <w:lang w:val="sr-Latn-RS"/>
              </w:rPr>
            </w:pPr>
            <w:r w:rsidRPr="00394D9A">
              <w:rPr>
                <w:szCs w:val="22"/>
                <w:lang w:val="sr-Latn-RS"/>
              </w:rPr>
              <w:t>~18</w:t>
            </w:r>
          </w:p>
        </w:tc>
        <w:tc>
          <w:tcPr>
            <w:tcW w:w="2835" w:type="dxa"/>
          </w:tcPr>
          <w:p w14:paraId="7C1812C2" w14:textId="01F9BBC3" w:rsidR="00AF3E34" w:rsidRPr="00394D9A" w:rsidRDefault="00ED2EAF" w:rsidP="00187D17">
            <w:pPr>
              <w:widowControl w:val="0"/>
              <w:jc w:val="center"/>
              <w:rPr>
                <w:szCs w:val="22"/>
                <w:lang w:val="sr-Latn-RS"/>
              </w:rPr>
            </w:pPr>
            <w:r w:rsidRPr="00394D9A">
              <w:rPr>
                <w:szCs w:val="22"/>
                <w:lang w:val="sr-Latn-RS"/>
              </w:rPr>
              <w:t>4 dana pr</w:t>
            </w:r>
            <w:r w:rsidR="00BD52DD" w:rsidRPr="00394D9A">
              <w:rPr>
                <w:szCs w:val="22"/>
                <w:lang w:val="sr-Latn-RS"/>
              </w:rPr>
              <w:t>ij</w:t>
            </w:r>
            <w:r w:rsidRPr="00394D9A">
              <w:rPr>
                <w:szCs w:val="22"/>
                <w:lang w:val="sr-Latn-RS"/>
              </w:rPr>
              <w:t>e</w:t>
            </w:r>
          </w:p>
        </w:tc>
        <w:tc>
          <w:tcPr>
            <w:tcW w:w="2835" w:type="dxa"/>
          </w:tcPr>
          <w:p w14:paraId="42948DD8" w14:textId="362F5B69" w:rsidR="00AF3E34" w:rsidRPr="00394D9A" w:rsidRDefault="00ED2EAF" w:rsidP="00187D17">
            <w:pPr>
              <w:widowControl w:val="0"/>
              <w:jc w:val="center"/>
              <w:rPr>
                <w:szCs w:val="22"/>
                <w:lang w:val="sr-Latn-RS"/>
              </w:rPr>
            </w:pPr>
            <w:r w:rsidRPr="00394D9A">
              <w:rPr>
                <w:szCs w:val="22"/>
                <w:lang w:val="sr-Latn-RS"/>
              </w:rPr>
              <w:t>2-3 dana pr</w:t>
            </w:r>
            <w:r w:rsidR="00873B3C" w:rsidRPr="00394D9A">
              <w:rPr>
                <w:szCs w:val="22"/>
                <w:lang w:val="sr-Latn-RS"/>
              </w:rPr>
              <w:t>ij</w:t>
            </w:r>
            <w:r w:rsidRPr="00394D9A">
              <w:rPr>
                <w:szCs w:val="22"/>
                <w:lang w:val="sr-Latn-RS"/>
              </w:rPr>
              <w:t>e (&gt;</w:t>
            </w:r>
            <w:r w:rsidR="004F6973" w:rsidRPr="00394D9A">
              <w:rPr>
                <w:szCs w:val="22"/>
                <w:lang w:val="sr-Latn-RS"/>
              </w:rPr>
              <w:t xml:space="preserve"> </w:t>
            </w:r>
            <w:r w:rsidRPr="00394D9A">
              <w:rPr>
                <w:szCs w:val="22"/>
                <w:lang w:val="sr-Latn-RS"/>
              </w:rPr>
              <w:t>48 sati)</w:t>
            </w:r>
          </w:p>
        </w:tc>
      </w:tr>
    </w:tbl>
    <w:p w14:paraId="4CCFB8D5" w14:textId="77777777" w:rsidR="00EE51A6" w:rsidRPr="00394D9A" w:rsidRDefault="00EE51A6" w:rsidP="00187D17">
      <w:pPr>
        <w:widowControl w:val="0"/>
        <w:rPr>
          <w:szCs w:val="22"/>
          <w:lang w:val="sr-Latn-RS"/>
        </w:rPr>
      </w:pPr>
    </w:p>
    <w:p w14:paraId="43D06F55" w14:textId="5E302B41" w:rsidR="00853389" w:rsidRPr="00394D9A" w:rsidRDefault="00853389" w:rsidP="00187D17">
      <w:pPr>
        <w:widowControl w:val="0"/>
        <w:tabs>
          <w:tab w:val="clear" w:pos="284"/>
        </w:tabs>
        <w:autoSpaceDE w:val="0"/>
        <w:autoSpaceDN w:val="0"/>
        <w:rPr>
          <w:szCs w:val="22"/>
          <w:lang w:val="sr-Latn-RS"/>
        </w:rPr>
      </w:pPr>
      <w:r w:rsidRPr="00394D9A">
        <w:rPr>
          <w:szCs w:val="22"/>
          <w:lang w:val="sr-Latn-RS"/>
        </w:rPr>
        <w:t>Pravila</w:t>
      </w:r>
      <w:r w:rsidRPr="00394D9A">
        <w:rPr>
          <w:spacing w:val="-4"/>
          <w:szCs w:val="22"/>
          <w:lang w:val="sr-Latn-RS"/>
        </w:rPr>
        <w:t xml:space="preserve"> </w:t>
      </w:r>
      <w:r w:rsidRPr="00394D9A">
        <w:rPr>
          <w:szCs w:val="22"/>
          <w:lang w:val="sr-Latn-RS"/>
        </w:rPr>
        <w:t>prekida</w:t>
      </w:r>
      <w:r w:rsidRPr="00394D9A">
        <w:rPr>
          <w:spacing w:val="-4"/>
          <w:szCs w:val="22"/>
          <w:lang w:val="sr-Latn-RS"/>
        </w:rPr>
        <w:t xml:space="preserve"> </w:t>
      </w:r>
      <w:r w:rsidRPr="00394D9A">
        <w:rPr>
          <w:szCs w:val="22"/>
          <w:lang w:val="sr-Latn-RS"/>
        </w:rPr>
        <w:t>terapije</w:t>
      </w:r>
      <w:r w:rsidRPr="00394D9A">
        <w:rPr>
          <w:spacing w:val="-4"/>
          <w:szCs w:val="22"/>
          <w:lang w:val="sr-Latn-RS"/>
        </w:rPr>
        <w:t xml:space="preserve"> </w:t>
      </w:r>
      <w:r w:rsidRPr="00394D9A">
        <w:rPr>
          <w:szCs w:val="22"/>
          <w:lang w:val="sr-Latn-RS"/>
        </w:rPr>
        <w:t>pr</w:t>
      </w:r>
      <w:r w:rsidR="00873B3C" w:rsidRPr="00394D9A">
        <w:rPr>
          <w:szCs w:val="22"/>
          <w:lang w:val="sr-Latn-RS"/>
        </w:rPr>
        <w:t>ij</w:t>
      </w:r>
      <w:r w:rsidRPr="00394D9A">
        <w:rPr>
          <w:szCs w:val="22"/>
          <w:lang w:val="sr-Latn-RS"/>
        </w:rPr>
        <w:t>e invazivnih</w:t>
      </w:r>
      <w:r w:rsidRPr="00394D9A">
        <w:rPr>
          <w:spacing w:val="-4"/>
          <w:szCs w:val="22"/>
          <w:lang w:val="sr-Latn-RS"/>
        </w:rPr>
        <w:t xml:space="preserve"> </w:t>
      </w:r>
      <w:r w:rsidRPr="00394D9A">
        <w:rPr>
          <w:szCs w:val="22"/>
          <w:lang w:val="sr-Latn-RS"/>
        </w:rPr>
        <w:t>ili</w:t>
      </w:r>
      <w:r w:rsidRPr="00394D9A">
        <w:rPr>
          <w:spacing w:val="-4"/>
          <w:szCs w:val="22"/>
          <w:lang w:val="sr-Latn-RS"/>
        </w:rPr>
        <w:t xml:space="preserve"> </w:t>
      </w:r>
      <w:r w:rsidRPr="00394D9A">
        <w:rPr>
          <w:szCs w:val="22"/>
          <w:lang w:val="sr-Latn-RS"/>
        </w:rPr>
        <w:t>hirurških</w:t>
      </w:r>
      <w:r w:rsidRPr="00394D9A">
        <w:rPr>
          <w:spacing w:val="-4"/>
          <w:szCs w:val="22"/>
          <w:lang w:val="sr-Latn-RS"/>
        </w:rPr>
        <w:t xml:space="preserve"> </w:t>
      </w:r>
      <w:r w:rsidRPr="00394D9A">
        <w:rPr>
          <w:szCs w:val="22"/>
          <w:lang w:val="sr-Latn-RS"/>
        </w:rPr>
        <w:t>procedura</w:t>
      </w:r>
      <w:r w:rsidRPr="00394D9A">
        <w:rPr>
          <w:spacing w:val="-4"/>
          <w:szCs w:val="22"/>
          <w:lang w:val="sr-Latn-RS"/>
        </w:rPr>
        <w:t xml:space="preserve"> </w:t>
      </w:r>
      <w:r w:rsidRPr="00394D9A">
        <w:rPr>
          <w:szCs w:val="22"/>
          <w:lang w:val="sr-Latn-RS"/>
        </w:rPr>
        <w:t>za</w:t>
      </w:r>
      <w:r w:rsidRPr="00394D9A">
        <w:rPr>
          <w:spacing w:val="-4"/>
          <w:szCs w:val="22"/>
          <w:lang w:val="sr-Latn-RS"/>
        </w:rPr>
        <w:t xml:space="preserve"> </w:t>
      </w:r>
      <w:r w:rsidRPr="00394D9A">
        <w:rPr>
          <w:szCs w:val="22"/>
          <w:lang w:val="sr-Latn-RS"/>
        </w:rPr>
        <w:t>pedijatrijske</w:t>
      </w:r>
      <w:r w:rsidRPr="00394D9A">
        <w:rPr>
          <w:spacing w:val="-4"/>
          <w:szCs w:val="22"/>
          <w:lang w:val="sr-Latn-RS"/>
        </w:rPr>
        <w:t xml:space="preserve"> </w:t>
      </w:r>
      <w:r w:rsidRPr="00394D9A">
        <w:rPr>
          <w:szCs w:val="22"/>
          <w:lang w:val="sr-Latn-RS"/>
        </w:rPr>
        <w:t>pacijente</w:t>
      </w:r>
      <w:r w:rsidRPr="00394D9A">
        <w:rPr>
          <w:spacing w:val="-4"/>
          <w:szCs w:val="22"/>
          <w:lang w:val="sr-Latn-RS"/>
        </w:rPr>
        <w:t xml:space="preserve"> </w:t>
      </w:r>
      <w:r w:rsidRPr="00394D9A">
        <w:rPr>
          <w:szCs w:val="22"/>
          <w:lang w:val="sr-Latn-RS"/>
        </w:rPr>
        <w:t>sažeto</w:t>
      </w:r>
      <w:r w:rsidRPr="00394D9A">
        <w:rPr>
          <w:spacing w:val="-4"/>
          <w:szCs w:val="22"/>
          <w:lang w:val="sr-Latn-RS"/>
        </w:rPr>
        <w:t xml:space="preserve"> </w:t>
      </w:r>
      <w:r w:rsidRPr="00394D9A">
        <w:rPr>
          <w:szCs w:val="22"/>
          <w:lang w:val="sr-Latn-RS"/>
        </w:rPr>
        <w:t>su</w:t>
      </w:r>
      <w:r w:rsidR="000413EE" w:rsidRPr="00394D9A">
        <w:rPr>
          <w:szCs w:val="22"/>
          <w:lang w:val="sr-Latn-RS"/>
        </w:rPr>
        <w:t xml:space="preserve"> prikazana u tabeli 7</w:t>
      </w:r>
      <w:r w:rsidR="00424070" w:rsidRPr="00394D9A">
        <w:rPr>
          <w:szCs w:val="22"/>
          <w:lang w:val="sr-Latn-RS"/>
        </w:rPr>
        <w:t>.</w:t>
      </w:r>
    </w:p>
    <w:p w14:paraId="77630843" w14:textId="77777777" w:rsidR="00853389" w:rsidRPr="00394D9A" w:rsidRDefault="00853389" w:rsidP="00187D17">
      <w:pPr>
        <w:widowControl w:val="0"/>
        <w:rPr>
          <w:szCs w:val="22"/>
          <w:lang w:val="sr-Latn-RS"/>
        </w:rPr>
      </w:pPr>
    </w:p>
    <w:p w14:paraId="119E9668" w14:textId="6F08C89C" w:rsidR="00395223" w:rsidRPr="00394D9A" w:rsidRDefault="00395223" w:rsidP="00187D17">
      <w:pPr>
        <w:widowControl w:val="0"/>
        <w:tabs>
          <w:tab w:val="clear" w:pos="284"/>
          <w:tab w:val="left" w:pos="1348"/>
        </w:tabs>
        <w:autoSpaceDE w:val="0"/>
        <w:autoSpaceDN w:val="0"/>
        <w:ind w:left="1133" w:right="234" w:hanging="1133"/>
        <w:jc w:val="left"/>
        <w:outlineLvl w:val="1"/>
        <w:rPr>
          <w:b/>
          <w:bCs/>
          <w:szCs w:val="22"/>
          <w:lang w:val="sr-Latn-RS"/>
        </w:rPr>
      </w:pPr>
      <w:r w:rsidRPr="00394D9A">
        <w:rPr>
          <w:b/>
          <w:bCs/>
          <w:szCs w:val="22"/>
          <w:lang w:val="sr-Latn-RS"/>
        </w:rPr>
        <w:t>Tabela 7:</w:t>
      </w:r>
      <w:r w:rsidRPr="00394D9A">
        <w:rPr>
          <w:b/>
          <w:bCs/>
          <w:szCs w:val="22"/>
          <w:lang w:val="sr-Latn-RS"/>
        </w:rPr>
        <w:tab/>
        <w:t>Pravila</w:t>
      </w:r>
      <w:r w:rsidRPr="00394D9A">
        <w:rPr>
          <w:b/>
          <w:bCs/>
          <w:spacing w:val="80"/>
          <w:szCs w:val="22"/>
          <w:lang w:val="sr-Latn-RS"/>
        </w:rPr>
        <w:t xml:space="preserve"> </w:t>
      </w:r>
      <w:r w:rsidRPr="00394D9A">
        <w:rPr>
          <w:b/>
          <w:bCs/>
          <w:szCs w:val="22"/>
          <w:lang w:val="sr-Latn-RS"/>
        </w:rPr>
        <w:t>prekida</w:t>
      </w:r>
      <w:r w:rsidRPr="00394D9A">
        <w:rPr>
          <w:b/>
          <w:bCs/>
          <w:spacing w:val="80"/>
          <w:szCs w:val="22"/>
          <w:lang w:val="sr-Latn-RS"/>
        </w:rPr>
        <w:t xml:space="preserve"> </w:t>
      </w:r>
      <w:r w:rsidRPr="00394D9A">
        <w:rPr>
          <w:b/>
          <w:bCs/>
          <w:szCs w:val="22"/>
          <w:lang w:val="sr-Latn-RS"/>
        </w:rPr>
        <w:t>terapije</w:t>
      </w:r>
      <w:r w:rsidRPr="00394D9A">
        <w:rPr>
          <w:b/>
          <w:bCs/>
          <w:spacing w:val="80"/>
          <w:szCs w:val="22"/>
          <w:lang w:val="sr-Latn-RS"/>
        </w:rPr>
        <w:t xml:space="preserve"> </w:t>
      </w:r>
      <w:r w:rsidRPr="00394D9A">
        <w:rPr>
          <w:b/>
          <w:bCs/>
          <w:szCs w:val="22"/>
          <w:lang w:val="sr-Latn-RS"/>
        </w:rPr>
        <w:t>pr</w:t>
      </w:r>
      <w:r w:rsidR="00873B3C" w:rsidRPr="00394D9A">
        <w:rPr>
          <w:b/>
          <w:bCs/>
          <w:szCs w:val="22"/>
          <w:lang w:val="sr-Latn-RS"/>
        </w:rPr>
        <w:t>ij</w:t>
      </w:r>
      <w:r w:rsidRPr="00394D9A">
        <w:rPr>
          <w:b/>
          <w:bCs/>
          <w:szCs w:val="22"/>
          <w:lang w:val="sr-Latn-RS"/>
        </w:rPr>
        <w:t>e</w:t>
      </w:r>
      <w:r w:rsidRPr="00394D9A">
        <w:rPr>
          <w:b/>
          <w:bCs/>
          <w:spacing w:val="80"/>
          <w:szCs w:val="22"/>
          <w:lang w:val="sr-Latn-RS"/>
        </w:rPr>
        <w:t xml:space="preserve"> </w:t>
      </w:r>
      <w:r w:rsidRPr="00394D9A">
        <w:rPr>
          <w:b/>
          <w:bCs/>
          <w:szCs w:val="22"/>
          <w:lang w:val="sr-Latn-RS"/>
        </w:rPr>
        <w:t>invazivnih</w:t>
      </w:r>
      <w:r w:rsidRPr="00394D9A">
        <w:rPr>
          <w:b/>
          <w:bCs/>
          <w:spacing w:val="80"/>
          <w:szCs w:val="22"/>
          <w:lang w:val="sr-Latn-RS"/>
        </w:rPr>
        <w:t xml:space="preserve"> </w:t>
      </w:r>
      <w:r w:rsidRPr="00394D9A">
        <w:rPr>
          <w:b/>
          <w:bCs/>
          <w:szCs w:val="22"/>
          <w:lang w:val="sr-Latn-RS"/>
        </w:rPr>
        <w:t>ili</w:t>
      </w:r>
      <w:r w:rsidRPr="00394D9A">
        <w:rPr>
          <w:b/>
          <w:bCs/>
          <w:spacing w:val="80"/>
          <w:szCs w:val="22"/>
          <w:lang w:val="sr-Latn-RS"/>
        </w:rPr>
        <w:t xml:space="preserve"> </w:t>
      </w:r>
      <w:r w:rsidRPr="00394D9A">
        <w:rPr>
          <w:b/>
          <w:bCs/>
          <w:szCs w:val="22"/>
          <w:lang w:val="sr-Latn-RS"/>
        </w:rPr>
        <w:t>hirurških</w:t>
      </w:r>
      <w:r w:rsidRPr="00394D9A">
        <w:rPr>
          <w:b/>
          <w:bCs/>
          <w:spacing w:val="80"/>
          <w:szCs w:val="22"/>
          <w:lang w:val="sr-Latn-RS"/>
        </w:rPr>
        <w:t xml:space="preserve"> </w:t>
      </w:r>
      <w:r w:rsidRPr="00394D9A">
        <w:rPr>
          <w:b/>
          <w:bCs/>
          <w:szCs w:val="22"/>
          <w:lang w:val="sr-Latn-RS"/>
        </w:rPr>
        <w:t>procedura</w:t>
      </w:r>
      <w:r w:rsidRPr="00394D9A">
        <w:rPr>
          <w:b/>
          <w:bCs/>
          <w:spacing w:val="80"/>
          <w:szCs w:val="22"/>
          <w:lang w:val="sr-Latn-RS"/>
        </w:rPr>
        <w:t xml:space="preserve"> </w:t>
      </w:r>
      <w:r w:rsidRPr="00394D9A">
        <w:rPr>
          <w:b/>
          <w:bCs/>
          <w:szCs w:val="22"/>
          <w:lang w:val="sr-Latn-RS"/>
        </w:rPr>
        <w:t>za</w:t>
      </w:r>
      <w:r w:rsidRPr="00394D9A">
        <w:rPr>
          <w:b/>
          <w:bCs/>
          <w:spacing w:val="80"/>
          <w:szCs w:val="22"/>
          <w:lang w:val="sr-Latn-RS"/>
        </w:rPr>
        <w:t xml:space="preserve"> </w:t>
      </w:r>
      <w:r w:rsidRPr="00394D9A">
        <w:rPr>
          <w:b/>
          <w:bCs/>
          <w:szCs w:val="22"/>
          <w:lang w:val="sr-Latn-RS"/>
        </w:rPr>
        <w:t xml:space="preserve">pedijatrijske </w:t>
      </w:r>
      <w:r w:rsidRPr="00394D9A">
        <w:rPr>
          <w:b/>
          <w:bCs/>
          <w:spacing w:val="-2"/>
          <w:szCs w:val="22"/>
          <w:lang w:val="sr-Latn-RS"/>
        </w:rPr>
        <w:t>pacijente</w:t>
      </w:r>
    </w:p>
    <w:p w14:paraId="77B1541E" w14:textId="77777777" w:rsidR="00853389" w:rsidRPr="00394D9A" w:rsidRDefault="00853389" w:rsidP="00187D17">
      <w:pPr>
        <w:widowControl w:val="0"/>
        <w:rPr>
          <w:szCs w:val="22"/>
          <w:lang w:val="sr-Latn-R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1"/>
        <w:gridCol w:w="6380"/>
      </w:tblGrid>
      <w:tr w:rsidR="00834EFA" w:rsidRPr="00394D9A" w14:paraId="558D3F46" w14:textId="77777777" w:rsidTr="00DF17BA">
        <w:tc>
          <w:tcPr>
            <w:tcW w:w="2681" w:type="dxa"/>
          </w:tcPr>
          <w:p w14:paraId="56444851" w14:textId="77777777" w:rsidR="00834EFA" w:rsidRPr="00394D9A" w:rsidRDefault="00834EFA" w:rsidP="00187D17">
            <w:pPr>
              <w:widowControl w:val="0"/>
              <w:tabs>
                <w:tab w:val="clear" w:pos="284"/>
              </w:tabs>
              <w:autoSpaceDE w:val="0"/>
              <w:autoSpaceDN w:val="0"/>
              <w:ind w:left="143"/>
              <w:jc w:val="left"/>
              <w:rPr>
                <w:szCs w:val="22"/>
                <w:lang w:val="sr-Latn-RS"/>
              </w:rPr>
            </w:pPr>
            <w:r w:rsidRPr="00394D9A">
              <w:rPr>
                <w:szCs w:val="22"/>
                <w:lang w:val="sr-Latn-RS"/>
              </w:rPr>
              <w:t>Bubrežna</w:t>
            </w:r>
            <w:r w:rsidRPr="00394D9A">
              <w:rPr>
                <w:spacing w:val="-10"/>
                <w:szCs w:val="22"/>
                <w:lang w:val="sr-Latn-RS"/>
              </w:rPr>
              <w:t xml:space="preserve"> </w:t>
            </w:r>
            <w:r w:rsidRPr="00394D9A">
              <w:rPr>
                <w:spacing w:val="-2"/>
                <w:szCs w:val="22"/>
                <w:lang w:val="sr-Latn-RS"/>
              </w:rPr>
              <w:t>funkcija</w:t>
            </w:r>
          </w:p>
          <w:p w14:paraId="14972EA2" w14:textId="55E03E2E" w:rsidR="00834EFA" w:rsidRPr="00394D9A" w:rsidRDefault="00834EFA" w:rsidP="00187D17">
            <w:pPr>
              <w:widowControl w:val="0"/>
              <w:tabs>
                <w:tab w:val="clear" w:pos="284"/>
              </w:tabs>
              <w:autoSpaceDE w:val="0"/>
              <w:autoSpaceDN w:val="0"/>
              <w:ind w:left="143"/>
              <w:jc w:val="left"/>
              <w:rPr>
                <w:szCs w:val="22"/>
                <w:lang w:val="sr-Latn-RS"/>
              </w:rPr>
            </w:pPr>
            <w:r w:rsidRPr="00394D9A">
              <w:rPr>
                <w:szCs w:val="22"/>
                <w:lang w:val="sr-Latn-RS"/>
              </w:rPr>
              <w:t>(eGFR</w:t>
            </w:r>
            <w:r w:rsidRPr="00394D9A">
              <w:rPr>
                <w:spacing w:val="-8"/>
                <w:szCs w:val="22"/>
                <w:lang w:val="sr-Latn-RS"/>
              </w:rPr>
              <w:t xml:space="preserve"> </w:t>
            </w:r>
            <w:r w:rsidRPr="00394D9A">
              <w:rPr>
                <w:szCs w:val="22"/>
                <w:lang w:val="sr-Latn-RS"/>
              </w:rPr>
              <w:t>u</w:t>
            </w:r>
            <w:r w:rsidRPr="00394D9A">
              <w:rPr>
                <w:spacing w:val="-6"/>
                <w:szCs w:val="22"/>
                <w:lang w:val="sr-Latn-RS"/>
              </w:rPr>
              <w:t xml:space="preserve"> </w:t>
            </w:r>
            <w:r w:rsidRPr="00394D9A">
              <w:rPr>
                <w:szCs w:val="22"/>
                <w:lang w:val="sr-Latn-RS"/>
              </w:rPr>
              <w:t>m</w:t>
            </w:r>
            <w:r w:rsidR="004F6973" w:rsidRPr="00394D9A">
              <w:rPr>
                <w:szCs w:val="22"/>
                <w:lang w:val="sr-Latn-RS"/>
              </w:rPr>
              <w:t>l</w:t>
            </w:r>
            <w:r w:rsidRPr="00394D9A">
              <w:rPr>
                <w:szCs w:val="22"/>
                <w:lang w:val="sr-Latn-RS"/>
              </w:rPr>
              <w:t>/min/1,73</w:t>
            </w:r>
            <w:r w:rsidRPr="00394D9A">
              <w:rPr>
                <w:spacing w:val="-5"/>
                <w:szCs w:val="22"/>
                <w:lang w:val="sr-Latn-RS"/>
              </w:rPr>
              <w:t xml:space="preserve"> m</w:t>
            </w:r>
            <w:r w:rsidRPr="00394D9A">
              <w:rPr>
                <w:spacing w:val="-5"/>
                <w:szCs w:val="22"/>
                <w:vertAlign w:val="superscript"/>
                <w:lang w:val="sr-Latn-RS"/>
              </w:rPr>
              <w:t>2</w:t>
            </w:r>
            <w:r w:rsidRPr="00394D9A">
              <w:rPr>
                <w:spacing w:val="-5"/>
                <w:szCs w:val="22"/>
                <w:lang w:val="sr-Latn-RS"/>
              </w:rPr>
              <w:t>)</w:t>
            </w:r>
          </w:p>
        </w:tc>
        <w:tc>
          <w:tcPr>
            <w:tcW w:w="6380" w:type="dxa"/>
          </w:tcPr>
          <w:p w14:paraId="06E4C337" w14:textId="6E2EE646" w:rsidR="00834EFA" w:rsidRPr="00394D9A" w:rsidRDefault="00834EFA" w:rsidP="00187D17">
            <w:pPr>
              <w:widowControl w:val="0"/>
              <w:tabs>
                <w:tab w:val="clear" w:pos="284"/>
              </w:tabs>
              <w:autoSpaceDE w:val="0"/>
              <w:autoSpaceDN w:val="0"/>
              <w:ind w:left="143"/>
              <w:jc w:val="left"/>
              <w:rPr>
                <w:szCs w:val="22"/>
                <w:lang w:val="sr-Latn-RS"/>
              </w:rPr>
            </w:pPr>
            <w:r w:rsidRPr="00394D9A">
              <w:rPr>
                <w:szCs w:val="22"/>
                <w:lang w:val="sr-Latn-RS"/>
              </w:rPr>
              <w:t>Prekinuti</w:t>
            </w:r>
            <w:r w:rsidRPr="00394D9A">
              <w:rPr>
                <w:spacing w:val="64"/>
                <w:w w:val="150"/>
                <w:szCs w:val="22"/>
                <w:lang w:val="sr-Latn-RS"/>
              </w:rPr>
              <w:t xml:space="preserve"> </w:t>
            </w:r>
            <w:r w:rsidRPr="00394D9A">
              <w:rPr>
                <w:szCs w:val="22"/>
                <w:lang w:val="sr-Latn-RS"/>
              </w:rPr>
              <w:t>prim</w:t>
            </w:r>
            <w:r w:rsidR="00873B3C" w:rsidRPr="00394D9A">
              <w:rPr>
                <w:szCs w:val="22"/>
                <w:lang w:val="sr-Latn-RS"/>
              </w:rPr>
              <w:t>j</w:t>
            </w:r>
            <w:r w:rsidRPr="00394D9A">
              <w:rPr>
                <w:szCs w:val="22"/>
                <w:lang w:val="sr-Latn-RS"/>
              </w:rPr>
              <w:t>enu</w:t>
            </w:r>
            <w:r w:rsidRPr="00394D9A">
              <w:rPr>
                <w:spacing w:val="70"/>
                <w:w w:val="150"/>
                <w:szCs w:val="22"/>
                <w:lang w:val="sr-Latn-RS"/>
              </w:rPr>
              <w:t xml:space="preserve"> </w:t>
            </w:r>
            <w:r w:rsidRPr="00394D9A">
              <w:rPr>
                <w:szCs w:val="22"/>
                <w:lang w:val="sr-Latn-RS"/>
              </w:rPr>
              <w:t>dabigatrana</w:t>
            </w:r>
            <w:r w:rsidRPr="00394D9A">
              <w:rPr>
                <w:spacing w:val="68"/>
                <w:w w:val="150"/>
                <w:szCs w:val="22"/>
                <w:lang w:val="sr-Latn-RS"/>
              </w:rPr>
              <w:t xml:space="preserve"> </w:t>
            </w:r>
            <w:r w:rsidRPr="00394D9A">
              <w:rPr>
                <w:szCs w:val="22"/>
                <w:lang w:val="sr-Latn-RS"/>
              </w:rPr>
              <w:t>pr</w:t>
            </w:r>
            <w:r w:rsidR="00873B3C" w:rsidRPr="00394D9A">
              <w:rPr>
                <w:szCs w:val="22"/>
                <w:lang w:val="sr-Latn-RS"/>
              </w:rPr>
              <w:t>ij</w:t>
            </w:r>
            <w:r w:rsidRPr="00394D9A">
              <w:rPr>
                <w:szCs w:val="22"/>
                <w:lang w:val="sr-Latn-RS"/>
              </w:rPr>
              <w:t>e</w:t>
            </w:r>
            <w:r w:rsidRPr="00394D9A">
              <w:rPr>
                <w:spacing w:val="65"/>
                <w:w w:val="150"/>
                <w:szCs w:val="22"/>
                <w:lang w:val="sr-Latn-RS"/>
              </w:rPr>
              <w:t xml:space="preserve"> </w:t>
            </w:r>
            <w:r w:rsidRPr="00394D9A">
              <w:rPr>
                <w:szCs w:val="22"/>
                <w:lang w:val="sr-Latn-RS"/>
              </w:rPr>
              <w:t>elektivnog</w:t>
            </w:r>
            <w:r w:rsidRPr="00394D9A">
              <w:rPr>
                <w:spacing w:val="69"/>
                <w:w w:val="150"/>
                <w:szCs w:val="22"/>
                <w:lang w:val="sr-Latn-RS"/>
              </w:rPr>
              <w:t xml:space="preserve"> </w:t>
            </w:r>
            <w:r w:rsidRPr="00394D9A">
              <w:rPr>
                <w:spacing w:val="-2"/>
                <w:szCs w:val="22"/>
                <w:lang w:val="sr-Latn-RS"/>
              </w:rPr>
              <w:t>hirurškog</w:t>
            </w:r>
          </w:p>
          <w:p w14:paraId="1121B79A" w14:textId="77777777" w:rsidR="00834EFA" w:rsidRPr="00394D9A" w:rsidRDefault="00834EFA" w:rsidP="00187D17">
            <w:pPr>
              <w:widowControl w:val="0"/>
              <w:tabs>
                <w:tab w:val="clear" w:pos="284"/>
              </w:tabs>
              <w:autoSpaceDE w:val="0"/>
              <w:autoSpaceDN w:val="0"/>
              <w:ind w:left="143"/>
              <w:jc w:val="left"/>
              <w:rPr>
                <w:szCs w:val="22"/>
                <w:lang w:val="sr-Latn-RS"/>
              </w:rPr>
            </w:pPr>
            <w:r w:rsidRPr="00394D9A">
              <w:rPr>
                <w:spacing w:val="-2"/>
                <w:szCs w:val="22"/>
                <w:lang w:val="sr-Latn-RS"/>
              </w:rPr>
              <w:t>zahvata</w:t>
            </w:r>
          </w:p>
        </w:tc>
      </w:tr>
      <w:tr w:rsidR="00834EFA" w:rsidRPr="00394D9A" w14:paraId="2252BF32" w14:textId="77777777" w:rsidTr="00DF17BA">
        <w:tc>
          <w:tcPr>
            <w:tcW w:w="2681" w:type="dxa"/>
          </w:tcPr>
          <w:p w14:paraId="26C14057" w14:textId="37191D5F" w:rsidR="00834EFA" w:rsidRPr="00394D9A" w:rsidRDefault="00834EFA" w:rsidP="00187D17">
            <w:pPr>
              <w:widowControl w:val="0"/>
              <w:tabs>
                <w:tab w:val="clear" w:pos="284"/>
              </w:tabs>
              <w:autoSpaceDE w:val="0"/>
              <w:autoSpaceDN w:val="0"/>
              <w:ind w:left="143"/>
              <w:jc w:val="left"/>
              <w:rPr>
                <w:szCs w:val="22"/>
                <w:lang w:val="sr-Latn-RS"/>
              </w:rPr>
            </w:pPr>
            <w:r w:rsidRPr="00394D9A">
              <w:rPr>
                <w:spacing w:val="-5"/>
                <w:szCs w:val="22"/>
                <w:lang w:val="sr-Latn-RS"/>
              </w:rPr>
              <w:t>&gt;</w:t>
            </w:r>
            <w:r w:rsidR="004F6973" w:rsidRPr="00394D9A">
              <w:rPr>
                <w:spacing w:val="-5"/>
                <w:szCs w:val="22"/>
                <w:lang w:val="sr-Latn-RS"/>
              </w:rPr>
              <w:t xml:space="preserve"> </w:t>
            </w:r>
            <w:r w:rsidRPr="00394D9A">
              <w:rPr>
                <w:spacing w:val="-5"/>
                <w:szCs w:val="22"/>
                <w:lang w:val="sr-Latn-RS"/>
              </w:rPr>
              <w:t>80</w:t>
            </w:r>
          </w:p>
        </w:tc>
        <w:tc>
          <w:tcPr>
            <w:tcW w:w="6380" w:type="dxa"/>
          </w:tcPr>
          <w:p w14:paraId="5ECE1043" w14:textId="29286263" w:rsidR="00834EFA" w:rsidRPr="00394D9A" w:rsidRDefault="00834EFA" w:rsidP="00187D17">
            <w:pPr>
              <w:widowControl w:val="0"/>
              <w:tabs>
                <w:tab w:val="clear" w:pos="284"/>
              </w:tabs>
              <w:autoSpaceDE w:val="0"/>
              <w:autoSpaceDN w:val="0"/>
              <w:ind w:left="143"/>
              <w:jc w:val="left"/>
              <w:rPr>
                <w:szCs w:val="22"/>
                <w:lang w:val="sr-Latn-RS"/>
              </w:rPr>
            </w:pPr>
            <w:r w:rsidRPr="00394D9A">
              <w:rPr>
                <w:szCs w:val="22"/>
                <w:lang w:val="sr-Latn-RS"/>
              </w:rPr>
              <w:t>24 sata</w:t>
            </w:r>
            <w:r w:rsidRPr="00394D9A">
              <w:rPr>
                <w:spacing w:val="-2"/>
                <w:szCs w:val="22"/>
                <w:lang w:val="sr-Latn-RS"/>
              </w:rPr>
              <w:t xml:space="preserve"> </w:t>
            </w:r>
            <w:r w:rsidRPr="00394D9A">
              <w:rPr>
                <w:spacing w:val="-5"/>
                <w:szCs w:val="22"/>
                <w:lang w:val="sr-Latn-RS"/>
              </w:rPr>
              <w:t>pr</w:t>
            </w:r>
            <w:r w:rsidR="00873B3C" w:rsidRPr="00394D9A">
              <w:rPr>
                <w:spacing w:val="-5"/>
                <w:szCs w:val="22"/>
                <w:lang w:val="sr-Latn-RS"/>
              </w:rPr>
              <w:t>ij</w:t>
            </w:r>
            <w:r w:rsidRPr="00394D9A">
              <w:rPr>
                <w:spacing w:val="-5"/>
                <w:szCs w:val="22"/>
                <w:lang w:val="sr-Latn-RS"/>
              </w:rPr>
              <w:t>e</w:t>
            </w:r>
          </w:p>
        </w:tc>
      </w:tr>
      <w:tr w:rsidR="00834EFA" w:rsidRPr="00394D9A" w14:paraId="2D4ABE4F" w14:textId="77777777" w:rsidTr="00DF17BA">
        <w:tc>
          <w:tcPr>
            <w:tcW w:w="2681" w:type="dxa"/>
          </w:tcPr>
          <w:p w14:paraId="5B7DA75F" w14:textId="77777777" w:rsidR="00834EFA" w:rsidRPr="00394D9A" w:rsidRDefault="00834EFA" w:rsidP="00187D17">
            <w:pPr>
              <w:widowControl w:val="0"/>
              <w:tabs>
                <w:tab w:val="clear" w:pos="284"/>
              </w:tabs>
              <w:autoSpaceDE w:val="0"/>
              <w:autoSpaceDN w:val="0"/>
              <w:ind w:left="143"/>
              <w:jc w:val="left"/>
              <w:rPr>
                <w:szCs w:val="22"/>
                <w:lang w:val="sr-Latn-RS"/>
              </w:rPr>
            </w:pPr>
            <w:r w:rsidRPr="00394D9A">
              <w:rPr>
                <w:szCs w:val="22"/>
                <w:lang w:val="sr-Latn-RS"/>
              </w:rPr>
              <w:t>50</w:t>
            </w:r>
            <w:r w:rsidRPr="00394D9A">
              <w:rPr>
                <w:spacing w:val="2"/>
                <w:szCs w:val="22"/>
                <w:lang w:val="sr-Latn-RS"/>
              </w:rPr>
              <w:t xml:space="preserve"> </w:t>
            </w:r>
            <w:r w:rsidRPr="00394D9A">
              <w:rPr>
                <w:szCs w:val="22"/>
                <w:lang w:val="sr-Latn-RS"/>
              </w:rPr>
              <w:t>–</w:t>
            </w:r>
            <w:r w:rsidRPr="00394D9A">
              <w:rPr>
                <w:spacing w:val="2"/>
                <w:szCs w:val="22"/>
                <w:lang w:val="sr-Latn-RS"/>
              </w:rPr>
              <w:t xml:space="preserve"> </w:t>
            </w:r>
            <w:r w:rsidRPr="00394D9A">
              <w:rPr>
                <w:spacing w:val="-5"/>
                <w:szCs w:val="22"/>
                <w:lang w:val="sr-Latn-RS"/>
              </w:rPr>
              <w:t>80</w:t>
            </w:r>
          </w:p>
        </w:tc>
        <w:tc>
          <w:tcPr>
            <w:tcW w:w="6380" w:type="dxa"/>
          </w:tcPr>
          <w:p w14:paraId="7E8AC8EA" w14:textId="1CEBD4CA" w:rsidR="00834EFA" w:rsidRPr="00394D9A" w:rsidRDefault="00834EFA" w:rsidP="00187D17">
            <w:pPr>
              <w:widowControl w:val="0"/>
              <w:tabs>
                <w:tab w:val="clear" w:pos="284"/>
              </w:tabs>
              <w:autoSpaceDE w:val="0"/>
              <w:autoSpaceDN w:val="0"/>
              <w:ind w:left="143"/>
              <w:jc w:val="left"/>
              <w:rPr>
                <w:szCs w:val="22"/>
                <w:lang w:val="sr-Latn-RS"/>
              </w:rPr>
            </w:pPr>
            <w:r w:rsidRPr="00394D9A">
              <w:rPr>
                <w:szCs w:val="22"/>
                <w:lang w:val="sr-Latn-RS"/>
              </w:rPr>
              <w:t>2</w:t>
            </w:r>
            <w:r w:rsidRPr="00394D9A">
              <w:rPr>
                <w:spacing w:val="2"/>
                <w:szCs w:val="22"/>
                <w:lang w:val="sr-Latn-RS"/>
              </w:rPr>
              <w:t xml:space="preserve"> </w:t>
            </w:r>
            <w:r w:rsidRPr="00394D9A">
              <w:rPr>
                <w:szCs w:val="22"/>
                <w:lang w:val="sr-Latn-RS"/>
              </w:rPr>
              <w:t xml:space="preserve">dana </w:t>
            </w:r>
            <w:r w:rsidRPr="00394D9A">
              <w:rPr>
                <w:spacing w:val="-5"/>
                <w:szCs w:val="22"/>
                <w:lang w:val="sr-Latn-RS"/>
              </w:rPr>
              <w:t>pr</w:t>
            </w:r>
            <w:r w:rsidR="00873B3C" w:rsidRPr="00394D9A">
              <w:rPr>
                <w:spacing w:val="-5"/>
                <w:szCs w:val="22"/>
                <w:lang w:val="sr-Latn-RS"/>
              </w:rPr>
              <w:t>ij</w:t>
            </w:r>
            <w:r w:rsidRPr="00394D9A">
              <w:rPr>
                <w:spacing w:val="-5"/>
                <w:szCs w:val="22"/>
                <w:lang w:val="sr-Latn-RS"/>
              </w:rPr>
              <w:t>e</w:t>
            </w:r>
          </w:p>
        </w:tc>
      </w:tr>
      <w:tr w:rsidR="00834EFA" w:rsidRPr="00A01BFA" w14:paraId="1762C156" w14:textId="77777777" w:rsidTr="00DF17BA">
        <w:tc>
          <w:tcPr>
            <w:tcW w:w="2681" w:type="dxa"/>
          </w:tcPr>
          <w:p w14:paraId="27739592" w14:textId="0A14C698" w:rsidR="00834EFA" w:rsidRPr="00394D9A" w:rsidRDefault="00834EFA" w:rsidP="00187D17">
            <w:pPr>
              <w:widowControl w:val="0"/>
              <w:tabs>
                <w:tab w:val="clear" w:pos="284"/>
              </w:tabs>
              <w:autoSpaceDE w:val="0"/>
              <w:autoSpaceDN w:val="0"/>
              <w:ind w:left="143"/>
              <w:jc w:val="left"/>
              <w:rPr>
                <w:szCs w:val="22"/>
                <w:lang w:val="sr-Latn-RS"/>
              </w:rPr>
            </w:pPr>
            <w:r w:rsidRPr="00394D9A">
              <w:rPr>
                <w:spacing w:val="-5"/>
                <w:szCs w:val="22"/>
                <w:lang w:val="sr-Latn-RS"/>
              </w:rPr>
              <w:t>&lt;</w:t>
            </w:r>
            <w:r w:rsidR="004F6973" w:rsidRPr="00394D9A">
              <w:rPr>
                <w:spacing w:val="-5"/>
                <w:szCs w:val="22"/>
                <w:lang w:val="sr-Latn-RS"/>
              </w:rPr>
              <w:t xml:space="preserve"> </w:t>
            </w:r>
            <w:r w:rsidRPr="00394D9A">
              <w:rPr>
                <w:spacing w:val="-5"/>
                <w:szCs w:val="22"/>
                <w:lang w:val="sr-Latn-RS"/>
              </w:rPr>
              <w:t>50</w:t>
            </w:r>
          </w:p>
        </w:tc>
        <w:tc>
          <w:tcPr>
            <w:tcW w:w="6380" w:type="dxa"/>
          </w:tcPr>
          <w:p w14:paraId="183DD6B6" w14:textId="7ED8DE50" w:rsidR="00834EFA" w:rsidRPr="00394D9A" w:rsidRDefault="00834EFA" w:rsidP="00187D17">
            <w:pPr>
              <w:widowControl w:val="0"/>
              <w:tabs>
                <w:tab w:val="clear" w:pos="284"/>
              </w:tabs>
              <w:autoSpaceDE w:val="0"/>
              <w:autoSpaceDN w:val="0"/>
              <w:ind w:left="143"/>
              <w:jc w:val="left"/>
              <w:rPr>
                <w:szCs w:val="22"/>
                <w:lang w:val="sr-Latn-RS"/>
              </w:rPr>
            </w:pPr>
            <w:r w:rsidRPr="00394D9A">
              <w:rPr>
                <w:szCs w:val="22"/>
                <w:lang w:val="sr-Latn-RS"/>
              </w:rPr>
              <w:t>Ti</w:t>
            </w:r>
            <w:r w:rsidRPr="00394D9A">
              <w:rPr>
                <w:spacing w:val="-5"/>
                <w:szCs w:val="22"/>
                <w:lang w:val="sr-Latn-RS"/>
              </w:rPr>
              <w:t xml:space="preserve"> </w:t>
            </w:r>
            <w:r w:rsidRPr="00394D9A">
              <w:rPr>
                <w:szCs w:val="22"/>
                <w:lang w:val="sr-Latn-RS"/>
              </w:rPr>
              <w:t>pacijenti</w:t>
            </w:r>
            <w:r w:rsidRPr="00394D9A">
              <w:rPr>
                <w:spacing w:val="-7"/>
                <w:szCs w:val="22"/>
                <w:lang w:val="sr-Latn-RS"/>
              </w:rPr>
              <w:t xml:space="preserve"> </w:t>
            </w:r>
            <w:r w:rsidRPr="00394D9A">
              <w:rPr>
                <w:szCs w:val="22"/>
                <w:lang w:val="sr-Latn-RS"/>
              </w:rPr>
              <w:t>ni</w:t>
            </w:r>
            <w:r w:rsidR="00157169" w:rsidRPr="00394D9A">
              <w:rPr>
                <w:szCs w:val="22"/>
                <w:lang w:val="sr-Latn-RS"/>
              </w:rPr>
              <w:t>je</w:t>
            </w:r>
            <w:r w:rsidRPr="00394D9A">
              <w:rPr>
                <w:szCs w:val="22"/>
                <w:lang w:val="sr-Latn-RS"/>
              </w:rPr>
              <w:t>su</w:t>
            </w:r>
            <w:r w:rsidRPr="00394D9A">
              <w:rPr>
                <w:spacing w:val="-6"/>
                <w:szCs w:val="22"/>
                <w:lang w:val="sr-Latn-RS"/>
              </w:rPr>
              <w:t xml:space="preserve"> </w:t>
            </w:r>
            <w:r w:rsidRPr="00394D9A">
              <w:rPr>
                <w:szCs w:val="22"/>
                <w:lang w:val="sr-Latn-RS"/>
              </w:rPr>
              <w:t>bili</w:t>
            </w:r>
            <w:r w:rsidRPr="00394D9A">
              <w:rPr>
                <w:spacing w:val="-5"/>
                <w:szCs w:val="22"/>
                <w:lang w:val="sr-Latn-RS"/>
              </w:rPr>
              <w:t xml:space="preserve"> </w:t>
            </w:r>
            <w:r w:rsidRPr="00394D9A">
              <w:rPr>
                <w:szCs w:val="22"/>
                <w:lang w:val="sr-Latn-RS"/>
              </w:rPr>
              <w:t>ispitani</w:t>
            </w:r>
            <w:r w:rsidRPr="00394D9A">
              <w:rPr>
                <w:spacing w:val="-6"/>
                <w:szCs w:val="22"/>
                <w:lang w:val="sr-Latn-RS"/>
              </w:rPr>
              <w:t xml:space="preserve"> </w:t>
            </w:r>
            <w:r w:rsidRPr="00394D9A">
              <w:rPr>
                <w:szCs w:val="22"/>
                <w:lang w:val="sr-Latn-RS"/>
              </w:rPr>
              <w:t>(vid</w:t>
            </w:r>
            <w:r w:rsidR="00873B3C" w:rsidRPr="00394D9A">
              <w:rPr>
                <w:szCs w:val="22"/>
                <w:lang w:val="sr-Latn-RS"/>
              </w:rPr>
              <w:t>j</w:t>
            </w:r>
            <w:r w:rsidRPr="00394D9A">
              <w:rPr>
                <w:szCs w:val="22"/>
                <w:lang w:val="sr-Latn-RS"/>
              </w:rPr>
              <w:t>eti</w:t>
            </w:r>
            <w:r w:rsidRPr="00394D9A">
              <w:rPr>
                <w:spacing w:val="-4"/>
                <w:szCs w:val="22"/>
                <w:lang w:val="sr-Latn-RS"/>
              </w:rPr>
              <w:t xml:space="preserve"> </w:t>
            </w:r>
            <w:r w:rsidR="003A2DDC" w:rsidRPr="00394D9A">
              <w:rPr>
                <w:szCs w:val="22"/>
                <w:lang w:val="sr-Latn-RS"/>
              </w:rPr>
              <w:t>dio</w:t>
            </w:r>
            <w:r w:rsidRPr="00394D9A">
              <w:rPr>
                <w:spacing w:val="-7"/>
                <w:szCs w:val="22"/>
                <w:lang w:val="sr-Latn-RS"/>
              </w:rPr>
              <w:t xml:space="preserve"> </w:t>
            </w:r>
            <w:r w:rsidRPr="00394D9A">
              <w:rPr>
                <w:spacing w:val="-2"/>
                <w:szCs w:val="22"/>
                <w:lang w:val="sr-Latn-RS"/>
              </w:rPr>
              <w:t>4.3).</w:t>
            </w:r>
          </w:p>
        </w:tc>
      </w:tr>
    </w:tbl>
    <w:p w14:paraId="53FFB0AE" w14:textId="77777777" w:rsidR="00395223" w:rsidRPr="00394D9A" w:rsidRDefault="00395223" w:rsidP="00187D17">
      <w:pPr>
        <w:widowControl w:val="0"/>
        <w:rPr>
          <w:szCs w:val="22"/>
          <w:lang w:val="sr-Latn-RS"/>
        </w:rPr>
      </w:pPr>
    </w:p>
    <w:p w14:paraId="4A7F41BD" w14:textId="1ABC81E4" w:rsidR="00ED2EAF" w:rsidRPr="00394D9A" w:rsidRDefault="00ED2EAF" w:rsidP="00187D17">
      <w:pPr>
        <w:widowControl w:val="0"/>
        <w:rPr>
          <w:i/>
          <w:iCs/>
          <w:szCs w:val="22"/>
          <w:u w:val="single"/>
          <w:lang w:val="sr-Latn-RS"/>
        </w:rPr>
      </w:pPr>
      <w:r w:rsidRPr="00394D9A">
        <w:rPr>
          <w:i/>
          <w:iCs/>
          <w:szCs w:val="22"/>
          <w:u w:val="single"/>
          <w:lang w:val="sr-Latn-RS"/>
        </w:rPr>
        <w:t>Spinalna anestezija/epiduralna anestezija/lumbalna punkcija</w:t>
      </w:r>
    </w:p>
    <w:p w14:paraId="10558CBA" w14:textId="77777777" w:rsidR="00EE51A6" w:rsidRPr="00394D9A" w:rsidRDefault="00EE51A6" w:rsidP="00187D17">
      <w:pPr>
        <w:widowControl w:val="0"/>
        <w:rPr>
          <w:szCs w:val="22"/>
          <w:lang w:val="sr-Latn-RS"/>
        </w:rPr>
      </w:pPr>
    </w:p>
    <w:p w14:paraId="0F09C382" w14:textId="10126C76" w:rsidR="00ED2EAF" w:rsidRPr="00394D9A" w:rsidRDefault="00ED2EAF" w:rsidP="00187D17">
      <w:pPr>
        <w:widowControl w:val="0"/>
        <w:rPr>
          <w:szCs w:val="22"/>
          <w:lang w:val="sr-Latn-RS"/>
        </w:rPr>
      </w:pPr>
      <w:r w:rsidRPr="00394D9A">
        <w:rPr>
          <w:szCs w:val="22"/>
          <w:lang w:val="sr-Latn-RS"/>
        </w:rPr>
        <w:t>Procedure kao što je spinalna anestezija mogu da zaht</w:t>
      </w:r>
      <w:r w:rsidR="00873B3C" w:rsidRPr="00394D9A">
        <w:rPr>
          <w:szCs w:val="22"/>
          <w:lang w:val="sr-Latn-RS"/>
        </w:rPr>
        <w:t>i</w:t>
      </w:r>
      <w:r w:rsidR="00BD52DD" w:rsidRPr="00394D9A">
        <w:rPr>
          <w:szCs w:val="22"/>
          <w:lang w:val="sr-Latn-RS"/>
        </w:rPr>
        <w:t>j</w:t>
      </w:r>
      <w:r w:rsidRPr="00394D9A">
        <w:rPr>
          <w:szCs w:val="22"/>
          <w:lang w:val="sr-Latn-RS"/>
        </w:rPr>
        <w:t>evaju kompletno očuvanu hemostatsku funkciju.</w:t>
      </w:r>
    </w:p>
    <w:p w14:paraId="704CD833" w14:textId="77777777" w:rsidR="00EE51A6" w:rsidRPr="00394D9A" w:rsidRDefault="00EE51A6" w:rsidP="00187D17">
      <w:pPr>
        <w:widowControl w:val="0"/>
        <w:rPr>
          <w:szCs w:val="22"/>
          <w:lang w:val="sr-Latn-RS"/>
        </w:rPr>
      </w:pPr>
    </w:p>
    <w:p w14:paraId="352102AE" w14:textId="16BE576F" w:rsidR="00ED2EAF" w:rsidRPr="00394D9A" w:rsidRDefault="00ED2EAF" w:rsidP="00187D17">
      <w:pPr>
        <w:widowControl w:val="0"/>
        <w:rPr>
          <w:szCs w:val="22"/>
          <w:lang w:val="sr-Latn-RS"/>
        </w:rPr>
      </w:pPr>
      <w:r w:rsidRPr="00394D9A">
        <w:rPr>
          <w:szCs w:val="22"/>
          <w:lang w:val="sr-Latn-RS"/>
        </w:rPr>
        <w:t>Rizik od spinalnog ili epiduralnog hematoma može da bude povećan u slučajevima traumatske ili</w:t>
      </w:r>
      <w:r w:rsidR="00EE51A6" w:rsidRPr="00394D9A">
        <w:rPr>
          <w:szCs w:val="22"/>
          <w:lang w:val="sr-Latn-RS"/>
        </w:rPr>
        <w:t xml:space="preserve"> </w:t>
      </w:r>
      <w:r w:rsidRPr="00394D9A">
        <w:rPr>
          <w:szCs w:val="22"/>
          <w:lang w:val="sr-Latn-RS"/>
        </w:rPr>
        <w:t>ponavljane punkcije i produžene upotrebe epiduralnih katetera. Posl</w:t>
      </w:r>
      <w:r w:rsidR="00BD52DD" w:rsidRPr="00394D9A">
        <w:rPr>
          <w:szCs w:val="22"/>
          <w:lang w:val="sr-Latn-RS"/>
        </w:rPr>
        <w:t>ij</w:t>
      </w:r>
      <w:r w:rsidRPr="00394D9A">
        <w:rPr>
          <w:szCs w:val="22"/>
          <w:lang w:val="sr-Latn-RS"/>
        </w:rPr>
        <w:t>e uklanjanja katetera potrebno je da</w:t>
      </w:r>
      <w:r w:rsidR="00EE51A6" w:rsidRPr="00394D9A">
        <w:rPr>
          <w:szCs w:val="22"/>
          <w:lang w:val="sr-Latn-RS"/>
        </w:rPr>
        <w:t xml:space="preserve"> </w:t>
      </w:r>
      <w:r w:rsidRPr="00394D9A">
        <w:rPr>
          <w:szCs w:val="22"/>
          <w:lang w:val="sr-Latn-RS"/>
        </w:rPr>
        <w:t>prođe interval od najmanje 2 časa pr</w:t>
      </w:r>
      <w:r w:rsidR="00BD52DD" w:rsidRPr="00394D9A">
        <w:rPr>
          <w:szCs w:val="22"/>
          <w:lang w:val="sr-Latn-RS"/>
        </w:rPr>
        <w:t>ij</w:t>
      </w:r>
      <w:r w:rsidRPr="00394D9A">
        <w:rPr>
          <w:szCs w:val="22"/>
          <w:lang w:val="sr-Latn-RS"/>
        </w:rPr>
        <w:t xml:space="preserve">e davanja prve doze </w:t>
      </w:r>
      <w:r w:rsidR="00A639DA" w:rsidRPr="00394D9A">
        <w:rPr>
          <w:szCs w:val="22"/>
          <w:lang w:val="sr-Latn-RS"/>
        </w:rPr>
        <w:t>lijeka</w:t>
      </w:r>
      <w:r w:rsidRPr="00394D9A">
        <w:rPr>
          <w:szCs w:val="22"/>
          <w:lang w:val="sr-Latn-RS"/>
        </w:rPr>
        <w:t xml:space="preserve"> </w:t>
      </w:r>
      <w:r w:rsidR="00EE51A6" w:rsidRPr="00394D9A">
        <w:rPr>
          <w:szCs w:val="22"/>
          <w:lang w:val="sr-Latn-RS"/>
        </w:rPr>
        <w:t>Dabigatran SK</w:t>
      </w:r>
      <w:r w:rsidRPr="00394D9A">
        <w:rPr>
          <w:szCs w:val="22"/>
          <w:lang w:val="sr-Latn-RS"/>
        </w:rPr>
        <w:t xml:space="preserve">. Ovi pacijenti </w:t>
      </w:r>
      <w:r w:rsidR="004F6973" w:rsidRPr="00394D9A">
        <w:rPr>
          <w:szCs w:val="22"/>
          <w:lang w:val="sr-Latn-RS"/>
        </w:rPr>
        <w:t xml:space="preserve">zahtijevaju </w:t>
      </w:r>
      <w:r w:rsidRPr="00394D9A">
        <w:rPr>
          <w:szCs w:val="22"/>
          <w:lang w:val="sr-Latn-RS"/>
        </w:rPr>
        <w:t>čestu</w:t>
      </w:r>
      <w:r w:rsidR="00EE51A6" w:rsidRPr="00394D9A">
        <w:rPr>
          <w:szCs w:val="22"/>
          <w:lang w:val="sr-Latn-RS"/>
        </w:rPr>
        <w:t xml:space="preserve"> </w:t>
      </w:r>
      <w:r w:rsidRPr="00394D9A">
        <w:rPr>
          <w:szCs w:val="22"/>
          <w:lang w:val="sr-Latn-RS"/>
        </w:rPr>
        <w:t>opservaciju da se prepoznaju neurološki znaci i simptomi spinalnog ili epiduralnog hematoma.</w:t>
      </w:r>
    </w:p>
    <w:p w14:paraId="35A9C8F8" w14:textId="77777777" w:rsidR="00EE51A6" w:rsidRPr="00394D9A" w:rsidRDefault="00EE51A6" w:rsidP="00187D17">
      <w:pPr>
        <w:widowControl w:val="0"/>
        <w:rPr>
          <w:szCs w:val="22"/>
          <w:lang w:val="sr-Latn-RS"/>
        </w:rPr>
      </w:pPr>
    </w:p>
    <w:p w14:paraId="4E7097FD" w14:textId="28C55710" w:rsidR="00ED2EAF" w:rsidRPr="00394D9A" w:rsidRDefault="00ED2EAF" w:rsidP="00187D17">
      <w:pPr>
        <w:widowControl w:val="0"/>
        <w:rPr>
          <w:i/>
          <w:iCs/>
          <w:szCs w:val="22"/>
          <w:u w:val="single"/>
          <w:lang w:val="sr-Latn-RS"/>
        </w:rPr>
      </w:pPr>
      <w:r w:rsidRPr="00394D9A">
        <w:rPr>
          <w:i/>
          <w:iCs/>
          <w:szCs w:val="22"/>
          <w:u w:val="single"/>
          <w:lang w:val="sr-Latn-RS"/>
        </w:rPr>
        <w:t>Postoperativna faza</w:t>
      </w:r>
    </w:p>
    <w:p w14:paraId="1B4DE6CD" w14:textId="77777777" w:rsidR="00EE51A6" w:rsidRPr="00394D9A" w:rsidRDefault="00EE51A6" w:rsidP="00187D17">
      <w:pPr>
        <w:widowControl w:val="0"/>
        <w:rPr>
          <w:szCs w:val="22"/>
          <w:lang w:val="sr-Latn-RS"/>
        </w:rPr>
      </w:pPr>
    </w:p>
    <w:p w14:paraId="66062B0E" w14:textId="3D161C98" w:rsidR="00ED2EAF" w:rsidRPr="00394D9A" w:rsidRDefault="00ED2EAF" w:rsidP="00187D17">
      <w:pPr>
        <w:widowControl w:val="0"/>
        <w:rPr>
          <w:szCs w:val="22"/>
          <w:lang w:val="sr-Latn-RS"/>
        </w:rPr>
      </w:pPr>
      <w:r w:rsidRPr="00394D9A">
        <w:rPr>
          <w:szCs w:val="22"/>
          <w:lang w:val="sr-Latn-RS"/>
        </w:rPr>
        <w:t xml:space="preserve">Terapija </w:t>
      </w:r>
      <w:r w:rsidR="00A639DA" w:rsidRPr="00394D9A">
        <w:rPr>
          <w:szCs w:val="22"/>
          <w:lang w:val="sr-Latn-RS"/>
        </w:rPr>
        <w:t>lijekom</w:t>
      </w:r>
      <w:r w:rsidRPr="00394D9A">
        <w:rPr>
          <w:szCs w:val="22"/>
          <w:lang w:val="sr-Latn-RS"/>
        </w:rPr>
        <w:t xml:space="preserve"> </w:t>
      </w:r>
      <w:r w:rsidR="00C62182" w:rsidRPr="00394D9A">
        <w:rPr>
          <w:szCs w:val="22"/>
          <w:lang w:val="sr-Latn-RS"/>
        </w:rPr>
        <w:t>Dabigatran SK</w:t>
      </w:r>
      <w:r w:rsidRPr="00394D9A">
        <w:rPr>
          <w:szCs w:val="22"/>
          <w:lang w:val="sr-Latn-RS"/>
        </w:rPr>
        <w:t xml:space="preserve"> treba da se započne posl</w:t>
      </w:r>
      <w:r w:rsidR="00BD52DD" w:rsidRPr="00394D9A">
        <w:rPr>
          <w:szCs w:val="22"/>
          <w:lang w:val="sr-Latn-RS"/>
        </w:rPr>
        <w:t>ij</w:t>
      </w:r>
      <w:r w:rsidRPr="00394D9A">
        <w:rPr>
          <w:szCs w:val="22"/>
          <w:lang w:val="sr-Latn-RS"/>
        </w:rPr>
        <w:t>e invazivne procedure ili hirurške intervencije što ranije,</w:t>
      </w:r>
      <w:r w:rsidR="00EE51A6" w:rsidRPr="00394D9A">
        <w:rPr>
          <w:szCs w:val="22"/>
          <w:lang w:val="sr-Latn-RS"/>
        </w:rPr>
        <w:t xml:space="preserve"> </w:t>
      </w:r>
      <w:r w:rsidRPr="00394D9A">
        <w:rPr>
          <w:szCs w:val="22"/>
          <w:lang w:val="sr-Latn-RS"/>
        </w:rPr>
        <w:t>pod uslovom da to omogućava klinička slika i da je postignuta kompletna hemostaza.</w:t>
      </w:r>
    </w:p>
    <w:p w14:paraId="20B2EE41" w14:textId="77777777" w:rsidR="00EE51A6" w:rsidRPr="00394D9A" w:rsidRDefault="00EE51A6" w:rsidP="00187D17">
      <w:pPr>
        <w:widowControl w:val="0"/>
        <w:rPr>
          <w:szCs w:val="22"/>
          <w:lang w:val="sr-Latn-RS"/>
        </w:rPr>
      </w:pPr>
    </w:p>
    <w:p w14:paraId="35DF9FD9" w14:textId="3FBD3DD4" w:rsidR="00ED2EAF" w:rsidRPr="00394D9A" w:rsidRDefault="00ED2EAF" w:rsidP="00187D17">
      <w:pPr>
        <w:widowControl w:val="0"/>
        <w:rPr>
          <w:szCs w:val="22"/>
          <w:lang w:val="sr-Latn-RS"/>
        </w:rPr>
      </w:pPr>
      <w:r w:rsidRPr="00394D9A">
        <w:rPr>
          <w:szCs w:val="22"/>
          <w:lang w:val="sr-Latn-RS"/>
        </w:rPr>
        <w:t>Pacijente u riziku od krvarenja ili pacijente u riziku od prekom</w:t>
      </w:r>
      <w:r w:rsidR="00873B3C" w:rsidRPr="00394D9A">
        <w:rPr>
          <w:szCs w:val="22"/>
          <w:lang w:val="sr-Latn-RS"/>
        </w:rPr>
        <w:t>j</w:t>
      </w:r>
      <w:r w:rsidRPr="00394D9A">
        <w:rPr>
          <w:szCs w:val="22"/>
          <w:lang w:val="sr-Latn-RS"/>
        </w:rPr>
        <w:t>ernog izlaganja, pr</w:t>
      </w:r>
      <w:r w:rsidR="00BD52DD" w:rsidRPr="00394D9A">
        <w:rPr>
          <w:szCs w:val="22"/>
          <w:lang w:val="sr-Latn-RS"/>
        </w:rPr>
        <w:t>ij</w:t>
      </w:r>
      <w:r w:rsidRPr="00394D9A">
        <w:rPr>
          <w:szCs w:val="22"/>
          <w:lang w:val="sr-Latn-RS"/>
        </w:rPr>
        <w:t>e svega pacijente sa</w:t>
      </w:r>
      <w:r w:rsidR="00EE51A6" w:rsidRPr="00394D9A">
        <w:rPr>
          <w:szCs w:val="22"/>
          <w:lang w:val="sr-Latn-RS"/>
        </w:rPr>
        <w:t xml:space="preserve"> </w:t>
      </w:r>
      <w:r w:rsidR="00035E19">
        <w:rPr>
          <w:szCs w:val="22"/>
          <w:lang w:val="sr-Latn-RS"/>
        </w:rPr>
        <w:t xml:space="preserve">smanjenom </w:t>
      </w:r>
      <w:r w:rsidRPr="00394D9A">
        <w:rPr>
          <w:szCs w:val="22"/>
          <w:lang w:val="sr-Latn-RS"/>
        </w:rPr>
        <w:t>funkcij</w:t>
      </w:r>
      <w:r w:rsidR="00035E19">
        <w:rPr>
          <w:szCs w:val="22"/>
          <w:lang w:val="sr-Latn-RS"/>
        </w:rPr>
        <w:t>om</w:t>
      </w:r>
      <w:r w:rsidRPr="00394D9A">
        <w:rPr>
          <w:szCs w:val="22"/>
          <w:lang w:val="sr-Latn-RS"/>
        </w:rPr>
        <w:t xml:space="preserve"> bubrega </w:t>
      </w:r>
      <w:r w:rsidR="00035E19">
        <w:rPr>
          <w:szCs w:val="22"/>
          <w:lang w:val="sr-Latn-RS"/>
        </w:rPr>
        <w:t xml:space="preserve"> (vidjeti dio 5)</w:t>
      </w:r>
      <w:r w:rsidRPr="00394D9A">
        <w:rPr>
          <w:szCs w:val="22"/>
          <w:lang w:val="sr-Latn-RS"/>
        </w:rPr>
        <w:t>, treba l</w:t>
      </w:r>
      <w:r w:rsidR="00BD52DD" w:rsidRPr="00394D9A">
        <w:rPr>
          <w:szCs w:val="22"/>
          <w:lang w:val="sr-Latn-RS"/>
        </w:rPr>
        <w:t>ij</w:t>
      </w:r>
      <w:r w:rsidRPr="00394D9A">
        <w:rPr>
          <w:szCs w:val="22"/>
          <w:lang w:val="sr-Latn-RS"/>
        </w:rPr>
        <w:t>ečiti oprezno (</w:t>
      </w:r>
      <w:r w:rsidR="004F6973" w:rsidRPr="00394D9A">
        <w:rPr>
          <w:szCs w:val="22"/>
          <w:lang w:val="sr-Latn-RS"/>
        </w:rPr>
        <w:t xml:space="preserve">vidjeti </w:t>
      </w:r>
      <w:r w:rsidR="00D7145C" w:rsidRPr="00394D9A">
        <w:rPr>
          <w:szCs w:val="22"/>
          <w:lang w:val="sr-Latn-RS"/>
        </w:rPr>
        <w:t>djelove</w:t>
      </w:r>
      <w:r w:rsidRPr="00394D9A">
        <w:rPr>
          <w:szCs w:val="22"/>
          <w:lang w:val="sr-Latn-RS"/>
        </w:rPr>
        <w:t xml:space="preserve"> 4.4 </w:t>
      </w:r>
      <w:r w:rsidR="00EE51A6" w:rsidRPr="00394D9A">
        <w:rPr>
          <w:szCs w:val="22"/>
          <w:lang w:val="sr-Latn-RS"/>
        </w:rPr>
        <w:t xml:space="preserve">i </w:t>
      </w:r>
      <w:r w:rsidRPr="00394D9A">
        <w:rPr>
          <w:szCs w:val="22"/>
          <w:lang w:val="sr-Latn-RS"/>
        </w:rPr>
        <w:t>5.1).</w:t>
      </w:r>
    </w:p>
    <w:p w14:paraId="741DBE10" w14:textId="77777777" w:rsidR="00EE51A6" w:rsidRPr="00394D9A" w:rsidRDefault="00EE51A6" w:rsidP="00187D17">
      <w:pPr>
        <w:widowControl w:val="0"/>
        <w:rPr>
          <w:szCs w:val="22"/>
          <w:lang w:val="sr-Latn-RS"/>
        </w:rPr>
      </w:pPr>
    </w:p>
    <w:p w14:paraId="38EC1EEE" w14:textId="759D2242" w:rsidR="00ED2EAF" w:rsidRPr="00394D9A" w:rsidRDefault="00ED2EAF" w:rsidP="00187D17">
      <w:pPr>
        <w:widowControl w:val="0"/>
        <w:rPr>
          <w:szCs w:val="22"/>
          <w:u w:val="single"/>
          <w:lang w:val="sr-Latn-RS"/>
        </w:rPr>
      </w:pPr>
      <w:r w:rsidRPr="00394D9A">
        <w:rPr>
          <w:szCs w:val="22"/>
          <w:u w:val="single"/>
          <w:lang w:val="sr-Latn-RS"/>
        </w:rPr>
        <w:t>Pacijenti u visokom riziku od hirurškog mortaliteta i sa intrinzičnim faktorima rizika za tromboembolijske</w:t>
      </w:r>
      <w:r w:rsidR="00C62182" w:rsidRPr="00394D9A">
        <w:rPr>
          <w:szCs w:val="22"/>
          <w:u w:val="single"/>
          <w:lang w:val="sr-Latn-RS"/>
        </w:rPr>
        <w:t xml:space="preserve"> </w:t>
      </w:r>
      <w:r w:rsidRPr="00394D9A">
        <w:rPr>
          <w:szCs w:val="22"/>
          <w:u w:val="single"/>
          <w:lang w:val="sr-Latn-RS"/>
        </w:rPr>
        <w:t>događaje</w:t>
      </w:r>
    </w:p>
    <w:p w14:paraId="283831D1" w14:textId="77777777" w:rsidR="00C62182" w:rsidRPr="00394D9A" w:rsidRDefault="00C62182" w:rsidP="00187D17">
      <w:pPr>
        <w:widowControl w:val="0"/>
        <w:rPr>
          <w:szCs w:val="22"/>
          <w:u w:val="single"/>
          <w:lang w:val="sr-Latn-RS"/>
        </w:rPr>
      </w:pPr>
    </w:p>
    <w:p w14:paraId="130B1278" w14:textId="1D445F6C" w:rsidR="00ED2EAF" w:rsidRPr="00394D9A" w:rsidRDefault="00ED2EAF" w:rsidP="00187D17">
      <w:pPr>
        <w:widowControl w:val="0"/>
        <w:rPr>
          <w:szCs w:val="22"/>
          <w:lang w:val="sr-Latn-RS"/>
        </w:rPr>
      </w:pPr>
      <w:r w:rsidRPr="00394D9A">
        <w:rPr>
          <w:szCs w:val="22"/>
          <w:lang w:val="sr-Latn-RS"/>
        </w:rPr>
        <w:t>Podaci o efikasnosti i bezb</w:t>
      </w:r>
      <w:r w:rsidR="00BD52DD" w:rsidRPr="00394D9A">
        <w:rPr>
          <w:szCs w:val="22"/>
          <w:lang w:val="sr-Latn-RS"/>
        </w:rPr>
        <w:t>j</w:t>
      </w:r>
      <w:r w:rsidRPr="00394D9A">
        <w:rPr>
          <w:szCs w:val="22"/>
          <w:lang w:val="sr-Latn-RS"/>
        </w:rPr>
        <w:t xml:space="preserve">ednosti </w:t>
      </w:r>
      <w:r w:rsidR="00A639DA" w:rsidRPr="00394D9A">
        <w:rPr>
          <w:szCs w:val="22"/>
          <w:lang w:val="sr-Latn-RS"/>
        </w:rPr>
        <w:t>lijeka</w:t>
      </w:r>
      <w:r w:rsidRPr="00394D9A">
        <w:rPr>
          <w:szCs w:val="22"/>
          <w:lang w:val="sr-Latn-RS"/>
        </w:rPr>
        <w:t xml:space="preserve"> </w:t>
      </w:r>
      <w:r w:rsidR="00C62182" w:rsidRPr="00394D9A">
        <w:rPr>
          <w:szCs w:val="22"/>
          <w:lang w:val="sr-Latn-RS"/>
        </w:rPr>
        <w:t>Dabigatran SK</w:t>
      </w:r>
      <w:r w:rsidRPr="00394D9A">
        <w:rPr>
          <w:szCs w:val="22"/>
          <w:lang w:val="sr-Latn-RS"/>
        </w:rPr>
        <w:t xml:space="preserve"> za ovu grupu pacijenata su sasvim ograničeni, pa se stoga</w:t>
      </w:r>
      <w:r w:rsidR="00C62182" w:rsidRPr="00394D9A">
        <w:rPr>
          <w:szCs w:val="22"/>
          <w:lang w:val="sr-Latn-RS"/>
        </w:rPr>
        <w:t xml:space="preserve"> </w:t>
      </w:r>
      <w:r w:rsidRPr="00394D9A">
        <w:rPr>
          <w:szCs w:val="22"/>
          <w:lang w:val="sr-Latn-RS"/>
        </w:rPr>
        <w:t>kod njih sav</w:t>
      </w:r>
      <w:r w:rsidR="00873B3C" w:rsidRPr="00394D9A">
        <w:rPr>
          <w:szCs w:val="22"/>
          <w:lang w:val="sr-Latn-RS"/>
        </w:rPr>
        <w:t>j</w:t>
      </w:r>
      <w:r w:rsidRPr="00394D9A">
        <w:rPr>
          <w:szCs w:val="22"/>
          <w:lang w:val="sr-Latn-RS"/>
        </w:rPr>
        <w:t>etuje oprezna terapija.</w:t>
      </w:r>
    </w:p>
    <w:p w14:paraId="5B6E144C" w14:textId="77777777" w:rsidR="00C62182" w:rsidRPr="00394D9A" w:rsidRDefault="00C62182" w:rsidP="00187D17">
      <w:pPr>
        <w:widowControl w:val="0"/>
        <w:rPr>
          <w:szCs w:val="22"/>
          <w:lang w:val="sr-Latn-RS"/>
        </w:rPr>
      </w:pPr>
    </w:p>
    <w:p w14:paraId="18E3D65B" w14:textId="77777777" w:rsidR="00ED2EAF" w:rsidRPr="00394D9A" w:rsidRDefault="00ED2EAF" w:rsidP="00187D17">
      <w:pPr>
        <w:widowControl w:val="0"/>
        <w:rPr>
          <w:szCs w:val="22"/>
          <w:u w:val="single"/>
          <w:lang w:val="sr-Latn-RS"/>
        </w:rPr>
      </w:pPr>
      <w:r w:rsidRPr="00394D9A">
        <w:rPr>
          <w:szCs w:val="22"/>
          <w:u w:val="single"/>
          <w:lang w:val="sr-Latn-RS"/>
        </w:rPr>
        <w:t>Oštećenje funkcije jetre</w:t>
      </w:r>
    </w:p>
    <w:p w14:paraId="09D5004B" w14:textId="77777777" w:rsidR="00C62182" w:rsidRPr="00394D9A" w:rsidRDefault="00C62182" w:rsidP="00187D17">
      <w:pPr>
        <w:widowControl w:val="0"/>
        <w:rPr>
          <w:szCs w:val="22"/>
          <w:lang w:val="sr-Latn-RS"/>
        </w:rPr>
      </w:pPr>
    </w:p>
    <w:p w14:paraId="4B4C6B52" w14:textId="1F7D9DA3" w:rsidR="00ED2EAF" w:rsidRPr="00394D9A" w:rsidRDefault="00ED2EAF" w:rsidP="00187D17">
      <w:pPr>
        <w:widowControl w:val="0"/>
        <w:rPr>
          <w:szCs w:val="22"/>
          <w:lang w:val="sr-Latn-RS"/>
        </w:rPr>
      </w:pPr>
      <w:r w:rsidRPr="00394D9A">
        <w:rPr>
          <w:szCs w:val="22"/>
          <w:lang w:val="sr-Latn-RS"/>
        </w:rPr>
        <w:t xml:space="preserve">Pacijenti sa povišenim </w:t>
      </w:r>
      <w:r w:rsidR="00BD52DD" w:rsidRPr="00394D9A">
        <w:rPr>
          <w:szCs w:val="22"/>
          <w:lang w:val="sr-Latn-RS"/>
        </w:rPr>
        <w:t>vrijednosti</w:t>
      </w:r>
      <w:r w:rsidR="00A03DD9" w:rsidRPr="00394D9A">
        <w:rPr>
          <w:szCs w:val="22"/>
          <w:lang w:val="sr-Latn-RS"/>
        </w:rPr>
        <w:t>ma</w:t>
      </w:r>
      <w:r w:rsidRPr="00394D9A">
        <w:rPr>
          <w:szCs w:val="22"/>
          <w:lang w:val="sr-Latn-RS"/>
        </w:rPr>
        <w:t xml:space="preserve"> enzima jetre &gt;</w:t>
      </w:r>
      <w:r w:rsidR="004813E6" w:rsidRPr="00394D9A">
        <w:rPr>
          <w:szCs w:val="22"/>
          <w:lang w:val="sr-Latn-RS"/>
        </w:rPr>
        <w:t xml:space="preserve"> </w:t>
      </w:r>
      <w:r w:rsidRPr="00394D9A">
        <w:rPr>
          <w:szCs w:val="22"/>
          <w:lang w:val="sr-Latn-RS"/>
        </w:rPr>
        <w:t xml:space="preserve">2 gornje granice normalne </w:t>
      </w:r>
      <w:r w:rsidR="00BD52DD" w:rsidRPr="00394D9A">
        <w:rPr>
          <w:szCs w:val="22"/>
          <w:lang w:val="sr-Latn-RS"/>
        </w:rPr>
        <w:t>vrijednosti</w:t>
      </w:r>
      <w:r w:rsidRPr="00394D9A">
        <w:rPr>
          <w:szCs w:val="22"/>
          <w:lang w:val="sr-Latn-RS"/>
        </w:rPr>
        <w:t xml:space="preserve"> (GGN) bili su</w:t>
      </w:r>
      <w:r w:rsidR="00C62182" w:rsidRPr="00394D9A">
        <w:rPr>
          <w:szCs w:val="22"/>
          <w:lang w:val="sr-Latn-RS"/>
        </w:rPr>
        <w:t xml:space="preserve"> </w:t>
      </w:r>
      <w:r w:rsidRPr="00394D9A">
        <w:rPr>
          <w:szCs w:val="22"/>
          <w:lang w:val="sr-Latn-RS"/>
        </w:rPr>
        <w:t xml:space="preserve">isključeni iz </w:t>
      </w:r>
      <w:r w:rsidR="00035E19">
        <w:rPr>
          <w:szCs w:val="22"/>
          <w:lang w:val="sr-Latn-RS"/>
        </w:rPr>
        <w:t>glavnih</w:t>
      </w:r>
      <w:r w:rsidR="00035E19" w:rsidRPr="00394D9A">
        <w:rPr>
          <w:szCs w:val="22"/>
          <w:lang w:val="sr-Latn-RS"/>
        </w:rPr>
        <w:t xml:space="preserve"> </w:t>
      </w:r>
      <w:r w:rsidRPr="00394D9A">
        <w:rPr>
          <w:szCs w:val="22"/>
          <w:lang w:val="sr-Latn-RS"/>
        </w:rPr>
        <w:t>ispitivanja. Ne postoji iskustvo u l</w:t>
      </w:r>
      <w:r w:rsidR="00BD52DD" w:rsidRPr="00394D9A">
        <w:rPr>
          <w:szCs w:val="22"/>
          <w:lang w:val="sr-Latn-RS"/>
        </w:rPr>
        <w:t>ij</w:t>
      </w:r>
      <w:r w:rsidRPr="00394D9A">
        <w:rPr>
          <w:szCs w:val="22"/>
          <w:lang w:val="sr-Latn-RS"/>
        </w:rPr>
        <w:t xml:space="preserve">ečenju ove subpopulacije pacijenata, te se stoga upotreba </w:t>
      </w:r>
      <w:r w:rsidR="00A639DA" w:rsidRPr="00394D9A">
        <w:rPr>
          <w:szCs w:val="22"/>
          <w:lang w:val="sr-Latn-RS"/>
        </w:rPr>
        <w:t>lijeka</w:t>
      </w:r>
      <w:r w:rsidRPr="00394D9A">
        <w:rPr>
          <w:szCs w:val="22"/>
          <w:lang w:val="sr-Latn-RS"/>
        </w:rPr>
        <w:t xml:space="preserve"> </w:t>
      </w:r>
      <w:r w:rsidR="00C62182" w:rsidRPr="00394D9A">
        <w:rPr>
          <w:szCs w:val="22"/>
          <w:lang w:val="sr-Latn-RS"/>
        </w:rPr>
        <w:t>Dabigatran SK</w:t>
      </w:r>
      <w:r w:rsidRPr="00394D9A">
        <w:rPr>
          <w:szCs w:val="22"/>
          <w:lang w:val="sr-Latn-RS"/>
        </w:rPr>
        <w:t xml:space="preserve"> u</w:t>
      </w:r>
      <w:r w:rsidR="00C62182" w:rsidRPr="00394D9A">
        <w:rPr>
          <w:szCs w:val="22"/>
          <w:lang w:val="sr-Latn-RS"/>
        </w:rPr>
        <w:t xml:space="preserve"> </w:t>
      </w:r>
      <w:r w:rsidRPr="00394D9A">
        <w:rPr>
          <w:szCs w:val="22"/>
          <w:lang w:val="sr-Latn-RS"/>
        </w:rPr>
        <w:t xml:space="preserve">ovoj populaciji ne preporučuje. </w:t>
      </w:r>
      <w:r w:rsidR="00A639DA" w:rsidRPr="00394D9A">
        <w:rPr>
          <w:szCs w:val="22"/>
          <w:lang w:val="sr-Latn-RS"/>
        </w:rPr>
        <w:t>Lijek</w:t>
      </w:r>
      <w:r w:rsidR="00C62182" w:rsidRPr="00394D9A">
        <w:rPr>
          <w:szCs w:val="22"/>
          <w:lang w:val="sr-Latn-RS"/>
        </w:rPr>
        <w:t xml:space="preserve"> Dabigatran SK</w:t>
      </w:r>
      <w:r w:rsidRPr="00394D9A">
        <w:rPr>
          <w:szCs w:val="22"/>
          <w:lang w:val="sr-Latn-RS"/>
        </w:rPr>
        <w:t xml:space="preserve"> je kontraindikovan kod oštećenja funkcije jetre ili bolesti</w:t>
      </w:r>
      <w:r w:rsidR="00C62182" w:rsidRPr="00394D9A">
        <w:rPr>
          <w:szCs w:val="22"/>
          <w:lang w:val="sr-Latn-RS"/>
        </w:rPr>
        <w:t xml:space="preserve"> </w:t>
      </w:r>
      <w:r w:rsidRPr="00394D9A">
        <w:rPr>
          <w:szCs w:val="22"/>
          <w:lang w:val="sr-Latn-RS"/>
        </w:rPr>
        <w:t>jetre koje može imati uticaj na preživljavanje (</w:t>
      </w:r>
      <w:r w:rsidR="004813E6" w:rsidRPr="00394D9A">
        <w:rPr>
          <w:szCs w:val="22"/>
          <w:lang w:val="sr-Latn-RS"/>
        </w:rPr>
        <w:t xml:space="preserve">vidjeti </w:t>
      </w:r>
      <w:r w:rsidR="00D7145C" w:rsidRPr="00394D9A">
        <w:rPr>
          <w:szCs w:val="22"/>
          <w:lang w:val="sr-Latn-RS"/>
        </w:rPr>
        <w:t>dio</w:t>
      </w:r>
      <w:r w:rsidRPr="00394D9A">
        <w:rPr>
          <w:szCs w:val="22"/>
          <w:lang w:val="sr-Latn-RS"/>
        </w:rPr>
        <w:t xml:space="preserve"> 4.3).</w:t>
      </w:r>
    </w:p>
    <w:p w14:paraId="2824AF8F" w14:textId="77777777" w:rsidR="00C62182" w:rsidRPr="00394D9A" w:rsidRDefault="00C62182" w:rsidP="00187D17">
      <w:pPr>
        <w:widowControl w:val="0"/>
        <w:rPr>
          <w:szCs w:val="22"/>
          <w:lang w:val="sr-Latn-RS"/>
        </w:rPr>
      </w:pPr>
    </w:p>
    <w:p w14:paraId="4DBE039A" w14:textId="3341325A" w:rsidR="00ED2EAF" w:rsidRPr="00394D9A" w:rsidRDefault="00ED2EAF" w:rsidP="00187D17">
      <w:pPr>
        <w:widowControl w:val="0"/>
        <w:rPr>
          <w:szCs w:val="22"/>
          <w:u w:val="single"/>
          <w:lang w:val="sr-Latn-RS"/>
        </w:rPr>
      </w:pPr>
      <w:r w:rsidRPr="00394D9A">
        <w:rPr>
          <w:szCs w:val="22"/>
          <w:u w:val="single"/>
          <w:lang w:val="sr-Latn-RS"/>
        </w:rPr>
        <w:t>Interakcije s</w:t>
      </w:r>
      <w:r w:rsidR="003D2DBC" w:rsidRPr="00394D9A">
        <w:rPr>
          <w:szCs w:val="22"/>
          <w:u w:val="single"/>
          <w:lang w:val="sr-Latn-RS"/>
        </w:rPr>
        <w:t>a</w:t>
      </w:r>
      <w:r w:rsidRPr="00394D9A">
        <w:rPr>
          <w:szCs w:val="22"/>
          <w:u w:val="single"/>
          <w:lang w:val="sr-Latn-RS"/>
        </w:rPr>
        <w:t xml:space="preserve"> induktorima P-glikoproteina</w:t>
      </w:r>
    </w:p>
    <w:p w14:paraId="3DE74A14" w14:textId="77777777" w:rsidR="00C62182" w:rsidRPr="00394D9A" w:rsidRDefault="00C62182" w:rsidP="00187D17">
      <w:pPr>
        <w:widowControl w:val="0"/>
        <w:rPr>
          <w:szCs w:val="22"/>
          <w:u w:val="single"/>
          <w:lang w:val="sr-Latn-RS"/>
        </w:rPr>
      </w:pPr>
    </w:p>
    <w:p w14:paraId="5CA7DADC" w14:textId="2DA18899" w:rsidR="00ED2EAF" w:rsidRPr="00394D9A" w:rsidRDefault="00ED2EAF" w:rsidP="00187D17">
      <w:pPr>
        <w:widowControl w:val="0"/>
        <w:rPr>
          <w:szCs w:val="22"/>
          <w:lang w:val="sr-Latn-RS"/>
        </w:rPr>
      </w:pPr>
      <w:r w:rsidRPr="00394D9A">
        <w:rPr>
          <w:szCs w:val="22"/>
          <w:lang w:val="sr-Latn-RS"/>
        </w:rPr>
        <w:t>Isto</w:t>
      </w:r>
      <w:r w:rsidR="00382644" w:rsidRPr="00394D9A">
        <w:rPr>
          <w:szCs w:val="22"/>
          <w:lang w:val="sr-Latn-RS"/>
        </w:rPr>
        <w:t>vremena</w:t>
      </w:r>
      <w:r w:rsidRPr="00394D9A">
        <w:rPr>
          <w:szCs w:val="22"/>
          <w:lang w:val="sr-Latn-RS"/>
        </w:rPr>
        <w:t xml:space="preserve"> </w:t>
      </w:r>
      <w:r w:rsidR="00A639DA" w:rsidRPr="00394D9A">
        <w:rPr>
          <w:szCs w:val="22"/>
          <w:lang w:val="sr-Latn-RS"/>
        </w:rPr>
        <w:t xml:space="preserve">primjena </w:t>
      </w:r>
      <w:r w:rsidRPr="00394D9A">
        <w:rPr>
          <w:szCs w:val="22"/>
          <w:lang w:val="sr-Latn-RS"/>
        </w:rPr>
        <w:t xml:space="preserve"> </w:t>
      </w:r>
      <w:r w:rsidR="00A639DA" w:rsidRPr="00394D9A">
        <w:rPr>
          <w:szCs w:val="22"/>
          <w:lang w:val="sr-Latn-RS"/>
        </w:rPr>
        <w:t>lijeka</w:t>
      </w:r>
      <w:r w:rsidRPr="00394D9A">
        <w:rPr>
          <w:szCs w:val="22"/>
          <w:lang w:val="sr-Latn-RS"/>
        </w:rPr>
        <w:t xml:space="preserve"> </w:t>
      </w:r>
      <w:r w:rsidR="00C62182" w:rsidRPr="00394D9A">
        <w:rPr>
          <w:szCs w:val="22"/>
          <w:lang w:val="sr-Latn-RS"/>
        </w:rPr>
        <w:t>Dabigatran SK</w:t>
      </w:r>
      <w:r w:rsidRPr="00394D9A">
        <w:rPr>
          <w:szCs w:val="22"/>
          <w:lang w:val="sr-Latn-RS"/>
        </w:rPr>
        <w:t xml:space="preserve"> sa induktorima P-glikoproteina može da izazove pad koncentracije</w:t>
      </w:r>
      <w:r w:rsidR="00C62182" w:rsidRPr="00394D9A">
        <w:rPr>
          <w:szCs w:val="22"/>
          <w:lang w:val="sr-Latn-RS"/>
        </w:rPr>
        <w:t xml:space="preserve"> </w:t>
      </w:r>
      <w:r w:rsidRPr="00394D9A">
        <w:rPr>
          <w:szCs w:val="22"/>
          <w:lang w:val="sr-Latn-RS"/>
        </w:rPr>
        <w:t>dabigatrana i treba je izb</w:t>
      </w:r>
      <w:r w:rsidR="00BD52DD" w:rsidRPr="00394D9A">
        <w:rPr>
          <w:szCs w:val="22"/>
          <w:lang w:val="sr-Latn-RS"/>
        </w:rPr>
        <w:t>j</w:t>
      </w:r>
      <w:r w:rsidRPr="00394D9A">
        <w:rPr>
          <w:szCs w:val="22"/>
          <w:lang w:val="sr-Latn-RS"/>
        </w:rPr>
        <w:t>egavati (</w:t>
      </w:r>
      <w:r w:rsidR="004813E6" w:rsidRPr="00394D9A">
        <w:rPr>
          <w:szCs w:val="22"/>
          <w:lang w:val="sr-Latn-RS"/>
        </w:rPr>
        <w:t xml:space="preserve">vidjeti </w:t>
      </w:r>
      <w:r w:rsidR="00D7145C" w:rsidRPr="00394D9A">
        <w:rPr>
          <w:szCs w:val="22"/>
          <w:lang w:val="sr-Latn-RS"/>
        </w:rPr>
        <w:t>djelove</w:t>
      </w:r>
      <w:r w:rsidRPr="00394D9A">
        <w:rPr>
          <w:szCs w:val="22"/>
          <w:lang w:val="sr-Latn-RS"/>
        </w:rPr>
        <w:t xml:space="preserve"> 4.5 i 5.2).</w:t>
      </w:r>
    </w:p>
    <w:p w14:paraId="2E842362" w14:textId="2973EB43" w:rsidR="00ED2EAF" w:rsidRPr="00394D9A" w:rsidRDefault="00ED2EAF" w:rsidP="00187D17">
      <w:pPr>
        <w:widowControl w:val="0"/>
        <w:rPr>
          <w:szCs w:val="22"/>
          <w:lang w:val="sr-Latn-RS"/>
        </w:rPr>
      </w:pPr>
    </w:p>
    <w:p w14:paraId="1E4E2AF0" w14:textId="5F1542A7" w:rsidR="00ED2EAF" w:rsidRPr="00394D9A" w:rsidRDefault="00ED2EAF" w:rsidP="00187D17">
      <w:pPr>
        <w:widowControl w:val="0"/>
        <w:rPr>
          <w:szCs w:val="22"/>
          <w:u w:val="single"/>
          <w:lang w:val="sr-Latn-RS"/>
        </w:rPr>
      </w:pPr>
      <w:r w:rsidRPr="00394D9A">
        <w:rPr>
          <w:szCs w:val="22"/>
          <w:u w:val="single"/>
          <w:lang w:val="sr-Latn-RS"/>
        </w:rPr>
        <w:t>Pacijenti sa antifosfolipidnim sindromom</w:t>
      </w:r>
    </w:p>
    <w:p w14:paraId="4DAAEE4A" w14:textId="77777777" w:rsidR="00C62182" w:rsidRPr="00394D9A" w:rsidRDefault="00C62182" w:rsidP="00187D17">
      <w:pPr>
        <w:widowControl w:val="0"/>
        <w:rPr>
          <w:szCs w:val="22"/>
          <w:u w:val="single"/>
          <w:lang w:val="sr-Latn-RS"/>
        </w:rPr>
      </w:pPr>
    </w:p>
    <w:p w14:paraId="2CBCD58D" w14:textId="29020E28" w:rsidR="002E231D" w:rsidRPr="00394D9A" w:rsidRDefault="00ED2EAF" w:rsidP="00187D17">
      <w:pPr>
        <w:widowControl w:val="0"/>
        <w:rPr>
          <w:szCs w:val="22"/>
          <w:lang w:val="sr-Latn-RS"/>
        </w:rPr>
      </w:pPr>
      <w:r w:rsidRPr="00394D9A">
        <w:rPr>
          <w:szCs w:val="22"/>
          <w:lang w:val="sr-Latn-RS"/>
        </w:rPr>
        <w:t>Upotreba direktn</w:t>
      </w:r>
      <w:r w:rsidR="00A03DD9" w:rsidRPr="00394D9A">
        <w:rPr>
          <w:szCs w:val="22"/>
          <w:lang w:val="sr-Latn-RS"/>
        </w:rPr>
        <w:t>o d</w:t>
      </w:r>
      <w:r w:rsidR="00BD52DD" w:rsidRPr="00394D9A">
        <w:rPr>
          <w:szCs w:val="22"/>
          <w:lang w:val="sr-Latn-RS"/>
        </w:rPr>
        <w:t>j</w:t>
      </w:r>
      <w:r w:rsidR="00A03DD9" w:rsidRPr="00394D9A">
        <w:rPr>
          <w:szCs w:val="22"/>
          <w:lang w:val="sr-Latn-RS"/>
        </w:rPr>
        <w:t>elujuć</w:t>
      </w:r>
      <w:r w:rsidRPr="00394D9A">
        <w:rPr>
          <w:szCs w:val="22"/>
          <w:lang w:val="sr-Latn-RS"/>
        </w:rPr>
        <w:t>ih oralnih antikoagulanasa (DOAC), uključujući dabigatraneteksilat, ne preporučuje</w:t>
      </w:r>
      <w:r w:rsidR="00C62182" w:rsidRPr="00394D9A">
        <w:rPr>
          <w:szCs w:val="22"/>
          <w:lang w:val="sr-Latn-RS"/>
        </w:rPr>
        <w:t xml:space="preserve"> </w:t>
      </w:r>
      <w:r w:rsidR="00A03DD9" w:rsidRPr="00394D9A">
        <w:rPr>
          <w:szCs w:val="22"/>
          <w:lang w:val="sr-Latn-RS"/>
        </w:rPr>
        <w:t xml:space="preserve">se </w:t>
      </w:r>
      <w:r w:rsidRPr="00394D9A">
        <w:rPr>
          <w:szCs w:val="22"/>
          <w:lang w:val="sr-Latn-RS"/>
        </w:rPr>
        <w:t>kod pacijenata koji u anamnezi imaju trombozu, a dijagnostikovan im je antifosfolipidni sindrom.</w:t>
      </w:r>
      <w:r w:rsidR="00C62182" w:rsidRPr="00394D9A">
        <w:rPr>
          <w:szCs w:val="22"/>
          <w:lang w:val="sr-Latn-RS"/>
        </w:rPr>
        <w:t xml:space="preserve"> </w:t>
      </w:r>
      <w:r w:rsidRPr="00394D9A">
        <w:rPr>
          <w:szCs w:val="22"/>
          <w:lang w:val="sr-Latn-RS"/>
        </w:rPr>
        <w:t>Naročito se ne preporučuju kod pacijenata koji su pozitivni na sva tri antifosfolipidna testa (lupus</w:t>
      </w:r>
      <w:r w:rsidR="00C62182" w:rsidRPr="00394D9A">
        <w:rPr>
          <w:szCs w:val="22"/>
          <w:lang w:val="sr-Latn-RS"/>
        </w:rPr>
        <w:t xml:space="preserve"> </w:t>
      </w:r>
      <w:r w:rsidRPr="00394D9A">
        <w:rPr>
          <w:szCs w:val="22"/>
          <w:lang w:val="sr-Latn-RS"/>
        </w:rPr>
        <w:t>antikoagulans, antikardiolipin antit</w:t>
      </w:r>
      <w:r w:rsidR="00BD52DD" w:rsidRPr="00394D9A">
        <w:rPr>
          <w:szCs w:val="22"/>
          <w:lang w:val="sr-Latn-RS"/>
        </w:rPr>
        <w:t>ij</w:t>
      </w:r>
      <w:r w:rsidRPr="00394D9A">
        <w:rPr>
          <w:szCs w:val="22"/>
          <w:lang w:val="sr-Latn-RS"/>
        </w:rPr>
        <w:t>ela i anti-beta 2 glikoprotein I antit</w:t>
      </w:r>
      <w:r w:rsidR="00522BBD" w:rsidRPr="00394D9A">
        <w:rPr>
          <w:szCs w:val="22"/>
          <w:lang w:val="sr-Latn-RS"/>
        </w:rPr>
        <w:t>ij</w:t>
      </w:r>
      <w:r w:rsidRPr="00394D9A">
        <w:rPr>
          <w:szCs w:val="22"/>
          <w:lang w:val="sr-Latn-RS"/>
        </w:rPr>
        <w:t>ela), kod kojih bi terapija direktn</w:t>
      </w:r>
      <w:r w:rsidR="00A03DD9" w:rsidRPr="00394D9A">
        <w:rPr>
          <w:szCs w:val="22"/>
          <w:lang w:val="sr-Latn-RS"/>
        </w:rPr>
        <w:t>o d</w:t>
      </w:r>
      <w:r w:rsidR="00BD52DD" w:rsidRPr="00394D9A">
        <w:rPr>
          <w:szCs w:val="22"/>
          <w:lang w:val="sr-Latn-RS"/>
        </w:rPr>
        <w:t>j</w:t>
      </w:r>
      <w:r w:rsidR="00A03DD9" w:rsidRPr="00394D9A">
        <w:rPr>
          <w:szCs w:val="22"/>
          <w:lang w:val="sr-Latn-RS"/>
        </w:rPr>
        <w:t>elujuć</w:t>
      </w:r>
      <w:r w:rsidRPr="00394D9A">
        <w:rPr>
          <w:szCs w:val="22"/>
          <w:lang w:val="sr-Latn-RS"/>
        </w:rPr>
        <w:t>im</w:t>
      </w:r>
      <w:r w:rsidR="00C62182" w:rsidRPr="00394D9A">
        <w:rPr>
          <w:szCs w:val="22"/>
          <w:lang w:val="sr-Latn-RS"/>
        </w:rPr>
        <w:t xml:space="preserve"> </w:t>
      </w:r>
      <w:r w:rsidRPr="00394D9A">
        <w:rPr>
          <w:szCs w:val="22"/>
          <w:lang w:val="sr-Latn-RS"/>
        </w:rPr>
        <w:t>oralnim antikoagulansima mogla biti povezana sa povećanom stopom rekurentnih trombotičkih događaja</w:t>
      </w:r>
      <w:r w:rsidR="00C62182" w:rsidRPr="00394D9A">
        <w:rPr>
          <w:szCs w:val="22"/>
          <w:lang w:val="sr-Latn-RS"/>
        </w:rPr>
        <w:t xml:space="preserve"> </w:t>
      </w:r>
      <w:r w:rsidRPr="00394D9A">
        <w:rPr>
          <w:szCs w:val="22"/>
          <w:lang w:val="sr-Latn-RS"/>
        </w:rPr>
        <w:t>u poređenju sa terapijom antagonistima vitamina K.</w:t>
      </w:r>
    </w:p>
    <w:p w14:paraId="48313E06" w14:textId="24253D54" w:rsidR="00754024" w:rsidRPr="00394D9A" w:rsidRDefault="00754024" w:rsidP="00187D17">
      <w:pPr>
        <w:widowControl w:val="0"/>
        <w:rPr>
          <w:szCs w:val="22"/>
          <w:lang w:val="sr-Latn-RS"/>
        </w:rPr>
      </w:pPr>
    </w:p>
    <w:p w14:paraId="26034C69" w14:textId="4DDD60E1" w:rsidR="00754024" w:rsidRPr="00394D9A" w:rsidRDefault="00754024" w:rsidP="00187D17">
      <w:pPr>
        <w:widowControl w:val="0"/>
        <w:rPr>
          <w:szCs w:val="22"/>
          <w:u w:val="single"/>
          <w:lang w:val="sr-Latn-RS"/>
        </w:rPr>
      </w:pPr>
      <w:r w:rsidRPr="00394D9A">
        <w:rPr>
          <w:szCs w:val="22"/>
          <w:u w:val="single"/>
          <w:lang w:val="sr-Latn-RS"/>
        </w:rPr>
        <w:t>Infarkt miokarda</w:t>
      </w:r>
      <w:r w:rsidR="00A03DD9" w:rsidRPr="00394D9A">
        <w:rPr>
          <w:szCs w:val="22"/>
          <w:u w:val="single"/>
          <w:lang w:val="sr-Latn-RS"/>
        </w:rPr>
        <w:t xml:space="preserve"> (IM)</w:t>
      </w:r>
    </w:p>
    <w:p w14:paraId="1A0AFCDB" w14:textId="77777777" w:rsidR="00754024" w:rsidRPr="00394D9A" w:rsidRDefault="00754024" w:rsidP="00187D17">
      <w:pPr>
        <w:widowControl w:val="0"/>
        <w:rPr>
          <w:szCs w:val="22"/>
          <w:u w:val="single"/>
          <w:lang w:val="sr-Latn-RS"/>
        </w:rPr>
      </w:pPr>
    </w:p>
    <w:p w14:paraId="7F6891C9" w14:textId="05412189" w:rsidR="00754024" w:rsidRPr="00394D9A" w:rsidRDefault="00754024" w:rsidP="00187D17">
      <w:pPr>
        <w:widowControl w:val="0"/>
        <w:rPr>
          <w:szCs w:val="22"/>
          <w:lang w:val="sr-Latn-RS"/>
        </w:rPr>
      </w:pPr>
      <w:r w:rsidRPr="00394D9A">
        <w:rPr>
          <w:szCs w:val="22"/>
          <w:lang w:val="sr-Latn-RS"/>
        </w:rPr>
        <w:t>U studiji faze III, RE-LY (prevencija MU i SE kod AF-</w:t>
      </w:r>
      <w:r w:rsidR="004813E6" w:rsidRPr="00394D9A">
        <w:rPr>
          <w:szCs w:val="22"/>
          <w:lang w:val="sr-Latn-RS"/>
        </w:rPr>
        <w:t xml:space="preserve">vidjeti </w:t>
      </w:r>
      <w:r w:rsidR="00D7145C" w:rsidRPr="00394D9A">
        <w:rPr>
          <w:szCs w:val="22"/>
          <w:lang w:val="sr-Latn-RS"/>
        </w:rPr>
        <w:t>dio</w:t>
      </w:r>
      <w:r w:rsidRPr="00394D9A">
        <w:rPr>
          <w:szCs w:val="22"/>
          <w:lang w:val="sr-Latn-RS"/>
        </w:rPr>
        <w:t xml:space="preserve"> 5.1) ukupna stopa </w:t>
      </w:r>
      <w:r w:rsidR="003D1A4E" w:rsidRPr="00394D9A">
        <w:rPr>
          <w:szCs w:val="22"/>
          <w:lang w:val="sr-Latn-RS"/>
        </w:rPr>
        <w:t>infarkta miokarda</w:t>
      </w:r>
      <w:r w:rsidR="009315AC" w:rsidRPr="00394D9A">
        <w:rPr>
          <w:szCs w:val="22"/>
          <w:lang w:val="sr-Latn-RS"/>
        </w:rPr>
        <w:t xml:space="preserve"> (</w:t>
      </w:r>
      <w:r w:rsidRPr="00394D9A">
        <w:rPr>
          <w:szCs w:val="22"/>
          <w:lang w:val="sr-Latn-RS"/>
        </w:rPr>
        <w:t>IM</w:t>
      </w:r>
      <w:r w:rsidR="009315AC" w:rsidRPr="00394D9A">
        <w:rPr>
          <w:szCs w:val="22"/>
          <w:lang w:val="sr-Latn-RS"/>
        </w:rPr>
        <w:t>)</w:t>
      </w:r>
      <w:r w:rsidRPr="00394D9A">
        <w:rPr>
          <w:szCs w:val="22"/>
          <w:lang w:val="sr-Latn-RS"/>
        </w:rPr>
        <w:t xml:space="preserve"> iznosila je 0,82% godišnje za dabigatraneteksilat 110 mg dva puta na dan, 0,81% godišnje za dabigatraneteksilat 150 mg dva puta na dan i 0,64% godišnje za varfarin, gde se b</w:t>
      </w:r>
      <w:r w:rsidR="00BD52DD" w:rsidRPr="00394D9A">
        <w:rPr>
          <w:szCs w:val="22"/>
          <w:lang w:val="sr-Latn-RS"/>
        </w:rPr>
        <w:t>i</w:t>
      </w:r>
      <w:r w:rsidRPr="00394D9A">
        <w:rPr>
          <w:szCs w:val="22"/>
          <w:lang w:val="sr-Latn-RS"/>
        </w:rPr>
        <w:t>l</w:t>
      </w:r>
      <w:r w:rsidR="00BD52DD" w:rsidRPr="00394D9A">
        <w:rPr>
          <w:szCs w:val="22"/>
          <w:lang w:val="sr-Latn-RS"/>
        </w:rPr>
        <w:t>j</w:t>
      </w:r>
      <w:r w:rsidRPr="00394D9A">
        <w:rPr>
          <w:szCs w:val="22"/>
          <w:lang w:val="sr-Latn-RS"/>
        </w:rPr>
        <w:t>eži povećanje rizika za dabigatran od 29%, odnosno 27% u poređenju sa varfarinom. Nezavisno od terapije, najveći apsolutni rizik od IM b</w:t>
      </w:r>
      <w:r w:rsidR="00BD52DD" w:rsidRPr="00394D9A">
        <w:rPr>
          <w:szCs w:val="22"/>
          <w:lang w:val="sr-Latn-RS"/>
        </w:rPr>
        <w:t>i</w:t>
      </w:r>
      <w:r w:rsidRPr="00394D9A">
        <w:rPr>
          <w:szCs w:val="22"/>
          <w:lang w:val="sr-Latn-RS"/>
        </w:rPr>
        <w:t>l</w:t>
      </w:r>
      <w:r w:rsidR="00BD52DD" w:rsidRPr="00394D9A">
        <w:rPr>
          <w:szCs w:val="22"/>
          <w:lang w:val="sr-Latn-RS"/>
        </w:rPr>
        <w:t>j</w:t>
      </w:r>
      <w:r w:rsidRPr="00394D9A">
        <w:rPr>
          <w:szCs w:val="22"/>
          <w:lang w:val="sr-Latn-RS"/>
        </w:rPr>
        <w:t>ežio se u sl</w:t>
      </w:r>
      <w:r w:rsidR="00157169" w:rsidRPr="00394D9A">
        <w:rPr>
          <w:szCs w:val="22"/>
          <w:lang w:val="sr-Latn-RS"/>
        </w:rPr>
        <w:t>j</w:t>
      </w:r>
      <w:r w:rsidRPr="00394D9A">
        <w:rPr>
          <w:szCs w:val="22"/>
          <w:lang w:val="sr-Latn-RS"/>
        </w:rPr>
        <w:t>edećim podgrupama, i to sa sličnim relativnim rizikom: pacijenti koji su već imali IM, pacijenti ≥</w:t>
      </w:r>
      <w:r w:rsidR="004813E6" w:rsidRPr="00394D9A">
        <w:rPr>
          <w:szCs w:val="22"/>
          <w:lang w:val="sr-Latn-RS"/>
        </w:rPr>
        <w:t xml:space="preserve"> </w:t>
      </w:r>
      <w:r w:rsidRPr="00394D9A">
        <w:rPr>
          <w:szCs w:val="22"/>
          <w:lang w:val="sr-Latn-RS"/>
        </w:rPr>
        <w:t>65 godina koji imaju ili dijabetes ili koronarnu arterijsku bolest, pacijenti sa ejekcionom frakcijom l</w:t>
      </w:r>
      <w:r w:rsidR="00BD52DD" w:rsidRPr="00394D9A">
        <w:rPr>
          <w:szCs w:val="22"/>
          <w:lang w:val="sr-Latn-RS"/>
        </w:rPr>
        <w:t>ij</w:t>
      </w:r>
      <w:r w:rsidRPr="00394D9A">
        <w:rPr>
          <w:szCs w:val="22"/>
          <w:lang w:val="sr-Latn-RS"/>
        </w:rPr>
        <w:t>eve komore &lt;</w:t>
      </w:r>
      <w:r w:rsidR="004813E6" w:rsidRPr="00394D9A">
        <w:rPr>
          <w:szCs w:val="22"/>
          <w:lang w:val="sr-Latn-RS"/>
        </w:rPr>
        <w:t xml:space="preserve"> </w:t>
      </w:r>
      <w:r w:rsidRPr="00394D9A">
        <w:rPr>
          <w:szCs w:val="22"/>
          <w:lang w:val="sr-Latn-RS"/>
        </w:rPr>
        <w:t>40 %, i pacijenti sa um</w:t>
      </w:r>
      <w:r w:rsidR="00BD52DD" w:rsidRPr="00394D9A">
        <w:rPr>
          <w:szCs w:val="22"/>
          <w:lang w:val="sr-Latn-RS"/>
        </w:rPr>
        <w:t>j</w:t>
      </w:r>
      <w:r w:rsidRPr="00394D9A">
        <w:rPr>
          <w:szCs w:val="22"/>
          <w:lang w:val="sr-Latn-RS"/>
        </w:rPr>
        <w:t>erenom bubrežnom disfunkcijom. Štaviše, veći rizik od IM b</w:t>
      </w:r>
      <w:r w:rsidR="00BD52DD" w:rsidRPr="00394D9A">
        <w:rPr>
          <w:szCs w:val="22"/>
          <w:lang w:val="sr-Latn-RS"/>
        </w:rPr>
        <w:t>i</w:t>
      </w:r>
      <w:r w:rsidRPr="00394D9A">
        <w:rPr>
          <w:szCs w:val="22"/>
          <w:lang w:val="sr-Latn-RS"/>
        </w:rPr>
        <w:t>l</w:t>
      </w:r>
      <w:r w:rsidR="00BD52DD" w:rsidRPr="00394D9A">
        <w:rPr>
          <w:szCs w:val="22"/>
          <w:lang w:val="sr-Latn-RS"/>
        </w:rPr>
        <w:t>j</w:t>
      </w:r>
      <w:r w:rsidRPr="00394D9A">
        <w:rPr>
          <w:szCs w:val="22"/>
          <w:lang w:val="sr-Latn-RS"/>
        </w:rPr>
        <w:t>eži se kod pacijenata koji isto</w:t>
      </w:r>
      <w:r w:rsidR="00BD52DD" w:rsidRPr="00394D9A">
        <w:rPr>
          <w:szCs w:val="22"/>
          <w:lang w:val="sr-Latn-RS"/>
        </w:rPr>
        <w:t>vreme</w:t>
      </w:r>
      <w:r w:rsidRPr="00394D9A">
        <w:rPr>
          <w:szCs w:val="22"/>
          <w:lang w:val="sr-Latn-RS"/>
        </w:rPr>
        <w:t xml:space="preserve">no uzimaju ASK plus klopidogrel ili sam </w:t>
      </w:r>
      <w:r w:rsidRPr="00394D9A">
        <w:rPr>
          <w:szCs w:val="22"/>
          <w:lang w:val="sr-Latn-RS"/>
        </w:rPr>
        <w:lastRenderedPageBreak/>
        <w:t>klopidogrel.</w:t>
      </w:r>
    </w:p>
    <w:p w14:paraId="285F7932" w14:textId="77777777" w:rsidR="00754024" w:rsidRPr="00394D9A" w:rsidRDefault="00754024" w:rsidP="00187D17">
      <w:pPr>
        <w:widowControl w:val="0"/>
        <w:rPr>
          <w:szCs w:val="22"/>
          <w:lang w:val="sr-Latn-RS"/>
        </w:rPr>
      </w:pPr>
    </w:p>
    <w:p w14:paraId="35BE4182" w14:textId="56C10C85" w:rsidR="00754024" w:rsidRPr="00394D9A" w:rsidRDefault="00754024" w:rsidP="00187D17">
      <w:pPr>
        <w:widowControl w:val="0"/>
        <w:rPr>
          <w:szCs w:val="22"/>
          <w:lang w:val="sr-Latn-RS"/>
        </w:rPr>
      </w:pPr>
      <w:r w:rsidRPr="00394D9A">
        <w:rPr>
          <w:szCs w:val="22"/>
          <w:lang w:val="sr-Latn-RS"/>
        </w:rPr>
        <w:t>U tri aktivno kontrolisana DVT/PE ispitivanja faze III prijavljena je viša stopa IM za pacijente koji su primali dabigatraneteksilat nego za pacijente koji su primali varfarin: 0,4% naspram 0,2% u kratkotrajnim ispitivanjima RE-COVER i RE-COVER II; i 0,8% naspram 0,1% u dugotrajnom ispitivanju RE-MEDY. U ovom ispitivanju povećanje je bilo statistički značajno (p=0,022).</w:t>
      </w:r>
    </w:p>
    <w:p w14:paraId="7AF3D5C0" w14:textId="77777777" w:rsidR="00754024" w:rsidRPr="00394D9A" w:rsidRDefault="00754024" w:rsidP="00187D17">
      <w:pPr>
        <w:widowControl w:val="0"/>
        <w:rPr>
          <w:szCs w:val="22"/>
          <w:lang w:val="sr-Latn-RS"/>
        </w:rPr>
      </w:pPr>
    </w:p>
    <w:p w14:paraId="670447CA" w14:textId="1B23A825" w:rsidR="00754024" w:rsidRPr="00394D9A" w:rsidRDefault="00754024" w:rsidP="00187D17">
      <w:pPr>
        <w:widowControl w:val="0"/>
        <w:rPr>
          <w:szCs w:val="22"/>
          <w:lang w:val="sr-Latn-RS"/>
        </w:rPr>
      </w:pPr>
      <w:r w:rsidRPr="00394D9A">
        <w:rPr>
          <w:szCs w:val="22"/>
          <w:lang w:val="sr-Latn-RS"/>
        </w:rPr>
        <w:t>U ispitivanju RE-SONATE, koje je upoređivalo dabigatraneteksilat s</w:t>
      </w:r>
      <w:r w:rsidR="003D2DBC" w:rsidRPr="00394D9A">
        <w:rPr>
          <w:szCs w:val="22"/>
          <w:lang w:val="sr-Latn-RS"/>
        </w:rPr>
        <w:t>a</w:t>
      </w:r>
      <w:r w:rsidRPr="00394D9A">
        <w:rPr>
          <w:szCs w:val="22"/>
          <w:lang w:val="sr-Latn-RS"/>
        </w:rPr>
        <w:t xml:space="preserve"> placebom, stopa IM je iznosila 0,1% za pacijente koji su primali dabigatraneteksilat i 0,2% za pacijente koji su primali placebo.</w:t>
      </w:r>
    </w:p>
    <w:p w14:paraId="1B201092" w14:textId="77777777" w:rsidR="00754024" w:rsidRPr="00394D9A" w:rsidRDefault="00754024" w:rsidP="00187D17">
      <w:pPr>
        <w:widowControl w:val="0"/>
        <w:rPr>
          <w:szCs w:val="22"/>
          <w:lang w:val="sr-Latn-RS"/>
        </w:rPr>
      </w:pPr>
    </w:p>
    <w:p w14:paraId="2A42FE3B" w14:textId="7F952E2C" w:rsidR="00754024" w:rsidRPr="00394D9A" w:rsidRDefault="00754024" w:rsidP="00187D17">
      <w:pPr>
        <w:widowControl w:val="0"/>
        <w:rPr>
          <w:szCs w:val="22"/>
          <w:u w:val="single"/>
          <w:lang w:val="sr-Latn-RS"/>
        </w:rPr>
      </w:pPr>
      <w:r w:rsidRPr="00394D9A">
        <w:rPr>
          <w:szCs w:val="22"/>
          <w:u w:val="single"/>
          <w:lang w:val="sr-Latn-RS"/>
        </w:rPr>
        <w:t>Pacijenti s</w:t>
      </w:r>
      <w:r w:rsidR="003D2DBC" w:rsidRPr="00394D9A">
        <w:rPr>
          <w:szCs w:val="22"/>
          <w:u w:val="single"/>
          <w:lang w:val="sr-Latn-RS"/>
        </w:rPr>
        <w:t>a</w:t>
      </w:r>
      <w:r w:rsidRPr="00394D9A">
        <w:rPr>
          <w:szCs w:val="22"/>
          <w:u w:val="single"/>
          <w:lang w:val="sr-Latn-RS"/>
        </w:rPr>
        <w:t xml:space="preserve"> </w:t>
      </w:r>
      <w:r w:rsidR="003C6388" w:rsidRPr="00394D9A">
        <w:rPr>
          <w:szCs w:val="22"/>
          <w:u w:val="single"/>
          <w:lang w:val="sr-Latn-RS"/>
        </w:rPr>
        <w:t>karcinomom</w:t>
      </w:r>
      <w:r w:rsidRPr="00394D9A">
        <w:rPr>
          <w:szCs w:val="22"/>
          <w:u w:val="single"/>
          <w:lang w:val="sr-Latn-RS"/>
        </w:rPr>
        <w:t xml:space="preserve"> u aktivnoj fazi bolesti (DVT/PE</w:t>
      </w:r>
      <w:r w:rsidR="001E3CB1" w:rsidRPr="00394D9A">
        <w:rPr>
          <w:szCs w:val="22"/>
          <w:u w:val="single"/>
          <w:lang w:val="sr-Latn-RS"/>
        </w:rPr>
        <w:t>, pedijatrijski VTE</w:t>
      </w:r>
      <w:r w:rsidRPr="00394D9A">
        <w:rPr>
          <w:szCs w:val="22"/>
          <w:u w:val="single"/>
          <w:lang w:val="sr-Latn-RS"/>
        </w:rPr>
        <w:t>)</w:t>
      </w:r>
    </w:p>
    <w:p w14:paraId="0498C01B" w14:textId="77777777" w:rsidR="00754024" w:rsidRPr="00394D9A" w:rsidRDefault="00754024" w:rsidP="00187D17">
      <w:pPr>
        <w:widowControl w:val="0"/>
        <w:rPr>
          <w:szCs w:val="22"/>
          <w:lang w:val="sr-Latn-RS"/>
        </w:rPr>
      </w:pPr>
    </w:p>
    <w:p w14:paraId="43AE8E7D" w14:textId="2864C392" w:rsidR="00754024" w:rsidRPr="00394D9A" w:rsidRDefault="00754024" w:rsidP="00187D17">
      <w:pPr>
        <w:widowControl w:val="0"/>
        <w:rPr>
          <w:szCs w:val="22"/>
          <w:lang w:val="sr-Latn-RS"/>
        </w:rPr>
      </w:pPr>
      <w:r w:rsidRPr="00394D9A">
        <w:rPr>
          <w:szCs w:val="22"/>
          <w:lang w:val="sr-Latn-RS"/>
        </w:rPr>
        <w:t>Efikasnost i bezb</w:t>
      </w:r>
      <w:r w:rsidR="00BD52DD" w:rsidRPr="00394D9A">
        <w:rPr>
          <w:szCs w:val="22"/>
          <w:lang w:val="sr-Latn-RS"/>
        </w:rPr>
        <w:t>j</w:t>
      </w:r>
      <w:r w:rsidRPr="00394D9A">
        <w:rPr>
          <w:szCs w:val="22"/>
          <w:lang w:val="sr-Latn-RS"/>
        </w:rPr>
        <w:t>ednost kod DVT/PE još ni</w:t>
      </w:r>
      <w:r w:rsidR="00BD52DD" w:rsidRPr="00394D9A">
        <w:rPr>
          <w:szCs w:val="22"/>
          <w:lang w:val="sr-Latn-RS"/>
        </w:rPr>
        <w:t>je</w:t>
      </w:r>
      <w:r w:rsidRPr="00394D9A">
        <w:rPr>
          <w:szCs w:val="22"/>
          <w:lang w:val="sr-Latn-RS"/>
        </w:rPr>
        <w:t>su utvrđene za pacijente s</w:t>
      </w:r>
      <w:r w:rsidR="003D2DBC" w:rsidRPr="00394D9A">
        <w:rPr>
          <w:szCs w:val="22"/>
          <w:lang w:val="sr-Latn-RS"/>
        </w:rPr>
        <w:t>a</w:t>
      </w:r>
      <w:r w:rsidRPr="00394D9A">
        <w:rPr>
          <w:szCs w:val="22"/>
          <w:lang w:val="sr-Latn-RS"/>
        </w:rPr>
        <w:t xml:space="preserve"> </w:t>
      </w:r>
      <w:r w:rsidR="003C6388" w:rsidRPr="00394D9A">
        <w:rPr>
          <w:szCs w:val="22"/>
          <w:lang w:val="sr-Latn-RS"/>
        </w:rPr>
        <w:t>karcinomom</w:t>
      </w:r>
      <w:r w:rsidRPr="00394D9A">
        <w:rPr>
          <w:szCs w:val="22"/>
          <w:lang w:val="sr-Latn-RS"/>
        </w:rPr>
        <w:t xml:space="preserve"> u aktivnoj fazi bolesti.</w:t>
      </w:r>
      <w:r w:rsidR="00247621" w:rsidRPr="00394D9A">
        <w:rPr>
          <w:szCs w:val="22"/>
          <w:lang w:val="sr-Latn-RS"/>
        </w:rPr>
        <w:t xml:space="preserve"> Postoje ograničeni podaci o efikasnosti i bezb</w:t>
      </w:r>
      <w:r w:rsidR="00522BBD" w:rsidRPr="00394D9A">
        <w:rPr>
          <w:szCs w:val="22"/>
          <w:lang w:val="sr-Latn-RS"/>
        </w:rPr>
        <w:t>j</w:t>
      </w:r>
      <w:r w:rsidR="00247621" w:rsidRPr="00394D9A">
        <w:rPr>
          <w:szCs w:val="22"/>
          <w:lang w:val="sr-Latn-RS"/>
        </w:rPr>
        <w:t>ednosti za pedijatrijske pacijente sa rakom u aktivnoj fazi bolesti</w:t>
      </w:r>
    </w:p>
    <w:p w14:paraId="0A0A0EFC" w14:textId="77777777" w:rsidR="00841806" w:rsidRPr="00394D9A" w:rsidRDefault="00841806" w:rsidP="00187D17">
      <w:pPr>
        <w:widowControl w:val="0"/>
        <w:rPr>
          <w:szCs w:val="22"/>
          <w:lang w:val="sr-Latn-RS"/>
        </w:rPr>
      </w:pPr>
    </w:p>
    <w:p w14:paraId="5415A83D" w14:textId="77777777" w:rsidR="00841806" w:rsidRPr="00394D9A" w:rsidRDefault="00841806" w:rsidP="00187D17">
      <w:pPr>
        <w:widowControl w:val="0"/>
        <w:tabs>
          <w:tab w:val="clear" w:pos="284"/>
        </w:tabs>
        <w:autoSpaceDE w:val="0"/>
        <w:autoSpaceDN w:val="0"/>
        <w:rPr>
          <w:szCs w:val="22"/>
          <w:u w:val="single"/>
          <w:lang w:val="sr-Latn-RS"/>
        </w:rPr>
      </w:pPr>
      <w:r w:rsidRPr="00394D9A">
        <w:rPr>
          <w:szCs w:val="22"/>
          <w:u w:val="single"/>
          <w:lang w:val="sr-Latn-RS"/>
        </w:rPr>
        <w:t>Pedijatrijska</w:t>
      </w:r>
      <w:r w:rsidRPr="00394D9A">
        <w:rPr>
          <w:spacing w:val="-13"/>
          <w:szCs w:val="22"/>
          <w:u w:val="single"/>
          <w:lang w:val="sr-Latn-RS"/>
        </w:rPr>
        <w:t xml:space="preserve"> </w:t>
      </w:r>
      <w:r w:rsidRPr="00394D9A">
        <w:rPr>
          <w:spacing w:val="-2"/>
          <w:szCs w:val="22"/>
          <w:u w:val="single"/>
          <w:lang w:val="sr-Latn-RS"/>
        </w:rPr>
        <w:t>populacija</w:t>
      </w:r>
    </w:p>
    <w:p w14:paraId="5DE4094B" w14:textId="3CAF8E48" w:rsidR="00841806" w:rsidRPr="00394D9A" w:rsidRDefault="00841806" w:rsidP="00187D17">
      <w:pPr>
        <w:widowControl w:val="0"/>
        <w:tabs>
          <w:tab w:val="clear" w:pos="284"/>
        </w:tabs>
        <w:autoSpaceDE w:val="0"/>
        <w:autoSpaceDN w:val="0"/>
        <w:rPr>
          <w:szCs w:val="22"/>
          <w:lang w:val="sr-Latn-RS"/>
        </w:rPr>
      </w:pPr>
      <w:r w:rsidRPr="00394D9A">
        <w:rPr>
          <w:szCs w:val="22"/>
          <w:lang w:val="sr-Latn-RS"/>
        </w:rPr>
        <w:t>Za</w:t>
      </w:r>
      <w:r w:rsidRPr="00394D9A">
        <w:rPr>
          <w:spacing w:val="-6"/>
          <w:szCs w:val="22"/>
          <w:lang w:val="sr-Latn-RS"/>
        </w:rPr>
        <w:t xml:space="preserve"> </w:t>
      </w:r>
      <w:r w:rsidRPr="00394D9A">
        <w:rPr>
          <w:szCs w:val="22"/>
          <w:lang w:val="sr-Latn-RS"/>
        </w:rPr>
        <w:t>neke veoma specifične</w:t>
      </w:r>
      <w:r w:rsidRPr="00394D9A">
        <w:rPr>
          <w:spacing w:val="-4"/>
          <w:szCs w:val="22"/>
          <w:lang w:val="sr-Latn-RS"/>
        </w:rPr>
        <w:t xml:space="preserve"> </w:t>
      </w:r>
      <w:r w:rsidRPr="00394D9A">
        <w:rPr>
          <w:szCs w:val="22"/>
          <w:lang w:val="sr-Latn-RS"/>
        </w:rPr>
        <w:t>pedijatrijske</w:t>
      </w:r>
      <w:r w:rsidRPr="00394D9A">
        <w:rPr>
          <w:spacing w:val="-2"/>
          <w:szCs w:val="22"/>
          <w:lang w:val="sr-Latn-RS"/>
        </w:rPr>
        <w:t xml:space="preserve"> </w:t>
      </w:r>
      <w:r w:rsidRPr="00394D9A">
        <w:rPr>
          <w:szCs w:val="22"/>
          <w:lang w:val="sr-Latn-RS"/>
        </w:rPr>
        <w:t>pacijente,</w:t>
      </w:r>
      <w:r w:rsidRPr="00394D9A">
        <w:rPr>
          <w:spacing w:val="-1"/>
          <w:szCs w:val="22"/>
          <w:lang w:val="sr-Latn-RS"/>
        </w:rPr>
        <w:t xml:space="preserve"> </w:t>
      </w:r>
      <w:r w:rsidRPr="00394D9A">
        <w:rPr>
          <w:szCs w:val="22"/>
          <w:lang w:val="sr-Latn-RS"/>
        </w:rPr>
        <w:t>npr. pacijente</w:t>
      </w:r>
      <w:r w:rsidRPr="00394D9A">
        <w:rPr>
          <w:spacing w:val="-8"/>
          <w:szCs w:val="22"/>
          <w:lang w:val="sr-Latn-RS"/>
        </w:rPr>
        <w:t xml:space="preserve"> </w:t>
      </w:r>
      <w:r w:rsidRPr="00394D9A">
        <w:rPr>
          <w:szCs w:val="22"/>
          <w:lang w:val="sr-Latn-RS"/>
        </w:rPr>
        <w:t>sa bolešću</w:t>
      </w:r>
      <w:r w:rsidRPr="00394D9A">
        <w:rPr>
          <w:spacing w:val="-4"/>
          <w:szCs w:val="22"/>
          <w:lang w:val="sr-Latn-RS"/>
        </w:rPr>
        <w:t xml:space="preserve"> </w:t>
      </w:r>
      <w:r w:rsidRPr="00394D9A">
        <w:rPr>
          <w:szCs w:val="22"/>
          <w:lang w:val="sr-Latn-RS"/>
        </w:rPr>
        <w:t>tankog</w:t>
      </w:r>
      <w:r w:rsidRPr="00394D9A">
        <w:rPr>
          <w:spacing w:val="-4"/>
          <w:szCs w:val="22"/>
          <w:lang w:val="sr-Latn-RS"/>
        </w:rPr>
        <w:t xml:space="preserve"> </w:t>
      </w:r>
      <w:r w:rsidRPr="00394D9A">
        <w:rPr>
          <w:szCs w:val="22"/>
          <w:lang w:val="sr-Latn-RS"/>
        </w:rPr>
        <w:t>cr</w:t>
      </w:r>
      <w:r w:rsidR="00522BBD" w:rsidRPr="00394D9A">
        <w:rPr>
          <w:szCs w:val="22"/>
          <w:lang w:val="sr-Latn-RS"/>
        </w:rPr>
        <w:t>ij</w:t>
      </w:r>
      <w:r w:rsidR="007833F2" w:rsidRPr="00394D9A">
        <w:rPr>
          <w:szCs w:val="22"/>
          <w:lang w:val="sr-Latn-RS"/>
        </w:rPr>
        <w:t>eva gd</w:t>
      </w:r>
      <w:r w:rsidR="00522BBD" w:rsidRPr="00394D9A">
        <w:rPr>
          <w:szCs w:val="22"/>
          <w:lang w:val="sr-Latn-RS"/>
        </w:rPr>
        <w:t>j</w:t>
      </w:r>
      <w:r w:rsidR="007833F2" w:rsidRPr="00394D9A">
        <w:rPr>
          <w:szCs w:val="22"/>
          <w:lang w:val="sr-Latn-RS"/>
        </w:rPr>
        <w:t>e</w:t>
      </w:r>
      <w:r w:rsidRPr="00394D9A">
        <w:rPr>
          <w:spacing w:val="-8"/>
          <w:szCs w:val="22"/>
          <w:lang w:val="sr-Latn-RS"/>
        </w:rPr>
        <w:t xml:space="preserve"> </w:t>
      </w:r>
      <w:r w:rsidRPr="00394D9A">
        <w:rPr>
          <w:szCs w:val="22"/>
          <w:lang w:val="sr-Latn-RS"/>
        </w:rPr>
        <w:t>je možda prom</w:t>
      </w:r>
      <w:r w:rsidR="00522BBD" w:rsidRPr="00394D9A">
        <w:rPr>
          <w:szCs w:val="22"/>
          <w:lang w:val="sr-Latn-RS"/>
        </w:rPr>
        <w:t>ij</w:t>
      </w:r>
      <w:r w:rsidRPr="00394D9A">
        <w:rPr>
          <w:szCs w:val="22"/>
          <w:lang w:val="sr-Latn-RS"/>
        </w:rPr>
        <w:t>enjena resorpcija, potrebno je razmotriti prim</w:t>
      </w:r>
      <w:r w:rsidR="00522BBD" w:rsidRPr="00394D9A">
        <w:rPr>
          <w:szCs w:val="22"/>
          <w:lang w:val="sr-Latn-RS"/>
        </w:rPr>
        <w:t>j</w:t>
      </w:r>
      <w:r w:rsidRPr="00394D9A">
        <w:rPr>
          <w:szCs w:val="22"/>
          <w:lang w:val="sr-Latn-RS"/>
        </w:rPr>
        <w:t>enu antikoagulansa koji se prim</w:t>
      </w:r>
      <w:r w:rsidR="00522BBD" w:rsidRPr="00394D9A">
        <w:rPr>
          <w:szCs w:val="22"/>
          <w:lang w:val="sr-Latn-RS"/>
        </w:rPr>
        <w:t>j</w:t>
      </w:r>
      <w:r w:rsidRPr="00394D9A">
        <w:rPr>
          <w:szCs w:val="22"/>
          <w:lang w:val="sr-Latn-RS"/>
        </w:rPr>
        <w:t>enjuje parenteraln</w:t>
      </w:r>
      <w:r w:rsidR="00FD441D" w:rsidRPr="00394D9A">
        <w:rPr>
          <w:szCs w:val="22"/>
          <w:lang w:val="sr-Latn-RS"/>
        </w:rPr>
        <w:t>im putem</w:t>
      </w:r>
      <w:r w:rsidRPr="00394D9A">
        <w:rPr>
          <w:szCs w:val="22"/>
          <w:lang w:val="sr-Latn-RS"/>
        </w:rPr>
        <w:t>.</w:t>
      </w:r>
    </w:p>
    <w:p w14:paraId="104579FC" w14:textId="77777777" w:rsidR="00841806" w:rsidRPr="00394D9A" w:rsidRDefault="00841806" w:rsidP="00187D17">
      <w:pPr>
        <w:widowControl w:val="0"/>
        <w:tabs>
          <w:tab w:val="clear" w:pos="284"/>
        </w:tabs>
        <w:autoSpaceDE w:val="0"/>
        <w:autoSpaceDN w:val="0"/>
        <w:rPr>
          <w:szCs w:val="22"/>
          <w:lang w:val="sr-Latn-RS"/>
        </w:rPr>
      </w:pPr>
    </w:p>
    <w:p w14:paraId="37BBDB8C" w14:textId="3A41CA37" w:rsidR="00841806" w:rsidRPr="00394D9A" w:rsidRDefault="00FC70C2" w:rsidP="00187D17">
      <w:pPr>
        <w:widowControl w:val="0"/>
        <w:rPr>
          <w:szCs w:val="22"/>
          <w:lang w:val="sr-Latn-RS"/>
        </w:rPr>
      </w:pPr>
      <w:r w:rsidRPr="00394D9A">
        <w:rPr>
          <w:szCs w:val="22"/>
          <w:u w:val="single"/>
          <w:lang w:val="sr-Latn-RS"/>
        </w:rPr>
        <w:t>Natrijum</w:t>
      </w:r>
    </w:p>
    <w:p w14:paraId="46B5A695" w14:textId="77777777" w:rsidR="0030010F" w:rsidRPr="00394D9A" w:rsidRDefault="0030010F" w:rsidP="00187D17">
      <w:pPr>
        <w:widowControl w:val="0"/>
        <w:rPr>
          <w:szCs w:val="22"/>
          <w:lang w:val="sr-Latn-RS"/>
        </w:rPr>
      </w:pPr>
    </w:p>
    <w:p w14:paraId="13DCAE7A" w14:textId="43C4F6E2" w:rsidR="0012662D" w:rsidRPr="00394D9A" w:rsidRDefault="0012662D" w:rsidP="00187D17">
      <w:pPr>
        <w:widowControl w:val="0"/>
        <w:rPr>
          <w:szCs w:val="22"/>
          <w:lang w:val="sr-Latn-RS"/>
        </w:rPr>
      </w:pPr>
      <w:r w:rsidRPr="00394D9A">
        <w:rPr>
          <w:szCs w:val="22"/>
          <w:lang w:val="sr-Latn-RS"/>
        </w:rPr>
        <w:t>Ovaj l</w:t>
      </w:r>
      <w:r w:rsidR="00522BBD" w:rsidRPr="00394D9A">
        <w:rPr>
          <w:szCs w:val="22"/>
          <w:lang w:val="sr-Latn-RS"/>
        </w:rPr>
        <w:t>ij</w:t>
      </w:r>
      <w:r w:rsidRPr="00394D9A">
        <w:rPr>
          <w:szCs w:val="22"/>
          <w:lang w:val="sr-Latn-RS"/>
        </w:rPr>
        <w:t>ek sadrži manje od 1 mmol natrijuma (23 mg) po kapsuli, pa se može reći da je suštinski „bez natrijuma“.</w:t>
      </w:r>
    </w:p>
    <w:p w14:paraId="58B8A9EA" w14:textId="77777777" w:rsidR="002E231D" w:rsidRPr="00394D9A" w:rsidRDefault="002E231D" w:rsidP="00187D17">
      <w:pPr>
        <w:widowControl w:val="0"/>
        <w:rPr>
          <w:szCs w:val="22"/>
          <w:lang w:val="sr-Latn-RS"/>
        </w:rPr>
      </w:pPr>
    </w:p>
    <w:p w14:paraId="053091B2" w14:textId="77777777" w:rsidR="00523BC9" w:rsidRPr="00394D9A" w:rsidRDefault="00523BC9" w:rsidP="00187D17">
      <w:pPr>
        <w:widowControl w:val="0"/>
        <w:tabs>
          <w:tab w:val="clear" w:pos="284"/>
          <w:tab w:val="left" w:pos="540"/>
          <w:tab w:val="left" w:pos="569"/>
        </w:tabs>
        <w:jc w:val="left"/>
        <w:rPr>
          <w:b/>
          <w:bCs/>
          <w:szCs w:val="22"/>
          <w:lang w:val="sr-Latn-RS"/>
        </w:rPr>
      </w:pPr>
      <w:r w:rsidRPr="00394D9A">
        <w:rPr>
          <w:b/>
          <w:bCs/>
          <w:szCs w:val="22"/>
          <w:lang w:val="sr-Latn-RS"/>
        </w:rPr>
        <w:t>4.5.</w:t>
      </w:r>
      <w:r w:rsidRPr="00394D9A">
        <w:rPr>
          <w:b/>
          <w:bCs/>
          <w:szCs w:val="22"/>
          <w:lang w:val="sr-Latn-RS"/>
        </w:rPr>
        <w:tab/>
        <w:t>Interakcije sa drugim ljekovima i druge vrste interakcija</w:t>
      </w:r>
    </w:p>
    <w:p w14:paraId="6C54439A" w14:textId="11CCCE96" w:rsidR="00CE09F3" w:rsidRPr="00394D9A" w:rsidRDefault="00CE09F3" w:rsidP="00187D17">
      <w:pPr>
        <w:widowControl w:val="0"/>
        <w:rPr>
          <w:szCs w:val="22"/>
          <w:lang w:val="sr-Latn-RS"/>
        </w:rPr>
      </w:pPr>
    </w:p>
    <w:p w14:paraId="531928AB" w14:textId="4D679783" w:rsidR="00C62182" w:rsidRPr="00394D9A" w:rsidRDefault="00C62182" w:rsidP="00187D17">
      <w:pPr>
        <w:widowControl w:val="0"/>
        <w:rPr>
          <w:szCs w:val="22"/>
          <w:u w:val="single"/>
          <w:lang w:val="sr-Latn-RS"/>
        </w:rPr>
      </w:pPr>
      <w:r w:rsidRPr="00394D9A">
        <w:rPr>
          <w:szCs w:val="22"/>
          <w:u w:val="single"/>
          <w:lang w:val="sr-Latn-RS"/>
        </w:rPr>
        <w:t>Interakcije na nivou transportnih mehanizama</w:t>
      </w:r>
    </w:p>
    <w:p w14:paraId="1A2C595B" w14:textId="77777777" w:rsidR="00E3559B" w:rsidRPr="00394D9A" w:rsidRDefault="00E3559B" w:rsidP="00187D17">
      <w:pPr>
        <w:widowControl w:val="0"/>
        <w:rPr>
          <w:szCs w:val="22"/>
          <w:u w:val="single"/>
          <w:lang w:val="sr-Latn-RS"/>
        </w:rPr>
      </w:pPr>
    </w:p>
    <w:p w14:paraId="5AAE8667" w14:textId="5FDB291C" w:rsidR="00C62182" w:rsidRPr="00394D9A" w:rsidRDefault="00C62182" w:rsidP="00187D17">
      <w:pPr>
        <w:widowControl w:val="0"/>
        <w:rPr>
          <w:szCs w:val="22"/>
          <w:lang w:val="sr-Latn-RS"/>
        </w:rPr>
      </w:pPr>
      <w:r w:rsidRPr="00394D9A">
        <w:rPr>
          <w:szCs w:val="22"/>
          <w:lang w:val="sr-Latn-RS"/>
        </w:rPr>
        <w:t xml:space="preserve">Dabigatraneteksilat je supstrat za efluks transportnog P-gp. </w:t>
      </w:r>
      <w:r w:rsidR="003C6388" w:rsidRPr="00394D9A">
        <w:rPr>
          <w:szCs w:val="22"/>
          <w:lang w:val="sr-Latn-RS"/>
        </w:rPr>
        <w:t>Očekuje se da će i</w:t>
      </w:r>
      <w:r w:rsidRPr="00394D9A">
        <w:rPr>
          <w:szCs w:val="22"/>
          <w:lang w:val="sr-Latn-RS"/>
        </w:rPr>
        <w:t>sto</w:t>
      </w:r>
      <w:r w:rsidR="00BD52DD" w:rsidRPr="00394D9A">
        <w:rPr>
          <w:szCs w:val="22"/>
          <w:lang w:val="sr-Latn-RS"/>
        </w:rPr>
        <w:t>vreme</w:t>
      </w:r>
      <w:r w:rsidRPr="00394D9A">
        <w:rPr>
          <w:szCs w:val="22"/>
          <w:lang w:val="sr-Latn-RS"/>
        </w:rPr>
        <w:t xml:space="preserve">na </w:t>
      </w:r>
      <w:r w:rsidR="00A639DA" w:rsidRPr="00394D9A">
        <w:rPr>
          <w:szCs w:val="22"/>
          <w:lang w:val="sr-Latn-RS"/>
        </w:rPr>
        <w:t>primjena</w:t>
      </w:r>
      <w:r w:rsidRPr="00394D9A">
        <w:rPr>
          <w:szCs w:val="22"/>
          <w:lang w:val="sr-Latn-RS"/>
        </w:rPr>
        <w:t xml:space="preserve"> sa P-gp inhibitorima</w:t>
      </w:r>
      <w:r w:rsidR="00E3559B" w:rsidRPr="00394D9A">
        <w:rPr>
          <w:szCs w:val="22"/>
          <w:lang w:val="sr-Latn-RS"/>
        </w:rPr>
        <w:t xml:space="preserve"> </w:t>
      </w:r>
      <w:r w:rsidRPr="00394D9A">
        <w:rPr>
          <w:szCs w:val="22"/>
          <w:lang w:val="sr-Latn-RS"/>
        </w:rPr>
        <w:t>(</w:t>
      </w:r>
      <w:r w:rsidR="004813E6" w:rsidRPr="00394D9A">
        <w:rPr>
          <w:szCs w:val="22"/>
          <w:lang w:val="sr-Latn-RS"/>
        </w:rPr>
        <w:t xml:space="preserve">vidjeti </w:t>
      </w:r>
      <w:r w:rsidRPr="00394D9A">
        <w:rPr>
          <w:szCs w:val="22"/>
          <w:lang w:val="sr-Latn-RS"/>
        </w:rPr>
        <w:t xml:space="preserve">tabelu </w:t>
      </w:r>
      <w:r w:rsidR="00FD441D" w:rsidRPr="00394D9A">
        <w:rPr>
          <w:szCs w:val="22"/>
          <w:lang w:val="sr-Latn-RS"/>
        </w:rPr>
        <w:t>8</w:t>
      </w:r>
      <w:r w:rsidRPr="00394D9A">
        <w:rPr>
          <w:szCs w:val="22"/>
          <w:lang w:val="sr-Latn-RS"/>
        </w:rPr>
        <w:t>) dovesti do povećanih plazma koncentracija dabigatrana.</w:t>
      </w:r>
    </w:p>
    <w:p w14:paraId="2C8DEFE5" w14:textId="77777777" w:rsidR="00E3559B" w:rsidRPr="00394D9A" w:rsidRDefault="00E3559B" w:rsidP="00187D17">
      <w:pPr>
        <w:widowControl w:val="0"/>
        <w:rPr>
          <w:szCs w:val="22"/>
          <w:lang w:val="sr-Latn-RS"/>
        </w:rPr>
      </w:pPr>
    </w:p>
    <w:p w14:paraId="791E1725" w14:textId="209DE369" w:rsidR="00C62182" w:rsidRPr="00394D9A" w:rsidRDefault="00C62182" w:rsidP="00187D17">
      <w:pPr>
        <w:widowControl w:val="0"/>
        <w:rPr>
          <w:szCs w:val="22"/>
          <w:lang w:val="sr-Latn-RS"/>
        </w:rPr>
      </w:pPr>
      <w:r w:rsidRPr="00394D9A">
        <w:rPr>
          <w:szCs w:val="22"/>
          <w:lang w:val="sr-Latn-RS"/>
        </w:rPr>
        <w:t>Ukoliko nije drugačije opisano, pažljivo kliničko praćenje (u smislu traženja znakova krvarenja ili</w:t>
      </w:r>
      <w:r w:rsidR="00E3559B" w:rsidRPr="00394D9A">
        <w:rPr>
          <w:szCs w:val="22"/>
          <w:lang w:val="sr-Latn-RS"/>
        </w:rPr>
        <w:t xml:space="preserve"> </w:t>
      </w:r>
      <w:r w:rsidRPr="00394D9A">
        <w:rPr>
          <w:szCs w:val="22"/>
          <w:lang w:val="sr-Latn-RS"/>
        </w:rPr>
        <w:t>anemije) se zaht</w:t>
      </w:r>
      <w:r w:rsidR="00522BBD" w:rsidRPr="00394D9A">
        <w:rPr>
          <w:szCs w:val="22"/>
          <w:lang w:val="sr-Latn-RS"/>
        </w:rPr>
        <w:t>i</w:t>
      </w:r>
      <w:r w:rsidR="004E122E" w:rsidRPr="00394D9A">
        <w:rPr>
          <w:szCs w:val="22"/>
          <w:lang w:val="sr-Latn-RS"/>
        </w:rPr>
        <w:t>j</w:t>
      </w:r>
      <w:r w:rsidRPr="00394D9A">
        <w:rPr>
          <w:szCs w:val="22"/>
          <w:lang w:val="sr-Latn-RS"/>
        </w:rPr>
        <w:t>eva kada se dabigatran prim</w:t>
      </w:r>
      <w:r w:rsidR="004E122E" w:rsidRPr="00394D9A">
        <w:rPr>
          <w:szCs w:val="22"/>
          <w:lang w:val="sr-Latn-RS"/>
        </w:rPr>
        <w:t>j</w:t>
      </w:r>
      <w:r w:rsidRPr="00394D9A">
        <w:rPr>
          <w:szCs w:val="22"/>
          <w:lang w:val="sr-Latn-RS"/>
        </w:rPr>
        <w:t>enjuje isto</w:t>
      </w:r>
      <w:r w:rsidR="00BD52DD" w:rsidRPr="00394D9A">
        <w:rPr>
          <w:szCs w:val="22"/>
          <w:lang w:val="sr-Latn-RS"/>
        </w:rPr>
        <w:t>vreme</w:t>
      </w:r>
      <w:r w:rsidRPr="00394D9A">
        <w:rPr>
          <w:szCs w:val="22"/>
          <w:lang w:val="sr-Latn-RS"/>
        </w:rPr>
        <w:t>no sa snažnim P-gp inhibitorima. Kod</w:t>
      </w:r>
      <w:r w:rsidR="00E3559B" w:rsidRPr="00394D9A">
        <w:rPr>
          <w:szCs w:val="22"/>
          <w:lang w:val="sr-Latn-RS"/>
        </w:rPr>
        <w:t xml:space="preserve"> </w:t>
      </w:r>
      <w:r w:rsidRPr="00394D9A">
        <w:rPr>
          <w:szCs w:val="22"/>
          <w:lang w:val="sr-Latn-RS"/>
        </w:rPr>
        <w:t xml:space="preserve">kombinacije </w:t>
      </w:r>
      <w:r w:rsidR="003D2DBC" w:rsidRPr="00394D9A">
        <w:rPr>
          <w:szCs w:val="22"/>
          <w:lang w:val="sr-Latn-RS"/>
        </w:rPr>
        <w:t xml:space="preserve">sa </w:t>
      </w:r>
      <w:r w:rsidRPr="00394D9A">
        <w:rPr>
          <w:szCs w:val="22"/>
          <w:lang w:val="sr-Latn-RS"/>
        </w:rPr>
        <w:t xml:space="preserve">nekim P-gp inhibitorima može biti potrebno </w:t>
      </w:r>
      <w:r w:rsidR="003C6388" w:rsidRPr="00394D9A">
        <w:rPr>
          <w:szCs w:val="22"/>
          <w:lang w:val="sr-Latn-RS"/>
        </w:rPr>
        <w:t>smanjenje</w:t>
      </w:r>
      <w:r w:rsidRPr="00394D9A">
        <w:rPr>
          <w:szCs w:val="22"/>
          <w:lang w:val="sr-Latn-RS"/>
        </w:rPr>
        <w:t xml:space="preserve"> doze (</w:t>
      </w:r>
      <w:r w:rsidR="004813E6" w:rsidRPr="00394D9A">
        <w:rPr>
          <w:szCs w:val="22"/>
          <w:lang w:val="sr-Latn-RS"/>
        </w:rPr>
        <w:t xml:space="preserve">vidjeti </w:t>
      </w:r>
      <w:r w:rsidR="00D7145C" w:rsidRPr="00394D9A">
        <w:rPr>
          <w:szCs w:val="22"/>
          <w:lang w:val="sr-Latn-RS"/>
        </w:rPr>
        <w:t>djelove</w:t>
      </w:r>
      <w:r w:rsidRPr="00394D9A">
        <w:rPr>
          <w:szCs w:val="22"/>
          <w:lang w:val="sr-Latn-RS"/>
        </w:rPr>
        <w:t xml:space="preserve"> 4.2, 4.3, 4.4 </w:t>
      </w:r>
      <w:r w:rsidR="00E3559B" w:rsidRPr="00394D9A">
        <w:rPr>
          <w:szCs w:val="22"/>
          <w:lang w:val="sr-Latn-RS"/>
        </w:rPr>
        <w:t xml:space="preserve">i </w:t>
      </w:r>
      <w:r w:rsidRPr="00394D9A">
        <w:rPr>
          <w:szCs w:val="22"/>
          <w:lang w:val="sr-Latn-RS"/>
        </w:rPr>
        <w:t>5.1).</w:t>
      </w:r>
    </w:p>
    <w:p w14:paraId="03E7B61F" w14:textId="77777777" w:rsidR="00E3559B" w:rsidRPr="00394D9A" w:rsidRDefault="00E3559B" w:rsidP="00187D17">
      <w:pPr>
        <w:widowControl w:val="0"/>
        <w:rPr>
          <w:szCs w:val="22"/>
          <w:lang w:val="sr-Latn-RS"/>
        </w:rPr>
      </w:pPr>
    </w:p>
    <w:p w14:paraId="0F6B216A" w14:textId="290C58C9" w:rsidR="00C62182" w:rsidRPr="00394D9A" w:rsidRDefault="00C62182" w:rsidP="00187D17">
      <w:pPr>
        <w:widowControl w:val="0"/>
        <w:rPr>
          <w:b/>
          <w:bCs/>
          <w:szCs w:val="22"/>
          <w:lang w:val="sr-Latn-RS"/>
        </w:rPr>
      </w:pPr>
      <w:r w:rsidRPr="00394D9A">
        <w:rPr>
          <w:b/>
          <w:bCs/>
          <w:szCs w:val="22"/>
          <w:lang w:val="sr-Latn-RS"/>
        </w:rPr>
        <w:t xml:space="preserve">Tabela </w:t>
      </w:r>
      <w:r w:rsidR="005913DB" w:rsidRPr="00394D9A">
        <w:rPr>
          <w:b/>
          <w:bCs/>
          <w:szCs w:val="22"/>
          <w:lang w:val="sr-Latn-RS"/>
        </w:rPr>
        <w:t>8</w:t>
      </w:r>
      <w:r w:rsidRPr="00394D9A">
        <w:rPr>
          <w:b/>
          <w:bCs/>
          <w:szCs w:val="22"/>
          <w:lang w:val="sr-Latn-RS"/>
        </w:rPr>
        <w:t>: Interakcije na nivou transportnih mehanizama</w:t>
      </w:r>
    </w:p>
    <w:p w14:paraId="6D2E80B9" w14:textId="77777777" w:rsidR="00E3559B" w:rsidRPr="00394D9A" w:rsidRDefault="00E3559B" w:rsidP="00187D17">
      <w:pPr>
        <w:widowControl w:val="0"/>
        <w:rPr>
          <w:b/>
          <w:bCs/>
          <w:szCs w:val="22"/>
          <w:lang w:val="sr-Latn-RS"/>
        </w:rPr>
      </w:pPr>
    </w:p>
    <w:tbl>
      <w:tblPr>
        <w:tblStyle w:val="TableGrid"/>
        <w:tblW w:w="0" w:type="auto"/>
        <w:tblLook w:val="04A0" w:firstRow="1" w:lastRow="0" w:firstColumn="1" w:lastColumn="0" w:noHBand="0" w:noVBand="1"/>
      </w:tblPr>
      <w:tblGrid>
        <w:gridCol w:w="2973"/>
        <w:gridCol w:w="6088"/>
      </w:tblGrid>
      <w:tr w:rsidR="00C62182" w:rsidRPr="00394D9A" w14:paraId="0B8C0A6E" w14:textId="77777777" w:rsidTr="00DF17BA">
        <w:tc>
          <w:tcPr>
            <w:tcW w:w="0" w:type="auto"/>
            <w:gridSpan w:val="2"/>
          </w:tcPr>
          <w:p w14:paraId="278745C3" w14:textId="3C1B929F" w:rsidR="00C62182" w:rsidRPr="00394D9A" w:rsidRDefault="00C62182" w:rsidP="00187D17">
            <w:pPr>
              <w:widowControl w:val="0"/>
              <w:rPr>
                <w:i/>
                <w:iCs/>
                <w:szCs w:val="22"/>
                <w:u w:val="single"/>
                <w:lang w:val="sr-Latn-RS"/>
              </w:rPr>
            </w:pPr>
            <w:r w:rsidRPr="00394D9A">
              <w:rPr>
                <w:i/>
                <w:iCs/>
                <w:szCs w:val="22"/>
                <w:u w:val="single"/>
                <w:lang w:val="sr-Latn-RS"/>
              </w:rPr>
              <w:t>P-gp inhibitori</w:t>
            </w:r>
          </w:p>
        </w:tc>
      </w:tr>
      <w:tr w:rsidR="00C62182" w:rsidRPr="00A01BFA" w14:paraId="44BE49AB" w14:textId="77777777" w:rsidTr="00DF17BA">
        <w:tc>
          <w:tcPr>
            <w:tcW w:w="0" w:type="auto"/>
            <w:gridSpan w:val="2"/>
          </w:tcPr>
          <w:p w14:paraId="3754A157" w14:textId="638BBDDE" w:rsidR="00C62182" w:rsidRPr="00394D9A" w:rsidRDefault="00C62182" w:rsidP="00187D17">
            <w:pPr>
              <w:widowControl w:val="0"/>
              <w:rPr>
                <w:i/>
                <w:iCs/>
                <w:szCs w:val="22"/>
                <w:lang w:val="sr-Latn-RS"/>
              </w:rPr>
            </w:pPr>
            <w:r w:rsidRPr="00394D9A">
              <w:rPr>
                <w:i/>
                <w:iCs/>
                <w:szCs w:val="22"/>
                <w:lang w:val="sr-Latn-RS"/>
              </w:rPr>
              <w:t>Isto</w:t>
            </w:r>
            <w:r w:rsidR="00BD52DD" w:rsidRPr="00394D9A">
              <w:rPr>
                <w:i/>
                <w:iCs/>
                <w:szCs w:val="22"/>
                <w:lang w:val="sr-Latn-RS"/>
              </w:rPr>
              <w:t>vreme</w:t>
            </w:r>
            <w:r w:rsidRPr="00394D9A">
              <w:rPr>
                <w:i/>
                <w:iCs/>
                <w:szCs w:val="22"/>
                <w:lang w:val="sr-Latn-RS"/>
              </w:rPr>
              <w:t xml:space="preserve">na </w:t>
            </w:r>
            <w:r w:rsidR="00A639DA" w:rsidRPr="00394D9A">
              <w:rPr>
                <w:i/>
                <w:iCs/>
                <w:szCs w:val="22"/>
                <w:lang w:val="sr-Latn-RS"/>
              </w:rPr>
              <w:t xml:space="preserve">primjena </w:t>
            </w:r>
            <w:r w:rsidRPr="00394D9A">
              <w:rPr>
                <w:i/>
                <w:iCs/>
                <w:szCs w:val="22"/>
                <w:lang w:val="sr-Latn-RS"/>
              </w:rPr>
              <w:t xml:space="preserve"> je kontraindikovana (</w:t>
            </w:r>
            <w:r w:rsidR="00D7145C" w:rsidRPr="00394D9A">
              <w:rPr>
                <w:i/>
                <w:iCs/>
                <w:szCs w:val="22"/>
                <w:lang w:val="sr-Latn-RS"/>
              </w:rPr>
              <w:t>pogledati</w:t>
            </w:r>
            <w:r w:rsidRPr="00394D9A">
              <w:rPr>
                <w:i/>
                <w:iCs/>
                <w:szCs w:val="22"/>
                <w:lang w:val="sr-Latn-RS"/>
              </w:rPr>
              <w:t xml:space="preserve"> </w:t>
            </w:r>
            <w:r w:rsidR="00D7145C" w:rsidRPr="00394D9A">
              <w:rPr>
                <w:i/>
                <w:iCs/>
                <w:szCs w:val="22"/>
                <w:lang w:val="sr-Latn-RS"/>
              </w:rPr>
              <w:t>dio</w:t>
            </w:r>
            <w:r w:rsidRPr="00394D9A">
              <w:rPr>
                <w:i/>
                <w:iCs/>
                <w:szCs w:val="22"/>
                <w:lang w:val="sr-Latn-RS"/>
              </w:rPr>
              <w:t xml:space="preserve"> 4.3)</w:t>
            </w:r>
          </w:p>
        </w:tc>
      </w:tr>
      <w:tr w:rsidR="00C62182" w:rsidRPr="00A01BFA" w14:paraId="5494F02F" w14:textId="77777777" w:rsidTr="00DF17BA">
        <w:tc>
          <w:tcPr>
            <w:tcW w:w="0" w:type="auto"/>
          </w:tcPr>
          <w:p w14:paraId="531CEE66" w14:textId="538AB41B" w:rsidR="00C62182" w:rsidRPr="00394D9A" w:rsidRDefault="00C62182" w:rsidP="00187D17">
            <w:pPr>
              <w:widowControl w:val="0"/>
              <w:rPr>
                <w:szCs w:val="22"/>
                <w:lang w:val="sr-Latn-RS"/>
              </w:rPr>
            </w:pPr>
            <w:r w:rsidRPr="00394D9A">
              <w:rPr>
                <w:szCs w:val="22"/>
                <w:lang w:val="sr-Latn-RS"/>
              </w:rPr>
              <w:t>Ketokonazol</w:t>
            </w:r>
          </w:p>
        </w:tc>
        <w:tc>
          <w:tcPr>
            <w:tcW w:w="0" w:type="auto"/>
          </w:tcPr>
          <w:p w14:paraId="17F2B19F" w14:textId="6429E92A" w:rsidR="00C62182" w:rsidRPr="00394D9A" w:rsidRDefault="00C62182" w:rsidP="00187D17">
            <w:pPr>
              <w:widowControl w:val="0"/>
              <w:rPr>
                <w:szCs w:val="22"/>
                <w:lang w:val="sr-Latn-RS"/>
              </w:rPr>
            </w:pPr>
            <w:r w:rsidRPr="00394D9A">
              <w:rPr>
                <w:szCs w:val="22"/>
                <w:lang w:val="sr-Latn-RS"/>
              </w:rPr>
              <w:t>Ketokonazol je povećao ukupne PIK</w:t>
            </w:r>
            <w:r w:rsidRPr="00394D9A">
              <w:rPr>
                <w:szCs w:val="22"/>
                <w:vertAlign w:val="subscript"/>
                <w:lang w:val="sr-Latn-RS"/>
              </w:rPr>
              <w:t>0-∞</w:t>
            </w:r>
            <w:r w:rsidRPr="00394D9A">
              <w:rPr>
                <w:szCs w:val="22"/>
                <w:lang w:val="sr-Latn-RS"/>
              </w:rPr>
              <w:t xml:space="preserve"> i C</w:t>
            </w:r>
            <w:r w:rsidRPr="00394D9A">
              <w:rPr>
                <w:szCs w:val="22"/>
                <w:vertAlign w:val="subscript"/>
                <w:lang w:val="sr-Latn-RS"/>
              </w:rPr>
              <w:t>max</w:t>
            </w:r>
            <w:r w:rsidRPr="00394D9A">
              <w:rPr>
                <w:szCs w:val="22"/>
                <w:lang w:val="sr-Latn-RS"/>
              </w:rPr>
              <w:t xml:space="preserve"> </w:t>
            </w:r>
            <w:r w:rsidR="00BD52DD" w:rsidRPr="00394D9A">
              <w:rPr>
                <w:szCs w:val="22"/>
                <w:lang w:val="sr-Latn-RS"/>
              </w:rPr>
              <w:t>vrijednosti</w:t>
            </w:r>
            <w:r w:rsidRPr="00394D9A">
              <w:rPr>
                <w:szCs w:val="22"/>
                <w:lang w:val="sr-Latn-RS"/>
              </w:rPr>
              <w:t xml:space="preserve"> dabigatrana 2,38 puta</w:t>
            </w:r>
            <w:r w:rsidR="00E3559B" w:rsidRPr="00394D9A">
              <w:rPr>
                <w:szCs w:val="22"/>
                <w:lang w:val="sr-Latn-RS"/>
              </w:rPr>
              <w:t xml:space="preserve"> </w:t>
            </w:r>
            <w:r w:rsidRPr="00394D9A">
              <w:rPr>
                <w:szCs w:val="22"/>
                <w:lang w:val="sr-Latn-RS"/>
              </w:rPr>
              <w:t>odnosno 2,35 puta nakon pojedinačne doze od 400 mg uzete oralno, i 2,53 puta</w:t>
            </w:r>
            <w:r w:rsidR="00E3559B" w:rsidRPr="00394D9A">
              <w:rPr>
                <w:szCs w:val="22"/>
                <w:lang w:val="sr-Latn-RS"/>
              </w:rPr>
              <w:t xml:space="preserve"> </w:t>
            </w:r>
            <w:r w:rsidRPr="00394D9A">
              <w:rPr>
                <w:szCs w:val="22"/>
                <w:lang w:val="sr-Latn-RS"/>
              </w:rPr>
              <w:t>odnosno 2,49 puta nakon višestrukih doza od 400 mg ketokonazola uzetih oralno</w:t>
            </w:r>
            <w:r w:rsidR="00E3559B" w:rsidRPr="00394D9A">
              <w:rPr>
                <w:szCs w:val="22"/>
                <w:lang w:val="sr-Latn-RS"/>
              </w:rPr>
              <w:t xml:space="preserve"> </w:t>
            </w:r>
            <w:r w:rsidRPr="00394D9A">
              <w:rPr>
                <w:szCs w:val="22"/>
                <w:lang w:val="sr-Latn-RS"/>
              </w:rPr>
              <w:t>jednom dnevno.</w:t>
            </w:r>
          </w:p>
        </w:tc>
      </w:tr>
      <w:tr w:rsidR="00C62182" w:rsidRPr="00A01BFA" w14:paraId="5B5CE492" w14:textId="77777777" w:rsidTr="00DF17BA">
        <w:tc>
          <w:tcPr>
            <w:tcW w:w="0" w:type="auto"/>
          </w:tcPr>
          <w:p w14:paraId="70CF2997" w14:textId="7DEEE14B" w:rsidR="00C62182" w:rsidRPr="00394D9A" w:rsidRDefault="00C62182" w:rsidP="00187D17">
            <w:pPr>
              <w:widowControl w:val="0"/>
              <w:rPr>
                <w:szCs w:val="22"/>
                <w:lang w:val="sr-Latn-RS"/>
              </w:rPr>
            </w:pPr>
            <w:r w:rsidRPr="00394D9A">
              <w:rPr>
                <w:szCs w:val="22"/>
                <w:lang w:val="sr-Latn-RS"/>
              </w:rPr>
              <w:t>Dronedaron</w:t>
            </w:r>
          </w:p>
        </w:tc>
        <w:tc>
          <w:tcPr>
            <w:tcW w:w="0" w:type="auto"/>
          </w:tcPr>
          <w:p w14:paraId="567B82FC" w14:textId="3AF912FF" w:rsidR="00C62182" w:rsidRPr="00394D9A" w:rsidRDefault="00C62182" w:rsidP="00187D17">
            <w:pPr>
              <w:widowControl w:val="0"/>
              <w:rPr>
                <w:szCs w:val="22"/>
                <w:lang w:val="sr-Latn-RS"/>
              </w:rPr>
            </w:pPr>
            <w:r w:rsidRPr="00394D9A">
              <w:rPr>
                <w:szCs w:val="22"/>
                <w:lang w:val="sr-Latn-RS"/>
              </w:rPr>
              <w:t>Kada su se dabigatraneteksilat i dronedaron prim</w:t>
            </w:r>
            <w:r w:rsidR="004E122E" w:rsidRPr="00394D9A">
              <w:rPr>
                <w:szCs w:val="22"/>
                <w:lang w:val="sr-Latn-RS"/>
              </w:rPr>
              <w:t>j</w:t>
            </w:r>
            <w:r w:rsidRPr="00394D9A">
              <w:rPr>
                <w:szCs w:val="22"/>
                <w:lang w:val="sr-Latn-RS"/>
              </w:rPr>
              <w:t>enjivali isto</w:t>
            </w:r>
            <w:r w:rsidR="00BD52DD" w:rsidRPr="00394D9A">
              <w:rPr>
                <w:szCs w:val="22"/>
                <w:lang w:val="sr-Latn-RS"/>
              </w:rPr>
              <w:t>vreme</w:t>
            </w:r>
            <w:r w:rsidRPr="00394D9A">
              <w:rPr>
                <w:szCs w:val="22"/>
                <w:lang w:val="sr-Latn-RS"/>
              </w:rPr>
              <w:t>no, ukupne PIK</w:t>
            </w:r>
            <w:r w:rsidRPr="00394D9A">
              <w:rPr>
                <w:szCs w:val="22"/>
                <w:vertAlign w:val="subscript"/>
                <w:lang w:val="sr-Latn-RS"/>
              </w:rPr>
              <w:t>0-∞</w:t>
            </w:r>
            <w:r w:rsidR="00E3559B" w:rsidRPr="00394D9A">
              <w:rPr>
                <w:szCs w:val="22"/>
                <w:lang w:val="sr-Latn-RS"/>
              </w:rPr>
              <w:t xml:space="preserve"> </w:t>
            </w:r>
            <w:r w:rsidRPr="00394D9A">
              <w:rPr>
                <w:szCs w:val="22"/>
                <w:lang w:val="sr-Latn-RS"/>
              </w:rPr>
              <w:t>i C</w:t>
            </w:r>
            <w:r w:rsidRPr="00394D9A">
              <w:rPr>
                <w:szCs w:val="22"/>
                <w:vertAlign w:val="subscript"/>
                <w:lang w:val="sr-Latn-RS"/>
              </w:rPr>
              <w:t xml:space="preserve">max </w:t>
            </w:r>
            <w:r w:rsidR="00BD52DD" w:rsidRPr="00394D9A">
              <w:rPr>
                <w:szCs w:val="22"/>
                <w:lang w:val="sr-Latn-RS"/>
              </w:rPr>
              <w:t>vrijednosti</w:t>
            </w:r>
            <w:r w:rsidRPr="00394D9A">
              <w:rPr>
                <w:szCs w:val="22"/>
                <w:lang w:val="sr-Latn-RS"/>
              </w:rPr>
              <w:t xml:space="preserve"> dabigatrana su se povećavale </w:t>
            </w:r>
            <w:r w:rsidR="00605D78" w:rsidRPr="00394D9A">
              <w:rPr>
                <w:szCs w:val="22"/>
                <w:lang w:val="sr-Latn-RS"/>
              </w:rPr>
              <w:t xml:space="preserve">za </w:t>
            </w:r>
            <w:r w:rsidRPr="00394D9A">
              <w:rPr>
                <w:szCs w:val="22"/>
                <w:lang w:val="sr-Latn-RS"/>
              </w:rPr>
              <w:t>oko 2,4 puta, odnosno 2,3 puta</w:t>
            </w:r>
            <w:r w:rsidR="00A74DE2" w:rsidRPr="00394D9A">
              <w:rPr>
                <w:szCs w:val="22"/>
                <w:lang w:val="sr-Latn-RS"/>
              </w:rPr>
              <w:t xml:space="preserve"> </w:t>
            </w:r>
            <w:r w:rsidRPr="00394D9A">
              <w:rPr>
                <w:szCs w:val="22"/>
                <w:lang w:val="sr-Latn-RS"/>
              </w:rPr>
              <w:t xml:space="preserve">nakon </w:t>
            </w:r>
            <w:r w:rsidR="00605D78" w:rsidRPr="00394D9A">
              <w:rPr>
                <w:szCs w:val="22"/>
                <w:lang w:val="sr-Latn-RS"/>
              </w:rPr>
              <w:t xml:space="preserve">ponovljenih </w:t>
            </w:r>
            <w:r w:rsidRPr="00394D9A">
              <w:rPr>
                <w:szCs w:val="22"/>
                <w:lang w:val="sr-Latn-RS"/>
              </w:rPr>
              <w:t>doza od 400 mg dronedarona dva puta dnevno, i za oko 2,1 put,</w:t>
            </w:r>
            <w:r w:rsidR="00A74DE2" w:rsidRPr="00394D9A">
              <w:rPr>
                <w:szCs w:val="22"/>
                <w:lang w:val="sr-Latn-RS"/>
              </w:rPr>
              <w:t xml:space="preserve"> </w:t>
            </w:r>
            <w:r w:rsidRPr="00394D9A">
              <w:rPr>
                <w:szCs w:val="22"/>
                <w:lang w:val="sr-Latn-RS"/>
              </w:rPr>
              <w:t>odnosno 1,9 puta nakon pojedinačne doze od 400 mg dronedarona.</w:t>
            </w:r>
          </w:p>
        </w:tc>
      </w:tr>
      <w:tr w:rsidR="00C62182" w:rsidRPr="00A01BFA" w14:paraId="1652EC39" w14:textId="77777777" w:rsidTr="00DF17BA">
        <w:tc>
          <w:tcPr>
            <w:tcW w:w="0" w:type="auto"/>
          </w:tcPr>
          <w:p w14:paraId="15B9ABE1" w14:textId="088FB8D6" w:rsidR="00C62182" w:rsidRPr="00394D9A" w:rsidRDefault="00C62182" w:rsidP="00187D17">
            <w:pPr>
              <w:widowControl w:val="0"/>
              <w:rPr>
                <w:szCs w:val="22"/>
                <w:lang w:val="sr-Latn-RS"/>
              </w:rPr>
            </w:pPr>
            <w:r w:rsidRPr="00394D9A">
              <w:rPr>
                <w:szCs w:val="22"/>
                <w:lang w:val="sr-Latn-RS"/>
              </w:rPr>
              <w:t>Itrakonazol, ciklosporin</w:t>
            </w:r>
          </w:p>
        </w:tc>
        <w:tc>
          <w:tcPr>
            <w:tcW w:w="0" w:type="auto"/>
          </w:tcPr>
          <w:p w14:paraId="0F038D5D" w14:textId="0AE8D853" w:rsidR="00C62182" w:rsidRPr="00394D9A" w:rsidRDefault="00C62182" w:rsidP="00187D17">
            <w:pPr>
              <w:widowControl w:val="0"/>
              <w:rPr>
                <w:szCs w:val="22"/>
                <w:lang w:val="sr-Latn-RS"/>
              </w:rPr>
            </w:pPr>
            <w:r w:rsidRPr="00394D9A">
              <w:rPr>
                <w:szCs w:val="22"/>
                <w:lang w:val="sr-Latn-RS"/>
              </w:rPr>
              <w:t>Na osno</w:t>
            </w:r>
            <w:r w:rsidR="003C6388" w:rsidRPr="00394D9A">
              <w:rPr>
                <w:szCs w:val="22"/>
                <w:lang w:val="sr-Latn-RS"/>
              </w:rPr>
              <w:t>v</w:t>
            </w:r>
            <w:r w:rsidRPr="00394D9A">
              <w:rPr>
                <w:szCs w:val="22"/>
                <w:lang w:val="sr-Latn-RS"/>
              </w:rPr>
              <w:t xml:space="preserve">u rezultata u </w:t>
            </w:r>
            <w:r w:rsidRPr="00394D9A">
              <w:rPr>
                <w:i/>
                <w:iCs/>
                <w:szCs w:val="22"/>
                <w:lang w:val="sr-Latn-RS"/>
              </w:rPr>
              <w:t>in vitro</w:t>
            </w:r>
            <w:r w:rsidRPr="00394D9A">
              <w:rPr>
                <w:szCs w:val="22"/>
                <w:lang w:val="sr-Latn-RS"/>
              </w:rPr>
              <w:t xml:space="preserve"> uslovima može se očekivati sličan efekat kao i sa</w:t>
            </w:r>
            <w:r w:rsidR="00A74DE2" w:rsidRPr="00394D9A">
              <w:rPr>
                <w:szCs w:val="22"/>
                <w:lang w:val="sr-Latn-RS"/>
              </w:rPr>
              <w:t xml:space="preserve"> </w:t>
            </w:r>
            <w:r w:rsidRPr="00394D9A">
              <w:rPr>
                <w:szCs w:val="22"/>
                <w:lang w:val="sr-Latn-RS"/>
              </w:rPr>
              <w:t>ketokonazolom.</w:t>
            </w:r>
          </w:p>
        </w:tc>
      </w:tr>
      <w:tr w:rsidR="006A7602" w:rsidRPr="00A01BFA" w14:paraId="2B1E0013" w14:textId="77777777" w:rsidTr="00DF17BA">
        <w:tc>
          <w:tcPr>
            <w:tcW w:w="0" w:type="auto"/>
          </w:tcPr>
          <w:p w14:paraId="13192908" w14:textId="59B6D343" w:rsidR="006A7602" w:rsidRPr="00394D9A" w:rsidRDefault="006A7602" w:rsidP="00187D17">
            <w:pPr>
              <w:widowControl w:val="0"/>
              <w:rPr>
                <w:szCs w:val="22"/>
                <w:lang w:val="sr-Latn-RS"/>
              </w:rPr>
            </w:pPr>
            <w:r w:rsidRPr="00394D9A">
              <w:rPr>
                <w:szCs w:val="22"/>
                <w:lang w:val="sr-Latn-RS"/>
              </w:rPr>
              <w:t>G</w:t>
            </w:r>
            <w:r w:rsidR="00A639DA" w:rsidRPr="00394D9A">
              <w:rPr>
                <w:szCs w:val="22"/>
                <w:lang w:val="sr-Latn-RS"/>
              </w:rPr>
              <w:t>leka</w:t>
            </w:r>
            <w:r w:rsidRPr="00394D9A">
              <w:rPr>
                <w:szCs w:val="22"/>
                <w:lang w:val="sr-Latn-RS"/>
              </w:rPr>
              <w:t>previr/pibrentasvir</w:t>
            </w:r>
          </w:p>
        </w:tc>
        <w:tc>
          <w:tcPr>
            <w:tcW w:w="0" w:type="auto"/>
          </w:tcPr>
          <w:p w14:paraId="4747DE0A" w14:textId="55D38CAD" w:rsidR="006A7602" w:rsidRPr="00394D9A" w:rsidRDefault="003C6388" w:rsidP="00187D17">
            <w:pPr>
              <w:widowControl w:val="0"/>
              <w:rPr>
                <w:szCs w:val="22"/>
                <w:lang w:val="sr-Latn-RS"/>
              </w:rPr>
            </w:pPr>
            <w:r w:rsidRPr="00394D9A">
              <w:rPr>
                <w:szCs w:val="22"/>
                <w:lang w:val="sr-Latn-RS"/>
              </w:rPr>
              <w:t>Pokazano je da prilikom</w:t>
            </w:r>
            <w:r w:rsidR="006A7602" w:rsidRPr="00394D9A">
              <w:rPr>
                <w:szCs w:val="22"/>
                <w:lang w:val="sr-Latn-RS"/>
              </w:rPr>
              <w:t xml:space="preserve"> isto</w:t>
            </w:r>
            <w:r w:rsidR="00BD52DD" w:rsidRPr="00394D9A">
              <w:rPr>
                <w:szCs w:val="22"/>
                <w:lang w:val="sr-Latn-RS"/>
              </w:rPr>
              <w:t>vreme</w:t>
            </w:r>
            <w:r w:rsidR="006A7602" w:rsidRPr="00394D9A">
              <w:rPr>
                <w:szCs w:val="22"/>
                <w:lang w:val="sr-Latn-RS"/>
              </w:rPr>
              <w:t xml:space="preserve">ne </w:t>
            </w:r>
            <w:r w:rsidR="00A639DA" w:rsidRPr="00394D9A">
              <w:rPr>
                <w:szCs w:val="22"/>
                <w:lang w:val="sr-Latn-RS"/>
              </w:rPr>
              <w:t>primjene</w:t>
            </w:r>
            <w:r w:rsidR="006A7602" w:rsidRPr="00394D9A">
              <w:rPr>
                <w:szCs w:val="22"/>
                <w:lang w:val="sr-Latn-RS"/>
              </w:rPr>
              <w:t xml:space="preserve"> dabigatraneteksilata sa fiksnom kombinacijom P-gp</w:t>
            </w:r>
            <w:r w:rsidRPr="00394D9A">
              <w:rPr>
                <w:szCs w:val="22"/>
                <w:lang w:val="sr-Latn-RS"/>
              </w:rPr>
              <w:t xml:space="preserve"> </w:t>
            </w:r>
            <w:r w:rsidR="006A7602" w:rsidRPr="00394D9A">
              <w:rPr>
                <w:szCs w:val="22"/>
                <w:lang w:val="sr-Latn-RS"/>
              </w:rPr>
              <w:t>inhibitora g</w:t>
            </w:r>
            <w:r w:rsidR="00A639DA" w:rsidRPr="00394D9A">
              <w:rPr>
                <w:szCs w:val="22"/>
                <w:lang w:val="sr-Latn-RS"/>
              </w:rPr>
              <w:t>leka</w:t>
            </w:r>
            <w:r w:rsidR="006A7602" w:rsidRPr="00394D9A">
              <w:rPr>
                <w:szCs w:val="22"/>
                <w:lang w:val="sr-Latn-RS"/>
              </w:rPr>
              <w:t xml:space="preserve">previr/pibrentasvir </w:t>
            </w:r>
            <w:r w:rsidRPr="00394D9A">
              <w:rPr>
                <w:szCs w:val="22"/>
                <w:lang w:val="sr-Latn-RS"/>
              </w:rPr>
              <w:t xml:space="preserve">dolazi do </w:t>
            </w:r>
            <w:r w:rsidR="006A7602" w:rsidRPr="00394D9A">
              <w:rPr>
                <w:szCs w:val="22"/>
                <w:lang w:val="sr-Latn-RS"/>
              </w:rPr>
              <w:t>poveća</w:t>
            </w:r>
            <w:r w:rsidRPr="00394D9A">
              <w:rPr>
                <w:szCs w:val="22"/>
                <w:lang w:val="sr-Latn-RS"/>
              </w:rPr>
              <w:t>ne</w:t>
            </w:r>
            <w:r w:rsidR="006A7602" w:rsidRPr="00394D9A">
              <w:rPr>
                <w:szCs w:val="22"/>
                <w:lang w:val="sr-Latn-RS"/>
              </w:rPr>
              <w:t xml:space="preserve"> izloženost</w:t>
            </w:r>
            <w:r w:rsidRPr="00394D9A">
              <w:rPr>
                <w:szCs w:val="22"/>
                <w:lang w:val="sr-Latn-RS"/>
              </w:rPr>
              <w:t xml:space="preserve">i </w:t>
            </w:r>
            <w:r w:rsidR="006A7602" w:rsidRPr="00394D9A">
              <w:rPr>
                <w:szCs w:val="22"/>
                <w:lang w:val="sr-Latn-RS"/>
              </w:rPr>
              <w:t xml:space="preserve">dabigatranu </w:t>
            </w:r>
            <w:r w:rsidRPr="00394D9A">
              <w:rPr>
                <w:szCs w:val="22"/>
                <w:lang w:val="sr-Latn-RS"/>
              </w:rPr>
              <w:t xml:space="preserve">što </w:t>
            </w:r>
            <w:r w:rsidR="006A7602" w:rsidRPr="00394D9A">
              <w:rPr>
                <w:szCs w:val="22"/>
                <w:lang w:val="sr-Latn-RS"/>
              </w:rPr>
              <w:t xml:space="preserve">može povećati rizik </w:t>
            </w:r>
            <w:r w:rsidR="006A7602" w:rsidRPr="00394D9A">
              <w:rPr>
                <w:szCs w:val="22"/>
                <w:lang w:val="sr-Latn-RS"/>
              </w:rPr>
              <w:lastRenderedPageBreak/>
              <w:t>od krvarenja.</w:t>
            </w:r>
          </w:p>
        </w:tc>
      </w:tr>
      <w:tr w:rsidR="00C62182" w:rsidRPr="00394D9A" w14:paraId="6F979C18" w14:textId="77777777" w:rsidTr="00DF17BA">
        <w:tc>
          <w:tcPr>
            <w:tcW w:w="0" w:type="auto"/>
            <w:gridSpan w:val="2"/>
          </w:tcPr>
          <w:p w14:paraId="6F140F30" w14:textId="71CA329A" w:rsidR="00C62182" w:rsidRPr="00394D9A" w:rsidRDefault="00C62182" w:rsidP="00187D17">
            <w:pPr>
              <w:widowControl w:val="0"/>
              <w:rPr>
                <w:i/>
                <w:iCs/>
                <w:szCs w:val="22"/>
                <w:lang w:val="sr-Latn-RS"/>
              </w:rPr>
            </w:pPr>
            <w:r w:rsidRPr="00394D9A">
              <w:rPr>
                <w:i/>
                <w:iCs/>
                <w:szCs w:val="22"/>
                <w:lang w:val="sr-Latn-RS"/>
              </w:rPr>
              <w:lastRenderedPageBreak/>
              <w:t>Isto</w:t>
            </w:r>
            <w:r w:rsidR="00BD52DD" w:rsidRPr="00394D9A">
              <w:rPr>
                <w:i/>
                <w:iCs/>
                <w:szCs w:val="22"/>
                <w:lang w:val="sr-Latn-RS"/>
              </w:rPr>
              <w:t>vreme</w:t>
            </w:r>
            <w:r w:rsidRPr="00394D9A">
              <w:rPr>
                <w:i/>
                <w:iCs/>
                <w:szCs w:val="22"/>
                <w:lang w:val="sr-Latn-RS"/>
              </w:rPr>
              <w:t xml:space="preserve">na </w:t>
            </w:r>
            <w:r w:rsidR="00A639DA" w:rsidRPr="00394D9A">
              <w:rPr>
                <w:i/>
                <w:iCs/>
                <w:szCs w:val="22"/>
                <w:lang w:val="sr-Latn-RS"/>
              </w:rPr>
              <w:t xml:space="preserve">primjena </w:t>
            </w:r>
            <w:r w:rsidRPr="00394D9A">
              <w:rPr>
                <w:i/>
                <w:iCs/>
                <w:szCs w:val="22"/>
                <w:lang w:val="sr-Latn-RS"/>
              </w:rPr>
              <w:t xml:space="preserve"> se ne preporučuje</w:t>
            </w:r>
          </w:p>
        </w:tc>
      </w:tr>
      <w:tr w:rsidR="00C62182" w:rsidRPr="00A01BFA" w14:paraId="563D2573" w14:textId="77777777" w:rsidTr="00DF17BA">
        <w:tc>
          <w:tcPr>
            <w:tcW w:w="0" w:type="auto"/>
          </w:tcPr>
          <w:p w14:paraId="264C4812" w14:textId="486BBAC3" w:rsidR="00C62182" w:rsidRPr="00394D9A" w:rsidRDefault="00D70EAA" w:rsidP="00187D17">
            <w:pPr>
              <w:widowControl w:val="0"/>
              <w:rPr>
                <w:szCs w:val="22"/>
                <w:lang w:val="sr-Latn-RS"/>
              </w:rPr>
            </w:pPr>
            <w:r w:rsidRPr="00394D9A">
              <w:rPr>
                <w:szCs w:val="22"/>
                <w:lang w:val="sr-Latn-RS"/>
              </w:rPr>
              <w:t>Takrolimus</w:t>
            </w:r>
          </w:p>
        </w:tc>
        <w:tc>
          <w:tcPr>
            <w:tcW w:w="0" w:type="auto"/>
          </w:tcPr>
          <w:p w14:paraId="57759E0C" w14:textId="09B9842B" w:rsidR="00C62182" w:rsidRPr="00394D9A" w:rsidRDefault="00D70EAA" w:rsidP="00187D17">
            <w:pPr>
              <w:widowControl w:val="0"/>
              <w:rPr>
                <w:szCs w:val="22"/>
                <w:lang w:val="sr-Latn-RS"/>
              </w:rPr>
            </w:pPr>
            <w:r w:rsidRPr="00394D9A">
              <w:rPr>
                <w:szCs w:val="22"/>
                <w:lang w:val="sr-Latn-RS"/>
              </w:rPr>
              <w:t xml:space="preserve">U </w:t>
            </w:r>
            <w:r w:rsidRPr="00394D9A">
              <w:rPr>
                <w:i/>
                <w:iCs/>
                <w:szCs w:val="22"/>
                <w:lang w:val="sr-Latn-RS"/>
              </w:rPr>
              <w:t>in vitro</w:t>
            </w:r>
            <w:r w:rsidRPr="00394D9A">
              <w:rPr>
                <w:szCs w:val="22"/>
                <w:lang w:val="sr-Latn-RS"/>
              </w:rPr>
              <w:t xml:space="preserve"> uslovima je pokazano da takrolimus ima sličan inhibitor</w:t>
            </w:r>
            <w:r w:rsidR="00522BBD" w:rsidRPr="00394D9A">
              <w:rPr>
                <w:szCs w:val="22"/>
                <w:lang w:val="sr-Latn-RS"/>
              </w:rPr>
              <w:t>n</w:t>
            </w:r>
            <w:r w:rsidRPr="00394D9A">
              <w:rPr>
                <w:szCs w:val="22"/>
                <w:lang w:val="sr-Latn-RS"/>
              </w:rPr>
              <w:t>i efekat na</w:t>
            </w:r>
            <w:r w:rsidR="00A74DE2" w:rsidRPr="00394D9A">
              <w:rPr>
                <w:szCs w:val="22"/>
                <w:lang w:val="sr-Latn-RS"/>
              </w:rPr>
              <w:t xml:space="preserve"> </w:t>
            </w:r>
            <w:r w:rsidRPr="00394D9A">
              <w:rPr>
                <w:szCs w:val="22"/>
                <w:lang w:val="sr-Latn-RS"/>
              </w:rPr>
              <w:t>P-gp kao itrakonazol i ciklosporin. Dabigatraneteksilat nije bio klinički ispitivan sa</w:t>
            </w:r>
            <w:r w:rsidR="00A74DE2" w:rsidRPr="00394D9A">
              <w:rPr>
                <w:szCs w:val="22"/>
                <w:lang w:val="sr-Latn-RS"/>
              </w:rPr>
              <w:t xml:space="preserve"> </w:t>
            </w:r>
            <w:r w:rsidRPr="00394D9A">
              <w:rPr>
                <w:szCs w:val="22"/>
                <w:lang w:val="sr-Latn-RS"/>
              </w:rPr>
              <w:t>takrolimusom. Međutim, ograničeni klinički podaci sa drugim P-gp supstratom</w:t>
            </w:r>
            <w:r w:rsidR="00A74DE2" w:rsidRPr="00394D9A">
              <w:rPr>
                <w:szCs w:val="22"/>
                <w:lang w:val="sr-Latn-RS"/>
              </w:rPr>
              <w:t xml:space="preserve"> </w:t>
            </w:r>
            <w:r w:rsidRPr="00394D9A">
              <w:rPr>
                <w:szCs w:val="22"/>
                <w:lang w:val="sr-Latn-RS"/>
              </w:rPr>
              <w:t>(everolimus) ukazuju da je inhibicija P-gp sa takrolimusom slabija od one uočene sa</w:t>
            </w:r>
            <w:r w:rsidR="00A74DE2" w:rsidRPr="00394D9A">
              <w:rPr>
                <w:szCs w:val="22"/>
                <w:lang w:val="sr-Latn-RS"/>
              </w:rPr>
              <w:t xml:space="preserve"> </w:t>
            </w:r>
            <w:r w:rsidRPr="00394D9A">
              <w:rPr>
                <w:szCs w:val="22"/>
                <w:lang w:val="sr-Latn-RS"/>
              </w:rPr>
              <w:t>jakim P-gp inhibitorima.</w:t>
            </w:r>
          </w:p>
        </w:tc>
      </w:tr>
      <w:tr w:rsidR="00D70EAA" w:rsidRPr="00394D9A" w14:paraId="0064E4EF" w14:textId="77777777" w:rsidTr="00DF17BA">
        <w:tc>
          <w:tcPr>
            <w:tcW w:w="0" w:type="auto"/>
            <w:gridSpan w:val="2"/>
          </w:tcPr>
          <w:p w14:paraId="61832D12" w14:textId="62EFCAA1" w:rsidR="00D70EAA" w:rsidRPr="00394D9A" w:rsidRDefault="00D70EAA" w:rsidP="00187D17">
            <w:pPr>
              <w:widowControl w:val="0"/>
              <w:rPr>
                <w:szCs w:val="22"/>
                <w:lang w:val="sr-Latn-RS"/>
              </w:rPr>
            </w:pPr>
            <w:r w:rsidRPr="00394D9A">
              <w:rPr>
                <w:i/>
                <w:iCs/>
                <w:szCs w:val="22"/>
                <w:lang w:val="sr-Latn-RS"/>
              </w:rPr>
              <w:t>Potreban oprez u slučaju isto</w:t>
            </w:r>
            <w:r w:rsidR="00BD52DD" w:rsidRPr="00394D9A">
              <w:rPr>
                <w:i/>
                <w:iCs/>
                <w:szCs w:val="22"/>
                <w:lang w:val="sr-Latn-RS"/>
              </w:rPr>
              <w:t>vreme</w:t>
            </w:r>
            <w:r w:rsidRPr="00394D9A">
              <w:rPr>
                <w:i/>
                <w:iCs/>
                <w:szCs w:val="22"/>
                <w:lang w:val="sr-Latn-RS"/>
              </w:rPr>
              <w:t xml:space="preserve">ne </w:t>
            </w:r>
            <w:r w:rsidR="00A639DA" w:rsidRPr="00394D9A">
              <w:rPr>
                <w:i/>
                <w:iCs/>
                <w:szCs w:val="22"/>
                <w:lang w:val="sr-Latn-RS"/>
              </w:rPr>
              <w:t>primjene</w:t>
            </w:r>
            <w:r w:rsidRPr="00394D9A">
              <w:rPr>
                <w:i/>
                <w:iCs/>
                <w:szCs w:val="22"/>
                <w:lang w:val="sr-Latn-RS"/>
              </w:rPr>
              <w:t xml:space="preserve"> (</w:t>
            </w:r>
            <w:r w:rsidR="00D7145C" w:rsidRPr="00394D9A">
              <w:rPr>
                <w:i/>
                <w:iCs/>
                <w:szCs w:val="22"/>
                <w:lang w:val="sr-Latn-RS"/>
              </w:rPr>
              <w:t>pogledati</w:t>
            </w:r>
            <w:r w:rsidRPr="00394D9A">
              <w:rPr>
                <w:i/>
                <w:iCs/>
                <w:szCs w:val="22"/>
                <w:lang w:val="sr-Latn-RS"/>
              </w:rPr>
              <w:t xml:space="preserve"> </w:t>
            </w:r>
            <w:r w:rsidR="00D7145C" w:rsidRPr="00394D9A">
              <w:rPr>
                <w:i/>
                <w:iCs/>
                <w:szCs w:val="22"/>
                <w:lang w:val="sr-Latn-RS"/>
              </w:rPr>
              <w:t>djelove</w:t>
            </w:r>
            <w:r w:rsidRPr="00394D9A">
              <w:rPr>
                <w:i/>
                <w:iCs/>
                <w:szCs w:val="22"/>
                <w:lang w:val="sr-Latn-RS"/>
              </w:rPr>
              <w:t xml:space="preserve"> 4.2 i 4.4)</w:t>
            </w:r>
          </w:p>
        </w:tc>
      </w:tr>
      <w:tr w:rsidR="00C62182" w:rsidRPr="00394D9A" w14:paraId="70F3A818" w14:textId="77777777" w:rsidTr="00DF17BA">
        <w:tc>
          <w:tcPr>
            <w:tcW w:w="0" w:type="auto"/>
          </w:tcPr>
          <w:p w14:paraId="39AF63B1" w14:textId="77E20B7F" w:rsidR="00C62182" w:rsidRPr="00394D9A" w:rsidRDefault="00D70EAA" w:rsidP="00187D17">
            <w:pPr>
              <w:widowControl w:val="0"/>
              <w:rPr>
                <w:szCs w:val="22"/>
                <w:lang w:val="sr-Latn-RS"/>
              </w:rPr>
            </w:pPr>
            <w:r w:rsidRPr="00394D9A">
              <w:rPr>
                <w:szCs w:val="22"/>
                <w:lang w:val="sr-Latn-RS"/>
              </w:rPr>
              <w:t>Verapamil</w:t>
            </w:r>
          </w:p>
        </w:tc>
        <w:tc>
          <w:tcPr>
            <w:tcW w:w="0" w:type="auto"/>
          </w:tcPr>
          <w:p w14:paraId="3C64A890" w14:textId="2F102A0E" w:rsidR="00D70EAA" w:rsidRPr="00394D9A" w:rsidRDefault="00D70EAA" w:rsidP="00187D17">
            <w:pPr>
              <w:widowControl w:val="0"/>
              <w:rPr>
                <w:szCs w:val="22"/>
                <w:lang w:val="sr-Latn-RS"/>
              </w:rPr>
            </w:pPr>
            <w:r w:rsidRPr="00394D9A">
              <w:rPr>
                <w:szCs w:val="22"/>
                <w:lang w:val="sr-Latn-RS"/>
              </w:rPr>
              <w:t>Kada se dabigatraneteksilat (150 mg) davao isto</w:t>
            </w:r>
            <w:r w:rsidR="00BD52DD" w:rsidRPr="00394D9A">
              <w:rPr>
                <w:szCs w:val="22"/>
                <w:lang w:val="sr-Latn-RS"/>
              </w:rPr>
              <w:t>vreme</w:t>
            </w:r>
            <w:r w:rsidRPr="00394D9A">
              <w:rPr>
                <w:szCs w:val="22"/>
                <w:lang w:val="sr-Latn-RS"/>
              </w:rPr>
              <w:t>no sa oralno prim</w:t>
            </w:r>
            <w:r w:rsidR="00732822" w:rsidRPr="00394D9A">
              <w:rPr>
                <w:szCs w:val="22"/>
                <w:lang w:val="sr-Latn-RS"/>
              </w:rPr>
              <w:t>i</w:t>
            </w:r>
            <w:r w:rsidR="004E122E" w:rsidRPr="00394D9A">
              <w:rPr>
                <w:szCs w:val="22"/>
                <w:lang w:val="sr-Latn-RS"/>
              </w:rPr>
              <w:t>j</w:t>
            </w:r>
            <w:r w:rsidRPr="00394D9A">
              <w:rPr>
                <w:szCs w:val="22"/>
                <w:lang w:val="sr-Latn-RS"/>
              </w:rPr>
              <w:t>enjenim</w:t>
            </w:r>
            <w:r w:rsidR="00A74DE2" w:rsidRPr="00394D9A">
              <w:rPr>
                <w:szCs w:val="22"/>
                <w:lang w:val="sr-Latn-RS"/>
              </w:rPr>
              <w:t xml:space="preserve"> </w:t>
            </w:r>
            <w:r w:rsidRPr="00394D9A">
              <w:rPr>
                <w:szCs w:val="22"/>
                <w:lang w:val="sr-Latn-RS"/>
              </w:rPr>
              <w:t>verapamilom, C</w:t>
            </w:r>
            <w:r w:rsidRPr="00394D9A">
              <w:rPr>
                <w:szCs w:val="22"/>
                <w:vertAlign w:val="subscript"/>
                <w:lang w:val="sr-Latn-RS"/>
              </w:rPr>
              <w:t>max</w:t>
            </w:r>
            <w:r w:rsidRPr="00394D9A">
              <w:rPr>
                <w:szCs w:val="22"/>
                <w:lang w:val="sr-Latn-RS"/>
              </w:rPr>
              <w:t xml:space="preserve"> i PIK dabigatrana su bili povišeni, ali veličina ove prom</w:t>
            </w:r>
            <w:r w:rsidR="004E122E" w:rsidRPr="00394D9A">
              <w:rPr>
                <w:szCs w:val="22"/>
                <w:lang w:val="sr-Latn-RS"/>
              </w:rPr>
              <w:t>j</w:t>
            </w:r>
            <w:r w:rsidRPr="00394D9A">
              <w:rPr>
                <w:szCs w:val="22"/>
                <w:lang w:val="sr-Latn-RS"/>
              </w:rPr>
              <w:t>ene se</w:t>
            </w:r>
            <w:r w:rsidR="00A74DE2" w:rsidRPr="00394D9A">
              <w:rPr>
                <w:szCs w:val="22"/>
                <w:lang w:val="sr-Latn-RS"/>
              </w:rPr>
              <w:t xml:space="preserve"> </w:t>
            </w:r>
            <w:r w:rsidRPr="00394D9A">
              <w:rPr>
                <w:szCs w:val="22"/>
                <w:lang w:val="sr-Latn-RS"/>
              </w:rPr>
              <w:t xml:space="preserve">razlikuje u zavisnosti od </w:t>
            </w:r>
            <w:r w:rsidR="00BD52DD" w:rsidRPr="00394D9A">
              <w:rPr>
                <w:szCs w:val="22"/>
                <w:lang w:val="sr-Latn-RS"/>
              </w:rPr>
              <w:t>vreme</w:t>
            </w:r>
            <w:r w:rsidRPr="00394D9A">
              <w:rPr>
                <w:szCs w:val="22"/>
                <w:lang w:val="sr-Latn-RS"/>
              </w:rPr>
              <w:t xml:space="preserve">na </w:t>
            </w:r>
            <w:r w:rsidR="00A639DA" w:rsidRPr="00394D9A">
              <w:rPr>
                <w:szCs w:val="22"/>
                <w:lang w:val="sr-Latn-RS"/>
              </w:rPr>
              <w:t>primjene</w:t>
            </w:r>
            <w:r w:rsidRPr="00394D9A">
              <w:rPr>
                <w:szCs w:val="22"/>
                <w:lang w:val="sr-Latn-RS"/>
              </w:rPr>
              <w:t xml:space="preserve"> i formulacije verapamila (</w:t>
            </w:r>
            <w:r w:rsidR="00605D78" w:rsidRPr="00394D9A">
              <w:rPr>
                <w:szCs w:val="22"/>
                <w:lang w:val="sr-Latn-RS"/>
              </w:rPr>
              <w:t xml:space="preserve">vidjeti </w:t>
            </w:r>
            <w:r w:rsidR="00D7145C" w:rsidRPr="00394D9A">
              <w:rPr>
                <w:szCs w:val="22"/>
                <w:lang w:val="sr-Latn-RS"/>
              </w:rPr>
              <w:t>djelove</w:t>
            </w:r>
            <w:r w:rsidR="00A74DE2" w:rsidRPr="00394D9A">
              <w:rPr>
                <w:szCs w:val="22"/>
                <w:lang w:val="sr-Latn-RS"/>
              </w:rPr>
              <w:t xml:space="preserve"> </w:t>
            </w:r>
            <w:r w:rsidRPr="00394D9A">
              <w:rPr>
                <w:szCs w:val="22"/>
                <w:lang w:val="sr-Latn-RS"/>
              </w:rPr>
              <w:t>4.2 i 4.4).</w:t>
            </w:r>
          </w:p>
          <w:p w14:paraId="770CBC90" w14:textId="77777777" w:rsidR="00A74DE2" w:rsidRPr="00394D9A" w:rsidRDefault="00A74DE2" w:rsidP="00187D17">
            <w:pPr>
              <w:widowControl w:val="0"/>
              <w:rPr>
                <w:szCs w:val="22"/>
                <w:lang w:val="sr-Latn-RS"/>
              </w:rPr>
            </w:pPr>
          </w:p>
          <w:p w14:paraId="4B153C10" w14:textId="4DEA803B" w:rsidR="00D70EAA" w:rsidRPr="00394D9A" w:rsidRDefault="00D70EAA" w:rsidP="00187D17">
            <w:pPr>
              <w:widowControl w:val="0"/>
              <w:rPr>
                <w:szCs w:val="22"/>
                <w:lang w:val="sr-Latn-RS"/>
              </w:rPr>
            </w:pPr>
            <w:r w:rsidRPr="00394D9A">
              <w:rPr>
                <w:szCs w:val="22"/>
                <w:lang w:val="sr-Latn-RS"/>
              </w:rPr>
              <w:t>Najveće povećanje izloženosti dabigatranu je bilo prim</w:t>
            </w:r>
            <w:r w:rsidR="00732822" w:rsidRPr="00394D9A">
              <w:rPr>
                <w:szCs w:val="22"/>
                <w:lang w:val="sr-Latn-RS"/>
              </w:rPr>
              <w:t>i</w:t>
            </w:r>
            <w:r w:rsidR="004E122E" w:rsidRPr="00394D9A">
              <w:rPr>
                <w:szCs w:val="22"/>
                <w:lang w:val="sr-Latn-RS"/>
              </w:rPr>
              <w:t>j</w:t>
            </w:r>
            <w:r w:rsidRPr="00394D9A">
              <w:rPr>
                <w:szCs w:val="22"/>
                <w:lang w:val="sr-Latn-RS"/>
              </w:rPr>
              <w:t>ećeno sa prvom dozom</w:t>
            </w:r>
            <w:r w:rsidR="00A74DE2" w:rsidRPr="00394D9A">
              <w:rPr>
                <w:szCs w:val="22"/>
                <w:lang w:val="sr-Latn-RS"/>
              </w:rPr>
              <w:t xml:space="preserve"> </w:t>
            </w:r>
            <w:r w:rsidRPr="00394D9A">
              <w:rPr>
                <w:szCs w:val="22"/>
                <w:lang w:val="sr-Latn-RS"/>
              </w:rPr>
              <w:t>verapamila prim</w:t>
            </w:r>
            <w:r w:rsidR="004E122E" w:rsidRPr="00394D9A">
              <w:rPr>
                <w:szCs w:val="22"/>
                <w:lang w:val="sr-Latn-RS"/>
              </w:rPr>
              <w:t>j</w:t>
            </w:r>
            <w:r w:rsidRPr="00394D9A">
              <w:rPr>
                <w:szCs w:val="22"/>
                <w:lang w:val="sr-Latn-RS"/>
              </w:rPr>
              <w:t>enjenog kao formulacija sa trenutnim otpuštanjem supstance 1 sat</w:t>
            </w:r>
            <w:r w:rsidR="00A74DE2" w:rsidRPr="00394D9A">
              <w:rPr>
                <w:szCs w:val="22"/>
                <w:lang w:val="sr-Latn-RS"/>
              </w:rPr>
              <w:t xml:space="preserve"> </w:t>
            </w:r>
            <w:r w:rsidRPr="00394D9A">
              <w:rPr>
                <w:szCs w:val="22"/>
                <w:lang w:val="sr-Latn-RS"/>
              </w:rPr>
              <w:t>pr</w:t>
            </w:r>
            <w:r w:rsidR="004E122E" w:rsidRPr="00394D9A">
              <w:rPr>
                <w:szCs w:val="22"/>
                <w:lang w:val="sr-Latn-RS"/>
              </w:rPr>
              <w:t>ij</w:t>
            </w:r>
            <w:r w:rsidRPr="00394D9A">
              <w:rPr>
                <w:szCs w:val="22"/>
                <w:lang w:val="sr-Latn-RS"/>
              </w:rPr>
              <w:t>e uzimanja dabigatraneteksilata (povećanje C</w:t>
            </w:r>
            <w:r w:rsidRPr="00394D9A">
              <w:rPr>
                <w:szCs w:val="22"/>
                <w:vertAlign w:val="subscript"/>
                <w:lang w:val="sr-Latn-RS"/>
              </w:rPr>
              <w:t>max</w:t>
            </w:r>
            <w:r w:rsidRPr="00394D9A">
              <w:rPr>
                <w:szCs w:val="22"/>
                <w:lang w:val="sr-Latn-RS"/>
              </w:rPr>
              <w:t xml:space="preserve"> </w:t>
            </w:r>
            <w:r w:rsidR="003D7B78" w:rsidRPr="00394D9A">
              <w:rPr>
                <w:szCs w:val="22"/>
                <w:lang w:val="sr-Latn-RS"/>
              </w:rPr>
              <w:t>za</w:t>
            </w:r>
            <w:r w:rsidRPr="00394D9A">
              <w:rPr>
                <w:szCs w:val="22"/>
                <w:lang w:val="sr-Latn-RS"/>
              </w:rPr>
              <w:t xml:space="preserve"> oko 2,8 puta i PIK </w:t>
            </w:r>
            <w:r w:rsidR="003D7B78" w:rsidRPr="00394D9A">
              <w:rPr>
                <w:szCs w:val="22"/>
                <w:lang w:val="sr-Latn-RS"/>
              </w:rPr>
              <w:t>za</w:t>
            </w:r>
            <w:r w:rsidRPr="00394D9A">
              <w:rPr>
                <w:szCs w:val="22"/>
                <w:lang w:val="sr-Latn-RS"/>
              </w:rPr>
              <w:t xml:space="preserve"> oko 2,5</w:t>
            </w:r>
            <w:r w:rsidR="00A74DE2" w:rsidRPr="00394D9A">
              <w:rPr>
                <w:szCs w:val="22"/>
                <w:lang w:val="sr-Latn-RS"/>
              </w:rPr>
              <w:t xml:space="preserve"> </w:t>
            </w:r>
            <w:r w:rsidRPr="00394D9A">
              <w:rPr>
                <w:szCs w:val="22"/>
                <w:lang w:val="sr-Latn-RS"/>
              </w:rPr>
              <w:t>puta). Efekat je bio progresivno smanjivan sa prim</w:t>
            </w:r>
            <w:r w:rsidR="004E122E" w:rsidRPr="00394D9A">
              <w:rPr>
                <w:szCs w:val="22"/>
                <w:lang w:val="sr-Latn-RS"/>
              </w:rPr>
              <w:t>j</w:t>
            </w:r>
            <w:r w:rsidRPr="00394D9A">
              <w:rPr>
                <w:szCs w:val="22"/>
                <w:lang w:val="sr-Latn-RS"/>
              </w:rPr>
              <w:t>enom verapamil formulacije sa</w:t>
            </w:r>
            <w:r w:rsidR="00A74DE2" w:rsidRPr="00394D9A">
              <w:rPr>
                <w:szCs w:val="22"/>
                <w:lang w:val="sr-Latn-RS"/>
              </w:rPr>
              <w:t xml:space="preserve"> </w:t>
            </w:r>
            <w:r w:rsidRPr="00394D9A">
              <w:rPr>
                <w:szCs w:val="22"/>
                <w:lang w:val="sr-Latn-RS"/>
              </w:rPr>
              <w:t>produženim oslobađanjem supstance (povećanje C</w:t>
            </w:r>
            <w:r w:rsidRPr="00394D9A">
              <w:rPr>
                <w:szCs w:val="22"/>
                <w:vertAlign w:val="subscript"/>
                <w:lang w:val="sr-Latn-RS"/>
              </w:rPr>
              <w:t>max</w:t>
            </w:r>
            <w:r w:rsidRPr="00394D9A">
              <w:rPr>
                <w:szCs w:val="22"/>
                <w:lang w:val="sr-Latn-RS"/>
              </w:rPr>
              <w:t xml:space="preserve"> </w:t>
            </w:r>
            <w:r w:rsidR="003D7B78" w:rsidRPr="00394D9A">
              <w:rPr>
                <w:szCs w:val="22"/>
                <w:lang w:val="sr-Latn-RS"/>
              </w:rPr>
              <w:t>za</w:t>
            </w:r>
            <w:r w:rsidRPr="00394D9A">
              <w:rPr>
                <w:szCs w:val="22"/>
                <w:lang w:val="sr-Latn-RS"/>
              </w:rPr>
              <w:t xml:space="preserve"> oko 1,9 puta i PIK </w:t>
            </w:r>
            <w:r w:rsidR="003D7B78" w:rsidRPr="00394D9A">
              <w:rPr>
                <w:szCs w:val="22"/>
                <w:lang w:val="sr-Latn-RS"/>
              </w:rPr>
              <w:t>za</w:t>
            </w:r>
            <w:r w:rsidRPr="00394D9A">
              <w:rPr>
                <w:szCs w:val="22"/>
                <w:lang w:val="sr-Latn-RS"/>
              </w:rPr>
              <w:t xml:space="preserve"> oko</w:t>
            </w:r>
            <w:r w:rsidR="00A74DE2" w:rsidRPr="00394D9A">
              <w:rPr>
                <w:szCs w:val="22"/>
                <w:lang w:val="sr-Latn-RS"/>
              </w:rPr>
              <w:t xml:space="preserve"> </w:t>
            </w:r>
            <w:r w:rsidRPr="00394D9A">
              <w:rPr>
                <w:szCs w:val="22"/>
                <w:lang w:val="sr-Latn-RS"/>
              </w:rPr>
              <w:t>1,7 puta) ili prim</w:t>
            </w:r>
            <w:r w:rsidR="004E122E" w:rsidRPr="00394D9A">
              <w:rPr>
                <w:szCs w:val="22"/>
                <w:lang w:val="sr-Latn-RS"/>
              </w:rPr>
              <w:t>j</w:t>
            </w:r>
            <w:r w:rsidRPr="00394D9A">
              <w:rPr>
                <w:szCs w:val="22"/>
                <w:lang w:val="sr-Latn-RS"/>
              </w:rPr>
              <w:t>enom više doza verapamila (povećanje C</w:t>
            </w:r>
            <w:r w:rsidRPr="00394D9A">
              <w:rPr>
                <w:szCs w:val="22"/>
                <w:vertAlign w:val="subscript"/>
                <w:lang w:val="sr-Latn-RS"/>
              </w:rPr>
              <w:t>max</w:t>
            </w:r>
            <w:r w:rsidRPr="00394D9A">
              <w:rPr>
                <w:szCs w:val="22"/>
                <w:lang w:val="sr-Latn-RS"/>
              </w:rPr>
              <w:t xml:space="preserve"> </w:t>
            </w:r>
            <w:r w:rsidR="003D7B78" w:rsidRPr="00394D9A">
              <w:rPr>
                <w:szCs w:val="22"/>
                <w:lang w:val="sr-Latn-RS"/>
              </w:rPr>
              <w:t>za</w:t>
            </w:r>
            <w:r w:rsidRPr="00394D9A">
              <w:rPr>
                <w:szCs w:val="22"/>
                <w:lang w:val="sr-Latn-RS"/>
              </w:rPr>
              <w:t xml:space="preserve"> oko 1,6 puta i PIK</w:t>
            </w:r>
            <w:r w:rsidR="00A74DE2" w:rsidRPr="00394D9A">
              <w:rPr>
                <w:szCs w:val="22"/>
                <w:lang w:val="sr-Latn-RS"/>
              </w:rPr>
              <w:t xml:space="preserve"> </w:t>
            </w:r>
            <w:r w:rsidR="003D7B78" w:rsidRPr="00394D9A">
              <w:rPr>
                <w:szCs w:val="22"/>
                <w:lang w:val="sr-Latn-RS"/>
              </w:rPr>
              <w:t>za</w:t>
            </w:r>
            <w:r w:rsidRPr="00394D9A">
              <w:rPr>
                <w:szCs w:val="22"/>
                <w:lang w:val="sr-Latn-RS"/>
              </w:rPr>
              <w:t xml:space="preserve"> oko 1,5 puta).</w:t>
            </w:r>
          </w:p>
          <w:p w14:paraId="3B90E3D8" w14:textId="77777777" w:rsidR="00A74DE2" w:rsidRPr="00394D9A" w:rsidRDefault="00A74DE2" w:rsidP="00187D17">
            <w:pPr>
              <w:widowControl w:val="0"/>
              <w:rPr>
                <w:szCs w:val="22"/>
                <w:lang w:val="sr-Latn-RS"/>
              </w:rPr>
            </w:pPr>
          </w:p>
          <w:p w14:paraId="18903FFE" w14:textId="27276922" w:rsidR="00C62182" w:rsidRPr="00394D9A" w:rsidRDefault="00D70EAA" w:rsidP="00187D17">
            <w:pPr>
              <w:widowControl w:val="0"/>
              <w:rPr>
                <w:szCs w:val="22"/>
                <w:lang w:val="sr-Latn-RS"/>
              </w:rPr>
            </w:pPr>
            <w:r w:rsidRPr="00394D9A">
              <w:rPr>
                <w:szCs w:val="22"/>
                <w:lang w:val="sr-Latn-RS"/>
              </w:rPr>
              <w:t>Nije prim</w:t>
            </w:r>
            <w:r w:rsidR="00732822" w:rsidRPr="00394D9A">
              <w:rPr>
                <w:szCs w:val="22"/>
                <w:lang w:val="sr-Latn-RS"/>
              </w:rPr>
              <w:t>i</w:t>
            </w:r>
            <w:r w:rsidR="004E122E" w:rsidRPr="00394D9A">
              <w:rPr>
                <w:szCs w:val="22"/>
                <w:lang w:val="sr-Latn-RS"/>
              </w:rPr>
              <w:t>j</w:t>
            </w:r>
            <w:r w:rsidRPr="00394D9A">
              <w:rPr>
                <w:szCs w:val="22"/>
                <w:lang w:val="sr-Latn-RS"/>
              </w:rPr>
              <w:t>ećena značajna interakcija kada je verapamil dat 2 sata posl</w:t>
            </w:r>
            <w:r w:rsidR="004E122E" w:rsidRPr="00394D9A">
              <w:rPr>
                <w:szCs w:val="22"/>
                <w:lang w:val="sr-Latn-RS"/>
              </w:rPr>
              <w:t>ij</w:t>
            </w:r>
            <w:r w:rsidRPr="00394D9A">
              <w:rPr>
                <w:szCs w:val="22"/>
                <w:lang w:val="sr-Latn-RS"/>
              </w:rPr>
              <w:t>e</w:t>
            </w:r>
            <w:r w:rsidR="00A74DE2" w:rsidRPr="00394D9A">
              <w:rPr>
                <w:szCs w:val="22"/>
                <w:lang w:val="sr-Latn-RS"/>
              </w:rPr>
              <w:t xml:space="preserve"> </w:t>
            </w:r>
            <w:r w:rsidRPr="00394D9A">
              <w:rPr>
                <w:szCs w:val="22"/>
                <w:lang w:val="sr-Latn-RS"/>
              </w:rPr>
              <w:t>dabigatraneteksilata (povećanje C</w:t>
            </w:r>
            <w:r w:rsidRPr="00394D9A">
              <w:rPr>
                <w:szCs w:val="22"/>
                <w:vertAlign w:val="subscript"/>
                <w:lang w:val="sr-Latn-RS"/>
              </w:rPr>
              <w:t>max</w:t>
            </w:r>
            <w:r w:rsidRPr="00394D9A">
              <w:rPr>
                <w:szCs w:val="22"/>
                <w:lang w:val="sr-Latn-RS"/>
              </w:rPr>
              <w:t xml:space="preserve"> od oko 1,1 put i PIK od oko 1,2 puta).</w:t>
            </w:r>
            <w:r w:rsidR="00A74DE2" w:rsidRPr="00394D9A">
              <w:rPr>
                <w:szCs w:val="22"/>
                <w:lang w:val="sr-Latn-RS"/>
              </w:rPr>
              <w:t xml:space="preserve"> </w:t>
            </w:r>
            <w:r w:rsidRPr="00394D9A">
              <w:rPr>
                <w:szCs w:val="22"/>
                <w:lang w:val="sr-Latn-RS"/>
              </w:rPr>
              <w:t>Ovo je objašnjeno kompletnom resorpcijom dabigatrana nakon 2 sata.</w:t>
            </w:r>
          </w:p>
        </w:tc>
      </w:tr>
      <w:tr w:rsidR="00C62182" w:rsidRPr="00A01BFA" w14:paraId="10D32101" w14:textId="77777777" w:rsidTr="00DF17BA">
        <w:tc>
          <w:tcPr>
            <w:tcW w:w="0" w:type="auto"/>
          </w:tcPr>
          <w:p w14:paraId="4E84A318" w14:textId="26EA6945" w:rsidR="00C62182" w:rsidRPr="00394D9A" w:rsidRDefault="00D70EAA" w:rsidP="00187D17">
            <w:pPr>
              <w:widowControl w:val="0"/>
              <w:rPr>
                <w:szCs w:val="22"/>
                <w:lang w:val="sr-Latn-RS"/>
              </w:rPr>
            </w:pPr>
            <w:r w:rsidRPr="00394D9A">
              <w:rPr>
                <w:szCs w:val="22"/>
                <w:lang w:val="sr-Latn-RS"/>
              </w:rPr>
              <w:t>Amjodaron</w:t>
            </w:r>
          </w:p>
        </w:tc>
        <w:tc>
          <w:tcPr>
            <w:tcW w:w="0" w:type="auto"/>
          </w:tcPr>
          <w:p w14:paraId="5171ABA8" w14:textId="76EBA6F6" w:rsidR="00C62182" w:rsidRPr="00394D9A" w:rsidRDefault="00D70EAA" w:rsidP="00187D17">
            <w:pPr>
              <w:widowControl w:val="0"/>
              <w:rPr>
                <w:szCs w:val="22"/>
                <w:lang w:val="sr-Latn-RS"/>
              </w:rPr>
            </w:pPr>
            <w:r w:rsidRPr="00394D9A">
              <w:rPr>
                <w:szCs w:val="22"/>
                <w:lang w:val="sr-Latn-RS"/>
              </w:rPr>
              <w:t xml:space="preserve">Kada se </w:t>
            </w:r>
            <w:r w:rsidR="00A639DA" w:rsidRPr="00394D9A">
              <w:rPr>
                <w:szCs w:val="22"/>
                <w:lang w:val="sr-Latn-RS"/>
              </w:rPr>
              <w:t>lijek</w:t>
            </w:r>
            <w:r w:rsidRPr="00394D9A">
              <w:rPr>
                <w:szCs w:val="22"/>
                <w:lang w:val="sr-Latn-RS"/>
              </w:rPr>
              <w:t xml:space="preserve"> </w:t>
            </w:r>
            <w:r w:rsidR="00A74DE2" w:rsidRPr="00394D9A">
              <w:rPr>
                <w:szCs w:val="22"/>
                <w:lang w:val="sr-Latn-RS"/>
              </w:rPr>
              <w:t>Dabigatran SK</w:t>
            </w:r>
            <w:r w:rsidRPr="00394D9A">
              <w:rPr>
                <w:szCs w:val="22"/>
                <w:lang w:val="sr-Latn-RS"/>
              </w:rPr>
              <w:t xml:space="preserve"> prim</w:t>
            </w:r>
            <w:r w:rsidR="004E122E" w:rsidRPr="00394D9A">
              <w:rPr>
                <w:szCs w:val="22"/>
                <w:lang w:val="sr-Latn-RS"/>
              </w:rPr>
              <w:t>j</w:t>
            </w:r>
            <w:r w:rsidRPr="00394D9A">
              <w:rPr>
                <w:szCs w:val="22"/>
                <w:lang w:val="sr-Latn-RS"/>
              </w:rPr>
              <w:t>enjivao zajedno sa pojedinačnom oralnom dozom</w:t>
            </w:r>
            <w:r w:rsidR="00A74DE2" w:rsidRPr="00394D9A">
              <w:rPr>
                <w:szCs w:val="22"/>
                <w:lang w:val="sr-Latn-RS"/>
              </w:rPr>
              <w:t xml:space="preserve"> </w:t>
            </w:r>
            <w:r w:rsidRPr="00394D9A">
              <w:rPr>
                <w:szCs w:val="22"/>
                <w:lang w:val="sr-Latn-RS"/>
              </w:rPr>
              <w:t>amjodarona od 600 mg, veličina i stepen resorpcije amjodarona i njegovog</w:t>
            </w:r>
            <w:r w:rsidR="00A74DE2" w:rsidRPr="00394D9A">
              <w:rPr>
                <w:szCs w:val="22"/>
                <w:lang w:val="sr-Latn-RS"/>
              </w:rPr>
              <w:t xml:space="preserve"> </w:t>
            </w:r>
            <w:r w:rsidRPr="00394D9A">
              <w:rPr>
                <w:szCs w:val="22"/>
                <w:lang w:val="sr-Latn-RS"/>
              </w:rPr>
              <w:t>aktivnog</w:t>
            </w:r>
            <w:r w:rsidR="00A74DE2" w:rsidRPr="00394D9A">
              <w:rPr>
                <w:szCs w:val="22"/>
                <w:lang w:val="sr-Latn-RS"/>
              </w:rPr>
              <w:t xml:space="preserve"> </w:t>
            </w:r>
            <w:r w:rsidRPr="00394D9A">
              <w:rPr>
                <w:szCs w:val="22"/>
                <w:lang w:val="sr-Latn-RS"/>
              </w:rPr>
              <w:t>metabolita DEA se suštinski ni</w:t>
            </w:r>
            <w:r w:rsidR="00157169" w:rsidRPr="00394D9A">
              <w:rPr>
                <w:szCs w:val="22"/>
                <w:lang w:val="sr-Latn-RS"/>
              </w:rPr>
              <w:t>je</w:t>
            </w:r>
            <w:r w:rsidRPr="00394D9A">
              <w:rPr>
                <w:szCs w:val="22"/>
                <w:lang w:val="sr-Latn-RS"/>
              </w:rPr>
              <w:t>su m</w:t>
            </w:r>
            <w:r w:rsidR="00732822" w:rsidRPr="00394D9A">
              <w:rPr>
                <w:szCs w:val="22"/>
                <w:lang w:val="sr-Latn-RS"/>
              </w:rPr>
              <w:t>i</w:t>
            </w:r>
            <w:r w:rsidR="004E122E" w:rsidRPr="00394D9A">
              <w:rPr>
                <w:szCs w:val="22"/>
                <w:lang w:val="sr-Latn-RS"/>
              </w:rPr>
              <w:t>j</w:t>
            </w:r>
            <w:r w:rsidRPr="00394D9A">
              <w:rPr>
                <w:szCs w:val="22"/>
                <w:lang w:val="sr-Latn-RS"/>
              </w:rPr>
              <w:t>enjali. PIK i C</w:t>
            </w:r>
            <w:r w:rsidRPr="00394D9A">
              <w:rPr>
                <w:szCs w:val="22"/>
                <w:vertAlign w:val="subscript"/>
                <w:lang w:val="sr-Latn-RS"/>
              </w:rPr>
              <w:t>max</w:t>
            </w:r>
            <w:r w:rsidRPr="00394D9A">
              <w:rPr>
                <w:szCs w:val="22"/>
                <w:lang w:val="sr-Latn-RS"/>
              </w:rPr>
              <w:t xml:space="preserve"> dabigatrana su bili</w:t>
            </w:r>
            <w:r w:rsidR="00A74DE2" w:rsidRPr="00394D9A">
              <w:rPr>
                <w:szCs w:val="22"/>
                <w:lang w:val="sr-Latn-RS"/>
              </w:rPr>
              <w:t xml:space="preserve"> </w:t>
            </w:r>
            <w:r w:rsidRPr="00394D9A">
              <w:rPr>
                <w:szCs w:val="22"/>
                <w:lang w:val="sr-Latn-RS"/>
              </w:rPr>
              <w:t>povećani oko 1,6 puta, odnosno 1,5 puta. Zbog dugog polu</w:t>
            </w:r>
            <w:r w:rsidR="00BD52DD" w:rsidRPr="00394D9A">
              <w:rPr>
                <w:szCs w:val="22"/>
                <w:lang w:val="sr-Latn-RS"/>
              </w:rPr>
              <w:t>vreme</w:t>
            </w:r>
            <w:r w:rsidRPr="00394D9A">
              <w:rPr>
                <w:szCs w:val="22"/>
                <w:lang w:val="sr-Latn-RS"/>
              </w:rPr>
              <w:t>na eliminacije</w:t>
            </w:r>
            <w:r w:rsidR="00A74DE2" w:rsidRPr="00394D9A">
              <w:rPr>
                <w:szCs w:val="22"/>
                <w:lang w:val="sr-Latn-RS"/>
              </w:rPr>
              <w:t xml:space="preserve"> </w:t>
            </w:r>
            <w:r w:rsidRPr="00394D9A">
              <w:rPr>
                <w:szCs w:val="22"/>
                <w:lang w:val="sr-Latn-RS"/>
              </w:rPr>
              <w:t xml:space="preserve">amjodarona potencijal za interakcije sa </w:t>
            </w:r>
            <w:r w:rsidR="00A639DA" w:rsidRPr="00394D9A">
              <w:rPr>
                <w:szCs w:val="22"/>
                <w:lang w:val="sr-Latn-RS"/>
              </w:rPr>
              <w:t>ljek</w:t>
            </w:r>
            <w:r w:rsidRPr="00394D9A">
              <w:rPr>
                <w:szCs w:val="22"/>
                <w:lang w:val="sr-Latn-RS"/>
              </w:rPr>
              <w:t>ovima može da postoji ned</w:t>
            </w:r>
            <w:r w:rsidR="004D577A" w:rsidRPr="00394D9A">
              <w:rPr>
                <w:szCs w:val="22"/>
                <w:lang w:val="sr-Latn-RS"/>
              </w:rPr>
              <w:t>j</w:t>
            </w:r>
            <w:r w:rsidRPr="00394D9A">
              <w:rPr>
                <w:szCs w:val="22"/>
                <w:lang w:val="sr-Latn-RS"/>
              </w:rPr>
              <w:t>eljama nakon</w:t>
            </w:r>
            <w:r w:rsidR="00A74DE2" w:rsidRPr="00394D9A">
              <w:rPr>
                <w:szCs w:val="22"/>
                <w:lang w:val="sr-Latn-RS"/>
              </w:rPr>
              <w:t xml:space="preserve"> </w:t>
            </w:r>
            <w:r w:rsidRPr="00394D9A">
              <w:rPr>
                <w:szCs w:val="22"/>
                <w:lang w:val="sr-Latn-RS"/>
              </w:rPr>
              <w:t>prekida terapije amjodaronom (</w:t>
            </w:r>
            <w:r w:rsidR="003D7B78" w:rsidRPr="00394D9A">
              <w:rPr>
                <w:szCs w:val="22"/>
                <w:lang w:val="sr-Latn-RS"/>
              </w:rPr>
              <w:t xml:space="preserve">vidjeti </w:t>
            </w:r>
            <w:r w:rsidR="00D7145C" w:rsidRPr="00394D9A">
              <w:rPr>
                <w:szCs w:val="22"/>
                <w:lang w:val="sr-Latn-RS"/>
              </w:rPr>
              <w:t>djelove</w:t>
            </w:r>
            <w:r w:rsidRPr="00394D9A">
              <w:rPr>
                <w:szCs w:val="22"/>
                <w:lang w:val="sr-Latn-RS"/>
              </w:rPr>
              <w:t xml:space="preserve"> 4.2.i 4.4).</w:t>
            </w:r>
          </w:p>
        </w:tc>
      </w:tr>
      <w:tr w:rsidR="00C62182" w:rsidRPr="00A01BFA" w14:paraId="744FD3C6" w14:textId="77777777" w:rsidTr="00DF17BA">
        <w:tc>
          <w:tcPr>
            <w:tcW w:w="0" w:type="auto"/>
          </w:tcPr>
          <w:p w14:paraId="0EA5D618" w14:textId="00E42350" w:rsidR="00C62182" w:rsidRPr="00394D9A" w:rsidRDefault="00D70EAA" w:rsidP="00187D17">
            <w:pPr>
              <w:widowControl w:val="0"/>
              <w:rPr>
                <w:szCs w:val="22"/>
                <w:lang w:val="sr-Latn-RS"/>
              </w:rPr>
            </w:pPr>
            <w:r w:rsidRPr="00394D9A">
              <w:rPr>
                <w:szCs w:val="22"/>
                <w:lang w:val="sr-Latn-RS"/>
              </w:rPr>
              <w:t>Hinidin</w:t>
            </w:r>
          </w:p>
        </w:tc>
        <w:tc>
          <w:tcPr>
            <w:tcW w:w="0" w:type="auto"/>
          </w:tcPr>
          <w:p w14:paraId="5EACE643" w14:textId="77777777" w:rsidR="00D70EAA" w:rsidRPr="00394D9A" w:rsidRDefault="00D70EAA" w:rsidP="00187D17">
            <w:pPr>
              <w:widowControl w:val="0"/>
              <w:rPr>
                <w:szCs w:val="22"/>
                <w:lang w:val="sr-Latn-RS"/>
              </w:rPr>
            </w:pPr>
            <w:r w:rsidRPr="00394D9A">
              <w:rPr>
                <w:szCs w:val="22"/>
                <w:lang w:val="sr-Latn-RS"/>
              </w:rPr>
              <w:t>Hinidin je dat u dozi od 200 mg svaki drugi sat sve do doze od 1000 mg.</w:t>
            </w:r>
          </w:p>
          <w:p w14:paraId="0B130913" w14:textId="15B29103" w:rsidR="00C62182" w:rsidRPr="00394D9A" w:rsidRDefault="00D70EAA" w:rsidP="00187D17">
            <w:pPr>
              <w:widowControl w:val="0"/>
              <w:rPr>
                <w:szCs w:val="22"/>
                <w:lang w:val="sr-Latn-RS"/>
              </w:rPr>
            </w:pPr>
            <w:r w:rsidRPr="00394D9A">
              <w:rPr>
                <w:szCs w:val="22"/>
                <w:lang w:val="sr-Latn-RS"/>
              </w:rPr>
              <w:t>Dabigatran</w:t>
            </w:r>
            <w:r w:rsidR="00A74DE2" w:rsidRPr="00394D9A">
              <w:rPr>
                <w:szCs w:val="22"/>
                <w:lang w:val="sr-Latn-RS"/>
              </w:rPr>
              <w:t xml:space="preserve"> </w:t>
            </w:r>
            <w:r w:rsidRPr="00394D9A">
              <w:rPr>
                <w:szCs w:val="22"/>
                <w:lang w:val="sr-Latn-RS"/>
              </w:rPr>
              <w:t>eteksilat je davan dva puta dnevno tokom tri uzastopna dana, a trećeg</w:t>
            </w:r>
            <w:r w:rsidR="00A74DE2" w:rsidRPr="00394D9A">
              <w:rPr>
                <w:szCs w:val="22"/>
                <w:lang w:val="sr-Latn-RS"/>
              </w:rPr>
              <w:t xml:space="preserve"> </w:t>
            </w:r>
            <w:r w:rsidRPr="00394D9A">
              <w:rPr>
                <w:szCs w:val="22"/>
                <w:lang w:val="sr-Latn-RS"/>
              </w:rPr>
              <w:t>dana je dat sa ili bez hinidina. Dabigatran PIK</w:t>
            </w:r>
            <w:r w:rsidR="00A74DE2" w:rsidRPr="00394D9A">
              <w:rPr>
                <w:szCs w:val="22"/>
                <w:vertAlign w:val="subscript"/>
                <w:lang w:val="sr-Latn-RS"/>
              </w:rPr>
              <w:t>τ</w:t>
            </w:r>
            <w:r w:rsidRPr="00394D9A">
              <w:rPr>
                <w:szCs w:val="22"/>
                <w:vertAlign w:val="subscript"/>
                <w:lang w:val="sr-Latn-RS"/>
              </w:rPr>
              <w:t>,ss</w:t>
            </w:r>
            <w:r w:rsidRPr="00394D9A">
              <w:rPr>
                <w:szCs w:val="22"/>
                <w:lang w:val="sr-Latn-RS"/>
              </w:rPr>
              <w:t xml:space="preserve"> i C</w:t>
            </w:r>
            <w:r w:rsidRPr="00394D9A">
              <w:rPr>
                <w:szCs w:val="22"/>
                <w:vertAlign w:val="subscript"/>
                <w:lang w:val="sr-Latn-RS"/>
              </w:rPr>
              <w:t>max</w:t>
            </w:r>
            <w:r w:rsidR="00A74DE2" w:rsidRPr="00394D9A">
              <w:rPr>
                <w:szCs w:val="22"/>
                <w:vertAlign w:val="subscript"/>
                <w:lang w:val="sr-Latn-RS"/>
              </w:rPr>
              <w:t>,</w:t>
            </w:r>
            <w:r w:rsidRPr="00394D9A">
              <w:rPr>
                <w:szCs w:val="22"/>
                <w:vertAlign w:val="subscript"/>
                <w:lang w:val="sr-Latn-RS"/>
              </w:rPr>
              <w:t>ss</w:t>
            </w:r>
            <w:r w:rsidRPr="00394D9A">
              <w:rPr>
                <w:szCs w:val="22"/>
                <w:lang w:val="sr-Latn-RS"/>
              </w:rPr>
              <w:t xml:space="preserve"> su bili povećani u pros</w:t>
            </w:r>
            <w:r w:rsidR="004E122E" w:rsidRPr="00394D9A">
              <w:rPr>
                <w:szCs w:val="22"/>
                <w:lang w:val="sr-Latn-RS"/>
              </w:rPr>
              <w:t>j</w:t>
            </w:r>
            <w:r w:rsidRPr="00394D9A">
              <w:rPr>
                <w:szCs w:val="22"/>
                <w:lang w:val="sr-Latn-RS"/>
              </w:rPr>
              <w:t>eku</w:t>
            </w:r>
            <w:r w:rsidR="00A74DE2" w:rsidRPr="00394D9A">
              <w:rPr>
                <w:szCs w:val="22"/>
                <w:lang w:val="sr-Latn-RS"/>
              </w:rPr>
              <w:t xml:space="preserve"> </w:t>
            </w:r>
            <w:r w:rsidRPr="00394D9A">
              <w:rPr>
                <w:szCs w:val="22"/>
                <w:lang w:val="sr-Latn-RS"/>
              </w:rPr>
              <w:t>za 1,53 puta, odnosno 1,56 puta tokom isto</w:t>
            </w:r>
            <w:r w:rsidR="00BD52DD" w:rsidRPr="00394D9A">
              <w:rPr>
                <w:szCs w:val="22"/>
                <w:lang w:val="sr-Latn-RS"/>
              </w:rPr>
              <w:t>vreme</w:t>
            </w:r>
            <w:r w:rsidRPr="00394D9A">
              <w:rPr>
                <w:szCs w:val="22"/>
                <w:lang w:val="sr-Latn-RS"/>
              </w:rPr>
              <w:t xml:space="preserve">ne </w:t>
            </w:r>
            <w:r w:rsidR="00A639DA" w:rsidRPr="00394D9A">
              <w:rPr>
                <w:szCs w:val="22"/>
                <w:lang w:val="sr-Latn-RS"/>
              </w:rPr>
              <w:t>primjene</w:t>
            </w:r>
            <w:r w:rsidRPr="00394D9A">
              <w:rPr>
                <w:szCs w:val="22"/>
                <w:lang w:val="sr-Latn-RS"/>
              </w:rPr>
              <w:t xml:space="preserve"> sa hinidinom (</w:t>
            </w:r>
            <w:r w:rsidR="003D7B78" w:rsidRPr="00394D9A">
              <w:rPr>
                <w:szCs w:val="22"/>
                <w:lang w:val="sr-Latn-RS"/>
              </w:rPr>
              <w:t xml:space="preserve">vidjeti </w:t>
            </w:r>
            <w:r w:rsidR="00D7145C" w:rsidRPr="00394D9A">
              <w:rPr>
                <w:szCs w:val="22"/>
                <w:lang w:val="sr-Latn-RS"/>
              </w:rPr>
              <w:t>djelove</w:t>
            </w:r>
            <w:r w:rsidRPr="00394D9A">
              <w:rPr>
                <w:szCs w:val="22"/>
                <w:lang w:val="sr-Latn-RS"/>
              </w:rPr>
              <w:t xml:space="preserve"> 4.2 i 4.4).</w:t>
            </w:r>
          </w:p>
        </w:tc>
      </w:tr>
      <w:tr w:rsidR="00C62182" w:rsidRPr="00A01BFA" w14:paraId="7FD2E0B9" w14:textId="77777777" w:rsidTr="00DF17BA">
        <w:tc>
          <w:tcPr>
            <w:tcW w:w="0" w:type="auto"/>
          </w:tcPr>
          <w:p w14:paraId="357C43C6" w14:textId="2DDA793B" w:rsidR="00C62182" w:rsidRPr="00394D9A" w:rsidRDefault="00D70EAA" w:rsidP="00187D17">
            <w:pPr>
              <w:widowControl w:val="0"/>
              <w:rPr>
                <w:szCs w:val="22"/>
                <w:lang w:val="sr-Latn-RS"/>
              </w:rPr>
            </w:pPr>
            <w:r w:rsidRPr="00394D9A">
              <w:rPr>
                <w:szCs w:val="22"/>
                <w:lang w:val="sr-Latn-RS"/>
              </w:rPr>
              <w:t>Klaritromicin</w:t>
            </w:r>
          </w:p>
        </w:tc>
        <w:tc>
          <w:tcPr>
            <w:tcW w:w="0" w:type="auto"/>
          </w:tcPr>
          <w:p w14:paraId="7B40CBAF" w14:textId="72D3708E" w:rsidR="00C62182" w:rsidRPr="00394D9A" w:rsidRDefault="00D70EAA" w:rsidP="00187D17">
            <w:pPr>
              <w:widowControl w:val="0"/>
              <w:rPr>
                <w:szCs w:val="22"/>
                <w:lang w:val="sr-Latn-RS"/>
              </w:rPr>
            </w:pPr>
            <w:r w:rsidRPr="00394D9A">
              <w:rPr>
                <w:szCs w:val="22"/>
                <w:lang w:val="sr-Latn-RS"/>
              </w:rPr>
              <w:t>Kada se klaritromicin (500 mg dva puta dnevno) prim</w:t>
            </w:r>
            <w:r w:rsidR="004E122E" w:rsidRPr="00394D9A">
              <w:rPr>
                <w:szCs w:val="22"/>
                <w:lang w:val="sr-Latn-RS"/>
              </w:rPr>
              <w:t>j</w:t>
            </w:r>
            <w:r w:rsidRPr="00394D9A">
              <w:rPr>
                <w:szCs w:val="22"/>
                <w:lang w:val="sr-Latn-RS"/>
              </w:rPr>
              <w:t>enjivao isto</w:t>
            </w:r>
            <w:r w:rsidR="00BD52DD" w:rsidRPr="00394D9A">
              <w:rPr>
                <w:szCs w:val="22"/>
                <w:lang w:val="sr-Latn-RS"/>
              </w:rPr>
              <w:t>vreme</w:t>
            </w:r>
            <w:r w:rsidRPr="00394D9A">
              <w:rPr>
                <w:szCs w:val="22"/>
                <w:lang w:val="sr-Latn-RS"/>
              </w:rPr>
              <w:t>no sa</w:t>
            </w:r>
            <w:r w:rsidR="00A74DE2" w:rsidRPr="00394D9A">
              <w:rPr>
                <w:szCs w:val="22"/>
                <w:lang w:val="sr-Latn-RS"/>
              </w:rPr>
              <w:t xml:space="preserve"> d</w:t>
            </w:r>
            <w:r w:rsidRPr="00394D9A">
              <w:rPr>
                <w:szCs w:val="22"/>
                <w:lang w:val="sr-Latn-RS"/>
              </w:rPr>
              <w:t>abigatraneteksilatom kod zdravih dobrovoljaca, prim</w:t>
            </w:r>
            <w:r w:rsidR="004D577A" w:rsidRPr="00394D9A">
              <w:rPr>
                <w:szCs w:val="22"/>
                <w:lang w:val="sr-Latn-RS"/>
              </w:rPr>
              <w:t>i</w:t>
            </w:r>
            <w:r w:rsidR="004E122E" w:rsidRPr="00394D9A">
              <w:rPr>
                <w:szCs w:val="22"/>
                <w:lang w:val="sr-Latn-RS"/>
              </w:rPr>
              <w:t>j</w:t>
            </w:r>
            <w:r w:rsidRPr="00394D9A">
              <w:rPr>
                <w:szCs w:val="22"/>
                <w:lang w:val="sr-Latn-RS"/>
              </w:rPr>
              <w:t xml:space="preserve">ećeno je povećanje PIK </w:t>
            </w:r>
            <w:r w:rsidR="00DC568E" w:rsidRPr="00394D9A">
              <w:rPr>
                <w:szCs w:val="22"/>
                <w:lang w:val="sr-Latn-RS"/>
              </w:rPr>
              <w:t>za</w:t>
            </w:r>
            <w:r w:rsidR="00A74DE2" w:rsidRPr="00394D9A">
              <w:rPr>
                <w:szCs w:val="22"/>
                <w:lang w:val="sr-Latn-RS"/>
              </w:rPr>
              <w:t xml:space="preserve"> </w:t>
            </w:r>
            <w:r w:rsidRPr="00394D9A">
              <w:rPr>
                <w:szCs w:val="22"/>
                <w:lang w:val="sr-Latn-RS"/>
              </w:rPr>
              <w:t>otprilike 1,19 puta i C</w:t>
            </w:r>
            <w:r w:rsidRPr="00394D9A">
              <w:rPr>
                <w:szCs w:val="22"/>
                <w:vertAlign w:val="subscript"/>
                <w:lang w:val="sr-Latn-RS"/>
              </w:rPr>
              <w:t>max</w:t>
            </w:r>
            <w:r w:rsidRPr="00394D9A">
              <w:rPr>
                <w:szCs w:val="22"/>
                <w:lang w:val="sr-Latn-RS"/>
              </w:rPr>
              <w:t xml:space="preserve"> </w:t>
            </w:r>
            <w:r w:rsidR="00DC568E" w:rsidRPr="00394D9A">
              <w:rPr>
                <w:szCs w:val="22"/>
                <w:lang w:val="sr-Latn-RS"/>
              </w:rPr>
              <w:t>za</w:t>
            </w:r>
            <w:r w:rsidRPr="00394D9A">
              <w:rPr>
                <w:szCs w:val="22"/>
                <w:lang w:val="sr-Latn-RS"/>
              </w:rPr>
              <w:t xml:space="preserve"> oko 1,15 puta.</w:t>
            </w:r>
          </w:p>
        </w:tc>
      </w:tr>
      <w:tr w:rsidR="00C62182" w:rsidRPr="00A01BFA" w14:paraId="418BB20D" w14:textId="77777777" w:rsidTr="00DF17BA">
        <w:tc>
          <w:tcPr>
            <w:tcW w:w="0" w:type="auto"/>
          </w:tcPr>
          <w:p w14:paraId="580405A1" w14:textId="3D8D356A" w:rsidR="00C62182" w:rsidRPr="00394D9A" w:rsidRDefault="00D70EAA" w:rsidP="00187D17">
            <w:pPr>
              <w:widowControl w:val="0"/>
              <w:rPr>
                <w:szCs w:val="22"/>
                <w:lang w:val="sr-Latn-RS"/>
              </w:rPr>
            </w:pPr>
            <w:r w:rsidRPr="00394D9A">
              <w:rPr>
                <w:szCs w:val="22"/>
                <w:lang w:val="sr-Latn-RS"/>
              </w:rPr>
              <w:t>Tikagrelor</w:t>
            </w:r>
          </w:p>
        </w:tc>
        <w:tc>
          <w:tcPr>
            <w:tcW w:w="0" w:type="auto"/>
          </w:tcPr>
          <w:p w14:paraId="6B187D7C" w14:textId="3491FB63" w:rsidR="00D70EAA" w:rsidRPr="00394D9A" w:rsidRDefault="00D70EAA" w:rsidP="00187D17">
            <w:pPr>
              <w:widowControl w:val="0"/>
              <w:rPr>
                <w:szCs w:val="22"/>
                <w:lang w:val="sr-Latn-RS"/>
              </w:rPr>
            </w:pPr>
            <w:r w:rsidRPr="00394D9A">
              <w:rPr>
                <w:szCs w:val="22"/>
                <w:lang w:val="sr-Latn-RS"/>
              </w:rPr>
              <w:t>Kada se pojedinačna doza dabigatraneteksilata od 75 mg prim</w:t>
            </w:r>
            <w:r w:rsidR="004E122E" w:rsidRPr="00394D9A">
              <w:rPr>
                <w:szCs w:val="22"/>
                <w:lang w:val="sr-Latn-RS"/>
              </w:rPr>
              <w:t>j</w:t>
            </w:r>
            <w:r w:rsidRPr="00394D9A">
              <w:rPr>
                <w:szCs w:val="22"/>
                <w:lang w:val="sr-Latn-RS"/>
              </w:rPr>
              <w:t>enjivala isto</w:t>
            </w:r>
            <w:r w:rsidR="00BD52DD" w:rsidRPr="00394D9A">
              <w:rPr>
                <w:szCs w:val="22"/>
                <w:lang w:val="sr-Latn-RS"/>
              </w:rPr>
              <w:t>vreme</w:t>
            </w:r>
            <w:r w:rsidRPr="00394D9A">
              <w:rPr>
                <w:szCs w:val="22"/>
                <w:lang w:val="sr-Latn-RS"/>
              </w:rPr>
              <w:t>no</w:t>
            </w:r>
            <w:r w:rsidR="00A74DE2" w:rsidRPr="00394D9A">
              <w:rPr>
                <w:szCs w:val="22"/>
                <w:lang w:val="sr-Latn-RS"/>
              </w:rPr>
              <w:t xml:space="preserve"> </w:t>
            </w:r>
            <w:r w:rsidRPr="00394D9A">
              <w:rPr>
                <w:szCs w:val="22"/>
                <w:lang w:val="sr-Latn-RS"/>
              </w:rPr>
              <w:t>sa udarnom dozom od 180 mg tikagrelora, PIK i C</w:t>
            </w:r>
            <w:r w:rsidRPr="00394D9A">
              <w:rPr>
                <w:szCs w:val="22"/>
                <w:vertAlign w:val="subscript"/>
                <w:lang w:val="sr-Latn-RS"/>
              </w:rPr>
              <w:t>max</w:t>
            </w:r>
            <w:r w:rsidRPr="00394D9A">
              <w:rPr>
                <w:szCs w:val="22"/>
                <w:lang w:val="sr-Latn-RS"/>
              </w:rPr>
              <w:t xml:space="preserve"> dabigatrana povećavali su se</w:t>
            </w:r>
            <w:r w:rsidR="00A74DE2" w:rsidRPr="00394D9A">
              <w:rPr>
                <w:szCs w:val="22"/>
                <w:lang w:val="sr-Latn-RS"/>
              </w:rPr>
              <w:t xml:space="preserve"> </w:t>
            </w:r>
            <w:r w:rsidRPr="00394D9A">
              <w:rPr>
                <w:szCs w:val="22"/>
                <w:lang w:val="sr-Latn-RS"/>
              </w:rPr>
              <w:t>za 1,73, odnosno 1,95 puta. Nakon ponovljenih doza tikagrelora 90 mg dva puta</w:t>
            </w:r>
            <w:r w:rsidR="00A74DE2" w:rsidRPr="00394D9A">
              <w:rPr>
                <w:szCs w:val="22"/>
                <w:lang w:val="sr-Latn-RS"/>
              </w:rPr>
              <w:t xml:space="preserve"> </w:t>
            </w:r>
            <w:r w:rsidRPr="00394D9A">
              <w:rPr>
                <w:szCs w:val="22"/>
                <w:lang w:val="sr-Latn-RS"/>
              </w:rPr>
              <w:t>dnevno, povećano izlaganje dabigatranu je iznosilo 1</w:t>
            </w:r>
            <w:r w:rsidR="00DC568E" w:rsidRPr="00394D9A">
              <w:rPr>
                <w:szCs w:val="22"/>
                <w:lang w:val="sr-Latn-RS"/>
              </w:rPr>
              <w:t>,</w:t>
            </w:r>
            <w:r w:rsidRPr="00394D9A">
              <w:rPr>
                <w:szCs w:val="22"/>
                <w:lang w:val="sr-Latn-RS"/>
              </w:rPr>
              <w:t>56 puta za C</w:t>
            </w:r>
            <w:r w:rsidRPr="00394D9A">
              <w:rPr>
                <w:szCs w:val="22"/>
                <w:vertAlign w:val="subscript"/>
                <w:lang w:val="sr-Latn-RS"/>
              </w:rPr>
              <w:t>max</w:t>
            </w:r>
            <w:r w:rsidRPr="00394D9A">
              <w:rPr>
                <w:szCs w:val="22"/>
                <w:lang w:val="sr-Latn-RS"/>
              </w:rPr>
              <w:t xml:space="preserve"> i 1,46 puta za</w:t>
            </w:r>
            <w:r w:rsidR="00A74DE2" w:rsidRPr="00394D9A">
              <w:rPr>
                <w:szCs w:val="22"/>
                <w:lang w:val="sr-Latn-RS"/>
              </w:rPr>
              <w:t xml:space="preserve"> </w:t>
            </w:r>
            <w:r w:rsidRPr="00394D9A">
              <w:rPr>
                <w:szCs w:val="22"/>
                <w:lang w:val="sr-Latn-RS"/>
              </w:rPr>
              <w:t>PIK.</w:t>
            </w:r>
          </w:p>
          <w:p w14:paraId="4AA2CABD" w14:textId="77777777" w:rsidR="00A74DE2" w:rsidRPr="00394D9A" w:rsidRDefault="00A74DE2" w:rsidP="00187D17">
            <w:pPr>
              <w:widowControl w:val="0"/>
              <w:rPr>
                <w:szCs w:val="22"/>
                <w:lang w:val="sr-Latn-RS"/>
              </w:rPr>
            </w:pPr>
          </w:p>
          <w:p w14:paraId="5DF6C51C" w14:textId="41800FCE" w:rsidR="00D70EAA" w:rsidRPr="00394D9A" w:rsidRDefault="00D70EAA" w:rsidP="00187D17">
            <w:pPr>
              <w:widowControl w:val="0"/>
              <w:rPr>
                <w:szCs w:val="22"/>
                <w:lang w:val="sr-Latn-RS"/>
              </w:rPr>
            </w:pPr>
            <w:r w:rsidRPr="00394D9A">
              <w:rPr>
                <w:szCs w:val="22"/>
                <w:lang w:val="sr-Latn-RS"/>
              </w:rPr>
              <w:t>Isto</w:t>
            </w:r>
            <w:r w:rsidR="00BD52DD" w:rsidRPr="00394D9A">
              <w:rPr>
                <w:szCs w:val="22"/>
                <w:lang w:val="sr-Latn-RS"/>
              </w:rPr>
              <w:t>vreme</w:t>
            </w:r>
            <w:r w:rsidRPr="00394D9A">
              <w:rPr>
                <w:szCs w:val="22"/>
                <w:lang w:val="sr-Latn-RS"/>
              </w:rPr>
              <w:t xml:space="preserve">na </w:t>
            </w:r>
            <w:r w:rsidR="00A639DA" w:rsidRPr="00394D9A">
              <w:rPr>
                <w:szCs w:val="22"/>
                <w:lang w:val="sr-Latn-RS"/>
              </w:rPr>
              <w:t xml:space="preserve">primjena </w:t>
            </w:r>
            <w:r w:rsidRPr="00394D9A">
              <w:rPr>
                <w:szCs w:val="22"/>
                <w:lang w:val="sr-Latn-RS"/>
              </w:rPr>
              <w:t>udarne doze od 180 mg tikagrelora i 110 mg</w:t>
            </w:r>
            <w:r w:rsidR="00A74DE2" w:rsidRPr="00394D9A">
              <w:rPr>
                <w:szCs w:val="22"/>
                <w:lang w:val="sr-Latn-RS"/>
              </w:rPr>
              <w:t xml:space="preserve"> </w:t>
            </w:r>
            <w:r w:rsidRPr="00394D9A">
              <w:rPr>
                <w:szCs w:val="22"/>
                <w:lang w:val="sr-Latn-RS"/>
              </w:rPr>
              <w:t xml:space="preserve">dabigatraneteksilata (u stanju dinamičke ravnoteže) povećavala je </w:t>
            </w:r>
            <w:r w:rsidRPr="00394D9A">
              <w:rPr>
                <w:szCs w:val="22"/>
                <w:lang w:val="sr-Latn-RS"/>
              </w:rPr>
              <w:lastRenderedPageBreak/>
              <w:t>PIK</w:t>
            </w:r>
            <w:r w:rsidRPr="00394D9A">
              <w:rPr>
                <w:szCs w:val="22"/>
                <w:vertAlign w:val="subscript"/>
                <w:lang w:val="sr-Latn-RS"/>
              </w:rPr>
              <w:t xml:space="preserve">τ,ss </w:t>
            </w:r>
            <w:r w:rsidRPr="00394D9A">
              <w:rPr>
                <w:szCs w:val="22"/>
                <w:lang w:val="sr-Latn-RS"/>
              </w:rPr>
              <w:t>i C</w:t>
            </w:r>
            <w:r w:rsidRPr="00394D9A">
              <w:rPr>
                <w:szCs w:val="22"/>
                <w:vertAlign w:val="subscript"/>
                <w:lang w:val="sr-Latn-RS"/>
              </w:rPr>
              <w:t>max,ss</w:t>
            </w:r>
            <w:r w:rsidR="00A74DE2" w:rsidRPr="00394D9A">
              <w:rPr>
                <w:szCs w:val="22"/>
                <w:vertAlign w:val="subscript"/>
                <w:lang w:val="sr-Latn-RS"/>
              </w:rPr>
              <w:t xml:space="preserve"> </w:t>
            </w:r>
            <w:r w:rsidRPr="00394D9A">
              <w:rPr>
                <w:szCs w:val="22"/>
                <w:lang w:val="sr-Latn-RS"/>
              </w:rPr>
              <w:t>dabigatrana za 1,49 puta i 1,65 puta, u poređenju sa monoterapijom</w:t>
            </w:r>
            <w:r w:rsidR="00A74DE2" w:rsidRPr="00394D9A">
              <w:rPr>
                <w:szCs w:val="22"/>
                <w:lang w:val="sr-Latn-RS"/>
              </w:rPr>
              <w:t xml:space="preserve"> </w:t>
            </w:r>
            <w:r w:rsidRPr="00394D9A">
              <w:rPr>
                <w:szCs w:val="22"/>
                <w:lang w:val="sr-Latn-RS"/>
              </w:rPr>
              <w:t>dabigatraneteksilata. Kada se inicijalna doza od 180 mg tikagrelora prim</w:t>
            </w:r>
            <w:r w:rsidR="004E122E" w:rsidRPr="00394D9A">
              <w:rPr>
                <w:szCs w:val="22"/>
                <w:lang w:val="sr-Latn-RS"/>
              </w:rPr>
              <w:t>j</w:t>
            </w:r>
            <w:r w:rsidRPr="00394D9A">
              <w:rPr>
                <w:szCs w:val="22"/>
                <w:lang w:val="sr-Latn-RS"/>
              </w:rPr>
              <w:t>enjivala 2</w:t>
            </w:r>
            <w:r w:rsidR="00A74EF5" w:rsidRPr="00394D9A">
              <w:rPr>
                <w:szCs w:val="22"/>
                <w:lang w:val="sr-Latn-RS"/>
              </w:rPr>
              <w:t xml:space="preserve"> </w:t>
            </w:r>
            <w:r w:rsidRPr="00394D9A">
              <w:rPr>
                <w:szCs w:val="22"/>
                <w:lang w:val="sr-Latn-RS"/>
              </w:rPr>
              <w:t>sata posl</w:t>
            </w:r>
            <w:r w:rsidR="004D577A" w:rsidRPr="00394D9A">
              <w:rPr>
                <w:szCs w:val="22"/>
                <w:lang w:val="sr-Latn-RS"/>
              </w:rPr>
              <w:t>ij</w:t>
            </w:r>
            <w:r w:rsidRPr="00394D9A">
              <w:rPr>
                <w:szCs w:val="22"/>
                <w:lang w:val="sr-Latn-RS"/>
              </w:rPr>
              <w:t>e 110 mg dabigatraneteksilata (u stanju dinamičke ravnoteže), povećanje</w:t>
            </w:r>
            <w:r w:rsidR="00A74EF5" w:rsidRPr="00394D9A">
              <w:rPr>
                <w:szCs w:val="22"/>
                <w:lang w:val="sr-Latn-RS"/>
              </w:rPr>
              <w:t xml:space="preserve"> </w:t>
            </w:r>
            <w:r w:rsidRPr="00394D9A">
              <w:rPr>
                <w:szCs w:val="22"/>
                <w:lang w:val="sr-Latn-RS"/>
              </w:rPr>
              <w:t>PIK</w:t>
            </w:r>
            <w:r w:rsidRPr="00394D9A">
              <w:rPr>
                <w:szCs w:val="22"/>
                <w:vertAlign w:val="subscript"/>
                <w:lang w:val="sr-Latn-RS"/>
              </w:rPr>
              <w:t xml:space="preserve">τ,ss </w:t>
            </w:r>
            <w:r w:rsidRPr="00394D9A">
              <w:rPr>
                <w:szCs w:val="22"/>
                <w:lang w:val="sr-Latn-RS"/>
              </w:rPr>
              <w:t>i C</w:t>
            </w:r>
            <w:r w:rsidRPr="00394D9A">
              <w:rPr>
                <w:szCs w:val="22"/>
                <w:vertAlign w:val="subscript"/>
                <w:lang w:val="sr-Latn-RS"/>
              </w:rPr>
              <w:t xml:space="preserve">max,ss </w:t>
            </w:r>
            <w:r w:rsidRPr="00394D9A">
              <w:rPr>
                <w:szCs w:val="22"/>
                <w:lang w:val="sr-Latn-RS"/>
              </w:rPr>
              <w:t xml:space="preserve">dabigatrana bilo je smanjeno 1,27 puta i 1,23 puta u poređenju </w:t>
            </w:r>
            <w:r w:rsidR="003D2DBC" w:rsidRPr="00394D9A">
              <w:rPr>
                <w:szCs w:val="22"/>
                <w:lang w:val="sr-Latn-RS"/>
              </w:rPr>
              <w:t xml:space="preserve">sa </w:t>
            </w:r>
            <w:r w:rsidRPr="00394D9A">
              <w:rPr>
                <w:szCs w:val="22"/>
                <w:lang w:val="sr-Latn-RS"/>
              </w:rPr>
              <w:t>monoterapijom dabigatraneteksilata. Ovakav raspored doziranja udarne doz</w:t>
            </w:r>
            <w:r w:rsidR="00157169" w:rsidRPr="00394D9A">
              <w:rPr>
                <w:szCs w:val="22"/>
                <w:lang w:val="sr-Latn-RS"/>
              </w:rPr>
              <w:t>e</w:t>
            </w:r>
            <w:r w:rsidRPr="00394D9A">
              <w:rPr>
                <w:szCs w:val="22"/>
                <w:lang w:val="sr-Latn-RS"/>
              </w:rPr>
              <w:t xml:space="preserve"> se</w:t>
            </w:r>
            <w:r w:rsidR="00A74EF5" w:rsidRPr="00394D9A">
              <w:rPr>
                <w:szCs w:val="22"/>
                <w:lang w:val="sr-Latn-RS"/>
              </w:rPr>
              <w:t xml:space="preserve"> </w:t>
            </w:r>
            <w:r w:rsidRPr="00394D9A">
              <w:rPr>
                <w:szCs w:val="22"/>
                <w:lang w:val="sr-Latn-RS"/>
              </w:rPr>
              <w:t xml:space="preserve">preporučuje za početak </w:t>
            </w:r>
            <w:r w:rsidR="00A639DA" w:rsidRPr="00394D9A">
              <w:rPr>
                <w:szCs w:val="22"/>
                <w:lang w:val="sr-Latn-RS"/>
              </w:rPr>
              <w:t>primjene</w:t>
            </w:r>
            <w:r w:rsidRPr="00394D9A">
              <w:rPr>
                <w:szCs w:val="22"/>
                <w:lang w:val="sr-Latn-RS"/>
              </w:rPr>
              <w:t xml:space="preserve"> tikagrelora.</w:t>
            </w:r>
          </w:p>
          <w:p w14:paraId="165E615A" w14:textId="77777777" w:rsidR="00A74DE2" w:rsidRPr="00394D9A" w:rsidRDefault="00A74DE2" w:rsidP="00187D17">
            <w:pPr>
              <w:widowControl w:val="0"/>
              <w:rPr>
                <w:szCs w:val="22"/>
                <w:lang w:val="sr-Latn-RS"/>
              </w:rPr>
            </w:pPr>
          </w:p>
          <w:p w14:paraId="2D58C509" w14:textId="5F65CBEC" w:rsidR="00C62182" w:rsidRPr="00394D9A" w:rsidRDefault="00D70EAA" w:rsidP="00187D17">
            <w:pPr>
              <w:widowControl w:val="0"/>
              <w:rPr>
                <w:szCs w:val="22"/>
                <w:lang w:val="sr-Latn-RS"/>
              </w:rPr>
            </w:pPr>
            <w:r w:rsidRPr="00394D9A">
              <w:rPr>
                <w:szCs w:val="22"/>
                <w:lang w:val="sr-Latn-RS"/>
              </w:rPr>
              <w:t>Isto</w:t>
            </w:r>
            <w:r w:rsidR="00BD52DD" w:rsidRPr="00394D9A">
              <w:rPr>
                <w:szCs w:val="22"/>
                <w:lang w:val="sr-Latn-RS"/>
              </w:rPr>
              <w:t>vreme</w:t>
            </w:r>
            <w:r w:rsidRPr="00394D9A">
              <w:rPr>
                <w:szCs w:val="22"/>
                <w:lang w:val="sr-Latn-RS"/>
              </w:rPr>
              <w:t xml:space="preserve">na </w:t>
            </w:r>
            <w:r w:rsidR="00A639DA" w:rsidRPr="00394D9A">
              <w:rPr>
                <w:szCs w:val="22"/>
                <w:lang w:val="sr-Latn-RS"/>
              </w:rPr>
              <w:t>primjena</w:t>
            </w:r>
            <w:r w:rsidRPr="00394D9A">
              <w:rPr>
                <w:szCs w:val="22"/>
                <w:lang w:val="sr-Latn-RS"/>
              </w:rPr>
              <w:t xml:space="preserve"> 90 mg tikagrelora dva puta na dan (doza održavanja) sa 110</w:t>
            </w:r>
            <w:r w:rsidR="00A74EF5" w:rsidRPr="00394D9A">
              <w:rPr>
                <w:szCs w:val="22"/>
                <w:lang w:val="sr-Latn-RS"/>
              </w:rPr>
              <w:t xml:space="preserve"> </w:t>
            </w:r>
            <w:r w:rsidRPr="00394D9A">
              <w:rPr>
                <w:szCs w:val="22"/>
                <w:lang w:val="sr-Latn-RS"/>
              </w:rPr>
              <w:t>mg dabigatraneteksilata povećavala je prilagođeni PIK</w:t>
            </w:r>
            <w:r w:rsidRPr="00394D9A">
              <w:rPr>
                <w:szCs w:val="22"/>
                <w:vertAlign w:val="subscript"/>
                <w:lang w:val="sr-Latn-RS"/>
              </w:rPr>
              <w:t xml:space="preserve">τ,ss </w:t>
            </w:r>
            <w:r w:rsidRPr="00394D9A">
              <w:rPr>
                <w:szCs w:val="22"/>
                <w:lang w:val="sr-Latn-RS"/>
              </w:rPr>
              <w:t>i C</w:t>
            </w:r>
            <w:r w:rsidRPr="00394D9A">
              <w:rPr>
                <w:szCs w:val="22"/>
                <w:vertAlign w:val="subscript"/>
                <w:lang w:val="sr-Latn-RS"/>
              </w:rPr>
              <w:t xml:space="preserve">max,ss </w:t>
            </w:r>
            <w:r w:rsidRPr="00394D9A">
              <w:rPr>
                <w:szCs w:val="22"/>
                <w:lang w:val="sr-Latn-RS"/>
              </w:rPr>
              <w:t xml:space="preserve">dabigatrana za 1,26 puta, odnosno </w:t>
            </w:r>
            <w:r w:rsidR="00DC568E" w:rsidRPr="00394D9A">
              <w:rPr>
                <w:szCs w:val="22"/>
                <w:lang w:val="sr-Latn-RS"/>
              </w:rPr>
              <w:t xml:space="preserve">za </w:t>
            </w:r>
            <w:r w:rsidRPr="00394D9A">
              <w:rPr>
                <w:szCs w:val="22"/>
                <w:lang w:val="sr-Latn-RS"/>
              </w:rPr>
              <w:t>1,29 puta u poređenju sa monoterapijom dabigatraneteksilat</w:t>
            </w:r>
            <w:r w:rsidR="006D05C0" w:rsidRPr="00394D9A">
              <w:rPr>
                <w:szCs w:val="22"/>
                <w:lang w:val="sr-Latn-RS"/>
              </w:rPr>
              <w:t>om</w:t>
            </w:r>
            <w:r w:rsidRPr="00394D9A">
              <w:rPr>
                <w:szCs w:val="22"/>
                <w:lang w:val="sr-Latn-RS"/>
              </w:rPr>
              <w:t>.</w:t>
            </w:r>
          </w:p>
        </w:tc>
      </w:tr>
      <w:tr w:rsidR="00C62182" w:rsidRPr="00A01BFA" w14:paraId="275A6F48" w14:textId="77777777" w:rsidTr="00DF17BA">
        <w:tc>
          <w:tcPr>
            <w:tcW w:w="0" w:type="auto"/>
          </w:tcPr>
          <w:p w14:paraId="273A7703" w14:textId="62E2AB4B" w:rsidR="00C62182" w:rsidRPr="00394D9A" w:rsidRDefault="00D70EAA" w:rsidP="00187D17">
            <w:pPr>
              <w:widowControl w:val="0"/>
              <w:rPr>
                <w:szCs w:val="22"/>
                <w:lang w:val="sr-Latn-RS"/>
              </w:rPr>
            </w:pPr>
            <w:r w:rsidRPr="00394D9A">
              <w:rPr>
                <w:szCs w:val="22"/>
                <w:lang w:val="sr-Latn-RS"/>
              </w:rPr>
              <w:lastRenderedPageBreak/>
              <w:t>Posakonazol</w:t>
            </w:r>
          </w:p>
        </w:tc>
        <w:tc>
          <w:tcPr>
            <w:tcW w:w="0" w:type="auto"/>
          </w:tcPr>
          <w:p w14:paraId="08F48336" w14:textId="5F4CF719" w:rsidR="00C62182" w:rsidRPr="00394D9A" w:rsidRDefault="00D70EAA" w:rsidP="00187D17">
            <w:pPr>
              <w:widowControl w:val="0"/>
              <w:rPr>
                <w:szCs w:val="22"/>
                <w:lang w:val="sr-Latn-RS"/>
              </w:rPr>
            </w:pPr>
            <w:r w:rsidRPr="00394D9A">
              <w:rPr>
                <w:szCs w:val="22"/>
                <w:lang w:val="sr-Latn-RS"/>
              </w:rPr>
              <w:t xml:space="preserve">Posakonazol takođe </w:t>
            </w:r>
            <w:r w:rsidR="00DC568E" w:rsidRPr="00394D9A">
              <w:rPr>
                <w:szCs w:val="22"/>
                <w:lang w:val="sr-Latn-RS"/>
              </w:rPr>
              <w:t xml:space="preserve">u određenoj mjeri </w:t>
            </w:r>
            <w:r w:rsidRPr="00394D9A">
              <w:rPr>
                <w:szCs w:val="22"/>
                <w:lang w:val="sr-Latn-RS"/>
              </w:rPr>
              <w:t>inhibira P-gp, ali nije bio klinički ispitivan. Treba biti</w:t>
            </w:r>
            <w:r w:rsidR="00A74EF5" w:rsidRPr="00394D9A">
              <w:rPr>
                <w:szCs w:val="22"/>
                <w:lang w:val="sr-Latn-RS"/>
              </w:rPr>
              <w:t xml:space="preserve"> </w:t>
            </w:r>
            <w:r w:rsidRPr="00394D9A">
              <w:rPr>
                <w:szCs w:val="22"/>
                <w:lang w:val="sr-Latn-RS"/>
              </w:rPr>
              <w:t xml:space="preserve">oprezan kada se </w:t>
            </w:r>
            <w:r w:rsidR="00A639DA" w:rsidRPr="00394D9A">
              <w:rPr>
                <w:szCs w:val="22"/>
                <w:lang w:val="sr-Latn-RS"/>
              </w:rPr>
              <w:t>lijek</w:t>
            </w:r>
            <w:r w:rsidRPr="00394D9A">
              <w:rPr>
                <w:szCs w:val="22"/>
                <w:lang w:val="sr-Latn-RS"/>
              </w:rPr>
              <w:t xml:space="preserve"> </w:t>
            </w:r>
            <w:r w:rsidR="00A74EF5" w:rsidRPr="00394D9A">
              <w:rPr>
                <w:szCs w:val="22"/>
                <w:lang w:val="sr-Latn-RS"/>
              </w:rPr>
              <w:t>Dabigatran SK</w:t>
            </w:r>
            <w:r w:rsidRPr="00394D9A">
              <w:rPr>
                <w:szCs w:val="22"/>
                <w:lang w:val="sr-Latn-RS"/>
              </w:rPr>
              <w:t xml:space="preserve"> prim</w:t>
            </w:r>
            <w:r w:rsidR="004E122E" w:rsidRPr="00394D9A">
              <w:rPr>
                <w:szCs w:val="22"/>
                <w:lang w:val="sr-Latn-RS"/>
              </w:rPr>
              <w:t>j</w:t>
            </w:r>
            <w:r w:rsidRPr="00394D9A">
              <w:rPr>
                <w:szCs w:val="22"/>
                <w:lang w:val="sr-Latn-RS"/>
              </w:rPr>
              <w:t>enjuje isto</w:t>
            </w:r>
            <w:r w:rsidR="00BD52DD" w:rsidRPr="00394D9A">
              <w:rPr>
                <w:szCs w:val="22"/>
                <w:lang w:val="sr-Latn-RS"/>
              </w:rPr>
              <w:t>vreme</w:t>
            </w:r>
            <w:r w:rsidRPr="00394D9A">
              <w:rPr>
                <w:szCs w:val="22"/>
                <w:lang w:val="sr-Latn-RS"/>
              </w:rPr>
              <w:t>no sa posakonazolom.</w:t>
            </w:r>
          </w:p>
        </w:tc>
      </w:tr>
      <w:tr w:rsidR="00D70EAA" w:rsidRPr="00394D9A" w14:paraId="75D309C1" w14:textId="77777777" w:rsidTr="00DF17BA">
        <w:tc>
          <w:tcPr>
            <w:tcW w:w="0" w:type="auto"/>
            <w:gridSpan w:val="2"/>
          </w:tcPr>
          <w:p w14:paraId="6E881679" w14:textId="16604C67" w:rsidR="00D70EAA" w:rsidRPr="00394D9A" w:rsidRDefault="00D70EAA" w:rsidP="00187D17">
            <w:pPr>
              <w:widowControl w:val="0"/>
              <w:rPr>
                <w:i/>
                <w:iCs/>
                <w:szCs w:val="22"/>
                <w:u w:val="single"/>
                <w:lang w:val="sr-Latn-RS"/>
              </w:rPr>
            </w:pPr>
            <w:r w:rsidRPr="00394D9A">
              <w:rPr>
                <w:i/>
                <w:iCs/>
                <w:szCs w:val="22"/>
                <w:u w:val="single"/>
                <w:lang w:val="sr-Latn-RS"/>
              </w:rPr>
              <w:t>Induktori P-gp</w:t>
            </w:r>
          </w:p>
        </w:tc>
      </w:tr>
      <w:tr w:rsidR="00D70EAA" w:rsidRPr="00394D9A" w14:paraId="281917A5" w14:textId="77777777" w:rsidTr="00DF17BA">
        <w:tc>
          <w:tcPr>
            <w:tcW w:w="0" w:type="auto"/>
            <w:gridSpan w:val="2"/>
          </w:tcPr>
          <w:p w14:paraId="36B064D5" w14:textId="780EDD24" w:rsidR="00D70EAA" w:rsidRPr="00394D9A" w:rsidRDefault="00D70EAA" w:rsidP="00187D17">
            <w:pPr>
              <w:widowControl w:val="0"/>
              <w:rPr>
                <w:szCs w:val="22"/>
                <w:lang w:val="sr-Latn-RS"/>
              </w:rPr>
            </w:pPr>
            <w:r w:rsidRPr="00394D9A">
              <w:rPr>
                <w:i/>
                <w:iCs/>
                <w:szCs w:val="22"/>
                <w:lang w:val="sr-Latn-RS"/>
              </w:rPr>
              <w:t>Isto</w:t>
            </w:r>
            <w:r w:rsidR="00BD52DD" w:rsidRPr="00394D9A">
              <w:rPr>
                <w:i/>
                <w:iCs/>
                <w:szCs w:val="22"/>
                <w:lang w:val="sr-Latn-RS"/>
              </w:rPr>
              <w:t>vreme</w:t>
            </w:r>
            <w:r w:rsidRPr="00394D9A">
              <w:rPr>
                <w:i/>
                <w:iCs/>
                <w:szCs w:val="22"/>
                <w:lang w:val="sr-Latn-RS"/>
              </w:rPr>
              <w:t>nu prim</w:t>
            </w:r>
            <w:r w:rsidR="004E122E" w:rsidRPr="00394D9A">
              <w:rPr>
                <w:i/>
                <w:iCs/>
                <w:szCs w:val="22"/>
                <w:lang w:val="sr-Latn-RS"/>
              </w:rPr>
              <w:t>j</w:t>
            </w:r>
            <w:r w:rsidRPr="00394D9A">
              <w:rPr>
                <w:i/>
                <w:iCs/>
                <w:szCs w:val="22"/>
                <w:lang w:val="sr-Latn-RS"/>
              </w:rPr>
              <w:t>enu je potrebno izb</w:t>
            </w:r>
            <w:r w:rsidR="004E122E" w:rsidRPr="00394D9A">
              <w:rPr>
                <w:i/>
                <w:iCs/>
                <w:szCs w:val="22"/>
                <w:lang w:val="sr-Latn-RS"/>
              </w:rPr>
              <w:t>j</w:t>
            </w:r>
            <w:r w:rsidRPr="00394D9A">
              <w:rPr>
                <w:i/>
                <w:iCs/>
                <w:szCs w:val="22"/>
                <w:lang w:val="sr-Latn-RS"/>
              </w:rPr>
              <w:t>egavati</w:t>
            </w:r>
            <w:r w:rsidRPr="00394D9A">
              <w:rPr>
                <w:szCs w:val="22"/>
                <w:lang w:val="sr-Latn-RS"/>
              </w:rPr>
              <w:t>.</w:t>
            </w:r>
          </w:p>
        </w:tc>
      </w:tr>
      <w:tr w:rsidR="00C62182" w:rsidRPr="00A01BFA" w14:paraId="5E43E56F" w14:textId="77777777" w:rsidTr="00DF17BA">
        <w:tc>
          <w:tcPr>
            <w:tcW w:w="0" w:type="auto"/>
          </w:tcPr>
          <w:p w14:paraId="65ACEDBB" w14:textId="2EA5DAF3" w:rsidR="00C62182" w:rsidRPr="00394D9A" w:rsidRDefault="00D70EAA" w:rsidP="00187D17">
            <w:pPr>
              <w:widowControl w:val="0"/>
              <w:jc w:val="left"/>
              <w:rPr>
                <w:szCs w:val="22"/>
                <w:lang w:val="sr-Latn-RS"/>
              </w:rPr>
            </w:pPr>
            <w:r w:rsidRPr="00394D9A">
              <w:rPr>
                <w:szCs w:val="22"/>
                <w:lang w:val="sr-Latn-RS"/>
              </w:rPr>
              <w:t>npr. rifampicin,</w:t>
            </w:r>
            <w:r w:rsidR="00D07233" w:rsidRPr="00394D9A">
              <w:rPr>
                <w:szCs w:val="22"/>
                <w:lang w:val="sr-Latn-RS"/>
              </w:rPr>
              <w:t xml:space="preserve"> </w:t>
            </w:r>
            <w:r w:rsidRPr="00394D9A">
              <w:rPr>
                <w:szCs w:val="22"/>
                <w:lang w:val="sr-Latn-RS"/>
              </w:rPr>
              <w:t>kantarion</w:t>
            </w:r>
            <w:r w:rsidR="00D07233" w:rsidRPr="00394D9A">
              <w:rPr>
                <w:szCs w:val="22"/>
                <w:lang w:val="sr-Latn-RS"/>
              </w:rPr>
              <w:t xml:space="preserve"> </w:t>
            </w:r>
            <w:r w:rsidRPr="00394D9A">
              <w:rPr>
                <w:szCs w:val="22"/>
                <w:lang w:val="sr-Latn-RS"/>
              </w:rPr>
              <w:t>(</w:t>
            </w:r>
            <w:r w:rsidRPr="00394D9A">
              <w:rPr>
                <w:i/>
                <w:iCs/>
                <w:szCs w:val="22"/>
                <w:lang w:val="sr-Latn-RS"/>
              </w:rPr>
              <w:t>Hypericum</w:t>
            </w:r>
            <w:r w:rsidR="00D07233" w:rsidRPr="00394D9A">
              <w:rPr>
                <w:i/>
                <w:iCs/>
                <w:szCs w:val="22"/>
                <w:lang w:val="sr-Latn-RS"/>
              </w:rPr>
              <w:t xml:space="preserve"> </w:t>
            </w:r>
            <w:r w:rsidRPr="00394D9A">
              <w:rPr>
                <w:i/>
                <w:iCs/>
                <w:szCs w:val="22"/>
                <w:lang w:val="sr-Latn-RS"/>
              </w:rPr>
              <w:t>perforatum</w:t>
            </w:r>
            <w:r w:rsidRPr="00394D9A">
              <w:rPr>
                <w:szCs w:val="22"/>
                <w:lang w:val="sr-Latn-RS"/>
              </w:rPr>
              <w:t>),</w:t>
            </w:r>
            <w:r w:rsidR="00D07233" w:rsidRPr="00394D9A">
              <w:rPr>
                <w:szCs w:val="22"/>
                <w:lang w:val="sr-Latn-RS"/>
              </w:rPr>
              <w:t xml:space="preserve"> </w:t>
            </w:r>
            <w:r w:rsidRPr="00394D9A">
              <w:rPr>
                <w:szCs w:val="22"/>
                <w:lang w:val="sr-Latn-RS"/>
              </w:rPr>
              <w:t>karbamazepin</w:t>
            </w:r>
            <w:r w:rsidR="00D07233" w:rsidRPr="00394D9A">
              <w:rPr>
                <w:szCs w:val="22"/>
                <w:lang w:val="sr-Latn-RS"/>
              </w:rPr>
              <w:t xml:space="preserve"> </w:t>
            </w:r>
            <w:r w:rsidRPr="00394D9A">
              <w:rPr>
                <w:szCs w:val="22"/>
                <w:lang w:val="sr-Latn-RS"/>
              </w:rPr>
              <w:t>ili fenitoin</w:t>
            </w:r>
          </w:p>
        </w:tc>
        <w:tc>
          <w:tcPr>
            <w:tcW w:w="0" w:type="auto"/>
          </w:tcPr>
          <w:p w14:paraId="352032CB" w14:textId="1A603646" w:rsidR="00D70EAA" w:rsidRPr="00394D9A" w:rsidRDefault="00D70EAA" w:rsidP="00187D17">
            <w:pPr>
              <w:widowControl w:val="0"/>
              <w:rPr>
                <w:szCs w:val="22"/>
                <w:lang w:val="sr-Latn-RS"/>
              </w:rPr>
            </w:pPr>
            <w:r w:rsidRPr="00394D9A">
              <w:rPr>
                <w:szCs w:val="22"/>
                <w:lang w:val="sr-Latn-RS"/>
              </w:rPr>
              <w:t>Očekuje se da isto</w:t>
            </w:r>
            <w:r w:rsidR="00BD52DD" w:rsidRPr="00394D9A">
              <w:rPr>
                <w:szCs w:val="22"/>
                <w:lang w:val="sr-Latn-RS"/>
              </w:rPr>
              <w:t>vreme</w:t>
            </w:r>
            <w:r w:rsidRPr="00394D9A">
              <w:rPr>
                <w:szCs w:val="22"/>
                <w:lang w:val="sr-Latn-RS"/>
              </w:rPr>
              <w:t xml:space="preserve">na </w:t>
            </w:r>
            <w:r w:rsidR="00A639DA" w:rsidRPr="00394D9A">
              <w:rPr>
                <w:szCs w:val="22"/>
                <w:lang w:val="sr-Latn-RS"/>
              </w:rPr>
              <w:t xml:space="preserve">primjena </w:t>
            </w:r>
            <w:r w:rsidRPr="00394D9A">
              <w:rPr>
                <w:szCs w:val="22"/>
                <w:lang w:val="sr-Latn-RS"/>
              </w:rPr>
              <w:t xml:space="preserve"> dovede do pada koncentracije dabigatrana.</w:t>
            </w:r>
          </w:p>
          <w:p w14:paraId="379C263F" w14:textId="77777777" w:rsidR="006A7602" w:rsidRPr="00394D9A" w:rsidRDefault="006A7602" w:rsidP="00187D17">
            <w:pPr>
              <w:widowControl w:val="0"/>
              <w:rPr>
                <w:szCs w:val="22"/>
                <w:lang w:val="sr-Latn-RS"/>
              </w:rPr>
            </w:pPr>
          </w:p>
          <w:p w14:paraId="36290224" w14:textId="65014273" w:rsidR="00C62182" w:rsidRPr="00394D9A" w:rsidRDefault="00D70EAA" w:rsidP="00187D17">
            <w:pPr>
              <w:widowControl w:val="0"/>
              <w:rPr>
                <w:szCs w:val="22"/>
                <w:lang w:val="sr-Latn-RS"/>
              </w:rPr>
            </w:pPr>
            <w:r w:rsidRPr="00394D9A">
              <w:rPr>
                <w:szCs w:val="22"/>
                <w:lang w:val="sr-Latn-RS"/>
              </w:rPr>
              <w:t xml:space="preserve">Prethodna </w:t>
            </w:r>
            <w:r w:rsidR="00A639DA" w:rsidRPr="00394D9A">
              <w:rPr>
                <w:szCs w:val="22"/>
                <w:lang w:val="sr-Latn-RS"/>
              </w:rPr>
              <w:t xml:space="preserve">primjena </w:t>
            </w:r>
            <w:r w:rsidRPr="00394D9A">
              <w:rPr>
                <w:szCs w:val="22"/>
                <w:lang w:val="sr-Latn-RS"/>
              </w:rPr>
              <w:t xml:space="preserve"> probnog induktora rifampicina pri dozi od 600 mg jednom</w:t>
            </w:r>
            <w:r w:rsidR="00A74EF5" w:rsidRPr="00394D9A">
              <w:rPr>
                <w:szCs w:val="22"/>
                <w:lang w:val="sr-Latn-RS"/>
              </w:rPr>
              <w:t xml:space="preserve"> </w:t>
            </w:r>
            <w:r w:rsidRPr="00394D9A">
              <w:rPr>
                <w:szCs w:val="22"/>
                <w:lang w:val="sr-Latn-RS"/>
              </w:rPr>
              <w:t>dnevno tokom 7 dana je smanjila ukupnu vršnu koncentraciju dabigatrana i ukupnu</w:t>
            </w:r>
            <w:r w:rsidR="00A74EF5" w:rsidRPr="00394D9A">
              <w:rPr>
                <w:szCs w:val="22"/>
                <w:lang w:val="sr-Latn-RS"/>
              </w:rPr>
              <w:t xml:space="preserve"> </w:t>
            </w:r>
            <w:r w:rsidRPr="00394D9A">
              <w:rPr>
                <w:szCs w:val="22"/>
                <w:lang w:val="sr-Latn-RS"/>
              </w:rPr>
              <w:t xml:space="preserve">izloženost </w:t>
            </w:r>
            <w:r w:rsidR="00A639DA" w:rsidRPr="00394D9A">
              <w:rPr>
                <w:szCs w:val="22"/>
                <w:lang w:val="sr-Latn-RS"/>
              </w:rPr>
              <w:t>lijek</w:t>
            </w:r>
            <w:r w:rsidRPr="00394D9A">
              <w:rPr>
                <w:szCs w:val="22"/>
                <w:lang w:val="sr-Latn-RS"/>
              </w:rPr>
              <w:t xml:space="preserve">u za 65,5% odnosno </w:t>
            </w:r>
            <w:r w:rsidR="00DC568E" w:rsidRPr="00394D9A">
              <w:rPr>
                <w:szCs w:val="22"/>
                <w:lang w:val="sr-Latn-RS"/>
              </w:rPr>
              <w:t xml:space="preserve">za </w:t>
            </w:r>
            <w:r w:rsidRPr="00394D9A">
              <w:rPr>
                <w:szCs w:val="22"/>
                <w:lang w:val="sr-Latn-RS"/>
              </w:rPr>
              <w:t>67%. Induktorski efekat je bio smanjen što je</w:t>
            </w:r>
            <w:r w:rsidR="00A74EF5" w:rsidRPr="00394D9A">
              <w:rPr>
                <w:szCs w:val="22"/>
                <w:lang w:val="sr-Latn-RS"/>
              </w:rPr>
              <w:t xml:space="preserve"> </w:t>
            </w:r>
            <w:r w:rsidRPr="00394D9A">
              <w:rPr>
                <w:szCs w:val="22"/>
                <w:lang w:val="sr-Latn-RS"/>
              </w:rPr>
              <w:t xml:space="preserve">dovelo do izloženosti dabigatranu koja je bila blizu referentne </w:t>
            </w:r>
            <w:r w:rsidR="00BD52DD" w:rsidRPr="00394D9A">
              <w:rPr>
                <w:szCs w:val="22"/>
                <w:lang w:val="sr-Latn-RS"/>
              </w:rPr>
              <w:t>vrijednosti</w:t>
            </w:r>
            <w:r w:rsidRPr="00394D9A">
              <w:rPr>
                <w:szCs w:val="22"/>
                <w:lang w:val="sr-Latn-RS"/>
              </w:rPr>
              <w:t xml:space="preserve"> sedmog</w:t>
            </w:r>
            <w:r w:rsidR="00A74EF5" w:rsidRPr="00394D9A">
              <w:rPr>
                <w:szCs w:val="22"/>
                <w:lang w:val="sr-Latn-RS"/>
              </w:rPr>
              <w:t xml:space="preserve"> </w:t>
            </w:r>
            <w:r w:rsidRPr="00394D9A">
              <w:rPr>
                <w:szCs w:val="22"/>
                <w:lang w:val="sr-Latn-RS"/>
              </w:rPr>
              <w:t>dana nakon prestanka terapije rifampicinom. Nije bilo prim</w:t>
            </w:r>
            <w:r w:rsidR="004D577A" w:rsidRPr="00394D9A">
              <w:rPr>
                <w:szCs w:val="22"/>
                <w:lang w:val="sr-Latn-RS"/>
              </w:rPr>
              <w:t>i</w:t>
            </w:r>
            <w:r w:rsidR="004E122E" w:rsidRPr="00394D9A">
              <w:rPr>
                <w:szCs w:val="22"/>
                <w:lang w:val="sr-Latn-RS"/>
              </w:rPr>
              <w:t>j</w:t>
            </w:r>
            <w:r w:rsidRPr="00394D9A">
              <w:rPr>
                <w:szCs w:val="22"/>
                <w:lang w:val="sr-Latn-RS"/>
              </w:rPr>
              <w:t>ećeno dalje povećanje</w:t>
            </w:r>
            <w:r w:rsidR="00A74EF5" w:rsidRPr="00394D9A">
              <w:rPr>
                <w:szCs w:val="22"/>
                <w:lang w:val="sr-Latn-RS"/>
              </w:rPr>
              <w:t xml:space="preserve"> </w:t>
            </w:r>
            <w:r w:rsidRPr="00394D9A">
              <w:rPr>
                <w:szCs w:val="22"/>
                <w:lang w:val="sr-Latn-RS"/>
              </w:rPr>
              <w:t>bioraspoloživosti nakon dodatnih sedam dana.</w:t>
            </w:r>
          </w:p>
        </w:tc>
      </w:tr>
      <w:tr w:rsidR="00D70EAA" w:rsidRPr="00394D9A" w14:paraId="1C283B8C" w14:textId="77777777" w:rsidTr="00DF17BA">
        <w:tc>
          <w:tcPr>
            <w:tcW w:w="0" w:type="auto"/>
            <w:gridSpan w:val="2"/>
          </w:tcPr>
          <w:p w14:paraId="56C9F0D0" w14:textId="7C3A0EEF" w:rsidR="00D70EAA" w:rsidRPr="00394D9A" w:rsidRDefault="00D70EAA" w:rsidP="00187D17">
            <w:pPr>
              <w:widowControl w:val="0"/>
              <w:rPr>
                <w:i/>
                <w:iCs/>
                <w:szCs w:val="22"/>
                <w:u w:val="single"/>
                <w:lang w:val="sr-Latn-RS"/>
              </w:rPr>
            </w:pPr>
            <w:r w:rsidRPr="00394D9A">
              <w:rPr>
                <w:i/>
                <w:iCs/>
                <w:szCs w:val="22"/>
                <w:u w:val="single"/>
                <w:lang w:val="sr-Latn-RS"/>
              </w:rPr>
              <w:t>Inhibitori proteaze kao što je ritonavir</w:t>
            </w:r>
          </w:p>
        </w:tc>
      </w:tr>
      <w:tr w:rsidR="00D70EAA" w:rsidRPr="00394D9A" w14:paraId="33056F3D" w14:textId="77777777" w:rsidTr="00DF17BA">
        <w:tc>
          <w:tcPr>
            <w:tcW w:w="0" w:type="auto"/>
            <w:gridSpan w:val="2"/>
          </w:tcPr>
          <w:p w14:paraId="4E3A70C7" w14:textId="1BF80CBC" w:rsidR="00D70EAA" w:rsidRPr="00394D9A" w:rsidRDefault="00D70EAA" w:rsidP="00187D17">
            <w:pPr>
              <w:widowControl w:val="0"/>
              <w:rPr>
                <w:i/>
                <w:iCs/>
                <w:szCs w:val="22"/>
                <w:lang w:val="sr-Latn-RS"/>
              </w:rPr>
            </w:pPr>
            <w:r w:rsidRPr="00394D9A">
              <w:rPr>
                <w:i/>
                <w:iCs/>
                <w:szCs w:val="22"/>
                <w:lang w:val="sr-Latn-RS"/>
              </w:rPr>
              <w:t>Isto</w:t>
            </w:r>
            <w:r w:rsidR="00BD52DD" w:rsidRPr="00394D9A">
              <w:rPr>
                <w:i/>
                <w:iCs/>
                <w:szCs w:val="22"/>
                <w:lang w:val="sr-Latn-RS"/>
              </w:rPr>
              <w:t>vreme</w:t>
            </w:r>
            <w:r w:rsidRPr="00394D9A">
              <w:rPr>
                <w:i/>
                <w:iCs/>
                <w:szCs w:val="22"/>
                <w:lang w:val="sr-Latn-RS"/>
              </w:rPr>
              <w:t xml:space="preserve">na </w:t>
            </w:r>
            <w:r w:rsidR="00A639DA" w:rsidRPr="00394D9A">
              <w:rPr>
                <w:i/>
                <w:iCs/>
                <w:szCs w:val="22"/>
                <w:lang w:val="sr-Latn-RS"/>
              </w:rPr>
              <w:t xml:space="preserve">primjena </w:t>
            </w:r>
            <w:r w:rsidRPr="00394D9A">
              <w:rPr>
                <w:i/>
                <w:iCs/>
                <w:szCs w:val="22"/>
                <w:lang w:val="sr-Latn-RS"/>
              </w:rPr>
              <w:t xml:space="preserve"> se ne preporučuje</w:t>
            </w:r>
          </w:p>
        </w:tc>
      </w:tr>
      <w:tr w:rsidR="00C62182" w:rsidRPr="00A01BFA" w14:paraId="564C7BF8" w14:textId="77777777" w:rsidTr="00DF17BA">
        <w:tc>
          <w:tcPr>
            <w:tcW w:w="0" w:type="auto"/>
          </w:tcPr>
          <w:p w14:paraId="7289550B" w14:textId="2815057C" w:rsidR="00C62182" w:rsidRPr="00394D9A" w:rsidRDefault="00D70EAA" w:rsidP="00187D17">
            <w:pPr>
              <w:widowControl w:val="0"/>
              <w:jc w:val="left"/>
              <w:rPr>
                <w:szCs w:val="22"/>
                <w:lang w:val="sr-Latn-RS"/>
              </w:rPr>
            </w:pPr>
            <w:r w:rsidRPr="00394D9A">
              <w:rPr>
                <w:szCs w:val="22"/>
                <w:lang w:val="sr-Latn-RS"/>
              </w:rPr>
              <w:t>npr. ritonavir i</w:t>
            </w:r>
            <w:r w:rsidR="00D07233" w:rsidRPr="00394D9A">
              <w:rPr>
                <w:szCs w:val="22"/>
                <w:lang w:val="sr-Latn-RS"/>
              </w:rPr>
              <w:t xml:space="preserve"> </w:t>
            </w:r>
            <w:r w:rsidRPr="00394D9A">
              <w:rPr>
                <w:szCs w:val="22"/>
                <w:lang w:val="sr-Latn-RS"/>
              </w:rPr>
              <w:t>njegove</w:t>
            </w:r>
            <w:r w:rsidR="00A74EF5" w:rsidRPr="00394D9A">
              <w:rPr>
                <w:szCs w:val="22"/>
                <w:lang w:val="sr-Latn-RS"/>
              </w:rPr>
              <w:t xml:space="preserve"> </w:t>
            </w:r>
            <w:r w:rsidRPr="00394D9A">
              <w:rPr>
                <w:szCs w:val="22"/>
                <w:lang w:val="sr-Latn-RS"/>
              </w:rPr>
              <w:t>kombinacije s</w:t>
            </w:r>
            <w:r w:rsidR="00D07233" w:rsidRPr="00394D9A">
              <w:rPr>
                <w:szCs w:val="22"/>
                <w:lang w:val="sr-Latn-RS"/>
              </w:rPr>
              <w:t xml:space="preserve">a </w:t>
            </w:r>
            <w:r w:rsidRPr="00394D9A">
              <w:rPr>
                <w:szCs w:val="22"/>
                <w:lang w:val="sr-Latn-RS"/>
              </w:rPr>
              <w:t>drugim</w:t>
            </w:r>
            <w:r w:rsidR="00D07233" w:rsidRPr="00394D9A">
              <w:rPr>
                <w:szCs w:val="22"/>
                <w:lang w:val="sr-Latn-RS"/>
              </w:rPr>
              <w:t xml:space="preserve"> </w:t>
            </w:r>
            <w:r w:rsidRPr="00394D9A">
              <w:rPr>
                <w:szCs w:val="22"/>
                <w:lang w:val="sr-Latn-RS"/>
              </w:rPr>
              <w:t>inhibitorima</w:t>
            </w:r>
            <w:r w:rsidR="00D07233" w:rsidRPr="00394D9A">
              <w:rPr>
                <w:szCs w:val="22"/>
                <w:lang w:val="sr-Latn-RS"/>
              </w:rPr>
              <w:t xml:space="preserve"> </w:t>
            </w:r>
            <w:r w:rsidRPr="00394D9A">
              <w:rPr>
                <w:szCs w:val="22"/>
                <w:lang w:val="sr-Latn-RS"/>
              </w:rPr>
              <w:t>proteaze</w:t>
            </w:r>
          </w:p>
        </w:tc>
        <w:tc>
          <w:tcPr>
            <w:tcW w:w="0" w:type="auto"/>
          </w:tcPr>
          <w:p w14:paraId="199077B1" w14:textId="26B0562C" w:rsidR="00C62182" w:rsidRPr="00394D9A" w:rsidRDefault="00D70EAA" w:rsidP="00187D17">
            <w:pPr>
              <w:widowControl w:val="0"/>
              <w:rPr>
                <w:szCs w:val="22"/>
                <w:lang w:val="sr-Latn-RS"/>
              </w:rPr>
            </w:pPr>
            <w:r w:rsidRPr="00394D9A">
              <w:rPr>
                <w:szCs w:val="22"/>
                <w:lang w:val="sr-Latn-RS"/>
              </w:rPr>
              <w:t>D</w:t>
            </w:r>
            <w:r w:rsidR="004E122E" w:rsidRPr="00394D9A">
              <w:rPr>
                <w:szCs w:val="22"/>
                <w:lang w:val="sr-Latn-RS"/>
              </w:rPr>
              <w:t>j</w:t>
            </w:r>
            <w:r w:rsidRPr="00394D9A">
              <w:rPr>
                <w:szCs w:val="22"/>
                <w:lang w:val="sr-Latn-RS"/>
              </w:rPr>
              <w:t>eluju na P-gp (bilo kao inhibitor bilo kao induktor). Oni ni</w:t>
            </w:r>
            <w:r w:rsidR="00157169" w:rsidRPr="00394D9A">
              <w:rPr>
                <w:szCs w:val="22"/>
                <w:lang w:val="sr-Latn-RS"/>
              </w:rPr>
              <w:t>jes</w:t>
            </w:r>
            <w:r w:rsidRPr="00394D9A">
              <w:rPr>
                <w:szCs w:val="22"/>
                <w:lang w:val="sr-Latn-RS"/>
              </w:rPr>
              <w:t xml:space="preserve">u bili proučavani </w:t>
            </w:r>
            <w:r w:rsidR="00A74EF5" w:rsidRPr="00394D9A">
              <w:rPr>
                <w:szCs w:val="22"/>
                <w:lang w:val="sr-Latn-RS"/>
              </w:rPr>
              <w:t xml:space="preserve">i </w:t>
            </w:r>
            <w:r w:rsidRPr="00394D9A">
              <w:rPr>
                <w:szCs w:val="22"/>
                <w:lang w:val="sr-Latn-RS"/>
              </w:rPr>
              <w:t>zbog toga se ne preporučuje njihova isto</w:t>
            </w:r>
            <w:r w:rsidR="00BD52DD" w:rsidRPr="00394D9A">
              <w:rPr>
                <w:szCs w:val="22"/>
                <w:lang w:val="sr-Latn-RS"/>
              </w:rPr>
              <w:t>vreme</w:t>
            </w:r>
            <w:r w:rsidRPr="00394D9A">
              <w:rPr>
                <w:szCs w:val="22"/>
                <w:lang w:val="sr-Latn-RS"/>
              </w:rPr>
              <w:t xml:space="preserve">na </w:t>
            </w:r>
            <w:r w:rsidR="00A639DA" w:rsidRPr="00394D9A">
              <w:rPr>
                <w:szCs w:val="22"/>
                <w:lang w:val="sr-Latn-RS"/>
              </w:rPr>
              <w:t>primjena</w:t>
            </w:r>
            <w:r w:rsidRPr="00394D9A">
              <w:rPr>
                <w:szCs w:val="22"/>
                <w:lang w:val="sr-Latn-RS"/>
              </w:rPr>
              <w:t xml:space="preserve"> sa </w:t>
            </w:r>
            <w:r w:rsidR="00A639DA" w:rsidRPr="00394D9A">
              <w:rPr>
                <w:szCs w:val="22"/>
                <w:lang w:val="sr-Latn-RS"/>
              </w:rPr>
              <w:t>lijekom</w:t>
            </w:r>
            <w:r w:rsidRPr="00394D9A">
              <w:rPr>
                <w:szCs w:val="22"/>
                <w:lang w:val="sr-Latn-RS"/>
              </w:rPr>
              <w:t xml:space="preserve"> </w:t>
            </w:r>
            <w:r w:rsidR="00A74EF5" w:rsidRPr="00394D9A">
              <w:rPr>
                <w:szCs w:val="22"/>
                <w:lang w:val="sr-Latn-RS"/>
              </w:rPr>
              <w:t>Dabigatran SK</w:t>
            </w:r>
            <w:r w:rsidRPr="00394D9A">
              <w:rPr>
                <w:szCs w:val="22"/>
                <w:lang w:val="sr-Latn-RS"/>
              </w:rPr>
              <w:t>.</w:t>
            </w:r>
          </w:p>
        </w:tc>
      </w:tr>
      <w:tr w:rsidR="00D70EAA" w:rsidRPr="00394D9A" w14:paraId="118A0EF5" w14:textId="77777777" w:rsidTr="00DF17BA">
        <w:tc>
          <w:tcPr>
            <w:tcW w:w="0" w:type="auto"/>
            <w:gridSpan w:val="2"/>
          </w:tcPr>
          <w:p w14:paraId="67F3DD9F" w14:textId="7C8FC8B4" w:rsidR="00D70EAA" w:rsidRPr="00394D9A" w:rsidRDefault="00D70EAA" w:rsidP="00187D17">
            <w:pPr>
              <w:widowControl w:val="0"/>
              <w:rPr>
                <w:i/>
                <w:iCs/>
                <w:szCs w:val="22"/>
                <w:u w:val="single"/>
                <w:lang w:val="sr-Latn-RS"/>
              </w:rPr>
            </w:pPr>
            <w:r w:rsidRPr="00394D9A">
              <w:rPr>
                <w:i/>
                <w:iCs/>
                <w:szCs w:val="22"/>
                <w:u w:val="single"/>
                <w:lang w:val="sr-Latn-RS"/>
              </w:rPr>
              <w:t>Supstrati za P-gp</w:t>
            </w:r>
          </w:p>
        </w:tc>
      </w:tr>
      <w:tr w:rsidR="00C62182" w:rsidRPr="00A01BFA" w14:paraId="1F572EA9" w14:textId="77777777" w:rsidTr="00DF17BA">
        <w:tc>
          <w:tcPr>
            <w:tcW w:w="0" w:type="auto"/>
          </w:tcPr>
          <w:p w14:paraId="786C7995" w14:textId="54A789C7" w:rsidR="00C62182" w:rsidRPr="00394D9A" w:rsidRDefault="00D70EAA" w:rsidP="00187D17">
            <w:pPr>
              <w:widowControl w:val="0"/>
              <w:rPr>
                <w:szCs w:val="22"/>
                <w:lang w:val="sr-Latn-RS"/>
              </w:rPr>
            </w:pPr>
            <w:r w:rsidRPr="00394D9A">
              <w:rPr>
                <w:szCs w:val="22"/>
                <w:lang w:val="sr-Latn-RS"/>
              </w:rPr>
              <w:t>Digoksin</w:t>
            </w:r>
          </w:p>
        </w:tc>
        <w:tc>
          <w:tcPr>
            <w:tcW w:w="0" w:type="auto"/>
          </w:tcPr>
          <w:p w14:paraId="74814C40" w14:textId="6A619E70" w:rsidR="00C62182" w:rsidRPr="00394D9A" w:rsidRDefault="00D70EAA" w:rsidP="00187D17">
            <w:pPr>
              <w:widowControl w:val="0"/>
              <w:rPr>
                <w:szCs w:val="22"/>
                <w:lang w:val="sr-Latn-RS"/>
              </w:rPr>
            </w:pPr>
            <w:r w:rsidRPr="00394D9A">
              <w:rPr>
                <w:szCs w:val="22"/>
                <w:lang w:val="sr-Latn-RS"/>
              </w:rPr>
              <w:t>U studiji u koju su bila uključena 24 zdrava ispitanika, pri prim</w:t>
            </w:r>
            <w:r w:rsidR="004E122E" w:rsidRPr="00394D9A">
              <w:rPr>
                <w:szCs w:val="22"/>
                <w:lang w:val="sr-Latn-RS"/>
              </w:rPr>
              <w:t>j</w:t>
            </w:r>
            <w:r w:rsidRPr="00394D9A">
              <w:rPr>
                <w:szCs w:val="22"/>
                <w:lang w:val="sr-Latn-RS"/>
              </w:rPr>
              <w:t xml:space="preserve">eni </w:t>
            </w:r>
            <w:r w:rsidR="00A639DA" w:rsidRPr="00394D9A">
              <w:rPr>
                <w:szCs w:val="22"/>
                <w:lang w:val="sr-Latn-RS"/>
              </w:rPr>
              <w:t>lijeka</w:t>
            </w:r>
            <w:r w:rsidRPr="00394D9A">
              <w:rPr>
                <w:szCs w:val="22"/>
                <w:lang w:val="sr-Latn-RS"/>
              </w:rPr>
              <w:t xml:space="preserve"> </w:t>
            </w:r>
            <w:r w:rsidR="00A74EF5" w:rsidRPr="00394D9A">
              <w:rPr>
                <w:szCs w:val="22"/>
                <w:lang w:val="sr-Latn-RS"/>
              </w:rPr>
              <w:t xml:space="preserve">Dabigatran SK </w:t>
            </w:r>
            <w:r w:rsidRPr="00394D9A">
              <w:rPr>
                <w:szCs w:val="22"/>
                <w:lang w:val="sr-Latn-RS"/>
              </w:rPr>
              <w:t>zajedno sa digoksinom, nije bilo prom</w:t>
            </w:r>
            <w:r w:rsidR="004E122E" w:rsidRPr="00394D9A">
              <w:rPr>
                <w:szCs w:val="22"/>
                <w:lang w:val="sr-Latn-RS"/>
              </w:rPr>
              <w:t>j</w:t>
            </w:r>
            <w:r w:rsidRPr="00394D9A">
              <w:rPr>
                <w:szCs w:val="22"/>
                <w:lang w:val="sr-Latn-RS"/>
              </w:rPr>
              <w:t>ena u izloženosti digoksinu i nije bilo</w:t>
            </w:r>
            <w:r w:rsidR="00A74EF5" w:rsidRPr="00394D9A">
              <w:rPr>
                <w:szCs w:val="22"/>
                <w:lang w:val="sr-Latn-RS"/>
              </w:rPr>
              <w:t xml:space="preserve"> </w:t>
            </w:r>
            <w:r w:rsidRPr="00394D9A">
              <w:rPr>
                <w:szCs w:val="22"/>
                <w:lang w:val="sr-Latn-RS"/>
              </w:rPr>
              <w:t>relevantnih kliničkih prom</w:t>
            </w:r>
            <w:r w:rsidR="004E122E" w:rsidRPr="00394D9A">
              <w:rPr>
                <w:szCs w:val="22"/>
                <w:lang w:val="sr-Latn-RS"/>
              </w:rPr>
              <w:t>j</w:t>
            </w:r>
            <w:r w:rsidRPr="00394D9A">
              <w:rPr>
                <w:szCs w:val="22"/>
                <w:lang w:val="sr-Latn-RS"/>
              </w:rPr>
              <w:t>ena u izloženosti dabigatranu.</w:t>
            </w:r>
          </w:p>
        </w:tc>
      </w:tr>
    </w:tbl>
    <w:p w14:paraId="04518DA1" w14:textId="77777777" w:rsidR="00A74EF5" w:rsidRPr="00394D9A" w:rsidRDefault="00A74EF5" w:rsidP="00187D17">
      <w:pPr>
        <w:widowControl w:val="0"/>
        <w:rPr>
          <w:szCs w:val="22"/>
          <w:lang w:val="sr-Latn-RS"/>
        </w:rPr>
      </w:pPr>
    </w:p>
    <w:p w14:paraId="61E1A643" w14:textId="366BA898" w:rsidR="00D70EAA" w:rsidRPr="00394D9A" w:rsidRDefault="00D70EAA" w:rsidP="00187D17">
      <w:pPr>
        <w:widowControl w:val="0"/>
        <w:rPr>
          <w:szCs w:val="22"/>
          <w:u w:val="single"/>
          <w:lang w:val="sr-Latn-RS"/>
        </w:rPr>
      </w:pPr>
      <w:r w:rsidRPr="00394D9A">
        <w:rPr>
          <w:szCs w:val="22"/>
          <w:u w:val="single"/>
          <w:lang w:val="sr-Latn-RS"/>
        </w:rPr>
        <w:t xml:space="preserve">Antikoagulansi </w:t>
      </w:r>
      <w:r w:rsidR="00027A36" w:rsidRPr="00394D9A">
        <w:rPr>
          <w:szCs w:val="22"/>
          <w:u w:val="single"/>
          <w:lang w:val="sr-Latn-RS"/>
        </w:rPr>
        <w:t>i</w:t>
      </w:r>
      <w:r w:rsidRPr="00394D9A">
        <w:rPr>
          <w:szCs w:val="22"/>
          <w:u w:val="single"/>
          <w:lang w:val="sr-Latn-RS"/>
        </w:rPr>
        <w:t xml:space="preserve"> inhibitori agregacije trombocita</w:t>
      </w:r>
    </w:p>
    <w:p w14:paraId="3B081146" w14:textId="77777777" w:rsidR="00A74EF5" w:rsidRPr="00394D9A" w:rsidRDefault="00A74EF5" w:rsidP="00187D17">
      <w:pPr>
        <w:widowControl w:val="0"/>
        <w:rPr>
          <w:szCs w:val="22"/>
          <w:u w:val="single"/>
          <w:lang w:val="sr-Latn-RS"/>
        </w:rPr>
      </w:pPr>
    </w:p>
    <w:p w14:paraId="4A14BC2B" w14:textId="02660372" w:rsidR="00D70EAA" w:rsidRPr="00394D9A" w:rsidRDefault="00D70EAA" w:rsidP="00187D17">
      <w:pPr>
        <w:widowControl w:val="0"/>
        <w:rPr>
          <w:szCs w:val="22"/>
          <w:lang w:val="sr-Latn-RS"/>
        </w:rPr>
      </w:pPr>
      <w:r w:rsidRPr="00394D9A">
        <w:rPr>
          <w:szCs w:val="22"/>
          <w:lang w:val="sr-Latn-RS"/>
        </w:rPr>
        <w:t>Nema iskustva, ili su veoma ograničena, u pogledu isto</w:t>
      </w:r>
      <w:r w:rsidR="00BD52DD" w:rsidRPr="00394D9A">
        <w:rPr>
          <w:szCs w:val="22"/>
          <w:lang w:val="sr-Latn-RS"/>
        </w:rPr>
        <w:t>vreme</w:t>
      </w:r>
      <w:r w:rsidRPr="00394D9A">
        <w:rPr>
          <w:szCs w:val="22"/>
          <w:lang w:val="sr-Latn-RS"/>
        </w:rPr>
        <w:t xml:space="preserve">ne </w:t>
      </w:r>
      <w:r w:rsidR="00A639DA" w:rsidRPr="00394D9A">
        <w:rPr>
          <w:szCs w:val="22"/>
          <w:lang w:val="sr-Latn-RS"/>
        </w:rPr>
        <w:t>primjene</w:t>
      </w:r>
      <w:r w:rsidRPr="00394D9A">
        <w:rPr>
          <w:szCs w:val="22"/>
          <w:lang w:val="sr-Latn-RS"/>
        </w:rPr>
        <w:t xml:space="preserve"> </w:t>
      </w:r>
      <w:r w:rsidR="00A639DA" w:rsidRPr="00394D9A">
        <w:rPr>
          <w:szCs w:val="22"/>
          <w:lang w:val="sr-Latn-RS"/>
        </w:rPr>
        <w:t>lijeka</w:t>
      </w:r>
      <w:r w:rsidRPr="00394D9A">
        <w:rPr>
          <w:szCs w:val="22"/>
          <w:lang w:val="sr-Latn-RS"/>
        </w:rPr>
        <w:t xml:space="preserve"> </w:t>
      </w:r>
      <w:r w:rsidR="00A74EF5" w:rsidRPr="00394D9A">
        <w:rPr>
          <w:szCs w:val="22"/>
          <w:lang w:val="sr-Latn-RS"/>
        </w:rPr>
        <w:t>Dabigatran SK</w:t>
      </w:r>
      <w:r w:rsidRPr="00394D9A">
        <w:rPr>
          <w:szCs w:val="22"/>
          <w:lang w:val="sr-Latn-RS"/>
        </w:rPr>
        <w:t xml:space="preserve"> i sl</w:t>
      </w:r>
      <w:r w:rsidR="00157169" w:rsidRPr="00394D9A">
        <w:rPr>
          <w:szCs w:val="22"/>
          <w:lang w:val="sr-Latn-RS"/>
        </w:rPr>
        <w:t>j</w:t>
      </w:r>
      <w:r w:rsidRPr="00394D9A">
        <w:rPr>
          <w:szCs w:val="22"/>
          <w:lang w:val="sr-Latn-RS"/>
        </w:rPr>
        <w:t xml:space="preserve">edećih </w:t>
      </w:r>
      <w:r w:rsidR="00A639DA" w:rsidRPr="00394D9A">
        <w:rPr>
          <w:szCs w:val="22"/>
          <w:lang w:val="sr-Latn-RS"/>
        </w:rPr>
        <w:t>ljekova</w:t>
      </w:r>
      <w:r w:rsidR="00A74EF5" w:rsidRPr="00394D9A">
        <w:rPr>
          <w:szCs w:val="22"/>
          <w:lang w:val="sr-Latn-RS"/>
        </w:rPr>
        <w:t xml:space="preserve"> </w:t>
      </w:r>
      <w:r w:rsidRPr="00394D9A">
        <w:rPr>
          <w:szCs w:val="22"/>
          <w:lang w:val="sr-Latn-RS"/>
        </w:rPr>
        <w:t>koji mogu povećati rizik od krvarenja: antikoagulansi kao što su nefrakcionisani heparini (NFH),</w:t>
      </w:r>
      <w:r w:rsidR="00A74EF5" w:rsidRPr="00394D9A">
        <w:rPr>
          <w:szCs w:val="22"/>
          <w:lang w:val="sr-Latn-RS"/>
        </w:rPr>
        <w:t xml:space="preserve"> </w:t>
      </w:r>
      <w:r w:rsidRPr="00394D9A">
        <w:rPr>
          <w:szCs w:val="22"/>
          <w:lang w:val="sr-Latn-RS"/>
        </w:rPr>
        <w:t>niskomo</w:t>
      </w:r>
      <w:r w:rsidR="00A639DA" w:rsidRPr="00394D9A">
        <w:rPr>
          <w:szCs w:val="22"/>
          <w:lang w:val="sr-Latn-RS"/>
        </w:rPr>
        <w:t>lek</w:t>
      </w:r>
      <w:r w:rsidRPr="00394D9A">
        <w:rPr>
          <w:szCs w:val="22"/>
          <w:lang w:val="sr-Latn-RS"/>
        </w:rPr>
        <w:t xml:space="preserve">ularni heparini (NMH), heparinski derivati (fondaparinuks, desirudin), trombolitički </w:t>
      </w:r>
      <w:r w:rsidR="00A639DA" w:rsidRPr="00394D9A">
        <w:rPr>
          <w:szCs w:val="22"/>
          <w:lang w:val="sr-Latn-RS"/>
        </w:rPr>
        <w:t>ljek</w:t>
      </w:r>
      <w:r w:rsidRPr="00394D9A">
        <w:rPr>
          <w:szCs w:val="22"/>
          <w:lang w:val="sr-Latn-RS"/>
        </w:rPr>
        <w:t xml:space="preserve">ovi </w:t>
      </w:r>
      <w:r w:rsidR="00A74EF5" w:rsidRPr="00394D9A">
        <w:rPr>
          <w:szCs w:val="22"/>
          <w:lang w:val="sr-Latn-RS"/>
        </w:rPr>
        <w:t xml:space="preserve">i </w:t>
      </w:r>
      <w:r w:rsidRPr="00394D9A">
        <w:rPr>
          <w:szCs w:val="22"/>
          <w:lang w:val="sr-Latn-RS"/>
        </w:rPr>
        <w:t>antagonisti vitamina K, rivaroksaban ili drugi oralni antikoagulansi (</w:t>
      </w:r>
      <w:r w:rsidR="00DC568E" w:rsidRPr="00394D9A">
        <w:rPr>
          <w:szCs w:val="22"/>
          <w:lang w:val="sr-Latn-RS"/>
        </w:rPr>
        <w:t xml:space="preserve">vidjeti </w:t>
      </w:r>
      <w:r w:rsidR="00D7145C" w:rsidRPr="00394D9A">
        <w:rPr>
          <w:szCs w:val="22"/>
          <w:lang w:val="sr-Latn-RS"/>
        </w:rPr>
        <w:t>dio</w:t>
      </w:r>
      <w:r w:rsidRPr="00394D9A">
        <w:rPr>
          <w:szCs w:val="22"/>
          <w:lang w:val="sr-Latn-RS"/>
        </w:rPr>
        <w:t xml:space="preserve"> 4.3) i inhibitori</w:t>
      </w:r>
      <w:r w:rsidR="00A74EF5" w:rsidRPr="00394D9A">
        <w:rPr>
          <w:szCs w:val="22"/>
          <w:lang w:val="sr-Latn-RS"/>
        </w:rPr>
        <w:t xml:space="preserve"> </w:t>
      </w:r>
      <w:r w:rsidRPr="00394D9A">
        <w:rPr>
          <w:szCs w:val="22"/>
          <w:lang w:val="sr-Latn-RS"/>
        </w:rPr>
        <w:t>agregacije trombocita kao što su antagonisti GPIIb/IIIa receptora, tiklopidin, prasugrel, tikagrelor,</w:t>
      </w:r>
      <w:r w:rsidR="00A74EF5" w:rsidRPr="00394D9A">
        <w:rPr>
          <w:szCs w:val="22"/>
          <w:lang w:val="sr-Latn-RS"/>
        </w:rPr>
        <w:t xml:space="preserve"> </w:t>
      </w:r>
      <w:r w:rsidRPr="00394D9A">
        <w:rPr>
          <w:szCs w:val="22"/>
          <w:lang w:val="sr-Latn-RS"/>
        </w:rPr>
        <w:t>dekstran i sulfinpirazon (</w:t>
      </w:r>
      <w:r w:rsidR="00DC568E" w:rsidRPr="00394D9A">
        <w:rPr>
          <w:szCs w:val="22"/>
          <w:lang w:val="sr-Latn-RS"/>
        </w:rPr>
        <w:t xml:space="preserve">vidjeti </w:t>
      </w:r>
      <w:r w:rsidR="00D7145C" w:rsidRPr="00394D9A">
        <w:rPr>
          <w:szCs w:val="22"/>
          <w:lang w:val="sr-Latn-RS"/>
        </w:rPr>
        <w:t>dio</w:t>
      </w:r>
      <w:r w:rsidRPr="00394D9A">
        <w:rPr>
          <w:szCs w:val="22"/>
          <w:lang w:val="sr-Latn-RS"/>
        </w:rPr>
        <w:t xml:space="preserve"> 4.4).</w:t>
      </w:r>
    </w:p>
    <w:p w14:paraId="4447E9F2" w14:textId="15E6BC9D" w:rsidR="00DC5C26" w:rsidRPr="00394D9A" w:rsidRDefault="00DC5C26" w:rsidP="00187D17">
      <w:pPr>
        <w:widowControl w:val="0"/>
        <w:rPr>
          <w:szCs w:val="22"/>
          <w:lang w:val="sr-Latn-RS"/>
        </w:rPr>
      </w:pPr>
    </w:p>
    <w:p w14:paraId="4FDE8264" w14:textId="483F304E" w:rsidR="00DC5C26" w:rsidRPr="00394D9A" w:rsidRDefault="00DC5C26" w:rsidP="00187D17">
      <w:pPr>
        <w:widowControl w:val="0"/>
        <w:rPr>
          <w:szCs w:val="22"/>
          <w:lang w:val="sr-Latn-RS"/>
        </w:rPr>
      </w:pPr>
      <w:r w:rsidRPr="00394D9A">
        <w:rPr>
          <w:szCs w:val="22"/>
          <w:lang w:val="sr-Latn-RS"/>
        </w:rPr>
        <w:t>Na osnovu podatka prikupljenih u RE-LY studij</w:t>
      </w:r>
      <w:r w:rsidR="0020009C" w:rsidRPr="00394D9A">
        <w:rPr>
          <w:szCs w:val="22"/>
          <w:lang w:val="sr-Latn-RS"/>
        </w:rPr>
        <w:t>i</w:t>
      </w:r>
      <w:r w:rsidRPr="00394D9A">
        <w:rPr>
          <w:szCs w:val="22"/>
          <w:lang w:val="sr-Latn-RS"/>
        </w:rPr>
        <w:t xml:space="preserve"> </w:t>
      </w:r>
      <w:r w:rsidR="0020009C" w:rsidRPr="00394D9A">
        <w:rPr>
          <w:szCs w:val="22"/>
          <w:lang w:val="sr-Latn-RS"/>
        </w:rPr>
        <w:t xml:space="preserve">faze III </w:t>
      </w:r>
      <w:r w:rsidRPr="00394D9A">
        <w:rPr>
          <w:szCs w:val="22"/>
          <w:lang w:val="sr-Latn-RS"/>
        </w:rPr>
        <w:t>(</w:t>
      </w:r>
      <w:r w:rsidR="00DC568E" w:rsidRPr="00394D9A">
        <w:rPr>
          <w:szCs w:val="22"/>
          <w:lang w:val="sr-Latn-RS"/>
        </w:rPr>
        <w:t xml:space="preserve">vidjeti </w:t>
      </w:r>
      <w:r w:rsidR="00D7145C" w:rsidRPr="00394D9A">
        <w:rPr>
          <w:szCs w:val="22"/>
          <w:lang w:val="sr-Latn-RS"/>
        </w:rPr>
        <w:t>dio</w:t>
      </w:r>
      <w:r w:rsidRPr="00394D9A">
        <w:rPr>
          <w:szCs w:val="22"/>
          <w:lang w:val="sr-Latn-RS"/>
        </w:rPr>
        <w:t xml:space="preserve"> 5.1) zab</w:t>
      </w:r>
      <w:r w:rsidR="004E122E" w:rsidRPr="00394D9A">
        <w:rPr>
          <w:szCs w:val="22"/>
          <w:lang w:val="sr-Latn-RS"/>
        </w:rPr>
        <w:t>i</w:t>
      </w:r>
      <w:r w:rsidRPr="00394D9A">
        <w:rPr>
          <w:szCs w:val="22"/>
          <w:lang w:val="sr-Latn-RS"/>
        </w:rPr>
        <w:t>l</w:t>
      </w:r>
      <w:r w:rsidR="004E122E" w:rsidRPr="00394D9A">
        <w:rPr>
          <w:szCs w:val="22"/>
          <w:lang w:val="sr-Latn-RS"/>
        </w:rPr>
        <w:t>j</w:t>
      </w:r>
      <w:r w:rsidRPr="00394D9A">
        <w:rPr>
          <w:szCs w:val="22"/>
          <w:lang w:val="sr-Latn-RS"/>
        </w:rPr>
        <w:t>eženo je da je isto</w:t>
      </w:r>
      <w:r w:rsidR="00BD52DD" w:rsidRPr="00394D9A">
        <w:rPr>
          <w:szCs w:val="22"/>
          <w:lang w:val="sr-Latn-RS"/>
        </w:rPr>
        <w:t>vreme</w:t>
      </w:r>
      <w:r w:rsidRPr="00394D9A">
        <w:rPr>
          <w:szCs w:val="22"/>
          <w:lang w:val="sr-Latn-RS"/>
        </w:rPr>
        <w:t>na upotreba drugih oralnih ili parenteralnih antikoagulanasa povećala stope većih krvarenja i sa dabigatraneteksilatom i sa varfarinom za približno 2,5 puta i ovo je uglavnom bio slučaj u situacijama kada se prelazilo sa jednog na drugi antikoagulans (</w:t>
      </w:r>
      <w:r w:rsidR="00DC568E" w:rsidRPr="00394D9A">
        <w:rPr>
          <w:szCs w:val="22"/>
          <w:lang w:val="sr-Latn-RS"/>
        </w:rPr>
        <w:t xml:space="preserve">vidjeti </w:t>
      </w:r>
      <w:r w:rsidR="00D7145C" w:rsidRPr="00394D9A">
        <w:rPr>
          <w:szCs w:val="22"/>
          <w:lang w:val="sr-Latn-RS"/>
        </w:rPr>
        <w:t>dio</w:t>
      </w:r>
      <w:r w:rsidRPr="00394D9A">
        <w:rPr>
          <w:szCs w:val="22"/>
          <w:lang w:val="sr-Latn-RS"/>
        </w:rPr>
        <w:t xml:space="preserve"> 4.3). Štaviše, isto</w:t>
      </w:r>
      <w:r w:rsidR="00BD52DD" w:rsidRPr="00394D9A">
        <w:rPr>
          <w:szCs w:val="22"/>
          <w:lang w:val="sr-Latn-RS"/>
        </w:rPr>
        <w:t>vreme</w:t>
      </w:r>
      <w:r w:rsidRPr="00394D9A">
        <w:rPr>
          <w:szCs w:val="22"/>
          <w:lang w:val="sr-Latn-RS"/>
        </w:rPr>
        <w:t xml:space="preserve">na upotreba inhibitora agregacije trombocita, ASK ili klopidogrela približno je dvostruko povećavala stope većih krvarenja i sa dabigatraneteksilatom i sa varfarinom </w:t>
      </w:r>
      <w:r w:rsidR="00DC568E" w:rsidRPr="00394D9A">
        <w:rPr>
          <w:szCs w:val="22"/>
          <w:lang w:val="sr-Latn-RS"/>
        </w:rPr>
        <w:t xml:space="preserve">vidjeti </w:t>
      </w:r>
      <w:r w:rsidR="00D7145C" w:rsidRPr="00394D9A">
        <w:rPr>
          <w:szCs w:val="22"/>
          <w:lang w:val="sr-Latn-RS"/>
        </w:rPr>
        <w:t>dio</w:t>
      </w:r>
      <w:r w:rsidRPr="00394D9A">
        <w:rPr>
          <w:szCs w:val="22"/>
          <w:lang w:val="sr-Latn-RS"/>
        </w:rPr>
        <w:t xml:space="preserve"> 4.4).</w:t>
      </w:r>
    </w:p>
    <w:p w14:paraId="76BB4AD8" w14:textId="77777777" w:rsidR="00A74EF5" w:rsidRPr="00394D9A" w:rsidRDefault="00A74EF5" w:rsidP="00187D17">
      <w:pPr>
        <w:widowControl w:val="0"/>
        <w:rPr>
          <w:szCs w:val="22"/>
          <w:lang w:val="sr-Latn-RS"/>
        </w:rPr>
      </w:pPr>
    </w:p>
    <w:p w14:paraId="563B2DCC" w14:textId="47D6DE66" w:rsidR="0020009C" w:rsidRPr="00394D9A" w:rsidRDefault="0020009C" w:rsidP="00187D17">
      <w:pPr>
        <w:widowControl w:val="0"/>
        <w:rPr>
          <w:szCs w:val="22"/>
          <w:lang w:val="sr-Latn-RS"/>
        </w:rPr>
      </w:pPr>
      <w:r w:rsidRPr="00394D9A">
        <w:rPr>
          <w:szCs w:val="22"/>
          <w:lang w:val="sr-Latn-RS"/>
        </w:rPr>
        <w:t xml:space="preserve">NFH mogu da se </w:t>
      </w:r>
      <w:r w:rsidR="00A639DA" w:rsidRPr="00394D9A">
        <w:rPr>
          <w:szCs w:val="22"/>
          <w:lang w:val="sr-Latn-RS"/>
        </w:rPr>
        <w:t>prim</w:t>
      </w:r>
      <w:r w:rsidR="004D577A" w:rsidRPr="00394D9A">
        <w:rPr>
          <w:szCs w:val="22"/>
          <w:lang w:val="sr-Latn-RS"/>
        </w:rPr>
        <w:t>i</w:t>
      </w:r>
      <w:r w:rsidR="00A639DA" w:rsidRPr="00394D9A">
        <w:rPr>
          <w:szCs w:val="22"/>
          <w:lang w:val="sr-Latn-RS"/>
        </w:rPr>
        <w:t>jene</w:t>
      </w:r>
      <w:r w:rsidRPr="00394D9A">
        <w:rPr>
          <w:szCs w:val="22"/>
          <w:lang w:val="sr-Latn-RS"/>
        </w:rPr>
        <w:t xml:space="preserve"> u dozama neophodnim da se održi ugrađeni centralni venski ili arterijski </w:t>
      </w:r>
      <w:r w:rsidRPr="00394D9A">
        <w:rPr>
          <w:szCs w:val="22"/>
          <w:lang w:val="sr-Latn-RS"/>
        </w:rPr>
        <w:lastRenderedPageBreak/>
        <w:t>kateter ili tokom kateterske ablacije zbog atrijalne fibrilacije (</w:t>
      </w:r>
      <w:r w:rsidR="00DC568E" w:rsidRPr="00394D9A">
        <w:rPr>
          <w:szCs w:val="22"/>
          <w:lang w:val="sr-Latn-RS"/>
        </w:rPr>
        <w:t xml:space="preserve">vidjeti </w:t>
      </w:r>
      <w:r w:rsidR="00D7145C" w:rsidRPr="00394D9A">
        <w:rPr>
          <w:szCs w:val="22"/>
          <w:lang w:val="sr-Latn-RS"/>
        </w:rPr>
        <w:t>dio</w:t>
      </w:r>
      <w:r w:rsidRPr="00394D9A">
        <w:rPr>
          <w:szCs w:val="22"/>
          <w:lang w:val="sr-Latn-RS"/>
        </w:rPr>
        <w:t xml:space="preserve"> 4.3).</w:t>
      </w:r>
    </w:p>
    <w:p w14:paraId="1BCFA34E" w14:textId="07B89C2A" w:rsidR="00D70EAA" w:rsidRPr="00394D9A" w:rsidRDefault="00D70EAA" w:rsidP="00187D17">
      <w:pPr>
        <w:widowControl w:val="0"/>
        <w:rPr>
          <w:szCs w:val="22"/>
          <w:lang w:val="sr-Latn-RS"/>
        </w:rPr>
      </w:pPr>
    </w:p>
    <w:p w14:paraId="504BACE8" w14:textId="1BAAD0B9" w:rsidR="00D70EAA" w:rsidRPr="00394D9A" w:rsidRDefault="00D70EAA" w:rsidP="00187D17">
      <w:pPr>
        <w:widowControl w:val="0"/>
        <w:rPr>
          <w:b/>
          <w:bCs/>
          <w:szCs w:val="22"/>
          <w:lang w:val="sr-Latn-RS"/>
        </w:rPr>
      </w:pPr>
      <w:r w:rsidRPr="00394D9A">
        <w:rPr>
          <w:b/>
          <w:bCs/>
          <w:szCs w:val="22"/>
          <w:lang w:val="sr-Latn-RS"/>
        </w:rPr>
        <w:t xml:space="preserve">Tabela </w:t>
      </w:r>
      <w:r w:rsidR="005913DB" w:rsidRPr="00394D9A">
        <w:rPr>
          <w:b/>
          <w:bCs/>
          <w:szCs w:val="22"/>
          <w:lang w:val="sr-Latn-RS"/>
        </w:rPr>
        <w:t>9</w:t>
      </w:r>
      <w:r w:rsidRPr="00394D9A">
        <w:rPr>
          <w:b/>
          <w:bCs/>
          <w:szCs w:val="22"/>
          <w:lang w:val="sr-Latn-RS"/>
        </w:rPr>
        <w:t>: Interakcije s</w:t>
      </w:r>
      <w:r w:rsidR="003D2DBC" w:rsidRPr="00394D9A">
        <w:rPr>
          <w:b/>
          <w:bCs/>
          <w:szCs w:val="22"/>
          <w:lang w:val="sr-Latn-RS"/>
        </w:rPr>
        <w:t>a</w:t>
      </w:r>
      <w:r w:rsidRPr="00394D9A">
        <w:rPr>
          <w:b/>
          <w:bCs/>
          <w:szCs w:val="22"/>
          <w:lang w:val="sr-Latn-RS"/>
        </w:rPr>
        <w:t xml:space="preserve"> antikoagulansima i inhibitorima agregacije trombocita</w:t>
      </w:r>
    </w:p>
    <w:p w14:paraId="7D6A411C" w14:textId="7050CD33" w:rsidR="00D70EAA" w:rsidRPr="00394D9A" w:rsidRDefault="00D70EAA" w:rsidP="00187D17">
      <w:pPr>
        <w:widowControl w:val="0"/>
        <w:rPr>
          <w:szCs w:val="22"/>
          <w:lang w:val="sr-Latn-RS"/>
        </w:rPr>
      </w:pPr>
    </w:p>
    <w:tbl>
      <w:tblPr>
        <w:tblStyle w:val="TableGrid"/>
        <w:tblW w:w="0" w:type="auto"/>
        <w:tblLook w:val="04A0" w:firstRow="1" w:lastRow="0" w:firstColumn="1" w:lastColumn="0" w:noHBand="0" w:noVBand="1"/>
      </w:tblPr>
      <w:tblGrid>
        <w:gridCol w:w="1280"/>
        <w:gridCol w:w="7781"/>
      </w:tblGrid>
      <w:tr w:rsidR="00D70EAA" w:rsidRPr="00A01BFA" w14:paraId="34872192" w14:textId="77777777" w:rsidTr="00DF17BA">
        <w:tc>
          <w:tcPr>
            <w:tcW w:w="0" w:type="auto"/>
          </w:tcPr>
          <w:p w14:paraId="420297C7" w14:textId="0EA977FC" w:rsidR="00D70EAA" w:rsidRPr="00394D9A" w:rsidRDefault="00D70EAA" w:rsidP="00187D17">
            <w:pPr>
              <w:widowControl w:val="0"/>
              <w:rPr>
                <w:szCs w:val="22"/>
                <w:lang w:val="sr-Latn-RS"/>
              </w:rPr>
            </w:pPr>
            <w:r w:rsidRPr="00394D9A">
              <w:rPr>
                <w:szCs w:val="22"/>
                <w:lang w:val="sr-Latn-RS"/>
              </w:rPr>
              <w:t>NSAIL</w:t>
            </w:r>
          </w:p>
        </w:tc>
        <w:tc>
          <w:tcPr>
            <w:tcW w:w="0" w:type="auto"/>
          </w:tcPr>
          <w:p w14:paraId="78857FDC" w14:textId="438B28F1" w:rsidR="00D70EAA" w:rsidRPr="00394D9A" w:rsidRDefault="00D70EAA" w:rsidP="00187D17">
            <w:pPr>
              <w:widowControl w:val="0"/>
              <w:rPr>
                <w:szCs w:val="22"/>
                <w:lang w:val="sr-Latn-RS"/>
              </w:rPr>
            </w:pPr>
            <w:r w:rsidRPr="00394D9A">
              <w:rPr>
                <w:szCs w:val="22"/>
                <w:lang w:val="sr-Latn-RS"/>
              </w:rPr>
              <w:t>Pokazano je da NSAIL, kada se daju za kratkotrajnu analgeziju, ni</w:t>
            </w:r>
            <w:r w:rsidR="00157169" w:rsidRPr="00394D9A">
              <w:rPr>
                <w:szCs w:val="22"/>
                <w:lang w:val="sr-Latn-RS"/>
              </w:rPr>
              <w:t>je</w:t>
            </w:r>
            <w:r w:rsidRPr="00394D9A">
              <w:rPr>
                <w:szCs w:val="22"/>
                <w:lang w:val="sr-Latn-RS"/>
              </w:rPr>
              <w:t>su</w:t>
            </w:r>
            <w:r w:rsidR="00515AA7" w:rsidRPr="00394D9A">
              <w:rPr>
                <w:szCs w:val="22"/>
                <w:lang w:val="sr-Latn-RS"/>
              </w:rPr>
              <w:t xml:space="preserve"> </w:t>
            </w:r>
            <w:r w:rsidRPr="00394D9A">
              <w:rPr>
                <w:szCs w:val="22"/>
                <w:lang w:val="sr-Latn-RS"/>
              </w:rPr>
              <w:t>povezani sa povećanim rizikom od krvarenja kada se daju uz dabigatraneteksilat. Sa</w:t>
            </w:r>
            <w:r w:rsidR="00515AA7" w:rsidRPr="00394D9A">
              <w:rPr>
                <w:szCs w:val="22"/>
                <w:lang w:val="sr-Latn-RS"/>
              </w:rPr>
              <w:t xml:space="preserve"> </w:t>
            </w:r>
            <w:r w:rsidRPr="00394D9A">
              <w:rPr>
                <w:szCs w:val="22"/>
                <w:lang w:val="sr-Latn-RS"/>
              </w:rPr>
              <w:t>hroničnom upotrebom</w:t>
            </w:r>
            <w:r w:rsidR="00DD3AF5" w:rsidRPr="00394D9A">
              <w:rPr>
                <w:szCs w:val="22"/>
                <w:lang w:val="sr-Latn-RS"/>
              </w:rPr>
              <w:t xml:space="preserve"> u RE-LY studiji,</w:t>
            </w:r>
            <w:r w:rsidRPr="00394D9A">
              <w:rPr>
                <w:szCs w:val="22"/>
                <w:lang w:val="sr-Latn-RS"/>
              </w:rPr>
              <w:t xml:space="preserve"> NSAIL su povećavali rizik od krvarenja za otprilike 50% i uz</w:t>
            </w:r>
            <w:r w:rsidR="00515AA7" w:rsidRPr="00394D9A">
              <w:rPr>
                <w:szCs w:val="22"/>
                <w:lang w:val="sr-Latn-RS"/>
              </w:rPr>
              <w:t xml:space="preserve"> </w:t>
            </w:r>
            <w:r w:rsidRPr="00394D9A">
              <w:rPr>
                <w:szCs w:val="22"/>
                <w:lang w:val="sr-Latn-RS"/>
              </w:rPr>
              <w:t>dabigatraneteksilat i uz varfarin.</w:t>
            </w:r>
          </w:p>
        </w:tc>
      </w:tr>
      <w:tr w:rsidR="00D70EAA" w:rsidRPr="00A01BFA" w14:paraId="4F4B1E8E" w14:textId="77777777" w:rsidTr="00DF17BA">
        <w:tc>
          <w:tcPr>
            <w:tcW w:w="0" w:type="auto"/>
          </w:tcPr>
          <w:p w14:paraId="3F1FA140" w14:textId="0A89C1CF" w:rsidR="00D70EAA" w:rsidRPr="00394D9A" w:rsidRDefault="00D70EAA" w:rsidP="00187D17">
            <w:pPr>
              <w:widowControl w:val="0"/>
              <w:rPr>
                <w:szCs w:val="22"/>
                <w:lang w:val="sr-Latn-RS"/>
              </w:rPr>
            </w:pPr>
            <w:r w:rsidRPr="00394D9A">
              <w:rPr>
                <w:szCs w:val="22"/>
                <w:lang w:val="sr-Latn-RS"/>
              </w:rPr>
              <w:t>Klopidogrel</w:t>
            </w:r>
          </w:p>
        </w:tc>
        <w:tc>
          <w:tcPr>
            <w:tcW w:w="0" w:type="auto"/>
          </w:tcPr>
          <w:p w14:paraId="3B79EB78" w14:textId="107DEE0C" w:rsidR="00D70EAA" w:rsidRPr="00394D9A" w:rsidRDefault="00D70EAA" w:rsidP="00187D17">
            <w:pPr>
              <w:widowControl w:val="0"/>
              <w:rPr>
                <w:szCs w:val="22"/>
                <w:lang w:val="sr-Latn-RS"/>
              </w:rPr>
            </w:pPr>
            <w:r w:rsidRPr="00394D9A">
              <w:rPr>
                <w:szCs w:val="22"/>
                <w:lang w:val="sr-Latn-RS"/>
              </w:rPr>
              <w:t>Kod mladih, zdravih dobrovoljaca muškog pola isto</w:t>
            </w:r>
            <w:r w:rsidR="00BD52DD" w:rsidRPr="00394D9A">
              <w:rPr>
                <w:szCs w:val="22"/>
                <w:lang w:val="sr-Latn-RS"/>
              </w:rPr>
              <w:t>vreme</w:t>
            </w:r>
            <w:r w:rsidRPr="00394D9A">
              <w:rPr>
                <w:szCs w:val="22"/>
                <w:lang w:val="sr-Latn-RS"/>
              </w:rPr>
              <w:t xml:space="preserve">na </w:t>
            </w:r>
            <w:r w:rsidR="00A639DA" w:rsidRPr="00394D9A">
              <w:rPr>
                <w:szCs w:val="22"/>
                <w:lang w:val="sr-Latn-RS"/>
              </w:rPr>
              <w:t>primjena</w:t>
            </w:r>
            <w:r w:rsidR="00DC568E" w:rsidRPr="00394D9A">
              <w:rPr>
                <w:szCs w:val="22"/>
                <w:lang w:val="sr-Latn-RS"/>
              </w:rPr>
              <w:t xml:space="preserve"> </w:t>
            </w:r>
            <w:r w:rsidRPr="00394D9A">
              <w:rPr>
                <w:szCs w:val="22"/>
                <w:lang w:val="sr-Latn-RS"/>
              </w:rPr>
              <w:t xml:space="preserve">dabigatraneteksilata i klopidogrela nije dala veće produženje </w:t>
            </w:r>
            <w:r w:rsidR="00BD52DD" w:rsidRPr="00394D9A">
              <w:rPr>
                <w:szCs w:val="22"/>
                <w:lang w:val="sr-Latn-RS"/>
              </w:rPr>
              <w:t>vreme</w:t>
            </w:r>
            <w:r w:rsidRPr="00394D9A">
              <w:rPr>
                <w:szCs w:val="22"/>
                <w:lang w:val="sr-Latn-RS"/>
              </w:rPr>
              <w:t>na kapilarnog</w:t>
            </w:r>
            <w:r w:rsidR="00515AA7" w:rsidRPr="00394D9A">
              <w:rPr>
                <w:szCs w:val="22"/>
                <w:lang w:val="sr-Latn-RS"/>
              </w:rPr>
              <w:t xml:space="preserve"> </w:t>
            </w:r>
            <w:r w:rsidRPr="00394D9A">
              <w:rPr>
                <w:szCs w:val="22"/>
                <w:lang w:val="sr-Latn-RS"/>
              </w:rPr>
              <w:t>krvarenja u odnosu na monoterapiju klopidogrelom. Uz to, dabigatran PIK</w:t>
            </w:r>
            <w:r w:rsidRPr="00394D9A">
              <w:rPr>
                <w:szCs w:val="22"/>
                <w:vertAlign w:val="subscript"/>
                <w:lang w:val="sr-Latn-RS"/>
              </w:rPr>
              <w:t xml:space="preserve">τ,ss </w:t>
            </w:r>
            <w:r w:rsidRPr="00394D9A">
              <w:rPr>
                <w:szCs w:val="22"/>
                <w:lang w:val="sr-Latn-RS"/>
              </w:rPr>
              <w:t>i C</w:t>
            </w:r>
            <w:r w:rsidRPr="00394D9A">
              <w:rPr>
                <w:szCs w:val="22"/>
                <w:vertAlign w:val="subscript"/>
                <w:lang w:val="sr-Latn-RS"/>
              </w:rPr>
              <w:t>max,ss</w:t>
            </w:r>
            <w:r w:rsidRPr="00394D9A">
              <w:rPr>
                <w:szCs w:val="22"/>
                <w:lang w:val="sr-Latn-RS"/>
              </w:rPr>
              <w:t xml:space="preserve"> </w:t>
            </w:r>
            <w:r w:rsidR="00515AA7" w:rsidRPr="00394D9A">
              <w:rPr>
                <w:szCs w:val="22"/>
                <w:lang w:val="sr-Latn-RS"/>
              </w:rPr>
              <w:t xml:space="preserve">i </w:t>
            </w:r>
            <w:r w:rsidRPr="00394D9A">
              <w:rPr>
                <w:szCs w:val="22"/>
                <w:lang w:val="sr-Latn-RS"/>
              </w:rPr>
              <w:t>m</w:t>
            </w:r>
            <w:r w:rsidR="004E122E" w:rsidRPr="00394D9A">
              <w:rPr>
                <w:szCs w:val="22"/>
                <w:lang w:val="sr-Latn-RS"/>
              </w:rPr>
              <w:t>j</w:t>
            </w:r>
            <w:r w:rsidRPr="00394D9A">
              <w:rPr>
                <w:szCs w:val="22"/>
                <w:lang w:val="sr-Latn-RS"/>
              </w:rPr>
              <w:t>ere koagulacije za dejstvo dabigatrana ili inhibicija agregacije trombocita kao m</w:t>
            </w:r>
            <w:r w:rsidR="004E122E" w:rsidRPr="00394D9A">
              <w:rPr>
                <w:szCs w:val="22"/>
                <w:lang w:val="sr-Latn-RS"/>
              </w:rPr>
              <w:t>j</w:t>
            </w:r>
            <w:r w:rsidRPr="00394D9A">
              <w:rPr>
                <w:szCs w:val="22"/>
                <w:lang w:val="sr-Latn-RS"/>
              </w:rPr>
              <w:t>era</w:t>
            </w:r>
            <w:r w:rsidR="00515AA7" w:rsidRPr="00394D9A">
              <w:rPr>
                <w:szCs w:val="22"/>
                <w:lang w:val="sr-Latn-RS"/>
              </w:rPr>
              <w:t xml:space="preserve"> </w:t>
            </w:r>
            <w:r w:rsidRPr="00394D9A">
              <w:rPr>
                <w:szCs w:val="22"/>
                <w:lang w:val="sr-Latn-RS"/>
              </w:rPr>
              <w:t>dejstva klopidogrela ostaju u suštini neizm</w:t>
            </w:r>
            <w:r w:rsidR="004D577A" w:rsidRPr="00394D9A">
              <w:rPr>
                <w:szCs w:val="22"/>
                <w:lang w:val="sr-Latn-RS"/>
              </w:rPr>
              <w:t>i</w:t>
            </w:r>
            <w:r w:rsidR="004E122E" w:rsidRPr="00394D9A">
              <w:rPr>
                <w:szCs w:val="22"/>
                <w:lang w:val="sr-Latn-RS"/>
              </w:rPr>
              <w:t>j</w:t>
            </w:r>
            <w:r w:rsidRPr="00394D9A">
              <w:rPr>
                <w:szCs w:val="22"/>
                <w:lang w:val="sr-Latn-RS"/>
              </w:rPr>
              <w:t>enjeni u poređenju sa kombinovanom</w:t>
            </w:r>
            <w:r w:rsidR="00515AA7" w:rsidRPr="00394D9A">
              <w:rPr>
                <w:szCs w:val="22"/>
                <w:lang w:val="sr-Latn-RS"/>
              </w:rPr>
              <w:t xml:space="preserve"> </w:t>
            </w:r>
            <w:r w:rsidRPr="00394D9A">
              <w:rPr>
                <w:szCs w:val="22"/>
                <w:lang w:val="sr-Latn-RS"/>
              </w:rPr>
              <w:t>terapijom i odgovarajućim monoterapijama. Sa udarnim dozama od 300 mg ili 600 mg</w:t>
            </w:r>
            <w:r w:rsidR="00515AA7" w:rsidRPr="00394D9A">
              <w:rPr>
                <w:szCs w:val="22"/>
                <w:lang w:val="sr-Latn-RS"/>
              </w:rPr>
              <w:t xml:space="preserve"> </w:t>
            </w:r>
            <w:r w:rsidRPr="00394D9A">
              <w:rPr>
                <w:szCs w:val="22"/>
                <w:lang w:val="sr-Latn-RS"/>
              </w:rPr>
              <w:t xml:space="preserve">klopidogrela, </w:t>
            </w:r>
            <w:r w:rsidR="00515AA7" w:rsidRPr="00394D9A">
              <w:rPr>
                <w:szCs w:val="22"/>
                <w:lang w:val="sr-Latn-RS"/>
              </w:rPr>
              <w:t>PIK</w:t>
            </w:r>
            <w:r w:rsidR="00515AA7" w:rsidRPr="00394D9A">
              <w:rPr>
                <w:szCs w:val="22"/>
                <w:vertAlign w:val="subscript"/>
                <w:lang w:val="sr-Latn-RS"/>
              </w:rPr>
              <w:t xml:space="preserve">τ,ss </w:t>
            </w:r>
            <w:r w:rsidR="00515AA7" w:rsidRPr="00394D9A">
              <w:rPr>
                <w:szCs w:val="22"/>
                <w:lang w:val="sr-Latn-RS"/>
              </w:rPr>
              <w:t>i C</w:t>
            </w:r>
            <w:r w:rsidR="00515AA7" w:rsidRPr="00394D9A">
              <w:rPr>
                <w:szCs w:val="22"/>
                <w:vertAlign w:val="subscript"/>
                <w:lang w:val="sr-Latn-RS"/>
              </w:rPr>
              <w:t>max,ss</w:t>
            </w:r>
            <w:r w:rsidR="00515AA7" w:rsidRPr="00394D9A">
              <w:rPr>
                <w:szCs w:val="22"/>
                <w:lang w:val="sr-Latn-RS"/>
              </w:rPr>
              <w:t xml:space="preserve"> </w:t>
            </w:r>
            <w:r w:rsidR="00DD3AF5" w:rsidRPr="00394D9A">
              <w:rPr>
                <w:szCs w:val="22"/>
                <w:lang w:val="sr-Latn-RS"/>
              </w:rPr>
              <w:t xml:space="preserve">dabigatrana </w:t>
            </w:r>
            <w:r w:rsidRPr="00394D9A">
              <w:rPr>
                <w:szCs w:val="22"/>
                <w:lang w:val="sr-Latn-RS"/>
              </w:rPr>
              <w:t>povećani su za oko 30-40% (</w:t>
            </w:r>
            <w:r w:rsidR="00DC568E" w:rsidRPr="00394D9A">
              <w:rPr>
                <w:szCs w:val="22"/>
                <w:lang w:val="sr-Latn-RS"/>
              </w:rPr>
              <w:t xml:space="preserve">vidjeti </w:t>
            </w:r>
            <w:r w:rsidR="00D7145C" w:rsidRPr="00394D9A">
              <w:rPr>
                <w:szCs w:val="22"/>
                <w:lang w:val="sr-Latn-RS"/>
              </w:rPr>
              <w:t>dio</w:t>
            </w:r>
            <w:r w:rsidR="00515AA7" w:rsidRPr="00394D9A">
              <w:rPr>
                <w:szCs w:val="22"/>
                <w:lang w:val="sr-Latn-RS"/>
              </w:rPr>
              <w:t xml:space="preserve"> </w:t>
            </w:r>
            <w:r w:rsidRPr="00394D9A">
              <w:rPr>
                <w:szCs w:val="22"/>
                <w:lang w:val="sr-Latn-RS"/>
              </w:rPr>
              <w:t>4.4).</w:t>
            </w:r>
          </w:p>
        </w:tc>
      </w:tr>
      <w:tr w:rsidR="00D70EAA" w:rsidRPr="00A01BFA" w14:paraId="4C0D7E8F" w14:textId="77777777" w:rsidTr="00DF17BA">
        <w:tc>
          <w:tcPr>
            <w:tcW w:w="0" w:type="auto"/>
          </w:tcPr>
          <w:p w14:paraId="0FDFFDC3" w14:textId="3651E8F9" w:rsidR="00D70EAA" w:rsidRPr="00394D9A" w:rsidRDefault="00D70EAA" w:rsidP="00187D17">
            <w:pPr>
              <w:widowControl w:val="0"/>
              <w:rPr>
                <w:szCs w:val="22"/>
                <w:lang w:val="sr-Latn-RS"/>
              </w:rPr>
            </w:pPr>
            <w:r w:rsidRPr="00394D9A">
              <w:rPr>
                <w:szCs w:val="22"/>
                <w:lang w:val="sr-Latn-RS"/>
              </w:rPr>
              <w:t>ASK</w:t>
            </w:r>
          </w:p>
        </w:tc>
        <w:tc>
          <w:tcPr>
            <w:tcW w:w="0" w:type="auto"/>
          </w:tcPr>
          <w:p w14:paraId="1F16E2F4" w14:textId="170B7FF2" w:rsidR="00D70EAA" w:rsidRPr="00394D9A" w:rsidRDefault="00D70EAA" w:rsidP="00187D17">
            <w:pPr>
              <w:widowControl w:val="0"/>
              <w:rPr>
                <w:szCs w:val="22"/>
                <w:lang w:val="sr-Latn-RS"/>
              </w:rPr>
            </w:pPr>
            <w:r w:rsidRPr="00394D9A">
              <w:rPr>
                <w:szCs w:val="22"/>
                <w:lang w:val="sr-Latn-RS"/>
              </w:rPr>
              <w:t>Isto</w:t>
            </w:r>
            <w:r w:rsidR="00BD52DD" w:rsidRPr="00394D9A">
              <w:rPr>
                <w:szCs w:val="22"/>
                <w:lang w:val="sr-Latn-RS"/>
              </w:rPr>
              <w:t>vreme</w:t>
            </w:r>
            <w:r w:rsidRPr="00394D9A">
              <w:rPr>
                <w:szCs w:val="22"/>
                <w:lang w:val="sr-Latn-RS"/>
              </w:rPr>
              <w:t>no davanje ASK i 150 mg dabigatraneteksilata dva puta na dan može da</w:t>
            </w:r>
            <w:r w:rsidR="00515AA7" w:rsidRPr="00394D9A">
              <w:rPr>
                <w:szCs w:val="22"/>
                <w:lang w:val="sr-Latn-RS"/>
              </w:rPr>
              <w:t xml:space="preserve"> </w:t>
            </w:r>
            <w:r w:rsidRPr="00394D9A">
              <w:rPr>
                <w:szCs w:val="22"/>
                <w:lang w:val="sr-Latn-RS"/>
              </w:rPr>
              <w:t>poveća rizik od bilo kakvog krvarenja za 12% do 18% sa 81 mg ASK, odnosno za</w:t>
            </w:r>
            <w:r w:rsidR="00515AA7" w:rsidRPr="00394D9A">
              <w:rPr>
                <w:szCs w:val="22"/>
                <w:lang w:val="sr-Latn-RS"/>
              </w:rPr>
              <w:t xml:space="preserve"> </w:t>
            </w:r>
            <w:r w:rsidRPr="00394D9A">
              <w:rPr>
                <w:szCs w:val="22"/>
                <w:lang w:val="sr-Latn-RS"/>
              </w:rPr>
              <w:t>24% sa 325 mg ASK (</w:t>
            </w:r>
            <w:r w:rsidR="00DC568E" w:rsidRPr="00394D9A">
              <w:rPr>
                <w:szCs w:val="22"/>
                <w:lang w:val="sr-Latn-RS"/>
              </w:rPr>
              <w:t xml:space="preserve">vidjeti </w:t>
            </w:r>
            <w:r w:rsidR="00D7145C" w:rsidRPr="00394D9A">
              <w:rPr>
                <w:szCs w:val="22"/>
                <w:lang w:val="sr-Latn-RS"/>
              </w:rPr>
              <w:t>dio</w:t>
            </w:r>
            <w:r w:rsidRPr="00394D9A">
              <w:rPr>
                <w:szCs w:val="22"/>
                <w:lang w:val="sr-Latn-RS"/>
              </w:rPr>
              <w:t xml:space="preserve"> 4.4).</w:t>
            </w:r>
          </w:p>
        </w:tc>
      </w:tr>
      <w:tr w:rsidR="00D70EAA" w:rsidRPr="00A01BFA" w14:paraId="52C529FC" w14:textId="77777777" w:rsidTr="00DF17BA">
        <w:tc>
          <w:tcPr>
            <w:tcW w:w="0" w:type="auto"/>
          </w:tcPr>
          <w:p w14:paraId="3CBD1E93" w14:textId="214774BF" w:rsidR="00D70EAA" w:rsidRPr="00394D9A" w:rsidRDefault="00D70EAA" w:rsidP="00187D17">
            <w:pPr>
              <w:widowControl w:val="0"/>
              <w:rPr>
                <w:szCs w:val="22"/>
                <w:lang w:val="sr-Latn-RS"/>
              </w:rPr>
            </w:pPr>
            <w:r w:rsidRPr="00394D9A">
              <w:rPr>
                <w:szCs w:val="22"/>
                <w:lang w:val="sr-Latn-RS"/>
              </w:rPr>
              <w:t>NMH</w:t>
            </w:r>
          </w:p>
        </w:tc>
        <w:tc>
          <w:tcPr>
            <w:tcW w:w="0" w:type="auto"/>
          </w:tcPr>
          <w:p w14:paraId="3E4AB316" w14:textId="21D380C7" w:rsidR="00D70EAA" w:rsidRPr="00394D9A" w:rsidRDefault="00D70EAA" w:rsidP="00187D17">
            <w:pPr>
              <w:widowControl w:val="0"/>
              <w:rPr>
                <w:szCs w:val="22"/>
                <w:lang w:val="sr-Latn-RS"/>
              </w:rPr>
            </w:pPr>
            <w:r w:rsidRPr="00394D9A">
              <w:rPr>
                <w:szCs w:val="22"/>
                <w:lang w:val="sr-Latn-RS"/>
              </w:rPr>
              <w:t>Isto</w:t>
            </w:r>
            <w:r w:rsidR="00BD52DD" w:rsidRPr="00394D9A">
              <w:rPr>
                <w:szCs w:val="22"/>
                <w:lang w:val="sr-Latn-RS"/>
              </w:rPr>
              <w:t>vreme</w:t>
            </w:r>
            <w:r w:rsidRPr="00394D9A">
              <w:rPr>
                <w:szCs w:val="22"/>
                <w:lang w:val="sr-Latn-RS"/>
              </w:rPr>
              <w:t xml:space="preserve">na upotreba NMH, kao što </w:t>
            </w:r>
            <w:r w:rsidR="00515AA7" w:rsidRPr="00394D9A">
              <w:rPr>
                <w:szCs w:val="22"/>
                <w:lang w:val="sr-Latn-RS"/>
              </w:rPr>
              <w:t>je</w:t>
            </w:r>
            <w:r w:rsidRPr="00394D9A">
              <w:rPr>
                <w:szCs w:val="22"/>
                <w:lang w:val="sr-Latn-RS"/>
              </w:rPr>
              <w:t xml:space="preserve"> enoksaparin i dabigatraneteksilat nije posebno</w:t>
            </w:r>
            <w:r w:rsidR="00515AA7" w:rsidRPr="00394D9A">
              <w:rPr>
                <w:szCs w:val="22"/>
                <w:lang w:val="sr-Latn-RS"/>
              </w:rPr>
              <w:t xml:space="preserve"> </w:t>
            </w:r>
            <w:r w:rsidRPr="00394D9A">
              <w:rPr>
                <w:szCs w:val="22"/>
                <w:lang w:val="sr-Latn-RS"/>
              </w:rPr>
              <w:t>ispitivana. Posl</w:t>
            </w:r>
            <w:r w:rsidR="004E122E" w:rsidRPr="00394D9A">
              <w:rPr>
                <w:szCs w:val="22"/>
                <w:lang w:val="sr-Latn-RS"/>
              </w:rPr>
              <w:t>ij</w:t>
            </w:r>
            <w:r w:rsidRPr="00394D9A">
              <w:rPr>
                <w:szCs w:val="22"/>
                <w:lang w:val="sr-Latn-RS"/>
              </w:rPr>
              <w:t>e prebacivanja sa trodnevne terapije u kojoj se daje jednom dnevno</w:t>
            </w:r>
            <w:r w:rsidR="00515AA7" w:rsidRPr="00394D9A">
              <w:rPr>
                <w:szCs w:val="22"/>
                <w:lang w:val="sr-Latn-RS"/>
              </w:rPr>
              <w:t xml:space="preserve"> </w:t>
            </w:r>
            <w:r w:rsidRPr="00394D9A">
              <w:rPr>
                <w:szCs w:val="22"/>
                <w:lang w:val="sr-Latn-RS"/>
              </w:rPr>
              <w:t>40 mg enoksaparin s.c., 24 sata posl</w:t>
            </w:r>
            <w:r w:rsidR="004E122E" w:rsidRPr="00394D9A">
              <w:rPr>
                <w:szCs w:val="22"/>
                <w:lang w:val="sr-Latn-RS"/>
              </w:rPr>
              <w:t>ij</w:t>
            </w:r>
            <w:r w:rsidRPr="00394D9A">
              <w:rPr>
                <w:szCs w:val="22"/>
                <w:lang w:val="sr-Latn-RS"/>
              </w:rPr>
              <w:t>e posl</w:t>
            </w:r>
            <w:r w:rsidR="00157169" w:rsidRPr="00394D9A">
              <w:rPr>
                <w:szCs w:val="22"/>
                <w:lang w:val="sr-Latn-RS"/>
              </w:rPr>
              <w:t>j</w:t>
            </w:r>
            <w:r w:rsidRPr="00394D9A">
              <w:rPr>
                <w:szCs w:val="22"/>
                <w:lang w:val="sr-Latn-RS"/>
              </w:rPr>
              <w:t>ednje doze enoksaparina</w:t>
            </w:r>
            <w:r w:rsidR="00DC568E" w:rsidRPr="00394D9A">
              <w:rPr>
                <w:szCs w:val="22"/>
                <w:lang w:val="sr-Latn-RS"/>
              </w:rPr>
              <w:t>,</w:t>
            </w:r>
            <w:r w:rsidRPr="00394D9A">
              <w:rPr>
                <w:szCs w:val="22"/>
                <w:lang w:val="sr-Latn-RS"/>
              </w:rPr>
              <w:t xml:space="preserve"> izl</w:t>
            </w:r>
            <w:r w:rsidR="00DC568E" w:rsidRPr="00394D9A">
              <w:rPr>
                <w:szCs w:val="22"/>
                <w:lang w:val="sr-Latn-RS"/>
              </w:rPr>
              <w:t>oženost</w:t>
            </w:r>
            <w:r w:rsidRPr="00394D9A">
              <w:rPr>
                <w:szCs w:val="22"/>
                <w:lang w:val="sr-Latn-RS"/>
              </w:rPr>
              <w:t xml:space="preserve"> dabigatranu</w:t>
            </w:r>
            <w:r w:rsidR="00515AA7" w:rsidRPr="00394D9A">
              <w:rPr>
                <w:szCs w:val="22"/>
                <w:lang w:val="sr-Latn-RS"/>
              </w:rPr>
              <w:t xml:space="preserve"> </w:t>
            </w:r>
            <w:r w:rsidRPr="00394D9A">
              <w:rPr>
                <w:szCs w:val="22"/>
                <w:lang w:val="sr-Latn-RS"/>
              </w:rPr>
              <w:t>je bilo neznatno niže nego po davanju samo dabigatraneteksilata (jedna doza od</w:t>
            </w:r>
            <w:r w:rsidR="00515AA7" w:rsidRPr="00394D9A">
              <w:rPr>
                <w:szCs w:val="22"/>
                <w:lang w:val="sr-Latn-RS"/>
              </w:rPr>
              <w:t xml:space="preserve"> </w:t>
            </w:r>
            <w:r w:rsidRPr="00394D9A">
              <w:rPr>
                <w:szCs w:val="22"/>
                <w:lang w:val="sr-Latn-RS"/>
              </w:rPr>
              <w:t>220 mg). Već</w:t>
            </w:r>
            <w:r w:rsidR="00EC68E4" w:rsidRPr="00394D9A">
              <w:rPr>
                <w:szCs w:val="22"/>
                <w:lang w:val="sr-Latn-RS"/>
              </w:rPr>
              <w:t xml:space="preserve">a </w:t>
            </w:r>
            <w:r w:rsidRPr="00394D9A">
              <w:rPr>
                <w:szCs w:val="22"/>
                <w:lang w:val="sr-Latn-RS"/>
              </w:rPr>
              <w:t>anti-FXa/FIIa aktivnost zab</w:t>
            </w:r>
            <w:r w:rsidR="004E122E" w:rsidRPr="00394D9A">
              <w:rPr>
                <w:szCs w:val="22"/>
                <w:lang w:val="sr-Latn-RS"/>
              </w:rPr>
              <w:t>i</w:t>
            </w:r>
            <w:r w:rsidRPr="00394D9A">
              <w:rPr>
                <w:szCs w:val="22"/>
                <w:lang w:val="sr-Latn-RS"/>
              </w:rPr>
              <w:t>l</w:t>
            </w:r>
            <w:r w:rsidR="004E122E" w:rsidRPr="00394D9A">
              <w:rPr>
                <w:szCs w:val="22"/>
                <w:lang w:val="sr-Latn-RS"/>
              </w:rPr>
              <w:t>j</w:t>
            </w:r>
            <w:r w:rsidRPr="00394D9A">
              <w:rPr>
                <w:szCs w:val="22"/>
                <w:lang w:val="sr-Latn-RS"/>
              </w:rPr>
              <w:t>ežen</w:t>
            </w:r>
            <w:r w:rsidR="00EC68E4" w:rsidRPr="00394D9A">
              <w:rPr>
                <w:szCs w:val="22"/>
                <w:lang w:val="sr-Latn-RS"/>
              </w:rPr>
              <w:t>a</w:t>
            </w:r>
            <w:r w:rsidRPr="00394D9A">
              <w:rPr>
                <w:szCs w:val="22"/>
                <w:lang w:val="sr-Latn-RS"/>
              </w:rPr>
              <w:t xml:space="preserve"> je po </w:t>
            </w:r>
            <w:r w:rsidR="00EC68E4" w:rsidRPr="00394D9A">
              <w:rPr>
                <w:szCs w:val="22"/>
                <w:lang w:val="sr-Latn-RS"/>
              </w:rPr>
              <w:t xml:space="preserve">primjeni </w:t>
            </w:r>
            <w:r w:rsidRPr="00394D9A">
              <w:rPr>
                <w:szCs w:val="22"/>
                <w:lang w:val="sr-Latn-RS"/>
              </w:rPr>
              <w:t xml:space="preserve">dabigatraneteksilata </w:t>
            </w:r>
            <w:r w:rsidR="00EC68E4" w:rsidRPr="00394D9A">
              <w:rPr>
                <w:szCs w:val="22"/>
                <w:lang w:val="sr-Latn-RS"/>
              </w:rPr>
              <w:t xml:space="preserve">nakon prethodnog liječenja </w:t>
            </w:r>
            <w:r w:rsidRPr="00394D9A">
              <w:rPr>
                <w:szCs w:val="22"/>
                <w:lang w:val="sr-Latn-RS"/>
              </w:rPr>
              <w:t xml:space="preserve">enoksaparinom </w:t>
            </w:r>
            <w:r w:rsidR="00EC68E4" w:rsidRPr="00394D9A">
              <w:rPr>
                <w:szCs w:val="22"/>
                <w:lang w:val="sr-Latn-RS"/>
              </w:rPr>
              <w:t>nego uz sam</w:t>
            </w:r>
            <w:r w:rsidRPr="00394D9A">
              <w:rPr>
                <w:szCs w:val="22"/>
                <w:lang w:val="sr-Latn-RS"/>
              </w:rPr>
              <w:t xml:space="preserve"> dabigatraneteksilat. Ovo se smatra posl</w:t>
            </w:r>
            <w:r w:rsidR="00CE1CBB" w:rsidRPr="00394D9A">
              <w:rPr>
                <w:szCs w:val="22"/>
                <w:lang w:val="sr-Latn-RS"/>
              </w:rPr>
              <w:t>j</w:t>
            </w:r>
            <w:r w:rsidRPr="00394D9A">
              <w:rPr>
                <w:szCs w:val="22"/>
                <w:lang w:val="sr-Latn-RS"/>
              </w:rPr>
              <w:t>edicom prenošenja dejstva</w:t>
            </w:r>
            <w:r w:rsidR="00515AA7" w:rsidRPr="00394D9A">
              <w:rPr>
                <w:szCs w:val="22"/>
                <w:lang w:val="sr-Latn-RS"/>
              </w:rPr>
              <w:t xml:space="preserve"> </w:t>
            </w:r>
            <w:r w:rsidRPr="00394D9A">
              <w:rPr>
                <w:szCs w:val="22"/>
                <w:lang w:val="sr-Latn-RS"/>
              </w:rPr>
              <w:t>(</w:t>
            </w:r>
            <w:r w:rsidRPr="00394D9A">
              <w:rPr>
                <w:i/>
                <w:iCs/>
                <w:szCs w:val="22"/>
                <w:lang w:val="sr-Latn-RS"/>
              </w:rPr>
              <w:t>carry-over effect</w:t>
            </w:r>
            <w:r w:rsidRPr="00394D9A">
              <w:rPr>
                <w:szCs w:val="22"/>
                <w:lang w:val="sr-Latn-RS"/>
              </w:rPr>
              <w:t>) enoksaparina i nije klinički relevantno. Rezultati drugih testova</w:t>
            </w:r>
            <w:r w:rsidR="00515AA7" w:rsidRPr="00394D9A">
              <w:rPr>
                <w:szCs w:val="22"/>
                <w:lang w:val="sr-Latn-RS"/>
              </w:rPr>
              <w:t xml:space="preserve"> </w:t>
            </w:r>
            <w:r w:rsidRPr="00394D9A">
              <w:rPr>
                <w:szCs w:val="22"/>
                <w:lang w:val="sr-Latn-RS"/>
              </w:rPr>
              <w:t>antikoagulantnog dejstva dabigatrana ni</w:t>
            </w:r>
            <w:r w:rsidR="00291EB6" w:rsidRPr="00394D9A">
              <w:rPr>
                <w:szCs w:val="22"/>
                <w:lang w:val="sr-Latn-RS"/>
              </w:rPr>
              <w:t>je</w:t>
            </w:r>
            <w:r w:rsidRPr="00394D9A">
              <w:rPr>
                <w:szCs w:val="22"/>
                <w:lang w:val="sr-Latn-RS"/>
              </w:rPr>
              <w:t>su se značajnije m</w:t>
            </w:r>
            <w:r w:rsidR="00CE1CBB" w:rsidRPr="00394D9A">
              <w:rPr>
                <w:szCs w:val="22"/>
                <w:lang w:val="sr-Latn-RS"/>
              </w:rPr>
              <w:t>i</w:t>
            </w:r>
            <w:r w:rsidR="00291EB6" w:rsidRPr="00394D9A">
              <w:rPr>
                <w:szCs w:val="22"/>
                <w:lang w:val="sr-Latn-RS"/>
              </w:rPr>
              <w:t>j</w:t>
            </w:r>
            <w:r w:rsidRPr="00394D9A">
              <w:rPr>
                <w:szCs w:val="22"/>
                <w:lang w:val="sr-Latn-RS"/>
              </w:rPr>
              <w:t>enjali pod uticajem prethodne</w:t>
            </w:r>
            <w:r w:rsidR="00515AA7" w:rsidRPr="00394D9A">
              <w:rPr>
                <w:szCs w:val="22"/>
                <w:lang w:val="sr-Latn-RS"/>
              </w:rPr>
              <w:t xml:space="preserve"> </w:t>
            </w:r>
            <w:r w:rsidRPr="00394D9A">
              <w:rPr>
                <w:szCs w:val="22"/>
                <w:lang w:val="sr-Latn-RS"/>
              </w:rPr>
              <w:t>terapije enoksaparinom.</w:t>
            </w:r>
          </w:p>
        </w:tc>
      </w:tr>
    </w:tbl>
    <w:p w14:paraId="632066EA" w14:textId="77777777" w:rsidR="00515AA7" w:rsidRPr="00394D9A" w:rsidRDefault="00515AA7" w:rsidP="00187D17">
      <w:pPr>
        <w:widowControl w:val="0"/>
        <w:rPr>
          <w:szCs w:val="22"/>
          <w:lang w:val="sr-Latn-RS"/>
        </w:rPr>
      </w:pPr>
    </w:p>
    <w:p w14:paraId="14B81841" w14:textId="5A3CA204" w:rsidR="00D70EAA" w:rsidRPr="00394D9A" w:rsidRDefault="00D70EAA" w:rsidP="00187D17">
      <w:pPr>
        <w:widowControl w:val="0"/>
        <w:rPr>
          <w:szCs w:val="22"/>
          <w:u w:val="single"/>
          <w:lang w:val="sr-Latn-RS"/>
        </w:rPr>
      </w:pPr>
      <w:r w:rsidRPr="00394D9A">
        <w:rPr>
          <w:szCs w:val="22"/>
          <w:u w:val="single"/>
          <w:lang w:val="sr-Latn-RS"/>
        </w:rPr>
        <w:t>Druge interakcije</w:t>
      </w:r>
    </w:p>
    <w:p w14:paraId="7748125D" w14:textId="77777777" w:rsidR="00515AA7" w:rsidRPr="00394D9A" w:rsidRDefault="00515AA7" w:rsidP="00187D17">
      <w:pPr>
        <w:widowControl w:val="0"/>
        <w:rPr>
          <w:szCs w:val="22"/>
          <w:lang w:val="sr-Latn-RS"/>
        </w:rPr>
      </w:pPr>
    </w:p>
    <w:p w14:paraId="66DD0B72" w14:textId="031602D5" w:rsidR="00D70EAA" w:rsidRPr="00394D9A" w:rsidRDefault="00D70EAA" w:rsidP="00187D17">
      <w:pPr>
        <w:widowControl w:val="0"/>
        <w:rPr>
          <w:b/>
          <w:bCs/>
          <w:szCs w:val="22"/>
          <w:lang w:val="sr-Latn-RS"/>
        </w:rPr>
      </w:pPr>
      <w:r w:rsidRPr="00394D9A">
        <w:rPr>
          <w:b/>
          <w:bCs/>
          <w:szCs w:val="22"/>
          <w:lang w:val="sr-Latn-RS"/>
        </w:rPr>
        <w:t xml:space="preserve">Tabela </w:t>
      </w:r>
      <w:r w:rsidR="005913DB" w:rsidRPr="00394D9A">
        <w:rPr>
          <w:b/>
          <w:bCs/>
          <w:szCs w:val="22"/>
          <w:lang w:val="sr-Latn-RS"/>
        </w:rPr>
        <w:t>10</w:t>
      </w:r>
      <w:r w:rsidRPr="00394D9A">
        <w:rPr>
          <w:b/>
          <w:bCs/>
          <w:szCs w:val="22"/>
          <w:lang w:val="sr-Latn-RS"/>
        </w:rPr>
        <w:t>: Druge interakcije</w:t>
      </w:r>
    </w:p>
    <w:p w14:paraId="3E8F2E12" w14:textId="77777777" w:rsidR="00515AA7" w:rsidRPr="00394D9A" w:rsidRDefault="00515AA7" w:rsidP="00187D17">
      <w:pPr>
        <w:widowControl w:val="0"/>
        <w:rPr>
          <w:szCs w:val="22"/>
          <w:lang w:val="sr-Latn-RS"/>
        </w:rPr>
      </w:pPr>
    </w:p>
    <w:tbl>
      <w:tblPr>
        <w:tblStyle w:val="TableGrid"/>
        <w:tblW w:w="0" w:type="auto"/>
        <w:tblLook w:val="04A0" w:firstRow="1" w:lastRow="0" w:firstColumn="1" w:lastColumn="0" w:noHBand="0" w:noVBand="1"/>
      </w:tblPr>
      <w:tblGrid>
        <w:gridCol w:w="1272"/>
        <w:gridCol w:w="7789"/>
      </w:tblGrid>
      <w:tr w:rsidR="00D70EAA" w:rsidRPr="00A01BFA" w14:paraId="54B20606" w14:textId="77777777" w:rsidTr="00DF17BA">
        <w:tc>
          <w:tcPr>
            <w:tcW w:w="0" w:type="auto"/>
            <w:gridSpan w:val="2"/>
          </w:tcPr>
          <w:p w14:paraId="24867137" w14:textId="07A64E2A" w:rsidR="00D70EAA" w:rsidRPr="00394D9A" w:rsidRDefault="00D70EAA" w:rsidP="00187D17">
            <w:pPr>
              <w:widowControl w:val="0"/>
              <w:rPr>
                <w:i/>
                <w:iCs/>
                <w:szCs w:val="22"/>
                <w:u w:val="single"/>
                <w:lang w:val="sr-Latn-RS"/>
              </w:rPr>
            </w:pPr>
            <w:r w:rsidRPr="00394D9A">
              <w:rPr>
                <w:i/>
                <w:iCs/>
                <w:szCs w:val="22"/>
                <w:u w:val="single"/>
                <w:lang w:val="sr-Latn-RS"/>
              </w:rPr>
              <w:t>Se</w:t>
            </w:r>
            <w:r w:rsidR="00A639DA" w:rsidRPr="00394D9A">
              <w:rPr>
                <w:i/>
                <w:iCs/>
                <w:szCs w:val="22"/>
                <w:u w:val="single"/>
                <w:lang w:val="sr-Latn-RS"/>
              </w:rPr>
              <w:t>lek</w:t>
            </w:r>
            <w:r w:rsidRPr="00394D9A">
              <w:rPr>
                <w:i/>
                <w:iCs/>
                <w:szCs w:val="22"/>
                <w:u w:val="single"/>
                <w:lang w:val="sr-Latn-RS"/>
              </w:rPr>
              <w:t>tivni inhibitori ponovnog preuzimanja serotonina (SSRI) ili se</w:t>
            </w:r>
            <w:r w:rsidR="00A639DA" w:rsidRPr="00394D9A">
              <w:rPr>
                <w:i/>
                <w:iCs/>
                <w:szCs w:val="22"/>
                <w:u w:val="single"/>
                <w:lang w:val="sr-Latn-RS"/>
              </w:rPr>
              <w:t>lek</w:t>
            </w:r>
            <w:r w:rsidRPr="00394D9A">
              <w:rPr>
                <w:i/>
                <w:iCs/>
                <w:szCs w:val="22"/>
                <w:u w:val="single"/>
                <w:lang w:val="sr-Latn-RS"/>
              </w:rPr>
              <w:t>tivni inhibitori ponovnog</w:t>
            </w:r>
            <w:r w:rsidR="00515AA7" w:rsidRPr="00394D9A">
              <w:rPr>
                <w:i/>
                <w:iCs/>
                <w:szCs w:val="22"/>
                <w:u w:val="single"/>
                <w:lang w:val="sr-Latn-RS"/>
              </w:rPr>
              <w:t xml:space="preserve"> </w:t>
            </w:r>
            <w:r w:rsidRPr="00394D9A">
              <w:rPr>
                <w:i/>
                <w:iCs/>
                <w:szCs w:val="22"/>
                <w:u w:val="single"/>
                <w:lang w:val="sr-Latn-RS"/>
              </w:rPr>
              <w:t>preuzimanja serotonina i noradrenalina (SNRI)</w:t>
            </w:r>
          </w:p>
        </w:tc>
      </w:tr>
      <w:tr w:rsidR="00D70EAA" w:rsidRPr="00A01BFA" w14:paraId="0FFD405E" w14:textId="77777777" w:rsidTr="00DF17BA">
        <w:tc>
          <w:tcPr>
            <w:tcW w:w="0" w:type="auto"/>
          </w:tcPr>
          <w:p w14:paraId="4C9DF31D" w14:textId="6B149D81" w:rsidR="00D70EAA" w:rsidRPr="00394D9A" w:rsidRDefault="00D70EAA" w:rsidP="00187D17">
            <w:pPr>
              <w:widowControl w:val="0"/>
              <w:rPr>
                <w:szCs w:val="22"/>
                <w:lang w:val="sr-Latn-RS"/>
              </w:rPr>
            </w:pPr>
            <w:r w:rsidRPr="00394D9A">
              <w:rPr>
                <w:szCs w:val="22"/>
                <w:lang w:val="sr-Latn-RS"/>
              </w:rPr>
              <w:t>SSRI, SNRI</w:t>
            </w:r>
          </w:p>
        </w:tc>
        <w:tc>
          <w:tcPr>
            <w:tcW w:w="0" w:type="auto"/>
          </w:tcPr>
          <w:p w14:paraId="62847EB1" w14:textId="7E774CA3" w:rsidR="00D70EAA" w:rsidRPr="00394D9A" w:rsidRDefault="00D70EAA" w:rsidP="00187D17">
            <w:pPr>
              <w:widowControl w:val="0"/>
              <w:rPr>
                <w:szCs w:val="22"/>
                <w:lang w:val="sr-Latn-RS"/>
              </w:rPr>
            </w:pPr>
            <w:r w:rsidRPr="00394D9A">
              <w:rPr>
                <w:szCs w:val="22"/>
                <w:lang w:val="sr-Latn-RS"/>
              </w:rPr>
              <w:t>SSRI i SNRI su povećavali rizik od krvarenja u svim grupama pacijenata u</w:t>
            </w:r>
            <w:r w:rsidR="00515AA7" w:rsidRPr="00394D9A">
              <w:rPr>
                <w:szCs w:val="22"/>
                <w:lang w:val="sr-Latn-RS"/>
              </w:rPr>
              <w:t xml:space="preserve"> </w:t>
            </w:r>
            <w:r w:rsidRPr="00394D9A">
              <w:rPr>
                <w:szCs w:val="22"/>
                <w:lang w:val="sr-Latn-RS"/>
              </w:rPr>
              <w:t>kliničkom ispitivanju faze III u kome su se upoređivali dabigatran i varfarin za</w:t>
            </w:r>
            <w:r w:rsidR="00515AA7" w:rsidRPr="00394D9A">
              <w:rPr>
                <w:szCs w:val="22"/>
                <w:lang w:val="sr-Latn-RS"/>
              </w:rPr>
              <w:t xml:space="preserve"> </w:t>
            </w:r>
            <w:r w:rsidRPr="00394D9A">
              <w:rPr>
                <w:szCs w:val="22"/>
                <w:lang w:val="sr-Latn-RS"/>
              </w:rPr>
              <w:t>prevenciju moždanog udara kod pacijenata s</w:t>
            </w:r>
            <w:r w:rsidR="003D2DBC" w:rsidRPr="00394D9A">
              <w:rPr>
                <w:szCs w:val="22"/>
                <w:lang w:val="sr-Latn-RS"/>
              </w:rPr>
              <w:t>a</w:t>
            </w:r>
            <w:r w:rsidRPr="00394D9A">
              <w:rPr>
                <w:szCs w:val="22"/>
                <w:lang w:val="sr-Latn-RS"/>
              </w:rPr>
              <w:t xml:space="preserve"> atrijalnom fibrilacijom (RE-LY).</w:t>
            </w:r>
          </w:p>
        </w:tc>
      </w:tr>
      <w:tr w:rsidR="00D70EAA" w:rsidRPr="00394D9A" w14:paraId="0DECC147" w14:textId="77777777" w:rsidTr="00DF17BA">
        <w:tc>
          <w:tcPr>
            <w:tcW w:w="0" w:type="auto"/>
            <w:gridSpan w:val="2"/>
          </w:tcPr>
          <w:p w14:paraId="35E0D8DF" w14:textId="2D12E1C7" w:rsidR="00D70EAA" w:rsidRPr="00394D9A" w:rsidRDefault="00D70EAA" w:rsidP="00187D17">
            <w:pPr>
              <w:widowControl w:val="0"/>
              <w:rPr>
                <w:i/>
                <w:iCs/>
                <w:szCs w:val="22"/>
                <w:u w:val="single"/>
                <w:lang w:val="sr-Latn-RS"/>
              </w:rPr>
            </w:pPr>
            <w:r w:rsidRPr="00394D9A">
              <w:rPr>
                <w:i/>
                <w:iCs/>
                <w:szCs w:val="22"/>
                <w:u w:val="single"/>
                <w:lang w:val="sr-Latn-RS"/>
              </w:rPr>
              <w:t>Supstance koje utiču na pH želuca</w:t>
            </w:r>
          </w:p>
        </w:tc>
      </w:tr>
      <w:tr w:rsidR="00D70EAA" w:rsidRPr="00A01BFA" w14:paraId="19B10118" w14:textId="77777777" w:rsidTr="00DF17BA">
        <w:tc>
          <w:tcPr>
            <w:tcW w:w="0" w:type="auto"/>
          </w:tcPr>
          <w:p w14:paraId="4EBF6CB3" w14:textId="3E3AC277" w:rsidR="00D70EAA" w:rsidRPr="00394D9A" w:rsidRDefault="00D70EAA" w:rsidP="00187D17">
            <w:pPr>
              <w:widowControl w:val="0"/>
              <w:rPr>
                <w:szCs w:val="22"/>
                <w:lang w:val="sr-Latn-RS"/>
              </w:rPr>
            </w:pPr>
            <w:r w:rsidRPr="00394D9A">
              <w:rPr>
                <w:szCs w:val="22"/>
                <w:lang w:val="sr-Latn-RS"/>
              </w:rPr>
              <w:t>Pantoprazol</w:t>
            </w:r>
          </w:p>
        </w:tc>
        <w:tc>
          <w:tcPr>
            <w:tcW w:w="0" w:type="auto"/>
          </w:tcPr>
          <w:p w14:paraId="20B9F9CD" w14:textId="73339ADD" w:rsidR="00D70EAA" w:rsidRPr="00394D9A" w:rsidRDefault="00D70EAA" w:rsidP="00187D17">
            <w:pPr>
              <w:widowControl w:val="0"/>
              <w:rPr>
                <w:szCs w:val="22"/>
                <w:lang w:val="sr-Latn-RS"/>
              </w:rPr>
            </w:pPr>
            <w:r w:rsidRPr="00394D9A">
              <w:rPr>
                <w:szCs w:val="22"/>
                <w:lang w:val="sr-Latn-RS"/>
              </w:rPr>
              <w:t xml:space="preserve">Kada se </w:t>
            </w:r>
            <w:r w:rsidR="00A639DA" w:rsidRPr="00394D9A">
              <w:rPr>
                <w:szCs w:val="22"/>
                <w:lang w:val="sr-Latn-RS"/>
              </w:rPr>
              <w:t>lijek</w:t>
            </w:r>
            <w:r w:rsidRPr="00394D9A">
              <w:rPr>
                <w:szCs w:val="22"/>
                <w:lang w:val="sr-Latn-RS"/>
              </w:rPr>
              <w:t xml:space="preserve"> </w:t>
            </w:r>
            <w:r w:rsidR="002F623A" w:rsidRPr="00394D9A">
              <w:rPr>
                <w:szCs w:val="22"/>
                <w:lang w:val="sr-Latn-RS"/>
              </w:rPr>
              <w:t>Dabigatran SK</w:t>
            </w:r>
            <w:r w:rsidRPr="00394D9A">
              <w:rPr>
                <w:szCs w:val="22"/>
                <w:lang w:val="sr-Latn-RS"/>
              </w:rPr>
              <w:t xml:space="preserve"> prim</w:t>
            </w:r>
            <w:r w:rsidR="00291EB6" w:rsidRPr="00394D9A">
              <w:rPr>
                <w:szCs w:val="22"/>
                <w:lang w:val="sr-Latn-RS"/>
              </w:rPr>
              <w:t>j</w:t>
            </w:r>
            <w:r w:rsidRPr="00394D9A">
              <w:rPr>
                <w:szCs w:val="22"/>
                <w:lang w:val="sr-Latn-RS"/>
              </w:rPr>
              <w:t>enjivao zajedno sa pantoprazolom, zapaženo je smanjenje</w:t>
            </w:r>
            <w:r w:rsidR="00515AA7" w:rsidRPr="00394D9A">
              <w:rPr>
                <w:szCs w:val="22"/>
                <w:lang w:val="sr-Latn-RS"/>
              </w:rPr>
              <w:t xml:space="preserve"> </w:t>
            </w:r>
            <w:r w:rsidRPr="00394D9A">
              <w:rPr>
                <w:szCs w:val="22"/>
                <w:lang w:val="sr-Latn-RS"/>
              </w:rPr>
              <w:t>PIK dabigatrana od oko 30%. Pantoprazol i drugi inhibitori protonske pumpe (PPI)</w:t>
            </w:r>
            <w:r w:rsidR="00515AA7" w:rsidRPr="00394D9A">
              <w:rPr>
                <w:szCs w:val="22"/>
                <w:lang w:val="sr-Latn-RS"/>
              </w:rPr>
              <w:t xml:space="preserve"> </w:t>
            </w:r>
            <w:r w:rsidRPr="00394D9A">
              <w:rPr>
                <w:szCs w:val="22"/>
                <w:lang w:val="sr-Latn-RS"/>
              </w:rPr>
              <w:t>su prim</w:t>
            </w:r>
            <w:r w:rsidR="00291EB6" w:rsidRPr="00394D9A">
              <w:rPr>
                <w:szCs w:val="22"/>
                <w:lang w:val="sr-Latn-RS"/>
              </w:rPr>
              <w:t>j</w:t>
            </w:r>
            <w:r w:rsidRPr="00394D9A">
              <w:rPr>
                <w:szCs w:val="22"/>
                <w:lang w:val="sr-Latn-RS"/>
              </w:rPr>
              <w:t xml:space="preserve">enjivani zajedno sa </w:t>
            </w:r>
            <w:r w:rsidR="00A639DA" w:rsidRPr="00394D9A">
              <w:rPr>
                <w:szCs w:val="22"/>
                <w:lang w:val="sr-Latn-RS"/>
              </w:rPr>
              <w:t>lijekom</w:t>
            </w:r>
            <w:r w:rsidRPr="00394D9A">
              <w:rPr>
                <w:szCs w:val="22"/>
                <w:lang w:val="sr-Latn-RS"/>
              </w:rPr>
              <w:t xml:space="preserve"> </w:t>
            </w:r>
            <w:r w:rsidR="00515AA7" w:rsidRPr="00394D9A">
              <w:rPr>
                <w:szCs w:val="22"/>
                <w:lang w:val="sr-Latn-RS"/>
              </w:rPr>
              <w:t>Dabigatran SK</w:t>
            </w:r>
            <w:r w:rsidRPr="00394D9A">
              <w:rPr>
                <w:szCs w:val="22"/>
                <w:lang w:val="sr-Latn-RS"/>
              </w:rPr>
              <w:t xml:space="preserve"> u kliničkim ispitivanjima i nije prim</w:t>
            </w:r>
            <w:r w:rsidR="00CE1CBB" w:rsidRPr="00394D9A">
              <w:rPr>
                <w:szCs w:val="22"/>
                <w:lang w:val="sr-Latn-RS"/>
              </w:rPr>
              <w:t>i</w:t>
            </w:r>
            <w:r w:rsidR="00291EB6" w:rsidRPr="00394D9A">
              <w:rPr>
                <w:szCs w:val="22"/>
                <w:lang w:val="sr-Latn-RS"/>
              </w:rPr>
              <w:t>j</w:t>
            </w:r>
            <w:r w:rsidRPr="00394D9A">
              <w:rPr>
                <w:szCs w:val="22"/>
                <w:lang w:val="sr-Latn-RS"/>
              </w:rPr>
              <w:t>ećen</w:t>
            </w:r>
            <w:r w:rsidR="00515AA7" w:rsidRPr="00394D9A">
              <w:rPr>
                <w:szCs w:val="22"/>
                <w:lang w:val="sr-Latn-RS"/>
              </w:rPr>
              <w:t xml:space="preserve"> </w:t>
            </w:r>
            <w:r w:rsidRPr="00394D9A">
              <w:rPr>
                <w:szCs w:val="22"/>
                <w:lang w:val="sr-Latn-RS"/>
              </w:rPr>
              <w:t xml:space="preserve">uticaj na krvarenje ili smanjenje efikasnosti </w:t>
            </w:r>
            <w:r w:rsidR="00A639DA" w:rsidRPr="00394D9A">
              <w:rPr>
                <w:szCs w:val="22"/>
                <w:lang w:val="sr-Latn-RS"/>
              </w:rPr>
              <w:t>lijeka</w:t>
            </w:r>
            <w:r w:rsidRPr="00394D9A">
              <w:rPr>
                <w:szCs w:val="22"/>
                <w:lang w:val="sr-Latn-RS"/>
              </w:rPr>
              <w:t xml:space="preserve"> </w:t>
            </w:r>
            <w:r w:rsidR="00515AA7" w:rsidRPr="00394D9A">
              <w:rPr>
                <w:szCs w:val="22"/>
                <w:lang w:val="sr-Latn-RS"/>
              </w:rPr>
              <w:t>Dabigatran SK</w:t>
            </w:r>
            <w:r w:rsidRPr="00394D9A">
              <w:rPr>
                <w:szCs w:val="22"/>
                <w:lang w:val="sr-Latn-RS"/>
              </w:rPr>
              <w:t>.</w:t>
            </w:r>
          </w:p>
        </w:tc>
      </w:tr>
      <w:tr w:rsidR="00D70EAA" w:rsidRPr="00A01BFA" w14:paraId="598ADF55" w14:textId="77777777" w:rsidTr="00DF17BA">
        <w:tc>
          <w:tcPr>
            <w:tcW w:w="0" w:type="auto"/>
          </w:tcPr>
          <w:p w14:paraId="3683C478" w14:textId="7C071376" w:rsidR="00D70EAA" w:rsidRPr="00394D9A" w:rsidRDefault="00D70EAA" w:rsidP="00187D17">
            <w:pPr>
              <w:widowControl w:val="0"/>
              <w:rPr>
                <w:szCs w:val="22"/>
                <w:lang w:val="sr-Latn-RS"/>
              </w:rPr>
            </w:pPr>
            <w:r w:rsidRPr="00394D9A">
              <w:rPr>
                <w:szCs w:val="22"/>
                <w:lang w:val="sr-Latn-RS"/>
              </w:rPr>
              <w:t>Ranitidin</w:t>
            </w:r>
          </w:p>
        </w:tc>
        <w:tc>
          <w:tcPr>
            <w:tcW w:w="0" w:type="auto"/>
          </w:tcPr>
          <w:p w14:paraId="781505C2" w14:textId="41C41050" w:rsidR="00D70EAA" w:rsidRPr="00394D9A" w:rsidRDefault="00A639DA" w:rsidP="00187D17">
            <w:pPr>
              <w:widowControl w:val="0"/>
              <w:rPr>
                <w:szCs w:val="22"/>
                <w:lang w:val="sr-Latn-RS"/>
              </w:rPr>
            </w:pPr>
            <w:r w:rsidRPr="00394D9A">
              <w:rPr>
                <w:szCs w:val="22"/>
                <w:lang w:val="sr-Latn-RS"/>
              </w:rPr>
              <w:t>Primjena</w:t>
            </w:r>
            <w:r w:rsidR="00D70EAA" w:rsidRPr="00394D9A">
              <w:rPr>
                <w:szCs w:val="22"/>
                <w:lang w:val="sr-Latn-RS"/>
              </w:rPr>
              <w:t xml:space="preserve"> ranitidina zajedno sa </w:t>
            </w:r>
            <w:r w:rsidRPr="00394D9A">
              <w:rPr>
                <w:szCs w:val="22"/>
                <w:lang w:val="sr-Latn-RS"/>
              </w:rPr>
              <w:t>lijekom</w:t>
            </w:r>
            <w:r w:rsidR="00D70EAA" w:rsidRPr="00394D9A">
              <w:rPr>
                <w:szCs w:val="22"/>
                <w:lang w:val="sr-Latn-RS"/>
              </w:rPr>
              <w:t xml:space="preserve"> </w:t>
            </w:r>
            <w:r w:rsidR="00515AA7" w:rsidRPr="00394D9A">
              <w:rPr>
                <w:szCs w:val="22"/>
                <w:lang w:val="sr-Latn-RS"/>
              </w:rPr>
              <w:t>Dabigatran SK</w:t>
            </w:r>
            <w:r w:rsidR="00D70EAA" w:rsidRPr="00394D9A">
              <w:rPr>
                <w:szCs w:val="22"/>
                <w:lang w:val="sr-Latn-RS"/>
              </w:rPr>
              <w:t xml:space="preserve"> nije imala klinički relevantan efekat na</w:t>
            </w:r>
            <w:r w:rsidR="00515AA7" w:rsidRPr="00394D9A">
              <w:rPr>
                <w:szCs w:val="22"/>
                <w:lang w:val="sr-Latn-RS"/>
              </w:rPr>
              <w:t xml:space="preserve"> </w:t>
            </w:r>
            <w:r w:rsidR="00D70EAA" w:rsidRPr="00394D9A">
              <w:rPr>
                <w:szCs w:val="22"/>
                <w:lang w:val="sr-Latn-RS"/>
              </w:rPr>
              <w:t>stepen resorpcije dabigatrana.</w:t>
            </w:r>
          </w:p>
        </w:tc>
      </w:tr>
    </w:tbl>
    <w:p w14:paraId="5D915F20" w14:textId="77777777" w:rsidR="00515AA7" w:rsidRPr="00394D9A" w:rsidRDefault="00515AA7" w:rsidP="00187D17">
      <w:pPr>
        <w:widowControl w:val="0"/>
        <w:rPr>
          <w:szCs w:val="22"/>
          <w:lang w:val="sr-Latn-RS"/>
        </w:rPr>
      </w:pPr>
    </w:p>
    <w:p w14:paraId="7B858D61" w14:textId="5E7DC18E" w:rsidR="00D70EAA" w:rsidRPr="00394D9A" w:rsidRDefault="00D70EAA" w:rsidP="00187D17">
      <w:pPr>
        <w:widowControl w:val="0"/>
        <w:rPr>
          <w:szCs w:val="22"/>
          <w:lang w:val="sr-Latn-RS"/>
        </w:rPr>
      </w:pPr>
      <w:r w:rsidRPr="00394D9A">
        <w:rPr>
          <w:szCs w:val="22"/>
          <w:lang w:val="sr-Latn-RS"/>
        </w:rPr>
        <w:t>I</w:t>
      </w:r>
      <w:r w:rsidRPr="00394D9A">
        <w:rPr>
          <w:szCs w:val="22"/>
          <w:u w:val="single"/>
          <w:lang w:val="sr-Latn-RS"/>
        </w:rPr>
        <w:t>nterakcije povezane sa dabigatraneteksilatom i metaboličkim profilom dabigatrana</w:t>
      </w:r>
    </w:p>
    <w:p w14:paraId="3D6C8CEB" w14:textId="77777777" w:rsidR="00515AA7" w:rsidRPr="00394D9A" w:rsidRDefault="00515AA7" w:rsidP="00187D17">
      <w:pPr>
        <w:widowControl w:val="0"/>
        <w:rPr>
          <w:szCs w:val="22"/>
          <w:lang w:val="sr-Latn-RS"/>
        </w:rPr>
      </w:pPr>
    </w:p>
    <w:p w14:paraId="175780A5" w14:textId="1033BB7B" w:rsidR="00D70EAA" w:rsidRPr="00394D9A" w:rsidRDefault="00D70EAA" w:rsidP="00187D17">
      <w:pPr>
        <w:widowControl w:val="0"/>
        <w:rPr>
          <w:szCs w:val="22"/>
          <w:lang w:val="sr-Latn-RS"/>
        </w:rPr>
      </w:pPr>
      <w:r w:rsidRPr="00394D9A">
        <w:rPr>
          <w:szCs w:val="22"/>
          <w:lang w:val="sr-Latn-RS"/>
        </w:rPr>
        <w:t xml:space="preserve">Dabigatraneteksilat i dabigatran se ne metabolišu pomoću citohrom P450 sistema i nemaju </w:t>
      </w:r>
      <w:r w:rsidRPr="00394D9A">
        <w:rPr>
          <w:i/>
          <w:iCs/>
          <w:szCs w:val="22"/>
          <w:lang w:val="sr-Latn-RS"/>
        </w:rPr>
        <w:t>in vitro</w:t>
      </w:r>
      <w:r w:rsidRPr="00394D9A">
        <w:rPr>
          <w:szCs w:val="22"/>
          <w:lang w:val="sr-Latn-RS"/>
        </w:rPr>
        <w:t xml:space="preserve"> efekte</w:t>
      </w:r>
      <w:r w:rsidR="00515AA7" w:rsidRPr="00394D9A">
        <w:rPr>
          <w:szCs w:val="22"/>
          <w:lang w:val="sr-Latn-RS"/>
        </w:rPr>
        <w:t xml:space="preserve"> </w:t>
      </w:r>
      <w:r w:rsidRPr="00394D9A">
        <w:rPr>
          <w:szCs w:val="22"/>
          <w:lang w:val="sr-Latn-RS"/>
        </w:rPr>
        <w:t xml:space="preserve">na enzime humanog citohroma P450. Zbog toga se ne očekuju interakcije </w:t>
      </w:r>
      <w:r w:rsidR="00A639DA" w:rsidRPr="00394D9A">
        <w:rPr>
          <w:szCs w:val="22"/>
          <w:lang w:val="sr-Latn-RS"/>
        </w:rPr>
        <w:t xml:space="preserve">ljekova </w:t>
      </w:r>
      <w:r w:rsidRPr="00394D9A">
        <w:rPr>
          <w:szCs w:val="22"/>
          <w:lang w:val="sr-Latn-RS"/>
        </w:rPr>
        <w:t xml:space="preserve"> koji se ovim putem</w:t>
      </w:r>
      <w:r w:rsidR="00515AA7" w:rsidRPr="00394D9A">
        <w:rPr>
          <w:szCs w:val="22"/>
          <w:lang w:val="sr-Latn-RS"/>
        </w:rPr>
        <w:t xml:space="preserve"> </w:t>
      </w:r>
      <w:r w:rsidRPr="00394D9A">
        <w:rPr>
          <w:szCs w:val="22"/>
          <w:lang w:val="sr-Latn-RS"/>
        </w:rPr>
        <w:t>metabolišu sa dabigatranom.</w:t>
      </w:r>
      <w:r w:rsidR="00E3559B" w:rsidRPr="00394D9A">
        <w:rPr>
          <w:szCs w:val="22"/>
          <w:lang w:val="sr-Latn-RS"/>
        </w:rPr>
        <w:t xml:space="preserve"> </w:t>
      </w:r>
    </w:p>
    <w:p w14:paraId="69DF2348" w14:textId="77777777" w:rsidR="006A44D2" w:rsidRPr="00394D9A" w:rsidRDefault="006A44D2" w:rsidP="00187D17">
      <w:pPr>
        <w:widowControl w:val="0"/>
        <w:rPr>
          <w:szCs w:val="22"/>
          <w:lang w:val="sr-Latn-RS"/>
        </w:rPr>
      </w:pPr>
    </w:p>
    <w:p w14:paraId="26AB3984" w14:textId="77777777" w:rsidR="00FA1F19" w:rsidRPr="00394D9A" w:rsidRDefault="00FA1F19" w:rsidP="00187D17">
      <w:pPr>
        <w:widowControl w:val="0"/>
        <w:rPr>
          <w:szCs w:val="22"/>
          <w:u w:val="single"/>
          <w:lang w:val="sr-Latn-RS"/>
        </w:rPr>
      </w:pPr>
      <w:r w:rsidRPr="00394D9A">
        <w:rPr>
          <w:szCs w:val="22"/>
          <w:u w:val="single"/>
          <w:lang w:val="sr-Latn-RS"/>
        </w:rPr>
        <w:t>Pedijatrijska populacija</w:t>
      </w:r>
    </w:p>
    <w:p w14:paraId="11CA33CE" w14:textId="77777777" w:rsidR="00FA1F19" w:rsidRPr="00394D9A" w:rsidRDefault="00FA1F19" w:rsidP="00187D17">
      <w:pPr>
        <w:widowControl w:val="0"/>
        <w:rPr>
          <w:szCs w:val="22"/>
          <w:lang w:val="sr-Latn-RS"/>
        </w:rPr>
      </w:pPr>
    </w:p>
    <w:p w14:paraId="588FFB5E" w14:textId="577193F1" w:rsidR="00FA1F19" w:rsidRPr="00394D9A" w:rsidRDefault="00FA1F19" w:rsidP="00187D17">
      <w:pPr>
        <w:widowControl w:val="0"/>
        <w:jc w:val="left"/>
        <w:rPr>
          <w:szCs w:val="22"/>
          <w:lang w:val="sr-Latn-RS"/>
        </w:rPr>
      </w:pPr>
      <w:r w:rsidRPr="00394D9A">
        <w:rPr>
          <w:szCs w:val="22"/>
          <w:lang w:val="sr-Latn-RS"/>
        </w:rPr>
        <w:t>Studije interakcija bile su sprovedene samo kod odraslih osoba.</w:t>
      </w:r>
    </w:p>
    <w:p w14:paraId="77B2629A" w14:textId="77777777" w:rsidR="00CE09F3" w:rsidRPr="00394D9A" w:rsidRDefault="00CE09F3" w:rsidP="00187D17">
      <w:pPr>
        <w:widowControl w:val="0"/>
        <w:rPr>
          <w:szCs w:val="22"/>
          <w:lang w:val="sr-Latn-RS"/>
        </w:rPr>
      </w:pPr>
    </w:p>
    <w:p w14:paraId="4D83A31D" w14:textId="77777777" w:rsidR="00523BC9" w:rsidRPr="00394D9A" w:rsidRDefault="00523BC9" w:rsidP="00187D17">
      <w:pPr>
        <w:widowControl w:val="0"/>
        <w:tabs>
          <w:tab w:val="left" w:pos="540"/>
          <w:tab w:val="left" w:pos="569"/>
        </w:tabs>
        <w:rPr>
          <w:b/>
          <w:szCs w:val="22"/>
          <w:lang w:val="sr-Latn-RS"/>
        </w:rPr>
      </w:pPr>
      <w:r w:rsidRPr="00394D9A">
        <w:rPr>
          <w:b/>
          <w:bCs/>
          <w:szCs w:val="22"/>
          <w:lang w:val="sr-Latn-RS"/>
        </w:rPr>
        <w:lastRenderedPageBreak/>
        <w:t xml:space="preserve">4.6. </w:t>
      </w:r>
      <w:r w:rsidRPr="00394D9A">
        <w:rPr>
          <w:b/>
          <w:bCs/>
          <w:szCs w:val="22"/>
          <w:lang w:val="sr-Latn-RS"/>
        </w:rPr>
        <w:tab/>
      </w:r>
      <w:r w:rsidRPr="00394D9A">
        <w:rPr>
          <w:b/>
          <w:szCs w:val="22"/>
          <w:lang w:val="sr-Latn-RS"/>
        </w:rPr>
        <w:t>Plodnost, trudnoća i dojenje</w:t>
      </w:r>
    </w:p>
    <w:p w14:paraId="1E07741F" w14:textId="6EF2CADD" w:rsidR="00CE09F3" w:rsidRPr="00394D9A" w:rsidRDefault="00CE09F3" w:rsidP="00187D17">
      <w:pPr>
        <w:widowControl w:val="0"/>
        <w:rPr>
          <w:szCs w:val="22"/>
          <w:lang w:val="sr-Latn-RS"/>
        </w:rPr>
      </w:pPr>
    </w:p>
    <w:p w14:paraId="5B16992A" w14:textId="0D7E8E61" w:rsidR="0082170F" w:rsidRPr="00394D9A" w:rsidRDefault="0082170F" w:rsidP="00187D17">
      <w:pPr>
        <w:widowControl w:val="0"/>
        <w:rPr>
          <w:szCs w:val="22"/>
          <w:u w:val="single"/>
          <w:lang w:val="sr-Latn-RS"/>
        </w:rPr>
      </w:pPr>
      <w:r w:rsidRPr="00394D9A">
        <w:rPr>
          <w:szCs w:val="22"/>
          <w:u w:val="single"/>
          <w:lang w:val="sr-Latn-RS"/>
        </w:rPr>
        <w:t xml:space="preserve">Žene u reproduktivnom </w:t>
      </w:r>
      <w:r w:rsidR="00AE19A7" w:rsidRPr="00394D9A">
        <w:rPr>
          <w:szCs w:val="22"/>
          <w:u w:val="single"/>
          <w:lang w:val="sr-Latn-RS"/>
        </w:rPr>
        <w:t>period</w:t>
      </w:r>
      <w:r w:rsidR="00DD3AF5" w:rsidRPr="00394D9A">
        <w:rPr>
          <w:szCs w:val="22"/>
          <w:u w:val="single"/>
          <w:lang w:val="sr-Latn-RS"/>
        </w:rPr>
        <w:t>u</w:t>
      </w:r>
    </w:p>
    <w:p w14:paraId="13D7C234" w14:textId="77777777" w:rsidR="00AE19A7" w:rsidRPr="00394D9A" w:rsidRDefault="00AE19A7" w:rsidP="00187D17">
      <w:pPr>
        <w:widowControl w:val="0"/>
        <w:rPr>
          <w:szCs w:val="22"/>
          <w:u w:val="single"/>
          <w:lang w:val="sr-Latn-RS"/>
        </w:rPr>
      </w:pPr>
    </w:p>
    <w:p w14:paraId="0CFEC69D" w14:textId="19B2AAA7" w:rsidR="0082170F" w:rsidRPr="00394D9A" w:rsidRDefault="0082170F" w:rsidP="00187D17">
      <w:pPr>
        <w:widowControl w:val="0"/>
        <w:rPr>
          <w:szCs w:val="22"/>
          <w:lang w:val="sr-Latn-RS"/>
        </w:rPr>
      </w:pPr>
      <w:r w:rsidRPr="00394D9A">
        <w:rPr>
          <w:szCs w:val="22"/>
          <w:lang w:val="sr-Latn-RS"/>
        </w:rPr>
        <w:t xml:space="preserve">Žene u </w:t>
      </w:r>
      <w:r w:rsidR="00DD3AF5" w:rsidRPr="00394D9A">
        <w:rPr>
          <w:szCs w:val="22"/>
          <w:lang w:val="sr-Latn-RS"/>
        </w:rPr>
        <w:t>reproduktivnom periodu</w:t>
      </w:r>
      <w:r w:rsidRPr="00394D9A">
        <w:rPr>
          <w:szCs w:val="22"/>
          <w:lang w:val="sr-Latn-RS"/>
        </w:rPr>
        <w:t xml:space="preserve"> treba da izb</w:t>
      </w:r>
      <w:r w:rsidR="00291EB6" w:rsidRPr="00394D9A">
        <w:rPr>
          <w:szCs w:val="22"/>
          <w:lang w:val="sr-Latn-RS"/>
        </w:rPr>
        <w:t>j</w:t>
      </w:r>
      <w:r w:rsidRPr="00394D9A">
        <w:rPr>
          <w:szCs w:val="22"/>
          <w:lang w:val="sr-Latn-RS"/>
        </w:rPr>
        <w:t xml:space="preserve">egavaju da ostanu u drugom stanju u toku terapije </w:t>
      </w:r>
      <w:r w:rsidR="00A639DA" w:rsidRPr="00394D9A">
        <w:rPr>
          <w:szCs w:val="22"/>
          <w:lang w:val="sr-Latn-RS"/>
        </w:rPr>
        <w:t>lijekom</w:t>
      </w:r>
      <w:r w:rsidRPr="00394D9A">
        <w:rPr>
          <w:szCs w:val="22"/>
          <w:lang w:val="sr-Latn-RS"/>
        </w:rPr>
        <w:t xml:space="preserve"> Dabigatran SK.</w:t>
      </w:r>
    </w:p>
    <w:p w14:paraId="617CBCC2" w14:textId="77777777" w:rsidR="0082170F" w:rsidRPr="00394D9A" w:rsidRDefault="0082170F" w:rsidP="00187D17">
      <w:pPr>
        <w:widowControl w:val="0"/>
        <w:rPr>
          <w:szCs w:val="22"/>
          <w:lang w:val="sr-Latn-RS"/>
        </w:rPr>
      </w:pPr>
    </w:p>
    <w:p w14:paraId="25162D29" w14:textId="09623E8A" w:rsidR="0082170F" w:rsidRPr="00394D9A" w:rsidRDefault="0082170F" w:rsidP="00187D17">
      <w:pPr>
        <w:widowControl w:val="0"/>
        <w:rPr>
          <w:szCs w:val="22"/>
          <w:u w:val="single"/>
          <w:lang w:val="sr-Latn-RS"/>
        </w:rPr>
      </w:pPr>
      <w:r w:rsidRPr="00394D9A">
        <w:rPr>
          <w:szCs w:val="22"/>
          <w:u w:val="single"/>
          <w:lang w:val="sr-Latn-RS"/>
        </w:rPr>
        <w:t>Trudnoća</w:t>
      </w:r>
    </w:p>
    <w:p w14:paraId="1905EDD5" w14:textId="77777777" w:rsidR="0082170F" w:rsidRPr="00394D9A" w:rsidRDefault="0082170F" w:rsidP="00187D17">
      <w:pPr>
        <w:widowControl w:val="0"/>
        <w:rPr>
          <w:szCs w:val="22"/>
          <w:lang w:val="sr-Latn-RS"/>
        </w:rPr>
      </w:pPr>
    </w:p>
    <w:p w14:paraId="476F8772" w14:textId="5FA0E98E" w:rsidR="0082170F" w:rsidRPr="00394D9A" w:rsidRDefault="00DD3AF5" w:rsidP="00187D17">
      <w:pPr>
        <w:widowControl w:val="0"/>
        <w:rPr>
          <w:szCs w:val="22"/>
          <w:lang w:val="sr-Latn-RS"/>
        </w:rPr>
      </w:pPr>
      <w:r w:rsidRPr="00394D9A">
        <w:rPr>
          <w:szCs w:val="22"/>
          <w:lang w:val="sr-Latn-RS"/>
        </w:rPr>
        <w:t>P</w:t>
      </w:r>
      <w:r w:rsidR="0082170F" w:rsidRPr="00394D9A">
        <w:rPr>
          <w:szCs w:val="22"/>
          <w:lang w:val="sr-Latn-RS"/>
        </w:rPr>
        <w:t xml:space="preserve">odaci o upotrebi </w:t>
      </w:r>
      <w:r w:rsidR="00A639DA" w:rsidRPr="00394D9A">
        <w:rPr>
          <w:szCs w:val="22"/>
          <w:lang w:val="sr-Latn-RS"/>
        </w:rPr>
        <w:t>lijeka</w:t>
      </w:r>
      <w:r w:rsidR="0082170F" w:rsidRPr="00394D9A">
        <w:rPr>
          <w:szCs w:val="22"/>
          <w:lang w:val="sr-Latn-RS"/>
        </w:rPr>
        <w:t xml:space="preserve"> Dabigatran SK kod trudnica</w:t>
      </w:r>
      <w:r w:rsidRPr="00394D9A">
        <w:rPr>
          <w:szCs w:val="22"/>
          <w:lang w:val="sr-Latn-RS"/>
        </w:rPr>
        <w:t xml:space="preserve"> su ograničeni</w:t>
      </w:r>
      <w:r w:rsidR="0082170F" w:rsidRPr="00394D9A">
        <w:rPr>
          <w:szCs w:val="22"/>
          <w:lang w:val="sr-Latn-RS"/>
        </w:rPr>
        <w:t>.</w:t>
      </w:r>
    </w:p>
    <w:p w14:paraId="33B6CABB" w14:textId="02429631" w:rsidR="0082170F" w:rsidRPr="00394D9A" w:rsidRDefault="0082170F" w:rsidP="00187D17">
      <w:pPr>
        <w:widowControl w:val="0"/>
        <w:rPr>
          <w:szCs w:val="22"/>
          <w:lang w:val="sr-Latn-RS"/>
        </w:rPr>
      </w:pPr>
      <w:r w:rsidRPr="00394D9A">
        <w:rPr>
          <w:szCs w:val="22"/>
          <w:lang w:val="sr-Latn-RS"/>
        </w:rPr>
        <w:t>Studije na životinjama su pokazale reproduktivnu toksičnost (</w:t>
      </w:r>
      <w:r w:rsidR="00EC68E4" w:rsidRPr="00394D9A">
        <w:rPr>
          <w:szCs w:val="22"/>
          <w:lang w:val="sr-Latn-RS"/>
        </w:rPr>
        <w:t xml:space="preserve">vidjeti </w:t>
      </w:r>
      <w:r w:rsidR="00D7145C" w:rsidRPr="00394D9A">
        <w:rPr>
          <w:szCs w:val="22"/>
          <w:lang w:val="sr-Latn-RS"/>
        </w:rPr>
        <w:t>dio</w:t>
      </w:r>
      <w:r w:rsidRPr="00394D9A">
        <w:rPr>
          <w:szCs w:val="22"/>
          <w:lang w:val="sr-Latn-RS"/>
        </w:rPr>
        <w:t xml:space="preserve"> 5.3). Potencijalni rizik za trudnice je nepoznat.</w:t>
      </w:r>
    </w:p>
    <w:p w14:paraId="01C99297" w14:textId="77777777" w:rsidR="0082170F" w:rsidRPr="00394D9A" w:rsidRDefault="0082170F" w:rsidP="00187D17">
      <w:pPr>
        <w:widowControl w:val="0"/>
        <w:rPr>
          <w:szCs w:val="22"/>
          <w:lang w:val="sr-Latn-RS"/>
        </w:rPr>
      </w:pPr>
    </w:p>
    <w:p w14:paraId="068C3F87" w14:textId="16076F08" w:rsidR="0082170F" w:rsidRPr="00394D9A" w:rsidRDefault="00A639DA" w:rsidP="00187D17">
      <w:pPr>
        <w:widowControl w:val="0"/>
        <w:rPr>
          <w:szCs w:val="22"/>
          <w:lang w:val="sr-Latn-RS"/>
        </w:rPr>
      </w:pPr>
      <w:r w:rsidRPr="00394D9A">
        <w:rPr>
          <w:szCs w:val="22"/>
          <w:lang w:val="sr-Latn-RS"/>
        </w:rPr>
        <w:t>Lijek</w:t>
      </w:r>
      <w:r w:rsidR="0082170F" w:rsidRPr="00394D9A">
        <w:rPr>
          <w:szCs w:val="22"/>
          <w:lang w:val="sr-Latn-RS"/>
        </w:rPr>
        <w:t xml:space="preserve"> Dabigatran SK ne bi trebalo koristiti tokom trudnoće osim ukoliko za tim ne postoji jasna potreba.</w:t>
      </w:r>
    </w:p>
    <w:p w14:paraId="1F42E833" w14:textId="77777777" w:rsidR="0082170F" w:rsidRPr="00394D9A" w:rsidRDefault="0082170F" w:rsidP="00187D17">
      <w:pPr>
        <w:widowControl w:val="0"/>
        <w:rPr>
          <w:szCs w:val="22"/>
          <w:lang w:val="sr-Latn-RS"/>
        </w:rPr>
      </w:pPr>
    </w:p>
    <w:p w14:paraId="4D6DDE7B" w14:textId="0201EF38" w:rsidR="0082170F" w:rsidRPr="00394D9A" w:rsidRDefault="0082170F" w:rsidP="00187D17">
      <w:pPr>
        <w:widowControl w:val="0"/>
        <w:rPr>
          <w:szCs w:val="22"/>
          <w:u w:val="single"/>
          <w:lang w:val="sr-Latn-RS"/>
        </w:rPr>
      </w:pPr>
      <w:r w:rsidRPr="00394D9A">
        <w:rPr>
          <w:szCs w:val="22"/>
          <w:u w:val="single"/>
          <w:lang w:val="sr-Latn-RS"/>
        </w:rPr>
        <w:t>Dojenje</w:t>
      </w:r>
    </w:p>
    <w:p w14:paraId="5C240CAA" w14:textId="77777777" w:rsidR="0082170F" w:rsidRPr="00394D9A" w:rsidRDefault="0082170F" w:rsidP="00187D17">
      <w:pPr>
        <w:widowControl w:val="0"/>
        <w:rPr>
          <w:szCs w:val="22"/>
          <w:lang w:val="sr-Latn-RS"/>
        </w:rPr>
      </w:pPr>
    </w:p>
    <w:p w14:paraId="0AFCF69E" w14:textId="2D0962E7" w:rsidR="0082170F" w:rsidRPr="00394D9A" w:rsidRDefault="0082170F" w:rsidP="00187D17">
      <w:pPr>
        <w:widowControl w:val="0"/>
        <w:rPr>
          <w:szCs w:val="22"/>
          <w:lang w:val="sr-Latn-RS"/>
        </w:rPr>
      </w:pPr>
      <w:r w:rsidRPr="00394D9A">
        <w:rPr>
          <w:szCs w:val="22"/>
          <w:lang w:val="sr-Latn-RS"/>
        </w:rPr>
        <w:t>Ne raspolaže se kliničkim podacima o efektima dabigatrana na odojčad tokom perioda dojenja.</w:t>
      </w:r>
    </w:p>
    <w:p w14:paraId="258DCE63" w14:textId="07C87DAB" w:rsidR="0082170F" w:rsidRPr="00394D9A" w:rsidRDefault="0082170F" w:rsidP="00187D17">
      <w:pPr>
        <w:widowControl w:val="0"/>
        <w:rPr>
          <w:szCs w:val="22"/>
          <w:lang w:val="sr-Latn-RS"/>
        </w:rPr>
      </w:pPr>
      <w:r w:rsidRPr="00394D9A">
        <w:rPr>
          <w:szCs w:val="22"/>
          <w:lang w:val="sr-Latn-RS"/>
        </w:rPr>
        <w:t xml:space="preserve">Dojenje treba prekinuti u toku terapije </w:t>
      </w:r>
      <w:r w:rsidR="00A639DA" w:rsidRPr="00394D9A">
        <w:rPr>
          <w:szCs w:val="22"/>
          <w:lang w:val="sr-Latn-RS"/>
        </w:rPr>
        <w:t>lijekom</w:t>
      </w:r>
      <w:r w:rsidRPr="00394D9A">
        <w:rPr>
          <w:szCs w:val="22"/>
          <w:lang w:val="sr-Latn-RS"/>
        </w:rPr>
        <w:t xml:space="preserve"> Dabigatran SK.</w:t>
      </w:r>
    </w:p>
    <w:p w14:paraId="11BF0FEE" w14:textId="77777777" w:rsidR="0082170F" w:rsidRPr="00394D9A" w:rsidRDefault="0082170F" w:rsidP="00187D17">
      <w:pPr>
        <w:widowControl w:val="0"/>
        <w:rPr>
          <w:szCs w:val="22"/>
          <w:lang w:val="sr-Latn-RS"/>
        </w:rPr>
      </w:pPr>
    </w:p>
    <w:p w14:paraId="4C336E47" w14:textId="2401C129" w:rsidR="0082170F" w:rsidRPr="00394D9A" w:rsidRDefault="00DD3AF5" w:rsidP="00187D17">
      <w:pPr>
        <w:widowControl w:val="0"/>
        <w:rPr>
          <w:szCs w:val="22"/>
          <w:u w:val="single"/>
          <w:lang w:val="sr-Latn-RS"/>
        </w:rPr>
      </w:pPr>
      <w:r w:rsidRPr="00394D9A">
        <w:rPr>
          <w:szCs w:val="22"/>
          <w:u w:val="single"/>
          <w:lang w:val="sr-Latn-RS"/>
        </w:rPr>
        <w:t>Plodnost</w:t>
      </w:r>
    </w:p>
    <w:p w14:paraId="57F6D53D" w14:textId="77777777" w:rsidR="0082170F" w:rsidRPr="00394D9A" w:rsidRDefault="0082170F" w:rsidP="00187D17">
      <w:pPr>
        <w:widowControl w:val="0"/>
        <w:rPr>
          <w:szCs w:val="22"/>
          <w:lang w:val="sr-Latn-RS"/>
        </w:rPr>
      </w:pPr>
    </w:p>
    <w:p w14:paraId="6C1A6A1D" w14:textId="69D2D308" w:rsidR="0082170F" w:rsidRPr="00394D9A" w:rsidRDefault="0082170F" w:rsidP="00187D17">
      <w:pPr>
        <w:widowControl w:val="0"/>
        <w:rPr>
          <w:szCs w:val="22"/>
          <w:lang w:val="sr-Latn-RS"/>
        </w:rPr>
      </w:pPr>
      <w:r w:rsidRPr="00394D9A">
        <w:rPr>
          <w:szCs w:val="22"/>
          <w:lang w:val="sr-Latn-RS"/>
        </w:rPr>
        <w:t>Nema raspoloživih podataka na ljudima.</w:t>
      </w:r>
    </w:p>
    <w:p w14:paraId="6CAF95F6" w14:textId="77777777" w:rsidR="0082170F" w:rsidRPr="00394D9A" w:rsidRDefault="0082170F" w:rsidP="00187D17">
      <w:pPr>
        <w:widowControl w:val="0"/>
        <w:rPr>
          <w:szCs w:val="22"/>
          <w:lang w:val="sr-Latn-RS"/>
        </w:rPr>
      </w:pPr>
    </w:p>
    <w:p w14:paraId="735D6AAE" w14:textId="4F88993C" w:rsidR="0082170F" w:rsidRPr="00394D9A" w:rsidRDefault="0082170F" w:rsidP="00187D17">
      <w:pPr>
        <w:widowControl w:val="0"/>
        <w:rPr>
          <w:szCs w:val="22"/>
          <w:lang w:val="sr-Latn-RS"/>
        </w:rPr>
      </w:pPr>
      <w:r w:rsidRPr="00394D9A">
        <w:rPr>
          <w:szCs w:val="22"/>
          <w:lang w:val="sr-Latn-RS"/>
        </w:rPr>
        <w:t>U ispitivanjima na životinjama, uticaj na fertilitet ženki je uočen u obliku smanjenja implantacije embriona i u povećanju gubitka embriona u preimplantaciji pri dozi od 70 mg/kg (5 puta veći nivo izloženosti nego u plazmi pacijenata). Ni</w:t>
      </w:r>
      <w:r w:rsidR="00291EB6" w:rsidRPr="00394D9A">
        <w:rPr>
          <w:szCs w:val="22"/>
          <w:lang w:val="sr-Latn-RS"/>
        </w:rPr>
        <w:t>je</w:t>
      </w:r>
      <w:r w:rsidRPr="00394D9A">
        <w:rPr>
          <w:szCs w:val="22"/>
          <w:lang w:val="sr-Latn-RS"/>
        </w:rPr>
        <w:t>su prim</w:t>
      </w:r>
      <w:r w:rsidR="00291EB6" w:rsidRPr="00394D9A">
        <w:rPr>
          <w:szCs w:val="22"/>
          <w:lang w:val="sr-Latn-RS"/>
        </w:rPr>
        <w:t>j</w:t>
      </w:r>
      <w:r w:rsidRPr="00394D9A">
        <w:rPr>
          <w:szCs w:val="22"/>
          <w:lang w:val="sr-Latn-RS"/>
        </w:rPr>
        <w:t>ećeni drugi efekti na fertilitet ženki. Nije bilo uticaja na</w:t>
      </w:r>
      <w:r w:rsidR="001074CF" w:rsidRPr="00394D9A">
        <w:rPr>
          <w:szCs w:val="22"/>
          <w:lang w:val="sr-Latn-RS"/>
        </w:rPr>
        <w:t xml:space="preserve"> </w:t>
      </w:r>
      <w:r w:rsidRPr="00394D9A">
        <w:rPr>
          <w:szCs w:val="22"/>
          <w:lang w:val="sr-Latn-RS"/>
        </w:rPr>
        <w:t xml:space="preserve">fertilitet mužjaka. Pri dozama koje su bile toksične </w:t>
      </w:r>
      <w:r w:rsidR="00DD3AF5" w:rsidRPr="00394D9A">
        <w:rPr>
          <w:szCs w:val="22"/>
          <w:lang w:val="sr-Latn-RS"/>
        </w:rPr>
        <w:t xml:space="preserve">za </w:t>
      </w:r>
      <w:r w:rsidRPr="00394D9A">
        <w:rPr>
          <w:szCs w:val="22"/>
          <w:lang w:val="sr-Latn-RS"/>
        </w:rPr>
        <w:t>majk</w:t>
      </w:r>
      <w:r w:rsidR="00DD3AF5" w:rsidRPr="00394D9A">
        <w:rPr>
          <w:szCs w:val="22"/>
          <w:lang w:val="sr-Latn-RS"/>
        </w:rPr>
        <w:t>e</w:t>
      </w:r>
      <w:r w:rsidRPr="00394D9A">
        <w:rPr>
          <w:szCs w:val="22"/>
          <w:lang w:val="sr-Latn-RS"/>
        </w:rPr>
        <w:t xml:space="preserve"> (5-10 puta veća plazma izloženost nego kod</w:t>
      </w:r>
      <w:r w:rsidR="001074CF" w:rsidRPr="00394D9A">
        <w:rPr>
          <w:szCs w:val="22"/>
          <w:lang w:val="sr-Latn-RS"/>
        </w:rPr>
        <w:t xml:space="preserve"> </w:t>
      </w:r>
      <w:r w:rsidRPr="00394D9A">
        <w:rPr>
          <w:szCs w:val="22"/>
          <w:lang w:val="sr-Latn-RS"/>
        </w:rPr>
        <w:t>pacijenata), smanjenje u fetalnoj t</w:t>
      </w:r>
      <w:r w:rsidR="00291EB6" w:rsidRPr="00394D9A">
        <w:rPr>
          <w:szCs w:val="22"/>
          <w:lang w:val="sr-Latn-RS"/>
        </w:rPr>
        <w:t>j</w:t>
      </w:r>
      <w:r w:rsidRPr="00394D9A">
        <w:rPr>
          <w:szCs w:val="22"/>
          <w:lang w:val="sr-Latn-RS"/>
        </w:rPr>
        <w:t>elesnoj masi i embriofetalnoj vijabilnosti, zajedno sa povećanjem u</w:t>
      </w:r>
      <w:r w:rsidR="001074CF" w:rsidRPr="00394D9A">
        <w:rPr>
          <w:szCs w:val="22"/>
          <w:lang w:val="sr-Latn-RS"/>
        </w:rPr>
        <w:t xml:space="preserve"> </w:t>
      </w:r>
      <w:r w:rsidRPr="00394D9A">
        <w:rPr>
          <w:szCs w:val="22"/>
          <w:lang w:val="sr-Latn-RS"/>
        </w:rPr>
        <w:t xml:space="preserve">fetalnim varijacijama su uočeni kod pacova i </w:t>
      </w:r>
      <w:r w:rsidR="00EC68E4" w:rsidRPr="00394D9A">
        <w:rPr>
          <w:szCs w:val="22"/>
          <w:lang w:val="sr-Latn-RS"/>
        </w:rPr>
        <w:t>kunića</w:t>
      </w:r>
      <w:r w:rsidRPr="00394D9A">
        <w:rPr>
          <w:szCs w:val="22"/>
          <w:lang w:val="sr-Latn-RS"/>
        </w:rPr>
        <w:t>. U pre-i postnatalnoj studiji, povećanje u fetalnom</w:t>
      </w:r>
      <w:r w:rsidR="001074CF" w:rsidRPr="00394D9A">
        <w:rPr>
          <w:szCs w:val="22"/>
          <w:lang w:val="sr-Latn-RS"/>
        </w:rPr>
        <w:t xml:space="preserve"> </w:t>
      </w:r>
      <w:r w:rsidRPr="00394D9A">
        <w:rPr>
          <w:szCs w:val="22"/>
          <w:lang w:val="sr-Latn-RS"/>
        </w:rPr>
        <w:t>mortalitetu je prim</w:t>
      </w:r>
      <w:r w:rsidR="00813D6A" w:rsidRPr="00394D9A">
        <w:rPr>
          <w:szCs w:val="22"/>
          <w:lang w:val="sr-Latn-RS"/>
        </w:rPr>
        <w:t>i</w:t>
      </w:r>
      <w:r w:rsidR="00291EB6" w:rsidRPr="00394D9A">
        <w:rPr>
          <w:szCs w:val="22"/>
          <w:lang w:val="sr-Latn-RS"/>
        </w:rPr>
        <w:t>j</w:t>
      </w:r>
      <w:r w:rsidRPr="00394D9A">
        <w:rPr>
          <w:szCs w:val="22"/>
          <w:lang w:val="sr-Latn-RS"/>
        </w:rPr>
        <w:t>ećeno pri dozama koje su bile toksične kod ženki (doza koja odgovara plazma</w:t>
      </w:r>
      <w:r w:rsidR="001074CF" w:rsidRPr="00394D9A">
        <w:rPr>
          <w:szCs w:val="22"/>
          <w:lang w:val="sr-Latn-RS"/>
        </w:rPr>
        <w:t xml:space="preserve"> i</w:t>
      </w:r>
      <w:r w:rsidRPr="00394D9A">
        <w:rPr>
          <w:szCs w:val="22"/>
          <w:lang w:val="sr-Latn-RS"/>
        </w:rPr>
        <w:t>zloženosti na nivou 4 puta većem od onog uočenog kod pacijenata).</w:t>
      </w:r>
    </w:p>
    <w:p w14:paraId="1EFE95FE" w14:textId="77777777" w:rsidR="00CE09F3" w:rsidRPr="00394D9A" w:rsidRDefault="00CE09F3" w:rsidP="00187D17">
      <w:pPr>
        <w:widowControl w:val="0"/>
        <w:rPr>
          <w:szCs w:val="22"/>
          <w:lang w:val="sr-Latn-RS"/>
        </w:rPr>
      </w:pPr>
    </w:p>
    <w:p w14:paraId="50DB9905" w14:textId="77777777" w:rsidR="00523BC9" w:rsidRPr="00394D9A" w:rsidRDefault="00523BC9" w:rsidP="00187D17">
      <w:pPr>
        <w:widowControl w:val="0"/>
        <w:tabs>
          <w:tab w:val="left" w:pos="540"/>
          <w:tab w:val="left" w:pos="569"/>
        </w:tabs>
        <w:ind w:left="540" w:hanging="540"/>
        <w:rPr>
          <w:b/>
          <w:bCs/>
          <w:szCs w:val="22"/>
          <w:lang w:val="sr-Latn-RS"/>
        </w:rPr>
      </w:pPr>
      <w:r w:rsidRPr="00394D9A">
        <w:rPr>
          <w:b/>
          <w:bCs/>
          <w:szCs w:val="22"/>
          <w:lang w:val="sr-Latn-RS"/>
        </w:rPr>
        <w:t xml:space="preserve">4.7. </w:t>
      </w:r>
      <w:r w:rsidRPr="00394D9A">
        <w:rPr>
          <w:b/>
          <w:bCs/>
          <w:szCs w:val="22"/>
          <w:lang w:val="sr-Latn-RS"/>
        </w:rPr>
        <w:tab/>
        <w:t>Uticaj na sposobnost upravljanja vozilima i rukovanje mašinama</w:t>
      </w:r>
    </w:p>
    <w:p w14:paraId="7A706B6B" w14:textId="68551BDF" w:rsidR="00CE09F3" w:rsidRPr="00394D9A" w:rsidRDefault="00CE09F3" w:rsidP="00187D17">
      <w:pPr>
        <w:widowControl w:val="0"/>
        <w:rPr>
          <w:szCs w:val="22"/>
          <w:lang w:val="sr-Latn-RS"/>
        </w:rPr>
      </w:pPr>
    </w:p>
    <w:p w14:paraId="45D5E7A0" w14:textId="24F0F256" w:rsidR="00CE09F3" w:rsidRPr="00394D9A" w:rsidRDefault="00A639DA" w:rsidP="00187D17">
      <w:pPr>
        <w:widowControl w:val="0"/>
        <w:rPr>
          <w:szCs w:val="22"/>
          <w:lang w:val="sr-Latn-RS"/>
        </w:rPr>
      </w:pPr>
      <w:r w:rsidRPr="00394D9A">
        <w:rPr>
          <w:szCs w:val="22"/>
          <w:lang w:val="sr-Latn-RS"/>
        </w:rPr>
        <w:t>Lijek</w:t>
      </w:r>
      <w:r w:rsidR="009535C3" w:rsidRPr="00394D9A">
        <w:rPr>
          <w:szCs w:val="22"/>
          <w:lang w:val="sr-Latn-RS"/>
        </w:rPr>
        <w:t xml:space="preserve"> Dabigatran SK nema uticaj ili je on zanemarljiv na sposobnost prilikom upravljanja motornim vozilom i rukovanja mašinama.</w:t>
      </w:r>
    </w:p>
    <w:p w14:paraId="5B0EADDB" w14:textId="77777777" w:rsidR="009535C3" w:rsidRPr="00394D9A" w:rsidRDefault="009535C3" w:rsidP="00187D17">
      <w:pPr>
        <w:widowControl w:val="0"/>
        <w:rPr>
          <w:szCs w:val="22"/>
          <w:lang w:val="sr-Latn-RS"/>
        </w:rPr>
      </w:pPr>
    </w:p>
    <w:p w14:paraId="540264C8" w14:textId="77777777" w:rsidR="00523BC9" w:rsidRPr="00394D9A" w:rsidRDefault="00523BC9" w:rsidP="00187D17">
      <w:pPr>
        <w:widowControl w:val="0"/>
        <w:tabs>
          <w:tab w:val="left" w:pos="540"/>
          <w:tab w:val="left" w:pos="569"/>
        </w:tabs>
        <w:rPr>
          <w:b/>
          <w:bCs/>
          <w:szCs w:val="22"/>
          <w:lang w:val="sr-Latn-RS"/>
        </w:rPr>
      </w:pPr>
      <w:r w:rsidRPr="00394D9A">
        <w:rPr>
          <w:b/>
          <w:bCs/>
          <w:szCs w:val="22"/>
          <w:lang w:val="sr-Latn-RS"/>
        </w:rPr>
        <w:t xml:space="preserve">4.8. </w:t>
      </w:r>
      <w:r w:rsidRPr="00394D9A">
        <w:rPr>
          <w:b/>
          <w:bCs/>
          <w:szCs w:val="22"/>
          <w:lang w:val="sr-Latn-RS"/>
        </w:rPr>
        <w:tab/>
        <w:t>Neželjena dejstva</w:t>
      </w:r>
    </w:p>
    <w:p w14:paraId="06A72F53" w14:textId="77777777" w:rsidR="00CE09F3" w:rsidRPr="00394D9A" w:rsidRDefault="00CE09F3" w:rsidP="00187D17">
      <w:pPr>
        <w:widowControl w:val="0"/>
        <w:rPr>
          <w:noProof/>
          <w:szCs w:val="22"/>
          <w:u w:val="single"/>
          <w:lang w:val="sr-Latn-RS"/>
        </w:rPr>
      </w:pPr>
    </w:p>
    <w:p w14:paraId="7EF70885" w14:textId="36E9372E" w:rsidR="00CE09F3" w:rsidRPr="00394D9A" w:rsidRDefault="009535C3" w:rsidP="00187D17">
      <w:pPr>
        <w:widowControl w:val="0"/>
        <w:rPr>
          <w:noProof/>
          <w:szCs w:val="22"/>
          <w:u w:val="single"/>
          <w:lang w:val="sr-Latn-RS"/>
        </w:rPr>
      </w:pPr>
      <w:r w:rsidRPr="00394D9A">
        <w:rPr>
          <w:noProof/>
          <w:szCs w:val="22"/>
          <w:u w:val="single"/>
          <w:lang w:val="sr-Latn-RS"/>
        </w:rPr>
        <w:t>Sažetak bezb</w:t>
      </w:r>
      <w:r w:rsidR="00291EB6" w:rsidRPr="00394D9A">
        <w:rPr>
          <w:noProof/>
          <w:szCs w:val="22"/>
          <w:u w:val="single"/>
          <w:lang w:val="sr-Latn-RS"/>
        </w:rPr>
        <w:t>j</w:t>
      </w:r>
      <w:r w:rsidRPr="00394D9A">
        <w:rPr>
          <w:noProof/>
          <w:szCs w:val="22"/>
          <w:u w:val="single"/>
          <w:lang w:val="sr-Latn-RS"/>
        </w:rPr>
        <w:t>ednosnog profila</w:t>
      </w:r>
    </w:p>
    <w:p w14:paraId="387A737D" w14:textId="77777777" w:rsidR="00B32635" w:rsidRPr="00394D9A" w:rsidRDefault="00B32635" w:rsidP="00187D17">
      <w:pPr>
        <w:widowControl w:val="0"/>
        <w:rPr>
          <w:noProof/>
          <w:szCs w:val="22"/>
          <w:u w:val="single"/>
          <w:lang w:val="sr-Latn-RS"/>
        </w:rPr>
      </w:pPr>
    </w:p>
    <w:p w14:paraId="5C87DA78" w14:textId="78F93F15" w:rsidR="00B32635" w:rsidRPr="00394D9A" w:rsidRDefault="00EE6F6F" w:rsidP="00187D17">
      <w:pPr>
        <w:widowControl w:val="0"/>
        <w:rPr>
          <w:szCs w:val="22"/>
          <w:lang w:val="sr-Latn-RS"/>
        </w:rPr>
      </w:pPr>
      <w:r w:rsidRPr="00394D9A">
        <w:rPr>
          <w:szCs w:val="22"/>
          <w:lang w:val="sr-Latn-RS"/>
        </w:rPr>
        <w:t>Dabigatraneteksilat</w:t>
      </w:r>
      <w:r w:rsidRPr="00394D9A">
        <w:rPr>
          <w:spacing w:val="-3"/>
          <w:szCs w:val="22"/>
          <w:lang w:val="sr-Latn-RS"/>
        </w:rPr>
        <w:t xml:space="preserve"> </w:t>
      </w:r>
      <w:r w:rsidRPr="00394D9A">
        <w:rPr>
          <w:szCs w:val="22"/>
          <w:lang w:val="sr-Latn-RS"/>
        </w:rPr>
        <w:t>je</w:t>
      </w:r>
      <w:r w:rsidRPr="00394D9A">
        <w:rPr>
          <w:spacing w:val="-3"/>
          <w:szCs w:val="22"/>
          <w:lang w:val="sr-Latn-RS"/>
        </w:rPr>
        <w:t xml:space="preserve"> </w:t>
      </w:r>
      <w:r w:rsidRPr="00394D9A">
        <w:rPr>
          <w:szCs w:val="22"/>
          <w:lang w:val="sr-Latn-RS"/>
        </w:rPr>
        <w:t>bio</w:t>
      </w:r>
      <w:r w:rsidRPr="00394D9A">
        <w:rPr>
          <w:spacing w:val="-3"/>
          <w:szCs w:val="22"/>
          <w:lang w:val="sr-Latn-RS"/>
        </w:rPr>
        <w:t xml:space="preserve"> </w:t>
      </w:r>
      <w:r w:rsidRPr="00394D9A">
        <w:rPr>
          <w:szCs w:val="22"/>
          <w:lang w:val="sr-Latn-RS"/>
        </w:rPr>
        <w:t>proc</w:t>
      </w:r>
      <w:r w:rsidR="00813D6A" w:rsidRPr="00394D9A">
        <w:rPr>
          <w:szCs w:val="22"/>
          <w:lang w:val="sr-Latn-RS"/>
        </w:rPr>
        <w:t>j</w:t>
      </w:r>
      <w:r w:rsidRPr="00394D9A">
        <w:rPr>
          <w:szCs w:val="22"/>
          <w:lang w:val="sr-Latn-RS"/>
        </w:rPr>
        <w:t>enjivan</w:t>
      </w:r>
      <w:r w:rsidRPr="00394D9A">
        <w:rPr>
          <w:spacing w:val="-3"/>
          <w:szCs w:val="22"/>
          <w:lang w:val="sr-Latn-RS"/>
        </w:rPr>
        <w:t xml:space="preserve"> </w:t>
      </w:r>
      <w:r w:rsidRPr="00394D9A">
        <w:rPr>
          <w:szCs w:val="22"/>
          <w:lang w:val="sr-Latn-RS"/>
        </w:rPr>
        <w:t>u</w:t>
      </w:r>
      <w:r w:rsidRPr="00394D9A">
        <w:rPr>
          <w:spacing w:val="-3"/>
          <w:szCs w:val="22"/>
          <w:lang w:val="sr-Latn-RS"/>
        </w:rPr>
        <w:t xml:space="preserve"> </w:t>
      </w:r>
      <w:r w:rsidRPr="00394D9A">
        <w:rPr>
          <w:szCs w:val="22"/>
          <w:lang w:val="sr-Latn-RS"/>
        </w:rPr>
        <w:t>kliničkim</w:t>
      </w:r>
      <w:r w:rsidRPr="00394D9A">
        <w:rPr>
          <w:spacing w:val="-3"/>
          <w:szCs w:val="22"/>
          <w:lang w:val="sr-Latn-RS"/>
        </w:rPr>
        <w:t xml:space="preserve"> </w:t>
      </w:r>
      <w:r w:rsidRPr="00394D9A">
        <w:rPr>
          <w:szCs w:val="22"/>
          <w:lang w:val="sr-Latn-RS"/>
        </w:rPr>
        <w:t>ispitivanjima</w:t>
      </w:r>
      <w:r w:rsidRPr="00394D9A">
        <w:rPr>
          <w:spacing w:val="-3"/>
          <w:szCs w:val="22"/>
          <w:lang w:val="sr-Latn-RS"/>
        </w:rPr>
        <w:t xml:space="preserve"> </w:t>
      </w:r>
      <w:r w:rsidRPr="00394D9A">
        <w:rPr>
          <w:szCs w:val="22"/>
          <w:lang w:val="sr-Latn-RS"/>
        </w:rPr>
        <w:t>sa</w:t>
      </w:r>
      <w:r w:rsidRPr="00394D9A">
        <w:rPr>
          <w:spacing w:val="-3"/>
          <w:szCs w:val="22"/>
          <w:lang w:val="sr-Latn-RS"/>
        </w:rPr>
        <w:t xml:space="preserve"> </w:t>
      </w:r>
      <w:r w:rsidRPr="00394D9A">
        <w:rPr>
          <w:szCs w:val="22"/>
          <w:lang w:val="sr-Latn-RS"/>
        </w:rPr>
        <w:t>ukupno</w:t>
      </w:r>
      <w:r w:rsidRPr="00394D9A">
        <w:rPr>
          <w:spacing w:val="-3"/>
          <w:szCs w:val="22"/>
          <w:lang w:val="sr-Latn-RS"/>
        </w:rPr>
        <w:t xml:space="preserve"> </w:t>
      </w:r>
      <w:r w:rsidRPr="00394D9A">
        <w:rPr>
          <w:szCs w:val="22"/>
          <w:lang w:val="sr-Latn-RS"/>
        </w:rPr>
        <w:t>približno</w:t>
      </w:r>
      <w:r w:rsidRPr="00394D9A">
        <w:rPr>
          <w:spacing w:val="-3"/>
          <w:szCs w:val="22"/>
          <w:lang w:val="sr-Latn-RS"/>
        </w:rPr>
        <w:t xml:space="preserve"> </w:t>
      </w:r>
      <w:r w:rsidRPr="00394D9A">
        <w:rPr>
          <w:szCs w:val="22"/>
          <w:lang w:val="sr-Latn-RS"/>
        </w:rPr>
        <w:t>64</w:t>
      </w:r>
      <w:r w:rsidRPr="00394D9A">
        <w:rPr>
          <w:spacing w:val="-3"/>
          <w:szCs w:val="22"/>
          <w:lang w:val="sr-Latn-RS"/>
        </w:rPr>
        <w:t xml:space="preserve"> </w:t>
      </w:r>
      <w:r w:rsidRPr="00394D9A">
        <w:rPr>
          <w:szCs w:val="22"/>
          <w:lang w:val="sr-Latn-RS"/>
        </w:rPr>
        <w:t>000</w:t>
      </w:r>
      <w:r w:rsidRPr="00394D9A">
        <w:rPr>
          <w:spacing w:val="-3"/>
          <w:szCs w:val="22"/>
          <w:lang w:val="sr-Latn-RS"/>
        </w:rPr>
        <w:t xml:space="preserve"> </w:t>
      </w:r>
      <w:r w:rsidRPr="00394D9A">
        <w:rPr>
          <w:szCs w:val="22"/>
          <w:lang w:val="sr-Latn-RS"/>
        </w:rPr>
        <w:t>pacijenata, od kojih je približno 35 000 pacijenata bilo na terapiji dabigatraneteksilatom</w:t>
      </w:r>
    </w:p>
    <w:p w14:paraId="043EC33F" w14:textId="77777777" w:rsidR="00AA74E5" w:rsidRPr="00394D9A" w:rsidRDefault="00AA74E5" w:rsidP="00187D17">
      <w:pPr>
        <w:widowControl w:val="0"/>
        <w:tabs>
          <w:tab w:val="clear" w:pos="284"/>
        </w:tabs>
        <w:autoSpaceDE w:val="0"/>
        <w:autoSpaceDN w:val="0"/>
        <w:ind w:left="215"/>
        <w:jc w:val="left"/>
        <w:rPr>
          <w:noProof/>
          <w:szCs w:val="22"/>
          <w:u w:val="single"/>
          <w:lang w:val="sr-Latn-RS"/>
        </w:rPr>
      </w:pPr>
    </w:p>
    <w:p w14:paraId="3BFABB58" w14:textId="4387ACA6" w:rsidR="00AA74E5" w:rsidRPr="00394D9A" w:rsidRDefault="00AA74E5">
      <w:pPr>
        <w:widowControl w:val="0"/>
        <w:tabs>
          <w:tab w:val="clear" w:pos="284"/>
        </w:tabs>
        <w:autoSpaceDE w:val="0"/>
        <w:autoSpaceDN w:val="0"/>
        <w:rPr>
          <w:szCs w:val="22"/>
          <w:lang w:val="sr-Latn-RS"/>
        </w:rPr>
      </w:pPr>
      <w:r w:rsidRPr="00394D9A">
        <w:rPr>
          <w:szCs w:val="22"/>
          <w:lang w:val="sr-Latn-RS"/>
        </w:rPr>
        <w:t>Ukupno,</w:t>
      </w:r>
      <w:r w:rsidRPr="00394D9A">
        <w:rPr>
          <w:spacing w:val="-4"/>
          <w:szCs w:val="22"/>
          <w:lang w:val="sr-Latn-RS"/>
        </w:rPr>
        <w:t xml:space="preserve"> </w:t>
      </w:r>
      <w:r w:rsidRPr="00394D9A">
        <w:rPr>
          <w:szCs w:val="22"/>
          <w:lang w:val="sr-Latn-RS"/>
        </w:rPr>
        <w:t>22%</w:t>
      </w:r>
      <w:r w:rsidRPr="00394D9A">
        <w:rPr>
          <w:spacing w:val="-4"/>
          <w:szCs w:val="22"/>
          <w:lang w:val="sr-Latn-RS"/>
        </w:rPr>
        <w:t xml:space="preserve"> </w:t>
      </w:r>
      <w:r w:rsidRPr="00394D9A">
        <w:rPr>
          <w:szCs w:val="22"/>
          <w:lang w:val="sr-Latn-RS"/>
        </w:rPr>
        <w:t>pacijenata</w:t>
      </w:r>
      <w:r w:rsidRPr="00394D9A">
        <w:rPr>
          <w:spacing w:val="-4"/>
          <w:szCs w:val="22"/>
          <w:lang w:val="sr-Latn-RS"/>
        </w:rPr>
        <w:t xml:space="preserve"> </w:t>
      </w:r>
      <w:r w:rsidRPr="00394D9A">
        <w:rPr>
          <w:szCs w:val="22"/>
          <w:lang w:val="sr-Latn-RS"/>
        </w:rPr>
        <w:t>sa</w:t>
      </w:r>
      <w:r w:rsidRPr="00394D9A">
        <w:rPr>
          <w:spacing w:val="-4"/>
          <w:szCs w:val="22"/>
          <w:lang w:val="sr-Latn-RS"/>
        </w:rPr>
        <w:t xml:space="preserve"> </w:t>
      </w:r>
      <w:r w:rsidRPr="00394D9A">
        <w:rPr>
          <w:szCs w:val="22"/>
          <w:lang w:val="sr-Latn-RS"/>
        </w:rPr>
        <w:t>atrijalnom</w:t>
      </w:r>
      <w:r w:rsidRPr="00394D9A">
        <w:rPr>
          <w:spacing w:val="-4"/>
          <w:szCs w:val="22"/>
          <w:lang w:val="sr-Latn-RS"/>
        </w:rPr>
        <w:t xml:space="preserve"> </w:t>
      </w:r>
      <w:r w:rsidRPr="00394D9A">
        <w:rPr>
          <w:szCs w:val="22"/>
          <w:lang w:val="sr-Latn-RS"/>
        </w:rPr>
        <w:t>fibrilacijom</w:t>
      </w:r>
      <w:r w:rsidRPr="00394D9A">
        <w:rPr>
          <w:spacing w:val="-4"/>
          <w:szCs w:val="22"/>
          <w:lang w:val="sr-Latn-RS"/>
        </w:rPr>
        <w:t xml:space="preserve"> </w:t>
      </w:r>
      <w:r w:rsidRPr="00394D9A">
        <w:rPr>
          <w:szCs w:val="22"/>
          <w:lang w:val="sr-Latn-RS"/>
        </w:rPr>
        <w:t>l</w:t>
      </w:r>
      <w:r w:rsidR="00813D6A" w:rsidRPr="00394D9A">
        <w:rPr>
          <w:szCs w:val="22"/>
          <w:lang w:val="sr-Latn-RS"/>
        </w:rPr>
        <w:t>ij</w:t>
      </w:r>
      <w:r w:rsidRPr="00394D9A">
        <w:rPr>
          <w:szCs w:val="22"/>
          <w:lang w:val="sr-Latn-RS"/>
        </w:rPr>
        <w:t>ečenih</w:t>
      </w:r>
      <w:r w:rsidRPr="00394D9A">
        <w:rPr>
          <w:spacing w:val="-4"/>
          <w:szCs w:val="22"/>
          <w:lang w:val="sr-Latn-RS"/>
        </w:rPr>
        <w:t xml:space="preserve"> </w:t>
      </w:r>
      <w:r w:rsidRPr="00394D9A">
        <w:rPr>
          <w:szCs w:val="22"/>
          <w:lang w:val="sr-Latn-RS"/>
        </w:rPr>
        <w:t>u</w:t>
      </w:r>
      <w:r w:rsidRPr="00394D9A">
        <w:rPr>
          <w:spacing w:val="-4"/>
          <w:szCs w:val="22"/>
          <w:lang w:val="sr-Latn-RS"/>
        </w:rPr>
        <w:t xml:space="preserve"> </w:t>
      </w:r>
      <w:r w:rsidRPr="00394D9A">
        <w:rPr>
          <w:szCs w:val="22"/>
          <w:lang w:val="sr-Latn-RS"/>
        </w:rPr>
        <w:t>cilju</w:t>
      </w:r>
      <w:r w:rsidRPr="00394D9A">
        <w:rPr>
          <w:spacing w:val="-4"/>
          <w:szCs w:val="22"/>
          <w:lang w:val="sr-Latn-RS"/>
        </w:rPr>
        <w:t xml:space="preserve"> </w:t>
      </w:r>
      <w:r w:rsidRPr="00394D9A">
        <w:rPr>
          <w:szCs w:val="22"/>
          <w:lang w:val="sr-Latn-RS"/>
        </w:rPr>
        <w:t>prevencije</w:t>
      </w:r>
      <w:r w:rsidRPr="00394D9A">
        <w:rPr>
          <w:spacing w:val="-4"/>
          <w:szCs w:val="22"/>
          <w:lang w:val="sr-Latn-RS"/>
        </w:rPr>
        <w:t xml:space="preserve"> </w:t>
      </w:r>
      <w:r w:rsidRPr="00394D9A">
        <w:rPr>
          <w:szCs w:val="22"/>
          <w:lang w:val="sr-Latn-RS"/>
        </w:rPr>
        <w:t>moždanog</w:t>
      </w:r>
      <w:r w:rsidRPr="00394D9A">
        <w:rPr>
          <w:spacing w:val="-4"/>
          <w:szCs w:val="22"/>
          <w:lang w:val="sr-Latn-RS"/>
        </w:rPr>
        <w:t xml:space="preserve"> </w:t>
      </w:r>
      <w:r w:rsidRPr="00394D9A">
        <w:rPr>
          <w:szCs w:val="22"/>
          <w:lang w:val="sr-Latn-RS"/>
        </w:rPr>
        <w:t>udara</w:t>
      </w:r>
      <w:r w:rsidRPr="00394D9A">
        <w:rPr>
          <w:spacing w:val="-4"/>
          <w:szCs w:val="22"/>
          <w:lang w:val="sr-Latn-RS"/>
        </w:rPr>
        <w:t xml:space="preserve"> </w:t>
      </w:r>
      <w:r w:rsidRPr="00394D9A">
        <w:rPr>
          <w:szCs w:val="22"/>
          <w:lang w:val="sr-Latn-RS"/>
        </w:rPr>
        <w:t>i</w:t>
      </w:r>
      <w:r w:rsidRPr="00394D9A">
        <w:rPr>
          <w:spacing w:val="-4"/>
          <w:szCs w:val="22"/>
          <w:lang w:val="sr-Latn-RS"/>
        </w:rPr>
        <w:t xml:space="preserve"> </w:t>
      </w:r>
      <w:r w:rsidRPr="00394D9A">
        <w:rPr>
          <w:szCs w:val="22"/>
          <w:lang w:val="sr-Latn-RS"/>
        </w:rPr>
        <w:t xml:space="preserve">sistemske embolije (dugotrajna terapija, do 3 godine), 14% pacijenata </w:t>
      </w:r>
      <w:r w:rsidR="00813D6A" w:rsidRPr="00394D9A">
        <w:rPr>
          <w:szCs w:val="22"/>
          <w:lang w:val="sr-Latn-RS"/>
        </w:rPr>
        <w:t>liječenih</w:t>
      </w:r>
      <w:r w:rsidRPr="00394D9A">
        <w:rPr>
          <w:szCs w:val="22"/>
          <w:lang w:val="sr-Latn-RS"/>
        </w:rPr>
        <w:t xml:space="preserve"> zbog DVT/PE i 15% pacijenata </w:t>
      </w:r>
      <w:r w:rsidR="00813D6A" w:rsidRPr="00394D9A">
        <w:rPr>
          <w:szCs w:val="22"/>
          <w:lang w:val="sr-Latn-RS"/>
        </w:rPr>
        <w:t>liječenih</w:t>
      </w:r>
      <w:r w:rsidRPr="00394D9A">
        <w:rPr>
          <w:szCs w:val="22"/>
          <w:lang w:val="sr-Latn-RS"/>
        </w:rPr>
        <w:t xml:space="preserve"> radi prevencije DVT/PE imalo je neželjene reakcije.</w:t>
      </w:r>
    </w:p>
    <w:p w14:paraId="46F744FB" w14:textId="77777777" w:rsidR="009F125C" w:rsidRPr="00394D9A" w:rsidRDefault="009F125C">
      <w:pPr>
        <w:widowControl w:val="0"/>
        <w:tabs>
          <w:tab w:val="clear" w:pos="284"/>
        </w:tabs>
        <w:autoSpaceDE w:val="0"/>
        <w:autoSpaceDN w:val="0"/>
        <w:rPr>
          <w:szCs w:val="22"/>
          <w:lang w:val="sr-Latn-RS"/>
        </w:rPr>
      </w:pPr>
    </w:p>
    <w:p w14:paraId="1CF1F404" w14:textId="4A8D9579" w:rsidR="00AA74E5" w:rsidRPr="00394D9A" w:rsidRDefault="00AA74E5">
      <w:pPr>
        <w:widowControl w:val="0"/>
        <w:tabs>
          <w:tab w:val="clear" w:pos="284"/>
        </w:tabs>
        <w:autoSpaceDE w:val="0"/>
        <w:autoSpaceDN w:val="0"/>
        <w:rPr>
          <w:szCs w:val="22"/>
          <w:lang w:val="sr-Latn-RS"/>
        </w:rPr>
      </w:pPr>
      <w:r w:rsidRPr="00394D9A">
        <w:rPr>
          <w:szCs w:val="22"/>
          <w:lang w:val="sr-Latn-RS"/>
        </w:rPr>
        <w:t>Najčešće prijavljivani događaji su krvarenja koja su</w:t>
      </w:r>
      <w:r w:rsidRPr="00394D9A">
        <w:rPr>
          <w:spacing w:val="40"/>
          <w:szCs w:val="22"/>
          <w:lang w:val="sr-Latn-RS"/>
        </w:rPr>
        <w:t xml:space="preserve"> </w:t>
      </w:r>
      <w:r w:rsidRPr="00394D9A">
        <w:rPr>
          <w:szCs w:val="22"/>
          <w:lang w:val="sr-Latn-RS"/>
        </w:rPr>
        <w:t>se pojavila u oko 16,6 % pacijenata sa atrijalnom fibrilacijom koji su dugotrajno l</w:t>
      </w:r>
      <w:r w:rsidR="00813D6A" w:rsidRPr="00394D9A">
        <w:rPr>
          <w:szCs w:val="22"/>
          <w:lang w:val="sr-Latn-RS"/>
        </w:rPr>
        <w:t>ij</w:t>
      </w:r>
      <w:r w:rsidRPr="00394D9A">
        <w:rPr>
          <w:szCs w:val="22"/>
          <w:lang w:val="sr-Latn-RS"/>
        </w:rPr>
        <w:t>ečeni sa ciljem prevencije moždanog udara i sistemske embolije i kod 14,4% odraslih</w:t>
      </w:r>
      <w:r w:rsidRPr="00394D9A">
        <w:rPr>
          <w:spacing w:val="-2"/>
          <w:szCs w:val="22"/>
          <w:lang w:val="sr-Latn-RS"/>
        </w:rPr>
        <w:t xml:space="preserve"> </w:t>
      </w:r>
      <w:r w:rsidRPr="00394D9A">
        <w:rPr>
          <w:szCs w:val="22"/>
          <w:lang w:val="sr-Latn-RS"/>
        </w:rPr>
        <w:t>pacijenata</w:t>
      </w:r>
      <w:r w:rsidRPr="00394D9A">
        <w:rPr>
          <w:spacing w:val="-3"/>
          <w:szCs w:val="22"/>
          <w:lang w:val="sr-Latn-RS"/>
        </w:rPr>
        <w:t xml:space="preserve"> </w:t>
      </w:r>
      <w:r w:rsidR="00813D6A" w:rsidRPr="00394D9A">
        <w:rPr>
          <w:szCs w:val="22"/>
          <w:lang w:val="sr-Latn-RS"/>
        </w:rPr>
        <w:t>liječenih</w:t>
      </w:r>
      <w:r w:rsidRPr="00394D9A">
        <w:rPr>
          <w:spacing w:val="-3"/>
          <w:szCs w:val="22"/>
          <w:lang w:val="sr-Latn-RS"/>
        </w:rPr>
        <w:t xml:space="preserve"> </w:t>
      </w:r>
      <w:r w:rsidRPr="00394D9A">
        <w:rPr>
          <w:szCs w:val="22"/>
          <w:lang w:val="sr-Latn-RS"/>
        </w:rPr>
        <w:t>zbog</w:t>
      </w:r>
      <w:r w:rsidRPr="00394D9A">
        <w:rPr>
          <w:spacing w:val="-3"/>
          <w:szCs w:val="22"/>
          <w:lang w:val="sr-Latn-RS"/>
        </w:rPr>
        <w:t xml:space="preserve"> </w:t>
      </w:r>
      <w:r w:rsidRPr="00394D9A">
        <w:rPr>
          <w:szCs w:val="22"/>
          <w:lang w:val="sr-Latn-RS"/>
        </w:rPr>
        <w:t>DVT/PE.</w:t>
      </w:r>
      <w:r w:rsidRPr="00394D9A">
        <w:rPr>
          <w:spacing w:val="-3"/>
          <w:szCs w:val="22"/>
          <w:lang w:val="sr-Latn-RS"/>
        </w:rPr>
        <w:t xml:space="preserve"> </w:t>
      </w:r>
      <w:r w:rsidRPr="00394D9A">
        <w:rPr>
          <w:szCs w:val="22"/>
          <w:lang w:val="sr-Latn-RS"/>
        </w:rPr>
        <w:t>Osim</w:t>
      </w:r>
      <w:r w:rsidRPr="00394D9A">
        <w:rPr>
          <w:spacing w:val="-3"/>
          <w:szCs w:val="22"/>
          <w:lang w:val="sr-Latn-RS"/>
        </w:rPr>
        <w:t xml:space="preserve"> </w:t>
      </w:r>
      <w:r w:rsidRPr="00394D9A">
        <w:rPr>
          <w:szCs w:val="22"/>
          <w:lang w:val="sr-Latn-RS"/>
        </w:rPr>
        <w:t>toga,</w:t>
      </w:r>
      <w:r w:rsidRPr="00394D9A">
        <w:rPr>
          <w:spacing w:val="-3"/>
          <w:szCs w:val="22"/>
          <w:lang w:val="sr-Latn-RS"/>
        </w:rPr>
        <w:t xml:space="preserve"> </w:t>
      </w:r>
      <w:r w:rsidRPr="00394D9A">
        <w:rPr>
          <w:szCs w:val="22"/>
          <w:lang w:val="sr-Latn-RS"/>
        </w:rPr>
        <w:t>krvarenje</w:t>
      </w:r>
      <w:r w:rsidRPr="00394D9A">
        <w:rPr>
          <w:spacing w:val="-3"/>
          <w:szCs w:val="22"/>
          <w:lang w:val="sr-Latn-RS"/>
        </w:rPr>
        <w:t xml:space="preserve"> </w:t>
      </w:r>
      <w:r w:rsidRPr="00394D9A">
        <w:rPr>
          <w:szCs w:val="22"/>
          <w:lang w:val="sr-Latn-RS"/>
        </w:rPr>
        <w:t>se</w:t>
      </w:r>
      <w:r w:rsidRPr="00394D9A">
        <w:rPr>
          <w:spacing w:val="-3"/>
          <w:szCs w:val="22"/>
          <w:lang w:val="sr-Latn-RS"/>
        </w:rPr>
        <w:t xml:space="preserve"> </w:t>
      </w:r>
      <w:r w:rsidRPr="00394D9A">
        <w:rPr>
          <w:szCs w:val="22"/>
          <w:lang w:val="sr-Latn-RS"/>
        </w:rPr>
        <w:t>pojavilo</w:t>
      </w:r>
      <w:r w:rsidRPr="00394D9A">
        <w:rPr>
          <w:spacing w:val="-3"/>
          <w:szCs w:val="22"/>
          <w:lang w:val="sr-Latn-RS"/>
        </w:rPr>
        <w:t xml:space="preserve"> </w:t>
      </w:r>
      <w:r w:rsidRPr="00394D9A">
        <w:rPr>
          <w:szCs w:val="22"/>
          <w:lang w:val="sr-Latn-RS"/>
        </w:rPr>
        <w:t>kod</w:t>
      </w:r>
      <w:r w:rsidRPr="00394D9A">
        <w:rPr>
          <w:spacing w:val="-3"/>
          <w:szCs w:val="22"/>
          <w:lang w:val="sr-Latn-RS"/>
        </w:rPr>
        <w:t xml:space="preserve"> </w:t>
      </w:r>
      <w:r w:rsidRPr="00394D9A">
        <w:rPr>
          <w:szCs w:val="22"/>
          <w:lang w:val="sr-Latn-RS"/>
        </w:rPr>
        <w:t>19,4%</w:t>
      </w:r>
      <w:r w:rsidRPr="00394D9A">
        <w:rPr>
          <w:spacing w:val="-3"/>
          <w:szCs w:val="22"/>
          <w:lang w:val="sr-Latn-RS"/>
        </w:rPr>
        <w:t xml:space="preserve"> </w:t>
      </w:r>
      <w:r w:rsidRPr="00394D9A">
        <w:rPr>
          <w:szCs w:val="22"/>
          <w:lang w:val="sr-Latn-RS"/>
        </w:rPr>
        <w:t>pacijenata u RE-MEDY ispitivanju prevencije DVT/PE (odrasli pacijenti) i kod 10,5% pacijenata u RE-SONATE ispitivanju prevencije DVT/PE (odrasli pacijenti).</w:t>
      </w:r>
    </w:p>
    <w:p w14:paraId="0F1452D7" w14:textId="77777777" w:rsidR="00AA74E5" w:rsidRPr="00394D9A" w:rsidRDefault="00AA74E5">
      <w:pPr>
        <w:widowControl w:val="0"/>
        <w:rPr>
          <w:noProof/>
          <w:szCs w:val="22"/>
          <w:u w:val="single"/>
          <w:lang w:val="sr-Latn-RS"/>
        </w:rPr>
      </w:pPr>
    </w:p>
    <w:p w14:paraId="7BC25B36" w14:textId="04967806" w:rsidR="006A0FFA" w:rsidRPr="00394D9A" w:rsidRDefault="006A0FFA">
      <w:pPr>
        <w:widowControl w:val="0"/>
        <w:tabs>
          <w:tab w:val="clear" w:pos="284"/>
        </w:tabs>
        <w:autoSpaceDE w:val="0"/>
        <w:autoSpaceDN w:val="0"/>
        <w:rPr>
          <w:szCs w:val="22"/>
          <w:lang w:val="sr-Latn-RS"/>
        </w:rPr>
      </w:pPr>
      <w:r w:rsidRPr="00394D9A">
        <w:rPr>
          <w:szCs w:val="22"/>
          <w:lang w:val="sr-Latn-RS"/>
        </w:rPr>
        <w:t xml:space="preserve">S obzirom da se grupe pacijenata </w:t>
      </w:r>
      <w:r w:rsidR="00813D6A" w:rsidRPr="00394D9A">
        <w:rPr>
          <w:szCs w:val="22"/>
          <w:lang w:val="sr-Latn-RS"/>
        </w:rPr>
        <w:t>liječenih</w:t>
      </w:r>
      <w:r w:rsidRPr="00394D9A">
        <w:rPr>
          <w:szCs w:val="22"/>
          <w:lang w:val="sr-Latn-RS"/>
        </w:rPr>
        <w:t xml:space="preserve"> u tri indikacije ne mogu upoređivati, a događaji krvarenja su raspoređeni</w:t>
      </w:r>
      <w:r w:rsidRPr="00394D9A">
        <w:rPr>
          <w:spacing w:val="-4"/>
          <w:szCs w:val="22"/>
          <w:lang w:val="sr-Latn-RS"/>
        </w:rPr>
        <w:t xml:space="preserve"> </w:t>
      </w:r>
      <w:r w:rsidRPr="00394D9A">
        <w:rPr>
          <w:szCs w:val="22"/>
          <w:lang w:val="sr-Latn-RS"/>
        </w:rPr>
        <w:t>u</w:t>
      </w:r>
      <w:r w:rsidRPr="00394D9A">
        <w:rPr>
          <w:spacing w:val="-2"/>
          <w:szCs w:val="22"/>
          <w:lang w:val="sr-Latn-RS"/>
        </w:rPr>
        <w:t xml:space="preserve"> </w:t>
      </w:r>
      <w:r w:rsidRPr="00394D9A">
        <w:rPr>
          <w:szCs w:val="22"/>
          <w:lang w:val="sr-Latn-RS"/>
        </w:rPr>
        <w:t>nekoliko</w:t>
      </w:r>
      <w:r w:rsidRPr="00394D9A">
        <w:rPr>
          <w:spacing w:val="-4"/>
          <w:szCs w:val="22"/>
          <w:lang w:val="sr-Latn-RS"/>
        </w:rPr>
        <w:t xml:space="preserve"> </w:t>
      </w:r>
      <w:r w:rsidRPr="00394D9A">
        <w:rPr>
          <w:szCs w:val="22"/>
          <w:lang w:val="sr-Latn-RS"/>
        </w:rPr>
        <w:t>klasa</w:t>
      </w:r>
      <w:r w:rsidRPr="00394D9A">
        <w:rPr>
          <w:spacing w:val="-1"/>
          <w:szCs w:val="22"/>
          <w:lang w:val="sr-Latn-RS"/>
        </w:rPr>
        <w:t xml:space="preserve"> </w:t>
      </w:r>
      <w:r w:rsidRPr="00394D9A">
        <w:rPr>
          <w:szCs w:val="22"/>
          <w:lang w:val="sr-Latn-RS"/>
        </w:rPr>
        <w:t>sistema</w:t>
      </w:r>
      <w:r w:rsidRPr="00394D9A">
        <w:rPr>
          <w:spacing w:val="-2"/>
          <w:szCs w:val="22"/>
          <w:lang w:val="sr-Latn-RS"/>
        </w:rPr>
        <w:t xml:space="preserve"> </w:t>
      </w:r>
      <w:r w:rsidRPr="00394D9A">
        <w:rPr>
          <w:szCs w:val="22"/>
          <w:lang w:val="sr-Latn-RS"/>
        </w:rPr>
        <w:t>organa (engl.</w:t>
      </w:r>
      <w:r w:rsidRPr="00394D9A">
        <w:rPr>
          <w:spacing w:val="-3"/>
          <w:szCs w:val="22"/>
          <w:lang w:val="sr-Latn-RS"/>
        </w:rPr>
        <w:t xml:space="preserve"> </w:t>
      </w:r>
      <w:r w:rsidRPr="00394D9A">
        <w:rPr>
          <w:i/>
          <w:szCs w:val="22"/>
          <w:lang w:val="sr-Latn-RS"/>
        </w:rPr>
        <w:t>system</w:t>
      </w:r>
      <w:r w:rsidRPr="00394D9A">
        <w:rPr>
          <w:i/>
          <w:spacing w:val="-4"/>
          <w:szCs w:val="22"/>
          <w:lang w:val="sr-Latn-RS"/>
        </w:rPr>
        <w:t xml:space="preserve"> </w:t>
      </w:r>
      <w:r w:rsidRPr="00394D9A">
        <w:rPr>
          <w:i/>
          <w:szCs w:val="22"/>
          <w:lang w:val="sr-Latn-RS"/>
        </w:rPr>
        <w:t>organ</w:t>
      </w:r>
      <w:r w:rsidRPr="00394D9A">
        <w:rPr>
          <w:i/>
          <w:spacing w:val="-4"/>
          <w:szCs w:val="22"/>
          <w:lang w:val="sr-Latn-RS"/>
        </w:rPr>
        <w:t xml:space="preserve"> </w:t>
      </w:r>
      <w:r w:rsidRPr="00394D9A">
        <w:rPr>
          <w:i/>
          <w:szCs w:val="22"/>
          <w:lang w:val="sr-Latn-RS"/>
        </w:rPr>
        <w:t>class</w:t>
      </w:r>
      <w:r w:rsidRPr="00394D9A">
        <w:rPr>
          <w:szCs w:val="22"/>
          <w:lang w:val="sr-Latn-RS"/>
        </w:rPr>
        <w:t>,</w:t>
      </w:r>
      <w:r w:rsidRPr="00394D9A">
        <w:rPr>
          <w:spacing w:val="-3"/>
          <w:szCs w:val="22"/>
          <w:lang w:val="sr-Latn-RS"/>
        </w:rPr>
        <w:t xml:space="preserve"> </w:t>
      </w:r>
      <w:r w:rsidRPr="00394D9A">
        <w:rPr>
          <w:szCs w:val="22"/>
          <w:lang w:val="sr-Latn-RS"/>
        </w:rPr>
        <w:t>SOC),</w:t>
      </w:r>
      <w:r w:rsidRPr="00394D9A">
        <w:rPr>
          <w:spacing w:val="-5"/>
          <w:szCs w:val="22"/>
          <w:lang w:val="sr-Latn-RS"/>
        </w:rPr>
        <w:t xml:space="preserve"> </w:t>
      </w:r>
      <w:r w:rsidRPr="00394D9A">
        <w:rPr>
          <w:szCs w:val="22"/>
          <w:lang w:val="sr-Latn-RS"/>
        </w:rPr>
        <w:t>sažeti</w:t>
      </w:r>
      <w:r w:rsidRPr="00394D9A">
        <w:rPr>
          <w:spacing w:val="-5"/>
          <w:szCs w:val="22"/>
          <w:lang w:val="sr-Latn-RS"/>
        </w:rPr>
        <w:t xml:space="preserve"> </w:t>
      </w:r>
      <w:r w:rsidRPr="00394D9A">
        <w:rPr>
          <w:szCs w:val="22"/>
          <w:lang w:val="sr-Latn-RS"/>
        </w:rPr>
        <w:t>opis</w:t>
      </w:r>
      <w:r w:rsidRPr="00394D9A">
        <w:rPr>
          <w:spacing w:val="-1"/>
          <w:szCs w:val="22"/>
          <w:lang w:val="sr-Latn-RS"/>
        </w:rPr>
        <w:t xml:space="preserve"> </w:t>
      </w:r>
      <w:r w:rsidRPr="00394D9A">
        <w:rPr>
          <w:szCs w:val="22"/>
          <w:lang w:val="sr-Latn-RS"/>
        </w:rPr>
        <w:t>obilnih</w:t>
      </w:r>
      <w:r w:rsidRPr="00394D9A">
        <w:rPr>
          <w:spacing w:val="-6"/>
          <w:szCs w:val="22"/>
          <w:lang w:val="sr-Latn-RS"/>
        </w:rPr>
        <w:t xml:space="preserve"> </w:t>
      </w:r>
      <w:r w:rsidRPr="00394D9A">
        <w:rPr>
          <w:szCs w:val="22"/>
          <w:lang w:val="sr-Latn-RS"/>
        </w:rPr>
        <w:t>i</w:t>
      </w:r>
      <w:r w:rsidRPr="00394D9A">
        <w:rPr>
          <w:spacing w:val="-5"/>
          <w:szCs w:val="22"/>
          <w:lang w:val="sr-Latn-RS"/>
        </w:rPr>
        <w:t xml:space="preserve"> </w:t>
      </w:r>
      <w:r w:rsidRPr="00394D9A">
        <w:rPr>
          <w:szCs w:val="22"/>
          <w:lang w:val="sr-Latn-RS"/>
        </w:rPr>
        <w:t xml:space="preserve">svih </w:t>
      </w:r>
      <w:r w:rsidRPr="00394D9A">
        <w:rPr>
          <w:szCs w:val="22"/>
          <w:lang w:val="sr-Latn-RS"/>
        </w:rPr>
        <w:lastRenderedPageBreak/>
        <w:t>krvarenja je prikazan prema indikaciji, u tabelama 12-15 u nastavku teksta.</w:t>
      </w:r>
    </w:p>
    <w:p w14:paraId="6A32156F" w14:textId="77777777" w:rsidR="006A0FFA" w:rsidRPr="00394D9A" w:rsidRDefault="006A0FFA" w:rsidP="00DF17BA">
      <w:pPr>
        <w:widowControl w:val="0"/>
        <w:tabs>
          <w:tab w:val="clear" w:pos="284"/>
        </w:tabs>
        <w:autoSpaceDE w:val="0"/>
        <w:autoSpaceDN w:val="0"/>
        <w:rPr>
          <w:szCs w:val="22"/>
          <w:lang w:val="sr-Latn-RS"/>
        </w:rPr>
      </w:pPr>
    </w:p>
    <w:p w14:paraId="1E6D360B" w14:textId="7C080D77" w:rsidR="006A0FFA" w:rsidRPr="00394D9A" w:rsidRDefault="006A0FFA">
      <w:pPr>
        <w:widowControl w:val="0"/>
        <w:tabs>
          <w:tab w:val="clear" w:pos="284"/>
        </w:tabs>
        <w:autoSpaceDE w:val="0"/>
        <w:autoSpaceDN w:val="0"/>
        <w:rPr>
          <w:szCs w:val="22"/>
          <w:lang w:val="sr-Latn-RS"/>
        </w:rPr>
      </w:pPr>
      <w:r w:rsidRPr="00394D9A">
        <w:rPr>
          <w:szCs w:val="22"/>
          <w:lang w:val="sr-Latn-RS"/>
        </w:rPr>
        <w:t>Iako</w:t>
      </w:r>
      <w:r w:rsidRPr="00394D9A">
        <w:rPr>
          <w:spacing w:val="-5"/>
          <w:szCs w:val="22"/>
          <w:lang w:val="sr-Latn-RS"/>
        </w:rPr>
        <w:t xml:space="preserve"> </w:t>
      </w:r>
      <w:r w:rsidRPr="00394D9A">
        <w:rPr>
          <w:szCs w:val="22"/>
          <w:lang w:val="sr-Latn-RS"/>
        </w:rPr>
        <w:t>r</w:t>
      </w:r>
      <w:r w:rsidR="00813D6A" w:rsidRPr="00394D9A">
        <w:rPr>
          <w:szCs w:val="22"/>
          <w:lang w:val="sr-Latn-RS"/>
        </w:rPr>
        <w:t>ij</w:t>
      </w:r>
      <w:r w:rsidRPr="00394D9A">
        <w:rPr>
          <w:szCs w:val="22"/>
          <w:lang w:val="sr-Latn-RS"/>
        </w:rPr>
        <w:t>etko</w:t>
      </w:r>
      <w:r w:rsidRPr="00394D9A">
        <w:rPr>
          <w:spacing w:val="-2"/>
          <w:szCs w:val="22"/>
          <w:lang w:val="sr-Latn-RS"/>
        </w:rPr>
        <w:t xml:space="preserve"> </w:t>
      </w:r>
      <w:r w:rsidRPr="00394D9A">
        <w:rPr>
          <w:szCs w:val="22"/>
          <w:lang w:val="sr-Latn-RS"/>
        </w:rPr>
        <w:t>prijavljivana</w:t>
      </w:r>
      <w:r w:rsidRPr="00394D9A">
        <w:rPr>
          <w:spacing w:val="-4"/>
          <w:szCs w:val="22"/>
          <w:lang w:val="sr-Latn-RS"/>
        </w:rPr>
        <w:t xml:space="preserve"> </w:t>
      </w:r>
      <w:r w:rsidRPr="00394D9A">
        <w:rPr>
          <w:szCs w:val="22"/>
          <w:lang w:val="sr-Latn-RS"/>
        </w:rPr>
        <w:t>u</w:t>
      </w:r>
      <w:r w:rsidRPr="00394D9A">
        <w:rPr>
          <w:spacing w:val="-4"/>
          <w:szCs w:val="22"/>
          <w:lang w:val="sr-Latn-RS"/>
        </w:rPr>
        <w:t xml:space="preserve"> </w:t>
      </w:r>
      <w:r w:rsidRPr="00394D9A">
        <w:rPr>
          <w:szCs w:val="22"/>
          <w:lang w:val="sr-Latn-RS"/>
        </w:rPr>
        <w:t>kliničkim</w:t>
      </w:r>
      <w:r w:rsidRPr="00394D9A">
        <w:rPr>
          <w:spacing w:val="-4"/>
          <w:szCs w:val="22"/>
          <w:lang w:val="sr-Latn-RS"/>
        </w:rPr>
        <w:t xml:space="preserve"> </w:t>
      </w:r>
      <w:r w:rsidRPr="00394D9A">
        <w:rPr>
          <w:szCs w:val="22"/>
          <w:lang w:val="sr-Latn-RS"/>
        </w:rPr>
        <w:t>ispitivanjima,</w:t>
      </w:r>
      <w:r w:rsidRPr="00394D9A">
        <w:rPr>
          <w:spacing w:val="-4"/>
          <w:szCs w:val="22"/>
          <w:lang w:val="sr-Latn-RS"/>
        </w:rPr>
        <w:t xml:space="preserve"> </w:t>
      </w:r>
      <w:r w:rsidRPr="00394D9A">
        <w:rPr>
          <w:szCs w:val="22"/>
          <w:lang w:val="sr-Latn-RS"/>
        </w:rPr>
        <w:t>mogu</w:t>
      </w:r>
      <w:r w:rsidRPr="00394D9A">
        <w:rPr>
          <w:spacing w:val="-4"/>
          <w:szCs w:val="22"/>
          <w:lang w:val="sr-Latn-RS"/>
        </w:rPr>
        <w:t xml:space="preserve"> </w:t>
      </w:r>
      <w:r w:rsidRPr="00394D9A">
        <w:rPr>
          <w:szCs w:val="22"/>
          <w:lang w:val="sr-Latn-RS"/>
        </w:rPr>
        <w:t>se</w:t>
      </w:r>
      <w:r w:rsidRPr="00394D9A">
        <w:rPr>
          <w:spacing w:val="-4"/>
          <w:szCs w:val="22"/>
          <w:lang w:val="sr-Latn-RS"/>
        </w:rPr>
        <w:t xml:space="preserve"> </w:t>
      </w:r>
      <w:r w:rsidRPr="00394D9A">
        <w:rPr>
          <w:szCs w:val="22"/>
          <w:lang w:val="sr-Latn-RS"/>
        </w:rPr>
        <w:t>javiti obilna</w:t>
      </w:r>
      <w:r w:rsidRPr="00394D9A">
        <w:rPr>
          <w:spacing w:val="-2"/>
          <w:szCs w:val="22"/>
          <w:lang w:val="sr-Latn-RS"/>
        </w:rPr>
        <w:t xml:space="preserve"> </w:t>
      </w:r>
      <w:r w:rsidRPr="00394D9A">
        <w:rPr>
          <w:szCs w:val="22"/>
          <w:lang w:val="sr-Latn-RS"/>
        </w:rPr>
        <w:t>ili</w:t>
      </w:r>
      <w:r w:rsidRPr="00394D9A">
        <w:rPr>
          <w:spacing w:val="-6"/>
          <w:szCs w:val="22"/>
          <w:lang w:val="sr-Latn-RS"/>
        </w:rPr>
        <w:t xml:space="preserve"> </w:t>
      </w:r>
      <w:r w:rsidRPr="00394D9A">
        <w:rPr>
          <w:szCs w:val="22"/>
          <w:lang w:val="sr-Latn-RS"/>
        </w:rPr>
        <w:t>teška krvarenja</w:t>
      </w:r>
      <w:r w:rsidRPr="00394D9A">
        <w:rPr>
          <w:spacing w:val="-4"/>
          <w:szCs w:val="22"/>
          <w:lang w:val="sr-Latn-RS"/>
        </w:rPr>
        <w:t xml:space="preserve"> </w:t>
      </w:r>
      <w:r w:rsidRPr="00394D9A">
        <w:rPr>
          <w:szCs w:val="22"/>
          <w:lang w:val="sr-Latn-RS"/>
        </w:rPr>
        <w:t>koja,</w:t>
      </w:r>
      <w:r w:rsidRPr="00394D9A">
        <w:rPr>
          <w:spacing w:val="-5"/>
          <w:szCs w:val="22"/>
          <w:lang w:val="sr-Latn-RS"/>
        </w:rPr>
        <w:t xml:space="preserve"> </w:t>
      </w:r>
      <w:r w:rsidRPr="00394D9A">
        <w:rPr>
          <w:szCs w:val="22"/>
          <w:lang w:val="sr-Latn-RS"/>
        </w:rPr>
        <w:t>nezavisno od lokalizacije, mogu da budu onesposobljavajuća, opasna po život ili da čak dovedu do smrtnih ishoda.</w:t>
      </w:r>
    </w:p>
    <w:p w14:paraId="67F1388D" w14:textId="2C136B6A" w:rsidR="00814988" w:rsidRPr="00394D9A" w:rsidRDefault="00814988" w:rsidP="00187D17">
      <w:pPr>
        <w:widowControl w:val="0"/>
        <w:rPr>
          <w:noProof/>
          <w:szCs w:val="22"/>
          <w:lang w:val="sr-Latn-RS"/>
        </w:rPr>
      </w:pPr>
    </w:p>
    <w:p w14:paraId="7FF85D81" w14:textId="3B36DDCB" w:rsidR="009535C3" w:rsidRPr="00394D9A" w:rsidRDefault="009535C3" w:rsidP="00187D17">
      <w:pPr>
        <w:widowControl w:val="0"/>
        <w:rPr>
          <w:noProof/>
          <w:szCs w:val="22"/>
          <w:u w:val="single"/>
          <w:lang w:val="sr-Latn-RS"/>
        </w:rPr>
      </w:pPr>
      <w:r w:rsidRPr="00394D9A">
        <w:rPr>
          <w:noProof/>
          <w:szCs w:val="22"/>
          <w:u w:val="single"/>
          <w:lang w:val="sr-Latn-RS"/>
        </w:rPr>
        <w:t>Tabelaran prikaz neželjenih reakcija</w:t>
      </w:r>
    </w:p>
    <w:p w14:paraId="42E77BC7" w14:textId="77777777" w:rsidR="00916215" w:rsidRPr="00394D9A" w:rsidRDefault="00916215" w:rsidP="00187D17">
      <w:pPr>
        <w:widowControl w:val="0"/>
        <w:rPr>
          <w:noProof/>
          <w:szCs w:val="22"/>
          <w:u w:val="single"/>
          <w:lang w:val="sr-Latn-RS"/>
        </w:rPr>
      </w:pPr>
    </w:p>
    <w:p w14:paraId="00DD2121" w14:textId="4F29B93E" w:rsidR="00F10472" w:rsidRPr="00394D9A" w:rsidRDefault="000F16F8" w:rsidP="00187D17">
      <w:pPr>
        <w:widowControl w:val="0"/>
        <w:rPr>
          <w:noProof/>
          <w:szCs w:val="22"/>
          <w:lang w:val="sr-Latn-RS"/>
        </w:rPr>
      </w:pPr>
      <w:r w:rsidRPr="00394D9A">
        <w:rPr>
          <w:noProof/>
          <w:szCs w:val="22"/>
          <w:lang w:val="sr-Latn-RS"/>
        </w:rPr>
        <w:t>U t</w:t>
      </w:r>
      <w:r w:rsidR="00B57168" w:rsidRPr="00394D9A">
        <w:rPr>
          <w:noProof/>
          <w:szCs w:val="22"/>
          <w:lang w:val="sr-Latn-RS"/>
        </w:rPr>
        <w:t>abel</w:t>
      </w:r>
      <w:r w:rsidRPr="00394D9A">
        <w:rPr>
          <w:noProof/>
          <w:szCs w:val="22"/>
          <w:lang w:val="sr-Latn-RS"/>
        </w:rPr>
        <w:t>i</w:t>
      </w:r>
      <w:r w:rsidR="00B57168" w:rsidRPr="00394D9A">
        <w:rPr>
          <w:noProof/>
          <w:szCs w:val="22"/>
          <w:lang w:val="sr-Latn-RS"/>
        </w:rPr>
        <w:t xml:space="preserve"> 1</w:t>
      </w:r>
      <w:r w:rsidR="00695DA7" w:rsidRPr="00394D9A">
        <w:rPr>
          <w:noProof/>
          <w:szCs w:val="22"/>
          <w:lang w:val="sr-Latn-RS"/>
        </w:rPr>
        <w:t>1</w:t>
      </w:r>
      <w:r w:rsidR="00B57168" w:rsidRPr="00394D9A">
        <w:rPr>
          <w:noProof/>
          <w:szCs w:val="22"/>
          <w:lang w:val="sr-Latn-RS"/>
        </w:rPr>
        <w:t xml:space="preserve"> prikaz</w:t>
      </w:r>
      <w:r w:rsidRPr="00394D9A">
        <w:rPr>
          <w:noProof/>
          <w:szCs w:val="22"/>
          <w:lang w:val="sr-Latn-RS"/>
        </w:rPr>
        <w:t>ane su</w:t>
      </w:r>
      <w:r w:rsidR="00B57168" w:rsidRPr="00394D9A">
        <w:rPr>
          <w:noProof/>
          <w:szCs w:val="22"/>
          <w:lang w:val="sr-Latn-RS"/>
        </w:rPr>
        <w:t xml:space="preserve"> neželjene reakcije identifikovane </w:t>
      </w:r>
      <w:r w:rsidRPr="00394D9A">
        <w:rPr>
          <w:noProof/>
          <w:szCs w:val="22"/>
          <w:lang w:val="sr-Latn-RS"/>
        </w:rPr>
        <w:t>tokom</w:t>
      </w:r>
      <w:r w:rsidR="003A6582" w:rsidRPr="00394D9A">
        <w:rPr>
          <w:noProof/>
          <w:szCs w:val="22"/>
          <w:lang w:val="sr-Latn-RS"/>
        </w:rPr>
        <w:t xml:space="preserve"> klini</w:t>
      </w:r>
      <w:r w:rsidRPr="00394D9A">
        <w:rPr>
          <w:noProof/>
          <w:szCs w:val="22"/>
          <w:lang w:val="sr-Latn-RS"/>
        </w:rPr>
        <w:t>č</w:t>
      </w:r>
      <w:r w:rsidR="003A6582" w:rsidRPr="00394D9A">
        <w:rPr>
          <w:noProof/>
          <w:szCs w:val="22"/>
          <w:lang w:val="sr-Latn-RS"/>
        </w:rPr>
        <w:t xml:space="preserve">kih ispitivanja i </w:t>
      </w:r>
      <w:r w:rsidRPr="00394D9A">
        <w:rPr>
          <w:noProof/>
          <w:szCs w:val="22"/>
          <w:lang w:val="sr-Latn-RS"/>
        </w:rPr>
        <w:t xml:space="preserve">u postmarketinškom praćenju </w:t>
      </w:r>
      <w:r w:rsidR="003A6582" w:rsidRPr="00394D9A">
        <w:rPr>
          <w:noProof/>
          <w:szCs w:val="22"/>
          <w:lang w:val="sr-Latn-RS"/>
        </w:rPr>
        <w:t>za indikacije</w:t>
      </w:r>
      <w:r w:rsidRPr="00394D9A">
        <w:rPr>
          <w:noProof/>
          <w:szCs w:val="22"/>
          <w:lang w:val="sr-Latn-RS"/>
        </w:rPr>
        <w:t>:</w:t>
      </w:r>
      <w:r w:rsidR="00B57168" w:rsidRPr="00394D9A">
        <w:rPr>
          <w:noProof/>
          <w:szCs w:val="22"/>
          <w:lang w:val="sr-Latn-RS"/>
        </w:rPr>
        <w:t xml:space="preserve"> prevencij</w:t>
      </w:r>
      <w:r w:rsidRPr="00394D9A">
        <w:rPr>
          <w:noProof/>
          <w:szCs w:val="22"/>
          <w:lang w:val="sr-Latn-RS"/>
        </w:rPr>
        <w:t>a</w:t>
      </w:r>
      <w:r w:rsidR="00B57168" w:rsidRPr="00394D9A">
        <w:rPr>
          <w:noProof/>
          <w:szCs w:val="22"/>
          <w:lang w:val="sr-Latn-RS"/>
        </w:rPr>
        <w:t xml:space="preserve"> tromboembolijskog moždanog udara</w:t>
      </w:r>
      <w:r w:rsidRPr="00394D9A">
        <w:rPr>
          <w:noProof/>
          <w:szCs w:val="22"/>
          <w:lang w:val="sr-Latn-RS"/>
        </w:rPr>
        <w:t xml:space="preserve"> i</w:t>
      </w:r>
      <w:r w:rsidR="003A6582" w:rsidRPr="00394D9A">
        <w:rPr>
          <w:noProof/>
          <w:szCs w:val="22"/>
          <w:lang w:val="sr-Latn-RS"/>
        </w:rPr>
        <w:t xml:space="preserve"> </w:t>
      </w:r>
      <w:r w:rsidR="00B57168" w:rsidRPr="00394D9A">
        <w:rPr>
          <w:noProof/>
          <w:szCs w:val="22"/>
          <w:lang w:val="sr-Latn-RS"/>
        </w:rPr>
        <w:t>s</w:t>
      </w:r>
      <w:r w:rsidR="003A6582" w:rsidRPr="00394D9A">
        <w:rPr>
          <w:noProof/>
          <w:szCs w:val="22"/>
          <w:lang w:val="sr-Latn-RS"/>
        </w:rPr>
        <w:t>i</w:t>
      </w:r>
      <w:r w:rsidR="00B57168" w:rsidRPr="00394D9A">
        <w:rPr>
          <w:noProof/>
          <w:szCs w:val="22"/>
          <w:lang w:val="sr-Latn-RS"/>
        </w:rPr>
        <w:t>stemske embolije kod pacijenata sa atrijalnom fibrilacijom, l</w:t>
      </w:r>
      <w:r w:rsidR="00291EB6" w:rsidRPr="00394D9A">
        <w:rPr>
          <w:noProof/>
          <w:szCs w:val="22"/>
          <w:lang w:val="sr-Latn-RS"/>
        </w:rPr>
        <w:t>ij</w:t>
      </w:r>
      <w:r w:rsidR="00B57168" w:rsidRPr="00394D9A">
        <w:rPr>
          <w:noProof/>
          <w:szCs w:val="22"/>
          <w:lang w:val="sr-Latn-RS"/>
        </w:rPr>
        <w:t>ečenj</w:t>
      </w:r>
      <w:r w:rsidRPr="00394D9A">
        <w:rPr>
          <w:noProof/>
          <w:szCs w:val="22"/>
          <w:lang w:val="sr-Latn-RS"/>
        </w:rPr>
        <w:t>e</w:t>
      </w:r>
      <w:r w:rsidR="00B57168" w:rsidRPr="00394D9A">
        <w:rPr>
          <w:noProof/>
          <w:szCs w:val="22"/>
          <w:lang w:val="sr-Latn-RS"/>
        </w:rPr>
        <w:t xml:space="preserve"> DVT/PE i prevencij</w:t>
      </w:r>
      <w:r w:rsidRPr="00394D9A">
        <w:rPr>
          <w:noProof/>
          <w:szCs w:val="22"/>
          <w:lang w:val="sr-Latn-RS"/>
        </w:rPr>
        <w:t>a</w:t>
      </w:r>
      <w:r w:rsidR="00B57168" w:rsidRPr="00394D9A">
        <w:rPr>
          <w:noProof/>
          <w:szCs w:val="22"/>
          <w:lang w:val="sr-Latn-RS"/>
        </w:rPr>
        <w:t xml:space="preserve"> DVT/PE. One su klasifikovane prema SOC </w:t>
      </w:r>
      <w:r w:rsidRPr="00394D9A">
        <w:rPr>
          <w:noProof/>
          <w:szCs w:val="22"/>
          <w:lang w:val="sr-Latn-RS"/>
        </w:rPr>
        <w:t xml:space="preserve">klasama sistema organa </w:t>
      </w:r>
      <w:r w:rsidR="00B57168" w:rsidRPr="00394D9A">
        <w:rPr>
          <w:noProof/>
          <w:szCs w:val="22"/>
          <w:lang w:val="sr-Latn-RS"/>
        </w:rPr>
        <w:t>(SOC) koristeći sl</w:t>
      </w:r>
      <w:r w:rsidR="00157169" w:rsidRPr="00394D9A">
        <w:rPr>
          <w:noProof/>
          <w:szCs w:val="22"/>
          <w:lang w:val="sr-Latn-RS"/>
        </w:rPr>
        <w:t>j</w:t>
      </w:r>
      <w:r w:rsidR="00B57168" w:rsidRPr="00394D9A">
        <w:rPr>
          <w:noProof/>
          <w:szCs w:val="22"/>
          <w:lang w:val="sr-Latn-RS"/>
        </w:rPr>
        <w:t>edeću konvenciju</w:t>
      </w:r>
      <w:r w:rsidRPr="00394D9A">
        <w:rPr>
          <w:noProof/>
          <w:szCs w:val="22"/>
          <w:lang w:val="sr-Latn-RS"/>
        </w:rPr>
        <w:t xml:space="preserve"> za učestalost</w:t>
      </w:r>
      <w:r w:rsidR="00B57168" w:rsidRPr="00394D9A">
        <w:rPr>
          <w:noProof/>
          <w:szCs w:val="22"/>
          <w:lang w:val="sr-Latn-RS"/>
        </w:rPr>
        <w:t>: veoma čest</w:t>
      </w:r>
      <w:r w:rsidRPr="00394D9A">
        <w:rPr>
          <w:noProof/>
          <w:szCs w:val="22"/>
          <w:lang w:val="sr-Latn-RS"/>
        </w:rPr>
        <w:t>o</w:t>
      </w:r>
      <w:r w:rsidR="00B57168" w:rsidRPr="00394D9A">
        <w:rPr>
          <w:noProof/>
          <w:szCs w:val="22"/>
          <w:lang w:val="sr-Latn-RS"/>
        </w:rPr>
        <w:t xml:space="preserve"> (≥</w:t>
      </w:r>
      <w:r w:rsidR="009F125C" w:rsidRPr="00394D9A">
        <w:rPr>
          <w:noProof/>
          <w:szCs w:val="22"/>
          <w:lang w:val="sr-Latn-RS"/>
        </w:rPr>
        <w:t xml:space="preserve"> </w:t>
      </w:r>
      <w:r w:rsidR="00B57168" w:rsidRPr="00394D9A">
        <w:rPr>
          <w:noProof/>
          <w:szCs w:val="22"/>
          <w:lang w:val="sr-Latn-RS"/>
        </w:rPr>
        <w:t>1/10); čest</w:t>
      </w:r>
      <w:r w:rsidRPr="00394D9A">
        <w:rPr>
          <w:noProof/>
          <w:szCs w:val="22"/>
          <w:lang w:val="sr-Latn-RS"/>
        </w:rPr>
        <w:t>o</w:t>
      </w:r>
      <w:r w:rsidR="00B57168" w:rsidRPr="00394D9A">
        <w:rPr>
          <w:noProof/>
          <w:szCs w:val="22"/>
          <w:lang w:val="sr-Latn-RS"/>
        </w:rPr>
        <w:t xml:space="preserve"> (≥</w:t>
      </w:r>
      <w:r w:rsidR="009F125C" w:rsidRPr="00394D9A">
        <w:rPr>
          <w:noProof/>
          <w:szCs w:val="22"/>
          <w:lang w:val="sr-Latn-RS"/>
        </w:rPr>
        <w:t xml:space="preserve"> </w:t>
      </w:r>
      <w:r w:rsidR="00B57168" w:rsidRPr="00394D9A">
        <w:rPr>
          <w:noProof/>
          <w:szCs w:val="22"/>
          <w:lang w:val="sr-Latn-RS"/>
        </w:rPr>
        <w:t>1/100, &lt;1/10); po</w:t>
      </w:r>
      <w:r w:rsidR="00BD52DD" w:rsidRPr="00394D9A">
        <w:rPr>
          <w:noProof/>
          <w:szCs w:val="22"/>
          <w:lang w:val="sr-Latn-RS"/>
        </w:rPr>
        <w:t>vreme</w:t>
      </w:r>
      <w:r w:rsidR="00B57168" w:rsidRPr="00394D9A">
        <w:rPr>
          <w:noProof/>
          <w:szCs w:val="22"/>
          <w:lang w:val="sr-Latn-RS"/>
        </w:rPr>
        <w:t>n</w:t>
      </w:r>
      <w:r w:rsidRPr="00394D9A">
        <w:rPr>
          <w:noProof/>
          <w:szCs w:val="22"/>
          <w:lang w:val="sr-Latn-RS"/>
        </w:rPr>
        <w:t>o</w:t>
      </w:r>
      <w:r w:rsidR="00B57168" w:rsidRPr="00394D9A">
        <w:rPr>
          <w:noProof/>
          <w:szCs w:val="22"/>
          <w:lang w:val="sr-Latn-RS"/>
        </w:rPr>
        <w:t xml:space="preserve"> (≥</w:t>
      </w:r>
      <w:r w:rsidR="009F125C" w:rsidRPr="00394D9A">
        <w:rPr>
          <w:noProof/>
          <w:szCs w:val="22"/>
          <w:lang w:val="sr-Latn-RS"/>
        </w:rPr>
        <w:t xml:space="preserve"> </w:t>
      </w:r>
      <w:r w:rsidR="00B57168" w:rsidRPr="00394D9A">
        <w:rPr>
          <w:noProof/>
          <w:szCs w:val="22"/>
          <w:lang w:val="sr-Latn-RS"/>
        </w:rPr>
        <w:t>1/1000, &lt;</w:t>
      </w:r>
      <w:r w:rsidR="009F125C" w:rsidRPr="00394D9A">
        <w:rPr>
          <w:noProof/>
          <w:szCs w:val="22"/>
          <w:lang w:val="sr-Latn-RS"/>
        </w:rPr>
        <w:t xml:space="preserve"> </w:t>
      </w:r>
      <w:r w:rsidR="00B57168" w:rsidRPr="00394D9A">
        <w:rPr>
          <w:noProof/>
          <w:szCs w:val="22"/>
          <w:lang w:val="sr-Latn-RS"/>
        </w:rPr>
        <w:t xml:space="preserve">1/100), </w:t>
      </w:r>
      <w:r w:rsidR="00291EB6" w:rsidRPr="00394D9A">
        <w:rPr>
          <w:noProof/>
          <w:szCs w:val="22"/>
          <w:lang w:val="sr-Latn-RS"/>
        </w:rPr>
        <w:t>rijetko</w:t>
      </w:r>
      <w:r w:rsidR="00B57168" w:rsidRPr="00394D9A">
        <w:rPr>
          <w:noProof/>
          <w:szCs w:val="22"/>
          <w:lang w:val="sr-Latn-RS"/>
        </w:rPr>
        <w:t xml:space="preserve"> (≥</w:t>
      </w:r>
      <w:r w:rsidR="009F125C" w:rsidRPr="00394D9A">
        <w:rPr>
          <w:noProof/>
          <w:szCs w:val="22"/>
          <w:lang w:val="sr-Latn-RS"/>
        </w:rPr>
        <w:t xml:space="preserve"> </w:t>
      </w:r>
      <w:r w:rsidR="00B57168" w:rsidRPr="00394D9A">
        <w:rPr>
          <w:noProof/>
          <w:szCs w:val="22"/>
          <w:lang w:val="sr-Latn-RS"/>
        </w:rPr>
        <w:t>1/10000, &lt;</w:t>
      </w:r>
      <w:r w:rsidR="009F125C" w:rsidRPr="00394D9A">
        <w:rPr>
          <w:noProof/>
          <w:szCs w:val="22"/>
          <w:lang w:val="sr-Latn-RS"/>
        </w:rPr>
        <w:t xml:space="preserve"> </w:t>
      </w:r>
      <w:r w:rsidR="00B57168" w:rsidRPr="00394D9A">
        <w:rPr>
          <w:noProof/>
          <w:szCs w:val="22"/>
          <w:lang w:val="sr-Latn-RS"/>
        </w:rPr>
        <w:t xml:space="preserve">1/1000); veoma </w:t>
      </w:r>
      <w:r w:rsidR="00291EB6" w:rsidRPr="00394D9A">
        <w:rPr>
          <w:noProof/>
          <w:szCs w:val="22"/>
          <w:lang w:val="sr-Latn-RS"/>
        </w:rPr>
        <w:t>rijetko</w:t>
      </w:r>
      <w:r w:rsidR="00B57168" w:rsidRPr="00394D9A">
        <w:rPr>
          <w:noProof/>
          <w:szCs w:val="22"/>
          <w:lang w:val="sr-Latn-RS"/>
        </w:rPr>
        <w:t xml:space="preserve"> (&lt;</w:t>
      </w:r>
      <w:r w:rsidR="009F125C" w:rsidRPr="00394D9A">
        <w:rPr>
          <w:noProof/>
          <w:szCs w:val="22"/>
          <w:lang w:val="sr-Latn-RS"/>
        </w:rPr>
        <w:t xml:space="preserve"> </w:t>
      </w:r>
      <w:r w:rsidR="00B57168" w:rsidRPr="00394D9A">
        <w:rPr>
          <w:noProof/>
          <w:szCs w:val="22"/>
          <w:lang w:val="sr-Latn-RS"/>
        </w:rPr>
        <w:t xml:space="preserve">1/10000); nepoznato (ne može </w:t>
      </w:r>
      <w:r w:rsidRPr="00394D9A">
        <w:rPr>
          <w:noProof/>
          <w:szCs w:val="22"/>
          <w:lang w:val="sr-Latn-RS"/>
        </w:rPr>
        <w:t>se</w:t>
      </w:r>
      <w:r w:rsidR="00B57168" w:rsidRPr="00394D9A">
        <w:rPr>
          <w:noProof/>
          <w:szCs w:val="22"/>
          <w:lang w:val="sr-Latn-RS"/>
        </w:rPr>
        <w:t xml:space="preserve"> proc</w:t>
      </w:r>
      <w:r w:rsidR="00291EB6" w:rsidRPr="00394D9A">
        <w:rPr>
          <w:noProof/>
          <w:szCs w:val="22"/>
          <w:lang w:val="sr-Latn-RS"/>
        </w:rPr>
        <w:t>j</w:t>
      </w:r>
      <w:r w:rsidR="00B57168" w:rsidRPr="00394D9A">
        <w:rPr>
          <w:noProof/>
          <w:szCs w:val="22"/>
          <w:lang w:val="sr-Latn-RS"/>
        </w:rPr>
        <w:t>en</w:t>
      </w:r>
      <w:r w:rsidRPr="00394D9A">
        <w:rPr>
          <w:noProof/>
          <w:szCs w:val="22"/>
          <w:lang w:val="sr-Latn-RS"/>
        </w:rPr>
        <w:t>iti</w:t>
      </w:r>
      <w:r w:rsidR="00B57168" w:rsidRPr="00394D9A">
        <w:rPr>
          <w:noProof/>
          <w:szCs w:val="22"/>
          <w:lang w:val="sr-Latn-RS"/>
        </w:rPr>
        <w:t xml:space="preserve"> na osnovu </w:t>
      </w:r>
      <w:r w:rsidRPr="00394D9A">
        <w:rPr>
          <w:noProof/>
          <w:szCs w:val="22"/>
          <w:lang w:val="sr-Latn-RS"/>
        </w:rPr>
        <w:t xml:space="preserve">dostupnih </w:t>
      </w:r>
      <w:r w:rsidR="00B57168" w:rsidRPr="00394D9A">
        <w:rPr>
          <w:noProof/>
          <w:szCs w:val="22"/>
          <w:lang w:val="sr-Latn-RS"/>
        </w:rPr>
        <w:t>podataka).</w:t>
      </w:r>
    </w:p>
    <w:p w14:paraId="3D4190A5" w14:textId="77777777" w:rsidR="00B563A6" w:rsidRPr="00394D9A" w:rsidRDefault="00B563A6" w:rsidP="00187D17">
      <w:pPr>
        <w:widowControl w:val="0"/>
        <w:rPr>
          <w:b/>
          <w:bCs/>
          <w:noProof/>
          <w:szCs w:val="22"/>
          <w:lang w:val="sr-Latn-RS"/>
        </w:rPr>
      </w:pPr>
    </w:p>
    <w:p w14:paraId="5005238F" w14:textId="5F771BEA" w:rsidR="009535C3" w:rsidRPr="00394D9A" w:rsidRDefault="009535C3" w:rsidP="00187D17">
      <w:pPr>
        <w:widowControl w:val="0"/>
        <w:rPr>
          <w:b/>
          <w:bCs/>
          <w:noProof/>
          <w:szCs w:val="22"/>
          <w:lang w:val="sr-Latn-RS"/>
        </w:rPr>
      </w:pPr>
      <w:r w:rsidRPr="00394D9A">
        <w:rPr>
          <w:b/>
          <w:bCs/>
          <w:noProof/>
          <w:szCs w:val="22"/>
          <w:lang w:val="sr-Latn-RS"/>
        </w:rPr>
        <w:t xml:space="preserve">Tabela </w:t>
      </w:r>
      <w:r w:rsidR="00B57168" w:rsidRPr="00394D9A">
        <w:rPr>
          <w:b/>
          <w:bCs/>
          <w:noProof/>
          <w:szCs w:val="22"/>
          <w:lang w:val="sr-Latn-RS"/>
        </w:rPr>
        <w:t>1</w:t>
      </w:r>
      <w:r w:rsidR="00695DA7" w:rsidRPr="00394D9A">
        <w:rPr>
          <w:b/>
          <w:bCs/>
          <w:noProof/>
          <w:szCs w:val="22"/>
          <w:lang w:val="sr-Latn-RS"/>
        </w:rPr>
        <w:t>1</w:t>
      </w:r>
      <w:r w:rsidRPr="00394D9A">
        <w:rPr>
          <w:b/>
          <w:bCs/>
          <w:noProof/>
          <w:szCs w:val="22"/>
          <w:lang w:val="sr-Latn-RS"/>
        </w:rPr>
        <w:t>: Neželjene reakcije</w:t>
      </w:r>
    </w:p>
    <w:p w14:paraId="1A49E034" w14:textId="77777777" w:rsidR="00F10472" w:rsidRPr="00394D9A" w:rsidRDefault="00F10472" w:rsidP="00187D17">
      <w:pPr>
        <w:widowControl w:val="0"/>
        <w:rPr>
          <w:noProof/>
          <w:szCs w:val="22"/>
          <w:lang w:val="sr-Latn-RS"/>
        </w:rPr>
      </w:pPr>
    </w:p>
    <w:tbl>
      <w:tblPr>
        <w:tblStyle w:val="TableGrid"/>
        <w:tblW w:w="0" w:type="auto"/>
        <w:tblLook w:val="04A0" w:firstRow="1" w:lastRow="0" w:firstColumn="1" w:lastColumn="0" w:noHBand="0" w:noVBand="1"/>
      </w:tblPr>
      <w:tblGrid>
        <w:gridCol w:w="3303"/>
        <w:gridCol w:w="4167"/>
        <w:gridCol w:w="1591"/>
      </w:tblGrid>
      <w:tr w:rsidR="00682FFD" w:rsidRPr="00394D9A" w14:paraId="42C667B6" w14:textId="77777777" w:rsidTr="00DF17BA">
        <w:tc>
          <w:tcPr>
            <w:tcW w:w="0" w:type="auto"/>
          </w:tcPr>
          <w:p w14:paraId="3362346B" w14:textId="77777777" w:rsidR="00682FFD" w:rsidRPr="00394D9A" w:rsidRDefault="00682FFD" w:rsidP="00187D17">
            <w:pPr>
              <w:widowControl w:val="0"/>
              <w:jc w:val="left"/>
              <w:rPr>
                <w:b/>
                <w:bCs/>
                <w:noProof/>
                <w:szCs w:val="22"/>
                <w:lang w:val="sr-Latn-RS"/>
              </w:rPr>
            </w:pPr>
          </w:p>
        </w:tc>
        <w:tc>
          <w:tcPr>
            <w:tcW w:w="0" w:type="auto"/>
            <w:gridSpan w:val="2"/>
          </w:tcPr>
          <w:p w14:paraId="5ECB92AA" w14:textId="01671108" w:rsidR="00682FFD" w:rsidRPr="00394D9A" w:rsidRDefault="00682FFD" w:rsidP="00187D17">
            <w:pPr>
              <w:widowControl w:val="0"/>
              <w:jc w:val="center"/>
              <w:rPr>
                <w:b/>
                <w:bCs/>
                <w:noProof/>
                <w:szCs w:val="22"/>
                <w:lang w:val="sr-Latn-RS"/>
              </w:rPr>
            </w:pPr>
            <w:r w:rsidRPr="00394D9A">
              <w:rPr>
                <w:b/>
                <w:bCs/>
                <w:noProof/>
                <w:szCs w:val="22"/>
                <w:lang w:val="sr-Latn-RS"/>
              </w:rPr>
              <w:t>Učestalost</w:t>
            </w:r>
          </w:p>
        </w:tc>
      </w:tr>
      <w:tr w:rsidR="00465749" w:rsidRPr="00394D9A" w14:paraId="129D1471" w14:textId="5C99263F" w:rsidTr="00DF17BA">
        <w:tc>
          <w:tcPr>
            <w:tcW w:w="0" w:type="auto"/>
          </w:tcPr>
          <w:p w14:paraId="750C7603" w14:textId="4A6F090E" w:rsidR="00465749" w:rsidRPr="00394D9A" w:rsidRDefault="00465749" w:rsidP="00187D17">
            <w:pPr>
              <w:widowControl w:val="0"/>
              <w:jc w:val="center"/>
              <w:rPr>
                <w:b/>
                <w:bCs/>
                <w:noProof/>
                <w:szCs w:val="22"/>
                <w:lang w:val="sr-Latn-RS"/>
              </w:rPr>
            </w:pPr>
            <w:r w:rsidRPr="00394D9A">
              <w:rPr>
                <w:b/>
                <w:bCs/>
                <w:noProof/>
                <w:szCs w:val="22"/>
                <w:lang w:val="sr-Latn-RS"/>
              </w:rPr>
              <w:t>SOC</w:t>
            </w:r>
            <w:r w:rsidRPr="00394D9A">
              <w:rPr>
                <w:rFonts w:eastAsia="TimesNewRoman"/>
                <w:b/>
                <w:bCs/>
                <w:szCs w:val="22"/>
                <w:lang w:val="sr-Latn-RS"/>
              </w:rPr>
              <w:t>/Preporučeni termin</w:t>
            </w:r>
          </w:p>
        </w:tc>
        <w:tc>
          <w:tcPr>
            <w:tcW w:w="0" w:type="auto"/>
          </w:tcPr>
          <w:p w14:paraId="47C3C542" w14:textId="1B811EBE" w:rsidR="00465749" w:rsidRPr="00394D9A" w:rsidRDefault="00465749" w:rsidP="00187D17">
            <w:pPr>
              <w:widowControl w:val="0"/>
              <w:jc w:val="center"/>
              <w:rPr>
                <w:b/>
                <w:bCs/>
                <w:noProof/>
                <w:szCs w:val="22"/>
                <w:lang w:val="sr-Latn-RS"/>
              </w:rPr>
            </w:pPr>
            <w:r w:rsidRPr="00394D9A">
              <w:rPr>
                <w:b/>
                <w:bCs/>
                <w:noProof/>
                <w:szCs w:val="22"/>
                <w:lang w:val="sr-Latn-RS"/>
              </w:rPr>
              <w:t>Prevencija moždanog udara i sistemske embolije kod pacijenata sa atrijalnom fibrilacijom</w:t>
            </w:r>
          </w:p>
        </w:tc>
        <w:tc>
          <w:tcPr>
            <w:tcW w:w="0" w:type="auto"/>
          </w:tcPr>
          <w:p w14:paraId="7423D401" w14:textId="1D635920" w:rsidR="00465749" w:rsidRPr="00394D9A" w:rsidRDefault="00465749" w:rsidP="00187D17">
            <w:pPr>
              <w:widowControl w:val="0"/>
              <w:jc w:val="center"/>
              <w:rPr>
                <w:b/>
                <w:bCs/>
                <w:noProof/>
                <w:szCs w:val="22"/>
                <w:lang w:val="sr-Latn-RS"/>
              </w:rPr>
            </w:pPr>
            <w:r w:rsidRPr="00394D9A">
              <w:rPr>
                <w:b/>
                <w:bCs/>
                <w:noProof/>
                <w:szCs w:val="22"/>
                <w:lang w:val="sr-Latn-RS"/>
              </w:rPr>
              <w:t>L</w:t>
            </w:r>
            <w:r w:rsidR="00291EB6" w:rsidRPr="00394D9A">
              <w:rPr>
                <w:b/>
                <w:bCs/>
                <w:noProof/>
                <w:szCs w:val="22"/>
                <w:lang w:val="sr-Latn-RS"/>
              </w:rPr>
              <w:t>ij</w:t>
            </w:r>
            <w:r w:rsidRPr="00394D9A">
              <w:rPr>
                <w:b/>
                <w:bCs/>
                <w:noProof/>
                <w:szCs w:val="22"/>
                <w:lang w:val="sr-Latn-RS"/>
              </w:rPr>
              <w:t>ečenje DVT/PE</w:t>
            </w:r>
          </w:p>
          <w:p w14:paraId="7A5D2F6D" w14:textId="634048E0" w:rsidR="00465749" w:rsidRPr="00394D9A" w:rsidRDefault="00465749" w:rsidP="00187D17">
            <w:pPr>
              <w:widowControl w:val="0"/>
              <w:jc w:val="center"/>
              <w:rPr>
                <w:b/>
                <w:bCs/>
                <w:noProof/>
                <w:szCs w:val="22"/>
                <w:lang w:val="sr-Latn-RS"/>
              </w:rPr>
            </w:pPr>
            <w:r w:rsidRPr="00394D9A">
              <w:rPr>
                <w:b/>
                <w:bCs/>
                <w:noProof/>
                <w:szCs w:val="22"/>
                <w:lang w:val="sr-Latn-RS"/>
              </w:rPr>
              <w:t>i prevencija DVT/PE</w:t>
            </w:r>
          </w:p>
        </w:tc>
      </w:tr>
      <w:tr w:rsidR="008B56CF" w:rsidRPr="00394D9A" w14:paraId="18A301B7" w14:textId="77777777" w:rsidTr="00DF17BA">
        <w:tc>
          <w:tcPr>
            <w:tcW w:w="0" w:type="auto"/>
            <w:gridSpan w:val="3"/>
          </w:tcPr>
          <w:p w14:paraId="6F5B323B" w14:textId="718FCEA3" w:rsidR="008B56CF" w:rsidRPr="00394D9A" w:rsidRDefault="008B56CF" w:rsidP="00187D17">
            <w:pPr>
              <w:widowControl w:val="0"/>
              <w:jc w:val="left"/>
              <w:rPr>
                <w:b/>
                <w:i/>
                <w:iCs/>
                <w:noProof/>
                <w:szCs w:val="22"/>
                <w:lang w:val="sr-Latn-RS"/>
              </w:rPr>
            </w:pPr>
            <w:r w:rsidRPr="00394D9A">
              <w:rPr>
                <w:b/>
                <w:i/>
                <w:iCs/>
                <w:noProof/>
                <w:szCs w:val="22"/>
                <w:lang w:val="sr-Latn-RS"/>
              </w:rPr>
              <w:t>Poremećaji krvi i lim</w:t>
            </w:r>
            <w:r w:rsidR="00016746" w:rsidRPr="00394D9A">
              <w:rPr>
                <w:b/>
                <w:i/>
                <w:iCs/>
                <w:noProof/>
                <w:szCs w:val="22"/>
                <w:lang w:val="sr-Latn-RS"/>
              </w:rPr>
              <w:t>f</w:t>
            </w:r>
            <w:r w:rsidRPr="00394D9A">
              <w:rPr>
                <w:b/>
                <w:i/>
                <w:iCs/>
                <w:noProof/>
                <w:szCs w:val="22"/>
                <w:lang w:val="sr-Latn-RS"/>
              </w:rPr>
              <w:t>nog sistema</w:t>
            </w:r>
          </w:p>
        </w:tc>
      </w:tr>
      <w:tr w:rsidR="00465749" w:rsidRPr="00394D9A" w14:paraId="2CB30B91" w14:textId="75F3D48A" w:rsidTr="00DF17BA">
        <w:tc>
          <w:tcPr>
            <w:tcW w:w="0" w:type="auto"/>
          </w:tcPr>
          <w:p w14:paraId="6AF13C2C" w14:textId="751EC017" w:rsidR="00465749" w:rsidRPr="00394D9A" w:rsidRDefault="00465749" w:rsidP="00187D17">
            <w:pPr>
              <w:widowControl w:val="0"/>
              <w:jc w:val="left"/>
              <w:rPr>
                <w:noProof/>
                <w:szCs w:val="22"/>
                <w:lang w:val="sr-Latn-RS"/>
              </w:rPr>
            </w:pPr>
            <w:r w:rsidRPr="00394D9A">
              <w:rPr>
                <w:noProof/>
                <w:szCs w:val="22"/>
                <w:lang w:val="sr-Latn-RS"/>
              </w:rPr>
              <w:t>Anemija</w:t>
            </w:r>
          </w:p>
        </w:tc>
        <w:tc>
          <w:tcPr>
            <w:tcW w:w="0" w:type="auto"/>
          </w:tcPr>
          <w:p w14:paraId="11D48180" w14:textId="1FB801B5" w:rsidR="00465749" w:rsidRPr="00394D9A" w:rsidRDefault="00465749" w:rsidP="00187D17">
            <w:pPr>
              <w:widowControl w:val="0"/>
              <w:jc w:val="center"/>
              <w:rPr>
                <w:noProof/>
                <w:szCs w:val="22"/>
                <w:lang w:val="sr-Latn-RS"/>
              </w:rPr>
            </w:pPr>
            <w:r w:rsidRPr="00394D9A">
              <w:rPr>
                <w:noProof/>
                <w:szCs w:val="22"/>
                <w:lang w:val="sr-Latn-RS"/>
              </w:rPr>
              <w:t>Često</w:t>
            </w:r>
          </w:p>
        </w:tc>
        <w:tc>
          <w:tcPr>
            <w:tcW w:w="0" w:type="auto"/>
          </w:tcPr>
          <w:p w14:paraId="262DA73F" w14:textId="6C7A03E7"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r>
      <w:tr w:rsidR="00465749" w:rsidRPr="00394D9A" w14:paraId="22E7F570" w14:textId="4075F221" w:rsidTr="00DF17BA">
        <w:tc>
          <w:tcPr>
            <w:tcW w:w="0" w:type="auto"/>
          </w:tcPr>
          <w:p w14:paraId="6BCF7577" w14:textId="2DA6F0DD" w:rsidR="00465749" w:rsidRPr="00394D9A" w:rsidRDefault="00465749" w:rsidP="00187D17">
            <w:pPr>
              <w:widowControl w:val="0"/>
              <w:jc w:val="left"/>
              <w:rPr>
                <w:noProof/>
                <w:szCs w:val="22"/>
                <w:lang w:val="sr-Latn-RS"/>
              </w:rPr>
            </w:pPr>
            <w:r w:rsidRPr="00394D9A">
              <w:rPr>
                <w:noProof/>
                <w:szCs w:val="22"/>
                <w:lang w:val="sr-Latn-RS"/>
              </w:rPr>
              <w:t>Pa</w:t>
            </w:r>
            <w:r w:rsidR="00B40F45" w:rsidRPr="00394D9A">
              <w:rPr>
                <w:noProof/>
                <w:szCs w:val="22"/>
                <w:lang w:val="sr-Latn-RS"/>
              </w:rPr>
              <w:t>d</w:t>
            </w:r>
            <w:r w:rsidRPr="00394D9A">
              <w:rPr>
                <w:noProof/>
                <w:szCs w:val="22"/>
                <w:lang w:val="sr-Latn-RS"/>
              </w:rPr>
              <w:t xml:space="preserve"> </w:t>
            </w:r>
            <w:r w:rsidR="00BD52DD" w:rsidRPr="00394D9A">
              <w:rPr>
                <w:noProof/>
                <w:szCs w:val="22"/>
                <w:lang w:val="sr-Latn-RS"/>
              </w:rPr>
              <w:t>vrijednosti</w:t>
            </w:r>
            <w:r w:rsidRPr="00394D9A">
              <w:rPr>
                <w:noProof/>
                <w:szCs w:val="22"/>
                <w:lang w:val="sr-Latn-RS"/>
              </w:rPr>
              <w:t xml:space="preserve"> hemoglobina</w:t>
            </w:r>
          </w:p>
        </w:tc>
        <w:tc>
          <w:tcPr>
            <w:tcW w:w="0" w:type="auto"/>
          </w:tcPr>
          <w:p w14:paraId="5587F45E" w14:textId="5EAD9C14"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c>
          <w:tcPr>
            <w:tcW w:w="0" w:type="auto"/>
          </w:tcPr>
          <w:p w14:paraId="07D6B874" w14:textId="1490060E" w:rsidR="00465749" w:rsidRPr="00394D9A" w:rsidRDefault="00465749" w:rsidP="00187D17">
            <w:pPr>
              <w:widowControl w:val="0"/>
              <w:jc w:val="center"/>
              <w:rPr>
                <w:noProof/>
                <w:szCs w:val="22"/>
                <w:lang w:val="sr-Latn-RS"/>
              </w:rPr>
            </w:pPr>
            <w:r w:rsidRPr="00394D9A">
              <w:rPr>
                <w:noProof/>
                <w:szCs w:val="22"/>
                <w:lang w:val="sr-Latn-RS"/>
              </w:rPr>
              <w:t>Nepoznato</w:t>
            </w:r>
          </w:p>
        </w:tc>
      </w:tr>
      <w:tr w:rsidR="00465749" w:rsidRPr="00394D9A" w14:paraId="76859588" w14:textId="7C975FD6" w:rsidTr="00DF17BA">
        <w:tc>
          <w:tcPr>
            <w:tcW w:w="0" w:type="auto"/>
          </w:tcPr>
          <w:p w14:paraId="69A78991" w14:textId="1C6AB311" w:rsidR="00465749" w:rsidRPr="00394D9A" w:rsidRDefault="00465749" w:rsidP="00187D17">
            <w:pPr>
              <w:widowControl w:val="0"/>
              <w:jc w:val="left"/>
              <w:rPr>
                <w:noProof/>
                <w:szCs w:val="22"/>
                <w:lang w:val="sr-Latn-RS"/>
              </w:rPr>
            </w:pPr>
            <w:r w:rsidRPr="00394D9A">
              <w:rPr>
                <w:noProof/>
                <w:szCs w:val="22"/>
                <w:lang w:val="sr-Latn-RS"/>
              </w:rPr>
              <w:t>Trombocitopenija</w:t>
            </w:r>
          </w:p>
        </w:tc>
        <w:tc>
          <w:tcPr>
            <w:tcW w:w="0" w:type="auto"/>
          </w:tcPr>
          <w:p w14:paraId="0201258E" w14:textId="31B4E0C6"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c>
          <w:tcPr>
            <w:tcW w:w="0" w:type="auto"/>
          </w:tcPr>
          <w:p w14:paraId="56447EB1" w14:textId="07D8E7ED" w:rsidR="00465749" w:rsidRPr="00394D9A" w:rsidRDefault="00291EB6" w:rsidP="00187D17">
            <w:pPr>
              <w:widowControl w:val="0"/>
              <w:jc w:val="center"/>
              <w:rPr>
                <w:noProof/>
                <w:szCs w:val="22"/>
                <w:lang w:val="sr-Latn-RS"/>
              </w:rPr>
            </w:pPr>
            <w:r w:rsidRPr="00394D9A">
              <w:rPr>
                <w:noProof/>
                <w:szCs w:val="22"/>
                <w:lang w:val="sr-Latn-RS"/>
              </w:rPr>
              <w:t>Rijetko</w:t>
            </w:r>
          </w:p>
        </w:tc>
      </w:tr>
      <w:tr w:rsidR="00B40F45" w:rsidRPr="00394D9A" w14:paraId="0101DCA7" w14:textId="77777777" w:rsidTr="00DF17BA">
        <w:tc>
          <w:tcPr>
            <w:tcW w:w="0" w:type="auto"/>
          </w:tcPr>
          <w:p w14:paraId="19DCAB00" w14:textId="42BCC484" w:rsidR="00B40F45" w:rsidRPr="00394D9A" w:rsidRDefault="00B40F45" w:rsidP="00187D17">
            <w:pPr>
              <w:widowControl w:val="0"/>
              <w:jc w:val="left"/>
              <w:rPr>
                <w:noProof/>
                <w:szCs w:val="22"/>
                <w:lang w:val="sr-Latn-RS"/>
              </w:rPr>
            </w:pPr>
            <w:r w:rsidRPr="00394D9A">
              <w:rPr>
                <w:noProof/>
                <w:szCs w:val="22"/>
                <w:lang w:val="sr-Latn-RS"/>
              </w:rPr>
              <w:t>Smanjenje hematokrita</w:t>
            </w:r>
          </w:p>
        </w:tc>
        <w:tc>
          <w:tcPr>
            <w:tcW w:w="0" w:type="auto"/>
          </w:tcPr>
          <w:p w14:paraId="1F118105" w14:textId="48477779" w:rsidR="00B40F45" w:rsidRPr="00394D9A" w:rsidRDefault="00291EB6" w:rsidP="00187D17">
            <w:pPr>
              <w:widowControl w:val="0"/>
              <w:jc w:val="center"/>
              <w:rPr>
                <w:noProof/>
                <w:szCs w:val="22"/>
                <w:lang w:val="sr-Latn-RS"/>
              </w:rPr>
            </w:pPr>
            <w:r w:rsidRPr="00394D9A">
              <w:rPr>
                <w:noProof/>
                <w:szCs w:val="22"/>
                <w:lang w:val="sr-Latn-RS"/>
              </w:rPr>
              <w:t>Rijetko</w:t>
            </w:r>
          </w:p>
        </w:tc>
        <w:tc>
          <w:tcPr>
            <w:tcW w:w="0" w:type="auto"/>
          </w:tcPr>
          <w:p w14:paraId="7D8F6425" w14:textId="21B3F1B5" w:rsidR="00B40F45" w:rsidRPr="00394D9A" w:rsidRDefault="00B40F45" w:rsidP="00187D17">
            <w:pPr>
              <w:widowControl w:val="0"/>
              <w:jc w:val="center"/>
              <w:rPr>
                <w:noProof/>
                <w:szCs w:val="22"/>
                <w:lang w:val="sr-Latn-RS"/>
              </w:rPr>
            </w:pPr>
            <w:r w:rsidRPr="00394D9A">
              <w:rPr>
                <w:noProof/>
                <w:szCs w:val="22"/>
                <w:lang w:val="sr-Latn-RS"/>
              </w:rPr>
              <w:t>Nepoznato</w:t>
            </w:r>
          </w:p>
        </w:tc>
      </w:tr>
      <w:tr w:rsidR="00B40F45" w:rsidRPr="00394D9A" w14:paraId="4C7F71F5" w14:textId="1CBD2026" w:rsidTr="00DF17BA">
        <w:tc>
          <w:tcPr>
            <w:tcW w:w="0" w:type="auto"/>
          </w:tcPr>
          <w:p w14:paraId="7242B0A4" w14:textId="4B98035F" w:rsidR="00B40F45" w:rsidRPr="00394D9A" w:rsidRDefault="00B40F45" w:rsidP="00187D17">
            <w:pPr>
              <w:widowControl w:val="0"/>
              <w:jc w:val="left"/>
              <w:rPr>
                <w:noProof/>
                <w:szCs w:val="22"/>
                <w:lang w:val="sr-Latn-RS"/>
              </w:rPr>
            </w:pPr>
            <w:r w:rsidRPr="00394D9A">
              <w:rPr>
                <w:noProof/>
                <w:szCs w:val="22"/>
                <w:lang w:val="sr-Latn-RS"/>
              </w:rPr>
              <w:t>Neutropenija</w:t>
            </w:r>
          </w:p>
        </w:tc>
        <w:tc>
          <w:tcPr>
            <w:tcW w:w="0" w:type="auto"/>
          </w:tcPr>
          <w:p w14:paraId="08257063" w14:textId="41974050" w:rsidR="00B40F45" w:rsidRPr="00394D9A" w:rsidRDefault="00B40F45" w:rsidP="00187D17">
            <w:pPr>
              <w:widowControl w:val="0"/>
              <w:jc w:val="center"/>
              <w:rPr>
                <w:noProof/>
                <w:szCs w:val="22"/>
                <w:lang w:val="sr-Latn-RS"/>
              </w:rPr>
            </w:pPr>
            <w:r w:rsidRPr="00394D9A">
              <w:rPr>
                <w:noProof/>
                <w:szCs w:val="22"/>
                <w:lang w:val="sr-Latn-RS"/>
              </w:rPr>
              <w:t>Nepoznato</w:t>
            </w:r>
          </w:p>
        </w:tc>
        <w:tc>
          <w:tcPr>
            <w:tcW w:w="0" w:type="auto"/>
          </w:tcPr>
          <w:p w14:paraId="1E870F19" w14:textId="04811628" w:rsidR="00B40F45" w:rsidRPr="00394D9A" w:rsidRDefault="00B40F45" w:rsidP="00187D17">
            <w:pPr>
              <w:widowControl w:val="0"/>
              <w:jc w:val="center"/>
              <w:rPr>
                <w:noProof/>
                <w:szCs w:val="22"/>
                <w:lang w:val="sr-Latn-RS"/>
              </w:rPr>
            </w:pPr>
            <w:r w:rsidRPr="00394D9A">
              <w:rPr>
                <w:noProof/>
                <w:szCs w:val="22"/>
                <w:lang w:val="sr-Latn-RS"/>
              </w:rPr>
              <w:t>Nepoznato</w:t>
            </w:r>
          </w:p>
        </w:tc>
      </w:tr>
      <w:tr w:rsidR="00B40F45" w:rsidRPr="00394D9A" w14:paraId="1954FDF4" w14:textId="3E5AFBE3" w:rsidTr="00DF17BA">
        <w:tc>
          <w:tcPr>
            <w:tcW w:w="0" w:type="auto"/>
          </w:tcPr>
          <w:p w14:paraId="50439AC5" w14:textId="0C95D314" w:rsidR="00B40F45" w:rsidRPr="00394D9A" w:rsidRDefault="00B40F45" w:rsidP="00187D17">
            <w:pPr>
              <w:widowControl w:val="0"/>
              <w:jc w:val="left"/>
              <w:rPr>
                <w:noProof/>
                <w:szCs w:val="22"/>
                <w:lang w:val="sr-Latn-RS"/>
              </w:rPr>
            </w:pPr>
            <w:r w:rsidRPr="00394D9A">
              <w:rPr>
                <w:noProof/>
                <w:szCs w:val="22"/>
                <w:lang w:val="sr-Latn-RS"/>
              </w:rPr>
              <w:t>Agranulocitoza</w:t>
            </w:r>
          </w:p>
        </w:tc>
        <w:tc>
          <w:tcPr>
            <w:tcW w:w="0" w:type="auto"/>
          </w:tcPr>
          <w:p w14:paraId="23979B97" w14:textId="0BE0BA44" w:rsidR="00B40F45" w:rsidRPr="00394D9A" w:rsidRDefault="00B40F45" w:rsidP="00187D17">
            <w:pPr>
              <w:widowControl w:val="0"/>
              <w:jc w:val="center"/>
              <w:rPr>
                <w:noProof/>
                <w:szCs w:val="22"/>
                <w:lang w:val="sr-Latn-RS"/>
              </w:rPr>
            </w:pPr>
            <w:r w:rsidRPr="00394D9A">
              <w:rPr>
                <w:noProof/>
                <w:szCs w:val="22"/>
                <w:lang w:val="sr-Latn-RS"/>
              </w:rPr>
              <w:t>Nepoznato</w:t>
            </w:r>
          </w:p>
        </w:tc>
        <w:tc>
          <w:tcPr>
            <w:tcW w:w="0" w:type="auto"/>
          </w:tcPr>
          <w:p w14:paraId="437E0A15" w14:textId="75EDA4A4" w:rsidR="00B40F45" w:rsidRPr="00394D9A" w:rsidRDefault="00B40F45" w:rsidP="00187D17">
            <w:pPr>
              <w:widowControl w:val="0"/>
              <w:jc w:val="center"/>
              <w:rPr>
                <w:noProof/>
                <w:szCs w:val="22"/>
                <w:lang w:val="sr-Latn-RS"/>
              </w:rPr>
            </w:pPr>
            <w:r w:rsidRPr="00394D9A">
              <w:rPr>
                <w:noProof/>
                <w:szCs w:val="22"/>
                <w:lang w:val="sr-Latn-RS"/>
              </w:rPr>
              <w:t>Nepoznato</w:t>
            </w:r>
          </w:p>
        </w:tc>
      </w:tr>
      <w:tr w:rsidR="008B56CF" w:rsidRPr="00394D9A" w14:paraId="0494C047" w14:textId="77777777" w:rsidTr="00DF17BA">
        <w:tc>
          <w:tcPr>
            <w:tcW w:w="0" w:type="auto"/>
            <w:gridSpan w:val="3"/>
          </w:tcPr>
          <w:p w14:paraId="7C9894E3" w14:textId="797B4485" w:rsidR="008B56CF" w:rsidRPr="00394D9A" w:rsidRDefault="008B56CF" w:rsidP="00187D17">
            <w:pPr>
              <w:widowControl w:val="0"/>
              <w:jc w:val="left"/>
              <w:rPr>
                <w:b/>
                <w:i/>
                <w:iCs/>
                <w:noProof/>
                <w:szCs w:val="22"/>
                <w:lang w:val="sr-Latn-RS"/>
              </w:rPr>
            </w:pPr>
            <w:r w:rsidRPr="00394D9A">
              <w:rPr>
                <w:b/>
                <w:i/>
                <w:iCs/>
                <w:noProof/>
                <w:szCs w:val="22"/>
                <w:lang w:val="sr-Latn-RS"/>
              </w:rPr>
              <w:t>Poremećaji imunskog sistema</w:t>
            </w:r>
          </w:p>
        </w:tc>
      </w:tr>
      <w:tr w:rsidR="00465749" w:rsidRPr="00394D9A" w14:paraId="005E73E4" w14:textId="3380F568" w:rsidTr="00DF17BA">
        <w:tc>
          <w:tcPr>
            <w:tcW w:w="0" w:type="auto"/>
          </w:tcPr>
          <w:p w14:paraId="409CC1D2" w14:textId="2DD44412" w:rsidR="00465749" w:rsidRPr="00394D9A" w:rsidRDefault="00465749" w:rsidP="00187D17">
            <w:pPr>
              <w:widowControl w:val="0"/>
              <w:jc w:val="left"/>
              <w:rPr>
                <w:noProof/>
                <w:szCs w:val="22"/>
                <w:lang w:val="sr-Latn-RS"/>
              </w:rPr>
            </w:pPr>
            <w:r w:rsidRPr="00394D9A">
              <w:rPr>
                <w:noProof/>
                <w:szCs w:val="22"/>
                <w:lang w:val="sr-Latn-RS"/>
              </w:rPr>
              <w:t>Preos</w:t>
            </w:r>
            <w:r w:rsidR="00813D6A" w:rsidRPr="00394D9A">
              <w:rPr>
                <w:noProof/>
                <w:szCs w:val="22"/>
                <w:lang w:val="sr-Latn-RS"/>
              </w:rPr>
              <w:t>j</w:t>
            </w:r>
            <w:r w:rsidRPr="00394D9A">
              <w:rPr>
                <w:noProof/>
                <w:szCs w:val="22"/>
                <w:lang w:val="sr-Latn-RS"/>
              </w:rPr>
              <w:t xml:space="preserve">etljivost na </w:t>
            </w:r>
            <w:r w:rsidR="00A639DA" w:rsidRPr="00394D9A">
              <w:rPr>
                <w:noProof/>
                <w:szCs w:val="22"/>
                <w:lang w:val="sr-Latn-RS"/>
              </w:rPr>
              <w:t>lijek</w:t>
            </w:r>
          </w:p>
        </w:tc>
        <w:tc>
          <w:tcPr>
            <w:tcW w:w="0" w:type="auto"/>
          </w:tcPr>
          <w:p w14:paraId="1E840757" w14:textId="7774229E"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c>
          <w:tcPr>
            <w:tcW w:w="0" w:type="auto"/>
          </w:tcPr>
          <w:p w14:paraId="75536082" w14:textId="055A4B8A"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r>
      <w:tr w:rsidR="00465749" w:rsidRPr="00394D9A" w14:paraId="21497D67" w14:textId="77777777" w:rsidTr="00DF17BA">
        <w:tc>
          <w:tcPr>
            <w:tcW w:w="0" w:type="auto"/>
          </w:tcPr>
          <w:p w14:paraId="68D9DEAF" w14:textId="7776D604" w:rsidR="00465749" w:rsidRPr="00394D9A" w:rsidRDefault="00465749" w:rsidP="00187D17">
            <w:pPr>
              <w:widowControl w:val="0"/>
              <w:jc w:val="left"/>
              <w:rPr>
                <w:noProof/>
                <w:szCs w:val="22"/>
                <w:lang w:val="sr-Latn-RS"/>
              </w:rPr>
            </w:pPr>
            <w:r w:rsidRPr="00394D9A">
              <w:rPr>
                <w:noProof/>
                <w:szCs w:val="22"/>
                <w:lang w:val="sr-Latn-RS"/>
              </w:rPr>
              <w:t>Os</w:t>
            </w:r>
            <w:r w:rsidR="00157169" w:rsidRPr="00394D9A">
              <w:rPr>
                <w:noProof/>
                <w:szCs w:val="22"/>
                <w:lang w:val="sr-Latn-RS"/>
              </w:rPr>
              <w:t>ip</w:t>
            </w:r>
          </w:p>
        </w:tc>
        <w:tc>
          <w:tcPr>
            <w:tcW w:w="0" w:type="auto"/>
          </w:tcPr>
          <w:p w14:paraId="17AAB46B" w14:textId="4DDDCE16"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c>
          <w:tcPr>
            <w:tcW w:w="0" w:type="auto"/>
          </w:tcPr>
          <w:p w14:paraId="0AD8267F" w14:textId="3C10FC4D"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r>
      <w:tr w:rsidR="00465749" w:rsidRPr="00394D9A" w14:paraId="34D460C7" w14:textId="77777777" w:rsidTr="00DF17BA">
        <w:tc>
          <w:tcPr>
            <w:tcW w:w="0" w:type="auto"/>
          </w:tcPr>
          <w:p w14:paraId="7C190D99" w14:textId="122F8AE0" w:rsidR="00465749" w:rsidRPr="00394D9A" w:rsidRDefault="00465749" w:rsidP="00187D17">
            <w:pPr>
              <w:widowControl w:val="0"/>
              <w:jc w:val="left"/>
              <w:rPr>
                <w:noProof/>
                <w:szCs w:val="22"/>
                <w:lang w:val="sr-Latn-RS"/>
              </w:rPr>
            </w:pPr>
            <w:r w:rsidRPr="00394D9A">
              <w:rPr>
                <w:noProof/>
                <w:szCs w:val="22"/>
                <w:lang w:val="sr-Latn-RS"/>
              </w:rPr>
              <w:t>Pruritus</w:t>
            </w:r>
          </w:p>
        </w:tc>
        <w:tc>
          <w:tcPr>
            <w:tcW w:w="0" w:type="auto"/>
          </w:tcPr>
          <w:p w14:paraId="6EF4CFF7" w14:textId="03EBD48A"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c>
          <w:tcPr>
            <w:tcW w:w="0" w:type="auto"/>
          </w:tcPr>
          <w:p w14:paraId="40DB36DC" w14:textId="1B62A185"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r>
      <w:tr w:rsidR="00465749" w:rsidRPr="00394D9A" w14:paraId="540B3CA2" w14:textId="1AAA513E" w:rsidTr="00DF17BA">
        <w:tc>
          <w:tcPr>
            <w:tcW w:w="0" w:type="auto"/>
          </w:tcPr>
          <w:p w14:paraId="4290AF7F" w14:textId="3F75DC0B" w:rsidR="00465749" w:rsidRPr="00394D9A" w:rsidRDefault="00465749" w:rsidP="00187D17">
            <w:pPr>
              <w:widowControl w:val="0"/>
              <w:jc w:val="left"/>
              <w:rPr>
                <w:noProof/>
                <w:szCs w:val="22"/>
                <w:lang w:val="sr-Latn-RS"/>
              </w:rPr>
            </w:pPr>
            <w:r w:rsidRPr="00394D9A">
              <w:rPr>
                <w:noProof/>
                <w:szCs w:val="22"/>
                <w:lang w:val="sr-Latn-RS"/>
              </w:rPr>
              <w:t>Anafilaktička reakcija</w:t>
            </w:r>
          </w:p>
        </w:tc>
        <w:tc>
          <w:tcPr>
            <w:tcW w:w="0" w:type="auto"/>
          </w:tcPr>
          <w:p w14:paraId="719ECD82" w14:textId="58951993" w:rsidR="00465749" w:rsidRPr="00394D9A" w:rsidRDefault="00291EB6" w:rsidP="00187D17">
            <w:pPr>
              <w:widowControl w:val="0"/>
              <w:jc w:val="center"/>
              <w:rPr>
                <w:noProof/>
                <w:szCs w:val="22"/>
                <w:lang w:val="sr-Latn-RS"/>
              </w:rPr>
            </w:pPr>
            <w:r w:rsidRPr="00394D9A">
              <w:rPr>
                <w:noProof/>
                <w:szCs w:val="22"/>
                <w:lang w:val="sr-Latn-RS"/>
              </w:rPr>
              <w:t>Rijetko</w:t>
            </w:r>
          </w:p>
        </w:tc>
        <w:tc>
          <w:tcPr>
            <w:tcW w:w="0" w:type="auto"/>
          </w:tcPr>
          <w:p w14:paraId="12FB6E4D" w14:textId="7008C804" w:rsidR="00465749" w:rsidRPr="00394D9A" w:rsidRDefault="00291EB6" w:rsidP="00187D17">
            <w:pPr>
              <w:widowControl w:val="0"/>
              <w:jc w:val="center"/>
              <w:rPr>
                <w:noProof/>
                <w:szCs w:val="22"/>
                <w:lang w:val="sr-Latn-RS"/>
              </w:rPr>
            </w:pPr>
            <w:r w:rsidRPr="00394D9A">
              <w:rPr>
                <w:noProof/>
                <w:szCs w:val="22"/>
                <w:lang w:val="sr-Latn-RS"/>
              </w:rPr>
              <w:t>Rijetko</w:t>
            </w:r>
          </w:p>
        </w:tc>
      </w:tr>
      <w:tr w:rsidR="00465749" w:rsidRPr="00394D9A" w14:paraId="4F3DF86C" w14:textId="52C32AFB" w:rsidTr="00DF17BA">
        <w:tc>
          <w:tcPr>
            <w:tcW w:w="0" w:type="auto"/>
          </w:tcPr>
          <w:p w14:paraId="4E21E8DE" w14:textId="16861A58" w:rsidR="00465749" w:rsidRPr="00394D9A" w:rsidRDefault="00465749" w:rsidP="00187D17">
            <w:pPr>
              <w:widowControl w:val="0"/>
              <w:jc w:val="left"/>
              <w:rPr>
                <w:noProof/>
                <w:szCs w:val="22"/>
                <w:lang w:val="sr-Latn-RS"/>
              </w:rPr>
            </w:pPr>
            <w:r w:rsidRPr="00394D9A">
              <w:rPr>
                <w:noProof/>
                <w:szCs w:val="22"/>
                <w:lang w:val="sr-Latn-RS"/>
              </w:rPr>
              <w:t>Angioedem</w:t>
            </w:r>
          </w:p>
        </w:tc>
        <w:tc>
          <w:tcPr>
            <w:tcW w:w="0" w:type="auto"/>
          </w:tcPr>
          <w:p w14:paraId="2C14AA3A" w14:textId="1A65C94E" w:rsidR="00465749" w:rsidRPr="00394D9A" w:rsidRDefault="00291EB6" w:rsidP="00187D17">
            <w:pPr>
              <w:widowControl w:val="0"/>
              <w:jc w:val="center"/>
              <w:rPr>
                <w:noProof/>
                <w:szCs w:val="22"/>
                <w:lang w:val="sr-Latn-RS"/>
              </w:rPr>
            </w:pPr>
            <w:r w:rsidRPr="00394D9A">
              <w:rPr>
                <w:noProof/>
                <w:szCs w:val="22"/>
                <w:lang w:val="sr-Latn-RS"/>
              </w:rPr>
              <w:t>Rijetko</w:t>
            </w:r>
          </w:p>
        </w:tc>
        <w:tc>
          <w:tcPr>
            <w:tcW w:w="0" w:type="auto"/>
          </w:tcPr>
          <w:p w14:paraId="2454C311" w14:textId="67EFE665" w:rsidR="00465749" w:rsidRPr="00394D9A" w:rsidRDefault="00291EB6" w:rsidP="00187D17">
            <w:pPr>
              <w:widowControl w:val="0"/>
              <w:jc w:val="center"/>
              <w:rPr>
                <w:noProof/>
                <w:szCs w:val="22"/>
                <w:lang w:val="sr-Latn-RS"/>
              </w:rPr>
            </w:pPr>
            <w:r w:rsidRPr="00394D9A">
              <w:rPr>
                <w:noProof/>
                <w:szCs w:val="22"/>
                <w:lang w:val="sr-Latn-RS"/>
              </w:rPr>
              <w:t>Rijetko</w:t>
            </w:r>
          </w:p>
        </w:tc>
      </w:tr>
      <w:tr w:rsidR="00465749" w:rsidRPr="00394D9A" w14:paraId="0184BCA5" w14:textId="62CC1B85" w:rsidTr="00DF17BA">
        <w:tc>
          <w:tcPr>
            <w:tcW w:w="0" w:type="auto"/>
          </w:tcPr>
          <w:p w14:paraId="177028B8" w14:textId="4EFB9026" w:rsidR="00465749" w:rsidRPr="00394D9A" w:rsidRDefault="00465749" w:rsidP="00187D17">
            <w:pPr>
              <w:widowControl w:val="0"/>
              <w:jc w:val="left"/>
              <w:rPr>
                <w:noProof/>
                <w:szCs w:val="22"/>
                <w:lang w:val="sr-Latn-RS"/>
              </w:rPr>
            </w:pPr>
            <w:r w:rsidRPr="00394D9A">
              <w:rPr>
                <w:noProof/>
                <w:szCs w:val="22"/>
                <w:lang w:val="sr-Latn-RS"/>
              </w:rPr>
              <w:t>Urtikarija</w:t>
            </w:r>
          </w:p>
        </w:tc>
        <w:tc>
          <w:tcPr>
            <w:tcW w:w="0" w:type="auto"/>
          </w:tcPr>
          <w:p w14:paraId="56406F14" w14:textId="735AF5D6" w:rsidR="00465749" w:rsidRPr="00394D9A" w:rsidRDefault="00291EB6" w:rsidP="00187D17">
            <w:pPr>
              <w:widowControl w:val="0"/>
              <w:jc w:val="center"/>
              <w:rPr>
                <w:noProof/>
                <w:szCs w:val="22"/>
                <w:lang w:val="sr-Latn-RS"/>
              </w:rPr>
            </w:pPr>
            <w:r w:rsidRPr="00394D9A">
              <w:rPr>
                <w:noProof/>
                <w:szCs w:val="22"/>
                <w:lang w:val="sr-Latn-RS"/>
              </w:rPr>
              <w:t>Rijetko</w:t>
            </w:r>
          </w:p>
        </w:tc>
        <w:tc>
          <w:tcPr>
            <w:tcW w:w="0" w:type="auto"/>
          </w:tcPr>
          <w:p w14:paraId="4B48ADEF" w14:textId="2C48435B" w:rsidR="00465749" w:rsidRPr="00394D9A" w:rsidRDefault="00291EB6" w:rsidP="00187D17">
            <w:pPr>
              <w:widowControl w:val="0"/>
              <w:jc w:val="center"/>
              <w:rPr>
                <w:noProof/>
                <w:szCs w:val="22"/>
                <w:lang w:val="sr-Latn-RS"/>
              </w:rPr>
            </w:pPr>
            <w:r w:rsidRPr="00394D9A">
              <w:rPr>
                <w:noProof/>
                <w:szCs w:val="22"/>
                <w:lang w:val="sr-Latn-RS"/>
              </w:rPr>
              <w:t>Rijetko</w:t>
            </w:r>
          </w:p>
        </w:tc>
      </w:tr>
      <w:tr w:rsidR="00B40F45" w:rsidRPr="00394D9A" w14:paraId="1C5DD513" w14:textId="3D30B898" w:rsidTr="00DF17BA">
        <w:tc>
          <w:tcPr>
            <w:tcW w:w="0" w:type="auto"/>
          </w:tcPr>
          <w:p w14:paraId="6B93431A" w14:textId="0B0DE9AC" w:rsidR="00B40F45" w:rsidRPr="00394D9A" w:rsidRDefault="00B40F45" w:rsidP="00187D17">
            <w:pPr>
              <w:widowControl w:val="0"/>
              <w:jc w:val="left"/>
              <w:rPr>
                <w:noProof/>
                <w:szCs w:val="22"/>
                <w:lang w:val="sr-Latn-RS"/>
              </w:rPr>
            </w:pPr>
            <w:r w:rsidRPr="00394D9A">
              <w:rPr>
                <w:noProof/>
                <w:szCs w:val="22"/>
                <w:lang w:val="sr-Latn-RS"/>
              </w:rPr>
              <w:t>Bronhospazam</w:t>
            </w:r>
          </w:p>
        </w:tc>
        <w:tc>
          <w:tcPr>
            <w:tcW w:w="0" w:type="auto"/>
          </w:tcPr>
          <w:p w14:paraId="0DCFCA7A" w14:textId="747809E2" w:rsidR="00B40F45" w:rsidRPr="00394D9A" w:rsidRDefault="00B40F45" w:rsidP="00187D17">
            <w:pPr>
              <w:widowControl w:val="0"/>
              <w:jc w:val="center"/>
              <w:rPr>
                <w:noProof/>
                <w:szCs w:val="22"/>
                <w:lang w:val="sr-Latn-RS"/>
              </w:rPr>
            </w:pPr>
            <w:r w:rsidRPr="00394D9A">
              <w:rPr>
                <w:noProof/>
                <w:szCs w:val="22"/>
                <w:lang w:val="sr-Latn-RS"/>
              </w:rPr>
              <w:t>Nepoznato</w:t>
            </w:r>
          </w:p>
        </w:tc>
        <w:tc>
          <w:tcPr>
            <w:tcW w:w="0" w:type="auto"/>
          </w:tcPr>
          <w:p w14:paraId="11267A1C" w14:textId="3598B44C" w:rsidR="00B40F45" w:rsidRPr="00394D9A" w:rsidRDefault="00B40F45" w:rsidP="00187D17">
            <w:pPr>
              <w:widowControl w:val="0"/>
              <w:jc w:val="center"/>
              <w:rPr>
                <w:noProof/>
                <w:szCs w:val="22"/>
                <w:lang w:val="sr-Latn-RS"/>
              </w:rPr>
            </w:pPr>
            <w:r w:rsidRPr="00394D9A">
              <w:rPr>
                <w:noProof/>
                <w:szCs w:val="22"/>
                <w:lang w:val="sr-Latn-RS"/>
              </w:rPr>
              <w:t>Nepoznato</w:t>
            </w:r>
          </w:p>
        </w:tc>
      </w:tr>
      <w:tr w:rsidR="008B56CF" w:rsidRPr="00394D9A" w14:paraId="53217F19" w14:textId="77777777" w:rsidTr="00DF17BA">
        <w:tc>
          <w:tcPr>
            <w:tcW w:w="0" w:type="auto"/>
            <w:gridSpan w:val="3"/>
          </w:tcPr>
          <w:p w14:paraId="39C19943" w14:textId="28276F15" w:rsidR="008B56CF" w:rsidRPr="00394D9A" w:rsidRDefault="008B56CF" w:rsidP="00187D17">
            <w:pPr>
              <w:widowControl w:val="0"/>
              <w:jc w:val="left"/>
              <w:rPr>
                <w:b/>
                <w:i/>
                <w:iCs/>
                <w:noProof/>
                <w:szCs w:val="22"/>
                <w:lang w:val="sr-Latn-RS"/>
              </w:rPr>
            </w:pPr>
            <w:r w:rsidRPr="00394D9A">
              <w:rPr>
                <w:b/>
                <w:i/>
                <w:iCs/>
                <w:noProof/>
                <w:szCs w:val="22"/>
                <w:lang w:val="sr-Latn-RS"/>
              </w:rPr>
              <w:t>Poremećaji nervnog sistema</w:t>
            </w:r>
          </w:p>
        </w:tc>
      </w:tr>
      <w:tr w:rsidR="00465749" w:rsidRPr="00394D9A" w14:paraId="2F84E4DE" w14:textId="640AB3BB" w:rsidTr="00DF17BA">
        <w:tc>
          <w:tcPr>
            <w:tcW w:w="0" w:type="auto"/>
          </w:tcPr>
          <w:p w14:paraId="37D254B5" w14:textId="054EB39B" w:rsidR="00465749" w:rsidRPr="00394D9A" w:rsidRDefault="00465749" w:rsidP="00187D17">
            <w:pPr>
              <w:widowControl w:val="0"/>
              <w:jc w:val="left"/>
              <w:rPr>
                <w:noProof/>
                <w:szCs w:val="22"/>
                <w:lang w:val="sr-Latn-RS"/>
              </w:rPr>
            </w:pPr>
            <w:r w:rsidRPr="00394D9A">
              <w:rPr>
                <w:noProof/>
                <w:szCs w:val="22"/>
                <w:lang w:val="sr-Latn-RS"/>
              </w:rPr>
              <w:t>Intrakranijalna hemoragija</w:t>
            </w:r>
          </w:p>
        </w:tc>
        <w:tc>
          <w:tcPr>
            <w:tcW w:w="0" w:type="auto"/>
          </w:tcPr>
          <w:p w14:paraId="77452A6D" w14:textId="466082F5"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c>
          <w:tcPr>
            <w:tcW w:w="0" w:type="auto"/>
          </w:tcPr>
          <w:p w14:paraId="099DF41D" w14:textId="7C5E9C40" w:rsidR="00465749" w:rsidRPr="00394D9A" w:rsidRDefault="00291EB6" w:rsidP="00187D17">
            <w:pPr>
              <w:widowControl w:val="0"/>
              <w:jc w:val="center"/>
              <w:rPr>
                <w:noProof/>
                <w:szCs w:val="22"/>
                <w:lang w:val="sr-Latn-RS"/>
              </w:rPr>
            </w:pPr>
            <w:r w:rsidRPr="00394D9A">
              <w:rPr>
                <w:noProof/>
                <w:szCs w:val="22"/>
                <w:lang w:val="sr-Latn-RS"/>
              </w:rPr>
              <w:t>Rijetko</w:t>
            </w:r>
          </w:p>
        </w:tc>
      </w:tr>
      <w:tr w:rsidR="008B56CF" w:rsidRPr="00394D9A" w14:paraId="2082EB73" w14:textId="77777777" w:rsidTr="00DF17BA">
        <w:tc>
          <w:tcPr>
            <w:tcW w:w="0" w:type="auto"/>
            <w:gridSpan w:val="3"/>
          </w:tcPr>
          <w:p w14:paraId="6DB6FFDE" w14:textId="1ECEE5B1" w:rsidR="008B56CF" w:rsidRPr="00394D9A" w:rsidRDefault="008B56CF" w:rsidP="00187D17">
            <w:pPr>
              <w:widowControl w:val="0"/>
              <w:jc w:val="left"/>
              <w:rPr>
                <w:b/>
                <w:i/>
                <w:iCs/>
                <w:noProof/>
                <w:szCs w:val="22"/>
                <w:lang w:val="sr-Latn-RS"/>
              </w:rPr>
            </w:pPr>
            <w:r w:rsidRPr="00394D9A">
              <w:rPr>
                <w:b/>
                <w:i/>
                <w:iCs/>
                <w:noProof/>
                <w:szCs w:val="22"/>
                <w:lang w:val="sr-Latn-RS"/>
              </w:rPr>
              <w:t>Vaskularni poremećaji</w:t>
            </w:r>
          </w:p>
        </w:tc>
      </w:tr>
      <w:tr w:rsidR="00465749" w:rsidRPr="00394D9A" w14:paraId="15FBD9A5" w14:textId="2ACF3190" w:rsidTr="00DF17BA">
        <w:tc>
          <w:tcPr>
            <w:tcW w:w="0" w:type="auto"/>
          </w:tcPr>
          <w:p w14:paraId="1493D7E1" w14:textId="27CDE424" w:rsidR="00465749" w:rsidRPr="00394D9A" w:rsidRDefault="00465749" w:rsidP="00187D17">
            <w:pPr>
              <w:widowControl w:val="0"/>
              <w:jc w:val="left"/>
              <w:rPr>
                <w:noProof/>
                <w:szCs w:val="22"/>
                <w:lang w:val="sr-Latn-RS"/>
              </w:rPr>
            </w:pPr>
            <w:r w:rsidRPr="00394D9A">
              <w:rPr>
                <w:noProof/>
                <w:szCs w:val="22"/>
                <w:lang w:val="sr-Latn-RS"/>
              </w:rPr>
              <w:t>Hematom</w:t>
            </w:r>
          </w:p>
        </w:tc>
        <w:tc>
          <w:tcPr>
            <w:tcW w:w="0" w:type="auto"/>
          </w:tcPr>
          <w:p w14:paraId="59A65305" w14:textId="55630841"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c>
          <w:tcPr>
            <w:tcW w:w="0" w:type="auto"/>
          </w:tcPr>
          <w:p w14:paraId="69AD2006" w14:textId="20BB475D"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r>
      <w:tr w:rsidR="00465749" w:rsidRPr="00394D9A" w14:paraId="6A7A4CDB" w14:textId="77777777" w:rsidTr="00DF17BA">
        <w:tc>
          <w:tcPr>
            <w:tcW w:w="0" w:type="auto"/>
          </w:tcPr>
          <w:p w14:paraId="2993F484" w14:textId="2EB4C4C3" w:rsidR="00465749" w:rsidRPr="00394D9A" w:rsidRDefault="00465749" w:rsidP="00187D17">
            <w:pPr>
              <w:widowControl w:val="0"/>
              <w:jc w:val="left"/>
              <w:rPr>
                <w:noProof/>
                <w:szCs w:val="22"/>
                <w:lang w:val="sr-Latn-RS"/>
              </w:rPr>
            </w:pPr>
            <w:r w:rsidRPr="00394D9A">
              <w:rPr>
                <w:noProof/>
                <w:szCs w:val="22"/>
                <w:lang w:val="sr-Latn-RS"/>
              </w:rPr>
              <w:t>Hemoragija</w:t>
            </w:r>
          </w:p>
        </w:tc>
        <w:tc>
          <w:tcPr>
            <w:tcW w:w="0" w:type="auto"/>
          </w:tcPr>
          <w:p w14:paraId="375D4F66" w14:textId="6E773F04"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c>
          <w:tcPr>
            <w:tcW w:w="0" w:type="auto"/>
          </w:tcPr>
          <w:p w14:paraId="11BBBE25" w14:textId="4BAD7621"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r>
      <w:tr w:rsidR="007C2D6A" w:rsidRPr="00394D9A" w14:paraId="7C6909D8" w14:textId="77777777" w:rsidTr="00DF17BA">
        <w:tc>
          <w:tcPr>
            <w:tcW w:w="0" w:type="auto"/>
            <w:gridSpan w:val="3"/>
          </w:tcPr>
          <w:p w14:paraId="3814435D" w14:textId="3A7F11FD" w:rsidR="007C2D6A" w:rsidRPr="00394D9A" w:rsidRDefault="007C2D6A" w:rsidP="00187D17">
            <w:pPr>
              <w:widowControl w:val="0"/>
              <w:jc w:val="left"/>
              <w:rPr>
                <w:b/>
                <w:noProof/>
                <w:szCs w:val="22"/>
                <w:lang w:val="sr-Latn-RS"/>
              </w:rPr>
            </w:pPr>
            <w:r w:rsidRPr="00394D9A">
              <w:rPr>
                <w:b/>
                <w:i/>
                <w:iCs/>
                <w:noProof/>
                <w:szCs w:val="22"/>
                <w:lang w:val="sr-Latn-RS"/>
              </w:rPr>
              <w:t>Respiratorni, torakalni i medijastinalni poremećaji</w:t>
            </w:r>
          </w:p>
        </w:tc>
      </w:tr>
      <w:tr w:rsidR="00465749" w:rsidRPr="00394D9A" w14:paraId="5B96C636" w14:textId="28BC8A72" w:rsidTr="00DF17BA">
        <w:tc>
          <w:tcPr>
            <w:tcW w:w="0" w:type="auto"/>
          </w:tcPr>
          <w:p w14:paraId="29E4240F" w14:textId="0B27B47B" w:rsidR="00465749" w:rsidRPr="00394D9A" w:rsidRDefault="00465749" w:rsidP="00187D17">
            <w:pPr>
              <w:widowControl w:val="0"/>
              <w:jc w:val="left"/>
              <w:rPr>
                <w:noProof/>
                <w:szCs w:val="22"/>
                <w:lang w:val="sr-Latn-RS"/>
              </w:rPr>
            </w:pPr>
            <w:r w:rsidRPr="00394D9A">
              <w:rPr>
                <w:noProof/>
                <w:szCs w:val="22"/>
                <w:lang w:val="sr-Latn-RS"/>
              </w:rPr>
              <w:t>Epi</w:t>
            </w:r>
            <w:r w:rsidR="007C2D6A" w:rsidRPr="00394D9A">
              <w:rPr>
                <w:noProof/>
                <w:szCs w:val="22"/>
                <w:lang w:val="sr-Latn-RS"/>
              </w:rPr>
              <w:t>s</w:t>
            </w:r>
            <w:r w:rsidRPr="00394D9A">
              <w:rPr>
                <w:noProof/>
                <w:szCs w:val="22"/>
                <w:lang w:val="sr-Latn-RS"/>
              </w:rPr>
              <w:t>taksa</w:t>
            </w:r>
          </w:p>
        </w:tc>
        <w:tc>
          <w:tcPr>
            <w:tcW w:w="0" w:type="auto"/>
          </w:tcPr>
          <w:p w14:paraId="3B6402B9" w14:textId="49924DEA" w:rsidR="00465749" w:rsidRPr="00394D9A" w:rsidRDefault="00465749" w:rsidP="00187D17">
            <w:pPr>
              <w:widowControl w:val="0"/>
              <w:jc w:val="center"/>
              <w:rPr>
                <w:noProof/>
                <w:szCs w:val="22"/>
                <w:lang w:val="sr-Latn-RS"/>
              </w:rPr>
            </w:pPr>
            <w:r w:rsidRPr="00394D9A">
              <w:rPr>
                <w:noProof/>
                <w:szCs w:val="22"/>
                <w:lang w:val="sr-Latn-RS"/>
              </w:rPr>
              <w:t>Često</w:t>
            </w:r>
          </w:p>
        </w:tc>
        <w:tc>
          <w:tcPr>
            <w:tcW w:w="0" w:type="auto"/>
          </w:tcPr>
          <w:p w14:paraId="6417ED23" w14:textId="4ED51BB8" w:rsidR="00465749" w:rsidRPr="00394D9A" w:rsidRDefault="00465749" w:rsidP="00187D17">
            <w:pPr>
              <w:widowControl w:val="0"/>
              <w:jc w:val="center"/>
              <w:rPr>
                <w:noProof/>
                <w:szCs w:val="22"/>
                <w:lang w:val="sr-Latn-RS"/>
              </w:rPr>
            </w:pPr>
            <w:r w:rsidRPr="00394D9A">
              <w:rPr>
                <w:noProof/>
                <w:szCs w:val="22"/>
                <w:lang w:val="sr-Latn-RS"/>
              </w:rPr>
              <w:t>Često</w:t>
            </w:r>
          </w:p>
        </w:tc>
      </w:tr>
      <w:tr w:rsidR="00465749" w:rsidRPr="00394D9A" w14:paraId="651BC4D3" w14:textId="04F151A1" w:rsidTr="00DF17BA">
        <w:tc>
          <w:tcPr>
            <w:tcW w:w="0" w:type="auto"/>
          </w:tcPr>
          <w:p w14:paraId="423ED9E9" w14:textId="3C775126" w:rsidR="00465749" w:rsidRPr="00394D9A" w:rsidRDefault="00465749" w:rsidP="00187D17">
            <w:pPr>
              <w:widowControl w:val="0"/>
              <w:jc w:val="left"/>
              <w:rPr>
                <w:noProof/>
                <w:szCs w:val="22"/>
                <w:lang w:val="sr-Latn-RS"/>
              </w:rPr>
            </w:pPr>
            <w:r w:rsidRPr="00394D9A">
              <w:rPr>
                <w:noProof/>
                <w:szCs w:val="22"/>
                <w:lang w:val="sr-Latn-RS"/>
              </w:rPr>
              <w:t>Hemoptizije</w:t>
            </w:r>
          </w:p>
        </w:tc>
        <w:tc>
          <w:tcPr>
            <w:tcW w:w="0" w:type="auto"/>
          </w:tcPr>
          <w:p w14:paraId="72CBC078" w14:textId="5899A46E"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c>
          <w:tcPr>
            <w:tcW w:w="0" w:type="auto"/>
          </w:tcPr>
          <w:p w14:paraId="38D52EE8" w14:textId="0C639A75"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r>
      <w:tr w:rsidR="008B56CF" w:rsidRPr="00394D9A" w14:paraId="410B119A" w14:textId="77777777" w:rsidTr="00DF17BA">
        <w:tc>
          <w:tcPr>
            <w:tcW w:w="0" w:type="auto"/>
            <w:gridSpan w:val="3"/>
          </w:tcPr>
          <w:p w14:paraId="4A79E320" w14:textId="5FB436CB" w:rsidR="008B56CF" w:rsidRPr="00394D9A" w:rsidRDefault="008B56CF" w:rsidP="00187D17">
            <w:pPr>
              <w:widowControl w:val="0"/>
              <w:jc w:val="left"/>
              <w:rPr>
                <w:b/>
                <w:i/>
                <w:iCs/>
                <w:noProof/>
                <w:szCs w:val="22"/>
                <w:lang w:val="sr-Latn-RS"/>
              </w:rPr>
            </w:pPr>
            <w:r w:rsidRPr="00394D9A">
              <w:rPr>
                <w:b/>
                <w:i/>
                <w:iCs/>
                <w:noProof/>
                <w:szCs w:val="22"/>
                <w:lang w:val="sr-Latn-RS"/>
              </w:rPr>
              <w:t>Gastrointestinalni poremećaji</w:t>
            </w:r>
          </w:p>
        </w:tc>
      </w:tr>
      <w:tr w:rsidR="00465749" w:rsidRPr="00394D9A" w14:paraId="6FE06F04" w14:textId="11D5F790" w:rsidTr="00DF17BA">
        <w:tc>
          <w:tcPr>
            <w:tcW w:w="0" w:type="auto"/>
          </w:tcPr>
          <w:p w14:paraId="2E21AA1F" w14:textId="2B1F50D9" w:rsidR="00465749" w:rsidRPr="00394D9A" w:rsidRDefault="00465749" w:rsidP="00187D17">
            <w:pPr>
              <w:widowControl w:val="0"/>
              <w:jc w:val="left"/>
              <w:rPr>
                <w:noProof/>
                <w:szCs w:val="22"/>
                <w:lang w:val="sr-Latn-RS"/>
              </w:rPr>
            </w:pPr>
            <w:r w:rsidRPr="00394D9A">
              <w:rPr>
                <w:noProof/>
                <w:szCs w:val="22"/>
                <w:lang w:val="sr-Latn-RS"/>
              </w:rPr>
              <w:t>Gastrointestinalna hemoragija</w:t>
            </w:r>
          </w:p>
        </w:tc>
        <w:tc>
          <w:tcPr>
            <w:tcW w:w="0" w:type="auto"/>
            <w:vAlign w:val="center"/>
          </w:tcPr>
          <w:p w14:paraId="3F4C04F2" w14:textId="72324261" w:rsidR="00465749" w:rsidRPr="00394D9A" w:rsidRDefault="00465749" w:rsidP="00187D17">
            <w:pPr>
              <w:widowControl w:val="0"/>
              <w:jc w:val="center"/>
              <w:rPr>
                <w:noProof/>
                <w:szCs w:val="22"/>
                <w:lang w:val="sr-Latn-RS"/>
              </w:rPr>
            </w:pPr>
            <w:r w:rsidRPr="00394D9A">
              <w:rPr>
                <w:noProof/>
                <w:szCs w:val="22"/>
                <w:lang w:val="sr-Latn-RS"/>
              </w:rPr>
              <w:t>Često</w:t>
            </w:r>
          </w:p>
        </w:tc>
        <w:tc>
          <w:tcPr>
            <w:tcW w:w="0" w:type="auto"/>
            <w:vAlign w:val="center"/>
          </w:tcPr>
          <w:p w14:paraId="5886F96C" w14:textId="0D2966C0" w:rsidR="00465749" w:rsidRPr="00394D9A" w:rsidRDefault="00465749" w:rsidP="00187D17">
            <w:pPr>
              <w:widowControl w:val="0"/>
              <w:jc w:val="center"/>
              <w:rPr>
                <w:noProof/>
                <w:szCs w:val="22"/>
                <w:lang w:val="sr-Latn-RS"/>
              </w:rPr>
            </w:pPr>
            <w:r w:rsidRPr="00394D9A">
              <w:rPr>
                <w:noProof/>
                <w:szCs w:val="22"/>
                <w:lang w:val="sr-Latn-RS"/>
              </w:rPr>
              <w:t>Često</w:t>
            </w:r>
          </w:p>
        </w:tc>
      </w:tr>
      <w:tr w:rsidR="00465749" w:rsidRPr="00394D9A" w14:paraId="1CF6D41B" w14:textId="77777777" w:rsidTr="00DF17BA">
        <w:tc>
          <w:tcPr>
            <w:tcW w:w="0" w:type="auto"/>
          </w:tcPr>
          <w:p w14:paraId="4C2A5CB6" w14:textId="1AB1DE50" w:rsidR="00465749" w:rsidRPr="00394D9A" w:rsidRDefault="00465749" w:rsidP="00187D17">
            <w:pPr>
              <w:widowControl w:val="0"/>
              <w:jc w:val="left"/>
              <w:rPr>
                <w:noProof/>
                <w:szCs w:val="22"/>
                <w:lang w:val="sr-Latn-RS"/>
              </w:rPr>
            </w:pPr>
            <w:r w:rsidRPr="00394D9A">
              <w:rPr>
                <w:noProof/>
                <w:szCs w:val="22"/>
                <w:lang w:val="sr-Latn-RS"/>
              </w:rPr>
              <w:t>Abdominalni bol</w:t>
            </w:r>
          </w:p>
        </w:tc>
        <w:tc>
          <w:tcPr>
            <w:tcW w:w="0" w:type="auto"/>
            <w:vAlign w:val="center"/>
          </w:tcPr>
          <w:p w14:paraId="2778660E" w14:textId="08578056" w:rsidR="00465749" w:rsidRPr="00394D9A" w:rsidRDefault="00465749" w:rsidP="00187D17">
            <w:pPr>
              <w:widowControl w:val="0"/>
              <w:jc w:val="center"/>
              <w:rPr>
                <w:noProof/>
                <w:szCs w:val="22"/>
                <w:lang w:val="sr-Latn-RS"/>
              </w:rPr>
            </w:pPr>
            <w:r w:rsidRPr="00394D9A">
              <w:rPr>
                <w:noProof/>
                <w:szCs w:val="22"/>
                <w:lang w:val="sr-Latn-RS"/>
              </w:rPr>
              <w:t>Često</w:t>
            </w:r>
          </w:p>
        </w:tc>
        <w:tc>
          <w:tcPr>
            <w:tcW w:w="0" w:type="auto"/>
            <w:vAlign w:val="center"/>
          </w:tcPr>
          <w:p w14:paraId="50EFDCCF" w14:textId="067E952D"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r>
      <w:tr w:rsidR="00465749" w:rsidRPr="00394D9A" w14:paraId="2E12E4F1" w14:textId="77777777" w:rsidTr="00DF17BA">
        <w:tc>
          <w:tcPr>
            <w:tcW w:w="0" w:type="auto"/>
          </w:tcPr>
          <w:p w14:paraId="4433E0A8" w14:textId="6B6D53EC" w:rsidR="00465749" w:rsidRPr="00394D9A" w:rsidRDefault="00465749" w:rsidP="00187D17">
            <w:pPr>
              <w:widowControl w:val="0"/>
              <w:jc w:val="left"/>
              <w:rPr>
                <w:noProof/>
                <w:szCs w:val="22"/>
                <w:lang w:val="sr-Latn-RS"/>
              </w:rPr>
            </w:pPr>
            <w:r w:rsidRPr="00394D9A">
              <w:rPr>
                <w:noProof/>
                <w:szCs w:val="22"/>
                <w:lang w:val="sr-Latn-RS"/>
              </w:rPr>
              <w:t>Dijareja</w:t>
            </w:r>
          </w:p>
        </w:tc>
        <w:tc>
          <w:tcPr>
            <w:tcW w:w="0" w:type="auto"/>
            <w:vAlign w:val="center"/>
          </w:tcPr>
          <w:p w14:paraId="15EEEB55" w14:textId="1FE319A4" w:rsidR="00465749" w:rsidRPr="00394D9A" w:rsidRDefault="00465749" w:rsidP="00187D17">
            <w:pPr>
              <w:widowControl w:val="0"/>
              <w:jc w:val="center"/>
              <w:rPr>
                <w:noProof/>
                <w:szCs w:val="22"/>
                <w:lang w:val="sr-Latn-RS"/>
              </w:rPr>
            </w:pPr>
            <w:r w:rsidRPr="00394D9A">
              <w:rPr>
                <w:noProof/>
                <w:szCs w:val="22"/>
                <w:lang w:val="sr-Latn-RS"/>
              </w:rPr>
              <w:t>Često</w:t>
            </w:r>
          </w:p>
        </w:tc>
        <w:tc>
          <w:tcPr>
            <w:tcW w:w="0" w:type="auto"/>
            <w:vAlign w:val="center"/>
          </w:tcPr>
          <w:p w14:paraId="09C6E384" w14:textId="579F150C"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r>
      <w:tr w:rsidR="00465749" w:rsidRPr="00394D9A" w14:paraId="3BCC21AF" w14:textId="77777777" w:rsidTr="00DF17BA">
        <w:tc>
          <w:tcPr>
            <w:tcW w:w="0" w:type="auto"/>
          </w:tcPr>
          <w:p w14:paraId="25E5CEEA" w14:textId="7D450438" w:rsidR="00465749" w:rsidRPr="00394D9A" w:rsidRDefault="00465749" w:rsidP="00187D17">
            <w:pPr>
              <w:widowControl w:val="0"/>
              <w:jc w:val="left"/>
              <w:rPr>
                <w:noProof/>
                <w:szCs w:val="22"/>
                <w:lang w:val="sr-Latn-RS"/>
              </w:rPr>
            </w:pPr>
            <w:r w:rsidRPr="00394D9A">
              <w:rPr>
                <w:noProof/>
                <w:szCs w:val="22"/>
                <w:lang w:val="sr-Latn-RS"/>
              </w:rPr>
              <w:t>Dispepsija</w:t>
            </w:r>
          </w:p>
        </w:tc>
        <w:tc>
          <w:tcPr>
            <w:tcW w:w="0" w:type="auto"/>
            <w:vAlign w:val="center"/>
          </w:tcPr>
          <w:p w14:paraId="30F38340" w14:textId="665B7D78" w:rsidR="00465749" w:rsidRPr="00394D9A" w:rsidRDefault="00465749" w:rsidP="00187D17">
            <w:pPr>
              <w:widowControl w:val="0"/>
              <w:jc w:val="center"/>
              <w:rPr>
                <w:noProof/>
                <w:szCs w:val="22"/>
                <w:lang w:val="sr-Latn-RS"/>
              </w:rPr>
            </w:pPr>
            <w:r w:rsidRPr="00394D9A">
              <w:rPr>
                <w:noProof/>
                <w:szCs w:val="22"/>
                <w:lang w:val="sr-Latn-RS"/>
              </w:rPr>
              <w:t>Često</w:t>
            </w:r>
          </w:p>
        </w:tc>
        <w:tc>
          <w:tcPr>
            <w:tcW w:w="0" w:type="auto"/>
            <w:vAlign w:val="center"/>
          </w:tcPr>
          <w:p w14:paraId="08FF0E16" w14:textId="7C5EB24E" w:rsidR="00465749" w:rsidRPr="00394D9A" w:rsidRDefault="00465749" w:rsidP="00187D17">
            <w:pPr>
              <w:widowControl w:val="0"/>
              <w:jc w:val="center"/>
              <w:rPr>
                <w:noProof/>
                <w:szCs w:val="22"/>
                <w:lang w:val="sr-Latn-RS"/>
              </w:rPr>
            </w:pPr>
            <w:r w:rsidRPr="00394D9A">
              <w:rPr>
                <w:noProof/>
                <w:szCs w:val="22"/>
                <w:lang w:val="sr-Latn-RS"/>
              </w:rPr>
              <w:t>Često</w:t>
            </w:r>
          </w:p>
        </w:tc>
      </w:tr>
      <w:tr w:rsidR="00465749" w:rsidRPr="00394D9A" w14:paraId="41BC8ED9" w14:textId="77777777" w:rsidTr="00DF17BA">
        <w:tc>
          <w:tcPr>
            <w:tcW w:w="0" w:type="auto"/>
          </w:tcPr>
          <w:p w14:paraId="2134F930" w14:textId="65238D04" w:rsidR="00465749" w:rsidRPr="00394D9A" w:rsidRDefault="00465749" w:rsidP="00187D17">
            <w:pPr>
              <w:widowControl w:val="0"/>
              <w:jc w:val="left"/>
              <w:rPr>
                <w:noProof/>
                <w:szCs w:val="22"/>
                <w:lang w:val="sr-Latn-RS"/>
              </w:rPr>
            </w:pPr>
            <w:r w:rsidRPr="00394D9A">
              <w:rPr>
                <w:noProof/>
                <w:szCs w:val="22"/>
                <w:lang w:val="sr-Latn-RS"/>
              </w:rPr>
              <w:t>Nauzeja</w:t>
            </w:r>
          </w:p>
        </w:tc>
        <w:tc>
          <w:tcPr>
            <w:tcW w:w="0" w:type="auto"/>
            <w:vAlign w:val="center"/>
          </w:tcPr>
          <w:p w14:paraId="5D6E77FE" w14:textId="5EE95D14" w:rsidR="00465749" w:rsidRPr="00394D9A" w:rsidRDefault="00465749" w:rsidP="00187D17">
            <w:pPr>
              <w:widowControl w:val="0"/>
              <w:jc w:val="center"/>
              <w:rPr>
                <w:noProof/>
                <w:szCs w:val="22"/>
                <w:lang w:val="sr-Latn-RS"/>
              </w:rPr>
            </w:pPr>
            <w:r w:rsidRPr="00394D9A">
              <w:rPr>
                <w:noProof/>
                <w:szCs w:val="22"/>
                <w:lang w:val="sr-Latn-RS"/>
              </w:rPr>
              <w:t>Često</w:t>
            </w:r>
          </w:p>
        </w:tc>
        <w:tc>
          <w:tcPr>
            <w:tcW w:w="0" w:type="auto"/>
            <w:vAlign w:val="center"/>
          </w:tcPr>
          <w:p w14:paraId="71FE3ECF" w14:textId="19460500"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r>
      <w:tr w:rsidR="00465749" w:rsidRPr="00394D9A" w14:paraId="1F4E644C" w14:textId="77777777" w:rsidTr="00DF17BA">
        <w:tc>
          <w:tcPr>
            <w:tcW w:w="0" w:type="auto"/>
          </w:tcPr>
          <w:p w14:paraId="79C0FA36" w14:textId="2193B1AA" w:rsidR="00465749" w:rsidRPr="00394D9A" w:rsidRDefault="00465749" w:rsidP="00187D17">
            <w:pPr>
              <w:widowControl w:val="0"/>
              <w:jc w:val="left"/>
              <w:rPr>
                <w:noProof/>
                <w:szCs w:val="22"/>
                <w:lang w:val="sr-Latn-RS"/>
              </w:rPr>
            </w:pPr>
            <w:r w:rsidRPr="00394D9A">
              <w:rPr>
                <w:noProof/>
                <w:szCs w:val="22"/>
                <w:lang w:val="sr-Latn-RS"/>
              </w:rPr>
              <w:t>Rektalna hemoreja</w:t>
            </w:r>
          </w:p>
        </w:tc>
        <w:tc>
          <w:tcPr>
            <w:tcW w:w="0" w:type="auto"/>
            <w:vAlign w:val="center"/>
          </w:tcPr>
          <w:p w14:paraId="2BA63FD5" w14:textId="5A4C83F1"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w:t>
            </w:r>
            <w:r w:rsidR="00291EB6" w:rsidRPr="00394D9A">
              <w:rPr>
                <w:noProof/>
                <w:szCs w:val="22"/>
                <w:lang w:val="sr-Latn-RS"/>
              </w:rPr>
              <w:t>r</w:t>
            </w:r>
            <w:r w:rsidR="00BD52DD" w:rsidRPr="00394D9A">
              <w:rPr>
                <w:noProof/>
                <w:szCs w:val="22"/>
                <w:lang w:val="sr-Latn-RS"/>
              </w:rPr>
              <w:t>eme</w:t>
            </w:r>
            <w:r w:rsidRPr="00394D9A">
              <w:rPr>
                <w:noProof/>
                <w:szCs w:val="22"/>
                <w:lang w:val="sr-Latn-RS"/>
              </w:rPr>
              <w:t>no</w:t>
            </w:r>
          </w:p>
        </w:tc>
        <w:tc>
          <w:tcPr>
            <w:tcW w:w="0" w:type="auto"/>
            <w:vAlign w:val="center"/>
          </w:tcPr>
          <w:p w14:paraId="23EB920B" w14:textId="39A4A51A" w:rsidR="00465749" w:rsidRPr="00394D9A" w:rsidRDefault="00465749" w:rsidP="00187D17">
            <w:pPr>
              <w:widowControl w:val="0"/>
              <w:jc w:val="center"/>
              <w:rPr>
                <w:noProof/>
                <w:szCs w:val="22"/>
                <w:lang w:val="sr-Latn-RS"/>
              </w:rPr>
            </w:pPr>
            <w:r w:rsidRPr="00394D9A">
              <w:rPr>
                <w:noProof/>
                <w:szCs w:val="22"/>
                <w:lang w:val="sr-Latn-RS"/>
              </w:rPr>
              <w:t>Često</w:t>
            </w:r>
          </w:p>
        </w:tc>
      </w:tr>
      <w:tr w:rsidR="00465749" w:rsidRPr="00394D9A" w14:paraId="5B9DC825" w14:textId="77777777" w:rsidTr="00DF17BA">
        <w:tc>
          <w:tcPr>
            <w:tcW w:w="0" w:type="auto"/>
          </w:tcPr>
          <w:p w14:paraId="1D6A8935" w14:textId="18DA9ABF" w:rsidR="00465749" w:rsidRPr="00394D9A" w:rsidRDefault="00465749" w:rsidP="00187D17">
            <w:pPr>
              <w:widowControl w:val="0"/>
              <w:jc w:val="left"/>
              <w:rPr>
                <w:noProof/>
                <w:szCs w:val="22"/>
                <w:lang w:val="sr-Latn-RS"/>
              </w:rPr>
            </w:pPr>
            <w:r w:rsidRPr="00394D9A">
              <w:rPr>
                <w:noProof/>
                <w:szCs w:val="22"/>
                <w:lang w:val="sr-Latn-RS"/>
              </w:rPr>
              <w:t>Hemoroidalna hemoragija</w:t>
            </w:r>
          </w:p>
        </w:tc>
        <w:tc>
          <w:tcPr>
            <w:tcW w:w="0" w:type="auto"/>
            <w:vAlign w:val="center"/>
          </w:tcPr>
          <w:p w14:paraId="7D6E2731" w14:textId="60C0DF58"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c>
          <w:tcPr>
            <w:tcW w:w="0" w:type="auto"/>
            <w:vAlign w:val="center"/>
          </w:tcPr>
          <w:p w14:paraId="05E2748C" w14:textId="372BF757"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r>
      <w:tr w:rsidR="00465749" w:rsidRPr="00394D9A" w14:paraId="6B0F4B58" w14:textId="77777777" w:rsidTr="00DF17BA">
        <w:tc>
          <w:tcPr>
            <w:tcW w:w="0" w:type="auto"/>
          </w:tcPr>
          <w:p w14:paraId="4F141080" w14:textId="5711A931" w:rsidR="00465749" w:rsidRPr="00394D9A" w:rsidRDefault="00465749" w:rsidP="00187D17">
            <w:pPr>
              <w:widowControl w:val="0"/>
              <w:jc w:val="left"/>
              <w:rPr>
                <w:noProof/>
                <w:szCs w:val="22"/>
                <w:lang w:val="sr-Latn-RS"/>
              </w:rPr>
            </w:pPr>
            <w:r w:rsidRPr="00394D9A">
              <w:rPr>
                <w:noProof/>
                <w:szCs w:val="22"/>
                <w:lang w:val="sr-Latn-RS"/>
              </w:rPr>
              <w:t>Gastrointestinalni ulkus</w:t>
            </w:r>
            <w:r w:rsidR="00CC7BDF" w:rsidRPr="00394D9A">
              <w:rPr>
                <w:noProof/>
                <w:szCs w:val="22"/>
                <w:lang w:val="sr-Latn-RS"/>
              </w:rPr>
              <w:t>, uključujući ezofagealni ulkus</w:t>
            </w:r>
          </w:p>
        </w:tc>
        <w:tc>
          <w:tcPr>
            <w:tcW w:w="0" w:type="auto"/>
            <w:vAlign w:val="center"/>
          </w:tcPr>
          <w:p w14:paraId="10ECEBB5" w14:textId="0EBB6ADB"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c>
          <w:tcPr>
            <w:tcW w:w="0" w:type="auto"/>
            <w:vAlign w:val="center"/>
          </w:tcPr>
          <w:p w14:paraId="6C1B36B9" w14:textId="3DA9ED1F"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r>
      <w:tr w:rsidR="00465749" w:rsidRPr="00394D9A" w14:paraId="595CE837" w14:textId="77777777" w:rsidTr="00DF17BA">
        <w:tc>
          <w:tcPr>
            <w:tcW w:w="0" w:type="auto"/>
          </w:tcPr>
          <w:p w14:paraId="44CA5DCA" w14:textId="1D844CCB" w:rsidR="00465749" w:rsidRPr="00394D9A" w:rsidRDefault="00465749" w:rsidP="00187D17">
            <w:pPr>
              <w:widowControl w:val="0"/>
              <w:jc w:val="left"/>
              <w:rPr>
                <w:noProof/>
                <w:szCs w:val="22"/>
                <w:lang w:val="sr-Latn-RS"/>
              </w:rPr>
            </w:pPr>
            <w:r w:rsidRPr="00394D9A">
              <w:rPr>
                <w:noProof/>
                <w:szCs w:val="22"/>
                <w:lang w:val="sr-Latn-RS"/>
              </w:rPr>
              <w:t>Gastroezofagitis</w:t>
            </w:r>
          </w:p>
        </w:tc>
        <w:tc>
          <w:tcPr>
            <w:tcW w:w="0" w:type="auto"/>
            <w:vAlign w:val="center"/>
          </w:tcPr>
          <w:p w14:paraId="2AE03BA9" w14:textId="42A0A037"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c>
          <w:tcPr>
            <w:tcW w:w="0" w:type="auto"/>
            <w:vAlign w:val="center"/>
          </w:tcPr>
          <w:p w14:paraId="775D824E" w14:textId="2B505DBA"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r>
      <w:tr w:rsidR="00465749" w:rsidRPr="00394D9A" w14:paraId="040B348A" w14:textId="77777777" w:rsidTr="00DF17BA">
        <w:tc>
          <w:tcPr>
            <w:tcW w:w="0" w:type="auto"/>
          </w:tcPr>
          <w:p w14:paraId="5C4565D0" w14:textId="261EED93" w:rsidR="00465749" w:rsidRPr="00394D9A" w:rsidRDefault="00465749" w:rsidP="00187D17">
            <w:pPr>
              <w:widowControl w:val="0"/>
              <w:jc w:val="left"/>
              <w:rPr>
                <w:noProof/>
                <w:szCs w:val="22"/>
                <w:lang w:val="sr-Latn-RS"/>
              </w:rPr>
            </w:pPr>
            <w:r w:rsidRPr="00394D9A">
              <w:rPr>
                <w:noProof/>
                <w:szCs w:val="22"/>
                <w:lang w:val="sr-Latn-RS"/>
              </w:rPr>
              <w:lastRenderedPageBreak/>
              <w:t>Gastroezofagealna refluksna bolest</w:t>
            </w:r>
          </w:p>
        </w:tc>
        <w:tc>
          <w:tcPr>
            <w:tcW w:w="0" w:type="auto"/>
            <w:vAlign w:val="center"/>
          </w:tcPr>
          <w:p w14:paraId="0DB9EA03" w14:textId="592708D7"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c>
          <w:tcPr>
            <w:tcW w:w="0" w:type="auto"/>
            <w:vAlign w:val="center"/>
          </w:tcPr>
          <w:p w14:paraId="30533B00" w14:textId="715DBCC1"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r>
      <w:tr w:rsidR="00465749" w:rsidRPr="00394D9A" w14:paraId="3DB14BD7" w14:textId="3F8DC9E2" w:rsidTr="00DF17BA">
        <w:tc>
          <w:tcPr>
            <w:tcW w:w="0" w:type="auto"/>
          </w:tcPr>
          <w:p w14:paraId="79EB4B2C" w14:textId="709FD34F" w:rsidR="00465749" w:rsidRPr="00394D9A" w:rsidRDefault="00465749" w:rsidP="00187D17">
            <w:pPr>
              <w:widowControl w:val="0"/>
              <w:jc w:val="left"/>
              <w:rPr>
                <w:noProof/>
                <w:szCs w:val="22"/>
                <w:lang w:val="sr-Latn-RS"/>
              </w:rPr>
            </w:pPr>
            <w:r w:rsidRPr="00394D9A">
              <w:rPr>
                <w:noProof/>
                <w:szCs w:val="22"/>
                <w:lang w:val="sr-Latn-RS"/>
              </w:rPr>
              <w:t>Povraćanje</w:t>
            </w:r>
          </w:p>
        </w:tc>
        <w:tc>
          <w:tcPr>
            <w:tcW w:w="0" w:type="auto"/>
            <w:vAlign w:val="center"/>
          </w:tcPr>
          <w:p w14:paraId="5D5C5735" w14:textId="74D9FC9E"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c>
          <w:tcPr>
            <w:tcW w:w="0" w:type="auto"/>
            <w:vAlign w:val="center"/>
          </w:tcPr>
          <w:p w14:paraId="3D86B7EC" w14:textId="196FE54B"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r>
      <w:tr w:rsidR="00465749" w:rsidRPr="00394D9A" w14:paraId="792E804E" w14:textId="069E259A" w:rsidTr="00DF17BA">
        <w:tc>
          <w:tcPr>
            <w:tcW w:w="0" w:type="auto"/>
          </w:tcPr>
          <w:p w14:paraId="176D7F4A" w14:textId="11957516" w:rsidR="00465749" w:rsidRPr="00394D9A" w:rsidRDefault="00465749" w:rsidP="00187D17">
            <w:pPr>
              <w:widowControl w:val="0"/>
              <w:jc w:val="left"/>
              <w:rPr>
                <w:noProof/>
                <w:szCs w:val="22"/>
                <w:lang w:val="sr-Latn-RS"/>
              </w:rPr>
            </w:pPr>
            <w:r w:rsidRPr="00394D9A">
              <w:rPr>
                <w:noProof/>
                <w:szCs w:val="22"/>
                <w:lang w:val="sr-Latn-RS"/>
              </w:rPr>
              <w:t>Disfagija</w:t>
            </w:r>
          </w:p>
        </w:tc>
        <w:tc>
          <w:tcPr>
            <w:tcW w:w="0" w:type="auto"/>
            <w:vAlign w:val="center"/>
          </w:tcPr>
          <w:p w14:paraId="51646A2B" w14:textId="17D1034E"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c>
          <w:tcPr>
            <w:tcW w:w="0" w:type="auto"/>
            <w:vAlign w:val="center"/>
          </w:tcPr>
          <w:p w14:paraId="7C154515" w14:textId="3014CC2F" w:rsidR="00465749" w:rsidRPr="00394D9A" w:rsidRDefault="00291EB6" w:rsidP="00187D17">
            <w:pPr>
              <w:widowControl w:val="0"/>
              <w:jc w:val="center"/>
              <w:rPr>
                <w:noProof/>
                <w:szCs w:val="22"/>
                <w:lang w:val="sr-Latn-RS"/>
              </w:rPr>
            </w:pPr>
            <w:r w:rsidRPr="00394D9A">
              <w:rPr>
                <w:noProof/>
                <w:szCs w:val="22"/>
                <w:lang w:val="sr-Latn-RS"/>
              </w:rPr>
              <w:t>Rijetko</w:t>
            </w:r>
          </w:p>
        </w:tc>
      </w:tr>
      <w:tr w:rsidR="008B56CF" w:rsidRPr="00394D9A" w14:paraId="0C59D850" w14:textId="77777777" w:rsidTr="00DF17BA">
        <w:tc>
          <w:tcPr>
            <w:tcW w:w="0" w:type="auto"/>
            <w:gridSpan w:val="3"/>
          </w:tcPr>
          <w:p w14:paraId="1E99C651" w14:textId="41A52661" w:rsidR="008B56CF" w:rsidRPr="00394D9A" w:rsidRDefault="008B56CF" w:rsidP="00187D17">
            <w:pPr>
              <w:widowControl w:val="0"/>
              <w:jc w:val="left"/>
              <w:rPr>
                <w:b/>
                <w:i/>
                <w:iCs/>
                <w:noProof/>
                <w:szCs w:val="22"/>
                <w:lang w:val="sr-Latn-RS"/>
              </w:rPr>
            </w:pPr>
            <w:r w:rsidRPr="00394D9A">
              <w:rPr>
                <w:b/>
                <w:i/>
                <w:iCs/>
                <w:noProof/>
                <w:szCs w:val="22"/>
                <w:lang w:val="sr-Latn-RS"/>
              </w:rPr>
              <w:t>Hepatobilijarni poremećaji</w:t>
            </w:r>
          </w:p>
        </w:tc>
      </w:tr>
      <w:tr w:rsidR="00465749" w:rsidRPr="00394D9A" w14:paraId="03FB11EE" w14:textId="151387DA" w:rsidTr="00DF17BA">
        <w:tc>
          <w:tcPr>
            <w:tcW w:w="0" w:type="auto"/>
          </w:tcPr>
          <w:p w14:paraId="2F1213A5" w14:textId="1DBD35C2" w:rsidR="00465749" w:rsidRPr="00394D9A" w:rsidRDefault="00465749" w:rsidP="00187D17">
            <w:pPr>
              <w:widowControl w:val="0"/>
              <w:jc w:val="left"/>
              <w:rPr>
                <w:noProof/>
                <w:szCs w:val="22"/>
                <w:lang w:val="sr-Latn-RS"/>
              </w:rPr>
            </w:pPr>
            <w:r w:rsidRPr="00394D9A">
              <w:rPr>
                <w:noProof/>
                <w:szCs w:val="22"/>
                <w:lang w:val="sr-Latn-RS"/>
              </w:rPr>
              <w:t>Poremećena funkcija jetre/</w:t>
            </w:r>
            <w:r w:rsidR="001F119D" w:rsidRPr="00394D9A">
              <w:rPr>
                <w:noProof/>
                <w:szCs w:val="22"/>
                <w:lang w:val="sr-Latn-RS"/>
              </w:rPr>
              <w:t>I</w:t>
            </w:r>
            <w:r w:rsidRPr="00394D9A">
              <w:rPr>
                <w:noProof/>
                <w:szCs w:val="22"/>
                <w:lang w:val="sr-Latn-RS"/>
              </w:rPr>
              <w:t>zm</w:t>
            </w:r>
            <w:r w:rsidR="00813D6A" w:rsidRPr="00394D9A">
              <w:rPr>
                <w:noProof/>
                <w:szCs w:val="22"/>
                <w:lang w:val="sr-Latn-RS"/>
              </w:rPr>
              <w:t>i</w:t>
            </w:r>
            <w:r w:rsidR="00291EB6" w:rsidRPr="00394D9A">
              <w:rPr>
                <w:noProof/>
                <w:szCs w:val="22"/>
                <w:lang w:val="sr-Latn-RS"/>
              </w:rPr>
              <w:t>j</w:t>
            </w:r>
            <w:r w:rsidRPr="00394D9A">
              <w:rPr>
                <w:noProof/>
                <w:szCs w:val="22"/>
                <w:lang w:val="sr-Latn-RS"/>
              </w:rPr>
              <w:t>enjeni testovi funkcije jetre</w:t>
            </w:r>
          </w:p>
        </w:tc>
        <w:tc>
          <w:tcPr>
            <w:tcW w:w="0" w:type="auto"/>
            <w:vAlign w:val="center"/>
          </w:tcPr>
          <w:p w14:paraId="641F2131" w14:textId="5079B5D4"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c>
          <w:tcPr>
            <w:tcW w:w="0" w:type="auto"/>
            <w:vAlign w:val="center"/>
          </w:tcPr>
          <w:p w14:paraId="294F6A46" w14:textId="680720F2"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r>
      <w:tr w:rsidR="00465749" w:rsidRPr="00394D9A" w14:paraId="763A855B" w14:textId="66ACBC1F" w:rsidTr="00DF17BA">
        <w:tc>
          <w:tcPr>
            <w:tcW w:w="0" w:type="auto"/>
          </w:tcPr>
          <w:p w14:paraId="51EB882A" w14:textId="71AF69A2" w:rsidR="00465749" w:rsidRPr="00394D9A" w:rsidRDefault="00465749" w:rsidP="00187D17">
            <w:pPr>
              <w:widowControl w:val="0"/>
              <w:jc w:val="left"/>
              <w:rPr>
                <w:noProof/>
                <w:szCs w:val="22"/>
                <w:lang w:val="sr-Latn-RS"/>
              </w:rPr>
            </w:pPr>
            <w:r w:rsidRPr="00394D9A">
              <w:rPr>
                <w:noProof/>
                <w:szCs w:val="22"/>
                <w:lang w:val="sr-Latn-RS"/>
              </w:rPr>
              <w:t xml:space="preserve">Povećanje </w:t>
            </w:r>
            <w:r w:rsidR="00BD52DD" w:rsidRPr="00394D9A">
              <w:rPr>
                <w:noProof/>
                <w:szCs w:val="22"/>
                <w:lang w:val="sr-Latn-RS"/>
              </w:rPr>
              <w:t>vrijednosti</w:t>
            </w:r>
            <w:r w:rsidRPr="00394D9A">
              <w:rPr>
                <w:noProof/>
                <w:szCs w:val="22"/>
                <w:lang w:val="sr-Latn-RS"/>
              </w:rPr>
              <w:t xml:space="preserve"> alanin-aminotransferaze</w:t>
            </w:r>
          </w:p>
        </w:tc>
        <w:tc>
          <w:tcPr>
            <w:tcW w:w="0" w:type="auto"/>
            <w:vAlign w:val="center"/>
          </w:tcPr>
          <w:p w14:paraId="27E27780" w14:textId="31B62753"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c>
          <w:tcPr>
            <w:tcW w:w="0" w:type="auto"/>
            <w:vAlign w:val="center"/>
          </w:tcPr>
          <w:p w14:paraId="0BB9D00D" w14:textId="6CE777D9"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r>
      <w:tr w:rsidR="00465749" w:rsidRPr="00394D9A" w14:paraId="16CF0987" w14:textId="726F2D94" w:rsidTr="00DF17BA">
        <w:tc>
          <w:tcPr>
            <w:tcW w:w="0" w:type="auto"/>
          </w:tcPr>
          <w:p w14:paraId="3E1ADAC9" w14:textId="1B64DB32" w:rsidR="00465749" w:rsidRPr="00394D9A" w:rsidRDefault="00465749" w:rsidP="00187D17">
            <w:pPr>
              <w:widowControl w:val="0"/>
              <w:jc w:val="left"/>
              <w:rPr>
                <w:noProof/>
                <w:szCs w:val="22"/>
                <w:lang w:val="sr-Latn-RS"/>
              </w:rPr>
            </w:pPr>
            <w:r w:rsidRPr="00394D9A">
              <w:rPr>
                <w:noProof/>
                <w:szCs w:val="22"/>
                <w:lang w:val="sr-Latn-RS"/>
              </w:rPr>
              <w:t xml:space="preserve">Povećanje </w:t>
            </w:r>
            <w:r w:rsidR="00BD52DD" w:rsidRPr="00394D9A">
              <w:rPr>
                <w:noProof/>
                <w:szCs w:val="22"/>
                <w:lang w:val="sr-Latn-RS"/>
              </w:rPr>
              <w:t>vrijednosti</w:t>
            </w:r>
            <w:r w:rsidR="001F119D" w:rsidRPr="00394D9A">
              <w:rPr>
                <w:noProof/>
                <w:szCs w:val="22"/>
                <w:lang w:val="sr-Latn-RS"/>
              </w:rPr>
              <w:t xml:space="preserve"> </w:t>
            </w:r>
            <w:r w:rsidRPr="00394D9A">
              <w:rPr>
                <w:noProof/>
                <w:szCs w:val="22"/>
                <w:lang w:val="sr-Latn-RS"/>
              </w:rPr>
              <w:t>aspartat-aminotransferaze</w:t>
            </w:r>
          </w:p>
        </w:tc>
        <w:tc>
          <w:tcPr>
            <w:tcW w:w="0" w:type="auto"/>
            <w:vAlign w:val="center"/>
          </w:tcPr>
          <w:p w14:paraId="01DC5AB0" w14:textId="4C171357"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c>
          <w:tcPr>
            <w:tcW w:w="0" w:type="auto"/>
            <w:vAlign w:val="center"/>
          </w:tcPr>
          <w:p w14:paraId="2E348313" w14:textId="702DE9D4"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r>
      <w:tr w:rsidR="00465749" w:rsidRPr="00394D9A" w14:paraId="0F0B4637" w14:textId="2F953091" w:rsidTr="00DF17BA">
        <w:tc>
          <w:tcPr>
            <w:tcW w:w="0" w:type="auto"/>
          </w:tcPr>
          <w:p w14:paraId="1FAD3DDC" w14:textId="5085C3E2" w:rsidR="00465749" w:rsidRPr="00394D9A" w:rsidRDefault="00465749" w:rsidP="00187D17">
            <w:pPr>
              <w:widowControl w:val="0"/>
              <w:jc w:val="left"/>
              <w:rPr>
                <w:noProof/>
                <w:szCs w:val="22"/>
                <w:lang w:val="sr-Latn-RS"/>
              </w:rPr>
            </w:pPr>
            <w:r w:rsidRPr="00394D9A">
              <w:rPr>
                <w:noProof/>
                <w:szCs w:val="22"/>
                <w:lang w:val="sr-Latn-RS"/>
              </w:rPr>
              <w:t xml:space="preserve">Povećanje </w:t>
            </w:r>
            <w:r w:rsidR="00BD52DD" w:rsidRPr="00394D9A">
              <w:rPr>
                <w:noProof/>
                <w:szCs w:val="22"/>
                <w:lang w:val="sr-Latn-RS"/>
              </w:rPr>
              <w:t>vrijednosti</w:t>
            </w:r>
            <w:r w:rsidR="001F119D" w:rsidRPr="00394D9A">
              <w:rPr>
                <w:noProof/>
                <w:szCs w:val="22"/>
                <w:lang w:val="sr-Latn-RS"/>
              </w:rPr>
              <w:t xml:space="preserve"> </w:t>
            </w:r>
            <w:r w:rsidRPr="00394D9A">
              <w:rPr>
                <w:noProof/>
                <w:szCs w:val="22"/>
                <w:lang w:val="sr-Latn-RS"/>
              </w:rPr>
              <w:t>enzima jetre</w:t>
            </w:r>
          </w:p>
        </w:tc>
        <w:tc>
          <w:tcPr>
            <w:tcW w:w="0" w:type="auto"/>
            <w:vAlign w:val="center"/>
          </w:tcPr>
          <w:p w14:paraId="0F6A2720" w14:textId="2FD974BB" w:rsidR="00465749" w:rsidRPr="00394D9A" w:rsidRDefault="00291EB6" w:rsidP="00187D17">
            <w:pPr>
              <w:widowControl w:val="0"/>
              <w:jc w:val="center"/>
              <w:rPr>
                <w:noProof/>
                <w:szCs w:val="22"/>
                <w:lang w:val="sr-Latn-RS"/>
              </w:rPr>
            </w:pPr>
            <w:r w:rsidRPr="00394D9A">
              <w:rPr>
                <w:noProof/>
                <w:szCs w:val="22"/>
                <w:lang w:val="sr-Latn-RS"/>
              </w:rPr>
              <w:t>Rijetko</w:t>
            </w:r>
          </w:p>
        </w:tc>
        <w:tc>
          <w:tcPr>
            <w:tcW w:w="0" w:type="auto"/>
            <w:vAlign w:val="center"/>
          </w:tcPr>
          <w:p w14:paraId="0974FB27" w14:textId="26D1103C" w:rsidR="00465749" w:rsidRPr="00394D9A" w:rsidRDefault="00465749"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r>
      <w:tr w:rsidR="00B40F45" w:rsidRPr="00394D9A" w14:paraId="33106439" w14:textId="67D3BDCA" w:rsidTr="00DF17BA">
        <w:tc>
          <w:tcPr>
            <w:tcW w:w="0" w:type="auto"/>
          </w:tcPr>
          <w:p w14:paraId="3E91612E" w14:textId="242BA80F" w:rsidR="00B40F45" w:rsidRPr="00394D9A" w:rsidRDefault="00B40F45" w:rsidP="00187D17">
            <w:pPr>
              <w:widowControl w:val="0"/>
              <w:jc w:val="left"/>
              <w:rPr>
                <w:noProof/>
                <w:szCs w:val="22"/>
                <w:lang w:val="sr-Latn-RS"/>
              </w:rPr>
            </w:pPr>
            <w:r w:rsidRPr="00394D9A">
              <w:rPr>
                <w:noProof/>
                <w:szCs w:val="22"/>
                <w:lang w:val="sr-Latn-RS"/>
              </w:rPr>
              <w:t>Hiperbilirubinemija</w:t>
            </w:r>
          </w:p>
        </w:tc>
        <w:tc>
          <w:tcPr>
            <w:tcW w:w="0" w:type="auto"/>
            <w:vAlign w:val="center"/>
          </w:tcPr>
          <w:p w14:paraId="1C8EABEE" w14:textId="2FF6D1B3" w:rsidR="00B40F45" w:rsidRPr="00394D9A" w:rsidRDefault="00291EB6" w:rsidP="00187D17">
            <w:pPr>
              <w:widowControl w:val="0"/>
              <w:jc w:val="center"/>
              <w:rPr>
                <w:noProof/>
                <w:szCs w:val="22"/>
                <w:lang w:val="sr-Latn-RS"/>
              </w:rPr>
            </w:pPr>
            <w:r w:rsidRPr="00394D9A">
              <w:rPr>
                <w:noProof/>
                <w:szCs w:val="22"/>
                <w:lang w:val="sr-Latn-RS"/>
              </w:rPr>
              <w:t>Rijetko</w:t>
            </w:r>
          </w:p>
        </w:tc>
        <w:tc>
          <w:tcPr>
            <w:tcW w:w="0" w:type="auto"/>
          </w:tcPr>
          <w:p w14:paraId="4124D82F" w14:textId="220C3C93" w:rsidR="00B40F45" w:rsidRPr="00394D9A" w:rsidRDefault="00B40F45" w:rsidP="00187D17">
            <w:pPr>
              <w:widowControl w:val="0"/>
              <w:jc w:val="center"/>
              <w:rPr>
                <w:noProof/>
                <w:szCs w:val="22"/>
                <w:lang w:val="sr-Latn-RS"/>
              </w:rPr>
            </w:pPr>
            <w:r w:rsidRPr="00394D9A">
              <w:rPr>
                <w:noProof/>
                <w:szCs w:val="22"/>
                <w:lang w:val="sr-Latn-RS"/>
              </w:rPr>
              <w:t>Nepoznato</w:t>
            </w:r>
          </w:p>
        </w:tc>
      </w:tr>
      <w:tr w:rsidR="00B40F45" w:rsidRPr="00394D9A" w14:paraId="50606C20" w14:textId="77777777" w:rsidTr="00DF17BA">
        <w:tc>
          <w:tcPr>
            <w:tcW w:w="0" w:type="auto"/>
            <w:gridSpan w:val="3"/>
          </w:tcPr>
          <w:p w14:paraId="5FC2D489" w14:textId="40387377" w:rsidR="00B40F45" w:rsidRPr="00394D9A" w:rsidRDefault="00B40F45" w:rsidP="00187D17">
            <w:pPr>
              <w:widowControl w:val="0"/>
              <w:jc w:val="left"/>
              <w:rPr>
                <w:b/>
                <w:i/>
                <w:iCs/>
                <w:noProof/>
                <w:szCs w:val="22"/>
                <w:lang w:val="sr-Latn-RS"/>
              </w:rPr>
            </w:pPr>
            <w:r w:rsidRPr="00394D9A">
              <w:rPr>
                <w:b/>
                <w:i/>
                <w:iCs/>
                <w:noProof/>
                <w:szCs w:val="22"/>
                <w:lang w:val="sr-Latn-RS"/>
              </w:rPr>
              <w:t>Poremećaji kože i potkožnog tkiva</w:t>
            </w:r>
          </w:p>
        </w:tc>
      </w:tr>
      <w:tr w:rsidR="00B40F45" w:rsidRPr="00394D9A" w14:paraId="694E943F" w14:textId="49CB67E7" w:rsidTr="00DF17BA">
        <w:tc>
          <w:tcPr>
            <w:tcW w:w="0" w:type="auto"/>
          </w:tcPr>
          <w:p w14:paraId="483AAE4C" w14:textId="49B629A4" w:rsidR="00B40F45" w:rsidRPr="00394D9A" w:rsidRDefault="00B40F45" w:rsidP="00187D17">
            <w:pPr>
              <w:widowControl w:val="0"/>
              <w:jc w:val="left"/>
              <w:rPr>
                <w:noProof/>
                <w:szCs w:val="22"/>
                <w:lang w:val="sr-Latn-RS"/>
              </w:rPr>
            </w:pPr>
            <w:r w:rsidRPr="00394D9A">
              <w:rPr>
                <w:noProof/>
                <w:szCs w:val="22"/>
                <w:lang w:val="sr-Latn-RS"/>
              </w:rPr>
              <w:t>Krvarenje iz kože</w:t>
            </w:r>
          </w:p>
        </w:tc>
        <w:tc>
          <w:tcPr>
            <w:tcW w:w="0" w:type="auto"/>
          </w:tcPr>
          <w:p w14:paraId="205E2F9C" w14:textId="3E7A5F68" w:rsidR="00B40F45" w:rsidRPr="00394D9A" w:rsidRDefault="00B40F45" w:rsidP="00187D17">
            <w:pPr>
              <w:widowControl w:val="0"/>
              <w:jc w:val="center"/>
              <w:rPr>
                <w:noProof/>
                <w:szCs w:val="22"/>
                <w:lang w:val="sr-Latn-RS"/>
              </w:rPr>
            </w:pPr>
            <w:r w:rsidRPr="00394D9A">
              <w:rPr>
                <w:noProof/>
                <w:szCs w:val="22"/>
                <w:lang w:val="sr-Latn-RS"/>
              </w:rPr>
              <w:t>Često</w:t>
            </w:r>
          </w:p>
        </w:tc>
        <w:tc>
          <w:tcPr>
            <w:tcW w:w="0" w:type="auto"/>
          </w:tcPr>
          <w:p w14:paraId="1B5DE5D5" w14:textId="7C610FB7" w:rsidR="00B40F45" w:rsidRPr="00394D9A" w:rsidRDefault="00B40F45" w:rsidP="00187D17">
            <w:pPr>
              <w:widowControl w:val="0"/>
              <w:jc w:val="center"/>
              <w:rPr>
                <w:noProof/>
                <w:szCs w:val="22"/>
                <w:lang w:val="sr-Latn-RS"/>
              </w:rPr>
            </w:pPr>
            <w:r w:rsidRPr="00394D9A">
              <w:rPr>
                <w:noProof/>
                <w:szCs w:val="22"/>
                <w:lang w:val="sr-Latn-RS"/>
              </w:rPr>
              <w:t>Često</w:t>
            </w:r>
          </w:p>
        </w:tc>
      </w:tr>
      <w:tr w:rsidR="00B40F45" w:rsidRPr="00394D9A" w14:paraId="46ED88B4" w14:textId="7C46D8D8" w:rsidTr="00DF17BA">
        <w:tc>
          <w:tcPr>
            <w:tcW w:w="0" w:type="auto"/>
          </w:tcPr>
          <w:p w14:paraId="65B62F2C" w14:textId="72495648" w:rsidR="00B40F45" w:rsidRPr="00394D9A" w:rsidRDefault="00B40F45" w:rsidP="00187D17">
            <w:pPr>
              <w:widowControl w:val="0"/>
              <w:jc w:val="left"/>
              <w:rPr>
                <w:noProof/>
                <w:szCs w:val="22"/>
                <w:lang w:val="sr-Latn-RS"/>
              </w:rPr>
            </w:pPr>
            <w:r w:rsidRPr="00394D9A">
              <w:rPr>
                <w:noProof/>
                <w:szCs w:val="22"/>
                <w:lang w:val="sr-Latn-RS"/>
              </w:rPr>
              <w:t>Alopecija</w:t>
            </w:r>
          </w:p>
        </w:tc>
        <w:tc>
          <w:tcPr>
            <w:tcW w:w="0" w:type="auto"/>
          </w:tcPr>
          <w:p w14:paraId="57C87796" w14:textId="24704F57" w:rsidR="00B40F45" w:rsidRPr="00394D9A" w:rsidRDefault="00B40F45" w:rsidP="00187D17">
            <w:pPr>
              <w:widowControl w:val="0"/>
              <w:jc w:val="center"/>
              <w:rPr>
                <w:noProof/>
                <w:szCs w:val="22"/>
                <w:lang w:val="sr-Latn-RS"/>
              </w:rPr>
            </w:pPr>
            <w:r w:rsidRPr="00394D9A">
              <w:rPr>
                <w:noProof/>
                <w:szCs w:val="22"/>
                <w:lang w:val="sr-Latn-RS"/>
              </w:rPr>
              <w:t>Nepoznato</w:t>
            </w:r>
          </w:p>
        </w:tc>
        <w:tc>
          <w:tcPr>
            <w:tcW w:w="0" w:type="auto"/>
          </w:tcPr>
          <w:p w14:paraId="44F9C6B6" w14:textId="404B8105" w:rsidR="00B40F45" w:rsidRPr="00394D9A" w:rsidRDefault="00B40F45" w:rsidP="00187D17">
            <w:pPr>
              <w:widowControl w:val="0"/>
              <w:jc w:val="center"/>
              <w:rPr>
                <w:noProof/>
                <w:szCs w:val="22"/>
                <w:lang w:val="sr-Latn-RS"/>
              </w:rPr>
            </w:pPr>
            <w:r w:rsidRPr="00394D9A">
              <w:rPr>
                <w:noProof/>
                <w:szCs w:val="22"/>
                <w:lang w:val="sr-Latn-RS"/>
              </w:rPr>
              <w:t>Nepoznato</w:t>
            </w:r>
          </w:p>
        </w:tc>
      </w:tr>
      <w:tr w:rsidR="00B40F45" w:rsidRPr="00394D9A" w14:paraId="01119D5C" w14:textId="77777777" w:rsidTr="00DF17BA">
        <w:tc>
          <w:tcPr>
            <w:tcW w:w="0" w:type="auto"/>
            <w:gridSpan w:val="3"/>
          </w:tcPr>
          <w:p w14:paraId="2CC0F206" w14:textId="3A8D1A0B" w:rsidR="00B40F45" w:rsidRPr="00394D9A" w:rsidRDefault="00B40F45" w:rsidP="00187D17">
            <w:pPr>
              <w:widowControl w:val="0"/>
              <w:jc w:val="left"/>
              <w:rPr>
                <w:b/>
                <w:i/>
                <w:iCs/>
                <w:noProof/>
                <w:szCs w:val="22"/>
                <w:lang w:val="sr-Latn-RS"/>
              </w:rPr>
            </w:pPr>
            <w:r w:rsidRPr="00394D9A">
              <w:rPr>
                <w:b/>
                <w:i/>
                <w:iCs/>
                <w:noProof/>
                <w:szCs w:val="22"/>
                <w:lang w:val="sr-Latn-RS"/>
              </w:rPr>
              <w:t>Poremećaji mišićno-koštanog sistema</w:t>
            </w:r>
            <w:r w:rsidR="001F119D" w:rsidRPr="00394D9A">
              <w:rPr>
                <w:b/>
                <w:i/>
                <w:iCs/>
                <w:noProof/>
                <w:szCs w:val="22"/>
                <w:lang w:val="sr-Latn-RS"/>
              </w:rPr>
              <w:t xml:space="preserve"> i vezivnog tkiva</w:t>
            </w:r>
          </w:p>
        </w:tc>
      </w:tr>
      <w:tr w:rsidR="00B40F45" w:rsidRPr="00394D9A" w14:paraId="225A54B2" w14:textId="7C96E58C" w:rsidTr="00DF17BA">
        <w:tc>
          <w:tcPr>
            <w:tcW w:w="0" w:type="auto"/>
          </w:tcPr>
          <w:p w14:paraId="43A95E2C" w14:textId="3B5317DD" w:rsidR="00B40F45" w:rsidRPr="00394D9A" w:rsidRDefault="00B40F45" w:rsidP="00187D17">
            <w:pPr>
              <w:widowControl w:val="0"/>
              <w:jc w:val="left"/>
              <w:rPr>
                <w:noProof/>
                <w:szCs w:val="22"/>
                <w:lang w:val="sr-Latn-RS"/>
              </w:rPr>
            </w:pPr>
            <w:r w:rsidRPr="00394D9A">
              <w:rPr>
                <w:noProof/>
                <w:szCs w:val="22"/>
                <w:lang w:val="sr-Latn-RS"/>
              </w:rPr>
              <w:t>Hemartroza</w:t>
            </w:r>
          </w:p>
        </w:tc>
        <w:tc>
          <w:tcPr>
            <w:tcW w:w="0" w:type="auto"/>
          </w:tcPr>
          <w:p w14:paraId="7D795D9F" w14:textId="2D1F80D9" w:rsidR="00B40F45" w:rsidRPr="00394D9A" w:rsidRDefault="00291EB6" w:rsidP="00187D17">
            <w:pPr>
              <w:widowControl w:val="0"/>
              <w:jc w:val="center"/>
              <w:rPr>
                <w:noProof/>
                <w:szCs w:val="22"/>
                <w:lang w:val="sr-Latn-RS"/>
              </w:rPr>
            </w:pPr>
            <w:r w:rsidRPr="00394D9A">
              <w:rPr>
                <w:noProof/>
                <w:szCs w:val="22"/>
                <w:lang w:val="sr-Latn-RS"/>
              </w:rPr>
              <w:t>Rijetko</w:t>
            </w:r>
          </w:p>
        </w:tc>
        <w:tc>
          <w:tcPr>
            <w:tcW w:w="0" w:type="auto"/>
          </w:tcPr>
          <w:p w14:paraId="43F133EE" w14:textId="28040FFF" w:rsidR="00B40F45" w:rsidRPr="00394D9A" w:rsidRDefault="00B40F45"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r>
      <w:tr w:rsidR="00B40F45" w:rsidRPr="00394D9A" w14:paraId="147155E7" w14:textId="77777777" w:rsidTr="00DF17BA">
        <w:tc>
          <w:tcPr>
            <w:tcW w:w="0" w:type="auto"/>
            <w:gridSpan w:val="3"/>
          </w:tcPr>
          <w:p w14:paraId="7B3752D3" w14:textId="1DBC81D5" w:rsidR="00B40F45" w:rsidRPr="00394D9A" w:rsidRDefault="00B40F45" w:rsidP="00187D17">
            <w:pPr>
              <w:widowControl w:val="0"/>
              <w:jc w:val="left"/>
              <w:rPr>
                <w:b/>
                <w:i/>
                <w:iCs/>
                <w:noProof/>
                <w:szCs w:val="22"/>
                <w:lang w:val="sr-Latn-RS"/>
              </w:rPr>
            </w:pPr>
            <w:r w:rsidRPr="00394D9A">
              <w:rPr>
                <w:b/>
                <w:i/>
                <w:iCs/>
                <w:noProof/>
                <w:szCs w:val="22"/>
                <w:lang w:val="sr-Latn-RS"/>
              </w:rPr>
              <w:t>Poremećaji bubrega i urinarnog sistema</w:t>
            </w:r>
          </w:p>
        </w:tc>
      </w:tr>
      <w:tr w:rsidR="00B40F45" w:rsidRPr="00394D9A" w14:paraId="3D004476" w14:textId="7FCC7D33" w:rsidTr="00DF17BA">
        <w:tc>
          <w:tcPr>
            <w:tcW w:w="0" w:type="auto"/>
          </w:tcPr>
          <w:p w14:paraId="323213D8" w14:textId="520EF2A9" w:rsidR="00B40F45" w:rsidRPr="00394D9A" w:rsidRDefault="00B40F45" w:rsidP="00187D17">
            <w:pPr>
              <w:widowControl w:val="0"/>
              <w:jc w:val="left"/>
              <w:rPr>
                <w:noProof/>
                <w:szCs w:val="22"/>
                <w:lang w:val="sr-Latn-RS"/>
              </w:rPr>
            </w:pPr>
            <w:r w:rsidRPr="00394D9A">
              <w:rPr>
                <w:noProof/>
                <w:szCs w:val="22"/>
                <w:lang w:val="sr-Latn-RS"/>
              </w:rPr>
              <w:t>Urogenitalna hemoragija, uključujući hematuriju</w:t>
            </w:r>
          </w:p>
        </w:tc>
        <w:tc>
          <w:tcPr>
            <w:tcW w:w="0" w:type="auto"/>
            <w:vAlign w:val="center"/>
          </w:tcPr>
          <w:p w14:paraId="07983650" w14:textId="4EFB9017" w:rsidR="00B40F45" w:rsidRPr="00394D9A" w:rsidRDefault="00B40F45" w:rsidP="00187D17">
            <w:pPr>
              <w:widowControl w:val="0"/>
              <w:jc w:val="center"/>
              <w:rPr>
                <w:noProof/>
                <w:szCs w:val="22"/>
                <w:lang w:val="sr-Latn-RS"/>
              </w:rPr>
            </w:pPr>
            <w:r w:rsidRPr="00394D9A">
              <w:rPr>
                <w:noProof/>
                <w:szCs w:val="22"/>
                <w:lang w:val="sr-Latn-RS"/>
              </w:rPr>
              <w:t>Često</w:t>
            </w:r>
          </w:p>
        </w:tc>
        <w:tc>
          <w:tcPr>
            <w:tcW w:w="0" w:type="auto"/>
            <w:vAlign w:val="center"/>
          </w:tcPr>
          <w:p w14:paraId="62EC0D81" w14:textId="23D3AEB4" w:rsidR="00B40F45" w:rsidRPr="00394D9A" w:rsidRDefault="00B40F45" w:rsidP="00187D17">
            <w:pPr>
              <w:widowControl w:val="0"/>
              <w:jc w:val="center"/>
              <w:rPr>
                <w:noProof/>
                <w:szCs w:val="22"/>
                <w:lang w:val="sr-Latn-RS"/>
              </w:rPr>
            </w:pPr>
            <w:r w:rsidRPr="00394D9A">
              <w:rPr>
                <w:noProof/>
                <w:szCs w:val="22"/>
                <w:lang w:val="sr-Latn-RS"/>
              </w:rPr>
              <w:t>Često</w:t>
            </w:r>
          </w:p>
        </w:tc>
      </w:tr>
      <w:tr w:rsidR="001F119D" w:rsidRPr="00394D9A" w14:paraId="5C8A8AC3" w14:textId="77777777" w:rsidTr="00DF17BA">
        <w:tc>
          <w:tcPr>
            <w:tcW w:w="0" w:type="auto"/>
            <w:gridSpan w:val="3"/>
          </w:tcPr>
          <w:p w14:paraId="2288289B" w14:textId="3B313F55" w:rsidR="001F119D" w:rsidRPr="00394D9A" w:rsidRDefault="001F119D" w:rsidP="00187D17">
            <w:pPr>
              <w:widowControl w:val="0"/>
              <w:jc w:val="left"/>
              <w:rPr>
                <w:b/>
                <w:noProof/>
                <w:szCs w:val="22"/>
                <w:lang w:val="sr-Latn-RS"/>
              </w:rPr>
            </w:pPr>
            <w:r w:rsidRPr="00394D9A">
              <w:rPr>
                <w:b/>
                <w:i/>
                <w:iCs/>
                <w:noProof/>
                <w:szCs w:val="22"/>
                <w:lang w:val="sr-Latn-RS"/>
              </w:rPr>
              <w:t xml:space="preserve">Opšti poremećaji i reakcije na </w:t>
            </w:r>
            <w:r w:rsidR="003E3709" w:rsidRPr="00394D9A">
              <w:rPr>
                <w:b/>
                <w:i/>
                <w:iCs/>
                <w:noProof/>
                <w:szCs w:val="22"/>
                <w:lang w:val="sr-Latn-RS"/>
              </w:rPr>
              <w:t>mjestu</w:t>
            </w:r>
            <w:r w:rsidRPr="00394D9A">
              <w:rPr>
                <w:b/>
                <w:i/>
                <w:iCs/>
                <w:noProof/>
                <w:szCs w:val="22"/>
                <w:lang w:val="sr-Latn-RS"/>
              </w:rPr>
              <w:t xml:space="preserve"> </w:t>
            </w:r>
            <w:r w:rsidR="00A639DA" w:rsidRPr="00394D9A">
              <w:rPr>
                <w:b/>
                <w:i/>
                <w:iCs/>
                <w:noProof/>
                <w:szCs w:val="22"/>
                <w:lang w:val="sr-Latn-RS"/>
              </w:rPr>
              <w:t>primjene</w:t>
            </w:r>
          </w:p>
        </w:tc>
      </w:tr>
      <w:tr w:rsidR="00B40F45" w:rsidRPr="00394D9A" w14:paraId="2654C498" w14:textId="3ABFA7A5" w:rsidTr="00DF17BA">
        <w:tc>
          <w:tcPr>
            <w:tcW w:w="0" w:type="auto"/>
          </w:tcPr>
          <w:p w14:paraId="13D32739" w14:textId="15867DC9" w:rsidR="00B40F45" w:rsidRPr="00394D9A" w:rsidRDefault="00B40F45" w:rsidP="00187D17">
            <w:pPr>
              <w:widowControl w:val="0"/>
              <w:jc w:val="left"/>
              <w:rPr>
                <w:noProof/>
                <w:szCs w:val="22"/>
                <w:lang w:val="sr-Latn-RS"/>
              </w:rPr>
            </w:pPr>
            <w:r w:rsidRPr="00394D9A">
              <w:rPr>
                <w:noProof/>
                <w:szCs w:val="22"/>
                <w:lang w:val="sr-Latn-RS"/>
              </w:rPr>
              <w:t xml:space="preserve">Hemoragija na </w:t>
            </w:r>
            <w:r w:rsidR="003E3709" w:rsidRPr="00394D9A">
              <w:rPr>
                <w:noProof/>
                <w:szCs w:val="22"/>
                <w:lang w:val="sr-Latn-RS"/>
              </w:rPr>
              <w:t>mjestu</w:t>
            </w:r>
            <w:r w:rsidRPr="00394D9A">
              <w:rPr>
                <w:noProof/>
                <w:szCs w:val="22"/>
                <w:lang w:val="sr-Latn-RS"/>
              </w:rPr>
              <w:t xml:space="preserve"> injekcije</w:t>
            </w:r>
          </w:p>
        </w:tc>
        <w:tc>
          <w:tcPr>
            <w:tcW w:w="0" w:type="auto"/>
          </w:tcPr>
          <w:p w14:paraId="0BA5376F" w14:textId="61B80D5C" w:rsidR="00B40F45" w:rsidRPr="00394D9A" w:rsidRDefault="00291EB6" w:rsidP="00187D17">
            <w:pPr>
              <w:widowControl w:val="0"/>
              <w:jc w:val="center"/>
              <w:rPr>
                <w:noProof/>
                <w:szCs w:val="22"/>
                <w:lang w:val="sr-Latn-RS"/>
              </w:rPr>
            </w:pPr>
            <w:r w:rsidRPr="00394D9A">
              <w:rPr>
                <w:noProof/>
                <w:szCs w:val="22"/>
                <w:lang w:val="sr-Latn-RS"/>
              </w:rPr>
              <w:t>Rijetko</w:t>
            </w:r>
          </w:p>
        </w:tc>
        <w:tc>
          <w:tcPr>
            <w:tcW w:w="0" w:type="auto"/>
          </w:tcPr>
          <w:p w14:paraId="658F3B42" w14:textId="37339AF3" w:rsidR="00B40F45" w:rsidRPr="00394D9A" w:rsidRDefault="00291EB6" w:rsidP="00187D17">
            <w:pPr>
              <w:widowControl w:val="0"/>
              <w:jc w:val="center"/>
              <w:rPr>
                <w:noProof/>
                <w:szCs w:val="22"/>
                <w:lang w:val="sr-Latn-RS"/>
              </w:rPr>
            </w:pPr>
            <w:r w:rsidRPr="00394D9A">
              <w:rPr>
                <w:noProof/>
                <w:szCs w:val="22"/>
                <w:lang w:val="sr-Latn-RS"/>
              </w:rPr>
              <w:t>Rijetko</w:t>
            </w:r>
          </w:p>
        </w:tc>
      </w:tr>
      <w:tr w:rsidR="00B40F45" w:rsidRPr="00394D9A" w14:paraId="695D94F3" w14:textId="42E13668" w:rsidTr="00DF17BA">
        <w:tc>
          <w:tcPr>
            <w:tcW w:w="0" w:type="auto"/>
          </w:tcPr>
          <w:p w14:paraId="1D06BC2F" w14:textId="4BCEE55F" w:rsidR="00B40F45" w:rsidRPr="00394D9A" w:rsidRDefault="00B40F45" w:rsidP="00187D17">
            <w:pPr>
              <w:widowControl w:val="0"/>
              <w:jc w:val="left"/>
              <w:rPr>
                <w:noProof/>
                <w:szCs w:val="22"/>
                <w:lang w:val="sr-Latn-RS"/>
              </w:rPr>
            </w:pPr>
            <w:r w:rsidRPr="00394D9A">
              <w:rPr>
                <w:noProof/>
                <w:szCs w:val="22"/>
                <w:lang w:val="sr-Latn-RS"/>
              </w:rPr>
              <w:t xml:space="preserve">Hemoragija na </w:t>
            </w:r>
            <w:r w:rsidR="003E3709" w:rsidRPr="00394D9A">
              <w:rPr>
                <w:noProof/>
                <w:szCs w:val="22"/>
                <w:lang w:val="sr-Latn-RS"/>
              </w:rPr>
              <w:t>mjestu</w:t>
            </w:r>
            <w:r w:rsidRPr="00394D9A">
              <w:rPr>
                <w:noProof/>
                <w:szCs w:val="22"/>
                <w:lang w:val="sr-Latn-RS"/>
              </w:rPr>
              <w:t xml:space="preserve"> katetera</w:t>
            </w:r>
          </w:p>
        </w:tc>
        <w:tc>
          <w:tcPr>
            <w:tcW w:w="0" w:type="auto"/>
          </w:tcPr>
          <w:p w14:paraId="75A52713" w14:textId="2313E543" w:rsidR="00B40F45" w:rsidRPr="00394D9A" w:rsidRDefault="00291EB6" w:rsidP="00187D17">
            <w:pPr>
              <w:widowControl w:val="0"/>
              <w:jc w:val="center"/>
              <w:rPr>
                <w:noProof/>
                <w:szCs w:val="22"/>
                <w:lang w:val="sr-Latn-RS"/>
              </w:rPr>
            </w:pPr>
            <w:r w:rsidRPr="00394D9A">
              <w:rPr>
                <w:noProof/>
                <w:szCs w:val="22"/>
                <w:lang w:val="sr-Latn-RS"/>
              </w:rPr>
              <w:t>Rijetko</w:t>
            </w:r>
          </w:p>
        </w:tc>
        <w:tc>
          <w:tcPr>
            <w:tcW w:w="0" w:type="auto"/>
          </w:tcPr>
          <w:p w14:paraId="54F10F0B" w14:textId="69A248C8" w:rsidR="00B40F45" w:rsidRPr="00394D9A" w:rsidRDefault="00291EB6" w:rsidP="00187D17">
            <w:pPr>
              <w:widowControl w:val="0"/>
              <w:jc w:val="center"/>
              <w:rPr>
                <w:noProof/>
                <w:szCs w:val="22"/>
                <w:lang w:val="sr-Latn-RS"/>
              </w:rPr>
            </w:pPr>
            <w:r w:rsidRPr="00394D9A">
              <w:rPr>
                <w:noProof/>
                <w:szCs w:val="22"/>
                <w:lang w:val="sr-Latn-RS"/>
              </w:rPr>
              <w:t>Rijetko</w:t>
            </w:r>
          </w:p>
        </w:tc>
      </w:tr>
      <w:tr w:rsidR="00B40F45" w:rsidRPr="00394D9A" w14:paraId="4B977FBE" w14:textId="77777777" w:rsidTr="00DF17BA">
        <w:tc>
          <w:tcPr>
            <w:tcW w:w="0" w:type="auto"/>
            <w:gridSpan w:val="3"/>
          </w:tcPr>
          <w:p w14:paraId="2F2F7B3C" w14:textId="29090B70" w:rsidR="00B40F45" w:rsidRPr="00394D9A" w:rsidRDefault="00B40F45" w:rsidP="00187D17">
            <w:pPr>
              <w:widowControl w:val="0"/>
              <w:jc w:val="left"/>
              <w:rPr>
                <w:b/>
                <w:i/>
                <w:iCs/>
                <w:noProof/>
                <w:szCs w:val="22"/>
                <w:lang w:val="sr-Latn-RS"/>
              </w:rPr>
            </w:pPr>
            <w:r w:rsidRPr="00394D9A">
              <w:rPr>
                <w:b/>
                <w:i/>
                <w:iCs/>
                <w:noProof/>
                <w:szCs w:val="22"/>
                <w:lang w:val="sr-Latn-RS"/>
              </w:rPr>
              <w:t>Povrede, trovanja i proceduralne komplikacije</w:t>
            </w:r>
          </w:p>
        </w:tc>
      </w:tr>
      <w:tr w:rsidR="00B40F45" w:rsidRPr="00394D9A" w14:paraId="7BAD2D8D" w14:textId="07322C4D" w:rsidTr="00DF17BA">
        <w:tc>
          <w:tcPr>
            <w:tcW w:w="0" w:type="auto"/>
          </w:tcPr>
          <w:p w14:paraId="2013810F" w14:textId="6EC521D8" w:rsidR="00B40F45" w:rsidRPr="00394D9A" w:rsidRDefault="00B40F45" w:rsidP="00187D17">
            <w:pPr>
              <w:widowControl w:val="0"/>
              <w:jc w:val="left"/>
              <w:rPr>
                <w:noProof/>
                <w:szCs w:val="22"/>
                <w:lang w:val="sr-Latn-RS"/>
              </w:rPr>
            </w:pPr>
            <w:r w:rsidRPr="00394D9A">
              <w:rPr>
                <w:noProof/>
                <w:szCs w:val="22"/>
                <w:lang w:val="sr-Latn-RS"/>
              </w:rPr>
              <w:t>Traumatska hemoragija</w:t>
            </w:r>
          </w:p>
        </w:tc>
        <w:tc>
          <w:tcPr>
            <w:tcW w:w="0" w:type="auto"/>
          </w:tcPr>
          <w:p w14:paraId="69235C6E" w14:textId="524EE80A" w:rsidR="00B40F45" w:rsidRPr="00394D9A" w:rsidRDefault="00291EB6" w:rsidP="00187D17">
            <w:pPr>
              <w:widowControl w:val="0"/>
              <w:jc w:val="center"/>
              <w:rPr>
                <w:noProof/>
                <w:szCs w:val="22"/>
                <w:lang w:val="sr-Latn-RS"/>
              </w:rPr>
            </w:pPr>
            <w:r w:rsidRPr="00394D9A">
              <w:rPr>
                <w:noProof/>
                <w:szCs w:val="22"/>
                <w:lang w:val="sr-Latn-RS"/>
              </w:rPr>
              <w:t>Rijetko</w:t>
            </w:r>
          </w:p>
        </w:tc>
        <w:tc>
          <w:tcPr>
            <w:tcW w:w="0" w:type="auto"/>
          </w:tcPr>
          <w:p w14:paraId="2ADA399A" w14:textId="3D98FD64" w:rsidR="00B40F45" w:rsidRPr="00394D9A" w:rsidRDefault="00B40F45" w:rsidP="00187D17">
            <w:pPr>
              <w:widowControl w:val="0"/>
              <w:jc w:val="center"/>
              <w:rPr>
                <w:noProof/>
                <w:szCs w:val="22"/>
                <w:lang w:val="sr-Latn-RS"/>
              </w:rPr>
            </w:pPr>
            <w:r w:rsidRPr="00394D9A">
              <w:rPr>
                <w:noProof/>
                <w:szCs w:val="22"/>
                <w:lang w:val="sr-Latn-RS"/>
              </w:rPr>
              <w:t>Po</w:t>
            </w:r>
            <w:r w:rsidR="00BD52DD" w:rsidRPr="00394D9A">
              <w:rPr>
                <w:noProof/>
                <w:szCs w:val="22"/>
                <w:lang w:val="sr-Latn-RS"/>
              </w:rPr>
              <w:t>vreme</w:t>
            </w:r>
            <w:r w:rsidRPr="00394D9A">
              <w:rPr>
                <w:noProof/>
                <w:szCs w:val="22"/>
                <w:lang w:val="sr-Latn-RS"/>
              </w:rPr>
              <w:t>no</w:t>
            </w:r>
          </w:p>
        </w:tc>
      </w:tr>
      <w:tr w:rsidR="00B40F45" w:rsidRPr="00394D9A" w14:paraId="3FE73777" w14:textId="77777777" w:rsidTr="00DF17BA">
        <w:tc>
          <w:tcPr>
            <w:tcW w:w="0" w:type="auto"/>
          </w:tcPr>
          <w:p w14:paraId="2988F8A3" w14:textId="1BE874A4" w:rsidR="00B40F45" w:rsidRPr="00394D9A" w:rsidRDefault="00B40F45" w:rsidP="00187D17">
            <w:pPr>
              <w:widowControl w:val="0"/>
              <w:jc w:val="left"/>
              <w:rPr>
                <w:noProof/>
                <w:szCs w:val="22"/>
                <w:lang w:val="sr-Latn-RS"/>
              </w:rPr>
            </w:pPr>
            <w:r w:rsidRPr="00394D9A">
              <w:rPr>
                <w:noProof/>
                <w:szCs w:val="22"/>
                <w:lang w:val="sr-Latn-RS"/>
              </w:rPr>
              <w:t xml:space="preserve">Krvarenje na </w:t>
            </w:r>
            <w:r w:rsidR="003E3709" w:rsidRPr="00394D9A">
              <w:rPr>
                <w:noProof/>
                <w:szCs w:val="22"/>
                <w:lang w:val="sr-Latn-RS"/>
              </w:rPr>
              <w:t>mjestu</w:t>
            </w:r>
            <w:r w:rsidRPr="00394D9A">
              <w:rPr>
                <w:noProof/>
                <w:szCs w:val="22"/>
                <w:lang w:val="sr-Latn-RS"/>
              </w:rPr>
              <w:t xml:space="preserve"> incizije</w:t>
            </w:r>
          </w:p>
        </w:tc>
        <w:tc>
          <w:tcPr>
            <w:tcW w:w="0" w:type="auto"/>
          </w:tcPr>
          <w:p w14:paraId="42EBF796" w14:textId="0DCC8255" w:rsidR="00B40F45" w:rsidRPr="00394D9A" w:rsidRDefault="00291EB6" w:rsidP="00187D17">
            <w:pPr>
              <w:widowControl w:val="0"/>
              <w:jc w:val="center"/>
              <w:rPr>
                <w:noProof/>
                <w:szCs w:val="22"/>
                <w:lang w:val="sr-Latn-RS"/>
              </w:rPr>
            </w:pPr>
            <w:r w:rsidRPr="00394D9A">
              <w:rPr>
                <w:noProof/>
                <w:szCs w:val="22"/>
                <w:lang w:val="sr-Latn-RS"/>
              </w:rPr>
              <w:t>Rijetko</w:t>
            </w:r>
          </w:p>
        </w:tc>
        <w:tc>
          <w:tcPr>
            <w:tcW w:w="0" w:type="auto"/>
          </w:tcPr>
          <w:p w14:paraId="7186152C" w14:textId="0C92138F" w:rsidR="00B40F45" w:rsidRPr="00394D9A" w:rsidRDefault="00291EB6" w:rsidP="00187D17">
            <w:pPr>
              <w:widowControl w:val="0"/>
              <w:jc w:val="center"/>
              <w:rPr>
                <w:noProof/>
                <w:szCs w:val="22"/>
                <w:lang w:val="sr-Latn-RS"/>
              </w:rPr>
            </w:pPr>
            <w:r w:rsidRPr="00394D9A">
              <w:rPr>
                <w:noProof/>
                <w:szCs w:val="22"/>
                <w:lang w:val="sr-Latn-RS"/>
              </w:rPr>
              <w:t>Rijetko</w:t>
            </w:r>
          </w:p>
        </w:tc>
      </w:tr>
    </w:tbl>
    <w:p w14:paraId="2AD29FAC" w14:textId="77777777" w:rsidR="00F10472" w:rsidRPr="00394D9A" w:rsidRDefault="00F10472" w:rsidP="00187D17">
      <w:pPr>
        <w:widowControl w:val="0"/>
        <w:rPr>
          <w:noProof/>
          <w:szCs w:val="22"/>
          <w:lang w:val="sr-Latn-RS"/>
        </w:rPr>
      </w:pPr>
    </w:p>
    <w:p w14:paraId="69A06906" w14:textId="2488AFF2" w:rsidR="009878AE" w:rsidRPr="00394D9A" w:rsidRDefault="009878AE" w:rsidP="00187D17">
      <w:pPr>
        <w:widowControl w:val="0"/>
        <w:rPr>
          <w:noProof/>
          <w:szCs w:val="22"/>
          <w:u w:val="single"/>
          <w:lang w:val="sr-Latn-RS"/>
        </w:rPr>
      </w:pPr>
      <w:r w:rsidRPr="00394D9A">
        <w:rPr>
          <w:noProof/>
          <w:szCs w:val="22"/>
          <w:u w:val="single"/>
          <w:lang w:val="sr-Latn-RS"/>
        </w:rPr>
        <w:t>Opis odabranih neželjenih reakcija</w:t>
      </w:r>
    </w:p>
    <w:p w14:paraId="70088256" w14:textId="77777777" w:rsidR="00F10472" w:rsidRPr="00394D9A" w:rsidRDefault="00F10472" w:rsidP="00187D17">
      <w:pPr>
        <w:widowControl w:val="0"/>
        <w:rPr>
          <w:noProof/>
          <w:szCs w:val="22"/>
          <w:u w:val="single"/>
          <w:lang w:val="sr-Latn-RS"/>
        </w:rPr>
      </w:pPr>
    </w:p>
    <w:p w14:paraId="49E9FBA6" w14:textId="6D444B45" w:rsidR="009878AE" w:rsidRPr="00394D9A" w:rsidRDefault="009878AE" w:rsidP="00187D17">
      <w:pPr>
        <w:widowControl w:val="0"/>
        <w:rPr>
          <w:i/>
          <w:iCs/>
          <w:noProof/>
          <w:szCs w:val="22"/>
          <w:u w:val="single"/>
          <w:lang w:val="sr-Latn-RS"/>
        </w:rPr>
      </w:pPr>
      <w:r w:rsidRPr="00394D9A">
        <w:rPr>
          <w:i/>
          <w:iCs/>
          <w:noProof/>
          <w:szCs w:val="22"/>
          <w:u w:val="single"/>
          <w:lang w:val="sr-Latn-RS"/>
        </w:rPr>
        <w:t>Reakcije krvarenja</w:t>
      </w:r>
    </w:p>
    <w:p w14:paraId="04D75315" w14:textId="77777777" w:rsidR="00F10472" w:rsidRPr="00394D9A" w:rsidRDefault="00F10472" w:rsidP="00187D17">
      <w:pPr>
        <w:widowControl w:val="0"/>
        <w:rPr>
          <w:noProof/>
          <w:szCs w:val="22"/>
          <w:lang w:val="sr-Latn-RS"/>
        </w:rPr>
      </w:pPr>
    </w:p>
    <w:p w14:paraId="7D9091F3" w14:textId="21AB0D02" w:rsidR="009878AE" w:rsidRPr="00394D9A" w:rsidRDefault="009878AE" w:rsidP="00187D17">
      <w:pPr>
        <w:widowControl w:val="0"/>
        <w:rPr>
          <w:noProof/>
          <w:szCs w:val="22"/>
          <w:lang w:val="sr-Latn-RS"/>
        </w:rPr>
      </w:pPr>
      <w:r w:rsidRPr="00394D9A">
        <w:rPr>
          <w:noProof/>
          <w:szCs w:val="22"/>
          <w:lang w:val="sr-Latn-RS"/>
        </w:rPr>
        <w:t xml:space="preserve">Zbog farmakološkog načina dejstva, </w:t>
      </w:r>
      <w:r w:rsidR="00A639DA" w:rsidRPr="00394D9A">
        <w:rPr>
          <w:noProof/>
          <w:szCs w:val="22"/>
          <w:lang w:val="sr-Latn-RS"/>
        </w:rPr>
        <w:t>primjena</w:t>
      </w:r>
      <w:r w:rsidRPr="00394D9A">
        <w:rPr>
          <w:noProof/>
          <w:szCs w:val="22"/>
          <w:lang w:val="sr-Latn-RS"/>
        </w:rPr>
        <w:t xml:space="preserve"> </w:t>
      </w:r>
      <w:r w:rsidR="00A639DA" w:rsidRPr="00394D9A">
        <w:rPr>
          <w:noProof/>
          <w:szCs w:val="22"/>
          <w:lang w:val="sr-Latn-RS"/>
        </w:rPr>
        <w:t>lijeka</w:t>
      </w:r>
      <w:r w:rsidRPr="00394D9A">
        <w:rPr>
          <w:noProof/>
          <w:szCs w:val="22"/>
          <w:lang w:val="sr-Latn-RS"/>
        </w:rPr>
        <w:t xml:space="preserve"> </w:t>
      </w:r>
      <w:r w:rsidR="00F10472" w:rsidRPr="00394D9A">
        <w:rPr>
          <w:noProof/>
          <w:szCs w:val="22"/>
          <w:lang w:val="sr-Latn-RS"/>
        </w:rPr>
        <w:t>Dabigatran SK</w:t>
      </w:r>
      <w:r w:rsidRPr="00394D9A">
        <w:rPr>
          <w:noProof/>
          <w:szCs w:val="22"/>
          <w:lang w:val="sr-Latn-RS"/>
        </w:rPr>
        <w:t xml:space="preserve"> može biti povezana s</w:t>
      </w:r>
      <w:r w:rsidR="00826E8C" w:rsidRPr="00394D9A">
        <w:rPr>
          <w:noProof/>
          <w:szCs w:val="22"/>
          <w:lang w:val="sr-Latn-RS"/>
        </w:rPr>
        <w:t>a</w:t>
      </w:r>
      <w:r w:rsidRPr="00394D9A">
        <w:rPr>
          <w:noProof/>
          <w:szCs w:val="22"/>
          <w:lang w:val="sr-Latn-RS"/>
        </w:rPr>
        <w:t xml:space="preserve"> povećanim rizikom od</w:t>
      </w:r>
      <w:r w:rsidR="00F10472" w:rsidRPr="00394D9A">
        <w:rPr>
          <w:noProof/>
          <w:szCs w:val="22"/>
          <w:lang w:val="sr-Latn-RS"/>
        </w:rPr>
        <w:t xml:space="preserve"> </w:t>
      </w:r>
      <w:r w:rsidRPr="00394D9A">
        <w:rPr>
          <w:noProof/>
          <w:szCs w:val="22"/>
          <w:lang w:val="sr-Latn-RS"/>
        </w:rPr>
        <w:t>okultnog ili vidljivog krvarenja iz bilo kog tkiva ili organa. Znaci, simptomi i težina (uključujući smrtni</w:t>
      </w:r>
      <w:r w:rsidR="00F10472" w:rsidRPr="00394D9A">
        <w:rPr>
          <w:noProof/>
          <w:szCs w:val="22"/>
          <w:lang w:val="sr-Latn-RS"/>
        </w:rPr>
        <w:t xml:space="preserve"> </w:t>
      </w:r>
      <w:r w:rsidRPr="00394D9A">
        <w:rPr>
          <w:noProof/>
          <w:szCs w:val="22"/>
          <w:lang w:val="sr-Latn-RS"/>
        </w:rPr>
        <w:t xml:space="preserve">ishod) razlikovaće se zavisno od </w:t>
      </w:r>
      <w:r w:rsidR="003E3709" w:rsidRPr="00394D9A">
        <w:rPr>
          <w:noProof/>
          <w:szCs w:val="22"/>
          <w:lang w:val="sr-Latn-RS"/>
        </w:rPr>
        <w:t>mjesta</w:t>
      </w:r>
      <w:r w:rsidRPr="00394D9A">
        <w:rPr>
          <w:noProof/>
          <w:szCs w:val="22"/>
          <w:lang w:val="sr-Latn-RS"/>
        </w:rPr>
        <w:t xml:space="preserve"> i stepena ili opsežnosti krvarenja i/ili anemije. U kliničkim</w:t>
      </w:r>
      <w:r w:rsidR="00F10472" w:rsidRPr="00394D9A">
        <w:rPr>
          <w:noProof/>
          <w:szCs w:val="22"/>
          <w:lang w:val="sr-Latn-RS"/>
        </w:rPr>
        <w:t xml:space="preserve"> </w:t>
      </w:r>
      <w:r w:rsidRPr="00394D9A">
        <w:rPr>
          <w:noProof/>
          <w:szCs w:val="22"/>
          <w:lang w:val="sr-Latn-RS"/>
        </w:rPr>
        <w:t>ispitivanjima češća su bila krvarenja iz sluznica (npr</w:t>
      </w:r>
      <w:r w:rsidR="00DF101F" w:rsidRPr="00394D9A">
        <w:rPr>
          <w:noProof/>
          <w:szCs w:val="22"/>
          <w:lang w:val="sr-Latn-RS"/>
        </w:rPr>
        <w:t>.</w:t>
      </w:r>
      <w:r w:rsidRPr="00394D9A">
        <w:rPr>
          <w:noProof/>
          <w:szCs w:val="22"/>
          <w:lang w:val="sr-Latn-RS"/>
        </w:rPr>
        <w:t xml:space="preserve"> gastrointestinalno, urogenitalno) tokom dugotrajne</w:t>
      </w:r>
      <w:r w:rsidR="00F10472" w:rsidRPr="00394D9A">
        <w:rPr>
          <w:noProof/>
          <w:szCs w:val="22"/>
          <w:lang w:val="sr-Latn-RS"/>
        </w:rPr>
        <w:t xml:space="preserve"> </w:t>
      </w:r>
      <w:r w:rsidRPr="00394D9A">
        <w:rPr>
          <w:noProof/>
          <w:szCs w:val="22"/>
          <w:lang w:val="sr-Latn-RS"/>
        </w:rPr>
        <w:t xml:space="preserve">terapije </w:t>
      </w:r>
      <w:r w:rsidR="0049474B" w:rsidRPr="00394D9A">
        <w:rPr>
          <w:noProof/>
          <w:szCs w:val="22"/>
          <w:lang w:val="sr-Latn-RS"/>
        </w:rPr>
        <w:t>dabigatraneteksilat</w:t>
      </w:r>
      <w:r w:rsidR="00DF101F" w:rsidRPr="00394D9A">
        <w:rPr>
          <w:noProof/>
          <w:szCs w:val="22"/>
          <w:lang w:val="sr-Latn-RS"/>
        </w:rPr>
        <w:t>om</w:t>
      </w:r>
      <w:r w:rsidRPr="00394D9A">
        <w:rPr>
          <w:noProof/>
          <w:szCs w:val="22"/>
          <w:lang w:val="sr-Latn-RS"/>
        </w:rPr>
        <w:t xml:space="preserve"> u poređenju s</w:t>
      </w:r>
      <w:r w:rsidR="00826E8C" w:rsidRPr="00394D9A">
        <w:rPr>
          <w:noProof/>
          <w:szCs w:val="22"/>
          <w:lang w:val="sr-Latn-RS"/>
        </w:rPr>
        <w:t>a</w:t>
      </w:r>
      <w:r w:rsidRPr="00394D9A">
        <w:rPr>
          <w:noProof/>
          <w:szCs w:val="22"/>
          <w:lang w:val="sr-Latn-RS"/>
        </w:rPr>
        <w:t xml:space="preserve"> terapijom antagonistima vitamina K (VKA). Stoga, uz odgovarajuće</w:t>
      </w:r>
      <w:r w:rsidR="0049474B" w:rsidRPr="00394D9A">
        <w:rPr>
          <w:noProof/>
          <w:szCs w:val="22"/>
          <w:lang w:val="sr-Latn-RS"/>
        </w:rPr>
        <w:t xml:space="preserve"> </w:t>
      </w:r>
      <w:r w:rsidRPr="00394D9A">
        <w:rPr>
          <w:noProof/>
          <w:szCs w:val="22"/>
          <w:lang w:val="sr-Latn-RS"/>
        </w:rPr>
        <w:t>kliničko praćenje, korisno je i laboratorijsko određivanje hemoglobina/hematokrita za otkrivanje okultnog</w:t>
      </w:r>
      <w:r w:rsidR="0049474B" w:rsidRPr="00394D9A">
        <w:rPr>
          <w:noProof/>
          <w:szCs w:val="22"/>
          <w:lang w:val="sr-Latn-RS"/>
        </w:rPr>
        <w:t xml:space="preserve"> </w:t>
      </w:r>
      <w:r w:rsidRPr="00394D9A">
        <w:rPr>
          <w:noProof/>
          <w:szCs w:val="22"/>
          <w:lang w:val="sr-Latn-RS"/>
        </w:rPr>
        <w:t>krvarenja. Rizik od krvarenja može biti povećan u određenim grupama pacijenata, npr. pacijenata s</w:t>
      </w:r>
      <w:r w:rsidR="00826E8C" w:rsidRPr="00394D9A">
        <w:rPr>
          <w:noProof/>
          <w:szCs w:val="22"/>
          <w:lang w:val="sr-Latn-RS"/>
        </w:rPr>
        <w:t>a</w:t>
      </w:r>
      <w:r w:rsidR="0049474B" w:rsidRPr="00394D9A">
        <w:rPr>
          <w:noProof/>
          <w:szCs w:val="22"/>
          <w:lang w:val="sr-Latn-RS"/>
        </w:rPr>
        <w:t xml:space="preserve"> </w:t>
      </w:r>
      <w:r w:rsidRPr="00394D9A">
        <w:rPr>
          <w:noProof/>
          <w:szCs w:val="22"/>
          <w:lang w:val="sr-Latn-RS"/>
        </w:rPr>
        <w:t>um</w:t>
      </w:r>
      <w:r w:rsidR="00291EB6" w:rsidRPr="00394D9A">
        <w:rPr>
          <w:noProof/>
          <w:szCs w:val="22"/>
          <w:lang w:val="sr-Latn-RS"/>
        </w:rPr>
        <w:t>j</w:t>
      </w:r>
      <w:r w:rsidRPr="00394D9A">
        <w:rPr>
          <w:noProof/>
          <w:szCs w:val="22"/>
          <w:lang w:val="sr-Latn-RS"/>
        </w:rPr>
        <w:t>erenim oštećenjem funkcije bubrega i/ili na isto</w:t>
      </w:r>
      <w:r w:rsidR="00BD52DD" w:rsidRPr="00394D9A">
        <w:rPr>
          <w:noProof/>
          <w:szCs w:val="22"/>
          <w:lang w:val="sr-Latn-RS"/>
        </w:rPr>
        <w:t>vreme</w:t>
      </w:r>
      <w:r w:rsidRPr="00394D9A">
        <w:rPr>
          <w:noProof/>
          <w:szCs w:val="22"/>
          <w:lang w:val="sr-Latn-RS"/>
        </w:rPr>
        <w:t>noj terapiji koja utiče na hemostazu ili na terapiji</w:t>
      </w:r>
      <w:r w:rsidR="0049474B" w:rsidRPr="00394D9A">
        <w:rPr>
          <w:noProof/>
          <w:szCs w:val="22"/>
          <w:lang w:val="sr-Latn-RS"/>
        </w:rPr>
        <w:t xml:space="preserve"> </w:t>
      </w:r>
      <w:r w:rsidRPr="00394D9A">
        <w:rPr>
          <w:noProof/>
          <w:szCs w:val="22"/>
          <w:lang w:val="sr-Latn-RS"/>
        </w:rPr>
        <w:t>snažnim P-gp inhibitorima (</w:t>
      </w:r>
      <w:r w:rsidR="00670AEA" w:rsidRPr="00394D9A">
        <w:rPr>
          <w:noProof/>
          <w:szCs w:val="22"/>
          <w:lang w:val="sr-Latn-RS"/>
        </w:rPr>
        <w:t xml:space="preserve">vidjeti </w:t>
      </w:r>
      <w:r w:rsidR="00D7145C" w:rsidRPr="00394D9A">
        <w:rPr>
          <w:noProof/>
          <w:szCs w:val="22"/>
          <w:lang w:val="sr-Latn-RS"/>
        </w:rPr>
        <w:t>dio</w:t>
      </w:r>
      <w:r w:rsidRPr="00394D9A">
        <w:rPr>
          <w:noProof/>
          <w:szCs w:val="22"/>
          <w:lang w:val="sr-Latn-RS"/>
        </w:rPr>
        <w:t xml:space="preserve"> 4.4 Rizik od krvarenja). Hemoragijske komplikacije mogu se manifestovati kao slabost, bl</w:t>
      </w:r>
      <w:r w:rsidR="00291EB6" w:rsidRPr="00394D9A">
        <w:rPr>
          <w:noProof/>
          <w:szCs w:val="22"/>
          <w:lang w:val="sr-Latn-RS"/>
        </w:rPr>
        <w:t>j</w:t>
      </w:r>
      <w:r w:rsidRPr="00394D9A">
        <w:rPr>
          <w:noProof/>
          <w:szCs w:val="22"/>
          <w:lang w:val="sr-Latn-RS"/>
        </w:rPr>
        <w:t xml:space="preserve">edilo, </w:t>
      </w:r>
      <w:r w:rsidR="00813D6A" w:rsidRPr="00394D9A">
        <w:rPr>
          <w:noProof/>
          <w:szCs w:val="22"/>
          <w:lang w:val="sr-Latn-RS"/>
        </w:rPr>
        <w:t>vrtoglavica</w:t>
      </w:r>
      <w:r w:rsidRPr="00394D9A">
        <w:rPr>
          <w:noProof/>
          <w:szCs w:val="22"/>
          <w:lang w:val="sr-Latn-RS"/>
        </w:rPr>
        <w:t>, glavobolja ili neobjašnjeno oticanje, dispneja i neobjašnjeni šok.</w:t>
      </w:r>
    </w:p>
    <w:p w14:paraId="4C0E22BA" w14:textId="77777777" w:rsidR="0049474B" w:rsidRPr="00394D9A" w:rsidRDefault="0049474B" w:rsidP="00187D17">
      <w:pPr>
        <w:widowControl w:val="0"/>
        <w:rPr>
          <w:noProof/>
          <w:szCs w:val="22"/>
          <w:lang w:val="sr-Latn-RS"/>
        </w:rPr>
      </w:pPr>
    </w:p>
    <w:p w14:paraId="49EDD01C" w14:textId="3A101613" w:rsidR="009878AE" w:rsidRPr="00394D9A" w:rsidRDefault="00DF101F" w:rsidP="00187D17">
      <w:pPr>
        <w:widowControl w:val="0"/>
        <w:rPr>
          <w:noProof/>
          <w:szCs w:val="22"/>
          <w:lang w:val="sr-Latn-RS"/>
        </w:rPr>
      </w:pPr>
      <w:r w:rsidRPr="00394D9A">
        <w:rPr>
          <w:noProof/>
          <w:szCs w:val="22"/>
          <w:lang w:val="sr-Latn-RS"/>
        </w:rPr>
        <w:t xml:space="preserve">Tokom terapije </w:t>
      </w:r>
      <w:r w:rsidR="0049474B" w:rsidRPr="00394D9A">
        <w:rPr>
          <w:noProof/>
          <w:szCs w:val="22"/>
          <w:lang w:val="sr-Latn-RS"/>
        </w:rPr>
        <w:t>dabigatraneteksilat</w:t>
      </w:r>
      <w:r w:rsidRPr="00394D9A">
        <w:rPr>
          <w:noProof/>
          <w:szCs w:val="22"/>
          <w:lang w:val="sr-Latn-RS"/>
        </w:rPr>
        <w:t>om</w:t>
      </w:r>
      <w:r w:rsidR="009878AE" w:rsidRPr="00394D9A">
        <w:rPr>
          <w:noProof/>
          <w:szCs w:val="22"/>
          <w:lang w:val="sr-Latn-RS"/>
        </w:rPr>
        <w:t xml:space="preserve"> zab</w:t>
      </w:r>
      <w:r w:rsidR="00291EB6" w:rsidRPr="00394D9A">
        <w:rPr>
          <w:noProof/>
          <w:szCs w:val="22"/>
          <w:lang w:val="sr-Latn-RS"/>
        </w:rPr>
        <w:t>ilj</w:t>
      </w:r>
      <w:r w:rsidR="009878AE" w:rsidRPr="00394D9A">
        <w:rPr>
          <w:noProof/>
          <w:szCs w:val="22"/>
          <w:lang w:val="sr-Latn-RS"/>
        </w:rPr>
        <w:t>ežene su poznate komplikacije krvarenja poput kompartment sindroma i</w:t>
      </w:r>
      <w:r w:rsidR="0049474B" w:rsidRPr="00394D9A">
        <w:rPr>
          <w:noProof/>
          <w:szCs w:val="22"/>
          <w:lang w:val="sr-Latn-RS"/>
        </w:rPr>
        <w:t xml:space="preserve"> </w:t>
      </w:r>
      <w:r w:rsidR="009878AE" w:rsidRPr="00394D9A">
        <w:rPr>
          <w:noProof/>
          <w:szCs w:val="22"/>
          <w:lang w:val="sr-Latn-RS"/>
        </w:rPr>
        <w:t>akutne bubrežne insuficijencije zbog hipoperfuzije</w:t>
      </w:r>
      <w:r w:rsidR="00265397">
        <w:rPr>
          <w:noProof/>
          <w:szCs w:val="22"/>
          <w:lang w:val="sr-Latn-RS"/>
        </w:rPr>
        <w:t xml:space="preserve"> </w:t>
      </w:r>
      <w:r w:rsidR="00265397" w:rsidRPr="00265397">
        <w:rPr>
          <w:noProof/>
          <w:szCs w:val="22"/>
          <w:lang w:val="sr-Latn-RS"/>
        </w:rPr>
        <w:t>i nefropatija povezana sa antikoaguansima kod pacijenata sa predisponirajućim faktorima rizika</w:t>
      </w:r>
      <w:r w:rsidR="009878AE" w:rsidRPr="00394D9A">
        <w:rPr>
          <w:noProof/>
          <w:szCs w:val="22"/>
          <w:lang w:val="sr-Latn-RS"/>
        </w:rPr>
        <w:t xml:space="preserve">. Stoga je prilikom </w:t>
      </w:r>
      <w:r w:rsidR="00A639DA" w:rsidRPr="00394D9A">
        <w:rPr>
          <w:noProof/>
          <w:szCs w:val="22"/>
          <w:lang w:val="sr-Latn-RS"/>
        </w:rPr>
        <w:t>procjene</w:t>
      </w:r>
      <w:r w:rsidR="009878AE" w:rsidRPr="00394D9A">
        <w:rPr>
          <w:noProof/>
          <w:szCs w:val="22"/>
          <w:lang w:val="sr-Latn-RS"/>
        </w:rPr>
        <w:t xml:space="preserve"> stanja svakog pacijenta koji</w:t>
      </w:r>
      <w:r w:rsidR="0049474B" w:rsidRPr="00394D9A">
        <w:rPr>
          <w:noProof/>
          <w:szCs w:val="22"/>
          <w:lang w:val="sr-Latn-RS"/>
        </w:rPr>
        <w:t xml:space="preserve"> </w:t>
      </w:r>
      <w:r w:rsidR="009878AE" w:rsidRPr="00394D9A">
        <w:rPr>
          <w:noProof/>
          <w:szCs w:val="22"/>
          <w:lang w:val="sr-Latn-RS"/>
        </w:rPr>
        <w:t>prima antikoagulantnu terapiju potrebno uzeti u obzir mogućnost krvarenja. U slučaju krvarenja koje se ne</w:t>
      </w:r>
      <w:r w:rsidR="0049474B" w:rsidRPr="00394D9A">
        <w:rPr>
          <w:noProof/>
          <w:szCs w:val="22"/>
          <w:lang w:val="sr-Latn-RS"/>
        </w:rPr>
        <w:t xml:space="preserve"> </w:t>
      </w:r>
      <w:r w:rsidR="009878AE" w:rsidRPr="00394D9A">
        <w:rPr>
          <w:noProof/>
          <w:szCs w:val="22"/>
          <w:lang w:val="sr-Latn-RS"/>
        </w:rPr>
        <w:t xml:space="preserve">može kontrolisati, </w:t>
      </w:r>
      <w:r w:rsidR="006413B0">
        <w:rPr>
          <w:noProof/>
          <w:szCs w:val="22"/>
          <w:lang w:val="sr-Latn-RS"/>
        </w:rPr>
        <w:t xml:space="preserve">kod odraslih pacijenata </w:t>
      </w:r>
      <w:r w:rsidR="009878AE" w:rsidRPr="00394D9A">
        <w:rPr>
          <w:noProof/>
          <w:szCs w:val="22"/>
          <w:lang w:val="sr-Latn-RS"/>
        </w:rPr>
        <w:t>dostupan je poseban antagonist koji poništava dejstvo, idarucizumab (</w:t>
      </w:r>
      <w:r w:rsidR="00670AEA" w:rsidRPr="00394D9A">
        <w:rPr>
          <w:noProof/>
          <w:szCs w:val="22"/>
          <w:lang w:val="sr-Latn-RS"/>
        </w:rPr>
        <w:t xml:space="preserve">vidjeti </w:t>
      </w:r>
      <w:r w:rsidR="00D7145C" w:rsidRPr="00394D9A">
        <w:rPr>
          <w:noProof/>
          <w:szCs w:val="22"/>
          <w:lang w:val="sr-Latn-RS"/>
        </w:rPr>
        <w:t>dio</w:t>
      </w:r>
      <w:r w:rsidR="009878AE" w:rsidRPr="00394D9A">
        <w:rPr>
          <w:noProof/>
          <w:szCs w:val="22"/>
          <w:lang w:val="sr-Latn-RS"/>
        </w:rPr>
        <w:t xml:space="preserve"> 4.9).</w:t>
      </w:r>
    </w:p>
    <w:p w14:paraId="28EC73B1" w14:textId="49C85088" w:rsidR="009535C3" w:rsidRPr="00394D9A" w:rsidRDefault="009535C3" w:rsidP="00187D17">
      <w:pPr>
        <w:widowControl w:val="0"/>
        <w:rPr>
          <w:noProof/>
          <w:szCs w:val="22"/>
          <w:u w:val="single"/>
          <w:lang w:val="sr-Latn-RS"/>
        </w:rPr>
      </w:pPr>
    </w:p>
    <w:p w14:paraId="5C893786" w14:textId="626C4550" w:rsidR="00A555B2" w:rsidRPr="00394D9A" w:rsidRDefault="00A555B2" w:rsidP="00187D17">
      <w:pPr>
        <w:widowControl w:val="0"/>
        <w:rPr>
          <w:i/>
          <w:iCs/>
          <w:noProof/>
          <w:szCs w:val="22"/>
          <w:lang w:val="sr-Latn-RS"/>
        </w:rPr>
      </w:pPr>
      <w:r w:rsidRPr="00394D9A">
        <w:rPr>
          <w:i/>
          <w:iCs/>
          <w:noProof/>
          <w:szCs w:val="22"/>
          <w:lang w:val="sr-Latn-RS"/>
        </w:rPr>
        <w:t>Prevencija moždanog udara i sistemske embolije kod odraslih pacijenata sa nevalvularnom atrijalnom fibrilacijom sa jednim ili više faktora rizika</w:t>
      </w:r>
    </w:p>
    <w:p w14:paraId="6EABFDEE" w14:textId="77777777" w:rsidR="00C51C3F" w:rsidRPr="00394D9A" w:rsidRDefault="00C51C3F" w:rsidP="00187D17">
      <w:pPr>
        <w:widowControl w:val="0"/>
        <w:rPr>
          <w:i/>
          <w:iCs/>
          <w:noProof/>
          <w:szCs w:val="22"/>
          <w:lang w:val="sr-Latn-RS"/>
        </w:rPr>
      </w:pPr>
    </w:p>
    <w:p w14:paraId="72C6049E" w14:textId="1A91820A" w:rsidR="00A555B2" w:rsidRPr="00394D9A" w:rsidRDefault="00A555B2" w:rsidP="00187D17">
      <w:pPr>
        <w:widowControl w:val="0"/>
        <w:rPr>
          <w:noProof/>
          <w:szCs w:val="22"/>
          <w:lang w:val="sr-Latn-RS"/>
        </w:rPr>
      </w:pPr>
      <w:r w:rsidRPr="00394D9A">
        <w:rPr>
          <w:noProof/>
          <w:szCs w:val="22"/>
          <w:lang w:val="sr-Latn-RS"/>
        </w:rPr>
        <w:t>Tabela 1</w:t>
      </w:r>
      <w:r w:rsidR="00442BCA" w:rsidRPr="00394D9A">
        <w:rPr>
          <w:noProof/>
          <w:szCs w:val="22"/>
          <w:lang w:val="sr-Latn-RS"/>
        </w:rPr>
        <w:t>2</w:t>
      </w:r>
      <w:r w:rsidRPr="00394D9A">
        <w:rPr>
          <w:noProof/>
          <w:szCs w:val="22"/>
          <w:lang w:val="sr-Latn-RS"/>
        </w:rPr>
        <w:t xml:space="preserve"> pokazuje </w:t>
      </w:r>
      <w:r w:rsidR="00670AEA" w:rsidRPr="00394D9A">
        <w:rPr>
          <w:noProof/>
          <w:szCs w:val="22"/>
          <w:lang w:val="sr-Latn-RS"/>
        </w:rPr>
        <w:t xml:space="preserve">događaje </w:t>
      </w:r>
      <w:r w:rsidRPr="00394D9A">
        <w:rPr>
          <w:noProof/>
          <w:szCs w:val="22"/>
          <w:lang w:val="sr-Latn-RS"/>
        </w:rPr>
        <w:t xml:space="preserve">krvarenja </w:t>
      </w:r>
      <w:r w:rsidR="00670AEA" w:rsidRPr="00394D9A">
        <w:rPr>
          <w:noProof/>
          <w:szCs w:val="22"/>
          <w:lang w:val="sr-Latn-RS"/>
        </w:rPr>
        <w:t xml:space="preserve">kategorizovane </w:t>
      </w:r>
      <w:r w:rsidRPr="00394D9A">
        <w:rPr>
          <w:noProof/>
          <w:szCs w:val="22"/>
          <w:lang w:val="sr-Latn-RS"/>
        </w:rPr>
        <w:t xml:space="preserve">na </w:t>
      </w:r>
      <w:r w:rsidR="00670AEA" w:rsidRPr="00394D9A">
        <w:rPr>
          <w:noProof/>
          <w:szCs w:val="22"/>
          <w:lang w:val="sr-Latn-RS"/>
        </w:rPr>
        <w:t>velika ili</w:t>
      </w:r>
      <w:r w:rsidRPr="00394D9A">
        <w:rPr>
          <w:noProof/>
          <w:szCs w:val="22"/>
          <w:lang w:val="sr-Latn-RS"/>
        </w:rPr>
        <w:t xml:space="preserve"> </w:t>
      </w:r>
      <w:r w:rsidR="00670AEA" w:rsidRPr="00394D9A">
        <w:rPr>
          <w:noProof/>
          <w:szCs w:val="22"/>
          <w:lang w:val="sr-Latn-RS"/>
        </w:rPr>
        <w:t>sva</w:t>
      </w:r>
      <w:r w:rsidRPr="00394D9A">
        <w:rPr>
          <w:noProof/>
          <w:szCs w:val="22"/>
          <w:lang w:val="sr-Latn-RS"/>
        </w:rPr>
        <w:t xml:space="preserve"> krvarenje u pivotalnom</w:t>
      </w:r>
      <w:r w:rsidR="00C7394D" w:rsidRPr="00394D9A">
        <w:rPr>
          <w:noProof/>
          <w:szCs w:val="22"/>
          <w:lang w:val="sr-Latn-RS"/>
        </w:rPr>
        <w:t xml:space="preserve"> </w:t>
      </w:r>
      <w:r w:rsidRPr="00394D9A">
        <w:rPr>
          <w:noProof/>
          <w:szCs w:val="22"/>
          <w:lang w:val="sr-Latn-RS"/>
        </w:rPr>
        <w:lastRenderedPageBreak/>
        <w:t>kliničkom ispitivanju u kome je ispitivana prevencija tromboembolijskog moždanog udara i sistemske</w:t>
      </w:r>
      <w:r w:rsidR="00C7394D" w:rsidRPr="00394D9A">
        <w:rPr>
          <w:noProof/>
          <w:szCs w:val="22"/>
          <w:lang w:val="sr-Latn-RS"/>
        </w:rPr>
        <w:t xml:space="preserve"> </w:t>
      </w:r>
      <w:r w:rsidRPr="00394D9A">
        <w:rPr>
          <w:noProof/>
          <w:szCs w:val="22"/>
          <w:lang w:val="sr-Latn-RS"/>
        </w:rPr>
        <w:t>embolije kod pacijenata sa atrijalnom fibrilacijom.</w:t>
      </w:r>
    </w:p>
    <w:p w14:paraId="7C59FC01" w14:textId="77777777" w:rsidR="00C7394D" w:rsidRPr="00394D9A" w:rsidRDefault="00C7394D" w:rsidP="00187D17">
      <w:pPr>
        <w:widowControl w:val="0"/>
        <w:rPr>
          <w:noProof/>
          <w:szCs w:val="22"/>
          <w:u w:val="single"/>
          <w:lang w:val="sr-Latn-RS"/>
        </w:rPr>
      </w:pPr>
    </w:p>
    <w:p w14:paraId="24C64507" w14:textId="05717E63" w:rsidR="00A555B2" w:rsidRPr="00394D9A" w:rsidRDefault="00A555B2" w:rsidP="00187D17">
      <w:pPr>
        <w:widowControl w:val="0"/>
        <w:rPr>
          <w:b/>
          <w:bCs/>
          <w:noProof/>
          <w:szCs w:val="22"/>
          <w:lang w:val="sr-Latn-RS"/>
        </w:rPr>
      </w:pPr>
      <w:r w:rsidRPr="00394D9A">
        <w:rPr>
          <w:b/>
          <w:bCs/>
          <w:noProof/>
          <w:szCs w:val="22"/>
          <w:lang w:val="sr-Latn-RS"/>
        </w:rPr>
        <w:t>Tabela 1</w:t>
      </w:r>
      <w:r w:rsidR="00442BCA" w:rsidRPr="00394D9A">
        <w:rPr>
          <w:b/>
          <w:bCs/>
          <w:noProof/>
          <w:szCs w:val="22"/>
          <w:lang w:val="sr-Latn-RS"/>
        </w:rPr>
        <w:t>2</w:t>
      </w:r>
      <w:r w:rsidRPr="00394D9A">
        <w:rPr>
          <w:b/>
          <w:bCs/>
          <w:noProof/>
          <w:szCs w:val="22"/>
          <w:lang w:val="sr-Latn-RS"/>
        </w:rPr>
        <w:t>: Epizode krvarenja u pivotalnoj studiji u kojoj je ispitivana prevencija tromboembolijskog</w:t>
      </w:r>
      <w:r w:rsidR="00C7394D" w:rsidRPr="00394D9A">
        <w:rPr>
          <w:b/>
          <w:bCs/>
          <w:noProof/>
          <w:szCs w:val="22"/>
          <w:lang w:val="sr-Latn-RS"/>
        </w:rPr>
        <w:t xml:space="preserve"> </w:t>
      </w:r>
      <w:r w:rsidRPr="00394D9A">
        <w:rPr>
          <w:b/>
          <w:bCs/>
          <w:noProof/>
          <w:szCs w:val="22"/>
          <w:lang w:val="sr-Latn-RS"/>
        </w:rPr>
        <w:t>moždanog udara i SE kod pacijenata sa atrijalnom fibrilacijom</w:t>
      </w:r>
    </w:p>
    <w:p w14:paraId="3BBA4D80" w14:textId="753C053B" w:rsidR="00C7394D" w:rsidRPr="00394D9A" w:rsidRDefault="00C7394D" w:rsidP="00187D17">
      <w:pPr>
        <w:widowControl w:val="0"/>
        <w:rPr>
          <w:b/>
          <w:bCs/>
          <w:noProof/>
          <w:szCs w:val="22"/>
          <w:lang w:val="sr-Latn-RS"/>
        </w:rPr>
      </w:pPr>
    </w:p>
    <w:tbl>
      <w:tblPr>
        <w:tblStyle w:val="TableGrid"/>
        <w:tblW w:w="0" w:type="auto"/>
        <w:tblLook w:val="04A0" w:firstRow="1" w:lastRow="0" w:firstColumn="1" w:lastColumn="0" w:noHBand="0" w:noVBand="1"/>
      </w:tblPr>
      <w:tblGrid>
        <w:gridCol w:w="2260"/>
        <w:gridCol w:w="2337"/>
        <w:gridCol w:w="2337"/>
        <w:gridCol w:w="2127"/>
      </w:tblGrid>
      <w:tr w:rsidR="001208D4" w:rsidRPr="00394D9A" w14:paraId="2F0096EF" w14:textId="77777777" w:rsidTr="001208D4">
        <w:tc>
          <w:tcPr>
            <w:tcW w:w="2463" w:type="dxa"/>
          </w:tcPr>
          <w:p w14:paraId="7BD86C9B" w14:textId="77777777" w:rsidR="001208D4" w:rsidRPr="00394D9A" w:rsidRDefault="001208D4" w:rsidP="00187D17">
            <w:pPr>
              <w:widowControl w:val="0"/>
              <w:rPr>
                <w:noProof/>
                <w:szCs w:val="22"/>
                <w:lang w:val="sr-Latn-RS"/>
              </w:rPr>
            </w:pPr>
          </w:p>
        </w:tc>
        <w:tc>
          <w:tcPr>
            <w:tcW w:w="2464" w:type="dxa"/>
            <w:vAlign w:val="center"/>
          </w:tcPr>
          <w:p w14:paraId="38CB6DF8" w14:textId="04070887" w:rsidR="001208D4" w:rsidRPr="00394D9A" w:rsidRDefault="001208D4" w:rsidP="00187D17">
            <w:pPr>
              <w:widowControl w:val="0"/>
              <w:jc w:val="center"/>
              <w:rPr>
                <w:noProof/>
                <w:szCs w:val="22"/>
                <w:lang w:val="sr-Latn-RS"/>
              </w:rPr>
            </w:pPr>
            <w:r w:rsidRPr="00394D9A">
              <w:rPr>
                <w:noProof/>
                <w:szCs w:val="22"/>
                <w:lang w:val="sr-Latn-RS"/>
              </w:rPr>
              <w:t>Dabigatraneteksilat 110</w:t>
            </w:r>
            <w:r w:rsidR="001C3737" w:rsidRPr="00394D9A">
              <w:rPr>
                <w:noProof/>
                <w:szCs w:val="22"/>
                <w:lang w:val="sr-Latn-RS"/>
              </w:rPr>
              <w:t> </w:t>
            </w:r>
            <w:r w:rsidRPr="00394D9A">
              <w:rPr>
                <w:noProof/>
                <w:szCs w:val="22"/>
                <w:lang w:val="sr-Latn-RS"/>
              </w:rPr>
              <w:t>mg dva puta na dan</w:t>
            </w:r>
          </w:p>
        </w:tc>
        <w:tc>
          <w:tcPr>
            <w:tcW w:w="2464" w:type="dxa"/>
            <w:vAlign w:val="center"/>
          </w:tcPr>
          <w:p w14:paraId="6F46A014" w14:textId="4839A92B" w:rsidR="001208D4" w:rsidRPr="00394D9A" w:rsidRDefault="001208D4" w:rsidP="00187D17">
            <w:pPr>
              <w:widowControl w:val="0"/>
              <w:jc w:val="center"/>
              <w:rPr>
                <w:noProof/>
                <w:szCs w:val="22"/>
                <w:lang w:val="sr-Latn-RS"/>
              </w:rPr>
            </w:pPr>
            <w:r w:rsidRPr="00394D9A">
              <w:rPr>
                <w:noProof/>
                <w:szCs w:val="22"/>
                <w:lang w:val="sr-Latn-RS"/>
              </w:rPr>
              <w:t>Dabigatraneteksilat 150</w:t>
            </w:r>
            <w:r w:rsidR="001C3737" w:rsidRPr="00394D9A">
              <w:rPr>
                <w:noProof/>
                <w:szCs w:val="22"/>
                <w:lang w:val="sr-Latn-RS"/>
              </w:rPr>
              <w:t> </w:t>
            </w:r>
            <w:r w:rsidRPr="00394D9A">
              <w:rPr>
                <w:noProof/>
                <w:szCs w:val="22"/>
                <w:lang w:val="sr-Latn-RS"/>
              </w:rPr>
              <w:t>mg dva puta na dan</w:t>
            </w:r>
          </w:p>
        </w:tc>
        <w:tc>
          <w:tcPr>
            <w:tcW w:w="2464" w:type="dxa"/>
            <w:vAlign w:val="center"/>
          </w:tcPr>
          <w:p w14:paraId="03780912" w14:textId="565B09BC" w:rsidR="001208D4" w:rsidRPr="00394D9A" w:rsidRDefault="001208D4" w:rsidP="00187D17">
            <w:pPr>
              <w:widowControl w:val="0"/>
              <w:jc w:val="center"/>
              <w:rPr>
                <w:noProof/>
                <w:szCs w:val="22"/>
                <w:lang w:val="sr-Latn-RS"/>
              </w:rPr>
            </w:pPr>
            <w:r w:rsidRPr="00394D9A">
              <w:rPr>
                <w:noProof/>
                <w:szCs w:val="22"/>
                <w:lang w:val="sr-Latn-RS"/>
              </w:rPr>
              <w:t>Varfarin</w:t>
            </w:r>
          </w:p>
        </w:tc>
      </w:tr>
      <w:tr w:rsidR="001208D4" w:rsidRPr="00394D9A" w14:paraId="543B2CDB" w14:textId="77777777" w:rsidTr="001208D4">
        <w:tc>
          <w:tcPr>
            <w:tcW w:w="2463" w:type="dxa"/>
          </w:tcPr>
          <w:p w14:paraId="44AB2CC9" w14:textId="66AB4100" w:rsidR="001208D4" w:rsidRPr="00394D9A" w:rsidRDefault="001208D4" w:rsidP="00187D17">
            <w:pPr>
              <w:widowControl w:val="0"/>
              <w:jc w:val="left"/>
              <w:rPr>
                <w:noProof/>
                <w:szCs w:val="22"/>
                <w:lang w:val="sr-Latn-RS"/>
              </w:rPr>
            </w:pPr>
            <w:r w:rsidRPr="00394D9A">
              <w:rPr>
                <w:noProof/>
                <w:szCs w:val="22"/>
                <w:lang w:val="sr-Latn-RS"/>
              </w:rPr>
              <w:t>Randomizovani ispitanici</w:t>
            </w:r>
          </w:p>
        </w:tc>
        <w:tc>
          <w:tcPr>
            <w:tcW w:w="2464" w:type="dxa"/>
            <w:vAlign w:val="center"/>
          </w:tcPr>
          <w:p w14:paraId="75E1EC50" w14:textId="117746AE" w:rsidR="001208D4" w:rsidRPr="00394D9A" w:rsidRDefault="001208D4" w:rsidP="00187D17">
            <w:pPr>
              <w:widowControl w:val="0"/>
              <w:jc w:val="center"/>
              <w:rPr>
                <w:noProof/>
                <w:szCs w:val="22"/>
                <w:lang w:val="sr-Latn-RS"/>
              </w:rPr>
            </w:pPr>
            <w:r w:rsidRPr="00394D9A">
              <w:rPr>
                <w:noProof/>
                <w:szCs w:val="22"/>
                <w:lang w:val="sr-Latn-RS"/>
              </w:rPr>
              <w:t>6015</w:t>
            </w:r>
          </w:p>
        </w:tc>
        <w:tc>
          <w:tcPr>
            <w:tcW w:w="2464" w:type="dxa"/>
            <w:vAlign w:val="center"/>
          </w:tcPr>
          <w:p w14:paraId="7733BC55" w14:textId="54C22DF3" w:rsidR="001208D4" w:rsidRPr="00394D9A" w:rsidRDefault="001208D4" w:rsidP="00187D17">
            <w:pPr>
              <w:widowControl w:val="0"/>
              <w:jc w:val="center"/>
              <w:rPr>
                <w:noProof/>
                <w:szCs w:val="22"/>
                <w:lang w:val="sr-Latn-RS"/>
              </w:rPr>
            </w:pPr>
            <w:r w:rsidRPr="00394D9A">
              <w:rPr>
                <w:noProof/>
                <w:szCs w:val="22"/>
                <w:lang w:val="sr-Latn-RS"/>
              </w:rPr>
              <w:t>6076</w:t>
            </w:r>
          </w:p>
        </w:tc>
        <w:tc>
          <w:tcPr>
            <w:tcW w:w="2464" w:type="dxa"/>
            <w:vAlign w:val="center"/>
          </w:tcPr>
          <w:p w14:paraId="16CD1213" w14:textId="0A238FD8" w:rsidR="001208D4" w:rsidRPr="00394D9A" w:rsidRDefault="001208D4" w:rsidP="00187D17">
            <w:pPr>
              <w:widowControl w:val="0"/>
              <w:jc w:val="center"/>
              <w:rPr>
                <w:noProof/>
                <w:szCs w:val="22"/>
                <w:lang w:val="sr-Latn-RS"/>
              </w:rPr>
            </w:pPr>
            <w:r w:rsidRPr="00394D9A">
              <w:rPr>
                <w:noProof/>
                <w:szCs w:val="22"/>
                <w:lang w:val="sr-Latn-RS"/>
              </w:rPr>
              <w:t>6022</w:t>
            </w:r>
          </w:p>
        </w:tc>
      </w:tr>
      <w:tr w:rsidR="001208D4" w:rsidRPr="00394D9A" w14:paraId="5989BAA1" w14:textId="77777777" w:rsidTr="001208D4">
        <w:tc>
          <w:tcPr>
            <w:tcW w:w="2463" w:type="dxa"/>
          </w:tcPr>
          <w:p w14:paraId="7D34B21C" w14:textId="1E94B089" w:rsidR="001208D4" w:rsidRPr="00394D9A" w:rsidRDefault="001208D4" w:rsidP="00187D17">
            <w:pPr>
              <w:widowControl w:val="0"/>
              <w:jc w:val="left"/>
              <w:rPr>
                <w:noProof/>
                <w:szCs w:val="22"/>
                <w:lang w:val="sr-Latn-RS"/>
              </w:rPr>
            </w:pPr>
            <w:r w:rsidRPr="00394D9A">
              <w:rPr>
                <w:noProof/>
                <w:szCs w:val="22"/>
                <w:lang w:val="sr-Latn-RS"/>
              </w:rPr>
              <w:t>Veliko krvarenje</w:t>
            </w:r>
          </w:p>
        </w:tc>
        <w:tc>
          <w:tcPr>
            <w:tcW w:w="2464" w:type="dxa"/>
            <w:vAlign w:val="center"/>
          </w:tcPr>
          <w:p w14:paraId="69A1D33B" w14:textId="117B10CF" w:rsidR="001208D4" w:rsidRPr="00394D9A" w:rsidRDefault="001208D4" w:rsidP="00187D17">
            <w:pPr>
              <w:widowControl w:val="0"/>
              <w:jc w:val="center"/>
              <w:rPr>
                <w:noProof/>
                <w:szCs w:val="22"/>
                <w:lang w:val="sr-Latn-RS"/>
              </w:rPr>
            </w:pPr>
            <w:r w:rsidRPr="00394D9A">
              <w:rPr>
                <w:noProof/>
                <w:szCs w:val="22"/>
                <w:lang w:val="sr-Latn-RS"/>
              </w:rPr>
              <w:t>347 (2,92%)</w:t>
            </w:r>
          </w:p>
        </w:tc>
        <w:tc>
          <w:tcPr>
            <w:tcW w:w="2464" w:type="dxa"/>
            <w:vAlign w:val="center"/>
          </w:tcPr>
          <w:p w14:paraId="00317067" w14:textId="0B1391E1" w:rsidR="001208D4" w:rsidRPr="00394D9A" w:rsidRDefault="001208D4" w:rsidP="00187D17">
            <w:pPr>
              <w:widowControl w:val="0"/>
              <w:jc w:val="center"/>
              <w:rPr>
                <w:noProof/>
                <w:szCs w:val="22"/>
                <w:lang w:val="sr-Latn-RS"/>
              </w:rPr>
            </w:pPr>
            <w:r w:rsidRPr="00394D9A">
              <w:rPr>
                <w:noProof/>
                <w:szCs w:val="22"/>
                <w:lang w:val="sr-Latn-RS"/>
              </w:rPr>
              <w:t>409 (3,40%)</w:t>
            </w:r>
          </w:p>
        </w:tc>
        <w:tc>
          <w:tcPr>
            <w:tcW w:w="2464" w:type="dxa"/>
            <w:vAlign w:val="center"/>
          </w:tcPr>
          <w:p w14:paraId="03B1DD76" w14:textId="74CA7BAD" w:rsidR="001208D4" w:rsidRPr="00394D9A" w:rsidRDefault="001208D4" w:rsidP="00187D17">
            <w:pPr>
              <w:widowControl w:val="0"/>
              <w:jc w:val="center"/>
              <w:rPr>
                <w:noProof/>
                <w:szCs w:val="22"/>
                <w:lang w:val="sr-Latn-RS"/>
              </w:rPr>
            </w:pPr>
            <w:r w:rsidRPr="00394D9A">
              <w:rPr>
                <w:noProof/>
                <w:szCs w:val="22"/>
                <w:lang w:val="sr-Latn-RS"/>
              </w:rPr>
              <w:t>426 (3,61%)</w:t>
            </w:r>
          </w:p>
        </w:tc>
      </w:tr>
      <w:tr w:rsidR="001208D4" w:rsidRPr="00394D9A" w14:paraId="1BC647F2" w14:textId="77777777" w:rsidTr="001208D4">
        <w:tc>
          <w:tcPr>
            <w:tcW w:w="2463" w:type="dxa"/>
          </w:tcPr>
          <w:p w14:paraId="13C994A2" w14:textId="5577F286" w:rsidR="001208D4" w:rsidRPr="00394D9A" w:rsidRDefault="001208D4" w:rsidP="00187D17">
            <w:pPr>
              <w:widowControl w:val="0"/>
              <w:jc w:val="left"/>
              <w:rPr>
                <w:noProof/>
                <w:szCs w:val="22"/>
                <w:lang w:val="sr-Latn-RS"/>
              </w:rPr>
            </w:pPr>
            <w:r w:rsidRPr="00394D9A">
              <w:rPr>
                <w:noProof/>
                <w:szCs w:val="22"/>
                <w:lang w:val="sr-Latn-RS"/>
              </w:rPr>
              <w:t>Intrakranijalno krvarenje</w:t>
            </w:r>
          </w:p>
        </w:tc>
        <w:tc>
          <w:tcPr>
            <w:tcW w:w="2464" w:type="dxa"/>
            <w:vAlign w:val="center"/>
          </w:tcPr>
          <w:p w14:paraId="3757CBE4" w14:textId="1E7CDECF" w:rsidR="001208D4" w:rsidRPr="00394D9A" w:rsidRDefault="001208D4" w:rsidP="00187D17">
            <w:pPr>
              <w:widowControl w:val="0"/>
              <w:jc w:val="center"/>
              <w:rPr>
                <w:noProof/>
                <w:szCs w:val="22"/>
                <w:lang w:val="sr-Latn-RS"/>
              </w:rPr>
            </w:pPr>
            <w:r w:rsidRPr="00394D9A">
              <w:rPr>
                <w:noProof/>
                <w:szCs w:val="22"/>
                <w:lang w:val="sr-Latn-RS"/>
              </w:rPr>
              <w:t>27 (0,23%)</w:t>
            </w:r>
          </w:p>
        </w:tc>
        <w:tc>
          <w:tcPr>
            <w:tcW w:w="2464" w:type="dxa"/>
            <w:vAlign w:val="center"/>
          </w:tcPr>
          <w:p w14:paraId="3E35B6C8" w14:textId="3020C026" w:rsidR="001208D4" w:rsidRPr="00394D9A" w:rsidRDefault="001208D4" w:rsidP="00187D17">
            <w:pPr>
              <w:widowControl w:val="0"/>
              <w:jc w:val="center"/>
              <w:rPr>
                <w:noProof/>
                <w:szCs w:val="22"/>
                <w:lang w:val="sr-Latn-RS"/>
              </w:rPr>
            </w:pPr>
            <w:r w:rsidRPr="00394D9A">
              <w:rPr>
                <w:noProof/>
                <w:szCs w:val="22"/>
                <w:lang w:val="sr-Latn-RS"/>
              </w:rPr>
              <w:t>39 (0,32%)</w:t>
            </w:r>
          </w:p>
        </w:tc>
        <w:tc>
          <w:tcPr>
            <w:tcW w:w="2464" w:type="dxa"/>
            <w:vAlign w:val="center"/>
          </w:tcPr>
          <w:p w14:paraId="2DB1DF0A" w14:textId="44E67B75" w:rsidR="001208D4" w:rsidRPr="00394D9A" w:rsidRDefault="001208D4" w:rsidP="00187D17">
            <w:pPr>
              <w:widowControl w:val="0"/>
              <w:jc w:val="center"/>
              <w:rPr>
                <w:noProof/>
                <w:szCs w:val="22"/>
                <w:lang w:val="sr-Latn-RS"/>
              </w:rPr>
            </w:pPr>
            <w:r w:rsidRPr="00394D9A">
              <w:rPr>
                <w:noProof/>
                <w:szCs w:val="22"/>
                <w:lang w:val="sr-Latn-RS"/>
              </w:rPr>
              <w:t>91 (0,77%)</w:t>
            </w:r>
          </w:p>
        </w:tc>
      </w:tr>
      <w:tr w:rsidR="001208D4" w:rsidRPr="00394D9A" w14:paraId="55B2D0A9" w14:textId="77777777" w:rsidTr="001208D4">
        <w:tc>
          <w:tcPr>
            <w:tcW w:w="2463" w:type="dxa"/>
          </w:tcPr>
          <w:p w14:paraId="20C2C311" w14:textId="57D0C98F" w:rsidR="001208D4" w:rsidRPr="00394D9A" w:rsidRDefault="001208D4" w:rsidP="00187D17">
            <w:pPr>
              <w:widowControl w:val="0"/>
              <w:ind w:left="284"/>
              <w:jc w:val="left"/>
              <w:rPr>
                <w:noProof/>
                <w:szCs w:val="22"/>
                <w:lang w:val="sr-Latn-RS"/>
              </w:rPr>
            </w:pPr>
            <w:r w:rsidRPr="00394D9A">
              <w:rPr>
                <w:noProof/>
                <w:szCs w:val="22"/>
                <w:lang w:val="sr-Latn-RS"/>
              </w:rPr>
              <w:t>GI krvarenje</w:t>
            </w:r>
          </w:p>
        </w:tc>
        <w:tc>
          <w:tcPr>
            <w:tcW w:w="2464" w:type="dxa"/>
            <w:vAlign w:val="center"/>
          </w:tcPr>
          <w:p w14:paraId="6AC226D5" w14:textId="640FE141" w:rsidR="001208D4" w:rsidRPr="00394D9A" w:rsidRDefault="001208D4" w:rsidP="00187D17">
            <w:pPr>
              <w:widowControl w:val="0"/>
              <w:jc w:val="center"/>
              <w:rPr>
                <w:noProof/>
                <w:szCs w:val="22"/>
                <w:lang w:val="sr-Latn-RS"/>
              </w:rPr>
            </w:pPr>
            <w:r w:rsidRPr="00394D9A">
              <w:rPr>
                <w:noProof/>
                <w:szCs w:val="22"/>
                <w:lang w:val="sr-Latn-RS"/>
              </w:rPr>
              <w:t>134 (1,13%)</w:t>
            </w:r>
          </w:p>
        </w:tc>
        <w:tc>
          <w:tcPr>
            <w:tcW w:w="2464" w:type="dxa"/>
            <w:vAlign w:val="center"/>
          </w:tcPr>
          <w:p w14:paraId="3558BA68" w14:textId="6F010953" w:rsidR="001208D4" w:rsidRPr="00394D9A" w:rsidRDefault="001208D4" w:rsidP="00187D17">
            <w:pPr>
              <w:widowControl w:val="0"/>
              <w:jc w:val="center"/>
              <w:rPr>
                <w:noProof/>
                <w:szCs w:val="22"/>
                <w:lang w:val="sr-Latn-RS"/>
              </w:rPr>
            </w:pPr>
            <w:r w:rsidRPr="00394D9A">
              <w:rPr>
                <w:noProof/>
                <w:szCs w:val="22"/>
                <w:lang w:val="sr-Latn-RS"/>
              </w:rPr>
              <w:t>192 (1,60%)</w:t>
            </w:r>
          </w:p>
        </w:tc>
        <w:tc>
          <w:tcPr>
            <w:tcW w:w="2464" w:type="dxa"/>
            <w:vAlign w:val="center"/>
          </w:tcPr>
          <w:p w14:paraId="27F3F961" w14:textId="7CAE6FAC" w:rsidR="001208D4" w:rsidRPr="00394D9A" w:rsidRDefault="001208D4" w:rsidP="00187D17">
            <w:pPr>
              <w:widowControl w:val="0"/>
              <w:jc w:val="center"/>
              <w:rPr>
                <w:noProof/>
                <w:szCs w:val="22"/>
                <w:lang w:val="sr-Latn-RS"/>
              </w:rPr>
            </w:pPr>
            <w:r w:rsidRPr="00394D9A">
              <w:rPr>
                <w:noProof/>
                <w:szCs w:val="22"/>
                <w:lang w:val="sr-Latn-RS"/>
              </w:rPr>
              <w:t>128 (1,09%)</w:t>
            </w:r>
          </w:p>
        </w:tc>
      </w:tr>
      <w:tr w:rsidR="001208D4" w:rsidRPr="00394D9A" w14:paraId="7CA8CFC7" w14:textId="77777777" w:rsidTr="001208D4">
        <w:tc>
          <w:tcPr>
            <w:tcW w:w="2463" w:type="dxa"/>
          </w:tcPr>
          <w:p w14:paraId="47FBB5BE" w14:textId="258B48FD" w:rsidR="001208D4" w:rsidRPr="00394D9A" w:rsidRDefault="001C3737" w:rsidP="00187D17">
            <w:pPr>
              <w:widowControl w:val="0"/>
              <w:jc w:val="left"/>
              <w:rPr>
                <w:noProof/>
                <w:szCs w:val="22"/>
                <w:lang w:val="sr-Latn-RS"/>
              </w:rPr>
            </w:pPr>
            <w:r w:rsidRPr="00394D9A">
              <w:rPr>
                <w:noProof/>
                <w:szCs w:val="22"/>
                <w:lang w:val="sr-Latn-RS"/>
              </w:rPr>
              <w:t>K</w:t>
            </w:r>
            <w:r w:rsidR="001208D4" w:rsidRPr="00394D9A">
              <w:rPr>
                <w:noProof/>
                <w:szCs w:val="22"/>
                <w:lang w:val="sr-Latn-RS"/>
              </w:rPr>
              <w:t>rvarenje</w:t>
            </w:r>
            <w:r w:rsidRPr="00394D9A">
              <w:rPr>
                <w:noProof/>
                <w:szCs w:val="22"/>
                <w:lang w:val="sr-Latn-RS"/>
              </w:rPr>
              <w:t xml:space="preserve"> sa smrtnim ishodom</w:t>
            </w:r>
          </w:p>
        </w:tc>
        <w:tc>
          <w:tcPr>
            <w:tcW w:w="2464" w:type="dxa"/>
            <w:vAlign w:val="center"/>
          </w:tcPr>
          <w:p w14:paraId="1E780567" w14:textId="57AF811F" w:rsidR="001208D4" w:rsidRPr="00394D9A" w:rsidRDefault="001208D4" w:rsidP="00187D17">
            <w:pPr>
              <w:widowControl w:val="0"/>
              <w:jc w:val="center"/>
              <w:rPr>
                <w:noProof/>
                <w:szCs w:val="22"/>
                <w:lang w:val="sr-Latn-RS"/>
              </w:rPr>
            </w:pPr>
            <w:r w:rsidRPr="00394D9A">
              <w:rPr>
                <w:noProof/>
                <w:szCs w:val="22"/>
                <w:lang w:val="sr-Latn-RS"/>
              </w:rPr>
              <w:t>26 (0,22%)</w:t>
            </w:r>
          </w:p>
        </w:tc>
        <w:tc>
          <w:tcPr>
            <w:tcW w:w="2464" w:type="dxa"/>
            <w:vAlign w:val="center"/>
          </w:tcPr>
          <w:p w14:paraId="7D740FEA" w14:textId="382C038A" w:rsidR="001208D4" w:rsidRPr="00394D9A" w:rsidRDefault="001208D4" w:rsidP="00187D17">
            <w:pPr>
              <w:widowControl w:val="0"/>
              <w:jc w:val="center"/>
              <w:rPr>
                <w:noProof/>
                <w:szCs w:val="22"/>
                <w:lang w:val="sr-Latn-RS"/>
              </w:rPr>
            </w:pPr>
            <w:r w:rsidRPr="00394D9A">
              <w:rPr>
                <w:noProof/>
                <w:szCs w:val="22"/>
                <w:lang w:val="sr-Latn-RS"/>
              </w:rPr>
              <w:t>30 (0,25%)</w:t>
            </w:r>
          </w:p>
        </w:tc>
        <w:tc>
          <w:tcPr>
            <w:tcW w:w="2464" w:type="dxa"/>
            <w:vAlign w:val="center"/>
          </w:tcPr>
          <w:p w14:paraId="6893797E" w14:textId="141B289A" w:rsidR="001208D4" w:rsidRPr="00394D9A" w:rsidRDefault="001208D4" w:rsidP="00187D17">
            <w:pPr>
              <w:widowControl w:val="0"/>
              <w:jc w:val="center"/>
              <w:rPr>
                <w:noProof/>
                <w:szCs w:val="22"/>
                <w:lang w:val="sr-Latn-RS"/>
              </w:rPr>
            </w:pPr>
            <w:r w:rsidRPr="00394D9A">
              <w:rPr>
                <w:noProof/>
                <w:szCs w:val="22"/>
                <w:lang w:val="sr-Latn-RS"/>
              </w:rPr>
              <w:t>42 (0,36%)</w:t>
            </w:r>
          </w:p>
        </w:tc>
      </w:tr>
      <w:tr w:rsidR="001208D4" w:rsidRPr="00394D9A" w14:paraId="29FC85BB" w14:textId="77777777" w:rsidTr="001208D4">
        <w:tc>
          <w:tcPr>
            <w:tcW w:w="2463" w:type="dxa"/>
          </w:tcPr>
          <w:p w14:paraId="733812E8" w14:textId="5B367367" w:rsidR="001208D4" w:rsidRPr="00394D9A" w:rsidRDefault="001208D4" w:rsidP="00187D17">
            <w:pPr>
              <w:widowControl w:val="0"/>
              <w:jc w:val="left"/>
              <w:rPr>
                <w:noProof/>
                <w:szCs w:val="22"/>
                <w:lang w:val="sr-Latn-RS"/>
              </w:rPr>
            </w:pPr>
            <w:r w:rsidRPr="00394D9A">
              <w:rPr>
                <w:noProof/>
                <w:szCs w:val="22"/>
                <w:lang w:val="sr-Latn-RS"/>
              </w:rPr>
              <w:t>Ma</w:t>
            </w:r>
            <w:r w:rsidR="005C7549" w:rsidRPr="00394D9A">
              <w:rPr>
                <w:noProof/>
                <w:szCs w:val="22"/>
                <w:lang w:val="sr-Latn-RS"/>
              </w:rPr>
              <w:t>nje</w:t>
            </w:r>
            <w:r w:rsidRPr="00394D9A">
              <w:rPr>
                <w:noProof/>
                <w:szCs w:val="22"/>
                <w:lang w:val="sr-Latn-RS"/>
              </w:rPr>
              <w:t xml:space="preserve"> krvarenje</w:t>
            </w:r>
          </w:p>
        </w:tc>
        <w:tc>
          <w:tcPr>
            <w:tcW w:w="2464" w:type="dxa"/>
            <w:vAlign w:val="center"/>
          </w:tcPr>
          <w:p w14:paraId="493A33CF" w14:textId="7696B02A" w:rsidR="001208D4" w:rsidRPr="00394D9A" w:rsidRDefault="001208D4" w:rsidP="00187D17">
            <w:pPr>
              <w:widowControl w:val="0"/>
              <w:jc w:val="center"/>
              <w:rPr>
                <w:noProof/>
                <w:szCs w:val="22"/>
                <w:lang w:val="sr-Latn-RS"/>
              </w:rPr>
            </w:pPr>
            <w:r w:rsidRPr="00394D9A">
              <w:rPr>
                <w:noProof/>
                <w:szCs w:val="22"/>
                <w:lang w:val="sr-Latn-RS"/>
              </w:rPr>
              <w:t>1</w:t>
            </w:r>
            <w:r w:rsidR="005C7549" w:rsidRPr="00394D9A">
              <w:rPr>
                <w:noProof/>
                <w:szCs w:val="22"/>
                <w:lang w:val="sr-Latn-RS"/>
              </w:rPr>
              <w:t xml:space="preserve"> </w:t>
            </w:r>
            <w:r w:rsidRPr="00394D9A">
              <w:rPr>
                <w:noProof/>
                <w:szCs w:val="22"/>
                <w:lang w:val="sr-Latn-RS"/>
              </w:rPr>
              <w:t>566 (13,16%)</w:t>
            </w:r>
          </w:p>
        </w:tc>
        <w:tc>
          <w:tcPr>
            <w:tcW w:w="2464" w:type="dxa"/>
            <w:vAlign w:val="center"/>
          </w:tcPr>
          <w:p w14:paraId="58E26AD5" w14:textId="5EA2DFE3" w:rsidR="001208D4" w:rsidRPr="00394D9A" w:rsidRDefault="001208D4" w:rsidP="00187D17">
            <w:pPr>
              <w:widowControl w:val="0"/>
              <w:jc w:val="center"/>
              <w:rPr>
                <w:noProof/>
                <w:szCs w:val="22"/>
                <w:lang w:val="sr-Latn-RS"/>
              </w:rPr>
            </w:pPr>
            <w:r w:rsidRPr="00394D9A">
              <w:rPr>
                <w:noProof/>
                <w:szCs w:val="22"/>
                <w:lang w:val="sr-Latn-RS"/>
              </w:rPr>
              <w:t>1</w:t>
            </w:r>
            <w:r w:rsidR="005C7549" w:rsidRPr="00394D9A">
              <w:rPr>
                <w:noProof/>
                <w:szCs w:val="22"/>
                <w:lang w:val="sr-Latn-RS"/>
              </w:rPr>
              <w:t xml:space="preserve"> </w:t>
            </w:r>
            <w:r w:rsidRPr="00394D9A">
              <w:rPr>
                <w:noProof/>
                <w:szCs w:val="22"/>
                <w:lang w:val="sr-Latn-RS"/>
              </w:rPr>
              <w:t>787 (14,85%)</w:t>
            </w:r>
          </w:p>
        </w:tc>
        <w:tc>
          <w:tcPr>
            <w:tcW w:w="2464" w:type="dxa"/>
            <w:vAlign w:val="center"/>
          </w:tcPr>
          <w:p w14:paraId="01295708" w14:textId="3C7684DA" w:rsidR="001208D4" w:rsidRPr="00394D9A" w:rsidRDefault="001208D4" w:rsidP="00187D17">
            <w:pPr>
              <w:widowControl w:val="0"/>
              <w:jc w:val="center"/>
              <w:rPr>
                <w:noProof/>
                <w:szCs w:val="22"/>
                <w:lang w:val="sr-Latn-RS"/>
              </w:rPr>
            </w:pPr>
            <w:r w:rsidRPr="00394D9A">
              <w:rPr>
                <w:noProof/>
                <w:szCs w:val="22"/>
                <w:lang w:val="sr-Latn-RS"/>
              </w:rPr>
              <w:t>1</w:t>
            </w:r>
            <w:r w:rsidR="005C7549" w:rsidRPr="00394D9A">
              <w:rPr>
                <w:noProof/>
                <w:szCs w:val="22"/>
                <w:lang w:val="sr-Latn-RS"/>
              </w:rPr>
              <w:t xml:space="preserve"> </w:t>
            </w:r>
            <w:r w:rsidRPr="00394D9A">
              <w:rPr>
                <w:noProof/>
                <w:szCs w:val="22"/>
                <w:lang w:val="sr-Latn-RS"/>
              </w:rPr>
              <w:t>931 (16,37%)</w:t>
            </w:r>
          </w:p>
        </w:tc>
      </w:tr>
      <w:tr w:rsidR="001208D4" w:rsidRPr="00394D9A" w14:paraId="56502960" w14:textId="77777777" w:rsidTr="001208D4">
        <w:tc>
          <w:tcPr>
            <w:tcW w:w="2463" w:type="dxa"/>
          </w:tcPr>
          <w:p w14:paraId="57A316C6" w14:textId="451CA2AD" w:rsidR="001208D4" w:rsidRPr="00394D9A" w:rsidRDefault="005C7549" w:rsidP="00187D17">
            <w:pPr>
              <w:widowControl w:val="0"/>
              <w:jc w:val="left"/>
              <w:rPr>
                <w:noProof/>
                <w:szCs w:val="22"/>
                <w:lang w:val="sr-Latn-RS"/>
              </w:rPr>
            </w:pPr>
            <w:r w:rsidRPr="00394D9A">
              <w:rPr>
                <w:noProof/>
                <w:szCs w:val="22"/>
                <w:lang w:val="sr-Latn-RS"/>
              </w:rPr>
              <w:t>Sva</w:t>
            </w:r>
            <w:r w:rsidR="001208D4" w:rsidRPr="00394D9A">
              <w:rPr>
                <w:noProof/>
                <w:szCs w:val="22"/>
                <w:lang w:val="sr-Latn-RS"/>
              </w:rPr>
              <w:t xml:space="preserve"> krvarenj</w:t>
            </w:r>
            <w:r w:rsidRPr="00394D9A">
              <w:rPr>
                <w:noProof/>
                <w:szCs w:val="22"/>
                <w:lang w:val="sr-Latn-RS"/>
              </w:rPr>
              <w:t>a</w:t>
            </w:r>
          </w:p>
        </w:tc>
        <w:tc>
          <w:tcPr>
            <w:tcW w:w="2464" w:type="dxa"/>
            <w:vAlign w:val="center"/>
          </w:tcPr>
          <w:p w14:paraId="26AD85FB" w14:textId="682C91FD" w:rsidR="001208D4" w:rsidRPr="00394D9A" w:rsidRDefault="001208D4" w:rsidP="00187D17">
            <w:pPr>
              <w:widowControl w:val="0"/>
              <w:jc w:val="center"/>
              <w:rPr>
                <w:noProof/>
                <w:szCs w:val="22"/>
                <w:lang w:val="sr-Latn-RS"/>
              </w:rPr>
            </w:pPr>
            <w:r w:rsidRPr="00394D9A">
              <w:rPr>
                <w:noProof/>
                <w:szCs w:val="22"/>
                <w:lang w:val="sr-Latn-RS"/>
              </w:rPr>
              <w:t>1</w:t>
            </w:r>
            <w:r w:rsidR="005C7549" w:rsidRPr="00394D9A">
              <w:rPr>
                <w:noProof/>
                <w:szCs w:val="22"/>
                <w:lang w:val="sr-Latn-RS"/>
              </w:rPr>
              <w:t xml:space="preserve"> </w:t>
            </w:r>
            <w:r w:rsidRPr="00394D9A">
              <w:rPr>
                <w:noProof/>
                <w:szCs w:val="22"/>
                <w:lang w:val="sr-Latn-RS"/>
              </w:rPr>
              <w:t>759 (14,78%)</w:t>
            </w:r>
          </w:p>
        </w:tc>
        <w:tc>
          <w:tcPr>
            <w:tcW w:w="2464" w:type="dxa"/>
            <w:vAlign w:val="center"/>
          </w:tcPr>
          <w:p w14:paraId="69F9BA75" w14:textId="1F156A7D" w:rsidR="001208D4" w:rsidRPr="00394D9A" w:rsidRDefault="001208D4" w:rsidP="00187D17">
            <w:pPr>
              <w:widowControl w:val="0"/>
              <w:jc w:val="center"/>
              <w:rPr>
                <w:noProof/>
                <w:szCs w:val="22"/>
                <w:lang w:val="sr-Latn-RS"/>
              </w:rPr>
            </w:pPr>
            <w:r w:rsidRPr="00394D9A">
              <w:rPr>
                <w:noProof/>
                <w:szCs w:val="22"/>
                <w:lang w:val="sr-Latn-RS"/>
              </w:rPr>
              <w:t>1</w:t>
            </w:r>
            <w:r w:rsidR="005C7549" w:rsidRPr="00394D9A">
              <w:rPr>
                <w:noProof/>
                <w:szCs w:val="22"/>
                <w:lang w:val="sr-Latn-RS"/>
              </w:rPr>
              <w:t xml:space="preserve"> </w:t>
            </w:r>
            <w:r w:rsidRPr="00394D9A">
              <w:rPr>
                <w:noProof/>
                <w:szCs w:val="22"/>
                <w:lang w:val="sr-Latn-RS"/>
              </w:rPr>
              <w:t>997 (16,60%)</w:t>
            </w:r>
          </w:p>
        </w:tc>
        <w:tc>
          <w:tcPr>
            <w:tcW w:w="2464" w:type="dxa"/>
            <w:vAlign w:val="center"/>
          </w:tcPr>
          <w:p w14:paraId="2C731743" w14:textId="3624F0C8" w:rsidR="001208D4" w:rsidRPr="00394D9A" w:rsidRDefault="001208D4" w:rsidP="00187D17">
            <w:pPr>
              <w:widowControl w:val="0"/>
              <w:jc w:val="center"/>
              <w:rPr>
                <w:noProof/>
                <w:szCs w:val="22"/>
                <w:lang w:val="sr-Latn-RS"/>
              </w:rPr>
            </w:pPr>
            <w:r w:rsidRPr="00394D9A">
              <w:rPr>
                <w:noProof/>
                <w:szCs w:val="22"/>
                <w:lang w:val="sr-Latn-RS"/>
              </w:rPr>
              <w:t>2</w:t>
            </w:r>
            <w:r w:rsidR="005C7549" w:rsidRPr="00394D9A">
              <w:rPr>
                <w:noProof/>
                <w:szCs w:val="22"/>
                <w:lang w:val="sr-Latn-RS"/>
              </w:rPr>
              <w:t xml:space="preserve"> </w:t>
            </w:r>
            <w:r w:rsidRPr="00394D9A">
              <w:rPr>
                <w:noProof/>
                <w:szCs w:val="22"/>
                <w:lang w:val="sr-Latn-RS"/>
              </w:rPr>
              <w:t>169 (18,39%)</w:t>
            </w:r>
          </w:p>
        </w:tc>
      </w:tr>
    </w:tbl>
    <w:p w14:paraId="1AA1B18E" w14:textId="61DEE4A2" w:rsidR="00C7394D" w:rsidRPr="00394D9A" w:rsidRDefault="00C7394D" w:rsidP="00187D17">
      <w:pPr>
        <w:widowControl w:val="0"/>
        <w:rPr>
          <w:b/>
          <w:bCs/>
          <w:noProof/>
          <w:szCs w:val="22"/>
          <w:lang w:val="sr-Latn-RS"/>
        </w:rPr>
      </w:pPr>
    </w:p>
    <w:p w14:paraId="73372D4F" w14:textId="76998E2D" w:rsidR="005C685F" w:rsidRPr="00394D9A" w:rsidRDefault="005C685F" w:rsidP="00187D17">
      <w:pPr>
        <w:widowControl w:val="0"/>
        <w:rPr>
          <w:noProof/>
          <w:szCs w:val="22"/>
          <w:lang w:val="sr-Latn-RS"/>
        </w:rPr>
      </w:pPr>
      <w:r w:rsidRPr="00394D9A">
        <w:rPr>
          <w:noProof/>
          <w:szCs w:val="22"/>
          <w:lang w:val="sr-Latn-RS"/>
        </w:rPr>
        <w:t>Ispitanici randomizovani da primaju dabigatraneteksilat 110 mg dva puta na dan ili 150 mg dva puta na dan, imali su značajno niži rizik od krvarenja opasnih po život i intrakranijalnih krvarenja od pacijenata na varfarinu [p &lt; 0,05]. Ob</w:t>
      </w:r>
      <w:r w:rsidR="006561D1" w:rsidRPr="00394D9A">
        <w:rPr>
          <w:noProof/>
          <w:szCs w:val="22"/>
          <w:lang w:val="sr-Latn-RS"/>
        </w:rPr>
        <w:t>j</w:t>
      </w:r>
      <w:r w:rsidRPr="00394D9A">
        <w:rPr>
          <w:noProof/>
          <w:szCs w:val="22"/>
          <w:lang w:val="sr-Latn-RS"/>
        </w:rPr>
        <w:t xml:space="preserve">e veličine doza dabigatraneteksilata su takođe bile povezane sa statistički značajno nižom ukupnom stopom krvarenja. Ispitanici randomizovani da primaju dabigatraneteksilat 110 mg dva puta na dan imali su značajno manji rizik od većih krvarenja u poređenju sa varfarinom (odnos rizika (engl. </w:t>
      </w:r>
      <w:r w:rsidRPr="00394D9A">
        <w:rPr>
          <w:i/>
          <w:iCs/>
          <w:noProof/>
          <w:szCs w:val="22"/>
          <w:lang w:val="sr-Latn-RS"/>
        </w:rPr>
        <w:t>hazard ratio, HR</w:t>
      </w:r>
      <w:r w:rsidRPr="00394D9A">
        <w:rPr>
          <w:noProof/>
          <w:szCs w:val="22"/>
          <w:lang w:val="sr-Latn-RS"/>
        </w:rPr>
        <w:t>) 0,81 [p=0,0027]). Ispitanici randomizovani da primaju dabigatraneteksilat 150 mg dva puta na dan imali su značajno veći rizik od težih GI krvarenja u poređenju sa varfarinom (odnos rizika 1,48 [p=0,0005]. Ovo dejstvo se prvenstveno javljalo kod pacijenata ≥</w:t>
      </w:r>
      <w:r w:rsidR="005C7549" w:rsidRPr="00394D9A">
        <w:rPr>
          <w:noProof/>
          <w:szCs w:val="22"/>
          <w:lang w:val="sr-Latn-RS"/>
        </w:rPr>
        <w:t xml:space="preserve"> </w:t>
      </w:r>
      <w:r w:rsidRPr="00394D9A">
        <w:rPr>
          <w:noProof/>
          <w:szCs w:val="22"/>
          <w:lang w:val="sr-Latn-RS"/>
        </w:rPr>
        <w:t>75 godina.</w:t>
      </w:r>
    </w:p>
    <w:p w14:paraId="26D2244A" w14:textId="62396FA3" w:rsidR="005C685F" w:rsidRPr="00394D9A" w:rsidRDefault="005C685F" w:rsidP="00187D17">
      <w:pPr>
        <w:widowControl w:val="0"/>
        <w:rPr>
          <w:noProof/>
          <w:szCs w:val="22"/>
          <w:lang w:val="sr-Latn-RS"/>
        </w:rPr>
      </w:pPr>
      <w:r w:rsidRPr="00394D9A">
        <w:rPr>
          <w:noProof/>
          <w:szCs w:val="22"/>
          <w:lang w:val="sr-Latn-RS"/>
        </w:rPr>
        <w:t>Klinička korist od dabigatrana kada se radi o prevenciji moždanog udara i sistemske embolije i smanjenja rizika od IKH u poređenju sa varfarinom očuvana je u svim pojedinačnim podgrupama, npr. oštećenje funkcije bubrega, godine starosti, isto</w:t>
      </w:r>
      <w:r w:rsidR="00BD52DD" w:rsidRPr="00394D9A">
        <w:rPr>
          <w:noProof/>
          <w:szCs w:val="22"/>
          <w:lang w:val="sr-Latn-RS"/>
        </w:rPr>
        <w:t>vreme</w:t>
      </w:r>
      <w:r w:rsidRPr="00394D9A">
        <w:rPr>
          <w:noProof/>
          <w:szCs w:val="22"/>
          <w:lang w:val="sr-Latn-RS"/>
        </w:rPr>
        <w:t xml:space="preserve">ne upotrebe </w:t>
      </w:r>
      <w:r w:rsidR="00A639DA" w:rsidRPr="00394D9A">
        <w:rPr>
          <w:noProof/>
          <w:szCs w:val="22"/>
          <w:lang w:val="sr-Latn-RS"/>
        </w:rPr>
        <w:t xml:space="preserve">ljekova </w:t>
      </w:r>
      <w:r w:rsidRPr="00394D9A">
        <w:rPr>
          <w:noProof/>
          <w:szCs w:val="22"/>
          <w:lang w:val="sr-Latn-RS"/>
        </w:rPr>
        <w:t xml:space="preserve"> kao što su inhibitori agregacije trombocita ili inhibitori P-gp. Dok su neke grupe pacijenata pod povećanim rizikom od većeg krvarenja kada se l</w:t>
      </w:r>
      <w:r w:rsidR="006561D1" w:rsidRPr="00394D9A">
        <w:rPr>
          <w:noProof/>
          <w:szCs w:val="22"/>
          <w:lang w:val="sr-Latn-RS"/>
        </w:rPr>
        <w:t>ij</w:t>
      </w:r>
      <w:r w:rsidRPr="00394D9A">
        <w:rPr>
          <w:noProof/>
          <w:szCs w:val="22"/>
          <w:lang w:val="sr-Latn-RS"/>
        </w:rPr>
        <w:t>eče antikoagulansima, povećani rizik od krvarenja kada se radi o dabigatranu posl</w:t>
      </w:r>
      <w:r w:rsidR="005818CE" w:rsidRPr="00394D9A">
        <w:rPr>
          <w:noProof/>
          <w:szCs w:val="22"/>
          <w:lang w:val="sr-Latn-RS"/>
        </w:rPr>
        <w:t>j</w:t>
      </w:r>
      <w:r w:rsidRPr="00394D9A">
        <w:rPr>
          <w:noProof/>
          <w:szCs w:val="22"/>
          <w:lang w:val="sr-Latn-RS"/>
        </w:rPr>
        <w:t xml:space="preserve">edica je GI krvarenja, koje se tipično viđa u prvih 3-6 </w:t>
      </w:r>
      <w:r w:rsidR="006561D1" w:rsidRPr="00394D9A">
        <w:rPr>
          <w:noProof/>
          <w:szCs w:val="22"/>
          <w:lang w:val="sr-Latn-RS"/>
        </w:rPr>
        <w:t>mjeseci</w:t>
      </w:r>
      <w:r w:rsidRPr="00394D9A">
        <w:rPr>
          <w:noProof/>
          <w:szCs w:val="22"/>
          <w:lang w:val="sr-Latn-RS"/>
        </w:rPr>
        <w:t xml:space="preserve"> po uvođenju terapije </w:t>
      </w:r>
      <w:r w:rsidR="00A639DA" w:rsidRPr="00394D9A">
        <w:rPr>
          <w:noProof/>
          <w:szCs w:val="22"/>
          <w:lang w:val="sr-Latn-RS"/>
        </w:rPr>
        <w:t>lijekom</w:t>
      </w:r>
      <w:r w:rsidRPr="00394D9A">
        <w:rPr>
          <w:noProof/>
          <w:szCs w:val="22"/>
          <w:lang w:val="sr-Latn-RS"/>
        </w:rPr>
        <w:t xml:space="preserve"> Dabigatran SK.</w:t>
      </w:r>
    </w:p>
    <w:p w14:paraId="34EE9958" w14:textId="407DA04F" w:rsidR="00E04734" w:rsidRPr="00394D9A" w:rsidRDefault="00E04734" w:rsidP="00187D17">
      <w:pPr>
        <w:widowControl w:val="0"/>
        <w:rPr>
          <w:noProof/>
          <w:szCs w:val="22"/>
          <w:lang w:val="sr-Latn-RS"/>
        </w:rPr>
      </w:pPr>
    </w:p>
    <w:p w14:paraId="3FF85B42" w14:textId="7BF0518D" w:rsidR="005F5B5F" w:rsidRPr="00394D9A" w:rsidRDefault="005F5B5F" w:rsidP="00187D17">
      <w:pPr>
        <w:widowControl w:val="0"/>
        <w:rPr>
          <w:i/>
          <w:iCs/>
          <w:noProof/>
          <w:szCs w:val="22"/>
          <w:lang w:val="sr-Latn-RS"/>
        </w:rPr>
      </w:pPr>
      <w:r w:rsidRPr="00394D9A">
        <w:rPr>
          <w:i/>
          <w:iCs/>
          <w:noProof/>
          <w:szCs w:val="22"/>
          <w:lang w:val="sr-Latn-RS"/>
        </w:rPr>
        <w:t>L</w:t>
      </w:r>
      <w:r w:rsidR="006561D1" w:rsidRPr="00394D9A">
        <w:rPr>
          <w:i/>
          <w:iCs/>
          <w:noProof/>
          <w:szCs w:val="22"/>
          <w:lang w:val="sr-Latn-RS"/>
        </w:rPr>
        <w:t>ij</w:t>
      </w:r>
      <w:r w:rsidRPr="00394D9A">
        <w:rPr>
          <w:i/>
          <w:iCs/>
          <w:noProof/>
          <w:szCs w:val="22"/>
          <w:lang w:val="sr-Latn-RS"/>
        </w:rPr>
        <w:t>ečenje duboke venske tromboze (DVT) i plućne embolije (PE) i prevencija rekurentne DVT i PE kod odraslih pacijenata (DVT/PE)</w:t>
      </w:r>
    </w:p>
    <w:p w14:paraId="478C3FFE" w14:textId="77777777" w:rsidR="005F5B5F" w:rsidRPr="00394D9A" w:rsidRDefault="005F5B5F" w:rsidP="00187D17">
      <w:pPr>
        <w:widowControl w:val="0"/>
        <w:rPr>
          <w:noProof/>
          <w:szCs w:val="22"/>
          <w:lang w:val="sr-Latn-RS"/>
        </w:rPr>
      </w:pPr>
    </w:p>
    <w:p w14:paraId="2E7BD14A" w14:textId="4759E42E" w:rsidR="00E04734" w:rsidRPr="00394D9A" w:rsidRDefault="005C685F" w:rsidP="00187D17">
      <w:pPr>
        <w:widowControl w:val="0"/>
        <w:rPr>
          <w:noProof/>
          <w:szCs w:val="22"/>
          <w:lang w:val="sr-Latn-RS"/>
        </w:rPr>
      </w:pPr>
      <w:r w:rsidRPr="00394D9A">
        <w:rPr>
          <w:noProof/>
          <w:szCs w:val="22"/>
          <w:lang w:val="sr-Latn-RS"/>
        </w:rPr>
        <w:t>U t</w:t>
      </w:r>
      <w:r w:rsidR="005F5B5F" w:rsidRPr="00394D9A">
        <w:rPr>
          <w:noProof/>
          <w:szCs w:val="22"/>
          <w:lang w:val="sr-Latn-RS"/>
        </w:rPr>
        <w:t>abel</w:t>
      </w:r>
      <w:r w:rsidRPr="00394D9A">
        <w:rPr>
          <w:noProof/>
          <w:szCs w:val="22"/>
          <w:lang w:val="sr-Latn-RS"/>
        </w:rPr>
        <w:t>i</w:t>
      </w:r>
      <w:r w:rsidR="005F5B5F" w:rsidRPr="00394D9A">
        <w:rPr>
          <w:noProof/>
          <w:szCs w:val="22"/>
          <w:lang w:val="sr-Latn-RS"/>
        </w:rPr>
        <w:t xml:space="preserve"> 1</w:t>
      </w:r>
      <w:r w:rsidR="00442BCA" w:rsidRPr="00394D9A">
        <w:rPr>
          <w:noProof/>
          <w:szCs w:val="22"/>
          <w:lang w:val="sr-Latn-RS"/>
        </w:rPr>
        <w:t>3</w:t>
      </w:r>
      <w:r w:rsidR="005F5B5F" w:rsidRPr="00394D9A">
        <w:rPr>
          <w:noProof/>
          <w:szCs w:val="22"/>
          <w:lang w:val="sr-Latn-RS"/>
        </w:rPr>
        <w:t xml:space="preserve"> </w:t>
      </w:r>
      <w:r w:rsidR="005818CE" w:rsidRPr="00394D9A">
        <w:rPr>
          <w:noProof/>
          <w:szCs w:val="22"/>
          <w:lang w:val="sr-Latn-RS"/>
        </w:rPr>
        <w:t xml:space="preserve">prikazani </w:t>
      </w:r>
      <w:r w:rsidRPr="00394D9A">
        <w:rPr>
          <w:noProof/>
          <w:szCs w:val="22"/>
          <w:lang w:val="sr-Latn-RS"/>
        </w:rPr>
        <w:t>su</w:t>
      </w:r>
      <w:r w:rsidR="005F5B5F" w:rsidRPr="00394D9A">
        <w:rPr>
          <w:noProof/>
          <w:szCs w:val="22"/>
          <w:lang w:val="sr-Latn-RS"/>
        </w:rPr>
        <w:t xml:space="preserve"> događaj</w:t>
      </w:r>
      <w:r w:rsidRPr="00394D9A">
        <w:rPr>
          <w:noProof/>
          <w:szCs w:val="22"/>
          <w:lang w:val="sr-Latn-RS"/>
        </w:rPr>
        <w:t>i</w:t>
      </w:r>
      <w:r w:rsidR="005F5B5F" w:rsidRPr="00394D9A">
        <w:rPr>
          <w:noProof/>
          <w:szCs w:val="22"/>
          <w:lang w:val="sr-Latn-RS"/>
        </w:rPr>
        <w:t xml:space="preserve"> povezan</w:t>
      </w:r>
      <w:r w:rsidRPr="00394D9A">
        <w:rPr>
          <w:noProof/>
          <w:szCs w:val="22"/>
          <w:lang w:val="sr-Latn-RS"/>
        </w:rPr>
        <w:t>i</w:t>
      </w:r>
      <w:r w:rsidR="005F5B5F" w:rsidRPr="00394D9A">
        <w:rPr>
          <w:noProof/>
          <w:szCs w:val="22"/>
          <w:lang w:val="sr-Latn-RS"/>
        </w:rPr>
        <w:t xml:space="preserve"> sa krvarenjem u združenim pivotalnim kliničkim ispitivanjima, RE</w:t>
      </w:r>
      <w:r w:rsidRPr="00394D9A">
        <w:rPr>
          <w:noProof/>
          <w:szCs w:val="22"/>
          <w:lang w:val="sr-Latn-RS"/>
        </w:rPr>
        <w:t>-</w:t>
      </w:r>
      <w:r w:rsidR="005F5B5F" w:rsidRPr="00394D9A">
        <w:rPr>
          <w:noProof/>
          <w:szCs w:val="22"/>
          <w:lang w:val="sr-Latn-RS"/>
        </w:rPr>
        <w:t>COVER i RE-COVER II, koja ispituju l</w:t>
      </w:r>
      <w:r w:rsidR="006561D1" w:rsidRPr="00394D9A">
        <w:rPr>
          <w:noProof/>
          <w:szCs w:val="22"/>
          <w:lang w:val="sr-Latn-RS"/>
        </w:rPr>
        <w:t>ij</w:t>
      </w:r>
      <w:r w:rsidR="005F5B5F" w:rsidRPr="00394D9A">
        <w:rPr>
          <w:noProof/>
          <w:szCs w:val="22"/>
          <w:lang w:val="sr-Latn-RS"/>
        </w:rPr>
        <w:t>ečenje duboke venske tromboze (DVT) i plućne embolije (PE). U združenim ispitivanjima primarni ciljevi za proc</w:t>
      </w:r>
      <w:r w:rsidR="006561D1" w:rsidRPr="00394D9A">
        <w:rPr>
          <w:noProof/>
          <w:szCs w:val="22"/>
          <w:lang w:val="sr-Latn-RS"/>
        </w:rPr>
        <w:t>j</w:t>
      </w:r>
      <w:r w:rsidR="005F5B5F" w:rsidRPr="00394D9A">
        <w:rPr>
          <w:noProof/>
          <w:szCs w:val="22"/>
          <w:lang w:val="sr-Latn-RS"/>
        </w:rPr>
        <w:t>enu bezb</w:t>
      </w:r>
      <w:r w:rsidR="006561D1" w:rsidRPr="00394D9A">
        <w:rPr>
          <w:noProof/>
          <w:szCs w:val="22"/>
          <w:lang w:val="sr-Latn-RS"/>
        </w:rPr>
        <w:t>j</w:t>
      </w:r>
      <w:r w:rsidR="005F5B5F" w:rsidRPr="00394D9A">
        <w:rPr>
          <w:noProof/>
          <w:szCs w:val="22"/>
          <w:lang w:val="sr-Latn-RS"/>
        </w:rPr>
        <w:t>ednosti velikog krvarenja, velikog ili klinički značajnog krvarenja, kao i svakog krvarenja bili su značajno manji nego sa varfarinom na nominalnom alfa-nivou od 5 %.</w:t>
      </w:r>
    </w:p>
    <w:p w14:paraId="3B6BA0E1" w14:textId="2B07B4A7" w:rsidR="008B462B" w:rsidRPr="00394D9A" w:rsidRDefault="008B462B" w:rsidP="00187D17">
      <w:pPr>
        <w:widowControl w:val="0"/>
        <w:rPr>
          <w:noProof/>
          <w:szCs w:val="22"/>
          <w:lang w:val="sr-Latn-RS"/>
        </w:rPr>
      </w:pPr>
    </w:p>
    <w:p w14:paraId="61AA2722" w14:textId="5E93A20F" w:rsidR="008B462B" w:rsidRPr="00394D9A" w:rsidRDefault="008B462B" w:rsidP="00187D17">
      <w:pPr>
        <w:widowControl w:val="0"/>
        <w:rPr>
          <w:b/>
          <w:bCs/>
          <w:noProof/>
          <w:szCs w:val="22"/>
          <w:lang w:val="sr-Latn-RS"/>
        </w:rPr>
      </w:pPr>
      <w:r w:rsidRPr="00394D9A">
        <w:rPr>
          <w:b/>
          <w:bCs/>
          <w:noProof/>
          <w:szCs w:val="22"/>
          <w:lang w:val="sr-Latn-RS"/>
        </w:rPr>
        <w:t>Tabela 1</w:t>
      </w:r>
      <w:r w:rsidR="00442BCA" w:rsidRPr="00394D9A">
        <w:rPr>
          <w:b/>
          <w:bCs/>
          <w:noProof/>
          <w:szCs w:val="22"/>
          <w:lang w:val="sr-Latn-RS"/>
        </w:rPr>
        <w:t>3</w:t>
      </w:r>
      <w:r w:rsidRPr="00394D9A">
        <w:rPr>
          <w:b/>
          <w:bCs/>
          <w:noProof/>
          <w:szCs w:val="22"/>
          <w:lang w:val="sr-Latn-RS"/>
        </w:rPr>
        <w:t>: Događaji povezani sa krvarenjem u kliničkim ispitivanjima RE-COVER i RE-COVER II za proc</w:t>
      </w:r>
      <w:r w:rsidR="005818CE" w:rsidRPr="00394D9A">
        <w:rPr>
          <w:b/>
          <w:bCs/>
          <w:noProof/>
          <w:szCs w:val="22"/>
          <w:lang w:val="sr-Latn-RS"/>
        </w:rPr>
        <w:t>j</w:t>
      </w:r>
      <w:r w:rsidRPr="00394D9A">
        <w:rPr>
          <w:b/>
          <w:bCs/>
          <w:noProof/>
          <w:szCs w:val="22"/>
          <w:lang w:val="sr-Latn-RS"/>
        </w:rPr>
        <w:t>enu l</w:t>
      </w:r>
      <w:r w:rsidR="005818CE" w:rsidRPr="00394D9A">
        <w:rPr>
          <w:b/>
          <w:bCs/>
          <w:noProof/>
          <w:szCs w:val="22"/>
          <w:lang w:val="sr-Latn-RS"/>
        </w:rPr>
        <w:t>ij</w:t>
      </w:r>
      <w:r w:rsidRPr="00394D9A">
        <w:rPr>
          <w:b/>
          <w:bCs/>
          <w:noProof/>
          <w:szCs w:val="22"/>
          <w:lang w:val="sr-Latn-RS"/>
        </w:rPr>
        <w:t>ečenja duboke venske tromboze (DVT) i plućne embolije (PE).</w:t>
      </w:r>
    </w:p>
    <w:p w14:paraId="03B738CD" w14:textId="270AC899" w:rsidR="008B462B" w:rsidRPr="00394D9A" w:rsidRDefault="008B462B" w:rsidP="00187D17">
      <w:pPr>
        <w:widowControl w:val="0"/>
        <w:rPr>
          <w:b/>
          <w:bCs/>
          <w:noProof/>
          <w:szCs w:val="22"/>
          <w:lang w:val="sr-Latn-RS"/>
        </w:rPr>
      </w:pPr>
    </w:p>
    <w:tbl>
      <w:tblPr>
        <w:tblStyle w:val="TableGrid"/>
        <w:tblW w:w="0" w:type="auto"/>
        <w:tblLook w:val="04A0" w:firstRow="1" w:lastRow="0" w:firstColumn="1" w:lastColumn="0" w:noHBand="0" w:noVBand="1"/>
      </w:tblPr>
      <w:tblGrid>
        <w:gridCol w:w="2558"/>
        <w:gridCol w:w="2317"/>
        <w:gridCol w:w="1948"/>
        <w:gridCol w:w="2238"/>
      </w:tblGrid>
      <w:tr w:rsidR="00D02FCA" w:rsidRPr="00394D9A" w14:paraId="55705089" w14:textId="77777777" w:rsidTr="00067C8A">
        <w:tc>
          <w:tcPr>
            <w:tcW w:w="2802" w:type="dxa"/>
          </w:tcPr>
          <w:p w14:paraId="6EBA268B" w14:textId="77777777" w:rsidR="00D02FCA" w:rsidRPr="00394D9A" w:rsidRDefault="00D02FCA" w:rsidP="00187D17">
            <w:pPr>
              <w:widowControl w:val="0"/>
              <w:rPr>
                <w:b/>
                <w:bCs/>
                <w:noProof/>
                <w:szCs w:val="22"/>
                <w:lang w:val="sr-Latn-RS"/>
              </w:rPr>
            </w:pPr>
          </w:p>
        </w:tc>
        <w:tc>
          <w:tcPr>
            <w:tcW w:w="2409" w:type="dxa"/>
            <w:vAlign w:val="center"/>
          </w:tcPr>
          <w:p w14:paraId="7665A4CB" w14:textId="6A1C5985" w:rsidR="00D02FCA" w:rsidRPr="00394D9A" w:rsidRDefault="00D02FCA" w:rsidP="00187D17">
            <w:pPr>
              <w:widowControl w:val="0"/>
              <w:jc w:val="center"/>
              <w:rPr>
                <w:noProof/>
                <w:szCs w:val="22"/>
                <w:lang w:val="sr-Latn-RS"/>
              </w:rPr>
            </w:pPr>
            <w:r w:rsidRPr="00394D9A">
              <w:rPr>
                <w:noProof/>
                <w:szCs w:val="22"/>
                <w:lang w:val="sr-Latn-RS"/>
              </w:rPr>
              <w:t>Dabigatraneteksilat 150</w:t>
            </w:r>
            <w:r w:rsidR="005C685F" w:rsidRPr="00394D9A">
              <w:rPr>
                <w:noProof/>
                <w:szCs w:val="22"/>
                <w:lang w:val="sr-Latn-RS"/>
              </w:rPr>
              <w:t> </w:t>
            </w:r>
            <w:r w:rsidRPr="00394D9A">
              <w:rPr>
                <w:noProof/>
                <w:szCs w:val="22"/>
                <w:lang w:val="sr-Latn-RS"/>
              </w:rPr>
              <w:t>mg dva puta na dan</w:t>
            </w:r>
          </w:p>
        </w:tc>
        <w:tc>
          <w:tcPr>
            <w:tcW w:w="2180" w:type="dxa"/>
            <w:vAlign w:val="center"/>
          </w:tcPr>
          <w:p w14:paraId="346FFB27" w14:textId="2E38B2B5" w:rsidR="00D02FCA" w:rsidRPr="00394D9A" w:rsidRDefault="00D02FCA" w:rsidP="00187D17">
            <w:pPr>
              <w:widowControl w:val="0"/>
              <w:jc w:val="center"/>
              <w:rPr>
                <w:noProof/>
                <w:szCs w:val="22"/>
                <w:lang w:val="sr-Latn-RS"/>
              </w:rPr>
            </w:pPr>
            <w:r w:rsidRPr="00394D9A">
              <w:rPr>
                <w:noProof/>
                <w:szCs w:val="22"/>
                <w:lang w:val="sr-Latn-RS"/>
              </w:rPr>
              <w:t>Varfarin</w:t>
            </w:r>
          </w:p>
        </w:tc>
        <w:tc>
          <w:tcPr>
            <w:tcW w:w="2464" w:type="dxa"/>
            <w:vAlign w:val="center"/>
          </w:tcPr>
          <w:p w14:paraId="4702E74D" w14:textId="73F4E5F0" w:rsidR="00D02FCA" w:rsidRPr="00394D9A" w:rsidRDefault="00D02FCA" w:rsidP="00187D17">
            <w:pPr>
              <w:widowControl w:val="0"/>
              <w:jc w:val="center"/>
              <w:rPr>
                <w:noProof/>
                <w:szCs w:val="22"/>
                <w:lang w:val="sr-Latn-RS"/>
              </w:rPr>
            </w:pPr>
            <w:r w:rsidRPr="00394D9A">
              <w:rPr>
                <w:noProof/>
                <w:szCs w:val="22"/>
                <w:lang w:val="sr-Latn-RS"/>
              </w:rPr>
              <w:t>Odnos rizika u odnosu na varfarin (interval pouzdanosti</w:t>
            </w:r>
            <w:r w:rsidR="005C685F" w:rsidRPr="00394D9A">
              <w:rPr>
                <w:noProof/>
                <w:szCs w:val="22"/>
                <w:lang w:val="sr-Latn-RS"/>
              </w:rPr>
              <w:t xml:space="preserve"> 95%</w:t>
            </w:r>
            <w:r w:rsidRPr="00394D9A">
              <w:rPr>
                <w:noProof/>
                <w:szCs w:val="22"/>
                <w:lang w:val="sr-Latn-RS"/>
              </w:rPr>
              <w:t>)</w:t>
            </w:r>
          </w:p>
        </w:tc>
      </w:tr>
      <w:tr w:rsidR="00D02FCA" w:rsidRPr="00394D9A" w14:paraId="52C5AE6A" w14:textId="77777777" w:rsidTr="00067C8A">
        <w:tc>
          <w:tcPr>
            <w:tcW w:w="2802" w:type="dxa"/>
          </w:tcPr>
          <w:p w14:paraId="50CE7042" w14:textId="0833CD91" w:rsidR="00D02FCA" w:rsidRPr="00394D9A" w:rsidRDefault="00D02FCA" w:rsidP="00187D17">
            <w:pPr>
              <w:widowControl w:val="0"/>
              <w:jc w:val="left"/>
              <w:rPr>
                <w:noProof/>
                <w:szCs w:val="22"/>
                <w:lang w:val="sr-Latn-RS"/>
              </w:rPr>
            </w:pPr>
            <w:r w:rsidRPr="00394D9A">
              <w:rPr>
                <w:noProof/>
                <w:szCs w:val="22"/>
                <w:lang w:val="sr-Latn-RS"/>
              </w:rPr>
              <w:t>Pacijenti uključeni u analizu bezb</w:t>
            </w:r>
            <w:r w:rsidR="006561D1" w:rsidRPr="00394D9A">
              <w:rPr>
                <w:noProof/>
                <w:szCs w:val="22"/>
                <w:lang w:val="sr-Latn-RS"/>
              </w:rPr>
              <w:t>j</w:t>
            </w:r>
            <w:r w:rsidRPr="00394D9A">
              <w:rPr>
                <w:noProof/>
                <w:szCs w:val="22"/>
                <w:lang w:val="sr-Latn-RS"/>
              </w:rPr>
              <w:t>ednosti</w:t>
            </w:r>
          </w:p>
        </w:tc>
        <w:tc>
          <w:tcPr>
            <w:tcW w:w="2409" w:type="dxa"/>
            <w:vAlign w:val="center"/>
          </w:tcPr>
          <w:p w14:paraId="1AB581AD" w14:textId="40545193" w:rsidR="00D02FCA" w:rsidRPr="00394D9A" w:rsidRDefault="00D02FCA" w:rsidP="00187D17">
            <w:pPr>
              <w:widowControl w:val="0"/>
              <w:jc w:val="center"/>
              <w:rPr>
                <w:noProof/>
                <w:szCs w:val="22"/>
                <w:lang w:val="sr-Latn-RS"/>
              </w:rPr>
            </w:pPr>
            <w:r w:rsidRPr="00394D9A">
              <w:rPr>
                <w:noProof/>
                <w:szCs w:val="22"/>
                <w:lang w:val="sr-Latn-RS"/>
              </w:rPr>
              <w:t>2456</w:t>
            </w:r>
          </w:p>
        </w:tc>
        <w:tc>
          <w:tcPr>
            <w:tcW w:w="2180" w:type="dxa"/>
            <w:vAlign w:val="center"/>
          </w:tcPr>
          <w:p w14:paraId="403C7A54" w14:textId="5D1BA4C3" w:rsidR="00D02FCA" w:rsidRPr="00394D9A" w:rsidRDefault="00D02FCA" w:rsidP="00187D17">
            <w:pPr>
              <w:widowControl w:val="0"/>
              <w:jc w:val="center"/>
              <w:rPr>
                <w:noProof/>
                <w:szCs w:val="22"/>
                <w:lang w:val="sr-Latn-RS"/>
              </w:rPr>
            </w:pPr>
            <w:r w:rsidRPr="00394D9A">
              <w:rPr>
                <w:noProof/>
                <w:szCs w:val="22"/>
                <w:lang w:val="sr-Latn-RS"/>
              </w:rPr>
              <w:t>2462</w:t>
            </w:r>
          </w:p>
        </w:tc>
        <w:tc>
          <w:tcPr>
            <w:tcW w:w="2464" w:type="dxa"/>
            <w:vAlign w:val="center"/>
          </w:tcPr>
          <w:p w14:paraId="6B2DAFFF" w14:textId="77777777" w:rsidR="00D02FCA" w:rsidRPr="00394D9A" w:rsidRDefault="00D02FCA" w:rsidP="00187D17">
            <w:pPr>
              <w:widowControl w:val="0"/>
              <w:jc w:val="center"/>
              <w:rPr>
                <w:noProof/>
                <w:szCs w:val="22"/>
                <w:lang w:val="sr-Latn-RS"/>
              </w:rPr>
            </w:pPr>
          </w:p>
        </w:tc>
      </w:tr>
      <w:tr w:rsidR="00D02FCA" w:rsidRPr="00394D9A" w14:paraId="0A43C489" w14:textId="77777777" w:rsidTr="00067C8A">
        <w:tc>
          <w:tcPr>
            <w:tcW w:w="2802" w:type="dxa"/>
          </w:tcPr>
          <w:p w14:paraId="04C0FE30" w14:textId="3C304DE9" w:rsidR="00D02FCA" w:rsidRPr="00394D9A" w:rsidRDefault="00D02FCA" w:rsidP="00187D17">
            <w:pPr>
              <w:widowControl w:val="0"/>
              <w:jc w:val="left"/>
              <w:rPr>
                <w:noProof/>
                <w:szCs w:val="22"/>
                <w:lang w:val="sr-Latn-RS"/>
              </w:rPr>
            </w:pPr>
            <w:r w:rsidRPr="00394D9A">
              <w:rPr>
                <w:noProof/>
                <w:szCs w:val="22"/>
                <w:lang w:val="sr-Latn-RS"/>
              </w:rPr>
              <w:t>Događaji velikog krvarenja</w:t>
            </w:r>
          </w:p>
        </w:tc>
        <w:tc>
          <w:tcPr>
            <w:tcW w:w="2409" w:type="dxa"/>
            <w:vAlign w:val="center"/>
          </w:tcPr>
          <w:p w14:paraId="7AE43D91" w14:textId="12EAA826" w:rsidR="00D02FCA" w:rsidRPr="00394D9A" w:rsidRDefault="00D02FCA" w:rsidP="00187D17">
            <w:pPr>
              <w:widowControl w:val="0"/>
              <w:jc w:val="center"/>
              <w:rPr>
                <w:noProof/>
                <w:szCs w:val="22"/>
                <w:lang w:val="sr-Latn-RS"/>
              </w:rPr>
            </w:pPr>
            <w:r w:rsidRPr="00394D9A">
              <w:rPr>
                <w:noProof/>
                <w:szCs w:val="22"/>
                <w:lang w:val="sr-Latn-RS"/>
              </w:rPr>
              <w:t>24 (1,0%)</w:t>
            </w:r>
          </w:p>
        </w:tc>
        <w:tc>
          <w:tcPr>
            <w:tcW w:w="2180" w:type="dxa"/>
            <w:vAlign w:val="center"/>
          </w:tcPr>
          <w:p w14:paraId="211AE47B" w14:textId="3C0781C5" w:rsidR="00D02FCA" w:rsidRPr="00394D9A" w:rsidRDefault="00D02FCA" w:rsidP="00187D17">
            <w:pPr>
              <w:widowControl w:val="0"/>
              <w:jc w:val="center"/>
              <w:rPr>
                <w:noProof/>
                <w:szCs w:val="22"/>
                <w:lang w:val="sr-Latn-RS"/>
              </w:rPr>
            </w:pPr>
            <w:r w:rsidRPr="00394D9A">
              <w:rPr>
                <w:noProof/>
                <w:szCs w:val="22"/>
                <w:lang w:val="sr-Latn-RS"/>
              </w:rPr>
              <w:t>40 (1,6%)</w:t>
            </w:r>
          </w:p>
        </w:tc>
        <w:tc>
          <w:tcPr>
            <w:tcW w:w="2464" w:type="dxa"/>
            <w:vAlign w:val="center"/>
          </w:tcPr>
          <w:p w14:paraId="1FBBFF74" w14:textId="02F5C823" w:rsidR="00D02FCA" w:rsidRPr="00394D9A" w:rsidRDefault="00D02FCA" w:rsidP="00187D17">
            <w:pPr>
              <w:widowControl w:val="0"/>
              <w:jc w:val="center"/>
              <w:rPr>
                <w:noProof/>
                <w:szCs w:val="22"/>
                <w:lang w:val="sr-Latn-RS"/>
              </w:rPr>
            </w:pPr>
            <w:r w:rsidRPr="00394D9A">
              <w:rPr>
                <w:noProof/>
                <w:szCs w:val="22"/>
                <w:lang w:val="sr-Latn-RS"/>
              </w:rPr>
              <w:t>0,60 (0,36; 0,99)</w:t>
            </w:r>
          </w:p>
        </w:tc>
      </w:tr>
      <w:tr w:rsidR="00D02FCA" w:rsidRPr="00394D9A" w14:paraId="2A897567" w14:textId="77777777" w:rsidTr="00067C8A">
        <w:tc>
          <w:tcPr>
            <w:tcW w:w="2802" w:type="dxa"/>
          </w:tcPr>
          <w:p w14:paraId="64D76281" w14:textId="3DC69586" w:rsidR="00D02FCA" w:rsidRPr="00394D9A" w:rsidRDefault="00D02FCA" w:rsidP="00187D17">
            <w:pPr>
              <w:widowControl w:val="0"/>
              <w:jc w:val="left"/>
              <w:rPr>
                <w:noProof/>
                <w:szCs w:val="22"/>
                <w:lang w:val="sr-Latn-RS"/>
              </w:rPr>
            </w:pPr>
            <w:r w:rsidRPr="00394D9A">
              <w:rPr>
                <w:noProof/>
                <w:szCs w:val="22"/>
                <w:lang w:val="sr-Latn-RS"/>
              </w:rPr>
              <w:t xml:space="preserve">Intrakranijalno </w:t>
            </w:r>
            <w:r w:rsidR="00067C8A" w:rsidRPr="00394D9A">
              <w:rPr>
                <w:noProof/>
                <w:szCs w:val="22"/>
                <w:lang w:val="sr-Latn-RS"/>
              </w:rPr>
              <w:t xml:space="preserve">  </w:t>
            </w:r>
            <w:r w:rsidRPr="00394D9A">
              <w:rPr>
                <w:noProof/>
                <w:szCs w:val="22"/>
                <w:lang w:val="sr-Latn-RS"/>
              </w:rPr>
              <w:t>krvarenje</w:t>
            </w:r>
          </w:p>
        </w:tc>
        <w:tc>
          <w:tcPr>
            <w:tcW w:w="2409" w:type="dxa"/>
            <w:vAlign w:val="center"/>
          </w:tcPr>
          <w:p w14:paraId="35EAEB8B" w14:textId="295D6733" w:rsidR="00D02FCA" w:rsidRPr="00394D9A" w:rsidRDefault="00D02FCA" w:rsidP="00187D17">
            <w:pPr>
              <w:widowControl w:val="0"/>
              <w:jc w:val="center"/>
              <w:rPr>
                <w:noProof/>
                <w:szCs w:val="22"/>
                <w:lang w:val="sr-Latn-RS"/>
              </w:rPr>
            </w:pPr>
            <w:r w:rsidRPr="00394D9A">
              <w:rPr>
                <w:noProof/>
                <w:szCs w:val="22"/>
                <w:lang w:val="sr-Latn-RS"/>
              </w:rPr>
              <w:t>2 (0,1%)</w:t>
            </w:r>
          </w:p>
        </w:tc>
        <w:tc>
          <w:tcPr>
            <w:tcW w:w="2180" w:type="dxa"/>
            <w:vAlign w:val="center"/>
          </w:tcPr>
          <w:p w14:paraId="105B16EE" w14:textId="106AFED3" w:rsidR="00D02FCA" w:rsidRPr="00394D9A" w:rsidRDefault="00D02FCA" w:rsidP="00187D17">
            <w:pPr>
              <w:widowControl w:val="0"/>
              <w:jc w:val="center"/>
              <w:rPr>
                <w:noProof/>
                <w:szCs w:val="22"/>
                <w:lang w:val="sr-Latn-RS"/>
              </w:rPr>
            </w:pPr>
            <w:r w:rsidRPr="00394D9A">
              <w:rPr>
                <w:noProof/>
                <w:szCs w:val="22"/>
                <w:lang w:val="sr-Latn-RS"/>
              </w:rPr>
              <w:t>4 (0,2%)</w:t>
            </w:r>
          </w:p>
        </w:tc>
        <w:tc>
          <w:tcPr>
            <w:tcW w:w="2464" w:type="dxa"/>
            <w:vAlign w:val="center"/>
          </w:tcPr>
          <w:p w14:paraId="118B5D5D" w14:textId="4426BEB8" w:rsidR="00D02FCA" w:rsidRPr="00394D9A" w:rsidRDefault="00D02FCA" w:rsidP="00187D17">
            <w:pPr>
              <w:widowControl w:val="0"/>
              <w:jc w:val="center"/>
              <w:rPr>
                <w:noProof/>
                <w:szCs w:val="22"/>
                <w:lang w:val="sr-Latn-RS"/>
              </w:rPr>
            </w:pPr>
            <w:r w:rsidRPr="00394D9A">
              <w:rPr>
                <w:noProof/>
                <w:szCs w:val="22"/>
                <w:lang w:val="sr-Latn-RS"/>
              </w:rPr>
              <w:t>0,50 (0,09; 2,74)</w:t>
            </w:r>
          </w:p>
        </w:tc>
      </w:tr>
      <w:tr w:rsidR="00D02FCA" w:rsidRPr="00394D9A" w14:paraId="31A2AFA9" w14:textId="77777777" w:rsidTr="00067C8A">
        <w:tc>
          <w:tcPr>
            <w:tcW w:w="2802" w:type="dxa"/>
          </w:tcPr>
          <w:p w14:paraId="7669C83B" w14:textId="6CF3D929" w:rsidR="00D02FCA" w:rsidRPr="00394D9A" w:rsidRDefault="00D02FCA" w:rsidP="00187D17">
            <w:pPr>
              <w:widowControl w:val="0"/>
              <w:ind w:left="284"/>
              <w:jc w:val="left"/>
              <w:rPr>
                <w:noProof/>
                <w:szCs w:val="22"/>
                <w:lang w:val="sr-Latn-RS"/>
              </w:rPr>
            </w:pPr>
            <w:r w:rsidRPr="00394D9A">
              <w:rPr>
                <w:noProof/>
                <w:szCs w:val="22"/>
                <w:lang w:val="sr-Latn-RS"/>
              </w:rPr>
              <w:t>Veliko GI krvarenje</w:t>
            </w:r>
          </w:p>
        </w:tc>
        <w:tc>
          <w:tcPr>
            <w:tcW w:w="2409" w:type="dxa"/>
            <w:vAlign w:val="center"/>
          </w:tcPr>
          <w:p w14:paraId="53337B24" w14:textId="0D0B60C0" w:rsidR="00D02FCA" w:rsidRPr="00394D9A" w:rsidRDefault="00D02FCA" w:rsidP="00187D17">
            <w:pPr>
              <w:widowControl w:val="0"/>
              <w:jc w:val="center"/>
              <w:rPr>
                <w:noProof/>
                <w:szCs w:val="22"/>
                <w:lang w:val="sr-Latn-RS"/>
              </w:rPr>
            </w:pPr>
            <w:r w:rsidRPr="00394D9A">
              <w:rPr>
                <w:noProof/>
                <w:szCs w:val="22"/>
                <w:lang w:val="sr-Latn-RS"/>
              </w:rPr>
              <w:t>10 (0,4%)</w:t>
            </w:r>
          </w:p>
        </w:tc>
        <w:tc>
          <w:tcPr>
            <w:tcW w:w="2180" w:type="dxa"/>
            <w:vAlign w:val="center"/>
          </w:tcPr>
          <w:p w14:paraId="7907E9B8" w14:textId="2BD1A561" w:rsidR="00D02FCA" w:rsidRPr="00394D9A" w:rsidRDefault="00D02FCA" w:rsidP="00187D17">
            <w:pPr>
              <w:widowControl w:val="0"/>
              <w:jc w:val="center"/>
              <w:rPr>
                <w:noProof/>
                <w:szCs w:val="22"/>
                <w:lang w:val="sr-Latn-RS"/>
              </w:rPr>
            </w:pPr>
            <w:r w:rsidRPr="00394D9A">
              <w:rPr>
                <w:noProof/>
                <w:szCs w:val="22"/>
                <w:lang w:val="sr-Latn-RS"/>
              </w:rPr>
              <w:t>12 (0,5%)</w:t>
            </w:r>
          </w:p>
        </w:tc>
        <w:tc>
          <w:tcPr>
            <w:tcW w:w="2464" w:type="dxa"/>
            <w:vAlign w:val="center"/>
          </w:tcPr>
          <w:p w14:paraId="3F9E2949" w14:textId="2733E752" w:rsidR="00D02FCA" w:rsidRPr="00394D9A" w:rsidRDefault="00D02FCA" w:rsidP="00187D17">
            <w:pPr>
              <w:widowControl w:val="0"/>
              <w:jc w:val="center"/>
              <w:rPr>
                <w:noProof/>
                <w:szCs w:val="22"/>
                <w:lang w:val="sr-Latn-RS"/>
              </w:rPr>
            </w:pPr>
            <w:r w:rsidRPr="00394D9A">
              <w:rPr>
                <w:noProof/>
                <w:szCs w:val="22"/>
                <w:lang w:val="sr-Latn-RS"/>
              </w:rPr>
              <w:t>0,83 (0,36; 1,93)</w:t>
            </w:r>
          </w:p>
        </w:tc>
      </w:tr>
      <w:tr w:rsidR="00D02FCA" w:rsidRPr="00394D9A" w14:paraId="77E0E8CD" w14:textId="77777777" w:rsidTr="00067C8A">
        <w:tc>
          <w:tcPr>
            <w:tcW w:w="2802" w:type="dxa"/>
          </w:tcPr>
          <w:p w14:paraId="4939AD94" w14:textId="48B23597" w:rsidR="00D02FCA" w:rsidRPr="00394D9A" w:rsidRDefault="00D02FCA" w:rsidP="00187D17">
            <w:pPr>
              <w:widowControl w:val="0"/>
              <w:ind w:left="284"/>
              <w:jc w:val="left"/>
              <w:rPr>
                <w:noProof/>
                <w:szCs w:val="22"/>
                <w:lang w:val="sr-Latn-RS"/>
              </w:rPr>
            </w:pPr>
            <w:r w:rsidRPr="00394D9A">
              <w:rPr>
                <w:noProof/>
                <w:szCs w:val="22"/>
                <w:lang w:val="sr-Latn-RS"/>
              </w:rPr>
              <w:lastRenderedPageBreak/>
              <w:t>Po život opasno krvarenje</w:t>
            </w:r>
          </w:p>
        </w:tc>
        <w:tc>
          <w:tcPr>
            <w:tcW w:w="2409" w:type="dxa"/>
            <w:vAlign w:val="center"/>
          </w:tcPr>
          <w:p w14:paraId="44C4CFAC" w14:textId="3999E78F" w:rsidR="00D02FCA" w:rsidRPr="00394D9A" w:rsidRDefault="00D02FCA" w:rsidP="00187D17">
            <w:pPr>
              <w:widowControl w:val="0"/>
              <w:jc w:val="center"/>
              <w:rPr>
                <w:noProof/>
                <w:szCs w:val="22"/>
                <w:lang w:val="sr-Latn-RS"/>
              </w:rPr>
            </w:pPr>
            <w:r w:rsidRPr="00394D9A">
              <w:rPr>
                <w:noProof/>
                <w:szCs w:val="22"/>
                <w:lang w:val="sr-Latn-RS"/>
              </w:rPr>
              <w:t>4 (0,2%)</w:t>
            </w:r>
          </w:p>
        </w:tc>
        <w:tc>
          <w:tcPr>
            <w:tcW w:w="2180" w:type="dxa"/>
            <w:vAlign w:val="center"/>
          </w:tcPr>
          <w:p w14:paraId="4D5FC935" w14:textId="338893DB" w:rsidR="00D02FCA" w:rsidRPr="00394D9A" w:rsidRDefault="00D02FCA" w:rsidP="00187D17">
            <w:pPr>
              <w:widowControl w:val="0"/>
              <w:jc w:val="center"/>
              <w:rPr>
                <w:noProof/>
                <w:szCs w:val="22"/>
                <w:lang w:val="sr-Latn-RS"/>
              </w:rPr>
            </w:pPr>
            <w:r w:rsidRPr="00394D9A">
              <w:rPr>
                <w:noProof/>
                <w:szCs w:val="22"/>
                <w:lang w:val="sr-Latn-RS"/>
              </w:rPr>
              <w:t>6 (0,2%)</w:t>
            </w:r>
          </w:p>
        </w:tc>
        <w:tc>
          <w:tcPr>
            <w:tcW w:w="2464" w:type="dxa"/>
            <w:vAlign w:val="center"/>
          </w:tcPr>
          <w:p w14:paraId="6EB6DA48" w14:textId="61A91A7A" w:rsidR="00D02FCA" w:rsidRPr="00394D9A" w:rsidRDefault="00D02FCA" w:rsidP="00187D17">
            <w:pPr>
              <w:widowControl w:val="0"/>
              <w:jc w:val="center"/>
              <w:rPr>
                <w:noProof/>
                <w:szCs w:val="22"/>
                <w:lang w:val="sr-Latn-RS"/>
              </w:rPr>
            </w:pPr>
            <w:r w:rsidRPr="00394D9A">
              <w:rPr>
                <w:noProof/>
                <w:szCs w:val="22"/>
                <w:lang w:val="sr-Latn-RS"/>
              </w:rPr>
              <w:t>0,66 (0,19; 2,36)</w:t>
            </w:r>
          </w:p>
        </w:tc>
      </w:tr>
      <w:tr w:rsidR="00D02FCA" w:rsidRPr="00394D9A" w14:paraId="34CCEE8A" w14:textId="77777777" w:rsidTr="00067C8A">
        <w:tc>
          <w:tcPr>
            <w:tcW w:w="2802" w:type="dxa"/>
          </w:tcPr>
          <w:p w14:paraId="0A4FE900" w14:textId="31C84CA1" w:rsidR="00D02FCA" w:rsidRPr="00394D9A" w:rsidRDefault="00D02FCA" w:rsidP="00187D17">
            <w:pPr>
              <w:widowControl w:val="0"/>
              <w:jc w:val="left"/>
              <w:rPr>
                <w:noProof/>
                <w:szCs w:val="22"/>
                <w:lang w:val="sr-Latn-RS"/>
              </w:rPr>
            </w:pPr>
            <w:r w:rsidRPr="00394D9A">
              <w:rPr>
                <w:noProof/>
                <w:szCs w:val="22"/>
                <w:lang w:val="sr-Latn-RS"/>
              </w:rPr>
              <w:t>Događaji velikog krvarenja</w:t>
            </w:r>
            <w:r w:rsidR="00067C8A" w:rsidRPr="00394D9A">
              <w:rPr>
                <w:noProof/>
                <w:szCs w:val="22"/>
                <w:lang w:val="sr-Latn-RS"/>
              </w:rPr>
              <w:t xml:space="preserve"> </w:t>
            </w:r>
            <w:r w:rsidRPr="00394D9A">
              <w:rPr>
                <w:noProof/>
                <w:szCs w:val="22"/>
                <w:lang w:val="sr-Latn-RS"/>
              </w:rPr>
              <w:t>/</w:t>
            </w:r>
            <w:r w:rsidR="00067C8A" w:rsidRPr="00394D9A">
              <w:rPr>
                <w:noProof/>
                <w:szCs w:val="22"/>
                <w:lang w:val="sr-Latn-RS"/>
              </w:rPr>
              <w:t xml:space="preserve"> </w:t>
            </w:r>
            <w:r w:rsidRPr="00394D9A">
              <w:rPr>
                <w:noProof/>
                <w:szCs w:val="22"/>
                <w:lang w:val="sr-Latn-RS"/>
              </w:rPr>
              <w:t>klinički značajnog krvarenja</w:t>
            </w:r>
          </w:p>
        </w:tc>
        <w:tc>
          <w:tcPr>
            <w:tcW w:w="2409" w:type="dxa"/>
            <w:vAlign w:val="center"/>
          </w:tcPr>
          <w:p w14:paraId="36AA6776" w14:textId="3A18DB17" w:rsidR="00D02FCA" w:rsidRPr="00394D9A" w:rsidRDefault="00D02FCA" w:rsidP="00187D17">
            <w:pPr>
              <w:widowControl w:val="0"/>
              <w:jc w:val="center"/>
              <w:rPr>
                <w:noProof/>
                <w:szCs w:val="22"/>
                <w:lang w:val="sr-Latn-RS"/>
              </w:rPr>
            </w:pPr>
            <w:r w:rsidRPr="00394D9A">
              <w:rPr>
                <w:noProof/>
                <w:szCs w:val="22"/>
                <w:lang w:val="sr-Latn-RS"/>
              </w:rPr>
              <w:t>109 (4,4%)</w:t>
            </w:r>
          </w:p>
        </w:tc>
        <w:tc>
          <w:tcPr>
            <w:tcW w:w="2180" w:type="dxa"/>
            <w:vAlign w:val="center"/>
          </w:tcPr>
          <w:p w14:paraId="424FF821" w14:textId="35E643CA" w:rsidR="00D02FCA" w:rsidRPr="00394D9A" w:rsidRDefault="00D02FCA" w:rsidP="00187D17">
            <w:pPr>
              <w:widowControl w:val="0"/>
              <w:jc w:val="center"/>
              <w:rPr>
                <w:noProof/>
                <w:szCs w:val="22"/>
                <w:lang w:val="sr-Latn-RS"/>
              </w:rPr>
            </w:pPr>
            <w:r w:rsidRPr="00394D9A">
              <w:rPr>
                <w:noProof/>
                <w:szCs w:val="22"/>
                <w:lang w:val="sr-Latn-RS"/>
              </w:rPr>
              <w:t>189 (7,7%)</w:t>
            </w:r>
          </w:p>
        </w:tc>
        <w:tc>
          <w:tcPr>
            <w:tcW w:w="2464" w:type="dxa"/>
            <w:vAlign w:val="center"/>
          </w:tcPr>
          <w:p w14:paraId="10EED0CC" w14:textId="3AC976D0" w:rsidR="00D02FCA" w:rsidRPr="00394D9A" w:rsidRDefault="00D02FCA" w:rsidP="00187D17">
            <w:pPr>
              <w:widowControl w:val="0"/>
              <w:jc w:val="center"/>
              <w:rPr>
                <w:noProof/>
                <w:szCs w:val="22"/>
                <w:lang w:val="sr-Latn-RS"/>
              </w:rPr>
            </w:pPr>
            <w:r w:rsidRPr="00394D9A">
              <w:rPr>
                <w:noProof/>
                <w:szCs w:val="22"/>
                <w:lang w:val="sr-Latn-RS"/>
              </w:rPr>
              <w:t>0,56 (0,45; 0,71)</w:t>
            </w:r>
          </w:p>
        </w:tc>
      </w:tr>
      <w:tr w:rsidR="00D02FCA" w:rsidRPr="00394D9A" w14:paraId="1AD0E0B8" w14:textId="77777777" w:rsidTr="00067C8A">
        <w:tc>
          <w:tcPr>
            <w:tcW w:w="2802" w:type="dxa"/>
          </w:tcPr>
          <w:p w14:paraId="34E7E219" w14:textId="2F285CE7" w:rsidR="00D02FCA" w:rsidRPr="00394D9A" w:rsidRDefault="00D02FCA" w:rsidP="00187D17">
            <w:pPr>
              <w:widowControl w:val="0"/>
              <w:jc w:val="left"/>
              <w:rPr>
                <w:noProof/>
                <w:szCs w:val="22"/>
                <w:lang w:val="sr-Latn-RS"/>
              </w:rPr>
            </w:pPr>
            <w:r w:rsidRPr="00394D9A">
              <w:rPr>
                <w:noProof/>
                <w:szCs w:val="22"/>
                <w:lang w:val="sr-Latn-RS"/>
              </w:rPr>
              <w:t>Sva krvarenj</w:t>
            </w:r>
            <w:r w:rsidR="005C7549" w:rsidRPr="00394D9A">
              <w:rPr>
                <w:noProof/>
                <w:szCs w:val="22"/>
                <w:lang w:val="sr-Latn-RS"/>
              </w:rPr>
              <w:t>a</w:t>
            </w:r>
          </w:p>
        </w:tc>
        <w:tc>
          <w:tcPr>
            <w:tcW w:w="2409" w:type="dxa"/>
            <w:vAlign w:val="center"/>
          </w:tcPr>
          <w:p w14:paraId="3ED9BB3D" w14:textId="56E9BDF2" w:rsidR="00D02FCA" w:rsidRPr="00394D9A" w:rsidRDefault="00D02FCA" w:rsidP="00187D17">
            <w:pPr>
              <w:widowControl w:val="0"/>
              <w:jc w:val="center"/>
              <w:rPr>
                <w:noProof/>
                <w:szCs w:val="22"/>
                <w:lang w:val="sr-Latn-RS"/>
              </w:rPr>
            </w:pPr>
            <w:r w:rsidRPr="00394D9A">
              <w:rPr>
                <w:noProof/>
                <w:szCs w:val="22"/>
                <w:lang w:val="sr-Latn-RS"/>
              </w:rPr>
              <w:t>354 (14,4%)</w:t>
            </w:r>
          </w:p>
        </w:tc>
        <w:tc>
          <w:tcPr>
            <w:tcW w:w="2180" w:type="dxa"/>
            <w:vAlign w:val="center"/>
          </w:tcPr>
          <w:p w14:paraId="41F0EB0D" w14:textId="76E6DBB7" w:rsidR="00D02FCA" w:rsidRPr="00394D9A" w:rsidRDefault="00D02FCA" w:rsidP="00187D17">
            <w:pPr>
              <w:widowControl w:val="0"/>
              <w:jc w:val="center"/>
              <w:rPr>
                <w:noProof/>
                <w:szCs w:val="22"/>
                <w:lang w:val="sr-Latn-RS"/>
              </w:rPr>
            </w:pPr>
            <w:r w:rsidRPr="00394D9A">
              <w:rPr>
                <w:noProof/>
                <w:szCs w:val="22"/>
                <w:lang w:val="sr-Latn-RS"/>
              </w:rPr>
              <w:t>503 (2</w:t>
            </w:r>
            <w:r w:rsidR="00C51C3F" w:rsidRPr="00394D9A">
              <w:rPr>
                <w:noProof/>
                <w:szCs w:val="22"/>
                <w:lang w:val="sr-Latn-RS"/>
              </w:rPr>
              <w:t>0</w:t>
            </w:r>
            <w:r w:rsidRPr="00394D9A">
              <w:rPr>
                <w:noProof/>
                <w:szCs w:val="22"/>
                <w:lang w:val="sr-Latn-RS"/>
              </w:rPr>
              <w:t>,4%)</w:t>
            </w:r>
          </w:p>
        </w:tc>
        <w:tc>
          <w:tcPr>
            <w:tcW w:w="2464" w:type="dxa"/>
            <w:vAlign w:val="center"/>
          </w:tcPr>
          <w:p w14:paraId="52762E09" w14:textId="502E9DE0" w:rsidR="00D02FCA" w:rsidRPr="00394D9A" w:rsidRDefault="00D02FCA" w:rsidP="00187D17">
            <w:pPr>
              <w:widowControl w:val="0"/>
              <w:jc w:val="center"/>
              <w:rPr>
                <w:noProof/>
                <w:szCs w:val="22"/>
                <w:lang w:val="sr-Latn-RS"/>
              </w:rPr>
            </w:pPr>
            <w:r w:rsidRPr="00394D9A">
              <w:rPr>
                <w:noProof/>
                <w:szCs w:val="22"/>
                <w:lang w:val="sr-Latn-RS"/>
              </w:rPr>
              <w:t>0,67 (0,59</w:t>
            </w:r>
            <w:r w:rsidR="00067C8A" w:rsidRPr="00394D9A">
              <w:rPr>
                <w:noProof/>
                <w:szCs w:val="22"/>
                <w:lang w:val="sr-Latn-RS"/>
              </w:rPr>
              <w:t>; 0,77</w:t>
            </w:r>
            <w:r w:rsidRPr="00394D9A">
              <w:rPr>
                <w:noProof/>
                <w:szCs w:val="22"/>
                <w:lang w:val="sr-Latn-RS"/>
              </w:rPr>
              <w:t>)</w:t>
            </w:r>
          </w:p>
        </w:tc>
      </w:tr>
      <w:tr w:rsidR="00D02FCA" w:rsidRPr="00394D9A" w14:paraId="7C3F0E67" w14:textId="77777777" w:rsidTr="00067C8A">
        <w:tc>
          <w:tcPr>
            <w:tcW w:w="2802" w:type="dxa"/>
          </w:tcPr>
          <w:p w14:paraId="5A49B754" w14:textId="7A1F2424" w:rsidR="00D02FCA" w:rsidRPr="00394D9A" w:rsidRDefault="00D02FCA" w:rsidP="00187D17">
            <w:pPr>
              <w:widowControl w:val="0"/>
              <w:jc w:val="left"/>
              <w:rPr>
                <w:noProof/>
                <w:szCs w:val="22"/>
                <w:lang w:val="sr-Latn-RS"/>
              </w:rPr>
            </w:pPr>
            <w:r w:rsidRPr="00394D9A">
              <w:rPr>
                <w:noProof/>
                <w:szCs w:val="22"/>
                <w:lang w:val="sr-Latn-RS"/>
              </w:rPr>
              <w:t>Sva GI krvarenj</w:t>
            </w:r>
            <w:r w:rsidR="001775F0" w:rsidRPr="00394D9A">
              <w:rPr>
                <w:noProof/>
                <w:szCs w:val="22"/>
                <w:lang w:val="sr-Latn-RS"/>
              </w:rPr>
              <w:t>a</w:t>
            </w:r>
          </w:p>
        </w:tc>
        <w:tc>
          <w:tcPr>
            <w:tcW w:w="2409" w:type="dxa"/>
            <w:vAlign w:val="center"/>
          </w:tcPr>
          <w:p w14:paraId="590AEC1A" w14:textId="61DB5FE9" w:rsidR="00D02FCA" w:rsidRPr="00394D9A" w:rsidRDefault="00067C8A" w:rsidP="00187D17">
            <w:pPr>
              <w:widowControl w:val="0"/>
              <w:jc w:val="center"/>
              <w:rPr>
                <w:noProof/>
                <w:szCs w:val="22"/>
                <w:lang w:val="sr-Latn-RS"/>
              </w:rPr>
            </w:pPr>
            <w:r w:rsidRPr="00394D9A">
              <w:rPr>
                <w:noProof/>
                <w:szCs w:val="22"/>
                <w:lang w:val="sr-Latn-RS"/>
              </w:rPr>
              <w:t>70 (2,9%)</w:t>
            </w:r>
          </w:p>
        </w:tc>
        <w:tc>
          <w:tcPr>
            <w:tcW w:w="2180" w:type="dxa"/>
            <w:vAlign w:val="center"/>
          </w:tcPr>
          <w:p w14:paraId="13109271" w14:textId="444FDCA2" w:rsidR="00D02FCA" w:rsidRPr="00394D9A" w:rsidRDefault="00067C8A" w:rsidP="00187D17">
            <w:pPr>
              <w:widowControl w:val="0"/>
              <w:jc w:val="center"/>
              <w:rPr>
                <w:noProof/>
                <w:szCs w:val="22"/>
                <w:lang w:val="sr-Latn-RS"/>
              </w:rPr>
            </w:pPr>
            <w:r w:rsidRPr="00394D9A">
              <w:rPr>
                <w:noProof/>
                <w:szCs w:val="22"/>
                <w:lang w:val="sr-Latn-RS"/>
              </w:rPr>
              <w:t>55 (2,2%)</w:t>
            </w:r>
          </w:p>
        </w:tc>
        <w:tc>
          <w:tcPr>
            <w:tcW w:w="2464" w:type="dxa"/>
            <w:vAlign w:val="center"/>
          </w:tcPr>
          <w:p w14:paraId="7DCEA93A" w14:textId="0BDFBA28" w:rsidR="00D02FCA" w:rsidRPr="00394D9A" w:rsidRDefault="00067C8A" w:rsidP="00187D17">
            <w:pPr>
              <w:widowControl w:val="0"/>
              <w:jc w:val="center"/>
              <w:rPr>
                <w:noProof/>
                <w:szCs w:val="22"/>
                <w:lang w:val="sr-Latn-RS"/>
              </w:rPr>
            </w:pPr>
            <w:r w:rsidRPr="00394D9A">
              <w:rPr>
                <w:noProof/>
                <w:szCs w:val="22"/>
                <w:lang w:val="sr-Latn-RS"/>
              </w:rPr>
              <w:t>1,27 (0,90; 1,82)</w:t>
            </w:r>
          </w:p>
        </w:tc>
      </w:tr>
    </w:tbl>
    <w:p w14:paraId="63BE4AEE" w14:textId="62A2AB40" w:rsidR="008B462B" w:rsidRPr="00394D9A" w:rsidRDefault="008B462B" w:rsidP="00187D17">
      <w:pPr>
        <w:widowControl w:val="0"/>
        <w:rPr>
          <w:b/>
          <w:bCs/>
          <w:noProof/>
          <w:szCs w:val="22"/>
          <w:lang w:val="sr-Latn-RS"/>
        </w:rPr>
      </w:pPr>
    </w:p>
    <w:p w14:paraId="58B7A008" w14:textId="17BA7ADB" w:rsidR="00067C8A" w:rsidRPr="00394D9A" w:rsidRDefault="00067C8A" w:rsidP="00187D17">
      <w:pPr>
        <w:widowControl w:val="0"/>
        <w:rPr>
          <w:noProof/>
          <w:szCs w:val="22"/>
          <w:lang w:val="sr-Latn-RS"/>
        </w:rPr>
      </w:pPr>
      <w:r w:rsidRPr="00394D9A">
        <w:rPr>
          <w:noProof/>
          <w:szCs w:val="22"/>
          <w:lang w:val="sr-Latn-RS"/>
        </w:rPr>
        <w:t>Događaji krvarenja za ob</w:t>
      </w:r>
      <w:r w:rsidR="006561D1" w:rsidRPr="00394D9A">
        <w:rPr>
          <w:noProof/>
          <w:szCs w:val="22"/>
          <w:lang w:val="sr-Latn-RS"/>
        </w:rPr>
        <w:t>j</w:t>
      </w:r>
      <w:r w:rsidRPr="00394D9A">
        <w:rPr>
          <w:noProof/>
          <w:szCs w:val="22"/>
          <w:lang w:val="sr-Latn-RS"/>
        </w:rPr>
        <w:t xml:space="preserve">e terapije se računaju od prvog unosa </w:t>
      </w:r>
      <w:r w:rsidR="00121AC3" w:rsidRPr="00394D9A">
        <w:rPr>
          <w:noProof/>
          <w:szCs w:val="22"/>
          <w:lang w:val="sr-Latn-RS"/>
        </w:rPr>
        <w:t>d</w:t>
      </w:r>
      <w:r w:rsidRPr="00394D9A">
        <w:rPr>
          <w:noProof/>
          <w:szCs w:val="22"/>
          <w:lang w:val="sr-Latn-RS"/>
        </w:rPr>
        <w:t>abigatran</w:t>
      </w:r>
      <w:r w:rsidR="00121AC3" w:rsidRPr="00394D9A">
        <w:rPr>
          <w:noProof/>
          <w:szCs w:val="22"/>
          <w:lang w:val="sr-Latn-RS"/>
        </w:rPr>
        <w:t>eteksilat</w:t>
      </w:r>
      <w:r w:rsidR="005C685F" w:rsidRPr="00394D9A">
        <w:rPr>
          <w:noProof/>
          <w:szCs w:val="22"/>
          <w:lang w:val="sr-Latn-RS"/>
        </w:rPr>
        <w:t>a</w:t>
      </w:r>
      <w:r w:rsidRPr="00394D9A">
        <w:rPr>
          <w:noProof/>
          <w:szCs w:val="22"/>
          <w:lang w:val="sr-Latn-RS"/>
        </w:rPr>
        <w:t xml:space="preserve"> ili varfarina posl</w:t>
      </w:r>
      <w:r w:rsidR="006561D1" w:rsidRPr="00394D9A">
        <w:rPr>
          <w:noProof/>
          <w:szCs w:val="22"/>
          <w:lang w:val="sr-Latn-RS"/>
        </w:rPr>
        <w:t>ij</w:t>
      </w:r>
      <w:r w:rsidRPr="00394D9A">
        <w:rPr>
          <w:noProof/>
          <w:szCs w:val="22"/>
          <w:lang w:val="sr-Latn-RS"/>
        </w:rPr>
        <w:t>e prekida parenteralnog l</w:t>
      </w:r>
      <w:r w:rsidR="006561D1" w:rsidRPr="00394D9A">
        <w:rPr>
          <w:noProof/>
          <w:szCs w:val="22"/>
          <w:lang w:val="sr-Latn-RS"/>
        </w:rPr>
        <w:t>ij</w:t>
      </w:r>
      <w:r w:rsidRPr="00394D9A">
        <w:rPr>
          <w:noProof/>
          <w:szCs w:val="22"/>
          <w:lang w:val="sr-Latn-RS"/>
        </w:rPr>
        <w:t>ečenja (</w:t>
      </w:r>
      <w:r w:rsidR="00BD52DD" w:rsidRPr="00394D9A">
        <w:rPr>
          <w:noProof/>
          <w:szCs w:val="22"/>
          <w:lang w:val="sr-Latn-RS"/>
        </w:rPr>
        <w:t>vreme</w:t>
      </w:r>
      <w:r w:rsidRPr="00394D9A">
        <w:rPr>
          <w:noProof/>
          <w:szCs w:val="22"/>
          <w:lang w:val="sr-Latn-RS"/>
        </w:rPr>
        <w:t>nski period isključivo peroralnog l</w:t>
      </w:r>
      <w:r w:rsidR="006561D1" w:rsidRPr="00394D9A">
        <w:rPr>
          <w:noProof/>
          <w:szCs w:val="22"/>
          <w:lang w:val="sr-Latn-RS"/>
        </w:rPr>
        <w:t>ij</w:t>
      </w:r>
      <w:r w:rsidRPr="00394D9A">
        <w:rPr>
          <w:noProof/>
          <w:szCs w:val="22"/>
          <w:lang w:val="sr-Latn-RS"/>
        </w:rPr>
        <w:t xml:space="preserve">ečenja). </w:t>
      </w:r>
      <w:r w:rsidR="005C7549" w:rsidRPr="00394D9A">
        <w:rPr>
          <w:noProof/>
          <w:szCs w:val="22"/>
          <w:lang w:val="sr-Latn-RS"/>
        </w:rPr>
        <w:t xml:space="preserve">To </w:t>
      </w:r>
      <w:r w:rsidRPr="00394D9A">
        <w:rPr>
          <w:noProof/>
          <w:szCs w:val="22"/>
          <w:lang w:val="sr-Latn-RS"/>
        </w:rPr>
        <w:t xml:space="preserve">uključuje sve događaje krvarenja koji su se javili za </w:t>
      </w:r>
      <w:r w:rsidR="00BD52DD" w:rsidRPr="00394D9A">
        <w:rPr>
          <w:noProof/>
          <w:szCs w:val="22"/>
          <w:lang w:val="sr-Latn-RS"/>
        </w:rPr>
        <w:t>vrijeme</w:t>
      </w:r>
      <w:r w:rsidRPr="00394D9A">
        <w:rPr>
          <w:noProof/>
          <w:szCs w:val="22"/>
          <w:lang w:val="sr-Latn-RS"/>
        </w:rPr>
        <w:t xml:space="preserve"> l</w:t>
      </w:r>
      <w:r w:rsidR="006561D1" w:rsidRPr="00394D9A">
        <w:rPr>
          <w:noProof/>
          <w:szCs w:val="22"/>
          <w:lang w:val="sr-Latn-RS"/>
        </w:rPr>
        <w:t>ij</w:t>
      </w:r>
      <w:r w:rsidRPr="00394D9A">
        <w:rPr>
          <w:noProof/>
          <w:szCs w:val="22"/>
          <w:lang w:val="sr-Latn-RS"/>
        </w:rPr>
        <w:t xml:space="preserve">ečenja </w:t>
      </w:r>
      <w:r w:rsidR="00121AC3" w:rsidRPr="00394D9A">
        <w:rPr>
          <w:noProof/>
          <w:szCs w:val="22"/>
          <w:lang w:val="sr-Latn-RS"/>
        </w:rPr>
        <w:t>d</w:t>
      </w:r>
      <w:r w:rsidRPr="00394D9A">
        <w:rPr>
          <w:noProof/>
          <w:szCs w:val="22"/>
          <w:lang w:val="sr-Latn-RS"/>
        </w:rPr>
        <w:t>abigatran</w:t>
      </w:r>
      <w:r w:rsidR="00121AC3" w:rsidRPr="00394D9A">
        <w:rPr>
          <w:noProof/>
          <w:szCs w:val="22"/>
          <w:lang w:val="sr-Latn-RS"/>
        </w:rPr>
        <w:t>eteksilat</w:t>
      </w:r>
      <w:r w:rsidR="005C685F" w:rsidRPr="00394D9A">
        <w:rPr>
          <w:noProof/>
          <w:szCs w:val="22"/>
          <w:lang w:val="sr-Latn-RS"/>
        </w:rPr>
        <w:t>om</w:t>
      </w:r>
      <w:r w:rsidRPr="00394D9A">
        <w:rPr>
          <w:noProof/>
          <w:szCs w:val="22"/>
          <w:lang w:val="sr-Latn-RS"/>
        </w:rPr>
        <w:t xml:space="preserve">. Uključeni su svi događaji krvarenja koji su se javili za </w:t>
      </w:r>
      <w:r w:rsidR="00BD52DD" w:rsidRPr="00394D9A">
        <w:rPr>
          <w:noProof/>
          <w:szCs w:val="22"/>
          <w:lang w:val="sr-Latn-RS"/>
        </w:rPr>
        <w:t>vrijeme</w:t>
      </w:r>
      <w:r w:rsidRPr="00394D9A">
        <w:rPr>
          <w:noProof/>
          <w:szCs w:val="22"/>
          <w:lang w:val="sr-Latn-RS"/>
        </w:rPr>
        <w:t xml:space="preserve"> l</w:t>
      </w:r>
      <w:r w:rsidR="006561D1" w:rsidRPr="00394D9A">
        <w:rPr>
          <w:noProof/>
          <w:szCs w:val="22"/>
          <w:lang w:val="sr-Latn-RS"/>
        </w:rPr>
        <w:t>ij</w:t>
      </w:r>
      <w:r w:rsidRPr="00394D9A">
        <w:rPr>
          <w:noProof/>
          <w:szCs w:val="22"/>
          <w:lang w:val="sr-Latn-RS"/>
        </w:rPr>
        <w:t xml:space="preserve">ečenja varfarinom, osim onih koji su se javili za </w:t>
      </w:r>
      <w:r w:rsidR="00BD52DD" w:rsidRPr="00394D9A">
        <w:rPr>
          <w:noProof/>
          <w:szCs w:val="22"/>
          <w:lang w:val="sr-Latn-RS"/>
        </w:rPr>
        <w:t>vrijeme</w:t>
      </w:r>
      <w:r w:rsidRPr="00394D9A">
        <w:rPr>
          <w:noProof/>
          <w:szCs w:val="22"/>
          <w:lang w:val="sr-Latn-RS"/>
        </w:rPr>
        <w:t xml:space="preserve"> preklapanja između varfarina i parenteralnog l</w:t>
      </w:r>
      <w:r w:rsidR="006561D1" w:rsidRPr="00394D9A">
        <w:rPr>
          <w:noProof/>
          <w:szCs w:val="22"/>
          <w:lang w:val="sr-Latn-RS"/>
        </w:rPr>
        <w:t>ij</w:t>
      </w:r>
      <w:r w:rsidRPr="00394D9A">
        <w:rPr>
          <w:noProof/>
          <w:szCs w:val="22"/>
          <w:lang w:val="sr-Latn-RS"/>
        </w:rPr>
        <w:t xml:space="preserve">ečenja. </w:t>
      </w:r>
    </w:p>
    <w:p w14:paraId="225A9EE4" w14:textId="77777777" w:rsidR="00067C8A" w:rsidRPr="00394D9A" w:rsidRDefault="00067C8A" w:rsidP="00187D17">
      <w:pPr>
        <w:widowControl w:val="0"/>
        <w:rPr>
          <w:noProof/>
          <w:szCs w:val="22"/>
          <w:lang w:val="sr-Latn-RS"/>
        </w:rPr>
      </w:pPr>
    </w:p>
    <w:p w14:paraId="2DEDA4CE" w14:textId="60BD021F" w:rsidR="00067C8A" w:rsidRPr="00394D9A" w:rsidRDefault="00067C8A" w:rsidP="00187D17">
      <w:pPr>
        <w:widowControl w:val="0"/>
        <w:rPr>
          <w:noProof/>
          <w:szCs w:val="22"/>
          <w:lang w:val="sr-Latn-RS"/>
        </w:rPr>
      </w:pPr>
      <w:r w:rsidRPr="00394D9A">
        <w:rPr>
          <w:noProof/>
          <w:szCs w:val="22"/>
          <w:lang w:val="sr-Latn-RS"/>
        </w:rPr>
        <w:t>Tabela 1</w:t>
      </w:r>
      <w:r w:rsidR="00442BCA" w:rsidRPr="00394D9A">
        <w:rPr>
          <w:noProof/>
          <w:szCs w:val="22"/>
          <w:lang w:val="sr-Latn-RS"/>
        </w:rPr>
        <w:t>4</w:t>
      </w:r>
      <w:r w:rsidRPr="00394D9A">
        <w:rPr>
          <w:noProof/>
          <w:szCs w:val="22"/>
          <w:lang w:val="sr-Latn-RS"/>
        </w:rPr>
        <w:t xml:space="preserve"> pokazuje događaje krvarenja u pivotalnom ispitivanju RE-MEDY koje ispituje prevenciju duboke venske tromboze (DVT) i plućne embolije (PE). Pojedini događaji krvarenja (MBE/CRBE (engl. </w:t>
      </w:r>
      <w:r w:rsidRPr="00394D9A">
        <w:rPr>
          <w:i/>
          <w:noProof/>
          <w:szCs w:val="22"/>
          <w:lang w:val="sr-Latn-RS"/>
        </w:rPr>
        <w:t>major bleeding events/ clinically relevant bleeding events</w:t>
      </w:r>
      <w:r w:rsidRPr="00394D9A">
        <w:rPr>
          <w:noProof/>
          <w:szCs w:val="22"/>
          <w:lang w:val="sr-Latn-RS"/>
        </w:rPr>
        <w:t xml:space="preserve">); svako krvarenje) bili su značajno manji na nominalnom alfa-nivou 5% kod pacijenata na </w:t>
      </w:r>
      <w:r w:rsidR="005C685F" w:rsidRPr="00394D9A">
        <w:rPr>
          <w:noProof/>
          <w:szCs w:val="22"/>
          <w:lang w:val="sr-Latn-RS"/>
        </w:rPr>
        <w:t>l</w:t>
      </w:r>
      <w:r w:rsidR="006561D1" w:rsidRPr="00394D9A">
        <w:rPr>
          <w:noProof/>
          <w:szCs w:val="22"/>
          <w:lang w:val="sr-Latn-RS"/>
        </w:rPr>
        <w:t>ij</w:t>
      </w:r>
      <w:r w:rsidR="005C685F" w:rsidRPr="00394D9A">
        <w:rPr>
          <w:noProof/>
          <w:szCs w:val="22"/>
          <w:lang w:val="sr-Latn-RS"/>
        </w:rPr>
        <w:t>ečenju</w:t>
      </w:r>
      <w:r w:rsidRPr="00394D9A">
        <w:rPr>
          <w:noProof/>
          <w:szCs w:val="22"/>
          <w:lang w:val="sr-Latn-RS"/>
        </w:rPr>
        <w:t xml:space="preserve"> </w:t>
      </w:r>
      <w:r w:rsidR="00121AC3" w:rsidRPr="00394D9A">
        <w:rPr>
          <w:noProof/>
          <w:szCs w:val="22"/>
          <w:lang w:val="sr-Latn-RS"/>
        </w:rPr>
        <w:t>d</w:t>
      </w:r>
      <w:r w:rsidRPr="00394D9A">
        <w:rPr>
          <w:noProof/>
          <w:szCs w:val="22"/>
          <w:lang w:val="sr-Latn-RS"/>
        </w:rPr>
        <w:t>abigatran</w:t>
      </w:r>
      <w:r w:rsidR="00121AC3" w:rsidRPr="00394D9A">
        <w:rPr>
          <w:noProof/>
          <w:szCs w:val="22"/>
          <w:lang w:val="sr-Latn-RS"/>
        </w:rPr>
        <w:t>eteksilat</w:t>
      </w:r>
      <w:r w:rsidR="005C685F" w:rsidRPr="00394D9A">
        <w:rPr>
          <w:noProof/>
          <w:szCs w:val="22"/>
          <w:lang w:val="sr-Latn-RS"/>
        </w:rPr>
        <w:t>om</w:t>
      </w:r>
      <w:r w:rsidRPr="00394D9A">
        <w:rPr>
          <w:noProof/>
          <w:szCs w:val="22"/>
          <w:lang w:val="sr-Latn-RS"/>
        </w:rPr>
        <w:t xml:space="preserve"> u poređenju sa pacijentima na varfarinu.</w:t>
      </w:r>
    </w:p>
    <w:p w14:paraId="6DB2B820" w14:textId="77777777" w:rsidR="00067C8A" w:rsidRPr="00394D9A" w:rsidRDefault="00067C8A" w:rsidP="00187D17">
      <w:pPr>
        <w:widowControl w:val="0"/>
        <w:rPr>
          <w:b/>
          <w:bCs/>
          <w:noProof/>
          <w:szCs w:val="22"/>
          <w:lang w:val="sr-Latn-RS"/>
        </w:rPr>
      </w:pPr>
    </w:p>
    <w:p w14:paraId="1590A2AD" w14:textId="4E0755F3" w:rsidR="00067C8A" w:rsidRPr="00394D9A" w:rsidRDefault="00067C8A" w:rsidP="00187D17">
      <w:pPr>
        <w:widowControl w:val="0"/>
        <w:rPr>
          <w:b/>
          <w:bCs/>
          <w:noProof/>
          <w:szCs w:val="22"/>
          <w:lang w:val="sr-Latn-RS"/>
        </w:rPr>
      </w:pPr>
      <w:r w:rsidRPr="00394D9A">
        <w:rPr>
          <w:b/>
          <w:bCs/>
          <w:noProof/>
          <w:szCs w:val="22"/>
          <w:lang w:val="sr-Latn-RS"/>
        </w:rPr>
        <w:t>Tabela 1</w:t>
      </w:r>
      <w:r w:rsidR="00442BCA" w:rsidRPr="00394D9A">
        <w:rPr>
          <w:b/>
          <w:bCs/>
          <w:noProof/>
          <w:szCs w:val="22"/>
          <w:lang w:val="sr-Latn-RS"/>
        </w:rPr>
        <w:t>4</w:t>
      </w:r>
      <w:r w:rsidRPr="00394D9A">
        <w:rPr>
          <w:b/>
          <w:bCs/>
          <w:noProof/>
          <w:szCs w:val="22"/>
          <w:lang w:val="sr-Latn-RS"/>
        </w:rPr>
        <w:t>: Događaji krvarenja u ispitivanju RE-MEDY za proc</w:t>
      </w:r>
      <w:r w:rsidR="006561D1" w:rsidRPr="00394D9A">
        <w:rPr>
          <w:b/>
          <w:bCs/>
          <w:noProof/>
          <w:szCs w:val="22"/>
          <w:lang w:val="sr-Latn-RS"/>
        </w:rPr>
        <w:t>j</w:t>
      </w:r>
      <w:r w:rsidRPr="00394D9A">
        <w:rPr>
          <w:b/>
          <w:bCs/>
          <w:noProof/>
          <w:szCs w:val="22"/>
          <w:lang w:val="sr-Latn-RS"/>
        </w:rPr>
        <w:t>enu prevencije duboke venske tromboze (DVT) i plućne embolije (PE)</w:t>
      </w:r>
    </w:p>
    <w:p w14:paraId="393FCF6A" w14:textId="0112CFB0" w:rsidR="00A555B2" w:rsidRPr="00394D9A" w:rsidRDefault="00A555B2" w:rsidP="00187D17">
      <w:pPr>
        <w:widowControl w:val="0"/>
        <w:rPr>
          <w:noProof/>
          <w:szCs w:val="22"/>
          <w:u w:val="single"/>
          <w:lang w:val="sr-Latn-RS"/>
        </w:rPr>
      </w:pPr>
    </w:p>
    <w:tbl>
      <w:tblPr>
        <w:tblStyle w:val="TableGrid"/>
        <w:tblW w:w="0" w:type="auto"/>
        <w:tblLook w:val="04A0" w:firstRow="1" w:lastRow="0" w:firstColumn="1" w:lastColumn="0" w:noHBand="0" w:noVBand="1"/>
      </w:tblPr>
      <w:tblGrid>
        <w:gridCol w:w="2558"/>
        <w:gridCol w:w="2317"/>
        <w:gridCol w:w="1948"/>
        <w:gridCol w:w="2238"/>
      </w:tblGrid>
      <w:tr w:rsidR="00067C8A" w:rsidRPr="00394D9A" w14:paraId="357135AE" w14:textId="77777777" w:rsidTr="002B75BA">
        <w:tc>
          <w:tcPr>
            <w:tcW w:w="2802" w:type="dxa"/>
          </w:tcPr>
          <w:p w14:paraId="42A9FA9B" w14:textId="77777777" w:rsidR="00067C8A" w:rsidRPr="00394D9A" w:rsidRDefault="00067C8A" w:rsidP="00187D17">
            <w:pPr>
              <w:widowControl w:val="0"/>
              <w:rPr>
                <w:b/>
                <w:bCs/>
                <w:noProof/>
                <w:szCs w:val="22"/>
                <w:lang w:val="sr-Latn-RS"/>
              </w:rPr>
            </w:pPr>
          </w:p>
        </w:tc>
        <w:tc>
          <w:tcPr>
            <w:tcW w:w="2409" w:type="dxa"/>
            <w:vAlign w:val="center"/>
          </w:tcPr>
          <w:p w14:paraId="0DFFE46D" w14:textId="6A59C3BB" w:rsidR="00067C8A" w:rsidRPr="00394D9A" w:rsidRDefault="00067C8A" w:rsidP="00187D17">
            <w:pPr>
              <w:widowControl w:val="0"/>
              <w:jc w:val="center"/>
              <w:rPr>
                <w:noProof/>
                <w:szCs w:val="22"/>
                <w:lang w:val="sr-Latn-RS"/>
              </w:rPr>
            </w:pPr>
            <w:r w:rsidRPr="00394D9A">
              <w:rPr>
                <w:noProof/>
                <w:szCs w:val="22"/>
                <w:lang w:val="sr-Latn-RS"/>
              </w:rPr>
              <w:t>Dabigatraneteksilat 150</w:t>
            </w:r>
            <w:r w:rsidR="005C685F" w:rsidRPr="00394D9A">
              <w:rPr>
                <w:noProof/>
                <w:szCs w:val="22"/>
                <w:lang w:val="sr-Latn-RS"/>
              </w:rPr>
              <w:t> </w:t>
            </w:r>
            <w:r w:rsidRPr="00394D9A">
              <w:rPr>
                <w:noProof/>
                <w:szCs w:val="22"/>
                <w:lang w:val="sr-Latn-RS"/>
              </w:rPr>
              <w:t>mg dva puta na dan</w:t>
            </w:r>
          </w:p>
        </w:tc>
        <w:tc>
          <w:tcPr>
            <w:tcW w:w="2180" w:type="dxa"/>
            <w:vAlign w:val="center"/>
          </w:tcPr>
          <w:p w14:paraId="2CEAF474" w14:textId="77777777" w:rsidR="00067C8A" w:rsidRPr="00394D9A" w:rsidRDefault="00067C8A" w:rsidP="00187D17">
            <w:pPr>
              <w:widowControl w:val="0"/>
              <w:jc w:val="center"/>
              <w:rPr>
                <w:noProof/>
                <w:szCs w:val="22"/>
                <w:lang w:val="sr-Latn-RS"/>
              </w:rPr>
            </w:pPr>
            <w:r w:rsidRPr="00394D9A">
              <w:rPr>
                <w:noProof/>
                <w:szCs w:val="22"/>
                <w:lang w:val="sr-Latn-RS"/>
              </w:rPr>
              <w:t>Varfarin</w:t>
            </w:r>
          </w:p>
        </w:tc>
        <w:tc>
          <w:tcPr>
            <w:tcW w:w="2464" w:type="dxa"/>
            <w:vAlign w:val="center"/>
          </w:tcPr>
          <w:p w14:paraId="4CB0CB39" w14:textId="796DD6D7" w:rsidR="00067C8A" w:rsidRPr="00394D9A" w:rsidRDefault="00067C8A" w:rsidP="00187D17">
            <w:pPr>
              <w:widowControl w:val="0"/>
              <w:jc w:val="center"/>
              <w:rPr>
                <w:noProof/>
                <w:szCs w:val="22"/>
                <w:lang w:val="sr-Latn-RS"/>
              </w:rPr>
            </w:pPr>
            <w:r w:rsidRPr="00394D9A">
              <w:rPr>
                <w:noProof/>
                <w:szCs w:val="22"/>
                <w:lang w:val="sr-Latn-RS"/>
              </w:rPr>
              <w:t>Odnos rizika u odnosu na varfarin (interval pouzdanosti</w:t>
            </w:r>
            <w:r w:rsidR="005C685F" w:rsidRPr="00394D9A">
              <w:rPr>
                <w:noProof/>
                <w:szCs w:val="22"/>
                <w:lang w:val="sr-Latn-RS"/>
              </w:rPr>
              <w:t xml:space="preserve"> 95%</w:t>
            </w:r>
            <w:r w:rsidRPr="00394D9A">
              <w:rPr>
                <w:noProof/>
                <w:szCs w:val="22"/>
                <w:lang w:val="sr-Latn-RS"/>
              </w:rPr>
              <w:t>)</w:t>
            </w:r>
          </w:p>
        </w:tc>
      </w:tr>
      <w:tr w:rsidR="00067C8A" w:rsidRPr="00394D9A" w14:paraId="1307ECFA" w14:textId="77777777" w:rsidTr="002B75BA">
        <w:tc>
          <w:tcPr>
            <w:tcW w:w="2802" w:type="dxa"/>
          </w:tcPr>
          <w:p w14:paraId="5325243C" w14:textId="0813283F" w:rsidR="00067C8A" w:rsidRPr="00394D9A" w:rsidRDefault="00067C8A" w:rsidP="00187D17">
            <w:pPr>
              <w:widowControl w:val="0"/>
              <w:jc w:val="left"/>
              <w:rPr>
                <w:noProof/>
                <w:szCs w:val="22"/>
                <w:lang w:val="sr-Latn-RS"/>
              </w:rPr>
            </w:pPr>
            <w:r w:rsidRPr="00394D9A">
              <w:rPr>
                <w:noProof/>
                <w:szCs w:val="22"/>
                <w:lang w:val="sr-Latn-RS"/>
              </w:rPr>
              <w:t>L</w:t>
            </w:r>
            <w:r w:rsidR="006561D1" w:rsidRPr="00394D9A">
              <w:rPr>
                <w:noProof/>
                <w:szCs w:val="22"/>
                <w:lang w:val="sr-Latn-RS"/>
              </w:rPr>
              <w:t>ij</w:t>
            </w:r>
            <w:r w:rsidRPr="00394D9A">
              <w:rPr>
                <w:noProof/>
                <w:szCs w:val="22"/>
                <w:lang w:val="sr-Latn-RS"/>
              </w:rPr>
              <w:t>ečeni pacijenti</w:t>
            </w:r>
          </w:p>
        </w:tc>
        <w:tc>
          <w:tcPr>
            <w:tcW w:w="2409" w:type="dxa"/>
            <w:vAlign w:val="center"/>
          </w:tcPr>
          <w:p w14:paraId="52EBEB56" w14:textId="2955A755" w:rsidR="00067C8A" w:rsidRPr="00394D9A" w:rsidRDefault="00067C8A" w:rsidP="00187D17">
            <w:pPr>
              <w:widowControl w:val="0"/>
              <w:jc w:val="center"/>
              <w:rPr>
                <w:noProof/>
                <w:szCs w:val="22"/>
                <w:lang w:val="sr-Latn-RS"/>
              </w:rPr>
            </w:pPr>
            <w:r w:rsidRPr="00394D9A">
              <w:rPr>
                <w:noProof/>
                <w:szCs w:val="22"/>
                <w:lang w:val="sr-Latn-RS"/>
              </w:rPr>
              <w:t>1430</w:t>
            </w:r>
          </w:p>
        </w:tc>
        <w:tc>
          <w:tcPr>
            <w:tcW w:w="2180" w:type="dxa"/>
            <w:vAlign w:val="center"/>
          </w:tcPr>
          <w:p w14:paraId="3FB01E68" w14:textId="29250EFD" w:rsidR="00067C8A" w:rsidRPr="00394D9A" w:rsidRDefault="00067C8A" w:rsidP="00187D17">
            <w:pPr>
              <w:widowControl w:val="0"/>
              <w:jc w:val="center"/>
              <w:rPr>
                <w:noProof/>
                <w:szCs w:val="22"/>
                <w:lang w:val="sr-Latn-RS"/>
              </w:rPr>
            </w:pPr>
            <w:r w:rsidRPr="00394D9A">
              <w:rPr>
                <w:noProof/>
                <w:szCs w:val="22"/>
                <w:lang w:val="sr-Latn-RS"/>
              </w:rPr>
              <w:t>1426</w:t>
            </w:r>
          </w:p>
        </w:tc>
        <w:tc>
          <w:tcPr>
            <w:tcW w:w="2464" w:type="dxa"/>
            <w:vAlign w:val="center"/>
          </w:tcPr>
          <w:p w14:paraId="628B3F4A" w14:textId="77777777" w:rsidR="00067C8A" w:rsidRPr="00394D9A" w:rsidRDefault="00067C8A" w:rsidP="00187D17">
            <w:pPr>
              <w:widowControl w:val="0"/>
              <w:jc w:val="center"/>
              <w:rPr>
                <w:noProof/>
                <w:szCs w:val="22"/>
                <w:lang w:val="sr-Latn-RS"/>
              </w:rPr>
            </w:pPr>
          </w:p>
        </w:tc>
      </w:tr>
      <w:tr w:rsidR="00067C8A" w:rsidRPr="00394D9A" w14:paraId="6A72E6BE" w14:textId="77777777" w:rsidTr="002B75BA">
        <w:tc>
          <w:tcPr>
            <w:tcW w:w="2802" w:type="dxa"/>
          </w:tcPr>
          <w:p w14:paraId="321AE64C" w14:textId="77777777" w:rsidR="00067C8A" w:rsidRPr="00394D9A" w:rsidRDefault="00067C8A" w:rsidP="00187D17">
            <w:pPr>
              <w:widowControl w:val="0"/>
              <w:jc w:val="left"/>
              <w:rPr>
                <w:noProof/>
                <w:szCs w:val="22"/>
                <w:lang w:val="sr-Latn-RS"/>
              </w:rPr>
            </w:pPr>
            <w:r w:rsidRPr="00394D9A">
              <w:rPr>
                <w:noProof/>
                <w:szCs w:val="22"/>
                <w:lang w:val="sr-Latn-RS"/>
              </w:rPr>
              <w:t>Događaji velikog krvarenja</w:t>
            </w:r>
          </w:p>
        </w:tc>
        <w:tc>
          <w:tcPr>
            <w:tcW w:w="2409" w:type="dxa"/>
            <w:vAlign w:val="center"/>
          </w:tcPr>
          <w:p w14:paraId="4D01C348" w14:textId="31AFC3A6" w:rsidR="00067C8A" w:rsidRPr="00394D9A" w:rsidRDefault="00067C8A" w:rsidP="00187D17">
            <w:pPr>
              <w:widowControl w:val="0"/>
              <w:jc w:val="center"/>
              <w:rPr>
                <w:noProof/>
                <w:szCs w:val="22"/>
                <w:lang w:val="sr-Latn-RS"/>
              </w:rPr>
            </w:pPr>
            <w:r w:rsidRPr="00394D9A">
              <w:rPr>
                <w:noProof/>
                <w:szCs w:val="22"/>
                <w:lang w:val="sr-Latn-RS"/>
              </w:rPr>
              <w:t>13 (0,9%)</w:t>
            </w:r>
          </w:p>
        </w:tc>
        <w:tc>
          <w:tcPr>
            <w:tcW w:w="2180" w:type="dxa"/>
            <w:vAlign w:val="center"/>
          </w:tcPr>
          <w:p w14:paraId="57AD7A8B" w14:textId="7764FBAF" w:rsidR="00067C8A" w:rsidRPr="00394D9A" w:rsidRDefault="00067C8A" w:rsidP="00187D17">
            <w:pPr>
              <w:widowControl w:val="0"/>
              <w:jc w:val="center"/>
              <w:rPr>
                <w:noProof/>
                <w:szCs w:val="22"/>
                <w:lang w:val="sr-Latn-RS"/>
              </w:rPr>
            </w:pPr>
            <w:r w:rsidRPr="00394D9A">
              <w:rPr>
                <w:noProof/>
                <w:szCs w:val="22"/>
                <w:lang w:val="sr-Latn-RS"/>
              </w:rPr>
              <w:t>25 (1,8%)</w:t>
            </w:r>
          </w:p>
        </w:tc>
        <w:tc>
          <w:tcPr>
            <w:tcW w:w="2464" w:type="dxa"/>
            <w:vAlign w:val="center"/>
          </w:tcPr>
          <w:p w14:paraId="35431B16" w14:textId="05B5E760" w:rsidR="00067C8A" w:rsidRPr="00394D9A" w:rsidRDefault="00067C8A" w:rsidP="00187D17">
            <w:pPr>
              <w:widowControl w:val="0"/>
              <w:jc w:val="center"/>
              <w:rPr>
                <w:noProof/>
                <w:szCs w:val="22"/>
                <w:lang w:val="sr-Latn-RS"/>
              </w:rPr>
            </w:pPr>
            <w:r w:rsidRPr="00394D9A">
              <w:rPr>
                <w:noProof/>
                <w:szCs w:val="22"/>
                <w:lang w:val="sr-Latn-RS"/>
              </w:rPr>
              <w:t>0,54 (0,25; 1,16)</w:t>
            </w:r>
          </w:p>
        </w:tc>
      </w:tr>
      <w:tr w:rsidR="00067C8A" w:rsidRPr="00394D9A" w14:paraId="2841E7C9" w14:textId="77777777" w:rsidTr="002B75BA">
        <w:tc>
          <w:tcPr>
            <w:tcW w:w="2802" w:type="dxa"/>
          </w:tcPr>
          <w:p w14:paraId="550AF95D" w14:textId="3FA96DE7" w:rsidR="00067C8A" w:rsidRPr="00394D9A" w:rsidRDefault="00067C8A" w:rsidP="00187D17">
            <w:pPr>
              <w:widowControl w:val="0"/>
              <w:jc w:val="left"/>
              <w:rPr>
                <w:noProof/>
                <w:szCs w:val="22"/>
                <w:lang w:val="sr-Latn-RS"/>
              </w:rPr>
            </w:pPr>
            <w:r w:rsidRPr="00394D9A">
              <w:rPr>
                <w:noProof/>
                <w:szCs w:val="22"/>
                <w:lang w:val="sr-Latn-RS"/>
              </w:rPr>
              <w:t>Intrakranijalno   krvarenje</w:t>
            </w:r>
          </w:p>
        </w:tc>
        <w:tc>
          <w:tcPr>
            <w:tcW w:w="2409" w:type="dxa"/>
            <w:vAlign w:val="center"/>
          </w:tcPr>
          <w:p w14:paraId="210D45AB" w14:textId="04A72871" w:rsidR="00067C8A" w:rsidRPr="00394D9A" w:rsidRDefault="00067C8A" w:rsidP="00187D17">
            <w:pPr>
              <w:widowControl w:val="0"/>
              <w:jc w:val="center"/>
              <w:rPr>
                <w:noProof/>
                <w:szCs w:val="22"/>
                <w:lang w:val="sr-Latn-RS"/>
              </w:rPr>
            </w:pPr>
            <w:r w:rsidRPr="00394D9A">
              <w:rPr>
                <w:noProof/>
                <w:szCs w:val="22"/>
                <w:lang w:val="sr-Latn-RS"/>
              </w:rPr>
              <w:t>2 (0,1%)</w:t>
            </w:r>
          </w:p>
        </w:tc>
        <w:tc>
          <w:tcPr>
            <w:tcW w:w="2180" w:type="dxa"/>
            <w:vAlign w:val="center"/>
          </w:tcPr>
          <w:p w14:paraId="153685A5" w14:textId="1D0D7F9E" w:rsidR="00067C8A" w:rsidRPr="00394D9A" w:rsidRDefault="00067C8A" w:rsidP="00187D17">
            <w:pPr>
              <w:widowControl w:val="0"/>
              <w:jc w:val="center"/>
              <w:rPr>
                <w:noProof/>
                <w:szCs w:val="22"/>
                <w:lang w:val="sr-Latn-RS"/>
              </w:rPr>
            </w:pPr>
            <w:r w:rsidRPr="00394D9A">
              <w:rPr>
                <w:noProof/>
                <w:szCs w:val="22"/>
                <w:lang w:val="sr-Latn-RS"/>
              </w:rPr>
              <w:t>4 (0,3%)</w:t>
            </w:r>
          </w:p>
        </w:tc>
        <w:tc>
          <w:tcPr>
            <w:tcW w:w="2464" w:type="dxa"/>
            <w:vAlign w:val="center"/>
          </w:tcPr>
          <w:p w14:paraId="67B1BA38" w14:textId="57244306" w:rsidR="00067C8A" w:rsidRPr="00394D9A" w:rsidRDefault="00067C8A" w:rsidP="00187D17">
            <w:pPr>
              <w:widowControl w:val="0"/>
              <w:jc w:val="center"/>
              <w:rPr>
                <w:noProof/>
                <w:szCs w:val="22"/>
                <w:lang w:val="sr-Latn-RS"/>
              </w:rPr>
            </w:pPr>
            <w:r w:rsidRPr="00394D9A">
              <w:rPr>
                <w:noProof/>
                <w:szCs w:val="22"/>
                <w:lang w:val="sr-Latn-RS"/>
              </w:rPr>
              <w:t>Ne može se izračunati*</w:t>
            </w:r>
          </w:p>
        </w:tc>
      </w:tr>
      <w:tr w:rsidR="00067C8A" w:rsidRPr="00394D9A" w14:paraId="7BF567EA" w14:textId="77777777" w:rsidTr="002B75BA">
        <w:tc>
          <w:tcPr>
            <w:tcW w:w="2802" w:type="dxa"/>
          </w:tcPr>
          <w:p w14:paraId="0365E403" w14:textId="40B8E5BD" w:rsidR="00067C8A" w:rsidRPr="00394D9A" w:rsidRDefault="00067C8A" w:rsidP="00187D17">
            <w:pPr>
              <w:widowControl w:val="0"/>
              <w:jc w:val="left"/>
              <w:rPr>
                <w:noProof/>
                <w:szCs w:val="22"/>
                <w:lang w:val="sr-Latn-RS"/>
              </w:rPr>
            </w:pPr>
            <w:r w:rsidRPr="00394D9A">
              <w:rPr>
                <w:noProof/>
                <w:szCs w:val="22"/>
                <w:lang w:val="sr-Latn-RS"/>
              </w:rPr>
              <w:t>Veliko GI krvarenje</w:t>
            </w:r>
          </w:p>
        </w:tc>
        <w:tc>
          <w:tcPr>
            <w:tcW w:w="2409" w:type="dxa"/>
            <w:vAlign w:val="center"/>
          </w:tcPr>
          <w:p w14:paraId="76E90055" w14:textId="5791CA52" w:rsidR="00067C8A" w:rsidRPr="00394D9A" w:rsidRDefault="00067C8A" w:rsidP="00187D17">
            <w:pPr>
              <w:widowControl w:val="0"/>
              <w:jc w:val="center"/>
              <w:rPr>
                <w:noProof/>
                <w:szCs w:val="22"/>
                <w:lang w:val="sr-Latn-RS"/>
              </w:rPr>
            </w:pPr>
            <w:r w:rsidRPr="00394D9A">
              <w:rPr>
                <w:noProof/>
                <w:szCs w:val="22"/>
                <w:lang w:val="sr-Latn-RS"/>
              </w:rPr>
              <w:t>4 (0,3%)</w:t>
            </w:r>
          </w:p>
        </w:tc>
        <w:tc>
          <w:tcPr>
            <w:tcW w:w="2180" w:type="dxa"/>
            <w:vAlign w:val="center"/>
          </w:tcPr>
          <w:p w14:paraId="63BEB463" w14:textId="1304D816" w:rsidR="00067C8A" w:rsidRPr="00394D9A" w:rsidRDefault="00067C8A" w:rsidP="00187D17">
            <w:pPr>
              <w:widowControl w:val="0"/>
              <w:jc w:val="center"/>
              <w:rPr>
                <w:noProof/>
                <w:szCs w:val="22"/>
                <w:lang w:val="sr-Latn-RS"/>
              </w:rPr>
            </w:pPr>
            <w:r w:rsidRPr="00394D9A">
              <w:rPr>
                <w:noProof/>
                <w:szCs w:val="22"/>
                <w:lang w:val="sr-Latn-RS"/>
              </w:rPr>
              <w:t>8 (0,5%)</w:t>
            </w:r>
          </w:p>
        </w:tc>
        <w:tc>
          <w:tcPr>
            <w:tcW w:w="2464" w:type="dxa"/>
            <w:vAlign w:val="center"/>
          </w:tcPr>
          <w:p w14:paraId="261B2F61" w14:textId="407FD449" w:rsidR="00067C8A" w:rsidRPr="00394D9A" w:rsidRDefault="00067C8A" w:rsidP="00187D17">
            <w:pPr>
              <w:widowControl w:val="0"/>
              <w:jc w:val="center"/>
              <w:rPr>
                <w:noProof/>
                <w:szCs w:val="22"/>
                <w:lang w:val="sr-Latn-RS"/>
              </w:rPr>
            </w:pPr>
            <w:r w:rsidRPr="00394D9A">
              <w:rPr>
                <w:noProof/>
                <w:szCs w:val="22"/>
                <w:lang w:val="sr-Latn-RS"/>
              </w:rPr>
              <w:t>Ne može se izračunati*</w:t>
            </w:r>
          </w:p>
        </w:tc>
      </w:tr>
      <w:tr w:rsidR="00067C8A" w:rsidRPr="00394D9A" w14:paraId="47B5E068" w14:textId="77777777" w:rsidTr="002B75BA">
        <w:tc>
          <w:tcPr>
            <w:tcW w:w="2802" w:type="dxa"/>
          </w:tcPr>
          <w:p w14:paraId="10A06762" w14:textId="0F2173E1" w:rsidR="00067C8A" w:rsidRPr="00394D9A" w:rsidRDefault="00067C8A" w:rsidP="00187D17">
            <w:pPr>
              <w:widowControl w:val="0"/>
              <w:jc w:val="left"/>
              <w:rPr>
                <w:noProof/>
                <w:szCs w:val="22"/>
                <w:lang w:val="sr-Latn-RS"/>
              </w:rPr>
            </w:pPr>
            <w:r w:rsidRPr="00394D9A">
              <w:rPr>
                <w:noProof/>
                <w:szCs w:val="22"/>
                <w:lang w:val="sr-Latn-RS"/>
              </w:rPr>
              <w:t>Po život opasno krvarenje</w:t>
            </w:r>
          </w:p>
        </w:tc>
        <w:tc>
          <w:tcPr>
            <w:tcW w:w="2409" w:type="dxa"/>
            <w:vAlign w:val="center"/>
          </w:tcPr>
          <w:p w14:paraId="74AAD950" w14:textId="0F7E0DB3" w:rsidR="00067C8A" w:rsidRPr="00394D9A" w:rsidRDefault="00067C8A" w:rsidP="00187D17">
            <w:pPr>
              <w:widowControl w:val="0"/>
              <w:jc w:val="center"/>
              <w:rPr>
                <w:noProof/>
                <w:szCs w:val="22"/>
                <w:lang w:val="sr-Latn-RS"/>
              </w:rPr>
            </w:pPr>
            <w:r w:rsidRPr="00394D9A">
              <w:rPr>
                <w:noProof/>
                <w:szCs w:val="22"/>
                <w:lang w:val="sr-Latn-RS"/>
              </w:rPr>
              <w:t>1 (0,1%)</w:t>
            </w:r>
          </w:p>
        </w:tc>
        <w:tc>
          <w:tcPr>
            <w:tcW w:w="2180" w:type="dxa"/>
            <w:vAlign w:val="center"/>
          </w:tcPr>
          <w:p w14:paraId="595FD38A" w14:textId="328A7723" w:rsidR="00067C8A" w:rsidRPr="00394D9A" w:rsidRDefault="00067C8A" w:rsidP="00187D17">
            <w:pPr>
              <w:widowControl w:val="0"/>
              <w:jc w:val="center"/>
              <w:rPr>
                <w:noProof/>
                <w:szCs w:val="22"/>
                <w:lang w:val="sr-Latn-RS"/>
              </w:rPr>
            </w:pPr>
            <w:r w:rsidRPr="00394D9A">
              <w:rPr>
                <w:noProof/>
                <w:szCs w:val="22"/>
                <w:lang w:val="sr-Latn-RS"/>
              </w:rPr>
              <w:t>3 (0,2%)</w:t>
            </w:r>
          </w:p>
        </w:tc>
        <w:tc>
          <w:tcPr>
            <w:tcW w:w="2464" w:type="dxa"/>
            <w:vAlign w:val="center"/>
          </w:tcPr>
          <w:p w14:paraId="4C432A2D" w14:textId="2A297645" w:rsidR="00067C8A" w:rsidRPr="00394D9A" w:rsidRDefault="00067C8A" w:rsidP="00187D17">
            <w:pPr>
              <w:widowControl w:val="0"/>
              <w:jc w:val="center"/>
              <w:rPr>
                <w:noProof/>
                <w:szCs w:val="22"/>
                <w:lang w:val="sr-Latn-RS"/>
              </w:rPr>
            </w:pPr>
            <w:r w:rsidRPr="00394D9A">
              <w:rPr>
                <w:noProof/>
                <w:szCs w:val="22"/>
                <w:lang w:val="sr-Latn-RS"/>
              </w:rPr>
              <w:t>Ne može se izračunati*</w:t>
            </w:r>
          </w:p>
        </w:tc>
      </w:tr>
      <w:tr w:rsidR="00067C8A" w:rsidRPr="00394D9A" w14:paraId="42B9E4D4" w14:textId="77777777" w:rsidTr="002B75BA">
        <w:tc>
          <w:tcPr>
            <w:tcW w:w="2802" w:type="dxa"/>
          </w:tcPr>
          <w:p w14:paraId="276ECA61" w14:textId="6807EE1C" w:rsidR="00067C8A" w:rsidRPr="00394D9A" w:rsidRDefault="00067C8A" w:rsidP="00187D17">
            <w:pPr>
              <w:widowControl w:val="0"/>
              <w:jc w:val="left"/>
              <w:rPr>
                <w:noProof/>
                <w:szCs w:val="22"/>
                <w:lang w:val="sr-Latn-RS"/>
              </w:rPr>
            </w:pPr>
            <w:r w:rsidRPr="00394D9A">
              <w:rPr>
                <w:noProof/>
                <w:szCs w:val="22"/>
                <w:lang w:val="sr-Latn-RS"/>
              </w:rPr>
              <w:t>Događaji velikog krvarenja /klinički značajnog krvarenja</w:t>
            </w:r>
          </w:p>
        </w:tc>
        <w:tc>
          <w:tcPr>
            <w:tcW w:w="2409" w:type="dxa"/>
            <w:vAlign w:val="center"/>
          </w:tcPr>
          <w:p w14:paraId="6056A17C" w14:textId="71BE2A2C" w:rsidR="00067C8A" w:rsidRPr="00394D9A" w:rsidRDefault="00067C8A" w:rsidP="00187D17">
            <w:pPr>
              <w:widowControl w:val="0"/>
              <w:jc w:val="center"/>
              <w:rPr>
                <w:noProof/>
                <w:szCs w:val="22"/>
                <w:lang w:val="sr-Latn-RS"/>
              </w:rPr>
            </w:pPr>
            <w:r w:rsidRPr="00394D9A">
              <w:rPr>
                <w:noProof/>
                <w:szCs w:val="22"/>
                <w:lang w:val="sr-Latn-RS"/>
              </w:rPr>
              <w:t>80 (5,6%)</w:t>
            </w:r>
          </w:p>
        </w:tc>
        <w:tc>
          <w:tcPr>
            <w:tcW w:w="2180" w:type="dxa"/>
            <w:vAlign w:val="center"/>
          </w:tcPr>
          <w:p w14:paraId="767DFF5D" w14:textId="2F9ECB81" w:rsidR="00067C8A" w:rsidRPr="00394D9A" w:rsidRDefault="00067C8A" w:rsidP="00187D17">
            <w:pPr>
              <w:widowControl w:val="0"/>
              <w:jc w:val="center"/>
              <w:rPr>
                <w:noProof/>
                <w:szCs w:val="22"/>
                <w:lang w:val="sr-Latn-RS"/>
              </w:rPr>
            </w:pPr>
            <w:r w:rsidRPr="00394D9A">
              <w:rPr>
                <w:noProof/>
                <w:szCs w:val="22"/>
                <w:lang w:val="sr-Latn-RS"/>
              </w:rPr>
              <w:t>145 (10,2%)</w:t>
            </w:r>
          </w:p>
        </w:tc>
        <w:tc>
          <w:tcPr>
            <w:tcW w:w="2464" w:type="dxa"/>
            <w:vAlign w:val="center"/>
          </w:tcPr>
          <w:p w14:paraId="5ABA9383" w14:textId="2C09C050" w:rsidR="00067C8A" w:rsidRPr="00394D9A" w:rsidRDefault="00067C8A" w:rsidP="00187D17">
            <w:pPr>
              <w:widowControl w:val="0"/>
              <w:jc w:val="center"/>
              <w:rPr>
                <w:noProof/>
                <w:szCs w:val="22"/>
                <w:lang w:val="sr-Latn-RS"/>
              </w:rPr>
            </w:pPr>
            <w:r w:rsidRPr="00394D9A">
              <w:rPr>
                <w:noProof/>
                <w:szCs w:val="22"/>
                <w:lang w:val="sr-Latn-RS"/>
              </w:rPr>
              <w:t>0,55 (0,41; 0,72)</w:t>
            </w:r>
          </w:p>
        </w:tc>
      </w:tr>
      <w:tr w:rsidR="00067C8A" w:rsidRPr="00394D9A" w14:paraId="758E23BC" w14:textId="77777777" w:rsidTr="002B75BA">
        <w:tc>
          <w:tcPr>
            <w:tcW w:w="2802" w:type="dxa"/>
          </w:tcPr>
          <w:p w14:paraId="708C637E" w14:textId="172C6E44" w:rsidR="00067C8A" w:rsidRPr="00394D9A" w:rsidRDefault="00067C8A" w:rsidP="00187D17">
            <w:pPr>
              <w:widowControl w:val="0"/>
              <w:jc w:val="left"/>
              <w:rPr>
                <w:noProof/>
                <w:szCs w:val="22"/>
                <w:lang w:val="sr-Latn-RS"/>
              </w:rPr>
            </w:pPr>
            <w:r w:rsidRPr="00394D9A">
              <w:rPr>
                <w:noProof/>
                <w:szCs w:val="22"/>
                <w:lang w:val="sr-Latn-RS"/>
              </w:rPr>
              <w:t>Sva krvarenj</w:t>
            </w:r>
            <w:r w:rsidR="005C7549" w:rsidRPr="00394D9A">
              <w:rPr>
                <w:noProof/>
                <w:szCs w:val="22"/>
                <w:lang w:val="sr-Latn-RS"/>
              </w:rPr>
              <w:t>a</w:t>
            </w:r>
          </w:p>
        </w:tc>
        <w:tc>
          <w:tcPr>
            <w:tcW w:w="2409" w:type="dxa"/>
            <w:vAlign w:val="center"/>
          </w:tcPr>
          <w:p w14:paraId="54D1C7BE" w14:textId="43816741" w:rsidR="00067C8A" w:rsidRPr="00394D9A" w:rsidRDefault="00067C8A" w:rsidP="00187D17">
            <w:pPr>
              <w:widowControl w:val="0"/>
              <w:jc w:val="center"/>
              <w:rPr>
                <w:noProof/>
                <w:szCs w:val="22"/>
                <w:lang w:val="sr-Latn-RS"/>
              </w:rPr>
            </w:pPr>
            <w:r w:rsidRPr="00394D9A">
              <w:rPr>
                <w:noProof/>
                <w:szCs w:val="22"/>
                <w:lang w:val="sr-Latn-RS"/>
              </w:rPr>
              <w:t>278 (19,4%)</w:t>
            </w:r>
          </w:p>
        </w:tc>
        <w:tc>
          <w:tcPr>
            <w:tcW w:w="2180" w:type="dxa"/>
            <w:vAlign w:val="center"/>
          </w:tcPr>
          <w:p w14:paraId="0EE89E51" w14:textId="2A14E5CA" w:rsidR="00067C8A" w:rsidRPr="00394D9A" w:rsidRDefault="00067C8A" w:rsidP="00187D17">
            <w:pPr>
              <w:widowControl w:val="0"/>
              <w:jc w:val="center"/>
              <w:rPr>
                <w:noProof/>
                <w:szCs w:val="22"/>
                <w:lang w:val="sr-Latn-RS"/>
              </w:rPr>
            </w:pPr>
            <w:r w:rsidRPr="00394D9A">
              <w:rPr>
                <w:noProof/>
                <w:szCs w:val="22"/>
                <w:lang w:val="sr-Latn-RS"/>
              </w:rPr>
              <w:t>373 (26,2%)</w:t>
            </w:r>
          </w:p>
        </w:tc>
        <w:tc>
          <w:tcPr>
            <w:tcW w:w="2464" w:type="dxa"/>
            <w:vAlign w:val="center"/>
          </w:tcPr>
          <w:p w14:paraId="0D0E382F" w14:textId="525B036A" w:rsidR="00067C8A" w:rsidRPr="00394D9A" w:rsidRDefault="00067C8A" w:rsidP="00187D17">
            <w:pPr>
              <w:widowControl w:val="0"/>
              <w:jc w:val="center"/>
              <w:rPr>
                <w:noProof/>
                <w:szCs w:val="22"/>
                <w:lang w:val="sr-Latn-RS"/>
              </w:rPr>
            </w:pPr>
            <w:r w:rsidRPr="00394D9A">
              <w:rPr>
                <w:noProof/>
                <w:szCs w:val="22"/>
                <w:lang w:val="sr-Latn-RS"/>
              </w:rPr>
              <w:t>0,71 (0,61; 0,83)</w:t>
            </w:r>
          </w:p>
        </w:tc>
      </w:tr>
      <w:tr w:rsidR="00067C8A" w:rsidRPr="00394D9A" w14:paraId="7838C138" w14:textId="77777777" w:rsidTr="002B75BA">
        <w:tc>
          <w:tcPr>
            <w:tcW w:w="2802" w:type="dxa"/>
          </w:tcPr>
          <w:p w14:paraId="68FDDA22" w14:textId="6D6299B2" w:rsidR="00067C8A" w:rsidRPr="00394D9A" w:rsidRDefault="00067C8A" w:rsidP="00187D17">
            <w:pPr>
              <w:widowControl w:val="0"/>
              <w:jc w:val="left"/>
              <w:rPr>
                <w:noProof/>
                <w:szCs w:val="22"/>
                <w:lang w:val="sr-Latn-RS"/>
              </w:rPr>
            </w:pPr>
            <w:r w:rsidRPr="00394D9A">
              <w:rPr>
                <w:noProof/>
                <w:szCs w:val="22"/>
                <w:lang w:val="sr-Latn-RS"/>
              </w:rPr>
              <w:t>Sva GI krvarenj</w:t>
            </w:r>
            <w:r w:rsidR="005C7549" w:rsidRPr="00394D9A">
              <w:rPr>
                <w:noProof/>
                <w:szCs w:val="22"/>
                <w:lang w:val="sr-Latn-RS"/>
              </w:rPr>
              <w:t>a</w:t>
            </w:r>
          </w:p>
        </w:tc>
        <w:tc>
          <w:tcPr>
            <w:tcW w:w="2409" w:type="dxa"/>
            <w:vAlign w:val="center"/>
          </w:tcPr>
          <w:p w14:paraId="6DA6277C" w14:textId="7F881FD4" w:rsidR="00067C8A" w:rsidRPr="00394D9A" w:rsidRDefault="00067C8A" w:rsidP="00187D17">
            <w:pPr>
              <w:widowControl w:val="0"/>
              <w:jc w:val="center"/>
              <w:rPr>
                <w:noProof/>
                <w:szCs w:val="22"/>
                <w:lang w:val="sr-Latn-RS"/>
              </w:rPr>
            </w:pPr>
            <w:r w:rsidRPr="00394D9A">
              <w:rPr>
                <w:noProof/>
                <w:szCs w:val="22"/>
                <w:lang w:val="sr-Latn-RS"/>
              </w:rPr>
              <w:t>45 (3,1%)</w:t>
            </w:r>
          </w:p>
        </w:tc>
        <w:tc>
          <w:tcPr>
            <w:tcW w:w="2180" w:type="dxa"/>
            <w:vAlign w:val="center"/>
          </w:tcPr>
          <w:p w14:paraId="1A45B7C9" w14:textId="5FEE5815" w:rsidR="00067C8A" w:rsidRPr="00394D9A" w:rsidRDefault="00067C8A" w:rsidP="00187D17">
            <w:pPr>
              <w:widowControl w:val="0"/>
              <w:jc w:val="center"/>
              <w:rPr>
                <w:noProof/>
                <w:szCs w:val="22"/>
                <w:lang w:val="sr-Latn-RS"/>
              </w:rPr>
            </w:pPr>
            <w:r w:rsidRPr="00394D9A">
              <w:rPr>
                <w:noProof/>
                <w:szCs w:val="22"/>
                <w:lang w:val="sr-Latn-RS"/>
              </w:rPr>
              <w:t>32 (2,2%)</w:t>
            </w:r>
          </w:p>
        </w:tc>
        <w:tc>
          <w:tcPr>
            <w:tcW w:w="2464" w:type="dxa"/>
            <w:vAlign w:val="center"/>
          </w:tcPr>
          <w:p w14:paraId="7FA857AF" w14:textId="4DFCA25F" w:rsidR="00067C8A" w:rsidRPr="00394D9A" w:rsidRDefault="00067C8A" w:rsidP="00187D17">
            <w:pPr>
              <w:widowControl w:val="0"/>
              <w:jc w:val="center"/>
              <w:rPr>
                <w:noProof/>
                <w:szCs w:val="22"/>
                <w:lang w:val="sr-Latn-RS"/>
              </w:rPr>
            </w:pPr>
            <w:r w:rsidRPr="00394D9A">
              <w:rPr>
                <w:noProof/>
                <w:szCs w:val="22"/>
                <w:lang w:val="sr-Latn-RS"/>
              </w:rPr>
              <w:t>1,39 (0,87; 2,20)</w:t>
            </w:r>
          </w:p>
        </w:tc>
      </w:tr>
    </w:tbl>
    <w:p w14:paraId="43428B86" w14:textId="5FD3519B" w:rsidR="00067C8A" w:rsidRPr="00394D9A" w:rsidRDefault="00067C8A" w:rsidP="00187D17">
      <w:pPr>
        <w:widowControl w:val="0"/>
        <w:rPr>
          <w:noProof/>
          <w:szCs w:val="22"/>
          <w:lang w:val="sr-Latn-RS"/>
        </w:rPr>
      </w:pPr>
      <w:r w:rsidRPr="00394D9A">
        <w:rPr>
          <w:noProof/>
          <w:szCs w:val="22"/>
          <w:lang w:val="sr-Latn-RS"/>
        </w:rPr>
        <w:t>*HR (</w:t>
      </w:r>
      <w:r w:rsidR="005C685F" w:rsidRPr="00394D9A">
        <w:rPr>
          <w:noProof/>
          <w:szCs w:val="22"/>
          <w:lang w:val="sr-Latn-RS"/>
        </w:rPr>
        <w:t>o</w:t>
      </w:r>
      <w:r w:rsidRPr="00394D9A">
        <w:rPr>
          <w:noProof/>
          <w:szCs w:val="22"/>
          <w:lang w:val="sr-Latn-RS"/>
        </w:rPr>
        <w:t xml:space="preserve">dnos rizika </w:t>
      </w:r>
      <w:r w:rsidR="005C685F" w:rsidRPr="00394D9A">
        <w:rPr>
          <w:noProof/>
          <w:szCs w:val="22"/>
          <w:lang w:val="sr-Latn-RS"/>
        </w:rPr>
        <w:t>–</w:t>
      </w:r>
      <w:r w:rsidRPr="00394D9A">
        <w:rPr>
          <w:noProof/>
          <w:szCs w:val="22"/>
          <w:lang w:val="sr-Latn-RS"/>
        </w:rPr>
        <w:t xml:space="preserve"> HR, engl. </w:t>
      </w:r>
      <w:r w:rsidRPr="00394D9A">
        <w:rPr>
          <w:i/>
          <w:iCs/>
          <w:noProof/>
          <w:szCs w:val="22"/>
          <w:lang w:val="sr-Latn-RS"/>
        </w:rPr>
        <w:t>hazard ratio</w:t>
      </w:r>
      <w:r w:rsidRPr="00394D9A">
        <w:rPr>
          <w:noProof/>
          <w:szCs w:val="22"/>
          <w:lang w:val="sr-Latn-RS"/>
        </w:rPr>
        <w:t>) se ne može proc</w:t>
      </w:r>
      <w:r w:rsidR="005818CE" w:rsidRPr="00394D9A">
        <w:rPr>
          <w:noProof/>
          <w:szCs w:val="22"/>
          <w:lang w:val="sr-Latn-RS"/>
        </w:rPr>
        <w:t>i</w:t>
      </w:r>
      <w:r w:rsidR="006561D1" w:rsidRPr="00394D9A">
        <w:rPr>
          <w:noProof/>
          <w:szCs w:val="22"/>
          <w:lang w:val="sr-Latn-RS"/>
        </w:rPr>
        <w:t>j</w:t>
      </w:r>
      <w:r w:rsidRPr="00394D9A">
        <w:rPr>
          <w:noProof/>
          <w:szCs w:val="22"/>
          <w:lang w:val="sr-Latn-RS"/>
        </w:rPr>
        <w:t>eniti jer nema događaja ni u jednoj kohorti/l</w:t>
      </w:r>
      <w:r w:rsidR="006561D1" w:rsidRPr="00394D9A">
        <w:rPr>
          <w:noProof/>
          <w:szCs w:val="22"/>
          <w:lang w:val="sr-Latn-RS"/>
        </w:rPr>
        <w:t>ij</w:t>
      </w:r>
      <w:r w:rsidRPr="00394D9A">
        <w:rPr>
          <w:noProof/>
          <w:szCs w:val="22"/>
          <w:lang w:val="sr-Latn-RS"/>
        </w:rPr>
        <w:t>ečenju</w:t>
      </w:r>
    </w:p>
    <w:p w14:paraId="1D377A92" w14:textId="77777777" w:rsidR="00067C8A" w:rsidRPr="00394D9A" w:rsidRDefault="00067C8A" w:rsidP="00187D17">
      <w:pPr>
        <w:widowControl w:val="0"/>
        <w:rPr>
          <w:noProof/>
          <w:szCs w:val="22"/>
          <w:lang w:val="sr-Latn-RS"/>
        </w:rPr>
      </w:pPr>
    </w:p>
    <w:p w14:paraId="5667CAC8" w14:textId="0A791A55" w:rsidR="00067C8A" w:rsidRPr="00394D9A" w:rsidRDefault="005C685F" w:rsidP="00187D17">
      <w:pPr>
        <w:widowControl w:val="0"/>
        <w:rPr>
          <w:noProof/>
          <w:szCs w:val="22"/>
          <w:lang w:val="sr-Latn-RS"/>
        </w:rPr>
      </w:pPr>
      <w:r w:rsidRPr="00394D9A">
        <w:rPr>
          <w:noProof/>
          <w:szCs w:val="22"/>
          <w:lang w:val="sr-Latn-RS"/>
        </w:rPr>
        <w:t>U t</w:t>
      </w:r>
      <w:r w:rsidR="00067C8A" w:rsidRPr="00394D9A">
        <w:rPr>
          <w:noProof/>
          <w:szCs w:val="22"/>
          <w:lang w:val="sr-Latn-RS"/>
        </w:rPr>
        <w:t>abel</w:t>
      </w:r>
      <w:r w:rsidRPr="00394D9A">
        <w:rPr>
          <w:noProof/>
          <w:szCs w:val="22"/>
          <w:lang w:val="sr-Latn-RS"/>
        </w:rPr>
        <w:t>i</w:t>
      </w:r>
      <w:r w:rsidR="00067C8A" w:rsidRPr="00394D9A">
        <w:rPr>
          <w:noProof/>
          <w:szCs w:val="22"/>
          <w:lang w:val="sr-Latn-RS"/>
        </w:rPr>
        <w:t xml:space="preserve"> 1</w:t>
      </w:r>
      <w:r w:rsidR="00442BCA" w:rsidRPr="00394D9A">
        <w:rPr>
          <w:noProof/>
          <w:szCs w:val="22"/>
          <w:lang w:val="sr-Latn-RS"/>
        </w:rPr>
        <w:t>5</w:t>
      </w:r>
      <w:r w:rsidR="00067C8A" w:rsidRPr="00394D9A">
        <w:rPr>
          <w:noProof/>
          <w:szCs w:val="22"/>
          <w:lang w:val="sr-Latn-RS"/>
        </w:rPr>
        <w:t xml:space="preserve"> </w:t>
      </w:r>
      <w:r w:rsidRPr="00394D9A">
        <w:rPr>
          <w:noProof/>
          <w:szCs w:val="22"/>
          <w:lang w:val="sr-Latn-RS"/>
        </w:rPr>
        <w:t xml:space="preserve">prikazani su </w:t>
      </w:r>
      <w:r w:rsidR="00067C8A" w:rsidRPr="00394D9A">
        <w:rPr>
          <w:noProof/>
          <w:szCs w:val="22"/>
          <w:lang w:val="sr-Latn-RS"/>
        </w:rPr>
        <w:t>događaj</w:t>
      </w:r>
      <w:r w:rsidRPr="00394D9A">
        <w:rPr>
          <w:noProof/>
          <w:szCs w:val="22"/>
          <w:lang w:val="sr-Latn-RS"/>
        </w:rPr>
        <w:t>i</w:t>
      </w:r>
      <w:r w:rsidR="00067C8A" w:rsidRPr="00394D9A">
        <w:rPr>
          <w:noProof/>
          <w:szCs w:val="22"/>
          <w:lang w:val="sr-Latn-RS"/>
        </w:rPr>
        <w:t xml:space="preserve"> krvarenja u pivotalnom ispitivanju RE-SONATE za proc</w:t>
      </w:r>
      <w:r w:rsidR="006561D1" w:rsidRPr="00394D9A">
        <w:rPr>
          <w:noProof/>
          <w:szCs w:val="22"/>
          <w:lang w:val="sr-Latn-RS"/>
        </w:rPr>
        <w:t>j</w:t>
      </w:r>
      <w:r w:rsidR="00067C8A" w:rsidRPr="00394D9A">
        <w:rPr>
          <w:noProof/>
          <w:szCs w:val="22"/>
          <w:lang w:val="sr-Latn-RS"/>
        </w:rPr>
        <w:t xml:space="preserve">enu prevencije duboke venske tromboze (DVT) i plućne embolije (PE). Stopa kombinacije MBE/CRBE i svakog krvarenja bila je značajno niža na nominalnom alfa-nivou 5% kod pacijenata na placebu u poređenju sa pacijentima </w:t>
      </w:r>
      <w:r w:rsidRPr="00394D9A">
        <w:rPr>
          <w:noProof/>
          <w:szCs w:val="22"/>
          <w:lang w:val="sr-Latn-RS"/>
        </w:rPr>
        <w:t xml:space="preserve">koji su primali </w:t>
      </w:r>
      <w:r w:rsidR="00121AC3" w:rsidRPr="00394D9A">
        <w:rPr>
          <w:noProof/>
          <w:szCs w:val="22"/>
          <w:lang w:val="sr-Latn-RS"/>
        </w:rPr>
        <w:t>dabigatraneteksilat</w:t>
      </w:r>
      <w:r w:rsidR="00067C8A" w:rsidRPr="00394D9A">
        <w:rPr>
          <w:noProof/>
          <w:szCs w:val="22"/>
          <w:lang w:val="sr-Latn-RS"/>
        </w:rPr>
        <w:t>.</w:t>
      </w:r>
    </w:p>
    <w:p w14:paraId="0789775E" w14:textId="77777777" w:rsidR="00067C8A" w:rsidRPr="00394D9A" w:rsidRDefault="00067C8A" w:rsidP="00187D17">
      <w:pPr>
        <w:widowControl w:val="0"/>
        <w:rPr>
          <w:noProof/>
          <w:szCs w:val="22"/>
          <w:u w:val="single"/>
          <w:lang w:val="sr-Latn-RS"/>
        </w:rPr>
      </w:pPr>
    </w:p>
    <w:p w14:paraId="49B640F1" w14:textId="62F3D431" w:rsidR="00067C8A" w:rsidRPr="00394D9A" w:rsidRDefault="00067C8A" w:rsidP="00187D17">
      <w:pPr>
        <w:widowControl w:val="0"/>
        <w:rPr>
          <w:b/>
          <w:bCs/>
          <w:noProof/>
          <w:szCs w:val="22"/>
          <w:lang w:val="sr-Latn-RS"/>
        </w:rPr>
      </w:pPr>
      <w:r w:rsidRPr="00394D9A">
        <w:rPr>
          <w:b/>
          <w:bCs/>
          <w:noProof/>
          <w:szCs w:val="22"/>
          <w:lang w:val="sr-Latn-RS"/>
        </w:rPr>
        <w:t>Tabela 1</w:t>
      </w:r>
      <w:r w:rsidR="00442BCA" w:rsidRPr="00394D9A">
        <w:rPr>
          <w:b/>
          <w:bCs/>
          <w:noProof/>
          <w:szCs w:val="22"/>
          <w:lang w:val="sr-Latn-RS"/>
        </w:rPr>
        <w:t>5</w:t>
      </w:r>
      <w:r w:rsidRPr="00394D9A">
        <w:rPr>
          <w:b/>
          <w:bCs/>
          <w:noProof/>
          <w:szCs w:val="22"/>
          <w:lang w:val="sr-Latn-RS"/>
        </w:rPr>
        <w:t>: Događaji krvarenja u ispitivanju RE-SONATE za proc</w:t>
      </w:r>
      <w:r w:rsidR="006561D1" w:rsidRPr="00394D9A">
        <w:rPr>
          <w:b/>
          <w:bCs/>
          <w:noProof/>
          <w:szCs w:val="22"/>
          <w:lang w:val="sr-Latn-RS"/>
        </w:rPr>
        <w:t>j</w:t>
      </w:r>
      <w:r w:rsidRPr="00394D9A">
        <w:rPr>
          <w:b/>
          <w:bCs/>
          <w:noProof/>
          <w:szCs w:val="22"/>
          <w:lang w:val="sr-Latn-RS"/>
        </w:rPr>
        <w:t>enu prevencije duboke venske tromboze (DVT) i plućne embolije (PE)</w:t>
      </w:r>
    </w:p>
    <w:p w14:paraId="52EF4D97" w14:textId="77777777" w:rsidR="00C52C25" w:rsidRPr="00394D9A" w:rsidRDefault="00C52C25" w:rsidP="00187D17">
      <w:pPr>
        <w:widowControl w:val="0"/>
        <w:rPr>
          <w:b/>
          <w:bCs/>
          <w:noProof/>
          <w:szCs w:val="22"/>
          <w:lang w:val="sr-Latn-RS"/>
        </w:rPr>
      </w:pPr>
    </w:p>
    <w:tbl>
      <w:tblPr>
        <w:tblStyle w:val="TableGrid"/>
        <w:tblW w:w="0" w:type="auto"/>
        <w:tblLook w:val="04A0" w:firstRow="1" w:lastRow="0" w:firstColumn="1" w:lastColumn="0" w:noHBand="0" w:noVBand="1"/>
      </w:tblPr>
      <w:tblGrid>
        <w:gridCol w:w="2561"/>
        <w:gridCol w:w="2318"/>
        <w:gridCol w:w="1941"/>
        <w:gridCol w:w="2241"/>
      </w:tblGrid>
      <w:tr w:rsidR="00C52C25" w:rsidRPr="00394D9A" w14:paraId="56F4495D" w14:textId="77777777" w:rsidTr="002B75BA">
        <w:tc>
          <w:tcPr>
            <w:tcW w:w="2802" w:type="dxa"/>
          </w:tcPr>
          <w:p w14:paraId="3D3D7151" w14:textId="77777777" w:rsidR="00C52C25" w:rsidRPr="00394D9A" w:rsidRDefault="00C52C25" w:rsidP="00187D17">
            <w:pPr>
              <w:widowControl w:val="0"/>
              <w:rPr>
                <w:b/>
                <w:bCs/>
                <w:noProof/>
                <w:szCs w:val="22"/>
                <w:lang w:val="sr-Latn-RS"/>
              </w:rPr>
            </w:pPr>
          </w:p>
        </w:tc>
        <w:tc>
          <w:tcPr>
            <w:tcW w:w="2409" w:type="dxa"/>
            <w:vAlign w:val="center"/>
          </w:tcPr>
          <w:p w14:paraId="79311401" w14:textId="7DF85E29" w:rsidR="00C52C25" w:rsidRPr="00394D9A" w:rsidRDefault="00C52C25" w:rsidP="00187D17">
            <w:pPr>
              <w:widowControl w:val="0"/>
              <w:jc w:val="center"/>
              <w:rPr>
                <w:noProof/>
                <w:szCs w:val="22"/>
                <w:lang w:val="sr-Latn-RS"/>
              </w:rPr>
            </w:pPr>
            <w:r w:rsidRPr="00394D9A">
              <w:rPr>
                <w:noProof/>
                <w:szCs w:val="22"/>
                <w:lang w:val="sr-Latn-RS"/>
              </w:rPr>
              <w:t>Dabigatraneteksilat 150</w:t>
            </w:r>
            <w:r w:rsidR="002C63B4" w:rsidRPr="00394D9A">
              <w:rPr>
                <w:noProof/>
                <w:szCs w:val="22"/>
                <w:lang w:val="sr-Latn-RS"/>
              </w:rPr>
              <w:t> </w:t>
            </w:r>
            <w:r w:rsidRPr="00394D9A">
              <w:rPr>
                <w:noProof/>
                <w:szCs w:val="22"/>
                <w:lang w:val="sr-Latn-RS"/>
              </w:rPr>
              <w:t>mg dva puta na dan</w:t>
            </w:r>
          </w:p>
        </w:tc>
        <w:tc>
          <w:tcPr>
            <w:tcW w:w="2180" w:type="dxa"/>
            <w:vAlign w:val="center"/>
          </w:tcPr>
          <w:p w14:paraId="6AD9538F" w14:textId="44044648" w:rsidR="00C52C25" w:rsidRPr="00394D9A" w:rsidRDefault="00C52C25" w:rsidP="00187D17">
            <w:pPr>
              <w:widowControl w:val="0"/>
              <w:jc w:val="center"/>
              <w:rPr>
                <w:noProof/>
                <w:szCs w:val="22"/>
                <w:lang w:val="sr-Latn-RS"/>
              </w:rPr>
            </w:pPr>
            <w:r w:rsidRPr="00394D9A">
              <w:rPr>
                <w:noProof/>
                <w:szCs w:val="22"/>
                <w:lang w:val="sr-Latn-RS"/>
              </w:rPr>
              <w:t>Placebo</w:t>
            </w:r>
          </w:p>
        </w:tc>
        <w:tc>
          <w:tcPr>
            <w:tcW w:w="2464" w:type="dxa"/>
            <w:vAlign w:val="center"/>
          </w:tcPr>
          <w:p w14:paraId="2E67960D" w14:textId="590C3FA4" w:rsidR="00C52C25" w:rsidRPr="00394D9A" w:rsidRDefault="00C52C25" w:rsidP="00187D17">
            <w:pPr>
              <w:widowControl w:val="0"/>
              <w:jc w:val="center"/>
              <w:rPr>
                <w:noProof/>
                <w:szCs w:val="22"/>
                <w:lang w:val="sr-Latn-RS"/>
              </w:rPr>
            </w:pPr>
            <w:r w:rsidRPr="00394D9A">
              <w:rPr>
                <w:noProof/>
                <w:szCs w:val="22"/>
                <w:lang w:val="sr-Latn-RS"/>
              </w:rPr>
              <w:t>Odnos rizika u odnosu na placebo (interval pouzdanosti</w:t>
            </w:r>
            <w:r w:rsidR="002C63B4" w:rsidRPr="00394D9A">
              <w:rPr>
                <w:noProof/>
                <w:szCs w:val="22"/>
                <w:lang w:val="sr-Latn-RS"/>
              </w:rPr>
              <w:t xml:space="preserve"> 95%</w:t>
            </w:r>
            <w:r w:rsidRPr="00394D9A">
              <w:rPr>
                <w:noProof/>
                <w:szCs w:val="22"/>
                <w:lang w:val="sr-Latn-RS"/>
              </w:rPr>
              <w:t>)</w:t>
            </w:r>
          </w:p>
        </w:tc>
      </w:tr>
      <w:tr w:rsidR="00C52C25" w:rsidRPr="00394D9A" w14:paraId="6A08F7B4" w14:textId="77777777" w:rsidTr="002B75BA">
        <w:tc>
          <w:tcPr>
            <w:tcW w:w="2802" w:type="dxa"/>
          </w:tcPr>
          <w:p w14:paraId="74AF4A0D" w14:textId="71614CFD" w:rsidR="00C52C25" w:rsidRPr="00394D9A" w:rsidRDefault="00C52C25" w:rsidP="00187D17">
            <w:pPr>
              <w:widowControl w:val="0"/>
              <w:jc w:val="left"/>
              <w:rPr>
                <w:noProof/>
                <w:szCs w:val="22"/>
                <w:lang w:val="sr-Latn-RS"/>
              </w:rPr>
            </w:pPr>
            <w:r w:rsidRPr="00394D9A">
              <w:rPr>
                <w:noProof/>
                <w:szCs w:val="22"/>
                <w:lang w:val="sr-Latn-RS"/>
              </w:rPr>
              <w:t>L</w:t>
            </w:r>
            <w:r w:rsidR="006561D1" w:rsidRPr="00394D9A">
              <w:rPr>
                <w:noProof/>
                <w:szCs w:val="22"/>
                <w:lang w:val="sr-Latn-RS"/>
              </w:rPr>
              <w:t>ij</w:t>
            </w:r>
            <w:r w:rsidRPr="00394D9A">
              <w:rPr>
                <w:noProof/>
                <w:szCs w:val="22"/>
                <w:lang w:val="sr-Latn-RS"/>
              </w:rPr>
              <w:t>ečeni pacijenti</w:t>
            </w:r>
          </w:p>
        </w:tc>
        <w:tc>
          <w:tcPr>
            <w:tcW w:w="2409" w:type="dxa"/>
            <w:vAlign w:val="center"/>
          </w:tcPr>
          <w:p w14:paraId="03B8C9B1" w14:textId="586FDF3B" w:rsidR="00C52C25" w:rsidRPr="00394D9A" w:rsidRDefault="00C52C25" w:rsidP="00187D17">
            <w:pPr>
              <w:widowControl w:val="0"/>
              <w:jc w:val="center"/>
              <w:rPr>
                <w:noProof/>
                <w:szCs w:val="22"/>
                <w:lang w:val="sr-Latn-RS"/>
              </w:rPr>
            </w:pPr>
            <w:r w:rsidRPr="00394D9A">
              <w:rPr>
                <w:noProof/>
                <w:szCs w:val="22"/>
                <w:lang w:val="sr-Latn-RS"/>
              </w:rPr>
              <w:t>684</w:t>
            </w:r>
          </w:p>
        </w:tc>
        <w:tc>
          <w:tcPr>
            <w:tcW w:w="2180" w:type="dxa"/>
            <w:vAlign w:val="center"/>
          </w:tcPr>
          <w:p w14:paraId="631E2D3E" w14:textId="0F9B8769" w:rsidR="00C52C25" w:rsidRPr="00394D9A" w:rsidRDefault="00C52C25" w:rsidP="00187D17">
            <w:pPr>
              <w:widowControl w:val="0"/>
              <w:jc w:val="center"/>
              <w:rPr>
                <w:noProof/>
                <w:szCs w:val="22"/>
                <w:lang w:val="sr-Latn-RS"/>
              </w:rPr>
            </w:pPr>
            <w:r w:rsidRPr="00394D9A">
              <w:rPr>
                <w:noProof/>
                <w:szCs w:val="22"/>
                <w:lang w:val="sr-Latn-RS"/>
              </w:rPr>
              <w:t>659</w:t>
            </w:r>
          </w:p>
        </w:tc>
        <w:tc>
          <w:tcPr>
            <w:tcW w:w="2464" w:type="dxa"/>
            <w:vAlign w:val="center"/>
          </w:tcPr>
          <w:p w14:paraId="17BA883B" w14:textId="77777777" w:rsidR="00C52C25" w:rsidRPr="00394D9A" w:rsidRDefault="00C52C25" w:rsidP="00187D17">
            <w:pPr>
              <w:widowControl w:val="0"/>
              <w:jc w:val="center"/>
              <w:rPr>
                <w:noProof/>
                <w:szCs w:val="22"/>
                <w:lang w:val="sr-Latn-RS"/>
              </w:rPr>
            </w:pPr>
          </w:p>
        </w:tc>
      </w:tr>
      <w:tr w:rsidR="00C52C25" w:rsidRPr="00394D9A" w14:paraId="653D169D" w14:textId="77777777" w:rsidTr="002B75BA">
        <w:tc>
          <w:tcPr>
            <w:tcW w:w="2802" w:type="dxa"/>
          </w:tcPr>
          <w:p w14:paraId="75139E09" w14:textId="77777777" w:rsidR="00C52C25" w:rsidRPr="00394D9A" w:rsidRDefault="00C52C25" w:rsidP="00187D17">
            <w:pPr>
              <w:widowControl w:val="0"/>
              <w:jc w:val="left"/>
              <w:rPr>
                <w:noProof/>
                <w:szCs w:val="22"/>
                <w:lang w:val="sr-Latn-RS"/>
              </w:rPr>
            </w:pPr>
            <w:r w:rsidRPr="00394D9A">
              <w:rPr>
                <w:noProof/>
                <w:szCs w:val="22"/>
                <w:lang w:val="sr-Latn-RS"/>
              </w:rPr>
              <w:t xml:space="preserve">Događaji velikog </w:t>
            </w:r>
            <w:r w:rsidRPr="00394D9A">
              <w:rPr>
                <w:noProof/>
                <w:szCs w:val="22"/>
                <w:lang w:val="sr-Latn-RS"/>
              </w:rPr>
              <w:lastRenderedPageBreak/>
              <w:t>krvarenja</w:t>
            </w:r>
          </w:p>
        </w:tc>
        <w:tc>
          <w:tcPr>
            <w:tcW w:w="2409" w:type="dxa"/>
            <w:vAlign w:val="center"/>
          </w:tcPr>
          <w:p w14:paraId="0CA2C3D2" w14:textId="4BF2F11A" w:rsidR="00C52C25" w:rsidRPr="00394D9A" w:rsidRDefault="00C52C25" w:rsidP="00187D17">
            <w:pPr>
              <w:widowControl w:val="0"/>
              <w:jc w:val="center"/>
              <w:rPr>
                <w:noProof/>
                <w:szCs w:val="22"/>
                <w:lang w:val="sr-Latn-RS"/>
              </w:rPr>
            </w:pPr>
            <w:r w:rsidRPr="00394D9A">
              <w:rPr>
                <w:noProof/>
                <w:szCs w:val="22"/>
                <w:lang w:val="sr-Latn-RS"/>
              </w:rPr>
              <w:lastRenderedPageBreak/>
              <w:t>2 (0,3%)</w:t>
            </w:r>
          </w:p>
        </w:tc>
        <w:tc>
          <w:tcPr>
            <w:tcW w:w="2180" w:type="dxa"/>
            <w:vAlign w:val="center"/>
          </w:tcPr>
          <w:p w14:paraId="5B3F0F34" w14:textId="79CC36A8" w:rsidR="00C52C25" w:rsidRPr="00394D9A" w:rsidRDefault="00C52C25" w:rsidP="00187D17">
            <w:pPr>
              <w:widowControl w:val="0"/>
              <w:jc w:val="center"/>
              <w:rPr>
                <w:noProof/>
                <w:szCs w:val="22"/>
                <w:lang w:val="sr-Latn-RS"/>
              </w:rPr>
            </w:pPr>
            <w:r w:rsidRPr="00394D9A">
              <w:rPr>
                <w:noProof/>
                <w:szCs w:val="22"/>
                <w:lang w:val="sr-Latn-RS"/>
              </w:rPr>
              <w:t>0</w:t>
            </w:r>
          </w:p>
        </w:tc>
        <w:tc>
          <w:tcPr>
            <w:tcW w:w="2464" w:type="dxa"/>
            <w:vAlign w:val="center"/>
          </w:tcPr>
          <w:p w14:paraId="1D371569" w14:textId="179D1D62" w:rsidR="00C52C25" w:rsidRPr="00394D9A" w:rsidRDefault="00C52C25" w:rsidP="00187D17">
            <w:pPr>
              <w:widowControl w:val="0"/>
              <w:jc w:val="center"/>
              <w:rPr>
                <w:noProof/>
                <w:szCs w:val="22"/>
                <w:lang w:val="sr-Latn-RS"/>
              </w:rPr>
            </w:pPr>
            <w:r w:rsidRPr="00394D9A">
              <w:rPr>
                <w:noProof/>
                <w:szCs w:val="22"/>
                <w:lang w:val="sr-Latn-RS"/>
              </w:rPr>
              <w:t xml:space="preserve">Ne može se </w:t>
            </w:r>
            <w:r w:rsidRPr="00394D9A">
              <w:rPr>
                <w:noProof/>
                <w:szCs w:val="22"/>
                <w:lang w:val="sr-Latn-RS"/>
              </w:rPr>
              <w:lastRenderedPageBreak/>
              <w:t>izračunati*</w:t>
            </w:r>
          </w:p>
        </w:tc>
      </w:tr>
      <w:tr w:rsidR="00C52C25" w:rsidRPr="00394D9A" w14:paraId="28666E9D" w14:textId="77777777" w:rsidTr="002B75BA">
        <w:tc>
          <w:tcPr>
            <w:tcW w:w="2802" w:type="dxa"/>
          </w:tcPr>
          <w:p w14:paraId="73996B16" w14:textId="44A2796C" w:rsidR="00C52C25" w:rsidRPr="00394D9A" w:rsidRDefault="00C52C25" w:rsidP="00187D17">
            <w:pPr>
              <w:widowControl w:val="0"/>
              <w:jc w:val="left"/>
              <w:rPr>
                <w:noProof/>
                <w:szCs w:val="22"/>
                <w:lang w:val="sr-Latn-RS"/>
              </w:rPr>
            </w:pPr>
            <w:r w:rsidRPr="00394D9A">
              <w:rPr>
                <w:noProof/>
                <w:szCs w:val="22"/>
                <w:lang w:val="sr-Latn-RS"/>
              </w:rPr>
              <w:lastRenderedPageBreak/>
              <w:t>Intrakranijalno   krvarenje</w:t>
            </w:r>
          </w:p>
        </w:tc>
        <w:tc>
          <w:tcPr>
            <w:tcW w:w="2409" w:type="dxa"/>
            <w:vAlign w:val="center"/>
          </w:tcPr>
          <w:p w14:paraId="5FAE13F7" w14:textId="328D5503" w:rsidR="00C52C25" w:rsidRPr="00394D9A" w:rsidRDefault="00C52C25" w:rsidP="00187D17">
            <w:pPr>
              <w:widowControl w:val="0"/>
              <w:jc w:val="center"/>
              <w:rPr>
                <w:noProof/>
                <w:szCs w:val="22"/>
                <w:lang w:val="sr-Latn-RS"/>
              </w:rPr>
            </w:pPr>
            <w:r w:rsidRPr="00394D9A">
              <w:rPr>
                <w:noProof/>
                <w:szCs w:val="22"/>
                <w:lang w:val="sr-Latn-RS"/>
              </w:rPr>
              <w:t>0</w:t>
            </w:r>
          </w:p>
        </w:tc>
        <w:tc>
          <w:tcPr>
            <w:tcW w:w="2180" w:type="dxa"/>
            <w:vAlign w:val="center"/>
          </w:tcPr>
          <w:p w14:paraId="3440D701" w14:textId="4E10B9FF" w:rsidR="00C52C25" w:rsidRPr="00394D9A" w:rsidRDefault="00C52C25" w:rsidP="00187D17">
            <w:pPr>
              <w:widowControl w:val="0"/>
              <w:jc w:val="center"/>
              <w:rPr>
                <w:noProof/>
                <w:szCs w:val="22"/>
                <w:lang w:val="sr-Latn-RS"/>
              </w:rPr>
            </w:pPr>
            <w:r w:rsidRPr="00394D9A">
              <w:rPr>
                <w:noProof/>
                <w:szCs w:val="22"/>
                <w:lang w:val="sr-Latn-RS"/>
              </w:rPr>
              <w:t>0</w:t>
            </w:r>
          </w:p>
        </w:tc>
        <w:tc>
          <w:tcPr>
            <w:tcW w:w="2464" w:type="dxa"/>
            <w:vAlign w:val="center"/>
          </w:tcPr>
          <w:p w14:paraId="368506E6" w14:textId="77777777" w:rsidR="00C52C25" w:rsidRPr="00394D9A" w:rsidRDefault="00C52C25" w:rsidP="00187D17">
            <w:pPr>
              <w:widowControl w:val="0"/>
              <w:jc w:val="center"/>
              <w:rPr>
                <w:noProof/>
                <w:szCs w:val="22"/>
                <w:lang w:val="sr-Latn-RS"/>
              </w:rPr>
            </w:pPr>
            <w:r w:rsidRPr="00394D9A">
              <w:rPr>
                <w:noProof/>
                <w:szCs w:val="22"/>
                <w:lang w:val="sr-Latn-RS"/>
              </w:rPr>
              <w:t>Ne može se izračunati*</w:t>
            </w:r>
          </w:p>
        </w:tc>
      </w:tr>
      <w:tr w:rsidR="00C52C25" w:rsidRPr="00394D9A" w14:paraId="5A3FF05B" w14:textId="77777777" w:rsidTr="002B75BA">
        <w:tc>
          <w:tcPr>
            <w:tcW w:w="2802" w:type="dxa"/>
          </w:tcPr>
          <w:p w14:paraId="7CAE3454" w14:textId="613F976D" w:rsidR="00C52C25" w:rsidRPr="00394D9A" w:rsidRDefault="00C52C25" w:rsidP="00187D17">
            <w:pPr>
              <w:widowControl w:val="0"/>
              <w:jc w:val="left"/>
              <w:rPr>
                <w:noProof/>
                <w:szCs w:val="22"/>
                <w:lang w:val="sr-Latn-RS"/>
              </w:rPr>
            </w:pPr>
            <w:r w:rsidRPr="00394D9A">
              <w:rPr>
                <w:noProof/>
                <w:szCs w:val="22"/>
                <w:lang w:val="sr-Latn-RS"/>
              </w:rPr>
              <w:t>Veliko GI krvarenje</w:t>
            </w:r>
          </w:p>
        </w:tc>
        <w:tc>
          <w:tcPr>
            <w:tcW w:w="2409" w:type="dxa"/>
            <w:vAlign w:val="center"/>
          </w:tcPr>
          <w:p w14:paraId="421A7CAB" w14:textId="05D7FBAF" w:rsidR="00C52C25" w:rsidRPr="00394D9A" w:rsidRDefault="00C52C25" w:rsidP="00187D17">
            <w:pPr>
              <w:widowControl w:val="0"/>
              <w:jc w:val="center"/>
              <w:rPr>
                <w:noProof/>
                <w:szCs w:val="22"/>
                <w:lang w:val="sr-Latn-RS"/>
              </w:rPr>
            </w:pPr>
            <w:r w:rsidRPr="00394D9A">
              <w:rPr>
                <w:noProof/>
                <w:szCs w:val="22"/>
                <w:lang w:val="sr-Latn-RS"/>
              </w:rPr>
              <w:t>2 (0,3%)</w:t>
            </w:r>
          </w:p>
        </w:tc>
        <w:tc>
          <w:tcPr>
            <w:tcW w:w="2180" w:type="dxa"/>
            <w:vAlign w:val="center"/>
          </w:tcPr>
          <w:p w14:paraId="0D2D733B" w14:textId="3D463989" w:rsidR="00C52C25" w:rsidRPr="00394D9A" w:rsidRDefault="00C52C25" w:rsidP="00187D17">
            <w:pPr>
              <w:widowControl w:val="0"/>
              <w:jc w:val="center"/>
              <w:rPr>
                <w:noProof/>
                <w:szCs w:val="22"/>
                <w:lang w:val="sr-Latn-RS"/>
              </w:rPr>
            </w:pPr>
            <w:r w:rsidRPr="00394D9A">
              <w:rPr>
                <w:noProof/>
                <w:szCs w:val="22"/>
                <w:lang w:val="sr-Latn-RS"/>
              </w:rPr>
              <w:t>0</w:t>
            </w:r>
          </w:p>
        </w:tc>
        <w:tc>
          <w:tcPr>
            <w:tcW w:w="2464" w:type="dxa"/>
            <w:vAlign w:val="center"/>
          </w:tcPr>
          <w:p w14:paraId="23AA605F" w14:textId="77777777" w:rsidR="00C52C25" w:rsidRPr="00394D9A" w:rsidRDefault="00C52C25" w:rsidP="00187D17">
            <w:pPr>
              <w:widowControl w:val="0"/>
              <w:jc w:val="center"/>
              <w:rPr>
                <w:noProof/>
                <w:szCs w:val="22"/>
                <w:lang w:val="sr-Latn-RS"/>
              </w:rPr>
            </w:pPr>
            <w:r w:rsidRPr="00394D9A">
              <w:rPr>
                <w:noProof/>
                <w:szCs w:val="22"/>
                <w:lang w:val="sr-Latn-RS"/>
              </w:rPr>
              <w:t>Ne može se izračunati*</w:t>
            </w:r>
          </w:p>
        </w:tc>
      </w:tr>
      <w:tr w:rsidR="00C52C25" w:rsidRPr="00394D9A" w14:paraId="0EB435D0" w14:textId="77777777" w:rsidTr="002B75BA">
        <w:tc>
          <w:tcPr>
            <w:tcW w:w="2802" w:type="dxa"/>
          </w:tcPr>
          <w:p w14:paraId="61F4B6B6" w14:textId="44056F3A" w:rsidR="00C52C25" w:rsidRPr="00394D9A" w:rsidRDefault="00C52C25" w:rsidP="00187D17">
            <w:pPr>
              <w:widowControl w:val="0"/>
              <w:jc w:val="left"/>
              <w:rPr>
                <w:noProof/>
                <w:szCs w:val="22"/>
                <w:lang w:val="sr-Latn-RS"/>
              </w:rPr>
            </w:pPr>
            <w:r w:rsidRPr="00394D9A">
              <w:rPr>
                <w:noProof/>
                <w:szCs w:val="22"/>
                <w:lang w:val="sr-Latn-RS"/>
              </w:rPr>
              <w:t>Po život opasno krvarenje</w:t>
            </w:r>
          </w:p>
        </w:tc>
        <w:tc>
          <w:tcPr>
            <w:tcW w:w="2409" w:type="dxa"/>
            <w:vAlign w:val="center"/>
          </w:tcPr>
          <w:p w14:paraId="0412544A" w14:textId="5CAF7901" w:rsidR="00C52C25" w:rsidRPr="00394D9A" w:rsidRDefault="00C52C25" w:rsidP="00187D17">
            <w:pPr>
              <w:widowControl w:val="0"/>
              <w:jc w:val="center"/>
              <w:rPr>
                <w:noProof/>
                <w:szCs w:val="22"/>
                <w:lang w:val="sr-Latn-RS"/>
              </w:rPr>
            </w:pPr>
            <w:r w:rsidRPr="00394D9A">
              <w:rPr>
                <w:noProof/>
                <w:szCs w:val="22"/>
                <w:lang w:val="sr-Latn-RS"/>
              </w:rPr>
              <w:t>0</w:t>
            </w:r>
          </w:p>
        </w:tc>
        <w:tc>
          <w:tcPr>
            <w:tcW w:w="2180" w:type="dxa"/>
            <w:vAlign w:val="center"/>
          </w:tcPr>
          <w:p w14:paraId="4E384B23" w14:textId="62F1123A" w:rsidR="00C52C25" w:rsidRPr="00394D9A" w:rsidRDefault="00C52C25" w:rsidP="00187D17">
            <w:pPr>
              <w:widowControl w:val="0"/>
              <w:jc w:val="center"/>
              <w:rPr>
                <w:noProof/>
                <w:szCs w:val="22"/>
                <w:lang w:val="sr-Latn-RS"/>
              </w:rPr>
            </w:pPr>
            <w:r w:rsidRPr="00394D9A">
              <w:rPr>
                <w:noProof/>
                <w:szCs w:val="22"/>
                <w:lang w:val="sr-Latn-RS"/>
              </w:rPr>
              <w:t>0</w:t>
            </w:r>
          </w:p>
        </w:tc>
        <w:tc>
          <w:tcPr>
            <w:tcW w:w="2464" w:type="dxa"/>
            <w:vAlign w:val="center"/>
          </w:tcPr>
          <w:p w14:paraId="60A756A7" w14:textId="77777777" w:rsidR="00C52C25" w:rsidRPr="00394D9A" w:rsidRDefault="00C52C25" w:rsidP="00187D17">
            <w:pPr>
              <w:widowControl w:val="0"/>
              <w:jc w:val="center"/>
              <w:rPr>
                <w:noProof/>
                <w:szCs w:val="22"/>
                <w:lang w:val="sr-Latn-RS"/>
              </w:rPr>
            </w:pPr>
            <w:r w:rsidRPr="00394D9A">
              <w:rPr>
                <w:noProof/>
                <w:szCs w:val="22"/>
                <w:lang w:val="sr-Latn-RS"/>
              </w:rPr>
              <w:t>Ne može se izračunati*</w:t>
            </w:r>
          </w:p>
        </w:tc>
      </w:tr>
      <w:tr w:rsidR="00C52C25" w:rsidRPr="00394D9A" w14:paraId="731AF342" w14:textId="77777777" w:rsidTr="002B75BA">
        <w:tc>
          <w:tcPr>
            <w:tcW w:w="2802" w:type="dxa"/>
          </w:tcPr>
          <w:p w14:paraId="32812AAE" w14:textId="77777777" w:rsidR="00C52C25" w:rsidRPr="00394D9A" w:rsidRDefault="00C52C25" w:rsidP="00187D17">
            <w:pPr>
              <w:widowControl w:val="0"/>
              <w:jc w:val="left"/>
              <w:rPr>
                <w:noProof/>
                <w:szCs w:val="22"/>
                <w:lang w:val="sr-Latn-RS"/>
              </w:rPr>
            </w:pPr>
            <w:r w:rsidRPr="00394D9A">
              <w:rPr>
                <w:noProof/>
                <w:szCs w:val="22"/>
                <w:lang w:val="sr-Latn-RS"/>
              </w:rPr>
              <w:t>Događaji velikog krvarenja / klinički značajnog krvarenja</w:t>
            </w:r>
          </w:p>
        </w:tc>
        <w:tc>
          <w:tcPr>
            <w:tcW w:w="2409" w:type="dxa"/>
            <w:vAlign w:val="center"/>
          </w:tcPr>
          <w:p w14:paraId="204F1EF1" w14:textId="49590C4C" w:rsidR="00C52C25" w:rsidRPr="00394D9A" w:rsidRDefault="00C52C25" w:rsidP="00187D17">
            <w:pPr>
              <w:widowControl w:val="0"/>
              <w:jc w:val="center"/>
              <w:rPr>
                <w:noProof/>
                <w:szCs w:val="22"/>
                <w:lang w:val="sr-Latn-RS"/>
              </w:rPr>
            </w:pPr>
            <w:r w:rsidRPr="00394D9A">
              <w:rPr>
                <w:noProof/>
                <w:szCs w:val="22"/>
                <w:lang w:val="sr-Latn-RS"/>
              </w:rPr>
              <w:t>36 (5,3%)</w:t>
            </w:r>
          </w:p>
        </w:tc>
        <w:tc>
          <w:tcPr>
            <w:tcW w:w="2180" w:type="dxa"/>
            <w:vAlign w:val="center"/>
          </w:tcPr>
          <w:p w14:paraId="1662D334" w14:textId="09EAE2B8" w:rsidR="00C52C25" w:rsidRPr="00394D9A" w:rsidRDefault="00C52C25" w:rsidP="00187D17">
            <w:pPr>
              <w:widowControl w:val="0"/>
              <w:jc w:val="center"/>
              <w:rPr>
                <w:noProof/>
                <w:szCs w:val="22"/>
                <w:lang w:val="sr-Latn-RS"/>
              </w:rPr>
            </w:pPr>
            <w:r w:rsidRPr="00394D9A">
              <w:rPr>
                <w:noProof/>
                <w:szCs w:val="22"/>
                <w:lang w:val="sr-Latn-RS"/>
              </w:rPr>
              <w:t>13 (2,0%)</w:t>
            </w:r>
          </w:p>
        </w:tc>
        <w:tc>
          <w:tcPr>
            <w:tcW w:w="2464" w:type="dxa"/>
            <w:vAlign w:val="center"/>
          </w:tcPr>
          <w:p w14:paraId="684D2896" w14:textId="5E66EA8B" w:rsidR="00C52C25" w:rsidRPr="00394D9A" w:rsidRDefault="00C52C25" w:rsidP="00187D17">
            <w:pPr>
              <w:widowControl w:val="0"/>
              <w:jc w:val="center"/>
              <w:rPr>
                <w:noProof/>
                <w:szCs w:val="22"/>
                <w:lang w:val="sr-Latn-RS"/>
              </w:rPr>
            </w:pPr>
            <w:r w:rsidRPr="00394D9A">
              <w:rPr>
                <w:noProof/>
                <w:szCs w:val="22"/>
                <w:lang w:val="sr-Latn-RS"/>
              </w:rPr>
              <w:t>2,69 (1,43; 5,07)</w:t>
            </w:r>
          </w:p>
        </w:tc>
      </w:tr>
      <w:tr w:rsidR="00C52C25" w:rsidRPr="00394D9A" w14:paraId="7650BEF4" w14:textId="77777777" w:rsidTr="002B75BA">
        <w:tc>
          <w:tcPr>
            <w:tcW w:w="2802" w:type="dxa"/>
          </w:tcPr>
          <w:p w14:paraId="6BF312FA" w14:textId="2BF287D9" w:rsidR="00C52C25" w:rsidRPr="00394D9A" w:rsidRDefault="00C52C25" w:rsidP="00187D17">
            <w:pPr>
              <w:widowControl w:val="0"/>
              <w:jc w:val="left"/>
              <w:rPr>
                <w:noProof/>
                <w:szCs w:val="22"/>
                <w:lang w:val="sr-Latn-RS"/>
              </w:rPr>
            </w:pPr>
            <w:r w:rsidRPr="00394D9A">
              <w:rPr>
                <w:noProof/>
                <w:szCs w:val="22"/>
                <w:lang w:val="sr-Latn-RS"/>
              </w:rPr>
              <w:t>Sva krvarenj</w:t>
            </w:r>
            <w:r w:rsidR="005C7549" w:rsidRPr="00394D9A">
              <w:rPr>
                <w:noProof/>
                <w:szCs w:val="22"/>
                <w:lang w:val="sr-Latn-RS"/>
              </w:rPr>
              <w:t>a</w:t>
            </w:r>
          </w:p>
        </w:tc>
        <w:tc>
          <w:tcPr>
            <w:tcW w:w="2409" w:type="dxa"/>
            <w:vAlign w:val="center"/>
          </w:tcPr>
          <w:p w14:paraId="672BDF27" w14:textId="4F2D2FFD" w:rsidR="00C52C25" w:rsidRPr="00394D9A" w:rsidRDefault="00C52C25" w:rsidP="00187D17">
            <w:pPr>
              <w:widowControl w:val="0"/>
              <w:jc w:val="center"/>
              <w:rPr>
                <w:noProof/>
                <w:szCs w:val="22"/>
                <w:lang w:val="sr-Latn-RS"/>
              </w:rPr>
            </w:pPr>
            <w:r w:rsidRPr="00394D9A">
              <w:rPr>
                <w:noProof/>
                <w:szCs w:val="22"/>
                <w:lang w:val="sr-Latn-RS"/>
              </w:rPr>
              <w:t>72 (10,5%)</w:t>
            </w:r>
          </w:p>
        </w:tc>
        <w:tc>
          <w:tcPr>
            <w:tcW w:w="2180" w:type="dxa"/>
            <w:vAlign w:val="center"/>
          </w:tcPr>
          <w:p w14:paraId="191CCF62" w14:textId="1671CB40" w:rsidR="00C52C25" w:rsidRPr="00394D9A" w:rsidRDefault="00C52C25" w:rsidP="00187D17">
            <w:pPr>
              <w:widowControl w:val="0"/>
              <w:jc w:val="center"/>
              <w:rPr>
                <w:noProof/>
                <w:szCs w:val="22"/>
                <w:lang w:val="sr-Latn-RS"/>
              </w:rPr>
            </w:pPr>
            <w:r w:rsidRPr="00394D9A">
              <w:rPr>
                <w:noProof/>
                <w:szCs w:val="22"/>
                <w:lang w:val="sr-Latn-RS"/>
              </w:rPr>
              <w:t>40 (6,1%)</w:t>
            </w:r>
          </w:p>
        </w:tc>
        <w:tc>
          <w:tcPr>
            <w:tcW w:w="2464" w:type="dxa"/>
            <w:vAlign w:val="center"/>
          </w:tcPr>
          <w:p w14:paraId="014CB1E1" w14:textId="36BBB891" w:rsidR="00C52C25" w:rsidRPr="00394D9A" w:rsidRDefault="00C52C25" w:rsidP="00187D17">
            <w:pPr>
              <w:widowControl w:val="0"/>
              <w:jc w:val="center"/>
              <w:rPr>
                <w:noProof/>
                <w:szCs w:val="22"/>
                <w:lang w:val="sr-Latn-RS"/>
              </w:rPr>
            </w:pPr>
            <w:r w:rsidRPr="00394D9A">
              <w:rPr>
                <w:noProof/>
                <w:szCs w:val="22"/>
                <w:lang w:val="sr-Latn-RS"/>
              </w:rPr>
              <w:t>1,77 (1,20; 2,61)</w:t>
            </w:r>
          </w:p>
        </w:tc>
      </w:tr>
      <w:tr w:rsidR="00C52C25" w:rsidRPr="00394D9A" w14:paraId="499CA8BA" w14:textId="77777777" w:rsidTr="002B75BA">
        <w:tc>
          <w:tcPr>
            <w:tcW w:w="2802" w:type="dxa"/>
          </w:tcPr>
          <w:p w14:paraId="12BA9C04" w14:textId="7DDDC677" w:rsidR="00C52C25" w:rsidRPr="00394D9A" w:rsidRDefault="00C52C25" w:rsidP="00187D17">
            <w:pPr>
              <w:widowControl w:val="0"/>
              <w:jc w:val="left"/>
              <w:rPr>
                <w:noProof/>
                <w:szCs w:val="22"/>
                <w:lang w:val="sr-Latn-RS"/>
              </w:rPr>
            </w:pPr>
            <w:r w:rsidRPr="00394D9A">
              <w:rPr>
                <w:noProof/>
                <w:szCs w:val="22"/>
                <w:lang w:val="sr-Latn-RS"/>
              </w:rPr>
              <w:t>Sva GI krvarenj</w:t>
            </w:r>
            <w:r w:rsidR="005C7549" w:rsidRPr="00394D9A">
              <w:rPr>
                <w:noProof/>
                <w:szCs w:val="22"/>
                <w:lang w:val="sr-Latn-RS"/>
              </w:rPr>
              <w:t>a</w:t>
            </w:r>
          </w:p>
        </w:tc>
        <w:tc>
          <w:tcPr>
            <w:tcW w:w="2409" w:type="dxa"/>
            <w:vAlign w:val="center"/>
          </w:tcPr>
          <w:p w14:paraId="1C0010C2" w14:textId="7019629E" w:rsidR="00C52C25" w:rsidRPr="00394D9A" w:rsidRDefault="00C52C25" w:rsidP="00187D17">
            <w:pPr>
              <w:widowControl w:val="0"/>
              <w:jc w:val="center"/>
              <w:rPr>
                <w:noProof/>
                <w:szCs w:val="22"/>
                <w:lang w:val="sr-Latn-RS"/>
              </w:rPr>
            </w:pPr>
            <w:r w:rsidRPr="00394D9A">
              <w:rPr>
                <w:noProof/>
                <w:szCs w:val="22"/>
                <w:lang w:val="sr-Latn-RS"/>
              </w:rPr>
              <w:t>5 (0,7%)</w:t>
            </w:r>
          </w:p>
        </w:tc>
        <w:tc>
          <w:tcPr>
            <w:tcW w:w="2180" w:type="dxa"/>
            <w:vAlign w:val="center"/>
          </w:tcPr>
          <w:p w14:paraId="498FAB02" w14:textId="50C8407B" w:rsidR="00C52C25" w:rsidRPr="00394D9A" w:rsidRDefault="00C52C25" w:rsidP="00187D17">
            <w:pPr>
              <w:widowControl w:val="0"/>
              <w:jc w:val="center"/>
              <w:rPr>
                <w:noProof/>
                <w:szCs w:val="22"/>
                <w:lang w:val="sr-Latn-RS"/>
              </w:rPr>
            </w:pPr>
            <w:r w:rsidRPr="00394D9A">
              <w:rPr>
                <w:noProof/>
                <w:szCs w:val="22"/>
                <w:lang w:val="sr-Latn-RS"/>
              </w:rPr>
              <w:t>2 (0,3%)</w:t>
            </w:r>
          </w:p>
        </w:tc>
        <w:tc>
          <w:tcPr>
            <w:tcW w:w="2464" w:type="dxa"/>
            <w:vAlign w:val="center"/>
          </w:tcPr>
          <w:p w14:paraId="27A03EF9" w14:textId="5EC3C678" w:rsidR="00C52C25" w:rsidRPr="00394D9A" w:rsidRDefault="00C52C25" w:rsidP="00187D17">
            <w:pPr>
              <w:widowControl w:val="0"/>
              <w:jc w:val="center"/>
              <w:rPr>
                <w:noProof/>
                <w:szCs w:val="22"/>
                <w:lang w:val="sr-Latn-RS"/>
              </w:rPr>
            </w:pPr>
            <w:r w:rsidRPr="00394D9A">
              <w:rPr>
                <w:noProof/>
                <w:szCs w:val="22"/>
                <w:lang w:val="sr-Latn-RS"/>
              </w:rPr>
              <w:t>2,38 (0,46; 12,27)</w:t>
            </w:r>
          </w:p>
        </w:tc>
      </w:tr>
    </w:tbl>
    <w:p w14:paraId="4117CBB0" w14:textId="2EBF6599" w:rsidR="00151C49" w:rsidRPr="00394D9A" w:rsidRDefault="002B75BA" w:rsidP="00187D17">
      <w:pPr>
        <w:widowControl w:val="0"/>
        <w:rPr>
          <w:noProof/>
          <w:szCs w:val="22"/>
          <w:lang w:val="sr-Latn-RS"/>
        </w:rPr>
      </w:pPr>
      <w:r w:rsidRPr="00394D9A">
        <w:rPr>
          <w:noProof/>
          <w:szCs w:val="22"/>
          <w:lang w:val="sr-Latn-RS"/>
        </w:rPr>
        <w:t>*Odnos rizika se ne može proc</w:t>
      </w:r>
      <w:r w:rsidR="00087C29" w:rsidRPr="00394D9A">
        <w:rPr>
          <w:noProof/>
          <w:szCs w:val="22"/>
          <w:lang w:val="sr-Latn-RS"/>
        </w:rPr>
        <w:t>i</w:t>
      </w:r>
      <w:r w:rsidR="006561D1" w:rsidRPr="00394D9A">
        <w:rPr>
          <w:noProof/>
          <w:szCs w:val="22"/>
          <w:lang w:val="sr-Latn-RS"/>
        </w:rPr>
        <w:t>j</w:t>
      </w:r>
      <w:r w:rsidRPr="00394D9A">
        <w:rPr>
          <w:noProof/>
          <w:szCs w:val="22"/>
          <w:lang w:val="sr-Latn-RS"/>
        </w:rPr>
        <w:t>eniti zbog odsustva događaja u svim l</w:t>
      </w:r>
      <w:r w:rsidR="006561D1" w:rsidRPr="00394D9A">
        <w:rPr>
          <w:noProof/>
          <w:szCs w:val="22"/>
          <w:lang w:val="sr-Latn-RS"/>
        </w:rPr>
        <w:t>ij</w:t>
      </w:r>
      <w:r w:rsidRPr="00394D9A">
        <w:rPr>
          <w:noProof/>
          <w:szCs w:val="22"/>
          <w:lang w:val="sr-Latn-RS"/>
        </w:rPr>
        <w:t>ečenjima</w:t>
      </w:r>
    </w:p>
    <w:p w14:paraId="6AA1D0A8" w14:textId="77777777" w:rsidR="00151C49" w:rsidRPr="00394D9A" w:rsidRDefault="00151C49" w:rsidP="00187D17">
      <w:pPr>
        <w:widowControl w:val="0"/>
        <w:rPr>
          <w:noProof/>
          <w:szCs w:val="22"/>
          <w:lang w:val="sr-Latn-RS"/>
        </w:rPr>
      </w:pPr>
    </w:p>
    <w:p w14:paraId="18953A26" w14:textId="48EDECCA" w:rsidR="009E3FC9" w:rsidRPr="00394D9A" w:rsidRDefault="009E3FC9" w:rsidP="00187D17">
      <w:pPr>
        <w:widowControl w:val="0"/>
        <w:rPr>
          <w:noProof/>
          <w:szCs w:val="22"/>
          <w:lang w:val="sr-Latn-RS"/>
        </w:rPr>
      </w:pPr>
      <w:r w:rsidRPr="00394D9A">
        <w:rPr>
          <w:noProof/>
          <w:szCs w:val="22"/>
          <w:u w:val="single"/>
          <w:lang w:val="sr-Latn-RS"/>
        </w:rPr>
        <w:t>Agranulocitoza i neutropenija</w:t>
      </w:r>
    </w:p>
    <w:p w14:paraId="3876B65A" w14:textId="77777777" w:rsidR="009E3FC9" w:rsidRPr="00394D9A" w:rsidRDefault="009E3FC9" w:rsidP="00187D17">
      <w:pPr>
        <w:widowControl w:val="0"/>
        <w:rPr>
          <w:noProof/>
          <w:szCs w:val="22"/>
          <w:u w:val="single"/>
          <w:lang w:val="sr-Latn-RS"/>
        </w:rPr>
      </w:pPr>
    </w:p>
    <w:p w14:paraId="45133B9C" w14:textId="3371890E" w:rsidR="002C63B4" w:rsidRPr="00394D9A" w:rsidRDefault="002C63B4" w:rsidP="00187D17">
      <w:pPr>
        <w:widowControl w:val="0"/>
        <w:rPr>
          <w:noProof/>
          <w:szCs w:val="22"/>
          <w:lang w:val="sr-Latn-RS"/>
        </w:rPr>
      </w:pPr>
      <w:r w:rsidRPr="00394D9A">
        <w:rPr>
          <w:noProof/>
          <w:szCs w:val="22"/>
          <w:lang w:val="sr-Latn-RS"/>
        </w:rPr>
        <w:t>Agranulocitoza i neutropenija su zab</w:t>
      </w:r>
      <w:r w:rsidR="00087C29" w:rsidRPr="00394D9A">
        <w:rPr>
          <w:noProof/>
          <w:szCs w:val="22"/>
          <w:lang w:val="sr-Latn-RS"/>
        </w:rPr>
        <w:t>ilj</w:t>
      </w:r>
      <w:r w:rsidRPr="00394D9A">
        <w:rPr>
          <w:noProof/>
          <w:szCs w:val="22"/>
          <w:lang w:val="sr-Latn-RS"/>
        </w:rPr>
        <w:t xml:space="preserve">ežene veoma </w:t>
      </w:r>
      <w:r w:rsidR="00291EB6" w:rsidRPr="00394D9A">
        <w:rPr>
          <w:noProof/>
          <w:szCs w:val="22"/>
          <w:lang w:val="sr-Latn-RS"/>
        </w:rPr>
        <w:t>rijetko</w:t>
      </w:r>
      <w:r w:rsidRPr="00394D9A">
        <w:rPr>
          <w:noProof/>
          <w:szCs w:val="22"/>
          <w:lang w:val="sr-Latn-RS"/>
        </w:rPr>
        <w:t xml:space="preserve"> tokom upotrebe dabigatraneteksilata nakon izdavanja dozvole za </w:t>
      </w:r>
      <w:r w:rsidR="00A639DA" w:rsidRPr="00394D9A">
        <w:rPr>
          <w:noProof/>
          <w:szCs w:val="22"/>
          <w:lang w:val="sr-Latn-RS"/>
        </w:rPr>
        <w:t>lijek</w:t>
      </w:r>
      <w:r w:rsidRPr="00394D9A">
        <w:rPr>
          <w:noProof/>
          <w:szCs w:val="22"/>
          <w:lang w:val="sr-Latn-RS"/>
        </w:rPr>
        <w:t>. Nije moguće pouzdano utvrditi učestalost neželjenih reakcija budući da se u postmarketinškom praćenju neželjene reakcije prijavljuju iz populacije nepoznate veličine. Stopa izv</w:t>
      </w:r>
      <w:r w:rsidR="006561D1" w:rsidRPr="00394D9A">
        <w:rPr>
          <w:noProof/>
          <w:szCs w:val="22"/>
          <w:lang w:val="sr-Latn-RS"/>
        </w:rPr>
        <w:t>j</w:t>
      </w:r>
      <w:r w:rsidRPr="00394D9A">
        <w:rPr>
          <w:noProof/>
          <w:szCs w:val="22"/>
          <w:lang w:val="sr-Latn-RS"/>
        </w:rPr>
        <w:t>eštavanja je proc</w:t>
      </w:r>
      <w:r w:rsidR="00087C29" w:rsidRPr="00394D9A">
        <w:rPr>
          <w:noProof/>
          <w:szCs w:val="22"/>
          <w:lang w:val="sr-Latn-RS"/>
        </w:rPr>
        <w:t>i</w:t>
      </w:r>
      <w:r w:rsidR="006561D1" w:rsidRPr="00394D9A">
        <w:rPr>
          <w:noProof/>
          <w:szCs w:val="22"/>
          <w:lang w:val="sr-Latn-RS"/>
        </w:rPr>
        <w:t>j</w:t>
      </w:r>
      <w:r w:rsidRPr="00394D9A">
        <w:rPr>
          <w:noProof/>
          <w:szCs w:val="22"/>
          <w:lang w:val="sr-Latn-RS"/>
        </w:rPr>
        <w:t>enjena kao 7 događaja na 1 milion pacijent-godina za agranulocitozu i kao 5 događaja na 1 milion pacijant-godina za neutropeniju.</w:t>
      </w:r>
    </w:p>
    <w:p w14:paraId="7D816F0A" w14:textId="698DDF1F" w:rsidR="00151C49" w:rsidRPr="00394D9A" w:rsidRDefault="00151C49" w:rsidP="00187D17">
      <w:pPr>
        <w:widowControl w:val="0"/>
        <w:rPr>
          <w:noProof/>
          <w:szCs w:val="22"/>
          <w:lang w:val="sr-Latn-RS"/>
        </w:rPr>
      </w:pPr>
    </w:p>
    <w:p w14:paraId="7A6814E4" w14:textId="25A3B741" w:rsidR="00151C49" w:rsidRPr="00394D9A" w:rsidRDefault="00151C49" w:rsidP="00187D17">
      <w:pPr>
        <w:widowControl w:val="0"/>
        <w:rPr>
          <w:noProof/>
          <w:szCs w:val="22"/>
          <w:u w:val="single"/>
          <w:lang w:val="sr-Latn-RS"/>
        </w:rPr>
      </w:pPr>
      <w:r w:rsidRPr="00394D9A">
        <w:rPr>
          <w:noProof/>
          <w:szCs w:val="22"/>
          <w:u w:val="single"/>
          <w:lang w:val="sr-Latn-RS"/>
        </w:rPr>
        <w:t>Pedijatrijska populacija</w:t>
      </w:r>
    </w:p>
    <w:p w14:paraId="3D66CF9C" w14:textId="77777777" w:rsidR="00151C49" w:rsidRPr="00394D9A" w:rsidRDefault="00151C49" w:rsidP="00187D17">
      <w:pPr>
        <w:widowControl w:val="0"/>
        <w:rPr>
          <w:noProof/>
          <w:szCs w:val="22"/>
          <w:u w:val="single"/>
          <w:lang w:val="sr-Latn-RS"/>
        </w:rPr>
      </w:pPr>
    </w:p>
    <w:p w14:paraId="7DC96CBF" w14:textId="736A1EA7" w:rsidR="007603D8" w:rsidRPr="00394D9A" w:rsidRDefault="007603D8" w:rsidP="00187D17">
      <w:pPr>
        <w:widowControl w:val="0"/>
        <w:rPr>
          <w:noProof/>
          <w:szCs w:val="22"/>
          <w:lang w:val="sr-Latn-RS"/>
        </w:rPr>
      </w:pPr>
      <w:r w:rsidRPr="00394D9A">
        <w:rPr>
          <w:noProof/>
          <w:szCs w:val="22"/>
          <w:lang w:val="sr-Latn-RS"/>
        </w:rPr>
        <w:t>Bezb</w:t>
      </w:r>
      <w:r w:rsidR="00087C29" w:rsidRPr="00394D9A">
        <w:rPr>
          <w:noProof/>
          <w:szCs w:val="22"/>
          <w:lang w:val="sr-Latn-RS"/>
        </w:rPr>
        <w:t>j</w:t>
      </w:r>
      <w:r w:rsidRPr="00394D9A">
        <w:rPr>
          <w:noProof/>
          <w:szCs w:val="22"/>
          <w:lang w:val="sr-Latn-RS"/>
        </w:rPr>
        <w:t>ednost dabigatraneteksilata u terapiji VTE i prevenciji rekurentne VTE kod pedijatrijskih pacijenata bila je ispitivana u dva ispitivanja faze III (DIVERSITY i 1160.108). Ukupno, 328 pedijatrijskih pacijenata je bilo l</w:t>
      </w:r>
      <w:r w:rsidR="00087C29" w:rsidRPr="00394D9A">
        <w:rPr>
          <w:noProof/>
          <w:szCs w:val="22"/>
          <w:lang w:val="sr-Latn-RS"/>
        </w:rPr>
        <w:t>ij</w:t>
      </w:r>
      <w:r w:rsidRPr="00394D9A">
        <w:rPr>
          <w:noProof/>
          <w:szCs w:val="22"/>
          <w:lang w:val="sr-Latn-RS"/>
        </w:rPr>
        <w:t>ečeno dabigatraneteksilatom. Pacijenti su primili formulaciju dabigatraneteksilata u skladu sa njihovom starosnom dobi i u dozama koje su bile prilagođene njihovoj starosnoj dobi i t</w:t>
      </w:r>
      <w:r w:rsidR="00087C29" w:rsidRPr="00394D9A">
        <w:rPr>
          <w:noProof/>
          <w:szCs w:val="22"/>
          <w:lang w:val="sr-Latn-RS"/>
        </w:rPr>
        <w:t>j</w:t>
      </w:r>
      <w:r w:rsidRPr="00394D9A">
        <w:rPr>
          <w:noProof/>
          <w:szCs w:val="22"/>
          <w:lang w:val="sr-Latn-RS"/>
        </w:rPr>
        <w:t>elesnoj masi.</w:t>
      </w:r>
    </w:p>
    <w:p w14:paraId="64B88A01" w14:textId="77777777" w:rsidR="007603D8" w:rsidRPr="00394D9A" w:rsidRDefault="007603D8" w:rsidP="00187D17">
      <w:pPr>
        <w:widowControl w:val="0"/>
        <w:rPr>
          <w:noProof/>
          <w:szCs w:val="22"/>
          <w:lang w:val="sr-Latn-RS"/>
        </w:rPr>
      </w:pPr>
    </w:p>
    <w:p w14:paraId="335DDC44" w14:textId="2EA90967" w:rsidR="007603D8" w:rsidRPr="00394D9A" w:rsidRDefault="00DE5F2C" w:rsidP="00187D17">
      <w:pPr>
        <w:widowControl w:val="0"/>
        <w:rPr>
          <w:noProof/>
          <w:szCs w:val="22"/>
          <w:lang w:val="sr-Latn-RS"/>
        </w:rPr>
      </w:pPr>
      <w:r w:rsidRPr="00394D9A">
        <w:rPr>
          <w:noProof/>
          <w:szCs w:val="22"/>
          <w:lang w:val="sr-Latn-RS"/>
        </w:rPr>
        <w:t>Generalno se</w:t>
      </w:r>
      <w:r w:rsidR="007603D8" w:rsidRPr="00394D9A">
        <w:rPr>
          <w:noProof/>
          <w:szCs w:val="22"/>
          <w:lang w:val="sr-Latn-RS"/>
        </w:rPr>
        <w:t xml:space="preserve"> očekuje da je bezb</w:t>
      </w:r>
      <w:r w:rsidR="00087C29" w:rsidRPr="00394D9A">
        <w:rPr>
          <w:noProof/>
          <w:szCs w:val="22"/>
          <w:lang w:val="sr-Latn-RS"/>
        </w:rPr>
        <w:t>j</w:t>
      </w:r>
      <w:r w:rsidR="007603D8" w:rsidRPr="00394D9A">
        <w:rPr>
          <w:noProof/>
          <w:szCs w:val="22"/>
          <w:lang w:val="sr-Latn-RS"/>
        </w:rPr>
        <w:t>ednosni profil kod d</w:t>
      </w:r>
      <w:r w:rsidR="00087C29" w:rsidRPr="00394D9A">
        <w:rPr>
          <w:noProof/>
          <w:szCs w:val="22"/>
          <w:lang w:val="sr-Latn-RS"/>
        </w:rPr>
        <w:t>j</w:t>
      </w:r>
      <w:r w:rsidR="007603D8" w:rsidRPr="00394D9A">
        <w:rPr>
          <w:noProof/>
          <w:szCs w:val="22"/>
          <w:lang w:val="sr-Latn-RS"/>
        </w:rPr>
        <w:t>ece isti kao kod odraslih.</w:t>
      </w:r>
    </w:p>
    <w:p w14:paraId="32D7E05D" w14:textId="77777777" w:rsidR="007603D8" w:rsidRPr="00394D9A" w:rsidRDefault="007603D8" w:rsidP="00187D17">
      <w:pPr>
        <w:widowControl w:val="0"/>
        <w:rPr>
          <w:noProof/>
          <w:szCs w:val="22"/>
          <w:lang w:val="sr-Latn-RS"/>
        </w:rPr>
      </w:pPr>
    </w:p>
    <w:p w14:paraId="1EC72A73" w14:textId="372732D9" w:rsidR="007603D8" w:rsidRPr="00394D9A" w:rsidRDefault="00DE5F2C" w:rsidP="00187D17">
      <w:pPr>
        <w:widowControl w:val="0"/>
        <w:rPr>
          <w:noProof/>
          <w:szCs w:val="22"/>
          <w:lang w:val="sr-Latn-RS"/>
        </w:rPr>
      </w:pPr>
      <w:r w:rsidRPr="00394D9A">
        <w:rPr>
          <w:noProof/>
          <w:szCs w:val="22"/>
          <w:lang w:val="sr-Latn-RS"/>
        </w:rPr>
        <w:t>U</w:t>
      </w:r>
      <w:r w:rsidR="007603D8" w:rsidRPr="00394D9A">
        <w:rPr>
          <w:noProof/>
          <w:szCs w:val="22"/>
          <w:lang w:val="sr-Latn-RS"/>
        </w:rPr>
        <w:t>kupno 26 % pedijatrijskih pacijenata na terapiji dabigatraneteksilatom za VTE i za prevenciju rekurentne VTE pojavile su se neželjene reakcije.</w:t>
      </w:r>
    </w:p>
    <w:p w14:paraId="06A8AFB3" w14:textId="77777777" w:rsidR="004B086D" w:rsidRPr="00394D9A" w:rsidRDefault="004B086D" w:rsidP="00187D17">
      <w:pPr>
        <w:widowControl w:val="0"/>
        <w:rPr>
          <w:noProof/>
          <w:szCs w:val="22"/>
          <w:lang w:val="sr-Latn-RS"/>
        </w:rPr>
      </w:pPr>
    </w:p>
    <w:p w14:paraId="487F8D9C" w14:textId="4013B8CB" w:rsidR="004B086D" w:rsidRPr="00394D9A" w:rsidRDefault="004B086D" w:rsidP="00187D17">
      <w:pPr>
        <w:widowControl w:val="0"/>
        <w:rPr>
          <w:i/>
          <w:noProof/>
          <w:szCs w:val="22"/>
          <w:lang w:val="sr-Latn-RS"/>
        </w:rPr>
      </w:pPr>
      <w:r w:rsidRPr="00394D9A">
        <w:rPr>
          <w:i/>
          <w:noProof/>
          <w:szCs w:val="22"/>
          <w:u w:val="single"/>
          <w:lang w:val="sr-Latn-RS"/>
        </w:rPr>
        <w:t xml:space="preserve">Tabelarni prikaz neželjenih </w:t>
      </w:r>
      <w:r w:rsidR="005C7549" w:rsidRPr="00394D9A">
        <w:rPr>
          <w:i/>
          <w:noProof/>
          <w:szCs w:val="22"/>
          <w:u w:val="single"/>
          <w:lang w:val="sr-Latn-RS"/>
        </w:rPr>
        <w:t>dejstava</w:t>
      </w:r>
    </w:p>
    <w:p w14:paraId="60686473" w14:textId="77777777" w:rsidR="004B086D" w:rsidRPr="00394D9A" w:rsidRDefault="004B086D" w:rsidP="00187D17">
      <w:pPr>
        <w:widowControl w:val="0"/>
        <w:rPr>
          <w:noProof/>
          <w:szCs w:val="22"/>
          <w:lang w:val="sr-Latn-RS"/>
        </w:rPr>
      </w:pPr>
    </w:p>
    <w:p w14:paraId="1FE27442" w14:textId="1587216C" w:rsidR="004B086D" w:rsidRPr="00394D9A" w:rsidRDefault="004B086D" w:rsidP="00187D17">
      <w:pPr>
        <w:widowControl w:val="0"/>
        <w:rPr>
          <w:noProof/>
          <w:szCs w:val="22"/>
          <w:lang w:val="sr-Latn-RS"/>
        </w:rPr>
      </w:pPr>
      <w:r w:rsidRPr="00394D9A">
        <w:rPr>
          <w:noProof/>
          <w:szCs w:val="22"/>
          <w:lang w:val="sr-Latn-RS"/>
        </w:rPr>
        <w:t>Tabela 16 prikazuje neželjen</w:t>
      </w:r>
      <w:r w:rsidR="005C7549" w:rsidRPr="00394D9A">
        <w:rPr>
          <w:noProof/>
          <w:szCs w:val="22"/>
          <w:lang w:val="sr-Latn-RS"/>
        </w:rPr>
        <w:t>a</w:t>
      </w:r>
      <w:r w:rsidRPr="00394D9A">
        <w:rPr>
          <w:noProof/>
          <w:szCs w:val="22"/>
          <w:lang w:val="sr-Latn-RS"/>
        </w:rPr>
        <w:t xml:space="preserve"> </w:t>
      </w:r>
      <w:r w:rsidR="005C7549" w:rsidRPr="00394D9A">
        <w:rPr>
          <w:noProof/>
          <w:szCs w:val="22"/>
          <w:lang w:val="sr-Latn-RS"/>
        </w:rPr>
        <w:t>dejstva</w:t>
      </w:r>
      <w:r w:rsidRPr="00394D9A">
        <w:rPr>
          <w:noProof/>
          <w:szCs w:val="22"/>
          <w:lang w:val="sr-Latn-RS"/>
        </w:rPr>
        <w:t xml:space="preserve"> u ispitivanjima u terapiji VTE i prevencije rekurentne VTE kod pedijatrijskih pacijenata. Klasifikovane su prema klasi sistema organa (engl. </w:t>
      </w:r>
      <w:r w:rsidRPr="00394D9A">
        <w:rPr>
          <w:i/>
          <w:noProof/>
          <w:szCs w:val="22"/>
          <w:lang w:val="sr-Latn-RS"/>
        </w:rPr>
        <w:t xml:space="preserve">System Organ Class, </w:t>
      </w:r>
      <w:r w:rsidRPr="00394D9A">
        <w:rPr>
          <w:noProof/>
          <w:szCs w:val="22"/>
          <w:lang w:val="sr-Latn-RS"/>
        </w:rPr>
        <w:t>SOC) i učestalosti, koristeći sl</w:t>
      </w:r>
      <w:r w:rsidR="00157169" w:rsidRPr="00394D9A">
        <w:rPr>
          <w:noProof/>
          <w:szCs w:val="22"/>
          <w:lang w:val="sr-Latn-RS"/>
        </w:rPr>
        <w:t>j</w:t>
      </w:r>
      <w:r w:rsidRPr="00394D9A">
        <w:rPr>
          <w:noProof/>
          <w:szCs w:val="22"/>
          <w:lang w:val="sr-Latn-RS"/>
        </w:rPr>
        <w:t>edeću konvenciju: veoma čest</w:t>
      </w:r>
      <w:r w:rsidR="002F2E26" w:rsidRPr="00394D9A">
        <w:rPr>
          <w:noProof/>
          <w:szCs w:val="22"/>
          <w:lang w:val="sr-Latn-RS"/>
        </w:rPr>
        <w:t>o</w:t>
      </w:r>
      <w:r w:rsidRPr="00394D9A">
        <w:rPr>
          <w:noProof/>
          <w:szCs w:val="22"/>
          <w:lang w:val="sr-Latn-RS"/>
        </w:rPr>
        <w:t xml:space="preserve"> (≥ 1/10), čest</w:t>
      </w:r>
      <w:r w:rsidR="002F2E26" w:rsidRPr="00394D9A">
        <w:rPr>
          <w:noProof/>
          <w:szCs w:val="22"/>
          <w:lang w:val="sr-Latn-RS"/>
        </w:rPr>
        <w:t>o</w:t>
      </w:r>
      <w:r w:rsidRPr="00394D9A">
        <w:rPr>
          <w:noProof/>
          <w:szCs w:val="22"/>
          <w:lang w:val="sr-Latn-RS"/>
        </w:rPr>
        <w:t xml:space="preserve"> (≥ 1/100 i &lt; 1/10), povremen</w:t>
      </w:r>
      <w:r w:rsidR="002F2E26" w:rsidRPr="00394D9A">
        <w:rPr>
          <w:noProof/>
          <w:szCs w:val="22"/>
          <w:lang w:val="sr-Latn-RS"/>
        </w:rPr>
        <w:t>o</w:t>
      </w:r>
    </w:p>
    <w:p w14:paraId="0BA432E1" w14:textId="117D8AF1" w:rsidR="004B086D" w:rsidRPr="00394D9A" w:rsidRDefault="004B086D" w:rsidP="00187D17">
      <w:pPr>
        <w:widowControl w:val="0"/>
        <w:rPr>
          <w:noProof/>
          <w:szCs w:val="22"/>
          <w:lang w:val="sr-Latn-RS"/>
        </w:rPr>
      </w:pPr>
      <w:r w:rsidRPr="00394D9A">
        <w:rPr>
          <w:noProof/>
          <w:szCs w:val="22"/>
          <w:lang w:val="sr-Latn-RS"/>
        </w:rPr>
        <w:t>(≥ 1/1000 i &lt; 1/100), r</w:t>
      </w:r>
      <w:r w:rsidR="00087C29" w:rsidRPr="00394D9A">
        <w:rPr>
          <w:noProof/>
          <w:szCs w:val="22"/>
          <w:lang w:val="sr-Latn-RS"/>
        </w:rPr>
        <w:t>ij</w:t>
      </w:r>
      <w:r w:rsidRPr="00394D9A">
        <w:rPr>
          <w:noProof/>
          <w:szCs w:val="22"/>
          <w:lang w:val="sr-Latn-RS"/>
        </w:rPr>
        <w:t>etk</w:t>
      </w:r>
      <w:r w:rsidR="002F2E26" w:rsidRPr="00394D9A">
        <w:rPr>
          <w:noProof/>
          <w:szCs w:val="22"/>
          <w:lang w:val="sr-Latn-RS"/>
        </w:rPr>
        <w:t>o</w:t>
      </w:r>
      <w:r w:rsidRPr="00394D9A">
        <w:rPr>
          <w:noProof/>
          <w:szCs w:val="22"/>
          <w:lang w:val="sr-Latn-RS"/>
        </w:rPr>
        <w:t xml:space="preserve"> (≥ 1/10 000 i &lt; 1/1000), veoma r</w:t>
      </w:r>
      <w:r w:rsidR="00087C29" w:rsidRPr="00394D9A">
        <w:rPr>
          <w:noProof/>
          <w:szCs w:val="22"/>
          <w:lang w:val="sr-Latn-RS"/>
        </w:rPr>
        <w:t>ij</w:t>
      </w:r>
      <w:r w:rsidRPr="00394D9A">
        <w:rPr>
          <w:noProof/>
          <w:szCs w:val="22"/>
          <w:lang w:val="sr-Latn-RS"/>
        </w:rPr>
        <w:t>etk</w:t>
      </w:r>
      <w:r w:rsidR="002F2E26" w:rsidRPr="00394D9A">
        <w:rPr>
          <w:noProof/>
          <w:szCs w:val="22"/>
          <w:lang w:val="sr-Latn-RS"/>
        </w:rPr>
        <w:t>o</w:t>
      </w:r>
      <w:r w:rsidRPr="00394D9A">
        <w:rPr>
          <w:noProof/>
          <w:szCs w:val="22"/>
          <w:lang w:val="sr-Latn-RS"/>
        </w:rPr>
        <w:t xml:space="preserve"> (&lt; 1/10 000), nepoznat</w:t>
      </w:r>
      <w:r w:rsidR="002F2E26" w:rsidRPr="00394D9A">
        <w:rPr>
          <w:noProof/>
          <w:szCs w:val="22"/>
          <w:lang w:val="sr-Latn-RS"/>
        </w:rPr>
        <w:t>o</w:t>
      </w:r>
      <w:r w:rsidRPr="00394D9A">
        <w:rPr>
          <w:noProof/>
          <w:szCs w:val="22"/>
          <w:lang w:val="sr-Latn-RS"/>
        </w:rPr>
        <w:t xml:space="preserve"> (ne može da bude proc</w:t>
      </w:r>
      <w:r w:rsidR="00087C29" w:rsidRPr="00394D9A">
        <w:rPr>
          <w:noProof/>
          <w:szCs w:val="22"/>
          <w:lang w:val="sr-Latn-RS"/>
        </w:rPr>
        <w:t>ij</w:t>
      </w:r>
      <w:r w:rsidRPr="00394D9A">
        <w:rPr>
          <w:noProof/>
          <w:szCs w:val="22"/>
          <w:lang w:val="sr-Latn-RS"/>
        </w:rPr>
        <w:t>enjeno na osnovu raspoloživih podataka).</w:t>
      </w:r>
    </w:p>
    <w:p w14:paraId="1F41440A" w14:textId="77777777" w:rsidR="00B56047" w:rsidRPr="00394D9A" w:rsidRDefault="00B56047" w:rsidP="00187D17">
      <w:pPr>
        <w:widowControl w:val="0"/>
        <w:rPr>
          <w:noProof/>
          <w:szCs w:val="22"/>
          <w:lang w:val="sr-Latn-RS"/>
        </w:rPr>
      </w:pPr>
    </w:p>
    <w:p w14:paraId="694F6ECB" w14:textId="77777777" w:rsidR="00B56047" w:rsidRPr="00394D9A" w:rsidRDefault="00B56047" w:rsidP="00187D17">
      <w:pPr>
        <w:widowControl w:val="0"/>
        <w:rPr>
          <w:b/>
          <w:bCs/>
          <w:noProof/>
          <w:szCs w:val="22"/>
          <w:lang w:val="sr-Latn-RS"/>
        </w:rPr>
      </w:pPr>
      <w:r w:rsidRPr="00394D9A">
        <w:rPr>
          <w:b/>
          <w:bCs/>
          <w:noProof/>
          <w:szCs w:val="22"/>
          <w:lang w:val="sr-Latn-RS"/>
        </w:rPr>
        <w:t>Tabela 16: Neželjene reakcije</w:t>
      </w:r>
    </w:p>
    <w:p w14:paraId="30B19A7C" w14:textId="77777777" w:rsidR="00B56047" w:rsidRPr="00394D9A" w:rsidRDefault="00B56047" w:rsidP="00187D17">
      <w:pPr>
        <w:widowControl w:val="0"/>
        <w:rPr>
          <w:noProof/>
          <w:szCs w:val="22"/>
          <w:lang w:val="sr-Latn-R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0"/>
        <w:gridCol w:w="4901"/>
      </w:tblGrid>
      <w:tr w:rsidR="00BD6954" w:rsidRPr="00394D9A" w14:paraId="0EE864A4" w14:textId="77777777" w:rsidTr="00DF17BA">
        <w:tc>
          <w:tcPr>
            <w:tcW w:w="4160" w:type="dxa"/>
          </w:tcPr>
          <w:p w14:paraId="07886044" w14:textId="77777777" w:rsidR="00BD6954" w:rsidRPr="00394D9A" w:rsidRDefault="00BD6954" w:rsidP="00187D17">
            <w:pPr>
              <w:widowControl w:val="0"/>
              <w:tabs>
                <w:tab w:val="clear" w:pos="284"/>
              </w:tabs>
              <w:autoSpaceDE w:val="0"/>
              <w:autoSpaceDN w:val="0"/>
              <w:jc w:val="left"/>
              <w:rPr>
                <w:szCs w:val="22"/>
                <w:lang w:val="sr-Latn-RS"/>
              </w:rPr>
            </w:pPr>
          </w:p>
        </w:tc>
        <w:tc>
          <w:tcPr>
            <w:tcW w:w="4901" w:type="dxa"/>
          </w:tcPr>
          <w:p w14:paraId="15E1B4F9" w14:textId="77777777" w:rsidR="00BD6954" w:rsidRPr="00394D9A" w:rsidRDefault="00BD6954" w:rsidP="00187D17">
            <w:pPr>
              <w:widowControl w:val="0"/>
              <w:tabs>
                <w:tab w:val="clear" w:pos="284"/>
              </w:tabs>
              <w:autoSpaceDE w:val="0"/>
              <w:autoSpaceDN w:val="0"/>
              <w:ind w:left="9" w:right="66"/>
              <w:jc w:val="center"/>
              <w:rPr>
                <w:b/>
                <w:szCs w:val="22"/>
                <w:lang w:val="sr-Latn-RS"/>
              </w:rPr>
            </w:pPr>
            <w:r w:rsidRPr="00394D9A">
              <w:rPr>
                <w:b/>
                <w:spacing w:val="-2"/>
                <w:szCs w:val="22"/>
                <w:lang w:val="sr-Latn-RS"/>
              </w:rPr>
              <w:t>Učestalost</w:t>
            </w:r>
          </w:p>
        </w:tc>
      </w:tr>
      <w:tr w:rsidR="00BD6954" w:rsidRPr="00A01BFA" w14:paraId="079D4D96" w14:textId="77777777" w:rsidTr="00DF17BA">
        <w:tc>
          <w:tcPr>
            <w:tcW w:w="4160" w:type="dxa"/>
          </w:tcPr>
          <w:p w14:paraId="04699331" w14:textId="1DCFA7DC" w:rsidR="00BD6954" w:rsidRPr="00394D9A" w:rsidRDefault="00BD6954" w:rsidP="00187D17">
            <w:pPr>
              <w:widowControl w:val="0"/>
              <w:tabs>
                <w:tab w:val="clear" w:pos="284"/>
              </w:tabs>
              <w:autoSpaceDE w:val="0"/>
              <w:autoSpaceDN w:val="0"/>
              <w:ind w:left="110"/>
              <w:jc w:val="left"/>
              <w:rPr>
                <w:b/>
                <w:szCs w:val="22"/>
                <w:lang w:val="sr-Latn-RS"/>
              </w:rPr>
            </w:pPr>
            <w:r w:rsidRPr="00394D9A">
              <w:rPr>
                <w:b/>
                <w:szCs w:val="22"/>
                <w:lang w:val="sr-Latn-RS"/>
              </w:rPr>
              <w:t>SOC/Preporučeni</w:t>
            </w:r>
            <w:r w:rsidRPr="00394D9A">
              <w:rPr>
                <w:b/>
                <w:spacing w:val="-5"/>
                <w:szCs w:val="22"/>
                <w:lang w:val="sr-Latn-RS"/>
              </w:rPr>
              <w:t xml:space="preserve"> </w:t>
            </w:r>
            <w:r w:rsidRPr="00394D9A">
              <w:rPr>
                <w:b/>
                <w:spacing w:val="-2"/>
                <w:szCs w:val="22"/>
                <w:lang w:val="sr-Latn-RS"/>
              </w:rPr>
              <w:t>termin</w:t>
            </w:r>
          </w:p>
        </w:tc>
        <w:tc>
          <w:tcPr>
            <w:tcW w:w="4901" w:type="dxa"/>
          </w:tcPr>
          <w:p w14:paraId="61406756" w14:textId="77777777" w:rsidR="00BD6954" w:rsidRPr="00394D9A" w:rsidRDefault="00BD6954" w:rsidP="00187D17">
            <w:pPr>
              <w:widowControl w:val="0"/>
              <w:tabs>
                <w:tab w:val="clear" w:pos="284"/>
              </w:tabs>
              <w:autoSpaceDE w:val="0"/>
              <w:autoSpaceDN w:val="0"/>
              <w:ind w:left="9" w:right="57"/>
              <w:jc w:val="center"/>
              <w:rPr>
                <w:b/>
                <w:szCs w:val="22"/>
                <w:lang w:val="sr-Latn-RS"/>
              </w:rPr>
            </w:pPr>
            <w:r w:rsidRPr="00394D9A">
              <w:rPr>
                <w:b/>
                <w:szCs w:val="22"/>
                <w:lang w:val="sr-Latn-RS"/>
              </w:rPr>
              <w:t>Terapija</w:t>
            </w:r>
            <w:r w:rsidRPr="00394D9A">
              <w:rPr>
                <w:b/>
                <w:spacing w:val="-3"/>
                <w:szCs w:val="22"/>
                <w:lang w:val="sr-Latn-RS"/>
              </w:rPr>
              <w:t xml:space="preserve"> </w:t>
            </w:r>
            <w:r w:rsidRPr="00394D9A">
              <w:rPr>
                <w:b/>
                <w:szCs w:val="22"/>
                <w:lang w:val="sr-Latn-RS"/>
              </w:rPr>
              <w:t>VTE</w:t>
            </w:r>
            <w:r w:rsidRPr="00394D9A">
              <w:rPr>
                <w:b/>
                <w:spacing w:val="-6"/>
                <w:szCs w:val="22"/>
                <w:lang w:val="sr-Latn-RS"/>
              </w:rPr>
              <w:t xml:space="preserve"> </w:t>
            </w:r>
            <w:r w:rsidRPr="00394D9A">
              <w:rPr>
                <w:b/>
                <w:szCs w:val="22"/>
                <w:lang w:val="sr-Latn-RS"/>
              </w:rPr>
              <w:t>i</w:t>
            </w:r>
            <w:r w:rsidRPr="00394D9A">
              <w:rPr>
                <w:b/>
                <w:spacing w:val="-6"/>
                <w:szCs w:val="22"/>
                <w:lang w:val="sr-Latn-RS"/>
              </w:rPr>
              <w:t xml:space="preserve"> </w:t>
            </w:r>
            <w:r w:rsidRPr="00394D9A">
              <w:rPr>
                <w:b/>
                <w:szCs w:val="22"/>
                <w:lang w:val="sr-Latn-RS"/>
              </w:rPr>
              <w:t>prevencija</w:t>
            </w:r>
            <w:r w:rsidRPr="00394D9A">
              <w:rPr>
                <w:b/>
                <w:spacing w:val="-5"/>
                <w:szCs w:val="22"/>
                <w:lang w:val="sr-Latn-RS"/>
              </w:rPr>
              <w:t xml:space="preserve"> </w:t>
            </w:r>
            <w:r w:rsidRPr="00394D9A">
              <w:rPr>
                <w:b/>
                <w:szCs w:val="22"/>
                <w:lang w:val="sr-Latn-RS"/>
              </w:rPr>
              <w:t>rekurentne</w:t>
            </w:r>
            <w:r w:rsidRPr="00394D9A">
              <w:rPr>
                <w:b/>
                <w:spacing w:val="-5"/>
                <w:szCs w:val="22"/>
                <w:lang w:val="sr-Latn-RS"/>
              </w:rPr>
              <w:t xml:space="preserve"> </w:t>
            </w:r>
            <w:r w:rsidRPr="00394D9A">
              <w:rPr>
                <w:b/>
                <w:szCs w:val="22"/>
                <w:lang w:val="sr-Latn-RS"/>
              </w:rPr>
              <w:t>VTE</w:t>
            </w:r>
            <w:r w:rsidRPr="00394D9A">
              <w:rPr>
                <w:b/>
                <w:spacing w:val="-3"/>
                <w:szCs w:val="22"/>
                <w:lang w:val="sr-Latn-RS"/>
              </w:rPr>
              <w:t xml:space="preserve"> </w:t>
            </w:r>
            <w:r w:rsidRPr="00394D9A">
              <w:rPr>
                <w:b/>
                <w:spacing w:val="-5"/>
                <w:szCs w:val="22"/>
                <w:lang w:val="sr-Latn-RS"/>
              </w:rPr>
              <w:t>kod</w:t>
            </w:r>
          </w:p>
          <w:p w14:paraId="7EC93258" w14:textId="77777777" w:rsidR="00BD6954" w:rsidRPr="00394D9A" w:rsidRDefault="00BD6954" w:rsidP="00187D17">
            <w:pPr>
              <w:widowControl w:val="0"/>
              <w:tabs>
                <w:tab w:val="clear" w:pos="284"/>
              </w:tabs>
              <w:autoSpaceDE w:val="0"/>
              <w:autoSpaceDN w:val="0"/>
              <w:ind w:left="9" w:right="62"/>
              <w:jc w:val="center"/>
              <w:rPr>
                <w:b/>
                <w:szCs w:val="22"/>
                <w:lang w:val="sr-Latn-RS"/>
              </w:rPr>
            </w:pPr>
            <w:r w:rsidRPr="00394D9A">
              <w:rPr>
                <w:b/>
                <w:szCs w:val="22"/>
                <w:lang w:val="sr-Latn-RS"/>
              </w:rPr>
              <w:t>pedijatrijskih</w:t>
            </w:r>
            <w:r w:rsidRPr="00394D9A">
              <w:rPr>
                <w:b/>
                <w:spacing w:val="-12"/>
                <w:szCs w:val="22"/>
                <w:lang w:val="sr-Latn-RS"/>
              </w:rPr>
              <w:t xml:space="preserve"> </w:t>
            </w:r>
            <w:r w:rsidRPr="00394D9A">
              <w:rPr>
                <w:b/>
                <w:spacing w:val="-2"/>
                <w:szCs w:val="22"/>
                <w:lang w:val="sr-Latn-RS"/>
              </w:rPr>
              <w:t>pacijenata</w:t>
            </w:r>
          </w:p>
        </w:tc>
      </w:tr>
      <w:tr w:rsidR="00BD6954" w:rsidRPr="00394D9A" w14:paraId="409437A9" w14:textId="77777777" w:rsidTr="00DF17BA">
        <w:tc>
          <w:tcPr>
            <w:tcW w:w="9061" w:type="dxa"/>
            <w:gridSpan w:val="2"/>
          </w:tcPr>
          <w:p w14:paraId="38B63175" w14:textId="77777777" w:rsidR="00BD6954" w:rsidRPr="00394D9A" w:rsidRDefault="00BD6954" w:rsidP="00187D17">
            <w:pPr>
              <w:widowControl w:val="0"/>
              <w:tabs>
                <w:tab w:val="clear" w:pos="284"/>
              </w:tabs>
              <w:autoSpaceDE w:val="0"/>
              <w:autoSpaceDN w:val="0"/>
              <w:ind w:left="110"/>
              <w:jc w:val="left"/>
              <w:rPr>
                <w:b/>
                <w:i/>
                <w:szCs w:val="22"/>
                <w:lang w:val="sr-Latn-RS"/>
              </w:rPr>
            </w:pPr>
            <w:r w:rsidRPr="00394D9A">
              <w:rPr>
                <w:b/>
                <w:i/>
                <w:szCs w:val="22"/>
                <w:lang w:val="sr-Latn-RS"/>
              </w:rPr>
              <w:t>Poremećaji</w:t>
            </w:r>
            <w:r w:rsidRPr="00394D9A">
              <w:rPr>
                <w:b/>
                <w:i/>
                <w:spacing w:val="-6"/>
                <w:szCs w:val="22"/>
                <w:lang w:val="sr-Latn-RS"/>
              </w:rPr>
              <w:t xml:space="preserve"> </w:t>
            </w:r>
            <w:r w:rsidRPr="00394D9A">
              <w:rPr>
                <w:b/>
                <w:i/>
                <w:szCs w:val="22"/>
                <w:lang w:val="sr-Latn-RS"/>
              </w:rPr>
              <w:t>krvi</w:t>
            </w:r>
            <w:r w:rsidRPr="00394D9A">
              <w:rPr>
                <w:b/>
                <w:i/>
                <w:spacing w:val="-5"/>
                <w:szCs w:val="22"/>
                <w:lang w:val="sr-Latn-RS"/>
              </w:rPr>
              <w:t xml:space="preserve"> </w:t>
            </w:r>
            <w:r w:rsidRPr="00394D9A">
              <w:rPr>
                <w:b/>
                <w:i/>
                <w:szCs w:val="22"/>
                <w:lang w:val="sr-Latn-RS"/>
              </w:rPr>
              <w:t>i</w:t>
            </w:r>
            <w:r w:rsidRPr="00394D9A">
              <w:rPr>
                <w:b/>
                <w:i/>
                <w:spacing w:val="-6"/>
                <w:szCs w:val="22"/>
                <w:lang w:val="sr-Latn-RS"/>
              </w:rPr>
              <w:t xml:space="preserve"> </w:t>
            </w:r>
            <w:r w:rsidRPr="00394D9A">
              <w:rPr>
                <w:b/>
                <w:i/>
                <w:szCs w:val="22"/>
                <w:lang w:val="sr-Latn-RS"/>
              </w:rPr>
              <w:t>limfnog</w:t>
            </w:r>
            <w:r w:rsidRPr="00394D9A">
              <w:rPr>
                <w:b/>
                <w:i/>
                <w:spacing w:val="-5"/>
                <w:szCs w:val="22"/>
                <w:lang w:val="sr-Latn-RS"/>
              </w:rPr>
              <w:t xml:space="preserve"> </w:t>
            </w:r>
            <w:r w:rsidRPr="00394D9A">
              <w:rPr>
                <w:b/>
                <w:i/>
                <w:spacing w:val="-2"/>
                <w:szCs w:val="22"/>
                <w:lang w:val="sr-Latn-RS"/>
              </w:rPr>
              <w:t>sistema</w:t>
            </w:r>
          </w:p>
        </w:tc>
      </w:tr>
      <w:tr w:rsidR="00BD6954" w:rsidRPr="00394D9A" w14:paraId="71ADAED3" w14:textId="77777777" w:rsidTr="00DF17BA">
        <w:tc>
          <w:tcPr>
            <w:tcW w:w="4160" w:type="dxa"/>
          </w:tcPr>
          <w:p w14:paraId="1128264A" w14:textId="77777777" w:rsidR="00BD6954" w:rsidRPr="00394D9A" w:rsidRDefault="00BD6954" w:rsidP="00187D17">
            <w:pPr>
              <w:widowControl w:val="0"/>
              <w:tabs>
                <w:tab w:val="clear" w:pos="284"/>
              </w:tabs>
              <w:autoSpaceDE w:val="0"/>
              <w:autoSpaceDN w:val="0"/>
              <w:ind w:left="292"/>
              <w:jc w:val="left"/>
              <w:rPr>
                <w:szCs w:val="22"/>
                <w:lang w:val="sr-Latn-RS"/>
              </w:rPr>
            </w:pPr>
            <w:r w:rsidRPr="00394D9A">
              <w:rPr>
                <w:spacing w:val="-2"/>
                <w:szCs w:val="22"/>
                <w:lang w:val="sr-Latn-RS"/>
              </w:rPr>
              <w:t>Anemija</w:t>
            </w:r>
          </w:p>
        </w:tc>
        <w:tc>
          <w:tcPr>
            <w:tcW w:w="4901" w:type="dxa"/>
          </w:tcPr>
          <w:p w14:paraId="4C519AD5" w14:textId="77777777" w:rsidR="00BD6954" w:rsidRPr="00394D9A" w:rsidRDefault="00BD6954" w:rsidP="00187D17">
            <w:pPr>
              <w:widowControl w:val="0"/>
              <w:tabs>
                <w:tab w:val="clear" w:pos="284"/>
              </w:tabs>
              <w:autoSpaceDE w:val="0"/>
              <w:autoSpaceDN w:val="0"/>
              <w:ind w:left="66" w:right="57"/>
              <w:jc w:val="center"/>
              <w:rPr>
                <w:szCs w:val="22"/>
                <w:lang w:val="sr-Latn-RS"/>
              </w:rPr>
            </w:pPr>
            <w:r w:rsidRPr="00394D9A">
              <w:rPr>
                <w:spacing w:val="-2"/>
                <w:szCs w:val="22"/>
                <w:lang w:val="sr-Latn-RS"/>
              </w:rPr>
              <w:t>često</w:t>
            </w:r>
          </w:p>
        </w:tc>
      </w:tr>
      <w:tr w:rsidR="00BD6954" w:rsidRPr="00394D9A" w14:paraId="778038B9" w14:textId="77777777" w:rsidTr="00DF17BA">
        <w:tc>
          <w:tcPr>
            <w:tcW w:w="4160" w:type="dxa"/>
          </w:tcPr>
          <w:p w14:paraId="2F18BF80" w14:textId="502EBBFE" w:rsidR="00BD6954" w:rsidRPr="00394D9A" w:rsidRDefault="00BD6954" w:rsidP="00187D17">
            <w:pPr>
              <w:widowControl w:val="0"/>
              <w:tabs>
                <w:tab w:val="clear" w:pos="284"/>
              </w:tabs>
              <w:autoSpaceDE w:val="0"/>
              <w:autoSpaceDN w:val="0"/>
              <w:ind w:left="292"/>
              <w:jc w:val="left"/>
              <w:rPr>
                <w:szCs w:val="22"/>
                <w:lang w:val="sr-Latn-RS"/>
              </w:rPr>
            </w:pPr>
            <w:r w:rsidRPr="00394D9A">
              <w:rPr>
                <w:szCs w:val="22"/>
                <w:lang w:val="sr-Latn-RS"/>
              </w:rPr>
              <w:t>Pad</w:t>
            </w:r>
            <w:r w:rsidRPr="00394D9A">
              <w:rPr>
                <w:spacing w:val="-6"/>
                <w:szCs w:val="22"/>
                <w:lang w:val="sr-Latn-RS"/>
              </w:rPr>
              <w:t xml:space="preserve"> </w:t>
            </w:r>
            <w:r w:rsidRPr="00394D9A">
              <w:rPr>
                <w:szCs w:val="22"/>
                <w:lang w:val="sr-Latn-RS"/>
              </w:rPr>
              <w:t>vr</w:t>
            </w:r>
            <w:r w:rsidR="002F2E26" w:rsidRPr="00394D9A">
              <w:rPr>
                <w:szCs w:val="22"/>
                <w:lang w:val="sr-Latn-RS"/>
              </w:rPr>
              <w:t>ij</w:t>
            </w:r>
            <w:r w:rsidRPr="00394D9A">
              <w:rPr>
                <w:szCs w:val="22"/>
                <w:lang w:val="sr-Latn-RS"/>
              </w:rPr>
              <w:t>ednosti</w:t>
            </w:r>
            <w:r w:rsidRPr="00394D9A">
              <w:rPr>
                <w:spacing w:val="-6"/>
                <w:szCs w:val="22"/>
                <w:lang w:val="sr-Latn-RS"/>
              </w:rPr>
              <w:t xml:space="preserve"> </w:t>
            </w:r>
            <w:r w:rsidRPr="00394D9A">
              <w:rPr>
                <w:spacing w:val="-2"/>
                <w:szCs w:val="22"/>
                <w:lang w:val="sr-Latn-RS"/>
              </w:rPr>
              <w:t>hemoglobina</w:t>
            </w:r>
          </w:p>
        </w:tc>
        <w:tc>
          <w:tcPr>
            <w:tcW w:w="4901" w:type="dxa"/>
          </w:tcPr>
          <w:p w14:paraId="63776C3C" w14:textId="77777777" w:rsidR="00BD6954" w:rsidRPr="00394D9A" w:rsidRDefault="00BD6954" w:rsidP="00187D17">
            <w:pPr>
              <w:widowControl w:val="0"/>
              <w:tabs>
                <w:tab w:val="clear" w:pos="284"/>
              </w:tabs>
              <w:autoSpaceDE w:val="0"/>
              <w:autoSpaceDN w:val="0"/>
              <w:ind w:left="60" w:right="57"/>
              <w:jc w:val="center"/>
              <w:rPr>
                <w:szCs w:val="22"/>
                <w:lang w:val="sr-Latn-RS"/>
              </w:rPr>
            </w:pPr>
            <w:r w:rsidRPr="00394D9A">
              <w:rPr>
                <w:spacing w:val="-2"/>
                <w:szCs w:val="22"/>
                <w:lang w:val="sr-Latn-RS"/>
              </w:rPr>
              <w:t>povremeno</w:t>
            </w:r>
          </w:p>
        </w:tc>
      </w:tr>
      <w:tr w:rsidR="00BD6954" w:rsidRPr="00394D9A" w14:paraId="6EEFEA05" w14:textId="77777777" w:rsidTr="00DF17BA">
        <w:tc>
          <w:tcPr>
            <w:tcW w:w="4160" w:type="dxa"/>
          </w:tcPr>
          <w:p w14:paraId="0D0D05E0" w14:textId="77777777" w:rsidR="00BD6954" w:rsidRPr="00394D9A" w:rsidRDefault="00BD6954" w:rsidP="00187D17">
            <w:pPr>
              <w:widowControl w:val="0"/>
              <w:tabs>
                <w:tab w:val="clear" w:pos="284"/>
              </w:tabs>
              <w:autoSpaceDE w:val="0"/>
              <w:autoSpaceDN w:val="0"/>
              <w:ind w:left="292"/>
              <w:jc w:val="left"/>
              <w:rPr>
                <w:szCs w:val="22"/>
                <w:lang w:val="sr-Latn-RS"/>
              </w:rPr>
            </w:pPr>
            <w:r w:rsidRPr="00394D9A">
              <w:rPr>
                <w:spacing w:val="-2"/>
                <w:szCs w:val="22"/>
                <w:lang w:val="sr-Latn-RS"/>
              </w:rPr>
              <w:t>Trombocitopenija</w:t>
            </w:r>
          </w:p>
        </w:tc>
        <w:tc>
          <w:tcPr>
            <w:tcW w:w="4901" w:type="dxa"/>
          </w:tcPr>
          <w:p w14:paraId="47A70ECF" w14:textId="77777777" w:rsidR="00BD6954" w:rsidRPr="00394D9A" w:rsidRDefault="00BD6954" w:rsidP="00187D17">
            <w:pPr>
              <w:widowControl w:val="0"/>
              <w:tabs>
                <w:tab w:val="clear" w:pos="284"/>
              </w:tabs>
              <w:autoSpaceDE w:val="0"/>
              <w:autoSpaceDN w:val="0"/>
              <w:ind w:left="66" w:right="57"/>
              <w:jc w:val="center"/>
              <w:rPr>
                <w:szCs w:val="22"/>
                <w:lang w:val="sr-Latn-RS"/>
              </w:rPr>
            </w:pPr>
            <w:r w:rsidRPr="00394D9A">
              <w:rPr>
                <w:spacing w:val="-2"/>
                <w:szCs w:val="22"/>
                <w:lang w:val="sr-Latn-RS"/>
              </w:rPr>
              <w:t>često</w:t>
            </w:r>
          </w:p>
        </w:tc>
      </w:tr>
      <w:tr w:rsidR="00BD6954" w:rsidRPr="00394D9A" w14:paraId="02BBA6DD" w14:textId="77777777" w:rsidTr="00DF17BA">
        <w:tc>
          <w:tcPr>
            <w:tcW w:w="4160" w:type="dxa"/>
          </w:tcPr>
          <w:p w14:paraId="04F1C552" w14:textId="77777777" w:rsidR="00BD6954" w:rsidRPr="00394D9A" w:rsidRDefault="00BD6954" w:rsidP="00187D17">
            <w:pPr>
              <w:widowControl w:val="0"/>
              <w:tabs>
                <w:tab w:val="clear" w:pos="284"/>
              </w:tabs>
              <w:autoSpaceDE w:val="0"/>
              <w:autoSpaceDN w:val="0"/>
              <w:ind w:left="292"/>
              <w:jc w:val="left"/>
              <w:rPr>
                <w:szCs w:val="22"/>
                <w:lang w:val="sr-Latn-RS"/>
              </w:rPr>
            </w:pPr>
            <w:r w:rsidRPr="00394D9A">
              <w:rPr>
                <w:szCs w:val="22"/>
                <w:lang w:val="sr-Latn-RS"/>
              </w:rPr>
              <w:t>Sniženi</w:t>
            </w:r>
            <w:r w:rsidRPr="00394D9A">
              <w:rPr>
                <w:spacing w:val="-7"/>
                <w:szCs w:val="22"/>
                <w:lang w:val="sr-Latn-RS"/>
              </w:rPr>
              <w:t xml:space="preserve"> </w:t>
            </w:r>
            <w:r w:rsidRPr="00394D9A">
              <w:rPr>
                <w:spacing w:val="-2"/>
                <w:szCs w:val="22"/>
                <w:lang w:val="sr-Latn-RS"/>
              </w:rPr>
              <w:t>hematokrit</w:t>
            </w:r>
          </w:p>
        </w:tc>
        <w:tc>
          <w:tcPr>
            <w:tcW w:w="4901" w:type="dxa"/>
          </w:tcPr>
          <w:p w14:paraId="4A2B85DF" w14:textId="77777777" w:rsidR="00BD6954" w:rsidRPr="00394D9A" w:rsidRDefault="00BD6954" w:rsidP="00187D17">
            <w:pPr>
              <w:widowControl w:val="0"/>
              <w:tabs>
                <w:tab w:val="clear" w:pos="284"/>
              </w:tabs>
              <w:autoSpaceDE w:val="0"/>
              <w:autoSpaceDN w:val="0"/>
              <w:ind w:left="60" w:right="57"/>
              <w:jc w:val="center"/>
              <w:rPr>
                <w:szCs w:val="22"/>
                <w:lang w:val="sr-Latn-RS"/>
              </w:rPr>
            </w:pPr>
            <w:r w:rsidRPr="00394D9A">
              <w:rPr>
                <w:spacing w:val="-2"/>
                <w:szCs w:val="22"/>
                <w:lang w:val="sr-Latn-RS"/>
              </w:rPr>
              <w:t>povremeno</w:t>
            </w:r>
          </w:p>
        </w:tc>
      </w:tr>
      <w:tr w:rsidR="00BD6954" w:rsidRPr="00394D9A" w14:paraId="1842ADF7" w14:textId="77777777" w:rsidTr="00DF17BA">
        <w:tc>
          <w:tcPr>
            <w:tcW w:w="4160" w:type="dxa"/>
          </w:tcPr>
          <w:p w14:paraId="73FD2082" w14:textId="77777777" w:rsidR="00BD6954" w:rsidRPr="00394D9A" w:rsidRDefault="00BD6954" w:rsidP="00187D17">
            <w:pPr>
              <w:widowControl w:val="0"/>
              <w:tabs>
                <w:tab w:val="clear" w:pos="284"/>
              </w:tabs>
              <w:autoSpaceDE w:val="0"/>
              <w:autoSpaceDN w:val="0"/>
              <w:ind w:left="292"/>
              <w:jc w:val="left"/>
              <w:rPr>
                <w:szCs w:val="22"/>
                <w:lang w:val="sr-Latn-RS"/>
              </w:rPr>
            </w:pPr>
            <w:r w:rsidRPr="00394D9A">
              <w:rPr>
                <w:spacing w:val="-2"/>
                <w:szCs w:val="22"/>
                <w:lang w:val="sr-Latn-RS"/>
              </w:rPr>
              <w:t>Neutropenija</w:t>
            </w:r>
          </w:p>
        </w:tc>
        <w:tc>
          <w:tcPr>
            <w:tcW w:w="4901" w:type="dxa"/>
          </w:tcPr>
          <w:p w14:paraId="50D50C38" w14:textId="77777777" w:rsidR="00BD6954" w:rsidRPr="00394D9A" w:rsidRDefault="00BD6954" w:rsidP="00187D17">
            <w:pPr>
              <w:widowControl w:val="0"/>
              <w:tabs>
                <w:tab w:val="clear" w:pos="284"/>
              </w:tabs>
              <w:autoSpaceDE w:val="0"/>
              <w:autoSpaceDN w:val="0"/>
              <w:ind w:left="60" w:right="57"/>
              <w:jc w:val="center"/>
              <w:rPr>
                <w:szCs w:val="22"/>
                <w:lang w:val="sr-Latn-RS"/>
              </w:rPr>
            </w:pPr>
            <w:r w:rsidRPr="00394D9A">
              <w:rPr>
                <w:spacing w:val="-2"/>
                <w:szCs w:val="22"/>
                <w:lang w:val="sr-Latn-RS"/>
              </w:rPr>
              <w:t>povremeno</w:t>
            </w:r>
          </w:p>
        </w:tc>
      </w:tr>
      <w:tr w:rsidR="00BD6954" w:rsidRPr="00394D9A" w14:paraId="075EAC0D" w14:textId="77777777" w:rsidTr="00DF17BA">
        <w:tc>
          <w:tcPr>
            <w:tcW w:w="4160" w:type="dxa"/>
          </w:tcPr>
          <w:p w14:paraId="5118AC9A" w14:textId="77777777" w:rsidR="00BD6954" w:rsidRPr="00394D9A" w:rsidRDefault="00BD6954" w:rsidP="00187D17">
            <w:pPr>
              <w:widowControl w:val="0"/>
              <w:tabs>
                <w:tab w:val="clear" w:pos="284"/>
              </w:tabs>
              <w:autoSpaceDE w:val="0"/>
              <w:autoSpaceDN w:val="0"/>
              <w:ind w:left="292"/>
              <w:jc w:val="left"/>
              <w:rPr>
                <w:szCs w:val="22"/>
                <w:lang w:val="sr-Latn-RS"/>
              </w:rPr>
            </w:pPr>
            <w:r w:rsidRPr="00394D9A">
              <w:rPr>
                <w:spacing w:val="-2"/>
                <w:szCs w:val="22"/>
                <w:lang w:val="sr-Latn-RS"/>
              </w:rPr>
              <w:t>Agranulocitoza</w:t>
            </w:r>
          </w:p>
        </w:tc>
        <w:tc>
          <w:tcPr>
            <w:tcW w:w="4901" w:type="dxa"/>
          </w:tcPr>
          <w:p w14:paraId="3AA281E9" w14:textId="77777777" w:rsidR="00BD6954" w:rsidRPr="00394D9A" w:rsidRDefault="00BD6954" w:rsidP="00187D17">
            <w:pPr>
              <w:widowControl w:val="0"/>
              <w:tabs>
                <w:tab w:val="clear" w:pos="284"/>
              </w:tabs>
              <w:autoSpaceDE w:val="0"/>
              <w:autoSpaceDN w:val="0"/>
              <w:ind w:left="66" w:right="57"/>
              <w:jc w:val="center"/>
              <w:rPr>
                <w:szCs w:val="22"/>
                <w:lang w:val="sr-Latn-RS"/>
              </w:rPr>
            </w:pPr>
            <w:r w:rsidRPr="00394D9A">
              <w:rPr>
                <w:spacing w:val="-2"/>
                <w:szCs w:val="22"/>
                <w:lang w:val="sr-Latn-RS"/>
              </w:rPr>
              <w:t>nepoznato</w:t>
            </w:r>
          </w:p>
        </w:tc>
      </w:tr>
      <w:tr w:rsidR="00BD6954" w:rsidRPr="00394D9A" w14:paraId="20A635D2" w14:textId="77777777" w:rsidTr="00DF17BA">
        <w:tc>
          <w:tcPr>
            <w:tcW w:w="9061" w:type="dxa"/>
            <w:gridSpan w:val="2"/>
          </w:tcPr>
          <w:p w14:paraId="55FB317C" w14:textId="77777777" w:rsidR="00BD6954" w:rsidRPr="00394D9A" w:rsidRDefault="00BD6954" w:rsidP="00187D17">
            <w:pPr>
              <w:widowControl w:val="0"/>
              <w:tabs>
                <w:tab w:val="clear" w:pos="284"/>
              </w:tabs>
              <w:autoSpaceDE w:val="0"/>
              <w:autoSpaceDN w:val="0"/>
              <w:ind w:left="110"/>
              <w:jc w:val="left"/>
              <w:rPr>
                <w:b/>
                <w:i/>
                <w:szCs w:val="22"/>
                <w:lang w:val="sr-Latn-RS"/>
              </w:rPr>
            </w:pPr>
            <w:r w:rsidRPr="00394D9A">
              <w:rPr>
                <w:b/>
                <w:i/>
                <w:szCs w:val="22"/>
                <w:lang w:val="sr-Latn-RS"/>
              </w:rPr>
              <w:t>Poremećaji</w:t>
            </w:r>
            <w:r w:rsidRPr="00394D9A">
              <w:rPr>
                <w:b/>
                <w:i/>
                <w:spacing w:val="-9"/>
                <w:szCs w:val="22"/>
                <w:lang w:val="sr-Latn-RS"/>
              </w:rPr>
              <w:t xml:space="preserve"> </w:t>
            </w:r>
            <w:r w:rsidRPr="00394D9A">
              <w:rPr>
                <w:b/>
                <w:i/>
                <w:szCs w:val="22"/>
                <w:lang w:val="sr-Latn-RS"/>
              </w:rPr>
              <w:t>imunskog</w:t>
            </w:r>
            <w:r w:rsidRPr="00394D9A">
              <w:rPr>
                <w:b/>
                <w:i/>
                <w:spacing w:val="-9"/>
                <w:szCs w:val="22"/>
                <w:lang w:val="sr-Latn-RS"/>
              </w:rPr>
              <w:t xml:space="preserve"> </w:t>
            </w:r>
            <w:r w:rsidRPr="00394D9A">
              <w:rPr>
                <w:b/>
                <w:i/>
                <w:spacing w:val="-2"/>
                <w:szCs w:val="22"/>
                <w:lang w:val="sr-Latn-RS"/>
              </w:rPr>
              <w:t>sistema</w:t>
            </w:r>
          </w:p>
        </w:tc>
      </w:tr>
      <w:tr w:rsidR="00BD6954" w:rsidRPr="00394D9A" w14:paraId="4D295E9C" w14:textId="77777777" w:rsidTr="00DF17BA">
        <w:tc>
          <w:tcPr>
            <w:tcW w:w="4160" w:type="dxa"/>
          </w:tcPr>
          <w:p w14:paraId="236B6F9D" w14:textId="33A0BB7E" w:rsidR="00BD6954" w:rsidRPr="00394D9A" w:rsidRDefault="00BD6954" w:rsidP="00187D17">
            <w:pPr>
              <w:widowControl w:val="0"/>
              <w:tabs>
                <w:tab w:val="clear" w:pos="284"/>
              </w:tabs>
              <w:autoSpaceDE w:val="0"/>
              <w:autoSpaceDN w:val="0"/>
              <w:ind w:left="292"/>
              <w:jc w:val="left"/>
              <w:rPr>
                <w:szCs w:val="22"/>
                <w:lang w:val="sr-Latn-RS"/>
              </w:rPr>
            </w:pPr>
            <w:r w:rsidRPr="00394D9A">
              <w:rPr>
                <w:szCs w:val="22"/>
                <w:lang w:val="sr-Latn-RS"/>
              </w:rPr>
              <w:lastRenderedPageBreak/>
              <w:t>Preos</w:t>
            </w:r>
            <w:r w:rsidR="00087C29" w:rsidRPr="00394D9A">
              <w:rPr>
                <w:szCs w:val="22"/>
                <w:lang w:val="sr-Latn-RS"/>
              </w:rPr>
              <w:t>j</w:t>
            </w:r>
            <w:r w:rsidRPr="00394D9A">
              <w:rPr>
                <w:szCs w:val="22"/>
                <w:lang w:val="sr-Latn-RS"/>
              </w:rPr>
              <w:t>etljivost</w:t>
            </w:r>
            <w:r w:rsidRPr="00394D9A">
              <w:rPr>
                <w:spacing w:val="-8"/>
                <w:szCs w:val="22"/>
                <w:lang w:val="sr-Latn-RS"/>
              </w:rPr>
              <w:t xml:space="preserve"> </w:t>
            </w:r>
            <w:r w:rsidRPr="00394D9A">
              <w:rPr>
                <w:szCs w:val="22"/>
                <w:lang w:val="sr-Latn-RS"/>
              </w:rPr>
              <w:t>na</w:t>
            </w:r>
            <w:r w:rsidRPr="00394D9A">
              <w:rPr>
                <w:spacing w:val="-8"/>
                <w:szCs w:val="22"/>
                <w:lang w:val="sr-Latn-RS"/>
              </w:rPr>
              <w:t xml:space="preserve"> </w:t>
            </w:r>
            <w:r w:rsidRPr="00394D9A">
              <w:rPr>
                <w:spacing w:val="-5"/>
                <w:szCs w:val="22"/>
                <w:lang w:val="sr-Latn-RS"/>
              </w:rPr>
              <w:t>l</w:t>
            </w:r>
            <w:r w:rsidR="00087C29" w:rsidRPr="00394D9A">
              <w:rPr>
                <w:spacing w:val="-5"/>
                <w:szCs w:val="22"/>
                <w:lang w:val="sr-Latn-RS"/>
              </w:rPr>
              <w:t>ij</w:t>
            </w:r>
            <w:r w:rsidRPr="00394D9A">
              <w:rPr>
                <w:spacing w:val="-5"/>
                <w:szCs w:val="22"/>
                <w:lang w:val="sr-Latn-RS"/>
              </w:rPr>
              <w:t>ek</w:t>
            </w:r>
          </w:p>
        </w:tc>
        <w:tc>
          <w:tcPr>
            <w:tcW w:w="4901" w:type="dxa"/>
          </w:tcPr>
          <w:p w14:paraId="6BA5A7F5" w14:textId="77777777" w:rsidR="00BD6954" w:rsidRPr="00394D9A" w:rsidRDefault="00BD6954" w:rsidP="00187D17">
            <w:pPr>
              <w:widowControl w:val="0"/>
              <w:tabs>
                <w:tab w:val="clear" w:pos="284"/>
              </w:tabs>
              <w:autoSpaceDE w:val="0"/>
              <w:autoSpaceDN w:val="0"/>
              <w:ind w:left="60" w:right="57"/>
              <w:jc w:val="center"/>
              <w:rPr>
                <w:szCs w:val="22"/>
                <w:lang w:val="sr-Latn-RS"/>
              </w:rPr>
            </w:pPr>
            <w:r w:rsidRPr="00394D9A">
              <w:rPr>
                <w:spacing w:val="-2"/>
                <w:szCs w:val="22"/>
                <w:lang w:val="sr-Latn-RS"/>
              </w:rPr>
              <w:t>povremeno</w:t>
            </w:r>
          </w:p>
        </w:tc>
      </w:tr>
      <w:tr w:rsidR="00BD6954" w:rsidRPr="00394D9A" w14:paraId="6A5BEECA" w14:textId="77777777" w:rsidTr="00DF17BA">
        <w:tc>
          <w:tcPr>
            <w:tcW w:w="4160" w:type="dxa"/>
          </w:tcPr>
          <w:p w14:paraId="471F6335" w14:textId="77777777" w:rsidR="00BD6954" w:rsidRPr="00394D9A" w:rsidRDefault="00BD6954" w:rsidP="00187D17">
            <w:pPr>
              <w:widowControl w:val="0"/>
              <w:tabs>
                <w:tab w:val="clear" w:pos="284"/>
              </w:tabs>
              <w:autoSpaceDE w:val="0"/>
              <w:autoSpaceDN w:val="0"/>
              <w:ind w:left="292"/>
              <w:jc w:val="left"/>
              <w:rPr>
                <w:szCs w:val="22"/>
                <w:lang w:val="sr-Latn-RS"/>
              </w:rPr>
            </w:pPr>
            <w:r w:rsidRPr="00394D9A">
              <w:rPr>
                <w:spacing w:val="-4"/>
                <w:szCs w:val="22"/>
                <w:lang w:val="sr-Latn-RS"/>
              </w:rPr>
              <w:t>Osip</w:t>
            </w:r>
          </w:p>
        </w:tc>
        <w:tc>
          <w:tcPr>
            <w:tcW w:w="4901" w:type="dxa"/>
          </w:tcPr>
          <w:p w14:paraId="1A2DCE9C" w14:textId="77777777" w:rsidR="00BD6954" w:rsidRPr="00394D9A" w:rsidRDefault="00BD6954" w:rsidP="00187D17">
            <w:pPr>
              <w:widowControl w:val="0"/>
              <w:tabs>
                <w:tab w:val="clear" w:pos="284"/>
              </w:tabs>
              <w:autoSpaceDE w:val="0"/>
              <w:autoSpaceDN w:val="0"/>
              <w:ind w:left="66" w:right="57"/>
              <w:jc w:val="center"/>
              <w:rPr>
                <w:szCs w:val="22"/>
                <w:lang w:val="sr-Latn-RS"/>
              </w:rPr>
            </w:pPr>
            <w:r w:rsidRPr="00394D9A">
              <w:rPr>
                <w:spacing w:val="-2"/>
                <w:szCs w:val="22"/>
                <w:lang w:val="sr-Latn-RS"/>
              </w:rPr>
              <w:t>često</w:t>
            </w:r>
          </w:p>
        </w:tc>
      </w:tr>
      <w:tr w:rsidR="00BD6954" w:rsidRPr="00394D9A" w14:paraId="4AB3EAEA" w14:textId="77777777" w:rsidTr="00DF17BA">
        <w:tc>
          <w:tcPr>
            <w:tcW w:w="4160" w:type="dxa"/>
          </w:tcPr>
          <w:p w14:paraId="63E4BD75" w14:textId="77777777" w:rsidR="00BD6954" w:rsidRPr="00394D9A" w:rsidRDefault="00BD6954" w:rsidP="00187D17">
            <w:pPr>
              <w:widowControl w:val="0"/>
              <w:tabs>
                <w:tab w:val="clear" w:pos="284"/>
              </w:tabs>
              <w:autoSpaceDE w:val="0"/>
              <w:autoSpaceDN w:val="0"/>
              <w:ind w:left="292"/>
              <w:jc w:val="left"/>
              <w:rPr>
                <w:szCs w:val="22"/>
                <w:lang w:val="sr-Latn-RS"/>
              </w:rPr>
            </w:pPr>
            <w:r w:rsidRPr="00394D9A">
              <w:rPr>
                <w:spacing w:val="-2"/>
                <w:szCs w:val="22"/>
                <w:lang w:val="sr-Latn-RS"/>
              </w:rPr>
              <w:t>Pruritus</w:t>
            </w:r>
          </w:p>
        </w:tc>
        <w:tc>
          <w:tcPr>
            <w:tcW w:w="4901" w:type="dxa"/>
          </w:tcPr>
          <w:p w14:paraId="594517EE" w14:textId="77777777" w:rsidR="00BD6954" w:rsidRPr="00394D9A" w:rsidRDefault="00BD6954" w:rsidP="00187D17">
            <w:pPr>
              <w:widowControl w:val="0"/>
              <w:tabs>
                <w:tab w:val="clear" w:pos="284"/>
              </w:tabs>
              <w:autoSpaceDE w:val="0"/>
              <w:autoSpaceDN w:val="0"/>
              <w:ind w:left="60" w:right="57"/>
              <w:jc w:val="center"/>
              <w:rPr>
                <w:szCs w:val="22"/>
                <w:lang w:val="sr-Latn-RS"/>
              </w:rPr>
            </w:pPr>
            <w:r w:rsidRPr="00394D9A">
              <w:rPr>
                <w:spacing w:val="-2"/>
                <w:szCs w:val="22"/>
                <w:lang w:val="sr-Latn-RS"/>
              </w:rPr>
              <w:t>povremeno</w:t>
            </w:r>
          </w:p>
        </w:tc>
      </w:tr>
      <w:tr w:rsidR="00BD6954" w:rsidRPr="00394D9A" w14:paraId="79D04F88" w14:textId="77777777" w:rsidTr="00DF17BA">
        <w:tc>
          <w:tcPr>
            <w:tcW w:w="4160" w:type="dxa"/>
          </w:tcPr>
          <w:p w14:paraId="7347EA99" w14:textId="77777777" w:rsidR="00BD6954" w:rsidRPr="00394D9A" w:rsidRDefault="00BD6954" w:rsidP="00187D17">
            <w:pPr>
              <w:widowControl w:val="0"/>
              <w:tabs>
                <w:tab w:val="clear" w:pos="284"/>
              </w:tabs>
              <w:autoSpaceDE w:val="0"/>
              <w:autoSpaceDN w:val="0"/>
              <w:ind w:left="292"/>
              <w:jc w:val="left"/>
              <w:rPr>
                <w:szCs w:val="22"/>
                <w:lang w:val="sr-Latn-RS"/>
              </w:rPr>
            </w:pPr>
            <w:r w:rsidRPr="00394D9A">
              <w:rPr>
                <w:spacing w:val="-2"/>
                <w:szCs w:val="22"/>
                <w:lang w:val="sr-Latn-RS"/>
              </w:rPr>
              <w:t>Anafilaktička</w:t>
            </w:r>
            <w:r w:rsidRPr="00394D9A">
              <w:rPr>
                <w:spacing w:val="12"/>
                <w:szCs w:val="22"/>
                <w:lang w:val="sr-Latn-RS"/>
              </w:rPr>
              <w:t xml:space="preserve"> </w:t>
            </w:r>
            <w:r w:rsidRPr="00394D9A">
              <w:rPr>
                <w:spacing w:val="-2"/>
                <w:szCs w:val="22"/>
                <w:lang w:val="sr-Latn-RS"/>
              </w:rPr>
              <w:t>reakcija</w:t>
            </w:r>
          </w:p>
        </w:tc>
        <w:tc>
          <w:tcPr>
            <w:tcW w:w="4901" w:type="dxa"/>
          </w:tcPr>
          <w:p w14:paraId="28FFD663" w14:textId="77777777" w:rsidR="00BD6954" w:rsidRPr="00394D9A" w:rsidRDefault="00BD6954" w:rsidP="00187D17">
            <w:pPr>
              <w:widowControl w:val="0"/>
              <w:tabs>
                <w:tab w:val="clear" w:pos="284"/>
              </w:tabs>
              <w:autoSpaceDE w:val="0"/>
              <w:autoSpaceDN w:val="0"/>
              <w:ind w:left="66" w:right="57"/>
              <w:jc w:val="center"/>
              <w:rPr>
                <w:szCs w:val="22"/>
                <w:lang w:val="sr-Latn-RS"/>
              </w:rPr>
            </w:pPr>
            <w:r w:rsidRPr="00394D9A">
              <w:rPr>
                <w:spacing w:val="-2"/>
                <w:szCs w:val="22"/>
                <w:lang w:val="sr-Latn-RS"/>
              </w:rPr>
              <w:t>nepoznato</w:t>
            </w:r>
          </w:p>
        </w:tc>
      </w:tr>
      <w:tr w:rsidR="00BD6954" w:rsidRPr="00394D9A" w14:paraId="01697E74" w14:textId="77777777" w:rsidTr="00DF17BA">
        <w:tc>
          <w:tcPr>
            <w:tcW w:w="4160" w:type="dxa"/>
          </w:tcPr>
          <w:p w14:paraId="4787FDC1" w14:textId="77777777" w:rsidR="00BD6954" w:rsidRPr="00394D9A" w:rsidRDefault="00BD6954" w:rsidP="00187D17">
            <w:pPr>
              <w:widowControl w:val="0"/>
              <w:tabs>
                <w:tab w:val="clear" w:pos="284"/>
              </w:tabs>
              <w:autoSpaceDE w:val="0"/>
              <w:autoSpaceDN w:val="0"/>
              <w:ind w:left="292"/>
              <w:jc w:val="left"/>
              <w:rPr>
                <w:szCs w:val="22"/>
                <w:lang w:val="sr-Latn-RS"/>
              </w:rPr>
            </w:pPr>
            <w:r w:rsidRPr="00394D9A">
              <w:rPr>
                <w:spacing w:val="-2"/>
                <w:szCs w:val="22"/>
                <w:lang w:val="sr-Latn-RS"/>
              </w:rPr>
              <w:t>Angioedem</w:t>
            </w:r>
          </w:p>
        </w:tc>
        <w:tc>
          <w:tcPr>
            <w:tcW w:w="4901" w:type="dxa"/>
          </w:tcPr>
          <w:p w14:paraId="471EBDF0" w14:textId="77777777" w:rsidR="00BD6954" w:rsidRPr="00394D9A" w:rsidRDefault="00BD6954" w:rsidP="00187D17">
            <w:pPr>
              <w:widowControl w:val="0"/>
              <w:tabs>
                <w:tab w:val="clear" w:pos="284"/>
              </w:tabs>
              <w:autoSpaceDE w:val="0"/>
              <w:autoSpaceDN w:val="0"/>
              <w:ind w:left="66" w:right="57"/>
              <w:jc w:val="center"/>
              <w:rPr>
                <w:szCs w:val="22"/>
                <w:lang w:val="sr-Latn-RS"/>
              </w:rPr>
            </w:pPr>
            <w:r w:rsidRPr="00394D9A">
              <w:rPr>
                <w:spacing w:val="-2"/>
                <w:szCs w:val="22"/>
                <w:lang w:val="sr-Latn-RS"/>
              </w:rPr>
              <w:t>nepoznato</w:t>
            </w:r>
          </w:p>
        </w:tc>
      </w:tr>
      <w:tr w:rsidR="00BD6954" w:rsidRPr="00394D9A" w14:paraId="6EED9D29" w14:textId="77777777" w:rsidTr="00DF17BA">
        <w:tc>
          <w:tcPr>
            <w:tcW w:w="4160" w:type="dxa"/>
          </w:tcPr>
          <w:p w14:paraId="4724C896" w14:textId="77777777" w:rsidR="00BD6954" w:rsidRPr="00394D9A" w:rsidRDefault="00BD6954" w:rsidP="00187D17">
            <w:pPr>
              <w:widowControl w:val="0"/>
              <w:tabs>
                <w:tab w:val="clear" w:pos="284"/>
              </w:tabs>
              <w:autoSpaceDE w:val="0"/>
              <w:autoSpaceDN w:val="0"/>
              <w:ind w:left="292"/>
              <w:jc w:val="left"/>
              <w:rPr>
                <w:szCs w:val="22"/>
                <w:lang w:val="sr-Latn-RS"/>
              </w:rPr>
            </w:pPr>
            <w:r w:rsidRPr="00394D9A">
              <w:rPr>
                <w:spacing w:val="-2"/>
                <w:szCs w:val="22"/>
                <w:lang w:val="sr-Latn-RS"/>
              </w:rPr>
              <w:t>Urtikarija</w:t>
            </w:r>
          </w:p>
        </w:tc>
        <w:tc>
          <w:tcPr>
            <w:tcW w:w="4901" w:type="dxa"/>
          </w:tcPr>
          <w:p w14:paraId="692FEEEB" w14:textId="77777777" w:rsidR="00BD6954" w:rsidRPr="00394D9A" w:rsidRDefault="00BD6954" w:rsidP="00187D17">
            <w:pPr>
              <w:widowControl w:val="0"/>
              <w:tabs>
                <w:tab w:val="clear" w:pos="284"/>
              </w:tabs>
              <w:autoSpaceDE w:val="0"/>
              <w:autoSpaceDN w:val="0"/>
              <w:ind w:left="66" w:right="57"/>
              <w:jc w:val="center"/>
              <w:rPr>
                <w:szCs w:val="22"/>
                <w:lang w:val="sr-Latn-RS"/>
              </w:rPr>
            </w:pPr>
            <w:r w:rsidRPr="00394D9A">
              <w:rPr>
                <w:spacing w:val="-2"/>
                <w:szCs w:val="22"/>
                <w:lang w:val="sr-Latn-RS"/>
              </w:rPr>
              <w:t>često</w:t>
            </w:r>
          </w:p>
        </w:tc>
      </w:tr>
      <w:tr w:rsidR="00BD6954" w:rsidRPr="00394D9A" w14:paraId="524FBAEF" w14:textId="77777777" w:rsidTr="00DF17BA">
        <w:tc>
          <w:tcPr>
            <w:tcW w:w="4160" w:type="dxa"/>
          </w:tcPr>
          <w:p w14:paraId="2CB32E66" w14:textId="77777777" w:rsidR="00BD6954" w:rsidRPr="00394D9A" w:rsidRDefault="00BD6954" w:rsidP="00187D17">
            <w:pPr>
              <w:widowControl w:val="0"/>
              <w:tabs>
                <w:tab w:val="clear" w:pos="284"/>
              </w:tabs>
              <w:autoSpaceDE w:val="0"/>
              <w:autoSpaceDN w:val="0"/>
              <w:ind w:left="292"/>
              <w:jc w:val="left"/>
              <w:rPr>
                <w:szCs w:val="22"/>
                <w:lang w:val="sr-Latn-RS"/>
              </w:rPr>
            </w:pPr>
            <w:r w:rsidRPr="00394D9A">
              <w:rPr>
                <w:spacing w:val="-2"/>
                <w:szCs w:val="22"/>
                <w:lang w:val="sr-Latn-RS"/>
              </w:rPr>
              <w:t>Bronhospazam</w:t>
            </w:r>
          </w:p>
        </w:tc>
        <w:tc>
          <w:tcPr>
            <w:tcW w:w="4901" w:type="dxa"/>
          </w:tcPr>
          <w:p w14:paraId="7107C64F" w14:textId="77777777" w:rsidR="00BD6954" w:rsidRPr="00394D9A" w:rsidRDefault="00BD6954" w:rsidP="00187D17">
            <w:pPr>
              <w:widowControl w:val="0"/>
              <w:tabs>
                <w:tab w:val="clear" w:pos="284"/>
              </w:tabs>
              <w:autoSpaceDE w:val="0"/>
              <w:autoSpaceDN w:val="0"/>
              <w:ind w:left="66" w:right="57"/>
              <w:jc w:val="center"/>
              <w:rPr>
                <w:szCs w:val="22"/>
                <w:lang w:val="sr-Latn-RS"/>
              </w:rPr>
            </w:pPr>
            <w:r w:rsidRPr="00394D9A">
              <w:rPr>
                <w:spacing w:val="-2"/>
                <w:szCs w:val="22"/>
                <w:lang w:val="sr-Latn-RS"/>
              </w:rPr>
              <w:t>nepoznato</w:t>
            </w:r>
          </w:p>
        </w:tc>
      </w:tr>
      <w:tr w:rsidR="00BD6954" w:rsidRPr="00394D9A" w14:paraId="7B9E6D86" w14:textId="77777777" w:rsidTr="00DF17BA">
        <w:tc>
          <w:tcPr>
            <w:tcW w:w="9061" w:type="dxa"/>
            <w:gridSpan w:val="2"/>
          </w:tcPr>
          <w:p w14:paraId="57C354F0" w14:textId="77777777" w:rsidR="00BD6954" w:rsidRPr="00394D9A" w:rsidRDefault="00BD6954" w:rsidP="00187D17">
            <w:pPr>
              <w:widowControl w:val="0"/>
              <w:tabs>
                <w:tab w:val="clear" w:pos="284"/>
              </w:tabs>
              <w:autoSpaceDE w:val="0"/>
              <w:autoSpaceDN w:val="0"/>
              <w:ind w:left="110"/>
              <w:jc w:val="left"/>
              <w:rPr>
                <w:b/>
                <w:i/>
                <w:szCs w:val="22"/>
                <w:lang w:val="sr-Latn-RS"/>
              </w:rPr>
            </w:pPr>
            <w:r w:rsidRPr="00394D9A">
              <w:rPr>
                <w:b/>
                <w:i/>
                <w:szCs w:val="22"/>
                <w:lang w:val="sr-Latn-RS"/>
              </w:rPr>
              <w:t>Poremećaji</w:t>
            </w:r>
            <w:r w:rsidRPr="00394D9A">
              <w:rPr>
                <w:b/>
                <w:i/>
                <w:spacing w:val="-9"/>
                <w:szCs w:val="22"/>
                <w:lang w:val="sr-Latn-RS"/>
              </w:rPr>
              <w:t xml:space="preserve"> </w:t>
            </w:r>
            <w:r w:rsidRPr="00394D9A">
              <w:rPr>
                <w:b/>
                <w:i/>
                <w:szCs w:val="22"/>
                <w:lang w:val="sr-Latn-RS"/>
              </w:rPr>
              <w:t>nervnog</w:t>
            </w:r>
            <w:r w:rsidRPr="00394D9A">
              <w:rPr>
                <w:b/>
                <w:i/>
                <w:spacing w:val="-8"/>
                <w:szCs w:val="22"/>
                <w:lang w:val="sr-Latn-RS"/>
              </w:rPr>
              <w:t xml:space="preserve"> </w:t>
            </w:r>
            <w:r w:rsidRPr="00394D9A">
              <w:rPr>
                <w:b/>
                <w:i/>
                <w:spacing w:val="-2"/>
                <w:szCs w:val="22"/>
                <w:lang w:val="sr-Latn-RS"/>
              </w:rPr>
              <w:t>sistema</w:t>
            </w:r>
          </w:p>
        </w:tc>
      </w:tr>
      <w:tr w:rsidR="00BD6954" w:rsidRPr="00394D9A" w14:paraId="11F4AEEA" w14:textId="77777777" w:rsidTr="00DF17BA">
        <w:tc>
          <w:tcPr>
            <w:tcW w:w="4160" w:type="dxa"/>
          </w:tcPr>
          <w:p w14:paraId="07DCB4EE" w14:textId="77777777" w:rsidR="00BD6954" w:rsidRPr="00394D9A" w:rsidRDefault="00BD6954" w:rsidP="00187D17">
            <w:pPr>
              <w:widowControl w:val="0"/>
              <w:tabs>
                <w:tab w:val="clear" w:pos="284"/>
              </w:tabs>
              <w:autoSpaceDE w:val="0"/>
              <w:autoSpaceDN w:val="0"/>
              <w:ind w:left="292"/>
              <w:jc w:val="left"/>
              <w:rPr>
                <w:szCs w:val="22"/>
                <w:lang w:val="sr-Latn-RS"/>
              </w:rPr>
            </w:pPr>
            <w:r w:rsidRPr="00394D9A">
              <w:rPr>
                <w:szCs w:val="22"/>
                <w:lang w:val="sr-Latn-RS"/>
              </w:rPr>
              <w:t>Intrakranijalna</w:t>
            </w:r>
            <w:r w:rsidRPr="00394D9A">
              <w:rPr>
                <w:spacing w:val="-13"/>
                <w:szCs w:val="22"/>
                <w:lang w:val="sr-Latn-RS"/>
              </w:rPr>
              <w:t xml:space="preserve"> </w:t>
            </w:r>
            <w:r w:rsidRPr="00394D9A">
              <w:rPr>
                <w:spacing w:val="-2"/>
                <w:szCs w:val="22"/>
                <w:lang w:val="sr-Latn-RS"/>
              </w:rPr>
              <w:t>hemoragija</w:t>
            </w:r>
          </w:p>
        </w:tc>
        <w:tc>
          <w:tcPr>
            <w:tcW w:w="4901" w:type="dxa"/>
          </w:tcPr>
          <w:p w14:paraId="3915BCB1" w14:textId="77777777" w:rsidR="00BD6954" w:rsidRPr="00394D9A" w:rsidRDefault="00BD6954" w:rsidP="00187D17">
            <w:pPr>
              <w:widowControl w:val="0"/>
              <w:tabs>
                <w:tab w:val="clear" w:pos="284"/>
              </w:tabs>
              <w:autoSpaceDE w:val="0"/>
              <w:autoSpaceDN w:val="0"/>
              <w:ind w:left="60" w:right="57"/>
              <w:jc w:val="center"/>
              <w:rPr>
                <w:szCs w:val="22"/>
                <w:lang w:val="sr-Latn-RS"/>
              </w:rPr>
            </w:pPr>
            <w:r w:rsidRPr="00394D9A">
              <w:rPr>
                <w:spacing w:val="-2"/>
                <w:szCs w:val="22"/>
                <w:lang w:val="sr-Latn-RS"/>
              </w:rPr>
              <w:t>povremeno</w:t>
            </w:r>
          </w:p>
        </w:tc>
      </w:tr>
      <w:tr w:rsidR="00BD6954" w:rsidRPr="00394D9A" w14:paraId="250F9719" w14:textId="77777777" w:rsidTr="00DF17BA">
        <w:tc>
          <w:tcPr>
            <w:tcW w:w="9061" w:type="dxa"/>
            <w:gridSpan w:val="2"/>
          </w:tcPr>
          <w:p w14:paraId="72E70DF6" w14:textId="77777777" w:rsidR="00BD6954" w:rsidRPr="00394D9A" w:rsidRDefault="00BD6954" w:rsidP="00187D17">
            <w:pPr>
              <w:widowControl w:val="0"/>
              <w:tabs>
                <w:tab w:val="clear" w:pos="284"/>
              </w:tabs>
              <w:autoSpaceDE w:val="0"/>
              <w:autoSpaceDN w:val="0"/>
              <w:ind w:left="110"/>
              <w:jc w:val="left"/>
              <w:rPr>
                <w:b/>
                <w:i/>
                <w:szCs w:val="22"/>
                <w:lang w:val="sr-Latn-RS"/>
              </w:rPr>
            </w:pPr>
            <w:r w:rsidRPr="00394D9A">
              <w:rPr>
                <w:b/>
                <w:i/>
                <w:szCs w:val="22"/>
                <w:lang w:val="sr-Latn-RS"/>
              </w:rPr>
              <w:t>Vaskularni</w:t>
            </w:r>
            <w:r w:rsidRPr="00394D9A">
              <w:rPr>
                <w:b/>
                <w:i/>
                <w:spacing w:val="-10"/>
                <w:szCs w:val="22"/>
                <w:lang w:val="sr-Latn-RS"/>
              </w:rPr>
              <w:t xml:space="preserve"> </w:t>
            </w:r>
            <w:r w:rsidRPr="00394D9A">
              <w:rPr>
                <w:b/>
                <w:i/>
                <w:spacing w:val="-2"/>
                <w:szCs w:val="22"/>
                <w:lang w:val="sr-Latn-RS"/>
              </w:rPr>
              <w:t>poremećaji</w:t>
            </w:r>
          </w:p>
        </w:tc>
      </w:tr>
      <w:tr w:rsidR="00BD6954" w:rsidRPr="00394D9A" w14:paraId="231641A8" w14:textId="77777777" w:rsidTr="00DF17BA">
        <w:tc>
          <w:tcPr>
            <w:tcW w:w="4160" w:type="dxa"/>
          </w:tcPr>
          <w:p w14:paraId="62244FF4" w14:textId="77777777" w:rsidR="00BD6954" w:rsidRPr="00394D9A" w:rsidRDefault="00BD6954" w:rsidP="00187D17">
            <w:pPr>
              <w:widowControl w:val="0"/>
              <w:tabs>
                <w:tab w:val="clear" w:pos="284"/>
              </w:tabs>
              <w:autoSpaceDE w:val="0"/>
              <w:autoSpaceDN w:val="0"/>
              <w:ind w:left="292"/>
              <w:jc w:val="left"/>
              <w:rPr>
                <w:szCs w:val="22"/>
                <w:lang w:val="sr-Latn-RS"/>
              </w:rPr>
            </w:pPr>
            <w:r w:rsidRPr="00394D9A">
              <w:rPr>
                <w:spacing w:val="-2"/>
                <w:szCs w:val="22"/>
                <w:lang w:val="sr-Latn-RS"/>
              </w:rPr>
              <w:t>Hematom</w:t>
            </w:r>
          </w:p>
        </w:tc>
        <w:tc>
          <w:tcPr>
            <w:tcW w:w="4901" w:type="dxa"/>
          </w:tcPr>
          <w:p w14:paraId="261C347C" w14:textId="77777777" w:rsidR="00BD6954" w:rsidRPr="00394D9A" w:rsidRDefault="00BD6954" w:rsidP="00187D17">
            <w:pPr>
              <w:widowControl w:val="0"/>
              <w:tabs>
                <w:tab w:val="clear" w:pos="284"/>
              </w:tabs>
              <w:autoSpaceDE w:val="0"/>
              <w:autoSpaceDN w:val="0"/>
              <w:ind w:left="66" w:right="57"/>
              <w:jc w:val="center"/>
              <w:rPr>
                <w:szCs w:val="22"/>
                <w:lang w:val="sr-Latn-RS"/>
              </w:rPr>
            </w:pPr>
            <w:r w:rsidRPr="00394D9A">
              <w:rPr>
                <w:spacing w:val="-2"/>
                <w:szCs w:val="22"/>
                <w:lang w:val="sr-Latn-RS"/>
              </w:rPr>
              <w:t>često</w:t>
            </w:r>
          </w:p>
        </w:tc>
      </w:tr>
      <w:tr w:rsidR="00BD6954" w:rsidRPr="00394D9A" w14:paraId="74E72365" w14:textId="77777777" w:rsidTr="00DF17BA">
        <w:tc>
          <w:tcPr>
            <w:tcW w:w="4160" w:type="dxa"/>
          </w:tcPr>
          <w:p w14:paraId="27E17DE2" w14:textId="77777777" w:rsidR="00BD6954" w:rsidRPr="00394D9A" w:rsidRDefault="00BD6954" w:rsidP="00187D17">
            <w:pPr>
              <w:widowControl w:val="0"/>
              <w:tabs>
                <w:tab w:val="clear" w:pos="284"/>
              </w:tabs>
              <w:autoSpaceDE w:val="0"/>
              <w:autoSpaceDN w:val="0"/>
              <w:ind w:left="292"/>
              <w:jc w:val="left"/>
              <w:rPr>
                <w:szCs w:val="22"/>
                <w:lang w:val="sr-Latn-RS"/>
              </w:rPr>
            </w:pPr>
            <w:r w:rsidRPr="00394D9A">
              <w:rPr>
                <w:spacing w:val="-2"/>
                <w:szCs w:val="22"/>
                <w:lang w:val="sr-Latn-RS"/>
              </w:rPr>
              <w:t>Hemoragija</w:t>
            </w:r>
          </w:p>
        </w:tc>
        <w:tc>
          <w:tcPr>
            <w:tcW w:w="4901" w:type="dxa"/>
          </w:tcPr>
          <w:p w14:paraId="10A71541" w14:textId="77777777" w:rsidR="00BD6954" w:rsidRPr="00394D9A" w:rsidRDefault="00BD6954" w:rsidP="00187D17">
            <w:pPr>
              <w:widowControl w:val="0"/>
              <w:tabs>
                <w:tab w:val="clear" w:pos="284"/>
              </w:tabs>
              <w:autoSpaceDE w:val="0"/>
              <w:autoSpaceDN w:val="0"/>
              <w:ind w:left="66" w:right="57"/>
              <w:jc w:val="center"/>
              <w:rPr>
                <w:szCs w:val="22"/>
                <w:lang w:val="sr-Latn-RS"/>
              </w:rPr>
            </w:pPr>
            <w:r w:rsidRPr="00394D9A">
              <w:rPr>
                <w:spacing w:val="-2"/>
                <w:szCs w:val="22"/>
                <w:lang w:val="sr-Latn-RS"/>
              </w:rPr>
              <w:t>nepoznato</w:t>
            </w:r>
          </w:p>
        </w:tc>
      </w:tr>
      <w:tr w:rsidR="00BD6954" w:rsidRPr="00394D9A" w14:paraId="2B4F48C1" w14:textId="77777777" w:rsidTr="00DF17BA">
        <w:tc>
          <w:tcPr>
            <w:tcW w:w="9061" w:type="dxa"/>
            <w:gridSpan w:val="2"/>
          </w:tcPr>
          <w:p w14:paraId="6245D027" w14:textId="77777777" w:rsidR="00BD6954" w:rsidRPr="00394D9A" w:rsidRDefault="00BD6954" w:rsidP="00187D17">
            <w:pPr>
              <w:widowControl w:val="0"/>
              <w:tabs>
                <w:tab w:val="clear" w:pos="284"/>
              </w:tabs>
              <w:autoSpaceDE w:val="0"/>
              <w:autoSpaceDN w:val="0"/>
              <w:ind w:left="110"/>
              <w:jc w:val="left"/>
              <w:rPr>
                <w:b/>
                <w:i/>
                <w:szCs w:val="22"/>
                <w:lang w:val="sr-Latn-RS"/>
              </w:rPr>
            </w:pPr>
            <w:r w:rsidRPr="00394D9A">
              <w:rPr>
                <w:b/>
                <w:i/>
                <w:szCs w:val="22"/>
                <w:lang w:val="sr-Latn-RS"/>
              </w:rPr>
              <w:t>Respiratorni,</w:t>
            </w:r>
            <w:r w:rsidRPr="00394D9A">
              <w:rPr>
                <w:b/>
                <w:i/>
                <w:spacing w:val="-10"/>
                <w:szCs w:val="22"/>
                <w:lang w:val="sr-Latn-RS"/>
              </w:rPr>
              <w:t xml:space="preserve"> </w:t>
            </w:r>
            <w:r w:rsidRPr="00394D9A">
              <w:rPr>
                <w:b/>
                <w:i/>
                <w:szCs w:val="22"/>
                <w:lang w:val="sr-Latn-RS"/>
              </w:rPr>
              <w:t>torakalni</w:t>
            </w:r>
            <w:r w:rsidRPr="00394D9A">
              <w:rPr>
                <w:b/>
                <w:i/>
                <w:spacing w:val="-9"/>
                <w:szCs w:val="22"/>
                <w:lang w:val="sr-Latn-RS"/>
              </w:rPr>
              <w:t xml:space="preserve"> </w:t>
            </w:r>
            <w:r w:rsidRPr="00394D9A">
              <w:rPr>
                <w:b/>
                <w:i/>
                <w:szCs w:val="22"/>
                <w:lang w:val="sr-Latn-RS"/>
              </w:rPr>
              <w:t>i</w:t>
            </w:r>
            <w:r w:rsidRPr="00394D9A">
              <w:rPr>
                <w:b/>
                <w:i/>
                <w:spacing w:val="-9"/>
                <w:szCs w:val="22"/>
                <w:lang w:val="sr-Latn-RS"/>
              </w:rPr>
              <w:t xml:space="preserve"> </w:t>
            </w:r>
            <w:r w:rsidRPr="00394D9A">
              <w:rPr>
                <w:b/>
                <w:i/>
                <w:szCs w:val="22"/>
                <w:lang w:val="sr-Latn-RS"/>
              </w:rPr>
              <w:t>medijastinalni</w:t>
            </w:r>
            <w:r w:rsidRPr="00394D9A">
              <w:rPr>
                <w:b/>
                <w:i/>
                <w:spacing w:val="-9"/>
                <w:szCs w:val="22"/>
                <w:lang w:val="sr-Latn-RS"/>
              </w:rPr>
              <w:t xml:space="preserve"> </w:t>
            </w:r>
            <w:r w:rsidRPr="00394D9A">
              <w:rPr>
                <w:b/>
                <w:i/>
                <w:spacing w:val="-2"/>
                <w:szCs w:val="22"/>
                <w:lang w:val="sr-Latn-RS"/>
              </w:rPr>
              <w:t>poremećaji</w:t>
            </w:r>
          </w:p>
        </w:tc>
      </w:tr>
      <w:tr w:rsidR="00BD6954" w:rsidRPr="00394D9A" w14:paraId="42C547E3" w14:textId="77777777" w:rsidTr="00DF17BA">
        <w:tc>
          <w:tcPr>
            <w:tcW w:w="4160" w:type="dxa"/>
          </w:tcPr>
          <w:p w14:paraId="1BA6CCC3" w14:textId="77777777" w:rsidR="00BD6954" w:rsidRPr="00394D9A" w:rsidRDefault="00BD6954" w:rsidP="00187D17">
            <w:pPr>
              <w:widowControl w:val="0"/>
              <w:tabs>
                <w:tab w:val="clear" w:pos="284"/>
              </w:tabs>
              <w:autoSpaceDE w:val="0"/>
              <w:autoSpaceDN w:val="0"/>
              <w:ind w:left="292"/>
              <w:jc w:val="left"/>
              <w:rPr>
                <w:szCs w:val="22"/>
                <w:lang w:val="sr-Latn-RS"/>
              </w:rPr>
            </w:pPr>
            <w:r w:rsidRPr="00394D9A">
              <w:rPr>
                <w:spacing w:val="-2"/>
                <w:szCs w:val="22"/>
                <w:lang w:val="sr-Latn-RS"/>
              </w:rPr>
              <w:t>Epistaksa</w:t>
            </w:r>
          </w:p>
        </w:tc>
        <w:tc>
          <w:tcPr>
            <w:tcW w:w="4901" w:type="dxa"/>
          </w:tcPr>
          <w:p w14:paraId="690A149A" w14:textId="77777777" w:rsidR="00BD6954" w:rsidRPr="00394D9A" w:rsidRDefault="00BD6954" w:rsidP="00187D17">
            <w:pPr>
              <w:widowControl w:val="0"/>
              <w:tabs>
                <w:tab w:val="clear" w:pos="284"/>
              </w:tabs>
              <w:autoSpaceDE w:val="0"/>
              <w:autoSpaceDN w:val="0"/>
              <w:ind w:left="66" w:right="57"/>
              <w:jc w:val="center"/>
              <w:rPr>
                <w:szCs w:val="22"/>
                <w:lang w:val="sr-Latn-RS"/>
              </w:rPr>
            </w:pPr>
            <w:r w:rsidRPr="00394D9A">
              <w:rPr>
                <w:spacing w:val="-2"/>
                <w:szCs w:val="22"/>
                <w:lang w:val="sr-Latn-RS"/>
              </w:rPr>
              <w:t>često</w:t>
            </w:r>
          </w:p>
        </w:tc>
      </w:tr>
      <w:tr w:rsidR="00BD6954" w:rsidRPr="00394D9A" w14:paraId="7487A857" w14:textId="77777777" w:rsidTr="00DF17BA">
        <w:tc>
          <w:tcPr>
            <w:tcW w:w="4160" w:type="dxa"/>
          </w:tcPr>
          <w:p w14:paraId="2563B78B" w14:textId="77777777" w:rsidR="00BD6954" w:rsidRPr="00394D9A" w:rsidRDefault="00BD6954" w:rsidP="00187D17">
            <w:pPr>
              <w:widowControl w:val="0"/>
              <w:tabs>
                <w:tab w:val="clear" w:pos="284"/>
              </w:tabs>
              <w:autoSpaceDE w:val="0"/>
              <w:autoSpaceDN w:val="0"/>
              <w:ind w:left="292"/>
              <w:jc w:val="left"/>
              <w:rPr>
                <w:szCs w:val="22"/>
                <w:lang w:val="sr-Latn-RS"/>
              </w:rPr>
            </w:pPr>
            <w:r w:rsidRPr="00394D9A">
              <w:rPr>
                <w:spacing w:val="-2"/>
                <w:szCs w:val="22"/>
                <w:lang w:val="sr-Latn-RS"/>
              </w:rPr>
              <w:t>Hemoptizija</w:t>
            </w:r>
          </w:p>
        </w:tc>
        <w:tc>
          <w:tcPr>
            <w:tcW w:w="4901" w:type="dxa"/>
          </w:tcPr>
          <w:p w14:paraId="7D850E6F" w14:textId="77777777" w:rsidR="00BD6954" w:rsidRPr="00394D9A" w:rsidRDefault="00BD6954" w:rsidP="00187D17">
            <w:pPr>
              <w:widowControl w:val="0"/>
              <w:tabs>
                <w:tab w:val="clear" w:pos="284"/>
              </w:tabs>
              <w:autoSpaceDE w:val="0"/>
              <w:autoSpaceDN w:val="0"/>
              <w:ind w:left="60" w:right="57"/>
              <w:jc w:val="center"/>
              <w:rPr>
                <w:szCs w:val="22"/>
                <w:lang w:val="sr-Latn-RS"/>
              </w:rPr>
            </w:pPr>
            <w:r w:rsidRPr="00394D9A">
              <w:rPr>
                <w:spacing w:val="-2"/>
                <w:szCs w:val="22"/>
                <w:lang w:val="sr-Latn-RS"/>
              </w:rPr>
              <w:t>povremeno</w:t>
            </w:r>
          </w:p>
        </w:tc>
      </w:tr>
      <w:tr w:rsidR="00BD6954" w:rsidRPr="00394D9A" w14:paraId="4BF2A16F" w14:textId="77777777" w:rsidTr="00DF17BA">
        <w:tc>
          <w:tcPr>
            <w:tcW w:w="9061" w:type="dxa"/>
            <w:gridSpan w:val="2"/>
          </w:tcPr>
          <w:p w14:paraId="135200BA" w14:textId="77777777" w:rsidR="00BD6954" w:rsidRPr="00394D9A" w:rsidRDefault="00BD6954" w:rsidP="00187D17">
            <w:pPr>
              <w:widowControl w:val="0"/>
              <w:tabs>
                <w:tab w:val="clear" w:pos="284"/>
              </w:tabs>
              <w:autoSpaceDE w:val="0"/>
              <w:autoSpaceDN w:val="0"/>
              <w:ind w:left="110"/>
              <w:jc w:val="left"/>
              <w:rPr>
                <w:b/>
                <w:i/>
                <w:szCs w:val="22"/>
                <w:lang w:val="sr-Latn-RS"/>
              </w:rPr>
            </w:pPr>
            <w:r w:rsidRPr="00394D9A">
              <w:rPr>
                <w:b/>
                <w:i/>
                <w:spacing w:val="-2"/>
                <w:szCs w:val="22"/>
                <w:lang w:val="sr-Latn-RS"/>
              </w:rPr>
              <w:t>Gastrointestinalni</w:t>
            </w:r>
            <w:r w:rsidRPr="00394D9A">
              <w:rPr>
                <w:b/>
                <w:i/>
                <w:spacing w:val="18"/>
                <w:szCs w:val="22"/>
                <w:lang w:val="sr-Latn-RS"/>
              </w:rPr>
              <w:t xml:space="preserve"> </w:t>
            </w:r>
            <w:r w:rsidRPr="00394D9A">
              <w:rPr>
                <w:b/>
                <w:i/>
                <w:spacing w:val="-2"/>
                <w:szCs w:val="22"/>
                <w:lang w:val="sr-Latn-RS"/>
              </w:rPr>
              <w:t>poremećaji</w:t>
            </w:r>
          </w:p>
        </w:tc>
      </w:tr>
      <w:tr w:rsidR="00BD6954" w:rsidRPr="00394D9A" w14:paraId="10EBA1C5" w14:textId="77777777" w:rsidTr="00DF17BA">
        <w:tc>
          <w:tcPr>
            <w:tcW w:w="4160" w:type="dxa"/>
          </w:tcPr>
          <w:p w14:paraId="3627EC34" w14:textId="77777777" w:rsidR="00BD6954" w:rsidRPr="00394D9A" w:rsidRDefault="00BD6954" w:rsidP="00187D17">
            <w:pPr>
              <w:widowControl w:val="0"/>
              <w:tabs>
                <w:tab w:val="clear" w:pos="284"/>
              </w:tabs>
              <w:autoSpaceDE w:val="0"/>
              <w:autoSpaceDN w:val="0"/>
              <w:ind w:left="292"/>
              <w:jc w:val="left"/>
              <w:rPr>
                <w:szCs w:val="22"/>
                <w:lang w:val="sr-Latn-RS"/>
              </w:rPr>
            </w:pPr>
            <w:r w:rsidRPr="00394D9A">
              <w:rPr>
                <w:spacing w:val="-2"/>
                <w:szCs w:val="22"/>
                <w:lang w:val="sr-Latn-RS"/>
              </w:rPr>
              <w:t>Gastrointestinalna</w:t>
            </w:r>
            <w:r w:rsidRPr="00394D9A">
              <w:rPr>
                <w:spacing w:val="18"/>
                <w:szCs w:val="22"/>
                <w:lang w:val="sr-Latn-RS"/>
              </w:rPr>
              <w:t xml:space="preserve"> </w:t>
            </w:r>
            <w:r w:rsidRPr="00394D9A">
              <w:rPr>
                <w:spacing w:val="-2"/>
                <w:szCs w:val="22"/>
                <w:lang w:val="sr-Latn-RS"/>
              </w:rPr>
              <w:t>hemoragija</w:t>
            </w:r>
          </w:p>
        </w:tc>
        <w:tc>
          <w:tcPr>
            <w:tcW w:w="4901" w:type="dxa"/>
          </w:tcPr>
          <w:p w14:paraId="349D484E" w14:textId="77777777" w:rsidR="00BD6954" w:rsidRPr="00394D9A" w:rsidRDefault="00BD6954" w:rsidP="00187D17">
            <w:pPr>
              <w:widowControl w:val="0"/>
              <w:tabs>
                <w:tab w:val="clear" w:pos="284"/>
              </w:tabs>
              <w:autoSpaceDE w:val="0"/>
              <w:autoSpaceDN w:val="0"/>
              <w:ind w:left="60" w:right="57"/>
              <w:jc w:val="center"/>
              <w:rPr>
                <w:szCs w:val="22"/>
                <w:lang w:val="sr-Latn-RS"/>
              </w:rPr>
            </w:pPr>
            <w:r w:rsidRPr="00394D9A">
              <w:rPr>
                <w:spacing w:val="-2"/>
                <w:szCs w:val="22"/>
                <w:lang w:val="sr-Latn-RS"/>
              </w:rPr>
              <w:t>povremeno</w:t>
            </w:r>
          </w:p>
        </w:tc>
      </w:tr>
      <w:tr w:rsidR="00BD6954" w:rsidRPr="00394D9A" w14:paraId="72C94212" w14:textId="77777777" w:rsidTr="00DF17BA">
        <w:tc>
          <w:tcPr>
            <w:tcW w:w="4160" w:type="dxa"/>
          </w:tcPr>
          <w:p w14:paraId="3AA9B658" w14:textId="77777777" w:rsidR="00BD6954" w:rsidRPr="00394D9A" w:rsidRDefault="00BD6954" w:rsidP="00187D17">
            <w:pPr>
              <w:widowControl w:val="0"/>
              <w:tabs>
                <w:tab w:val="clear" w:pos="284"/>
              </w:tabs>
              <w:autoSpaceDE w:val="0"/>
              <w:autoSpaceDN w:val="0"/>
              <w:ind w:left="292"/>
              <w:jc w:val="left"/>
              <w:rPr>
                <w:szCs w:val="22"/>
                <w:lang w:val="sr-Latn-RS"/>
              </w:rPr>
            </w:pPr>
            <w:r w:rsidRPr="00394D9A">
              <w:rPr>
                <w:szCs w:val="22"/>
                <w:lang w:val="sr-Latn-RS"/>
              </w:rPr>
              <w:t>Abdominalni</w:t>
            </w:r>
            <w:r w:rsidRPr="00394D9A">
              <w:rPr>
                <w:spacing w:val="-11"/>
                <w:szCs w:val="22"/>
                <w:lang w:val="sr-Latn-RS"/>
              </w:rPr>
              <w:t xml:space="preserve"> </w:t>
            </w:r>
            <w:r w:rsidRPr="00394D9A">
              <w:rPr>
                <w:spacing w:val="-5"/>
                <w:szCs w:val="22"/>
                <w:lang w:val="sr-Latn-RS"/>
              </w:rPr>
              <w:t>bol</w:t>
            </w:r>
          </w:p>
        </w:tc>
        <w:tc>
          <w:tcPr>
            <w:tcW w:w="4901" w:type="dxa"/>
          </w:tcPr>
          <w:p w14:paraId="1BC51527" w14:textId="77777777" w:rsidR="00BD6954" w:rsidRPr="00394D9A" w:rsidRDefault="00BD6954" w:rsidP="00187D17">
            <w:pPr>
              <w:widowControl w:val="0"/>
              <w:tabs>
                <w:tab w:val="clear" w:pos="284"/>
              </w:tabs>
              <w:autoSpaceDE w:val="0"/>
              <w:autoSpaceDN w:val="0"/>
              <w:ind w:left="60" w:right="57"/>
              <w:jc w:val="center"/>
              <w:rPr>
                <w:szCs w:val="22"/>
                <w:lang w:val="sr-Latn-RS"/>
              </w:rPr>
            </w:pPr>
            <w:r w:rsidRPr="00394D9A">
              <w:rPr>
                <w:spacing w:val="-2"/>
                <w:szCs w:val="22"/>
                <w:lang w:val="sr-Latn-RS"/>
              </w:rPr>
              <w:t>povremeno</w:t>
            </w:r>
          </w:p>
        </w:tc>
      </w:tr>
      <w:tr w:rsidR="00BD6954" w:rsidRPr="00394D9A" w14:paraId="763C9CD0" w14:textId="77777777" w:rsidTr="00DF17BA">
        <w:tc>
          <w:tcPr>
            <w:tcW w:w="4160" w:type="dxa"/>
          </w:tcPr>
          <w:p w14:paraId="2DF8A2A1" w14:textId="77777777" w:rsidR="00BD6954" w:rsidRPr="00394D9A" w:rsidRDefault="00BD6954" w:rsidP="00187D17">
            <w:pPr>
              <w:widowControl w:val="0"/>
              <w:tabs>
                <w:tab w:val="clear" w:pos="284"/>
              </w:tabs>
              <w:autoSpaceDE w:val="0"/>
              <w:autoSpaceDN w:val="0"/>
              <w:ind w:left="292"/>
              <w:jc w:val="left"/>
              <w:rPr>
                <w:szCs w:val="22"/>
                <w:lang w:val="sr-Latn-RS"/>
              </w:rPr>
            </w:pPr>
            <w:r w:rsidRPr="00394D9A">
              <w:rPr>
                <w:spacing w:val="-2"/>
                <w:szCs w:val="22"/>
                <w:lang w:val="sr-Latn-RS"/>
              </w:rPr>
              <w:t>Dijareja</w:t>
            </w:r>
          </w:p>
        </w:tc>
        <w:tc>
          <w:tcPr>
            <w:tcW w:w="4901" w:type="dxa"/>
          </w:tcPr>
          <w:p w14:paraId="3683B828" w14:textId="77777777" w:rsidR="00BD6954" w:rsidRPr="00394D9A" w:rsidRDefault="00BD6954" w:rsidP="00187D17">
            <w:pPr>
              <w:widowControl w:val="0"/>
              <w:tabs>
                <w:tab w:val="clear" w:pos="284"/>
              </w:tabs>
              <w:autoSpaceDE w:val="0"/>
              <w:autoSpaceDN w:val="0"/>
              <w:ind w:left="66" w:right="57"/>
              <w:jc w:val="center"/>
              <w:rPr>
                <w:szCs w:val="22"/>
                <w:lang w:val="sr-Latn-RS"/>
              </w:rPr>
            </w:pPr>
            <w:r w:rsidRPr="00394D9A">
              <w:rPr>
                <w:spacing w:val="-2"/>
                <w:szCs w:val="22"/>
                <w:lang w:val="sr-Latn-RS"/>
              </w:rPr>
              <w:t>često</w:t>
            </w:r>
          </w:p>
        </w:tc>
      </w:tr>
      <w:tr w:rsidR="00BD6954" w:rsidRPr="00394D9A" w14:paraId="04A90068" w14:textId="77777777" w:rsidTr="00DF17BA">
        <w:tc>
          <w:tcPr>
            <w:tcW w:w="4160" w:type="dxa"/>
          </w:tcPr>
          <w:p w14:paraId="0E58BFF1" w14:textId="77777777" w:rsidR="00BD6954" w:rsidRPr="00394D9A" w:rsidRDefault="00BD6954" w:rsidP="00187D17">
            <w:pPr>
              <w:widowControl w:val="0"/>
              <w:tabs>
                <w:tab w:val="clear" w:pos="284"/>
              </w:tabs>
              <w:autoSpaceDE w:val="0"/>
              <w:autoSpaceDN w:val="0"/>
              <w:ind w:left="292"/>
              <w:jc w:val="left"/>
              <w:rPr>
                <w:szCs w:val="22"/>
                <w:lang w:val="sr-Latn-RS"/>
              </w:rPr>
            </w:pPr>
            <w:r w:rsidRPr="00394D9A">
              <w:rPr>
                <w:spacing w:val="-2"/>
                <w:szCs w:val="22"/>
                <w:lang w:val="sr-Latn-RS"/>
              </w:rPr>
              <w:t>Dispepsija</w:t>
            </w:r>
          </w:p>
        </w:tc>
        <w:tc>
          <w:tcPr>
            <w:tcW w:w="4901" w:type="dxa"/>
          </w:tcPr>
          <w:p w14:paraId="7DC83512" w14:textId="77777777" w:rsidR="00BD6954" w:rsidRPr="00394D9A" w:rsidRDefault="00BD6954" w:rsidP="00187D17">
            <w:pPr>
              <w:widowControl w:val="0"/>
              <w:tabs>
                <w:tab w:val="clear" w:pos="284"/>
              </w:tabs>
              <w:autoSpaceDE w:val="0"/>
              <w:autoSpaceDN w:val="0"/>
              <w:ind w:left="66" w:right="57"/>
              <w:jc w:val="center"/>
              <w:rPr>
                <w:szCs w:val="22"/>
                <w:lang w:val="sr-Latn-RS"/>
              </w:rPr>
            </w:pPr>
            <w:r w:rsidRPr="00394D9A">
              <w:rPr>
                <w:spacing w:val="-2"/>
                <w:szCs w:val="22"/>
                <w:lang w:val="sr-Latn-RS"/>
              </w:rPr>
              <w:t>često</w:t>
            </w:r>
          </w:p>
        </w:tc>
      </w:tr>
      <w:tr w:rsidR="00BD6954" w:rsidRPr="00394D9A" w14:paraId="66E16094" w14:textId="77777777" w:rsidTr="00DF17BA">
        <w:tc>
          <w:tcPr>
            <w:tcW w:w="4160" w:type="dxa"/>
          </w:tcPr>
          <w:p w14:paraId="62815BD6" w14:textId="77777777" w:rsidR="00BD6954" w:rsidRPr="00394D9A" w:rsidRDefault="00BD6954" w:rsidP="00187D17">
            <w:pPr>
              <w:widowControl w:val="0"/>
              <w:tabs>
                <w:tab w:val="clear" w:pos="284"/>
              </w:tabs>
              <w:autoSpaceDE w:val="0"/>
              <w:autoSpaceDN w:val="0"/>
              <w:ind w:left="292"/>
              <w:jc w:val="left"/>
              <w:rPr>
                <w:szCs w:val="22"/>
                <w:lang w:val="sr-Latn-RS"/>
              </w:rPr>
            </w:pPr>
            <w:r w:rsidRPr="00394D9A">
              <w:rPr>
                <w:spacing w:val="-2"/>
                <w:szCs w:val="22"/>
                <w:lang w:val="sr-Latn-RS"/>
              </w:rPr>
              <w:t>Nauzeja</w:t>
            </w:r>
          </w:p>
        </w:tc>
        <w:tc>
          <w:tcPr>
            <w:tcW w:w="4901" w:type="dxa"/>
          </w:tcPr>
          <w:p w14:paraId="17AD1A94" w14:textId="77777777" w:rsidR="00BD6954" w:rsidRPr="00394D9A" w:rsidRDefault="00BD6954" w:rsidP="00187D17">
            <w:pPr>
              <w:widowControl w:val="0"/>
              <w:tabs>
                <w:tab w:val="clear" w:pos="284"/>
              </w:tabs>
              <w:autoSpaceDE w:val="0"/>
              <w:autoSpaceDN w:val="0"/>
              <w:ind w:left="66" w:right="57"/>
              <w:jc w:val="center"/>
              <w:rPr>
                <w:szCs w:val="22"/>
                <w:lang w:val="sr-Latn-RS"/>
              </w:rPr>
            </w:pPr>
            <w:r w:rsidRPr="00394D9A">
              <w:rPr>
                <w:spacing w:val="-2"/>
                <w:szCs w:val="22"/>
                <w:lang w:val="sr-Latn-RS"/>
              </w:rPr>
              <w:t>često</w:t>
            </w:r>
          </w:p>
        </w:tc>
      </w:tr>
      <w:tr w:rsidR="00BD6954" w:rsidRPr="00394D9A" w14:paraId="30C60FFB" w14:textId="77777777" w:rsidTr="00DF17BA">
        <w:tc>
          <w:tcPr>
            <w:tcW w:w="4160" w:type="dxa"/>
          </w:tcPr>
          <w:p w14:paraId="6F42EC2C" w14:textId="77777777" w:rsidR="00BD6954" w:rsidRPr="00394D9A" w:rsidRDefault="00BD6954" w:rsidP="00187D17">
            <w:pPr>
              <w:widowControl w:val="0"/>
              <w:tabs>
                <w:tab w:val="clear" w:pos="284"/>
              </w:tabs>
              <w:autoSpaceDE w:val="0"/>
              <w:autoSpaceDN w:val="0"/>
              <w:ind w:left="292"/>
              <w:jc w:val="left"/>
              <w:rPr>
                <w:szCs w:val="22"/>
                <w:lang w:val="sr-Latn-RS"/>
              </w:rPr>
            </w:pPr>
            <w:r w:rsidRPr="00394D9A">
              <w:rPr>
                <w:szCs w:val="22"/>
                <w:lang w:val="sr-Latn-RS"/>
              </w:rPr>
              <w:t>Rektalna</w:t>
            </w:r>
            <w:r w:rsidRPr="00394D9A">
              <w:rPr>
                <w:spacing w:val="-9"/>
                <w:szCs w:val="22"/>
                <w:lang w:val="sr-Latn-RS"/>
              </w:rPr>
              <w:t xml:space="preserve"> </w:t>
            </w:r>
            <w:r w:rsidRPr="00394D9A">
              <w:rPr>
                <w:spacing w:val="-2"/>
                <w:szCs w:val="22"/>
                <w:lang w:val="sr-Latn-RS"/>
              </w:rPr>
              <w:t>hemoragija</w:t>
            </w:r>
          </w:p>
        </w:tc>
        <w:tc>
          <w:tcPr>
            <w:tcW w:w="4901" w:type="dxa"/>
          </w:tcPr>
          <w:p w14:paraId="756B4F17" w14:textId="77777777" w:rsidR="00BD6954" w:rsidRPr="00394D9A" w:rsidRDefault="00BD6954" w:rsidP="00187D17">
            <w:pPr>
              <w:widowControl w:val="0"/>
              <w:tabs>
                <w:tab w:val="clear" w:pos="284"/>
              </w:tabs>
              <w:autoSpaceDE w:val="0"/>
              <w:autoSpaceDN w:val="0"/>
              <w:ind w:left="60" w:right="57"/>
              <w:jc w:val="center"/>
              <w:rPr>
                <w:szCs w:val="22"/>
                <w:lang w:val="sr-Latn-RS"/>
              </w:rPr>
            </w:pPr>
            <w:r w:rsidRPr="00394D9A">
              <w:rPr>
                <w:spacing w:val="-2"/>
                <w:szCs w:val="22"/>
                <w:lang w:val="sr-Latn-RS"/>
              </w:rPr>
              <w:t>povremeno</w:t>
            </w:r>
          </w:p>
        </w:tc>
      </w:tr>
      <w:tr w:rsidR="00BD6954" w:rsidRPr="00394D9A" w14:paraId="78ACDEE2" w14:textId="77777777" w:rsidTr="00DF17BA">
        <w:tc>
          <w:tcPr>
            <w:tcW w:w="4160" w:type="dxa"/>
          </w:tcPr>
          <w:p w14:paraId="395FD5F1" w14:textId="77777777" w:rsidR="00BD6954" w:rsidRPr="00394D9A" w:rsidRDefault="00BD6954" w:rsidP="00187D17">
            <w:pPr>
              <w:widowControl w:val="0"/>
              <w:tabs>
                <w:tab w:val="clear" w:pos="284"/>
              </w:tabs>
              <w:autoSpaceDE w:val="0"/>
              <w:autoSpaceDN w:val="0"/>
              <w:ind w:left="292"/>
              <w:jc w:val="left"/>
              <w:rPr>
                <w:szCs w:val="22"/>
                <w:lang w:val="sr-Latn-RS"/>
              </w:rPr>
            </w:pPr>
            <w:r w:rsidRPr="00394D9A">
              <w:rPr>
                <w:szCs w:val="22"/>
                <w:lang w:val="sr-Latn-RS"/>
              </w:rPr>
              <w:t>Hemoroidalna</w:t>
            </w:r>
            <w:r w:rsidRPr="00394D9A">
              <w:rPr>
                <w:spacing w:val="-12"/>
                <w:szCs w:val="22"/>
                <w:lang w:val="sr-Latn-RS"/>
              </w:rPr>
              <w:t xml:space="preserve"> </w:t>
            </w:r>
            <w:r w:rsidRPr="00394D9A">
              <w:rPr>
                <w:spacing w:val="-2"/>
                <w:szCs w:val="22"/>
                <w:lang w:val="sr-Latn-RS"/>
              </w:rPr>
              <w:t>hemoragija</w:t>
            </w:r>
          </w:p>
        </w:tc>
        <w:tc>
          <w:tcPr>
            <w:tcW w:w="4901" w:type="dxa"/>
          </w:tcPr>
          <w:p w14:paraId="2C9F5C83" w14:textId="77777777" w:rsidR="00BD6954" w:rsidRPr="00394D9A" w:rsidRDefault="00BD6954" w:rsidP="00187D17">
            <w:pPr>
              <w:widowControl w:val="0"/>
              <w:tabs>
                <w:tab w:val="clear" w:pos="284"/>
              </w:tabs>
              <w:autoSpaceDE w:val="0"/>
              <w:autoSpaceDN w:val="0"/>
              <w:ind w:left="66" w:right="57"/>
              <w:jc w:val="center"/>
              <w:rPr>
                <w:szCs w:val="22"/>
                <w:lang w:val="sr-Latn-RS"/>
              </w:rPr>
            </w:pPr>
            <w:r w:rsidRPr="00394D9A">
              <w:rPr>
                <w:spacing w:val="-2"/>
                <w:szCs w:val="22"/>
                <w:lang w:val="sr-Latn-RS"/>
              </w:rPr>
              <w:t>nepoznato</w:t>
            </w:r>
          </w:p>
        </w:tc>
      </w:tr>
      <w:tr w:rsidR="00BD6954" w:rsidRPr="00394D9A" w14:paraId="37BA9996" w14:textId="77777777" w:rsidTr="00DF17BA">
        <w:tc>
          <w:tcPr>
            <w:tcW w:w="4160" w:type="dxa"/>
          </w:tcPr>
          <w:p w14:paraId="1AEF8761" w14:textId="77777777" w:rsidR="00BD6954" w:rsidRPr="00394D9A" w:rsidRDefault="00BD6954" w:rsidP="00187D17">
            <w:pPr>
              <w:widowControl w:val="0"/>
              <w:tabs>
                <w:tab w:val="clear" w:pos="284"/>
              </w:tabs>
              <w:autoSpaceDE w:val="0"/>
              <w:autoSpaceDN w:val="0"/>
              <w:ind w:left="292"/>
              <w:jc w:val="left"/>
              <w:rPr>
                <w:szCs w:val="22"/>
                <w:lang w:val="sr-Latn-RS"/>
              </w:rPr>
            </w:pPr>
            <w:r w:rsidRPr="00394D9A">
              <w:rPr>
                <w:szCs w:val="22"/>
                <w:lang w:val="sr-Latn-RS"/>
              </w:rPr>
              <w:t>Gastrointestinalni</w:t>
            </w:r>
            <w:r w:rsidRPr="00394D9A">
              <w:rPr>
                <w:spacing w:val="-12"/>
                <w:szCs w:val="22"/>
                <w:lang w:val="sr-Latn-RS"/>
              </w:rPr>
              <w:t xml:space="preserve"> </w:t>
            </w:r>
            <w:r w:rsidRPr="00394D9A">
              <w:rPr>
                <w:szCs w:val="22"/>
                <w:lang w:val="sr-Latn-RS"/>
              </w:rPr>
              <w:t>ulkus,</w:t>
            </w:r>
            <w:r w:rsidRPr="00394D9A">
              <w:rPr>
                <w:spacing w:val="-12"/>
                <w:szCs w:val="22"/>
                <w:lang w:val="sr-Latn-RS"/>
              </w:rPr>
              <w:t xml:space="preserve"> </w:t>
            </w:r>
            <w:r w:rsidRPr="00394D9A">
              <w:rPr>
                <w:spacing w:val="-2"/>
                <w:szCs w:val="22"/>
                <w:lang w:val="sr-Latn-RS"/>
              </w:rPr>
              <w:t>uključujući</w:t>
            </w:r>
          </w:p>
          <w:p w14:paraId="722950B4" w14:textId="77777777" w:rsidR="00BD6954" w:rsidRPr="00394D9A" w:rsidRDefault="00BD6954" w:rsidP="00187D17">
            <w:pPr>
              <w:widowControl w:val="0"/>
              <w:tabs>
                <w:tab w:val="clear" w:pos="284"/>
              </w:tabs>
              <w:autoSpaceDE w:val="0"/>
              <w:autoSpaceDN w:val="0"/>
              <w:ind w:left="292"/>
              <w:jc w:val="left"/>
              <w:rPr>
                <w:szCs w:val="22"/>
                <w:lang w:val="sr-Latn-RS"/>
              </w:rPr>
            </w:pPr>
            <w:r w:rsidRPr="00394D9A">
              <w:rPr>
                <w:szCs w:val="22"/>
                <w:lang w:val="sr-Latn-RS"/>
              </w:rPr>
              <w:t>ezofagealni</w:t>
            </w:r>
            <w:r w:rsidRPr="00394D9A">
              <w:rPr>
                <w:spacing w:val="-12"/>
                <w:szCs w:val="22"/>
                <w:lang w:val="sr-Latn-RS"/>
              </w:rPr>
              <w:t xml:space="preserve"> </w:t>
            </w:r>
            <w:r w:rsidRPr="00394D9A">
              <w:rPr>
                <w:spacing w:val="-2"/>
                <w:szCs w:val="22"/>
                <w:lang w:val="sr-Latn-RS"/>
              </w:rPr>
              <w:t>ulkus</w:t>
            </w:r>
          </w:p>
        </w:tc>
        <w:tc>
          <w:tcPr>
            <w:tcW w:w="4901" w:type="dxa"/>
          </w:tcPr>
          <w:p w14:paraId="3609F9A2" w14:textId="77777777" w:rsidR="00BD6954" w:rsidRPr="00394D9A" w:rsidRDefault="00BD6954" w:rsidP="00187D17">
            <w:pPr>
              <w:widowControl w:val="0"/>
              <w:tabs>
                <w:tab w:val="clear" w:pos="284"/>
              </w:tabs>
              <w:autoSpaceDE w:val="0"/>
              <w:autoSpaceDN w:val="0"/>
              <w:ind w:left="66" w:right="57"/>
              <w:jc w:val="center"/>
              <w:rPr>
                <w:szCs w:val="22"/>
                <w:lang w:val="sr-Latn-RS"/>
              </w:rPr>
            </w:pPr>
            <w:r w:rsidRPr="00394D9A">
              <w:rPr>
                <w:spacing w:val="-2"/>
                <w:szCs w:val="22"/>
                <w:lang w:val="sr-Latn-RS"/>
              </w:rPr>
              <w:t>nepoznato</w:t>
            </w:r>
          </w:p>
        </w:tc>
      </w:tr>
      <w:tr w:rsidR="00BD6954" w:rsidRPr="00394D9A" w14:paraId="0A27BA9B" w14:textId="77777777" w:rsidTr="00DF17BA">
        <w:tc>
          <w:tcPr>
            <w:tcW w:w="4160" w:type="dxa"/>
          </w:tcPr>
          <w:p w14:paraId="0CA2F240" w14:textId="77777777" w:rsidR="00BD6954" w:rsidRPr="00394D9A" w:rsidRDefault="00BD6954" w:rsidP="00187D17">
            <w:pPr>
              <w:widowControl w:val="0"/>
              <w:tabs>
                <w:tab w:val="clear" w:pos="284"/>
              </w:tabs>
              <w:autoSpaceDE w:val="0"/>
              <w:autoSpaceDN w:val="0"/>
              <w:ind w:left="292"/>
              <w:jc w:val="left"/>
              <w:rPr>
                <w:szCs w:val="22"/>
                <w:lang w:val="sr-Latn-RS"/>
              </w:rPr>
            </w:pPr>
            <w:r w:rsidRPr="00394D9A">
              <w:rPr>
                <w:spacing w:val="-2"/>
                <w:szCs w:val="22"/>
                <w:lang w:val="sr-Latn-RS"/>
              </w:rPr>
              <w:t>Gastroezofagitis</w:t>
            </w:r>
          </w:p>
        </w:tc>
        <w:tc>
          <w:tcPr>
            <w:tcW w:w="4901" w:type="dxa"/>
          </w:tcPr>
          <w:p w14:paraId="62344429" w14:textId="77777777" w:rsidR="00BD6954" w:rsidRPr="00394D9A" w:rsidRDefault="00BD6954" w:rsidP="00187D17">
            <w:pPr>
              <w:widowControl w:val="0"/>
              <w:tabs>
                <w:tab w:val="clear" w:pos="284"/>
              </w:tabs>
              <w:autoSpaceDE w:val="0"/>
              <w:autoSpaceDN w:val="0"/>
              <w:ind w:left="60" w:right="57"/>
              <w:jc w:val="center"/>
              <w:rPr>
                <w:szCs w:val="22"/>
                <w:lang w:val="sr-Latn-RS"/>
              </w:rPr>
            </w:pPr>
            <w:r w:rsidRPr="00394D9A">
              <w:rPr>
                <w:spacing w:val="-2"/>
                <w:szCs w:val="22"/>
                <w:lang w:val="sr-Latn-RS"/>
              </w:rPr>
              <w:t>povremeno</w:t>
            </w:r>
          </w:p>
        </w:tc>
      </w:tr>
      <w:tr w:rsidR="00BD6954" w:rsidRPr="00394D9A" w14:paraId="07D77E91" w14:textId="77777777" w:rsidTr="00DF17BA">
        <w:tc>
          <w:tcPr>
            <w:tcW w:w="4160" w:type="dxa"/>
          </w:tcPr>
          <w:p w14:paraId="312E7A64" w14:textId="77777777" w:rsidR="00BD6954" w:rsidRPr="00394D9A" w:rsidRDefault="00BD6954" w:rsidP="00187D17">
            <w:pPr>
              <w:widowControl w:val="0"/>
              <w:tabs>
                <w:tab w:val="clear" w:pos="284"/>
              </w:tabs>
              <w:autoSpaceDE w:val="0"/>
              <w:autoSpaceDN w:val="0"/>
              <w:ind w:left="292"/>
              <w:jc w:val="left"/>
              <w:rPr>
                <w:szCs w:val="22"/>
                <w:lang w:val="sr-Latn-RS"/>
              </w:rPr>
            </w:pPr>
            <w:r w:rsidRPr="00394D9A">
              <w:rPr>
                <w:szCs w:val="22"/>
                <w:lang w:val="sr-Latn-RS"/>
              </w:rPr>
              <w:t>Gastroezofagealna</w:t>
            </w:r>
            <w:r w:rsidRPr="00394D9A">
              <w:rPr>
                <w:spacing w:val="-13"/>
                <w:szCs w:val="22"/>
                <w:lang w:val="sr-Latn-RS"/>
              </w:rPr>
              <w:t xml:space="preserve"> </w:t>
            </w:r>
            <w:r w:rsidRPr="00394D9A">
              <w:rPr>
                <w:szCs w:val="22"/>
                <w:lang w:val="sr-Latn-RS"/>
              </w:rPr>
              <w:t>refluksna</w:t>
            </w:r>
            <w:r w:rsidRPr="00394D9A">
              <w:rPr>
                <w:spacing w:val="-13"/>
                <w:szCs w:val="22"/>
                <w:lang w:val="sr-Latn-RS"/>
              </w:rPr>
              <w:t xml:space="preserve"> </w:t>
            </w:r>
            <w:r w:rsidRPr="00394D9A">
              <w:rPr>
                <w:spacing w:val="-2"/>
                <w:szCs w:val="22"/>
                <w:lang w:val="sr-Latn-RS"/>
              </w:rPr>
              <w:t>bolest</w:t>
            </w:r>
          </w:p>
        </w:tc>
        <w:tc>
          <w:tcPr>
            <w:tcW w:w="4901" w:type="dxa"/>
          </w:tcPr>
          <w:p w14:paraId="5F1A1D00" w14:textId="77777777" w:rsidR="00BD6954" w:rsidRPr="00394D9A" w:rsidRDefault="00BD6954" w:rsidP="00187D17">
            <w:pPr>
              <w:widowControl w:val="0"/>
              <w:tabs>
                <w:tab w:val="clear" w:pos="284"/>
              </w:tabs>
              <w:autoSpaceDE w:val="0"/>
              <w:autoSpaceDN w:val="0"/>
              <w:ind w:left="66" w:right="57"/>
              <w:jc w:val="center"/>
              <w:rPr>
                <w:szCs w:val="22"/>
                <w:lang w:val="sr-Latn-RS"/>
              </w:rPr>
            </w:pPr>
            <w:r w:rsidRPr="00394D9A">
              <w:rPr>
                <w:spacing w:val="-2"/>
                <w:szCs w:val="22"/>
                <w:lang w:val="sr-Latn-RS"/>
              </w:rPr>
              <w:t>često</w:t>
            </w:r>
          </w:p>
        </w:tc>
      </w:tr>
      <w:tr w:rsidR="00BD6954" w:rsidRPr="00394D9A" w14:paraId="121B0CE7" w14:textId="77777777" w:rsidTr="00DF17BA">
        <w:tc>
          <w:tcPr>
            <w:tcW w:w="4160" w:type="dxa"/>
          </w:tcPr>
          <w:p w14:paraId="711F33ED" w14:textId="77777777" w:rsidR="00BD6954" w:rsidRPr="00394D9A" w:rsidRDefault="00BD6954" w:rsidP="00187D17">
            <w:pPr>
              <w:widowControl w:val="0"/>
              <w:tabs>
                <w:tab w:val="clear" w:pos="284"/>
              </w:tabs>
              <w:autoSpaceDE w:val="0"/>
              <w:autoSpaceDN w:val="0"/>
              <w:ind w:left="292"/>
              <w:jc w:val="left"/>
              <w:rPr>
                <w:szCs w:val="22"/>
                <w:lang w:val="sr-Latn-RS"/>
              </w:rPr>
            </w:pPr>
            <w:r w:rsidRPr="00394D9A">
              <w:rPr>
                <w:spacing w:val="-2"/>
                <w:szCs w:val="22"/>
                <w:lang w:val="sr-Latn-RS"/>
              </w:rPr>
              <w:t>Povraćanje</w:t>
            </w:r>
          </w:p>
        </w:tc>
        <w:tc>
          <w:tcPr>
            <w:tcW w:w="4901" w:type="dxa"/>
          </w:tcPr>
          <w:p w14:paraId="5517EE3A" w14:textId="77777777" w:rsidR="00BD6954" w:rsidRPr="00394D9A" w:rsidRDefault="00BD6954" w:rsidP="00187D17">
            <w:pPr>
              <w:widowControl w:val="0"/>
              <w:tabs>
                <w:tab w:val="clear" w:pos="284"/>
              </w:tabs>
              <w:autoSpaceDE w:val="0"/>
              <w:autoSpaceDN w:val="0"/>
              <w:ind w:left="66" w:right="57"/>
              <w:jc w:val="center"/>
              <w:rPr>
                <w:szCs w:val="22"/>
                <w:lang w:val="sr-Latn-RS"/>
              </w:rPr>
            </w:pPr>
            <w:r w:rsidRPr="00394D9A">
              <w:rPr>
                <w:spacing w:val="-2"/>
                <w:szCs w:val="22"/>
                <w:lang w:val="sr-Latn-RS"/>
              </w:rPr>
              <w:t>često</w:t>
            </w:r>
          </w:p>
        </w:tc>
      </w:tr>
      <w:tr w:rsidR="00BD6954" w:rsidRPr="00394D9A" w14:paraId="05276899" w14:textId="77777777" w:rsidTr="00DF17BA">
        <w:tc>
          <w:tcPr>
            <w:tcW w:w="4160" w:type="dxa"/>
          </w:tcPr>
          <w:p w14:paraId="32CAA7A0" w14:textId="77777777" w:rsidR="00BD6954" w:rsidRPr="00394D9A" w:rsidRDefault="00BD6954" w:rsidP="00187D17">
            <w:pPr>
              <w:widowControl w:val="0"/>
              <w:tabs>
                <w:tab w:val="clear" w:pos="284"/>
              </w:tabs>
              <w:autoSpaceDE w:val="0"/>
              <w:autoSpaceDN w:val="0"/>
              <w:ind w:left="292"/>
              <w:jc w:val="left"/>
              <w:rPr>
                <w:szCs w:val="22"/>
                <w:lang w:val="sr-Latn-RS"/>
              </w:rPr>
            </w:pPr>
            <w:r w:rsidRPr="00394D9A">
              <w:rPr>
                <w:spacing w:val="-2"/>
                <w:szCs w:val="22"/>
                <w:lang w:val="sr-Latn-RS"/>
              </w:rPr>
              <w:t>Disfagija</w:t>
            </w:r>
          </w:p>
        </w:tc>
        <w:tc>
          <w:tcPr>
            <w:tcW w:w="4901" w:type="dxa"/>
          </w:tcPr>
          <w:p w14:paraId="238D7753" w14:textId="77777777" w:rsidR="00BD6954" w:rsidRPr="00394D9A" w:rsidRDefault="00BD6954" w:rsidP="00187D17">
            <w:pPr>
              <w:widowControl w:val="0"/>
              <w:tabs>
                <w:tab w:val="clear" w:pos="284"/>
              </w:tabs>
              <w:autoSpaceDE w:val="0"/>
              <w:autoSpaceDN w:val="0"/>
              <w:ind w:left="60" w:right="57"/>
              <w:jc w:val="center"/>
              <w:rPr>
                <w:szCs w:val="22"/>
                <w:lang w:val="sr-Latn-RS"/>
              </w:rPr>
            </w:pPr>
            <w:r w:rsidRPr="00394D9A">
              <w:rPr>
                <w:spacing w:val="-2"/>
                <w:szCs w:val="22"/>
                <w:lang w:val="sr-Latn-RS"/>
              </w:rPr>
              <w:t>povremeno</w:t>
            </w:r>
          </w:p>
        </w:tc>
      </w:tr>
      <w:tr w:rsidR="00BD6954" w:rsidRPr="00394D9A" w14:paraId="7C4EB9BD" w14:textId="77777777" w:rsidTr="00DF17BA">
        <w:tc>
          <w:tcPr>
            <w:tcW w:w="9061" w:type="dxa"/>
            <w:gridSpan w:val="2"/>
          </w:tcPr>
          <w:p w14:paraId="53E466F5" w14:textId="77777777" w:rsidR="00BD6954" w:rsidRPr="00394D9A" w:rsidRDefault="00BD6954" w:rsidP="00187D17">
            <w:pPr>
              <w:widowControl w:val="0"/>
              <w:tabs>
                <w:tab w:val="clear" w:pos="284"/>
              </w:tabs>
              <w:autoSpaceDE w:val="0"/>
              <w:autoSpaceDN w:val="0"/>
              <w:ind w:left="110"/>
              <w:jc w:val="left"/>
              <w:rPr>
                <w:b/>
                <w:i/>
                <w:szCs w:val="22"/>
                <w:lang w:val="sr-Latn-RS"/>
              </w:rPr>
            </w:pPr>
            <w:r w:rsidRPr="00394D9A">
              <w:rPr>
                <w:b/>
                <w:i/>
                <w:spacing w:val="-2"/>
                <w:szCs w:val="22"/>
                <w:lang w:val="sr-Latn-RS"/>
              </w:rPr>
              <w:t>Hepatobilijarni</w:t>
            </w:r>
            <w:r w:rsidRPr="00394D9A">
              <w:rPr>
                <w:b/>
                <w:i/>
                <w:spacing w:val="15"/>
                <w:szCs w:val="22"/>
                <w:lang w:val="sr-Latn-RS"/>
              </w:rPr>
              <w:t xml:space="preserve"> </w:t>
            </w:r>
            <w:r w:rsidRPr="00394D9A">
              <w:rPr>
                <w:b/>
                <w:i/>
                <w:spacing w:val="-2"/>
                <w:szCs w:val="22"/>
                <w:lang w:val="sr-Latn-RS"/>
              </w:rPr>
              <w:t>poremećaji</w:t>
            </w:r>
          </w:p>
        </w:tc>
      </w:tr>
      <w:tr w:rsidR="00BD6954" w:rsidRPr="00394D9A" w14:paraId="7F443445" w14:textId="77777777" w:rsidTr="00DF17BA">
        <w:tc>
          <w:tcPr>
            <w:tcW w:w="4160" w:type="dxa"/>
          </w:tcPr>
          <w:p w14:paraId="733887B6" w14:textId="70F29928" w:rsidR="00BD6954" w:rsidRPr="00394D9A" w:rsidRDefault="00BD6954" w:rsidP="00187D17">
            <w:pPr>
              <w:widowControl w:val="0"/>
              <w:tabs>
                <w:tab w:val="clear" w:pos="284"/>
              </w:tabs>
              <w:autoSpaceDE w:val="0"/>
              <w:autoSpaceDN w:val="0"/>
              <w:ind w:left="292"/>
              <w:jc w:val="left"/>
              <w:rPr>
                <w:szCs w:val="22"/>
                <w:lang w:val="sr-Latn-RS"/>
              </w:rPr>
            </w:pPr>
            <w:r w:rsidRPr="00394D9A">
              <w:rPr>
                <w:szCs w:val="22"/>
                <w:lang w:val="sr-Latn-RS"/>
              </w:rPr>
              <w:t>Poremećena</w:t>
            </w:r>
            <w:r w:rsidRPr="00394D9A">
              <w:rPr>
                <w:spacing w:val="-8"/>
                <w:szCs w:val="22"/>
                <w:lang w:val="sr-Latn-RS"/>
              </w:rPr>
              <w:t xml:space="preserve"> </w:t>
            </w:r>
            <w:r w:rsidRPr="00394D9A">
              <w:rPr>
                <w:szCs w:val="22"/>
                <w:lang w:val="sr-Latn-RS"/>
              </w:rPr>
              <w:t>funkcija</w:t>
            </w:r>
            <w:r w:rsidRPr="00394D9A">
              <w:rPr>
                <w:spacing w:val="-8"/>
                <w:szCs w:val="22"/>
                <w:lang w:val="sr-Latn-RS"/>
              </w:rPr>
              <w:t xml:space="preserve"> </w:t>
            </w:r>
            <w:r w:rsidRPr="00394D9A">
              <w:rPr>
                <w:szCs w:val="22"/>
                <w:lang w:val="sr-Latn-RS"/>
              </w:rPr>
              <w:t>jetre</w:t>
            </w:r>
            <w:r w:rsidRPr="00394D9A">
              <w:rPr>
                <w:spacing w:val="-7"/>
                <w:szCs w:val="22"/>
                <w:lang w:val="sr-Latn-RS"/>
              </w:rPr>
              <w:t xml:space="preserve"> </w:t>
            </w:r>
            <w:r w:rsidRPr="00394D9A">
              <w:rPr>
                <w:spacing w:val="-2"/>
                <w:szCs w:val="22"/>
                <w:lang w:val="sr-Latn-RS"/>
              </w:rPr>
              <w:t>/izm</w:t>
            </w:r>
            <w:r w:rsidR="00087C29" w:rsidRPr="00394D9A">
              <w:rPr>
                <w:spacing w:val="-2"/>
                <w:szCs w:val="22"/>
                <w:lang w:val="sr-Latn-RS"/>
              </w:rPr>
              <w:t>ij</w:t>
            </w:r>
            <w:r w:rsidRPr="00394D9A">
              <w:rPr>
                <w:spacing w:val="-2"/>
                <w:szCs w:val="22"/>
                <w:lang w:val="sr-Latn-RS"/>
              </w:rPr>
              <w:t>enjeni</w:t>
            </w:r>
          </w:p>
          <w:p w14:paraId="5ABB3B4A" w14:textId="77777777" w:rsidR="00BD6954" w:rsidRPr="00394D9A" w:rsidRDefault="00BD6954" w:rsidP="00187D17">
            <w:pPr>
              <w:widowControl w:val="0"/>
              <w:tabs>
                <w:tab w:val="clear" w:pos="284"/>
              </w:tabs>
              <w:autoSpaceDE w:val="0"/>
              <w:autoSpaceDN w:val="0"/>
              <w:ind w:left="292"/>
              <w:jc w:val="left"/>
              <w:rPr>
                <w:szCs w:val="22"/>
                <w:lang w:val="sr-Latn-RS"/>
              </w:rPr>
            </w:pPr>
            <w:r w:rsidRPr="00394D9A">
              <w:rPr>
                <w:szCs w:val="22"/>
                <w:lang w:val="sr-Latn-RS"/>
              </w:rPr>
              <w:t>testovi</w:t>
            </w:r>
            <w:r w:rsidRPr="00394D9A">
              <w:rPr>
                <w:spacing w:val="-8"/>
                <w:szCs w:val="22"/>
                <w:lang w:val="sr-Latn-RS"/>
              </w:rPr>
              <w:t xml:space="preserve"> </w:t>
            </w:r>
            <w:r w:rsidRPr="00394D9A">
              <w:rPr>
                <w:szCs w:val="22"/>
                <w:lang w:val="sr-Latn-RS"/>
              </w:rPr>
              <w:t>funkcije</w:t>
            </w:r>
            <w:r w:rsidRPr="00394D9A">
              <w:rPr>
                <w:spacing w:val="-7"/>
                <w:szCs w:val="22"/>
                <w:lang w:val="sr-Latn-RS"/>
              </w:rPr>
              <w:t xml:space="preserve"> </w:t>
            </w:r>
            <w:r w:rsidRPr="00394D9A">
              <w:rPr>
                <w:spacing w:val="-2"/>
                <w:szCs w:val="22"/>
                <w:lang w:val="sr-Latn-RS"/>
              </w:rPr>
              <w:t>jetre</w:t>
            </w:r>
          </w:p>
        </w:tc>
        <w:tc>
          <w:tcPr>
            <w:tcW w:w="4901" w:type="dxa"/>
          </w:tcPr>
          <w:p w14:paraId="5BDE6E8E" w14:textId="77777777" w:rsidR="00BD6954" w:rsidRPr="00394D9A" w:rsidRDefault="00BD6954" w:rsidP="00187D17">
            <w:pPr>
              <w:widowControl w:val="0"/>
              <w:tabs>
                <w:tab w:val="clear" w:pos="284"/>
              </w:tabs>
              <w:autoSpaceDE w:val="0"/>
              <w:autoSpaceDN w:val="0"/>
              <w:ind w:left="66" w:right="57"/>
              <w:jc w:val="center"/>
              <w:rPr>
                <w:szCs w:val="22"/>
                <w:lang w:val="sr-Latn-RS"/>
              </w:rPr>
            </w:pPr>
            <w:r w:rsidRPr="00394D9A">
              <w:rPr>
                <w:spacing w:val="-2"/>
                <w:szCs w:val="22"/>
                <w:lang w:val="sr-Latn-RS"/>
              </w:rPr>
              <w:t>nepoznato</w:t>
            </w:r>
          </w:p>
        </w:tc>
      </w:tr>
      <w:tr w:rsidR="00BD6954" w:rsidRPr="00394D9A" w14:paraId="2EA57896" w14:textId="77777777" w:rsidTr="00DF17BA">
        <w:tc>
          <w:tcPr>
            <w:tcW w:w="4160" w:type="dxa"/>
          </w:tcPr>
          <w:p w14:paraId="7696307A" w14:textId="77777777" w:rsidR="00BD6954" w:rsidRPr="00394D9A" w:rsidRDefault="00BD6954" w:rsidP="00187D17">
            <w:pPr>
              <w:widowControl w:val="0"/>
              <w:tabs>
                <w:tab w:val="clear" w:pos="284"/>
              </w:tabs>
              <w:autoSpaceDE w:val="0"/>
              <w:autoSpaceDN w:val="0"/>
              <w:ind w:left="292"/>
              <w:jc w:val="left"/>
              <w:rPr>
                <w:szCs w:val="22"/>
                <w:lang w:val="sr-Latn-RS"/>
              </w:rPr>
            </w:pPr>
            <w:r w:rsidRPr="00394D9A">
              <w:rPr>
                <w:szCs w:val="22"/>
                <w:lang w:val="sr-Latn-RS"/>
              </w:rPr>
              <w:t>Povećanje</w:t>
            </w:r>
            <w:r w:rsidRPr="00394D9A">
              <w:rPr>
                <w:spacing w:val="-9"/>
                <w:szCs w:val="22"/>
                <w:lang w:val="sr-Latn-RS"/>
              </w:rPr>
              <w:t xml:space="preserve"> </w:t>
            </w:r>
            <w:r w:rsidRPr="00394D9A">
              <w:rPr>
                <w:szCs w:val="22"/>
                <w:lang w:val="sr-Latn-RS"/>
              </w:rPr>
              <w:t>koncentracije</w:t>
            </w:r>
            <w:r w:rsidRPr="00394D9A">
              <w:rPr>
                <w:spacing w:val="-12"/>
                <w:szCs w:val="22"/>
                <w:lang w:val="sr-Latn-RS"/>
              </w:rPr>
              <w:t xml:space="preserve"> </w:t>
            </w:r>
            <w:r w:rsidRPr="00394D9A">
              <w:rPr>
                <w:spacing w:val="-2"/>
                <w:szCs w:val="22"/>
                <w:lang w:val="sr-Latn-RS"/>
              </w:rPr>
              <w:t>alanin-</w:t>
            </w:r>
          </w:p>
          <w:p w14:paraId="7ACEAA6F" w14:textId="77777777" w:rsidR="00BD6954" w:rsidRPr="00394D9A" w:rsidRDefault="00BD6954" w:rsidP="00187D17">
            <w:pPr>
              <w:widowControl w:val="0"/>
              <w:tabs>
                <w:tab w:val="clear" w:pos="284"/>
              </w:tabs>
              <w:autoSpaceDE w:val="0"/>
              <w:autoSpaceDN w:val="0"/>
              <w:ind w:left="292"/>
              <w:jc w:val="left"/>
              <w:rPr>
                <w:szCs w:val="22"/>
                <w:lang w:val="sr-Latn-RS"/>
              </w:rPr>
            </w:pPr>
            <w:r w:rsidRPr="00394D9A">
              <w:rPr>
                <w:spacing w:val="-2"/>
                <w:szCs w:val="22"/>
                <w:lang w:val="sr-Latn-RS"/>
              </w:rPr>
              <w:t>aminotransferaze</w:t>
            </w:r>
          </w:p>
        </w:tc>
        <w:tc>
          <w:tcPr>
            <w:tcW w:w="4901" w:type="dxa"/>
          </w:tcPr>
          <w:p w14:paraId="656D56BD" w14:textId="77777777" w:rsidR="00BD6954" w:rsidRPr="00394D9A" w:rsidRDefault="00BD6954" w:rsidP="00187D17">
            <w:pPr>
              <w:widowControl w:val="0"/>
              <w:tabs>
                <w:tab w:val="clear" w:pos="284"/>
              </w:tabs>
              <w:autoSpaceDE w:val="0"/>
              <w:autoSpaceDN w:val="0"/>
              <w:ind w:left="60" w:right="57"/>
              <w:jc w:val="center"/>
              <w:rPr>
                <w:szCs w:val="22"/>
                <w:lang w:val="sr-Latn-RS"/>
              </w:rPr>
            </w:pPr>
            <w:r w:rsidRPr="00394D9A">
              <w:rPr>
                <w:spacing w:val="-2"/>
                <w:szCs w:val="22"/>
                <w:lang w:val="sr-Latn-RS"/>
              </w:rPr>
              <w:t>povremeno</w:t>
            </w:r>
          </w:p>
        </w:tc>
      </w:tr>
      <w:tr w:rsidR="00BD6954" w:rsidRPr="00394D9A" w14:paraId="3157EA92" w14:textId="77777777" w:rsidTr="00DF17BA">
        <w:tc>
          <w:tcPr>
            <w:tcW w:w="4160" w:type="dxa"/>
          </w:tcPr>
          <w:p w14:paraId="1D0FE9DC" w14:textId="77777777" w:rsidR="00BD6954" w:rsidRPr="00394D9A" w:rsidRDefault="00BD6954" w:rsidP="00187D17">
            <w:pPr>
              <w:widowControl w:val="0"/>
              <w:tabs>
                <w:tab w:val="clear" w:pos="284"/>
              </w:tabs>
              <w:autoSpaceDE w:val="0"/>
              <w:autoSpaceDN w:val="0"/>
              <w:ind w:left="292"/>
              <w:jc w:val="left"/>
              <w:rPr>
                <w:szCs w:val="22"/>
                <w:lang w:val="sr-Latn-RS"/>
              </w:rPr>
            </w:pPr>
            <w:r w:rsidRPr="00394D9A">
              <w:rPr>
                <w:szCs w:val="22"/>
                <w:lang w:val="sr-Latn-RS"/>
              </w:rPr>
              <w:t>Povećanje</w:t>
            </w:r>
            <w:r w:rsidRPr="00394D9A">
              <w:rPr>
                <w:spacing w:val="-6"/>
                <w:szCs w:val="22"/>
                <w:lang w:val="sr-Latn-RS"/>
              </w:rPr>
              <w:t xml:space="preserve"> </w:t>
            </w:r>
            <w:r w:rsidRPr="00394D9A">
              <w:rPr>
                <w:szCs w:val="22"/>
                <w:lang w:val="sr-Latn-RS"/>
              </w:rPr>
              <w:t>nivoa</w:t>
            </w:r>
            <w:r w:rsidRPr="00394D9A">
              <w:rPr>
                <w:spacing w:val="-6"/>
                <w:szCs w:val="22"/>
                <w:lang w:val="sr-Latn-RS"/>
              </w:rPr>
              <w:t xml:space="preserve"> </w:t>
            </w:r>
            <w:r w:rsidRPr="00394D9A">
              <w:rPr>
                <w:spacing w:val="-2"/>
                <w:szCs w:val="22"/>
                <w:lang w:val="sr-Latn-RS"/>
              </w:rPr>
              <w:t>aspartat-</w:t>
            </w:r>
          </w:p>
          <w:p w14:paraId="068B6ED3" w14:textId="77777777" w:rsidR="00BD6954" w:rsidRPr="00394D9A" w:rsidRDefault="00BD6954" w:rsidP="00187D17">
            <w:pPr>
              <w:widowControl w:val="0"/>
              <w:tabs>
                <w:tab w:val="clear" w:pos="284"/>
              </w:tabs>
              <w:autoSpaceDE w:val="0"/>
              <w:autoSpaceDN w:val="0"/>
              <w:ind w:left="292"/>
              <w:jc w:val="left"/>
              <w:rPr>
                <w:szCs w:val="22"/>
                <w:lang w:val="sr-Latn-RS"/>
              </w:rPr>
            </w:pPr>
            <w:r w:rsidRPr="00394D9A">
              <w:rPr>
                <w:spacing w:val="-2"/>
                <w:szCs w:val="22"/>
                <w:lang w:val="sr-Latn-RS"/>
              </w:rPr>
              <w:t>aminotransferaze</w:t>
            </w:r>
          </w:p>
        </w:tc>
        <w:tc>
          <w:tcPr>
            <w:tcW w:w="4901" w:type="dxa"/>
          </w:tcPr>
          <w:p w14:paraId="2E273639" w14:textId="77777777" w:rsidR="00BD6954" w:rsidRPr="00394D9A" w:rsidRDefault="00BD6954" w:rsidP="00187D17">
            <w:pPr>
              <w:widowControl w:val="0"/>
              <w:tabs>
                <w:tab w:val="clear" w:pos="284"/>
              </w:tabs>
              <w:autoSpaceDE w:val="0"/>
              <w:autoSpaceDN w:val="0"/>
              <w:ind w:left="60" w:right="57"/>
              <w:jc w:val="center"/>
              <w:rPr>
                <w:szCs w:val="22"/>
                <w:lang w:val="sr-Latn-RS"/>
              </w:rPr>
            </w:pPr>
            <w:r w:rsidRPr="00394D9A">
              <w:rPr>
                <w:spacing w:val="-2"/>
                <w:szCs w:val="22"/>
                <w:lang w:val="sr-Latn-RS"/>
              </w:rPr>
              <w:t>povremeno</w:t>
            </w:r>
          </w:p>
        </w:tc>
      </w:tr>
      <w:tr w:rsidR="00BD6954" w:rsidRPr="00394D9A" w14:paraId="18E26774" w14:textId="77777777" w:rsidTr="00DF17BA">
        <w:tc>
          <w:tcPr>
            <w:tcW w:w="4160" w:type="dxa"/>
          </w:tcPr>
          <w:p w14:paraId="14CEAFEB" w14:textId="77777777" w:rsidR="00BD6954" w:rsidRPr="00394D9A" w:rsidRDefault="00BD6954" w:rsidP="00187D17">
            <w:pPr>
              <w:widowControl w:val="0"/>
              <w:tabs>
                <w:tab w:val="clear" w:pos="284"/>
              </w:tabs>
              <w:autoSpaceDE w:val="0"/>
              <w:autoSpaceDN w:val="0"/>
              <w:ind w:left="292"/>
              <w:jc w:val="left"/>
              <w:rPr>
                <w:szCs w:val="22"/>
                <w:lang w:val="sr-Latn-RS"/>
              </w:rPr>
            </w:pPr>
            <w:r w:rsidRPr="00394D9A">
              <w:rPr>
                <w:szCs w:val="22"/>
                <w:lang w:val="sr-Latn-RS"/>
              </w:rPr>
              <w:t>Povećenje</w:t>
            </w:r>
            <w:r w:rsidRPr="00394D9A">
              <w:rPr>
                <w:spacing w:val="-9"/>
                <w:szCs w:val="22"/>
                <w:lang w:val="sr-Latn-RS"/>
              </w:rPr>
              <w:t xml:space="preserve"> </w:t>
            </w:r>
            <w:r w:rsidRPr="00394D9A">
              <w:rPr>
                <w:szCs w:val="22"/>
                <w:lang w:val="sr-Latn-RS"/>
              </w:rPr>
              <w:t>koncentracije</w:t>
            </w:r>
            <w:r w:rsidRPr="00394D9A">
              <w:rPr>
                <w:spacing w:val="-9"/>
                <w:szCs w:val="22"/>
                <w:lang w:val="sr-Latn-RS"/>
              </w:rPr>
              <w:t xml:space="preserve"> </w:t>
            </w:r>
            <w:r w:rsidRPr="00394D9A">
              <w:rPr>
                <w:szCs w:val="22"/>
                <w:lang w:val="sr-Latn-RS"/>
              </w:rPr>
              <w:t>enzima</w:t>
            </w:r>
            <w:r w:rsidRPr="00394D9A">
              <w:rPr>
                <w:spacing w:val="-8"/>
                <w:szCs w:val="22"/>
                <w:lang w:val="sr-Latn-RS"/>
              </w:rPr>
              <w:t xml:space="preserve"> </w:t>
            </w:r>
            <w:r w:rsidRPr="00394D9A">
              <w:rPr>
                <w:spacing w:val="-2"/>
                <w:szCs w:val="22"/>
                <w:lang w:val="sr-Latn-RS"/>
              </w:rPr>
              <w:t>jetre</w:t>
            </w:r>
          </w:p>
        </w:tc>
        <w:tc>
          <w:tcPr>
            <w:tcW w:w="4901" w:type="dxa"/>
          </w:tcPr>
          <w:p w14:paraId="583F8BC8" w14:textId="77777777" w:rsidR="00BD6954" w:rsidRPr="00394D9A" w:rsidRDefault="00BD6954" w:rsidP="00187D17">
            <w:pPr>
              <w:widowControl w:val="0"/>
              <w:tabs>
                <w:tab w:val="clear" w:pos="284"/>
              </w:tabs>
              <w:autoSpaceDE w:val="0"/>
              <w:autoSpaceDN w:val="0"/>
              <w:ind w:left="66" w:right="57"/>
              <w:jc w:val="center"/>
              <w:rPr>
                <w:szCs w:val="22"/>
                <w:lang w:val="sr-Latn-RS"/>
              </w:rPr>
            </w:pPr>
            <w:r w:rsidRPr="00394D9A">
              <w:rPr>
                <w:spacing w:val="-2"/>
                <w:szCs w:val="22"/>
                <w:lang w:val="sr-Latn-RS"/>
              </w:rPr>
              <w:t>često</w:t>
            </w:r>
          </w:p>
        </w:tc>
      </w:tr>
      <w:tr w:rsidR="00BD6954" w:rsidRPr="00394D9A" w14:paraId="0848D67F" w14:textId="77777777" w:rsidTr="00DF17BA">
        <w:tc>
          <w:tcPr>
            <w:tcW w:w="4160" w:type="dxa"/>
          </w:tcPr>
          <w:p w14:paraId="40A780EB" w14:textId="77777777" w:rsidR="00BD6954" w:rsidRPr="00394D9A" w:rsidRDefault="00BD6954" w:rsidP="00187D17">
            <w:pPr>
              <w:widowControl w:val="0"/>
              <w:tabs>
                <w:tab w:val="clear" w:pos="284"/>
              </w:tabs>
              <w:autoSpaceDE w:val="0"/>
              <w:autoSpaceDN w:val="0"/>
              <w:ind w:left="292"/>
              <w:jc w:val="left"/>
              <w:rPr>
                <w:szCs w:val="22"/>
                <w:lang w:val="sr-Latn-RS"/>
              </w:rPr>
            </w:pPr>
            <w:r w:rsidRPr="00394D9A">
              <w:rPr>
                <w:spacing w:val="-2"/>
                <w:szCs w:val="22"/>
                <w:lang w:val="sr-Latn-RS"/>
              </w:rPr>
              <w:t>Hiperbilirubinemija</w:t>
            </w:r>
          </w:p>
        </w:tc>
        <w:tc>
          <w:tcPr>
            <w:tcW w:w="4901" w:type="dxa"/>
          </w:tcPr>
          <w:p w14:paraId="75097E8D" w14:textId="77777777" w:rsidR="00BD6954" w:rsidRPr="00394D9A" w:rsidRDefault="00BD6954" w:rsidP="00187D17">
            <w:pPr>
              <w:widowControl w:val="0"/>
              <w:tabs>
                <w:tab w:val="clear" w:pos="284"/>
              </w:tabs>
              <w:autoSpaceDE w:val="0"/>
              <w:autoSpaceDN w:val="0"/>
              <w:ind w:left="60" w:right="57"/>
              <w:jc w:val="center"/>
              <w:rPr>
                <w:szCs w:val="22"/>
                <w:lang w:val="sr-Latn-RS"/>
              </w:rPr>
            </w:pPr>
            <w:r w:rsidRPr="00394D9A">
              <w:rPr>
                <w:spacing w:val="-2"/>
                <w:szCs w:val="22"/>
                <w:lang w:val="sr-Latn-RS"/>
              </w:rPr>
              <w:t>povremeno</w:t>
            </w:r>
          </w:p>
        </w:tc>
      </w:tr>
      <w:tr w:rsidR="00EF2DA9" w:rsidRPr="00394D9A" w14:paraId="76D8BE9C" w14:textId="77777777" w:rsidTr="00DF17BA">
        <w:tc>
          <w:tcPr>
            <w:tcW w:w="9061" w:type="dxa"/>
            <w:gridSpan w:val="2"/>
          </w:tcPr>
          <w:p w14:paraId="0A83A189" w14:textId="77777777" w:rsidR="00EF2DA9" w:rsidRPr="00394D9A" w:rsidRDefault="00EF2DA9" w:rsidP="00187D17">
            <w:pPr>
              <w:widowControl w:val="0"/>
              <w:tabs>
                <w:tab w:val="clear" w:pos="284"/>
              </w:tabs>
              <w:autoSpaceDE w:val="0"/>
              <w:autoSpaceDN w:val="0"/>
              <w:ind w:left="110"/>
              <w:jc w:val="left"/>
              <w:rPr>
                <w:b/>
                <w:i/>
                <w:szCs w:val="22"/>
                <w:lang w:val="sr-Latn-RS"/>
              </w:rPr>
            </w:pPr>
            <w:r w:rsidRPr="00394D9A">
              <w:rPr>
                <w:b/>
                <w:i/>
                <w:szCs w:val="22"/>
                <w:lang w:val="sr-Latn-RS"/>
              </w:rPr>
              <w:t>Poremećaji</w:t>
            </w:r>
            <w:r w:rsidRPr="00394D9A">
              <w:rPr>
                <w:b/>
                <w:i/>
                <w:spacing w:val="-6"/>
                <w:szCs w:val="22"/>
                <w:lang w:val="sr-Latn-RS"/>
              </w:rPr>
              <w:t xml:space="preserve"> </w:t>
            </w:r>
            <w:r w:rsidRPr="00394D9A">
              <w:rPr>
                <w:b/>
                <w:i/>
                <w:szCs w:val="22"/>
                <w:lang w:val="sr-Latn-RS"/>
              </w:rPr>
              <w:t>kože</w:t>
            </w:r>
            <w:r w:rsidRPr="00394D9A">
              <w:rPr>
                <w:b/>
                <w:i/>
                <w:spacing w:val="-6"/>
                <w:szCs w:val="22"/>
                <w:lang w:val="sr-Latn-RS"/>
              </w:rPr>
              <w:t xml:space="preserve"> </w:t>
            </w:r>
            <w:r w:rsidRPr="00394D9A">
              <w:rPr>
                <w:b/>
                <w:i/>
                <w:szCs w:val="22"/>
                <w:lang w:val="sr-Latn-RS"/>
              </w:rPr>
              <w:t>i</w:t>
            </w:r>
            <w:r w:rsidRPr="00394D9A">
              <w:rPr>
                <w:b/>
                <w:i/>
                <w:spacing w:val="-6"/>
                <w:szCs w:val="22"/>
                <w:lang w:val="sr-Latn-RS"/>
              </w:rPr>
              <w:t xml:space="preserve"> </w:t>
            </w:r>
            <w:r w:rsidRPr="00394D9A">
              <w:rPr>
                <w:b/>
                <w:i/>
                <w:szCs w:val="22"/>
                <w:lang w:val="sr-Latn-RS"/>
              </w:rPr>
              <w:t>potkožnog</w:t>
            </w:r>
            <w:r w:rsidRPr="00394D9A">
              <w:rPr>
                <w:b/>
                <w:i/>
                <w:spacing w:val="-6"/>
                <w:szCs w:val="22"/>
                <w:lang w:val="sr-Latn-RS"/>
              </w:rPr>
              <w:t xml:space="preserve"> </w:t>
            </w:r>
            <w:r w:rsidRPr="00394D9A">
              <w:rPr>
                <w:b/>
                <w:i/>
                <w:spacing w:val="-2"/>
                <w:szCs w:val="22"/>
                <w:lang w:val="sr-Latn-RS"/>
              </w:rPr>
              <w:t>tkiva</w:t>
            </w:r>
          </w:p>
        </w:tc>
      </w:tr>
      <w:tr w:rsidR="00EF2DA9" w:rsidRPr="00394D9A" w14:paraId="60A08E02" w14:textId="77777777" w:rsidTr="00DF17BA">
        <w:tc>
          <w:tcPr>
            <w:tcW w:w="4160" w:type="dxa"/>
          </w:tcPr>
          <w:p w14:paraId="74156F90" w14:textId="77777777" w:rsidR="00EF2DA9" w:rsidRPr="00394D9A" w:rsidRDefault="00EF2DA9" w:rsidP="00187D17">
            <w:pPr>
              <w:widowControl w:val="0"/>
              <w:tabs>
                <w:tab w:val="clear" w:pos="284"/>
              </w:tabs>
              <w:autoSpaceDE w:val="0"/>
              <w:autoSpaceDN w:val="0"/>
              <w:ind w:left="292"/>
              <w:jc w:val="left"/>
              <w:rPr>
                <w:szCs w:val="22"/>
                <w:lang w:val="sr-Latn-RS"/>
              </w:rPr>
            </w:pPr>
            <w:r w:rsidRPr="00394D9A">
              <w:rPr>
                <w:szCs w:val="22"/>
                <w:lang w:val="sr-Latn-RS"/>
              </w:rPr>
              <w:t>Krvarenje</w:t>
            </w:r>
            <w:r w:rsidRPr="00394D9A">
              <w:rPr>
                <w:spacing w:val="-4"/>
                <w:szCs w:val="22"/>
                <w:lang w:val="sr-Latn-RS"/>
              </w:rPr>
              <w:t xml:space="preserve"> </w:t>
            </w:r>
            <w:r w:rsidRPr="00394D9A">
              <w:rPr>
                <w:szCs w:val="22"/>
                <w:lang w:val="sr-Latn-RS"/>
              </w:rPr>
              <w:t>iz</w:t>
            </w:r>
            <w:r w:rsidRPr="00394D9A">
              <w:rPr>
                <w:spacing w:val="-2"/>
                <w:szCs w:val="22"/>
                <w:lang w:val="sr-Latn-RS"/>
              </w:rPr>
              <w:t xml:space="preserve"> </w:t>
            </w:r>
            <w:r w:rsidRPr="00394D9A">
              <w:rPr>
                <w:spacing w:val="-4"/>
                <w:szCs w:val="22"/>
                <w:lang w:val="sr-Latn-RS"/>
              </w:rPr>
              <w:t>kože</w:t>
            </w:r>
          </w:p>
        </w:tc>
        <w:tc>
          <w:tcPr>
            <w:tcW w:w="4901" w:type="dxa"/>
          </w:tcPr>
          <w:p w14:paraId="7565E21E" w14:textId="77777777" w:rsidR="00EF2DA9" w:rsidRPr="00394D9A" w:rsidRDefault="00EF2DA9" w:rsidP="00187D17">
            <w:pPr>
              <w:widowControl w:val="0"/>
              <w:tabs>
                <w:tab w:val="clear" w:pos="284"/>
              </w:tabs>
              <w:autoSpaceDE w:val="0"/>
              <w:autoSpaceDN w:val="0"/>
              <w:ind w:left="60" w:right="57"/>
              <w:jc w:val="center"/>
              <w:rPr>
                <w:szCs w:val="22"/>
                <w:lang w:val="sr-Latn-RS"/>
              </w:rPr>
            </w:pPr>
            <w:r w:rsidRPr="00394D9A">
              <w:rPr>
                <w:spacing w:val="-2"/>
                <w:szCs w:val="22"/>
                <w:lang w:val="sr-Latn-RS"/>
              </w:rPr>
              <w:t>povremeno</w:t>
            </w:r>
          </w:p>
        </w:tc>
      </w:tr>
      <w:tr w:rsidR="00EF2DA9" w:rsidRPr="00394D9A" w14:paraId="1F8294FE" w14:textId="77777777" w:rsidTr="00DF17BA">
        <w:tc>
          <w:tcPr>
            <w:tcW w:w="4160" w:type="dxa"/>
          </w:tcPr>
          <w:p w14:paraId="0A74DF56" w14:textId="77777777" w:rsidR="00EF2DA9" w:rsidRPr="00394D9A" w:rsidRDefault="00EF2DA9" w:rsidP="00187D17">
            <w:pPr>
              <w:widowControl w:val="0"/>
              <w:tabs>
                <w:tab w:val="clear" w:pos="284"/>
              </w:tabs>
              <w:autoSpaceDE w:val="0"/>
              <w:autoSpaceDN w:val="0"/>
              <w:ind w:left="292"/>
              <w:jc w:val="left"/>
              <w:rPr>
                <w:szCs w:val="22"/>
                <w:lang w:val="sr-Latn-RS"/>
              </w:rPr>
            </w:pPr>
            <w:r w:rsidRPr="00394D9A">
              <w:rPr>
                <w:spacing w:val="-2"/>
                <w:szCs w:val="22"/>
                <w:lang w:val="sr-Latn-RS"/>
              </w:rPr>
              <w:t>Alopecija</w:t>
            </w:r>
          </w:p>
        </w:tc>
        <w:tc>
          <w:tcPr>
            <w:tcW w:w="4901" w:type="dxa"/>
          </w:tcPr>
          <w:p w14:paraId="40A89C57" w14:textId="77777777" w:rsidR="00EF2DA9" w:rsidRPr="00394D9A" w:rsidRDefault="00EF2DA9" w:rsidP="00187D17">
            <w:pPr>
              <w:widowControl w:val="0"/>
              <w:tabs>
                <w:tab w:val="clear" w:pos="284"/>
              </w:tabs>
              <w:autoSpaceDE w:val="0"/>
              <w:autoSpaceDN w:val="0"/>
              <w:ind w:left="66" w:right="57"/>
              <w:jc w:val="center"/>
              <w:rPr>
                <w:szCs w:val="22"/>
                <w:lang w:val="sr-Latn-RS"/>
              </w:rPr>
            </w:pPr>
            <w:r w:rsidRPr="00394D9A">
              <w:rPr>
                <w:spacing w:val="-2"/>
                <w:szCs w:val="22"/>
                <w:lang w:val="sr-Latn-RS"/>
              </w:rPr>
              <w:t>često</w:t>
            </w:r>
          </w:p>
        </w:tc>
      </w:tr>
      <w:tr w:rsidR="00EF2DA9" w:rsidRPr="00394D9A" w14:paraId="17A6F34B" w14:textId="77777777" w:rsidTr="00DF17BA">
        <w:tc>
          <w:tcPr>
            <w:tcW w:w="9061" w:type="dxa"/>
            <w:gridSpan w:val="2"/>
          </w:tcPr>
          <w:p w14:paraId="6F9A9083" w14:textId="77777777" w:rsidR="00EF2DA9" w:rsidRPr="00394D9A" w:rsidRDefault="00EF2DA9" w:rsidP="00187D17">
            <w:pPr>
              <w:widowControl w:val="0"/>
              <w:tabs>
                <w:tab w:val="clear" w:pos="284"/>
              </w:tabs>
              <w:autoSpaceDE w:val="0"/>
              <w:autoSpaceDN w:val="0"/>
              <w:ind w:left="110"/>
              <w:jc w:val="left"/>
              <w:rPr>
                <w:b/>
                <w:i/>
                <w:szCs w:val="22"/>
                <w:lang w:val="sr-Latn-RS"/>
              </w:rPr>
            </w:pPr>
            <w:r w:rsidRPr="00394D9A">
              <w:rPr>
                <w:b/>
                <w:i/>
                <w:szCs w:val="22"/>
                <w:lang w:val="sr-Latn-RS"/>
              </w:rPr>
              <w:t>Poremećaji</w:t>
            </w:r>
            <w:r w:rsidRPr="00394D9A">
              <w:rPr>
                <w:b/>
                <w:i/>
                <w:spacing w:val="-11"/>
                <w:szCs w:val="22"/>
                <w:lang w:val="sr-Latn-RS"/>
              </w:rPr>
              <w:t xml:space="preserve"> </w:t>
            </w:r>
            <w:r w:rsidRPr="00394D9A">
              <w:rPr>
                <w:b/>
                <w:i/>
                <w:szCs w:val="22"/>
                <w:lang w:val="sr-Latn-RS"/>
              </w:rPr>
              <w:t>mišićno-koštanog</w:t>
            </w:r>
            <w:r w:rsidRPr="00394D9A">
              <w:rPr>
                <w:b/>
                <w:i/>
                <w:spacing w:val="-9"/>
                <w:szCs w:val="22"/>
                <w:lang w:val="sr-Latn-RS"/>
              </w:rPr>
              <w:t xml:space="preserve"> </w:t>
            </w:r>
            <w:r w:rsidRPr="00394D9A">
              <w:rPr>
                <w:b/>
                <w:i/>
                <w:szCs w:val="22"/>
                <w:lang w:val="sr-Latn-RS"/>
              </w:rPr>
              <w:t>i</w:t>
            </w:r>
            <w:r w:rsidRPr="00394D9A">
              <w:rPr>
                <w:b/>
                <w:i/>
                <w:spacing w:val="-9"/>
                <w:szCs w:val="22"/>
                <w:lang w:val="sr-Latn-RS"/>
              </w:rPr>
              <w:t xml:space="preserve"> </w:t>
            </w:r>
            <w:r w:rsidRPr="00394D9A">
              <w:rPr>
                <w:b/>
                <w:i/>
                <w:szCs w:val="22"/>
                <w:lang w:val="sr-Latn-RS"/>
              </w:rPr>
              <w:t>vezivnog</w:t>
            </w:r>
            <w:r w:rsidRPr="00394D9A">
              <w:rPr>
                <w:b/>
                <w:i/>
                <w:spacing w:val="-9"/>
                <w:szCs w:val="22"/>
                <w:lang w:val="sr-Latn-RS"/>
              </w:rPr>
              <w:t xml:space="preserve"> </w:t>
            </w:r>
            <w:r w:rsidRPr="00394D9A">
              <w:rPr>
                <w:b/>
                <w:i/>
                <w:spacing w:val="-2"/>
                <w:szCs w:val="22"/>
                <w:lang w:val="sr-Latn-RS"/>
              </w:rPr>
              <w:t>tkiva</w:t>
            </w:r>
          </w:p>
        </w:tc>
      </w:tr>
      <w:tr w:rsidR="00EF2DA9" w:rsidRPr="00394D9A" w14:paraId="37E43AA9" w14:textId="77777777" w:rsidTr="00DF17BA">
        <w:tc>
          <w:tcPr>
            <w:tcW w:w="4160" w:type="dxa"/>
          </w:tcPr>
          <w:p w14:paraId="7AD047E7" w14:textId="77777777" w:rsidR="00EF2DA9" w:rsidRPr="00394D9A" w:rsidRDefault="00EF2DA9" w:rsidP="00187D17">
            <w:pPr>
              <w:widowControl w:val="0"/>
              <w:tabs>
                <w:tab w:val="clear" w:pos="284"/>
              </w:tabs>
              <w:autoSpaceDE w:val="0"/>
              <w:autoSpaceDN w:val="0"/>
              <w:ind w:left="292"/>
              <w:jc w:val="left"/>
              <w:rPr>
                <w:szCs w:val="22"/>
                <w:lang w:val="sr-Latn-RS"/>
              </w:rPr>
            </w:pPr>
            <w:r w:rsidRPr="00394D9A">
              <w:rPr>
                <w:spacing w:val="-2"/>
                <w:szCs w:val="22"/>
                <w:lang w:val="sr-Latn-RS"/>
              </w:rPr>
              <w:t>Hemartroza</w:t>
            </w:r>
          </w:p>
        </w:tc>
        <w:tc>
          <w:tcPr>
            <w:tcW w:w="4901" w:type="dxa"/>
          </w:tcPr>
          <w:p w14:paraId="236369F2" w14:textId="77777777" w:rsidR="00EF2DA9" w:rsidRPr="00394D9A" w:rsidRDefault="00EF2DA9" w:rsidP="00187D17">
            <w:pPr>
              <w:widowControl w:val="0"/>
              <w:tabs>
                <w:tab w:val="clear" w:pos="284"/>
              </w:tabs>
              <w:autoSpaceDE w:val="0"/>
              <w:autoSpaceDN w:val="0"/>
              <w:ind w:left="66" w:right="57"/>
              <w:jc w:val="center"/>
              <w:rPr>
                <w:szCs w:val="22"/>
                <w:lang w:val="sr-Latn-RS"/>
              </w:rPr>
            </w:pPr>
            <w:r w:rsidRPr="00394D9A">
              <w:rPr>
                <w:spacing w:val="-2"/>
                <w:szCs w:val="22"/>
                <w:lang w:val="sr-Latn-RS"/>
              </w:rPr>
              <w:t>nepoznato</w:t>
            </w:r>
          </w:p>
        </w:tc>
      </w:tr>
      <w:tr w:rsidR="00EF2DA9" w:rsidRPr="00394D9A" w14:paraId="4A9FC738" w14:textId="77777777" w:rsidTr="00DF17BA">
        <w:tc>
          <w:tcPr>
            <w:tcW w:w="9061" w:type="dxa"/>
            <w:gridSpan w:val="2"/>
          </w:tcPr>
          <w:p w14:paraId="49AB45C1" w14:textId="77777777" w:rsidR="00EF2DA9" w:rsidRPr="00394D9A" w:rsidRDefault="00EF2DA9" w:rsidP="00187D17">
            <w:pPr>
              <w:widowControl w:val="0"/>
              <w:tabs>
                <w:tab w:val="clear" w:pos="284"/>
              </w:tabs>
              <w:autoSpaceDE w:val="0"/>
              <w:autoSpaceDN w:val="0"/>
              <w:ind w:left="110"/>
              <w:jc w:val="left"/>
              <w:rPr>
                <w:b/>
                <w:i/>
                <w:szCs w:val="22"/>
                <w:lang w:val="sr-Latn-RS"/>
              </w:rPr>
            </w:pPr>
            <w:r w:rsidRPr="00394D9A">
              <w:rPr>
                <w:b/>
                <w:i/>
                <w:szCs w:val="22"/>
                <w:lang w:val="sr-Latn-RS"/>
              </w:rPr>
              <w:t>Poremećaji</w:t>
            </w:r>
            <w:r w:rsidRPr="00394D9A">
              <w:rPr>
                <w:b/>
                <w:i/>
                <w:spacing w:val="-7"/>
                <w:szCs w:val="22"/>
                <w:lang w:val="sr-Latn-RS"/>
              </w:rPr>
              <w:t xml:space="preserve"> </w:t>
            </w:r>
            <w:r w:rsidRPr="00394D9A">
              <w:rPr>
                <w:b/>
                <w:i/>
                <w:szCs w:val="22"/>
                <w:lang w:val="sr-Latn-RS"/>
              </w:rPr>
              <w:t>bubrega</w:t>
            </w:r>
            <w:r w:rsidRPr="00394D9A">
              <w:rPr>
                <w:b/>
                <w:i/>
                <w:spacing w:val="-7"/>
                <w:szCs w:val="22"/>
                <w:lang w:val="sr-Latn-RS"/>
              </w:rPr>
              <w:t xml:space="preserve"> </w:t>
            </w:r>
            <w:r w:rsidRPr="00394D9A">
              <w:rPr>
                <w:b/>
                <w:i/>
                <w:szCs w:val="22"/>
                <w:lang w:val="sr-Latn-RS"/>
              </w:rPr>
              <w:t>i</w:t>
            </w:r>
            <w:r w:rsidRPr="00394D9A">
              <w:rPr>
                <w:b/>
                <w:i/>
                <w:spacing w:val="-7"/>
                <w:szCs w:val="22"/>
                <w:lang w:val="sr-Latn-RS"/>
              </w:rPr>
              <w:t xml:space="preserve"> </w:t>
            </w:r>
            <w:r w:rsidRPr="00394D9A">
              <w:rPr>
                <w:b/>
                <w:i/>
                <w:szCs w:val="22"/>
                <w:lang w:val="sr-Latn-RS"/>
              </w:rPr>
              <w:t>urinarnog</w:t>
            </w:r>
            <w:r w:rsidRPr="00394D9A">
              <w:rPr>
                <w:b/>
                <w:i/>
                <w:spacing w:val="-4"/>
                <w:szCs w:val="22"/>
                <w:lang w:val="sr-Latn-RS"/>
              </w:rPr>
              <w:t xml:space="preserve"> </w:t>
            </w:r>
            <w:r w:rsidRPr="00394D9A">
              <w:rPr>
                <w:b/>
                <w:i/>
                <w:spacing w:val="-2"/>
                <w:szCs w:val="22"/>
                <w:lang w:val="sr-Latn-RS"/>
              </w:rPr>
              <w:t>sistema</w:t>
            </w:r>
          </w:p>
        </w:tc>
      </w:tr>
      <w:tr w:rsidR="00EF2DA9" w:rsidRPr="00394D9A" w14:paraId="24E12C49" w14:textId="77777777" w:rsidTr="00DF17BA">
        <w:tc>
          <w:tcPr>
            <w:tcW w:w="4160" w:type="dxa"/>
          </w:tcPr>
          <w:p w14:paraId="6EAA7B78" w14:textId="77777777" w:rsidR="00EF2DA9" w:rsidRPr="00394D9A" w:rsidRDefault="00EF2DA9" w:rsidP="00187D17">
            <w:pPr>
              <w:widowControl w:val="0"/>
              <w:tabs>
                <w:tab w:val="clear" w:pos="284"/>
              </w:tabs>
              <w:autoSpaceDE w:val="0"/>
              <w:autoSpaceDN w:val="0"/>
              <w:ind w:left="292"/>
              <w:jc w:val="left"/>
              <w:rPr>
                <w:szCs w:val="22"/>
                <w:lang w:val="sr-Latn-RS"/>
              </w:rPr>
            </w:pPr>
            <w:r w:rsidRPr="00394D9A">
              <w:rPr>
                <w:szCs w:val="22"/>
                <w:lang w:val="sr-Latn-RS"/>
              </w:rPr>
              <w:t>Urogenitalna</w:t>
            </w:r>
            <w:r w:rsidRPr="00394D9A">
              <w:rPr>
                <w:spacing w:val="-12"/>
                <w:szCs w:val="22"/>
                <w:lang w:val="sr-Latn-RS"/>
              </w:rPr>
              <w:t xml:space="preserve"> </w:t>
            </w:r>
            <w:r w:rsidRPr="00394D9A">
              <w:rPr>
                <w:szCs w:val="22"/>
                <w:lang w:val="sr-Latn-RS"/>
              </w:rPr>
              <w:t>hemoragija,</w:t>
            </w:r>
            <w:r w:rsidRPr="00394D9A">
              <w:rPr>
                <w:spacing w:val="-11"/>
                <w:szCs w:val="22"/>
                <w:lang w:val="sr-Latn-RS"/>
              </w:rPr>
              <w:t xml:space="preserve"> </w:t>
            </w:r>
            <w:r w:rsidRPr="00394D9A">
              <w:rPr>
                <w:spacing w:val="-2"/>
                <w:szCs w:val="22"/>
                <w:lang w:val="sr-Latn-RS"/>
              </w:rPr>
              <w:t>uključujući</w:t>
            </w:r>
          </w:p>
          <w:p w14:paraId="1D4F996A" w14:textId="77777777" w:rsidR="00EF2DA9" w:rsidRPr="00394D9A" w:rsidRDefault="00EF2DA9" w:rsidP="00187D17">
            <w:pPr>
              <w:widowControl w:val="0"/>
              <w:tabs>
                <w:tab w:val="clear" w:pos="284"/>
              </w:tabs>
              <w:autoSpaceDE w:val="0"/>
              <w:autoSpaceDN w:val="0"/>
              <w:ind w:left="292"/>
              <w:jc w:val="left"/>
              <w:rPr>
                <w:szCs w:val="22"/>
                <w:lang w:val="sr-Latn-RS"/>
              </w:rPr>
            </w:pPr>
            <w:r w:rsidRPr="00394D9A">
              <w:rPr>
                <w:spacing w:val="-2"/>
                <w:szCs w:val="22"/>
                <w:lang w:val="sr-Latn-RS"/>
              </w:rPr>
              <w:t>hematuriju</w:t>
            </w:r>
          </w:p>
        </w:tc>
        <w:tc>
          <w:tcPr>
            <w:tcW w:w="4901" w:type="dxa"/>
          </w:tcPr>
          <w:p w14:paraId="11BD43DD" w14:textId="77777777" w:rsidR="00EF2DA9" w:rsidRPr="00394D9A" w:rsidRDefault="00EF2DA9" w:rsidP="00187D17">
            <w:pPr>
              <w:widowControl w:val="0"/>
              <w:tabs>
                <w:tab w:val="clear" w:pos="284"/>
              </w:tabs>
              <w:autoSpaceDE w:val="0"/>
              <w:autoSpaceDN w:val="0"/>
              <w:ind w:left="60" w:right="57"/>
              <w:jc w:val="center"/>
              <w:rPr>
                <w:szCs w:val="22"/>
                <w:lang w:val="sr-Latn-RS"/>
              </w:rPr>
            </w:pPr>
            <w:r w:rsidRPr="00394D9A">
              <w:rPr>
                <w:spacing w:val="-2"/>
                <w:szCs w:val="22"/>
                <w:lang w:val="sr-Latn-RS"/>
              </w:rPr>
              <w:t>povremeno</w:t>
            </w:r>
          </w:p>
        </w:tc>
      </w:tr>
      <w:tr w:rsidR="00EF2DA9" w:rsidRPr="00394D9A" w14:paraId="7D1FF5D6" w14:textId="77777777" w:rsidTr="00DF17BA">
        <w:tc>
          <w:tcPr>
            <w:tcW w:w="9061" w:type="dxa"/>
            <w:gridSpan w:val="2"/>
          </w:tcPr>
          <w:p w14:paraId="6D6CAC6E" w14:textId="4F2160C0" w:rsidR="00EF2DA9" w:rsidRPr="00394D9A" w:rsidRDefault="00EF2DA9" w:rsidP="00187D17">
            <w:pPr>
              <w:widowControl w:val="0"/>
              <w:tabs>
                <w:tab w:val="clear" w:pos="284"/>
              </w:tabs>
              <w:autoSpaceDE w:val="0"/>
              <w:autoSpaceDN w:val="0"/>
              <w:ind w:left="110"/>
              <w:jc w:val="left"/>
              <w:rPr>
                <w:b/>
                <w:i/>
                <w:szCs w:val="22"/>
                <w:lang w:val="sr-Latn-RS"/>
              </w:rPr>
            </w:pPr>
            <w:r w:rsidRPr="00394D9A">
              <w:rPr>
                <w:b/>
                <w:i/>
                <w:szCs w:val="22"/>
                <w:lang w:val="sr-Latn-RS"/>
              </w:rPr>
              <w:t>Opšti</w:t>
            </w:r>
            <w:r w:rsidRPr="00394D9A">
              <w:rPr>
                <w:b/>
                <w:i/>
                <w:spacing w:val="-6"/>
                <w:szCs w:val="22"/>
                <w:lang w:val="sr-Latn-RS"/>
              </w:rPr>
              <w:t xml:space="preserve"> </w:t>
            </w:r>
            <w:r w:rsidRPr="00394D9A">
              <w:rPr>
                <w:b/>
                <w:i/>
                <w:szCs w:val="22"/>
                <w:lang w:val="sr-Latn-RS"/>
              </w:rPr>
              <w:t>poremećaji</w:t>
            </w:r>
            <w:r w:rsidRPr="00394D9A">
              <w:rPr>
                <w:b/>
                <w:i/>
                <w:spacing w:val="-5"/>
                <w:szCs w:val="22"/>
                <w:lang w:val="sr-Latn-RS"/>
              </w:rPr>
              <w:t xml:space="preserve"> </w:t>
            </w:r>
            <w:r w:rsidRPr="00394D9A">
              <w:rPr>
                <w:b/>
                <w:i/>
                <w:szCs w:val="22"/>
                <w:lang w:val="sr-Latn-RS"/>
              </w:rPr>
              <w:t>i</w:t>
            </w:r>
            <w:r w:rsidRPr="00394D9A">
              <w:rPr>
                <w:b/>
                <w:i/>
                <w:spacing w:val="-5"/>
                <w:szCs w:val="22"/>
                <w:lang w:val="sr-Latn-RS"/>
              </w:rPr>
              <w:t xml:space="preserve"> </w:t>
            </w:r>
            <w:r w:rsidRPr="00394D9A">
              <w:rPr>
                <w:b/>
                <w:i/>
                <w:szCs w:val="22"/>
                <w:lang w:val="sr-Latn-RS"/>
              </w:rPr>
              <w:t>reakcije</w:t>
            </w:r>
            <w:r w:rsidRPr="00394D9A">
              <w:rPr>
                <w:b/>
                <w:i/>
                <w:spacing w:val="-5"/>
                <w:szCs w:val="22"/>
                <w:lang w:val="sr-Latn-RS"/>
              </w:rPr>
              <w:t xml:space="preserve"> </w:t>
            </w:r>
            <w:r w:rsidRPr="00394D9A">
              <w:rPr>
                <w:b/>
                <w:i/>
                <w:szCs w:val="22"/>
                <w:lang w:val="sr-Latn-RS"/>
              </w:rPr>
              <w:t>na</w:t>
            </w:r>
            <w:r w:rsidRPr="00394D9A">
              <w:rPr>
                <w:b/>
                <w:i/>
                <w:spacing w:val="-5"/>
                <w:szCs w:val="22"/>
                <w:lang w:val="sr-Latn-RS"/>
              </w:rPr>
              <w:t xml:space="preserve"> </w:t>
            </w:r>
            <w:r w:rsidRPr="00394D9A">
              <w:rPr>
                <w:b/>
                <w:i/>
                <w:szCs w:val="22"/>
                <w:lang w:val="sr-Latn-RS"/>
              </w:rPr>
              <w:t>m</w:t>
            </w:r>
            <w:r w:rsidR="00087C29" w:rsidRPr="00394D9A">
              <w:rPr>
                <w:b/>
                <w:i/>
                <w:szCs w:val="22"/>
                <w:lang w:val="sr-Latn-RS"/>
              </w:rPr>
              <w:t>j</w:t>
            </w:r>
            <w:r w:rsidRPr="00394D9A">
              <w:rPr>
                <w:b/>
                <w:i/>
                <w:szCs w:val="22"/>
                <w:lang w:val="sr-Latn-RS"/>
              </w:rPr>
              <w:t>estu</w:t>
            </w:r>
            <w:r w:rsidRPr="00394D9A">
              <w:rPr>
                <w:b/>
                <w:i/>
                <w:spacing w:val="-5"/>
                <w:szCs w:val="22"/>
                <w:lang w:val="sr-Latn-RS"/>
              </w:rPr>
              <w:t xml:space="preserve"> </w:t>
            </w:r>
            <w:r w:rsidRPr="00394D9A">
              <w:rPr>
                <w:b/>
                <w:i/>
                <w:spacing w:val="-2"/>
                <w:szCs w:val="22"/>
                <w:lang w:val="sr-Latn-RS"/>
              </w:rPr>
              <w:t>prim</w:t>
            </w:r>
            <w:r w:rsidR="00087C29" w:rsidRPr="00394D9A">
              <w:rPr>
                <w:b/>
                <w:i/>
                <w:spacing w:val="-2"/>
                <w:szCs w:val="22"/>
                <w:lang w:val="sr-Latn-RS"/>
              </w:rPr>
              <w:t>j</w:t>
            </w:r>
            <w:r w:rsidRPr="00394D9A">
              <w:rPr>
                <w:b/>
                <w:i/>
                <w:spacing w:val="-2"/>
                <w:szCs w:val="22"/>
                <w:lang w:val="sr-Latn-RS"/>
              </w:rPr>
              <w:t>ene</w:t>
            </w:r>
          </w:p>
        </w:tc>
      </w:tr>
      <w:tr w:rsidR="00EF2DA9" w:rsidRPr="00394D9A" w14:paraId="5E110E01" w14:textId="77777777" w:rsidTr="00DF17BA">
        <w:tc>
          <w:tcPr>
            <w:tcW w:w="4160" w:type="dxa"/>
          </w:tcPr>
          <w:p w14:paraId="4E2718F0" w14:textId="62E85D66" w:rsidR="00EF2DA9" w:rsidRPr="00394D9A" w:rsidRDefault="00EF2DA9" w:rsidP="00187D17">
            <w:pPr>
              <w:widowControl w:val="0"/>
              <w:tabs>
                <w:tab w:val="clear" w:pos="284"/>
              </w:tabs>
              <w:autoSpaceDE w:val="0"/>
              <w:autoSpaceDN w:val="0"/>
              <w:ind w:left="292"/>
              <w:jc w:val="left"/>
              <w:rPr>
                <w:szCs w:val="22"/>
                <w:lang w:val="sr-Latn-RS"/>
              </w:rPr>
            </w:pPr>
            <w:r w:rsidRPr="00394D9A">
              <w:rPr>
                <w:szCs w:val="22"/>
                <w:lang w:val="sr-Latn-RS"/>
              </w:rPr>
              <w:t>Hemoragija</w:t>
            </w:r>
            <w:r w:rsidRPr="00394D9A">
              <w:rPr>
                <w:spacing w:val="-6"/>
                <w:szCs w:val="22"/>
                <w:lang w:val="sr-Latn-RS"/>
              </w:rPr>
              <w:t xml:space="preserve"> </w:t>
            </w:r>
            <w:r w:rsidRPr="00394D9A">
              <w:rPr>
                <w:szCs w:val="22"/>
                <w:lang w:val="sr-Latn-RS"/>
              </w:rPr>
              <w:t>na</w:t>
            </w:r>
            <w:r w:rsidRPr="00394D9A">
              <w:rPr>
                <w:spacing w:val="-6"/>
                <w:szCs w:val="22"/>
                <w:lang w:val="sr-Latn-RS"/>
              </w:rPr>
              <w:t xml:space="preserve"> </w:t>
            </w:r>
            <w:r w:rsidRPr="00394D9A">
              <w:rPr>
                <w:szCs w:val="22"/>
                <w:lang w:val="sr-Latn-RS"/>
              </w:rPr>
              <w:t>m</w:t>
            </w:r>
            <w:r w:rsidR="00087C29" w:rsidRPr="00394D9A">
              <w:rPr>
                <w:szCs w:val="22"/>
                <w:lang w:val="sr-Latn-RS"/>
              </w:rPr>
              <w:t>j</w:t>
            </w:r>
            <w:r w:rsidRPr="00394D9A">
              <w:rPr>
                <w:szCs w:val="22"/>
                <w:lang w:val="sr-Latn-RS"/>
              </w:rPr>
              <w:t>estu</w:t>
            </w:r>
            <w:r w:rsidRPr="00394D9A">
              <w:rPr>
                <w:spacing w:val="-4"/>
                <w:szCs w:val="22"/>
                <w:lang w:val="sr-Latn-RS"/>
              </w:rPr>
              <w:t xml:space="preserve"> </w:t>
            </w:r>
            <w:r w:rsidRPr="00394D9A">
              <w:rPr>
                <w:szCs w:val="22"/>
                <w:lang w:val="sr-Latn-RS"/>
              </w:rPr>
              <w:t>prim</w:t>
            </w:r>
            <w:r w:rsidR="00087C29" w:rsidRPr="00394D9A">
              <w:rPr>
                <w:szCs w:val="22"/>
                <w:lang w:val="sr-Latn-RS"/>
              </w:rPr>
              <w:t>j</w:t>
            </w:r>
            <w:r w:rsidRPr="00394D9A">
              <w:rPr>
                <w:szCs w:val="22"/>
                <w:lang w:val="sr-Latn-RS"/>
              </w:rPr>
              <w:t>ene</w:t>
            </w:r>
            <w:r w:rsidRPr="00394D9A">
              <w:rPr>
                <w:spacing w:val="-5"/>
                <w:szCs w:val="22"/>
                <w:lang w:val="sr-Latn-RS"/>
              </w:rPr>
              <w:t xml:space="preserve"> </w:t>
            </w:r>
            <w:r w:rsidRPr="00394D9A">
              <w:rPr>
                <w:spacing w:val="-2"/>
                <w:szCs w:val="22"/>
                <w:lang w:val="sr-Latn-RS"/>
              </w:rPr>
              <w:t>injekcije</w:t>
            </w:r>
          </w:p>
        </w:tc>
        <w:tc>
          <w:tcPr>
            <w:tcW w:w="4901" w:type="dxa"/>
          </w:tcPr>
          <w:p w14:paraId="4CF49550" w14:textId="77777777" w:rsidR="00EF2DA9" w:rsidRPr="00394D9A" w:rsidRDefault="00EF2DA9" w:rsidP="00187D17">
            <w:pPr>
              <w:widowControl w:val="0"/>
              <w:tabs>
                <w:tab w:val="clear" w:pos="284"/>
              </w:tabs>
              <w:autoSpaceDE w:val="0"/>
              <w:autoSpaceDN w:val="0"/>
              <w:ind w:left="66" w:right="57"/>
              <w:jc w:val="center"/>
              <w:rPr>
                <w:szCs w:val="22"/>
                <w:lang w:val="sr-Latn-RS"/>
              </w:rPr>
            </w:pPr>
            <w:r w:rsidRPr="00394D9A">
              <w:rPr>
                <w:spacing w:val="-2"/>
                <w:szCs w:val="22"/>
                <w:lang w:val="sr-Latn-RS"/>
              </w:rPr>
              <w:t>nepoznato</w:t>
            </w:r>
          </w:p>
        </w:tc>
      </w:tr>
      <w:tr w:rsidR="00EF2DA9" w:rsidRPr="00394D9A" w14:paraId="6283F6ED" w14:textId="77777777" w:rsidTr="00DF17BA">
        <w:tc>
          <w:tcPr>
            <w:tcW w:w="4160" w:type="dxa"/>
          </w:tcPr>
          <w:p w14:paraId="4F532470" w14:textId="19197720" w:rsidR="00EF2DA9" w:rsidRPr="00394D9A" w:rsidRDefault="00EF2DA9" w:rsidP="00187D17">
            <w:pPr>
              <w:widowControl w:val="0"/>
              <w:tabs>
                <w:tab w:val="clear" w:pos="284"/>
              </w:tabs>
              <w:autoSpaceDE w:val="0"/>
              <w:autoSpaceDN w:val="0"/>
              <w:ind w:left="292"/>
              <w:jc w:val="left"/>
              <w:rPr>
                <w:szCs w:val="22"/>
                <w:lang w:val="sr-Latn-RS"/>
              </w:rPr>
            </w:pPr>
            <w:r w:rsidRPr="00394D9A">
              <w:rPr>
                <w:szCs w:val="22"/>
                <w:lang w:val="sr-Latn-RS"/>
              </w:rPr>
              <w:t>Hemoragija</w:t>
            </w:r>
            <w:r w:rsidRPr="00394D9A">
              <w:rPr>
                <w:spacing w:val="-6"/>
                <w:szCs w:val="22"/>
                <w:lang w:val="sr-Latn-RS"/>
              </w:rPr>
              <w:t xml:space="preserve"> </w:t>
            </w:r>
            <w:r w:rsidRPr="00394D9A">
              <w:rPr>
                <w:szCs w:val="22"/>
                <w:lang w:val="sr-Latn-RS"/>
              </w:rPr>
              <w:t>na</w:t>
            </w:r>
            <w:r w:rsidRPr="00394D9A">
              <w:rPr>
                <w:spacing w:val="-8"/>
                <w:szCs w:val="22"/>
                <w:lang w:val="sr-Latn-RS"/>
              </w:rPr>
              <w:t xml:space="preserve"> </w:t>
            </w:r>
            <w:r w:rsidRPr="00394D9A">
              <w:rPr>
                <w:szCs w:val="22"/>
                <w:lang w:val="sr-Latn-RS"/>
              </w:rPr>
              <w:t>m</w:t>
            </w:r>
            <w:r w:rsidR="00087C29" w:rsidRPr="00394D9A">
              <w:rPr>
                <w:szCs w:val="22"/>
                <w:lang w:val="sr-Latn-RS"/>
              </w:rPr>
              <w:t>j</w:t>
            </w:r>
            <w:r w:rsidRPr="00394D9A">
              <w:rPr>
                <w:szCs w:val="22"/>
                <w:lang w:val="sr-Latn-RS"/>
              </w:rPr>
              <w:t>estu</w:t>
            </w:r>
            <w:r w:rsidRPr="00394D9A">
              <w:rPr>
                <w:spacing w:val="-6"/>
                <w:szCs w:val="22"/>
                <w:lang w:val="sr-Latn-RS"/>
              </w:rPr>
              <w:t xml:space="preserve"> </w:t>
            </w:r>
            <w:r w:rsidRPr="00394D9A">
              <w:rPr>
                <w:szCs w:val="22"/>
                <w:lang w:val="sr-Latn-RS"/>
              </w:rPr>
              <w:t>uvođenja</w:t>
            </w:r>
            <w:r w:rsidRPr="00394D9A">
              <w:rPr>
                <w:spacing w:val="-5"/>
                <w:szCs w:val="22"/>
                <w:lang w:val="sr-Latn-RS"/>
              </w:rPr>
              <w:t xml:space="preserve"> </w:t>
            </w:r>
            <w:r w:rsidRPr="00394D9A">
              <w:rPr>
                <w:spacing w:val="-2"/>
                <w:szCs w:val="22"/>
                <w:lang w:val="sr-Latn-RS"/>
              </w:rPr>
              <w:t>katetera</w:t>
            </w:r>
          </w:p>
        </w:tc>
        <w:tc>
          <w:tcPr>
            <w:tcW w:w="4901" w:type="dxa"/>
          </w:tcPr>
          <w:p w14:paraId="43A9C1FE" w14:textId="77777777" w:rsidR="00EF2DA9" w:rsidRPr="00394D9A" w:rsidRDefault="00EF2DA9" w:rsidP="00187D17">
            <w:pPr>
              <w:widowControl w:val="0"/>
              <w:tabs>
                <w:tab w:val="clear" w:pos="284"/>
              </w:tabs>
              <w:autoSpaceDE w:val="0"/>
              <w:autoSpaceDN w:val="0"/>
              <w:ind w:left="66" w:right="57"/>
              <w:jc w:val="center"/>
              <w:rPr>
                <w:szCs w:val="22"/>
                <w:lang w:val="sr-Latn-RS"/>
              </w:rPr>
            </w:pPr>
            <w:r w:rsidRPr="00394D9A">
              <w:rPr>
                <w:spacing w:val="-2"/>
                <w:szCs w:val="22"/>
                <w:lang w:val="sr-Latn-RS"/>
              </w:rPr>
              <w:t>nepoznato</w:t>
            </w:r>
          </w:p>
        </w:tc>
      </w:tr>
      <w:tr w:rsidR="00EF2DA9" w:rsidRPr="00394D9A" w14:paraId="7CF83342" w14:textId="77777777" w:rsidTr="00DF17BA">
        <w:tc>
          <w:tcPr>
            <w:tcW w:w="9061" w:type="dxa"/>
            <w:gridSpan w:val="2"/>
          </w:tcPr>
          <w:p w14:paraId="7BA4D123" w14:textId="77777777" w:rsidR="00EF2DA9" w:rsidRPr="00394D9A" w:rsidRDefault="00EF2DA9" w:rsidP="00187D17">
            <w:pPr>
              <w:widowControl w:val="0"/>
              <w:tabs>
                <w:tab w:val="clear" w:pos="284"/>
              </w:tabs>
              <w:autoSpaceDE w:val="0"/>
              <w:autoSpaceDN w:val="0"/>
              <w:ind w:left="110"/>
              <w:jc w:val="left"/>
              <w:rPr>
                <w:b/>
                <w:i/>
                <w:szCs w:val="22"/>
                <w:lang w:val="sr-Latn-RS"/>
              </w:rPr>
            </w:pPr>
            <w:r w:rsidRPr="00394D9A">
              <w:rPr>
                <w:b/>
                <w:i/>
                <w:szCs w:val="22"/>
                <w:lang w:val="sr-Latn-RS"/>
              </w:rPr>
              <w:t>Povrede,</w:t>
            </w:r>
            <w:r w:rsidRPr="00394D9A">
              <w:rPr>
                <w:b/>
                <w:i/>
                <w:spacing w:val="-8"/>
                <w:szCs w:val="22"/>
                <w:lang w:val="sr-Latn-RS"/>
              </w:rPr>
              <w:t xml:space="preserve"> </w:t>
            </w:r>
            <w:r w:rsidRPr="00394D9A">
              <w:rPr>
                <w:b/>
                <w:i/>
                <w:szCs w:val="22"/>
                <w:lang w:val="sr-Latn-RS"/>
              </w:rPr>
              <w:t>trovanja</w:t>
            </w:r>
            <w:r w:rsidRPr="00394D9A">
              <w:rPr>
                <w:b/>
                <w:i/>
                <w:spacing w:val="-7"/>
                <w:szCs w:val="22"/>
                <w:lang w:val="sr-Latn-RS"/>
              </w:rPr>
              <w:t xml:space="preserve"> </w:t>
            </w:r>
            <w:r w:rsidRPr="00394D9A">
              <w:rPr>
                <w:b/>
                <w:i/>
                <w:szCs w:val="22"/>
                <w:lang w:val="sr-Latn-RS"/>
              </w:rPr>
              <w:t>i</w:t>
            </w:r>
            <w:r w:rsidRPr="00394D9A">
              <w:rPr>
                <w:b/>
                <w:i/>
                <w:spacing w:val="-7"/>
                <w:szCs w:val="22"/>
                <w:lang w:val="sr-Latn-RS"/>
              </w:rPr>
              <w:t xml:space="preserve"> </w:t>
            </w:r>
            <w:r w:rsidRPr="00394D9A">
              <w:rPr>
                <w:b/>
                <w:i/>
                <w:szCs w:val="22"/>
                <w:lang w:val="sr-Latn-RS"/>
              </w:rPr>
              <w:t>proceduralne</w:t>
            </w:r>
            <w:r w:rsidRPr="00394D9A">
              <w:rPr>
                <w:b/>
                <w:i/>
                <w:spacing w:val="-5"/>
                <w:szCs w:val="22"/>
                <w:lang w:val="sr-Latn-RS"/>
              </w:rPr>
              <w:t xml:space="preserve"> </w:t>
            </w:r>
            <w:r w:rsidRPr="00394D9A">
              <w:rPr>
                <w:b/>
                <w:i/>
                <w:spacing w:val="-2"/>
                <w:szCs w:val="22"/>
                <w:lang w:val="sr-Latn-RS"/>
              </w:rPr>
              <w:t>komplikacije</w:t>
            </w:r>
          </w:p>
        </w:tc>
      </w:tr>
      <w:tr w:rsidR="00EF2DA9" w:rsidRPr="00394D9A" w14:paraId="1186ACD3" w14:textId="77777777" w:rsidTr="00DF17BA">
        <w:tc>
          <w:tcPr>
            <w:tcW w:w="4160" w:type="dxa"/>
          </w:tcPr>
          <w:p w14:paraId="58D35B71" w14:textId="77777777" w:rsidR="00EF2DA9" w:rsidRPr="00394D9A" w:rsidRDefault="00EF2DA9" w:rsidP="00187D17">
            <w:pPr>
              <w:widowControl w:val="0"/>
              <w:tabs>
                <w:tab w:val="clear" w:pos="284"/>
              </w:tabs>
              <w:autoSpaceDE w:val="0"/>
              <w:autoSpaceDN w:val="0"/>
              <w:ind w:left="292"/>
              <w:jc w:val="left"/>
              <w:rPr>
                <w:szCs w:val="22"/>
                <w:lang w:val="sr-Latn-RS"/>
              </w:rPr>
            </w:pPr>
            <w:r w:rsidRPr="00394D9A">
              <w:rPr>
                <w:szCs w:val="22"/>
                <w:lang w:val="sr-Latn-RS"/>
              </w:rPr>
              <w:t>Traumatska</w:t>
            </w:r>
            <w:r w:rsidRPr="00394D9A">
              <w:rPr>
                <w:spacing w:val="-10"/>
                <w:szCs w:val="22"/>
                <w:lang w:val="sr-Latn-RS"/>
              </w:rPr>
              <w:t xml:space="preserve"> </w:t>
            </w:r>
            <w:r w:rsidRPr="00394D9A">
              <w:rPr>
                <w:spacing w:val="-2"/>
                <w:szCs w:val="22"/>
                <w:lang w:val="sr-Latn-RS"/>
              </w:rPr>
              <w:t>hemoragija</w:t>
            </w:r>
          </w:p>
        </w:tc>
        <w:tc>
          <w:tcPr>
            <w:tcW w:w="4901" w:type="dxa"/>
          </w:tcPr>
          <w:p w14:paraId="3F67F09E" w14:textId="77777777" w:rsidR="00EF2DA9" w:rsidRPr="00394D9A" w:rsidRDefault="00EF2DA9" w:rsidP="00187D17">
            <w:pPr>
              <w:widowControl w:val="0"/>
              <w:tabs>
                <w:tab w:val="clear" w:pos="284"/>
              </w:tabs>
              <w:autoSpaceDE w:val="0"/>
              <w:autoSpaceDN w:val="0"/>
              <w:ind w:left="60" w:right="57"/>
              <w:jc w:val="center"/>
              <w:rPr>
                <w:szCs w:val="22"/>
                <w:lang w:val="sr-Latn-RS"/>
              </w:rPr>
            </w:pPr>
            <w:r w:rsidRPr="00394D9A">
              <w:rPr>
                <w:spacing w:val="-2"/>
                <w:szCs w:val="22"/>
                <w:lang w:val="sr-Latn-RS"/>
              </w:rPr>
              <w:t>povremeno</w:t>
            </w:r>
          </w:p>
        </w:tc>
      </w:tr>
      <w:tr w:rsidR="00EF2DA9" w:rsidRPr="00394D9A" w14:paraId="05CDEBC3" w14:textId="77777777" w:rsidTr="00DF17BA">
        <w:tc>
          <w:tcPr>
            <w:tcW w:w="4160" w:type="dxa"/>
          </w:tcPr>
          <w:p w14:paraId="76A0E2CE" w14:textId="11849446" w:rsidR="00EF2DA9" w:rsidRPr="00394D9A" w:rsidRDefault="00EF2DA9" w:rsidP="00187D17">
            <w:pPr>
              <w:widowControl w:val="0"/>
              <w:tabs>
                <w:tab w:val="clear" w:pos="284"/>
              </w:tabs>
              <w:autoSpaceDE w:val="0"/>
              <w:autoSpaceDN w:val="0"/>
              <w:ind w:left="292"/>
              <w:jc w:val="left"/>
              <w:rPr>
                <w:szCs w:val="22"/>
                <w:lang w:val="sr-Latn-RS"/>
              </w:rPr>
            </w:pPr>
            <w:r w:rsidRPr="00394D9A">
              <w:rPr>
                <w:szCs w:val="22"/>
                <w:lang w:val="sr-Latn-RS"/>
              </w:rPr>
              <w:t>Hemoragija</w:t>
            </w:r>
            <w:r w:rsidRPr="00394D9A">
              <w:rPr>
                <w:spacing w:val="-1"/>
                <w:szCs w:val="22"/>
                <w:lang w:val="sr-Latn-RS"/>
              </w:rPr>
              <w:t xml:space="preserve"> </w:t>
            </w:r>
            <w:r w:rsidRPr="00394D9A">
              <w:rPr>
                <w:szCs w:val="22"/>
                <w:lang w:val="sr-Latn-RS"/>
              </w:rPr>
              <w:t>na</w:t>
            </w:r>
            <w:r w:rsidRPr="00394D9A">
              <w:rPr>
                <w:spacing w:val="-6"/>
                <w:szCs w:val="22"/>
                <w:lang w:val="sr-Latn-RS"/>
              </w:rPr>
              <w:t xml:space="preserve"> </w:t>
            </w:r>
            <w:r w:rsidRPr="00394D9A">
              <w:rPr>
                <w:szCs w:val="22"/>
                <w:lang w:val="sr-Latn-RS"/>
              </w:rPr>
              <w:t>m</w:t>
            </w:r>
            <w:r w:rsidR="00087C29" w:rsidRPr="00394D9A">
              <w:rPr>
                <w:szCs w:val="22"/>
                <w:lang w:val="sr-Latn-RS"/>
              </w:rPr>
              <w:t>j</w:t>
            </w:r>
            <w:r w:rsidRPr="00394D9A">
              <w:rPr>
                <w:szCs w:val="22"/>
                <w:lang w:val="sr-Latn-RS"/>
              </w:rPr>
              <w:t>estu</w:t>
            </w:r>
            <w:r w:rsidRPr="00394D9A">
              <w:rPr>
                <w:spacing w:val="-5"/>
                <w:szCs w:val="22"/>
                <w:lang w:val="sr-Latn-RS"/>
              </w:rPr>
              <w:t xml:space="preserve"> </w:t>
            </w:r>
            <w:r w:rsidRPr="00394D9A">
              <w:rPr>
                <w:spacing w:val="-2"/>
                <w:szCs w:val="22"/>
                <w:lang w:val="sr-Latn-RS"/>
              </w:rPr>
              <w:t>incizije</w:t>
            </w:r>
          </w:p>
        </w:tc>
        <w:tc>
          <w:tcPr>
            <w:tcW w:w="4901" w:type="dxa"/>
          </w:tcPr>
          <w:p w14:paraId="1529F5F8" w14:textId="77777777" w:rsidR="00EF2DA9" w:rsidRPr="00394D9A" w:rsidRDefault="00EF2DA9" w:rsidP="00187D17">
            <w:pPr>
              <w:widowControl w:val="0"/>
              <w:tabs>
                <w:tab w:val="clear" w:pos="284"/>
              </w:tabs>
              <w:autoSpaceDE w:val="0"/>
              <w:autoSpaceDN w:val="0"/>
              <w:ind w:left="66" w:right="57"/>
              <w:jc w:val="center"/>
              <w:rPr>
                <w:szCs w:val="22"/>
                <w:lang w:val="sr-Latn-RS"/>
              </w:rPr>
            </w:pPr>
            <w:r w:rsidRPr="00394D9A">
              <w:rPr>
                <w:spacing w:val="-2"/>
                <w:szCs w:val="22"/>
                <w:lang w:val="sr-Latn-RS"/>
              </w:rPr>
              <w:t>nepoznato</w:t>
            </w:r>
          </w:p>
        </w:tc>
      </w:tr>
    </w:tbl>
    <w:p w14:paraId="0567C13F" w14:textId="77777777" w:rsidR="00774C65" w:rsidRPr="00394D9A" w:rsidRDefault="00774C65" w:rsidP="00187D17">
      <w:pPr>
        <w:widowControl w:val="0"/>
        <w:rPr>
          <w:noProof/>
          <w:szCs w:val="22"/>
          <w:lang w:val="sr-Latn-RS"/>
        </w:rPr>
      </w:pPr>
    </w:p>
    <w:p w14:paraId="4C10BA26" w14:textId="42676D8D" w:rsidR="00FB27B5" w:rsidRPr="00394D9A" w:rsidRDefault="002F2E26" w:rsidP="00187D17">
      <w:pPr>
        <w:widowControl w:val="0"/>
        <w:rPr>
          <w:noProof/>
          <w:szCs w:val="22"/>
          <w:u w:val="single"/>
          <w:lang w:val="sr-Latn-RS"/>
        </w:rPr>
      </w:pPr>
      <w:r w:rsidRPr="00394D9A">
        <w:rPr>
          <w:noProof/>
          <w:szCs w:val="22"/>
          <w:u w:val="single"/>
          <w:lang w:val="sr-Latn-RS"/>
        </w:rPr>
        <w:t xml:space="preserve">Pojave </w:t>
      </w:r>
      <w:r w:rsidR="00FB27B5" w:rsidRPr="00394D9A">
        <w:rPr>
          <w:noProof/>
          <w:szCs w:val="22"/>
          <w:u w:val="single"/>
          <w:lang w:val="sr-Latn-RS"/>
        </w:rPr>
        <w:t>krvarenja</w:t>
      </w:r>
    </w:p>
    <w:p w14:paraId="38C20F68" w14:textId="77777777" w:rsidR="00FB27B5" w:rsidRPr="00394D9A" w:rsidRDefault="00FB27B5" w:rsidP="00187D17">
      <w:pPr>
        <w:widowControl w:val="0"/>
        <w:rPr>
          <w:noProof/>
          <w:szCs w:val="22"/>
          <w:u w:val="single"/>
          <w:lang w:val="sr-Latn-RS"/>
        </w:rPr>
      </w:pPr>
    </w:p>
    <w:p w14:paraId="34F90D33" w14:textId="5435EB7F" w:rsidR="00FB27B5" w:rsidRPr="00394D9A" w:rsidRDefault="00FB27B5" w:rsidP="00187D17">
      <w:pPr>
        <w:widowControl w:val="0"/>
        <w:rPr>
          <w:noProof/>
          <w:szCs w:val="22"/>
          <w:lang w:val="sr-Latn-RS"/>
        </w:rPr>
      </w:pPr>
      <w:r w:rsidRPr="00394D9A">
        <w:rPr>
          <w:noProof/>
          <w:szCs w:val="22"/>
          <w:lang w:val="sr-Latn-RS"/>
        </w:rPr>
        <w:lastRenderedPageBreak/>
        <w:t xml:space="preserve">U dva ispitivanja faze III za indikaciju terapije VTE i prevencije rekurentne VTE kod pedijatrijskih pacijenata, ukupno je 7 pacijenata (2,1 %) imalo događaj obilnog krvarenja, 5 pacijenata (1,5 %) je imalo događaj klinički relevantnog krvarenja koje nije obilno (engl. </w:t>
      </w:r>
      <w:r w:rsidRPr="00394D9A">
        <w:rPr>
          <w:i/>
          <w:noProof/>
          <w:szCs w:val="22"/>
          <w:lang w:val="sr-Latn-RS"/>
        </w:rPr>
        <w:t>Clinically Relevant Non-Major</w:t>
      </w:r>
      <w:r w:rsidRPr="00394D9A">
        <w:rPr>
          <w:noProof/>
          <w:szCs w:val="22"/>
          <w:lang w:val="sr-Latn-RS"/>
        </w:rPr>
        <w:t>), a 75 pacijenata (22,9 %) je imalo događaj manjeg krvarenja. Učestalost događaja krvarenja ukupno je bila veća u grupi najstarijeg uzrasta (12 do &lt; 18 godina: 28,6 %) nego u grupama mlađeg uzrasta (rođenje do</w:t>
      </w:r>
      <w:r w:rsidR="00A76114" w:rsidRPr="00394D9A">
        <w:rPr>
          <w:noProof/>
          <w:szCs w:val="22"/>
          <w:lang w:val="sr-Latn-RS"/>
        </w:rPr>
        <w:t xml:space="preserve"> </w:t>
      </w:r>
      <w:r w:rsidRPr="00394D9A">
        <w:rPr>
          <w:noProof/>
          <w:szCs w:val="22"/>
          <w:lang w:val="sr-Latn-RS"/>
        </w:rPr>
        <w:t>&lt; 2 godine: 23,3 %; 2 do &lt; 12 godina: 16,2 %). Obilno ili teško krvarenje, bez obzira na m</w:t>
      </w:r>
      <w:r w:rsidR="00087C29" w:rsidRPr="00394D9A">
        <w:rPr>
          <w:noProof/>
          <w:szCs w:val="22"/>
          <w:lang w:val="sr-Latn-RS"/>
        </w:rPr>
        <w:t>j</w:t>
      </w:r>
      <w:r w:rsidRPr="00394D9A">
        <w:rPr>
          <w:noProof/>
          <w:szCs w:val="22"/>
          <w:lang w:val="sr-Latn-RS"/>
        </w:rPr>
        <w:t>esto, može dovesti do onesposobljavajućih, opasnih po život ili čak smrtnih ishoda.</w:t>
      </w:r>
    </w:p>
    <w:p w14:paraId="6A090771" w14:textId="77777777" w:rsidR="009E3FC9" w:rsidRPr="00394D9A" w:rsidRDefault="009E3FC9" w:rsidP="00187D17">
      <w:pPr>
        <w:widowControl w:val="0"/>
        <w:rPr>
          <w:noProof/>
          <w:szCs w:val="22"/>
          <w:u w:val="single"/>
          <w:lang w:val="sr-Latn-RS"/>
        </w:rPr>
      </w:pPr>
    </w:p>
    <w:p w14:paraId="71C94C95" w14:textId="77777777" w:rsidR="00523BC9" w:rsidRPr="00394D9A" w:rsidRDefault="00523BC9" w:rsidP="00187D17">
      <w:pPr>
        <w:widowControl w:val="0"/>
        <w:rPr>
          <w:rFonts w:eastAsia="Calibri"/>
          <w:szCs w:val="22"/>
          <w:u w:val="single"/>
          <w:lang w:val="sr-Latn-RS"/>
        </w:rPr>
      </w:pPr>
      <w:r w:rsidRPr="00394D9A">
        <w:rPr>
          <w:rFonts w:eastAsia="Calibri"/>
          <w:szCs w:val="22"/>
          <w:u w:val="single"/>
          <w:lang w:val="sr-Latn-RS"/>
        </w:rPr>
        <w:t>Prijavljivanje sumnji na neželjena dejstva</w:t>
      </w:r>
    </w:p>
    <w:p w14:paraId="528BDB80" w14:textId="77777777" w:rsidR="00523BC9" w:rsidRPr="00394D9A" w:rsidRDefault="00523BC9" w:rsidP="00187D17">
      <w:pPr>
        <w:widowControl w:val="0"/>
        <w:rPr>
          <w:rFonts w:eastAsia="Calibri"/>
          <w:szCs w:val="22"/>
          <w:lang w:val="sr-Latn-RS"/>
        </w:rPr>
      </w:pPr>
      <w:r w:rsidRPr="00394D9A">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A70A294" w14:textId="77777777" w:rsidR="00523BC9" w:rsidRPr="00394D9A" w:rsidRDefault="00523BC9" w:rsidP="00187D17">
      <w:pPr>
        <w:pStyle w:val="NoSpacing"/>
        <w:widowControl w:val="0"/>
        <w:jc w:val="both"/>
        <w:rPr>
          <w:rFonts w:eastAsia="Calibri"/>
          <w:sz w:val="22"/>
          <w:szCs w:val="22"/>
          <w:lang w:val="sr-Latn-RS"/>
        </w:rPr>
      </w:pPr>
      <w:r w:rsidRPr="00394D9A">
        <w:rPr>
          <w:rFonts w:eastAsia="Calibri"/>
          <w:sz w:val="22"/>
          <w:szCs w:val="22"/>
          <w:lang w:val="sr-Latn-RS"/>
        </w:rPr>
        <w:t xml:space="preserve">Institut za ljekove i medicinska sredstva </w:t>
      </w:r>
    </w:p>
    <w:p w14:paraId="2E19E2E1" w14:textId="77777777" w:rsidR="00523BC9" w:rsidRPr="00394D9A" w:rsidRDefault="00523BC9" w:rsidP="00187D17">
      <w:pPr>
        <w:pStyle w:val="NoSpacing"/>
        <w:widowControl w:val="0"/>
        <w:jc w:val="both"/>
        <w:rPr>
          <w:rFonts w:eastAsia="Calibri"/>
          <w:sz w:val="22"/>
          <w:szCs w:val="22"/>
          <w:lang w:val="sr-Latn-RS"/>
        </w:rPr>
      </w:pPr>
      <w:r w:rsidRPr="00394D9A">
        <w:rPr>
          <w:rFonts w:eastAsia="Calibri"/>
          <w:sz w:val="22"/>
          <w:szCs w:val="22"/>
          <w:lang w:val="sr-Latn-RS"/>
        </w:rPr>
        <w:t>Odjeljenje za farmakovigilancu</w:t>
      </w:r>
    </w:p>
    <w:p w14:paraId="3221A6C8" w14:textId="77777777" w:rsidR="00523BC9" w:rsidRPr="00394D9A" w:rsidRDefault="00523BC9" w:rsidP="00187D17">
      <w:pPr>
        <w:pStyle w:val="NoSpacing"/>
        <w:widowControl w:val="0"/>
        <w:jc w:val="both"/>
        <w:rPr>
          <w:rFonts w:eastAsia="Calibri"/>
          <w:sz w:val="22"/>
          <w:szCs w:val="22"/>
          <w:lang w:val="sr-Latn-RS"/>
        </w:rPr>
      </w:pPr>
      <w:r w:rsidRPr="00394D9A">
        <w:rPr>
          <w:rFonts w:eastAsia="Calibri"/>
          <w:sz w:val="22"/>
          <w:szCs w:val="22"/>
          <w:lang w:val="sr-Latn-RS"/>
        </w:rPr>
        <w:t>Bulevar Ivana Crnojevića 64a, 81000 Podgorica</w:t>
      </w:r>
    </w:p>
    <w:p w14:paraId="500826B7" w14:textId="77777777" w:rsidR="00523BC9" w:rsidRPr="00394D9A" w:rsidRDefault="00523BC9" w:rsidP="00187D17">
      <w:pPr>
        <w:pStyle w:val="NoSpacing"/>
        <w:widowControl w:val="0"/>
        <w:rPr>
          <w:rFonts w:eastAsia="Calibri"/>
          <w:sz w:val="22"/>
          <w:szCs w:val="22"/>
          <w:lang w:val="sr-Latn-RS"/>
        </w:rPr>
      </w:pPr>
    </w:p>
    <w:p w14:paraId="63C20F13" w14:textId="77777777" w:rsidR="00523BC9" w:rsidRPr="00394D9A" w:rsidRDefault="00523BC9" w:rsidP="00187D17">
      <w:pPr>
        <w:pStyle w:val="NoSpacing"/>
        <w:widowControl w:val="0"/>
        <w:jc w:val="both"/>
        <w:rPr>
          <w:rFonts w:eastAsia="Calibri"/>
          <w:sz w:val="22"/>
          <w:szCs w:val="22"/>
          <w:lang w:val="sr-Latn-RS"/>
        </w:rPr>
      </w:pPr>
      <w:r w:rsidRPr="00394D9A">
        <w:rPr>
          <w:rFonts w:eastAsia="Calibri"/>
          <w:sz w:val="22"/>
          <w:szCs w:val="22"/>
          <w:lang w:val="sr-Latn-RS"/>
        </w:rPr>
        <w:t>tel: +382 (0) 20 310 280</w:t>
      </w:r>
    </w:p>
    <w:p w14:paraId="26C92884" w14:textId="77777777" w:rsidR="00523BC9" w:rsidRPr="00394D9A" w:rsidRDefault="00523BC9" w:rsidP="00187D17">
      <w:pPr>
        <w:pStyle w:val="NoSpacing"/>
        <w:widowControl w:val="0"/>
        <w:jc w:val="both"/>
        <w:rPr>
          <w:rFonts w:eastAsia="Calibri"/>
          <w:sz w:val="22"/>
          <w:szCs w:val="22"/>
          <w:lang w:val="sr-Latn-RS"/>
        </w:rPr>
      </w:pPr>
      <w:r w:rsidRPr="00394D9A">
        <w:rPr>
          <w:rFonts w:eastAsia="Calibri"/>
          <w:sz w:val="22"/>
          <w:szCs w:val="22"/>
          <w:lang w:val="sr-Latn-RS"/>
        </w:rPr>
        <w:t>fax: +382 (0) 20 310 581</w:t>
      </w:r>
    </w:p>
    <w:p w14:paraId="0E2416EA" w14:textId="77777777" w:rsidR="00523BC9" w:rsidRPr="00394D9A" w:rsidRDefault="00235402" w:rsidP="00187D17">
      <w:pPr>
        <w:pStyle w:val="NoSpacing"/>
        <w:widowControl w:val="0"/>
        <w:jc w:val="both"/>
        <w:rPr>
          <w:rFonts w:eastAsia="Calibri"/>
          <w:sz w:val="22"/>
          <w:szCs w:val="22"/>
          <w:lang w:val="sr-Latn-RS"/>
        </w:rPr>
      </w:pPr>
      <w:hyperlink r:id="rId11" w:history="1">
        <w:r w:rsidR="00523BC9" w:rsidRPr="00394D9A">
          <w:rPr>
            <w:rStyle w:val="Hyperlink"/>
            <w:rFonts w:eastAsia="Calibri"/>
            <w:sz w:val="22"/>
            <w:szCs w:val="22"/>
            <w:lang w:val="sr-Latn-RS"/>
          </w:rPr>
          <w:t>www.cinmed.me</w:t>
        </w:r>
      </w:hyperlink>
    </w:p>
    <w:p w14:paraId="198FC303" w14:textId="77777777" w:rsidR="00523BC9" w:rsidRPr="00394D9A" w:rsidRDefault="00235402" w:rsidP="00187D17">
      <w:pPr>
        <w:pStyle w:val="NoSpacing"/>
        <w:widowControl w:val="0"/>
        <w:jc w:val="both"/>
        <w:rPr>
          <w:rFonts w:eastAsia="Calibri"/>
          <w:color w:val="0000FF"/>
          <w:sz w:val="22"/>
          <w:szCs w:val="22"/>
          <w:u w:val="single"/>
          <w:lang w:val="sr-Latn-RS"/>
        </w:rPr>
      </w:pPr>
      <w:hyperlink r:id="rId12" w:history="1">
        <w:r w:rsidR="00523BC9" w:rsidRPr="00394D9A">
          <w:rPr>
            <w:rStyle w:val="Hyperlink"/>
            <w:rFonts w:eastAsia="Calibri"/>
            <w:sz w:val="22"/>
            <w:szCs w:val="22"/>
            <w:lang w:val="sr-Latn-RS"/>
          </w:rPr>
          <w:t>nezeljenadejstva@cinmed.me</w:t>
        </w:r>
      </w:hyperlink>
    </w:p>
    <w:p w14:paraId="3B38FFD0" w14:textId="19C6FF6D" w:rsidR="00523BC9" w:rsidRPr="00394D9A" w:rsidRDefault="00523BC9" w:rsidP="00187D17">
      <w:pPr>
        <w:pStyle w:val="NoSpacing"/>
        <w:widowControl w:val="0"/>
        <w:jc w:val="both"/>
        <w:rPr>
          <w:rFonts w:eastAsia="Calibri"/>
          <w:sz w:val="22"/>
          <w:szCs w:val="22"/>
          <w:lang w:val="sr-Latn-RS"/>
        </w:rPr>
      </w:pPr>
      <w:r w:rsidRPr="00394D9A">
        <w:rPr>
          <w:rFonts w:eastAsia="Calibri"/>
          <w:sz w:val="22"/>
          <w:szCs w:val="22"/>
          <w:lang w:val="sr-Latn-RS"/>
        </w:rPr>
        <w:t>putem IS zdravstvene zaštite</w:t>
      </w:r>
    </w:p>
    <w:p w14:paraId="65CE4B87" w14:textId="77777777" w:rsidR="00070CEB" w:rsidRPr="00394D9A" w:rsidRDefault="00070CEB" w:rsidP="00187D17">
      <w:pPr>
        <w:pStyle w:val="NoSpacing"/>
        <w:widowControl w:val="0"/>
        <w:jc w:val="both"/>
        <w:rPr>
          <w:rFonts w:eastAsia="Calibri"/>
          <w:sz w:val="22"/>
          <w:szCs w:val="22"/>
          <w:lang w:val="sr-Latn-RS"/>
        </w:rPr>
      </w:pPr>
      <w:r w:rsidRPr="00394D9A">
        <w:rPr>
          <w:rFonts w:eastAsia="Calibri"/>
          <w:sz w:val="22"/>
          <w:szCs w:val="22"/>
          <w:lang w:val="sr-Latn-RS"/>
        </w:rPr>
        <w:t>QR kod za online prijavu sumnje na neželjeno dejstvo lijeka:</w:t>
      </w:r>
    </w:p>
    <w:p w14:paraId="36345F32" w14:textId="77777777" w:rsidR="00070CEB" w:rsidRPr="00394D9A" w:rsidRDefault="00070CEB" w:rsidP="00187D17">
      <w:pPr>
        <w:pStyle w:val="NoSpacing"/>
        <w:widowControl w:val="0"/>
        <w:jc w:val="both"/>
        <w:rPr>
          <w:rFonts w:eastAsia="Calibri"/>
          <w:sz w:val="22"/>
          <w:szCs w:val="22"/>
          <w:lang w:val="sr-Latn-RS"/>
        </w:rPr>
      </w:pPr>
    </w:p>
    <w:p w14:paraId="1234E340" w14:textId="189D97FD" w:rsidR="00070CEB" w:rsidRPr="00394D9A" w:rsidRDefault="00070CEB" w:rsidP="00187D17">
      <w:pPr>
        <w:pStyle w:val="NoSpacing"/>
        <w:widowControl w:val="0"/>
        <w:rPr>
          <w:rFonts w:eastAsia="Calibri"/>
          <w:sz w:val="22"/>
          <w:szCs w:val="22"/>
          <w:lang w:val="sr-Latn-RS"/>
        </w:rPr>
      </w:pPr>
      <w:r w:rsidRPr="00394D9A">
        <w:rPr>
          <w:noProof/>
          <w:sz w:val="22"/>
          <w:szCs w:val="22"/>
        </w:rPr>
        <w:drawing>
          <wp:inline distT="0" distB="0" distL="0" distR="0" wp14:anchorId="3C8F7027" wp14:editId="3454145A">
            <wp:extent cx="965200" cy="965200"/>
            <wp:effectExtent l="0" t="0" r="0" b="0"/>
            <wp:docPr id="1" name="Picture 1"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5200" cy="965200"/>
                    </a:xfrm>
                    <a:prstGeom prst="rect">
                      <a:avLst/>
                    </a:prstGeom>
                    <a:noFill/>
                    <a:ln>
                      <a:noFill/>
                    </a:ln>
                  </pic:spPr>
                </pic:pic>
              </a:graphicData>
            </a:graphic>
          </wp:inline>
        </w:drawing>
      </w:r>
    </w:p>
    <w:p w14:paraId="1E0FBA24" w14:textId="77777777" w:rsidR="00CE09F3" w:rsidRPr="00394D9A" w:rsidRDefault="00CE09F3" w:rsidP="00187D17">
      <w:pPr>
        <w:widowControl w:val="0"/>
        <w:rPr>
          <w:szCs w:val="22"/>
          <w:lang w:val="sr-Latn-RS"/>
        </w:rPr>
      </w:pPr>
    </w:p>
    <w:p w14:paraId="602569C3" w14:textId="77777777" w:rsidR="00F93526" w:rsidRPr="00394D9A" w:rsidRDefault="00F93526" w:rsidP="00187D17">
      <w:pPr>
        <w:widowControl w:val="0"/>
        <w:tabs>
          <w:tab w:val="clear" w:pos="284"/>
          <w:tab w:val="left" w:pos="540"/>
          <w:tab w:val="left" w:pos="569"/>
        </w:tabs>
        <w:jc w:val="left"/>
        <w:rPr>
          <w:b/>
          <w:bCs/>
          <w:szCs w:val="22"/>
          <w:lang w:val="sr-Latn-RS"/>
        </w:rPr>
      </w:pPr>
      <w:r w:rsidRPr="00394D9A">
        <w:rPr>
          <w:b/>
          <w:bCs/>
          <w:szCs w:val="22"/>
          <w:lang w:val="sr-Latn-RS"/>
        </w:rPr>
        <w:t xml:space="preserve">4.9. </w:t>
      </w:r>
      <w:r w:rsidRPr="00394D9A">
        <w:rPr>
          <w:b/>
          <w:bCs/>
          <w:szCs w:val="22"/>
          <w:lang w:val="sr-Latn-RS"/>
        </w:rPr>
        <w:tab/>
        <w:t xml:space="preserve">Predoziranje </w:t>
      </w:r>
    </w:p>
    <w:p w14:paraId="201796EB" w14:textId="77777777" w:rsidR="00CE09F3" w:rsidRPr="00394D9A" w:rsidRDefault="00CE09F3" w:rsidP="00187D17">
      <w:pPr>
        <w:widowControl w:val="0"/>
        <w:rPr>
          <w:szCs w:val="22"/>
          <w:lang w:val="sr-Latn-RS"/>
        </w:rPr>
      </w:pPr>
    </w:p>
    <w:p w14:paraId="460247FD" w14:textId="36B42978" w:rsidR="00916215" w:rsidRPr="00394D9A" w:rsidRDefault="00916215" w:rsidP="00187D17">
      <w:pPr>
        <w:widowControl w:val="0"/>
        <w:rPr>
          <w:szCs w:val="22"/>
          <w:lang w:val="sr-Latn-RS"/>
        </w:rPr>
      </w:pPr>
      <w:r w:rsidRPr="00394D9A">
        <w:rPr>
          <w:szCs w:val="22"/>
          <w:lang w:val="sr-Latn-RS"/>
        </w:rPr>
        <w:t xml:space="preserve">Doze </w:t>
      </w:r>
      <w:r w:rsidR="00A639DA" w:rsidRPr="00394D9A">
        <w:rPr>
          <w:szCs w:val="22"/>
          <w:lang w:val="sr-Latn-RS"/>
        </w:rPr>
        <w:t>lijeka</w:t>
      </w:r>
      <w:r w:rsidRPr="00394D9A">
        <w:rPr>
          <w:szCs w:val="22"/>
          <w:lang w:val="sr-Latn-RS"/>
        </w:rPr>
        <w:t xml:space="preserve"> </w:t>
      </w:r>
      <w:r w:rsidR="00392B54" w:rsidRPr="00394D9A">
        <w:rPr>
          <w:szCs w:val="22"/>
          <w:lang w:val="sr-Latn-RS"/>
        </w:rPr>
        <w:t>Dabigatran SK</w:t>
      </w:r>
      <w:r w:rsidRPr="00394D9A">
        <w:rPr>
          <w:szCs w:val="22"/>
          <w:lang w:val="sr-Latn-RS"/>
        </w:rPr>
        <w:t xml:space="preserve"> koje premašuju preporučene doze izlažu pacijenta povećanom riziku od krvarenja.</w:t>
      </w:r>
      <w:r w:rsidR="00392B54" w:rsidRPr="00394D9A">
        <w:rPr>
          <w:szCs w:val="22"/>
          <w:lang w:val="sr-Latn-RS"/>
        </w:rPr>
        <w:t xml:space="preserve"> </w:t>
      </w:r>
    </w:p>
    <w:p w14:paraId="1743D977" w14:textId="77777777" w:rsidR="00392B54" w:rsidRPr="00394D9A" w:rsidRDefault="00392B54" w:rsidP="00187D17">
      <w:pPr>
        <w:widowControl w:val="0"/>
        <w:rPr>
          <w:szCs w:val="22"/>
          <w:lang w:val="sr-Latn-RS"/>
        </w:rPr>
      </w:pPr>
    </w:p>
    <w:p w14:paraId="1929B126" w14:textId="7A58D6FD" w:rsidR="00916215" w:rsidRPr="00394D9A" w:rsidRDefault="00916215" w:rsidP="00187D17">
      <w:pPr>
        <w:widowControl w:val="0"/>
        <w:rPr>
          <w:szCs w:val="22"/>
          <w:lang w:val="sr-Latn-RS"/>
        </w:rPr>
      </w:pPr>
      <w:r w:rsidRPr="00394D9A">
        <w:rPr>
          <w:szCs w:val="22"/>
          <w:lang w:val="sr-Latn-RS"/>
        </w:rPr>
        <w:t>U slučaju sumnje na predoziranje, koagulacioni testovi mogu da pomognu da se odredi rizik za krvarenje</w:t>
      </w:r>
      <w:r w:rsidR="00392B54" w:rsidRPr="00394D9A">
        <w:rPr>
          <w:szCs w:val="22"/>
          <w:lang w:val="sr-Latn-RS"/>
        </w:rPr>
        <w:t xml:space="preserve"> </w:t>
      </w:r>
      <w:r w:rsidRPr="00394D9A">
        <w:rPr>
          <w:szCs w:val="22"/>
          <w:lang w:val="sr-Latn-RS"/>
        </w:rPr>
        <w:t>(</w:t>
      </w:r>
      <w:r w:rsidR="002F2E26" w:rsidRPr="00394D9A">
        <w:rPr>
          <w:szCs w:val="22"/>
          <w:lang w:val="sr-Latn-RS"/>
        </w:rPr>
        <w:t xml:space="preserve">vidjeti </w:t>
      </w:r>
      <w:r w:rsidR="00D7145C" w:rsidRPr="00394D9A">
        <w:rPr>
          <w:szCs w:val="22"/>
          <w:lang w:val="sr-Latn-RS"/>
        </w:rPr>
        <w:t>djelove</w:t>
      </w:r>
      <w:r w:rsidRPr="00394D9A">
        <w:rPr>
          <w:szCs w:val="22"/>
          <w:lang w:val="sr-Latn-RS"/>
        </w:rPr>
        <w:t xml:space="preserve"> 4.4 i 5.1). Kalibrisani kvantitativni dTT test ili repetitivna dTT m</w:t>
      </w:r>
      <w:r w:rsidR="006561D1" w:rsidRPr="00394D9A">
        <w:rPr>
          <w:szCs w:val="22"/>
          <w:lang w:val="sr-Latn-RS"/>
        </w:rPr>
        <w:t>j</w:t>
      </w:r>
      <w:r w:rsidRPr="00394D9A">
        <w:rPr>
          <w:szCs w:val="22"/>
          <w:lang w:val="sr-Latn-RS"/>
        </w:rPr>
        <w:t>erenja dozvoljavaju</w:t>
      </w:r>
      <w:r w:rsidR="00392B54" w:rsidRPr="00394D9A">
        <w:rPr>
          <w:szCs w:val="22"/>
          <w:lang w:val="sr-Latn-RS"/>
        </w:rPr>
        <w:t xml:space="preserve"> </w:t>
      </w:r>
      <w:r w:rsidRPr="00394D9A">
        <w:rPr>
          <w:szCs w:val="22"/>
          <w:lang w:val="sr-Latn-RS"/>
        </w:rPr>
        <w:t xml:space="preserve">predviđanje </w:t>
      </w:r>
      <w:r w:rsidR="00BD52DD" w:rsidRPr="00394D9A">
        <w:rPr>
          <w:szCs w:val="22"/>
          <w:lang w:val="sr-Latn-RS"/>
        </w:rPr>
        <w:t>vreme</w:t>
      </w:r>
      <w:r w:rsidRPr="00394D9A">
        <w:rPr>
          <w:szCs w:val="22"/>
          <w:lang w:val="sr-Latn-RS"/>
        </w:rPr>
        <w:t>na kada određeni nivoi dabigatrana mogu da budu postignuti (</w:t>
      </w:r>
      <w:r w:rsidR="002F2E26" w:rsidRPr="00394D9A">
        <w:rPr>
          <w:szCs w:val="22"/>
          <w:lang w:val="sr-Latn-RS"/>
        </w:rPr>
        <w:t xml:space="preserve">vidjeti </w:t>
      </w:r>
      <w:r w:rsidR="00D7145C" w:rsidRPr="00394D9A">
        <w:rPr>
          <w:szCs w:val="22"/>
          <w:lang w:val="sr-Latn-RS"/>
        </w:rPr>
        <w:t>dio</w:t>
      </w:r>
      <w:r w:rsidRPr="00394D9A">
        <w:rPr>
          <w:szCs w:val="22"/>
          <w:lang w:val="sr-Latn-RS"/>
        </w:rPr>
        <w:t xml:space="preserve"> 5.1),</w:t>
      </w:r>
      <w:r w:rsidR="00392B54" w:rsidRPr="00394D9A">
        <w:rPr>
          <w:szCs w:val="22"/>
          <w:lang w:val="sr-Latn-RS"/>
        </w:rPr>
        <w:t xml:space="preserve"> </w:t>
      </w:r>
      <w:r w:rsidRPr="00394D9A">
        <w:rPr>
          <w:szCs w:val="22"/>
          <w:lang w:val="sr-Latn-RS"/>
        </w:rPr>
        <w:t>takođe u slučaju da budu započete dodatne m</w:t>
      </w:r>
      <w:r w:rsidR="006561D1" w:rsidRPr="00394D9A">
        <w:rPr>
          <w:szCs w:val="22"/>
          <w:lang w:val="sr-Latn-RS"/>
        </w:rPr>
        <w:t>j</w:t>
      </w:r>
      <w:r w:rsidRPr="00394D9A">
        <w:rPr>
          <w:szCs w:val="22"/>
          <w:lang w:val="sr-Latn-RS"/>
        </w:rPr>
        <w:t>ere npr. dijaliza.</w:t>
      </w:r>
    </w:p>
    <w:p w14:paraId="407CAD2F" w14:textId="77777777" w:rsidR="00392B54" w:rsidRPr="00394D9A" w:rsidRDefault="00392B54" w:rsidP="00187D17">
      <w:pPr>
        <w:widowControl w:val="0"/>
        <w:rPr>
          <w:szCs w:val="22"/>
          <w:lang w:val="sr-Latn-RS"/>
        </w:rPr>
      </w:pPr>
    </w:p>
    <w:p w14:paraId="6D154349" w14:textId="59274802" w:rsidR="00916215" w:rsidRPr="00394D9A" w:rsidRDefault="00916215" w:rsidP="00187D17">
      <w:pPr>
        <w:widowControl w:val="0"/>
        <w:rPr>
          <w:szCs w:val="22"/>
          <w:lang w:val="sr-Latn-RS"/>
        </w:rPr>
      </w:pPr>
      <w:r w:rsidRPr="00394D9A">
        <w:rPr>
          <w:szCs w:val="22"/>
          <w:lang w:val="sr-Latn-RS"/>
        </w:rPr>
        <w:t>Prekom</w:t>
      </w:r>
      <w:r w:rsidR="006561D1" w:rsidRPr="00394D9A">
        <w:rPr>
          <w:szCs w:val="22"/>
          <w:lang w:val="sr-Latn-RS"/>
        </w:rPr>
        <w:t>j</w:t>
      </w:r>
      <w:r w:rsidRPr="00394D9A">
        <w:rPr>
          <w:szCs w:val="22"/>
          <w:lang w:val="sr-Latn-RS"/>
        </w:rPr>
        <w:t>erna inhibicija koagulacije može da zaht</w:t>
      </w:r>
      <w:r w:rsidR="00087C29" w:rsidRPr="00394D9A">
        <w:rPr>
          <w:szCs w:val="22"/>
          <w:lang w:val="sr-Latn-RS"/>
        </w:rPr>
        <w:t>i</w:t>
      </w:r>
      <w:r w:rsidR="006561D1" w:rsidRPr="00394D9A">
        <w:rPr>
          <w:szCs w:val="22"/>
          <w:lang w:val="sr-Latn-RS"/>
        </w:rPr>
        <w:t>j</w:t>
      </w:r>
      <w:r w:rsidRPr="00394D9A">
        <w:rPr>
          <w:szCs w:val="22"/>
          <w:lang w:val="sr-Latn-RS"/>
        </w:rPr>
        <w:t xml:space="preserve">eva prekid terapije </w:t>
      </w:r>
      <w:r w:rsidR="00A639DA" w:rsidRPr="00394D9A">
        <w:rPr>
          <w:szCs w:val="22"/>
          <w:lang w:val="sr-Latn-RS"/>
        </w:rPr>
        <w:t>lijekom</w:t>
      </w:r>
      <w:r w:rsidRPr="00394D9A">
        <w:rPr>
          <w:szCs w:val="22"/>
          <w:lang w:val="sr-Latn-RS"/>
        </w:rPr>
        <w:t xml:space="preserve"> </w:t>
      </w:r>
      <w:r w:rsidR="00392B54" w:rsidRPr="00394D9A">
        <w:rPr>
          <w:szCs w:val="22"/>
          <w:lang w:val="sr-Latn-RS"/>
        </w:rPr>
        <w:t>Dabigatran SK</w:t>
      </w:r>
      <w:r w:rsidRPr="00394D9A">
        <w:rPr>
          <w:szCs w:val="22"/>
          <w:lang w:val="sr-Latn-RS"/>
        </w:rPr>
        <w:t xml:space="preserve">. </w:t>
      </w:r>
      <w:r w:rsidR="00826E8C" w:rsidRPr="00394D9A">
        <w:rPr>
          <w:szCs w:val="22"/>
          <w:lang w:val="sr-Latn-RS"/>
        </w:rPr>
        <w:t xml:space="preserve">S </w:t>
      </w:r>
      <w:r w:rsidRPr="00394D9A">
        <w:rPr>
          <w:szCs w:val="22"/>
          <w:lang w:val="sr-Latn-RS"/>
        </w:rPr>
        <w:t>obzirom</w:t>
      </w:r>
      <w:r w:rsidR="00087C29" w:rsidRPr="00394D9A">
        <w:rPr>
          <w:szCs w:val="22"/>
          <w:lang w:val="sr-Latn-RS"/>
        </w:rPr>
        <w:t xml:space="preserve"> </w:t>
      </w:r>
      <w:r w:rsidRPr="00394D9A">
        <w:rPr>
          <w:szCs w:val="22"/>
          <w:lang w:val="sr-Latn-RS"/>
        </w:rPr>
        <w:t>da se</w:t>
      </w:r>
      <w:r w:rsidR="00392B54" w:rsidRPr="00394D9A">
        <w:rPr>
          <w:szCs w:val="22"/>
          <w:lang w:val="sr-Latn-RS"/>
        </w:rPr>
        <w:t xml:space="preserve"> </w:t>
      </w:r>
      <w:r w:rsidRPr="00394D9A">
        <w:rPr>
          <w:szCs w:val="22"/>
          <w:lang w:val="sr-Latn-RS"/>
        </w:rPr>
        <w:t>dabigatran izlučuje uglavnom putem bubrega, mora se održavati odgovarajuća diureza. Kako je vezivanje</w:t>
      </w:r>
      <w:r w:rsidR="00392B54" w:rsidRPr="00394D9A">
        <w:rPr>
          <w:szCs w:val="22"/>
          <w:lang w:val="sr-Latn-RS"/>
        </w:rPr>
        <w:t xml:space="preserve"> </w:t>
      </w:r>
      <w:r w:rsidRPr="00394D9A">
        <w:rPr>
          <w:szCs w:val="22"/>
          <w:lang w:val="sr-Latn-RS"/>
        </w:rPr>
        <w:t xml:space="preserve">za proteine malo, dabigatran može da bude dijaliziran; kliničko iskustvo </w:t>
      </w:r>
      <w:r w:rsidR="00FD3089" w:rsidRPr="00394D9A">
        <w:rPr>
          <w:szCs w:val="22"/>
          <w:lang w:val="sr-Latn-RS"/>
        </w:rPr>
        <w:t>o</w:t>
      </w:r>
      <w:r w:rsidR="00392B54" w:rsidRPr="00394D9A">
        <w:rPr>
          <w:szCs w:val="22"/>
          <w:lang w:val="sr-Latn-RS"/>
        </w:rPr>
        <w:t xml:space="preserve"> </w:t>
      </w:r>
      <w:r w:rsidRPr="00394D9A">
        <w:rPr>
          <w:szCs w:val="22"/>
          <w:lang w:val="sr-Latn-RS"/>
        </w:rPr>
        <w:t>koris</w:t>
      </w:r>
      <w:r w:rsidR="00FD3089" w:rsidRPr="00394D9A">
        <w:rPr>
          <w:szCs w:val="22"/>
          <w:lang w:val="sr-Latn-RS"/>
        </w:rPr>
        <w:t>ti</w:t>
      </w:r>
      <w:r w:rsidRPr="00394D9A">
        <w:rPr>
          <w:szCs w:val="22"/>
          <w:lang w:val="sr-Latn-RS"/>
        </w:rPr>
        <w:t xml:space="preserve"> ovog pristupa </w:t>
      </w:r>
      <w:r w:rsidR="00FD3089" w:rsidRPr="00394D9A">
        <w:rPr>
          <w:szCs w:val="22"/>
          <w:lang w:val="sr-Latn-RS"/>
        </w:rPr>
        <w:t xml:space="preserve">iz </w:t>
      </w:r>
      <w:r w:rsidRPr="00394D9A">
        <w:rPr>
          <w:szCs w:val="22"/>
          <w:lang w:val="sr-Latn-RS"/>
        </w:rPr>
        <w:t>klinički</w:t>
      </w:r>
      <w:r w:rsidR="00FD3089" w:rsidRPr="00394D9A">
        <w:rPr>
          <w:szCs w:val="22"/>
          <w:lang w:val="sr-Latn-RS"/>
        </w:rPr>
        <w:t>h</w:t>
      </w:r>
      <w:r w:rsidRPr="00394D9A">
        <w:rPr>
          <w:szCs w:val="22"/>
          <w:lang w:val="sr-Latn-RS"/>
        </w:rPr>
        <w:t xml:space="preserve"> ispitivanj</w:t>
      </w:r>
      <w:r w:rsidR="00FD3089" w:rsidRPr="00394D9A">
        <w:rPr>
          <w:szCs w:val="22"/>
          <w:lang w:val="sr-Latn-RS"/>
        </w:rPr>
        <w:t>a je ograničeno</w:t>
      </w:r>
      <w:r w:rsidRPr="00394D9A">
        <w:rPr>
          <w:szCs w:val="22"/>
          <w:lang w:val="sr-Latn-RS"/>
        </w:rPr>
        <w:t xml:space="preserve"> (</w:t>
      </w:r>
      <w:r w:rsidR="002F2E26" w:rsidRPr="00394D9A">
        <w:rPr>
          <w:szCs w:val="22"/>
          <w:lang w:val="sr-Latn-RS"/>
        </w:rPr>
        <w:t xml:space="preserve">vidjeti </w:t>
      </w:r>
      <w:r w:rsidR="00D7145C" w:rsidRPr="00394D9A">
        <w:rPr>
          <w:szCs w:val="22"/>
          <w:lang w:val="sr-Latn-RS"/>
        </w:rPr>
        <w:t>dio</w:t>
      </w:r>
      <w:r w:rsidRPr="00394D9A">
        <w:rPr>
          <w:szCs w:val="22"/>
          <w:lang w:val="sr-Latn-RS"/>
        </w:rPr>
        <w:t xml:space="preserve"> 5.2).</w:t>
      </w:r>
    </w:p>
    <w:p w14:paraId="79484B49" w14:textId="77777777" w:rsidR="00392B54" w:rsidRPr="00394D9A" w:rsidRDefault="00392B54" w:rsidP="00187D17">
      <w:pPr>
        <w:widowControl w:val="0"/>
        <w:rPr>
          <w:szCs w:val="22"/>
          <w:lang w:val="sr-Latn-RS"/>
        </w:rPr>
      </w:pPr>
    </w:p>
    <w:p w14:paraId="63C32F85" w14:textId="657D3351" w:rsidR="00916215" w:rsidRPr="00394D9A" w:rsidRDefault="00916215" w:rsidP="00187D17">
      <w:pPr>
        <w:widowControl w:val="0"/>
        <w:rPr>
          <w:szCs w:val="22"/>
          <w:u w:val="single"/>
          <w:lang w:val="sr-Latn-RS"/>
        </w:rPr>
      </w:pPr>
      <w:r w:rsidRPr="00394D9A">
        <w:rPr>
          <w:szCs w:val="22"/>
          <w:u w:val="single"/>
          <w:lang w:val="sr-Latn-RS"/>
        </w:rPr>
        <w:t>Zbrinjavanje komplikacija krvarenja</w:t>
      </w:r>
    </w:p>
    <w:p w14:paraId="0F2697C0" w14:textId="77777777" w:rsidR="00392B54" w:rsidRPr="00394D9A" w:rsidRDefault="00392B54" w:rsidP="00187D17">
      <w:pPr>
        <w:widowControl w:val="0"/>
        <w:rPr>
          <w:szCs w:val="22"/>
          <w:lang w:val="sr-Latn-RS"/>
        </w:rPr>
      </w:pPr>
    </w:p>
    <w:p w14:paraId="7937F8B7" w14:textId="054EB5FA" w:rsidR="00916215" w:rsidRPr="00394D9A" w:rsidRDefault="00916215" w:rsidP="00187D17">
      <w:pPr>
        <w:widowControl w:val="0"/>
        <w:rPr>
          <w:szCs w:val="22"/>
          <w:lang w:val="sr-Latn-RS"/>
        </w:rPr>
      </w:pPr>
      <w:r w:rsidRPr="00394D9A">
        <w:rPr>
          <w:szCs w:val="22"/>
          <w:lang w:val="sr-Latn-RS"/>
        </w:rPr>
        <w:t xml:space="preserve">U slučaju hemoragijskih komplikacija, terapija </w:t>
      </w:r>
      <w:r w:rsidR="00A639DA" w:rsidRPr="00394D9A">
        <w:rPr>
          <w:szCs w:val="22"/>
          <w:lang w:val="sr-Latn-RS"/>
        </w:rPr>
        <w:t>lijekom</w:t>
      </w:r>
      <w:r w:rsidRPr="00394D9A">
        <w:rPr>
          <w:szCs w:val="22"/>
          <w:lang w:val="sr-Latn-RS"/>
        </w:rPr>
        <w:t xml:space="preserve"> </w:t>
      </w:r>
      <w:r w:rsidR="00392B54" w:rsidRPr="00394D9A">
        <w:rPr>
          <w:szCs w:val="22"/>
          <w:lang w:val="sr-Latn-RS"/>
        </w:rPr>
        <w:t>Dabigatran SK</w:t>
      </w:r>
      <w:r w:rsidRPr="00394D9A">
        <w:rPr>
          <w:szCs w:val="22"/>
          <w:lang w:val="sr-Latn-RS"/>
        </w:rPr>
        <w:t xml:space="preserve"> mora da se prekine, a izvor krvarenja mora</w:t>
      </w:r>
      <w:r w:rsidR="00392B54" w:rsidRPr="00394D9A">
        <w:rPr>
          <w:szCs w:val="22"/>
          <w:lang w:val="sr-Latn-RS"/>
        </w:rPr>
        <w:t xml:space="preserve"> </w:t>
      </w:r>
      <w:r w:rsidRPr="00394D9A">
        <w:rPr>
          <w:szCs w:val="22"/>
          <w:lang w:val="sr-Latn-RS"/>
        </w:rPr>
        <w:t xml:space="preserve">da se ispita. Zavisno od kliničke situacije, treba razmotriti uvođenje odgovarajuće terapije tj. </w:t>
      </w:r>
      <w:r w:rsidR="00FD3089" w:rsidRPr="00394D9A">
        <w:rPr>
          <w:szCs w:val="22"/>
          <w:lang w:val="sr-Latn-RS"/>
        </w:rPr>
        <w:t>h</w:t>
      </w:r>
      <w:r w:rsidRPr="00394D9A">
        <w:rPr>
          <w:szCs w:val="22"/>
          <w:lang w:val="sr-Latn-RS"/>
        </w:rPr>
        <w:t>iruršku</w:t>
      </w:r>
      <w:r w:rsidR="00392B54" w:rsidRPr="00394D9A">
        <w:rPr>
          <w:szCs w:val="22"/>
          <w:lang w:val="sr-Latn-RS"/>
        </w:rPr>
        <w:t xml:space="preserve"> </w:t>
      </w:r>
      <w:r w:rsidRPr="00394D9A">
        <w:rPr>
          <w:szCs w:val="22"/>
          <w:lang w:val="sr-Latn-RS"/>
        </w:rPr>
        <w:t>hemostazu ili nadoknadu volumena krvi, prema uputstvu propisivača.</w:t>
      </w:r>
    </w:p>
    <w:p w14:paraId="30904E4C" w14:textId="77777777" w:rsidR="00392B54" w:rsidRPr="00394D9A" w:rsidRDefault="00392B54" w:rsidP="00187D17">
      <w:pPr>
        <w:widowControl w:val="0"/>
        <w:rPr>
          <w:szCs w:val="22"/>
          <w:lang w:val="sr-Latn-RS"/>
        </w:rPr>
      </w:pPr>
    </w:p>
    <w:p w14:paraId="7819E77F" w14:textId="2733AEB1" w:rsidR="00916215" w:rsidRPr="00394D9A" w:rsidRDefault="002F2E26" w:rsidP="00187D17">
      <w:pPr>
        <w:widowControl w:val="0"/>
        <w:rPr>
          <w:szCs w:val="22"/>
          <w:lang w:val="sr-Latn-RS"/>
        </w:rPr>
      </w:pPr>
      <w:r w:rsidRPr="00394D9A">
        <w:rPr>
          <w:szCs w:val="22"/>
          <w:lang w:val="sr-Latn-RS"/>
        </w:rPr>
        <w:t>Za odrasle pacijente u</w:t>
      </w:r>
      <w:r w:rsidR="00916215" w:rsidRPr="00394D9A">
        <w:rPr>
          <w:szCs w:val="22"/>
          <w:lang w:val="sr-Latn-RS"/>
        </w:rPr>
        <w:t xml:space="preserve"> situacijama kada je potrebno brzo poništavanje antikoagulantnog dejstva </w:t>
      </w:r>
      <w:r w:rsidR="00A639DA" w:rsidRPr="00394D9A">
        <w:rPr>
          <w:szCs w:val="22"/>
          <w:lang w:val="sr-Latn-RS"/>
        </w:rPr>
        <w:t>lijeka</w:t>
      </w:r>
      <w:r w:rsidR="00916215" w:rsidRPr="00394D9A">
        <w:rPr>
          <w:szCs w:val="22"/>
          <w:lang w:val="sr-Latn-RS"/>
        </w:rPr>
        <w:t xml:space="preserve"> </w:t>
      </w:r>
      <w:r w:rsidR="00392B54" w:rsidRPr="00394D9A">
        <w:rPr>
          <w:szCs w:val="22"/>
          <w:lang w:val="sr-Latn-RS"/>
        </w:rPr>
        <w:t>D</w:t>
      </w:r>
      <w:r w:rsidR="00916215" w:rsidRPr="00394D9A">
        <w:rPr>
          <w:szCs w:val="22"/>
          <w:lang w:val="sr-Latn-RS"/>
        </w:rPr>
        <w:t>a</w:t>
      </w:r>
      <w:r w:rsidR="00392B54" w:rsidRPr="00394D9A">
        <w:rPr>
          <w:szCs w:val="22"/>
          <w:lang w:val="sr-Latn-RS"/>
        </w:rPr>
        <w:t>bigatran SK</w:t>
      </w:r>
      <w:r w:rsidR="00916215" w:rsidRPr="00394D9A">
        <w:rPr>
          <w:szCs w:val="22"/>
          <w:lang w:val="sr-Latn-RS"/>
        </w:rPr>
        <w:t>, dostupan je</w:t>
      </w:r>
      <w:r w:rsidR="00392B54" w:rsidRPr="00394D9A">
        <w:rPr>
          <w:szCs w:val="22"/>
          <w:lang w:val="sr-Latn-RS"/>
        </w:rPr>
        <w:t xml:space="preserve"> </w:t>
      </w:r>
      <w:r w:rsidR="00916215" w:rsidRPr="00394D9A">
        <w:rPr>
          <w:szCs w:val="22"/>
          <w:lang w:val="sr-Latn-RS"/>
        </w:rPr>
        <w:t xml:space="preserve">specifičan antagonist (idarucizumab) koji antagonizuje farmakodinamski efekat </w:t>
      </w:r>
      <w:r w:rsidR="00A639DA" w:rsidRPr="00394D9A">
        <w:rPr>
          <w:szCs w:val="22"/>
          <w:lang w:val="sr-Latn-RS"/>
        </w:rPr>
        <w:t>lijeka</w:t>
      </w:r>
      <w:r w:rsidR="00C22D18" w:rsidRPr="00C22D18">
        <w:rPr>
          <w:szCs w:val="22"/>
          <w:lang w:val="sr-Latn-RS"/>
        </w:rPr>
        <w:t>. Efikasnost i bezbjednost idarucizumaba nije ustanovljena kod pedijatrijskih pacijena</w:t>
      </w:r>
      <w:r w:rsidR="00916215" w:rsidRPr="00394D9A">
        <w:rPr>
          <w:szCs w:val="22"/>
          <w:lang w:val="sr-Latn-RS"/>
        </w:rPr>
        <w:t xml:space="preserve"> </w:t>
      </w:r>
      <w:r w:rsidR="00392B54" w:rsidRPr="00394D9A">
        <w:rPr>
          <w:szCs w:val="22"/>
          <w:lang w:val="sr-Latn-RS"/>
        </w:rPr>
        <w:t xml:space="preserve">Dabigatran SK </w:t>
      </w:r>
      <w:r w:rsidR="00916215" w:rsidRPr="00394D9A">
        <w:rPr>
          <w:szCs w:val="22"/>
          <w:lang w:val="sr-Latn-RS"/>
        </w:rPr>
        <w:t>(</w:t>
      </w:r>
      <w:r w:rsidRPr="00394D9A">
        <w:rPr>
          <w:szCs w:val="22"/>
          <w:lang w:val="sr-Latn-RS"/>
        </w:rPr>
        <w:t xml:space="preserve">vidjeti </w:t>
      </w:r>
      <w:r w:rsidR="00D7145C" w:rsidRPr="00394D9A">
        <w:rPr>
          <w:szCs w:val="22"/>
          <w:lang w:val="sr-Latn-RS"/>
        </w:rPr>
        <w:t>dio</w:t>
      </w:r>
      <w:r w:rsidR="00916215" w:rsidRPr="00394D9A">
        <w:rPr>
          <w:szCs w:val="22"/>
          <w:lang w:val="sr-Latn-RS"/>
        </w:rPr>
        <w:t xml:space="preserve"> 4.4).</w:t>
      </w:r>
    </w:p>
    <w:p w14:paraId="35312D4C" w14:textId="77777777" w:rsidR="00392B54" w:rsidRPr="00394D9A" w:rsidRDefault="00392B54" w:rsidP="00187D17">
      <w:pPr>
        <w:widowControl w:val="0"/>
        <w:rPr>
          <w:szCs w:val="22"/>
          <w:lang w:val="sr-Latn-RS"/>
        </w:rPr>
      </w:pPr>
    </w:p>
    <w:p w14:paraId="017869D5" w14:textId="056F8AAB" w:rsidR="00916215" w:rsidRPr="00394D9A" w:rsidRDefault="00916215" w:rsidP="00187D17">
      <w:pPr>
        <w:widowControl w:val="0"/>
        <w:rPr>
          <w:szCs w:val="22"/>
          <w:lang w:val="sr-Latn-RS"/>
        </w:rPr>
      </w:pPr>
      <w:r w:rsidRPr="00394D9A">
        <w:rPr>
          <w:szCs w:val="22"/>
          <w:lang w:val="sr-Latn-RS"/>
        </w:rPr>
        <w:t xml:space="preserve">Mogu se uzeti u </w:t>
      </w:r>
      <w:r w:rsidR="00FD3089" w:rsidRPr="00394D9A">
        <w:rPr>
          <w:szCs w:val="22"/>
          <w:lang w:val="sr-Latn-RS"/>
        </w:rPr>
        <w:t>razmatranje</w:t>
      </w:r>
      <w:r w:rsidRPr="00394D9A">
        <w:rPr>
          <w:szCs w:val="22"/>
          <w:lang w:val="sr-Latn-RS"/>
        </w:rPr>
        <w:t xml:space="preserve"> koncentrati faktora koagulacije (aktivirani ili neaktivirani) ili</w:t>
      </w:r>
      <w:r w:rsidR="00187D17">
        <w:rPr>
          <w:szCs w:val="22"/>
          <w:lang w:val="sr-Latn-RS"/>
        </w:rPr>
        <w:t xml:space="preserve"> </w:t>
      </w:r>
      <w:r w:rsidRPr="00394D9A">
        <w:rPr>
          <w:szCs w:val="22"/>
          <w:lang w:val="sr-Latn-RS"/>
        </w:rPr>
        <w:lastRenderedPageBreak/>
        <w:t>rekombinantni Faktor</w:t>
      </w:r>
      <w:r w:rsidR="00392B54" w:rsidRPr="00394D9A">
        <w:rPr>
          <w:szCs w:val="22"/>
          <w:lang w:val="sr-Latn-RS"/>
        </w:rPr>
        <w:t xml:space="preserve"> </w:t>
      </w:r>
      <w:r w:rsidRPr="00394D9A">
        <w:rPr>
          <w:szCs w:val="22"/>
          <w:lang w:val="sr-Latn-RS"/>
        </w:rPr>
        <w:t>VIIa. Postoje određeni eksperimentalni dokazi koji podržavaju ulogu ovih agenasa u neutraliz</w:t>
      </w:r>
      <w:r w:rsidR="002F2E26" w:rsidRPr="00394D9A">
        <w:rPr>
          <w:szCs w:val="22"/>
          <w:lang w:val="sr-Latn-RS"/>
        </w:rPr>
        <w:t>aciji</w:t>
      </w:r>
      <w:r w:rsidR="00392B54" w:rsidRPr="00394D9A">
        <w:rPr>
          <w:szCs w:val="22"/>
          <w:lang w:val="sr-Latn-RS"/>
        </w:rPr>
        <w:t xml:space="preserve"> </w:t>
      </w:r>
      <w:r w:rsidRPr="00394D9A">
        <w:rPr>
          <w:szCs w:val="22"/>
          <w:lang w:val="sr-Latn-RS"/>
        </w:rPr>
        <w:t xml:space="preserve">(reverziji) antikoagulantnog dejstva dabigatrana, ali podaci o njihovoj korisnosti u kliničkim uslovima </w:t>
      </w:r>
      <w:r w:rsidR="00392B54" w:rsidRPr="00394D9A">
        <w:rPr>
          <w:szCs w:val="22"/>
          <w:lang w:val="sr-Latn-RS"/>
        </w:rPr>
        <w:t xml:space="preserve">i </w:t>
      </w:r>
      <w:r w:rsidRPr="00394D9A">
        <w:rPr>
          <w:szCs w:val="22"/>
          <w:lang w:val="sr-Latn-RS"/>
        </w:rPr>
        <w:t>mogućem riziku od povratne („</w:t>
      </w:r>
      <w:r w:rsidRPr="00394D9A">
        <w:rPr>
          <w:i/>
          <w:iCs/>
          <w:szCs w:val="22"/>
          <w:lang w:val="sr-Latn-RS"/>
        </w:rPr>
        <w:t>rebound</w:t>
      </w:r>
      <w:r w:rsidRPr="00394D9A">
        <w:rPr>
          <w:szCs w:val="22"/>
          <w:lang w:val="sr-Latn-RS"/>
        </w:rPr>
        <w:t>“) tromboembolije su veoma oskudni. Testovi koagulacije mogu</w:t>
      </w:r>
      <w:r w:rsidR="00392B54" w:rsidRPr="00394D9A">
        <w:rPr>
          <w:szCs w:val="22"/>
          <w:lang w:val="sr-Latn-RS"/>
        </w:rPr>
        <w:t xml:space="preserve"> </w:t>
      </w:r>
      <w:r w:rsidRPr="00394D9A">
        <w:rPr>
          <w:szCs w:val="22"/>
          <w:lang w:val="sr-Latn-RS"/>
        </w:rPr>
        <w:t>da</w:t>
      </w:r>
      <w:r w:rsidR="00392B54" w:rsidRPr="00394D9A">
        <w:rPr>
          <w:szCs w:val="22"/>
          <w:lang w:val="sr-Latn-RS"/>
        </w:rPr>
        <w:t xml:space="preserve"> </w:t>
      </w:r>
      <w:r w:rsidRPr="00394D9A">
        <w:rPr>
          <w:szCs w:val="22"/>
          <w:lang w:val="sr-Latn-RS"/>
        </w:rPr>
        <w:t>postanu nepouzdani po davanju predloženih koncentrata faktora koagulacije. Treba biti oprezan kada</w:t>
      </w:r>
      <w:r w:rsidR="00392B54" w:rsidRPr="00394D9A">
        <w:rPr>
          <w:szCs w:val="22"/>
          <w:lang w:val="sr-Latn-RS"/>
        </w:rPr>
        <w:t xml:space="preserve"> </w:t>
      </w:r>
      <w:r w:rsidRPr="00394D9A">
        <w:rPr>
          <w:szCs w:val="22"/>
          <w:lang w:val="sr-Latn-RS"/>
        </w:rPr>
        <w:t>se tumače rezultati ovih testova. Treba razmisliti o mogućnosti davanja koncentrata trombocita u</w:t>
      </w:r>
      <w:r w:rsidR="00392B54" w:rsidRPr="00394D9A">
        <w:rPr>
          <w:szCs w:val="22"/>
          <w:lang w:val="sr-Latn-RS"/>
        </w:rPr>
        <w:t xml:space="preserve"> </w:t>
      </w:r>
      <w:r w:rsidRPr="00394D9A">
        <w:rPr>
          <w:szCs w:val="22"/>
          <w:lang w:val="sr-Latn-RS"/>
        </w:rPr>
        <w:t>slučajevima u kojima postoji trombocitopenija ili ako su korišćeni antitrombocitni agensi dugog dejstva.</w:t>
      </w:r>
      <w:r w:rsidR="00392B54" w:rsidRPr="00394D9A">
        <w:rPr>
          <w:szCs w:val="22"/>
          <w:lang w:val="sr-Latn-RS"/>
        </w:rPr>
        <w:t xml:space="preserve"> </w:t>
      </w:r>
      <w:r w:rsidRPr="00394D9A">
        <w:rPr>
          <w:szCs w:val="22"/>
          <w:lang w:val="sr-Latn-RS"/>
        </w:rPr>
        <w:t xml:space="preserve">Svu simptomatsku terapiju treba dati po odluci ordinirajućeg </w:t>
      </w:r>
      <w:r w:rsidR="00A639DA" w:rsidRPr="00394D9A">
        <w:rPr>
          <w:szCs w:val="22"/>
          <w:lang w:val="sr-Latn-RS"/>
        </w:rPr>
        <w:t>ljeka</w:t>
      </w:r>
      <w:r w:rsidRPr="00394D9A">
        <w:rPr>
          <w:szCs w:val="22"/>
          <w:lang w:val="sr-Latn-RS"/>
        </w:rPr>
        <w:t>ra.</w:t>
      </w:r>
    </w:p>
    <w:p w14:paraId="48F85403" w14:textId="77777777" w:rsidR="00392B54" w:rsidRPr="00394D9A" w:rsidRDefault="00392B54" w:rsidP="00187D17">
      <w:pPr>
        <w:widowControl w:val="0"/>
        <w:rPr>
          <w:szCs w:val="22"/>
          <w:lang w:val="sr-Latn-RS"/>
        </w:rPr>
      </w:pPr>
    </w:p>
    <w:p w14:paraId="440587A4" w14:textId="04190FBC" w:rsidR="00CE09F3" w:rsidRPr="00394D9A" w:rsidRDefault="00916215" w:rsidP="00187D17">
      <w:pPr>
        <w:widowControl w:val="0"/>
        <w:rPr>
          <w:szCs w:val="22"/>
          <w:lang w:val="sr-Latn-RS"/>
        </w:rPr>
      </w:pPr>
      <w:r w:rsidRPr="00394D9A">
        <w:rPr>
          <w:szCs w:val="22"/>
          <w:lang w:val="sr-Latn-RS"/>
        </w:rPr>
        <w:t>Zavisno od lokalnih uslova i da li je na raspolaganju, u slučaju većeg krvarenja, treba konsultovati</w:t>
      </w:r>
      <w:r w:rsidR="002F2E26" w:rsidRPr="00394D9A">
        <w:rPr>
          <w:szCs w:val="22"/>
          <w:lang w:val="sr-Latn-RS"/>
        </w:rPr>
        <w:t xml:space="preserve"> </w:t>
      </w:r>
      <w:r w:rsidRPr="00394D9A">
        <w:rPr>
          <w:szCs w:val="22"/>
          <w:lang w:val="sr-Latn-RS"/>
        </w:rPr>
        <w:t>s</w:t>
      </w:r>
      <w:r w:rsidR="002F2E26" w:rsidRPr="00394D9A">
        <w:rPr>
          <w:szCs w:val="22"/>
          <w:lang w:val="sr-Latn-RS"/>
        </w:rPr>
        <w:t>pecijalistu</w:t>
      </w:r>
      <w:r w:rsidRPr="00394D9A">
        <w:rPr>
          <w:szCs w:val="22"/>
          <w:lang w:val="sr-Latn-RS"/>
        </w:rPr>
        <w:t xml:space="preserve"> za koagulaciju</w:t>
      </w:r>
      <w:r w:rsidR="002F2E26" w:rsidRPr="00394D9A">
        <w:rPr>
          <w:szCs w:val="22"/>
          <w:lang w:val="sr-Latn-RS"/>
        </w:rPr>
        <w:t xml:space="preserve"> u slučaju velikih krvarenja</w:t>
      </w:r>
      <w:r w:rsidRPr="00394D9A">
        <w:rPr>
          <w:szCs w:val="22"/>
          <w:lang w:val="sr-Latn-RS"/>
        </w:rPr>
        <w:t>.</w:t>
      </w:r>
    </w:p>
    <w:p w14:paraId="73E8A534" w14:textId="77777777" w:rsidR="002F2E26" w:rsidRPr="00394D9A" w:rsidRDefault="002F2E26" w:rsidP="00187D17">
      <w:pPr>
        <w:widowControl w:val="0"/>
        <w:rPr>
          <w:szCs w:val="22"/>
          <w:lang w:val="sr-Latn-RS"/>
        </w:rPr>
      </w:pPr>
    </w:p>
    <w:p w14:paraId="5AC0947D" w14:textId="77777777" w:rsidR="001975C3" w:rsidRPr="00394D9A" w:rsidRDefault="001975C3" w:rsidP="00187D17">
      <w:pPr>
        <w:widowControl w:val="0"/>
        <w:rPr>
          <w:szCs w:val="22"/>
          <w:lang w:val="sr-Latn-RS"/>
        </w:rPr>
      </w:pPr>
    </w:p>
    <w:p w14:paraId="0F75BF9B" w14:textId="77777777" w:rsidR="001975C3" w:rsidRPr="00394D9A" w:rsidRDefault="001975C3" w:rsidP="00187D17">
      <w:pPr>
        <w:widowControl w:val="0"/>
        <w:tabs>
          <w:tab w:val="clear" w:pos="284"/>
          <w:tab w:val="left" w:pos="540"/>
          <w:tab w:val="left" w:pos="569"/>
        </w:tabs>
        <w:jc w:val="left"/>
        <w:rPr>
          <w:b/>
          <w:bCs/>
          <w:szCs w:val="22"/>
          <w:lang w:val="sr-Latn-RS"/>
        </w:rPr>
      </w:pPr>
      <w:r w:rsidRPr="00394D9A">
        <w:rPr>
          <w:b/>
          <w:bCs/>
          <w:szCs w:val="22"/>
          <w:lang w:val="sr-Latn-RS"/>
        </w:rPr>
        <w:t xml:space="preserve">5. </w:t>
      </w:r>
      <w:r w:rsidRPr="00394D9A">
        <w:rPr>
          <w:b/>
          <w:bCs/>
          <w:szCs w:val="22"/>
          <w:lang w:val="sr-Latn-RS"/>
        </w:rPr>
        <w:tab/>
        <w:t>FARMAKOLOŠKI PODACI</w:t>
      </w:r>
    </w:p>
    <w:p w14:paraId="13A39D35" w14:textId="77777777" w:rsidR="001975C3" w:rsidRPr="00394D9A" w:rsidRDefault="001975C3" w:rsidP="00187D17">
      <w:pPr>
        <w:widowControl w:val="0"/>
        <w:rPr>
          <w:b/>
          <w:bCs/>
          <w:szCs w:val="22"/>
          <w:lang w:val="sr-Latn-RS"/>
        </w:rPr>
      </w:pPr>
    </w:p>
    <w:p w14:paraId="5BBBAC77" w14:textId="77777777" w:rsidR="001975C3" w:rsidRPr="00394D9A" w:rsidRDefault="001975C3" w:rsidP="00187D17">
      <w:pPr>
        <w:widowControl w:val="0"/>
        <w:tabs>
          <w:tab w:val="clear" w:pos="284"/>
          <w:tab w:val="left" w:pos="540"/>
          <w:tab w:val="left" w:pos="569"/>
        </w:tabs>
        <w:jc w:val="left"/>
        <w:rPr>
          <w:b/>
          <w:bCs/>
          <w:szCs w:val="22"/>
          <w:lang w:val="sr-Latn-RS"/>
        </w:rPr>
      </w:pPr>
      <w:r w:rsidRPr="00394D9A">
        <w:rPr>
          <w:b/>
          <w:bCs/>
          <w:szCs w:val="22"/>
          <w:lang w:val="sr-Latn-RS"/>
        </w:rPr>
        <w:t xml:space="preserve">5.1. </w:t>
      </w:r>
      <w:r w:rsidRPr="00394D9A">
        <w:rPr>
          <w:b/>
          <w:bCs/>
          <w:szCs w:val="22"/>
          <w:lang w:val="sr-Latn-RS"/>
        </w:rPr>
        <w:tab/>
        <w:t xml:space="preserve">Farmakodinamski podaci </w:t>
      </w:r>
    </w:p>
    <w:p w14:paraId="54C93AA6" w14:textId="77777777" w:rsidR="00514603" w:rsidRPr="00394D9A" w:rsidRDefault="00514603" w:rsidP="00187D17">
      <w:pPr>
        <w:widowControl w:val="0"/>
        <w:rPr>
          <w:b/>
          <w:bCs/>
          <w:szCs w:val="22"/>
          <w:lang w:val="sr-Latn-RS"/>
        </w:rPr>
      </w:pPr>
    </w:p>
    <w:p w14:paraId="4691932D" w14:textId="02292B92" w:rsidR="00CE09F3" w:rsidRPr="00394D9A" w:rsidRDefault="00CE09F3" w:rsidP="00187D17">
      <w:pPr>
        <w:widowControl w:val="0"/>
        <w:rPr>
          <w:b/>
          <w:bCs/>
          <w:szCs w:val="22"/>
          <w:lang w:val="sr-Latn-RS"/>
        </w:rPr>
      </w:pPr>
      <w:r w:rsidRPr="00394D9A">
        <w:rPr>
          <w:szCs w:val="22"/>
          <w:lang w:val="sr-Latn-RS"/>
        </w:rPr>
        <w:t>Farmakoterapijska grupa</w:t>
      </w:r>
      <w:r w:rsidRPr="00394D9A">
        <w:rPr>
          <w:b/>
          <w:bCs/>
          <w:szCs w:val="22"/>
          <w:lang w:val="sr-Latn-RS"/>
        </w:rPr>
        <w:t>:</w:t>
      </w:r>
      <w:r w:rsidR="00514603" w:rsidRPr="00394D9A">
        <w:rPr>
          <w:b/>
          <w:bCs/>
          <w:szCs w:val="22"/>
          <w:lang w:val="sr-Latn-RS"/>
        </w:rPr>
        <w:t xml:space="preserve"> </w:t>
      </w:r>
      <w:r w:rsidR="00255F2F" w:rsidRPr="00394D9A">
        <w:rPr>
          <w:bCs/>
          <w:szCs w:val="22"/>
          <w:lang w:val="sr-Latn-RS"/>
        </w:rPr>
        <w:t>antitromboti</w:t>
      </w:r>
      <w:r w:rsidR="008C7F6F" w:rsidRPr="00394D9A">
        <w:rPr>
          <w:bCs/>
          <w:szCs w:val="22"/>
          <w:lang w:val="sr-Latn-RS"/>
        </w:rPr>
        <w:t>k,</w:t>
      </w:r>
      <w:r w:rsidR="008C7F6F" w:rsidRPr="00394D9A">
        <w:rPr>
          <w:b/>
          <w:bCs/>
          <w:szCs w:val="22"/>
          <w:lang w:val="sr-Latn-RS"/>
        </w:rPr>
        <w:t xml:space="preserve"> </w:t>
      </w:r>
      <w:r w:rsidR="00514603" w:rsidRPr="00394D9A">
        <w:rPr>
          <w:szCs w:val="22"/>
          <w:lang w:val="sr-Latn-RS"/>
        </w:rPr>
        <w:t>direktni inhibitor</w:t>
      </w:r>
      <w:r w:rsidR="00FD3089" w:rsidRPr="00394D9A">
        <w:rPr>
          <w:szCs w:val="22"/>
          <w:lang w:val="sr-Latn-RS"/>
        </w:rPr>
        <w:t>i</w:t>
      </w:r>
      <w:r w:rsidR="00514603" w:rsidRPr="00394D9A">
        <w:rPr>
          <w:szCs w:val="22"/>
          <w:lang w:val="sr-Latn-RS"/>
        </w:rPr>
        <w:t xml:space="preserve"> trombina</w:t>
      </w:r>
    </w:p>
    <w:p w14:paraId="59C7FB84" w14:textId="77777777" w:rsidR="00CE09F3" w:rsidRPr="00394D9A" w:rsidRDefault="00CE09F3" w:rsidP="00187D17">
      <w:pPr>
        <w:widowControl w:val="0"/>
        <w:rPr>
          <w:szCs w:val="22"/>
          <w:lang w:val="sr-Latn-RS"/>
        </w:rPr>
      </w:pPr>
    </w:p>
    <w:p w14:paraId="6808CC72" w14:textId="25D86EB3" w:rsidR="00CE09F3" w:rsidRPr="00394D9A" w:rsidRDefault="00CE09F3" w:rsidP="00187D17">
      <w:pPr>
        <w:widowControl w:val="0"/>
        <w:rPr>
          <w:b/>
          <w:bCs/>
          <w:szCs w:val="22"/>
          <w:lang w:val="sr-Latn-RS"/>
        </w:rPr>
      </w:pPr>
      <w:r w:rsidRPr="00394D9A">
        <w:rPr>
          <w:szCs w:val="22"/>
          <w:lang w:val="sr-Latn-RS"/>
        </w:rPr>
        <w:t>ATC šifra:</w:t>
      </w:r>
      <w:r w:rsidR="00514603" w:rsidRPr="00394D9A">
        <w:rPr>
          <w:b/>
          <w:bCs/>
          <w:szCs w:val="22"/>
          <w:lang w:val="sr-Latn-RS"/>
        </w:rPr>
        <w:t xml:space="preserve"> </w:t>
      </w:r>
      <w:r w:rsidR="00514603" w:rsidRPr="00394D9A">
        <w:rPr>
          <w:szCs w:val="22"/>
          <w:lang w:val="sr-Latn-RS"/>
        </w:rPr>
        <w:t>B01AE07</w:t>
      </w:r>
    </w:p>
    <w:p w14:paraId="349814EB" w14:textId="7B1B90F5" w:rsidR="00CE09F3" w:rsidRPr="00394D9A" w:rsidRDefault="00CE09F3" w:rsidP="00187D17">
      <w:pPr>
        <w:widowControl w:val="0"/>
        <w:rPr>
          <w:szCs w:val="22"/>
          <w:lang w:val="sr-Latn-RS"/>
        </w:rPr>
      </w:pPr>
    </w:p>
    <w:p w14:paraId="56A43078" w14:textId="10E285E9" w:rsidR="00514603" w:rsidRPr="00394D9A" w:rsidRDefault="00514603" w:rsidP="00187D17">
      <w:pPr>
        <w:widowControl w:val="0"/>
        <w:rPr>
          <w:szCs w:val="22"/>
          <w:u w:val="single"/>
          <w:lang w:val="sr-Latn-RS"/>
        </w:rPr>
      </w:pPr>
      <w:r w:rsidRPr="00394D9A">
        <w:rPr>
          <w:szCs w:val="22"/>
          <w:u w:val="single"/>
          <w:lang w:val="sr-Latn-RS"/>
        </w:rPr>
        <w:t>Mehanizam dejstva</w:t>
      </w:r>
    </w:p>
    <w:p w14:paraId="5D3806CC" w14:textId="77777777" w:rsidR="00457DB6" w:rsidRPr="00394D9A" w:rsidRDefault="00457DB6" w:rsidP="00187D17">
      <w:pPr>
        <w:widowControl w:val="0"/>
        <w:rPr>
          <w:szCs w:val="22"/>
          <w:u w:val="single"/>
          <w:lang w:val="sr-Latn-RS"/>
        </w:rPr>
      </w:pPr>
    </w:p>
    <w:p w14:paraId="3AD1BAA0" w14:textId="6FF7A8F7" w:rsidR="006D2563" w:rsidRPr="00394D9A" w:rsidRDefault="00514603" w:rsidP="00187D17">
      <w:pPr>
        <w:widowControl w:val="0"/>
        <w:rPr>
          <w:szCs w:val="22"/>
          <w:lang w:val="sr-Latn-RS"/>
        </w:rPr>
      </w:pPr>
      <w:r w:rsidRPr="00394D9A">
        <w:rPr>
          <w:szCs w:val="22"/>
          <w:lang w:val="sr-Latn-RS"/>
        </w:rPr>
        <w:t>Dabigatraneteksilat je pro</w:t>
      </w:r>
      <w:r w:rsidR="00A639DA" w:rsidRPr="00394D9A">
        <w:rPr>
          <w:szCs w:val="22"/>
          <w:lang w:val="sr-Latn-RS"/>
        </w:rPr>
        <w:t>lijek</w:t>
      </w:r>
      <w:r w:rsidRPr="00394D9A">
        <w:rPr>
          <w:szCs w:val="22"/>
          <w:lang w:val="sr-Latn-RS"/>
        </w:rPr>
        <w:t xml:space="preserve"> u vidu malog mo</w:t>
      </w:r>
      <w:r w:rsidR="00A639DA" w:rsidRPr="00394D9A">
        <w:rPr>
          <w:szCs w:val="22"/>
          <w:lang w:val="sr-Latn-RS"/>
        </w:rPr>
        <w:t>lek</w:t>
      </w:r>
      <w:r w:rsidRPr="00394D9A">
        <w:rPr>
          <w:szCs w:val="22"/>
          <w:lang w:val="sr-Latn-RS"/>
        </w:rPr>
        <w:t>ula koji ne ispoljava nikakvu farmakološku aktivnost.</w:t>
      </w:r>
      <w:r w:rsidR="00457DB6" w:rsidRPr="00394D9A">
        <w:rPr>
          <w:szCs w:val="22"/>
          <w:lang w:val="sr-Latn-RS"/>
        </w:rPr>
        <w:t xml:space="preserve"> </w:t>
      </w:r>
      <w:r w:rsidRPr="00394D9A">
        <w:rPr>
          <w:szCs w:val="22"/>
          <w:lang w:val="sr-Latn-RS"/>
        </w:rPr>
        <w:t>Nakon oraln</w:t>
      </w:r>
      <w:r w:rsidR="005E2526" w:rsidRPr="00394D9A">
        <w:rPr>
          <w:szCs w:val="22"/>
          <w:lang w:val="sr-Latn-RS"/>
        </w:rPr>
        <w:t>e</w:t>
      </w:r>
      <w:r w:rsidRPr="00394D9A">
        <w:rPr>
          <w:szCs w:val="22"/>
          <w:lang w:val="sr-Latn-RS"/>
        </w:rPr>
        <w:t xml:space="preserve"> </w:t>
      </w:r>
      <w:r w:rsidR="00A639DA" w:rsidRPr="00394D9A">
        <w:rPr>
          <w:szCs w:val="22"/>
          <w:lang w:val="sr-Latn-RS"/>
        </w:rPr>
        <w:t>primjene</w:t>
      </w:r>
      <w:r w:rsidRPr="00394D9A">
        <w:rPr>
          <w:szCs w:val="22"/>
          <w:lang w:val="sr-Latn-RS"/>
        </w:rPr>
        <w:t xml:space="preserve">, dabigatraneteksilat se brzo </w:t>
      </w:r>
      <w:r w:rsidR="005E2526" w:rsidRPr="00394D9A">
        <w:rPr>
          <w:szCs w:val="22"/>
          <w:lang w:val="sr-Latn-RS"/>
        </w:rPr>
        <w:t>re</w:t>
      </w:r>
      <w:r w:rsidRPr="00394D9A">
        <w:rPr>
          <w:szCs w:val="22"/>
          <w:lang w:val="sr-Latn-RS"/>
        </w:rPr>
        <w:t>sorbuje i pretvara u dabigatran putem hidrolize</w:t>
      </w:r>
      <w:r w:rsidR="006D2563" w:rsidRPr="00394D9A">
        <w:rPr>
          <w:szCs w:val="22"/>
          <w:lang w:val="sr-Latn-RS"/>
        </w:rPr>
        <w:t xml:space="preserve"> </w:t>
      </w:r>
      <w:r w:rsidRPr="00394D9A">
        <w:rPr>
          <w:szCs w:val="22"/>
          <w:lang w:val="sr-Latn-RS"/>
        </w:rPr>
        <w:t>katalizirane esterazama u plazmi i jetri. Dabigatran</w:t>
      </w:r>
      <w:r w:rsidR="00DC46EB" w:rsidRPr="00394D9A">
        <w:rPr>
          <w:szCs w:val="22"/>
          <w:lang w:val="sr-Latn-RS"/>
        </w:rPr>
        <w:t>, flavni aktivni sastojak u plazmi,</w:t>
      </w:r>
      <w:r w:rsidRPr="00394D9A">
        <w:rPr>
          <w:szCs w:val="22"/>
          <w:lang w:val="sr-Latn-RS"/>
        </w:rPr>
        <w:t xml:space="preserve"> je moćan, kompetitivan, reverzibilan</w:t>
      </w:r>
      <w:r w:rsidR="00DC46EB" w:rsidRPr="00394D9A">
        <w:rPr>
          <w:szCs w:val="22"/>
          <w:lang w:val="sr-Latn-RS"/>
        </w:rPr>
        <w:t>,</w:t>
      </w:r>
      <w:r w:rsidRPr="00394D9A">
        <w:rPr>
          <w:szCs w:val="22"/>
          <w:lang w:val="sr-Latn-RS"/>
        </w:rPr>
        <w:t xml:space="preserve"> direkt</w:t>
      </w:r>
      <w:r w:rsidR="00DC46EB" w:rsidRPr="00394D9A">
        <w:rPr>
          <w:szCs w:val="22"/>
          <w:lang w:val="sr-Latn-RS"/>
        </w:rPr>
        <w:t>ni</w:t>
      </w:r>
      <w:r w:rsidRPr="00394D9A">
        <w:rPr>
          <w:szCs w:val="22"/>
          <w:lang w:val="sr-Latn-RS"/>
        </w:rPr>
        <w:t xml:space="preserve"> inhibitor</w:t>
      </w:r>
      <w:r w:rsidR="006D2563" w:rsidRPr="00394D9A">
        <w:rPr>
          <w:szCs w:val="22"/>
          <w:lang w:val="sr-Latn-RS"/>
        </w:rPr>
        <w:t xml:space="preserve"> </w:t>
      </w:r>
      <w:r w:rsidRPr="00394D9A">
        <w:rPr>
          <w:szCs w:val="22"/>
          <w:lang w:val="sr-Latn-RS"/>
        </w:rPr>
        <w:t>trombina</w:t>
      </w:r>
      <w:r w:rsidR="00DC46EB" w:rsidRPr="00394D9A">
        <w:rPr>
          <w:szCs w:val="22"/>
          <w:lang w:val="sr-Latn-RS"/>
        </w:rPr>
        <w:t>.</w:t>
      </w:r>
      <w:r w:rsidR="006D2563" w:rsidRPr="00394D9A">
        <w:rPr>
          <w:szCs w:val="22"/>
          <w:lang w:val="sr-Latn-RS"/>
        </w:rPr>
        <w:t xml:space="preserve"> </w:t>
      </w:r>
    </w:p>
    <w:p w14:paraId="46132559" w14:textId="77777777" w:rsidR="007F2844" w:rsidRPr="00394D9A" w:rsidRDefault="007F2844" w:rsidP="00187D17">
      <w:pPr>
        <w:widowControl w:val="0"/>
        <w:rPr>
          <w:szCs w:val="22"/>
          <w:lang w:val="sr-Latn-RS"/>
        </w:rPr>
      </w:pPr>
    </w:p>
    <w:p w14:paraId="3AE15AE5" w14:textId="0B1A008C" w:rsidR="006D2563" w:rsidRPr="00394D9A" w:rsidRDefault="00514603" w:rsidP="00187D17">
      <w:pPr>
        <w:widowControl w:val="0"/>
        <w:rPr>
          <w:szCs w:val="22"/>
          <w:lang w:val="sr-Latn-RS"/>
        </w:rPr>
      </w:pPr>
      <w:r w:rsidRPr="00394D9A">
        <w:rPr>
          <w:szCs w:val="22"/>
          <w:lang w:val="sr-Latn-RS"/>
        </w:rPr>
        <w:t>S o</w:t>
      </w:r>
      <w:r w:rsidR="00826E8C" w:rsidRPr="00394D9A">
        <w:rPr>
          <w:szCs w:val="22"/>
          <w:lang w:val="sr-Latn-RS"/>
        </w:rPr>
        <w:t>b</w:t>
      </w:r>
      <w:r w:rsidRPr="00394D9A">
        <w:rPr>
          <w:szCs w:val="22"/>
          <w:lang w:val="sr-Latn-RS"/>
        </w:rPr>
        <w:t>zirom da trombin (serin proteaza) u toku koagulacione kaskade omogućava pretvaranje fibrinogena u</w:t>
      </w:r>
      <w:r w:rsidR="006D2563" w:rsidRPr="00394D9A">
        <w:rPr>
          <w:szCs w:val="22"/>
          <w:lang w:val="sr-Latn-RS"/>
        </w:rPr>
        <w:t xml:space="preserve"> </w:t>
      </w:r>
      <w:r w:rsidRPr="00394D9A">
        <w:rPr>
          <w:szCs w:val="22"/>
          <w:lang w:val="sr-Latn-RS"/>
        </w:rPr>
        <w:t xml:space="preserve">fibrin, njegova inhibicija sprečava stvaranje tromba. Dabigatran takođe inhibira slobodni trombin, </w:t>
      </w:r>
      <w:r w:rsidR="006D2563" w:rsidRPr="00394D9A">
        <w:rPr>
          <w:szCs w:val="22"/>
          <w:lang w:val="sr-Latn-RS"/>
        </w:rPr>
        <w:t xml:space="preserve">trombin </w:t>
      </w:r>
      <w:r w:rsidRPr="00394D9A">
        <w:rPr>
          <w:szCs w:val="22"/>
          <w:lang w:val="sr-Latn-RS"/>
        </w:rPr>
        <w:t>vezan za fibrin i agregaciju trombocita indukovanu trombinom.</w:t>
      </w:r>
      <w:r w:rsidR="006D2563" w:rsidRPr="00394D9A">
        <w:rPr>
          <w:szCs w:val="22"/>
          <w:lang w:val="sr-Latn-RS"/>
        </w:rPr>
        <w:t xml:space="preserve"> </w:t>
      </w:r>
    </w:p>
    <w:p w14:paraId="38AA1379" w14:textId="77777777" w:rsidR="006D2563" w:rsidRPr="00394D9A" w:rsidRDefault="006D2563" w:rsidP="00187D17">
      <w:pPr>
        <w:widowControl w:val="0"/>
        <w:rPr>
          <w:szCs w:val="22"/>
          <w:lang w:val="sr-Latn-RS"/>
        </w:rPr>
      </w:pPr>
    </w:p>
    <w:p w14:paraId="7C94D915" w14:textId="797D365D" w:rsidR="00514603" w:rsidRPr="00394D9A" w:rsidRDefault="00514603" w:rsidP="00187D17">
      <w:pPr>
        <w:widowControl w:val="0"/>
        <w:rPr>
          <w:szCs w:val="22"/>
          <w:u w:val="single"/>
          <w:lang w:val="sr-Latn-RS"/>
        </w:rPr>
      </w:pPr>
      <w:r w:rsidRPr="00394D9A">
        <w:rPr>
          <w:szCs w:val="22"/>
          <w:u w:val="single"/>
          <w:lang w:val="sr-Latn-RS"/>
        </w:rPr>
        <w:t>Farmakodinamsk</w:t>
      </w:r>
      <w:r w:rsidR="00B9225E" w:rsidRPr="00394D9A">
        <w:rPr>
          <w:szCs w:val="22"/>
          <w:u w:val="single"/>
          <w:lang w:val="sr-Latn-RS"/>
        </w:rPr>
        <w:t>o dejstvo</w:t>
      </w:r>
    </w:p>
    <w:p w14:paraId="0DDADDD7" w14:textId="77777777" w:rsidR="006D2563" w:rsidRPr="00394D9A" w:rsidRDefault="006D2563" w:rsidP="00187D17">
      <w:pPr>
        <w:widowControl w:val="0"/>
        <w:rPr>
          <w:szCs w:val="22"/>
          <w:u w:val="single"/>
          <w:lang w:val="sr-Latn-RS"/>
        </w:rPr>
      </w:pPr>
    </w:p>
    <w:p w14:paraId="130D895C" w14:textId="61316C1F" w:rsidR="00514603" w:rsidRPr="00394D9A" w:rsidRDefault="00514603" w:rsidP="00187D17">
      <w:pPr>
        <w:widowControl w:val="0"/>
        <w:rPr>
          <w:szCs w:val="22"/>
          <w:lang w:val="sr-Latn-RS"/>
        </w:rPr>
      </w:pPr>
      <w:r w:rsidRPr="00394D9A">
        <w:rPr>
          <w:szCs w:val="22"/>
          <w:lang w:val="sr-Latn-RS"/>
        </w:rPr>
        <w:t xml:space="preserve">Studije na životinjama </w:t>
      </w:r>
      <w:r w:rsidRPr="00394D9A">
        <w:rPr>
          <w:i/>
          <w:iCs/>
          <w:szCs w:val="22"/>
          <w:lang w:val="sr-Latn-RS"/>
        </w:rPr>
        <w:t>in vivo</w:t>
      </w:r>
      <w:r w:rsidRPr="00394D9A">
        <w:rPr>
          <w:szCs w:val="22"/>
          <w:lang w:val="sr-Latn-RS"/>
        </w:rPr>
        <w:t xml:space="preserve"> i </w:t>
      </w:r>
      <w:r w:rsidRPr="00394D9A">
        <w:rPr>
          <w:i/>
          <w:iCs/>
          <w:szCs w:val="22"/>
          <w:lang w:val="sr-Latn-RS"/>
        </w:rPr>
        <w:t>ex vivo</w:t>
      </w:r>
      <w:r w:rsidRPr="00394D9A">
        <w:rPr>
          <w:szCs w:val="22"/>
          <w:lang w:val="sr-Latn-RS"/>
        </w:rPr>
        <w:t xml:space="preserve"> pokazale su antitrombotičnu efikasnost i antikoagulantn</w:t>
      </w:r>
      <w:r w:rsidR="00B9225E" w:rsidRPr="00394D9A">
        <w:rPr>
          <w:szCs w:val="22"/>
          <w:lang w:val="sr-Latn-RS"/>
        </w:rPr>
        <w:t>u aktivnost</w:t>
      </w:r>
      <w:r w:rsidR="006D2563" w:rsidRPr="00394D9A">
        <w:rPr>
          <w:szCs w:val="22"/>
          <w:lang w:val="sr-Latn-RS"/>
        </w:rPr>
        <w:t xml:space="preserve"> </w:t>
      </w:r>
      <w:r w:rsidRPr="00394D9A">
        <w:rPr>
          <w:szCs w:val="22"/>
          <w:lang w:val="sr-Latn-RS"/>
        </w:rPr>
        <w:t xml:space="preserve">dabigatrana nakon intravenske </w:t>
      </w:r>
      <w:r w:rsidR="00A639DA" w:rsidRPr="00394D9A">
        <w:rPr>
          <w:szCs w:val="22"/>
          <w:lang w:val="sr-Latn-RS"/>
        </w:rPr>
        <w:t>primjene</w:t>
      </w:r>
      <w:r w:rsidRPr="00394D9A">
        <w:rPr>
          <w:szCs w:val="22"/>
          <w:lang w:val="sr-Latn-RS"/>
        </w:rPr>
        <w:t xml:space="preserve"> i dabigatraneteksilata nakon oraln</w:t>
      </w:r>
      <w:r w:rsidR="00B9225E" w:rsidRPr="00394D9A">
        <w:rPr>
          <w:szCs w:val="22"/>
          <w:lang w:val="sr-Latn-RS"/>
        </w:rPr>
        <w:t>e</w:t>
      </w:r>
      <w:r w:rsidRPr="00394D9A">
        <w:rPr>
          <w:szCs w:val="22"/>
          <w:lang w:val="sr-Latn-RS"/>
        </w:rPr>
        <w:t xml:space="preserve"> </w:t>
      </w:r>
      <w:r w:rsidR="00A639DA" w:rsidRPr="00394D9A">
        <w:rPr>
          <w:szCs w:val="22"/>
          <w:lang w:val="sr-Latn-RS"/>
        </w:rPr>
        <w:t>primjene</w:t>
      </w:r>
      <w:r w:rsidR="00B9225E" w:rsidRPr="00394D9A">
        <w:rPr>
          <w:szCs w:val="22"/>
          <w:lang w:val="sr-Latn-RS"/>
        </w:rPr>
        <w:t xml:space="preserve"> </w:t>
      </w:r>
      <w:r w:rsidRPr="00394D9A">
        <w:rPr>
          <w:szCs w:val="22"/>
          <w:lang w:val="sr-Latn-RS"/>
        </w:rPr>
        <w:t>na raznim</w:t>
      </w:r>
      <w:r w:rsidR="006D2563" w:rsidRPr="00394D9A">
        <w:rPr>
          <w:szCs w:val="22"/>
          <w:lang w:val="sr-Latn-RS"/>
        </w:rPr>
        <w:t xml:space="preserve"> </w:t>
      </w:r>
      <w:r w:rsidRPr="00394D9A">
        <w:rPr>
          <w:szCs w:val="22"/>
          <w:lang w:val="sr-Latn-RS"/>
        </w:rPr>
        <w:t>životinjskim modelima tromboze.</w:t>
      </w:r>
    </w:p>
    <w:p w14:paraId="095B51C9" w14:textId="22FE479E" w:rsidR="00514603" w:rsidRPr="00394D9A" w:rsidRDefault="00514603" w:rsidP="00187D17">
      <w:pPr>
        <w:widowControl w:val="0"/>
        <w:rPr>
          <w:szCs w:val="22"/>
          <w:lang w:val="sr-Latn-RS"/>
        </w:rPr>
      </w:pPr>
    </w:p>
    <w:p w14:paraId="090BC949" w14:textId="06CCCD5C" w:rsidR="00514603" w:rsidRPr="00394D9A" w:rsidRDefault="00514603" w:rsidP="00187D17">
      <w:pPr>
        <w:widowControl w:val="0"/>
        <w:rPr>
          <w:szCs w:val="22"/>
          <w:lang w:val="sr-Latn-RS"/>
        </w:rPr>
      </w:pPr>
      <w:r w:rsidRPr="00394D9A">
        <w:rPr>
          <w:szCs w:val="22"/>
          <w:lang w:val="sr-Latn-RS"/>
        </w:rPr>
        <w:t>Postoji jasna korelacija između koncentracije dabigatrana u plazmi i stepena antikoagulantnog efekta na</w:t>
      </w:r>
      <w:r w:rsidR="006D2563" w:rsidRPr="00394D9A">
        <w:rPr>
          <w:szCs w:val="22"/>
          <w:lang w:val="sr-Latn-RS"/>
        </w:rPr>
        <w:t xml:space="preserve"> </w:t>
      </w:r>
      <w:r w:rsidRPr="00394D9A">
        <w:rPr>
          <w:szCs w:val="22"/>
          <w:lang w:val="sr-Latn-RS"/>
        </w:rPr>
        <w:t xml:space="preserve">osnovu podataka iz studija II faze. Dabigatran produžava trombinsko </w:t>
      </w:r>
      <w:r w:rsidR="00BD52DD" w:rsidRPr="00394D9A">
        <w:rPr>
          <w:szCs w:val="22"/>
          <w:lang w:val="sr-Latn-RS"/>
        </w:rPr>
        <w:t>vrijeme</w:t>
      </w:r>
      <w:r w:rsidRPr="00394D9A">
        <w:rPr>
          <w:szCs w:val="22"/>
          <w:lang w:val="sr-Latn-RS"/>
        </w:rPr>
        <w:t xml:space="preserve"> (TT), ECT i aPTT.</w:t>
      </w:r>
    </w:p>
    <w:p w14:paraId="58BF3D89" w14:textId="77777777" w:rsidR="006D2563" w:rsidRPr="00394D9A" w:rsidRDefault="006D2563" w:rsidP="00187D17">
      <w:pPr>
        <w:widowControl w:val="0"/>
        <w:rPr>
          <w:szCs w:val="22"/>
          <w:lang w:val="sr-Latn-RS"/>
        </w:rPr>
      </w:pPr>
    </w:p>
    <w:p w14:paraId="39BDC2F9" w14:textId="5C04ACC0" w:rsidR="00514603" w:rsidRPr="00394D9A" w:rsidRDefault="00514603" w:rsidP="00187D17">
      <w:pPr>
        <w:widowControl w:val="0"/>
        <w:rPr>
          <w:szCs w:val="22"/>
          <w:lang w:val="sr-Latn-RS"/>
        </w:rPr>
      </w:pPr>
      <w:r w:rsidRPr="00394D9A">
        <w:rPr>
          <w:szCs w:val="22"/>
          <w:lang w:val="sr-Latn-RS"/>
        </w:rPr>
        <w:t xml:space="preserve">Test kalibrisanog kvantitativnog razblaženog </w:t>
      </w:r>
      <w:r w:rsidR="00B9225E" w:rsidRPr="00394D9A">
        <w:rPr>
          <w:szCs w:val="22"/>
          <w:lang w:val="sr-Latn-RS"/>
        </w:rPr>
        <w:t>t</w:t>
      </w:r>
      <w:r w:rsidRPr="00394D9A">
        <w:rPr>
          <w:szCs w:val="22"/>
          <w:lang w:val="sr-Latn-RS"/>
        </w:rPr>
        <w:t xml:space="preserve">rombinskog </w:t>
      </w:r>
      <w:r w:rsidR="00BD52DD" w:rsidRPr="00394D9A">
        <w:rPr>
          <w:szCs w:val="22"/>
          <w:lang w:val="sr-Latn-RS"/>
        </w:rPr>
        <w:t>vreme</w:t>
      </w:r>
      <w:r w:rsidRPr="00394D9A">
        <w:rPr>
          <w:szCs w:val="22"/>
          <w:lang w:val="sr-Latn-RS"/>
        </w:rPr>
        <w:t>na (dTT) obezb</w:t>
      </w:r>
      <w:r w:rsidR="006561D1" w:rsidRPr="00394D9A">
        <w:rPr>
          <w:szCs w:val="22"/>
          <w:lang w:val="sr-Latn-RS"/>
        </w:rPr>
        <w:t>j</w:t>
      </w:r>
      <w:r w:rsidRPr="00394D9A">
        <w:rPr>
          <w:szCs w:val="22"/>
          <w:lang w:val="sr-Latn-RS"/>
        </w:rPr>
        <w:t>eđuje proc</w:t>
      </w:r>
      <w:r w:rsidR="006561D1" w:rsidRPr="00394D9A">
        <w:rPr>
          <w:szCs w:val="22"/>
          <w:lang w:val="sr-Latn-RS"/>
        </w:rPr>
        <w:t>j</w:t>
      </w:r>
      <w:r w:rsidRPr="00394D9A">
        <w:rPr>
          <w:szCs w:val="22"/>
          <w:lang w:val="sr-Latn-RS"/>
        </w:rPr>
        <w:t>enu</w:t>
      </w:r>
      <w:r w:rsidR="006D2563" w:rsidRPr="00394D9A">
        <w:rPr>
          <w:szCs w:val="22"/>
          <w:lang w:val="sr-Latn-RS"/>
        </w:rPr>
        <w:t xml:space="preserve"> </w:t>
      </w:r>
      <w:r w:rsidRPr="00394D9A">
        <w:rPr>
          <w:szCs w:val="22"/>
          <w:lang w:val="sr-Latn-RS"/>
        </w:rPr>
        <w:t>koncentracije dabigatrana u plazmi koja može da se uporedi sa očekivanom koncentracijom dabigatrana u</w:t>
      </w:r>
      <w:r w:rsidR="006D2563" w:rsidRPr="00394D9A">
        <w:rPr>
          <w:szCs w:val="22"/>
          <w:lang w:val="sr-Latn-RS"/>
        </w:rPr>
        <w:t xml:space="preserve"> </w:t>
      </w:r>
      <w:r w:rsidRPr="00394D9A">
        <w:rPr>
          <w:szCs w:val="22"/>
          <w:lang w:val="sr-Latn-RS"/>
        </w:rPr>
        <w:t>plazmi. Kada je rezultat koncentracija dabigatrana u plazmi dobijen kalibrisanim dTT testom jednak ili</w:t>
      </w:r>
      <w:r w:rsidR="006D2563" w:rsidRPr="00394D9A">
        <w:rPr>
          <w:szCs w:val="22"/>
          <w:lang w:val="sr-Latn-RS"/>
        </w:rPr>
        <w:t xml:space="preserve"> </w:t>
      </w:r>
      <w:r w:rsidRPr="00394D9A">
        <w:rPr>
          <w:szCs w:val="22"/>
          <w:lang w:val="sr-Latn-RS"/>
        </w:rPr>
        <w:t>ispod granice kvantifikacije, potrebno je razmotriti uvođenje dodatnog testa koagulacije kao što je TT,</w:t>
      </w:r>
      <w:r w:rsidR="006D2563" w:rsidRPr="00394D9A">
        <w:rPr>
          <w:szCs w:val="22"/>
          <w:lang w:val="sr-Latn-RS"/>
        </w:rPr>
        <w:t xml:space="preserve"> </w:t>
      </w:r>
      <w:r w:rsidRPr="00394D9A">
        <w:rPr>
          <w:szCs w:val="22"/>
          <w:lang w:val="sr-Latn-RS"/>
        </w:rPr>
        <w:t>ECT ili aPTT.</w:t>
      </w:r>
    </w:p>
    <w:p w14:paraId="1C081AB1" w14:textId="77777777" w:rsidR="006D2563" w:rsidRPr="00394D9A" w:rsidRDefault="006D2563" w:rsidP="00187D17">
      <w:pPr>
        <w:widowControl w:val="0"/>
        <w:rPr>
          <w:szCs w:val="22"/>
          <w:lang w:val="sr-Latn-RS"/>
        </w:rPr>
      </w:pPr>
    </w:p>
    <w:p w14:paraId="3FED9336" w14:textId="1CD80FEC" w:rsidR="00514603" w:rsidRPr="00394D9A" w:rsidRDefault="00514603" w:rsidP="00187D17">
      <w:pPr>
        <w:widowControl w:val="0"/>
        <w:rPr>
          <w:szCs w:val="22"/>
          <w:lang w:val="sr-Latn-RS"/>
        </w:rPr>
      </w:pPr>
      <w:r w:rsidRPr="00394D9A">
        <w:rPr>
          <w:szCs w:val="22"/>
          <w:lang w:val="sr-Latn-RS"/>
        </w:rPr>
        <w:t xml:space="preserve">ECT test može neposredno da </w:t>
      </w:r>
      <w:r w:rsidR="00B9225E" w:rsidRPr="00394D9A">
        <w:rPr>
          <w:szCs w:val="22"/>
          <w:lang w:val="sr-Latn-RS"/>
        </w:rPr>
        <w:t>obezb</w:t>
      </w:r>
      <w:r w:rsidR="00322BB4" w:rsidRPr="00394D9A">
        <w:rPr>
          <w:szCs w:val="22"/>
          <w:lang w:val="sr-Latn-RS"/>
        </w:rPr>
        <w:t>i</w:t>
      </w:r>
      <w:r w:rsidR="006561D1" w:rsidRPr="00394D9A">
        <w:rPr>
          <w:szCs w:val="22"/>
          <w:lang w:val="sr-Latn-RS"/>
        </w:rPr>
        <w:t>j</w:t>
      </w:r>
      <w:r w:rsidR="00B9225E" w:rsidRPr="00394D9A">
        <w:rPr>
          <w:szCs w:val="22"/>
          <w:lang w:val="sr-Latn-RS"/>
        </w:rPr>
        <w:t>edi direktno m</w:t>
      </w:r>
      <w:r w:rsidR="006561D1" w:rsidRPr="00394D9A">
        <w:rPr>
          <w:szCs w:val="22"/>
          <w:lang w:val="sr-Latn-RS"/>
        </w:rPr>
        <w:t>j</w:t>
      </w:r>
      <w:r w:rsidR="00B9225E" w:rsidRPr="00394D9A">
        <w:rPr>
          <w:szCs w:val="22"/>
          <w:lang w:val="sr-Latn-RS"/>
        </w:rPr>
        <w:t xml:space="preserve">erenje aktivnosti </w:t>
      </w:r>
      <w:r w:rsidRPr="00394D9A">
        <w:rPr>
          <w:szCs w:val="22"/>
          <w:lang w:val="sr-Latn-RS"/>
        </w:rPr>
        <w:t>direktnih inhibitora trombina.</w:t>
      </w:r>
    </w:p>
    <w:p w14:paraId="32291808" w14:textId="77777777" w:rsidR="006D2563" w:rsidRPr="00394D9A" w:rsidRDefault="006D2563" w:rsidP="00187D17">
      <w:pPr>
        <w:widowControl w:val="0"/>
        <w:rPr>
          <w:szCs w:val="22"/>
          <w:lang w:val="sr-Latn-RS"/>
        </w:rPr>
      </w:pPr>
    </w:p>
    <w:p w14:paraId="0D9948B3" w14:textId="5E0D46C9" w:rsidR="00514603" w:rsidRPr="00394D9A" w:rsidRDefault="00514603" w:rsidP="00187D17">
      <w:pPr>
        <w:widowControl w:val="0"/>
        <w:rPr>
          <w:szCs w:val="22"/>
          <w:lang w:val="sr-Latn-RS"/>
        </w:rPr>
      </w:pPr>
      <w:r w:rsidRPr="00394D9A">
        <w:rPr>
          <w:szCs w:val="22"/>
          <w:lang w:val="sr-Latn-RS"/>
        </w:rPr>
        <w:t xml:space="preserve">Aktivirano parcijalno tromboplastinsko </w:t>
      </w:r>
      <w:r w:rsidR="00BD52DD" w:rsidRPr="00394D9A">
        <w:rPr>
          <w:szCs w:val="22"/>
          <w:lang w:val="sr-Latn-RS"/>
        </w:rPr>
        <w:t>vrijeme</w:t>
      </w:r>
      <w:r w:rsidRPr="00394D9A">
        <w:rPr>
          <w:szCs w:val="22"/>
          <w:lang w:val="sr-Latn-RS"/>
        </w:rPr>
        <w:t xml:space="preserve"> (aPTT) je test koji se široko koristi i omogućava da se</w:t>
      </w:r>
      <w:r w:rsidR="006D2563" w:rsidRPr="00394D9A">
        <w:rPr>
          <w:szCs w:val="22"/>
          <w:lang w:val="sr-Latn-RS"/>
        </w:rPr>
        <w:t xml:space="preserve"> </w:t>
      </w:r>
      <w:r w:rsidR="005074B7" w:rsidRPr="00394D9A">
        <w:rPr>
          <w:szCs w:val="22"/>
          <w:lang w:val="sr-Latn-RS"/>
        </w:rPr>
        <w:t>približno</w:t>
      </w:r>
      <w:r w:rsidRPr="00394D9A">
        <w:rPr>
          <w:szCs w:val="22"/>
          <w:lang w:val="sr-Latn-RS"/>
        </w:rPr>
        <w:t xml:space="preserve"> odredi intenzitet antikoagulacije postignut dabigatranom. Me</w:t>
      </w:r>
      <w:r w:rsidR="005074B7" w:rsidRPr="00394D9A">
        <w:rPr>
          <w:szCs w:val="22"/>
          <w:lang w:val="sr-Latn-RS"/>
        </w:rPr>
        <w:t>đ</w:t>
      </w:r>
      <w:r w:rsidRPr="00394D9A">
        <w:rPr>
          <w:szCs w:val="22"/>
          <w:lang w:val="sr-Latn-RS"/>
        </w:rPr>
        <w:t>utim, aPTT test ima</w:t>
      </w:r>
      <w:r w:rsidR="006D2563" w:rsidRPr="00394D9A">
        <w:rPr>
          <w:szCs w:val="22"/>
          <w:lang w:val="sr-Latn-RS"/>
        </w:rPr>
        <w:t xml:space="preserve"> </w:t>
      </w:r>
      <w:r w:rsidRPr="00394D9A">
        <w:rPr>
          <w:szCs w:val="22"/>
          <w:lang w:val="sr-Latn-RS"/>
        </w:rPr>
        <w:t xml:space="preserve">ograničenu </w:t>
      </w:r>
      <w:r w:rsidR="00322BB4" w:rsidRPr="00394D9A">
        <w:rPr>
          <w:szCs w:val="22"/>
          <w:lang w:val="sr-Latn-RS"/>
        </w:rPr>
        <w:t xml:space="preserve">osjetljivost </w:t>
      </w:r>
      <w:r w:rsidRPr="00394D9A">
        <w:rPr>
          <w:szCs w:val="22"/>
          <w:lang w:val="sr-Latn-RS"/>
        </w:rPr>
        <w:t>i nije adekvatan za preciznu kvantifikaciju antikoagulantnog efekta, naročito pri</w:t>
      </w:r>
      <w:r w:rsidR="006D2563" w:rsidRPr="00394D9A">
        <w:rPr>
          <w:szCs w:val="22"/>
          <w:lang w:val="sr-Latn-RS"/>
        </w:rPr>
        <w:t xml:space="preserve"> </w:t>
      </w:r>
      <w:r w:rsidRPr="00394D9A">
        <w:rPr>
          <w:szCs w:val="22"/>
          <w:lang w:val="sr-Latn-RS"/>
        </w:rPr>
        <w:t xml:space="preserve">visokim koncentracijama dabigatrana u plazmi. Mada visoke </w:t>
      </w:r>
      <w:r w:rsidR="00BD52DD" w:rsidRPr="00394D9A">
        <w:rPr>
          <w:szCs w:val="22"/>
          <w:lang w:val="sr-Latn-RS"/>
        </w:rPr>
        <w:t>vrijednosti</w:t>
      </w:r>
      <w:r w:rsidRPr="00394D9A">
        <w:rPr>
          <w:szCs w:val="22"/>
          <w:lang w:val="sr-Latn-RS"/>
        </w:rPr>
        <w:t xml:space="preserve"> aPTT treba tumačiti sa</w:t>
      </w:r>
      <w:r w:rsidR="006D2563" w:rsidRPr="00394D9A">
        <w:rPr>
          <w:szCs w:val="22"/>
          <w:lang w:val="sr-Latn-RS"/>
        </w:rPr>
        <w:t xml:space="preserve"> </w:t>
      </w:r>
      <w:r w:rsidRPr="00394D9A">
        <w:rPr>
          <w:szCs w:val="22"/>
          <w:lang w:val="sr-Latn-RS"/>
        </w:rPr>
        <w:t xml:space="preserve">oprezom, visoke aPTT </w:t>
      </w:r>
      <w:r w:rsidR="00BD52DD" w:rsidRPr="00394D9A">
        <w:rPr>
          <w:szCs w:val="22"/>
          <w:lang w:val="sr-Latn-RS"/>
        </w:rPr>
        <w:t>vrijednosti</w:t>
      </w:r>
      <w:r w:rsidRPr="00394D9A">
        <w:rPr>
          <w:szCs w:val="22"/>
          <w:lang w:val="sr-Latn-RS"/>
        </w:rPr>
        <w:t xml:space="preserve"> ukazuju na antikoagulaciju kod pacijenta.</w:t>
      </w:r>
    </w:p>
    <w:p w14:paraId="79963C42" w14:textId="77777777" w:rsidR="00BF5204" w:rsidRPr="00394D9A" w:rsidRDefault="00BF5204" w:rsidP="00187D17">
      <w:pPr>
        <w:widowControl w:val="0"/>
        <w:rPr>
          <w:szCs w:val="22"/>
          <w:lang w:val="sr-Latn-RS"/>
        </w:rPr>
      </w:pPr>
    </w:p>
    <w:p w14:paraId="0E6ACCE7" w14:textId="609C5F04" w:rsidR="00BF5204" w:rsidRPr="00394D9A" w:rsidRDefault="005074B7" w:rsidP="00187D17">
      <w:pPr>
        <w:widowControl w:val="0"/>
        <w:rPr>
          <w:szCs w:val="22"/>
          <w:lang w:val="sr-Latn-RS"/>
        </w:rPr>
      </w:pPr>
      <w:r w:rsidRPr="00394D9A">
        <w:rPr>
          <w:szCs w:val="22"/>
          <w:lang w:val="sr-Latn-RS"/>
        </w:rPr>
        <w:t>Uopšteno</w:t>
      </w:r>
      <w:r w:rsidR="00514603" w:rsidRPr="00394D9A">
        <w:rPr>
          <w:szCs w:val="22"/>
          <w:lang w:val="sr-Latn-RS"/>
        </w:rPr>
        <w:t>, može se pretpostaviti da ova m</w:t>
      </w:r>
      <w:r w:rsidR="006561D1" w:rsidRPr="00394D9A">
        <w:rPr>
          <w:szCs w:val="22"/>
          <w:lang w:val="sr-Latn-RS"/>
        </w:rPr>
        <w:t>j</w:t>
      </w:r>
      <w:r w:rsidR="00514603" w:rsidRPr="00394D9A">
        <w:rPr>
          <w:szCs w:val="22"/>
          <w:lang w:val="sr-Latn-RS"/>
        </w:rPr>
        <w:t xml:space="preserve">erenja antikoagulacione aktivnosti odražavaju </w:t>
      </w:r>
      <w:r w:rsidR="00BD52DD" w:rsidRPr="00394D9A">
        <w:rPr>
          <w:szCs w:val="22"/>
          <w:lang w:val="sr-Latn-RS"/>
        </w:rPr>
        <w:t>vrijednosti</w:t>
      </w:r>
      <w:r w:rsidR="006D2563" w:rsidRPr="00394D9A">
        <w:rPr>
          <w:szCs w:val="22"/>
          <w:lang w:val="sr-Latn-RS"/>
        </w:rPr>
        <w:t xml:space="preserve"> </w:t>
      </w:r>
      <w:r w:rsidR="00514603" w:rsidRPr="00394D9A">
        <w:rPr>
          <w:szCs w:val="22"/>
          <w:lang w:val="sr-Latn-RS"/>
        </w:rPr>
        <w:t>dabigatrana i da mogu da pomognu pri proc</w:t>
      </w:r>
      <w:r w:rsidR="006561D1" w:rsidRPr="00394D9A">
        <w:rPr>
          <w:szCs w:val="22"/>
          <w:lang w:val="sr-Latn-RS"/>
        </w:rPr>
        <w:t>j</w:t>
      </w:r>
      <w:r w:rsidR="00514603" w:rsidRPr="00394D9A">
        <w:rPr>
          <w:szCs w:val="22"/>
          <w:lang w:val="sr-Latn-RS"/>
        </w:rPr>
        <w:t>eni rizika od krvarenja, npr.</w:t>
      </w:r>
      <w:r w:rsidR="00322BB4" w:rsidRPr="00394D9A">
        <w:rPr>
          <w:szCs w:val="22"/>
          <w:lang w:val="sr-Latn-RS"/>
        </w:rPr>
        <w:t xml:space="preserve"> </w:t>
      </w:r>
      <w:r w:rsidR="00514603" w:rsidRPr="00394D9A">
        <w:rPr>
          <w:szCs w:val="22"/>
          <w:lang w:val="sr-Latn-RS"/>
        </w:rPr>
        <w:t>u slučaju da prelaze 90.</w:t>
      </w:r>
      <w:r w:rsidR="00DC46EB" w:rsidRPr="00394D9A">
        <w:rPr>
          <w:szCs w:val="22"/>
          <w:lang w:val="sr-Latn-RS"/>
        </w:rPr>
        <w:t xml:space="preserve"> </w:t>
      </w:r>
      <w:r w:rsidR="00514603" w:rsidRPr="00394D9A">
        <w:rPr>
          <w:szCs w:val="22"/>
          <w:lang w:val="sr-Latn-RS"/>
        </w:rPr>
        <w:lastRenderedPageBreak/>
        <w:t>percentil</w:t>
      </w:r>
      <w:r w:rsidR="006D2563" w:rsidRPr="00394D9A">
        <w:rPr>
          <w:szCs w:val="22"/>
          <w:lang w:val="sr-Latn-RS"/>
        </w:rPr>
        <w:t xml:space="preserve"> </w:t>
      </w:r>
      <w:r w:rsidR="00514603" w:rsidRPr="00394D9A">
        <w:rPr>
          <w:szCs w:val="22"/>
          <w:lang w:val="sr-Latn-RS"/>
        </w:rPr>
        <w:t xml:space="preserve">početnih </w:t>
      </w:r>
      <w:r w:rsidR="00BD52DD" w:rsidRPr="00394D9A">
        <w:rPr>
          <w:szCs w:val="22"/>
          <w:lang w:val="sr-Latn-RS"/>
        </w:rPr>
        <w:t>vrijednosti</w:t>
      </w:r>
      <w:r w:rsidR="00514603" w:rsidRPr="00394D9A">
        <w:rPr>
          <w:szCs w:val="22"/>
          <w:lang w:val="sr-Latn-RS"/>
        </w:rPr>
        <w:t xml:space="preserve"> dabigatrana ili početnih </w:t>
      </w:r>
      <w:r w:rsidR="00BD52DD" w:rsidRPr="00394D9A">
        <w:rPr>
          <w:szCs w:val="22"/>
          <w:lang w:val="sr-Latn-RS"/>
        </w:rPr>
        <w:t>vrijednosti</w:t>
      </w:r>
      <w:r w:rsidR="00514603" w:rsidRPr="00394D9A">
        <w:rPr>
          <w:szCs w:val="22"/>
          <w:lang w:val="sr-Latn-RS"/>
        </w:rPr>
        <w:t xml:space="preserve"> aPTT testa (za aPTT prag </w:t>
      </w:r>
      <w:r w:rsidR="00DC46EB" w:rsidRPr="00394D9A">
        <w:rPr>
          <w:szCs w:val="22"/>
          <w:lang w:val="sr-Latn-RS"/>
        </w:rPr>
        <w:t xml:space="preserve">vidjeti </w:t>
      </w:r>
      <w:r w:rsidR="00514603" w:rsidRPr="00394D9A">
        <w:rPr>
          <w:szCs w:val="22"/>
          <w:lang w:val="sr-Latn-RS"/>
        </w:rPr>
        <w:t xml:space="preserve">tabelu 3 u </w:t>
      </w:r>
      <w:r w:rsidR="00322BB4" w:rsidRPr="00394D9A">
        <w:rPr>
          <w:szCs w:val="22"/>
          <w:lang w:val="sr-Latn-RS"/>
        </w:rPr>
        <w:t xml:space="preserve">dijelu </w:t>
      </w:r>
      <w:r w:rsidR="00514603" w:rsidRPr="00394D9A">
        <w:rPr>
          <w:szCs w:val="22"/>
          <w:lang w:val="sr-Latn-RS"/>
        </w:rPr>
        <w:t>4.4), smatra se da je rizik za nastanak krvarenja povećan.</w:t>
      </w:r>
    </w:p>
    <w:p w14:paraId="5EBC7A4C" w14:textId="77777777" w:rsidR="00BF5204" w:rsidRPr="00394D9A" w:rsidRDefault="00BF5204" w:rsidP="00187D17">
      <w:pPr>
        <w:widowControl w:val="0"/>
        <w:rPr>
          <w:i/>
          <w:iCs/>
          <w:szCs w:val="22"/>
          <w:u w:val="single"/>
          <w:lang w:val="sr-Latn-RS"/>
        </w:rPr>
      </w:pPr>
    </w:p>
    <w:p w14:paraId="4B16F0F1" w14:textId="77777777" w:rsidR="00C70901" w:rsidRPr="00394D9A" w:rsidRDefault="00C70901" w:rsidP="00187D17">
      <w:pPr>
        <w:widowControl w:val="0"/>
        <w:rPr>
          <w:i/>
          <w:iCs/>
          <w:szCs w:val="22"/>
          <w:u w:val="single"/>
          <w:lang w:val="sr-Latn-RS"/>
        </w:rPr>
      </w:pPr>
      <w:r w:rsidRPr="00394D9A">
        <w:rPr>
          <w:i/>
          <w:iCs/>
          <w:szCs w:val="22"/>
          <w:u w:val="single"/>
          <w:lang w:val="sr-Latn-RS"/>
        </w:rPr>
        <w:t>Prevencija moždanog udara i sistemske embolije kod odraslih pacijenata sa NVAF sa jednim ili više faktora rizika (prevencija MU i SE kod AF)</w:t>
      </w:r>
    </w:p>
    <w:p w14:paraId="216289D3" w14:textId="77777777" w:rsidR="00C70901" w:rsidRPr="00394D9A" w:rsidRDefault="00C70901" w:rsidP="00187D17">
      <w:pPr>
        <w:widowControl w:val="0"/>
        <w:rPr>
          <w:i/>
          <w:iCs/>
          <w:szCs w:val="22"/>
          <w:u w:val="single"/>
          <w:lang w:val="sr-Latn-RS"/>
        </w:rPr>
      </w:pPr>
    </w:p>
    <w:p w14:paraId="6BBFE46B" w14:textId="0249AB99" w:rsidR="00BF5204" w:rsidRPr="00394D9A" w:rsidRDefault="00BF5204" w:rsidP="00187D17">
      <w:pPr>
        <w:widowControl w:val="0"/>
        <w:rPr>
          <w:szCs w:val="22"/>
          <w:lang w:val="sr-Latn-RS"/>
        </w:rPr>
      </w:pPr>
      <w:r w:rsidRPr="00394D9A">
        <w:rPr>
          <w:szCs w:val="22"/>
          <w:lang w:val="sr-Latn-RS"/>
        </w:rPr>
        <w:t xml:space="preserve">Geometrijska </w:t>
      </w:r>
      <w:r w:rsidR="005074B7" w:rsidRPr="00394D9A">
        <w:rPr>
          <w:szCs w:val="22"/>
          <w:lang w:val="sr-Latn-RS"/>
        </w:rPr>
        <w:t>srednja vr</w:t>
      </w:r>
      <w:r w:rsidR="006561D1" w:rsidRPr="00394D9A">
        <w:rPr>
          <w:szCs w:val="22"/>
          <w:lang w:val="sr-Latn-RS"/>
        </w:rPr>
        <w:t>ij</w:t>
      </w:r>
      <w:r w:rsidR="005074B7" w:rsidRPr="00394D9A">
        <w:rPr>
          <w:szCs w:val="22"/>
          <w:lang w:val="sr-Latn-RS"/>
        </w:rPr>
        <w:t>ednost</w:t>
      </w:r>
      <w:r w:rsidRPr="00394D9A">
        <w:rPr>
          <w:szCs w:val="22"/>
          <w:lang w:val="sr-Latn-RS"/>
        </w:rPr>
        <w:t xml:space="preserve"> </w:t>
      </w:r>
      <w:r w:rsidR="0091609B" w:rsidRPr="00394D9A">
        <w:rPr>
          <w:szCs w:val="22"/>
          <w:lang w:val="sr-Latn-RS"/>
        </w:rPr>
        <w:t xml:space="preserve">maksimalne </w:t>
      </w:r>
      <w:r w:rsidRPr="00394D9A">
        <w:rPr>
          <w:szCs w:val="22"/>
          <w:lang w:val="sr-Latn-RS"/>
        </w:rPr>
        <w:t>koncetracije dabigatrana u plazmi u stanju ravnoteže, m</w:t>
      </w:r>
      <w:r w:rsidR="006561D1" w:rsidRPr="00394D9A">
        <w:rPr>
          <w:szCs w:val="22"/>
          <w:lang w:val="sr-Latn-RS"/>
        </w:rPr>
        <w:t>j</w:t>
      </w:r>
      <w:r w:rsidRPr="00394D9A">
        <w:rPr>
          <w:szCs w:val="22"/>
          <w:lang w:val="sr-Latn-RS"/>
        </w:rPr>
        <w:t xml:space="preserve">erena 2 sata nakon </w:t>
      </w:r>
      <w:r w:rsidR="00A639DA" w:rsidRPr="00394D9A">
        <w:rPr>
          <w:szCs w:val="22"/>
          <w:lang w:val="sr-Latn-RS"/>
        </w:rPr>
        <w:t>primjene</w:t>
      </w:r>
      <w:r w:rsidRPr="00394D9A">
        <w:rPr>
          <w:szCs w:val="22"/>
          <w:lang w:val="sr-Latn-RS"/>
        </w:rPr>
        <w:t xml:space="preserve"> 150 mg dabigatran</w:t>
      </w:r>
      <w:r w:rsidR="003D2DBC" w:rsidRPr="00394D9A">
        <w:rPr>
          <w:szCs w:val="22"/>
          <w:lang w:val="sr-Latn-RS"/>
        </w:rPr>
        <w:t xml:space="preserve"> </w:t>
      </w:r>
      <w:r w:rsidRPr="00394D9A">
        <w:rPr>
          <w:szCs w:val="22"/>
          <w:lang w:val="sr-Latn-RS"/>
        </w:rPr>
        <w:t>eteksilata dva puta na dan, iznosila je 175 nanograma/m</w:t>
      </w:r>
      <w:r w:rsidR="0091609B" w:rsidRPr="00394D9A">
        <w:rPr>
          <w:szCs w:val="22"/>
          <w:lang w:val="sr-Latn-RS"/>
        </w:rPr>
        <w:t>l</w:t>
      </w:r>
      <w:r w:rsidRPr="00394D9A">
        <w:rPr>
          <w:szCs w:val="22"/>
          <w:lang w:val="sr-Latn-RS"/>
        </w:rPr>
        <w:t>, sa opsegom 117</w:t>
      </w:r>
      <w:r w:rsidR="005074B7" w:rsidRPr="00394D9A">
        <w:rPr>
          <w:szCs w:val="22"/>
          <w:lang w:val="sr-Latn-RS"/>
        </w:rPr>
        <w:t>-</w:t>
      </w:r>
      <w:r w:rsidRPr="00394D9A">
        <w:rPr>
          <w:szCs w:val="22"/>
          <w:lang w:val="sr-Latn-RS"/>
        </w:rPr>
        <w:t>275 nanograma/m</w:t>
      </w:r>
      <w:r w:rsidR="0091609B" w:rsidRPr="00394D9A">
        <w:rPr>
          <w:szCs w:val="22"/>
          <w:lang w:val="sr-Latn-RS"/>
        </w:rPr>
        <w:t>l</w:t>
      </w:r>
      <w:r w:rsidRPr="00394D9A">
        <w:rPr>
          <w:szCs w:val="22"/>
          <w:lang w:val="sr-Latn-RS"/>
        </w:rPr>
        <w:t xml:space="preserve"> (opseg 25</w:t>
      </w:r>
      <w:r w:rsidR="005074B7" w:rsidRPr="00394D9A">
        <w:rPr>
          <w:szCs w:val="22"/>
          <w:lang w:val="sr-Latn-RS"/>
        </w:rPr>
        <w:t>-</w:t>
      </w:r>
      <w:r w:rsidRPr="00394D9A">
        <w:rPr>
          <w:szCs w:val="22"/>
          <w:lang w:val="sr-Latn-RS"/>
        </w:rPr>
        <w:t>75. percentil</w:t>
      </w:r>
      <w:r w:rsidR="005074B7" w:rsidRPr="00394D9A">
        <w:rPr>
          <w:szCs w:val="22"/>
          <w:lang w:val="sr-Latn-RS"/>
        </w:rPr>
        <w:t>a</w:t>
      </w:r>
      <w:r w:rsidRPr="00394D9A">
        <w:rPr>
          <w:szCs w:val="22"/>
          <w:lang w:val="sr-Latn-RS"/>
        </w:rPr>
        <w:t>). Geometrijska sredina najniže koncentracije dabigatrana m</w:t>
      </w:r>
      <w:r w:rsidR="006561D1" w:rsidRPr="00394D9A">
        <w:rPr>
          <w:szCs w:val="22"/>
          <w:lang w:val="sr-Latn-RS"/>
        </w:rPr>
        <w:t>j</w:t>
      </w:r>
      <w:r w:rsidRPr="00394D9A">
        <w:rPr>
          <w:szCs w:val="22"/>
          <w:lang w:val="sr-Latn-RS"/>
        </w:rPr>
        <w:t>erene ujutru na kraju doznog intervala (tj. 12 sati nakon večernje doze dabigatrana od 150 mg), iznosila je u pros</w:t>
      </w:r>
      <w:r w:rsidR="006561D1" w:rsidRPr="00394D9A">
        <w:rPr>
          <w:szCs w:val="22"/>
          <w:lang w:val="sr-Latn-RS"/>
        </w:rPr>
        <w:t>j</w:t>
      </w:r>
      <w:r w:rsidRPr="00394D9A">
        <w:rPr>
          <w:szCs w:val="22"/>
          <w:lang w:val="sr-Latn-RS"/>
        </w:rPr>
        <w:t>eku 91,0 nanograma/m</w:t>
      </w:r>
      <w:r w:rsidR="0091609B" w:rsidRPr="00394D9A">
        <w:rPr>
          <w:szCs w:val="22"/>
          <w:lang w:val="sr-Latn-RS"/>
        </w:rPr>
        <w:t>l</w:t>
      </w:r>
      <w:r w:rsidRPr="00394D9A">
        <w:rPr>
          <w:szCs w:val="22"/>
          <w:lang w:val="sr-Latn-RS"/>
        </w:rPr>
        <w:t>, sa opsegom 61,0</w:t>
      </w:r>
      <w:r w:rsidR="005074B7" w:rsidRPr="00394D9A">
        <w:rPr>
          <w:szCs w:val="22"/>
          <w:lang w:val="sr-Latn-RS"/>
        </w:rPr>
        <w:t>-</w:t>
      </w:r>
      <w:r w:rsidRPr="00394D9A">
        <w:rPr>
          <w:szCs w:val="22"/>
          <w:lang w:val="sr-Latn-RS"/>
        </w:rPr>
        <w:t>143 nanograma/m</w:t>
      </w:r>
      <w:r w:rsidR="0091609B" w:rsidRPr="00394D9A">
        <w:rPr>
          <w:szCs w:val="22"/>
          <w:lang w:val="sr-Latn-RS"/>
        </w:rPr>
        <w:t>l</w:t>
      </w:r>
      <w:r w:rsidRPr="00394D9A">
        <w:rPr>
          <w:szCs w:val="22"/>
          <w:lang w:val="sr-Latn-RS"/>
        </w:rPr>
        <w:t xml:space="preserve"> (opseg 25</w:t>
      </w:r>
      <w:r w:rsidR="005074B7" w:rsidRPr="00394D9A">
        <w:rPr>
          <w:szCs w:val="22"/>
          <w:lang w:val="sr-Latn-RS"/>
        </w:rPr>
        <w:t>-</w:t>
      </w:r>
      <w:r w:rsidRPr="00394D9A">
        <w:rPr>
          <w:szCs w:val="22"/>
          <w:lang w:val="sr-Latn-RS"/>
        </w:rPr>
        <w:t>75. percentil</w:t>
      </w:r>
      <w:r w:rsidR="005074B7" w:rsidRPr="00394D9A">
        <w:rPr>
          <w:szCs w:val="22"/>
          <w:lang w:val="sr-Latn-RS"/>
        </w:rPr>
        <w:t>a</w:t>
      </w:r>
      <w:r w:rsidRPr="00394D9A">
        <w:rPr>
          <w:szCs w:val="22"/>
          <w:lang w:val="sr-Latn-RS"/>
        </w:rPr>
        <w:t>).</w:t>
      </w:r>
    </w:p>
    <w:p w14:paraId="63120408" w14:textId="77777777" w:rsidR="00BF5204" w:rsidRPr="00394D9A" w:rsidRDefault="00BF5204" w:rsidP="00187D17">
      <w:pPr>
        <w:widowControl w:val="0"/>
        <w:rPr>
          <w:szCs w:val="22"/>
          <w:lang w:val="sr-Latn-RS"/>
        </w:rPr>
      </w:pPr>
    </w:p>
    <w:p w14:paraId="5622ADAA" w14:textId="6CA9B11F" w:rsidR="00DB728F" w:rsidRPr="00394D9A" w:rsidRDefault="00DB728F" w:rsidP="00187D17">
      <w:pPr>
        <w:widowControl w:val="0"/>
        <w:rPr>
          <w:szCs w:val="22"/>
          <w:lang w:val="sr-Latn-RS"/>
        </w:rPr>
      </w:pPr>
      <w:r w:rsidRPr="00394D9A">
        <w:rPr>
          <w:szCs w:val="22"/>
          <w:lang w:val="sr-Latn-RS"/>
        </w:rPr>
        <w:t xml:space="preserve">Kod pacijenata sa atrijalnom nevalvularnom fibrilacijom </w:t>
      </w:r>
      <w:r w:rsidR="00813D6A" w:rsidRPr="00394D9A">
        <w:rPr>
          <w:szCs w:val="22"/>
          <w:lang w:val="sr-Latn-RS"/>
        </w:rPr>
        <w:t>liječenih</w:t>
      </w:r>
      <w:r w:rsidRPr="00394D9A">
        <w:rPr>
          <w:szCs w:val="22"/>
          <w:lang w:val="sr-Latn-RS"/>
        </w:rPr>
        <w:t xml:space="preserve"> za prevenciju moždanog udara i sistemske embolije sa 150 mg dabigatraneteksilata dva puta na dan:</w:t>
      </w:r>
    </w:p>
    <w:p w14:paraId="0B6D342B" w14:textId="5F48AF33" w:rsidR="00DB728F" w:rsidRPr="00394D9A" w:rsidRDefault="00DB728F" w:rsidP="00187D17">
      <w:pPr>
        <w:pStyle w:val="ListParagraph"/>
        <w:widowControl w:val="0"/>
        <w:numPr>
          <w:ilvl w:val="0"/>
          <w:numId w:val="15"/>
        </w:numPr>
        <w:rPr>
          <w:szCs w:val="22"/>
          <w:lang w:val="sr-Latn-RS"/>
        </w:rPr>
      </w:pPr>
      <w:r w:rsidRPr="00394D9A">
        <w:rPr>
          <w:szCs w:val="22"/>
          <w:lang w:val="sr-Latn-RS"/>
        </w:rPr>
        <w:t>90. percentil</w:t>
      </w:r>
      <w:r w:rsidR="0091609B" w:rsidRPr="00394D9A">
        <w:rPr>
          <w:szCs w:val="22"/>
          <w:lang w:val="sr-Latn-RS"/>
        </w:rPr>
        <w:t>a</w:t>
      </w:r>
      <w:r w:rsidRPr="00394D9A">
        <w:rPr>
          <w:szCs w:val="22"/>
          <w:lang w:val="sr-Latn-RS"/>
        </w:rPr>
        <w:t xml:space="preserve"> koncentracije dabigatrana u plazmi iznosio je 200 nanograma/m</w:t>
      </w:r>
      <w:r w:rsidR="0091609B" w:rsidRPr="00394D9A">
        <w:rPr>
          <w:szCs w:val="22"/>
          <w:lang w:val="sr-Latn-RS"/>
        </w:rPr>
        <w:t>l</w:t>
      </w:r>
      <w:r w:rsidRPr="00394D9A">
        <w:rPr>
          <w:szCs w:val="22"/>
          <w:lang w:val="sr-Latn-RS"/>
        </w:rPr>
        <w:t>, m</w:t>
      </w:r>
      <w:r w:rsidR="005F52C8" w:rsidRPr="00394D9A">
        <w:rPr>
          <w:szCs w:val="22"/>
          <w:lang w:val="sr-Latn-RS"/>
        </w:rPr>
        <w:t>j</w:t>
      </w:r>
      <w:r w:rsidRPr="00394D9A">
        <w:rPr>
          <w:szCs w:val="22"/>
          <w:lang w:val="sr-Latn-RS"/>
        </w:rPr>
        <w:t>ereno pri najnižoj koncentraciji u plazmi (10-16 sati nakon prethodne doze);</w:t>
      </w:r>
    </w:p>
    <w:p w14:paraId="77770E30" w14:textId="2420C3E3" w:rsidR="00DB728F" w:rsidRPr="00394D9A" w:rsidRDefault="00DB728F" w:rsidP="00187D17">
      <w:pPr>
        <w:pStyle w:val="ListParagraph"/>
        <w:widowControl w:val="0"/>
        <w:numPr>
          <w:ilvl w:val="0"/>
          <w:numId w:val="15"/>
        </w:numPr>
        <w:rPr>
          <w:szCs w:val="22"/>
          <w:lang w:val="sr-Latn-RS"/>
        </w:rPr>
      </w:pPr>
      <w:r w:rsidRPr="00394D9A">
        <w:rPr>
          <w:szCs w:val="22"/>
          <w:lang w:val="sr-Latn-RS"/>
        </w:rPr>
        <w:t>Najniža vr</w:t>
      </w:r>
      <w:r w:rsidR="005F52C8" w:rsidRPr="00394D9A">
        <w:rPr>
          <w:szCs w:val="22"/>
          <w:lang w:val="sr-Latn-RS"/>
        </w:rPr>
        <w:t>ij</w:t>
      </w:r>
      <w:r w:rsidRPr="00394D9A">
        <w:rPr>
          <w:szCs w:val="22"/>
          <w:lang w:val="sr-Latn-RS"/>
        </w:rPr>
        <w:t>ednost ECT (10-16 sati nakon prethodne doze), bila je povišena otprilike 3 puta iznad gornje granice normale, sto je odgovaralo observiranom 90. percentilu produženja ECT od 103 sekunde;</w:t>
      </w:r>
    </w:p>
    <w:p w14:paraId="2D684CF6" w14:textId="766AD50E" w:rsidR="00DB728F" w:rsidRPr="00394D9A" w:rsidRDefault="00DB728F" w:rsidP="00187D17">
      <w:pPr>
        <w:pStyle w:val="ListParagraph"/>
        <w:widowControl w:val="0"/>
        <w:numPr>
          <w:ilvl w:val="0"/>
          <w:numId w:val="15"/>
        </w:numPr>
        <w:rPr>
          <w:szCs w:val="22"/>
          <w:lang w:val="sr-Latn-RS"/>
        </w:rPr>
      </w:pPr>
      <w:r w:rsidRPr="00394D9A">
        <w:rPr>
          <w:szCs w:val="22"/>
          <w:lang w:val="sr-Latn-RS"/>
        </w:rPr>
        <w:t>aPTT vr</w:t>
      </w:r>
      <w:r w:rsidR="005F52C8" w:rsidRPr="00394D9A">
        <w:rPr>
          <w:szCs w:val="22"/>
          <w:lang w:val="sr-Latn-RS"/>
        </w:rPr>
        <w:t>ij</w:t>
      </w:r>
      <w:r w:rsidRPr="00394D9A">
        <w:rPr>
          <w:szCs w:val="22"/>
          <w:lang w:val="sr-Latn-RS"/>
        </w:rPr>
        <w:t xml:space="preserve">ednost dvostruko veća od gornje granice normale (produženje aPTT od oko 80 sekundi), pri najnižoj </w:t>
      </w:r>
      <w:r w:rsidR="00BD52DD" w:rsidRPr="00394D9A">
        <w:rPr>
          <w:szCs w:val="22"/>
          <w:lang w:val="sr-Latn-RS"/>
        </w:rPr>
        <w:t>vrijednosti</w:t>
      </w:r>
      <w:r w:rsidRPr="00394D9A">
        <w:rPr>
          <w:szCs w:val="22"/>
          <w:lang w:val="sr-Latn-RS"/>
        </w:rPr>
        <w:t xml:space="preserve"> (10-16 sati nakon prethodne doze) odgovarala je observiranom 90. percentilu.</w:t>
      </w:r>
    </w:p>
    <w:p w14:paraId="1C9D78C4" w14:textId="77777777" w:rsidR="00BF5204" w:rsidRPr="00394D9A" w:rsidRDefault="00BF5204" w:rsidP="00187D17">
      <w:pPr>
        <w:widowControl w:val="0"/>
        <w:rPr>
          <w:i/>
          <w:iCs/>
          <w:szCs w:val="22"/>
          <w:u w:val="single"/>
          <w:lang w:val="sr-Latn-RS"/>
        </w:rPr>
      </w:pPr>
    </w:p>
    <w:p w14:paraId="27E8237C" w14:textId="68560374" w:rsidR="006337CD" w:rsidRPr="00394D9A" w:rsidRDefault="006337CD" w:rsidP="00187D17">
      <w:pPr>
        <w:widowControl w:val="0"/>
        <w:ind w:right="40"/>
        <w:rPr>
          <w:i/>
          <w:szCs w:val="22"/>
          <w:u w:val="single"/>
          <w:lang w:val="sr-Latn-RS"/>
        </w:rPr>
      </w:pPr>
      <w:r w:rsidRPr="00394D9A">
        <w:rPr>
          <w:i/>
          <w:szCs w:val="22"/>
          <w:u w:val="single"/>
          <w:lang w:val="sr-Latn-RS"/>
        </w:rPr>
        <w:t>Tretman DVT i PE i prevencija rekurentnog DVT i PE kod odraslih osobs (DVT/PE)</w:t>
      </w:r>
    </w:p>
    <w:p w14:paraId="01A11F7F" w14:textId="77777777" w:rsidR="006337CD" w:rsidRPr="00394D9A" w:rsidRDefault="006337CD" w:rsidP="00187D17">
      <w:pPr>
        <w:widowControl w:val="0"/>
        <w:rPr>
          <w:szCs w:val="22"/>
          <w:lang w:val="sr-Latn-RS"/>
        </w:rPr>
      </w:pPr>
    </w:p>
    <w:p w14:paraId="08B4A695" w14:textId="060C7142" w:rsidR="00772DBB" w:rsidRPr="00394D9A" w:rsidRDefault="00772DBB" w:rsidP="00187D17">
      <w:pPr>
        <w:widowControl w:val="0"/>
        <w:rPr>
          <w:szCs w:val="22"/>
          <w:lang w:val="sr-Latn-RS"/>
        </w:rPr>
      </w:pPr>
      <w:r w:rsidRPr="00394D9A">
        <w:rPr>
          <w:szCs w:val="22"/>
          <w:lang w:val="sr-Latn-RS"/>
        </w:rPr>
        <w:t>Kod pacijenata l</w:t>
      </w:r>
      <w:r w:rsidR="005F52C8" w:rsidRPr="00394D9A">
        <w:rPr>
          <w:szCs w:val="22"/>
          <w:lang w:val="sr-Latn-RS"/>
        </w:rPr>
        <w:t>ij</w:t>
      </w:r>
      <w:r w:rsidRPr="00394D9A">
        <w:rPr>
          <w:szCs w:val="22"/>
          <w:lang w:val="sr-Latn-RS"/>
        </w:rPr>
        <w:t>ečenih zbog DVT i PE sa 150 mg dabigatraneteksilata dva puta na dan, geometrijska srednja vr</w:t>
      </w:r>
      <w:r w:rsidR="005F52C8" w:rsidRPr="00394D9A">
        <w:rPr>
          <w:szCs w:val="22"/>
          <w:lang w:val="sr-Latn-RS"/>
        </w:rPr>
        <w:t>ij</w:t>
      </w:r>
      <w:r w:rsidRPr="00394D9A">
        <w:rPr>
          <w:szCs w:val="22"/>
          <w:lang w:val="sr-Latn-RS"/>
        </w:rPr>
        <w:t>ednost koncentracije dabigatrana, m</w:t>
      </w:r>
      <w:r w:rsidR="005F52C8" w:rsidRPr="00394D9A">
        <w:rPr>
          <w:szCs w:val="22"/>
          <w:lang w:val="sr-Latn-RS"/>
        </w:rPr>
        <w:t>j</w:t>
      </w:r>
      <w:r w:rsidRPr="00394D9A">
        <w:rPr>
          <w:szCs w:val="22"/>
          <w:lang w:val="sr-Latn-RS"/>
        </w:rPr>
        <w:t xml:space="preserve">erena unutar 10-16 sati nakon </w:t>
      </w:r>
      <w:r w:rsidR="00A639DA" w:rsidRPr="00394D9A">
        <w:rPr>
          <w:szCs w:val="22"/>
          <w:lang w:val="sr-Latn-RS"/>
        </w:rPr>
        <w:t>primjene</w:t>
      </w:r>
      <w:r w:rsidRPr="00394D9A">
        <w:rPr>
          <w:szCs w:val="22"/>
          <w:lang w:val="sr-Latn-RS"/>
        </w:rPr>
        <w:t xml:space="preserve"> doze, pri kraju doznog intervala (tj. 12 sati nakon večernje doze 150 mg dabigatrana), bila je 59,7 nanograma/m</w:t>
      </w:r>
      <w:r w:rsidR="00336EEB" w:rsidRPr="00394D9A">
        <w:rPr>
          <w:szCs w:val="22"/>
          <w:lang w:val="sr-Latn-RS"/>
        </w:rPr>
        <w:t>l</w:t>
      </w:r>
      <w:r w:rsidRPr="00394D9A">
        <w:rPr>
          <w:szCs w:val="22"/>
          <w:lang w:val="sr-Latn-RS"/>
        </w:rPr>
        <w:t>, sa rasponom od 38,6-94,5 nanograma/m</w:t>
      </w:r>
      <w:r w:rsidR="006337CD" w:rsidRPr="00394D9A">
        <w:rPr>
          <w:szCs w:val="22"/>
          <w:lang w:val="sr-Latn-RS"/>
        </w:rPr>
        <w:t>l</w:t>
      </w:r>
      <w:r w:rsidRPr="00394D9A">
        <w:rPr>
          <w:szCs w:val="22"/>
          <w:lang w:val="sr-Latn-RS"/>
        </w:rPr>
        <w:t xml:space="preserve"> (raspon 25-75. percentila). Za l</w:t>
      </w:r>
      <w:r w:rsidR="005F52C8" w:rsidRPr="00394D9A">
        <w:rPr>
          <w:szCs w:val="22"/>
          <w:lang w:val="sr-Latn-RS"/>
        </w:rPr>
        <w:t>ij</w:t>
      </w:r>
      <w:r w:rsidRPr="00394D9A">
        <w:rPr>
          <w:szCs w:val="22"/>
          <w:lang w:val="sr-Latn-RS"/>
        </w:rPr>
        <w:t>ečenje DVT i PE dabigatraneteksilatom 150 mg dva puta na dan:</w:t>
      </w:r>
    </w:p>
    <w:p w14:paraId="156754DC" w14:textId="2661AE92" w:rsidR="00772DBB" w:rsidRPr="00394D9A" w:rsidRDefault="00772DBB" w:rsidP="00187D17">
      <w:pPr>
        <w:pStyle w:val="ListParagraph"/>
        <w:widowControl w:val="0"/>
        <w:numPr>
          <w:ilvl w:val="0"/>
          <w:numId w:val="16"/>
        </w:numPr>
        <w:rPr>
          <w:szCs w:val="22"/>
          <w:lang w:val="sr-Latn-RS"/>
        </w:rPr>
      </w:pPr>
      <w:r w:rsidRPr="00394D9A">
        <w:rPr>
          <w:szCs w:val="22"/>
          <w:lang w:val="sr-Latn-RS"/>
        </w:rPr>
        <w:t>90. percentil</w:t>
      </w:r>
      <w:r w:rsidR="006337CD" w:rsidRPr="00394D9A">
        <w:rPr>
          <w:szCs w:val="22"/>
          <w:lang w:val="sr-Latn-RS"/>
        </w:rPr>
        <w:t>a</w:t>
      </w:r>
      <w:r w:rsidRPr="00394D9A">
        <w:rPr>
          <w:szCs w:val="22"/>
          <w:lang w:val="sr-Latn-RS"/>
        </w:rPr>
        <w:t xml:space="preserve"> koncentracije dabigatrana u plazmi m</w:t>
      </w:r>
      <w:r w:rsidR="005F52C8" w:rsidRPr="00394D9A">
        <w:rPr>
          <w:szCs w:val="22"/>
          <w:lang w:val="sr-Latn-RS"/>
        </w:rPr>
        <w:t>j</w:t>
      </w:r>
      <w:r w:rsidRPr="00394D9A">
        <w:rPr>
          <w:szCs w:val="22"/>
          <w:lang w:val="sr-Latn-RS"/>
        </w:rPr>
        <w:t>erene pri kraju doznog intervala (10-16 sati nakon prethodne doze) iznosio je oko 146 nanograma/m</w:t>
      </w:r>
      <w:r w:rsidR="006337CD" w:rsidRPr="00394D9A">
        <w:rPr>
          <w:szCs w:val="22"/>
          <w:lang w:val="sr-Latn-RS"/>
        </w:rPr>
        <w:t>l</w:t>
      </w:r>
      <w:r w:rsidRPr="00394D9A">
        <w:rPr>
          <w:szCs w:val="22"/>
          <w:lang w:val="sr-Latn-RS"/>
        </w:rPr>
        <w:t>;</w:t>
      </w:r>
    </w:p>
    <w:p w14:paraId="382F2E46" w14:textId="77777777" w:rsidR="00772DBB" w:rsidRPr="00394D9A" w:rsidRDefault="00772DBB" w:rsidP="00187D17">
      <w:pPr>
        <w:pStyle w:val="ListParagraph"/>
        <w:widowControl w:val="0"/>
        <w:numPr>
          <w:ilvl w:val="0"/>
          <w:numId w:val="16"/>
        </w:numPr>
        <w:rPr>
          <w:szCs w:val="22"/>
          <w:lang w:val="sr-Latn-RS"/>
        </w:rPr>
      </w:pPr>
      <w:r w:rsidRPr="00394D9A">
        <w:rPr>
          <w:szCs w:val="22"/>
          <w:lang w:val="sr-Latn-RS"/>
        </w:rPr>
        <w:t>ECT pri kraju doznog intervala (10-16 sati nakon prethodne doze) povišen za oko 2,3 puta u poređenju sa početnom vrednošću odnosi se na opservaciju 90. percentila produženja ECT od 74 sekundi;</w:t>
      </w:r>
    </w:p>
    <w:p w14:paraId="050F0FAC" w14:textId="1045BF6D" w:rsidR="00772DBB" w:rsidRPr="00394D9A" w:rsidRDefault="00772DBB" w:rsidP="00187D17">
      <w:pPr>
        <w:pStyle w:val="ListParagraph"/>
        <w:widowControl w:val="0"/>
        <w:numPr>
          <w:ilvl w:val="0"/>
          <w:numId w:val="16"/>
        </w:numPr>
        <w:rPr>
          <w:szCs w:val="22"/>
          <w:lang w:val="sr-Latn-RS"/>
        </w:rPr>
      </w:pPr>
      <w:r w:rsidRPr="00394D9A">
        <w:rPr>
          <w:szCs w:val="22"/>
          <w:lang w:val="sr-Latn-RS"/>
        </w:rPr>
        <w:t>90. percentila aPTT pri kraju doznog intervala (10-16 sati nakon prethodne doze) bila je 62 sekunde, što bi bilo 1,8 puta više u poređenju sa početnom vr</w:t>
      </w:r>
      <w:r w:rsidR="005F52C8" w:rsidRPr="00394D9A">
        <w:rPr>
          <w:szCs w:val="22"/>
          <w:lang w:val="sr-Latn-RS"/>
        </w:rPr>
        <w:t>ij</w:t>
      </w:r>
      <w:r w:rsidRPr="00394D9A">
        <w:rPr>
          <w:szCs w:val="22"/>
          <w:lang w:val="sr-Latn-RS"/>
        </w:rPr>
        <w:t>ednošću.</w:t>
      </w:r>
    </w:p>
    <w:p w14:paraId="2DD8DD9A" w14:textId="77777777" w:rsidR="00772DBB" w:rsidRPr="00394D9A" w:rsidRDefault="00772DBB" w:rsidP="00187D17">
      <w:pPr>
        <w:widowControl w:val="0"/>
        <w:rPr>
          <w:szCs w:val="22"/>
          <w:lang w:val="sr-Latn-RS"/>
        </w:rPr>
      </w:pPr>
    </w:p>
    <w:p w14:paraId="73BA258C" w14:textId="494D9F1B" w:rsidR="00772DBB" w:rsidRPr="00394D9A" w:rsidRDefault="00772DBB" w:rsidP="00187D17">
      <w:pPr>
        <w:widowControl w:val="0"/>
        <w:rPr>
          <w:szCs w:val="22"/>
          <w:lang w:val="sr-Latn-RS"/>
        </w:rPr>
      </w:pPr>
      <w:r w:rsidRPr="00394D9A">
        <w:rPr>
          <w:szCs w:val="22"/>
          <w:lang w:val="sr-Latn-RS"/>
        </w:rPr>
        <w:t>Ni</w:t>
      </w:r>
      <w:r w:rsidR="00157169" w:rsidRPr="00394D9A">
        <w:rPr>
          <w:szCs w:val="22"/>
          <w:lang w:val="sr-Latn-RS"/>
        </w:rPr>
        <w:t>je</w:t>
      </w:r>
      <w:r w:rsidRPr="00394D9A">
        <w:rPr>
          <w:szCs w:val="22"/>
          <w:lang w:val="sr-Latn-RS"/>
        </w:rPr>
        <w:t>su dostupni farmakokinetički podaci za pacijente koji se l</w:t>
      </w:r>
      <w:r w:rsidR="005F52C8" w:rsidRPr="00394D9A">
        <w:rPr>
          <w:szCs w:val="22"/>
          <w:lang w:val="sr-Latn-RS"/>
        </w:rPr>
        <w:t>ij</w:t>
      </w:r>
      <w:r w:rsidRPr="00394D9A">
        <w:rPr>
          <w:szCs w:val="22"/>
          <w:lang w:val="sr-Latn-RS"/>
        </w:rPr>
        <w:t>eče radi prevencije rekurentne DVT i PE sa 150 mg dabigatraneteksilata dva puta na dan.</w:t>
      </w:r>
    </w:p>
    <w:p w14:paraId="1DA881F5" w14:textId="77777777" w:rsidR="006D2563" w:rsidRPr="00394D9A" w:rsidRDefault="006D2563" w:rsidP="00187D17">
      <w:pPr>
        <w:widowControl w:val="0"/>
        <w:rPr>
          <w:szCs w:val="22"/>
          <w:lang w:val="sr-Latn-RS"/>
        </w:rPr>
      </w:pPr>
    </w:p>
    <w:p w14:paraId="1B651BBC" w14:textId="087203BE" w:rsidR="00514603" w:rsidRPr="00394D9A" w:rsidRDefault="00514603" w:rsidP="00187D17">
      <w:pPr>
        <w:widowControl w:val="0"/>
        <w:rPr>
          <w:szCs w:val="22"/>
          <w:u w:val="single"/>
          <w:lang w:val="sr-Latn-RS"/>
        </w:rPr>
      </w:pPr>
      <w:r w:rsidRPr="00394D9A">
        <w:rPr>
          <w:szCs w:val="22"/>
          <w:u w:val="single"/>
          <w:lang w:val="sr-Latn-RS"/>
        </w:rPr>
        <w:t>Klinička efikasnost i bezb</w:t>
      </w:r>
      <w:r w:rsidR="00D01905" w:rsidRPr="00394D9A">
        <w:rPr>
          <w:szCs w:val="22"/>
          <w:u w:val="single"/>
          <w:lang w:val="sr-Latn-RS"/>
        </w:rPr>
        <w:t>j</w:t>
      </w:r>
      <w:r w:rsidRPr="00394D9A">
        <w:rPr>
          <w:szCs w:val="22"/>
          <w:u w:val="single"/>
          <w:lang w:val="sr-Latn-RS"/>
        </w:rPr>
        <w:t>ednost</w:t>
      </w:r>
    </w:p>
    <w:p w14:paraId="73FFA545" w14:textId="77777777" w:rsidR="006D2563" w:rsidRPr="00394D9A" w:rsidRDefault="006D2563" w:rsidP="00187D17">
      <w:pPr>
        <w:widowControl w:val="0"/>
        <w:rPr>
          <w:szCs w:val="22"/>
          <w:u w:val="single"/>
          <w:lang w:val="sr-Latn-RS"/>
        </w:rPr>
      </w:pPr>
    </w:p>
    <w:p w14:paraId="10E5BAC4" w14:textId="04B8B66D" w:rsidR="00514603" w:rsidRPr="00394D9A" w:rsidRDefault="00514603" w:rsidP="00187D17">
      <w:pPr>
        <w:widowControl w:val="0"/>
        <w:rPr>
          <w:i/>
          <w:iCs/>
          <w:szCs w:val="22"/>
          <w:lang w:val="sr-Latn-RS"/>
        </w:rPr>
      </w:pPr>
      <w:r w:rsidRPr="00394D9A">
        <w:rPr>
          <w:i/>
          <w:iCs/>
          <w:szCs w:val="22"/>
          <w:lang w:val="sr-Latn-RS"/>
        </w:rPr>
        <w:t>Etničko por</w:t>
      </w:r>
      <w:r w:rsidR="005F52C8" w:rsidRPr="00394D9A">
        <w:rPr>
          <w:i/>
          <w:iCs/>
          <w:szCs w:val="22"/>
          <w:lang w:val="sr-Latn-RS"/>
        </w:rPr>
        <w:t>ij</w:t>
      </w:r>
      <w:r w:rsidRPr="00394D9A">
        <w:rPr>
          <w:i/>
          <w:iCs/>
          <w:szCs w:val="22"/>
          <w:lang w:val="sr-Latn-RS"/>
        </w:rPr>
        <w:t>eklo</w:t>
      </w:r>
    </w:p>
    <w:p w14:paraId="518758F5" w14:textId="77777777" w:rsidR="006D2563" w:rsidRPr="00394D9A" w:rsidRDefault="006D2563" w:rsidP="00187D17">
      <w:pPr>
        <w:widowControl w:val="0"/>
        <w:rPr>
          <w:i/>
          <w:iCs/>
          <w:szCs w:val="22"/>
          <w:lang w:val="sr-Latn-RS"/>
        </w:rPr>
      </w:pPr>
    </w:p>
    <w:p w14:paraId="3F036E88" w14:textId="1397CB54" w:rsidR="00772DBB" w:rsidRPr="00394D9A" w:rsidRDefault="00772DBB" w:rsidP="00187D17">
      <w:pPr>
        <w:widowControl w:val="0"/>
        <w:rPr>
          <w:szCs w:val="22"/>
          <w:lang w:val="sr-Latn-RS"/>
        </w:rPr>
      </w:pPr>
      <w:r w:rsidRPr="00394D9A">
        <w:rPr>
          <w:szCs w:val="22"/>
          <w:lang w:val="sr-Latn-RS"/>
        </w:rPr>
        <w:t>Ni</w:t>
      </w:r>
      <w:r w:rsidR="005F52C8" w:rsidRPr="00394D9A">
        <w:rPr>
          <w:szCs w:val="22"/>
          <w:lang w:val="sr-Latn-RS"/>
        </w:rPr>
        <w:t>je</w:t>
      </w:r>
      <w:r w:rsidRPr="00394D9A">
        <w:rPr>
          <w:szCs w:val="22"/>
          <w:lang w:val="sr-Latn-RS"/>
        </w:rPr>
        <w:t>su uočene klinički relevantne razlike među pripadnicima b</w:t>
      </w:r>
      <w:r w:rsidR="005F52C8" w:rsidRPr="00394D9A">
        <w:rPr>
          <w:szCs w:val="22"/>
          <w:lang w:val="sr-Latn-RS"/>
        </w:rPr>
        <w:t>ij</w:t>
      </w:r>
      <w:r w:rsidRPr="00394D9A">
        <w:rPr>
          <w:szCs w:val="22"/>
          <w:lang w:val="sr-Latn-RS"/>
        </w:rPr>
        <w:t>ele rase, Afroamerikana</w:t>
      </w:r>
      <w:r w:rsidR="006337CD" w:rsidRPr="00394D9A">
        <w:rPr>
          <w:szCs w:val="22"/>
          <w:lang w:val="sr-Latn-RS"/>
        </w:rPr>
        <w:t>ca</w:t>
      </w:r>
      <w:r w:rsidRPr="00394D9A">
        <w:rPr>
          <w:szCs w:val="22"/>
          <w:lang w:val="sr-Latn-RS"/>
        </w:rPr>
        <w:t xml:space="preserve">, </w:t>
      </w:r>
      <w:r w:rsidR="006337CD" w:rsidRPr="00394D9A">
        <w:rPr>
          <w:szCs w:val="22"/>
          <w:lang w:val="sr-Latn-RS"/>
        </w:rPr>
        <w:t>H</w:t>
      </w:r>
      <w:r w:rsidRPr="00394D9A">
        <w:rPr>
          <w:szCs w:val="22"/>
          <w:lang w:val="sr-Latn-RS"/>
        </w:rPr>
        <w:t>ispan</w:t>
      </w:r>
      <w:r w:rsidR="006337CD" w:rsidRPr="00394D9A">
        <w:rPr>
          <w:szCs w:val="22"/>
          <w:lang w:val="sr-Latn-RS"/>
        </w:rPr>
        <w:t>aca</w:t>
      </w:r>
      <w:r w:rsidRPr="00394D9A">
        <w:rPr>
          <w:szCs w:val="22"/>
          <w:lang w:val="sr-Latn-RS"/>
        </w:rPr>
        <w:t>, Japan</w:t>
      </w:r>
      <w:r w:rsidR="006337CD" w:rsidRPr="00394D9A">
        <w:rPr>
          <w:szCs w:val="22"/>
          <w:lang w:val="sr-Latn-RS"/>
        </w:rPr>
        <w:t>aca</w:t>
      </w:r>
      <w:r w:rsidRPr="00394D9A">
        <w:rPr>
          <w:szCs w:val="22"/>
          <w:lang w:val="sr-Latn-RS"/>
        </w:rPr>
        <w:t xml:space="preserve"> ili Kinez</w:t>
      </w:r>
      <w:r w:rsidR="006337CD" w:rsidRPr="00394D9A">
        <w:rPr>
          <w:szCs w:val="22"/>
          <w:lang w:val="sr-Latn-RS"/>
        </w:rPr>
        <w:t>a</w:t>
      </w:r>
      <w:r w:rsidRPr="00394D9A">
        <w:rPr>
          <w:szCs w:val="22"/>
          <w:lang w:val="sr-Latn-RS"/>
        </w:rPr>
        <w:t>.</w:t>
      </w:r>
    </w:p>
    <w:p w14:paraId="224914C4" w14:textId="0357FCC5" w:rsidR="00250EC2" w:rsidRPr="00394D9A" w:rsidRDefault="00250EC2" w:rsidP="00187D17">
      <w:pPr>
        <w:widowControl w:val="0"/>
        <w:rPr>
          <w:szCs w:val="22"/>
          <w:lang w:val="sr-Latn-RS"/>
        </w:rPr>
      </w:pPr>
    </w:p>
    <w:p w14:paraId="0EDC0073" w14:textId="5EEF8790" w:rsidR="00DC7666" w:rsidRPr="00394D9A" w:rsidRDefault="00DC7666" w:rsidP="00187D17">
      <w:pPr>
        <w:widowControl w:val="0"/>
        <w:rPr>
          <w:i/>
          <w:iCs/>
          <w:szCs w:val="22"/>
          <w:u w:val="single"/>
          <w:lang w:val="sr-Latn-RS"/>
        </w:rPr>
      </w:pPr>
      <w:r w:rsidRPr="00394D9A">
        <w:rPr>
          <w:i/>
          <w:iCs/>
          <w:szCs w:val="22"/>
          <w:u w:val="single"/>
          <w:lang w:val="sr-Latn-RS"/>
        </w:rPr>
        <w:t>Prevencija moždanog udara i sistemske embolije kod odraslih pacijenata sa NVAF sa jednim ili više faktora rizika</w:t>
      </w:r>
    </w:p>
    <w:p w14:paraId="315628C8" w14:textId="77777777" w:rsidR="00DC7666" w:rsidRPr="00394D9A" w:rsidRDefault="00DC7666" w:rsidP="00187D17">
      <w:pPr>
        <w:widowControl w:val="0"/>
        <w:rPr>
          <w:szCs w:val="22"/>
          <w:lang w:val="sr-Latn-RS"/>
        </w:rPr>
      </w:pPr>
    </w:p>
    <w:p w14:paraId="1A2E50FE" w14:textId="4EA30130" w:rsidR="00DC7666" w:rsidRPr="00394D9A" w:rsidRDefault="00DC7666" w:rsidP="00187D17">
      <w:pPr>
        <w:widowControl w:val="0"/>
        <w:rPr>
          <w:szCs w:val="22"/>
          <w:lang w:val="sr-Latn-RS"/>
        </w:rPr>
      </w:pPr>
      <w:r w:rsidRPr="00394D9A">
        <w:rPr>
          <w:szCs w:val="22"/>
          <w:lang w:val="sr-Latn-RS"/>
        </w:rPr>
        <w:t>Klinički dokazi o efikasnosti dabigatraneteksilata izvode se iz studije RE-LY (</w:t>
      </w:r>
      <w:r w:rsidR="00772DBB" w:rsidRPr="00394D9A">
        <w:rPr>
          <w:szCs w:val="22"/>
          <w:lang w:val="sr-Latn-RS"/>
        </w:rPr>
        <w:t>r</w:t>
      </w:r>
      <w:r w:rsidRPr="00394D9A">
        <w:rPr>
          <w:szCs w:val="22"/>
          <w:lang w:val="sr-Latn-RS"/>
        </w:rPr>
        <w:t xml:space="preserve">andomiziovana </w:t>
      </w:r>
      <w:r w:rsidR="00772DBB" w:rsidRPr="00394D9A">
        <w:rPr>
          <w:szCs w:val="22"/>
          <w:lang w:val="sr-Latn-RS"/>
        </w:rPr>
        <w:t>oc</w:t>
      </w:r>
      <w:r w:rsidR="006337CD" w:rsidRPr="00394D9A">
        <w:rPr>
          <w:szCs w:val="22"/>
          <w:lang w:val="sr-Latn-RS"/>
        </w:rPr>
        <w:t>j</w:t>
      </w:r>
      <w:r w:rsidR="00772DBB" w:rsidRPr="00394D9A">
        <w:rPr>
          <w:szCs w:val="22"/>
          <w:lang w:val="sr-Latn-RS"/>
        </w:rPr>
        <w:t xml:space="preserve">ean </w:t>
      </w:r>
      <w:r w:rsidRPr="00394D9A">
        <w:rPr>
          <w:szCs w:val="22"/>
          <w:lang w:val="sr-Latn-RS"/>
        </w:rPr>
        <w:t>dugotrajne terapije antikoagulansima), multi-centrične, multi-nacionalne, randomizovane studije u paralelnim grupama u kojoj su sl</w:t>
      </w:r>
      <w:r w:rsidR="005F52C8" w:rsidRPr="00394D9A">
        <w:rPr>
          <w:szCs w:val="22"/>
          <w:lang w:val="sr-Latn-RS"/>
        </w:rPr>
        <w:t>ij</w:t>
      </w:r>
      <w:r w:rsidRPr="00394D9A">
        <w:rPr>
          <w:szCs w:val="22"/>
          <w:lang w:val="sr-Latn-RS"/>
        </w:rPr>
        <w:t>epom metodom ispitivane dv</w:t>
      </w:r>
      <w:r w:rsidR="005F52C8" w:rsidRPr="00394D9A">
        <w:rPr>
          <w:szCs w:val="22"/>
          <w:lang w:val="sr-Latn-RS"/>
        </w:rPr>
        <w:t>ij</w:t>
      </w:r>
      <w:r w:rsidRPr="00394D9A">
        <w:rPr>
          <w:szCs w:val="22"/>
          <w:lang w:val="sr-Latn-RS"/>
        </w:rPr>
        <w:t>e doze dabigatraneteksilata (110 mg i 150 mg dva puta na dan) u poređenju sa otvoren</w:t>
      </w:r>
      <w:r w:rsidR="006337CD" w:rsidRPr="00394D9A">
        <w:rPr>
          <w:szCs w:val="22"/>
          <w:lang w:val="sr-Latn-RS"/>
        </w:rPr>
        <w:t>im</w:t>
      </w:r>
      <w:r w:rsidRPr="00394D9A">
        <w:rPr>
          <w:szCs w:val="22"/>
          <w:lang w:val="sr-Latn-RS"/>
        </w:rPr>
        <w:t xml:space="preserve"> </w:t>
      </w:r>
      <w:r w:rsidR="006337CD" w:rsidRPr="00394D9A">
        <w:rPr>
          <w:szCs w:val="22"/>
          <w:lang w:val="sr-Latn-RS"/>
        </w:rPr>
        <w:t xml:space="preserve">ispitivanjem </w:t>
      </w:r>
      <w:r w:rsidRPr="00394D9A">
        <w:rPr>
          <w:szCs w:val="22"/>
          <w:lang w:val="sr-Latn-RS"/>
        </w:rPr>
        <w:t>varfarin</w:t>
      </w:r>
      <w:r w:rsidR="006337CD" w:rsidRPr="00394D9A">
        <w:rPr>
          <w:szCs w:val="22"/>
          <w:lang w:val="sr-Latn-RS"/>
        </w:rPr>
        <w:t>a</w:t>
      </w:r>
      <w:r w:rsidRPr="00394D9A">
        <w:rPr>
          <w:szCs w:val="22"/>
          <w:lang w:val="sr-Latn-RS"/>
        </w:rPr>
        <w:t xml:space="preserve"> kod pacijenata sa atrijalnom fibrilacijom koji su imali um</w:t>
      </w:r>
      <w:r w:rsidR="005F52C8" w:rsidRPr="00394D9A">
        <w:rPr>
          <w:szCs w:val="22"/>
          <w:lang w:val="sr-Latn-RS"/>
        </w:rPr>
        <w:t>j</w:t>
      </w:r>
      <w:r w:rsidRPr="00394D9A">
        <w:rPr>
          <w:szCs w:val="22"/>
          <w:lang w:val="sr-Latn-RS"/>
        </w:rPr>
        <w:t xml:space="preserve">eren do visok rizik od moždanog udara i sistemske embolije. Primarni cilj </w:t>
      </w:r>
      <w:r w:rsidRPr="00394D9A">
        <w:rPr>
          <w:szCs w:val="22"/>
          <w:lang w:val="sr-Latn-RS"/>
        </w:rPr>
        <w:lastRenderedPageBreak/>
        <w:t>ove studije bio je da se utvrdi odsustvo inferiornosti dabigatraneteksilata u poređenju sa varfarinom za smanjenje pojave m</w:t>
      </w:r>
      <w:r w:rsidR="005F52C8" w:rsidRPr="00394D9A">
        <w:rPr>
          <w:szCs w:val="22"/>
          <w:lang w:val="sr-Latn-RS"/>
        </w:rPr>
        <w:t>j</w:t>
      </w:r>
      <w:r w:rsidRPr="00394D9A">
        <w:rPr>
          <w:szCs w:val="22"/>
          <w:lang w:val="sr-Latn-RS"/>
        </w:rPr>
        <w:t>ešovitog parametra praćenja, moždanog udara i sistemske embolije. Analizirana je i statistička superiornost.</w:t>
      </w:r>
    </w:p>
    <w:p w14:paraId="70B1E1A7" w14:textId="77777777" w:rsidR="00DC7666" w:rsidRPr="00394D9A" w:rsidRDefault="00DC7666" w:rsidP="00187D17">
      <w:pPr>
        <w:widowControl w:val="0"/>
        <w:rPr>
          <w:szCs w:val="22"/>
          <w:lang w:val="sr-Latn-RS"/>
        </w:rPr>
      </w:pPr>
    </w:p>
    <w:p w14:paraId="38BA82EB" w14:textId="37135365" w:rsidR="00DC7666" w:rsidRPr="00394D9A" w:rsidRDefault="00DC7666" w:rsidP="00187D17">
      <w:pPr>
        <w:widowControl w:val="0"/>
        <w:rPr>
          <w:szCs w:val="22"/>
          <w:lang w:val="sr-Latn-RS"/>
        </w:rPr>
      </w:pPr>
      <w:r w:rsidRPr="00394D9A">
        <w:rPr>
          <w:szCs w:val="22"/>
          <w:lang w:val="sr-Latn-RS"/>
        </w:rPr>
        <w:t>U studiji RE-LY ukupno je randomizovano 18</w:t>
      </w:r>
      <w:r w:rsidR="006337CD" w:rsidRPr="00394D9A">
        <w:rPr>
          <w:szCs w:val="22"/>
          <w:lang w:val="sr-Latn-RS"/>
        </w:rPr>
        <w:t xml:space="preserve"> </w:t>
      </w:r>
      <w:r w:rsidRPr="00394D9A">
        <w:rPr>
          <w:szCs w:val="22"/>
          <w:lang w:val="sr-Latn-RS"/>
        </w:rPr>
        <w:t>113 pacijenata, srednje uzrasne dobi 71,5 godina i srednjeg skora rizika od moždanog udara kod atrijalne fibrilacije (CHADS2) od 2,1. Populaciju pacijenata činilo je 64% muškaraca, 70% pripadnika b</w:t>
      </w:r>
      <w:r w:rsidR="005F52C8" w:rsidRPr="00394D9A">
        <w:rPr>
          <w:szCs w:val="22"/>
          <w:lang w:val="sr-Latn-RS"/>
        </w:rPr>
        <w:t>ij</w:t>
      </w:r>
      <w:r w:rsidRPr="00394D9A">
        <w:rPr>
          <w:szCs w:val="22"/>
          <w:lang w:val="sr-Latn-RS"/>
        </w:rPr>
        <w:t xml:space="preserve">ele rase i 16% azijske. Kod pacijenata randomizovanih da primaju varfarin, srednji procenat </w:t>
      </w:r>
      <w:r w:rsidR="00BD52DD" w:rsidRPr="00394D9A">
        <w:rPr>
          <w:szCs w:val="22"/>
          <w:lang w:val="sr-Latn-RS"/>
        </w:rPr>
        <w:t>vreme</w:t>
      </w:r>
      <w:r w:rsidR="00FE1474" w:rsidRPr="00394D9A">
        <w:rPr>
          <w:szCs w:val="22"/>
          <w:lang w:val="sr-Latn-RS"/>
        </w:rPr>
        <w:t>na</w:t>
      </w:r>
      <w:r w:rsidRPr="00394D9A">
        <w:rPr>
          <w:szCs w:val="22"/>
          <w:lang w:val="sr-Latn-RS"/>
        </w:rPr>
        <w:t xml:space="preserve"> u terapijskom rasponu (engl. </w:t>
      </w:r>
      <w:r w:rsidRPr="00394D9A">
        <w:rPr>
          <w:i/>
          <w:iCs/>
          <w:szCs w:val="22"/>
          <w:lang w:val="sr-Latn-RS"/>
        </w:rPr>
        <w:t>time in therapeutic range</w:t>
      </w:r>
      <w:r w:rsidRPr="00394D9A">
        <w:rPr>
          <w:szCs w:val="22"/>
          <w:lang w:val="sr-Latn-RS"/>
        </w:rPr>
        <w:t>, TTR) (INR 2-3) iznosio je 64,4% (medijana TTR 67%).</w:t>
      </w:r>
    </w:p>
    <w:p w14:paraId="1BB4E706" w14:textId="77777777" w:rsidR="00DC7666" w:rsidRPr="00394D9A" w:rsidRDefault="00DC7666" w:rsidP="00187D17">
      <w:pPr>
        <w:widowControl w:val="0"/>
        <w:rPr>
          <w:szCs w:val="22"/>
          <w:lang w:val="sr-Latn-RS"/>
        </w:rPr>
      </w:pPr>
    </w:p>
    <w:p w14:paraId="37093623" w14:textId="770D8C6A" w:rsidR="00DC7666" w:rsidRPr="00394D9A" w:rsidRDefault="00DC7666" w:rsidP="00187D17">
      <w:pPr>
        <w:widowControl w:val="0"/>
        <w:rPr>
          <w:szCs w:val="22"/>
          <w:lang w:val="sr-Latn-RS"/>
        </w:rPr>
      </w:pPr>
      <w:r w:rsidRPr="00394D9A">
        <w:rPr>
          <w:szCs w:val="22"/>
          <w:lang w:val="sr-Latn-RS"/>
        </w:rPr>
        <w:t xml:space="preserve">Studija RE-LY je pokazala da dabigatraneteksilat, u dozi od 110 mg dva puta na dan, nije inferioran u odnosu na varfarin za prevenciju moždanog udara i sistemske embolije kod ispitanika sa atrijalnom fibrilacijom, sa smanjenim rizikom od IKH, ukupnog krvarenja i težeg krvarenja. Doza od 150 mg dva puta na dan značajno smanjuje rizik od ishemijskog i hemoragijskog moždanog udara, vaskularne smrti, IKH </w:t>
      </w:r>
      <w:r w:rsidR="00FE1474" w:rsidRPr="00394D9A">
        <w:rPr>
          <w:szCs w:val="22"/>
          <w:lang w:val="sr-Latn-RS"/>
        </w:rPr>
        <w:t>i</w:t>
      </w:r>
      <w:r w:rsidRPr="00394D9A">
        <w:rPr>
          <w:szCs w:val="22"/>
          <w:lang w:val="sr-Latn-RS"/>
        </w:rPr>
        <w:t xml:space="preserve"> ukupnog krvarenja u odnosu na varfarin. Stope težih krvarenja sa ovom dozom bile su slične kao sa varfarinom. Infarkti miokarda bili su neznatno češći sa dabigatraneteksilatom 110 mg dva puta na dan i 150 mg dva puta na dan u poređenju sa varfarinom (</w:t>
      </w:r>
      <w:r w:rsidR="00FE1474" w:rsidRPr="00394D9A">
        <w:rPr>
          <w:szCs w:val="22"/>
          <w:lang w:val="sr-Latn-RS"/>
        </w:rPr>
        <w:t>odnos rizika</w:t>
      </w:r>
      <w:r w:rsidRPr="00394D9A">
        <w:rPr>
          <w:szCs w:val="22"/>
          <w:lang w:val="sr-Latn-RS"/>
        </w:rPr>
        <w:t xml:space="preserve"> 1,29; p=0,0929 i </w:t>
      </w:r>
      <w:r w:rsidR="00FE1474" w:rsidRPr="00394D9A">
        <w:rPr>
          <w:szCs w:val="22"/>
          <w:lang w:val="sr-Latn-RS"/>
        </w:rPr>
        <w:t>odnos rizika</w:t>
      </w:r>
      <w:r w:rsidRPr="00394D9A">
        <w:rPr>
          <w:szCs w:val="22"/>
          <w:lang w:val="sr-Latn-RS"/>
        </w:rPr>
        <w:t xml:space="preserve"> 1,27; p=0,1240). Sa poboljšanim praćenjem INR zab</w:t>
      </w:r>
      <w:r w:rsidR="005F52C8" w:rsidRPr="00394D9A">
        <w:rPr>
          <w:szCs w:val="22"/>
          <w:lang w:val="sr-Latn-RS"/>
        </w:rPr>
        <w:t>i</w:t>
      </w:r>
      <w:r w:rsidRPr="00394D9A">
        <w:rPr>
          <w:szCs w:val="22"/>
          <w:lang w:val="sr-Latn-RS"/>
        </w:rPr>
        <w:t>l</w:t>
      </w:r>
      <w:r w:rsidR="005F52C8" w:rsidRPr="00394D9A">
        <w:rPr>
          <w:szCs w:val="22"/>
          <w:lang w:val="sr-Latn-RS"/>
        </w:rPr>
        <w:t>j</w:t>
      </w:r>
      <w:r w:rsidRPr="00394D9A">
        <w:rPr>
          <w:szCs w:val="22"/>
          <w:lang w:val="sr-Latn-RS"/>
        </w:rPr>
        <w:t>ežene koristi od dabigatraneteksilata u odnosu na varfarin se smanjuju.</w:t>
      </w:r>
    </w:p>
    <w:p w14:paraId="2B75BAAA" w14:textId="77777777" w:rsidR="00DC7666" w:rsidRPr="00394D9A" w:rsidRDefault="00DC7666" w:rsidP="00187D17">
      <w:pPr>
        <w:widowControl w:val="0"/>
        <w:rPr>
          <w:szCs w:val="22"/>
          <w:lang w:val="sr-Latn-RS"/>
        </w:rPr>
      </w:pPr>
    </w:p>
    <w:p w14:paraId="776EB906" w14:textId="02FD55B7" w:rsidR="00DC7666" w:rsidRPr="00394D9A" w:rsidRDefault="00DC7666" w:rsidP="00187D17">
      <w:pPr>
        <w:widowControl w:val="0"/>
        <w:rPr>
          <w:szCs w:val="22"/>
          <w:lang w:val="sr-Latn-RS"/>
        </w:rPr>
      </w:pPr>
      <w:r w:rsidRPr="00394D9A">
        <w:rPr>
          <w:szCs w:val="22"/>
          <w:lang w:val="sr-Latn-RS"/>
        </w:rPr>
        <w:t xml:space="preserve">Tabele </w:t>
      </w:r>
      <w:r w:rsidR="00B76101" w:rsidRPr="00394D9A">
        <w:rPr>
          <w:szCs w:val="22"/>
          <w:lang w:val="sr-Latn-RS"/>
        </w:rPr>
        <w:t>1</w:t>
      </w:r>
      <w:r w:rsidR="00AC17C7" w:rsidRPr="00394D9A">
        <w:rPr>
          <w:szCs w:val="22"/>
          <w:lang w:val="sr-Latn-RS"/>
        </w:rPr>
        <w:t>7-</w:t>
      </w:r>
      <w:r w:rsidR="00F65512" w:rsidRPr="00394D9A">
        <w:rPr>
          <w:szCs w:val="22"/>
          <w:lang w:val="sr-Latn-RS"/>
        </w:rPr>
        <w:t>19</w:t>
      </w:r>
      <w:r w:rsidRPr="00394D9A">
        <w:rPr>
          <w:szCs w:val="22"/>
          <w:lang w:val="sr-Latn-RS"/>
        </w:rPr>
        <w:t xml:space="preserve"> pokazuju detalje ključnih rezultata u ukupnoj populaciji:</w:t>
      </w:r>
    </w:p>
    <w:p w14:paraId="6A1799C8" w14:textId="77777777" w:rsidR="00DC7666" w:rsidRPr="00394D9A" w:rsidRDefault="00DC7666" w:rsidP="00187D17">
      <w:pPr>
        <w:widowControl w:val="0"/>
        <w:rPr>
          <w:szCs w:val="22"/>
          <w:lang w:val="sr-Latn-RS"/>
        </w:rPr>
      </w:pPr>
    </w:p>
    <w:p w14:paraId="79DC017F" w14:textId="4BCE03F4" w:rsidR="00DC7666" w:rsidRPr="00394D9A" w:rsidRDefault="00DC7666" w:rsidP="00187D17">
      <w:pPr>
        <w:widowControl w:val="0"/>
        <w:rPr>
          <w:b/>
          <w:bCs/>
          <w:szCs w:val="22"/>
          <w:lang w:val="sr-Latn-RS"/>
        </w:rPr>
      </w:pPr>
      <w:r w:rsidRPr="00394D9A">
        <w:rPr>
          <w:b/>
          <w:bCs/>
          <w:szCs w:val="22"/>
          <w:lang w:val="sr-Latn-RS"/>
        </w:rPr>
        <w:t xml:space="preserve">Tabela </w:t>
      </w:r>
      <w:r w:rsidR="00B76101" w:rsidRPr="00394D9A">
        <w:rPr>
          <w:b/>
          <w:bCs/>
          <w:szCs w:val="22"/>
          <w:lang w:val="sr-Latn-RS"/>
        </w:rPr>
        <w:t>1</w:t>
      </w:r>
      <w:r w:rsidR="00F65512" w:rsidRPr="00394D9A">
        <w:rPr>
          <w:b/>
          <w:bCs/>
          <w:szCs w:val="22"/>
          <w:lang w:val="sr-Latn-RS"/>
        </w:rPr>
        <w:t>7</w:t>
      </w:r>
      <w:r w:rsidRPr="00394D9A">
        <w:rPr>
          <w:b/>
          <w:bCs/>
          <w:szCs w:val="22"/>
          <w:lang w:val="sr-Latn-RS"/>
        </w:rPr>
        <w:t>: Analiza prve pojave ishemijskog ili hemoragijskog moždanog udara ili SE (primarni parametar praćenja) tokom trajanja studije RE-LY</w:t>
      </w:r>
    </w:p>
    <w:p w14:paraId="28D40219" w14:textId="6861395E" w:rsidR="00DC7666" w:rsidRPr="00394D9A" w:rsidRDefault="00DC7666" w:rsidP="00187D17">
      <w:pPr>
        <w:widowControl w:val="0"/>
        <w:rPr>
          <w:b/>
          <w:bCs/>
          <w:szCs w:val="22"/>
          <w:lang w:val="sr-Latn-RS"/>
        </w:rPr>
      </w:pPr>
    </w:p>
    <w:tbl>
      <w:tblPr>
        <w:tblStyle w:val="TableGrid"/>
        <w:tblW w:w="0" w:type="auto"/>
        <w:tblLook w:val="04A0" w:firstRow="1" w:lastRow="0" w:firstColumn="1" w:lastColumn="0" w:noHBand="0" w:noVBand="1"/>
      </w:tblPr>
      <w:tblGrid>
        <w:gridCol w:w="2265"/>
        <w:gridCol w:w="2340"/>
        <w:gridCol w:w="2340"/>
        <w:gridCol w:w="2116"/>
      </w:tblGrid>
      <w:tr w:rsidR="00DC7666" w:rsidRPr="00394D9A" w14:paraId="4E9A7647" w14:textId="77777777" w:rsidTr="00DC7666">
        <w:tc>
          <w:tcPr>
            <w:tcW w:w="2463" w:type="dxa"/>
          </w:tcPr>
          <w:p w14:paraId="14A58D66" w14:textId="77777777" w:rsidR="00DC7666" w:rsidRPr="00394D9A" w:rsidRDefault="00DC7666" w:rsidP="00187D17">
            <w:pPr>
              <w:widowControl w:val="0"/>
              <w:jc w:val="left"/>
              <w:rPr>
                <w:b/>
                <w:bCs/>
                <w:szCs w:val="22"/>
                <w:lang w:val="sr-Latn-RS"/>
              </w:rPr>
            </w:pPr>
            <w:bookmarkStart w:id="1" w:name="_Hlk58231102"/>
          </w:p>
        </w:tc>
        <w:tc>
          <w:tcPr>
            <w:tcW w:w="2464" w:type="dxa"/>
          </w:tcPr>
          <w:p w14:paraId="2E2E40FF" w14:textId="4A115FAB" w:rsidR="00DC7666" w:rsidRPr="00394D9A" w:rsidRDefault="00DC7666" w:rsidP="00187D17">
            <w:pPr>
              <w:widowControl w:val="0"/>
              <w:jc w:val="center"/>
              <w:rPr>
                <w:szCs w:val="22"/>
                <w:lang w:val="sr-Latn-RS"/>
              </w:rPr>
            </w:pPr>
            <w:r w:rsidRPr="00394D9A">
              <w:rPr>
                <w:szCs w:val="22"/>
                <w:lang w:val="sr-Latn-RS"/>
              </w:rPr>
              <w:t>Dabigatraneteksilat 110</w:t>
            </w:r>
            <w:r w:rsidR="00F67518" w:rsidRPr="00394D9A">
              <w:rPr>
                <w:szCs w:val="22"/>
                <w:lang w:val="sr-Latn-RS"/>
              </w:rPr>
              <w:t> </w:t>
            </w:r>
            <w:r w:rsidRPr="00394D9A">
              <w:rPr>
                <w:szCs w:val="22"/>
                <w:lang w:val="sr-Latn-RS"/>
              </w:rPr>
              <w:t>mg dva puta na dan</w:t>
            </w:r>
          </w:p>
        </w:tc>
        <w:tc>
          <w:tcPr>
            <w:tcW w:w="2464" w:type="dxa"/>
          </w:tcPr>
          <w:p w14:paraId="3F80404B" w14:textId="6FB8C0FE" w:rsidR="00DC7666" w:rsidRPr="00394D9A" w:rsidRDefault="00DC7666" w:rsidP="00187D17">
            <w:pPr>
              <w:widowControl w:val="0"/>
              <w:jc w:val="center"/>
              <w:rPr>
                <w:szCs w:val="22"/>
                <w:lang w:val="sr-Latn-RS"/>
              </w:rPr>
            </w:pPr>
            <w:r w:rsidRPr="00394D9A">
              <w:rPr>
                <w:szCs w:val="22"/>
                <w:lang w:val="sr-Latn-RS"/>
              </w:rPr>
              <w:t>Dabigatraneteksilat 150</w:t>
            </w:r>
            <w:r w:rsidR="00F67518" w:rsidRPr="00394D9A">
              <w:rPr>
                <w:szCs w:val="22"/>
                <w:lang w:val="sr-Latn-RS"/>
              </w:rPr>
              <w:t> </w:t>
            </w:r>
            <w:r w:rsidRPr="00394D9A">
              <w:rPr>
                <w:szCs w:val="22"/>
                <w:lang w:val="sr-Latn-RS"/>
              </w:rPr>
              <w:t>mg dva puta na dan</w:t>
            </w:r>
          </w:p>
        </w:tc>
        <w:tc>
          <w:tcPr>
            <w:tcW w:w="2464" w:type="dxa"/>
          </w:tcPr>
          <w:p w14:paraId="362F45ED" w14:textId="3D7FF22A" w:rsidR="00DC7666" w:rsidRPr="00394D9A" w:rsidRDefault="00DC7666" w:rsidP="00187D17">
            <w:pPr>
              <w:widowControl w:val="0"/>
              <w:jc w:val="center"/>
              <w:rPr>
                <w:szCs w:val="22"/>
                <w:lang w:val="sr-Latn-RS"/>
              </w:rPr>
            </w:pPr>
            <w:r w:rsidRPr="00394D9A">
              <w:rPr>
                <w:szCs w:val="22"/>
                <w:lang w:val="sr-Latn-RS"/>
              </w:rPr>
              <w:t>Varfarin</w:t>
            </w:r>
          </w:p>
        </w:tc>
      </w:tr>
      <w:tr w:rsidR="00DC7666" w:rsidRPr="00394D9A" w14:paraId="1A12861A" w14:textId="77777777" w:rsidTr="00DC7666">
        <w:tc>
          <w:tcPr>
            <w:tcW w:w="2463" w:type="dxa"/>
          </w:tcPr>
          <w:p w14:paraId="16B87230" w14:textId="22D81BA6" w:rsidR="00DC7666" w:rsidRPr="00394D9A" w:rsidRDefault="00DC7666" w:rsidP="00187D17">
            <w:pPr>
              <w:widowControl w:val="0"/>
              <w:jc w:val="left"/>
              <w:rPr>
                <w:szCs w:val="22"/>
                <w:lang w:val="sr-Latn-RS"/>
              </w:rPr>
            </w:pPr>
            <w:r w:rsidRPr="00394D9A">
              <w:rPr>
                <w:szCs w:val="22"/>
                <w:lang w:val="sr-Latn-RS"/>
              </w:rPr>
              <w:t>Randomizovani ispitanici</w:t>
            </w:r>
          </w:p>
        </w:tc>
        <w:tc>
          <w:tcPr>
            <w:tcW w:w="2464" w:type="dxa"/>
          </w:tcPr>
          <w:p w14:paraId="3D016099" w14:textId="6D44D1C5" w:rsidR="00DC7666" w:rsidRPr="00394D9A" w:rsidRDefault="004C29E5" w:rsidP="00187D17">
            <w:pPr>
              <w:widowControl w:val="0"/>
              <w:jc w:val="center"/>
              <w:rPr>
                <w:szCs w:val="22"/>
                <w:lang w:val="sr-Latn-RS"/>
              </w:rPr>
            </w:pPr>
            <w:r w:rsidRPr="00394D9A">
              <w:rPr>
                <w:szCs w:val="22"/>
                <w:lang w:val="sr-Latn-RS"/>
              </w:rPr>
              <w:t>6015</w:t>
            </w:r>
          </w:p>
        </w:tc>
        <w:tc>
          <w:tcPr>
            <w:tcW w:w="2464" w:type="dxa"/>
          </w:tcPr>
          <w:p w14:paraId="78E39A28" w14:textId="3F06B4D2" w:rsidR="00DC7666" w:rsidRPr="00394D9A" w:rsidRDefault="004C29E5" w:rsidP="00187D17">
            <w:pPr>
              <w:widowControl w:val="0"/>
              <w:jc w:val="center"/>
              <w:rPr>
                <w:szCs w:val="22"/>
                <w:lang w:val="sr-Latn-RS"/>
              </w:rPr>
            </w:pPr>
            <w:r w:rsidRPr="00394D9A">
              <w:rPr>
                <w:szCs w:val="22"/>
                <w:lang w:val="sr-Latn-RS"/>
              </w:rPr>
              <w:t>6076</w:t>
            </w:r>
          </w:p>
        </w:tc>
        <w:tc>
          <w:tcPr>
            <w:tcW w:w="2464" w:type="dxa"/>
          </w:tcPr>
          <w:p w14:paraId="4E9DE2CC" w14:textId="3AF6D5F6" w:rsidR="00DC7666" w:rsidRPr="00394D9A" w:rsidRDefault="004C29E5" w:rsidP="00187D17">
            <w:pPr>
              <w:widowControl w:val="0"/>
              <w:jc w:val="center"/>
              <w:rPr>
                <w:szCs w:val="22"/>
                <w:lang w:val="sr-Latn-RS"/>
              </w:rPr>
            </w:pPr>
            <w:r w:rsidRPr="00394D9A">
              <w:rPr>
                <w:szCs w:val="22"/>
                <w:lang w:val="sr-Latn-RS"/>
              </w:rPr>
              <w:t>6022</w:t>
            </w:r>
          </w:p>
        </w:tc>
      </w:tr>
      <w:tr w:rsidR="00DC7666" w:rsidRPr="00394D9A" w14:paraId="69D6F0C8" w14:textId="77777777" w:rsidTr="00DC7666">
        <w:tc>
          <w:tcPr>
            <w:tcW w:w="2463" w:type="dxa"/>
          </w:tcPr>
          <w:p w14:paraId="53AF4CB1" w14:textId="1C95888F" w:rsidR="00DC7666" w:rsidRPr="00394D9A" w:rsidRDefault="00DC7666" w:rsidP="00187D17">
            <w:pPr>
              <w:widowControl w:val="0"/>
              <w:jc w:val="left"/>
              <w:rPr>
                <w:szCs w:val="22"/>
                <w:lang w:val="sr-Latn-RS"/>
              </w:rPr>
            </w:pPr>
            <w:r w:rsidRPr="00394D9A">
              <w:rPr>
                <w:szCs w:val="22"/>
                <w:lang w:val="sr-Latn-RS"/>
              </w:rPr>
              <w:t>Moždani udar i/ili sistemske embolije</w:t>
            </w:r>
          </w:p>
        </w:tc>
        <w:tc>
          <w:tcPr>
            <w:tcW w:w="2464" w:type="dxa"/>
          </w:tcPr>
          <w:p w14:paraId="071DF374" w14:textId="77777777" w:rsidR="00DC7666" w:rsidRPr="00394D9A" w:rsidRDefault="00DC7666" w:rsidP="00187D17">
            <w:pPr>
              <w:widowControl w:val="0"/>
              <w:jc w:val="center"/>
              <w:rPr>
                <w:szCs w:val="22"/>
                <w:lang w:val="sr-Latn-RS"/>
              </w:rPr>
            </w:pPr>
          </w:p>
        </w:tc>
        <w:tc>
          <w:tcPr>
            <w:tcW w:w="2464" w:type="dxa"/>
          </w:tcPr>
          <w:p w14:paraId="231151C1" w14:textId="77777777" w:rsidR="00DC7666" w:rsidRPr="00394D9A" w:rsidRDefault="00DC7666" w:rsidP="00187D17">
            <w:pPr>
              <w:widowControl w:val="0"/>
              <w:jc w:val="center"/>
              <w:rPr>
                <w:szCs w:val="22"/>
                <w:lang w:val="sr-Latn-RS"/>
              </w:rPr>
            </w:pPr>
          </w:p>
        </w:tc>
        <w:tc>
          <w:tcPr>
            <w:tcW w:w="2464" w:type="dxa"/>
          </w:tcPr>
          <w:p w14:paraId="6A7A1DD2" w14:textId="0526C33C" w:rsidR="00DC7666" w:rsidRPr="00394D9A" w:rsidRDefault="00DC7666" w:rsidP="00187D17">
            <w:pPr>
              <w:widowControl w:val="0"/>
              <w:jc w:val="center"/>
              <w:rPr>
                <w:szCs w:val="22"/>
                <w:lang w:val="sr-Latn-RS"/>
              </w:rPr>
            </w:pPr>
          </w:p>
        </w:tc>
      </w:tr>
      <w:tr w:rsidR="00DC7666" w:rsidRPr="00394D9A" w14:paraId="0B9D6A4D" w14:textId="77777777" w:rsidTr="00DC7666">
        <w:tc>
          <w:tcPr>
            <w:tcW w:w="2463" w:type="dxa"/>
          </w:tcPr>
          <w:p w14:paraId="75E00D48" w14:textId="5A4F203E" w:rsidR="00DC7666" w:rsidRPr="00394D9A" w:rsidRDefault="00DC7666" w:rsidP="00187D17">
            <w:pPr>
              <w:widowControl w:val="0"/>
              <w:jc w:val="left"/>
              <w:rPr>
                <w:szCs w:val="22"/>
                <w:lang w:val="sr-Latn-RS"/>
              </w:rPr>
            </w:pPr>
            <w:r w:rsidRPr="00394D9A">
              <w:rPr>
                <w:szCs w:val="22"/>
                <w:lang w:val="sr-Latn-RS"/>
              </w:rPr>
              <w:t>Incidenc</w:t>
            </w:r>
            <w:r w:rsidR="00F67518" w:rsidRPr="00394D9A">
              <w:rPr>
                <w:szCs w:val="22"/>
                <w:lang w:val="sr-Latn-RS"/>
              </w:rPr>
              <w:t>a</w:t>
            </w:r>
            <w:r w:rsidRPr="00394D9A">
              <w:rPr>
                <w:szCs w:val="22"/>
                <w:lang w:val="sr-Latn-RS"/>
              </w:rPr>
              <w:t xml:space="preserve"> (%)</w:t>
            </w:r>
          </w:p>
        </w:tc>
        <w:tc>
          <w:tcPr>
            <w:tcW w:w="2464" w:type="dxa"/>
          </w:tcPr>
          <w:p w14:paraId="2F6A8130" w14:textId="43ACCC2B" w:rsidR="00DC7666" w:rsidRPr="00394D9A" w:rsidRDefault="004C29E5" w:rsidP="00187D17">
            <w:pPr>
              <w:widowControl w:val="0"/>
              <w:jc w:val="center"/>
              <w:rPr>
                <w:szCs w:val="22"/>
                <w:lang w:val="sr-Latn-RS"/>
              </w:rPr>
            </w:pPr>
            <w:r w:rsidRPr="00394D9A">
              <w:rPr>
                <w:szCs w:val="22"/>
                <w:lang w:val="sr-Latn-RS"/>
              </w:rPr>
              <w:t>183 (1,54)</w:t>
            </w:r>
          </w:p>
        </w:tc>
        <w:tc>
          <w:tcPr>
            <w:tcW w:w="2464" w:type="dxa"/>
          </w:tcPr>
          <w:p w14:paraId="23EAD5FF" w14:textId="0F7AC655" w:rsidR="00DC7666" w:rsidRPr="00394D9A" w:rsidRDefault="004C29E5" w:rsidP="00187D17">
            <w:pPr>
              <w:widowControl w:val="0"/>
              <w:jc w:val="center"/>
              <w:rPr>
                <w:szCs w:val="22"/>
                <w:lang w:val="sr-Latn-RS"/>
              </w:rPr>
            </w:pPr>
            <w:r w:rsidRPr="00394D9A">
              <w:rPr>
                <w:szCs w:val="22"/>
                <w:lang w:val="sr-Latn-RS"/>
              </w:rPr>
              <w:t>135 (1,12)</w:t>
            </w:r>
          </w:p>
        </w:tc>
        <w:tc>
          <w:tcPr>
            <w:tcW w:w="2464" w:type="dxa"/>
          </w:tcPr>
          <w:p w14:paraId="03205D06" w14:textId="2BD3148D" w:rsidR="00DC7666" w:rsidRPr="00394D9A" w:rsidRDefault="004C29E5" w:rsidP="00187D17">
            <w:pPr>
              <w:widowControl w:val="0"/>
              <w:jc w:val="center"/>
              <w:rPr>
                <w:szCs w:val="22"/>
                <w:lang w:val="sr-Latn-RS"/>
              </w:rPr>
            </w:pPr>
            <w:r w:rsidRPr="00394D9A">
              <w:rPr>
                <w:szCs w:val="22"/>
                <w:lang w:val="sr-Latn-RS"/>
              </w:rPr>
              <w:t>203 (1,72)</w:t>
            </w:r>
          </w:p>
        </w:tc>
      </w:tr>
      <w:tr w:rsidR="00DC7666" w:rsidRPr="00394D9A" w14:paraId="73573463" w14:textId="77777777" w:rsidTr="00DC7666">
        <w:tc>
          <w:tcPr>
            <w:tcW w:w="2463" w:type="dxa"/>
          </w:tcPr>
          <w:p w14:paraId="3103CB84" w14:textId="25ED2475" w:rsidR="00DC7666" w:rsidRPr="00394D9A" w:rsidRDefault="00F67518" w:rsidP="00187D17">
            <w:pPr>
              <w:widowControl w:val="0"/>
              <w:jc w:val="left"/>
              <w:rPr>
                <w:szCs w:val="22"/>
                <w:lang w:val="sr-Latn-RS"/>
              </w:rPr>
            </w:pPr>
            <w:r w:rsidRPr="00394D9A">
              <w:rPr>
                <w:szCs w:val="22"/>
                <w:lang w:val="sr-Latn-RS"/>
              </w:rPr>
              <w:t xml:space="preserve">Odnos rizika </w:t>
            </w:r>
            <w:r w:rsidR="00DC7666" w:rsidRPr="00394D9A">
              <w:rPr>
                <w:szCs w:val="22"/>
                <w:lang w:val="sr-Latn-RS"/>
              </w:rPr>
              <w:t>u odnosu na varfarin</w:t>
            </w:r>
            <w:r w:rsidRPr="00394D9A">
              <w:rPr>
                <w:szCs w:val="22"/>
                <w:lang w:val="sr-Latn-RS"/>
              </w:rPr>
              <w:t xml:space="preserve"> </w:t>
            </w:r>
            <w:r w:rsidR="00DC7666" w:rsidRPr="00394D9A">
              <w:rPr>
                <w:szCs w:val="22"/>
                <w:lang w:val="sr-Latn-RS"/>
              </w:rPr>
              <w:t>(95% CI)</w:t>
            </w:r>
          </w:p>
        </w:tc>
        <w:tc>
          <w:tcPr>
            <w:tcW w:w="2464" w:type="dxa"/>
          </w:tcPr>
          <w:p w14:paraId="79A3529E" w14:textId="31C4CF43" w:rsidR="00DC7666" w:rsidRPr="00394D9A" w:rsidRDefault="004C29E5" w:rsidP="00187D17">
            <w:pPr>
              <w:widowControl w:val="0"/>
              <w:jc w:val="center"/>
              <w:rPr>
                <w:szCs w:val="22"/>
                <w:lang w:val="sr-Latn-RS"/>
              </w:rPr>
            </w:pPr>
            <w:r w:rsidRPr="00394D9A">
              <w:rPr>
                <w:szCs w:val="22"/>
                <w:lang w:val="sr-Latn-RS"/>
              </w:rPr>
              <w:t>0,89 (0,73; 1,09)</w:t>
            </w:r>
          </w:p>
        </w:tc>
        <w:tc>
          <w:tcPr>
            <w:tcW w:w="2464" w:type="dxa"/>
          </w:tcPr>
          <w:p w14:paraId="09A579E4" w14:textId="310F4B45" w:rsidR="00DC7666" w:rsidRPr="00394D9A" w:rsidRDefault="004C29E5" w:rsidP="00187D17">
            <w:pPr>
              <w:widowControl w:val="0"/>
              <w:jc w:val="center"/>
              <w:rPr>
                <w:szCs w:val="22"/>
                <w:lang w:val="sr-Latn-RS"/>
              </w:rPr>
            </w:pPr>
            <w:r w:rsidRPr="00394D9A">
              <w:rPr>
                <w:szCs w:val="22"/>
                <w:lang w:val="sr-Latn-RS"/>
              </w:rPr>
              <w:t>0,65 (0,52; 0,81)</w:t>
            </w:r>
          </w:p>
        </w:tc>
        <w:tc>
          <w:tcPr>
            <w:tcW w:w="2464" w:type="dxa"/>
          </w:tcPr>
          <w:p w14:paraId="2C41CCB6" w14:textId="77777777" w:rsidR="00DC7666" w:rsidRPr="00394D9A" w:rsidRDefault="00DC7666" w:rsidP="00187D17">
            <w:pPr>
              <w:widowControl w:val="0"/>
              <w:jc w:val="center"/>
              <w:rPr>
                <w:szCs w:val="22"/>
                <w:lang w:val="sr-Latn-RS"/>
              </w:rPr>
            </w:pPr>
          </w:p>
        </w:tc>
      </w:tr>
      <w:tr w:rsidR="00FE1BBC" w:rsidRPr="00394D9A" w14:paraId="4E8F4728" w14:textId="77777777" w:rsidTr="00DC7666">
        <w:tc>
          <w:tcPr>
            <w:tcW w:w="2463" w:type="dxa"/>
          </w:tcPr>
          <w:p w14:paraId="00E798D2" w14:textId="09626910" w:rsidR="00FE1BBC" w:rsidRPr="00394D9A" w:rsidRDefault="00FE1BBC" w:rsidP="00187D17">
            <w:pPr>
              <w:widowControl w:val="0"/>
              <w:jc w:val="left"/>
              <w:rPr>
                <w:szCs w:val="22"/>
                <w:lang w:val="sr-Latn-RS"/>
              </w:rPr>
            </w:pPr>
            <w:r w:rsidRPr="00394D9A">
              <w:rPr>
                <w:szCs w:val="22"/>
                <w:lang w:val="sr-Latn-RS"/>
              </w:rPr>
              <w:t>Superiornost po p-</w:t>
            </w:r>
            <w:r w:rsidR="00BD52DD" w:rsidRPr="00394D9A">
              <w:rPr>
                <w:szCs w:val="22"/>
                <w:lang w:val="sr-Latn-RS"/>
              </w:rPr>
              <w:t>vrijednosti</w:t>
            </w:r>
          </w:p>
        </w:tc>
        <w:tc>
          <w:tcPr>
            <w:tcW w:w="2464" w:type="dxa"/>
          </w:tcPr>
          <w:p w14:paraId="4FDE56A7" w14:textId="3BBD289D" w:rsidR="00FE1BBC" w:rsidRPr="00394D9A" w:rsidRDefault="004C29E5" w:rsidP="00187D17">
            <w:pPr>
              <w:widowControl w:val="0"/>
              <w:jc w:val="center"/>
              <w:rPr>
                <w:szCs w:val="22"/>
                <w:lang w:val="sr-Latn-RS"/>
              </w:rPr>
            </w:pPr>
            <w:r w:rsidRPr="00394D9A">
              <w:rPr>
                <w:szCs w:val="22"/>
                <w:lang w:val="sr-Latn-RS"/>
              </w:rPr>
              <w:t>p=0,2721</w:t>
            </w:r>
          </w:p>
        </w:tc>
        <w:tc>
          <w:tcPr>
            <w:tcW w:w="2464" w:type="dxa"/>
          </w:tcPr>
          <w:p w14:paraId="1FAF1E83" w14:textId="3A00F1A9" w:rsidR="00FE1BBC" w:rsidRPr="00394D9A" w:rsidRDefault="004C29E5" w:rsidP="00187D17">
            <w:pPr>
              <w:widowControl w:val="0"/>
              <w:jc w:val="center"/>
              <w:rPr>
                <w:szCs w:val="22"/>
                <w:lang w:val="sr-Latn-RS"/>
              </w:rPr>
            </w:pPr>
            <w:r w:rsidRPr="00394D9A">
              <w:rPr>
                <w:szCs w:val="22"/>
                <w:lang w:val="sr-Latn-RS"/>
              </w:rPr>
              <w:t>p=0,0001</w:t>
            </w:r>
          </w:p>
        </w:tc>
        <w:tc>
          <w:tcPr>
            <w:tcW w:w="2464" w:type="dxa"/>
          </w:tcPr>
          <w:p w14:paraId="1C323E5D" w14:textId="77777777" w:rsidR="00FE1BBC" w:rsidRPr="00394D9A" w:rsidRDefault="00FE1BBC" w:rsidP="00187D17">
            <w:pPr>
              <w:widowControl w:val="0"/>
              <w:jc w:val="center"/>
              <w:rPr>
                <w:szCs w:val="22"/>
                <w:lang w:val="sr-Latn-RS"/>
              </w:rPr>
            </w:pPr>
          </w:p>
        </w:tc>
      </w:tr>
    </w:tbl>
    <w:bookmarkEnd w:id="1"/>
    <w:p w14:paraId="6D56229F" w14:textId="71DA8659" w:rsidR="004C29E5" w:rsidRPr="00394D9A" w:rsidRDefault="004C29E5" w:rsidP="00187D17">
      <w:pPr>
        <w:widowControl w:val="0"/>
        <w:rPr>
          <w:szCs w:val="22"/>
          <w:lang w:val="sr-Latn-RS"/>
        </w:rPr>
      </w:pPr>
      <w:r w:rsidRPr="00394D9A">
        <w:rPr>
          <w:szCs w:val="22"/>
          <w:lang w:val="sr-Latn-RS"/>
        </w:rPr>
        <w:t>% se odnosi na godišnju stopu događaja</w:t>
      </w:r>
    </w:p>
    <w:p w14:paraId="6760EAE8" w14:textId="77777777" w:rsidR="004C29E5" w:rsidRPr="00394D9A" w:rsidRDefault="004C29E5" w:rsidP="00187D17">
      <w:pPr>
        <w:widowControl w:val="0"/>
        <w:rPr>
          <w:b/>
          <w:bCs/>
          <w:szCs w:val="22"/>
          <w:lang w:val="sr-Latn-RS"/>
        </w:rPr>
      </w:pPr>
    </w:p>
    <w:p w14:paraId="74E2C581" w14:textId="5AB0F0E5" w:rsidR="00DC7666" w:rsidRPr="00394D9A" w:rsidRDefault="004C29E5" w:rsidP="00187D17">
      <w:pPr>
        <w:widowControl w:val="0"/>
        <w:rPr>
          <w:b/>
          <w:bCs/>
          <w:szCs w:val="22"/>
          <w:lang w:val="sr-Latn-RS"/>
        </w:rPr>
      </w:pPr>
      <w:r w:rsidRPr="00394D9A">
        <w:rPr>
          <w:b/>
          <w:bCs/>
          <w:szCs w:val="22"/>
          <w:lang w:val="sr-Latn-RS"/>
        </w:rPr>
        <w:t xml:space="preserve">Tabela </w:t>
      </w:r>
      <w:r w:rsidR="00FE1C22" w:rsidRPr="00394D9A">
        <w:rPr>
          <w:b/>
          <w:bCs/>
          <w:szCs w:val="22"/>
          <w:lang w:val="sr-Latn-RS"/>
        </w:rPr>
        <w:t>1</w:t>
      </w:r>
      <w:r w:rsidR="00F65512" w:rsidRPr="00394D9A">
        <w:rPr>
          <w:b/>
          <w:bCs/>
          <w:szCs w:val="22"/>
          <w:lang w:val="sr-Latn-RS"/>
        </w:rPr>
        <w:t>8</w:t>
      </w:r>
      <w:r w:rsidRPr="00394D9A">
        <w:rPr>
          <w:b/>
          <w:bCs/>
          <w:szCs w:val="22"/>
          <w:lang w:val="sr-Latn-RS"/>
        </w:rPr>
        <w:t>: Analiza prve pojave ishemijskog ili hemoragijskog moždanog udara tokom ispitivanog</w:t>
      </w:r>
      <w:r w:rsidR="000E691C" w:rsidRPr="00394D9A">
        <w:rPr>
          <w:b/>
          <w:bCs/>
          <w:szCs w:val="22"/>
          <w:lang w:val="sr-Latn-RS"/>
        </w:rPr>
        <w:t xml:space="preserve"> </w:t>
      </w:r>
      <w:r w:rsidRPr="00394D9A">
        <w:rPr>
          <w:b/>
          <w:bCs/>
          <w:szCs w:val="22"/>
          <w:lang w:val="sr-Latn-RS"/>
        </w:rPr>
        <w:t>perioda u RE-LY</w:t>
      </w:r>
    </w:p>
    <w:p w14:paraId="4D3CA061" w14:textId="77777777" w:rsidR="008C76D7" w:rsidRPr="00394D9A" w:rsidRDefault="008C76D7" w:rsidP="00187D17">
      <w:pPr>
        <w:widowControl w:val="0"/>
        <w:rPr>
          <w:b/>
          <w:bCs/>
          <w:szCs w:val="22"/>
          <w:lang w:val="sr-Latn-RS"/>
        </w:rPr>
      </w:pPr>
    </w:p>
    <w:tbl>
      <w:tblPr>
        <w:tblStyle w:val="TableGrid"/>
        <w:tblW w:w="0" w:type="auto"/>
        <w:tblLook w:val="04A0" w:firstRow="1" w:lastRow="0" w:firstColumn="1" w:lastColumn="0" w:noHBand="0" w:noVBand="1"/>
      </w:tblPr>
      <w:tblGrid>
        <w:gridCol w:w="2265"/>
        <w:gridCol w:w="2340"/>
        <w:gridCol w:w="2340"/>
        <w:gridCol w:w="2116"/>
      </w:tblGrid>
      <w:tr w:rsidR="00A279D5" w:rsidRPr="00394D9A" w14:paraId="59B99C47" w14:textId="77777777" w:rsidTr="00DF5CEC">
        <w:tc>
          <w:tcPr>
            <w:tcW w:w="2463" w:type="dxa"/>
          </w:tcPr>
          <w:p w14:paraId="098065EF" w14:textId="77777777" w:rsidR="00A279D5" w:rsidRPr="00394D9A" w:rsidRDefault="00A279D5" w:rsidP="00187D17">
            <w:pPr>
              <w:widowControl w:val="0"/>
              <w:jc w:val="left"/>
              <w:rPr>
                <w:b/>
                <w:bCs/>
                <w:szCs w:val="22"/>
                <w:lang w:val="sr-Latn-RS"/>
              </w:rPr>
            </w:pPr>
          </w:p>
        </w:tc>
        <w:tc>
          <w:tcPr>
            <w:tcW w:w="2464" w:type="dxa"/>
          </w:tcPr>
          <w:p w14:paraId="1DD334A1" w14:textId="2A9C2CA8" w:rsidR="00A279D5" w:rsidRPr="00394D9A" w:rsidRDefault="00A279D5" w:rsidP="00187D17">
            <w:pPr>
              <w:widowControl w:val="0"/>
              <w:jc w:val="center"/>
              <w:rPr>
                <w:szCs w:val="22"/>
                <w:lang w:val="sr-Latn-RS"/>
              </w:rPr>
            </w:pPr>
            <w:r w:rsidRPr="00394D9A">
              <w:rPr>
                <w:szCs w:val="22"/>
                <w:lang w:val="sr-Latn-RS"/>
              </w:rPr>
              <w:t>Dabigatraneteksilat 110</w:t>
            </w:r>
            <w:r w:rsidR="00F67518" w:rsidRPr="00394D9A">
              <w:rPr>
                <w:szCs w:val="22"/>
                <w:lang w:val="sr-Latn-RS"/>
              </w:rPr>
              <w:t> </w:t>
            </w:r>
            <w:r w:rsidRPr="00394D9A">
              <w:rPr>
                <w:szCs w:val="22"/>
                <w:lang w:val="sr-Latn-RS"/>
              </w:rPr>
              <w:t>mg dva puta na dan</w:t>
            </w:r>
          </w:p>
        </w:tc>
        <w:tc>
          <w:tcPr>
            <w:tcW w:w="2464" w:type="dxa"/>
          </w:tcPr>
          <w:p w14:paraId="4A96BDCF" w14:textId="0E5CBBF5" w:rsidR="00A279D5" w:rsidRPr="00394D9A" w:rsidRDefault="00A279D5" w:rsidP="00187D17">
            <w:pPr>
              <w:widowControl w:val="0"/>
              <w:jc w:val="center"/>
              <w:rPr>
                <w:szCs w:val="22"/>
                <w:lang w:val="sr-Latn-RS"/>
              </w:rPr>
            </w:pPr>
            <w:r w:rsidRPr="00394D9A">
              <w:rPr>
                <w:szCs w:val="22"/>
                <w:lang w:val="sr-Latn-RS"/>
              </w:rPr>
              <w:t>Dabigatraneteksilat 150</w:t>
            </w:r>
            <w:r w:rsidR="00F67518" w:rsidRPr="00394D9A">
              <w:rPr>
                <w:szCs w:val="22"/>
                <w:lang w:val="sr-Latn-RS"/>
              </w:rPr>
              <w:t> </w:t>
            </w:r>
            <w:r w:rsidRPr="00394D9A">
              <w:rPr>
                <w:szCs w:val="22"/>
                <w:lang w:val="sr-Latn-RS"/>
              </w:rPr>
              <w:t>mg dva puta na dan</w:t>
            </w:r>
          </w:p>
        </w:tc>
        <w:tc>
          <w:tcPr>
            <w:tcW w:w="2464" w:type="dxa"/>
          </w:tcPr>
          <w:p w14:paraId="13FC8651" w14:textId="77777777" w:rsidR="00A279D5" w:rsidRPr="00394D9A" w:rsidRDefault="00A279D5" w:rsidP="00187D17">
            <w:pPr>
              <w:widowControl w:val="0"/>
              <w:jc w:val="center"/>
              <w:rPr>
                <w:szCs w:val="22"/>
                <w:lang w:val="sr-Latn-RS"/>
              </w:rPr>
            </w:pPr>
            <w:r w:rsidRPr="00394D9A">
              <w:rPr>
                <w:szCs w:val="22"/>
                <w:lang w:val="sr-Latn-RS"/>
              </w:rPr>
              <w:t>Varfarin</w:t>
            </w:r>
          </w:p>
        </w:tc>
      </w:tr>
      <w:tr w:rsidR="00A279D5" w:rsidRPr="00394D9A" w14:paraId="64592DAB" w14:textId="77777777" w:rsidTr="008C76D7">
        <w:tc>
          <w:tcPr>
            <w:tcW w:w="2463" w:type="dxa"/>
          </w:tcPr>
          <w:p w14:paraId="40AD3B3E" w14:textId="75644953" w:rsidR="00A279D5" w:rsidRPr="00394D9A" w:rsidRDefault="00A279D5" w:rsidP="00187D17">
            <w:pPr>
              <w:widowControl w:val="0"/>
              <w:jc w:val="left"/>
              <w:rPr>
                <w:szCs w:val="22"/>
                <w:lang w:val="sr-Latn-RS"/>
              </w:rPr>
            </w:pPr>
            <w:r w:rsidRPr="00394D9A">
              <w:rPr>
                <w:szCs w:val="22"/>
                <w:lang w:val="sr-Latn-RS"/>
              </w:rPr>
              <w:t>Randomizovani</w:t>
            </w:r>
            <w:r w:rsidR="00326A01" w:rsidRPr="00394D9A">
              <w:rPr>
                <w:szCs w:val="22"/>
                <w:lang w:val="sr-Latn-RS"/>
              </w:rPr>
              <w:t xml:space="preserve"> </w:t>
            </w:r>
            <w:r w:rsidRPr="00394D9A">
              <w:rPr>
                <w:szCs w:val="22"/>
                <w:lang w:val="sr-Latn-RS"/>
              </w:rPr>
              <w:t>ispitanici</w:t>
            </w:r>
          </w:p>
        </w:tc>
        <w:tc>
          <w:tcPr>
            <w:tcW w:w="2464" w:type="dxa"/>
            <w:vAlign w:val="center"/>
          </w:tcPr>
          <w:p w14:paraId="50C67F22" w14:textId="77777777" w:rsidR="00A279D5" w:rsidRPr="00394D9A" w:rsidRDefault="00A279D5" w:rsidP="00187D17">
            <w:pPr>
              <w:widowControl w:val="0"/>
              <w:jc w:val="center"/>
              <w:rPr>
                <w:szCs w:val="22"/>
                <w:lang w:val="sr-Latn-RS"/>
              </w:rPr>
            </w:pPr>
            <w:r w:rsidRPr="00394D9A">
              <w:rPr>
                <w:szCs w:val="22"/>
                <w:lang w:val="sr-Latn-RS"/>
              </w:rPr>
              <w:t>6015</w:t>
            </w:r>
          </w:p>
        </w:tc>
        <w:tc>
          <w:tcPr>
            <w:tcW w:w="2464" w:type="dxa"/>
            <w:vAlign w:val="center"/>
          </w:tcPr>
          <w:p w14:paraId="6A080B5F" w14:textId="77777777" w:rsidR="00A279D5" w:rsidRPr="00394D9A" w:rsidRDefault="00A279D5" w:rsidP="00187D17">
            <w:pPr>
              <w:widowControl w:val="0"/>
              <w:jc w:val="center"/>
              <w:rPr>
                <w:szCs w:val="22"/>
                <w:lang w:val="sr-Latn-RS"/>
              </w:rPr>
            </w:pPr>
            <w:r w:rsidRPr="00394D9A">
              <w:rPr>
                <w:szCs w:val="22"/>
                <w:lang w:val="sr-Latn-RS"/>
              </w:rPr>
              <w:t>6076</w:t>
            </w:r>
          </w:p>
        </w:tc>
        <w:tc>
          <w:tcPr>
            <w:tcW w:w="2464" w:type="dxa"/>
            <w:vAlign w:val="center"/>
          </w:tcPr>
          <w:p w14:paraId="51A93B6A" w14:textId="2DD40CAB" w:rsidR="00A279D5" w:rsidRPr="00394D9A" w:rsidRDefault="00A279D5" w:rsidP="00187D17">
            <w:pPr>
              <w:widowControl w:val="0"/>
              <w:jc w:val="center"/>
              <w:rPr>
                <w:szCs w:val="22"/>
                <w:lang w:val="sr-Latn-RS"/>
              </w:rPr>
            </w:pPr>
            <w:r w:rsidRPr="00394D9A">
              <w:rPr>
                <w:szCs w:val="22"/>
                <w:lang w:val="sr-Latn-RS"/>
              </w:rPr>
              <w:t>6022</w:t>
            </w:r>
          </w:p>
        </w:tc>
      </w:tr>
      <w:tr w:rsidR="00A279D5" w:rsidRPr="00394D9A" w14:paraId="139E8C80" w14:textId="77777777" w:rsidTr="008C76D7">
        <w:tc>
          <w:tcPr>
            <w:tcW w:w="2463" w:type="dxa"/>
          </w:tcPr>
          <w:p w14:paraId="4C39E2FF" w14:textId="235DEA0B" w:rsidR="00A279D5" w:rsidRPr="00394D9A" w:rsidRDefault="00A279D5" w:rsidP="00187D17">
            <w:pPr>
              <w:widowControl w:val="0"/>
              <w:jc w:val="left"/>
              <w:rPr>
                <w:szCs w:val="22"/>
                <w:lang w:val="sr-Latn-RS"/>
              </w:rPr>
            </w:pPr>
            <w:r w:rsidRPr="00394D9A">
              <w:rPr>
                <w:szCs w:val="22"/>
                <w:lang w:val="sr-Latn-RS"/>
              </w:rPr>
              <w:t xml:space="preserve">Moždani udar </w:t>
            </w:r>
          </w:p>
        </w:tc>
        <w:tc>
          <w:tcPr>
            <w:tcW w:w="2464" w:type="dxa"/>
            <w:vAlign w:val="center"/>
          </w:tcPr>
          <w:p w14:paraId="63C61D5D" w14:textId="77777777" w:rsidR="00A279D5" w:rsidRPr="00394D9A" w:rsidRDefault="00A279D5" w:rsidP="00187D17">
            <w:pPr>
              <w:widowControl w:val="0"/>
              <w:jc w:val="center"/>
              <w:rPr>
                <w:szCs w:val="22"/>
                <w:lang w:val="sr-Latn-RS"/>
              </w:rPr>
            </w:pPr>
          </w:p>
        </w:tc>
        <w:tc>
          <w:tcPr>
            <w:tcW w:w="2464" w:type="dxa"/>
            <w:vAlign w:val="center"/>
          </w:tcPr>
          <w:p w14:paraId="426152A0" w14:textId="77777777" w:rsidR="00A279D5" w:rsidRPr="00394D9A" w:rsidRDefault="00A279D5" w:rsidP="00187D17">
            <w:pPr>
              <w:widowControl w:val="0"/>
              <w:jc w:val="center"/>
              <w:rPr>
                <w:szCs w:val="22"/>
                <w:lang w:val="sr-Latn-RS"/>
              </w:rPr>
            </w:pPr>
          </w:p>
        </w:tc>
        <w:tc>
          <w:tcPr>
            <w:tcW w:w="2464" w:type="dxa"/>
            <w:vAlign w:val="center"/>
          </w:tcPr>
          <w:p w14:paraId="2AAB95CC" w14:textId="77777777" w:rsidR="00A279D5" w:rsidRPr="00394D9A" w:rsidRDefault="00A279D5" w:rsidP="00187D17">
            <w:pPr>
              <w:widowControl w:val="0"/>
              <w:jc w:val="center"/>
              <w:rPr>
                <w:szCs w:val="22"/>
                <w:lang w:val="sr-Latn-RS"/>
              </w:rPr>
            </w:pPr>
          </w:p>
        </w:tc>
      </w:tr>
      <w:tr w:rsidR="00A279D5" w:rsidRPr="00394D9A" w14:paraId="446B5488" w14:textId="77777777" w:rsidTr="008C76D7">
        <w:tc>
          <w:tcPr>
            <w:tcW w:w="2463" w:type="dxa"/>
          </w:tcPr>
          <w:p w14:paraId="4480D8BA" w14:textId="2CC38BDD" w:rsidR="00A279D5" w:rsidRPr="00394D9A" w:rsidRDefault="00A279D5" w:rsidP="00187D17">
            <w:pPr>
              <w:widowControl w:val="0"/>
              <w:tabs>
                <w:tab w:val="clear" w:pos="284"/>
                <w:tab w:val="left" w:pos="567"/>
              </w:tabs>
              <w:ind w:left="284"/>
              <w:jc w:val="left"/>
              <w:rPr>
                <w:szCs w:val="22"/>
                <w:lang w:val="sr-Latn-RS"/>
              </w:rPr>
            </w:pPr>
            <w:r w:rsidRPr="00394D9A">
              <w:rPr>
                <w:szCs w:val="22"/>
                <w:lang w:val="sr-Latn-RS"/>
              </w:rPr>
              <w:t>Incidenc</w:t>
            </w:r>
            <w:r w:rsidR="00F67518" w:rsidRPr="00394D9A">
              <w:rPr>
                <w:szCs w:val="22"/>
                <w:lang w:val="sr-Latn-RS"/>
              </w:rPr>
              <w:t>a</w:t>
            </w:r>
            <w:r w:rsidRPr="00394D9A">
              <w:rPr>
                <w:szCs w:val="22"/>
                <w:lang w:val="sr-Latn-RS"/>
              </w:rPr>
              <w:t xml:space="preserve"> (%)</w:t>
            </w:r>
          </w:p>
        </w:tc>
        <w:tc>
          <w:tcPr>
            <w:tcW w:w="2464" w:type="dxa"/>
            <w:vAlign w:val="center"/>
          </w:tcPr>
          <w:p w14:paraId="1E072353" w14:textId="5A6396CF" w:rsidR="00A279D5" w:rsidRPr="00394D9A" w:rsidRDefault="00A279D5" w:rsidP="00187D17">
            <w:pPr>
              <w:widowControl w:val="0"/>
              <w:jc w:val="center"/>
              <w:rPr>
                <w:szCs w:val="22"/>
                <w:lang w:val="sr-Latn-RS"/>
              </w:rPr>
            </w:pPr>
            <w:r w:rsidRPr="00394D9A">
              <w:rPr>
                <w:szCs w:val="22"/>
                <w:lang w:val="sr-Latn-RS"/>
              </w:rPr>
              <w:t>1</w:t>
            </w:r>
            <w:r w:rsidR="00326A01" w:rsidRPr="00394D9A">
              <w:rPr>
                <w:szCs w:val="22"/>
                <w:lang w:val="sr-Latn-RS"/>
              </w:rPr>
              <w:t>71</w:t>
            </w:r>
            <w:r w:rsidRPr="00394D9A">
              <w:rPr>
                <w:szCs w:val="22"/>
                <w:lang w:val="sr-Latn-RS"/>
              </w:rPr>
              <w:t xml:space="preserve"> (1,</w:t>
            </w:r>
            <w:r w:rsidR="00326A01" w:rsidRPr="00394D9A">
              <w:rPr>
                <w:szCs w:val="22"/>
                <w:lang w:val="sr-Latn-RS"/>
              </w:rPr>
              <w:t>4</w:t>
            </w:r>
            <w:r w:rsidRPr="00394D9A">
              <w:rPr>
                <w:szCs w:val="22"/>
                <w:lang w:val="sr-Latn-RS"/>
              </w:rPr>
              <w:t>4)</w:t>
            </w:r>
          </w:p>
        </w:tc>
        <w:tc>
          <w:tcPr>
            <w:tcW w:w="2464" w:type="dxa"/>
            <w:vAlign w:val="center"/>
          </w:tcPr>
          <w:p w14:paraId="12E2F322" w14:textId="5D84E937" w:rsidR="00A279D5" w:rsidRPr="00394D9A" w:rsidRDefault="00A279D5" w:rsidP="00187D17">
            <w:pPr>
              <w:widowControl w:val="0"/>
              <w:jc w:val="center"/>
              <w:rPr>
                <w:szCs w:val="22"/>
                <w:lang w:val="sr-Latn-RS"/>
              </w:rPr>
            </w:pPr>
            <w:r w:rsidRPr="00394D9A">
              <w:rPr>
                <w:szCs w:val="22"/>
                <w:lang w:val="sr-Latn-RS"/>
              </w:rPr>
              <w:t>1</w:t>
            </w:r>
            <w:r w:rsidR="00326A01" w:rsidRPr="00394D9A">
              <w:rPr>
                <w:szCs w:val="22"/>
                <w:lang w:val="sr-Latn-RS"/>
              </w:rPr>
              <w:t>23</w:t>
            </w:r>
            <w:r w:rsidRPr="00394D9A">
              <w:rPr>
                <w:szCs w:val="22"/>
                <w:lang w:val="sr-Latn-RS"/>
              </w:rPr>
              <w:t xml:space="preserve"> (1,</w:t>
            </w:r>
            <w:r w:rsidR="00326A01" w:rsidRPr="00394D9A">
              <w:rPr>
                <w:szCs w:val="22"/>
                <w:lang w:val="sr-Latn-RS"/>
              </w:rPr>
              <w:t>0</w:t>
            </w:r>
            <w:r w:rsidRPr="00394D9A">
              <w:rPr>
                <w:szCs w:val="22"/>
                <w:lang w:val="sr-Latn-RS"/>
              </w:rPr>
              <w:t>2)</w:t>
            </w:r>
          </w:p>
        </w:tc>
        <w:tc>
          <w:tcPr>
            <w:tcW w:w="2464" w:type="dxa"/>
            <w:vAlign w:val="center"/>
          </w:tcPr>
          <w:p w14:paraId="279619DF" w14:textId="50B43EA4" w:rsidR="00A279D5" w:rsidRPr="00394D9A" w:rsidRDefault="00326A01" w:rsidP="00187D17">
            <w:pPr>
              <w:widowControl w:val="0"/>
              <w:jc w:val="center"/>
              <w:rPr>
                <w:szCs w:val="22"/>
                <w:lang w:val="sr-Latn-RS"/>
              </w:rPr>
            </w:pPr>
            <w:r w:rsidRPr="00394D9A">
              <w:rPr>
                <w:szCs w:val="22"/>
                <w:lang w:val="sr-Latn-RS"/>
              </w:rPr>
              <w:t>187</w:t>
            </w:r>
            <w:r w:rsidR="00A279D5" w:rsidRPr="00394D9A">
              <w:rPr>
                <w:szCs w:val="22"/>
                <w:lang w:val="sr-Latn-RS"/>
              </w:rPr>
              <w:t xml:space="preserve"> (1,</w:t>
            </w:r>
            <w:r w:rsidRPr="00394D9A">
              <w:rPr>
                <w:szCs w:val="22"/>
                <w:lang w:val="sr-Latn-RS"/>
              </w:rPr>
              <w:t>59</w:t>
            </w:r>
            <w:r w:rsidR="00A279D5" w:rsidRPr="00394D9A">
              <w:rPr>
                <w:szCs w:val="22"/>
                <w:lang w:val="sr-Latn-RS"/>
              </w:rPr>
              <w:t>)</w:t>
            </w:r>
          </w:p>
        </w:tc>
      </w:tr>
      <w:tr w:rsidR="00A279D5" w:rsidRPr="00394D9A" w14:paraId="1D22BC9F" w14:textId="77777777" w:rsidTr="008C76D7">
        <w:tc>
          <w:tcPr>
            <w:tcW w:w="2463" w:type="dxa"/>
          </w:tcPr>
          <w:p w14:paraId="0592ACCE" w14:textId="34E459EB" w:rsidR="00A279D5" w:rsidRPr="00394D9A" w:rsidRDefault="00F67518" w:rsidP="00187D17">
            <w:pPr>
              <w:widowControl w:val="0"/>
              <w:tabs>
                <w:tab w:val="clear" w:pos="284"/>
                <w:tab w:val="left" w:pos="567"/>
              </w:tabs>
              <w:ind w:left="284"/>
              <w:jc w:val="left"/>
              <w:rPr>
                <w:szCs w:val="22"/>
                <w:lang w:val="sr-Latn-RS"/>
              </w:rPr>
            </w:pPr>
            <w:r w:rsidRPr="00394D9A">
              <w:rPr>
                <w:szCs w:val="22"/>
                <w:lang w:val="sr-Latn-RS"/>
              </w:rPr>
              <w:t xml:space="preserve">Odnos rizika </w:t>
            </w:r>
            <w:r w:rsidR="00A279D5" w:rsidRPr="00394D9A">
              <w:rPr>
                <w:szCs w:val="22"/>
                <w:lang w:val="sr-Latn-RS"/>
              </w:rPr>
              <w:t>u odnosu na varfarin</w:t>
            </w:r>
          </w:p>
          <w:p w14:paraId="66FC0E76" w14:textId="77777777" w:rsidR="00A279D5" w:rsidRPr="00394D9A" w:rsidRDefault="00A279D5" w:rsidP="00187D17">
            <w:pPr>
              <w:widowControl w:val="0"/>
              <w:tabs>
                <w:tab w:val="clear" w:pos="284"/>
                <w:tab w:val="left" w:pos="567"/>
              </w:tabs>
              <w:ind w:left="284"/>
              <w:jc w:val="left"/>
              <w:rPr>
                <w:szCs w:val="22"/>
                <w:lang w:val="sr-Latn-RS"/>
              </w:rPr>
            </w:pPr>
            <w:r w:rsidRPr="00394D9A">
              <w:rPr>
                <w:szCs w:val="22"/>
                <w:lang w:val="sr-Latn-RS"/>
              </w:rPr>
              <w:t>(95 % CI)</w:t>
            </w:r>
          </w:p>
        </w:tc>
        <w:tc>
          <w:tcPr>
            <w:tcW w:w="2464" w:type="dxa"/>
            <w:vAlign w:val="center"/>
          </w:tcPr>
          <w:p w14:paraId="6EC3A479" w14:textId="3D098EE3" w:rsidR="00A279D5" w:rsidRPr="00394D9A" w:rsidRDefault="00A279D5" w:rsidP="00187D17">
            <w:pPr>
              <w:widowControl w:val="0"/>
              <w:jc w:val="center"/>
              <w:rPr>
                <w:szCs w:val="22"/>
                <w:lang w:val="sr-Latn-RS"/>
              </w:rPr>
            </w:pPr>
            <w:r w:rsidRPr="00394D9A">
              <w:rPr>
                <w:szCs w:val="22"/>
                <w:lang w:val="sr-Latn-RS"/>
              </w:rPr>
              <w:t>0,</w:t>
            </w:r>
            <w:r w:rsidR="00326A01" w:rsidRPr="00394D9A">
              <w:rPr>
                <w:szCs w:val="22"/>
                <w:lang w:val="sr-Latn-RS"/>
              </w:rPr>
              <w:t>91</w:t>
            </w:r>
            <w:r w:rsidRPr="00394D9A">
              <w:rPr>
                <w:szCs w:val="22"/>
                <w:lang w:val="sr-Latn-RS"/>
              </w:rPr>
              <w:t xml:space="preserve"> (0,7</w:t>
            </w:r>
            <w:r w:rsidR="00326A01" w:rsidRPr="00394D9A">
              <w:rPr>
                <w:szCs w:val="22"/>
                <w:lang w:val="sr-Latn-RS"/>
              </w:rPr>
              <w:t>4</w:t>
            </w:r>
            <w:r w:rsidRPr="00394D9A">
              <w:rPr>
                <w:szCs w:val="22"/>
                <w:lang w:val="sr-Latn-RS"/>
              </w:rPr>
              <w:t>; 1,</w:t>
            </w:r>
            <w:r w:rsidR="00326A01" w:rsidRPr="00394D9A">
              <w:rPr>
                <w:szCs w:val="22"/>
                <w:lang w:val="sr-Latn-RS"/>
              </w:rPr>
              <w:t>12</w:t>
            </w:r>
            <w:r w:rsidRPr="00394D9A">
              <w:rPr>
                <w:szCs w:val="22"/>
                <w:lang w:val="sr-Latn-RS"/>
              </w:rPr>
              <w:t>)</w:t>
            </w:r>
          </w:p>
        </w:tc>
        <w:tc>
          <w:tcPr>
            <w:tcW w:w="2464" w:type="dxa"/>
            <w:vAlign w:val="center"/>
          </w:tcPr>
          <w:p w14:paraId="6289AD77" w14:textId="190FBED7" w:rsidR="00A279D5" w:rsidRPr="00394D9A" w:rsidRDefault="00A279D5" w:rsidP="00187D17">
            <w:pPr>
              <w:widowControl w:val="0"/>
              <w:jc w:val="center"/>
              <w:rPr>
                <w:szCs w:val="22"/>
                <w:lang w:val="sr-Latn-RS"/>
              </w:rPr>
            </w:pPr>
            <w:r w:rsidRPr="00394D9A">
              <w:rPr>
                <w:szCs w:val="22"/>
                <w:lang w:val="sr-Latn-RS"/>
              </w:rPr>
              <w:t>0,6</w:t>
            </w:r>
            <w:r w:rsidR="00326A01" w:rsidRPr="00394D9A">
              <w:rPr>
                <w:szCs w:val="22"/>
                <w:lang w:val="sr-Latn-RS"/>
              </w:rPr>
              <w:t>4</w:t>
            </w:r>
            <w:r w:rsidRPr="00394D9A">
              <w:rPr>
                <w:szCs w:val="22"/>
                <w:lang w:val="sr-Latn-RS"/>
              </w:rPr>
              <w:t xml:space="preserve"> (0,5</w:t>
            </w:r>
            <w:r w:rsidR="00326A01" w:rsidRPr="00394D9A">
              <w:rPr>
                <w:szCs w:val="22"/>
                <w:lang w:val="sr-Latn-RS"/>
              </w:rPr>
              <w:t>1</w:t>
            </w:r>
            <w:r w:rsidRPr="00394D9A">
              <w:rPr>
                <w:szCs w:val="22"/>
                <w:lang w:val="sr-Latn-RS"/>
              </w:rPr>
              <w:t>; 0,81)</w:t>
            </w:r>
          </w:p>
        </w:tc>
        <w:tc>
          <w:tcPr>
            <w:tcW w:w="2464" w:type="dxa"/>
            <w:vAlign w:val="center"/>
          </w:tcPr>
          <w:p w14:paraId="56D0A3A4" w14:textId="77777777" w:rsidR="00A279D5" w:rsidRPr="00394D9A" w:rsidRDefault="00A279D5" w:rsidP="00187D17">
            <w:pPr>
              <w:widowControl w:val="0"/>
              <w:jc w:val="center"/>
              <w:rPr>
                <w:szCs w:val="22"/>
                <w:lang w:val="sr-Latn-RS"/>
              </w:rPr>
            </w:pPr>
          </w:p>
        </w:tc>
      </w:tr>
      <w:tr w:rsidR="00A279D5" w:rsidRPr="00394D9A" w14:paraId="0BED2AD9" w14:textId="77777777" w:rsidTr="008C76D7">
        <w:tc>
          <w:tcPr>
            <w:tcW w:w="2463" w:type="dxa"/>
          </w:tcPr>
          <w:p w14:paraId="58AAE4C5" w14:textId="2B28A9C3" w:rsidR="00A279D5" w:rsidRPr="00394D9A" w:rsidRDefault="00A279D5" w:rsidP="00187D17">
            <w:pPr>
              <w:widowControl w:val="0"/>
              <w:tabs>
                <w:tab w:val="clear" w:pos="284"/>
                <w:tab w:val="left" w:pos="567"/>
              </w:tabs>
              <w:ind w:left="284"/>
              <w:jc w:val="left"/>
              <w:rPr>
                <w:szCs w:val="22"/>
                <w:lang w:val="sr-Latn-RS"/>
              </w:rPr>
            </w:pPr>
            <w:r w:rsidRPr="00394D9A">
              <w:rPr>
                <w:szCs w:val="22"/>
                <w:lang w:val="sr-Latn-RS"/>
              </w:rPr>
              <w:t>p-vr</w:t>
            </w:r>
            <w:r w:rsidR="005F52C8" w:rsidRPr="00394D9A">
              <w:rPr>
                <w:szCs w:val="22"/>
                <w:lang w:val="sr-Latn-RS"/>
              </w:rPr>
              <w:t>ij</w:t>
            </w:r>
            <w:r w:rsidRPr="00394D9A">
              <w:rPr>
                <w:szCs w:val="22"/>
                <w:lang w:val="sr-Latn-RS"/>
              </w:rPr>
              <w:t>ednost</w:t>
            </w:r>
          </w:p>
        </w:tc>
        <w:tc>
          <w:tcPr>
            <w:tcW w:w="2464" w:type="dxa"/>
            <w:vAlign w:val="center"/>
          </w:tcPr>
          <w:p w14:paraId="2F173E92" w14:textId="444D203A" w:rsidR="00A279D5" w:rsidRPr="00394D9A" w:rsidRDefault="00A279D5" w:rsidP="00187D17">
            <w:pPr>
              <w:widowControl w:val="0"/>
              <w:jc w:val="center"/>
              <w:rPr>
                <w:szCs w:val="22"/>
                <w:lang w:val="sr-Latn-RS"/>
              </w:rPr>
            </w:pPr>
            <w:r w:rsidRPr="00394D9A">
              <w:rPr>
                <w:szCs w:val="22"/>
                <w:lang w:val="sr-Latn-RS"/>
              </w:rPr>
              <w:t>0,</w:t>
            </w:r>
            <w:r w:rsidR="00326A01" w:rsidRPr="00394D9A">
              <w:rPr>
                <w:szCs w:val="22"/>
                <w:lang w:val="sr-Latn-RS"/>
              </w:rPr>
              <w:t>3553</w:t>
            </w:r>
          </w:p>
        </w:tc>
        <w:tc>
          <w:tcPr>
            <w:tcW w:w="2464" w:type="dxa"/>
            <w:vAlign w:val="center"/>
          </w:tcPr>
          <w:p w14:paraId="29C83B2F" w14:textId="159BBF18" w:rsidR="00A279D5" w:rsidRPr="00394D9A" w:rsidRDefault="00A279D5" w:rsidP="00187D17">
            <w:pPr>
              <w:widowControl w:val="0"/>
              <w:jc w:val="center"/>
              <w:rPr>
                <w:szCs w:val="22"/>
                <w:lang w:val="sr-Latn-RS"/>
              </w:rPr>
            </w:pPr>
            <w:r w:rsidRPr="00394D9A">
              <w:rPr>
                <w:szCs w:val="22"/>
                <w:lang w:val="sr-Latn-RS"/>
              </w:rPr>
              <w:t>0,0001</w:t>
            </w:r>
          </w:p>
        </w:tc>
        <w:tc>
          <w:tcPr>
            <w:tcW w:w="2464" w:type="dxa"/>
            <w:vAlign w:val="center"/>
          </w:tcPr>
          <w:p w14:paraId="0193533E" w14:textId="77777777" w:rsidR="00A279D5" w:rsidRPr="00394D9A" w:rsidRDefault="00A279D5" w:rsidP="00187D17">
            <w:pPr>
              <w:widowControl w:val="0"/>
              <w:jc w:val="center"/>
              <w:rPr>
                <w:szCs w:val="22"/>
                <w:lang w:val="sr-Latn-RS"/>
              </w:rPr>
            </w:pPr>
          </w:p>
        </w:tc>
      </w:tr>
      <w:tr w:rsidR="00A279D5" w:rsidRPr="00394D9A" w14:paraId="73C26578" w14:textId="77777777" w:rsidTr="008C76D7">
        <w:tc>
          <w:tcPr>
            <w:tcW w:w="2463" w:type="dxa"/>
          </w:tcPr>
          <w:p w14:paraId="28057BF0" w14:textId="71DCDFFD" w:rsidR="00A279D5" w:rsidRPr="00394D9A" w:rsidRDefault="00F67518" w:rsidP="00187D17">
            <w:pPr>
              <w:widowControl w:val="0"/>
              <w:tabs>
                <w:tab w:val="clear" w:pos="284"/>
                <w:tab w:val="left" w:pos="567"/>
              </w:tabs>
              <w:jc w:val="left"/>
              <w:rPr>
                <w:szCs w:val="22"/>
                <w:lang w:val="sr-Latn-RS"/>
              </w:rPr>
            </w:pPr>
            <w:r w:rsidRPr="00394D9A">
              <w:rPr>
                <w:szCs w:val="22"/>
                <w:lang w:val="sr-Latn-RS"/>
              </w:rPr>
              <w:t>S</w:t>
            </w:r>
            <w:r w:rsidR="00A279D5" w:rsidRPr="00394D9A">
              <w:rPr>
                <w:szCs w:val="22"/>
                <w:lang w:val="sr-Latn-RS"/>
              </w:rPr>
              <w:t>istemsk</w:t>
            </w:r>
            <w:r w:rsidRPr="00394D9A">
              <w:rPr>
                <w:szCs w:val="22"/>
                <w:lang w:val="sr-Latn-RS"/>
              </w:rPr>
              <w:t>a</w:t>
            </w:r>
            <w:r w:rsidR="00A279D5" w:rsidRPr="00394D9A">
              <w:rPr>
                <w:szCs w:val="22"/>
                <w:lang w:val="sr-Latn-RS"/>
              </w:rPr>
              <w:t xml:space="preserve"> embolij</w:t>
            </w:r>
            <w:r w:rsidRPr="00394D9A">
              <w:rPr>
                <w:szCs w:val="22"/>
                <w:lang w:val="sr-Latn-RS"/>
              </w:rPr>
              <w:t>a</w:t>
            </w:r>
          </w:p>
        </w:tc>
        <w:tc>
          <w:tcPr>
            <w:tcW w:w="2464" w:type="dxa"/>
            <w:vAlign w:val="center"/>
          </w:tcPr>
          <w:p w14:paraId="757074DC" w14:textId="77777777" w:rsidR="00A279D5" w:rsidRPr="00394D9A" w:rsidRDefault="00A279D5" w:rsidP="00187D17">
            <w:pPr>
              <w:widowControl w:val="0"/>
              <w:jc w:val="center"/>
              <w:rPr>
                <w:szCs w:val="22"/>
                <w:lang w:val="sr-Latn-RS"/>
              </w:rPr>
            </w:pPr>
          </w:p>
        </w:tc>
        <w:tc>
          <w:tcPr>
            <w:tcW w:w="2464" w:type="dxa"/>
            <w:vAlign w:val="center"/>
          </w:tcPr>
          <w:p w14:paraId="7640117B" w14:textId="77777777" w:rsidR="00A279D5" w:rsidRPr="00394D9A" w:rsidRDefault="00A279D5" w:rsidP="00187D17">
            <w:pPr>
              <w:widowControl w:val="0"/>
              <w:jc w:val="center"/>
              <w:rPr>
                <w:szCs w:val="22"/>
                <w:lang w:val="sr-Latn-RS"/>
              </w:rPr>
            </w:pPr>
          </w:p>
        </w:tc>
        <w:tc>
          <w:tcPr>
            <w:tcW w:w="2464" w:type="dxa"/>
            <w:vAlign w:val="center"/>
          </w:tcPr>
          <w:p w14:paraId="12EB9BBD" w14:textId="77777777" w:rsidR="00A279D5" w:rsidRPr="00394D9A" w:rsidRDefault="00A279D5" w:rsidP="00187D17">
            <w:pPr>
              <w:widowControl w:val="0"/>
              <w:jc w:val="center"/>
              <w:rPr>
                <w:szCs w:val="22"/>
                <w:lang w:val="sr-Latn-RS"/>
              </w:rPr>
            </w:pPr>
          </w:p>
        </w:tc>
      </w:tr>
      <w:tr w:rsidR="00A279D5" w:rsidRPr="00394D9A" w14:paraId="26A97403" w14:textId="77777777" w:rsidTr="008C76D7">
        <w:tc>
          <w:tcPr>
            <w:tcW w:w="2463" w:type="dxa"/>
          </w:tcPr>
          <w:p w14:paraId="03BB9533" w14:textId="59E35DFE" w:rsidR="00A279D5" w:rsidRPr="00394D9A" w:rsidRDefault="00A279D5" w:rsidP="00187D17">
            <w:pPr>
              <w:widowControl w:val="0"/>
              <w:tabs>
                <w:tab w:val="clear" w:pos="284"/>
                <w:tab w:val="left" w:pos="567"/>
              </w:tabs>
              <w:ind w:left="284"/>
              <w:jc w:val="left"/>
              <w:rPr>
                <w:szCs w:val="22"/>
                <w:lang w:val="sr-Latn-RS"/>
              </w:rPr>
            </w:pPr>
            <w:r w:rsidRPr="00394D9A">
              <w:rPr>
                <w:szCs w:val="22"/>
                <w:lang w:val="sr-Latn-RS"/>
              </w:rPr>
              <w:t>Incidence (%)</w:t>
            </w:r>
          </w:p>
        </w:tc>
        <w:tc>
          <w:tcPr>
            <w:tcW w:w="2464" w:type="dxa"/>
            <w:vAlign w:val="center"/>
          </w:tcPr>
          <w:p w14:paraId="4E576885" w14:textId="79E4E6C8" w:rsidR="00A279D5" w:rsidRPr="00394D9A" w:rsidRDefault="00A279D5" w:rsidP="00187D17">
            <w:pPr>
              <w:widowControl w:val="0"/>
              <w:jc w:val="center"/>
              <w:rPr>
                <w:szCs w:val="22"/>
                <w:lang w:val="sr-Latn-RS"/>
              </w:rPr>
            </w:pPr>
            <w:r w:rsidRPr="00394D9A">
              <w:rPr>
                <w:szCs w:val="22"/>
                <w:lang w:val="sr-Latn-RS"/>
              </w:rPr>
              <w:t>1</w:t>
            </w:r>
            <w:r w:rsidR="00F831BE" w:rsidRPr="00394D9A">
              <w:rPr>
                <w:szCs w:val="22"/>
                <w:lang w:val="sr-Latn-RS"/>
              </w:rPr>
              <w:t>5</w:t>
            </w:r>
            <w:r w:rsidRPr="00394D9A">
              <w:rPr>
                <w:szCs w:val="22"/>
                <w:lang w:val="sr-Latn-RS"/>
              </w:rPr>
              <w:t xml:space="preserve"> (</w:t>
            </w:r>
            <w:r w:rsidR="00F831BE" w:rsidRPr="00394D9A">
              <w:rPr>
                <w:szCs w:val="22"/>
                <w:lang w:val="sr-Latn-RS"/>
              </w:rPr>
              <w:t>0,13</w:t>
            </w:r>
            <w:r w:rsidRPr="00394D9A">
              <w:rPr>
                <w:szCs w:val="22"/>
                <w:lang w:val="sr-Latn-RS"/>
              </w:rPr>
              <w:t>)</w:t>
            </w:r>
          </w:p>
        </w:tc>
        <w:tc>
          <w:tcPr>
            <w:tcW w:w="2464" w:type="dxa"/>
            <w:vAlign w:val="center"/>
          </w:tcPr>
          <w:p w14:paraId="0A51897E" w14:textId="14A398AF" w:rsidR="00A279D5" w:rsidRPr="00394D9A" w:rsidRDefault="00A279D5" w:rsidP="00187D17">
            <w:pPr>
              <w:widowControl w:val="0"/>
              <w:jc w:val="center"/>
              <w:rPr>
                <w:szCs w:val="22"/>
                <w:lang w:val="sr-Latn-RS"/>
              </w:rPr>
            </w:pPr>
            <w:r w:rsidRPr="00394D9A">
              <w:rPr>
                <w:szCs w:val="22"/>
                <w:lang w:val="sr-Latn-RS"/>
              </w:rPr>
              <w:t>13 (</w:t>
            </w:r>
            <w:r w:rsidR="00F831BE" w:rsidRPr="00394D9A">
              <w:rPr>
                <w:szCs w:val="22"/>
                <w:lang w:val="sr-Latn-RS"/>
              </w:rPr>
              <w:t>0</w:t>
            </w:r>
            <w:r w:rsidRPr="00394D9A">
              <w:rPr>
                <w:szCs w:val="22"/>
                <w:lang w:val="sr-Latn-RS"/>
              </w:rPr>
              <w:t>,1</w:t>
            </w:r>
            <w:r w:rsidR="00F831BE" w:rsidRPr="00394D9A">
              <w:rPr>
                <w:szCs w:val="22"/>
                <w:lang w:val="sr-Latn-RS"/>
              </w:rPr>
              <w:t>1</w:t>
            </w:r>
            <w:r w:rsidRPr="00394D9A">
              <w:rPr>
                <w:szCs w:val="22"/>
                <w:lang w:val="sr-Latn-RS"/>
              </w:rPr>
              <w:t>)</w:t>
            </w:r>
          </w:p>
        </w:tc>
        <w:tc>
          <w:tcPr>
            <w:tcW w:w="2464" w:type="dxa"/>
            <w:vAlign w:val="center"/>
          </w:tcPr>
          <w:p w14:paraId="75144BB6" w14:textId="75C388A5" w:rsidR="00A279D5" w:rsidRPr="00394D9A" w:rsidRDefault="00A279D5" w:rsidP="00187D17">
            <w:pPr>
              <w:widowControl w:val="0"/>
              <w:jc w:val="center"/>
              <w:rPr>
                <w:szCs w:val="22"/>
                <w:lang w:val="sr-Latn-RS"/>
              </w:rPr>
            </w:pPr>
            <w:r w:rsidRPr="00394D9A">
              <w:rPr>
                <w:szCs w:val="22"/>
                <w:lang w:val="sr-Latn-RS"/>
              </w:rPr>
              <w:t>2</w:t>
            </w:r>
            <w:r w:rsidR="00F831BE" w:rsidRPr="00394D9A">
              <w:rPr>
                <w:szCs w:val="22"/>
                <w:lang w:val="sr-Latn-RS"/>
              </w:rPr>
              <w:t>1</w:t>
            </w:r>
            <w:r w:rsidRPr="00394D9A">
              <w:rPr>
                <w:szCs w:val="22"/>
                <w:lang w:val="sr-Latn-RS"/>
              </w:rPr>
              <w:t xml:space="preserve"> (</w:t>
            </w:r>
            <w:r w:rsidR="00F831BE" w:rsidRPr="00394D9A">
              <w:rPr>
                <w:szCs w:val="22"/>
                <w:lang w:val="sr-Latn-RS"/>
              </w:rPr>
              <w:t>0</w:t>
            </w:r>
            <w:r w:rsidRPr="00394D9A">
              <w:rPr>
                <w:szCs w:val="22"/>
                <w:lang w:val="sr-Latn-RS"/>
              </w:rPr>
              <w:t>,</w:t>
            </w:r>
            <w:r w:rsidR="00F831BE" w:rsidRPr="00394D9A">
              <w:rPr>
                <w:szCs w:val="22"/>
                <w:lang w:val="sr-Latn-RS"/>
              </w:rPr>
              <w:t>18</w:t>
            </w:r>
            <w:r w:rsidRPr="00394D9A">
              <w:rPr>
                <w:szCs w:val="22"/>
                <w:lang w:val="sr-Latn-RS"/>
              </w:rPr>
              <w:t>)</w:t>
            </w:r>
          </w:p>
        </w:tc>
      </w:tr>
      <w:tr w:rsidR="00A279D5" w:rsidRPr="00394D9A" w14:paraId="41AA3A88" w14:textId="77777777" w:rsidTr="008C76D7">
        <w:tc>
          <w:tcPr>
            <w:tcW w:w="2463" w:type="dxa"/>
          </w:tcPr>
          <w:p w14:paraId="49984079" w14:textId="62B220E4" w:rsidR="00A279D5" w:rsidRPr="00394D9A" w:rsidRDefault="00F67518" w:rsidP="00187D17">
            <w:pPr>
              <w:widowControl w:val="0"/>
              <w:tabs>
                <w:tab w:val="clear" w:pos="284"/>
                <w:tab w:val="left" w:pos="567"/>
              </w:tabs>
              <w:ind w:left="284"/>
              <w:jc w:val="left"/>
              <w:rPr>
                <w:szCs w:val="22"/>
                <w:lang w:val="sr-Latn-RS"/>
              </w:rPr>
            </w:pPr>
            <w:r w:rsidRPr="00394D9A">
              <w:rPr>
                <w:szCs w:val="22"/>
                <w:lang w:val="sr-Latn-RS"/>
              </w:rPr>
              <w:t xml:space="preserve">Odnos rizika </w:t>
            </w:r>
            <w:r w:rsidR="00A279D5" w:rsidRPr="00394D9A">
              <w:rPr>
                <w:szCs w:val="22"/>
                <w:lang w:val="sr-Latn-RS"/>
              </w:rPr>
              <w:t>u odnosu na varfarin</w:t>
            </w:r>
          </w:p>
          <w:p w14:paraId="4DD46A56" w14:textId="39C55300" w:rsidR="00A279D5" w:rsidRPr="00394D9A" w:rsidRDefault="00A279D5" w:rsidP="00187D17">
            <w:pPr>
              <w:widowControl w:val="0"/>
              <w:tabs>
                <w:tab w:val="clear" w:pos="284"/>
                <w:tab w:val="left" w:pos="567"/>
              </w:tabs>
              <w:ind w:left="284"/>
              <w:jc w:val="left"/>
              <w:rPr>
                <w:szCs w:val="22"/>
                <w:lang w:val="sr-Latn-RS"/>
              </w:rPr>
            </w:pPr>
            <w:r w:rsidRPr="00394D9A">
              <w:rPr>
                <w:szCs w:val="22"/>
                <w:lang w:val="sr-Latn-RS"/>
              </w:rPr>
              <w:t>(95% CI)</w:t>
            </w:r>
          </w:p>
        </w:tc>
        <w:tc>
          <w:tcPr>
            <w:tcW w:w="2464" w:type="dxa"/>
            <w:vAlign w:val="center"/>
          </w:tcPr>
          <w:p w14:paraId="69003783" w14:textId="3F1FE16E" w:rsidR="00A279D5" w:rsidRPr="00394D9A" w:rsidRDefault="00A279D5" w:rsidP="00187D17">
            <w:pPr>
              <w:widowControl w:val="0"/>
              <w:jc w:val="center"/>
              <w:rPr>
                <w:szCs w:val="22"/>
                <w:lang w:val="sr-Latn-RS"/>
              </w:rPr>
            </w:pPr>
            <w:r w:rsidRPr="00394D9A">
              <w:rPr>
                <w:szCs w:val="22"/>
                <w:lang w:val="sr-Latn-RS"/>
              </w:rPr>
              <w:t>0,</w:t>
            </w:r>
            <w:r w:rsidR="00F831BE" w:rsidRPr="00394D9A">
              <w:rPr>
                <w:szCs w:val="22"/>
                <w:lang w:val="sr-Latn-RS"/>
              </w:rPr>
              <w:t>71</w:t>
            </w:r>
            <w:r w:rsidRPr="00394D9A">
              <w:rPr>
                <w:szCs w:val="22"/>
                <w:lang w:val="sr-Latn-RS"/>
              </w:rPr>
              <w:t xml:space="preserve"> (0,3</w:t>
            </w:r>
            <w:r w:rsidR="00F831BE" w:rsidRPr="00394D9A">
              <w:rPr>
                <w:szCs w:val="22"/>
                <w:lang w:val="sr-Latn-RS"/>
              </w:rPr>
              <w:t>7</w:t>
            </w:r>
            <w:r w:rsidRPr="00394D9A">
              <w:rPr>
                <w:szCs w:val="22"/>
                <w:lang w:val="sr-Latn-RS"/>
              </w:rPr>
              <w:t>; 1,</w:t>
            </w:r>
            <w:r w:rsidR="00F831BE" w:rsidRPr="00394D9A">
              <w:rPr>
                <w:szCs w:val="22"/>
                <w:lang w:val="sr-Latn-RS"/>
              </w:rPr>
              <w:t>38</w:t>
            </w:r>
            <w:r w:rsidRPr="00394D9A">
              <w:rPr>
                <w:szCs w:val="22"/>
                <w:lang w:val="sr-Latn-RS"/>
              </w:rPr>
              <w:t>)</w:t>
            </w:r>
          </w:p>
        </w:tc>
        <w:tc>
          <w:tcPr>
            <w:tcW w:w="2464" w:type="dxa"/>
            <w:vAlign w:val="center"/>
          </w:tcPr>
          <w:p w14:paraId="485E875D" w14:textId="70E45904" w:rsidR="00A279D5" w:rsidRPr="00394D9A" w:rsidRDefault="00A279D5" w:rsidP="00187D17">
            <w:pPr>
              <w:widowControl w:val="0"/>
              <w:jc w:val="center"/>
              <w:rPr>
                <w:szCs w:val="22"/>
                <w:lang w:val="sr-Latn-RS"/>
              </w:rPr>
            </w:pPr>
            <w:r w:rsidRPr="00394D9A">
              <w:rPr>
                <w:szCs w:val="22"/>
                <w:lang w:val="sr-Latn-RS"/>
              </w:rPr>
              <w:t>0,6</w:t>
            </w:r>
            <w:r w:rsidR="00F831BE" w:rsidRPr="00394D9A">
              <w:rPr>
                <w:szCs w:val="22"/>
                <w:lang w:val="sr-Latn-RS"/>
              </w:rPr>
              <w:t>1</w:t>
            </w:r>
            <w:r w:rsidRPr="00394D9A">
              <w:rPr>
                <w:szCs w:val="22"/>
                <w:lang w:val="sr-Latn-RS"/>
              </w:rPr>
              <w:t xml:space="preserve"> (0,</w:t>
            </w:r>
            <w:r w:rsidR="00F831BE" w:rsidRPr="00394D9A">
              <w:rPr>
                <w:szCs w:val="22"/>
                <w:lang w:val="sr-Latn-RS"/>
              </w:rPr>
              <w:t>30</w:t>
            </w:r>
            <w:r w:rsidRPr="00394D9A">
              <w:rPr>
                <w:szCs w:val="22"/>
                <w:lang w:val="sr-Latn-RS"/>
              </w:rPr>
              <w:t xml:space="preserve">; </w:t>
            </w:r>
            <w:r w:rsidR="00F831BE" w:rsidRPr="00394D9A">
              <w:rPr>
                <w:szCs w:val="22"/>
                <w:lang w:val="sr-Latn-RS"/>
              </w:rPr>
              <w:t>1</w:t>
            </w:r>
            <w:r w:rsidRPr="00394D9A">
              <w:rPr>
                <w:szCs w:val="22"/>
                <w:lang w:val="sr-Latn-RS"/>
              </w:rPr>
              <w:t>,</w:t>
            </w:r>
            <w:r w:rsidR="00F831BE" w:rsidRPr="00394D9A">
              <w:rPr>
                <w:szCs w:val="22"/>
                <w:lang w:val="sr-Latn-RS"/>
              </w:rPr>
              <w:t>21</w:t>
            </w:r>
            <w:r w:rsidRPr="00394D9A">
              <w:rPr>
                <w:szCs w:val="22"/>
                <w:lang w:val="sr-Latn-RS"/>
              </w:rPr>
              <w:t>)</w:t>
            </w:r>
          </w:p>
        </w:tc>
        <w:tc>
          <w:tcPr>
            <w:tcW w:w="2464" w:type="dxa"/>
            <w:vAlign w:val="center"/>
          </w:tcPr>
          <w:p w14:paraId="6D7BCE67" w14:textId="77777777" w:rsidR="00A279D5" w:rsidRPr="00394D9A" w:rsidRDefault="00A279D5" w:rsidP="00187D17">
            <w:pPr>
              <w:widowControl w:val="0"/>
              <w:jc w:val="center"/>
              <w:rPr>
                <w:szCs w:val="22"/>
                <w:lang w:val="sr-Latn-RS"/>
              </w:rPr>
            </w:pPr>
          </w:p>
        </w:tc>
      </w:tr>
      <w:tr w:rsidR="00A279D5" w:rsidRPr="00394D9A" w14:paraId="0FB3566D" w14:textId="77777777" w:rsidTr="008C76D7">
        <w:tc>
          <w:tcPr>
            <w:tcW w:w="2463" w:type="dxa"/>
          </w:tcPr>
          <w:p w14:paraId="3A9449A6" w14:textId="371ABC64" w:rsidR="00A279D5" w:rsidRPr="00394D9A" w:rsidRDefault="00A279D5" w:rsidP="00187D17">
            <w:pPr>
              <w:widowControl w:val="0"/>
              <w:tabs>
                <w:tab w:val="clear" w:pos="284"/>
                <w:tab w:val="left" w:pos="567"/>
              </w:tabs>
              <w:ind w:left="284"/>
              <w:jc w:val="left"/>
              <w:rPr>
                <w:szCs w:val="22"/>
                <w:lang w:val="sr-Latn-RS"/>
              </w:rPr>
            </w:pPr>
            <w:r w:rsidRPr="00394D9A">
              <w:rPr>
                <w:szCs w:val="22"/>
                <w:lang w:val="sr-Latn-RS"/>
              </w:rPr>
              <w:lastRenderedPageBreak/>
              <w:t>p-vr</w:t>
            </w:r>
            <w:r w:rsidR="005F52C8" w:rsidRPr="00394D9A">
              <w:rPr>
                <w:szCs w:val="22"/>
                <w:lang w:val="sr-Latn-RS"/>
              </w:rPr>
              <w:t>ij</w:t>
            </w:r>
            <w:r w:rsidRPr="00394D9A">
              <w:rPr>
                <w:szCs w:val="22"/>
                <w:lang w:val="sr-Latn-RS"/>
              </w:rPr>
              <w:t>ednost</w:t>
            </w:r>
          </w:p>
        </w:tc>
        <w:tc>
          <w:tcPr>
            <w:tcW w:w="2464" w:type="dxa"/>
            <w:vAlign w:val="center"/>
          </w:tcPr>
          <w:p w14:paraId="65DA41C4" w14:textId="41B882D6" w:rsidR="00A279D5" w:rsidRPr="00394D9A" w:rsidRDefault="00F831BE" w:rsidP="00187D17">
            <w:pPr>
              <w:widowControl w:val="0"/>
              <w:jc w:val="center"/>
              <w:rPr>
                <w:szCs w:val="22"/>
                <w:lang w:val="sr-Latn-RS"/>
              </w:rPr>
            </w:pPr>
            <w:r w:rsidRPr="00394D9A">
              <w:rPr>
                <w:szCs w:val="22"/>
                <w:lang w:val="sr-Latn-RS"/>
              </w:rPr>
              <w:t>0,3099</w:t>
            </w:r>
          </w:p>
        </w:tc>
        <w:tc>
          <w:tcPr>
            <w:tcW w:w="2464" w:type="dxa"/>
            <w:vAlign w:val="center"/>
          </w:tcPr>
          <w:p w14:paraId="0119DB97" w14:textId="117A6263" w:rsidR="00A279D5" w:rsidRPr="00394D9A" w:rsidRDefault="00F831BE" w:rsidP="00187D17">
            <w:pPr>
              <w:widowControl w:val="0"/>
              <w:jc w:val="center"/>
              <w:rPr>
                <w:szCs w:val="22"/>
                <w:lang w:val="sr-Latn-RS"/>
              </w:rPr>
            </w:pPr>
            <w:r w:rsidRPr="00394D9A">
              <w:rPr>
                <w:szCs w:val="22"/>
                <w:lang w:val="sr-Latn-RS"/>
              </w:rPr>
              <w:t>0,1582</w:t>
            </w:r>
          </w:p>
        </w:tc>
        <w:tc>
          <w:tcPr>
            <w:tcW w:w="2464" w:type="dxa"/>
            <w:vAlign w:val="center"/>
          </w:tcPr>
          <w:p w14:paraId="5809EC19" w14:textId="77777777" w:rsidR="00A279D5" w:rsidRPr="00394D9A" w:rsidRDefault="00A279D5" w:rsidP="00187D17">
            <w:pPr>
              <w:widowControl w:val="0"/>
              <w:jc w:val="center"/>
              <w:rPr>
                <w:szCs w:val="22"/>
                <w:lang w:val="sr-Latn-RS"/>
              </w:rPr>
            </w:pPr>
          </w:p>
        </w:tc>
      </w:tr>
      <w:tr w:rsidR="00A279D5" w:rsidRPr="00394D9A" w14:paraId="165B770A" w14:textId="77777777" w:rsidTr="008C76D7">
        <w:tc>
          <w:tcPr>
            <w:tcW w:w="2463" w:type="dxa"/>
          </w:tcPr>
          <w:p w14:paraId="37D1A902" w14:textId="4E07AA26" w:rsidR="00A279D5" w:rsidRPr="00394D9A" w:rsidRDefault="00F831BE" w:rsidP="00187D17">
            <w:pPr>
              <w:widowControl w:val="0"/>
              <w:tabs>
                <w:tab w:val="clear" w:pos="284"/>
                <w:tab w:val="left" w:pos="567"/>
              </w:tabs>
              <w:jc w:val="left"/>
              <w:rPr>
                <w:szCs w:val="22"/>
                <w:lang w:val="sr-Latn-RS"/>
              </w:rPr>
            </w:pPr>
            <w:r w:rsidRPr="00394D9A">
              <w:rPr>
                <w:szCs w:val="22"/>
                <w:lang w:val="sr-Latn-RS"/>
              </w:rPr>
              <w:t>Ishemijski moždani udar</w:t>
            </w:r>
          </w:p>
        </w:tc>
        <w:tc>
          <w:tcPr>
            <w:tcW w:w="2464" w:type="dxa"/>
            <w:vAlign w:val="center"/>
          </w:tcPr>
          <w:p w14:paraId="014D7338" w14:textId="77777777" w:rsidR="00A279D5" w:rsidRPr="00394D9A" w:rsidRDefault="00A279D5" w:rsidP="00187D17">
            <w:pPr>
              <w:widowControl w:val="0"/>
              <w:jc w:val="center"/>
              <w:rPr>
                <w:szCs w:val="22"/>
                <w:lang w:val="sr-Latn-RS"/>
              </w:rPr>
            </w:pPr>
          </w:p>
        </w:tc>
        <w:tc>
          <w:tcPr>
            <w:tcW w:w="2464" w:type="dxa"/>
            <w:vAlign w:val="center"/>
          </w:tcPr>
          <w:p w14:paraId="1349D562" w14:textId="77777777" w:rsidR="00A279D5" w:rsidRPr="00394D9A" w:rsidRDefault="00A279D5" w:rsidP="00187D17">
            <w:pPr>
              <w:widowControl w:val="0"/>
              <w:jc w:val="center"/>
              <w:rPr>
                <w:szCs w:val="22"/>
                <w:lang w:val="sr-Latn-RS"/>
              </w:rPr>
            </w:pPr>
          </w:p>
        </w:tc>
        <w:tc>
          <w:tcPr>
            <w:tcW w:w="2464" w:type="dxa"/>
            <w:vAlign w:val="center"/>
          </w:tcPr>
          <w:p w14:paraId="128BC043" w14:textId="77777777" w:rsidR="00A279D5" w:rsidRPr="00394D9A" w:rsidRDefault="00A279D5" w:rsidP="00187D17">
            <w:pPr>
              <w:widowControl w:val="0"/>
              <w:jc w:val="center"/>
              <w:rPr>
                <w:szCs w:val="22"/>
                <w:lang w:val="sr-Latn-RS"/>
              </w:rPr>
            </w:pPr>
          </w:p>
        </w:tc>
      </w:tr>
      <w:tr w:rsidR="00A279D5" w:rsidRPr="00394D9A" w14:paraId="747F7967" w14:textId="77777777" w:rsidTr="008C76D7">
        <w:tc>
          <w:tcPr>
            <w:tcW w:w="2463" w:type="dxa"/>
          </w:tcPr>
          <w:p w14:paraId="4DF2684D" w14:textId="1EAB933C" w:rsidR="00A279D5" w:rsidRPr="00394D9A" w:rsidRDefault="00A279D5" w:rsidP="00187D17">
            <w:pPr>
              <w:widowControl w:val="0"/>
              <w:tabs>
                <w:tab w:val="clear" w:pos="284"/>
                <w:tab w:val="left" w:pos="567"/>
              </w:tabs>
              <w:ind w:left="284"/>
              <w:jc w:val="left"/>
              <w:rPr>
                <w:szCs w:val="22"/>
                <w:lang w:val="sr-Latn-RS"/>
              </w:rPr>
            </w:pPr>
            <w:r w:rsidRPr="00394D9A">
              <w:rPr>
                <w:szCs w:val="22"/>
                <w:lang w:val="sr-Latn-RS"/>
              </w:rPr>
              <w:t>Incidence (%)</w:t>
            </w:r>
          </w:p>
        </w:tc>
        <w:tc>
          <w:tcPr>
            <w:tcW w:w="2464" w:type="dxa"/>
            <w:vAlign w:val="center"/>
          </w:tcPr>
          <w:p w14:paraId="679833DD" w14:textId="01C69202" w:rsidR="00A279D5" w:rsidRPr="00394D9A" w:rsidRDefault="00A279D5" w:rsidP="00187D17">
            <w:pPr>
              <w:widowControl w:val="0"/>
              <w:jc w:val="center"/>
              <w:rPr>
                <w:szCs w:val="22"/>
                <w:lang w:val="sr-Latn-RS"/>
              </w:rPr>
            </w:pPr>
            <w:r w:rsidRPr="00394D9A">
              <w:rPr>
                <w:szCs w:val="22"/>
                <w:lang w:val="sr-Latn-RS"/>
              </w:rPr>
              <w:t>1</w:t>
            </w:r>
            <w:r w:rsidR="00F831BE" w:rsidRPr="00394D9A">
              <w:rPr>
                <w:szCs w:val="22"/>
                <w:lang w:val="sr-Latn-RS"/>
              </w:rPr>
              <w:t>52</w:t>
            </w:r>
            <w:r w:rsidRPr="00394D9A">
              <w:rPr>
                <w:szCs w:val="22"/>
                <w:lang w:val="sr-Latn-RS"/>
              </w:rPr>
              <w:t xml:space="preserve"> (1,</w:t>
            </w:r>
            <w:r w:rsidR="00F831BE" w:rsidRPr="00394D9A">
              <w:rPr>
                <w:szCs w:val="22"/>
                <w:lang w:val="sr-Latn-RS"/>
              </w:rPr>
              <w:t>28</w:t>
            </w:r>
            <w:r w:rsidRPr="00394D9A">
              <w:rPr>
                <w:szCs w:val="22"/>
                <w:lang w:val="sr-Latn-RS"/>
              </w:rPr>
              <w:t>)</w:t>
            </w:r>
          </w:p>
        </w:tc>
        <w:tc>
          <w:tcPr>
            <w:tcW w:w="2464" w:type="dxa"/>
            <w:vAlign w:val="center"/>
          </w:tcPr>
          <w:p w14:paraId="550A9E5E" w14:textId="7F107FA3" w:rsidR="00A279D5" w:rsidRPr="00394D9A" w:rsidRDefault="00A279D5" w:rsidP="00187D17">
            <w:pPr>
              <w:widowControl w:val="0"/>
              <w:jc w:val="center"/>
              <w:rPr>
                <w:szCs w:val="22"/>
                <w:lang w:val="sr-Latn-RS"/>
              </w:rPr>
            </w:pPr>
            <w:r w:rsidRPr="00394D9A">
              <w:rPr>
                <w:szCs w:val="22"/>
                <w:lang w:val="sr-Latn-RS"/>
              </w:rPr>
              <w:t>1</w:t>
            </w:r>
            <w:r w:rsidR="00F831BE" w:rsidRPr="00394D9A">
              <w:rPr>
                <w:szCs w:val="22"/>
                <w:lang w:val="sr-Latn-RS"/>
              </w:rPr>
              <w:t>04</w:t>
            </w:r>
            <w:r w:rsidRPr="00394D9A">
              <w:rPr>
                <w:szCs w:val="22"/>
                <w:lang w:val="sr-Latn-RS"/>
              </w:rPr>
              <w:t xml:space="preserve"> (</w:t>
            </w:r>
            <w:r w:rsidR="00F831BE" w:rsidRPr="00394D9A">
              <w:rPr>
                <w:szCs w:val="22"/>
                <w:lang w:val="sr-Latn-RS"/>
              </w:rPr>
              <w:t>0</w:t>
            </w:r>
            <w:r w:rsidRPr="00394D9A">
              <w:rPr>
                <w:szCs w:val="22"/>
                <w:lang w:val="sr-Latn-RS"/>
              </w:rPr>
              <w:t>,</w:t>
            </w:r>
            <w:r w:rsidR="00F831BE" w:rsidRPr="00394D9A">
              <w:rPr>
                <w:szCs w:val="22"/>
                <w:lang w:val="sr-Latn-RS"/>
              </w:rPr>
              <w:t>86</w:t>
            </w:r>
            <w:r w:rsidRPr="00394D9A">
              <w:rPr>
                <w:szCs w:val="22"/>
                <w:lang w:val="sr-Latn-RS"/>
              </w:rPr>
              <w:t>)</w:t>
            </w:r>
          </w:p>
        </w:tc>
        <w:tc>
          <w:tcPr>
            <w:tcW w:w="2464" w:type="dxa"/>
            <w:vAlign w:val="center"/>
          </w:tcPr>
          <w:p w14:paraId="136A6A5F" w14:textId="655F853A" w:rsidR="00A279D5" w:rsidRPr="00394D9A" w:rsidRDefault="00F831BE" w:rsidP="00187D17">
            <w:pPr>
              <w:widowControl w:val="0"/>
              <w:jc w:val="center"/>
              <w:rPr>
                <w:szCs w:val="22"/>
                <w:lang w:val="sr-Latn-RS"/>
              </w:rPr>
            </w:pPr>
            <w:r w:rsidRPr="00394D9A">
              <w:rPr>
                <w:szCs w:val="22"/>
                <w:lang w:val="sr-Latn-RS"/>
              </w:rPr>
              <w:t>134</w:t>
            </w:r>
            <w:r w:rsidR="00A279D5" w:rsidRPr="00394D9A">
              <w:rPr>
                <w:szCs w:val="22"/>
                <w:lang w:val="sr-Latn-RS"/>
              </w:rPr>
              <w:t xml:space="preserve"> (1,</w:t>
            </w:r>
            <w:r w:rsidRPr="00394D9A">
              <w:rPr>
                <w:szCs w:val="22"/>
                <w:lang w:val="sr-Latn-RS"/>
              </w:rPr>
              <w:t>14</w:t>
            </w:r>
            <w:r w:rsidR="00A279D5" w:rsidRPr="00394D9A">
              <w:rPr>
                <w:szCs w:val="22"/>
                <w:lang w:val="sr-Latn-RS"/>
              </w:rPr>
              <w:t>)</w:t>
            </w:r>
          </w:p>
        </w:tc>
      </w:tr>
      <w:tr w:rsidR="00A279D5" w:rsidRPr="00394D9A" w14:paraId="08DC782C" w14:textId="77777777" w:rsidTr="008C76D7">
        <w:tc>
          <w:tcPr>
            <w:tcW w:w="2463" w:type="dxa"/>
          </w:tcPr>
          <w:p w14:paraId="637311D3" w14:textId="7D4AE58E" w:rsidR="00A279D5" w:rsidRPr="00394D9A" w:rsidRDefault="00F67518" w:rsidP="00187D17">
            <w:pPr>
              <w:widowControl w:val="0"/>
              <w:tabs>
                <w:tab w:val="clear" w:pos="284"/>
                <w:tab w:val="left" w:pos="567"/>
              </w:tabs>
              <w:ind w:left="284"/>
              <w:jc w:val="left"/>
              <w:rPr>
                <w:szCs w:val="22"/>
                <w:lang w:val="sr-Latn-RS"/>
              </w:rPr>
            </w:pPr>
            <w:r w:rsidRPr="00394D9A">
              <w:rPr>
                <w:szCs w:val="22"/>
                <w:lang w:val="sr-Latn-RS"/>
              </w:rPr>
              <w:t xml:space="preserve">Odnos rizika </w:t>
            </w:r>
            <w:r w:rsidR="00A279D5" w:rsidRPr="00394D9A">
              <w:rPr>
                <w:szCs w:val="22"/>
                <w:lang w:val="sr-Latn-RS"/>
              </w:rPr>
              <w:t>u odnosu na varfarin</w:t>
            </w:r>
          </w:p>
          <w:p w14:paraId="59615BC7" w14:textId="006D4DFF" w:rsidR="00A279D5" w:rsidRPr="00394D9A" w:rsidRDefault="00A279D5" w:rsidP="00187D17">
            <w:pPr>
              <w:widowControl w:val="0"/>
              <w:tabs>
                <w:tab w:val="clear" w:pos="284"/>
                <w:tab w:val="left" w:pos="567"/>
              </w:tabs>
              <w:ind w:left="284"/>
              <w:jc w:val="left"/>
              <w:rPr>
                <w:szCs w:val="22"/>
                <w:lang w:val="sr-Latn-RS"/>
              </w:rPr>
            </w:pPr>
            <w:r w:rsidRPr="00394D9A">
              <w:rPr>
                <w:szCs w:val="22"/>
                <w:lang w:val="sr-Latn-RS"/>
              </w:rPr>
              <w:t>(95% CI)</w:t>
            </w:r>
          </w:p>
        </w:tc>
        <w:tc>
          <w:tcPr>
            <w:tcW w:w="2464" w:type="dxa"/>
            <w:vAlign w:val="center"/>
          </w:tcPr>
          <w:p w14:paraId="070AC8C6" w14:textId="59B46C41" w:rsidR="00A279D5" w:rsidRPr="00394D9A" w:rsidRDefault="00F831BE" w:rsidP="00187D17">
            <w:pPr>
              <w:widowControl w:val="0"/>
              <w:jc w:val="center"/>
              <w:rPr>
                <w:szCs w:val="22"/>
                <w:lang w:val="sr-Latn-RS"/>
              </w:rPr>
            </w:pPr>
            <w:r w:rsidRPr="00394D9A">
              <w:rPr>
                <w:szCs w:val="22"/>
                <w:lang w:val="sr-Latn-RS"/>
              </w:rPr>
              <w:t>1,13</w:t>
            </w:r>
            <w:r w:rsidR="00A279D5" w:rsidRPr="00394D9A">
              <w:rPr>
                <w:szCs w:val="22"/>
                <w:lang w:val="sr-Latn-RS"/>
              </w:rPr>
              <w:t xml:space="preserve"> (0,</w:t>
            </w:r>
            <w:r w:rsidRPr="00394D9A">
              <w:rPr>
                <w:szCs w:val="22"/>
                <w:lang w:val="sr-Latn-RS"/>
              </w:rPr>
              <w:t>89</w:t>
            </w:r>
            <w:r w:rsidR="00A279D5" w:rsidRPr="00394D9A">
              <w:rPr>
                <w:szCs w:val="22"/>
                <w:lang w:val="sr-Latn-RS"/>
              </w:rPr>
              <w:t>; 1,</w:t>
            </w:r>
            <w:r w:rsidRPr="00394D9A">
              <w:rPr>
                <w:szCs w:val="22"/>
                <w:lang w:val="sr-Latn-RS"/>
              </w:rPr>
              <w:t>42</w:t>
            </w:r>
            <w:r w:rsidR="00A279D5" w:rsidRPr="00394D9A">
              <w:rPr>
                <w:szCs w:val="22"/>
                <w:lang w:val="sr-Latn-RS"/>
              </w:rPr>
              <w:t>)</w:t>
            </w:r>
          </w:p>
        </w:tc>
        <w:tc>
          <w:tcPr>
            <w:tcW w:w="2464" w:type="dxa"/>
            <w:vAlign w:val="center"/>
          </w:tcPr>
          <w:p w14:paraId="43C5017C" w14:textId="204C2CEF" w:rsidR="00A279D5" w:rsidRPr="00394D9A" w:rsidRDefault="00A279D5" w:rsidP="00187D17">
            <w:pPr>
              <w:widowControl w:val="0"/>
              <w:jc w:val="center"/>
              <w:rPr>
                <w:szCs w:val="22"/>
                <w:lang w:val="sr-Latn-RS"/>
              </w:rPr>
            </w:pPr>
            <w:r w:rsidRPr="00394D9A">
              <w:rPr>
                <w:szCs w:val="22"/>
                <w:lang w:val="sr-Latn-RS"/>
              </w:rPr>
              <w:t>0,</w:t>
            </w:r>
            <w:r w:rsidR="008C76D7" w:rsidRPr="00394D9A">
              <w:rPr>
                <w:szCs w:val="22"/>
                <w:lang w:val="sr-Latn-RS"/>
              </w:rPr>
              <w:t>76</w:t>
            </w:r>
            <w:r w:rsidRPr="00394D9A">
              <w:rPr>
                <w:szCs w:val="22"/>
                <w:lang w:val="sr-Latn-RS"/>
              </w:rPr>
              <w:t xml:space="preserve"> (0,5</w:t>
            </w:r>
            <w:r w:rsidR="008C76D7" w:rsidRPr="00394D9A">
              <w:rPr>
                <w:szCs w:val="22"/>
                <w:lang w:val="sr-Latn-RS"/>
              </w:rPr>
              <w:t>9</w:t>
            </w:r>
            <w:r w:rsidRPr="00394D9A">
              <w:rPr>
                <w:szCs w:val="22"/>
                <w:lang w:val="sr-Latn-RS"/>
              </w:rPr>
              <w:t>; 0,</w:t>
            </w:r>
            <w:r w:rsidR="008C76D7" w:rsidRPr="00394D9A">
              <w:rPr>
                <w:szCs w:val="22"/>
                <w:lang w:val="sr-Latn-RS"/>
              </w:rPr>
              <w:t>98</w:t>
            </w:r>
            <w:r w:rsidRPr="00394D9A">
              <w:rPr>
                <w:szCs w:val="22"/>
                <w:lang w:val="sr-Latn-RS"/>
              </w:rPr>
              <w:t>)</w:t>
            </w:r>
          </w:p>
        </w:tc>
        <w:tc>
          <w:tcPr>
            <w:tcW w:w="2464" w:type="dxa"/>
            <w:vAlign w:val="center"/>
          </w:tcPr>
          <w:p w14:paraId="77D6DCAB" w14:textId="77777777" w:rsidR="00A279D5" w:rsidRPr="00394D9A" w:rsidRDefault="00A279D5" w:rsidP="00187D17">
            <w:pPr>
              <w:widowControl w:val="0"/>
              <w:jc w:val="center"/>
              <w:rPr>
                <w:szCs w:val="22"/>
                <w:lang w:val="sr-Latn-RS"/>
              </w:rPr>
            </w:pPr>
          </w:p>
        </w:tc>
      </w:tr>
      <w:tr w:rsidR="00A279D5" w:rsidRPr="00394D9A" w14:paraId="75CE32BF" w14:textId="77777777" w:rsidTr="008C76D7">
        <w:tc>
          <w:tcPr>
            <w:tcW w:w="2463" w:type="dxa"/>
          </w:tcPr>
          <w:p w14:paraId="0CFAE0C4" w14:textId="5B3EF779" w:rsidR="00A279D5" w:rsidRPr="00394D9A" w:rsidRDefault="00A279D5" w:rsidP="00187D17">
            <w:pPr>
              <w:widowControl w:val="0"/>
              <w:tabs>
                <w:tab w:val="clear" w:pos="284"/>
                <w:tab w:val="left" w:pos="567"/>
              </w:tabs>
              <w:ind w:left="284"/>
              <w:jc w:val="left"/>
              <w:rPr>
                <w:szCs w:val="22"/>
                <w:lang w:val="sr-Latn-RS"/>
              </w:rPr>
            </w:pPr>
            <w:r w:rsidRPr="00394D9A">
              <w:rPr>
                <w:szCs w:val="22"/>
                <w:lang w:val="sr-Latn-RS"/>
              </w:rPr>
              <w:t>p-vr</w:t>
            </w:r>
            <w:r w:rsidR="005F52C8" w:rsidRPr="00394D9A">
              <w:rPr>
                <w:szCs w:val="22"/>
                <w:lang w:val="sr-Latn-RS"/>
              </w:rPr>
              <w:t>ij</w:t>
            </w:r>
            <w:r w:rsidRPr="00394D9A">
              <w:rPr>
                <w:szCs w:val="22"/>
                <w:lang w:val="sr-Latn-RS"/>
              </w:rPr>
              <w:t>ednost</w:t>
            </w:r>
          </w:p>
        </w:tc>
        <w:tc>
          <w:tcPr>
            <w:tcW w:w="2464" w:type="dxa"/>
            <w:vAlign w:val="center"/>
          </w:tcPr>
          <w:p w14:paraId="0F8D7C33" w14:textId="6D3FD947" w:rsidR="00A279D5" w:rsidRPr="00394D9A" w:rsidRDefault="008C76D7" w:rsidP="00187D17">
            <w:pPr>
              <w:widowControl w:val="0"/>
              <w:jc w:val="center"/>
              <w:rPr>
                <w:szCs w:val="22"/>
                <w:lang w:val="sr-Latn-RS"/>
              </w:rPr>
            </w:pPr>
            <w:r w:rsidRPr="00394D9A">
              <w:rPr>
                <w:szCs w:val="22"/>
                <w:lang w:val="sr-Latn-RS"/>
              </w:rPr>
              <w:t>0,3138</w:t>
            </w:r>
          </w:p>
        </w:tc>
        <w:tc>
          <w:tcPr>
            <w:tcW w:w="2464" w:type="dxa"/>
            <w:vAlign w:val="center"/>
          </w:tcPr>
          <w:p w14:paraId="41E25E75" w14:textId="2E473F38" w:rsidR="00A279D5" w:rsidRPr="00394D9A" w:rsidRDefault="008C76D7" w:rsidP="00187D17">
            <w:pPr>
              <w:widowControl w:val="0"/>
              <w:jc w:val="center"/>
              <w:rPr>
                <w:szCs w:val="22"/>
                <w:lang w:val="sr-Latn-RS"/>
              </w:rPr>
            </w:pPr>
            <w:r w:rsidRPr="00394D9A">
              <w:rPr>
                <w:szCs w:val="22"/>
                <w:lang w:val="sr-Latn-RS"/>
              </w:rPr>
              <w:t>0,0351</w:t>
            </w:r>
          </w:p>
        </w:tc>
        <w:tc>
          <w:tcPr>
            <w:tcW w:w="2464" w:type="dxa"/>
            <w:vAlign w:val="center"/>
          </w:tcPr>
          <w:p w14:paraId="244E959B" w14:textId="77777777" w:rsidR="00A279D5" w:rsidRPr="00394D9A" w:rsidRDefault="00A279D5" w:rsidP="00187D17">
            <w:pPr>
              <w:widowControl w:val="0"/>
              <w:jc w:val="center"/>
              <w:rPr>
                <w:szCs w:val="22"/>
                <w:lang w:val="sr-Latn-RS"/>
              </w:rPr>
            </w:pPr>
          </w:p>
        </w:tc>
      </w:tr>
      <w:tr w:rsidR="00A279D5" w:rsidRPr="00394D9A" w14:paraId="2BC6DF24" w14:textId="77777777" w:rsidTr="008C76D7">
        <w:tc>
          <w:tcPr>
            <w:tcW w:w="2463" w:type="dxa"/>
          </w:tcPr>
          <w:p w14:paraId="1F61CCE2" w14:textId="1EDEDB86" w:rsidR="00A279D5" w:rsidRPr="00394D9A" w:rsidRDefault="008C76D7" w:rsidP="00187D17">
            <w:pPr>
              <w:widowControl w:val="0"/>
              <w:tabs>
                <w:tab w:val="clear" w:pos="284"/>
                <w:tab w:val="left" w:pos="567"/>
              </w:tabs>
              <w:jc w:val="left"/>
              <w:rPr>
                <w:szCs w:val="22"/>
                <w:lang w:val="sr-Latn-RS"/>
              </w:rPr>
            </w:pPr>
            <w:r w:rsidRPr="00394D9A">
              <w:rPr>
                <w:szCs w:val="22"/>
                <w:lang w:val="sr-Latn-RS"/>
              </w:rPr>
              <w:t>Hemoragijski moždani udar</w:t>
            </w:r>
          </w:p>
        </w:tc>
        <w:tc>
          <w:tcPr>
            <w:tcW w:w="2464" w:type="dxa"/>
            <w:vAlign w:val="center"/>
          </w:tcPr>
          <w:p w14:paraId="05FDBF30" w14:textId="77777777" w:rsidR="00A279D5" w:rsidRPr="00394D9A" w:rsidRDefault="00A279D5" w:rsidP="00187D17">
            <w:pPr>
              <w:widowControl w:val="0"/>
              <w:jc w:val="center"/>
              <w:rPr>
                <w:szCs w:val="22"/>
                <w:lang w:val="sr-Latn-RS"/>
              </w:rPr>
            </w:pPr>
          </w:p>
        </w:tc>
        <w:tc>
          <w:tcPr>
            <w:tcW w:w="2464" w:type="dxa"/>
            <w:vAlign w:val="center"/>
          </w:tcPr>
          <w:p w14:paraId="729C5A0B" w14:textId="77777777" w:rsidR="00A279D5" w:rsidRPr="00394D9A" w:rsidRDefault="00A279D5" w:rsidP="00187D17">
            <w:pPr>
              <w:widowControl w:val="0"/>
              <w:jc w:val="center"/>
              <w:rPr>
                <w:szCs w:val="22"/>
                <w:lang w:val="sr-Latn-RS"/>
              </w:rPr>
            </w:pPr>
          </w:p>
        </w:tc>
        <w:tc>
          <w:tcPr>
            <w:tcW w:w="2464" w:type="dxa"/>
            <w:vAlign w:val="center"/>
          </w:tcPr>
          <w:p w14:paraId="73374E61" w14:textId="77777777" w:rsidR="00A279D5" w:rsidRPr="00394D9A" w:rsidRDefault="00A279D5" w:rsidP="00187D17">
            <w:pPr>
              <w:widowControl w:val="0"/>
              <w:jc w:val="center"/>
              <w:rPr>
                <w:szCs w:val="22"/>
                <w:lang w:val="sr-Latn-RS"/>
              </w:rPr>
            </w:pPr>
          </w:p>
        </w:tc>
      </w:tr>
      <w:tr w:rsidR="00A279D5" w:rsidRPr="00394D9A" w14:paraId="6565985C" w14:textId="77777777" w:rsidTr="008C76D7">
        <w:tc>
          <w:tcPr>
            <w:tcW w:w="2463" w:type="dxa"/>
          </w:tcPr>
          <w:p w14:paraId="076B4452" w14:textId="4CE410FA" w:rsidR="00A279D5" w:rsidRPr="00394D9A" w:rsidRDefault="00A279D5" w:rsidP="00187D17">
            <w:pPr>
              <w:widowControl w:val="0"/>
              <w:tabs>
                <w:tab w:val="clear" w:pos="284"/>
                <w:tab w:val="left" w:pos="567"/>
              </w:tabs>
              <w:ind w:left="284"/>
              <w:jc w:val="left"/>
              <w:rPr>
                <w:szCs w:val="22"/>
                <w:lang w:val="sr-Latn-RS"/>
              </w:rPr>
            </w:pPr>
            <w:r w:rsidRPr="00394D9A">
              <w:rPr>
                <w:szCs w:val="22"/>
                <w:lang w:val="sr-Latn-RS"/>
              </w:rPr>
              <w:t>Incidence (%)</w:t>
            </w:r>
          </w:p>
        </w:tc>
        <w:tc>
          <w:tcPr>
            <w:tcW w:w="2464" w:type="dxa"/>
            <w:vAlign w:val="center"/>
          </w:tcPr>
          <w:p w14:paraId="3928A1E8" w14:textId="6452BC43" w:rsidR="00A279D5" w:rsidRPr="00394D9A" w:rsidRDefault="00A279D5" w:rsidP="00187D17">
            <w:pPr>
              <w:widowControl w:val="0"/>
              <w:jc w:val="center"/>
              <w:rPr>
                <w:szCs w:val="22"/>
                <w:lang w:val="sr-Latn-RS"/>
              </w:rPr>
            </w:pPr>
            <w:r w:rsidRPr="00394D9A">
              <w:rPr>
                <w:szCs w:val="22"/>
                <w:lang w:val="sr-Latn-RS"/>
              </w:rPr>
              <w:t>1</w:t>
            </w:r>
            <w:r w:rsidR="008C76D7" w:rsidRPr="00394D9A">
              <w:rPr>
                <w:szCs w:val="22"/>
                <w:lang w:val="sr-Latn-RS"/>
              </w:rPr>
              <w:t>4</w:t>
            </w:r>
            <w:r w:rsidRPr="00394D9A">
              <w:rPr>
                <w:szCs w:val="22"/>
                <w:lang w:val="sr-Latn-RS"/>
              </w:rPr>
              <w:t xml:space="preserve"> (</w:t>
            </w:r>
            <w:r w:rsidR="008C76D7" w:rsidRPr="00394D9A">
              <w:rPr>
                <w:szCs w:val="22"/>
                <w:lang w:val="sr-Latn-RS"/>
              </w:rPr>
              <w:t>0</w:t>
            </w:r>
            <w:r w:rsidRPr="00394D9A">
              <w:rPr>
                <w:szCs w:val="22"/>
                <w:lang w:val="sr-Latn-RS"/>
              </w:rPr>
              <w:t>,</w:t>
            </w:r>
            <w:r w:rsidR="008C76D7" w:rsidRPr="00394D9A">
              <w:rPr>
                <w:szCs w:val="22"/>
                <w:lang w:val="sr-Latn-RS"/>
              </w:rPr>
              <w:t>12</w:t>
            </w:r>
            <w:r w:rsidRPr="00394D9A">
              <w:rPr>
                <w:szCs w:val="22"/>
                <w:lang w:val="sr-Latn-RS"/>
              </w:rPr>
              <w:t>)</w:t>
            </w:r>
          </w:p>
        </w:tc>
        <w:tc>
          <w:tcPr>
            <w:tcW w:w="2464" w:type="dxa"/>
            <w:vAlign w:val="center"/>
          </w:tcPr>
          <w:p w14:paraId="66D809E2" w14:textId="7B4381EB" w:rsidR="00A279D5" w:rsidRPr="00394D9A" w:rsidRDefault="00A279D5" w:rsidP="00187D17">
            <w:pPr>
              <w:widowControl w:val="0"/>
              <w:jc w:val="center"/>
              <w:rPr>
                <w:szCs w:val="22"/>
                <w:lang w:val="sr-Latn-RS"/>
              </w:rPr>
            </w:pPr>
            <w:r w:rsidRPr="00394D9A">
              <w:rPr>
                <w:szCs w:val="22"/>
                <w:lang w:val="sr-Latn-RS"/>
              </w:rPr>
              <w:t>1</w:t>
            </w:r>
            <w:r w:rsidR="008C76D7" w:rsidRPr="00394D9A">
              <w:rPr>
                <w:szCs w:val="22"/>
                <w:lang w:val="sr-Latn-RS"/>
              </w:rPr>
              <w:t>2</w:t>
            </w:r>
            <w:r w:rsidRPr="00394D9A">
              <w:rPr>
                <w:szCs w:val="22"/>
                <w:lang w:val="sr-Latn-RS"/>
              </w:rPr>
              <w:t xml:space="preserve"> (</w:t>
            </w:r>
            <w:r w:rsidR="008C76D7" w:rsidRPr="00394D9A">
              <w:rPr>
                <w:szCs w:val="22"/>
                <w:lang w:val="sr-Latn-RS"/>
              </w:rPr>
              <w:t>0</w:t>
            </w:r>
            <w:r w:rsidRPr="00394D9A">
              <w:rPr>
                <w:szCs w:val="22"/>
                <w:lang w:val="sr-Latn-RS"/>
              </w:rPr>
              <w:t>,1</w:t>
            </w:r>
            <w:r w:rsidR="008C76D7" w:rsidRPr="00394D9A">
              <w:rPr>
                <w:szCs w:val="22"/>
                <w:lang w:val="sr-Latn-RS"/>
              </w:rPr>
              <w:t>0</w:t>
            </w:r>
            <w:r w:rsidRPr="00394D9A">
              <w:rPr>
                <w:szCs w:val="22"/>
                <w:lang w:val="sr-Latn-RS"/>
              </w:rPr>
              <w:t>)</w:t>
            </w:r>
          </w:p>
        </w:tc>
        <w:tc>
          <w:tcPr>
            <w:tcW w:w="2464" w:type="dxa"/>
            <w:vAlign w:val="center"/>
          </w:tcPr>
          <w:p w14:paraId="090023AF" w14:textId="5000CAFB" w:rsidR="00A279D5" w:rsidRPr="00394D9A" w:rsidRDefault="008C76D7" w:rsidP="00187D17">
            <w:pPr>
              <w:widowControl w:val="0"/>
              <w:jc w:val="center"/>
              <w:rPr>
                <w:szCs w:val="22"/>
                <w:lang w:val="sr-Latn-RS"/>
              </w:rPr>
            </w:pPr>
            <w:r w:rsidRPr="00394D9A">
              <w:rPr>
                <w:szCs w:val="22"/>
                <w:lang w:val="sr-Latn-RS"/>
              </w:rPr>
              <w:t>45</w:t>
            </w:r>
            <w:r w:rsidR="00A279D5" w:rsidRPr="00394D9A">
              <w:rPr>
                <w:szCs w:val="22"/>
                <w:lang w:val="sr-Latn-RS"/>
              </w:rPr>
              <w:t xml:space="preserve"> (</w:t>
            </w:r>
            <w:r w:rsidRPr="00394D9A">
              <w:rPr>
                <w:szCs w:val="22"/>
                <w:lang w:val="sr-Latn-RS"/>
              </w:rPr>
              <w:t>0</w:t>
            </w:r>
            <w:r w:rsidR="00A279D5" w:rsidRPr="00394D9A">
              <w:rPr>
                <w:szCs w:val="22"/>
                <w:lang w:val="sr-Latn-RS"/>
              </w:rPr>
              <w:t>,</w:t>
            </w:r>
            <w:r w:rsidRPr="00394D9A">
              <w:rPr>
                <w:szCs w:val="22"/>
                <w:lang w:val="sr-Latn-RS"/>
              </w:rPr>
              <w:t>38</w:t>
            </w:r>
            <w:r w:rsidR="00A279D5" w:rsidRPr="00394D9A">
              <w:rPr>
                <w:szCs w:val="22"/>
                <w:lang w:val="sr-Latn-RS"/>
              </w:rPr>
              <w:t>)</w:t>
            </w:r>
          </w:p>
        </w:tc>
      </w:tr>
      <w:tr w:rsidR="00A279D5" w:rsidRPr="00394D9A" w14:paraId="10739BA3" w14:textId="77777777" w:rsidTr="008C76D7">
        <w:tc>
          <w:tcPr>
            <w:tcW w:w="2463" w:type="dxa"/>
          </w:tcPr>
          <w:p w14:paraId="32EEA881" w14:textId="77777777" w:rsidR="00A279D5" w:rsidRPr="00394D9A" w:rsidRDefault="00A279D5" w:rsidP="00187D17">
            <w:pPr>
              <w:widowControl w:val="0"/>
              <w:tabs>
                <w:tab w:val="clear" w:pos="284"/>
                <w:tab w:val="left" w:pos="567"/>
              </w:tabs>
              <w:ind w:left="284"/>
              <w:jc w:val="left"/>
              <w:rPr>
                <w:szCs w:val="22"/>
                <w:lang w:val="sr-Latn-RS"/>
              </w:rPr>
            </w:pPr>
            <w:r w:rsidRPr="00394D9A">
              <w:rPr>
                <w:szCs w:val="22"/>
                <w:lang w:val="sr-Latn-RS"/>
              </w:rPr>
              <w:t>Koeficijent hazardnosti</w:t>
            </w:r>
          </w:p>
          <w:p w14:paraId="08C33C7A" w14:textId="77777777" w:rsidR="00A279D5" w:rsidRPr="00394D9A" w:rsidRDefault="00A279D5" w:rsidP="00187D17">
            <w:pPr>
              <w:widowControl w:val="0"/>
              <w:tabs>
                <w:tab w:val="clear" w:pos="284"/>
                <w:tab w:val="left" w:pos="567"/>
              </w:tabs>
              <w:ind w:left="284"/>
              <w:jc w:val="left"/>
              <w:rPr>
                <w:szCs w:val="22"/>
                <w:lang w:val="sr-Latn-RS"/>
              </w:rPr>
            </w:pPr>
            <w:r w:rsidRPr="00394D9A">
              <w:rPr>
                <w:szCs w:val="22"/>
                <w:lang w:val="sr-Latn-RS"/>
              </w:rPr>
              <w:t>u odnosu na varfarin</w:t>
            </w:r>
          </w:p>
          <w:p w14:paraId="0592EC93" w14:textId="506F61F0" w:rsidR="00A279D5" w:rsidRPr="00394D9A" w:rsidRDefault="00A279D5" w:rsidP="00187D17">
            <w:pPr>
              <w:widowControl w:val="0"/>
              <w:tabs>
                <w:tab w:val="clear" w:pos="284"/>
                <w:tab w:val="left" w:pos="567"/>
              </w:tabs>
              <w:ind w:left="284"/>
              <w:jc w:val="left"/>
              <w:rPr>
                <w:szCs w:val="22"/>
                <w:lang w:val="sr-Latn-RS"/>
              </w:rPr>
            </w:pPr>
            <w:r w:rsidRPr="00394D9A">
              <w:rPr>
                <w:szCs w:val="22"/>
                <w:lang w:val="sr-Latn-RS"/>
              </w:rPr>
              <w:t>(95% CI)</w:t>
            </w:r>
          </w:p>
        </w:tc>
        <w:tc>
          <w:tcPr>
            <w:tcW w:w="2464" w:type="dxa"/>
            <w:vAlign w:val="center"/>
          </w:tcPr>
          <w:p w14:paraId="708A6D23" w14:textId="427811B6" w:rsidR="00A279D5" w:rsidRPr="00394D9A" w:rsidRDefault="00A279D5" w:rsidP="00187D17">
            <w:pPr>
              <w:widowControl w:val="0"/>
              <w:jc w:val="center"/>
              <w:rPr>
                <w:szCs w:val="22"/>
                <w:lang w:val="sr-Latn-RS"/>
              </w:rPr>
            </w:pPr>
            <w:r w:rsidRPr="00394D9A">
              <w:rPr>
                <w:szCs w:val="22"/>
                <w:lang w:val="sr-Latn-RS"/>
              </w:rPr>
              <w:t>0,</w:t>
            </w:r>
            <w:r w:rsidR="008C76D7" w:rsidRPr="00394D9A">
              <w:rPr>
                <w:szCs w:val="22"/>
                <w:lang w:val="sr-Latn-RS"/>
              </w:rPr>
              <w:t>31</w:t>
            </w:r>
            <w:r w:rsidRPr="00394D9A">
              <w:rPr>
                <w:szCs w:val="22"/>
                <w:lang w:val="sr-Latn-RS"/>
              </w:rPr>
              <w:t xml:space="preserve"> (0,</w:t>
            </w:r>
            <w:r w:rsidR="008C76D7" w:rsidRPr="00394D9A">
              <w:rPr>
                <w:szCs w:val="22"/>
                <w:lang w:val="sr-Latn-RS"/>
              </w:rPr>
              <w:t>17</w:t>
            </w:r>
            <w:r w:rsidRPr="00394D9A">
              <w:rPr>
                <w:szCs w:val="22"/>
                <w:lang w:val="sr-Latn-RS"/>
              </w:rPr>
              <w:t xml:space="preserve">; </w:t>
            </w:r>
            <w:r w:rsidR="008C76D7" w:rsidRPr="00394D9A">
              <w:rPr>
                <w:szCs w:val="22"/>
                <w:lang w:val="sr-Latn-RS"/>
              </w:rPr>
              <w:t>0,56</w:t>
            </w:r>
            <w:r w:rsidRPr="00394D9A">
              <w:rPr>
                <w:szCs w:val="22"/>
                <w:lang w:val="sr-Latn-RS"/>
              </w:rPr>
              <w:t>)</w:t>
            </w:r>
          </w:p>
        </w:tc>
        <w:tc>
          <w:tcPr>
            <w:tcW w:w="2464" w:type="dxa"/>
            <w:vAlign w:val="center"/>
          </w:tcPr>
          <w:p w14:paraId="0989B83A" w14:textId="11AF9B04" w:rsidR="00A279D5" w:rsidRPr="00394D9A" w:rsidRDefault="00A279D5" w:rsidP="00187D17">
            <w:pPr>
              <w:widowControl w:val="0"/>
              <w:jc w:val="center"/>
              <w:rPr>
                <w:szCs w:val="22"/>
                <w:lang w:val="sr-Latn-RS"/>
              </w:rPr>
            </w:pPr>
            <w:r w:rsidRPr="00394D9A">
              <w:rPr>
                <w:szCs w:val="22"/>
                <w:lang w:val="sr-Latn-RS"/>
              </w:rPr>
              <w:t>0,</w:t>
            </w:r>
            <w:r w:rsidR="008C76D7" w:rsidRPr="00394D9A">
              <w:rPr>
                <w:szCs w:val="22"/>
                <w:lang w:val="sr-Latn-RS"/>
              </w:rPr>
              <w:t>26</w:t>
            </w:r>
            <w:r w:rsidRPr="00394D9A">
              <w:rPr>
                <w:szCs w:val="22"/>
                <w:lang w:val="sr-Latn-RS"/>
              </w:rPr>
              <w:t xml:space="preserve"> (0,</w:t>
            </w:r>
            <w:r w:rsidR="008C76D7" w:rsidRPr="00394D9A">
              <w:rPr>
                <w:szCs w:val="22"/>
                <w:lang w:val="sr-Latn-RS"/>
              </w:rPr>
              <w:t>14</w:t>
            </w:r>
            <w:r w:rsidRPr="00394D9A">
              <w:rPr>
                <w:szCs w:val="22"/>
                <w:lang w:val="sr-Latn-RS"/>
              </w:rPr>
              <w:t>; 0,</w:t>
            </w:r>
            <w:r w:rsidR="008C76D7" w:rsidRPr="00394D9A">
              <w:rPr>
                <w:szCs w:val="22"/>
                <w:lang w:val="sr-Latn-RS"/>
              </w:rPr>
              <w:t>49</w:t>
            </w:r>
            <w:r w:rsidRPr="00394D9A">
              <w:rPr>
                <w:szCs w:val="22"/>
                <w:lang w:val="sr-Latn-RS"/>
              </w:rPr>
              <w:t>)</w:t>
            </w:r>
          </w:p>
        </w:tc>
        <w:tc>
          <w:tcPr>
            <w:tcW w:w="2464" w:type="dxa"/>
            <w:vAlign w:val="center"/>
          </w:tcPr>
          <w:p w14:paraId="036D3AC0" w14:textId="77777777" w:rsidR="00A279D5" w:rsidRPr="00394D9A" w:rsidRDefault="00A279D5" w:rsidP="00187D17">
            <w:pPr>
              <w:widowControl w:val="0"/>
              <w:jc w:val="center"/>
              <w:rPr>
                <w:szCs w:val="22"/>
                <w:lang w:val="sr-Latn-RS"/>
              </w:rPr>
            </w:pPr>
          </w:p>
        </w:tc>
      </w:tr>
      <w:tr w:rsidR="00A279D5" w:rsidRPr="00394D9A" w14:paraId="3D79AE36" w14:textId="77777777" w:rsidTr="008C76D7">
        <w:tc>
          <w:tcPr>
            <w:tcW w:w="2463" w:type="dxa"/>
          </w:tcPr>
          <w:p w14:paraId="3E26856C" w14:textId="795C9790" w:rsidR="00A279D5" w:rsidRPr="00394D9A" w:rsidRDefault="00A279D5" w:rsidP="00187D17">
            <w:pPr>
              <w:widowControl w:val="0"/>
              <w:tabs>
                <w:tab w:val="clear" w:pos="284"/>
                <w:tab w:val="left" w:pos="567"/>
              </w:tabs>
              <w:ind w:left="284"/>
              <w:jc w:val="left"/>
              <w:rPr>
                <w:szCs w:val="22"/>
                <w:lang w:val="sr-Latn-RS"/>
              </w:rPr>
            </w:pPr>
            <w:r w:rsidRPr="00394D9A">
              <w:rPr>
                <w:szCs w:val="22"/>
                <w:lang w:val="sr-Latn-RS"/>
              </w:rPr>
              <w:t>p-vr</w:t>
            </w:r>
            <w:r w:rsidR="005F52C8" w:rsidRPr="00394D9A">
              <w:rPr>
                <w:szCs w:val="22"/>
                <w:lang w:val="sr-Latn-RS"/>
              </w:rPr>
              <w:t>ij</w:t>
            </w:r>
            <w:r w:rsidRPr="00394D9A">
              <w:rPr>
                <w:szCs w:val="22"/>
                <w:lang w:val="sr-Latn-RS"/>
              </w:rPr>
              <w:t>ednost</w:t>
            </w:r>
          </w:p>
        </w:tc>
        <w:tc>
          <w:tcPr>
            <w:tcW w:w="2464" w:type="dxa"/>
            <w:vAlign w:val="center"/>
          </w:tcPr>
          <w:p w14:paraId="66D94577" w14:textId="4F5484F6" w:rsidR="00A279D5" w:rsidRPr="00394D9A" w:rsidRDefault="008C76D7" w:rsidP="00187D17">
            <w:pPr>
              <w:widowControl w:val="0"/>
              <w:jc w:val="center"/>
              <w:rPr>
                <w:szCs w:val="22"/>
                <w:lang w:val="sr-Latn-RS"/>
              </w:rPr>
            </w:pPr>
            <w:r w:rsidRPr="00394D9A">
              <w:rPr>
                <w:szCs w:val="22"/>
                <w:lang w:val="sr-Latn-RS"/>
              </w:rPr>
              <w:t>0,0001</w:t>
            </w:r>
          </w:p>
        </w:tc>
        <w:tc>
          <w:tcPr>
            <w:tcW w:w="2464" w:type="dxa"/>
            <w:vAlign w:val="center"/>
          </w:tcPr>
          <w:p w14:paraId="384AE024" w14:textId="3CD8535E" w:rsidR="00A279D5" w:rsidRPr="00394D9A" w:rsidRDefault="008C76D7" w:rsidP="00187D17">
            <w:pPr>
              <w:widowControl w:val="0"/>
              <w:jc w:val="center"/>
              <w:rPr>
                <w:szCs w:val="22"/>
                <w:lang w:val="sr-Latn-RS"/>
              </w:rPr>
            </w:pPr>
            <w:r w:rsidRPr="00394D9A">
              <w:rPr>
                <w:szCs w:val="22"/>
                <w:lang w:val="sr-Latn-RS"/>
              </w:rPr>
              <w:t>&lt;</w:t>
            </w:r>
            <w:r w:rsidR="00A279D5" w:rsidRPr="00394D9A">
              <w:rPr>
                <w:szCs w:val="22"/>
                <w:lang w:val="sr-Latn-RS"/>
              </w:rPr>
              <w:t>0,0001</w:t>
            </w:r>
          </w:p>
        </w:tc>
        <w:tc>
          <w:tcPr>
            <w:tcW w:w="2464" w:type="dxa"/>
            <w:vAlign w:val="center"/>
          </w:tcPr>
          <w:p w14:paraId="2B858CDC" w14:textId="77777777" w:rsidR="00A279D5" w:rsidRPr="00394D9A" w:rsidRDefault="00A279D5" w:rsidP="00187D17">
            <w:pPr>
              <w:widowControl w:val="0"/>
              <w:jc w:val="center"/>
              <w:rPr>
                <w:szCs w:val="22"/>
                <w:lang w:val="sr-Latn-RS"/>
              </w:rPr>
            </w:pPr>
          </w:p>
        </w:tc>
      </w:tr>
    </w:tbl>
    <w:p w14:paraId="5F7D252B" w14:textId="386EB3CE" w:rsidR="008C76D7" w:rsidRPr="00394D9A" w:rsidRDefault="008C76D7" w:rsidP="00187D17">
      <w:pPr>
        <w:widowControl w:val="0"/>
        <w:rPr>
          <w:szCs w:val="22"/>
          <w:lang w:val="sr-Latn-RS"/>
        </w:rPr>
      </w:pPr>
      <w:r w:rsidRPr="00394D9A">
        <w:rPr>
          <w:szCs w:val="22"/>
          <w:lang w:val="sr-Latn-RS"/>
        </w:rPr>
        <w:t>% se odnosi na godišnju stopu događaja</w:t>
      </w:r>
    </w:p>
    <w:p w14:paraId="09F4C0CD" w14:textId="77777777" w:rsidR="008C76D7" w:rsidRPr="00394D9A" w:rsidRDefault="008C76D7" w:rsidP="00187D17">
      <w:pPr>
        <w:widowControl w:val="0"/>
        <w:rPr>
          <w:szCs w:val="22"/>
          <w:lang w:val="sr-Latn-RS"/>
        </w:rPr>
      </w:pPr>
    </w:p>
    <w:p w14:paraId="5E82AAB4" w14:textId="51166020" w:rsidR="004C29E5" w:rsidRPr="00394D9A" w:rsidRDefault="008C76D7" w:rsidP="00187D17">
      <w:pPr>
        <w:widowControl w:val="0"/>
        <w:rPr>
          <w:b/>
          <w:bCs/>
          <w:szCs w:val="22"/>
          <w:lang w:val="sr-Latn-RS"/>
        </w:rPr>
      </w:pPr>
      <w:r w:rsidRPr="00394D9A">
        <w:rPr>
          <w:b/>
          <w:bCs/>
          <w:szCs w:val="22"/>
          <w:lang w:val="sr-Latn-RS"/>
        </w:rPr>
        <w:t xml:space="preserve">Tabela </w:t>
      </w:r>
      <w:r w:rsidR="00FE1C22" w:rsidRPr="00394D9A">
        <w:rPr>
          <w:b/>
          <w:bCs/>
          <w:szCs w:val="22"/>
          <w:lang w:val="sr-Latn-RS"/>
        </w:rPr>
        <w:t>1</w:t>
      </w:r>
      <w:r w:rsidR="00F65512" w:rsidRPr="00394D9A">
        <w:rPr>
          <w:b/>
          <w:bCs/>
          <w:szCs w:val="22"/>
          <w:lang w:val="sr-Latn-RS"/>
        </w:rPr>
        <w:t>9</w:t>
      </w:r>
      <w:r w:rsidRPr="00394D9A">
        <w:rPr>
          <w:b/>
          <w:bCs/>
          <w:szCs w:val="22"/>
          <w:lang w:val="sr-Latn-RS"/>
        </w:rPr>
        <w:t>: Analiza mortaliteta nezavisno od uzroka i kardiovaskularnog preživljavanja tokom</w:t>
      </w:r>
      <w:r w:rsidR="000E691C" w:rsidRPr="00394D9A">
        <w:rPr>
          <w:b/>
          <w:bCs/>
          <w:szCs w:val="22"/>
          <w:lang w:val="sr-Latn-RS"/>
        </w:rPr>
        <w:t xml:space="preserve"> </w:t>
      </w:r>
      <w:r w:rsidRPr="00394D9A">
        <w:rPr>
          <w:b/>
          <w:bCs/>
          <w:szCs w:val="22"/>
          <w:lang w:val="sr-Latn-RS"/>
        </w:rPr>
        <w:t>ispitivanog perioda u RE-LY</w:t>
      </w:r>
    </w:p>
    <w:p w14:paraId="0C8BC7F6" w14:textId="6982D8D8" w:rsidR="008C76D7" w:rsidRPr="00394D9A" w:rsidRDefault="008C76D7" w:rsidP="00187D17">
      <w:pPr>
        <w:widowControl w:val="0"/>
        <w:rPr>
          <w:szCs w:val="22"/>
          <w:lang w:val="sr-Latn-RS"/>
        </w:rPr>
      </w:pPr>
    </w:p>
    <w:tbl>
      <w:tblPr>
        <w:tblStyle w:val="TableGrid"/>
        <w:tblpPr w:leftFromText="180" w:rightFromText="180" w:vertAnchor="text" w:horzAnchor="margin" w:tblpY="17"/>
        <w:tblW w:w="0" w:type="auto"/>
        <w:tblLook w:val="04A0" w:firstRow="1" w:lastRow="0" w:firstColumn="1" w:lastColumn="0" w:noHBand="0" w:noVBand="1"/>
      </w:tblPr>
      <w:tblGrid>
        <w:gridCol w:w="2265"/>
        <w:gridCol w:w="2340"/>
        <w:gridCol w:w="2340"/>
        <w:gridCol w:w="2116"/>
      </w:tblGrid>
      <w:tr w:rsidR="008C76D7" w:rsidRPr="00394D9A" w14:paraId="637B5B87" w14:textId="77777777" w:rsidTr="008C76D7">
        <w:tc>
          <w:tcPr>
            <w:tcW w:w="2463" w:type="dxa"/>
          </w:tcPr>
          <w:p w14:paraId="3B223004" w14:textId="77777777" w:rsidR="008C76D7" w:rsidRPr="00394D9A" w:rsidRDefault="008C76D7" w:rsidP="00187D17">
            <w:pPr>
              <w:widowControl w:val="0"/>
              <w:jc w:val="left"/>
              <w:rPr>
                <w:b/>
                <w:bCs/>
                <w:szCs w:val="22"/>
                <w:lang w:val="sr-Latn-RS"/>
              </w:rPr>
            </w:pPr>
          </w:p>
        </w:tc>
        <w:tc>
          <w:tcPr>
            <w:tcW w:w="2464" w:type="dxa"/>
          </w:tcPr>
          <w:p w14:paraId="2998DA3A" w14:textId="55249C90" w:rsidR="008C76D7" w:rsidRPr="00394D9A" w:rsidRDefault="008C76D7" w:rsidP="00187D17">
            <w:pPr>
              <w:widowControl w:val="0"/>
              <w:jc w:val="center"/>
              <w:rPr>
                <w:szCs w:val="22"/>
                <w:lang w:val="sr-Latn-RS"/>
              </w:rPr>
            </w:pPr>
            <w:r w:rsidRPr="00394D9A">
              <w:rPr>
                <w:szCs w:val="22"/>
                <w:lang w:val="sr-Latn-RS"/>
              </w:rPr>
              <w:t>Dabigatraneteksilat 110</w:t>
            </w:r>
            <w:r w:rsidR="00F67518" w:rsidRPr="00394D9A">
              <w:rPr>
                <w:szCs w:val="22"/>
                <w:lang w:val="sr-Latn-RS"/>
              </w:rPr>
              <w:t> </w:t>
            </w:r>
            <w:r w:rsidRPr="00394D9A">
              <w:rPr>
                <w:szCs w:val="22"/>
                <w:lang w:val="sr-Latn-RS"/>
              </w:rPr>
              <w:t>mg dva puta na dan</w:t>
            </w:r>
          </w:p>
        </w:tc>
        <w:tc>
          <w:tcPr>
            <w:tcW w:w="2464" w:type="dxa"/>
          </w:tcPr>
          <w:p w14:paraId="67F8B590" w14:textId="1FEF0DB5" w:rsidR="008C76D7" w:rsidRPr="00394D9A" w:rsidRDefault="008C76D7" w:rsidP="00187D17">
            <w:pPr>
              <w:widowControl w:val="0"/>
              <w:jc w:val="center"/>
              <w:rPr>
                <w:szCs w:val="22"/>
                <w:lang w:val="sr-Latn-RS"/>
              </w:rPr>
            </w:pPr>
            <w:r w:rsidRPr="00394D9A">
              <w:rPr>
                <w:szCs w:val="22"/>
                <w:lang w:val="sr-Latn-RS"/>
              </w:rPr>
              <w:t>Dabigatraneteksilat 150</w:t>
            </w:r>
            <w:r w:rsidR="00F67518" w:rsidRPr="00394D9A">
              <w:rPr>
                <w:szCs w:val="22"/>
                <w:lang w:val="sr-Latn-RS"/>
              </w:rPr>
              <w:t> </w:t>
            </w:r>
            <w:r w:rsidRPr="00394D9A">
              <w:rPr>
                <w:szCs w:val="22"/>
                <w:lang w:val="sr-Latn-RS"/>
              </w:rPr>
              <w:t>mg dva puta na dan</w:t>
            </w:r>
          </w:p>
        </w:tc>
        <w:tc>
          <w:tcPr>
            <w:tcW w:w="2464" w:type="dxa"/>
          </w:tcPr>
          <w:p w14:paraId="4B5A54FD" w14:textId="77777777" w:rsidR="008C76D7" w:rsidRPr="00394D9A" w:rsidRDefault="008C76D7" w:rsidP="00187D17">
            <w:pPr>
              <w:widowControl w:val="0"/>
              <w:jc w:val="center"/>
              <w:rPr>
                <w:szCs w:val="22"/>
                <w:lang w:val="sr-Latn-RS"/>
              </w:rPr>
            </w:pPr>
            <w:r w:rsidRPr="00394D9A">
              <w:rPr>
                <w:szCs w:val="22"/>
                <w:lang w:val="sr-Latn-RS"/>
              </w:rPr>
              <w:t>Varfarin</w:t>
            </w:r>
          </w:p>
        </w:tc>
      </w:tr>
      <w:tr w:rsidR="008C76D7" w:rsidRPr="00394D9A" w14:paraId="2D23610E" w14:textId="77777777" w:rsidTr="008C76D7">
        <w:tc>
          <w:tcPr>
            <w:tcW w:w="2463" w:type="dxa"/>
          </w:tcPr>
          <w:p w14:paraId="0E734048" w14:textId="77777777" w:rsidR="008C76D7" w:rsidRPr="00394D9A" w:rsidRDefault="008C76D7" w:rsidP="00187D17">
            <w:pPr>
              <w:widowControl w:val="0"/>
              <w:jc w:val="left"/>
              <w:rPr>
                <w:szCs w:val="22"/>
                <w:lang w:val="sr-Latn-RS"/>
              </w:rPr>
            </w:pPr>
            <w:r w:rsidRPr="00394D9A">
              <w:rPr>
                <w:szCs w:val="22"/>
                <w:lang w:val="sr-Latn-RS"/>
              </w:rPr>
              <w:t>Randomizovani ispitanici</w:t>
            </w:r>
          </w:p>
        </w:tc>
        <w:tc>
          <w:tcPr>
            <w:tcW w:w="2464" w:type="dxa"/>
            <w:vAlign w:val="center"/>
          </w:tcPr>
          <w:p w14:paraId="7675D5C2" w14:textId="77777777" w:rsidR="008C76D7" w:rsidRPr="00394D9A" w:rsidRDefault="008C76D7" w:rsidP="00187D17">
            <w:pPr>
              <w:widowControl w:val="0"/>
              <w:jc w:val="center"/>
              <w:rPr>
                <w:szCs w:val="22"/>
                <w:lang w:val="sr-Latn-RS"/>
              </w:rPr>
            </w:pPr>
            <w:r w:rsidRPr="00394D9A">
              <w:rPr>
                <w:szCs w:val="22"/>
                <w:lang w:val="sr-Latn-RS"/>
              </w:rPr>
              <w:t>6015</w:t>
            </w:r>
          </w:p>
        </w:tc>
        <w:tc>
          <w:tcPr>
            <w:tcW w:w="2464" w:type="dxa"/>
            <w:vAlign w:val="center"/>
          </w:tcPr>
          <w:p w14:paraId="219657E2" w14:textId="77777777" w:rsidR="008C76D7" w:rsidRPr="00394D9A" w:rsidRDefault="008C76D7" w:rsidP="00187D17">
            <w:pPr>
              <w:widowControl w:val="0"/>
              <w:jc w:val="center"/>
              <w:rPr>
                <w:szCs w:val="22"/>
                <w:lang w:val="sr-Latn-RS"/>
              </w:rPr>
            </w:pPr>
            <w:r w:rsidRPr="00394D9A">
              <w:rPr>
                <w:szCs w:val="22"/>
                <w:lang w:val="sr-Latn-RS"/>
              </w:rPr>
              <w:t>6076</w:t>
            </w:r>
          </w:p>
        </w:tc>
        <w:tc>
          <w:tcPr>
            <w:tcW w:w="2464" w:type="dxa"/>
            <w:vAlign w:val="center"/>
          </w:tcPr>
          <w:p w14:paraId="1FB63BDD" w14:textId="77777777" w:rsidR="008C76D7" w:rsidRPr="00394D9A" w:rsidRDefault="008C76D7" w:rsidP="00187D17">
            <w:pPr>
              <w:widowControl w:val="0"/>
              <w:jc w:val="center"/>
              <w:rPr>
                <w:szCs w:val="22"/>
                <w:lang w:val="sr-Latn-RS"/>
              </w:rPr>
            </w:pPr>
            <w:r w:rsidRPr="00394D9A">
              <w:rPr>
                <w:szCs w:val="22"/>
                <w:lang w:val="sr-Latn-RS"/>
              </w:rPr>
              <w:t>6022</w:t>
            </w:r>
          </w:p>
        </w:tc>
      </w:tr>
      <w:tr w:rsidR="008C76D7" w:rsidRPr="00A01BFA" w14:paraId="7642C234" w14:textId="77777777" w:rsidTr="008C76D7">
        <w:tc>
          <w:tcPr>
            <w:tcW w:w="2463" w:type="dxa"/>
          </w:tcPr>
          <w:p w14:paraId="414F32C6" w14:textId="77777777" w:rsidR="008C76D7" w:rsidRPr="00394D9A" w:rsidRDefault="008C76D7" w:rsidP="00187D17">
            <w:pPr>
              <w:widowControl w:val="0"/>
              <w:jc w:val="left"/>
              <w:rPr>
                <w:szCs w:val="22"/>
                <w:lang w:val="sr-Latn-RS"/>
              </w:rPr>
            </w:pPr>
            <w:r w:rsidRPr="00394D9A">
              <w:rPr>
                <w:szCs w:val="22"/>
                <w:lang w:val="sr-Latn-RS"/>
              </w:rPr>
              <w:t xml:space="preserve">Mortalitet od svih uzroka ukupno </w:t>
            </w:r>
          </w:p>
        </w:tc>
        <w:tc>
          <w:tcPr>
            <w:tcW w:w="2464" w:type="dxa"/>
            <w:vAlign w:val="center"/>
          </w:tcPr>
          <w:p w14:paraId="165BA3DC" w14:textId="77777777" w:rsidR="008C76D7" w:rsidRPr="00394D9A" w:rsidRDefault="008C76D7" w:rsidP="00187D17">
            <w:pPr>
              <w:widowControl w:val="0"/>
              <w:jc w:val="center"/>
              <w:rPr>
                <w:szCs w:val="22"/>
                <w:lang w:val="sr-Latn-RS"/>
              </w:rPr>
            </w:pPr>
          </w:p>
        </w:tc>
        <w:tc>
          <w:tcPr>
            <w:tcW w:w="2464" w:type="dxa"/>
            <w:vAlign w:val="center"/>
          </w:tcPr>
          <w:p w14:paraId="54A9DECD" w14:textId="77777777" w:rsidR="008C76D7" w:rsidRPr="00394D9A" w:rsidRDefault="008C76D7" w:rsidP="00187D17">
            <w:pPr>
              <w:widowControl w:val="0"/>
              <w:jc w:val="center"/>
              <w:rPr>
                <w:szCs w:val="22"/>
                <w:lang w:val="sr-Latn-RS"/>
              </w:rPr>
            </w:pPr>
          </w:p>
        </w:tc>
        <w:tc>
          <w:tcPr>
            <w:tcW w:w="2464" w:type="dxa"/>
            <w:vAlign w:val="center"/>
          </w:tcPr>
          <w:p w14:paraId="13D53AF0" w14:textId="77777777" w:rsidR="008C76D7" w:rsidRPr="00394D9A" w:rsidRDefault="008C76D7" w:rsidP="00187D17">
            <w:pPr>
              <w:widowControl w:val="0"/>
              <w:jc w:val="center"/>
              <w:rPr>
                <w:szCs w:val="22"/>
                <w:lang w:val="sr-Latn-RS"/>
              </w:rPr>
            </w:pPr>
          </w:p>
        </w:tc>
      </w:tr>
      <w:tr w:rsidR="008C76D7" w:rsidRPr="00394D9A" w14:paraId="1D13375B" w14:textId="77777777" w:rsidTr="008C76D7">
        <w:tc>
          <w:tcPr>
            <w:tcW w:w="2463" w:type="dxa"/>
          </w:tcPr>
          <w:p w14:paraId="7A214DDB" w14:textId="5F129812" w:rsidR="008C76D7" w:rsidRPr="00394D9A" w:rsidRDefault="008C76D7" w:rsidP="00187D17">
            <w:pPr>
              <w:widowControl w:val="0"/>
              <w:tabs>
                <w:tab w:val="clear" w:pos="284"/>
                <w:tab w:val="left" w:pos="567"/>
              </w:tabs>
              <w:ind w:left="284"/>
              <w:jc w:val="left"/>
              <w:rPr>
                <w:szCs w:val="22"/>
                <w:lang w:val="sr-Latn-RS"/>
              </w:rPr>
            </w:pPr>
            <w:r w:rsidRPr="00394D9A">
              <w:rPr>
                <w:szCs w:val="22"/>
                <w:lang w:val="sr-Latn-RS"/>
              </w:rPr>
              <w:t>Incidenc</w:t>
            </w:r>
            <w:r w:rsidR="00F67518" w:rsidRPr="00394D9A">
              <w:rPr>
                <w:szCs w:val="22"/>
                <w:lang w:val="sr-Latn-RS"/>
              </w:rPr>
              <w:t>a</w:t>
            </w:r>
            <w:r w:rsidRPr="00394D9A">
              <w:rPr>
                <w:szCs w:val="22"/>
                <w:lang w:val="sr-Latn-RS"/>
              </w:rPr>
              <w:t xml:space="preserve"> (%)</w:t>
            </w:r>
          </w:p>
        </w:tc>
        <w:tc>
          <w:tcPr>
            <w:tcW w:w="2464" w:type="dxa"/>
            <w:vAlign w:val="center"/>
          </w:tcPr>
          <w:p w14:paraId="6AB4CC42" w14:textId="77777777" w:rsidR="008C76D7" w:rsidRPr="00394D9A" w:rsidRDefault="008C76D7" w:rsidP="00187D17">
            <w:pPr>
              <w:widowControl w:val="0"/>
              <w:jc w:val="center"/>
              <w:rPr>
                <w:szCs w:val="22"/>
                <w:lang w:val="sr-Latn-RS"/>
              </w:rPr>
            </w:pPr>
            <w:r w:rsidRPr="00394D9A">
              <w:rPr>
                <w:szCs w:val="22"/>
                <w:lang w:val="sr-Latn-RS"/>
              </w:rPr>
              <w:t>446 (3,75)</w:t>
            </w:r>
          </w:p>
        </w:tc>
        <w:tc>
          <w:tcPr>
            <w:tcW w:w="2464" w:type="dxa"/>
            <w:vAlign w:val="center"/>
          </w:tcPr>
          <w:p w14:paraId="350CEA00" w14:textId="77777777" w:rsidR="008C76D7" w:rsidRPr="00394D9A" w:rsidRDefault="008C76D7" w:rsidP="00187D17">
            <w:pPr>
              <w:widowControl w:val="0"/>
              <w:jc w:val="center"/>
              <w:rPr>
                <w:szCs w:val="22"/>
                <w:lang w:val="sr-Latn-RS"/>
              </w:rPr>
            </w:pPr>
            <w:r w:rsidRPr="00394D9A">
              <w:rPr>
                <w:szCs w:val="22"/>
                <w:lang w:val="sr-Latn-RS"/>
              </w:rPr>
              <w:t>438 (3,64)</w:t>
            </w:r>
          </w:p>
        </w:tc>
        <w:tc>
          <w:tcPr>
            <w:tcW w:w="2464" w:type="dxa"/>
            <w:vAlign w:val="center"/>
          </w:tcPr>
          <w:p w14:paraId="4B79DCAA" w14:textId="77777777" w:rsidR="008C76D7" w:rsidRPr="00394D9A" w:rsidRDefault="008C76D7" w:rsidP="00187D17">
            <w:pPr>
              <w:widowControl w:val="0"/>
              <w:jc w:val="center"/>
              <w:rPr>
                <w:szCs w:val="22"/>
                <w:lang w:val="sr-Latn-RS"/>
              </w:rPr>
            </w:pPr>
            <w:r w:rsidRPr="00394D9A">
              <w:rPr>
                <w:szCs w:val="22"/>
                <w:lang w:val="sr-Latn-RS"/>
              </w:rPr>
              <w:t>487 (4,13)</w:t>
            </w:r>
          </w:p>
        </w:tc>
      </w:tr>
      <w:tr w:rsidR="008C76D7" w:rsidRPr="00394D9A" w14:paraId="4080EED2" w14:textId="77777777" w:rsidTr="008C76D7">
        <w:tc>
          <w:tcPr>
            <w:tcW w:w="2463" w:type="dxa"/>
          </w:tcPr>
          <w:p w14:paraId="6DCAF107" w14:textId="516EB586" w:rsidR="008C76D7" w:rsidRPr="00394D9A" w:rsidRDefault="00F67518" w:rsidP="00187D17">
            <w:pPr>
              <w:widowControl w:val="0"/>
              <w:tabs>
                <w:tab w:val="clear" w:pos="284"/>
                <w:tab w:val="left" w:pos="567"/>
              </w:tabs>
              <w:ind w:left="284"/>
              <w:jc w:val="left"/>
              <w:rPr>
                <w:szCs w:val="22"/>
                <w:lang w:val="sr-Latn-RS"/>
              </w:rPr>
            </w:pPr>
            <w:r w:rsidRPr="00394D9A">
              <w:rPr>
                <w:szCs w:val="22"/>
                <w:lang w:val="sr-Latn-RS"/>
              </w:rPr>
              <w:t>Odnos rizika u</w:t>
            </w:r>
            <w:r w:rsidR="008C76D7" w:rsidRPr="00394D9A">
              <w:rPr>
                <w:szCs w:val="22"/>
                <w:lang w:val="sr-Latn-RS"/>
              </w:rPr>
              <w:t xml:space="preserve"> odnosu na varfarin</w:t>
            </w:r>
          </w:p>
          <w:p w14:paraId="1D8D8B49" w14:textId="77777777" w:rsidR="008C76D7" w:rsidRPr="00394D9A" w:rsidRDefault="008C76D7" w:rsidP="00187D17">
            <w:pPr>
              <w:widowControl w:val="0"/>
              <w:tabs>
                <w:tab w:val="clear" w:pos="284"/>
                <w:tab w:val="left" w:pos="567"/>
              </w:tabs>
              <w:ind w:left="284"/>
              <w:jc w:val="left"/>
              <w:rPr>
                <w:szCs w:val="22"/>
                <w:lang w:val="sr-Latn-RS"/>
              </w:rPr>
            </w:pPr>
            <w:r w:rsidRPr="00394D9A">
              <w:rPr>
                <w:szCs w:val="22"/>
                <w:lang w:val="sr-Latn-RS"/>
              </w:rPr>
              <w:t>(95 % CI)</w:t>
            </w:r>
          </w:p>
        </w:tc>
        <w:tc>
          <w:tcPr>
            <w:tcW w:w="2464" w:type="dxa"/>
            <w:vAlign w:val="center"/>
          </w:tcPr>
          <w:p w14:paraId="5A253F2B" w14:textId="77777777" w:rsidR="008C76D7" w:rsidRPr="00394D9A" w:rsidRDefault="008C76D7" w:rsidP="00187D17">
            <w:pPr>
              <w:widowControl w:val="0"/>
              <w:jc w:val="center"/>
              <w:rPr>
                <w:szCs w:val="22"/>
                <w:lang w:val="sr-Latn-RS"/>
              </w:rPr>
            </w:pPr>
            <w:r w:rsidRPr="00394D9A">
              <w:rPr>
                <w:szCs w:val="22"/>
                <w:lang w:val="sr-Latn-RS"/>
              </w:rPr>
              <w:t>0,91 (0,80; 1,03)</w:t>
            </w:r>
          </w:p>
        </w:tc>
        <w:tc>
          <w:tcPr>
            <w:tcW w:w="2464" w:type="dxa"/>
            <w:vAlign w:val="center"/>
          </w:tcPr>
          <w:p w14:paraId="61F531AE" w14:textId="77777777" w:rsidR="008C76D7" w:rsidRPr="00394D9A" w:rsidRDefault="008C76D7" w:rsidP="00187D17">
            <w:pPr>
              <w:widowControl w:val="0"/>
              <w:jc w:val="center"/>
              <w:rPr>
                <w:szCs w:val="22"/>
                <w:lang w:val="sr-Latn-RS"/>
              </w:rPr>
            </w:pPr>
            <w:r w:rsidRPr="00394D9A">
              <w:rPr>
                <w:szCs w:val="22"/>
                <w:lang w:val="sr-Latn-RS"/>
              </w:rPr>
              <w:t>0,88 (0,77; 1,00)</w:t>
            </w:r>
          </w:p>
        </w:tc>
        <w:tc>
          <w:tcPr>
            <w:tcW w:w="2464" w:type="dxa"/>
            <w:vAlign w:val="center"/>
          </w:tcPr>
          <w:p w14:paraId="167FD0FB" w14:textId="77777777" w:rsidR="008C76D7" w:rsidRPr="00394D9A" w:rsidRDefault="008C76D7" w:rsidP="00187D17">
            <w:pPr>
              <w:widowControl w:val="0"/>
              <w:jc w:val="center"/>
              <w:rPr>
                <w:szCs w:val="22"/>
                <w:lang w:val="sr-Latn-RS"/>
              </w:rPr>
            </w:pPr>
          </w:p>
        </w:tc>
      </w:tr>
      <w:tr w:rsidR="008C76D7" w:rsidRPr="00394D9A" w14:paraId="490852A6" w14:textId="77777777" w:rsidTr="008C76D7">
        <w:tc>
          <w:tcPr>
            <w:tcW w:w="2463" w:type="dxa"/>
          </w:tcPr>
          <w:p w14:paraId="2D56CCA0" w14:textId="63F8ED9A" w:rsidR="008C76D7" w:rsidRPr="00394D9A" w:rsidRDefault="008C76D7" w:rsidP="00187D17">
            <w:pPr>
              <w:widowControl w:val="0"/>
              <w:tabs>
                <w:tab w:val="clear" w:pos="284"/>
                <w:tab w:val="left" w:pos="567"/>
              </w:tabs>
              <w:ind w:left="284"/>
              <w:jc w:val="left"/>
              <w:rPr>
                <w:szCs w:val="22"/>
                <w:lang w:val="sr-Latn-RS"/>
              </w:rPr>
            </w:pPr>
            <w:r w:rsidRPr="00394D9A">
              <w:rPr>
                <w:szCs w:val="22"/>
                <w:lang w:val="sr-Latn-RS"/>
              </w:rPr>
              <w:t>p-vr</w:t>
            </w:r>
            <w:r w:rsidR="005F52C8" w:rsidRPr="00394D9A">
              <w:rPr>
                <w:szCs w:val="22"/>
                <w:lang w:val="sr-Latn-RS"/>
              </w:rPr>
              <w:t>ij</w:t>
            </w:r>
            <w:r w:rsidRPr="00394D9A">
              <w:rPr>
                <w:szCs w:val="22"/>
                <w:lang w:val="sr-Latn-RS"/>
              </w:rPr>
              <w:t>ednost</w:t>
            </w:r>
          </w:p>
        </w:tc>
        <w:tc>
          <w:tcPr>
            <w:tcW w:w="2464" w:type="dxa"/>
            <w:vAlign w:val="center"/>
          </w:tcPr>
          <w:p w14:paraId="75F4E3E6" w14:textId="77777777" w:rsidR="008C76D7" w:rsidRPr="00394D9A" w:rsidRDefault="008C76D7" w:rsidP="00187D17">
            <w:pPr>
              <w:widowControl w:val="0"/>
              <w:jc w:val="center"/>
              <w:rPr>
                <w:szCs w:val="22"/>
                <w:lang w:val="sr-Latn-RS"/>
              </w:rPr>
            </w:pPr>
            <w:r w:rsidRPr="00394D9A">
              <w:rPr>
                <w:szCs w:val="22"/>
                <w:lang w:val="sr-Latn-RS"/>
              </w:rPr>
              <w:t>0,1308</w:t>
            </w:r>
          </w:p>
        </w:tc>
        <w:tc>
          <w:tcPr>
            <w:tcW w:w="2464" w:type="dxa"/>
            <w:vAlign w:val="center"/>
          </w:tcPr>
          <w:p w14:paraId="4ED7DD39" w14:textId="77777777" w:rsidR="008C76D7" w:rsidRPr="00394D9A" w:rsidRDefault="008C76D7" w:rsidP="00187D17">
            <w:pPr>
              <w:widowControl w:val="0"/>
              <w:jc w:val="center"/>
              <w:rPr>
                <w:szCs w:val="22"/>
                <w:lang w:val="sr-Latn-RS"/>
              </w:rPr>
            </w:pPr>
            <w:r w:rsidRPr="00394D9A">
              <w:rPr>
                <w:szCs w:val="22"/>
                <w:lang w:val="sr-Latn-RS"/>
              </w:rPr>
              <w:t>0,0517</w:t>
            </w:r>
          </w:p>
        </w:tc>
        <w:tc>
          <w:tcPr>
            <w:tcW w:w="2464" w:type="dxa"/>
            <w:vAlign w:val="center"/>
          </w:tcPr>
          <w:p w14:paraId="4A4EB87C" w14:textId="77777777" w:rsidR="008C76D7" w:rsidRPr="00394D9A" w:rsidRDefault="008C76D7" w:rsidP="00187D17">
            <w:pPr>
              <w:widowControl w:val="0"/>
              <w:jc w:val="center"/>
              <w:rPr>
                <w:szCs w:val="22"/>
                <w:lang w:val="sr-Latn-RS"/>
              </w:rPr>
            </w:pPr>
          </w:p>
        </w:tc>
      </w:tr>
      <w:tr w:rsidR="008C76D7" w:rsidRPr="00394D9A" w14:paraId="46155178" w14:textId="77777777" w:rsidTr="008C76D7">
        <w:tc>
          <w:tcPr>
            <w:tcW w:w="2463" w:type="dxa"/>
          </w:tcPr>
          <w:p w14:paraId="5F578FD5" w14:textId="45CA8684" w:rsidR="008C76D7" w:rsidRPr="00394D9A" w:rsidRDefault="00F67518" w:rsidP="00187D17">
            <w:pPr>
              <w:widowControl w:val="0"/>
              <w:tabs>
                <w:tab w:val="clear" w:pos="284"/>
                <w:tab w:val="left" w:pos="567"/>
              </w:tabs>
              <w:jc w:val="left"/>
              <w:rPr>
                <w:szCs w:val="22"/>
                <w:lang w:val="sr-Latn-RS"/>
              </w:rPr>
            </w:pPr>
            <w:r w:rsidRPr="00394D9A">
              <w:rPr>
                <w:szCs w:val="22"/>
                <w:lang w:val="sr-Latn-RS"/>
              </w:rPr>
              <w:t>S</w:t>
            </w:r>
            <w:r w:rsidR="008C76D7" w:rsidRPr="00394D9A">
              <w:rPr>
                <w:szCs w:val="22"/>
                <w:lang w:val="sr-Latn-RS"/>
              </w:rPr>
              <w:t>istemsk</w:t>
            </w:r>
            <w:r w:rsidRPr="00394D9A">
              <w:rPr>
                <w:szCs w:val="22"/>
                <w:lang w:val="sr-Latn-RS"/>
              </w:rPr>
              <w:t>a</w:t>
            </w:r>
            <w:r w:rsidR="008C76D7" w:rsidRPr="00394D9A">
              <w:rPr>
                <w:szCs w:val="22"/>
                <w:lang w:val="sr-Latn-RS"/>
              </w:rPr>
              <w:t xml:space="preserve"> embolij</w:t>
            </w:r>
            <w:r w:rsidRPr="00394D9A">
              <w:rPr>
                <w:szCs w:val="22"/>
                <w:lang w:val="sr-Latn-RS"/>
              </w:rPr>
              <w:t>a</w:t>
            </w:r>
          </w:p>
        </w:tc>
        <w:tc>
          <w:tcPr>
            <w:tcW w:w="2464" w:type="dxa"/>
            <w:vAlign w:val="center"/>
          </w:tcPr>
          <w:p w14:paraId="3D35BCF0" w14:textId="77777777" w:rsidR="008C76D7" w:rsidRPr="00394D9A" w:rsidRDefault="008C76D7" w:rsidP="00187D17">
            <w:pPr>
              <w:widowControl w:val="0"/>
              <w:jc w:val="center"/>
              <w:rPr>
                <w:szCs w:val="22"/>
                <w:lang w:val="sr-Latn-RS"/>
              </w:rPr>
            </w:pPr>
          </w:p>
        </w:tc>
        <w:tc>
          <w:tcPr>
            <w:tcW w:w="2464" w:type="dxa"/>
            <w:vAlign w:val="center"/>
          </w:tcPr>
          <w:p w14:paraId="519E25DE" w14:textId="77777777" w:rsidR="008C76D7" w:rsidRPr="00394D9A" w:rsidRDefault="008C76D7" w:rsidP="00187D17">
            <w:pPr>
              <w:widowControl w:val="0"/>
              <w:jc w:val="center"/>
              <w:rPr>
                <w:szCs w:val="22"/>
                <w:lang w:val="sr-Latn-RS"/>
              </w:rPr>
            </w:pPr>
          </w:p>
        </w:tc>
        <w:tc>
          <w:tcPr>
            <w:tcW w:w="2464" w:type="dxa"/>
            <w:vAlign w:val="center"/>
          </w:tcPr>
          <w:p w14:paraId="3B1F97F4" w14:textId="77777777" w:rsidR="008C76D7" w:rsidRPr="00394D9A" w:rsidRDefault="008C76D7" w:rsidP="00187D17">
            <w:pPr>
              <w:widowControl w:val="0"/>
              <w:jc w:val="center"/>
              <w:rPr>
                <w:szCs w:val="22"/>
                <w:lang w:val="sr-Latn-RS"/>
              </w:rPr>
            </w:pPr>
          </w:p>
        </w:tc>
      </w:tr>
      <w:tr w:rsidR="008C76D7" w:rsidRPr="00394D9A" w14:paraId="12976CFC" w14:textId="77777777" w:rsidTr="008C76D7">
        <w:tc>
          <w:tcPr>
            <w:tcW w:w="2463" w:type="dxa"/>
          </w:tcPr>
          <w:p w14:paraId="3AE33CAA" w14:textId="64441B5C" w:rsidR="008C76D7" w:rsidRPr="00394D9A" w:rsidRDefault="008C76D7" w:rsidP="00187D17">
            <w:pPr>
              <w:widowControl w:val="0"/>
              <w:tabs>
                <w:tab w:val="clear" w:pos="284"/>
                <w:tab w:val="left" w:pos="567"/>
              </w:tabs>
              <w:ind w:left="284"/>
              <w:jc w:val="left"/>
              <w:rPr>
                <w:szCs w:val="22"/>
                <w:lang w:val="sr-Latn-RS"/>
              </w:rPr>
            </w:pPr>
            <w:r w:rsidRPr="00394D9A">
              <w:rPr>
                <w:szCs w:val="22"/>
                <w:lang w:val="sr-Latn-RS"/>
              </w:rPr>
              <w:t>Incidenc</w:t>
            </w:r>
            <w:r w:rsidR="00F67518" w:rsidRPr="00394D9A">
              <w:rPr>
                <w:szCs w:val="22"/>
                <w:lang w:val="sr-Latn-RS"/>
              </w:rPr>
              <w:t>a</w:t>
            </w:r>
            <w:r w:rsidRPr="00394D9A">
              <w:rPr>
                <w:szCs w:val="22"/>
                <w:lang w:val="sr-Latn-RS"/>
              </w:rPr>
              <w:t xml:space="preserve"> (%)</w:t>
            </w:r>
          </w:p>
        </w:tc>
        <w:tc>
          <w:tcPr>
            <w:tcW w:w="2464" w:type="dxa"/>
            <w:vAlign w:val="center"/>
          </w:tcPr>
          <w:p w14:paraId="3A9B17F4" w14:textId="77777777" w:rsidR="008C76D7" w:rsidRPr="00394D9A" w:rsidRDefault="008C76D7" w:rsidP="00187D17">
            <w:pPr>
              <w:widowControl w:val="0"/>
              <w:jc w:val="center"/>
              <w:rPr>
                <w:szCs w:val="22"/>
                <w:lang w:val="sr-Latn-RS"/>
              </w:rPr>
            </w:pPr>
            <w:r w:rsidRPr="00394D9A">
              <w:rPr>
                <w:szCs w:val="22"/>
                <w:lang w:val="sr-Latn-RS"/>
              </w:rPr>
              <w:t>289 (2,43)</w:t>
            </w:r>
          </w:p>
        </w:tc>
        <w:tc>
          <w:tcPr>
            <w:tcW w:w="2464" w:type="dxa"/>
            <w:vAlign w:val="center"/>
          </w:tcPr>
          <w:p w14:paraId="6AF2CF71" w14:textId="77777777" w:rsidR="008C76D7" w:rsidRPr="00394D9A" w:rsidRDefault="008C76D7" w:rsidP="00187D17">
            <w:pPr>
              <w:widowControl w:val="0"/>
              <w:jc w:val="center"/>
              <w:rPr>
                <w:szCs w:val="22"/>
                <w:lang w:val="sr-Latn-RS"/>
              </w:rPr>
            </w:pPr>
            <w:r w:rsidRPr="00394D9A">
              <w:rPr>
                <w:szCs w:val="22"/>
                <w:lang w:val="sr-Latn-RS"/>
              </w:rPr>
              <w:t>274 (2,28)</w:t>
            </w:r>
          </w:p>
        </w:tc>
        <w:tc>
          <w:tcPr>
            <w:tcW w:w="2464" w:type="dxa"/>
            <w:vAlign w:val="center"/>
          </w:tcPr>
          <w:p w14:paraId="000D2029" w14:textId="77777777" w:rsidR="008C76D7" w:rsidRPr="00394D9A" w:rsidRDefault="008C76D7" w:rsidP="00187D17">
            <w:pPr>
              <w:widowControl w:val="0"/>
              <w:jc w:val="center"/>
              <w:rPr>
                <w:szCs w:val="22"/>
                <w:lang w:val="sr-Latn-RS"/>
              </w:rPr>
            </w:pPr>
            <w:r w:rsidRPr="00394D9A">
              <w:rPr>
                <w:szCs w:val="22"/>
                <w:lang w:val="sr-Latn-RS"/>
              </w:rPr>
              <w:t>317 (2,69)</w:t>
            </w:r>
          </w:p>
        </w:tc>
      </w:tr>
      <w:tr w:rsidR="008C76D7" w:rsidRPr="00394D9A" w14:paraId="0024EDF3" w14:textId="77777777" w:rsidTr="008C76D7">
        <w:tc>
          <w:tcPr>
            <w:tcW w:w="2463" w:type="dxa"/>
          </w:tcPr>
          <w:p w14:paraId="563CB9D7" w14:textId="77777777" w:rsidR="008C76D7" w:rsidRPr="00394D9A" w:rsidRDefault="008C76D7" w:rsidP="00187D17">
            <w:pPr>
              <w:widowControl w:val="0"/>
              <w:tabs>
                <w:tab w:val="clear" w:pos="284"/>
                <w:tab w:val="left" w:pos="567"/>
              </w:tabs>
              <w:ind w:left="284"/>
              <w:jc w:val="left"/>
              <w:rPr>
                <w:szCs w:val="22"/>
                <w:lang w:val="sr-Latn-RS"/>
              </w:rPr>
            </w:pPr>
            <w:r w:rsidRPr="00394D9A">
              <w:rPr>
                <w:szCs w:val="22"/>
                <w:lang w:val="sr-Latn-RS"/>
              </w:rPr>
              <w:t>Koeficijent hazardnosti</w:t>
            </w:r>
          </w:p>
          <w:p w14:paraId="72B260BC" w14:textId="77777777" w:rsidR="008C76D7" w:rsidRPr="00394D9A" w:rsidRDefault="008C76D7" w:rsidP="00187D17">
            <w:pPr>
              <w:widowControl w:val="0"/>
              <w:tabs>
                <w:tab w:val="clear" w:pos="284"/>
                <w:tab w:val="left" w:pos="567"/>
              </w:tabs>
              <w:ind w:left="284"/>
              <w:jc w:val="left"/>
              <w:rPr>
                <w:szCs w:val="22"/>
                <w:lang w:val="sr-Latn-RS"/>
              </w:rPr>
            </w:pPr>
            <w:r w:rsidRPr="00394D9A">
              <w:rPr>
                <w:szCs w:val="22"/>
                <w:lang w:val="sr-Latn-RS"/>
              </w:rPr>
              <w:t>u odnosu na varfarin</w:t>
            </w:r>
          </w:p>
          <w:p w14:paraId="40360F0C" w14:textId="77777777" w:rsidR="008C76D7" w:rsidRPr="00394D9A" w:rsidRDefault="008C76D7" w:rsidP="00187D17">
            <w:pPr>
              <w:widowControl w:val="0"/>
              <w:tabs>
                <w:tab w:val="clear" w:pos="284"/>
                <w:tab w:val="left" w:pos="567"/>
              </w:tabs>
              <w:ind w:left="284"/>
              <w:jc w:val="left"/>
              <w:rPr>
                <w:szCs w:val="22"/>
                <w:lang w:val="sr-Latn-RS"/>
              </w:rPr>
            </w:pPr>
            <w:r w:rsidRPr="00394D9A">
              <w:rPr>
                <w:szCs w:val="22"/>
                <w:lang w:val="sr-Latn-RS"/>
              </w:rPr>
              <w:t>(95 % CI)</w:t>
            </w:r>
          </w:p>
        </w:tc>
        <w:tc>
          <w:tcPr>
            <w:tcW w:w="2464" w:type="dxa"/>
            <w:vAlign w:val="center"/>
          </w:tcPr>
          <w:p w14:paraId="74EC17D9" w14:textId="77777777" w:rsidR="008C76D7" w:rsidRPr="00394D9A" w:rsidRDefault="008C76D7" w:rsidP="00187D17">
            <w:pPr>
              <w:widowControl w:val="0"/>
              <w:jc w:val="center"/>
              <w:rPr>
                <w:szCs w:val="22"/>
                <w:lang w:val="sr-Latn-RS"/>
              </w:rPr>
            </w:pPr>
            <w:r w:rsidRPr="00394D9A">
              <w:rPr>
                <w:szCs w:val="22"/>
                <w:lang w:val="sr-Latn-RS"/>
              </w:rPr>
              <w:t>0,90 (0,77; 1,06)</w:t>
            </w:r>
          </w:p>
        </w:tc>
        <w:tc>
          <w:tcPr>
            <w:tcW w:w="2464" w:type="dxa"/>
            <w:vAlign w:val="center"/>
          </w:tcPr>
          <w:p w14:paraId="205BCD88" w14:textId="77777777" w:rsidR="008C76D7" w:rsidRPr="00394D9A" w:rsidRDefault="008C76D7" w:rsidP="00187D17">
            <w:pPr>
              <w:widowControl w:val="0"/>
              <w:jc w:val="center"/>
              <w:rPr>
                <w:szCs w:val="22"/>
                <w:lang w:val="sr-Latn-RS"/>
              </w:rPr>
            </w:pPr>
            <w:r w:rsidRPr="00394D9A">
              <w:rPr>
                <w:szCs w:val="22"/>
                <w:lang w:val="sr-Latn-RS"/>
              </w:rPr>
              <w:t>0,85 (0,72; 0,99)</w:t>
            </w:r>
          </w:p>
        </w:tc>
        <w:tc>
          <w:tcPr>
            <w:tcW w:w="2464" w:type="dxa"/>
            <w:vAlign w:val="center"/>
          </w:tcPr>
          <w:p w14:paraId="7CE88AE2" w14:textId="77777777" w:rsidR="008C76D7" w:rsidRPr="00394D9A" w:rsidRDefault="008C76D7" w:rsidP="00187D17">
            <w:pPr>
              <w:widowControl w:val="0"/>
              <w:jc w:val="center"/>
              <w:rPr>
                <w:szCs w:val="22"/>
                <w:lang w:val="sr-Latn-RS"/>
              </w:rPr>
            </w:pPr>
          </w:p>
        </w:tc>
      </w:tr>
      <w:tr w:rsidR="008C76D7" w:rsidRPr="00394D9A" w14:paraId="271076C1" w14:textId="77777777" w:rsidTr="008C76D7">
        <w:tc>
          <w:tcPr>
            <w:tcW w:w="2463" w:type="dxa"/>
          </w:tcPr>
          <w:p w14:paraId="23C941D8" w14:textId="67048557" w:rsidR="008C76D7" w:rsidRPr="00394D9A" w:rsidRDefault="008C76D7" w:rsidP="00187D17">
            <w:pPr>
              <w:widowControl w:val="0"/>
              <w:tabs>
                <w:tab w:val="clear" w:pos="284"/>
                <w:tab w:val="left" w:pos="567"/>
              </w:tabs>
              <w:ind w:left="284"/>
              <w:jc w:val="left"/>
              <w:rPr>
                <w:szCs w:val="22"/>
                <w:lang w:val="sr-Latn-RS"/>
              </w:rPr>
            </w:pPr>
            <w:r w:rsidRPr="00394D9A">
              <w:rPr>
                <w:szCs w:val="22"/>
                <w:lang w:val="sr-Latn-RS"/>
              </w:rPr>
              <w:t>p-vr</w:t>
            </w:r>
            <w:r w:rsidR="005F52C8" w:rsidRPr="00394D9A">
              <w:rPr>
                <w:szCs w:val="22"/>
                <w:lang w:val="sr-Latn-RS"/>
              </w:rPr>
              <w:t>ij</w:t>
            </w:r>
            <w:r w:rsidRPr="00394D9A">
              <w:rPr>
                <w:szCs w:val="22"/>
                <w:lang w:val="sr-Latn-RS"/>
              </w:rPr>
              <w:t>ednost</w:t>
            </w:r>
          </w:p>
        </w:tc>
        <w:tc>
          <w:tcPr>
            <w:tcW w:w="2464" w:type="dxa"/>
            <w:vAlign w:val="center"/>
          </w:tcPr>
          <w:p w14:paraId="7AEFC8A5" w14:textId="77777777" w:rsidR="008C76D7" w:rsidRPr="00394D9A" w:rsidRDefault="008C76D7" w:rsidP="00187D17">
            <w:pPr>
              <w:widowControl w:val="0"/>
              <w:jc w:val="center"/>
              <w:rPr>
                <w:szCs w:val="22"/>
                <w:lang w:val="sr-Latn-RS"/>
              </w:rPr>
            </w:pPr>
            <w:r w:rsidRPr="00394D9A">
              <w:rPr>
                <w:szCs w:val="22"/>
                <w:lang w:val="sr-Latn-RS"/>
              </w:rPr>
              <w:t>0,2081</w:t>
            </w:r>
          </w:p>
        </w:tc>
        <w:tc>
          <w:tcPr>
            <w:tcW w:w="2464" w:type="dxa"/>
            <w:vAlign w:val="center"/>
          </w:tcPr>
          <w:p w14:paraId="5BF14D9D" w14:textId="77777777" w:rsidR="008C76D7" w:rsidRPr="00394D9A" w:rsidRDefault="008C76D7" w:rsidP="00187D17">
            <w:pPr>
              <w:widowControl w:val="0"/>
              <w:jc w:val="center"/>
              <w:rPr>
                <w:szCs w:val="22"/>
                <w:lang w:val="sr-Latn-RS"/>
              </w:rPr>
            </w:pPr>
            <w:r w:rsidRPr="00394D9A">
              <w:rPr>
                <w:szCs w:val="22"/>
                <w:lang w:val="sr-Latn-RS"/>
              </w:rPr>
              <w:t>0,0430</w:t>
            </w:r>
          </w:p>
        </w:tc>
        <w:tc>
          <w:tcPr>
            <w:tcW w:w="2464" w:type="dxa"/>
            <w:vAlign w:val="center"/>
          </w:tcPr>
          <w:p w14:paraId="533B5A9F" w14:textId="77777777" w:rsidR="008C76D7" w:rsidRPr="00394D9A" w:rsidRDefault="008C76D7" w:rsidP="00187D17">
            <w:pPr>
              <w:widowControl w:val="0"/>
              <w:jc w:val="center"/>
              <w:rPr>
                <w:szCs w:val="22"/>
                <w:lang w:val="sr-Latn-RS"/>
              </w:rPr>
            </w:pPr>
          </w:p>
        </w:tc>
      </w:tr>
    </w:tbl>
    <w:p w14:paraId="7BBF5B85" w14:textId="77777777" w:rsidR="008C76D7" w:rsidRPr="00394D9A" w:rsidRDefault="008C76D7" w:rsidP="00187D17">
      <w:pPr>
        <w:widowControl w:val="0"/>
        <w:rPr>
          <w:szCs w:val="22"/>
          <w:lang w:val="sr-Latn-RS"/>
        </w:rPr>
      </w:pPr>
      <w:r w:rsidRPr="00394D9A">
        <w:rPr>
          <w:szCs w:val="22"/>
          <w:lang w:val="sr-Latn-RS"/>
        </w:rPr>
        <w:t>% se odnosi na godišnju stopu događaja</w:t>
      </w:r>
    </w:p>
    <w:p w14:paraId="748C8CE9" w14:textId="77777777" w:rsidR="008C76D7" w:rsidRPr="00394D9A" w:rsidRDefault="008C76D7" w:rsidP="00187D17">
      <w:pPr>
        <w:widowControl w:val="0"/>
        <w:rPr>
          <w:szCs w:val="22"/>
          <w:lang w:val="sr-Latn-RS"/>
        </w:rPr>
      </w:pPr>
    </w:p>
    <w:p w14:paraId="2F9ED4A2" w14:textId="73CB6653" w:rsidR="008C76D7" w:rsidRPr="00394D9A" w:rsidRDefault="008C76D7" w:rsidP="00187D17">
      <w:pPr>
        <w:widowControl w:val="0"/>
        <w:rPr>
          <w:szCs w:val="22"/>
          <w:lang w:val="sr-Latn-RS"/>
        </w:rPr>
      </w:pPr>
      <w:r w:rsidRPr="00394D9A">
        <w:rPr>
          <w:szCs w:val="22"/>
          <w:lang w:val="sr-Latn-RS"/>
        </w:rPr>
        <w:t xml:space="preserve">Tabele </w:t>
      </w:r>
      <w:r w:rsidR="00F65512" w:rsidRPr="00394D9A">
        <w:rPr>
          <w:szCs w:val="22"/>
          <w:lang w:val="sr-Latn-RS"/>
        </w:rPr>
        <w:t>20</w:t>
      </w:r>
      <w:r w:rsidR="00787E96" w:rsidRPr="00394D9A">
        <w:rPr>
          <w:szCs w:val="22"/>
          <w:lang w:val="sr-Latn-RS"/>
        </w:rPr>
        <w:t>-21</w:t>
      </w:r>
      <w:r w:rsidRPr="00394D9A">
        <w:rPr>
          <w:szCs w:val="22"/>
          <w:lang w:val="sr-Latn-RS"/>
        </w:rPr>
        <w:t xml:space="preserve"> pokazuju rezultate krajnjih tačaka primarne efikasnosti i bezb</w:t>
      </w:r>
      <w:r w:rsidR="005F52C8" w:rsidRPr="00394D9A">
        <w:rPr>
          <w:szCs w:val="22"/>
          <w:lang w:val="sr-Latn-RS"/>
        </w:rPr>
        <w:t>j</w:t>
      </w:r>
      <w:r w:rsidRPr="00394D9A">
        <w:rPr>
          <w:szCs w:val="22"/>
          <w:lang w:val="sr-Latn-RS"/>
        </w:rPr>
        <w:t>ednosti u relevantnim subpopul</w:t>
      </w:r>
      <w:r w:rsidR="00F67518" w:rsidRPr="00394D9A">
        <w:rPr>
          <w:szCs w:val="22"/>
          <w:lang w:val="sr-Latn-RS"/>
        </w:rPr>
        <w:t>a</w:t>
      </w:r>
      <w:r w:rsidRPr="00394D9A">
        <w:rPr>
          <w:szCs w:val="22"/>
          <w:lang w:val="sr-Latn-RS"/>
        </w:rPr>
        <w:t>cijama.</w:t>
      </w:r>
    </w:p>
    <w:p w14:paraId="462826A2" w14:textId="77777777" w:rsidR="008C76D7" w:rsidRPr="00394D9A" w:rsidRDefault="008C76D7" w:rsidP="00187D17">
      <w:pPr>
        <w:widowControl w:val="0"/>
        <w:rPr>
          <w:szCs w:val="22"/>
          <w:lang w:val="sr-Latn-RS"/>
        </w:rPr>
      </w:pPr>
    </w:p>
    <w:p w14:paraId="4801E0FF" w14:textId="08E72DBE" w:rsidR="008C76D7" w:rsidRPr="00394D9A" w:rsidRDefault="008C76D7" w:rsidP="00187D17">
      <w:pPr>
        <w:widowControl w:val="0"/>
        <w:rPr>
          <w:szCs w:val="22"/>
          <w:lang w:val="sr-Latn-RS"/>
        </w:rPr>
      </w:pPr>
      <w:r w:rsidRPr="00394D9A">
        <w:rPr>
          <w:szCs w:val="22"/>
          <w:lang w:val="sr-Latn-RS"/>
        </w:rPr>
        <w:t>Za primarn</w:t>
      </w:r>
      <w:r w:rsidR="000E691C" w:rsidRPr="00394D9A">
        <w:rPr>
          <w:szCs w:val="22"/>
          <w:lang w:val="sr-Latn-RS"/>
        </w:rPr>
        <w:t>u mjeru ishoda kod</w:t>
      </w:r>
      <w:r w:rsidRPr="00394D9A">
        <w:rPr>
          <w:szCs w:val="22"/>
          <w:lang w:val="sr-Latn-RS"/>
        </w:rPr>
        <w:t xml:space="preserve"> moždan</w:t>
      </w:r>
      <w:r w:rsidR="000E691C" w:rsidRPr="00394D9A">
        <w:rPr>
          <w:szCs w:val="22"/>
          <w:lang w:val="sr-Latn-RS"/>
        </w:rPr>
        <w:t>og</w:t>
      </w:r>
      <w:r w:rsidRPr="00394D9A">
        <w:rPr>
          <w:szCs w:val="22"/>
          <w:lang w:val="sr-Latn-RS"/>
        </w:rPr>
        <w:t xml:space="preserve"> udar</w:t>
      </w:r>
      <w:r w:rsidR="000E691C" w:rsidRPr="00394D9A">
        <w:rPr>
          <w:szCs w:val="22"/>
          <w:lang w:val="sr-Latn-RS"/>
        </w:rPr>
        <w:t>a</w:t>
      </w:r>
      <w:r w:rsidRPr="00394D9A">
        <w:rPr>
          <w:szCs w:val="22"/>
          <w:lang w:val="sr-Latn-RS"/>
        </w:rPr>
        <w:t xml:space="preserve"> i </w:t>
      </w:r>
      <w:r w:rsidR="00F67518" w:rsidRPr="00394D9A">
        <w:rPr>
          <w:szCs w:val="22"/>
          <w:lang w:val="sr-Latn-RS"/>
        </w:rPr>
        <w:t>sistemsk</w:t>
      </w:r>
      <w:r w:rsidR="000E691C" w:rsidRPr="00394D9A">
        <w:rPr>
          <w:szCs w:val="22"/>
          <w:lang w:val="sr-Latn-RS"/>
        </w:rPr>
        <w:t>e</w:t>
      </w:r>
      <w:r w:rsidR="00F67518" w:rsidRPr="00394D9A">
        <w:rPr>
          <w:szCs w:val="22"/>
          <w:lang w:val="sr-Latn-RS"/>
        </w:rPr>
        <w:t xml:space="preserve"> embolij</w:t>
      </w:r>
      <w:r w:rsidR="000E691C" w:rsidRPr="00394D9A">
        <w:rPr>
          <w:szCs w:val="22"/>
          <w:lang w:val="sr-Latn-RS"/>
        </w:rPr>
        <w:t>e</w:t>
      </w:r>
      <w:r w:rsidRPr="00394D9A">
        <w:rPr>
          <w:szCs w:val="22"/>
          <w:lang w:val="sr-Latn-RS"/>
        </w:rPr>
        <w:t xml:space="preserve">, </w:t>
      </w:r>
      <w:r w:rsidR="000E691C" w:rsidRPr="00394D9A">
        <w:rPr>
          <w:szCs w:val="22"/>
          <w:lang w:val="sr-Latn-RS"/>
        </w:rPr>
        <w:t xml:space="preserve">nijesu identifikovane </w:t>
      </w:r>
      <w:r w:rsidRPr="00394D9A">
        <w:rPr>
          <w:szCs w:val="22"/>
          <w:lang w:val="sr-Latn-RS"/>
        </w:rPr>
        <w:t xml:space="preserve">podgrupe (tj. godine starosti, </w:t>
      </w:r>
      <w:r w:rsidR="003E3709" w:rsidRPr="00394D9A">
        <w:rPr>
          <w:szCs w:val="22"/>
          <w:lang w:val="sr-Latn-RS"/>
        </w:rPr>
        <w:t>tjelesna</w:t>
      </w:r>
      <w:r w:rsidRPr="00394D9A">
        <w:rPr>
          <w:szCs w:val="22"/>
          <w:lang w:val="sr-Latn-RS"/>
        </w:rPr>
        <w:t xml:space="preserve"> </w:t>
      </w:r>
      <w:r w:rsidR="00D01905" w:rsidRPr="00394D9A">
        <w:rPr>
          <w:szCs w:val="22"/>
          <w:lang w:val="sr-Latn-RS"/>
        </w:rPr>
        <w:t>masa</w:t>
      </w:r>
      <w:r w:rsidRPr="00394D9A">
        <w:rPr>
          <w:szCs w:val="22"/>
          <w:lang w:val="sr-Latn-RS"/>
        </w:rPr>
        <w:t>, pol, bubrežna funkcija, etničko por</w:t>
      </w:r>
      <w:r w:rsidR="005F52C8" w:rsidRPr="00394D9A">
        <w:rPr>
          <w:szCs w:val="22"/>
          <w:lang w:val="sr-Latn-RS"/>
        </w:rPr>
        <w:t>ij</w:t>
      </w:r>
      <w:r w:rsidRPr="00394D9A">
        <w:rPr>
          <w:szCs w:val="22"/>
          <w:lang w:val="sr-Latn-RS"/>
        </w:rPr>
        <w:t>eklo, itd.) s</w:t>
      </w:r>
      <w:r w:rsidR="000E691C" w:rsidRPr="00394D9A">
        <w:rPr>
          <w:szCs w:val="22"/>
          <w:lang w:val="sr-Latn-RS"/>
        </w:rPr>
        <w:t>a</w:t>
      </w:r>
      <w:r w:rsidRPr="00394D9A">
        <w:rPr>
          <w:szCs w:val="22"/>
          <w:lang w:val="sr-Latn-RS"/>
        </w:rPr>
        <w:t xml:space="preserve"> </w:t>
      </w:r>
      <w:r w:rsidR="000E691C" w:rsidRPr="00394D9A">
        <w:rPr>
          <w:szCs w:val="22"/>
          <w:lang w:val="sr-Latn-RS"/>
        </w:rPr>
        <w:t>različitim</w:t>
      </w:r>
      <w:r w:rsidRPr="00394D9A">
        <w:rPr>
          <w:szCs w:val="22"/>
          <w:lang w:val="sr-Latn-RS"/>
        </w:rPr>
        <w:t xml:space="preserve"> </w:t>
      </w:r>
      <w:r w:rsidR="00F67518" w:rsidRPr="00394D9A">
        <w:rPr>
          <w:szCs w:val="22"/>
          <w:lang w:val="sr-Latn-RS"/>
        </w:rPr>
        <w:t>odnos</w:t>
      </w:r>
      <w:r w:rsidR="000E691C" w:rsidRPr="00394D9A">
        <w:rPr>
          <w:szCs w:val="22"/>
          <w:lang w:val="sr-Latn-RS"/>
        </w:rPr>
        <w:t>om</w:t>
      </w:r>
      <w:r w:rsidRPr="00394D9A">
        <w:rPr>
          <w:szCs w:val="22"/>
          <w:lang w:val="sr-Latn-RS"/>
        </w:rPr>
        <w:t xml:space="preserve"> rizika </w:t>
      </w:r>
      <w:r w:rsidR="000E691C" w:rsidRPr="00394D9A">
        <w:rPr>
          <w:szCs w:val="22"/>
          <w:lang w:val="sr-Latn-RS"/>
        </w:rPr>
        <w:t>u poređenju</w:t>
      </w:r>
      <w:r w:rsidRPr="00394D9A">
        <w:rPr>
          <w:szCs w:val="22"/>
          <w:lang w:val="sr-Latn-RS"/>
        </w:rPr>
        <w:t xml:space="preserve"> sa varfarinom.</w:t>
      </w:r>
    </w:p>
    <w:p w14:paraId="1CC3CAFA" w14:textId="77777777" w:rsidR="008C76D7" w:rsidRPr="00394D9A" w:rsidRDefault="008C76D7" w:rsidP="00187D17">
      <w:pPr>
        <w:widowControl w:val="0"/>
        <w:rPr>
          <w:szCs w:val="22"/>
          <w:lang w:val="sr-Latn-RS"/>
        </w:rPr>
      </w:pPr>
    </w:p>
    <w:p w14:paraId="7097BEB5" w14:textId="68B71DB4" w:rsidR="008C76D7" w:rsidRPr="00394D9A" w:rsidRDefault="008C76D7" w:rsidP="00187D17">
      <w:pPr>
        <w:widowControl w:val="0"/>
        <w:rPr>
          <w:b/>
          <w:bCs/>
          <w:szCs w:val="22"/>
          <w:lang w:val="sr-Latn-RS"/>
        </w:rPr>
      </w:pPr>
      <w:r w:rsidRPr="00394D9A">
        <w:rPr>
          <w:b/>
          <w:bCs/>
          <w:szCs w:val="22"/>
          <w:lang w:val="sr-Latn-RS"/>
        </w:rPr>
        <w:t xml:space="preserve">Tabela </w:t>
      </w:r>
      <w:r w:rsidR="00787E96" w:rsidRPr="00394D9A">
        <w:rPr>
          <w:b/>
          <w:bCs/>
          <w:szCs w:val="22"/>
          <w:lang w:val="sr-Latn-RS"/>
        </w:rPr>
        <w:t>20</w:t>
      </w:r>
      <w:r w:rsidRPr="00394D9A">
        <w:rPr>
          <w:b/>
          <w:bCs/>
          <w:szCs w:val="22"/>
          <w:lang w:val="sr-Latn-RS"/>
        </w:rPr>
        <w:t xml:space="preserve">: </w:t>
      </w:r>
      <w:r w:rsidR="00F67518" w:rsidRPr="00394D9A">
        <w:rPr>
          <w:b/>
          <w:bCs/>
          <w:szCs w:val="22"/>
          <w:lang w:val="sr-Latn-RS"/>
        </w:rPr>
        <w:t>Odnos rizika</w:t>
      </w:r>
      <w:r w:rsidRPr="00394D9A">
        <w:rPr>
          <w:b/>
          <w:bCs/>
          <w:szCs w:val="22"/>
          <w:lang w:val="sr-Latn-RS"/>
        </w:rPr>
        <w:t xml:space="preserve"> i 95% CI za moždani udar/sistemsk</w:t>
      </w:r>
      <w:r w:rsidR="00F67518" w:rsidRPr="00394D9A">
        <w:rPr>
          <w:b/>
          <w:bCs/>
          <w:szCs w:val="22"/>
          <w:lang w:val="sr-Latn-RS"/>
        </w:rPr>
        <w:t>u</w:t>
      </w:r>
      <w:r w:rsidRPr="00394D9A">
        <w:rPr>
          <w:b/>
          <w:bCs/>
          <w:szCs w:val="22"/>
          <w:lang w:val="sr-Latn-RS"/>
        </w:rPr>
        <w:t xml:space="preserve"> embolij</w:t>
      </w:r>
      <w:r w:rsidR="00F67518" w:rsidRPr="00394D9A">
        <w:rPr>
          <w:b/>
          <w:bCs/>
          <w:szCs w:val="22"/>
          <w:lang w:val="sr-Latn-RS"/>
        </w:rPr>
        <w:t>u</w:t>
      </w:r>
      <w:r w:rsidRPr="00394D9A">
        <w:rPr>
          <w:b/>
          <w:bCs/>
          <w:szCs w:val="22"/>
          <w:lang w:val="sr-Latn-RS"/>
        </w:rPr>
        <w:t xml:space="preserve"> po podgrupama</w:t>
      </w:r>
    </w:p>
    <w:p w14:paraId="6BAF6DB5" w14:textId="77777777" w:rsidR="00862620" w:rsidRPr="00394D9A" w:rsidRDefault="00862620" w:rsidP="00187D17">
      <w:pPr>
        <w:widowControl w:val="0"/>
        <w:rPr>
          <w:b/>
          <w:bCs/>
          <w:szCs w:val="22"/>
          <w:lang w:val="sr-Latn-R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8"/>
        <w:gridCol w:w="3244"/>
        <w:gridCol w:w="3749"/>
      </w:tblGrid>
      <w:tr w:rsidR="00862620" w:rsidRPr="00A01BFA" w14:paraId="5BF65A3A" w14:textId="77777777" w:rsidTr="00DF17BA">
        <w:trPr>
          <w:trHeight w:val="503"/>
        </w:trPr>
        <w:tc>
          <w:tcPr>
            <w:tcW w:w="1141" w:type="pct"/>
          </w:tcPr>
          <w:p w14:paraId="59461563" w14:textId="64BB530E" w:rsidR="00862620" w:rsidRPr="00394D9A" w:rsidRDefault="00862620" w:rsidP="00187D17">
            <w:pPr>
              <w:widowControl w:val="0"/>
              <w:tabs>
                <w:tab w:val="clear" w:pos="284"/>
              </w:tabs>
              <w:autoSpaceDE w:val="0"/>
              <w:autoSpaceDN w:val="0"/>
              <w:ind w:left="110"/>
              <w:jc w:val="center"/>
              <w:rPr>
                <w:szCs w:val="22"/>
                <w:lang w:val="sr-Latn-RS" w:eastAsia="bs" w:bidi="bs"/>
              </w:rPr>
            </w:pPr>
            <w:r w:rsidRPr="00394D9A">
              <w:rPr>
                <w:szCs w:val="22"/>
                <w:lang w:val="sr-Latn-RS" w:eastAsia="bs" w:bidi="bs"/>
              </w:rPr>
              <w:t>Parametar</w:t>
            </w:r>
            <w:r w:rsidR="00B33397" w:rsidRPr="00394D9A">
              <w:rPr>
                <w:szCs w:val="22"/>
                <w:lang w:val="sr-Latn-RS" w:eastAsia="bs" w:bidi="bs"/>
              </w:rPr>
              <w:t xml:space="preserve"> </w:t>
            </w:r>
            <w:r w:rsidRPr="00394D9A">
              <w:rPr>
                <w:szCs w:val="22"/>
                <w:lang w:val="sr-Latn-RS" w:eastAsia="bs" w:bidi="bs"/>
              </w:rPr>
              <w:t>praćenja</w:t>
            </w:r>
          </w:p>
        </w:tc>
        <w:tc>
          <w:tcPr>
            <w:tcW w:w="1790" w:type="pct"/>
          </w:tcPr>
          <w:p w14:paraId="126AED1D" w14:textId="1E0924A8" w:rsidR="00862620" w:rsidRPr="00394D9A" w:rsidRDefault="00B33397" w:rsidP="00187D17">
            <w:pPr>
              <w:widowControl w:val="0"/>
              <w:tabs>
                <w:tab w:val="clear" w:pos="284"/>
              </w:tabs>
              <w:autoSpaceDE w:val="0"/>
              <w:autoSpaceDN w:val="0"/>
              <w:ind w:left="105"/>
              <w:jc w:val="center"/>
              <w:rPr>
                <w:szCs w:val="22"/>
                <w:lang w:val="sr-Latn-RS" w:eastAsia="bs" w:bidi="bs"/>
              </w:rPr>
            </w:pPr>
            <w:r w:rsidRPr="00394D9A">
              <w:rPr>
                <w:szCs w:val="22"/>
                <w:lang w:val="sr-Latn-RS" w:eastAsia="bs" w:bidi="bs"/>
              </w:rPr>
              <w:t>Dabigatraneteksilat</w:t>
            </w:r>
            <w:r w:rsidR="00862620" w:rsidRPr="00394D9A">
              <w:rPr>
                <w:szCs w:val="22"/>
                <w:lang w:val="sr-Latn-RS" w:eastAsia="bs" w:bidi="bs"/>
              </w:rPr>
              <w:t xml:space="preserve"> 110 mg dva puta na dan u</w:t>
            </w:r>
            <w:r w:rsidRPr="00394D9A">
              <w:rPr>
                <w:szCs w:val="22"/>
                <w:lang w:val="sr-Latn-RS" w:eastAsia="bs" w:bidi="bs"/>
              </w:rPr>
              <w:t xml:space="preserve"> </w:t>
            </w:r>
            <w:r w:rsidR="00862620" w:rsidRPr="00394D9A">
              <w:rPr>
                <w:szCs w:val="22"/>
                <w:lang w:val="sr-Latn-RS" w:eastAsia="bs" w:bidi="bs"/>
              </w:rPr>
              <w:t>poređenju sa varfarinom</w:t>
            </w:r>
          </w:p>
        </w:tc>
        <w:tc>
          <w:tcPr>
            <w:tcW w:w="2069" w:type="pct"/>
          </w:tcPr>
          <w:p w14:paraId="313BBE0A" w14:textId="6DC62C7A" w:rsidR="00862620" w:rsidRPr="00394D9A" w:rsidRDefault="00B33397" w:rsidP="00187D17">
            <w:pPr>
              <w:widowControl w:val="0"/>
              <w:tabs>
                <w:tab w:val="clear" w:pos="284"/>
              </w:tabs>
              <w:autoSpaceDE w:val="0"/>
              <w:autoSpaceDN w:val="0"/>
              <w:ind w:left="105"/>
              <w:jc w:val="center"/>
              <w:rPr>
                <w:szCs w:val="22"/>
                <w:lang w:val="sr-Latn-RS" w:eastAsia="bs" w:bidi="bs"/>
              </w:rPr>
            </w:pPr>
            <w:r w:rsidRPr="00394D9A">
              <w:rPr>
                <w:szCs w:val="22"/>
                <w:lang w:val="sr-Latn-RS" w:eastAsia="bs" w:bidi="bs"/>
              </w:rPr>
              <w:t>Dabigatraneteksilat</w:t>
            </w:r>
            <w:r w:rsidR="00862620" w:rsidRPr="00394D9A">
              <w:rPr>
                <w:szCs w:val="22"/>
                <w:lang w:val="sr-Latn-RS" w:eastAsia="bs" w:bidi="bs"/>
              </w:rPr>
              <w:t xml:space="preserve"> 150 mg dva puta na dan u</w:t>
            </w:r>
            <w:r w:rsidRPr="00394D9A">
              <w:rPr>
                <w:szCs w:val="22"/>
                <w:lang w:val="sr-Latn-RS" w:eastAsia="bs" w:bidi="bs"/>
              </w:rPr>
              <w:t xml:space="preserve"> </w:t>
            </w:r>
            <w:r w:rsidR="00862620" w:rsidRPr="00394D9A">
              <w:rPr>
                <w:szCs w:val="22"/>
                <w:lang w:val="sr-Latn-RS" w:eastAsia="bs" w:bidi="bs"/>
              </w:rPr>
              <w:t>poređenju sa varfarinom</w:t>
            </w:r>
          </w:p>
        </w:tc>
      </w:tr>
      <w:tr w:rsidR="00862620" w:rsidRPr="00394D9A" w14:paraId="08870BA8" w14:textId="77777777" w:rsidTr="00DF17BA">
        <w:trPr>
          <w:trHeight w:val="254"/>
        </w:trPr>
        <w:tc>
          <w:tcPr>
            <w:tcW w:w="1141" w:type="pct"/>
          </w:tcPr>
          <w:p w14:paraId="14F03FAF" w14:textId="77777777" w:rsidR="00862620" w:rsidRPr="00394D9A" w:rsidRDefault="00862620" w:rsidP="00187D17">
            <w:pPr>
              <w:widowControl w:val="0"/>
              <w:tabs>
                <w:tab w:val="clear" w:pos="284"/>
              </w:tabs>
              <w:autoSpaceDE w:val="0"/>
              <w:autoSpaceDN w:val="0"/>
              <w:ind w:left="110"/>
              <w:jc w:val="left"/>
              <w:rPr>
                <w:szCs w:val="22"/>
                <w:lang w:val="sr-Latn-RS" w:eastAsia="bs" w:bidi="bs"/>
              </w:rPr>
            </w:pPr>
            <w:r w:rsidRPr="00394D9A">
              <w:rPr>
                <w:szCs w:val="22"/>
                <w:lang w:val="sr-Latn-RS" w:eastAsia="bs" w:bidi="bs"/>
              </w:rPr>
              <w:t>Starost (godine)</w:t>
            </w:r>
          </w:p>
        </w:tc>
        <w:tc>
          <w:tcPr>
            <w:tcW w:w="1790" w:type="pct"/>
          </w:tcPr>
          <w:p w14:paraId="5FC7E388" w14:textId="77777777" w:rsidR="00862620" w:rsidRPr="00394D9A" w:rsidRDefault="00862620" w:rsidP="00187D17">
            <w:pPr>
              <w:widowControl w:val="0"/>
              <w:tabs>
                <w:tab w:val="clear" w:pos="284"/>
              </w:tabs>
              <w:autoSpaceDE w:val="0"/>
              <w:autoSpaceDN w:val="0"/>
              <w:jc w:val="left"/>
              <w:rPr>
                <w:szCs w:val="22"/>
                <w:lang w:val="sr-Latn-RS" w:eastAsia="bs" w:bidi="bs"/>
              </w:rPr>
            </w:pPr>
          </w:p>
        </w:tc>
        <w:tc>
          <w:tcPr>
            <w:tcW w:w="2069" w:type="pct"/>
          </w:tcPr>
          <w:p w14:paraId="1270B2C6" w14:textId="77777777" w:rsidR="00862620" w:rsidRPr="00394D9A" w:rsidRDefault="00862620" w:rsidP="00187D17">
            <w:pPr>
              <w:widowControl w:val="0"/>
              <w:tabs>
                <w:tab w:val="clear" w:pos="284"/>
              </w:tabs>
              <w:autoSpaceDE w:val="0"/>
              <w:autoSpaceDN w:val="0"/>
              <w:jc w:val="left"/>
              <w:rPr>
                <w:szCs w:val="22"/>
                <w:lang w:val="sr-Latn-RS" w:eastAsia="bs" w:bidi="bs"/>
              </w:rPr>
            </w:pPr>
          </w:p>
        </w:tc>
      </w:tr>
      <w:tr w:rsidR="00862620" w:rsidRPr="00394D9A" w14:paraId="533511AC" w14:textId="77777777" w:rsidTr="00DF17BA">
        <w:trPr>
          <w:trHeight w:val="253"/>
        </w:trPr>
        <w:tc>
          <w:tcPr>
            <w:tcW w:w="1141" w:type="pct"/>
          </w:tcPr>
          <w:p w14:paraId="3FD6E893" w14:textId="20378E94" w:rsidR="00862620" w:rsidRPr="00394D9A" w:rsidRDefault="00862620" w:rsidP="00187D17">
            <w:pPr>
              <w:widowControl w:val="0"/>
              <w:tabs>
                <w:tab w:val="clear" w:pos="284"/>
              </w:tabs>
              <w:autoSpaceDE w:val="0"/>
              <w:autoSpaceDN w:val="0"/>
              <w:ind w:left="110"/>
              <w:jc w:val="center"/>
              <w:rPr>
                <w:szCs w:val="22"/>
                <w:lang w:val="sr-Latn-RS" w:eastAsia="bs" w:bidi="bs"/>
              </w:rPr>
            </w:pPr>
            <w:r w:rsidRPr="00394D9A">
              <w:rPr>
                <w:szCs w:val="22"/>
                <w:lang w:val="sr-Latn-RS" w:eastAsia="bs" w:bidi="bs"/>
              </w:rPr>
              <w:lastRenderedPageBreak/>
              <w:t>&lt;65</w:t>
            </w:r>
          </w:p>
        </w:tc>
        <w:tc>
          <w:tcPr>
            <w:tcW w:w="1790" w:type="pct"/>
          </w:tcPr>
          <w:p w14:paraId="32A52040" w14:textId="77777777" w:rsidR="00862620" w:rsidRPr="00394D9A" w:rsidRDefault="00862620" w:rsidP="00187D17">
            <w:pPr>
              <w:widowControl w:val="0"/>
              <w:tabs>
                <w:tab w:val="clear" w:pos="284"/>
              </w:tabs>
              <w:autoSpaceDE w:val="0"/>
              <w:autoSpaceDN w:val="0"/>
              <w:ind w:left="1016" w:right="1012"/>
              <w:jc w:val="center"/>
              <w:rPr>
                <w:szCs w:val="22"/>
                <w:lang w:val="sr-Latn-RS" w:eastAsia="bs" w:bidi="bs"/>
              </w:rPr>
            </w:pPr>
            <w:r w:rsidRPr="00394D9A">
              <w:rPr>
                <w:szCs w:val="22"/>
                <w:lang w:val="sr-Latn-RS" w:eastAsia="bs" w:bidi="bs"/>
              </w:rPr>
              <w:t>1,10 (0,64; 1,87)</w:t>
            </w:r>
          </w:p>
        </w:tc>
        <w:tc>
          <w:tcPr>
            <w:tcW w:w="2069" w:type="pct"/>
          </w:tcPr>
          <w:p w14:paraId="03D310B8" w14:textId="77777777" w:rsidR="00862620" w:rsidRPr="00394D9A" w:rsidRDefault="00862620" w:rsidP="00187D17">
            <w:pPr>
              <w:widowControl w:val="0"/>
              <w:tabs>
                <w:tab w:val="clear" w:pos="284"/>
              </w:tabs>
              <w:autoSpaceDE w:val="0"/>
              <w:autoSpaceDN w:val="0"/>
              <w:ind w:left="1079" w:right="1070"/>
              <w:jc w:val="center"/>
              <w:rPr>
                <w:szCs w:val="22"/>
                <w:lang w:val="sr-Latn-RS" w:eastAsia="bs" w:bidi="bs"/>
              </w:rPr>
            </w:pPr>
            <w:r w:rsidRPr="00394D9A">
              <w:rPr>
                <w:szCs w:val="22"/>
                <w:lang w:val="sr-Latn-RS" w:eastAsia="bs" w:bidi="bs"/>
              </w:rPr>
              <w:t>0,51 (0,26; 0,98)</w:t>
            </w:r>
          </w:p>
        </w:tc>
      </w:tr>
      <w:tr w:rsidR="00862620" w:rsidRPr="00394D9A" w14:paraId="72F25CC3" w14:textId="77777777" w:rsidTr="00DF17BA">
        <w:trPr>
          <w:trHeight w:val="249"/>
        </w:trPr>
        <w:tc>
          <w:tcPr>
            <w:tcW w:w="1141" w:type="pct"/>
          </w:tcPr>
          <w:p w14:paraId="35F3E17B" w14:textId="61C1DF88" w:rsidR="00862620" w:rsidRPr="00394D9A" w:rsidRDefault="00862620" w:rsidP="00187D17">
            <w:pPr>
              <w:widowControl w:val="0"/>
              <w:tabs>
                <w:tab w:val="clear" w:pos="284"/>
              </w:tabs>
              <w:autoSpaceDE w:val="0"/>
              <w:autoSpaceDN w:val="0"/>
              <w:ind w:left="110"/>
              <w:jc w:val="center"/>
              <w:rPr>
                <w:szCs w:val="22"/>
                <w:lang w:val="sr-Latn-RS" w:eastAsia="bs" w:bidi="bs"/>
              </w:rPr>
            </w:pPr>
            <w:r w:rsidRPr="00394D9A">
              <w:rPr>
                <w:szCs w:val="22"/>
                <w:lang w:val="sr-Latn-RS" w:eastAsia="bs" w:bidi="bs"/>
              </w:rPr>
              <w:t>65≤ i &lt;75</w:t>
            </w:r>
          </w:p>
        </w:tc>
        <w:tc>
          <w:tcPr>
            <w:tcW w:w="1790" w:type="pct"/>
          </w:tcPr>
          <w:p w14:paraId="681DF809" w14:textId="77777777" w:rsidR="00862620" w:rsidRPr="00394D9A" w:rsidRDefault="00862620" w:rsidP="00187D17">
            <w:pPr>
              <w:widowControl w:val="0"/>
              <w:tabs>
                <w:tab w:val="clear" w:pos="284"/>
              </w:tabs>
              <w:autoSpaceDE w:val="0"/>
              <w:autoSpaceDN w:val="0"/>
              <w:ind w:left="1016" w:right="1012"/>
              <w:jc w:val="center"/>
              <w:rPr>
                <w:szCs w:val="22"/>
                <w:lang w:val="sr-Latn-RS" w:eastAsia="bs" w:bidi="bs"/>
              </w:rPr>
            </w:pPr>
            <w:r w:rsidRPr="00394D9A">
              <w:rPr>
                <w:szCs w:val="22"/>
                <w:lang w:val="sr-Latn-RS" w:eastAsia="bs" w:bidi="bs"/>
              </w:rPr>
              <w:t>0,86 (0,62; 1,19)</w:t>
            </w:r>
          </w:p>
        </w:tc>
        <w:tc>
          <w:tcPr>
            <w:tcW w:w="2069" w:type="pct"/>
          </w:tcPr>
          <w:p w14:paraId="60C14EA1" w14:textId="77777777" w:rsidR="00862620" w:rsidRPr="00394D9A" w:rsidRDefault="00862620" w:rsidP="00187D17">
            <w:pPr>
              <w:widowControl w:val="0"/>
              <w:tabs>
                <w:tab w:val="clear" w:pos="284"/>
              </w:tabs>
              <w:autoSpaceDE w:val="0"/>
              <w:autoSpaceDN w:val="0"/>
              <w:ind w:left="1079" w:right="1070"/>
              <w:jc w:val="center"/>
              <w:rPr>
                <w:szCs w:val="22"/>
                <w:lang w:val="sr-Latn-RS" w:eastAsia="bs" w:bidi="bs"/>
              </w:rPr>
            </w:pPr>
            <w:r w:rsidRPr="00394D9A">
              <w:rPr>
                <w:szCs w:val="22"/>
                <w:lang w:val="sr-Latn-RS" w:eastAsia="bs" w:bidi="bs"/>
              </w:rPr>
              <w:t>0,67 (0,47; 0,95)</w:t>
            </w:r>
          </w:p>
        </w:tc>
      </w:tr>
      <w:tr w:rsidR="00862620" w:rsidRPr="00394D9A" w14:paraId="57455687" w14:textId="77777777" w:rsidTr="00DF17BA">
        <w:trPr>
          <w:trHeight w:val="253"/>
        </w:trPr>
        <w:tc>
          <w:tcPr>
            <w:tcW w:w="1141" w:type="pct"/>
          </w:tcPr>
          <w:p w14:paraId="56DDA2B8" w14:textId="0542DB85" w:rsidR="00862620" w:rsidRPr="00394D9A" w:rsidRDefault="00862620" w:rsidP="00187D17">
            <w:pPr>
              <w:widowControl w:val="0"/>
              <w:tabs>
                <w:tab w:val="clear" w:pos="284"/>
              </w:tabs>
              <w:autoSpaceDE w:val="0"/>
              <w:autoSpaceDN w:val="0"/>
              <w:ind w:left="110"/>
              <w:jc w:val="center"/>
              <w:rPr>
                <w:szCs w:val="22"/>
                <w:lang w:val="sr-Latn-RS" w:eastAsia="bs" w:bidi="bs"/>
              </w:rPr>
            </w:pPr>
            <w:r w:rsidRPr="00394D9A">
              <w:rPr>
                <w:szCs w:val="22"/>
                <w:lang w:val="sr-Latn-RS" w:eastAsia="bs" w:bidi="bs"/>
              </w:rPr>
              <w:t>≥75</w:t>
            </w:r>
          </w:p>
        </w:tc>
        <w:tc>
          <w:tcPr>
            <w:tcW w:w="1790" w:type="pct"/>
          </w:tcPr>
          <w:p w14:paraId="0FB84CAE" w14:textId="77777777" w:rsidR="00862620" w:rsidRPr="00394D9A" w:rsidRDefault="00862620" w:rsidP="00187D17">
            <w:pPr>
              <w:widowControl w:val="0"/>
              <w:tabs>
                <w:tab w:val="clear" w:pos="284"/>
              </w:tabs>
              <w:autoSpaceDE w:val="0"/>
              <w:autoSpaceDN w:val="0"/>
              <w:ind w:left="1016" w:right="1012"/>
              <w:jc w:val="center"/>
              <w:rPr>
                <w:szCs w:val="22"/>
                <w:lang w:val="sr-Latn-RS" w:eastAsia="bs" w:bidi="bs"/>
              </w:rPr>
            </w:pPr>
            <w:r w:rsidRPr="00394D9A">
              <w:rPr>
                <w:szCs w:val="22"/>
                <w:lang w:val="sr-Latn-RS" w:eastAsia="bs" w:bidi="bs"/>
              </w:rPr>
              <w:t>0,88 (0,66; 1,17)</w:t>
            </w:r>
          </w:p>
        </w:tc>
        <w:tc>
          <w:tcPr>
            <w:tcW w:w="2069" w:type="pct"/>
          </w:tcPr>
          <w:p w14:paraId="2C626EE7" w14:textId="77777777" w:rsidR="00862620" w:rsidRPr="00394D9A" w:rsidRDefault="00862620" w:rsidP="00187D17">
            <w:pPr>
              <w:widowControl w:val="0"/>
              <w:tabs>
                <w:tab w:val="clear" w:pos="284"/>
              </w:tabs>
              <w:autoSpaceDE w:val="0"/>
              <w:autoSpaceDN w:val="0"/>
              <w:ind w:left="1079" w:right="1070"/>
              <w:jc w:val="center"/>
              <w:rPr>
                <w:szCs w:val="22"/>
                <w:lang w:val="sr-Latn-RS" w:eastAsia="bs" w:bidi="bs"/>
              </w:rPr>
            </w:pPr>
            <w:r w:rsidRPr="00394D9A">
              <w:rPr>
                <w:szCs w:val="22"/>
                <w:lang w:val="sr-Latn-RS" w:eastAsia="bs" w:bidi="bs"/>
              </w:rPr>
              <w:t>0,68 (0,50; 0,92)</w:t>
            </w:r>
          </w:p>
        </w:tc>
      </w:tr>
      <w:tr w:rsidR="00862620" w:rsidRPr="00394D9A" w14:paraId="11A72BB2" w14:textId="77777777" w:rsidTr="00DF17BA">
        <w:trPr>
          <w:trHeight w:val="254"/>
        </w:trPr>
        <w:tc>
          <w:tcPr>
            <w:tcW w:w="1141" w:type="pct"/>
          </w:tcPr>
          <w:p w14:paraId="1A15653E" w14:textId="583076CF" w:rsidR="00862620" w:rsidRPr="00394D9A" w:rsidRDefault="00862620" w:rsidP="00187D17">
            <w:pPr>
              <w:widowControl w:val="0"/>
              <w:tabs>
                <w:tab w:val="clear" w:pos="284"/>
              </w:tabs>
              <w:autoSpaceDE w:val="0"/>
              <w:autoSpaceDN w:val="0"/>
              <w:ind w:left="110"/>
              <w:jc w:val="center"/>
              <w:rPr>
                <w:szCs w:val="22"/>
                <w:lang w:val="sr-Latn-RS" w:eastAsia="bs" w:bidi="bs"/>
              </w:rPr>
            </w:pPr>
            <w:r w:rsidRPr="00394D9A">
              <w:rPr>
                <w:szCs w:val="22"/>
                <w:lang w:val="sr-Latn-RS" w:eastAsia="bs" w:bidi="bs"/>
              </w:rPr>
              <w:t>≥80</w:t>
            </w:r>
          </w:p>
        </w:tc>
        <w:tc>
          <w:tcPr>
            <w:tcW w:w="1790" w:type="pct"/>
          </w:tcPr>
          <w:p w14:paraId="41D9BA17" w14:textId="77777777" w:rsidR="00862620" w:rsidRPr="00394D9A" w:rsidRDefault="00862620" w:rsidP="00187D17">
            <w:pPr>
              <w:widowControl w:val="0"/>
              <w:tabs>
                <w:tab w:val="clear" w:pos="284"/>
              </w:tabs>
              <w:autoSpaceDE w:val="0"/>
              <w:autoSpaceDN w:val="0"/>
              <w:ind w:left="1016" w:right="1012"/>
              <w:jc w:val="center"/>
              <w:rPr>
                <w:szCs w:val="22"/>
                <w:lang w:val="sr-Latn-RS" w:eastAsia="bs" w:bidi="bs"/>
              </w:rPr>
            </w:pPr>
            <w:r w:rsidRPr="00394D9A">
              <w:rPr>
                <w:szCs w:val="22"/>
                <w:lang w:val="sr-Latn-RS" w:eastAsia="bs" w:bidi="bs"/>
              </w:rPr>
              <w:t>0,68 (0,44; 1,05)</w:t>
            </w:r>
          </w:p>
        </w:tc>
        <w:tc>
          <w:tcPr>
            <w:tcW w:w="2069" w:type="pct"/>
          </w:tcPr>
          <w:p w14:paraId="58C4D188" w14:textId="77777777" w:rsidR="00862620" w:rsidRPr="00394D9A" w:rsidRDefault="00862620" w:rsidP="00187D17">
            <w:pPr>
              <w:widowControl w:val="0"/>
              <w:tabs>
                <w:tab w:val="clear" w:pos="284"/>
              </w:tabs>
              <w:autoSpaceDE w:val="0"/>
              <w:autoSpaceDN w:val="0"/>
              <w:ind w:left="1079" w:right="1070"/>
              <w:jc w:val="center"/>
              <w:rPr>
                <w:szCs w:val="22"/>
                <w:lang w:val="sr-Latn-RS" w:eastAsia="bs" w:bidi="bs"/>
              </w:rPr>
            </w:pPr>
            <w:r w:rsidRPr="00394D9A">
              <w:rPr>
                <w:szCs w:val="22"/>
                <w:lang w:val="sr-Latn-RS" w:eastAsia="bs" w:bidi="bs"/>
              </w:rPr>
              <w:t>0,67 (0,44; 1,02)</w:t>
            </w:r>
          </w:p>
        </w:tc>
      </w:tr>
      <w:tr w:rsidR="00862620" w:rsidRPr="00394D9A" w14:paraId="0B44361C" w14:textId="77777777" w:rsidTr="00DF17BA">
        <w:trPr>
          <w:trHeight w:val="254"/>
        </w:trPr>
        <w:tc>
          <w:tcPr>
            <w:tcW w:w="1141" w:type="pct"/>
          </w:tcPr>
          <w:p w14:paraId="5544049C" w14:textId="27D2849A" w:rsidR="00862620" w:rsidRPr="00394D9A" w:rsidRDefault="00862620" w:rsidP="00187D17">
            <w:pPr>
              <w:widowControl w:val="0"/>
              <w:tabs>
                <w:tab w:val="clear" w:pos="284"/>
              </w:tabs>
              <w:autoSpaceDE w:val="0"/>
              <w:autoSpaceDN w:val="0"/>
              <w:ind w:left="110"/>
              <w:jc w:val="left"/>
              <w:rPr>
                <w:szCs w:val="22"/>
                <w:lang w:val="sr-Latn-RS" w:eastAsia="bs" w:bidi="bs"/>
              </w:rPr>
            </w:pPr>
            <w:r w:rsidRPr="00394D9A">
              <w:rPr>
                <w:szCs w:val="22"/>
                <w:lang w:val="sr-Latn-RS" w:eastAsia="bs" w:bidi="bs"/>
              </w:rPr>
              <w:t>CrCL(m</w:t>
            </w:r>
            <w:r w:rsidR="00BA62A5" w:rsidRPr="00394D9A">
              <w:rPr>
                <w:szCs w:val="22"/>
                <w:lang w:val="sr-Latn-RS" w:eastAsia="bs" w:bidi="bs"/>
              </w:rPr>
              <w:t>l</w:t>
            </w:r>
            <w:r w:rsidRPr="00394D9A">
              <w:rPr>
                <w:szCs w:val="22"/>
                <w:lang w:val="sr-Latn-RS" w:eastAsia="bs" w:bidi="bs"/>
              </w:rPr>
              <w:t>/min)</w:t>
            </w:r>
          </w:p>
        </w:tc>
        <w:tc>
          <w:tcPr>
            <w:tcW w:w="1790" w:type="pct"/>
          </w:tcPr>
          <w:p w14:paraId="2D71B050" w14:textId="77777777" w:rsidR="00862620" w:rsidRPr="00394D9A" w:rsidRDefault="00862620" w:rsidP="00187D17">
            <w:pPr>
              <w:widowControl w:val="0"/>
              <w:tabs>
                <w:tab w:val="clear" w:pos="284"/>
              </w:tabs>
              <w:autoSpaceDE w:val="0"/>
              <w:autoSpaceDN w:val="0"/>
              <w:jc w:val="left"/>
              <w:rPr>
                <w:szCs w:val="22"/>
                <w:lang w:val="sr-Latn-RS" w:eastAsia="bs" w:bidi="bs"/>
              </w:rPr>
            </w:pPr>
          </w:p>
        </w:tc>
        <w:tc>
          <w:tcPr>
            <w:tcW w:w="2069" w:type="pct"/>
          </w:tcPr>
          <w:p w14:paraId="7D85A628" w14:textId="77777777" w:rsidR="00862620" w:rsidRPr="00394D9A" w:rsidRDefault="00862620" w:rsidP="00187D17">
            <w:pPr>
              <w:widowControl w:val="0"/>
              <w:tabs>
                <w:tab w:val="clear" w:pos="284"/>
              </w:tabs>
              <w:autoSpaceDE w:val="0"/>
              <w:autoSpaceDN w:val="0"/>
              <w:jc w:val="left"/>
              <w:rPr>
                <w:szCs w:val="22"/>
                <w:lang w:val="sr-Latn-RS" w:eastAsia="bs" w:bidi="bs"/>
              </w:rPr>
            </w:pPr>
          </w:p>
        </w:tc>
      </w:tr>
      <w:tr w:rsidR="00862620" w:rsidRPr="00394D9A" w14:paraId="1504D707" w14:textId="77777777" w:rsidTr="00DF17BA">
        <w:trPr>
          <w:trHeight w:val="253"/>
        </w:trPr>
        <w:tc>
          <w:tcPr>
            <w:tcW w:w="1141" w:type="pct"/>
          </w:tcPr>
          <w:p w14:paraId="52DC8119" w14:textId="21E1B3B5" w:rsidR="00862620" w:rsidRPr="00394D9A" w:rsidRDefault="00862620" w:rsidP="00187D17">
            <w:pPr>
              <w:widowControl w:val="0"/>
              <w:tabs>
                <w:tab w:val="clear" w:pos="284"/>
              </w:tabs>
              <w:autoSpaceDE w:val="0"/>
              <w:autoSpaceDN w:val="0"/>
              <w:ind w:left="110"/>
              <w:jc w:val="center"/>
              <w:rPr>
                <w:szCs w:val="22"/>
                <w:lang w:val="sr-Latn-RS" w:eastAsia="bs" w:bidi="bs"/>
              </w:rPr>
            </w:pPr>
            <w:r w:rsidRPr="00394D9A">
              <w:rPr>
                <w:szCs w:val="22"/>
                <w:lang w:val="sr-Latn-RS" w:eastAsia="bs" w:bidi="bs"/>
              </w:rPr>
              <w:t>30≤ i &lt;50</w:t>
            </w:r>
          </w:p>
        </w:tc>
        <w:tc>
          <w:tcPr>
            <w:tcW w:w="1790" w:type="pct"/>
          </w:tcPr>
          <w:p w14:paraId="70518D5F" w14:textId="77777777" w:rsidR="00862620" w:rsidRPr="00394D9A" w:rsidRDefault="00862620" w:rsidP="00187D17">
            <w:pPr>
              <w:widowControl w:val="0"/>
              <w:tabs>
                <w:tab w:val="clear" w:pos="284"/>
              </w:tabs>
              <w:autoSpaceDE w:val="0"/>
              <w:autoSpaceDN w:val="0"/>
              <w:ind w:left="1016" w:right="1012"/>
              <w:jc w:val="center"/>
              <w:rPr>
                <w:szCs w:val="22"/>
                <w:lang w:val="sr-Latn-RS" w:eastAsia="bs" w:bidi="bs"/>
              </w:rPr>
            </w:pPr>
            <w:r w:rsidRPr="00394D9A">
              <w:rPr>
                <w:szCs w:val="22"/>
                <w:lang w:val="sr-Latn-RS" w:eastAsia="bs" w:bidi="bs"/>
              </w:rPr>
              <w:t>0,89 (0,61; 1,31)</w:t>
            </w:r>
          </w:p>
        </w:tc>
        <w:tc>
          <w:tcPr>
            <w:tcW w:w="2069" w:type="pct"/>
          </w:tcPr>
          <w:p w14:paraId="03A967EE" w14:textId="77777777" w:rsidR="00862620" w:rsidRPr="00394D9A" w:rsidRDefault="00862620" w:rsidP="00187D17">
            <w:pPr>
              <w:widowControl w:val="0"/>
              <w:tabs>
                <w:tab w:val="clear" w:pos="284"/>
              </w:tabs>
              <w:autoSpaceDE w:val="0"/>
              <w:autoSpaceDN w:val="0"/>
              <w:ind w:left="1079" w:right="1070"/>
              <w:jc w:val="center"/>
              <w:rPr>
                <w:szCs w:val="22"/>
                <w:lang w:val="sr-Latn-RS" w:eastAsia="bs" w:bidi="bs"/>
              </w:rPr>
            </w:pPr>
            <w:r w:rsidRPr="00394D9A">
              <w:rPr>
                <w:szCs w:val="22"/>
                <w:lang w:val="sr-Latn-RS" w:eastAsia="bs" w:bidi="bs"/>
              </w:rPr>
              <w:t>0,48 (0,31; 0,76)</w:t>
            </w:r>
          </w:p>
        </w:tc>
      </w:tr>
      <w:tr w:rsidR="00862620" w:rsidRPr="00394D9A" w14:paraId="2A35F3F4" w14:textId="77777777" w:rsidTr="00DF17BA">
        <w:trPr>
          <w:trHeight w:val="249"/>
        </w:trPr>
        <w:tc>
          <w:tcPr>
            <w:tcW w:w="1141" w:type="pct"/>
          </w:tcPr>
          <w:p w14:paraId="75B9D88B" w14:textId="56596F3F" w:rsidR="00862620" w:rsidRPr="00394D9A" w:rsidRDefault="00862620" w:rsidP="00187D17">
            <w:pPr>
              <w:widowControl w:val="0"/>
              <w:tabs>
                <w:tab w:val="clear" w:pos="284"/>
              </w:tabs>
              <w:autoSpaceDE w:val="0"/>
              <w:autoSpaceDN w:val="0"/>
              <w:ind w:left="110"/>
              <w:jc w:val="center"/>
              <w:rPr>
                <w:szCs w:val="22"/>
                <w:lang w:val="sr-Latn-RS" w:eastAsia="bs" w:bidi="bs"/>
              </w:rPr>
            </w:pPr>
            <w:r w:rsidRPr="00394D9A">
              <w:rPr>
                <w:szCs w:val="22"/>
                <w:lang w:val="sr-Latn-RS" w:eastAsia="bs" w:bidi="bs"/>
              </w:rPr>
              <w:t>50≤ i &lt;80</w:t>
            </w:r>
          </w:p>
        </w:tc>
        <w:tc>
          <w:tcPr>
            <w:tcW w:w="1790" w:type="pct"/>
          </w:tcPr>
          <w:p w14:paraId="75B544C1" w14:textId="77777777" w:rsidR="00862620" w:rsidRPr="00394D9A" w:rsidRDefault="00862620" w:rsidP="00187D17">
            <w:pPr>
              <w:widowControl w:val="0"/>
              <w:tabs>
                <w:tab w:val="clear" w:pos="284"/>
              </w:tabs>
              <w:autoSpaceDE w:val="0"/>
              <w:autoSpaceDN w:val="0"/>
              <w:ind w:left="1016" w:right="1005"/>
              <w:jc w:val="center"/>
              <w:rPr>
                <w:szCs w:val="22"/>
                <w:lang w:val="sr-Latn-RS" w:eastAsia="bs" w:bidi="bs"/>
              </w:rPr>
            </w:pPr>
            <w:r w:rsidRPr="00394D9A">
              <w:rPr>
                <w:szCs w:val="22"/>
                <w:lang w:val="sr-Latn-RS" w:eastAsia="bs" w:bidi="bs"/>
              </w:rPr>
              <w:t>0,91 (0,68, 1,20)</w:t>
            </w:r>
          </w:p>
        </w:tc>
        <w:tc>
          <w:tcPr>
            <w:tcW w:w="2069" w:type="pct"/>
          </w:tcPr>
          <w:p w14:paraId="461B8E7C" w14:textId="77777777" w:rsidR="00862620" w:rsidRPr="00394D9A" w:rsidRDefault="00862620" w:rsidP="00187D17">
            <w:pPr>
              <w:widowControl w:val="0"/>
              <w:tabs>
                <w:tab w:val="clear" w:pos="284"/>
              </w:tabs>
              <w:autoSpaceDE w:val="0"/>
              <w:autoSpaceDN w:val="0"/>
              <w:ind w:left="1079" w:right="1070"/>
              <w:jc w:val="center"/>
              <w:rPr>
                <w:szCs w:val="22"/>
                <w:lang w:val="sr-Latn-RS" w:eastAsia="bs" w:bidi="bs"/>
              </w:rPr>
            </w:pPr>
            <w:r w:rsidRPr="00394D9A">
              <w:rPr>
                <w:szCs w:val="22"/>
                <w:lang w:val="sr-Latn-RS" w:eastAsia="bs" w:bidi="bs"/>
              </w:rPr>
              <w:t>0,65 (0,47; 0,88)</w:t>
            </w:r>
          </w:p>
        </w:tc>
      </w:tr>
      <w:tr w:rsidR="00862620" w:rsidRPr="00394D9A" w14:paraId="4E4A5F80" w14:textId="77777777" w:rsidTr="00DF17BA">
        <w:trPr>
          <w:trHeight w:val="253"/>
        </w:trPr>
        <w:tc>
          <w:tcPr>
            <w:tcW w:w="1141" w:type="pct"/>
          </w:tcPr>
          <w:p w14:paraId="72DCA75D" w14:textId="5B83E76C" w:rsidR="00862620" w:rsidRPr="00394D9A" w:rsidRDefault="00862620" w:rsidP="00187D17">
            <w:pPr>
              <w:widowControl w:val="0"/>
              <w:tabs>
                <w:tab w:val="clear" w:pos="284"/>
              </w:tabs>
              <w:autoSpaceDE w:val="0"/>
              <w:autoSpaceDN w:val="0"/>
              <w:ind w:left="110"/>
              <w:jc w:val="center"/>
              <w:rPr>
                <w:szCs w:val="22"/>
                <w:lang w:val="sr-Latn-RS" w:eastAsia="bs" w:bidi="bs"/>
              </w:rPr>
            </w:pPr>
            <w:r w:rsidRPr="00394D9A">
              <w:rPr>
                <w:szCs w:val="22"/>
                <w:lang w:val="sr-Latn-RS" w:eastAsia="bs" w:bidi="bs"/>
              </w:rPr>
              <w:t>≥80</w:t>
            </w:r>
          </w:p>
        </w:tc>
        <w:tc>
          <w:tcPr>
            <w:tcW w:w="1790" w:type="pct"/>
          </w:tcPr>
          <w:p w14:paraId="160D7ED1" w14:textId="77777777" w:rsidR="00862620" w:rsidRPr="00394D9A" w:rsidRDefault="00862620" w:rsidP="00187D17">
            <w:pPr>
              <w:widowControl w:val="0"/>
              <w:tabs>
                <w:tab w:val="clear" w:pos="284"/>
              </w:tabs>
              <w:autoSpaceDE w:val="0"/>
              <w:autoSpaceDN w:val="0"/>
              <w:ind w:left="1016" w:right="1012"/>
              <w:jc w:val="center"/>
              <w:rPr>
                <w:szCs w:val="22"/>
                <w:lang w:val="sr-Latn-RS" w:eastAsia="bs" w:bidi="bs"/>
              </w:rPr>
            </w:pPr>
            <w:r w:rsidRPr="00394D9A">
              <w:rPr>
                <w:szCs w:val="22"/>
                <w:lang w:val="sr-Latn-RS" w:eastAsia="bs" w:bidi="bs"/>
              </w:rPr>
              <w:t>0,81 (0,51; 1,28)</w:t>
            </w:r>
          </w:p>
        </w:tc>
        <w:tc>
          <w:tcPr>
            <w:tcW w:w="2069" w:type="pct"/>
          </w:tcPr>
          <w:p w14:paraId="1EC6DE49" w14:textId="77777777" w:rsidR="00862620" w:rsidRPr="00394D9A" w:rsidRDefault="00862620" w:rsidP="00187D17">
            <w:pPr>
              <w:widowControl w:val="0"/>
              <w:tabs>
                <w:tab w:val="clear" w:pos="284"/>
              </w:tabs>
              <w:autoSpaceDE w:val="0"/>
              <w:autoSpaceDN w:val="0"/>
              <w:ind w:left="1079" w:right="1070"/>
              <w:jc w:val="center"/>
              <w:rPr>
                <w:szCs w:val="22"/>
                <w:lang w:val="sr-Latn-RS" w:eastAsia="bs" w:bidi="bs"/>
              </w:rPr>
            </w:pPr>
            <w:r w:rsidRPr="00394D9A">
              <w:rPr>
                <w:szCs w:val="22"/>
                <w:lang w:val="sr-Latn-RS" w:eastAsia="bs" w:bidi="bs"/>
              </w:rPr>
              <w:t>0,69 (0,43; 1,12)</w:t>
            </w:r>
          </w:p>
        </w:tc>
      </w:tr>
    </w:tbl>
    <w:p w14:paraId="6D960F7D" w14:textId="77777777" w:rsidR="00B33397" w:rsidRPr="00394D9A" w:rsidRDefault="00B33397" w:rsidP="00187D17">
      <w:pPr>
        <w:widowControl w:val="0"/>
        <w:rPr>
          <w:szCs w:val="22"/>
          <w:lang w:val="sr-Latn-RS"/>
        </w:rPr>
      </w:pPr>
    </w:p>
    <w:p w14:paraId="0C776A8B" w14:textId="775FB3C4" w:rsidR="00B33397" w:rsidRPr="00394D9A" w:rsidRDefault="00B33397" w:rsidP="00187D17">
      <w:pPr>
        <w:widowControl w:val="0"/>
        <w:rPr>
          <w:szCs w:val="22"/>
          <w:lang w:val="sr-Latn-RS"/>
        </w:rPr>
      </w:pPr>
      <w:r w:rsidRPr="00394D9A">
        <w:rPr>
          <w:szCs w:val="22"/>
          <w:lang w:val="sr-Latn-RS"/>
        </w:rPr>
        <w:t>Kod velikog krvarenja, kao primarnog parametra praćenja, dolazilo je do interakcije dejstva terapije i godina starosti. Relativni rizik od krvarenja sa dabigatranom u poređenju sa varfarinom rastao je sa godinama.</w:t>
      </w:r>
      <w:r w:rsidR="00BA62A5" w:rsidRPr="00394D9A">
        <w:rPr>
          <w:szCs w:val="22"/>
          <w:lang w:val="sr-Latn-RS"/>
        </w:rPr>
        <w:t xml:space="preserve"> </w:t>
      </w:r>
      <w:r w:rsidRPr="00394D9A">
        <w:rPr>
          <w:szCs w:val="22"/>
          <w:lang w:val="sr-Latn-RS"/>
        </w:rPr>
        <w:t>Relativni rizik bio je najveći kod pacijenata ≥</w:t>
      </w:r>
      <w:r w:rsidR="00BA62A5" w:rsidRPr="00394D9A">
        <w:rPr>
          <w:szCs w:val="22"/>
          <w:lang w:val="sr-Latn-RS"/>
        </w:rPr>
        <w:t xml:space="preserve"> </w:t>
      </w:r>
      <w:r w:rsidRPr="00394D9A">
        <w:rPr>
          <w:szCs w:val="22"/>
          <w:lang w:val="sr-Latn-RS"/>
        </w:rPr>
        <w:t>75 godina. Isto</w:t>
      </w:r>
      <w:r w:rsidR="00BD52DD" w:rsidRPr="00394D9A">
        <w:rPr>
          <w:szCs w:val="22"/>
          <w:lang w:val="sr-Latn-RS"/>
        </w:rPr>
        <w:t>vreme</w:t>
      </w:r>
      <w:r w:rsidRPr="00394D9A">
        <w:rPr>
          <w:szCs w:val="22"/>
          <w:lang w:val="sr-Latn-RS"/>
        </w:rPr>
        <w:t>na upotreba antitrombocitne terapije, ASK ili klopidogrela približno udvostručuje stope</w:t>
      </w:r>
      <w:r w:rsidR="00BA62A5" w:rsidRPr="00394D9A">
        <w:rPr>
          <w:szCs w:val="22"/>
          <w:lang w:val="sr-Latn-RS"/>
        </w:rPr>
        <w:t xml:space="preserve"> događaja</w:t>
      </w:r>
      <w:r w:rsidRPr="00394D9A">
        <w:rPr>
          <w:szCs w:val="22"/>
          <w:lang w:val="sr-Latn-RS"/>
        </w:rPr>
        <w:t xml:space="preserve"> ve</w:t>
      </w:r>
      <w:r w:rsidR="00BA62A5" w:rsidRPr="00394D9A">
        <w:rPr>
          <w:szCs w:val="22"/>
          <w:lang w:val="sr-Latn-RS"/>
        </w:rPr>
        <w:t>likih</w:t>
      </w:r>
      <w:r w:rsidRPr="00394D9A">
        <w:rPr>
          <w:szCs w:val="22"/>
          <w:lang w:val="sr-Latn-RS"/>
        </w:rPr>
        <w:t xml:space="preserve"> krvarenja i sa dabigatraneteksilatom i varfarinom. Nije bilo značajnije interakcije terapijskih dejstava sa podgrupama po bubrežnoj funkciji i skoru CHADS</w:t>
      </w:r>
      <w:r w:rsidRPr="00394D9A">
        <w:rPr>
          <w:szCs w:val="22"/>
          <w:vertAlign w:val="subscript"/>
          <w:lang w:val="sr-Latn-RS"/>
        </w:rPr>
        <w:t>2</w:t>
      </w:r>
      <w:r w:rsidRPr="00394D9A">
        <w:rPr>
          <w:szCs w:val="22"/>
          <w:lang w:val="sr-Latn-RS"/>
        </w:rPr>
        <w:t>.</w:t>
      </w:r>
    </w:p>
    <w:p w14:paraId="5C3F1390" w14:textId="77777777" w:rsidR="00B33397" w:rsidRPr="00394D9A" w:rsidRDefault="00B33397" w:rsidP="00187D17">
      <w:pPr>
        <w:widowControl w:val="0"/>
        <w:rPr>
          <w:szCs w:val="22"/>
          <w:lang w:val="sr-Latn-RS"/>
        </w:rPr>
      </w:pPr>
    </w:p>
    <w:p w14:paraId="19C9A7CB" w14:textId="2D8069B4" w:rsidR="008C76D7" w:rsidRPr="00394D9A" w:rsidRDefault="00B33397" w:rsidP="00187D17">
      <w:pPr>
        <w:widowControl w:val="0"/>
        <w:rPr>
          <w:b/>
          <w:bCs/>
          <w:szCs w:val="22"/>
          <w:lang w:val="sr-Latn-RS"/>
        </w:rPr>
      </w:pPr>
      <w:r w:rsidRPr="00394D9A">
        <w:rPr>
          <w:b/>
          <w:bCs/>
          <w:szCs w:val="22"/>
          <w:lang w:val="sr-Latn-RS"/>
        </w:rPr>
        <w:t xml:space="preserve">Tabela </w:t>
      </w:r>
      <w:r w:rsidR="00787E96" w:rsidRPr="00394D9A">
        <w:rPr>
          <w:b/>
          <w:bCs/>
          <w:szCs w:val="22"/>
          <w:lang w:val="sr-Latn-RS"/>
        </w:rPr>
        <w:t>21</w:t>
      </w:r>
      <w:r w:rsidRPr="00394D9A">
        <w:rPr>
          <w:b/>
          <w:bCs/>
          <w:szCs w:val="22"/>
          <w:lang w:val="sr-Latn-RS"/>
        </w:rPr>
        <w:t xml:space="preserve">: Koeficijent hazardnosti i 95% CI za </w:t>
      </w:r>
      <w:r w:rsidR="003F2199" w:rsidRPr="00394D9A">
        <w:rPr>
          <w:b/>
          <w:bCs/>
          <w:szCs w:val="22"/>
          <w:lang w:val="sr-Latn-RS"/>
        </w:rPr>
        <w:t xml:space="preserve">velika </w:t>
      </w:r>
      <w:r w:rsidRPr="00394D9A">
        <w:rPr>
          <w:b/>
          <w:bCs/>
          <w:szCs w:val="22"/>
          <w:lang w:val="sr-Latn-RS"/>
        </w:rPr>
        <w:t>krvarenja po podgrupama</w:t>
      </w:r>
    </w:p>
    <w:p w14:paraId="1B574318" w14:textId="7DB5AF8E" w:rsidR="008C76D7" w:rsidRPr="00394D9A" w:rsidRDefault="008C76D7" w:rsidP="00187D17">
      <w:pPr>
        <w:widowControl w:val="0"/>
        <w:rPr>
          <w:b/>
          <w:bCs/>
          <w:szCs w:val="22"/>
          <w:lang w:val="sr-Latn-R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2"/>
        <w:gridCol w:w="3365"/>
        <w:gridCol w:w="3624"/>
      </w:tblGrid>
      <w:tr w:rsidR="00B33397" w:rsidRPr="00A01BFA" w14:paraId="1E6387A6" w14:textId="77777777" w:rsidTr="00DF17BA">
        <w:trPr>
          <w:trHeight w:val="503"/>
        </w:trPr>
        <w:tc>
          <w:tcPr>
            <w:tcW w:w="1143" w:type="pct"/>
          </w:tcPr>
          <w:p w14:paraId="1A170A8F" w14:textId="2C6FD0B2" w:rsidR="00B33397" w:rsidRPr="00394D9A" w:rsidRDefault="00B33397" w:rsidP="00187D17">
            <w:pPr>
              <w:widowControl w:val="0"/>
              <w:tabs>
                <w:tab w:val="clear" w:pos="284"/>
              </w:tabs>
              <w:autoSpaceDE w:val="0"/>
              <w:autoSpaceDN w:val="0"/>
              <w:ind w:left="110"/>
              <w:jc w:val="center"/>
              <w:rPr>
                <w:szCs w:val="22"/>
                <w:lang w:val="sr-Latn-RS" w:eastAsia="bs" w:bidi="bs"/>
              </w:rPr>
            </w:pPr>
            <w:r w:rsidRPr="00394D9A">
              <w:rPr>
                <w:szCs w:val="22"/>
                <w:lang w:val="sr-Latn-RS" w:eastAsia="bs" w:bidi="bs"/>
              </w:rPr>
              <w:t>Parametar praćenja</w:t>
            </w:r>
          </w:p>
        </w:tc>
        <w:tc>
          <w:tcPr>
            <w:tcW w:w="1857" w:type="pct"/>
          </w:tcPr>
          <w:p w14:paraId="7F9F3333" w14:textId="2E49015C" w:rsidR="00B33397" w:rsidRPr="00394D9A" w:rsidRDefault="00B33397" w:rsidP="00187D17">
            <w:pPr>
              <w:widowControl w:val="0"/>
              <w:tabs>
                <w:tab w:val="clear" w:pos="284"/>
              </w:tabs>
              <w:autoSpaceDE w:val="0"/>
              <w:autoSpaceDN w:val="0"/>
              <w:ind w:right="278"/>
              <w:jc w:val="center"/>
              <w:rPr>
                <w:szCs w:val="22"/>
                <w:lang w:val="sr-Latn-RS" w:eastAsia="bs" w:bidi="bs"/>
              </w:rPr>
            </w:pPr>
            <w:r w:rsidRPr="00394D9A">
              <w:rPr>
                <w:szCs w:val="22"/>
                <w:lang w:val="sr-Latn-RS"/>
              </w:rPr>
              <w:t>Dabigatraneteksilat 110 mg dva puta na dan u poređenju sa varfarinom</w:t>
            </w:r>
          </w:p>
        </w:tc>
        <w:tc>
          <w:tcPr>
            <w:tcW w:w="2000" w:type="pct"/>
          </w:tcPr>
          <w:p w14:paraId="4CE593CA" w14:textId="0D9D5543" w:rsidR="00B33397" w:rsidRPr="00394D9A" w:rsidRDefault="00B33397" w:rsidP="00187D17">
            <w:pPr>
              <w:widowControl w:val="0"/>
              <w:tabs>
                <w:tab w:val="clear" w:pos="284"/>
              </w:tabs>
              <w:autoSpaceDE w:val="0"/>
              <w:autoSpaceDN w:val="0"/>
              <w:ind w:left="285" w:right="284"/>
              <w:jc w:val="center"/>
              <w:rPr>
                <w:szCs w:val="22"/>
                <w:lang w:val="sr-Latn-RS" w:eastAsia="bs" w:bidi="bs"/>
              </w:rPr>
            </w:pPr>
            <w:r w:rsidRPr="00394D9A">
              <w:rPr>
                <w:szCs w:val="22"/>
                <w:lang w:val="sr-Latn-RS"/>
              </w:rPr>
              <w:t>Dabigatraneteksilat 150 mg dva puta na dan u poređenju sa varfarinom</w:t>
            </w:r>
          </w:p>
        </w:tc>
      </w:tr>
      <w:tr w:rsidR="00B33397" w:rsidRPr="00394D9A" w14:paraId="3425CE3F" w14:textId="77777777" w:rsidTr="00DF17BA">
        <w:trPr>
          <w:trHeight w:val="253"/>
        </w:trPr>
        <w:tc>
          <w:tcPr>
            <w:tcW w:w="1143" w:type="pct"/>
          </w:tcPr>
          <w:p w14:paraId="6B57A7EB" w14:textId="77777777" w:rsidR="00B33397" w:rsidRPr="00394D9A" w:rsidRDefault="00B33397" w:rsidP="00187D17">
            <w:pPr>
              <w:widowControl w:val="0"/>
              <w:tabs>
                <w:tab w:val="clear" w:pos="284"/>
              </w:tabs>
              <w:autoSpaceDE w:val="0"/>
              <w:autoSpaceDN w:val="0"/>
              <w:ind w:left="110"/>
              <w:jc w:val="left"/>
              <w:rPr>
                <w:szCs w:val="22"/>
                <w:lang w:val="sr-Latn-RS" w:eastAsia="bs" w:bidi="bs"/>
              </w:rPr>
            </w:pPr>
            <w:r w:rsidRPr="00394D9A">
              <w:rPr>
                <w:szCs w:val="22"/>
                <w:lang w:val="sr-Latn-RS" w:eastAsia="bs" w:bidi="bs"/>
              </w:rPr>
              <w:t>Starost (godine)</w:t>
            </w:r>
          </w:p>
        </w:tc>
        <w:tc>
          <w:tcPr>
            <w:tcW w:w="1857" w:type="pct"/>
          </w:tcPr>
          <w:p w14:paraId="1CD1E08E" w14:textId="77777777" w:rsidR="00B33397" w:rsidRPr="00394D9A" w:rsidRDefault="00B33397" w:rsidP="00187D17">
            <w:pPr>
              <w:widowControl w:val="0"/>
              <w:tabs>
                <w:tab w:val="clear" w:pos="284"/>
              </w:tabs>
              <w:autoSpaceDE w:val="0"/>
              <w:autoSpaceDN w:val="0"/>
              <w:jc w:val="left"/>
              <w:rPr>
                <w:szCs w:val="22"/>
                <w:lang w:val="sr-Latn-RS" w:eastAsia="bs" w:bidi="bs"/>
              </w:rPr>
            </w:pPr>
          </w:p>
        </w:tc>
        <w:tc>
          <w:tcPr>
            <w:tcW w:w="2000" w:type="pct"/>
          </w:tcPr>
          <w:p w14:paraId="3AA05691" w14:textId="77777777" w:rsidR="00B33397" w:rsidRPr="00394D9A" w:rsidRDefault="00B33397" w:rsidP="00187D17">
            <w:pPr>
              <w:widowControl w:val="0"/>
              <w:tabs>
                <w:tab w:val="clear" w:pos="284"/>
              </w:tabs>
              <w:autoSpaceDE w:val="0"/>
              <w:autoSpaceDN w:val="0"/>
              <w:jc w:val="left"/>
              <w:rPr>
                <w:szCs w:val="22"/>
                <w:lang w:val="sr-Latn-RS" w:eastAsia="bs" w:bidi="bs"/>
              </w:rPr>
            </w:pPr>
          </w:p>
        </w:tc>
      </w:tr>
      <w:tr w:rsidR="00B33397" w:rsidRPr="00394D9A" w14:paraId="6398546E" w14:textId="77777777" w:rsidTr="00DF17BA">
        <w:trPr>
          <w:trHeight w:val="253"/>
        </w:trPr>
        <w:tc>
          <w:tcPr>
            <w:tcW w:w="1143" w:type="pct"/>
          </w:tcPr>
          <w:p w14:paraId="29660B00" w14:textId="761E4455" w:rsidR="00B33397" w:rsidRPr="00394D9A" w:rsidRDefault="00B33397" w:rsidP="00187D17">
            <w:pPr>
              <w:widowControl w:val="0"/>
              <w:tabs>
                <w:tab w:val="clear" w:pos="284"/>
              </w:tabs>
              <w:autoSpaceDE w:val="0"/>
              <w:autoSpaceDN w:val="0"/>
              <w:ind w:left="110"/>
              <w:jc w:val="center"/>
              <w:rPr>
                <w:szCs w:val="22"/>
                <w:lang w:val="sr-Latn-RS" w:eastAsia="bs" w:bidi="bs"/>
              </w:rPr>
            </w:pPr>
            <w:r w:rsidRPr="00394D9A">
              <w:rPr>
                <w:szCs w:val="22"/>
                <w:lang w:val="sr-Latn-RS" w:eastAsia="bs" w:bidi="bs"/>
              </w:rPr>
              <w:t>&lt;</w:t>
            </w:r>
            <w:r w:rsidR="00BA62A5" w:rsidRPr="00394D9A">
              <w:rPr>
                <w:szCs w:val="22"/>
                <w:lang w:val="sr-Latn-RS" w:eastAsia="bs" w:bidi="bs"/>
              </w:rPr>
              <w:t xml:space="preserve">  </w:t>
            </w:r>
            <w:r w:rsidRPr="00394D9A">
              <w:rPr>
                <w:szCs w:val="22"/>
                <w:lang w:val="sr-Latn-RS" w:eastAsia="bs" w:bidi="bs"/>
              </w:rPr>
              <w:t>65</w:t>
            </w:r>
          </w:p>
        </w:tc>
        <w:tc>
          <w:tcPr>
            <w:tcW w:w="1857" w:type="pct"/>
          </w:tcPr>
          <w:p w14:paraId="4AC0B6BF" w14:textId="77777777" w:rsidR="00B33397" w:rsidRPr="00394D9A" w:rsidRDefault="00B33397" w:rsidP="00187D17">
            <w:pPr>
              <w:widowControl w:val="0"/>
              <w:tabs>
                <w:tab w:val="clear" w:pos="284"/>
              </w:tabs>
              <w:autoSpaceDE w:val="0"/>
              <w:autoSpaceDN w:val="0"/>
              <w:ind w:left="290" w:right="278"/>
              <w:jc w:val="center"/>
              <w:rPr>
                <w:szCs w:val="22"/>
                <w:lang w:val="sr-Latn-RS" w:eastAsia="bs" w:bidi="bs"/>
              </w:rPr>
            </w:pPr>
            <w:r w:rsidRPr="00394D9A">
              <w:rPr>
                <w:szCs w:val="22"/>
                <w:lang w:val="sr-Latn-RS" w:eastAsia="bs" w:bidi="bs"/>
              </w:rPr>
              <w:t>0,32 (0,18; 0,57)</w:t>
            </w:r>
          </w:p>
        </w:tc>
        <w:tc>
          <w:tcPr>
            <w:tcW w:w="2000" w:type="pct"/>
          </w:tcPr>
          <w:p w14:paraId="5E2F9C9E" w14:textId="77777777" w:rsidR="00B33397" w:rsidRPr="00394D9A" w:rsidRDefault="00B33397" w:rsidP="00187D17">
            <w:pPr>
              <w:widowControl w:val="0"/>
              <w:tabs>
                <w:tab w:val="clear" w:pos="284"/>
              </w:tabs>
              <w:autoSpaceDE w:val="0"/>
              <w:autoSpaceDN w:val="0"/>
              <w:ind w:left="290" w:right="284"/>
              <w:jc w:val="center"/>
              <w:rPr>
                <w:szCs w:val="22"/>
                <w:lang w:val="sr-Latn-RS" w:eastAsia="bs" w:bidi="bs"/>
              </w:rPr>
            </w:pPr>
            <w:r w:rsidRPr="00394D9A">
              <w:rPr>
                <w:szCs w:val="22"/>
                <w:lang w:val="sr-Latn-RS" w:eastAsia="bs" w:bidi="bs"/>
              </w:rPr>
              <w:t>0,35 (0,20; 0,61)</w:t>
            </w:r>
          </w:p>
        </w:tc>
      </w:tr>
      <w:tr w:rsidR="00B33397" w:rsidRPr="00394D9A" w14:paraId="62A85EF6" w14:textId="77777777" w:rsidTr="00DF17BA">
        <w:trPr>
          <w:trHeight w:val="249"/>
        </w:trPr>
        <w:tc>
          <w:tcPr>
            <w:tcW w:w="1143" w:type="pct"/>
          </w:tcPr>
          <w:p w14:paraId="65EBE38A" w14:textId="5EC638F8" w:rsidR="00B33397" w:rsidRPr="00394D9A" w:rsidRDefault="00B33397" w:rsidP="00187D17">
            <w:pPr>
              <w:widowControl w:val="0"/>
              <w:tabs>
                <w:tab w:val="clear" w:pos="284"/>
              </w:tabs>
              <w:autoSpaceDE w:val="0"/>
              <w:autoSpaceDN w:val="0"/>
              <w:ind w:left="110"/>
              <w:jc w:val="center"/>
              <w:rPr>
                <w:szCs w:val="22"/>
                <w:lang w:val="sr-Latn-RS" w:eastAsia="bs" w:bidi="bs"/>
              </w:rPr>
            </w:pPr>
            <w:r w:rsidRPr="00394D9A">
              <w:rPr>
                <w:szCs w:val="22"/>
                <w:lang w:val="sr-Latn-RS" w:eastAsia="bs" w:bidi="bs"/>
              </w:rPr>
              <w:t>65</w:t>
            </w:r>
            <w:r w:rsidR="00BA62A5" w:rsidRPr="00394D9A">
              <w:rPr>
                <w:szCs w:val="22"/>
                <w:lang w:val="sr-Latn-RS" w:eastAsia="bs" w:bidi="bs"/>
              </w:rPr>
              <w:t xml:space="preserve"> </w:t>
            </w:r>
            <w:r w:rsidRPr="00394D9A">
              <w:rPr>
                <w:szCs w:val="22"/>
                <w:lang w:val="sr-Latn-RS" w:eastAsia="bs" w:bidi="bs"/>
              </w:rPr>
              <w:t>≤ i &lt;</w:t>
            </w:r>
            <w:r w:rsidR="00BA62A5" w:rsidRPr="00394D9A">
              <w:rPr>
                <w:szCs w:val="22"/>
                <w:lang w:val="sr-Latn-RS" w:eastAsia="bs" w:bidi="bs"/>
              </w:rPr>
              <w:t xml:space="preserve"> </w:t>
            </w:r>
            <w:r w:rsidRPr="00394D9A">
              <w:rPr>
                <w:szCs w:val="22"/>
                <w:lang w:val="sr-Latn-RS" w:eastAsia="bs" w:bidi="bs"/>
              </w:rPr>
              <w:t>75</w:t>
            </w:r>
          </w:p>
        </w:tc>
        <w:tc>
          <w:tcPr>
            <w:tcW w:w="1857" w:type="pct"/>
          </w:tcPr>
          <w:p w14:paraId="25850E56" w14:textId="77777777" w:rsidR="00B33397" w:rsidRPr="00394D9A" w:rsidRDefault="00B33397" w:rsidP="00187D17">
            <w:pPr>
              <w:widowControl w:val="0"/>
              <w:tabs>
                <w:tab w:val="clear" w:pos="284"/>
              </w:tabs>
              <w:autoSpaceDE w:val="0"/>
              <w:autoSpaceDN w:val="0"/>
              <w:ind w:left="290" w:right="278"/>
              <w:jc w:val="center"/>
              <w:rPr>
                <w:szCs w:val="22"/>
                <w:lang w:val="sr-Latn-RS" w:eastAsia="bs" w:bidi="bs"/>
              </w:rPr>
            </w:pPr>
            <w:r w:rsidRPr="00394D9A">
              <w:rPr>
                <w:szCs w:val="22"/>
                <w:lang w:val="sr-Latn-RS" w:eastAsia="bs" w:bidi="bs"/>
              </w:rPr>
              <w:t>0,71 (0,56; 0,89)</w:t>
            </w:r>
          </w:p>
        </w:tc>
        <w:tc>
          <w:tcPr>
            <w:tcW w:w="2000" w:type="pct"/>
          </w:tcPr>
          <w:p w14:paraId="7C83AD9D" w14:textId="77777777" w:rsidR="00B33397" w:rsidRPr="00394D9A" w:rsidRDefault="00B33397" w:rsidP="00187D17">
            <w:pPr>
              <w:widowControl w:val="0"/>
              <w:tabs>
                <w:tab w:val="clear" w:pos="284"/>
              </w:tabs>
              <w:autoSpaceDE w:val="0"/>
              <w:autoSpaceDN w:val="0"/>
              <w:ind w:left="290" w:right="284"/>
              <w:jc w:val="center"/>
              <w:rPr>
                <w:szCs w:val="22"/>
                <w:lang w:val="sr-Latn-RS" w:eastAsia="bs" w:bidi="bs"/>
              </w:rPr>
            </w:pPr>
            <w:r w:rsidRPr="00394D9A">
              <w:rPr>
                <w:szCs w:val="22"/>
                <w:lang w:val="sr-Latn-RS" w:eastAsia="bs" w:bidi="bs"/>
              </w:rPr>
              <w:t>0,82 (0,66; 1,03)</w:t>
            </w:r>
          </w:p>
        </w:tc>
      </w:tr>
      <w:tr w:rsidR="00B33397" w:rsidRPr="00394D9A" w14:paraId="5E937E5F" w14:textId="77777777" w:rsidTr="00DF17BA">
        <w:trPr>
          <w:trHeight w:val="254"/>
        </w:trPr>
        <w:tc>
          <w:tcPr>
            <w:tcW w:w="1143" w:type="pct"/>
          </w:tcPr>
          <w:p w14:paraId="704FF82E" w14:textId="227B7566" w:rsidR="00B33397" w:rsidRPr="00394D9A" w:rsidRDefault="00B33397" w:rsidP="00187D17">
            <w:pPr>
              <w:widowControl w:val="0"/>
              <w:tabs>
                <w:tab w:val="clear" w:pos="284"/>
              </w:tabs>
              <w:autoSpaceDE w:val="0"/>
              <w:autoSpaceDN w:val="0"/>
              <w:ind w:left="110"/>
              <w:jc w:val="center"/>
              <w:rPr>
                <w:szCs w:val="22"/>
                <w:lang w:val="sr-Latn-RS" w:eastAsia="bs" w:bidi="bs"/>
              </w:rPr>
            </w:pPr>
            <w:r w:rsidRPr="00394D9A">
              <w:rPr>
                <w:szCs w:val="22"/>
                <w:lang w:val="sr-Latn-RS" w:eastAsia="bs" w:bidi="bs"/>
              </w:rPr>
              <w:t>≥</w:t>
            </w:r>
            <w:r w:rsidR="00BA62A5" w:rsidRPr="00394D9A">
              <w:rPr>
                <w:szCs w:val="22"/>
                <w:lang w:val="sr-Latn-RS" w:eastAsia="bs" w:bidi="bs"/>
              </w:rPr>
              <w:t xml:space="preserve"> </w:t>
            </w:r>
            <w:r w:rsidRPr="00394D9A">
              <w:rPr>
                <w:szCs w:val="22"/>
                <w:lang w:val="sr-Latn-RS" w:eastAsia="bs" w:bidi="bs"/>
              </w:rPr>
              <w:t>75</w:t>
            </w:r>
          </w:p>
        </w:tc>
        <w:tc>
          <w:tcPr>
            <w:tcW w:w="1857" w:type="pct"/>
          </w:tcPr>
          <w:p w14:paraId="46F0DD5E" w14:textId="77777777" w:rsidR="00B33397" w:rsidRPr="00394D9A" w:rsidRDefault="00B33397" w:rsidP="00187D17">
            <w:pPr>
              <w:widowControl w:val="0"/>
              <w:tabs>
                <w:tab w:val="clear" w:pos="284"/>
              </w:tabs>
              <w:autoSpaceDE w:val="0"/>
              <w:autoSpaceDN w:val="0"/>
              <w:ind w:left="290" w:right="278"/>
              <w:jc w:val="center"/>
              <w:rPr>
                <w:szCs w:val="22"/>
                <w:lang w:val="sr-Latn-RS" w:eastAsia="bs" w:bidi="bs"/>
              </w:rPr>
            </w:pPr>
            <w:r w:rsidRPr="00394D9A">
              <w:rPr>
                <w:szCs w:val="22"/>
                <w:lang w:val="sr-Latn-RS" w:eastAsia="bs" w:bidi="bs"/>
              </w:rPr>
              <w:t>1,01 (0,84; 1,23)</w:t>
            </w:r>
          </w:p>
        </w:tc>
        <w:tc>
          <w:tcPr>
            <w:tcW w:w="2000" w:type="pct"/>
          </w:tcPr>
          <w:p w14:paraId="21694547" w14:textId="77777777" w:rsidR="00B33397" w:rsidRPr="00394D9A" w:rsidRDefault="00B33397" w:rsidP="00187D17">
            <w:pPr>
              <w:widowControl w:val="0"/>
              <w:tabs>
                <w:tab w:val="clear" w:pos="284"/>
              </w:tabs>
              <w:autoSpaceDE w:val="0"/>
              <w:autoSpaceDN w:val="0"/>
              <w:ind w:left="290" w:right="284"/>
              <w:jc w:val="center"/>
              <w:rPr>
                <w:szCs w:val="22"/>
                <w:lang w:val="sr-Latn-RS" w:eastAsia="bs" w:bidi="bs"/>
              </w:rPr>
            </w:pPr>
            <w:r w:rsidRPr="00394D9A">
              <w:rPr>
                <w:szCs w:val="22"/>
                <w:lang w:val="sr-Latn-RS" w:eastAsia="bs" w:bidi="bs"/>
              </w:rPr>
              <w:t>1,19 (0,99; 1,43)</w:t>
            </w:r>
          </w:p>
        </w:tc>
      </w:tr>
      <w:tr w:rsidR="00B33397" w:rsidRPr="00394D9A" w14:paraId="6C185FE2" w14:textId="77777777" w:rsidTr="00DF17BA">
        <w:trPr>
          <w:trHeight w:val="253"/>
        </w:trPr>
        <w:tc>
          <w:tcPr>
            <w:tcW w:w="1143" w:type="pct"/>
          </w:tcPr>
          <w:p w14:paraId="5B63EA96" w14:textId="3168BE74" w:rsidR="00B33397" w:rsidRPr="00394D9A" w:rsidRDefault="00B33397" w:rsidP="00187D17">
            <w:pPr>
              <w:widowControl w:val="0"/>
              <w:tabs>
                <w:tab w:val="clear" w:pos="284"/>
              </w:tabs>
              <w:autoSpaceDE w:val="0"/>
              <w:autoSpaceDN w:val="0"/>
              <w:ind w:left="110"/>
              <w:jc w:val="center"/>
              <w:rPr>
                <w:szCs w:val="22"/>
                <w:lang w:val="sr-Latn-RS" w:eastAsia="bs" w:bidi="bs"/>
              </w:rPr>
            </w:pPr>
            <w:r w:rsidRPr="00394D9A">
              <w:rPr>
                <w:szCs w:val="22"/>
                <w:lang w:val="sr-Latn-RS" w:eastAsia="bs" w:bidi="bs"/>
              </w:rPr>
              <w:t>≥</w:t>
            </w:r>
            <w:r w:rsidR="00BA62A5" w:rsidRPr="00394D9A">
              <w:rPr>
                <w:szCs w:val="22"/>
                <w:lang w:val="sr-Latn-RS" w:eastAsia="bs" w:bidi="bs"/>
              </w:rPr>
              <w:t xml:space="preserve"> </w:t>
            </w:r>
            <w:r w:rsidRPr="00394D9A">
              <w:rPr>
                <w:szCs w:val="22"/>
                <w:lang w:val="sr-Latn-RS" w:eastAsia="bs" w:bidi="bs"/>
              </w:rPr>
              <w:t>80</w:t>
            </w:r>
          </w:p>
        </w:tc>
        <w:tc>
          <w:tcPr>
            <w:tcW w:w="1857" w:type="pct"/>
          </w:tcPr>
          <w:p w14:paraId="232B61CC" w14:textId="77777777" w:rsidR="00B33397" w:rsidRPr="00394D9A" w:rsidRDefault="00B33397" w:rsidP="00187D17">
            <w:pPr>
              <w:widowControl w:val="0"/>
              <w:tabs>
                <w:tab w:val="clear" w:pos="284"/>
              </w:tabs>
              <w:autoSpaceDE w:val="0"/>
              <w:autoSpaceDN w:val="0"/>
              <w:ind w:left="290" w:right="278"/>
              <w:jc w:val="center"/>
              <w:rPr>
                <w:szCs w:val="22"/>
                <w:lang w:val="sr-Latn-RS" w:eastAsia="bs" w:bidi="bs"/>
              </w:rPr>
            </w:pPr>
            <w:r w:rsidRPr="00394D9A">
              <w:rPr>
                <w:szCs w:val="22"/>
                <w:lang w:val="sr-Latn-RS" w:eastAsia="bs" w:bidi="bs"/>
              </w:rPr>
              <w:t>1,14 (0,86; 1,51)</w:t>
            </w:r>
          </w:p>
        </w:tc>
        <w:tc>
          <w:tcPr>
            <w:tcW w:w="2000" w:type="pct"/>
          </w:tcPr>
          <w:p w14:paraId="525398C3" w14:textId="77777777" w:rsidR="00B33397" w:rsidRPr="00394D9A" w:rsidRDefault="00B33397" w:rsidP="00187D17">
            <w:pPr>
              <w:widowControl w:val="0"/>
              <w:tabs>
                <w:tab w:val="clear" w:pos="284"/>
              </w:tabs>
              <w:autoSpaceDE w:val="0"/>
              <w:autoSpaceDN w:val="0"/>
              <w:ind w:left="290" w:right="284"/>
              <w:jc w:val="center"/>
              <w:rPr>
                <w:szCs w:val="22"/>
                <w:lang w:val="sr-Latn-RS" w:eastAsia="bs" w:bidi="bs"/>
              </w:rPr>
            </w:pPr>
            <w:r w:rsidRPr="00394D9A">
              <w:rPr>
                <w:szCs w:val="22"/>
                <w:lang w:val="sr-Latn-RS" w:eastAsia="bs" w:bidi="bs"/>
              </w:rPr>
              <w:t>1,35 (1,03; 1,76)</w:t>
            </w:r>
          </w:p>
        </w:tc>
      </w:tr>
      <w:tr w:rsidR="00B33397" w:rsidRPr="00394D9A" w14:paraId="650CA7F0" w14:textId="77777777" w:rsidTr="00DF17BA">
        <w:trPr>
          <w:trHeight w:val="253"/>
        </w:trPr>
        <w:tc>
          <w:tcPr>
            <w:tcW w:w="1143" w:type="pct"/>
          </w:tcPr>
          <w:p w14:paraId="7E234248" w14:textId="3263EFD7" w:rsidR="00B33397" w:rsidRPr="00394D9A" w:rsidRDefault="00B33397" w:rsidP="00187D17">
            <w:pPr>
              <w:widowControl w:val="0"/>
              <w:tabs>
                <w:tab w:val="clear" w:pos="284"/>
              </w:tabs>
              <w:autoSpaceDE w:val="0"/>
              <w:autoSpaceDN w:val="0"/>
              <w:ind w:left="110"/>
              <w:jc w:val="left"/>
              <w:rPr>
                <w:szCs w:val="22"/>
                <w:lang w:val="sr-Latn-RS" w:eastAsia="bs" w:bidi="bs"/>
              </w:rPr>
            </w:pPr>
            <w:r w:rsidRPr="00394D9A">
              <w:rPr>
                <w:szCs w:val="22"/>
                <w:lang w:val="sr-Latn-RS" w:eastAsia="bs" w:bidi="bs"/>
              </w:rPr>
              <w:t>CrCL(m</w:t>
            </w:r>
            <w:r w:rsidR="00BA62A5" w:rsidRPr="00394D9A">
              <w:rPr>
                <w:szCs w:val="22"/>
                <w:lang w:val="sr-Latn-RS" w:eastAsia="bs" w:bidi="bs"/>
              </w:rPr>
              <w:t>l</w:t>
            </w:r>
            <w:r w:rsidRPr="00394D9A">
              <w:rPr>
                <w:szCs w:val="22"/>
                <w:lang w:val="sr-Latn-RS" w:eastAsia="bs" w:bidi="bs"/>
              </w:rPr>
              <w:t>/min)</w:t>
            </w:r>
          </w:p>
        </w:tc>
        <w:tc>
          <w:tcPr>
            <w:tcW w:w="1857" w:type="pct"/>
          </w:tcPr>
          <w:p w14:paraId="29B2B4A0" w14:textId="77777777" w:rsidR="00B33397" w:rsidRPr="00394D9A" w:rsidRDefault="00B33397" w:rsidP="00187D17">
            <w:pPr>
              <w:widowControl w:val="0"/>
              <w:tabs>
                <w:tab w:val="clear" w:pos="284"/>
              </w:tabs>
              <w:autoSpaceDE w:val="0"/>
              <w:autoSpaceDN w:val="0"/>
              <w:jc w:val="left"/>
              <w:rPr>
                <w:szCs w:val="22"/>
                <w:lang w:val="sr-Latn-RS" w:eastAsia="bs" w:bidi="bs"/>
              </w:rPr>
            </w:pPr>
          </w:p>
        </w:tc>
        <w:tc>
          <w:tcPr>
            <w:tcW w:w="2000" w:type="pct"/>
          </w:tcPr>
          <w:p w14:paraId="47C82A54" w14:textId="77777777" w:rsidR="00B33397" w:rsidRPr="00394D9A" w:rsidRDefault="00B33397" w:rsidP="00187D17">
            <w:pPr>
              <w:widowControl w:val="0"/>
              <w:tabs>
                <w:tab w:val="clear" w:pos="284"/>
              </w:tabs>
              <w:autoSpaceDE w:val="0"/>
              <w:autoSpaceDN w:val="0"/>
              <w:jc w:val="left"/>
              <w:rPr>
                <w:szCs w:val="22"/>
                <w:lang w:val="sr-Latn-RS" w:eastAsia="bs" w:bidi="bs"/>
              </w:rPr>
            </w:pPr>
          </w:p>
        </w:tc>
      </w:tr>
      <w:tr w:rsidR="00B33397" w:rsidRPr="00394D9A" w14:paraId="22FF97B4" w14:textId="77777777" w:rsidTr="00DF17BA">
        <w:trPr>
          <w:trHeight w:val="253"/>
        </w:trPr>
        <w:tc>
          <w:tcPr>
            <w:tcW w:w="1143" w:type="pct"/>
          </w:tcPr>
          <w:p w14:paraId="319390B5" w14:textId="52E3C27E" w:rsidR="00B33397" w:rsidRPr="00394D9A" w:rsidRDefault="00B33397" w:rsidP="00187D17">
            <w:pPr>
              <w:widowControl w:val="0"/>
              <w:tabs>
                <w:tab w:val="clear" w:pos="284"/>
              </w:tabs>
              <w:autoSpaceDE w:val="0"/>
              <w:autoSpaceDN w:val="0"/>
              <w:ind w:left="110"/>
              <w:jc w:val="center"/>
              <w:rPr>
                <w:szCs w:val="22"/>
                <w:lang w:val="sr-Latn-RS" w:eastAsia="bs" w:bidi="bs"/>
              </w:rPr>
            </w:pPr>
            <w:r w:rsidRPr="00394D9A">
              <w:rPr>
                <w:szCs w:val="22"/>
                <w:lang w:val="sr-Latn-RS" w:eastAsia="bs" w:bidi="bs"/>
              </w:rPr>
              <w:t>30</w:t>
            </w:r>
            <w:r w:rsidR="00BA62A5" w:rsidRPr="00394D9A">
              <w:rPr>
                <w:szCs w:val="22"/>
                <w:lang w:val="sr-Latn-RS" w:eastAsia="bs" w:bidi="bs"/>
              </w:rPr>
              <w:t xml:space="preserve"> </w:t>
            </w:r>
            <w:r w:rsidRPr="00394D9A">
              <w:rPr>
                <w:szCs w:val="22"/>
                <w:lang w:val="sr-Latn-RS" w:eastAsia="bs" w:bidi="bs"/>
              </w:rPr>
              <w:t>≤ i &lt;</w:t>
            </w:r>
            <w:r w:rsidR="00BA62A5" w:rsidRPr="00394D9A">
              <w:rPr>
                <w:szCs w:val="22"/>
                <w:lang w:val="sr-Latn-RS" w:eastAsia="bs" w:bidi="bs"/>
              </w:rPr>
              <w:t xml:space="preserve"> </w:t>
            </w:r>
            <w:r w:rsidRPr="00394D9A">
              <w:rPr>
                <w:szCs w:val="22"/>
                <w:lang w:val="sr-Latn-RS" w:eastAsia="bs" w:bidi="bs"/>
              </w:rPr>
              <w:t>50</w:t>
            </w:r>
          </w:p>
        </w:tc>
        <w:tc>
          <w:tcPr>
            <w:tcW w:w="1857" w:type="pct"/>
          </w:tcPr>
          <w:p w14:paraId="05234686" w14:textId="77777777" w:rsidR="00B33397" w:rsidRPr="00394D9A" w:rsidRDefault="00B33397" w:rsidP="00187D17">
            <w:pPr>
              <w:widowControl w:val="0"/>
              <w:tabs>
                <w:tab w:val="clear" w:pos="284"/>
              </w:tabs>
              <w:autoSpaceDE w:val="0"/>
              <w:autoSpaceDN w:val="0"/>
              <w:ind w:left="290" w:right="278"/>
              <w:jc w:val="center"/>
              <w:rPr>
                <w:szCs w:val="22"/>
                <w:lang w:val="sr-Latn-RS" w:eastAsia="bs" w:bidi="bs"/>
              </w:rPr>
            </w:pPr>
            <w:r w:rsidRPr="00394D9A">
              <w:rPr>
                <w:szCs w:val="22"/>
                <w:lang w:val="sr-Latn-RS" w:eastAsia="bs" w:bidi="bs"/>
              </w:rPr>
              <w:t>1,02 (0,79; 1,32)</w:t>
            </w:r>
          </w:p>
        </w:tc>
        <w:tc>
          <w:tcPr>
            <w:tcW w:w="2000" w:type="pct"/>
          </w:tcPr>
          <w:p w14:paraId="35554332" w14:textId="77777777" w:rsidR="00B33397" w:rsidRPr="00394D9A" w:rsidRDefault="00B33397" w:rsidP="00187D17">
            <w:pPr>
              <w:widowControl w:val="0"/>
              <w:tabs>
                <w:tab w:val="clear" w:pos="284"/>
              </w:tabs>
              <w:autoSpaceDE w:val="0"/>
              <w:autoSpaceDN w:val="0"/>
              <w:ind w:left="290" w:right="284"/>
              <w:jc w:val="center"/>
              <w:rPr>
                <w:szCs w:val="22"/>
                <w:lang w:val="sr-Latn-RS" w:eastAsia="bs" w:bidi="bs"/>
              </w:rPr>
            </w:pPr>
            <w:r w:rsidRPr="00394D9A">
              <w:rPr>
                <w:szCs w:val="22"/>
                <w:lang w:val="sr-Latn-RS" w:eastAsia="bs" w:bidi="bs"/>
              </w:rPr>
              <w:t>0,94 (0,73; 1,22)</w:t>
            </w:r>
          </w:p>
        </w:tc>
      </w:tr>
      <w:tr w:rsidR="00B33397" w:rsidRPr="00394D9A" w14:paraId="7DB5F1C1" w14:textId="77777777" w:rsidTr="00DF17BA">
        <w:trPr>
          <w:trHeight w:val="249"/>
        </w:trPr>
        <w:tc>
          <w:tcPr>
            <w:tcW w:w="1143" w:type="pct"/>
          </w:tcPr>
          <w:p w14:paraId="426B9341" w14:textId="419DC97D" w:rsidR="00B33397" w:rsidRPr="00394D9A" w:rsidRDefault="00B33397" w:rsidP="00187D17">
            <w:pPr>
              <w:widowControl w:val="0"/>
              <w:tabs>
                <w:tab w:val="clear" w:pos="284"/>
              </w:tabs>
              <w:autoSpaceDE w:val="0"/>
              <w:autoSpaceDN w:val="0"/>
              <w:ind w:left="110"/>
              <w:jc w:val="center"/>
              <w:rPr>
                <w:szCs w:val="22"/>
                <w:lang w:val="sr-Latn-RS" w:eastAsia="bs" w:bidi="bs"/>
              </w:rPr>
            </w:pPr>
            <w:r w:rsidRPr="00394D9A">
              <w:rPr>
                <w:szCs w:val="22"/>
                <w:lang w:val="sr-Latn-RS" w:eastAsia="bs" w:bidi="bs"/>
              </w:rPr>
              <w:t>50</w:t>
            </w:r>
            <w:r w:rsidR="00BA62A5" w:rsidRPr="00394D9A">
              <w:rPr>
                <w:szCs w:val="22"/>
                <w:lang w:val="sr-Latn-RS" w:eastAsia="bs" w:bidi="bs"/>
              </w:rPr>
              <w:t xml:space="preserve"> </w:t>
            </w:r>
            <w:r w:rsidRPr="00394D9A">
              <w:rPr>
                <w:szCs w:val="22"/>
                <w:lang w:val="sr-Latn-RS" w:eastAsia="bs" w:bidi="bs"/>
              </w:rPr>
              <w:t>≤ i &lt;</w:t>
            </w:r>
            <w:r w:rsidR="00BA62A5" w:rsidRPr="00394D9A">
              <w:rPr>
                <w:szCs w:val="22"/>
                <w:lang w:val="sr-Latn-RS" w:eastAsia="bs" w:bidi="bs"/>
              </w:rPr>
              <w:t xml:space="preserve"> </w:t>
            </w:r>
            <w:r w:rsidRPr="00394D9A">
              <w:rPr>
                <w:szCs w:val="22"/>
                <w:lang w:val="sr-Latn-RS" w:eastAsia="bs" w:bidi="bs"/>
              </w:rPr>
              <w:t>80</w:t>
            </w:r>
          </w:p>
        </w:tc>
        <w:tc>
          <w:tcPr>
            <w:tcW w:w="1857" w:type="pct"/>
          </w:tcPr>
          <w:p w14:paraId="33FD0DAA" w14:textId="77777777" w:rsidR="00B33397" w:rsidRPr="00394D9A" w:rsidRDefault="00B33397" w:rsidP="00187D17">
            <w:pPr>
              <w:widowControl w:val="0"/>
              <w:tabs>
                <w:tab w:val="clear" w:pos="284"/>
              </w:tabs>
              <w:autoSpaceDE w:val="0"/>
              <w:autoSpaceDN w:val="0"/>
              <w:ind w:left="290" w:right="278"/>
              <w:jc w:val="center"/>
              <w:rPr>
                <w:szCs w:val="22"/>
                <w:lang w:val="sr-Latn-RS" w:eastAsia="bs" w:bidi="bs"/>
              </w:rPr>
            </w:pPr>
            <w:r w:rsidRPr="00394D9A">
              <w:rPr>
                <w:szCs w:val="22"/>
                <w:lang w:val="sr-Latn-RS" w:eastAsia="bs" w:bidi="bs"/>
              </w:rPr>
              <w:t>0,75 (0,61; 0,92)</w:t>
            </w:r>
          </w:p>
        </w:tc>
        <w:tc>
          <w:tcPr>
            <w:tcW w:w="2000" w:type="pct"/>
          </w:tcPr>
          <w:p w14:paraId="0E01FF90" w14:textId="77777777" w:rsidR="00B33397" w:rsidRPr="00394D9A" w:rsidRDefault="00B33397" w:rsidP="00187D17">
            <w:pPr>
              <w:widowControl w:val="0"/>
              <w:tabs>
                <w:tab w:val="clear" w:pos="284"/>
              </w:tabs>
              <w:autoSpaceDE w:val="0"/>
              <w:autoSpaceDN w:val="0"/>
              <w:ind w:left="290" w:right="284"/>
              <w:jc w:val="center"/>
              <w:rPr>
                <w:szCs w:val="22"/>
                <w:lang w:val="sr-Latn-RS" w:eastAsia="bs" w:bidi="bs"/>
              </w:rPr>
            </w:pPr>
            <w:r w:rsidRPr="00394D9A">
              <w:rPr>
                <w:szCs w:val="22"/>
                <w:lang w:val="sr-Latn-RS" w:eastAsia="bs" w:bidi="bs"/>
              </w:rPr>
              <w:t>0,90 (0,74; 1,09)</w:t>
            </w:r>
          </w:p>
        </w:tc>
      </w:tr>
      <w:tr w:rsidR="00B33397" w:rsidRPr="00394D9A" w14:paraId="7844EAD1" w14:textId="77777777" w:rsidTr="00DF17BA">
        <w:trPr>
          <w:trHeight w:val="254"/>
        </w:trPr>
        <w:tc>
          <w:tcPr>
            <w:tcW w:w="1143" w:type="pct"/>
          </w:tcPr>
          <w:p w14:paraId="48086D07" w14:textId="58669CEF" w:rsidR="00B33397" w:rsidRPr="00394D9A" w:rsidRDefault="00B33397" w:rsidP="00187D17">
            <w:pPr>
              <w:widowControl w:val="0"/>
              <w:tabs>
                <w:tab w:val="clear" w:pos="284"/>
              </w:tabs>
              <w:autoSpaceDE w:val="0"/>
              <w:autoSpaceDN w:val="0"/>
              <w:ind w:left="110"/>
              <w:jc w:val="center"/>
              <w:rPr>
                <w:szCs w:val="22"/>
                <w:lang w:val="sr-Latn-RS" w:eastAsia="bs" w:bidi="bs"/>
              </w:rPr>
            </w:pPr>
            <w:r w:rsidRPr="00394D9A">
              <w:rPr>
                <w:szCs w:val="22"/>
                <w:lang w:val="sr-Latn-RS" w:eastAsia="bs" w:bidi="bs"/>
              </w:rPr>
              <w:t>≥</w:t>
            </w:r>
            <w:r w:rsidR="00BA62A5" w:rsidRPr="00394D9A">
              <w:rPr>
                <w:szCs w:val="22"/>
                <w:lang w:val="sr-Latn-RS" w:eastAsia="bs" w:bidi="bs"/>
              </w:rPr>
              <w:t xml:space="preserve"> </w:t>
            </w:r>
            <w:r w:rsidRPr="00394D9A">
              <w:rPr>
                <w:szCs w:val="22"/>
                <w:lang w:val="sr-Latn-RS" w:eastAsia="bs" w:bidi="bs"/>
              </w:rPr>
              <w:t>80</w:t>
            </w:r>
          </w:p>
        </w:tc>
        <w:tc>
          <w:tcPr>
            <w:tcW w:w="1857" w:type="pct"/>
          </w:tcPr>
          <w:p w14:paraId="064B7F63" w14:textId="77777777" w:rsidR="00B33397" w:rsidRPr="00394D9A" w:rsidRDefault="00B33397" w:rsidP="00187D17">
            <w:pPr>
              <w:widowControl w:val="0"/>
              <w:tabs>
                <w:tab w:val="clear" w:pos="284"/>
              </w:tabs>
              <w:autoSpaceDE w:val="0"/>
              <w:autoSpaceDN w:val="0"/>
              <w:ind w:left="292" w:right="273"/>
              <w:jc w:val="center"/>
              <w:rPr>
                <w:szCs w:val="22"/>
                <w:lang w:val="sr-Latn-RS" w:eastAsia="bs" w:bidi="bs"/>
              </w:rPr>
            </w:pPr>
            <w:r w:rsidRPr="00394D9A">
              <w:rPr>
                <w:szCs w:val="22"/>
                <w:lang w:val="sr-Latn-RS" w:eastAsia="bs" w:bidi="bs"/>
              </w:rPr>
              <w:t>0,59 (0,43, 0,82)</w:t>
            </w:r>
          </w:p>
        </w:tc>
        <w:tc>
          <w:tcPr>
            <w:tcW w:w="2000" w:type="pct"/>
          </w:tcPr>
          <w:p w14:paraId="1962A447" w14:textId="77777777" w:rsidR="00B33397" w:rsidRPr="00394D9A" w:rsidRDefault="00B33397" w:rsidP="00187D17">
            <w:pPr>
              <w:widowControl w:val="0"/>
              <w:tabs>
                <w:tab w:val="clear" w:pos="284"/>
              </w:tabs>
              <w:autoSpaceDE w:val="0"/>
              <w:autoSpaceDN w:val="0"/>
              <w:ind w:left="290" w:right="284"/>
              <w:jc w:val="center"/>
              <w:rPr>
                <w:szCs w:val="22"/>
                <w:lang w:val="sr-Latn-RS" w:eastAsia="bs" w:bidi="bs"/>
              </w:rPr>
            </w:pPr>
            <w:r w:rsidRPr="00394D9A">
              <w:rPr>
                <w:szCs w:val="22"/>
                <w:lang w:val="sr-Latn-RS" w:eastAsia="bs" w:bidi="bs"/>
              </w:rPr>
              <w:t>0,87 (0,65; 1,17)</w:t>
            </w:r>
          </w:p>
        </w:tc>
      </w:tr>
      <w:tr w:rsidR="00B33397" w:rsidRPr="00394D9A" w14:paraId="669C18F7" w14:textId="77777777" w:rsidTr="00DF17BA">
        <w:trPr>
          <w:trHeight w:val="253"/>
        </w:trPr>
        <w:tc>
          <w:tcPr>
            <w:tcW w:w="1143" w:type="pct"/>
          </w:tcPr>
          <w:p w14:paraId="06F14885" w14:textId="092A5CE9" w:rsidR="00B33397" w:rsidRPr="00394D9A" w:rsidRDefault="00A639DA" w:rsidP="00187D17">
            <w:pPr>
              <w:widowControl w:val="0"/>
              <w:tabs>
                <w:tab w:val="clear" w:pos="284"/>
              </w:tabs>
              <w:autoSpaceDE w:val="0"/>
              <w:autoSpaceDN w:val="0"/>
              <w:ind w:left="110"/>
              <w:jc w:val="center"/>
              <w:rPr>
                <w:szCs w:val="22"/>
                <w:lang w:val="sr-Latn-RS" w:eastAsia="bs" w:bidi="bs"/>
              </w:rPr>
            </w:pPr>
            <w:r w:rsidRPr="00394D9A">
              <w:rPr>
                <w:szCs w:val="22"/>
                <w:lang w:val="sr-Latn-RS" w:eastAsia="bs" w:bidi="bs"/>
              </w:rPr>
              <w:t xml:space="preserve">Primjena </w:t>
            </w:r>
            <w:r w:rsidR="00F67518" w:rsidRPr="00394D9A">
              <w:rPr>
                <w:szCs w:val="22"/>
                <w:lang w:val="sr-Latn-RS" w:eastAsia="bs" w:bidi="bs"/>
              </w:rPr>
              <w:t xml:space="preserve"> </w:t>
            </w:r>
            <w:r w:rsidR="00B33397" w:rsidRPr="00394D9A">
              <w:rPr>
                <w:szCs w:val="22"/>
                <w:lang w:val="sr-Latn-RS" w:eastAsia="bs" w:bidi="bs"/>
              </w:rPr>
              <w:t>ASK</w:t>
            </w:r>
          </w:p>
        </w:tc>
        <w:tc>
          <w:tcPr>
            <w:tcW w:w="1857" w:type="pct"/>
          </w:tcPr>
          <w:p w14:paraId="7177BBB4" w14:textId="77777777" w:rsidR="00B33397" w:rsidRPr="00394D9A" w:rsidRDefault="00B33397" w:rsidP="00187D17">
            <w:pPr>
              <w:widowControl w:val="0"/>
              <w:tabs>
                <w:tab w:val="clear" w:pos="284"/>
              </w:tabs>
              <w:autoSpaceDE w:val="0"/>
              <w:autoSpaceDN w:val="0"/>
              <w:ind w:left="290" w:right="278"/>
              <w:jc w:val="center"/>
              <w:rPr>
                <w:szCs w:val="22"/>
                <w:lang w:val="sr-Latn-RS" w:eastAsia="bs" w:bidi="bs"/>
              </w:rPr>
            </w:pPr>
            <w:r w:rsidRPr="00394D9A">
              <w:rPr>
                <w:szCs w:val="22"/>
                <w:lang w:val="sr-Latn-RS" w:eastAsia="bs" w:bidi="bs"/>
              </w:rPr>
              <w:t>0,84 (0,69; 1,03)</w:t>
            </w:r>
          </w:p>
        </w:tc>
        <w:tc>
          <w:tcPr>
            <w:tcW w:w="2000" w:type="pct"/>
          </w:tcPr>
          <w:p w14:paraId="1968DABC" w14:textId="77777777" w:rsidR="00B33397" w:rsidRPr="00394D9A" w:rsidRDefault="00B33397" w:rsidP="00187D17">
            <w:pPr>
              <w:widowControl w:val="0"/>
              <w:tabs>
                <w:tab w:val="clear" w:pos="284"/>
              </w:tabs>
              <w:autoSpaceDE w:val="0"/>
              <w:autoSpaceDN w:val="0"/>
              <w:ind w:left="290" w:right="284"/>
              <w:jc w:val="center"/>
              <w:rPr>
                <w:szCs w:val="22"/>
                <w:lang w:val="sr-Latn-RS" w:eastAsia="bs" w:bidi="bs"/>
              </w:rPr>
            </w:pPr>
            <w:r w:rsidRPr="00394D9A">
              <w:rPr>
                <w:szCs w:val="22"/>
                <w:lang w:val="sr-Latn-RS" w:eastAsia="bs" w:bidi="bs"/>
              </w:rPr>
              <w:t>0,97 (0,79; 1,18)</w:t>
            </w:r>
          </w:p>
        </w:tc>
      </w:tr>
      <w:tr w:rsidR="00B33397" w:rsidRPr="00394D9A" w14:paraId="58F63EC5" w14:textId="77777777" w:rsidTr="00DF17BA">
        <w:trPr>
          <w:trHeight w:val="253"/>
        </w:trPr>
        <w:tc>
          <w:tcPr>
            <w:tcW w:w="1143" w:type="pct"/>
          </w:tcPr>
          <w:p w14:paraId="0D769E31" w14:textId="2AFA022C" w:rsidR="00B33397" w:rsidRPr="00394D9A" w:rsidRDefault="00A639DA" w:rsidP="00187D17">
            <w:pPr>
              <w:widowControl w:val="0"/>
              <w:tabs>
                <w:tab w:val="clear" w:pos="284"/>
              </w:tabs>
              <w:autoSpaceDE w:val="0"/>
              <w:autoSpaceDN w:val="0"/>
              <w:ind w:left="110"/>
              <w:jc w:val="center"/>
              <w:rPr>
                <w:szCs w:val="22"/>
                <w:lang w:val="sr-Latn-RS" w:eastAsia="bs" w:bidi="bs"/>
              </w:rPr>
            </w:pPr>
            <w:r w:rsidRPr="00394D9A">
              <w:rPr>
                <w:szCs w:val="22"/>
                <w:lang w:val="sr-Latn-RS" w:eastAsia="bs" w:bidi="bs"/>
              </w:rPr>
              <w:t xml:space="preserve">Primjena </w:t>
            </w:r>
            <w:r w:rsidR="00F67518" w:rsidRPr="00394D9A">
              <w:rPr>
                <w:szCs w:val="22"/>
                <w:lang w:val="sr-Latn-RS" w:eastAsia="bs" w:bidi="bs"/>
              </w:rPr>
              <w:t xml:space="preserve"> k</w:t>
            </w:r>
            <w:r w:rsidR="00B33397" w:rsidRPr="00394D9A">
              <w:rPr>
                <w:szCs w:val="22"/>
                <w:lang w:val="sr-Latn-RS" w:eastAsia="bs" w:bidi="bs"/>
              </w:rPr>
              <w:t>lopidogrel</w:t>
            </w:r>
            <w:r w:rsidR="00F67518" w:rsidRPr="00394D9A">
              <w:rPr>
                <w:szCs w:val="22"/>
                <w:lang w:val="sr-Latn-RS" w:eastAsia="bs" w:bidi="bs"/>
              </w:rPr>
              <w:t>a</w:t>
            </w:r>
          </w:p>
        </w:tc>
        <w:tc>
          <w:tcPr>
            <w:tcW w:w="1857" w:type="pct"/>
          </w:tcPr>
          <w:p w14:paraId="1A9F64D7" w14:textId="6565DD30" w:rsidR="00B33397" w:rsidRPr="00394D9A" w:rsidRDefault="00B33397" w:rsidP="00187D17">
            <w:pPr>
              <w:widowControl w:val="0"/>
              <w:tabs>
                <w:tab w:val="clear" w:pos="284"/>
              </w:tabs>
              <w:autoSpaceDE w:val="0"/>
              <w:autoSpaceDN w:val="0"/>
              <w:ind w:left="292" w:right="272"/>
              <w:jc w:val="center"/>
              <w:rPr>
                <w:szCs w:val="22"/>
                <w:lang w:val="sr-Latn-RS" w:eastAsia="bs" w:bidi="bs"/>
              </w:rPr>
            </w:pPr>
            <w:r w:rsidRPr="00394D9A">
              <w:rPr>
                <w:szCs w:val="22"/>
                <w:lang w:val="sr-Latn-RS" w:eastAsia="bs" w:bidi="bs"/>
              </w:rPr>
              <w:t xml:space="preserve">0,89 (0,55; </w:t>
            </w:r>
            <w:r w:rsidR="00BA62A5" w:rsidRPr="00394D9A">
              <w:rPr>
                <w:szCs w:val="22"/>
                <w:lang w:val="sr-Latn-RS" w:eastAsia="bs" w:bidi="bs"/>
              </w:rPr>
              <w:t>1,</w:t>
            </w:r>
            <w:r w:rsidRPr="00394D9A">
              <w:rPr>
                <w:szCs w:val="22"/>
                <w:lang w:val="sr-Latn-RS" w:eastAsia="bs" w:bidi="bs"/>
              </w:rPr>
              <w:t>45)</w:t>
            </w:r>
          </w:p>
        </w:tc>
        <w:tc>
          <w:tcPr>
            <w:tcW w:w="2000" w:type="pct"/>
          </w:tcPr>
          <w:p w14:paraId="6FEC57EE" w14:textId="77777777" w:rsidR="00B33397" w:rsidRPr="00394D9A" w:rsidRDefault="00B33397" w:rsidP="00187D17">
            <w:pPr>
              <w:widowControl w:val="0"/>
              <w:tabs>
                <w:tab w:val="clear" w:pos="284"/>
              </w:tabs>
              <w:autoSpaceDE w:val="0"/>
              <w:autoSpaceDN w:val="0"/>
              <w:ind w:left="290" w:right="284"/>
              <w:jc w:val="center"/>
              <w:rPr>
                <w:szCs w:val="22"/>
                <w:lang w:val="sr-Latn-RS" w:eastAsia="bs" w:bidi="bs"/>
              </w:rPr>
            </w:pPr>
            <w:r w:rsidRPr="00394D9A">
              <w:rPr>
                <w:szCs w:val="22"/>
                <w:lang w:val="sr-Latn-RS" w:eastAsia="bs" w:bidi="bs"/>
              </w:rPr>
              <w:t>0,92 (0,57; 1,48)</w:t>
            </w:r>
          </w:p>
        </w:tc>
      </w:tr>
    </w:tbl>
    <w:p w14:paraId="6878663C" w14:textId="77777777" w:rsidR="00B33397" w:rsidRPr="00394D9A" w:rsidRDefault="00B33397" w:rsidP="00187D17">
      <w:pPr>
        <w:widowControl w:val="0"/>
        <w:rPr>
          <w:i/>
          <w:iCs/>
          <w:szCs w:val="22"/>
          <w:lang w:val="sr-Latn-RS"/>
        </w:rPr>
      </w:pPr>
    </w:p>
    <w:p w14:paraId="531D3DA3" w14:textId="50CCAE71" w:rsidR="00B33397" w:rsidRPr="00394D9A" w:rsidRDefault="00B33397" w:rsidP="00187D17">
      <w:pPr>
        <w:widowControl w:val="0"/>
        <w:rPr>
          <w:i/>
          <w:iCs/>
          <w:szCs w:val="22"/>
          <w:lang w:val="sr-Latn-RS"/>
        </w:rPr>
      </w:pPr>
      <w:r w:rsidRPr="00394D9A">
        <w:rPr>
          <w:i/>
          <w:iCs/>
          <w:szCs w:val="22"/>
          <w:lang w:val="sr-Latn-RS"/>
        </w:rPr>
        <w:t>RELY-ABLE (</w:t>
      </w:r>
      <w:r w:rsidR="00B24633" w:rsidRPr="00394D9A">
        <w:rPr>
          <w:i/>
          <w:iCs/>
          <w:szCs w:val="22"/>
          <w:lang w:val="sr-Latn-RS"/>
        </w:rPr>
        <w:t>Dugotrajni</w:t>
      </w:r>
      <w:r w:rsidRPr="00394D9A">
        <w:rPr>
          <w:i/>
          <w:iCs/>
          <w:szCs w:val="22"/>
          <w:lang w:val="sr-Latn-RS"/>
        </w:rPr>
        <w:t xml:space="preserve">, multicentrični produžetak terapije dabigatranom kod pacijenata </w:t>
      </w:r>
      <w:r w:rsidR="00826E8C" w:rsidRPr="00394D9A">
        <w:rPr>
          <w:i/>
          <w:iCs/>
          <w:szCs w:val="22"/>
          <w:lang w:val="sr-Latn-RS"/>
        </w:rPr>
        <w:t xml:space="preserve">sa </w:t>
      </w:r>
      <w:r w:rsidRPr="00394D9A">
        <w:rPr>
          <w:i/>
          <w:iCs/>
          <w:szCs w:val="22"/>
          <w:lang w:val="sr-Latn-RS"/>
        </w:rPr>
        <w:t>atrijalnom fibrilacijom koji su završili ispitivanje u RE-LY)</w:t>
      </w:r>
    </w:p>
    <w:p w14:paraId="23D26916" w14:textId="77777777" w:rsidR="00B33397" w:rsidRPr="00394D9A" w:rsidRDefault="00B33397" w:rsidP="00187D17">
      <w:pPr>
        <w:widowControl w:val="0"/>
        <w:rPr>
          <w:szCs w:val="22"/>
          <w:lang w:val="sr-Latn-RS"/>
        </w:rPr>
      </w:pPr>
    </w:p>
    <w:p w14:paraId="41A53904" w14:textId="23E234FA" w:rsidR="00B33397" w:rsidRPr="00394D9A" w:rsidRDefault="00B33397" w:rsidP="00187D17">
      <w:pPr>
        <w:widowControl w:val="0"/>
        <w:rPr>
          <w:szCs w:val="22"/>
          <w:lang w:val="sr-Latn-RS"/>
        </w:rPr>
      </w:pPr>
      <w:r w:rsidRPr="00394D9A">
        <w:rPr>
          <w:szCs w:val="22"/>
          <w:lang w:val="sr-Latn-RS"/>
        </w:rPr>
        <w:t>Produžetak ispitivanja RE-LY (RELY-ABLE) pružio je dodatne bezb</w:t>
      </w:r>
      <w:r w:rsidR="005F52C8" w:rsidRPr="00394D9A">
        <w:rPr>
          <w:szCs w:val="22"/>
          <w:lang w:val="sr-Latn-RS"/>
        </w:rPr>
        <w:t>j</w:t>
      </w:r>
      <w:r w:rsidRPr="00394D9A">
        <w:rPr>
          <w:szCs w:val="22"/>
          <w:lang w:val="sr-Latn-RS"/>
        </w:rPr>
        <w:t>ednosne informacije za kohortu pacijenata koja je nastavila da prima istu dozu dabigatraneteksilata kao onu koja im je bila određena u ispitivanju RE-LY. Pacijenti su bili pogodni za ispitivanje RELY-ABLE ako ni</w:t>
      </w:r>
      <w:r w:rsidR="00157169" w:rsidRPr="00394D9A">
        <w:rPr>
          <w:szCs w:val="22"/>
          <w:lang w:val="sr-Latn-RS"/>
        </w:rPr>
        <w:t>je</w:t>
      </w:r>
      <w:r w:rsidRPr="00394D9A">
        <w:rPr>
          <w:szCs w:val="22"/>
          <w:lang w:val="sr-Latn-RS"/>
        </w:rPr>
        <w:t>su trajno prekinuli prim</w:t>
      </w:r>
      <w:r w:rsidR="005F52C8" w:rsidRPr="00394D9A">
        <w:rPr>
          <w:szCs w:val="22"/>
          <w:lang w:val="sr-Latn-RS"/>
        </w:rPr>
        <w:t>j</w:t>
      </w:r>
      <w:r w:rsidRPr="00394D9A">
        <w:rPr>
          <w:szCs w:val="22"/>
          <w:lang w:val="sr-Latn-RS"/>
        </w:rPr>
        <w:t xml:space="preserve">enu </w:t>
      </w:r>
      <w:r w:rsidR="00A639DA" w:rsidRPr="00394D9A">
        <w:rPr>
          <w:szCs w:val="22"/>
          <w:lang w:val="sr-Latn-RS"/>
        </w:rPr>
        <w:t>lijeka</w:t>
      </w:r>
      <w:r w:rsidRPr="00394D9A">
        <w:rPr>
          <w:szCs w:val="22"/>
          <w:lang w:val="sr-Latn-RS"/>
        </w:rPr>
        <w:t xml:space="preserve"> iz ispitivanja u trenutku zaključne pos</w:t>
      </w:r>
      <w:r w:rsidR="005F52C8" w:rsidRPr="00394D9A">
        <w:rPr>
          <w:szCs w:val="22"/>
          <w:lang w:val="sr-Latn-RS"/>
        </w:rPr>
        <w:t>j</w:t>
      </w:r>
      <w:r w:rsidRPr="00394D9A">
        <w:rPr>
          <w:szCs w:val="22"/>
          <w:lang w:val="sr-Latn-RS"/>
        </w:rPr>
        <w:t>ete u sklopu ispitivanja RE-LY. Uključeni pacijenti su nastavili da primaju istu dvostruko sl</w:t>
      </w:r>
      <w:r w:rsidR="005F52C8" w:rsidRPr="00394D9A">
        <w:rPr>
          <w:szCs w:val="22"/>
          <w:lang w:val="sr-Latn-RS"/>
        </w:rPr>
        <w:t>ij</w:t>
      </w:r>
      <w:r w:rsidRPr="00394D9A">
        <w:rPr>
          <w:szCs w:val="22"/>
          <w:lang w:val="sr-Latn-RS"/>
        </w:rPr>
        <w:t>epu dozu dabigatraneteksilata koja im je metodom slučajnog izbora dod</w:t>
      </w:r>
      <w:r w:rsidR="001E7EA1" w:rsidRPr="00394D9A">
        <w:rPr>
          <w:szCs w:val="22"/>
          <w:lang w:val="sr-Latn-RS"/>
        </w:rPr>
        <w:t>i</w:t>
      </w:r>
      <w:r w:rsidR="005F52C8" w:rsidRPr="00394D9A">
        <w:rPr>
          <w:szCs w:val="22"/>
          <w:lang w:val="sr-Latn-RS"/>
        </w:rPr>
        <w:t>j</w:t>
      </w:r>
      <w:r w:rsidRPr="00394D9A">
        <w:rPr>
          <w:szCs w:val="22"/>
          <w:lang w:val="sr-Latn-RS"/>
        </w:rPr>
        <w:t>eljena u ispitivanju RE-LY, u trajanju do 43 m</w:t>
      </w:r>
      <w:r w:rsidR="005F52C8" w:rsidRPr="00394D9A">
        <w:rPr>
          <w:szCs w:val="22"/>
          <w:lang w:val="sr-Latn-RS"/>
        </w:rPr>
        <w:t>j</w:t>
      </w:r>
      <w:r w:rsidRPr="00394D9A">
        <w:rPr>
          <w:szCs w:val="22"/>
          <w:lang w:val="sr-Latn-RS"/>
        </w:rPr>
        <w:t>eseca praćenja nakon ispitivanja RE-LY (ukupni pros</w:t>
      </w:r>
      <w:r w:rsidR="005F52C8" w:rsidRPr="00394D9A">
        <w:rPr>
          <w:szCs w:val="22"/>
          <w:lang w:val="sr-Latn-RS"/>
        </w:rPr>
        <w:t>j</w:t>
      </w:r>
      <w:r w:rsidRPr="00394D9A">
        <w:rPr>
          <w:szCs w:val="22"/>
          <w:lang w:val="sr-Latn-RS"/>
        </w:rPr>
        <w:t>ek praćenja za RE-LY + RELY-ABLE bio je 4,5 godine). Uključeno je bilo 5897 pacijenata, koji su predstavljali 49 % pacijenata prvobitno slučajno odabranih da primaju dabigatraneteksilat u ispitivanju RE-LY, kao i 86 % pacijenata koji su bili pogodni za ispitivanje RELY-ABLE.</w:t>
      </w:r>
    </w:p>
    <w:p w14:paraId="7BD5ABAA" w14:textId="43537A8A" w:rsidR="00B33397" w:rsidRPr="00394D9A" w:rsidRDefault="00B33397" w:rsidP="00187D17">
      <w:pPr>
        <w:widowControl w:val="0"/>
        <w:rPr>
          <w:szCs w:val="22"/>
          <w:lang w:val="sr-Latn-RS"/>
        </w:rPr>
      </w:pPr>
      <w:r w:rsidRPr="00394D9A">
        <w:rPr>
          <w:szCs w:val="22"/>
          <w:lang w:val="sr-Latn-RS"/>
        </w:rPr>
        <w:t>Tokom dodatne 2,5 godine terapije u ispitivanju RELY-ABLE, uz maksimalnu izloženost dužu od 6 godina (ukupna izloženost u RELY + RELY-ABLE), dugo</w:t>
      </w:r>
      <w:r w:rsidR="00B24633" w:rsidRPr="00394D9A">
        <w:rPr>
          <w:szCs w:val="22"/>
          <w:lang w:val="sr-Latn-RS"/>
        </w:rPr>
        <w:t>trajan</w:t>
      </w:r>
      <w:r w:rsidRPr="00394D9A">
        <w:rPr>
          <w:szCs w:val="22"/>
          <w:lang w:val="sr-Latn-RS"/>
        </w:rPr>
        <w:t xml:space="preserve"> profil </w:t>
      </w:r>
      <w:r w:rsidR="00B24633" w:rsidRPr="00394D9A">
        <w:rPr>
          <w:szCs w:val="22"/>
          <w:lang w:val="sr-Latn-RS"/>
        </w:rPr>
        <w:t>bezbjednosti</w:t>
      </w:r>
      <w:r w:rsidRPr="00394D9A">
        <w:rPr>
          <w:szCs w:val="22"/>
          <w:lang w:val="sr-Latn-RS"/>
        </w:rPr>
        <w:t xml:space="preserve"> </w:t>
      </w:r>
      <w:r w:rsidRPr="00394D9A">
        <w:rPr>
          <w:szCs w:val="22"/>
          <w:lang w:val="sr-Latn-RS"/>
        </w:rPr>
        <w:lastRenderedPageBreak/>
        <w:t>dabigatraneteksilata potvrđen je za ob</w:t>
      </w:r>
      <w:r w:rsidR="005F52C8" w:rsidRPr="00394D9A">
        <w:rPr>
          <w:szCs w:val="22"/>
          <w:lang w:val="sr-Latn-RS"/>
        </w:rPr>
        <w:t>j</w:t>
      </w:r>
      <w:r w:rsidRPr="00394D9A">
        <w:rPr>
          <w:szCs w:val="22"/>
          <w:lang w:val="sr-Latn-RS"/>
        </w:rPr>
        <w:t>e ispitivane doze, 110 mg dva</w:t>
      </w:r>
      <w:r w:rsidR="00B24633" w:rsidRPr="00394D9A">
        <w:rPr>
          <w:szCs w:val="22"/>
          <w:lang w:val="sr-Latn-RS"/>
        </w:rPr>
        <w:t xml:space="preserve"> </w:t>
      </w:r>
      <w:r w:rsidRPr="00394D9A">
        <w:rPr>
          <w:szCs w:val="22"/>
          <w:lang w:val="sr-Latn-RS"/>
        </w:rPr>
        <w:t>put</w:t>
      </w:r>
      <w:r w:rsidR="00B24633" w:rsidRPr="00394D9A">
        <w:rPr>
          <w:szCs w:val="22"/>
          <w:lang w:val="sr-Latn-RS"/>
        </w:rPr>
        <w:t>a</w:t>
      </w:r>
      <w:r w:rsidRPr="00394D9A">
        <w:rPr>
          <w:szCs w:val="22"/>
          <w:lang w:val="sr-Latn-RS"/>
        </w:rPr>
        <w:t xml:space="preserve"> dnevno i 150 mg dva</w:t>
      </w:r>
      <w:r w:rsidR="00B24633" w:rsidRPr="00394D9A">
        <w:rPr>
          <w:szCs w:val="22"/>
          <w:lang w:val="sr-Latn-RS"/>
        </w:rPr>
        <w:t xml:space="preserve"> </w:t>
      </w:r>
      <w:r w:rsidRPr="00394D9A">
        <w:rPr>
          <w:szCs w:val="22"/>
          <w:lang w:val="sr-Latn-RS"/>
        </w:rPr>
        <w:t>put</w:t>
      </w:r>
      <w:r w:rsidR="00B24633" w:rsidRPr="00394D9A">
        <w:rPr>
          <w:szCs w:val="22"/>
          <w:lang w:val="sr-Latn-RS"/>
        </w:rPr>
        <w:t>a</w:t>
      </w:r>
      <w:r w:rsidRPr="00394D9A">
        <w:rPr>
          <w:szCs w:val="22"/>
          <w:lang w:val="sr-Latn-RS"/>
        </w:rPr>
        <w:t xml:space="preserve"> dnevno.</w:t>
      </w:r>
      <w:r w:rsidR="00974076" w:rsidRPr="00394D9A">
        <w:rPr>
          <w:szCs w:val="22"/>
          <w:lang w:val="sr-Latn-RS"/>
        </w:rPr>
        <w:t xml:space="preserve"> </w:t>
      </w:r>
      <w:r w:rsidRPr="00394D9A">
        <w:rPr>
          <w:szCs w:val="22"/>
          <w:lang w:val="sr-Latn-RS"/>
        </w:rPr>
        <w:t>Ni</w:t>
      </w:r>
      <w:r w:rsidR="00157169" w:rsidRPr="00394D9A">
        <w:rPr>
          <w:szCs w:val="22"/>
          <w:lang w:val="sr-Latn-RS"/>
        </w:rPr>
        <w:t>je</w:t>
      </w:r>
      <w:r w:rsidRPr="00394D9A">
        <w:rPr>
          <w:szCs w:val="22"/>
          <w:lang w:val="sr-Latn-RS"/>
        </w:rPr>
        <w:t>su prim</w:t>
      </w:r>
      <w:r w:rsidR="001E7EA1" w:rsidRPr="00394D9A">
        <w:rPr>
          <w:szCs w:val="22"/>
          <w:lang w:val="sr-Latn-RS"/>
        </w:rPr>
        <w:t>ij</w:t>
      </w:r>
      <w:r w:rsidRPr="00394D9A">
        <w:rPr>
          <w:szCs w:val="22"/>
          <w:lang w:val="sr-Latn-RS"/>
        </w:rPr>
        <w:t>ećeni novi podaci u vezi</w:t>
      </w:r>
      <w:r w:rsidR="001E7EA1" w:rsidRPr="00394D9A">
        <w:rPr>
          <w:szCs w:val="22"/>
          <w:lang w:val="sr-Latn-RS"/>
        </w:rPr>
        <w:t xml:space="preserve"> sa</w:t>
      </w:r>
      <w:r w:rsidRPr="00394D9A">
        <w:rPr>
          <w:szCs w:val="22"/>
          <w:lang w:val="sr-Latn-RS"/>
        </w:rPr>
        <w:t xml:space="preserve"> </w:t>
      </w:r>
      <w:r w:rsidR="00974076" w:rsidRPr="00394D9A">
        <w:rPr>
          <w:szCs w:val="22"/>
          <w:lang w:val="sr-Latn-RS"/>
        </w:rPr>
        <w:t>bezb</w:t>
      </w:r>
      <w:r w:rsidR="005F52C8" w:rsidRPr="00394D9A">
        <w:rPr>
          <w:szCs w:val="22"/>
          <w:lang w:val="sr-Latn-RS"/>
        </w:rPr>
        <w:t>j</w:t>
      </w:r>
      <w:r w:rsidR="00974076" w:rsidRPr="00394D9A">
        <w:rPr>
          <w:szCs w:val="22"/>
          <w:lang w:val="sr-Latn-RS"/>
        </w:rPr>
        <w:t>ednosti</w:t>
      </w:r>
      <w:r w:rsidRPr="00394D9A">
        <w:rPr>
          <w:szCs w:val="22"/>
          <w:lang w:val="sr-Latn-RS"/>
        </w:rPr>
        <w:t>.</w:t>
      </w:r>
    </w:p>
    <w:p w14:paraId="4F278B53" w14:textId="77777777" w:rsidR="00B33397" w:rsidRPr="00394D9A" w:rsidRDefault="00B33397" w:rsidP="00187D17">
      <w:pPr>
        <w:widowControl w:val="0"/>
        <w:rPr>
          <w:szCs w:val="22"/>
          <w:lang w:val="sr-Latn-RS"/>
        </w:rPr>
      </w:pPr>
      <w:r w:rsidRPr="00394D9A">
        <w:rPr>
          <w:szCs w:val="22"/>
          <w:lang w:val="sr-Latn-RS"/>
        </w:rPr>
        <w:t>Stope ishoda, uključujući velika krvarenja i druge događaje krvarenja, odgovarale su onima zapaženim u ispitivanju RE-LY.</w:t>
      </w:r>
    </w:p>
    <w:p w14:paraId="3B18BEA7" w14:textId="77777777" w:rsidR="00B33397" w:rsidRPr="00394D9A" w:rsidRDefault="00B33397" w:rsidP="00187D17">
      <w:pPr>
        <w:widowControl w:val="0"/>
        <w:rPr>
          <w:i/>
          <w:iCs/>
          <w:szCs w:val="22"/>
          <w:lang w:val="sr-Latn-RS"/>
        </w:rPr>
      </w:pPr>
    </w:p>
    <w:p w14:paraId="3F56DBCB" w14:textId="77777777" w:rsidR="00B33397" w:rsidRPr="00394D9A" w:rsidRDefault="00B33397" w:rsidP="00187D17">
      <w:pPr>
        <w:widowControl w:val="0"/>
        <w:rPr>
          <w:i/>
          <w:iCs/>
          <w:szCs w:val="22"/>
          <w:lang w:val="sr-Latn-RS"/>
        </w:rPr>
      </w:pPr>
      <w:r w:rsidRPr="00394D9A">
        <w:rPr>
          <w:i/>
          <w:iCs/>
          <w:szCs w:val="22"/>
          <w:lang w:val="sr-Latn-RS"/>
        </w:rPr>
        <w:t>Podaci iz neintervencijskih ispitivanja</w:t>
      </w:r>
    </w:p>
    <w:p w14:paraId="023ACD65" w14:textId="77777777" w:rsidR="00B33397" w:rsidRPr="00394D9A" w:rsidRDefault="00B33397" w:rsidP="00187D17">
      <w:pPr>
        <w:widowControl w:val="0"/>
        <w:rPr>
          <w:szCs w:val="22"/>
          <w:lang w:val="sr-Latn-RS"/>
        </w:rPr>
      </w:pPr>
    </w:p>
    <w:p w14:paraId="24E65C95" w14:textId="6FB196B6" w:rsidR="00B33397" w:rsidRPr="00394D9A" w:rsidRDefault="00B33397" w:rsidP="00187D17">
      <w:pPr>
        <w:widowControl w:val="0"/>
        <w:rPr>
          <w:szCs w:val="22"/>
          <w:lang w:val="sr-Latn-RS"/>
        </w:rPr>
      </w:pPr>
      <w:r w:rsidRPr="00394D9A">
        <w:rPr>
          <w:szCs w:val="22"/>
          <w:lang w:val="sr-Latn-RS"/>
        </w:rPr>
        <w:t>Neintervencijsko ispitivanje (GLORIA-AF) prospektivno je prikupilo (u svojoj drugoj fazi) podatke o bezb</w:t>
      </w:r>
      <w:r w:rsidR="005F52C8" w:rsidRPr="00394D9A">
        <w:rPr>
          <w:szCs w:val="22"/>
          <w:lang w:val="sr-Latn-RS"/>
        </w:rPr>
        <w:t>j</w:t>
      </w:r>
      <w:r w:rsidRPr="00394D9A">
        <w:rPr>
          <w:szCs w:val="22"/>
          <w:lang w:val="sr-Latn-RS"/>
        </w:rPr>
        <w:t>ednosti i efikasnosti dabigatra</w:t>
      </w:r>
      <w:r w:rsidR="001E7EA1" w:rsidRPr="00394D9A">
        <w:rPr>
          <w:szCs w:val="22"/>
          <w:lang w:val="sr-Latn-RS"/>
        </w:rPr>
        <w:t>n</w:t>
      </w:r>
      <w:r w:rsidRPr="00394D9A">
        <w:rPr>
          <w:szCs w:val="22"/>
          <w:lang w:val="sr-Latn-RS"/>
        </w:rPr>
        <w:t>eteksilata u svakodnevnoj kliničkoj praksi kod novodijagnostikovanih pacijenata sa NVAF. Ispitivanje je uključilo 4859 pacijenata na dabigatraneteksilatu (55% njih bilo je l</w:t>
      </w:r>
      <w:r w:rsidR="005F52C8" w:rsidRPr="00394D9A">
        <w:rPr>
          <w:szCs w:val="22"/>
          <w:lang w:val="sr-Latn-RS"/>
        </w:rPr>
        <w:t>ij</w:t>
      </w:r>
      <w:r w:rsidRPr="00394D9A">
        <w:rPr>
          <w:szCs w:val="22"/>
          <w:lang w:val="sr-Latn-RS"/>
        </w:rPr>
        <w:t>ečeno dozom od 150 mg dva puta dnevno, 43% njih bilo je l</w:t>
      </w:r>
      <w:r w:rsidR="005F52C8" w:rsidRPr="00394D9A">
        <w:rPr>
          <w:szCs w:val="22"/>
          <w:lang w:val="sr-Latn-RS"/>
        </w:rPr>
        <w:t>ij</w:t>
      </w:r>
      <w:r w:rsidRPr="00394D9A">
        <w:rPr>
          <w:szCs w:val="22"/>
          <w:lang w:val="sr-Latn-RS"/>
        </w:rPr>
        <w:t>ečeno dozom od 110 mg dva puta dnevno, 2% njih bilo je l</w:t>
      </w:r>
      <w:r w:rsidR="005F52C8" w:rsidRPr="00394D9A">
        <w:rPr>
          <w:szCs w:val="22"/>
          <w:lang w:val="sr-Latn-RS"/>
        </w:rPr>
        <w:t>ij</w:t>
      </w:r>
      <w:r w:rsidRPr="00394D9A">
        <w:rPr>
          <w:szCs w:val="22"/>
          <w:lang w:val="sr-Latn-RS"/>
        </w:rPr>
        <w:t>ečeno dozom od 75 mg dva puta dnevno). Pacijenti su bili praćeni tokom 2 godine. Srednja vr</w:t>
      </w:r>
      <w:r w:rsidR="005F52C8" w:rsidRPr="00394D9A">
        <w:rPr>
          <w:szCs w:val="22"/>
          <w:lang w:val="sr-Latn-RS"/>
        </w:rPr>
        <w:t>ij</w:t>
      </w:r>
      <w:r w:rsidRPr="00394D9A">
        <w:rPr>
          <w:szCs w:val="22"/>
          <w:lang w:val="sr-Latn-RS"/>
        </w:rPr>
        <w:t>ednost CHADS2 i HAS-BLED skorova bila je 1,9, odnosno 1,2. Srednja vr</w:t>
      </w:r>
      <w:r w:rsidR="005F52C8" w:rsidRPr="00394D9A">
        <w:rPr>
          <w:szCs w:val="22"/>
          <w:lang w:val="sr-Latn-RS"/>
        </w:rPr>
        <w:t>ij</w:t>
      </w:r>
      <w:r w:rsidRPr="00394D9A">
        <w:rPr>
          <w:szCs w:val="22"/>
          <w:lang w:val="sr-Latn-RS"/>
        </w:rPr>
        <w:t xml:space="preserve">ednost </w:t>
      </w:r>
      <w:r w:rsidR="00BD52DD" w:rsidRPr="00394D9A">
        <w:rPr>
          <w:szCs w:val="22"/>
          <w:lang w:val="sr-Latn-RS"/>
        </w:rPr>
        <w:t>vreme</w:t>
      </w:r>
      <w:r w:rsidRPr="00394D9A">
        <w:rPr>
          <w:szCs w:val="22"/>
          <w:lang w:val="sr-Latn-RS"/>
        </w:rPr>
        <w:t xml:space="preserve">na praćenja tokom terapije bila je 18,3 </w:t>
      </w:r>
      <w:r w:rsidR="006561D1" w:rsidRPr="00394D9A">
        <w:rPr>
          <w:szCs w:val="22"/>
          <w:lang w:val="sr-Latn-RS"/>
        </w:rPr>
        <w:t>mjeseci</w:t>
      </w:r>
      <w:r w:rsidRPr="00394D9A">
        <w:rPr>
          <w:szCs w:val="22"/>
          <w:lang w:val="sr-Latn-RS"/>
        </w:rPr>
        <w:t>. Veliko krvarenje javilo se kod 0,97 na 100 pacijent-godina. Po život opasno krvarenje bilo je zab</w:t>
      </w:r>
      <w:r w:rsidR="00933D01" w:rsidRPr="00394D9A">
        <w:rPr>
          <w:szCs w:val="22"/>
          <w:lang w:val="sr-Latn-RS"/>
        </w:rPr>
        <w:t>i</w:t>
      </w:r>
      <w:r w:rsidRPr="00394D9A">
        <w:rPr>
          <w:szCs w:val="22"/>
          <w:lang w:val="sr-Latn-RS"/>
        </w:rPr>
        <w:t>l</w:t>
      </w:r>
      <w:r w:rsidR="00933D01" w:rsidRPr="00394D9A">
        <w:rPr>
          <w:szCs w:val="22"/>
          <w:lang w:val="sr-Latn-RS"/>
        </w:rPr>
        <w:t>j</w:t>
      </w:r>
      <w:r w:rsidRPr="00394D9A">
        <w:rPr>
          <w:szCs w:val="22"/>
          <w:lang w:val="sr-Latn-RS"/>
        </w:rPr>
        <w:t>eženo kod 0,46 na 100 pacijent-godina, intrakranijalno krvarenje kod 0,17 na 100 pacijent- godina i gastrointestinalno krvarenje kod 0,60 na 100 pacijent-godina. Moždani udar nastao je kod 0,65 na 100 pacijent-godina.</w:t>
      </w:r>
    </w:p>
    <w:p w14:paraId="347A7F26" w14:textId="77777777" w:rsidR="00B33397" w:rsidRPr="00394D9A" w:rsidRDefault="00B33397" w:rsidP="00187D17">
      <w:pPr>
        <w:widowControl w:val="0"/>
        <w:rPr>
          <w:szCs w:val="22"/>
          <w:lang w:val="sr-Latn-RS"/>
        </w:rPr>
      </w:pPr>
    </w:p>
    <w:p w14:paraId="12C5EC09" w14:textId="35D2DF98" w:rsidR="00B33397" w:rsidRPr="00394D9A" w:rsidRDefault="00B33397" w:rsidP="00187D17">
      <w:pPr>
        <w:widowControl w:val="0"/>
        <w:rPr>
          <w:szCs w:val="22"/>
          <w:lang w:val="sr-Latn-RS"/>
        </w:rPr>
      </w:pPr>
      <w:r w:rsidRPr="00394D9A">
        <w:rPr>
          <w:szCs w:val="22"/>
          <w:lang w:val="sr-Latn-RS"/>
        </w:rPr>
        <w:t>Pored toga, u neintervencijskom ispitivanju [Graham DJ et al., Circulation. 2015;131:157-164] na više od 134</w:t>
      </w:r>
      <w:r w:rsidR="00461D92" w:rsidRPr="00394D9A">
        <w:rPr>
          <w:szCs w:val="22"/>
          <w:lang w:val="sr-Latn-RS"/>
        </w:rPr>
        <w:t xml:space="preserve"> </w:t>
      </w:r>
      <w:r w:rsidRPr="00394D9A">
        <w:rPr>
          <w:szCs w:val="22"/>
          <w:lang w:val="sr-Latn-RS"/>
        </w:rPr>
        <w:t xml:space="preserve">000 starijih pacijenata </w:t>
      </w:r>
      <w:r w:rsidR="00826E8C" w:rsidRPr="00394D9A">
        <w:rPr>
          <w:szCs w:val="22"/>
          <w:lang w:val="sr-Latn-RS"/>
        </w:rPr>
        <w:t xml:space="preserve">sa </w:t>
      </w:r>
      <w:r w:rsidRPr="00394D9A">
        <w:rPr>
          <w:szCs w:val="22"/>
          <w:lang w:val="sr-Latn-RS"/>
        </w:rPr>
        <w:t xml:space="preserve">NVAF u Sjedinjenim Američkim Državama (što je rezultiralo </w:t>
      </w:r>
      <w:r w:rsidR="00826E8C" w:rsidRPr="00394D9A">
        <w:rPr>
          <w:szCs w:val="22"/>
          <w:lang w:val="sr-Latn-RS"/>
        </w:rPr>
        <w:t xml:space="preserve">sa </w:t>
      </w:r>
      <w:r w:rsidR="00BD52DD" w:rsidRPr="00394D9A">
        <w:rPr>
          <w:szCs w:val="22"/>
          <w:lang w:val="sr-Latn-RS"/>
        </w:rPr>
        <w:t>vreme</w:t>
      </w:r>
      <w:r w:rsidRPr="00394D9A">
        <w:rPr>
          <w:szCs w:val="22"/>
          <w:lang w:val="sr-Latn-RS"/>
        </w:rPr>
        <w:t>nom praćenja od više od 37</w:t>
      </w:r>
      <w:r w:rsidR="00335009" w:rsidRPr="00394D9A">
        <w:rPr>
          <w:szCs w:val="22"/>
          <w:lang w:val="sr-Latn-RS"/>
        </w:rPr>
        <w:t xml:space="preserve"> </w:t>
      </w:r>
      <w:r w:rsidRPr="00394D9A">
        <w:rPr>
          <w:szCs w:val="22"/>
          <w:lang w:val="sr-Latn-RS"/>
        </w:rPr>
        <w:t>500 pacijent-godina tokom terapije), dabigatraneteksilat (84% pacijenata l</w:t>
      </w:r>
      <w:r w:rsidR="00933D01" w:rsidRPr="00394D9A">
        <w:rPr>
          <w:szCs w:val="22"/>
          <w:lang w:val="sr-Latn-RS"/>
        </w:rPr>
        <w:t>ij</w:t>
      </w:r>
      <w:r w:rsidRPr="00394D9A">
        <w:rPr>
          <w:szCs w:val="22"/>
          <w:lang w:val="sr-Latn-RS"/>
        </w:rPr>
        <w:t>ečenih dozom od 150 mg dva puta dnevno, 16% pacijenata l</w:t>
      </w:r>
      <w:r w:rsidR="00933D01" w:rsidRPr="00394D9A">
        <w:rPr>
          <w:szCs w:val="22"/>
          <w:lang w:val="sr-Latn-RS"/>
        </w:rPr>
        <w:t>ij</w:t>
      </w:r>
      <w:r w:rsidRPr="00394D9A">
        <w:rPr>
          <w:szCs w:val="22"/>
          <w:lang w:val="sr-Latn-RS"/>
        </w:rPr>
        <w:t>ečenih dozom od 75 mg dva puta dnevno) bio je povezan sa smanjenim rizikom od ishemijskog moždanog udara (</w:t>
      </w:r>
      <w:r w:rsidR="00974076" w:rsidRPr="00394D9A">
        <w:rPr>
          <w:szCs w:val="22"/>
          <w:lang w:val="sr-Latn-RS"/>
        </w:rPr>
        <w:t>odnos rizika</w:t>
      </w:r>
      <w:r w:rsidRPr="00394D9A">
        <w:rPr>
          <w:szCs w:val="22"/>
          <w:lang w:val="sr-Latn-RS"/>
        </w:rPr>
        <w:t xml:space="preserve"> 0,80, 95% interval pouzdanosti [CI] 0,67</w:t>
      </w:r>
      <w:r w:rsidR="00974076" w:rsidRPr="00394D9A">
        <w:rPr>
          <w:szCs w:val="22"/>
          <w:lang w:val="sr-Latn-RS"/>
        </w:rPr>
        <w:t>-</w:t>
      </w:r>
      <w:r w:rsidRPr="00394D9A">
        <w:rPr>
          <w:szCs w:val="22"/>
          <w:lang w:val="sr-Latn-RS"/>
        </w:rPr>
        <w:t>0,96), intrakranijalnog krvarenja (</w:t>
      </w:r>
      <w:r w:rsidR="00974076" w:rsidRPr="00394D9A">
        <w:rPr>
          <w:szCs w:val="22"/>
          <w:lang w:val="sr-Latn-RS"/>
        </w:rPr>
        <w:t>odnos rizika</w:t>
      </w:r>
      <w:r w:rsidRPr="00394D9A">
        <w:rPr>
          <w:szCs w:val="22"/>
          <w:lang w:val="sr-Latn-RS"/>
        </w:rPr>
        <w:t xml:space="preserve"> 0,34, CI 0,26</w:t>
      </w:r>
      <w:r w:rsidR="00974076" w:rsidRPr="00394D9A">
        <w:rPr>
          <w:szCs w:val="22"/>
          <w:lang w:val="sr-Latn-RS"/>
        </w:rPr>
        <w:t>-</w:t>
      </w:r>
      <w:r w:rsidRPr="00394D9A">
        <w:rPr>
          <w:szCs w:val="22"/>
          <w:lang w:val="sr-Latn-RS"/>
        </w:rPr>
        <w:t>0,46) i mortaliteta (</w:t>
      </w:r>
      <w:r w:rsidR="00974076" w:rsidRPr="00394D9A">
        <w:rPr>
          <w:szCs w:val="22"/>
          <w:lang w:val="sr-Latn-RS"/>
        </w:rPr>
        <w:t>odnos rizika</w:t>
      </w:r>
      <w:r w:rsidRPr="00394D9A">
        <w:rPr>
          <w:szCs w:val="22"/>
          <w:lang w:val="sr-Latn-RS"/>
        </w:rPr>
        <w:t>tio 0,86, CI 0,77</w:t>
      </w:r>
      <w:r w:rsidR="00974076" w:rsidRPr="00394D9A">
        <w:rPr>
          <w:szCs w:val="22"/>
          <w:lang w:val="sr-Latn-RS"/>
        </w:rPr>
        <w:t>-</w:t>
      </w:r>
      <w:r w:rsidRPr="00394D9A">
        <w:rPr>
          <w:szCs w:val="22"/>
          <w:lang w:val="sr-Latn-RS"/>
        </w:rPr>
        <w:t xml:space="preserve">0,96) kao i </w:t>
      </w:r>
      <w:r w:rsidR="00826E8C" w:rsidRPr="00394D9A">
        <w:rPr>
          <w:szCs w:val="22"/>
          <w:lang w:val="sr-Latn-RS"/>
        </w:rPr>
        <w:t xml:space="preserve">sa </w:t>
      </w:r>
      <w:r w:rsidRPr="00394D9A">
        <w:rPr>
          <w:szCs w:val="22"/>
          <w:lang w:val="sr-Latn-RS"/>
        </w:rPr>
        <w:t>povećanim rizikom od gastrointestinalnog krvarenja (</w:t>
      </w:r>
      <w:r w:rsidR="00974076" w:rsidRPr="00394D9A">
        <w:rPr>
          <w:szCs w:val="22"/>
          <w:lang w:val="sr-Latn-RS"/>
        </w:rPr>
        <w:t>odnos rizika</w:t>
      </w:r>
      <w:r w:rsidRPr="00394D9A">
        <w:rPr>
          <w:szCs w:val="22"/>
          <w:lang w:val="sr-Latn-RS"/>
        </w:rPr>
        <w:t xml:space="preserve"> 1,28, CI 1,14</w:t>
      </w:r>
      <w:r w:rsidR="00974076" w:rsidRPr="00394D9A">
        <w:rPr>
          <w:szCs w:val="22"/>
          <w:lang w:val="sr-Latn-RS"/>
        </w:rPr>
        <w:t>-</w:t>
      </w:r>
      <w:r w:rsidRPr="00394D9A">
        <w:rPr>
          <w:szCs w:val="22"/>
          <w:lang w:val="sr-Latn-RS"/>
        </w:rPr>
        <w:t xml:space="preserve">1,44) u poređenju </w:t>
      </w:r>
      <w:r w:rsidR="00826E8C" w:rsidRPr="00394D9A">
        <w:rPr>
          <w:szCs w:val="22"/>
          <w:lang w:val="sr-Latn-RS"/>
        </w:rPr>
        <w:t xml:space="preserve">sa </w:t>
      </w:r>
      <w:r w:rsidRPr="00394D9A">
        <w:rPr>
          <w:szCs w:val="22"/>
          <w:lang w:val="sr-Latn-RS"/>
        </w:rPr>
        <w:t>varfarinom. Za veliko krvarenje nije bila pronađena razlika (</w:t>
      </w:r>
      <w:r w:rsidR="00974076" w:rsidRPr="00394D9A">
        <w:rPr>
          <w:szCs w:val="22"/>
          <w:lang w:val="sr-Latn-RS"/>
        </w:rPr>
        <w:t>odnos rizika</w:t>
      </w:r>
      <w:r w:rsidRPr="00394D9A">
        <w:rPr>
          <w:szCs w:val="22"/>
          <w:lang w:val="sr-Latn-RS"/>
        </w:rPr>
        <w:t xml:space="preserve"> 0,97, CI 0,88</w:t>
      </w:r>
      <w:r w:rsidR="00974076" w:rsidRPr="00394D9A">
        <w:rPr>
          <w:szCs w:val="22"/>
          <w:lang w:val="sr-Latn-RS"/>
        </w:rPr>
        <w:t>-</w:t>
      </w:r>
      <w:r w:rsidRPr="00394D9A">
        <w:rPr>
          <w:szCs w:val="22"/>
          <w:lang w:val="sr-Latn-RS"/>
        </w:rPr>
        <w:t>1,07).</w:t>
      </w:r>
    </w:p>
    <w:p w14:paraId="4DFCD149" w14:textId="77777777" w:rsidR="00B33397" w:rsidRPr="00394D9A" w:rsidRDefault="00B33397" w:rsidP="00187D17">
      <w:pPr>
        <w:widowControl w:val="0"/>
        <w:rPr>
          <w:szCs w:val="22"/>
          <w:lang w:val="sr-Latn-RS"/>
        </w:rPr>
      </w:pPr>
    </w:p>
    <w:p w14:paraId="76F5CA50" w14:textId="021401EC" w:rsidR="00B33397" w:rsidRPr="00394D9A" w:rsidRDefault="00B33397" w:rsidP="00187D17">
      <w:pPr>
        <w:widowControl w:val="0"/>
        <w:rPr>
          <w:szCs w:val="22"/>
          <w:lang w:val="sr-Latn-RS"/>
        </w:rPr>
      </w:pPr>
      <w:r w:rsidRPr="00394D9A">
        <w:rPr>
          <w:szCs w:val="22"/>
          <w:lang w:val="sr-Latn-RS"/>
        </w:rPr>
        <w:t xml:space="preserve">Ova opažanja u situaciji svakodnevne </w:t>
      </w:r>
      <w:r w:rsidR="00A639DA" w:rsidRPr="00394D9A">
        <w:rPr>
          <w:szCs w:val="22"/>
          <w:lang w:val="sr-Latn-RS"/>
        </w:rPr>
        <w:t>primjene</w:t>
      </w:r>
      <w:r w:rsidRPr="00394D9A">
        <w:rPr>
          <w:szCs w:val="22"/>
          <w:lang w:val="sr-Latn-RS"/>
        </w:rPr>
        <w:t xml:space="preserve"> odgovaraju profilu bezb</w:t>
      </w:r>
      <w:r w:rsidR="00933D01" w:rsidRPr="00394D9A">
        <w:rPr>
          <w:szCs w:val="22"/>
          <w:lang w:val="sr-Latn-RS"/>
        </w:rPr>
        <w:t>j</w:t>
      </w:r>
      <w:r w:rsidRPr="00394D9A">
        <w:rPr>
          <w:szCs w:val="22"/>
          <w:lang w:val="sr-Latn-RS"/>
        </w:rPr>
        <w:t>ednosti i efikasnosti dabigatraneteksilata ustanovljenom za ovu indikaciju u ispitivanju RE-LY.</w:t>
      </w:r>
    </w:p>
    <w:p w14:paraId="7DF55A96" w14:textId="48A12A26" w:rsidR="0095164B" w:rsidRPr="00394D9A" w:rsidRDefault="0095164B" w:rsidP="00187D17">
      <w:pPr>
        <w:widowControl w:val="0"/>
        <w:rPr>
          <w:szCs w:val="22"/>
          <w:lang w:val="sr-Latn-RS"/>
        </w:rPr>
      </w:pPr>
    </w:p>
    <w:p w14:paraId="5E106305" w14:textId="0E50AED8" w:rsidR="0095164B" w:rsidRPr="00394D9A" w:rsidRDefault="00F73DD7" w:rsidP="00187D17">
      <w:pPr>
        <w:widowControl w:val="0"/>
        <w:rPr>
          <w:i/>
          <w:iCs/>
          <w:szCs w:val="22"/>
          <w:lang w:val="sr-Latn-RS"/>
        </w:rPr>
      </w:pPr>
      <w:r w:rsidRPr="00394D9A">
        <w:rPr>
          <w:i/>
          <w:iCs/>
          <w:szCs w:val="22"/>
          <w:lang w:val="sr-Latn-RS"/>
        </w:rPr>
        <w:t>Pacijenti koji su bili podvrgnuti kateterskoj ablaciji zbog atrijalne fibrilacije</w:t>
      </w:r>
    </w:p>
    <w:p w14:paraId="485052E2" w14:textId="77777777" w:rsidR="00F73DD7" w:rsidRPr="00394D9A" w:rsidRDefault="00F73DD7" w:rsidP="00187D17">
      <w:pPr>
        <w:widowControl w:val="0"/>
        <w:rPr>
          <w:szCs w:val="22"/>
          <w:lang w:val="sr-Latn-RS"/>
        </w:rPr>
      </w:pPr>
    </w:p>
    <w:p w14:paraId="0B6BF041" w14:textId="1755F760" w:rsidR="006A2EBC" w:rsidRPr="00394D9A" w:rsidRDefault="00F73DD7" w:rsidP="00187D17">
      <w:pPr>
        <w:widowControl w:val="0"/>
        <w:rPr>
          <w:szCs w:val="22"/>
          <w:lang w:val="sr-Latn-RS"/>
        </w:rPr>
      </w:pPr>
      <w:r w:rsidRPr="00394D9A">
        <w:rPr>
          <w:szCs w:val="22"/>
          <w:lang w:val="sr-Latn-RS"/>
        </w:rPr>
        <w:t>Prospektivn</w:t>
      </w:r>
      <w:r w:rsidR="009E51EC" w:rsidRPr="00394D9A">
        <w:rPr>
          <w:szCs w:val="22"/>
          <w:lang w:val="sr-Latn-RS"/>
        </w:rPr>
        <w:t>a</w:t>
      </w:r>
      <w:r w:rsidRPr="00394D9A">
        <w:rPr>
          <w:szCs w:val="22"/>
          <w:lang w:val="sr-Latn-RS"/>
        </w:rPr>
        <w:t>, randomizovan</w:t>
      </w:r>
      <w:r w:rsidR="009E51EC" w:rsidRPr="00394D9A">
        <w:rPr>
          <w:szCs w:val="22"/>
          <w:lang w:val="sr-Latn-RS"/>
        </w:rPr>
        <w:t>a</w:t>
      </w:r>
      <w:r w:rsidRPr="00394D9A">
        <w:rPr>
          <w:szCs w:val="22"/>
          <w:lang w:val="sr-Latn-RS"/>
        </w:rPr>
        <w:t>, otvoren</w:t>
      </w:r>
      <w:r w:rsidR="009E51EC" w:rsidRPr="00394D9A">
        <w:rPr>
          <w:szCs w:val="22"/>
          <w:lang w:val="sr-Latn-RS"/>
        </w:rPr>
        <w:t>a</w:t>
      </w:r>
      <w:r w:rsidRPr="00394D9A">
        <w:rPr>
          <w:szCs w:val="22"/>
          <w:lang w:val="sr-Latn-RS"/>
        </w:rPr>
        <w:t>, multicentričn</w:t>
      </w:r>
      <w:r w:rsidR="009E51EC" w:rsidRPr="00394D9A">
        <w:rPr>
          <w:szCs w:val="22"/>
          <w:lang w:val="sr-Latn-RS"/>
        </w:rPr>
        <w:t>a</w:t>
      </w:r>
      <w:r w:rsidRPr="00394D9A">
        <w:rPr>
          <w:szCs w:val="22"/>
          <w:lang w:val="sr-Latn-RS"/>
        </w:rPr>
        <w:t xml:space="preserve">, </w:t>
      </w:r>
      <w:r w:rsidR="009E51EC" w:rsidRPr="00394D9A">
        <w:rPr>
          <w:szCs w:val="22"/>
          <w:lang w:val="sr-Latn-RS"/>
        </w:rPr>
        <w:t>istraživačka</w:t>
      </w:r>
      <w:r w:rsidRPr="00394D9A">
        <w:rPr>
          <w:szCs w:val="22"/>
          <w:lang w:val="sr-Latn-RS"/>
        </w:rPr>
        <w:t xml:space="preserve"> </w:t>
      </w:r>
      <w:r w:rsidR="009E51EC" w:rsidRPr="00394D9A">
        <w:rPr>
          <w:szCs w:val="22"/>
          <w:lang w:val="sr-Latn-RS"/>
        </w:rPr>
        <w:t>studija</w:t>
      </w:r>
      <w:r w:rsidRPr="00394D9A">
        <w:rPr>
          <w:szCs w:val="22"/>
          <w:lang w:val="sr-Latn-RS"/>
        </w:rPr>
        <w:t xml:space="preserve"> </w:t>
      </w:r>
      <w:r w:rsidR="009E51EC" w:rsidRPr="00394D9A">
        <w:rPr>
          <w:szCs w:val="22"/>
          <w:lang w:val="sr-Latn-RS"/>
        </w:rPr>
        <w:t>s</w:t>
      </w:r>
      <w:r w:rsidRPr="00394D9A">
        <w:rPr>
          <w:szCs w:val="22"/>
          <w:lang w:val="sr-Latn-RS"/>
        </w:rPr>
        <w:t>a</w:t>
      </w:r>
      <w:r w:rsidR="009E51EC" w:rsidRPr="00394D9A">
        <w:rPr>
          <w:szCs w:val="22"/>
          <w:lang w:val="sr-Latn-RS"/>
        </w:rPr>
        <w:t xml:space="preserve"> zasl</w:t>
      </w:r>
      <w:r w:rsidR="00933D01" w:rsidRPr="00394D9A">
        <w:rPr>
          <w:szCs w:val="22"/>
          <w:lang w:val="sr-Latn-RS"/>
        </w:rPr>
        <w:t>ije</w:t>
      </w:r>
      <w:r w:rsidR="009E51EC" w:rsidRPr="00394D9A">
        <w:rPr>
          <w:szCs w:val="22"/>
          <w:lang w:val="sr-Latn-RS"/>
        </w:rPr>
        <w:t>pljenim</w:t>
      </w:r>
      <w:r w:rsidRPr="00394D9A">
        <w:rPr>
          <w:szCs w:val="22"/>
          <w:lang w:val="sr-Latn-RS"/>
        </w:rPr>
        <w:t xml:space="preserve"> centralno </w:t>
      </w:r>
      <w:r w:rsidR="009E51EC" w:rsidRPr="00394D9A">
        <w:rPr>
          <w:szCs w:val="22"/>
          <w:lang w:val="sr-Latn-RS"/>
        </w:rPr>
        <w:t>proc</w:t>
      </w:r>
      <w:r w:rsidR="00933D01" w:rsidRPr="00394D9A">
        <w:rPr>
          <w:szCs w:val="22"/>
          <w:lang w:val="sr-Latn-RS"/>
        </w:rPr>
        <w:t>j</w:t>
      </w:r>
      <w:r w:rsidR="009E51EC" w:rsidRPr="00394D9A">
        <w:rPr>
          <w:szCs w:val="22"/>
          <w:lang w:val="sr-Latn-RS"/>
        </w:rPr>
        <w:t xml:space="preserve">enjenim ishodom </w:t>
      </w:r>
      <w:r w:rsidRPr="00394D9A">
        <w:rPr>
          <w:szCs w:val="22"/>
          <w:lang w:val="sr-Latn-RS"/>
        </w:rPr>
        <w:t>(RE-CIRCUIT)</w:t>
      </w:r>
      <w:r w:rsidR="009E51EC" w:rsidRPr="00394D9A">
        <w:rPr>
          <w:szCs w:val="22"/>
          <w:lang w:val="sr-Latn-RS"/>
        </w:rPr>
        <w:t xml:space="preserve"> je</w:t>
      </w:r>
      <w:r w:rsidRPr="00394D9A">
        <w:rPr>
          <w:szCs w:val="22"/>
          <w:lang w:val="sr-Latn-RS"/>
        </w:rPr>
        <w:t xml:space="preserve"> sproveden</w:t>
      </w:r>
      <w:r w:rsidR="009E51EC" w:rsidRPr="00394D9A">
        <w:rPr>
          <w:szCs w:val="22"/>
          <w:lang w:val="sr-Latn-RS"/>
        </w:rPr>
        <w:t>a</w:t>
      </w:r>
      <w:r w:rsidRPr="00394D9A">
        <w:rPr>
          <w:szCs w:val="22"/>
          <w:lang w:val="sr-Latn-RS"/>
        </w:rPr>
        <w:t xml:space="preserve"> </w:t>
      </w:r>
      <w:r w:rsidR="00B06B70" w:rsidRPr="00394D9A">
        <w:rPr>
          <w:szCs w:val="22"/>
          <w:lang w:val="sr-Latn-RS"/>
        </w:rPr>
        <w:t>kod</w:t>
      </w:r>
      <w:r w:rsidRPr="00394D9A">
        <w:rPr>
          <w:szCs w:val="22"/>
          <w:lang w:val="sr-Latn-RS"/>
        </w:rPr>
        <w:t xml:space="preserve"> 704 pacijenta koji su bili na</w:t>
      </w:r>
      <w:r w:rsidR="009E51EC" w:rsidRPr="00394D9A">
        <w:rPr>
          <w:szCs w:val="22"/>
          <w:lang w:val="sr-Latn-RS"/>
        </w:rPr>
        <w:t xml:space="preserve"> </w:t>
      </w:r>
      <w:r w:rsidRPr="00394D9A">
        <w:rPr>
          <w:szCs w:val="22"/>
          <w:lang w:val="sr-Latn-RS"/>
        </w:rPr>
        <w:t xml:space="preserve">stabilnoj antikoagulantnoj terapiji. </w:t>
      </w:r>
      <w:r w:rsidR="009E51EC" w:rsidRPr="00394D9A">
        <w:rPr>
          <w:szCs w:val="22"/>
          <w:lang w:val="sr-Latn-RS"/>
        </w:rPr>
        <w:t>Ova studija je u</w:t>
      </w:r>
      <w:r w:rsidRPr="00394D9A">
        <w:rPr>
          <w:szCs w:val="22"/>
          <w:lang w:val="sr-Latn-RS"/>
        </w:rPr>
        <w:t>poređ</w:t>
      </w:r>
      <w:r w:rsidR="009E51EC" w:rsidRPr="00394D9A">
        <w:rPr>
          <w:szCs w:val="22"/>
          <w:lang w:val="sr-Latn-RS"/>
        </w:rPr>
        <w:t>ivala</w:t>
      </w:r>
      <w:r w:rsidRPr="00394D9A">
        <w:rPr>
          <w:szCs w:val="22"/>
          <w:lang w:val="sr-Latn-RS"/>
        </w:rPr>
        <w:t xml:space="preserve"> neprekinut</w:t>
      </w:r>
      <w:r w:rsidR="009E51EC" w:rsidRPr="00394D9A">
        <w:rPr>
          <w:szCs w:val="22"/>
          <w:lang w:val="sr-Latn-RS"/>
        </w:rPr>
        <w:t>u</w:t>
      </w:r>
      <w:r w:rsidRPr="00394D9A">
        <w:rPr>
          <w:szCs w:val="22"/>
          <w:lang w:val="sr-Latn-RS"/>
        </w:rPr>
        <w:t xml:space="preserve"> terapij</w:t>
      </w:r>
      <w:r w:rsidR="009E51EC" w:rsidRPr="00394D9A">
        <w:rPr>
          <w:szCs w:val="22"/>
          <w:lang w:val="sr-Latn-RS"/>
        </w:rPr>
        <w:t xml:space="preserve">u </w:t>
      </w:r>
      <w:r w:rsidRPr="00394D9A">
        <w:rPr>
          <w:szCs w:val="22"/>
          <w:lang w:val="sr-Latn-RS"/>
        </w:rPr>
        <w:t>dabigatraneteksilatom</w:t>
      </w:r>
      <w:r w:rsidR="00B06B70" w:rsidRPr="00394D9A">
        <w:rPr>
          <w:szCs w:val="22"/>
          <w:lang w:val="sr-Latn-RS"/>
        </w:rPr>
        <w:t xml:space="preserve"> u dozi od</w:t>
      </w:r>
      <w:r w:rsidRPr="00394D9A">
        <w:rPr>
          <w:szCs w:val="22"/>
          <w:lang w:val="sr-Latn-RS"/>
        </w:rPr>
        <w:t xml:space="preserve"> 150 mg dva</w:t>
      </w:r>
      <w:r w:rsidR="00335009" w:rsidRPr="00394D9A">
        <w:rPr>
          <w:szCs w:val="22"/>
          <w:lang w:val="sr-Latn-RS"/>
        </w:rPr>
        <w:t xml:space="preserve"> </w:t>
      </w:r>
      <w:r w:rsidRPr="00394D9A">
        <w:rPr>
          <w:szCs w:val="22"/>
          <w:lang w:val="sr-Latn-RS"/>
        </w:rPr>
        <w:t>put</w:t>
      </w:r>
      <w:r w:rsidR="00335009" w:rsidRPr="00394D9A">
        <w:rPr>
          <w:szCs w:val="22"/>
          <w:lang w:val="sr-Latn-RS"/>
        </w:rPr>
        <w:t>a</w:t>
      </w:r>
      <w:r w:rsidRPr="00394D9A">
        <w:rPr>
          <w:szCs w:val="22"/>
          <w:lang w:val="sr-Latn-RS"/>
        </w:rPr>
        <w:t xml:space="preserve"> dnevno s</w:t>
      </w:r>
      <w:r w:rsidR="009E51EC" w:rsidRPr="00394D9A">
        <w:rPr>
          <w:szCs w:val="22"/>
          <w:lang w:val="sr-Latn-RS"/>
        </w:rPr>
        <w:t>a</w:t>
      </w:r>
      <w:r w:rsidRPr="00394D9A">
        <w:rPr>
          <w:szCs w:val="22"/>
          <w:lang w:val="sr-Latn-RS"/>
        </w:rPr>
        <w:t xml:space="preserve"> neprekinut</w:t>
      </w:r>
      <w:r w:rsidR="009E51EC" w:rsidRPr="00394D9A">
        <w:rPr>
          <w:szCs w:val="22"/>
          <w:lang w:val="sr-Latn-RS"/>
        </w:rPr>
        <w:t>om terapijom</w:t>
      </w:r>
      <w:r w:rsidRPr="00394D9A">
        <w:rPr>
          <w:szCs w:val="22"/>
          <w:lang w:val="sr-Latn-RS"/>
        </w:rPr>
        <w:t xml:space="preserve"> varfarinom </w:t>
      </w:r>
      <w:r w:rsidR="009E51EC" w:rsidRPr="00394D9A">
        <w:rPr>
          <w:szCs w:val="22"/>
          <w:lang w:val="sr-Latn-RS"/>
        </w:rPr>
        <w:t xml:space="preserve">(uz </w:t>
      </w:r>
      <w:r w:rsidRPr="00394D9A">
        <w:rPr>
          <w:szCs w:val="22"/>
          <w:lang w:val="sr-Latn-RS"/>
        </w:rPr>
        <w:t>prilagođeni</w:t>
      </w:r>
      <w:r w:rsidR="009E51EC" w:rsidRPr="00394D9A">
        <w:rPr>
          <w:szCs w:val="22"/>
          <w:lang w:val="sr-Latn-RS"/>
        </w:rPr>
        <w:t xml:space="preserve"> </w:t>
      </w:r>
      <w:r w:rsidRPr="00394D9A">
        <w:rPr>
          <w:szCs w:val="22"/>
          <w:lang w:val="sr-Latn-RS"/>
        </w:rPr>
        <w:t>INR</w:t>
      </w:r>
      <w:r w:rsidR="009E51EC" w:rsidRPr="00394D9A">
        <w:rPr>
          <w:szCs w:val="22"/>
          <w:lang w:val="sr-Latn-RS"/>
        </w:rPr>
        <w:t>)</w:t>
      </w:r>
      <w:r w:rsidRPr="00394D9A">
        <w:rPr>
          <w:szCs w:val="22"/>
          <w:lang w:val="sr-Latn-RS"/>
        </w:rPr>
        <w:t xml:space="preserve"> kod kateterske ablacije paroksizmalne ili perzistentne</w:t>
      </w:r>
      <w:r w:rsidR="009E51EC" w:rsidRPr="00394D9A">
        <w:rPr>
          <w:szCs w:val="22"/>
          <w:lang w:val="sr-Latn-RS"/>
        </w:rPr>
        <w:t xml:space="preserve"> atrijalne</w:t>
      </w:r>
      <w:r w:rsidRPr="00394D9A">
        <w:rPr>
          <w:szCs w:val="22"/>
          <w:lang w:val="sr-Latn-RS"/>
        </w:rPr>
        <w:t xml:space="preserve"> fibrilacije. Od 704 uključen</w:t>
      </w:r>
      <w:r w:rsidR="00B06B70" w:rsidRPr="00394D9A">
        <w:rPr>
          <w:szCs w:val="22"/>
          <w:lang w:val="sr-Latn-RS"/>
        </w:rPr>
        <w:t>a</w:t>
      </w:r>
      <w:r w:rsidR="009E51EC" w:rsidRPr="00394D9A">
        <w:rPr>
          <w:szCs w:val="22"/>
          <w:lang w:val="sr-Latn-RS"/>
        </w:rPr>
        <w:t xml:space="preserve"> </w:t>
      </w:r>
      <w:r w:rsidRPr="00394D9A">
        <w:rPr>
          <w:szCs w:val="22"/>
          <w:lang w:val="sr-Latn-RS"/>
        </w:rPr>
        <w:t>pacijenta, njih 317 bilo je podvrgnuto ablaciji atrijalne fibrilacije na neprekinutom dabigatranu, a</w:t>
      </w:r>
      <w:r w:rsidR="009E51EC" w:rsidRPr="00394D9A">
        <w:rPr>
          <w:szCs w:val="22"/>
          <w:lang w:val="sr-Latn-RS"/>
        </w:rPr>
        <w:t xml:space="preserve"> </w:t>
      </w:r>
      <w:r w:rsidRPr="00394D9A">
        <w:rPr>
          <w:szCs w:val="22"/>
          <w:lang w:val="sr-Latn-RS"/>
        </w:rPr>
        <w:t>njih 318 bilo je podvrgnuto ablaciji atrijalne fibrilacije na neprekinutom varfarinu.</w:t>
      </w:r>
      <w:r w:rsidR="006A2EBC" w:rsidRPr="00394D9A">
        <w:rPr>
          <w:szCs w:val="22"/>
          <w:lang w:val="sr-Latn-RS"/>
        </w:rPr>
        <w:t xml:space="preserve"> Svi pacijenti su pr</w:t>
      </w:r>
      <w:r w:rsidR="00933D01" w:rsidRPr="00394D9A">
        <w:rPr>
          <w:szCs w:val="22"/>
          <w:lang w:val="sr-Latn-RS"/>
        </w:rPr>
        <w:t>ij</w:t>
      </w:r>
      <w:r w:rsidR="006A2EBC" w:rsidRPr="00394D9A">
        <w:rPr>
          <w:szCs w:val="22"/>
          <w:lang w:val="sr-Latn-RS"/>
        </w:rPr>
        <w:t>e kateterske ablacije bili podvrgnuti transezofagealnoj ehokardiografiji (TEE).</w:t>
      </w:r>
      <w:r w:rsidR="008D0744" w:rsidRPr="00394D9A">
        <w:rPr>
          <w:szCs w:val="22"/>
          <w:lang w:val="sr-Latn-RS"/>
        </w:rPr>
        <w:t xml:space="preserve"> Primarni ishod (događaj velikog krvarenja prema ISTH kriterijumima) se dogodio kod 5 (1,6%) pacijenata u grupi koja je bila na terapiji dabigatrameteksilatom i kod 22 (6,9%) pacijenata u grupi koja je bila na terapiji varfarinom (</w:t>
      </w:r>
      <w:r w:rsidR="00B06B70" w:rsidRPr="00394D9A">
        <w:rPr>
          <w:szCs w:val="22"/>
          <w:lang w:val="sr-Latn-RS"/>
        </w:rPr>
        <w:t>odnos rizika</w:t>
      </w:r>
      <w:r w:rsidR="008D0744" w:rsidRPr="00394D9A">
        <w:rPr>
          <w:szCs w:val="22"/>
          <w:lang w:val="sr-Latn-RS"/>
        </w:rPr>
        <w:t xml:space="preserve"> </w:t>
      </w:r>
      <w:r w:rsidR="00B06B70" w:rsidRPr="00394D9A">
        <w:rPr>
          <w:szCs w:val="22"/>
          <w:lang w:val="sr-Latn-RS"/>
        </w:rPr>
        <w:softHyphen/>
      </w:r>
      <w:r w:rsidR="00B06B70" w:rsidRPr="00394D9A">
        <w:rPr>
          <w:szCs w:val="22"/>
          <w:lang w:val="sr-Latn-RS"/>
        </w:rPr>
        <w:softHyphen/>
        <w:t>-</w:t>
      </w:r>
      <w:r w:rsidR="008D0744" w:rsidRPr="00394D9A">
        <w:rPr>
          <w:szCs w:val="22"/>
          <w:lang w:val="sr-Latn-RS"/>
        </w:rPr>
        <w:t xml:space="preserve">5,3%; 95% CI </w:t>
      </w:r>
      <w:r w:rsidR="00B06B70" w:rsidRPr="00394D9A">
        <w:rPr>
          <w:szCs w:val="22"/>
          <w:lang w:val="sr-Latn-RS"/>
        </w:rPr>
        <w:t>-</w:t>
      </w:r>
      <w:r w:rsidR="008D0744" w:rsidRPr="00394D9A">
        <w:rPr>
          <w:szCs w:val="22"/>
          <w:lang w:val="sr-Latn-RS"/>
        </w:rPr>
        <w:t xml:space="preserve">8,4; </w:t>
      </w:r>
      <w:r w:rsidR="00B06B70" w:rsidRPr="00394D9A">
        <w:rPr>
          <w:szCs w:val="22"/>
          <w:lang w:val="sr-Latn-RS"/>
        </w:rPr>
        <w:t>-</w:t>
      </w:r>
      <w:r w:rsidR="008D0744" w:rsidRPr="00394D9A">
        <w:rPr>
          <w:szCs w:val="22"/>
          <w:lang w:val="sr-Latn-RS"/>
        </w:rPr>
        <w:t xml:space="preserve">2,2; </w:t>
      </w:r>
      <w:r w:rsidR="00B06B70" w:rsidRPr="00394D9A">
        <w:rPr>
          <w:szCs w:val="22"/>
          <w:lang w:val="sr-Latn-RS"/>
        </w:rPr>
        <w:t>p</w:t>
      </w:r>
      <w:r w:rsidR="008D0744" w:rsidRPr="00394D9A">
        <w:rPr>
          <w:szCs w:val="22"/>
          <w:lang w:val="sr-Latn-RS"/>
        </w:rPr>
        <w:t xml:space="preserve">=0,0009). </w:t>
      </w:r>
      <w:r w:rsidR="006A2EBC" w:rsidRPr="00394D9A">
        <w:rPr>
          <w:szCs w:val="22"/>
          <w:lang w:val="sr-Latn-RS"/>
        </w:rPr>
        <w:t>U grupi koja je primala</w:t>
      </w:r>
      <w:r w:rsidR="008D0744" w:rsidRPr="00394D9A">
        <w:rPr>
          <w:szCs w:val="22"/>
          <w:lang w:val="sr-Latn-RS"/>
        </w:rPr>
        <w:t xml:space="preserve"> terapiju</w:t>
      </w:r>
      <w:r w:rsidR="006A2EBC" w:rsidRPr="00394D9A">
        <w:rPr>
          <w:szCs w:val="22"/>
          <w:lang w:val="sr-Latn-RS"/>
        </w:rPr>
        <w:t xml:space="preserve"> dabigatraneteksilat</w:t>
      </w:r>
      <w:r w:rsidR="008D0744" w:rsidRPr="00394D9A">
        <w:rPr>
          <w:szCs w:val="22"/>
          <w:lang w:val="sr-Latn-RS"/>
        </w:rPr>
        <w:t>om</w:t>
      </w:r>
      <w:r w:rsidR="006A2EBC" w:rsidRPr="00394D9A">
        <w:rPr>
          <w:szCs w:val="22"/>
          <w:lang w:val="sr-Latn-RS"/>
        </w:rPr>
        <w:t xml:space="preserve"> nije bilo događaja moždanog udara/sistemske embolije/TIA (kompozitni), a u grupi koja je primala terapiju varfarin</w:t>
      </w:r>
      <w:r w:rsidR="008D0744" w:rsidRPr="00394D9A">
        <w:rPr>
          <w:szCs w:val="22"/>
          <w:lang w:val="sr-Latn-RS"/>
        </w:rPr>
        <w:t>om</w:t>
      </w:r>
      <w:r w:rsidR="006A2EBC" w:rsidRPr="00394D9A">
        <w:rPr>
          <w:szCs w:val="22"/>
          <w:lang w:val="sr-Latn-RS"/>
        </w:rPr>
        <w:t xml:space="preserve"> bio je jedan događaj (TIA) od trenutka ablacije do </w:t>
      </w:r>
      <w:r w:rsidR="008D0744" w:rsidRPr="00394D9A">
        <w:rPr>
          <w:szCs w:val="22"/>
          <w:lang w:val="sr-Latn-RS"/>
        </w:rPr>
        <w:t xml:space="preserve">kraja </w:t>
      </w:r>
      <w:r w:rsidR="006A2EBC" w:rsidRPr="00394D9A">
        <w:rPr>
          <w:szCs w:val="22"/>
          <w:lang w:val="sr-Latn-RS"/>
        </w:rPr>
        <w:t>8 ned</w:t>
      </w:r>
      <w:r w:rsidR="00933D01" w:rsidRPr="00394D9A">
        <w:rPr>
          <w:szCs w:val="22"/>
          <w:lang w:val="sr-Latn-RS"/>
        </w:rPr>
        <w:t>j</w:t>
      </w:r>
      <w:r w:rsidR="006A2EBC" w:rsidRPr="00394D9A">
        <w:rPr>
          <w:szCs w:val="22"/>
          <w:lang w:val="sr-Latn-RS"/>
        </w:rPr>
        <w:t>elje nakon ablacije. Ova istraživačka studija je pokazala da je dabigatraneteksilat povezan sa značajnim smanjenjem stope događaja velikih krvarenja kod ablacije u poređenju sa INR prilagođenom terapijom varfarina.</w:t>
      </w:r>
    </w:p>
    <w:p w14:paraId="4E5F5560" w14:textId="77777777" w:rsidR="00B33397" w:rsidRPr="00394D9A" w:rsidRDefault="00B33397" w:rsidP="00187D17">
      <w:pPr>
        <w:widowControl w:val="0"/>
        <w:rPr>
          <w:szCs w:val="22"/>
          <w:lang w:val="sr-Latn-RS"/>
        </w:rPr>
      </w:pPr>
    </w:p>
    <w:p w14:paraId="3A5B1686" w14:textId="2F67EDEF" w:rsidR="00B33397" w:rsidRPr="00394D9A" w:rsidRDefault="00B33397" w:rsidP="00187D17">
      <w:pPr>
        <w:widowControl w:val="0"/>
        <w:rPr>
          <w:i/>
          <w:iCs/>
          <w:szCs w:val="22"/>
          <w:lang w:val="sr-Latn-RS"/>
        </w:rPr>
      </w:pPr>
      <w:r w:rsidRPr="00394D9A">
        <w:rPr>
          <w:i/>
          <w:iCs/>
          <w:szCs w:val="22"/>
          <w:lang w:val="sr-Latn-RS"/>
        </w:rPr>
        <w:t xml:space="preserve">Pacijenti koji su bili podvrgnuti perkutanoj koronarnoj intervenciji (PCI) </w:t>
      </w:r>
      <w:r w:rsidR="00826E8C" w:rsidRPr="00394D9A">
        <w:rPr>
          <w:i/>
          <w:iCs/>
          <w:szCs w:val="22"/>
          <w:lang w:val="sr-Latn-RS"/>
        </w:rPr>
        <w:t xml:space="preserve">sa </w:t>
      </w:r>
      <w:r w:rsidRPr="00394D9A">
        <w:rPr>
          <w:i/>
          <w:iCs/>
          <w:szCs w:val="22"/>
          <w:lang w:val="sr-Latn-RS"/>
        </w:rPr>
        <w:t>ugradnjom stenta</w:t>
      </w:r>
    </w:p>
    <w:p w14:paraId="537BD391" w14:textId="77777777" w:rsidR="00B33397" w:rsidRPr="00394D9A" w:rsidRDefault="00B33397" w:rsidP="00187D17">
      <w:pPr>
        <w:widowControl w:val="0"/>
        <w:rPr>
          <w:szCs w:val="22"/>
          <w:lang w:val="sr-Latn-RS"/>
        </w:rPr>
      </w:pPr>
    </w:p>
    <w:p w14:paraId="7FFC7F2F" w14:textId="4358887D" w:rsidR="00921C26" w:rsidRPr="00394D9A" w:rsidRDefault="00921C26" w:rsidP="00187D17">
      <w:pPr>
        <w:widowControl w:val="0"/>
        <w:rPr>
          <w:szCs w:val="22"/>
          <w:lang w:val="sr-Latn-RS"/>
        </w:rPr>
      </w:pPr>
      <w:r w:rsidRPr="00394D9A">
        <w:rPr>
          <w:szCs w:val="22"/>
          <w:lang w:val="sr-Latn-RS"/>
        </w:rPr>
        <w:t>Prospektivno, randomizovano, otvoreno ispitivanje (faze IIIb) sa zasl</w:t>
      </w:r>
      <w:r w:rsidR="00933D01" w:rsidRPr="00394D9A">
        <w:rPr>
          <w:szCs w:val="22"/>
          <w:lang w:val="sr-Latn-RS"/>
        </w:rPr>
        <w:t>ije</w:t>
      </w:r>
      <w:r w:rsidRPr="00394D9A">
        <w:rPr>
          <w:szCs w:val="22"/>
          <w:lang w:val="sr-Latn-RS"/>
        </w:rPr>
        <w:t>pljenim ishodom (PROBE) za proc</w:t>
      </w:r>
      <w:r w:rsidR="00933D01" w:rsidRPr="00394D9A">
        <w:rPr>
          <w:szCs w:val="22"/>
          <w:lang w:val="sr-Latn-RS"/>
        </w:rPr>
        <w:t>j</w:t>
      </w:r>
      <w:r w:rsidRPr="00394D9A">
        <w:rPr>
          <w:szCs w:val="22"/>
          <w:lang w:val="sr-Latn-RS"/>
        </w:rPr>
        <w:t xml:space="preserve">enu dvojne terapije dabigatraneteksilatom (110 mg ili 150 mg dva puta dnevno) plus klopidogrel ili tikagrelor (antagonisti receptora P2Y12) naspram trojne terapije sa varfarinom (uz prilagođeni INR 2,0-3,0) plus klopidogrel ili tikagrelor i aspirin bilo je sprovedeno kod 2725 pacijenata sa nevalvularnom atrijalnom fibrilacijom koji su bilo podvrgnuti zahvatu PCI sa ugradnjom stenta (RE-DUAL PCI). Pacijenti su bili randominizovani u grupu koja je primala dvojnu terapiju dabigatraneteksilatom 110 mg </w:t>
      </w:r>
      <w:r w:rsidRPr="00394D9A">
        <w:rPr>
          <w:szCs w:val="22"/>
          <w:lang w:val="sr-Latn-RS"/>
        </w:rPr>
        <w:lastRenderedPageBreak/>
        <w:t>dva puta dnevno, grupu koja je primala dvojnu terapiju dabigatraneteksilatom 150 mg dva puta dnevno ili grupu koja je primala trojnu terapiju varfarinom. Stariji pacijenti izvan Sjedinjenih Američkih Država (stariji  ≥80 godina u svim državama, ≥70 godina za Japan) nasumično su bili dod</w:t>
      </w:r>
      <w:r w:rsidR="00933D01" w:rsidRPr="00394D9A">
        <w:rPr>
          <w:szCs w:val="22"/>
          <w:lang w:val="sr-Latn-RS"/>
        </w:rPr>
        <w:t>j</w:t>
      </w:r>
      <w:r w:rsidRPr="00394D9A">
        <w:rPr>
          <w:szCs w:val="22"/>
          <w:lang w:val="sr-Latn-RS"/>
        </w:rPr>
        <w:t>eljeni u grupu koja je primala dvojnu terapiju dabigatraneteksilatom 110 mg ili grupu koja je primala trojnu terapiju sa varfarinom. Primarni cilj ispitivanja je bio kombinovan i uključivao je velika krvarenja na osnovu definicije ISTH-a ili klinički značajan događaj ne-velikog krvarenja.</w:t>
      </w:r>
    </w:p>
    <w:p w14:paraId="14A82CB5" w14:textId="77777777" w:rsidR="00921C26" w:rsidRPr="00394D9A" w:rsidRDefault="00921C26" w:rsidP="00187D17">
      <w:pPr>
        <w:widowControl w:val="0"/>
        <w:rPr>
          <w:szCs w:val="22"/>
          <w:lang w:val="sr-Latn-RS"/>
        </w:rPr>
      </w:pPr>
    </w:p>
    <w:p w14:paraId="12C7CE55" w14:textId="0AEFBA82" w:rsidR="00921C26" w:rsidRPr="00394D9A" w:rsidRDefault="00921C26" w:rsidP="00187D17">
      <w:pPr>
        <w:widowControl w:val="0"/>
        <w:rPr>
          <w:szCs w:val="22"/>
          <w:lang w:val="sr-Latn-RS"/>
        </w:rPr>
      </w:pPr>
      <w:r w:rsidRPr="00394D9A">
        <w:rPr>
          <w:szCs w:val="22"/>
          <w:lang w:val="sr-Latn-RS"/>
        </w:rPr>
        <w:t>Incidenca primarnog cilja ispitivanja bila je 15,4% (151 pacijent) u grupi koja je primala dvojnu terapiju dabigatraneteksilatom 110 mg u poređenju sa 26,9% (264 pacijenta) u grupi koja je primala trojnu terapiju varfarinom (HR 0,52; 95% CI 0,42; 0,63; p&lt;0,0001 za neinferiornost i p&lt;0,0001 za superiornost) i 20,2% (154 pacijenta) u grupi koja je primala dvojnu terapiju dabigatraneteksilatom 150 mg u poređenju sa 25,7% (196 pacijenta) u odgovarajućoj grupi koja je primala trojnu terapiju varfarinom (HR 0,72; 95% CI 0,58; 0,88; p&lt;0,0001 za neinferiornost i p=0,002 za superiornost). U deskriptivnoj analizi, događaji velikog krvarenja prema TIMI (tromboliza u infarktu miokarda) kriterijumima bili su r</w:t>
      </w:r>
      <w:r w:rsidR="00933D01" w:rsidRPr="00394D9A">
        <w:rPr>
          <w:szCs w:val="22"/>
          <w:lang w:val="sr-Latn-RS"/>
        </w:rPr>
        <w:t>j</w:t>
      </w:r>
      <w:r w:rsidRPr="00394D9A">
        <w:rPr>
          <w:szCs w:val="22"/>
          <w:lang w:val="sr-Latn-RS"/>
        </w:rPr>
        <w:t>eđi u ob</w:t>
      </w:r>
      <w:r w:rsidR="00933D01" w:rsidRPr="00394D9A">
        <w:rPr>
          <w:szCs w:val="22"/>
          <w:lang w:val="sr-Latn-RS"/>
        </w:rPr>
        <w:t>j</w:t>
      </w:r>
      <w:r w:rsidRPr="00394D9A">
        <w:rPr>
          <w:szCs w:val="22"/>
          <w:lang w:val="sr-Latn-RS"/>
        </w:rPr>
        <w:t>e grupe koje su primale dvojnu terapiju dabigatraneteksilatom u odnosu na grupu koja je primala trojnu terapiju varfarinom: 14 događaja (1,4%) u grupi koja je primala dvojnu terapiju dabigatraneteksilatom 110 mg u poređenju sa 37 događaja (3,8%) u grupi koja je primala trojnu terapiju varfarinom (HR 0,37; 95% CI 0,20, 0,68; p=0,002) i 16 događaja (2,1%) u grupi koja je primala dvojnu terapiju dabigatraneteksilatom 150 mg u poređenju sa 30 događaja (3,9%) u odgovarajućoj grupi koja je primala trojnu terapiju varfarinom (HR 0,51; 95% CI 0,28; 0,93; p=0,03). Ob</w:t>
      </w:r>
      <w:r w:rsidR="00933D01" w:rsidRPr="00394D9A">
        <w:rPr>
          <w:szCs w:val="22"/>
          <w:lang w:val="sr-Latn-RS"/>
        </w:rPr>
        <w:t>j</w:t>
      </w:r>
      <w:r w:rsidRPr="00394D9A">
        <w:rPr>
          <w:szCs w:val="22"/>
          <w:lang w:val="sr-Latn-RS"/>
        </w:rPr>
        <w:t>e grupe koje su primale dvojnu terapiju dabigatraneteksilatom imale su niže stope intrakranijalnog krvarenja od odgovarajuće grupe koja je primala trojnu terapiju varfarinom: 3 događaja (0,3%) u grupi koja je primala dvojnu terapiju dabigatraneteksilatom 110 mg u poređenju sa 10 događaja (1,0%) u grupi koja je primala trojnu terapiju varfarinom (HR 0,30; 95% CI 0,08; 1,07; p=0,06) i 1 događaj (0,1%) u grupi koja je primala dvojnu terapiju dabigatraneteksilatom 150 mg u poređenju sa 8 događaja (1,0%) u odgovarajućoj grupi koja je primala trojnu terapiju varfarinom (HR 0,12; 95% CI 0,02; 0,98; p=0,047). Incidenca kompozitnog cilja efikasnosti u vidu smrti, tromboembolijskih događaja (infarkt miokarda, moždani udar ili sistemska embolija) ili neplanirane revaskularizacije u ob</w:t>
      </w:r>
      <w:r w:rsidR="00933D01" w:rsidRPr="00394D9A">
        <w:rPr>
          <w:szCs w:val="22"/>
          <w:lang w:val="sr-Latn-RS"/>
        </w:rPr>
        <w:t>j</w:t>
      </w:r>
      <w:r w:rsidRPr="00394D9A">
        <w:rPr>
          <w:szCs w:val="22"/>
          <w:lang w:val="sr-Latn-RS"/>
        </w:rPr>
        <w:t>e udružene grupe koje su primale dvojnu terapiju dabigatraneteksilatom bila je neinferiorna onoj u grupi koja je primala trojnu terapiju varfarinom (13,7% naspram 13,4%; HR 1,04; 95% CI: 0,84; 1,29; p=0,0047 za neinferiornost). Nije bilo statističkih razlika u pojedinačnim komponentama cilja efikasnosti između bilo koje od grupa koje su primale dvojnu terapiju dabigatraneteksilatom i grupe koja je primala trojnu terapiju varfarinom.</w:t>
      </w:r>
    </w:p>
    <w:p w14:paraId="16435DA9" w14:textId="77777777" w:rsidR="00921C26" w:rsidRPr="00394D9A" w:rsidRDefault="00921C26" w:rsidP="00187D17">
      <w:pPr>
        <w:widowControl w:val="0"/>
        <w:rPr>
          <w:szCs w:val="22"/>
          <w:lang w:val="sr-Latn-RS"/>
        </w:rPr>
      </w:pPr>
    </w:p>
    <w:p w14:paraId="316CDA83" w14:textId="77777777" w:rsidR="00921C26" w:rsidRPr="00394D9A" w:rsidRDefault="00921C26" w:rsidP="00187D17">
      <w:pPr>
        <w:widowControl w:val="0"/>
        <w:rPr>
          <w:szCs w:val="22"/>
          <w:lang w:val="sr-Latn-RS"/>
        </w:rPr>
      </w:pPr>
      <w:r w:rsidRPr="00394D9A">
        <w:rPr>
          <w:szCs w:val="22"/>
          <w:lang w:val="sr-Latn-RS"/>
        </w:rPr>
        <w:t>Ovo ispitivanje je pokazalo da je dvojna terapija dabigatraneteksilatom i antagonistom receptora P2Y12 značajno snizila rizik od krvarenja naspram trojne terapije varfarinom uz neinferiornost za kompozitni cilj u tromboembolijskim događajima kod pacijenata sa atrijalnom fibrilacijom koji su bili podvrgnuti zahvatu PCI sa ugradnjom stenta.</w:t>
      </w:r>
    </w:p>
    <w:p w14:paraId="52B69071" w14:textId="77777777" w:rsidR="00B33397" w:rsidRPr="00394D9A" w:rsidRDefault="00B33397" w:rsidP="00187D17">
      <w:pPr>
        <w:widowControl w:val="0"/>
        <w:rPr>
          <w:szCs w:val="22"/>
          <w:lang w:val="sr-Latn-RS"/>
        </w:rPr>
      </w:pPr>
    </w:p>
    <w:p w14:paraId="40D02434" w14:textId="239E92B5" w:rsidR="00B33397" w:rsidRPr="00394D9A" w:rsidRDefault="00B33397" w:rsidP="00187D17">
      <w:pPr>
        <w:widowControl w:val="0"/>
        <w:rPr>
          <w:i/>
          <w:iCs/>
          <w:szCs w:val="22"/>
          <w:u w:val="single"/>
          <w:lang w:val="sr-Latn-RS"/>
        </w:rPr>
      </w:pPr>
      <w:r w:rsidRPr="00394D9A">
        <w:rPr>
          <w:i/>
          <w:iCs/>
          <w:szCs w:val="22"/>
          <w:u w:val="single"/>
          <w:lang w:val="sr-Latn-RS"/>
        </w:rPr>
        <w:t>L</w:t>
      </w:r>
      <w:r w:rsidR="00933D01" w:rsidRPr="00394D9A">
        <w:rPr>
          <w:i/>
          <w:iCs/>
          <w:szCs w:val="22"/>
          <w:u w:val="single"/>
          <w:lang w:val="sr-Latn-RS"/>
        </w:rPr>
        <w:t>ij</w:t>
      </w:r>
      <w:r w:rsidRPr="00394D9A">
        <w:rPr>
          <w:i/>
          <w:iCs/>
          <w:szCs w:val="22"/>
          <w:u w:val="single"/>
          <w:lang w:val="sr-Latn-RS"/>
        </w:rPr>
        <w:t>ečenje duboke venske tromboze (DVT) i plućne embolije (PE) kod odraslih pacijenata (l</w:t>
      </w:r>
      <w:r w:rsidR="00933D01" w:rsidRPr="00394D9A">
        <w:rPr>
          <w:i/>
          <w:iCs/>
          <w:szCs w:val="22"/>
          <w:u w:val="single"/>
          <w:lang w:val="sr-Latn-RS"/>
        </w:rPr>
        <w:t>ij</w:t>
      </w:r>
      <w:r w:rsidRPr="00394D9A">
        <w:rPr>
          <w:i/>
          <w:iCs/>
          <w:szCs w:val="22"/>
          <w:u w:val="single"/>
          <w:lang w:val="sr-Latn-RS"/>
        </w:rPr>
        <w:t>ečenje DVT/PE)</w:t>
      </w:r>
    </w:p>
    <w:p w14:paraId="0C09C0FA" w14:textId="77777777" w:rsidR="00B33397" w:rsidRPr="00394D9A" w:rsidRDefault="00B33397" w:rsidP="00187D17">
      <w:pPr>
        <w:widowControl w:val="0"/>
        <w:rPr>
          <w:i/>
          <w:iCs/>
          <w:szCs w:val="22"/>
          <w:u w:val="single"/>
          <w:lang w:val="sr-Latn-RS"/>
        </w:rPr>
      </w:pPr>
    </w:p>
    <w:p w14:paraId="6D3CE161" w14:textId="2A5434F0" w:rsidR="00B33397" w:rsidRPr="00394D9A" w:rsidRDefault="00B33397" w:rsidP="00187D17">
      <w:pPr>
        <w:widowControl w:val="0"/>
        <w:rPr>
          <w:szCs w:val="22"/>
          <w:lang w:val="sr-Latn-RS"/>
        </w:rPr>
      </w:pPr>
      <w:r w:rsidRPr="00394D9A">
        <w:rPr>
          <w:szCs w:val="22"/>
          <w:lang w:val="sr-Latn-RS"/>
        </w:rPr>
        <w:t>Efikasnost i bezb</w:t>
      </w:r>
      <w:r w:rsidR="00933D01" w:rsidRPr="00394D9A">
        <w:rPr>
          <w:szCs w:val="22"/>
          <w:lang w:val="sr-Latn-RS"/>
        </w:rPr>
        <w:t>j</w:t>
      </w:r>
      <w:r w:rsidRPr="00394D9A">
        <w:rPr>
          <w:szCs w:val="22"/>
          <w:lang w:val="sr-Latn-RS"/>
        </w:rPr>
        <w:t>ednost su ispitivani u RE-COVER i RE-COVER II, dva multicentrična, randomizovana, dvostruko sl</w:t>
      </w:r>
      <w:r w:rsidR="00933D01" w:rsidRPr="00394D9A">
        <w:rPr>
          <w:szCs w:val="22"/>
          <w:lang w:val="sr-Latn-RS"/>
        </w:rPr>
        <w:t>ij</w:t>
      </w:r>
      <w:r w:rsidRPr="00394D9A">
        <w:rPr>
          <w:szCs w:val="22"/>
          <w:lang w:val="sr-Latn-RS"/>
        </w:rPr>
        <w:t xml:space="preserve">epa, ponovljena ispitivanja paralelnih grupa. Ova ispitivanja upoređivala su dabigatraneteksilat (150 mg dva puta na dan) </w:t>
      </w:r>
      <w:r w:rsidR="00826E8C" w:rsidRPr="00394D9A">
        <w:rPr>
          <w:szCs w:val="22"/>
          <w:lang w:val="sr-Latn-RS"/>
        </w:rPr>
        <w:t xml:space="preserve">sa </w:t>
      </w:r>
      <w:r w:rsidRPr="00394D9A">
        <w:rPr>
          <w:szCs w:val="22"/>
          <w:lang w:val="sr-Latn-RS"/>
        </w:rPr>
        <w:t xml:space="preserve">varfarinom (ciljni INR 2,0-3,0) kod pacijenata </w:t>
      </w:r>
      <w:r w:rsidR="00826E8C" w:rsidRPr="00394D9A">
        <w:rPr>
          <w:szCs w:val="22"/>
          <w:lang w:val="sr-Latn-RS"/>
        </w:rPr>
        <w:t xml:space="preserve">sa </w:t>
      </w:r>
      <w:r w:rsidRPr="00394D9A">
        <w:rPr>
          <w:szCs w:val="22"/>
          <w:lang w:val="sr-Latn-RS"/>
        </w:rPr>
        <w:t>akutnom DVT i/ili PE. Primarni cilj ovih ispitivanja bio je da se odredi da li je dabigatraneteksilat neinferioran u odnosu na varfarin u smanjenju dešavanja primarnog cilja koji je predstavljao ukupan broj rekurentne simptomatske DVT i/ili PE i povezanih smrti tokom perioda l</w:t>
      </w:r>
      <w:r w:rsidR="00933D01" w:rsidRPr="00394D9A">
        <w:rPr>
          <w:szCs w:val="22"/>
          <w:lang w:val="sr-Latn-RS"/>
        </w:rPr>
        <w:t>ij</w:t>
      </w:r>
      <w:r w:rsidRPr="00394D9A">
        <w:rPr>
          <w:szCs w:val="22"/>
          <w:lang w:val="sr-Latn-RS"/>
        </w:rPr>
        <w:t xml:space="preserve">ečenja u trajanju od 6 </w:t>
      </w:r>
      <w:r w:rsidR="006561D1" w:rsidRPr="00394D9A">
        <w:rPr>
          <w:szCs w:val="22"/>
          <w:lang w:val="sr-Latn-RS"/>
        </w:rPr>
        <w:t>mjeseci</w:t>
      </w:r>
      <w:r w:rsidRPr="00394D9A">
        <w:rPr>
          <w:szCs w:val="22"/>
          <w:lang w:val="sr-Latn-RS"/>
        </w:rPr>
        <w:t>.</w:t>
      </w:r>
    </w:p>
    <w:p w14:paraId="539F26AC" w14:textId="77777777" w:rsidR="00B33397" w:rsidRPr="00394D9A" w:rsidRDefault="00B33397" w:rsidP="00187D17">
      <w:pPr>
        <w:widowControl w:val="0"/>
        <w:rPr>
          <w:szCs w:val="22"/>
          <w:lang w:val="sr-Latn-RS"/>
        </w:rPr>
      </w:pPr>
    </w:p>
    <w:p w14:paraId="1B9B65A2" w14:textId="6A9BDE61" w:rsidR="00B33397" w:rsidRPr="00394D9A" w:rsidRDefault="00B33397" w:rsidP="00187D17">
      <w:pPr>
        <w:widowControl w:val="0"/>
        <w:rPr>
          <w:szCs w:val="22"/>
          <w:lang w:val="sr-Latn-RS"/>
        </w:rPr>
      </w:pPr>
      <w:r w:rsidRPr="00394D9A">
        <w:rPr>
          <w:szCs w:val="22"/>
          <w:lang w:val="sr-Latn-RS"/>
        </w:rPr>
        <w:t>U udruženim ispitivanjima RE-COVER i RE-COVER II, ukupno je randomizovano 5153 pacijenta, a 5107 ih je l</w:t>
      </w:r>
      <w:r w:rsidR="00933D01" w:rsidRPr="00394D9A">
        <w:rPr>
          <w:szCs w:val="22"/>
          <w:lang w:val="sr-Latn-RS"/>
        </w:rPr>
        <w:t>ij</w:t>
      </w:r>
      <w:r w:rsidRPr="00394D9A">
        <w:rPr>
          <w:szCs w:val="22"/>
          <w:lang w:val="sr-Latn-RS"/>
        </w:rPr>
        <w:t>ečeno.</w:t>
      </w:r>
    </w:p>
    <w:p w14:paraId="3396C6D4" w14:textId="77777777" w:rsidR="00B33397" w:rsidRPr="00394D9A" w:rsidRDefault="00B33397" w:rsidP="00187D17">
      <w:pPr>
        <w:widowControl w:val="0"/>
        <w:rPr>
          <w:szCs w:val="22"/>
          <w:lang w:val="sr-Latn-RS"/>
        </w:rPr>
      </w:pPr>
    </w:p>
    <w:p w14:paraId="3A5677BA" w14:textId="28510450" w:rsidR="00B33397" w:rsidRPr="00394D9A" w:rsidRDefault="00B33397" w:rsidP="00187D17">
      <w:pPr>
        <w:widowControl w:val="0"/>
        <w:rPr>
          <w:szCs w:val="22"/>
          <w:lang w:val="sr-Latn-RS"/>
        </w:rPr>
      </w:pPr>
      <w:r w:rsidRPr="00394D9A">
        <w:rPr>
          <w:szCs w:val="22"/>
          <w:lang w:val="sr-Latn-RS"/>
        </w:rPr>
        <w:t>Trajanje l</w:t>
      </w:r>
      <w:r w:rsidR="00933D01" w:rsidRPr="00394D9A">
        <w:rPr>
          <w:szCs w:val="22"/>
          <w:lang w:val="sr-Latn-RS"/>
        </w:rPr>
        <w:t>ij</w:t>
      </w:r>
      <w:r w:rsidRPr="00394D9A">
        <w:rPr>
          <w:szCs w:val="22"/>
          <w:lang w:val="sr-Latn-RS"/>
        </w:rPr>
        <w:t>ečenja fiksnom dozom dabigatrana bilo je 174,0 dana bez praćenja koagulacije. Za pacijente randomizovane na varfarin, medijan</w:t>
      </w:r>
      <w:r w:rsidR="00921C26" w:rsidRPr="00394D9A">
        <w:rPr>
          <w:szCs w:val="22"/>
          <w:lang w:val="sr-Latn-RS"/>
        </w:rPr>
        <w:t>a</w:t>
      </w:r>
      <w:r w:rsidRPr="00394D9A">
        <w:rPr>
          <w:szCs w:val="22"/>
          <w:lang w:val="sr-Latn-RS"/>
        </w:rPr>
        <w:t xml:space="preserve"> </w:t>
      </w:r>
      <w:r w:rsidR="00BD52DD" w:rsidRPr="00394D9A">
        <w:rPr>
          <w:szCs w:val="22"/>
          <w:lang w:val="sr-Latn-RS"/>
        </w:rPr>
        <w:t>vreme</w:t>
      </w:r>
      <w:r w:rsidRPr="00394D9A">
        <w:rPr>
          <w:szCs w:val="22"/>
          <w:lang w:val="sr-Latn-RS"/>
        </w:rPr>
        <w:t>na u terapijskom rasponu (INR 2,0 do 3,0) bi</w:t>
      </w:r>
      <w:r w:rsidR="00921C26" w:rsidRPr="00394D9A">
        <w:rPr>
          <w:szCs w:val="22"/>
          <w:lang w:val="sr-Latn-RS"/>
        </w:rPr>
        <w:t>la</w:t>
      </w:r>
      <w:r w:rsidRPr="00394D9A">
        <w:rPr>
          <w:szCs w:val="22"/>
          <w:lang w:val="sr-Latn-RS"/>
        </w:rPr>
        <w:t xml:space="preserve"> je 60,6 %.</w:t>
      </w:r>
    </w:p>
    <w:p w14:paraId="223BE3B4" w14:textId="77777777" w:rsidR="00B33397" w:rsidRPr="00394D9A" w:rsidRDefault="00B33397" w:rsidP="00187D17">
      <w:pPr>
        <w:widowControl w:val="0"/>
        <w:rPr>
          <w:szCs w:val="22"/>
          <w:lang w:val="sr-Latn-RS"/>
        </w:rPr>
      </w:pPr>
    </w:p>
    <w:p w14:paraId="6E9B2EA7" w14:textId="7A47E6CF" w:rsidR="00B33397" w:rsidRPr="00394D9A" w:rsidRDefault="00B33397" w:rsidP="00187D17">
      <w:pPr>
        <w:widowControl w:val="0"/>
        <w:rPr>
          <w:szCs w:val="22"/>
          <w:lang w:val="sr-Latn-RS"/>
        </w:rPr>
      </w:pPr>
      <w:r w:rsidRPr="00394D9A">
        <w:rPr>
          <w:szCs w:val="22"/>
          <w:lang w:val="sr-Latn-RS"/>
        </w:rPr>
        <w:t>Ispitivanja su pokazala da l</w:t>
      </w:r>
      <w:r w:rsidR="00933D01" w:rsidRPr="00394D9A">
        <w:rPr>
          <w:szCs w:val="22"/>
          <w:lang w:val="sr-Latn-RS"/>
        </w:rPr>
        <w:t>ij</w:t>
      </w:r>
      <w:r w:rsidRPr="00394D9A">
        <w:rPr>
          <w:szCs w:val="22"/>
          <w:lang w:val="sr-Latn-RS"/>
        </w:rPr>
        <w:t>ečenje dabigatraneteksilatom 150 mg dva puta na dan nije bilo inferiorno u odnosu na l</w:t>
      </w:r>
      <w:r w:rsidR="00933D01" w:rsidRPr="00394D9A">
        <w:rPr>
          <w:szCs w:val="22"/>
          <w:lang w:val="sr-Latn-RS"/>
        </w:rPr>
        <w:t>ij</w:t>
      </w:r>
      <w:r w:rsidRPr="00394D9A">
        <w:rPr>
          <w:szCs w:val="22"/>
          <w:lang w:val="sr-Latn-RS"/>
        </w:rPr>
        <w:t xml:space="preserve">ečenje varfarinom (granica neinferiornosti za RE-COVER i RE-COVER II: 3,6 za razliku </w:t>
      </w:r>
      <w:r w:rsidRPr="00394D9A">
        <w:rPr>
          <w:szCs w:val="22"/>
          <w:lang w:val="sr-Latn-RS"/>
        </w:rPr>
        <w:lastRenderedPageBreak/>
        <w:t>rizika i 2,75 za odnos rizika).</w:t>
      </w:r>
    </w:p>
    <w:p w14:paraId="5259BAB2" w14:textId="77777777" w:rsidR="00B33397" w:rsidRPr="00394D9A" w:rsidRDefault="00B33397" w:rsidP="00187D17">
      <w:pPr>
        <w:widowControl w:val="0"/>
        <w:rPr>
          <w:szCs w:val="22"/>
          <w:lang w:val="sr-Latn-RS"/>
        </w:rPr>
      </w:pPr>
    </w:p>
    <w:p w14:paraId="3E1CD17F" w14:textId="29D2C067" w:rsidR="008C76D7" w:rsidRPr="00394D9A" w:rsidRDefault="00B33397" w:rsidP="00187D17">
      <w:pPr>
        <w:widowControl w:val="0"/>
        <w:rPr>
          <w:b/>
          <w:bCs/>
          <w:szCs w:val="22"/>
          <w:lang w:val="sr-Latn-RS"/>
        </w:rPr>
      </w:pPr>
      <w:r w:rsidRPr="00394D9A">
        <w:rPr>
          <w:b/>
          <w:bCs/>
          <w:szCs w:val="22"/>
          <w:lang w:val="sr-Latn-RS"/>
        </w:rPr>
        <w:t>Tabela 2</w:t>
      </w:r>
      <w:r w:rsidR="00787E96" w:rsidRPr="00394D9A">
        <w:rPr>
          <w:b/>
          <w:bCs/>
          <w:szCs w:val="22"/>
          <w:lang w:val="sr-Latn-RS"/>
        </w:rPr>
        <w:t>2</w:t>
      </w:r>
      <w:r w:rsidRPr="00394D9A">
        <w:rPr>
          <w:b/>
          <w:bCs/>
          <w:szCs w:val="22"/>
          <w:lang w:val="sr-Latn-RS"/>
        </w:rPr>
        <w:t>: Analiza primarnih i sekundarnih ciljeva efikasnosti (VTE je zbir DVT i/ili PE) do kraja post-terapijskog perioda iz objedinjenih ispitivanja RE-COVER i RE-COVER II</w:t>
      </w:r>
    </w:p>
    <w:p w14:paraId="17576008" w14:textId="77777777" w:rsidR="00D76C59" w:rsidRPr="00394D9A" w:rsidRDefault="00D76C59" w:rsidP="00187D17">
      <w:pPr>
        <w:widowControl w:val="0"/>
        <w:rPr>
          <w:b/>
          <w:bCs/>
          <w:szCs w:val="22"/>
          <w:lang w:val="sr-Latn-RS"/>
        </w:rPr>
      </w:pPr>
    </w:p>
    <w:tbl>
      <w:tblPr>
        <w:tblStyle w:val="TableGrid"/>
        <w:tblW w:w="5000" w:type="pct"/>
        <w:tblLook w:val="04A0" w:firstRow="1" w:lastRow="0" w:firstColumn="1" w:lastColumn="0" w:noHBand="0" w:noVBand="1"/>
      </w:tblPr>
      <w:tblGrid>
        <w:gridCol w:w="2939"/>
        <w:gridCol w:w="3054"/>
        <w:gridCol w:w="3068"/>
      </w:tblGrid>
      <w:tr w:rsidR="00DF5CEC" w:rsidRPr="00394D9A" w14:paraId="7365A0DA" w14:textId="77777777" w:rsidTr="00DF17BA">
        <w:trPr>
          <w:trHeight w:val="503"/>
        </w:trPr>
        <w:tc>
          <w:tcPr>
            <w:tcW w:w="1622" w:type="pct"/>
          </w:tcPr>
          <w:p w14:paraId="61C681F5" w14:textId="77777777" w:rsidR="00DF5CEC" w:rsidRPr="00394D9A" w:rsidRDefault="00DF5CEC" w:rsidP="00187D17">
            <w:pPr>
              <w:pStyle w:val="TableParagraph"/>
              <w:spacing w:line="240" w:lineRule="auto"/>
              <w:ind w:left="0"/>
              <w:rPr>
                <w:lang w:val="sr-Latn-RS"/>
              </w:rPr>
            </w:pPr>
          </w:p>
        </w:tc>
        <w:tc>
          <w:tcPr>
            <w:tcW w:w="1685" w:type="pct"/>
          </w:tcPr>
          <w:p w14:paraId="6A6CF4B4" w14:textId="77DC2B82" w:rsidR="00DF5CEC" w:rsidRPr="00394D9A" w:rsidRDefault="00DF5CEC" w:rsidP="00187D17">
            <w:pPr>
              <w:pStyle w:val="TableParagraph"/>
              <w:spacing w:line="240" w:lineRule="auto"/>
              <w:ind w:left="72" w:right="72"/>
              <w:jc w:val="center"/>
              <w:rPr>
                <w:lang w:val="sr-Latn-RS"/>
              </w:rPr>
            </w:pPr>
            <w:r w:rsidRPr="00394D9A">
              <w:rPr>
                <w:lang w:val="sr-Latn-RS"/>
              </w:rPr>
              <w:t>Dabigatraneteksilat 150 mg dva puta na dan</w:t>
            </w:r>
          </w:p>
        </w:tc>
        <w:tc>
          <w:tcPr>
            <w:tcW w:w="1694" w:type="pct"/>
          </w:tcPr>
          <w:p w14:paraId="70F49E31" w14:textId="77777777" w:rsidR="00DF5CEC" w:rsidRPr="00394D9A" w:rsidRDefault="00DF5CEC" w:rsidP="00187D17">
            <w:pPr>
              <w:pStyle w:val="TableParagraph"/>
              <w:spacing w:line="240" w:lineRule="auto"/>
              <w:ind w:left="599" w:right="591"/>
              <w:jc w:val="center"/>
              <w:rPr>
                <w:lang w:val="sr-Latn-RS"/>
              </w:rPr>
            </w:pPr>
            <w:r w:rsidRPr="00394D9A">
              <w:rPr>
                <w:lang w:val="sr-Latn-RS"/>
              </w:rPr>
              <w:t>Varfarin</w:t>
            </w:r>
          </w:p>
        </w:tc>
      </w:tr>
      <w:tr w:rsidR="00DF5CEC" w:rsidRPr="00394D9A" w14:paraId="00EE9C46" w14:textId="77777777" w:rsidTr="00DF17BA">
        <w:trPr>
          <w:trHeight w:val="278"/>
        </w:trPr>
        <w:tc>
          <w:tcPr>
            <w:tcW w:w="1622" w:type="pct"/>
          </w:tcPr>
          <w:p w14:paraId="1CD8D07F" w14:textId="3347D1AE" w:rsidR="00DF5CEC" w:rsidRPr="00394D9A" w:rsidRDefault="00DF5CEC" w:rsidP="00187D17">
            <w:pPr>
              <w:pStyle w:val="TableParagraph"/>
              <w:spacing w:line="240" w:lineRule="auto"/>
              <w:ind w:left="0" w:right="-193"/>
              <w:rPr>
                <w:lang w:val="sr-Latn-RS"/>
              </w:rPr>
            </w:pPr>
            <w:r w:rsidRPr="00394D9A">
              <w:rPr>
                <w:lang w:val="sr-Latn-RS"/>
              </w:rPr>
              <w:t>L</w:t>
            </w:r>
            <w:r w:rsidR="00933D01" w:rsidRPr="00394D9A">
              <w:rPr>
                <w:lang w:val="sr-Latn-RS"/>
              </w:rPr>
              <w:t>ij</w:t>
            </w:r>
            <w:r w:rsidRPr="00394D9A">
              <w:rPr>
                <w:lang w:val="sr-Latn-RS"/>
              </w:rPr>
              <w:t>ečeni pacijenti</w:t>
            </w:r>
          </w:p>
        </w:tc>
        <w:tc>
          <w:tcPr>
            <w:tcW w:w="1685" w:type="pct"/>
          </w:tcPr>
          <w:p w14:paraId="44C35102" w14:textId="77777777" w:rsidR="00DF5CEC" w:rsidRPr="00394D9A" w:rsidRDefault="00DF5CEC" w:rsidP="00187D17">
            <w:pPr>
              <w:pStyle w:val="TableParagraph"/>
              <w:spacing w:line="240" w:lineRule="auto"/>
              <w:ind w:left="72" w:right="68"/>
              <w:jc w:val="center"/>
              <w:rPr>
                <w:lang w:val="sr-Latn-RS"/>
              </w:rPr>
            </w:pPr>
            <w:r w:rsidRPr="00394D9A">
              <w:rPr>
                <w:lang w:val="sr-Latn-RS"/>
              </w:rPr>
              <w:t>2553</w:t>
            </w:r>
          </w:p>
        </w:tc>
        <w:tc>
          <w:tcPr>
            <w:tcW w:w="1694" w:type="pct"/>
          </w:tcPr>
          <w:p w14:paraId="14078E66" w14:textId="77777777" w:rsidR="00DF5CEC" w:rsidRPr="00394D9A" w:rsidRDefault="00DF5CEC" w:rsidP="00187D17">
            <w:pPr>
              <w:pStyle w:val="TableParagraph"/>
              <w:spacing w:line="240" w:lineRule="auto"/>
              <w:ind w:left="600" w:right="591"/>
              <w:jc w:val="center"/>
              <w:rPr>
                <w:lang w:val="sr-Latn-RS"/>
              </w:rPr>
            </w:pPr>
            <w:r w:rsidRPr="00394D9A">
              <w:rPr>
                <w:lang w:val="sr-Latn-RS"/>
              </w:rPr>
              <w:t>2554</w:t>
            </w:r>
          </w:p>
        </w:tc>
      </w:tr>
      <w:tr w:rsidR="00DF5CEC" w:rsidRPr="00394D9A" w14:paraId="3A48C005" w14:textId="77777777" w:rsidTr="00DF17BA">
        <w:trPr>
          <w:trHeight w:val="503"/>
        </w:trPr>
        <w:tc>
          <w:tcPr>
            <w:tcW w:w="1622" w:type="pct"/>
          </w:tcPr>
          <w:p w14:paraId="5CEDEC44" w14:textId="77777777" w:rsidR="00DF5CEC" w:rsidRPr="00394D9A" w:rsidRDefault="00DF5CEC" w:rsidP="00187D17">
            <w:pPr>
              <w:pStyle w:val="TableParagraph"/>
              <w:spacing w:line="240" w:lineRule="auto"/>
              <w:ind w:left="0" w:right="-193"/>
              <w:rPr>
                <w:lang w:val="sr-Latn-RS"/>
              </w:rPr>
            </w:pPr>
            <w:r w:rsidRPr="00394D9A">
              <w:rPr>
                <w:lang w:val="sr-Latn-RS"/>
              </w:rPr>
              <w:t>Rekurentna simptomatska VTE</w:t>
            </w:r>
          </w:p>
          <w:p w14:paraId="2E8DC772" w14:textId="6DDAA4E6" w:rsidR="00DF5CEC" w:rsidRPr="00394D9A" w:rsidRDefault="00DF5CEC" w:rsidP="00187D17">
            <w:pPr>
              <w:pStyle w:val="TableParagraph"/>
              <w:spacing w:line="240" w:lineRule="auto"/>
              <w:ind w:left="0" w:right="-193"/>
              <w:rPr>
                <w:lang w:val="sr-Latn-RS"/>
              </w:rPr>
            </w:pPr>
            <w:r w:rsidRPr="00394D9A">
              <w:rPr>
                <w:lang w:val="sr-Latn-RS"/>
              </w:rPr>
              <w:t xml:space="preserve">i smrt povezana </w:t>
            </w:r>
            <w:r w:rsidR="00826E8C" w:rsidRPr="00394D9A">
              <w:rPr>
                <w:lang w:val="sr-Latn-RS"/>
              </w:rPr>
              <w:t xml:space="preserve">sa </w:t>
            </w:r>
            <w:r w:rsidRPr="00394D9A">
              <w:rPr>
                <w:lang w:val="sr-Latn-RS"/>
              </w:rPr>
              <w:t>VTE</w:t>
            </w:r>
          </w:p>
        </w:tc>
        <w:tc>
          <w:tcPr>
            <w:tcW w:w="1685" w:type="pct"/>
          </w:tcPr>
          <w:p w14:paraId="10291E15" w14:textId="64B97A39" w:rsidR="00DF5CEC" w:rsidRPr="00394D9A" w:rsidRDefault="00DF5CEC" w:rsidP="00187D17">
            <w:pPr>
              <w:pStyle w:val="TableParagraph"/>
              <w:spacing w:line="240" w:lineRule="auto"/>
              <w:ind w:left="72" w:right="62"/>
              <w:jc w:val="center"/>
              <w:rPr>
                <w:lang w:val="sr-Latn-RS"/>
              </w:rPr>
            </w:pPr>
            <w:r w:rsidRPr="00394D9A">
              <w:rPr>
                <w:lang w:val="sr-Latn-RS"/>
              </w:rPr>
              <w:t>68 (2,7%)</w:t>
            </w:r>
          </w:p>
        </w:tc>
        <w:tc>
          <w:tcPr>
            <w:tcW w:w="1694" w:type="pct"/>
          </w:tcPr>
          <w:p w14:paraId="1473D1EA" w14:textId="7309A8BD" w:rsidR="00DF5CEC" w:rsidRPr="00394D9A" w:rsidRDefault="00DF5CEC" w:rsidP="00187D17">
            <w:pPr>
              <w:pStyle w:val="TableParagraph"/>
              <w:spacing w:line="240" w:lineRule="auto"/>
              <w:ind w:left="606" w:right="591"/>
              <w:jc w:val="center"/>
              <w:rPr>
                <w:lang w:val="sr-Latn-RS"/>
              </w:rPr>
            </w:pPr>
            <w:r w:rsidRPr="00394D9A">
              <w:rPr>
                <w:lang w:val="sr-Latn-RS"/>
              </w:rPr>
              <w:t>62 (2,4%)</w:t>
            </w:r>
          </w:p>
        </w:tc>
      </w:tr>
      <w:tr w:rsidR="00DF5CEC" w:rsidRPr="00394D9A" w14:paraId="3846BB52" w14:textId="77777777" w:rsidTr="00DF17BA">
        <w:trPr>
          <w:trHeight w:val="463"/>
        </w:trPr>
        <w:tc>
          <w:tcPr>
            <w:tcW w:w="1622" w:type="pct"/>
          </w:tcPr>
          <w:p w14:paraId="2CD0B206" w14:textId="245697FE" w:rsidR="00DF5CEC" w:rsidRPr="00394D9A" w:rsidRDefault="00DF5CEC" w:rsidP="00187D17">
            <w:pPr>
              <w:pStyle w:val="TableParagraph"/>
              <w:spacing w:line="240" w:lineRule="auto"/>
              <w:ind w:left="0" w:right="-193"/>
              <w:rPr>
                <w:lang w:val="sr-Latn-RS"/>
              </w:rPr>
            </w:pPr>
            <w:r w:rsidRPr="00394D9A">
              <w:rPr>
                <w:lang w:val="sr-Latn-RS"/>
              </w:rPr>
              <w:t>Odnos rizika u odnosu na varfarin (interval pouzdanosti 95%)</w:t>
            </w:r>
            <w:r w:rsidR="000052C2" w:rsidRPr="00394D9A">
              <w:rPr>
                <w:lang w:val="sr-Latn-RS"/>
              </w:rPr>
              <w:t xml:space="preserve">       </w:t>
            </w:r>
          </w:p>
        </w:tc>
        <w:tc>
          <w:tcPr>
            <w:tcW w:w="1685" w:type="pct"/>
          </w:tcPr>
          <w:p w14:paraId="08794E85" w14:textId="7CF8C605" w:rsidR="00DF5CEC" w:rsidRPr="00394D9A" w:rsidRDefault="00DF5CEC" w:rsidP="00187D17">
            <w:pPr>
              <w:pStyle w:val="TableParagraph"/>
              <w:spacing w:line="240" w:lineRule="auto"/>
              <w:ind w:left="72" w:right="62"/>
              <w:jc w:val="center"/>
              <w:rPr>
                <w:lang w:val="sr-Latn-RS"/>
              </w:rPr>
            </w:pPr>
            <w:r w:rsidRPr="00394D9A">
              <w:rPr>
                <w:lang w:val="sr-Latn-RS"/>
              </w:rPr>
              <w:t>1,09</w:t>
            </w:r>
            <w:r w:rsidR="000052C2" w:rsidRPr="00394D9A">
              <w:rPr>
                <w:lang w:val="sr-Latn-RS"/>
              </w:rPr>
              <w:t xml:space="preserve"> </w:t>
            </w:r>
            <w:r w:rsidRPr="00394D9A">
              <w:rPr>
                <w:lang w:val="sr-Latn-RS"/>
              </w:rPr>
              <w:t>(0,77; 1,54)</w:t>
            </w:r>
          </w:p>
        </w:tc>
        <w:tc>
          <w:tcPr>
            <w:tcW w:w="1694" w:type="pct"/>
          </w:tcPr>
          <w:p w14:paraId="30C608A7" w14:textId="77777777" w:rsidR="00DF5CEC" w:rsidRPr="00394D9A" w:rsidRDefault="00DF5CEC" w:rsidP="00187D17">
            <w:pPr>
              <w:pStyle w:val="TableParagraph"/>
              <w:spacing w:line="240" w:lineRule="auto"/>
              <w:ind w:left="0"/>
              <w:rPr>
                <w:lang w:val="sr-Latn-RS"/>
              </w:rPr>
            </w:pPr>
          </w:p>
        </w:tc>
      </w:tr>
      <w:tr w:rsidR="00DF5CEC" w:rsidRPr="00394D9A" w14:paraId="2103BF1C" w14:textId="77777777" w:rsidTr="00DF17BA">
        <w:tc>
          <w:tcPr>
            <w:tcW w:w="1622" w:type="pct"/>
          </w:tcPr>
          <w:p w14:paraId="4E6C4A65" w14:textId="14E4A01B" w:rsidR="00DF5CEC" w:rsidRPr="00394D9A" w:rsidRDefault="00DF5CEC" w:rsidP="00187D17">
            <w:pPr>
              <w:widowControl w:val="0"/>
              <w:rPr>
                <w:szCs w:val="22"/>
                <w:lang w:val="sr-Latn-RS"/>
              </w:rPr>
            </w:pPr>
            <w:r w:rsidRPr="00394D9A">
              <w:rPr>
                <w:szCs w:val="22"/>
                <w:lang w:val="sr-Latn-RS"/>
              </w:rPr>
              <w:t>Sekundarni ciljevi efikasnosti</w:t>
            </w:r>
          </w:p>
        </w:tc>
        <w:tc>
          <w:tcPr>
            <w:tcW w:w="1685" w:type="pct"/>
          </w:tcPr>
          <w:p w14:paraId="2B6EDEE8" w14:textId="77777777" w:rsidR="00DF5CEC" w:rsidRPr="00394D9A" w:rsidRDefault="00DF5CEC" w:rsidP="00187D17">
            <w:pPr>
              <w:widowControl w:val="0"/>
              <w:jc w:val="center"/>
              <w:rPr>
                <w:szCs w:val="22"/>
                <w:lang w:val="sr-Latn-RS"/>
              </w:rPr>
            </w:pPr>
          </w:p>
        </w:tc>
        <w:tc>
          <w:tcPr>
            <w:tcW w:w="1694" w:type="pct"/>
          </w:tcPr>
          <w:p w14:paraId="576A386E" w14:textId="77777777" w:rsidR="00DF5CEC" w:rsidRPr="00394D9A" w:rsidRDefault="00DF5CEC" w:rsidP="00187D17">
            <w:pPr>
              <w:widowControl w:val="0"/>
              <w:jc w:val="center"/>
              <w:rPr>
                <w:szCs w:val="22"/>
                <w:lang w:val="sr-Latn-RS"/>
              </w:rPr>
            </w:pPr>
          </w:p>
        </w:tc>
      </w:tr>
      <w:tr w:rsidR="00DF5CEC" w:rsidRPr="00394D9A" w14:paraId="6285044C" w14:textId="77777777" w:rsidTr="00DF17BA">
        <w:tc>
          <w:tcPr>
            <w:tcW w:w="1622" w:type="pct"/>
          </w:tcPr>
          <w:p w14:paraId="21DEF41E" w14:textId="77777777" w:rsidR="00DF5CEC" w:rsidRPr="00394D9A" w:rsidRDefault="00DF5CEC" w:rsidP="00187D17">
            <w:pPr>
              <w:pStyle w:val="TableParagraph"/>
              <w:spacing w:line="240" w:lineRule="auto"/>
              <w:ind w:left="0"/>
              <w:rPr>
                <w:lang w:val="sr-Latn-RS"/>
              </w:rPr>
            </w:pPr>
            <w:r w:rsidRPr="00394D9A">
              <w:rPr>
                <w:lang w:val="sr-Latn-RS"/>
              </w:rPr>
              <w:t>Rekurentna simptomatska VTE</w:t>
            </w:r>
          </w:p>
          <w:p w14:paraId="27C76546" w14:textId="0147E13E" w:rsidR="00DF5CEC" w:rsidRPr="00394D9A" w:rsidRDefault="00DF5CEC" w:rsidP="00187D17">
            <w:pPr>
              <w:widowControl w:val="0"/>
              <w:rPr>
                <w:szCs w:val="22"/>
                <w:lang w:val="sr-Latn-RS"/>
              </w:rPr>
            </w:pPr>
            <w:r w:rsidRPr="00394D9A">
              <w:rPr>
                <w:szCs w:val="22"/>
                <w:lang w:val="sr-Latn-RS"/>
              </w:rPr>
              <w:t>i smrti svih uzroka</w:t>
            </w:r>
          </w:p>
        </w:tc>
        <w:tc>
          <w:tcPr>
            <w:tcW w:w="1685" w:type="pct"/>
          </w:tcPr>
          <w:p w14:paraId="2784E893" w14:textId="3D3B90FF" w:rsidR="00DF5CEC" w:rsidRPr="00394D9A" w:rsidRDefault="00DF5CEC" w:rsidP="00187D17">
            <w:pPr>
              <w:widowControl w:val="0"/>
              <w:jc w:val="center"/>
              <w:rPr>
                <w:szCs w:val="22"/>
                <w:lang w:val="sr-Latn-RS"/>
              </w:rPr>
            </w:pPr>
            <w:r w:rsidRPr="00394D9A">
              <w:rPr>
                <w:szCs w:val="22"/>
                <w:lang w:val="sr-Latn-RS"/>
              </w:rPr>
              <w:t>109 (4,3%)</w:t>
            </w:r>
          </w:p>
        </w:tc>
        <w:tc>
          <w:tcPr>
            <w:tcW w:w="1694" w:type="pct"/>
          </w:tcPr>
          <w:p w14:paraId="30DB2772" w14:textId="06180B70" w:rsidR="00DF5CEC" w:rsidRPr="00394D9A" w:rsidRDefault="00DF5CEC" w:rsidP="00187D17">
            <w:pPr>
              <w:widowControl w:val="0"/>
              <w:jc w:val="center"/>
              <w:rPr>
                <w:szCs w:val="22"/>
                <w:lang w:val="sr-Latn-RS"/>
              </w:rPr>
            </w:pPr>
            <w:r w:rsidRPr="00394D9A">
              <w:rPr>
                <w:szCs w:val="22"/>
                <w:lang w:val="sr-Latn-RS"/>
              </w:rPr>
              <w:t>104 (4,1%)</w:t>
            </w:r>
          </w:p>
        </w:tc>
      </w:tr>
      <w:tr w:rsidR="00DF5CEC" w:rsidRPr="00394D9A" w14:paraId="071865A7" w14:textId="77777777" w:rsidTr="00DF17BA">
        <w:tc>
          <w:tcPr>
            <w:tcW w:w="1622" w:type="pct"/>
          </w:tcPr>
          <w:p w14:paraId="2402C72E" w14:textId="0B68E458" w:rsidR="00DF5CEC" w:rsidRPr="00394D9A" w:rsidRDefault="00DF5CEC" w:rsidP="00187D17">
            <w:pPr>
              <w:widowControl w:val="0"/>
              <w:rPr>
                <w:szCs w:val="22"/>
                <w:lang w:val="sr-Latn-RS"/>
              </w:rPr>
            </w:pPr>
            <w:r w:rsidRPr="00394D9A">
              <w:rPr>
                <w:szCs w:val="22"/>
                <w:lang w:val="sr-Latn-RS"/>
              </w:rPr>
              <w:t>Interval pouzdanosti 95%</w:t>
            </w:r>
          </w:p>
        </w:tc>
        <w:tc>
          <w:tcPr>
            <w:tcW w:w="1685" w:type="pct"/>
          </w:tcPr>
          <w:p w14:paraId="199FF4F3" w14:textId="520CBBCA" w:rsidR="00DF5CEC" w:rsidRPr="00394D9A" w:rsidRDefault="00DF5CEC" w:rsidP="00187D17">
            <w:pPr>
              <w:widowControl w:val="0"/>
              <w:jc w:val="center"/>
              <w:rPr>
                <w:szCs w:val="22"/>
                <w:lang w:val="sr-Latn-RS"/>
              </w:rPr>
            </w:pPr>
            <w:r w:rsidRPr="00394D9A">
              <w:rPr>
                <w:szCs w:val="22"/>
                <w:lang w:val="sr-Latn-RS"/>
              </w:rPr>
              <w:t>3,52; 5,13</w:t>
            </w:r>
          </w:p>
        </w:tc>
        <w:tc>
          <w:tcPr>
            <w:tcW w:w="1694" w:type="pct"/>
          </w:tcPr>
          <w:p w14:paraId="2884BB76" w14:textId="4D8D1A96" w:rsidR="00DF5CEC" w:rsidRPr="00394D9A" w:rsidRDefault="00DF5CEC" w:rsidP="00187D17">
            <w:pPr>
              <w:widowControl w:val="0"/>
              <w:jc w:val="center"/>
              <w:rPr>
                <w:szCs w:val="22"/>
                <w:lang w:val="sr-Latn-RS"/>
              </w:rPr>
            </w:pPr>
            <w:r w:rsidRPr="00394D9A">
              <w:rPr>
                <w:szCs w:val="22"/>
                <w:lang w:val="sr-Latn-RS"/>
              </w:rPr>
              <w:t>3,34; 4,91</w:t>
            </w:r>
          </w:p>
        </w:tc>
      </w:tr>
      <w:tr w:rsidR="00DF5CEC" w:rsidRPr="00394D9A" w14:paraId="4F2D1C8A" w14:textId="77777777" w:rsidTr="00DF17BA">
        <w:tc>
          <w:tcPr>
            <w:tcW w:w="1622" w:type="pct"/>
          </w:tcPr>
          <w:p w14:paraId="4E006B98" w14:textId="3941BD0A" w:rsidR="00DF5CEC" w:rsidRPr="00394D9A" w:rsidRDefault="00DF5CEC" w:rsidP="00187D17">
            <w:pPr>
              <w:widowControl w:val="0"/>
              <w:rPr>
                <w:szCs w:val="22"/>
                <w:lang w:val="sr-Latn-RS"/>
              </w:rPr>
            </w:pPr>
            <w:r w:rsidRPr="00394D9A">
              <w:rPr>
                <w:szCs w:val="22"/>
                <w:lang w:val="sr-Latn-RS"/>
              </w:rPr>
              <w:t>Simptomatska DVT</w:t>
            </w:r>
          </w:p>
        </w:tc>
        <w:tc>
          <w:tcPr>
            <w:tcW w:w="1685" w:type="pct"/>
          </w:tcPr>
          <w:p w14:paraId="012C7B57" w14:textId="34F02A4E" w:rsidR="00DF5CEC" w:rsidRPr="00394D9A" w:rsidRDefault="00DF5CEC" w:rsidP="00187D17">
            <w:pPr>
              <w:widowControl w:val="0"/>
              <w:jc w:val="center"/>
              <w:rPr>
                <w:szCs w:val="22"/>
                <w:lang w:val="sr-Latn-RS"/>
              </w:rPr>
            </w:pPr>
            <w:r w:rsidRPr="00394D9A">
              <w:rPr>
                <w:szCs w:val="22"/>
                <w:lang w:val="sr-Latn-RS"/>
              </w:rPr>
              <w:t>45 (1,8%)</w:t>
            </w:r>
          </w:p>
        </w:tc>
        <w:tc>
          <w:tcPr>
            <w:tcW w:w="1694" w:type="pct"/>
          </w:tcPr>
          <w:p w14:paraId="22847945" w14:textId="50AFC26B" w:rsidR="00DF5CEC" w:rsidRPr="00394D9A" w:rsidRDefault="00DF5CEC" w:rsidP="00187D17">
            <w:pPr>
              <w:widowControl w:val="0"/>
              <w:jc w:val="center"/>
              <w:rPr>
                <w:szCs w:val="22"/>
                <w:lang w:val="sr-Latn-RS"/>
              </w:rPr>
            </w:pPr>
            <w:r w:rsidRPr="00394D9A">
              <w:rPr>
                <w:szCs w:val="22"/>
                <w:lang w:val="sr-Latn-RS"/>
              </w:rPr>
              <w:t>39 (1,5%)</w:t>
            </w:r>
          </w:p>
        </w:tc>
      </w:tr>
      <w:tr w:rsidR="00DF5CEC" w:rsidRPr="00394D9A" w14:paraId="144CBC0D" w14:textId="77777777" w:rsidTr="00DF17BA">
        <w:tc>
          <w:tcPr>
            <w:tcW w:w="1622" w:type="pct"/>
          </w:tcPr>
          <w:p w14:paraId="10ACC2A0" w14:textId="3280AA1E" w:rsidR="00DF5CEC" w:rsidRPr="00394D9A" w:rsidRDefault="00DF5CEC" w:rsidP="00187D17">
            <w:pPr>
              <w:widowControl w:val="0"/>
              <w:rPr>
                <w:szCs w:val="22"/>
                <w:lang w:val="sr-Latn-RS"/>
              </w:rPr>
            </w:pPr>
            <w:r w:rsidRPr="00394D9A">
              <w:rPr>
                <w:szCs w:val="22"/>
                <w:lang w:val="sr-Latn-RS"/>
              </w:rPr>
              <w:t>Interval pouzdanosti 95%</w:t>
            </w:r>
          </w:p>
        </w:tc>
        <w:tc>
          <w:tcPr>
            <w:tcW w:w="1685" w:type="pct"/>
          </w:tcPr>
          <w:p w14:paraId="4EB31FE2" w14:textId="0D0B1B57" w:rsidR="00DF5CEC" w:rsidRPr="00394D9A" w:rsidRDefault="00DF5CEC" w:rsidP="00187D17">
            <w:pPr>
              <w:widowControl w:val="0"/>
              <w:jc w:val="center"/>
              <w:rPr>
                <w:szCs w:val="22"/>
                <w:lang w:val="sr-Latn-RS"/>
              </w:rPr>
            </w:pPr>
            <w:r w:rsidRPr="00394D9A">
              <w:rPr>
                <w:szCs w:val="22"/>
                <w:lang w:val="sr-Latn-RS"/>
              </w:rPr>
              <w:t>1,29, 2,35</w:t>
            </w:r>
          </w:p>
        </w:tc>
        <w:tc>
          <w:tcPr>
            <w:tcW w:w="1694" w:type="pct"/>
          </w:tcPr>
          <w:p w14:paraId="48DAFDF0" w14:textId="7E24954B" w:rsidR="00DF5CEC" w:rsidRPr="00394D9A" w:rsidRDefault="00DF5CEC" w:rsidP="00187D17">
            <w:pPr>
              <w:widowControl w:val="0"/>
              <w:jc w:val="center"/>
              <w:rPr>
                <w:szCs w:val="22"/>
                <w:lang w:val="sr-Latn-RS"/>
              </w:rPr>
            </w:pPr>
            <w:r w:rsidRPr="00394D9A">
              <w:rPr>
                <w:szCs w:val="22"/>
                <w:lang w:val="sr-Latn-RS"/>
              </w:rPr>
              <w:t>1,09; 2,08</w:t>
            </w:r>
          </w:p>
        </w:tc>
      </w:tr>
      <w:tr w:rsidR="00DF5CEC" w:rsidRPr="00394D9A" w14:paraId="3127B674" w14:textId="77777777" w:rsidTr="00DF17BA">
        <w:tc>
          <w:tcPr>
            <w:tcW w:w="1622" w:type="pct"/>
          </w:tcPr>
          <w:p w14:paraId="5ED70CB9" w14:textId="5C806364" w:rsidR="00DF5CEC" w:rsidRPr="00394D9A" w:rsidRDefault="00DF5CEC" w:rsidP="00187D17">
            <w:pPr>
              <w:widowControl w:val="0"/>
              <w:rPr>
                <w:szCs w:val="22"/>
                <w:lang w:val="sr-Latn-RS"/>
              </w:rPr>
            </w:pPr>
            <w:r w:rsidRPr="00394D9A">
              <w:rPr>
                <w:szCs w:val="22"/>
                <w:lang w:val="sr-Latn-RS"/>
              </w:rPr>
              <w:t>Simptomatska PE</w:t>
            </w:r>
          </w:p>
        </w:tc>
        <w:tc>
          <w:tcPr>
            <w:tcW w:w="1685" w:type="pct"/>
          </w:tcPr>
          <w:p w14:paraId="7B0FF26A" w14:textId="463DCD05" w:rsidR="00DF5CEC" w:rsidRPr="00394D9A" w:rsidRDefault="00DF5CEC" w:rsidP="00187D17">
            <w:pPr>
              <w:widowControl w:val="0"/>
              <w:jc w:val="center"/>
              <w:rPr>
                <w:szCs w:val="22"/>
                <w:lang w:val="sr-Latn-RS"/>
              </w:rPr>
            </w:pPr>
            <w:r w:rsidRPr="00394D9A">
              <w:rPr>
                <w:szCs w:val="22"/>
                <w:lang w:val="sr-Latn-RS"/>
              </w:rPr>
              <w:t>27 (1,1%)</w:t>
            </w:r>
          </w:p>
        </w:tc>
        <w:tc>
          <w:tcPr>
            <w:tcW w:w="1694" w:type="pct"/>
          </w:tcPr>
          <w:p w14:paraId="2DD3CB37" w14:textId="673E15CF" w:rsidR="00DF5CEC" w:rsidRPr="00394D9A" w:rsidRDefault="00DF5CEC" w:rsidP="00187D17">
            <w:pPr>
              <w:widowControl w:val="0"/>
              <w:jc w:val="center"/>
              <w:rPr>
                <w:szCs w:val="22"/>
                <w:lang w:val="sr-Latn-RS"/>
              </w:rPr>
            </w:pPr>
            <w:r w:rsidRPr="00394D9A">
              <w:rPr>
                <w:szCs w:val="22"/>
                <w:lang w:val="sr-Latn-RS"/>
              </w:rPr>
              <w:t>26 (1,0%)</w:t>
            </w:r>
          </w:p>
        </w:tc>
      </w:tr>
      <w:tr w:rsidR="00DF5CEC" w:rsidRPr="00394D9A" w14:paraId="0D1DBEBE" w14:textId="77777777" w:rsidTr="00DF17BA">
        <w:tc>
          <w:tcPr>
            <w:tcW w:w="1622" w:type="pct"/>
          </w:tcPr>
          <w:p w14:paraId="5B8F3FD4" w14:textId="7335031E" w:rsidR="00DF5CEC" w:rsidRPr="00394D9A" w:rsidRDefault="00DF5CEC" w:rsidP="00187D17">
            <w:pPr>
              <w:widowControl w:val="0"/>
              <w:rPr>
                <w:szCs w:val="22"/>
                <w:lang w:val="sr-Latn-RS"/>
              </w:rPr>
            </w:pPr>
            <w:r w:rsidRPr="00394D9A">
              <w:rPr>
                <w:szCs w:val="22"/>
                <w:lang w:val="sr-Latn-RS"/>
              </w:rPr>
              <w:t>Interval pouzdanosti 95%</w:t>
            </w:r>
          </w:p>
        </w:tc>
        <w:tc>
          <w:tcPr>
            <w:tcW w:w="1685" w:type="pct"/>
          </w:tcPr>
          <w:p w14:paraId="219090FE" w14:textId="53C58624" w:rsidR="00DF5CEC" w:rsidRPr="00394D9A" w:rsidRDefault="00DF5CEC" w:rsidP="00187D17">
            <w:pPr>
              <w:widowControl w:val="0"/>
              <w:jc w:val="center"/>
              <w:rPr>
                <w:szCs w:val="22"/>
                <w:lang w:val="sr-Latn-RS"/>
              </w:rPr>
            </w:pPr>
            <w:r w:rsidRPr="00394D9A">
              <w:rPr>
                <w:szCs w:val="22"/>
                <w:lang w:val="sr-Latn-RS"/>
              </w:rPr>
              <w:t>0,70; 1,54</w:t>
            </w:r>
          </w:p>
        </w:tc>
        <w:tc>
          <w:tcPr>
            <w:tcW w:w="1694" w:type="pct"/>
          </w:tcPr>
          <w:p w14:paraId="4217261B" w14:textId="5BB7F0D0" w:rsidR="00DF5CEC" w:rsidRPr="00394D9A" w:rsidRDefault="00DF5CEC" w:rsidP="00187D17">
            <w:pPr>
              <w:widowControl w:val="0"/>
              <w:jc w:val="center"/>
              <w:rPr>
                <w:szCs w:val="22"/>
                <w:lang w:val="sr-Latn-RS"/>
              </w:rPr>
            </w:pPr>
            <w:r w:rsidRPr="00394D9A">
              <w:rPr>
                <w:szCs w:val="22"/>
                <w:lang w:val="sr-Latn-RS"/>
              </w:rPr>
              <w:t>0,67; 1,49</w:t>
            </w:r>
          </w:p>
        </w:tc>
      </w:tr>
      <w:tr w:rsidR="00DF5CEC" w:rsidRPr="00394D9A" w14:paraId="79D8016C" w14:textId="77777777" w:rsidTr="00DF17BA">
        <w:tc>
          <w:tcPr>
            <w:tcW w:w="1622" w:type="pct"/>
          </w:tcPr>
          <w:p w14:paraId="755B06BD" w14:textId="46A32FB5" w:rsidR="00DF5CEC" w:rsidRPr="00394D9A" w:rsidRDefault="00DF5CEC" w:rsidP="00187D17">
            <w:pPr>
              <w:widowControl w:val="0"/>
              <w:rPr>
                <w:szCs w:val="22"/>
                <w:lang w:val="sr-Latn-RS"/>
              </w:rPr>
            </w:pPr>
            <w:r w:rsidRPr="00394D9A">
              <w:rPr>
                <w:szCs w:val="22"/>
                <w:lang w:val="sr-Latn-RS"/>
              </w:rPr>
              <w:t xml:space="preserve">Smrti povezane </w:t>
            </w:r>
            <w:r w:rsidR="00826E8C" w:rsidRPr="00394D9A">
              <w:rPr>
                <w:szCs w:val="22"/>
                <w:lang w:val="sr-Latn-RS"/>
              </w:rPr>
              <w:t xml:space="preserve">sa </w:t>
            </w:r>
            <w:r w:rsidRPr="00394D9A">
              <w:rPr>
                <w:szCs w:val="22"/>
                <w:lang w:val="sr-Latn-RS"/>
              </w:rPr>
              <w:t>VTE</w:t>
            </w:r>
          </w:p>
        </w:tc>
        <w:tc>
          <w:tcPr>
            <w:tcW w:w="1685" w:type="pct"/>
          </w:tcPr>
          <w:p w14:paraId="401E75B3" w14:textId="1CD39CF9" w:rsidR="00DF5CEC" w:rsidRPr="00394D9A" w:rsidRDefault="00DF5CEC" w:rsidP="00187D17">
            <w:pPr>
              <w:widowControl w:val="0"/>
              <w:jc w:val="center"/>
              <w:rPr>
                <w:szCs w:val="22"/>
                <w:lang w:val="sr-Latn-RS"/>
              </w:rPr>
            </w:pPr>
            <w:r w:rsidRPr="00394D9A">
              <w:rPr>
                <w:szCs w:val="22"/>
                <w:lang w:val="sr-Latn-RS"/>
              </w:rPr>
              <w:t>4 (0,2%)</w:t>
            </w:r>
          </w:p>
        </w:tc>
        <w:tc>
          <w:tcPr>
            <w:tcW w:w="1694" w:type="pct"/>
          </w:tcPr>
          <w:p w14:paraId="6B962360" w14:textId="350E670F" w:rsidR="00DF5CEC" w:rsidRPr="00394D9A" w:rsidRDefault="00DF5CEC" w:rsidP="00187D17">
            <w:pPr>
              <w:widowControl w:val="0"/>
              <w:jc w:val="center"/>
              <w:rPr>
                <w:szCs w:val="22"/>
                <w:lang w:val="sr-Latn-RS"/>
              </w:rPr>
            </w:pPr>
            <w:r w:rsidRPr="00394D9A">
              <w:rPr>
                <w:szCs w:val="22"/>
                <w:lang w:val="sr-Latn-RS"/>
              </w:rPr>
              <w:t>3 (0,1%)</w:t>
            </w:r>
          </w:p>
        </w:tc>
      </w:tr>
      <w:tr w:rsidR="00DF5CEC" w:rsidRPr="00394D9A" w14:paraId="090DC1C5" w14:textId="77777777" w:rsidTr="00DF17BA">
        <w:tc>
          <w:tcPr>
            <w:tcW w:w="1622" w:type="pct"/>
          </w:tcPr>
          <w:p w14:paraId="14C1DBEF" w14:textId="6FCF5717" w:rsidR="00DF5CEC" w:rsidRPr="00394D9A" w:rsidRDefault="00DF5CEC" w:rsidP="00187D17">
            <w:pPr>
              <w:widowControl w:val="0"/>
              <w:rPr>
                <w:szCs w:val="22"/>
                <w:lang w:val="sr-Latn-RS"/>
              </w:rPr>
            </w:pPr>
            <w:r w:rsidRPr="00394D9A">
              <w:rPr>
                <w:szCs w:val="22"/>
                <w:lang w:val="sr-Latn-RS"/>
              </w:rPr>
              <w:t>Interval pouzdanosti 95%</w:t>
            </w:r>
          </w:p>
        </w:tc>
        <w:tc>
          <w:tcPr>
            <w:tcW w:w="1685" w:type="pct"/>
          </w:tcPr>
          <w:p w14:paraId="6C1F146C" w14:textId="004CF3DD" w:rsidR="00DF5CEC" w:rsidRPr="00394D9A" w:rsidRDefault="00DF5CEC" w:rsidP="00187D17">
            <w:pPr>
              <w:widowControl w:val="0"/>
              <w:jc w:val="center"/>
              <w:rPr>
                <w:szCs w:val="22"/>
                <w:lang w:val="sr-Latn-RS"/>
              </w:rPr>
            </w:pPr>
            <w:r w:rsidRPr="00394D9A">
              <w:rPr>
                <w:szCs w:val="22"/>
                <w:lang w:val="sr-Latn-RS"/>
              </w:rPr>
              <w:t>0,04; 0,40</w:t>
            </w:r>
          </w:p>
        </w:tc>
        <w:tc>
          <w:tcPr>
            <w:tcW w:w="1694" w:type="pct"/>
          </w:tcPr>
          <w:p w14:paraId="7F5F60B3" w14:textId="233404FB" w:rsidR="00DF5CEC" w:rsidRPr="00394D9A" w:rsidRDefault="00DF5CEC" w:rsidP="00187D17">
            <w:pPr>
              <w:widowControl w:val="0"/>
              <w:jc w:val="center"/>
              <w:rPr>
                <w:szCs w:val="22"/>
                <w:lang w:val="sr-Latn-RS"/>
              </w:rPr>
            </w:pPr>
            <w:r w:rsidRPr="00394D9A">
              <w:rPr>
                <w:szCs w:val="22"/>
                <w:lang w:val="sr-Latn-RS"/>
              </w:rPr>
              <w:t>0,02; 0,34</w:t>
            </w:r>
          </w:p>
        </w:tc>
      </w:tr>
      <w:tr w:rsidR="00DF5CEC" w:rsidRPr="00394D9A" w14:paraId="51E7FC7B" w14:textId="77777777" w:rsidTr="00DF17BA">
        <w:tc>
          <w:tcPr>
            <w:tcW w:w="1622" w:type="pct"/>
          </w:tcPr>
          <w:p w14:paraId="74A44C7D" w14:textId="4BCDD5DF" w:rsidR="00DF5CEC" w:rsidRPr="00394D9A" w:rsidRDefault="00DF5CEC" w:rsidP="00187D17">
            <w:pPr>
              <w:widowControl w:val="0"/>
              <w:rPr>
                <w:szCs w:val="22"/>
                <w:lang w:val="sr-Latn-RS"/>
              </w:rPr>
            </w:pPr>
            <w:r w:rsidRPr="00394D9A">
              <w:rPr>
                <w:szCs w:val="22"/>
                <w:lang w:val="sr-Latn-RS"/>
              </w:rPr>
              <w:t>Smrti svih uzroka</w:t>
            </w:r>
          </w:p>
        </w:tc>
        <w:tc>
          <w:tcPr>
            <w:tcW w:w="1685" w:type="pct"/>
          </w:tcPr>
          <w:p w14:paraId="5E173D29" w14:textId="5A58B7AF" w:rsidR="00DF5CEC" w:rsidRPr="00394D9A" w:rsidRDefault="00DF5CEC" w:rsidP="00187D17">
            <w:pPr>
              <w:widowControl w:val="0"/>
              <w:jc w:val="center"/>
              <w:rPr>
                <w:szCs w:val="22"/>
                <w:lang w:val="sr-Latn-RS"/>
              </w:rPr>
            </w:pPr>
            <w:r w:rsidRPr="00394D9A">
              <w:rPr>
                <w:szCs w:val="22"/>
                <w:lang w:val="sr-Latn-RS"/>
              </w:rPr>
              <w:t>51 (2,0%)</w:t>
            </w:r>
          </w:p>
        </w:tc>
        <w:tc>
          <w:tcPr>
            <w:tcW w:w="1694" w:type="pct"/>
          </w:tcPr>
          <w:p w14:paraId="3C924182" w14:textId="00345F96" w:rsidR="00DF5CEC" w:rsidRPr="00394D9A" w:rsidRDefault="00DF5CEC" w:rsidP="00187D17">
            <w:pPr>
              <w:widowControl w:val="0"/>
              <w:jc w:val="center"/>
              <w:rPr>
                <w:szCs w:val="22"/>
                <w:lang w:val="sr-Latn-RS"/>
              </w:rPr>
            </w:pPr>
            <w:r w:rsidRPr="00394D9A">
              <w:rPr>
                <w:szCs w:val="22"/>
                <w:lang w:val="sr-Latn-RS"/>
              </w:rPr>
              <w:t>52 (2,0%)</w:t>
            </w:r>
          </w:p>
        </w:tc>
      </w:tr>
      <w:tr w:rsidR="00DF5CEC" w:rsidRPr="00394D9A" w14:paraId="49850AAA" w14:textId="77777777" w:rsidTr="00DF17BA">
        <w:tc>
          <w:tcPr>
            <w:tcW w:w="1622" w:type="pct"/>
          </w:tcPr>
          <w:p w14:paraId="28AD2C1D" w14:textId="2A06EA3F" w:rsidR="00DF5CEC" w:rsidRPr="00394D9A" w:rsidRDefault="00DF5CEC" w:rsidP="00187D17">
            <w:pPr>
              <w:widowControl w:val="0"/>
              <w:rPr>
                <w:szCs w:val="22"/>
                <w:lang w:val="sr-Latn-RS"/>
              </w:rPr>
            </w:pPr>
            <w:r w:rsidRPr="00394D9A">
              <w:rPr>
                <w:szCs w:val="22"/>
                <w:lang w:val="sr-Latn-RS"/>
              </w:rPr>
              <w:t>Interval pouzdanosti 95%</w:t>
            </w:r>
          </w:p>
        </w:tc>
        <w:tc>
          <w:tcPr>
            <w:tcW w:w="1685" w:type="pct"/>
          </w:tcPr>
          <w:p w14:paraId="16821F04" w14:textId="0E78546F" w:rsidR="00DF5CEC" w:rsidRPr="00394D9A" w:rsidRDefault="00DF5CEC" w:rsidP="00187D17">
            <w:pPr>
              <w:widowControl w:val="0"/>
              <w:jc w:val="center"/>
              <w:rPr>
                <w:szCs w:val="22"/>
                <w:lang w:val="sr-Latn-RS"/>
              </w:rPr>
            </w:pPr>
            <w:r w:rsidRPr="00394D9A">
              <w:rPr>
                <w:szCs w:val="22"/>
                <w:lang w:val="sr-Latn-RS"/>
              </w:rPr>
              <w:t>1,49; 2,62</w:t>
            </w:r>
          </w:p>
        </w:tc>
        <w:tc>
          <w:tcPr>
            <w:tcW w:w="1694" w:type="pct"/>
          </w:tcPr>
          <w:p w14:paraId="18ECA510" w14:textId="394BD00F" w:rsidR="00DF5CEC" w:rsidRPr="00394D9A" w:rsidRDefault="00DF5CEC" w:rsidP="00187D17">
            <w:pPr>
              <w:widowControl w:val="0"/>
              <w:jc w:val="center"/>
              <w:rPr>
                <w:szCs w:val="22"/>
                <w:lang w:val="sr-Latn-RS"/>
              </w:rPr>
            </w:pPr>
            <w:r w:rsidRPr="00394D9A">
              <w:rPr>
                <w:szCs w:val="22"/>
                <w:lang w:val="sr-Latn-RS"/>
              </w:rPr>
              <w:t>1,52; 2,66</w:t>
            </w:r>
          </w:p>
        </w:tc>
      </w:tr>
    </w:tbl>
    <w:p w14:paraId="2A30E1DC" w14:textId="30557476" w:rsidR="00B33397" w:rsidRPr="00394D9A" w:rsidRDefault="00B33397" w:rsidP="00187D17">
      <w:pPr>
        <w:widowControl w:val="0"/>
        <w:rPr>
          <w:szCs w:val="22"/>
          <w:lang w:val="sr-Latn-RS"/>
        </w:rPr>
      </w:pPr>
    </w:p>
    <w:p w14:paraId="7A863797" w14:textId="77777777" w:rsidR="00DF5CEC" w:rsidRPr="00394D9A" w:rsidRDefault="00DF5CEC" w:rsidP="00187D17">
      <w:pPr>
        <w:widowControl w:val="0"/>
        <w:rPr>
          <w:i/>
          <w:iCs/>
          <w:szCs w:val="22"/>
          <w:u w:val="single"/>
          <w:lang w:val="sr-Latn-RS"/>
        </w:rPr>
      </w:pPr>
      <w:r w:rsidRPr="00394D9A">
        <w:rPr>
          <w:i/>
          <w:iCs/>
          <w:szCs w:val="22"/>
          <w:u w:val="single"/>
          <w:lang w:val="sr-Latn-RS"/>
        </w:rPr>
        <w:t>Prevencija rekurentne duboke venske tromboze (DVT) i plućne embolije (PE) kod odraslih (prevencija DVT/PE)</w:t>
      </w:r>
    </w:p>
    <w:p w14:paraId="0A0F82D0" w14:textId="77777777" w:rsidR="00DF5CEC" w:rsidRPr="00394D9A" w:rsidRDefault="00DF5CEC" w:rsidP="00187D17">
      <w:pPr>
        <w:widowControl w:val="0"/>
        <w:rPr>
          <w:szCs w:val="22"/>
          <w:lang w:val="sr-Latn-RS"/>
        </w:rPr>
      </w:pPr>
    </w:p>
    <w:p w14:paraId="765F1D09" w14:textId="7F35AC6D" w:rsidR="00454778" w:rsidRPr="00394D9A" w:rsidRDefault="00454778" w:rsidP="00187D17">
      <w:pPr>
        <w:widowControl w:val="0"/>
        <w:rPr>
          <w:szCs w:val="22"/>
          <w:lang w:val="sr-Latn-RS"/>
        </w:rPr>
      </w:pPr>
      <w:r w:rsidRPr="00394D9A">
        <w:rPr>
          <w:szCs w:val="22"/>
          <w:lang w:val="sr-Latn-RS"/>
        </w:rPr>
        <w:t>Dva randomizovana, dvostruko sl</w:t>
      </w:r>
      <w:r w:rsidR="00933D01" w:rsidRPr="00394D9A">
        <w:rPr>
          <w:szCs w:val="22"/>
          <w:lang w:val="sr-Latn-RS"/>
        </w:rPr>
        <w:t>ij</w:t>
      </w:r>
      <w:r w:rsidRPr="00394D9A">
        <w:rPr>
          <w:szCs w:val="22"/>
          <w:lang w:val="sr-Latn-RS"/>
        </w:rPr>
        <w:t>epa ispitivanja paralelnih grupa sprovedena su na pacijentima koji su prethodno bili l</w:t>
      </w:r>
      <w:r w:rsidR="00933D01" w:rsidRPr="00394D9A">
        <w:rPr>
          <w:szCs w:val="22"/>
          <w:lang w:val="sr-Latn-RS"/>
        </w:rPr>
        <w:t>ij</w:t>
      </w:r>
      <w:r w:rsidRPr="00394D9A">
        <w:rPr>
          <w:szCs w:val="22"/>
          <w:lang w:val="sr-Latn-RS"/>
        </w:rPr>
        <w:t>ečeni antikoagulacionom terapijom. RE-MEDY, ispitivanje kontrolisano varfarinom, uključivalo je pacijente koji su se već l</w:t>
      </w:r>
      <w:r w:rsidR="00933D01" w:rsidRPr="00394D9A">
        <w:rPr>
          <w:szCs w:val="22"/>
          <w:lang w:val="sr-Latn-RS"/>
        </w:rPr>
        <w:t>ij</w:t>
      </w:r>
      <w:r w:rsidRPr="00394D9A">
        <w:rPr>
          <w:szCs w:val="22"/>
          <w:lang w:val="sr-Latn-RS"/>
        </w:rPr>
        <w:t xml:space="preserve">ečili 3 do 12 </w:t>
      </w:r>
      <w:r w:rsidR="006561D1" w:rsidRPr="00394D9A">
        <w:rPr>
          <w:szCs w:val="22"/>
          <w:lang w:val="sr-Latn-RS"/>
        </w:rPr>
        <w:t>mjeseci</w:t>
      </w:r>
      <w:r w:rsidRPr="00394D9A">
        <w:rPr>
          <w:szCs w:val="22"/>
          <w:lang w:val="sr-Latn-RS"/>
        </w:rPr>
        <w:t xml:space="preserve"> sa potrebom daljnjeg antikoagulantnog l</w:t>
      </w:r>
      <w:r w:rsidR="00933D01" w:rsidRPr="00394D9A">
        <w:rPr>
          <w:szCs w:val="22"/>
          <w:lang w:val="sr-Latn-RS"/>
        </w:rPr>
        <w:t>ij</w:t>
      </w:r>
      <w:r w:rsidRPr="00394D9A">
        <w:rPr>
          <w:szCs w:val="22"/>
          <w:lang w:val="sr-Latn-RS"/>
        </w:rPr>
        <w:t>ečenja, a RE-SONATE, ispitivanje kontrolisano placebo</w:t>
      </w:r>
      <w:r w:rsidR="004D22DA" w:rsidRPr="00394D9A">
        <w:rPr>
          <w:szCs w:val="22"/>
          <w:lang w:val="sr-Latn-RS"/>
        </w:rPr>
        <w:t>m</w:t>
      </w:r>
      <w:r w:rsidRPr="00394D9A">
        <w:rPr>
          <w:szCs w:val="22"/>
          <w:lang w:val="sr-Latn-RS"/>
        </w:rPr>
        <w:t>, uključivalo je pacijente koji su se već l</w:t>
      </w:r>
      <w:r w:rsidR="00933D01" w:rsidRPr="00394D9A">
        <w:rPr>
          <w:szCs w:val="22"/>
          <w:lang w:val="sr-Latn-RS"/>
        </w:rPr>
        <w:t>ij</w:t>
      </w:r>
      <w:r w:rsidRPr="00394D9A">
        <w:rPr>
          <w:szCs w:val="22"/>
          <w:lang w:val="sr-Latn-RS"/>
        </w:rPr>
        <w:t xml:space="preserve">ečili 6 do 18 </w:t>
      </w:r>
      <w:r w:rsidR="006561D1" w:rsidRPr="00394D9A">
        <w:rPr>
          <w:szCs w:val="22"/>
          <w:lang w:val="sr-Latn-RS"/>
        </w:rPr>
        <w:t>mjeseci</w:t>
      </w:r>
      <w:r w:rsidRPr="00394D9A">
        <w:rPr>
          <w:szCs w:val="22"/>
          <w:lang w:val="sr-Latn-RS"/>
        </w:rPr>
        <w:t xml:space="preserve"> antagonistima vitamina K.</w:t>
      </w:r>
    </w:p>
    <w:p w14:paraId="39E9DE47" w14:textId="77777777" w:rsidR="00454778" w:rsidRPr="00394D9A" w:rsidRDefault="00454778" w:rsidP="00187D17">
      <w:pPr>
        <w:widowControl w:val="0"/>
        <w:rPr>
          <w:szCs w:val="22"/>
          <w:lang w:val="sr-Latn-RS"/>
        </w:rPr>
      </w:pPr>
    </w:p>
    <w:p w14:paraId="5C0114F2" w14:textId="37210C91" w:rsidR="00454778" w:rsidRPr="00394D9A" w:rsidRDefault="00454778" w:rsidP="00187D17">
      <w:pPr>
        <w:widowControl w:val="0"/>
        <w:rPr>
          <w:szCs w:val="22"/>
          <w:lang w:val="sr-Latn-RS"/>
        </w:rPr>
      </w:pPr>
      <w:r w:rsidRPr="00394D9A">
        <w:rPr>
          <w:szCs w:val="22"/>
          <w:lang w:val="sr-Latn-RS"/>
        </w:rPr>
        <w:t>Cilj isptivanja RE-MEDY bio je da se uporedi bezb</w:t>
      </w:r>
      <w:r w:rsidR="00933D01" w:rsidRPr="00394D9A">
        <w:rPr>
          <w:szCs w:val="22"/>
          <w:lang w:val="sr-Latn-RS"/>
        </w:rPr>
        <w:t>j</w:t>
      </w:r>
      <w:r w:rsidRPr="00394D9A">
        <w:rPr>
          <w:szCs w:val="22"/>
          <w:lang w:val="sr-Latn-RS"/>
        </w:rPr>
        <w:t>ednost i efikasnost oralnog dabigatraneteksilata (150 mg dva puta na dan) sa varfarinom (ciljni INR 2,0-3,0) u dugotrajnom l</w:t>
      </w:r>
      <w:r w:rsidR="00933D01" w:rsidRPr="00394D9A">
        <w:rPr>
          <w:szCs w:val="22"/>
          <w:lang w:val="sr-Latn-RS"/>
        </w:rPr>
        <w:t>ij</w:t>
      </w:r>
      <w:r w:rsidRPr="00394D9A">
        <w:rPr>
          <w:szCs w:val="22"/>
          <w:lang w:val="sr-Latn-RS"/>
        </w:rPr>
        <w:t>ečenju i prevenciji rekurentne, simptomatske DVT i/ili PE. Ukupno je bilo randomizovano 2866 pacijenata, a 2856 pacijenata je bilo l</w:t>
      </w:r>
      <w:r w:rsidR="00933D01" w:rsidRPr="00394D9A">
        <w:rPr>
          <w:szCs w:val="22"/>
          <w:lang w:val="sr-Latn-RS"/>
        </w:rPr>
        <w:t>ij</w:t>
      </w:r>
      <w:r w:rsidRPr="00394D9A">
        <w:rPr>
          <w:szCs w:val="22"/>
          <w:lang w:val="sr-Latn-RS"/>
        </w:rPr>
        <w:t>ečeno. Trajanje l</w:t>
      </w:r>
      <w:r w:rsidR="00933D01" w:rsidRPr="00394D9A">
        <w:rPr>
          <w:szCs w:val="22"/>
          <w:lang w:val="sr-Latn-RS"/>
        </w:rPr>
        <w:t>ij</w:t>
      </w:r>
      <w:r w:rsidRPr="00394D9A">
        <w:rPr>
          <w:szCs w:val="22"/>
          <w:lang w:val="sr-Latn-RS"/>
        </w:rPr>
        <w:t xml:space="preserve">ečenja dabigatraneteksilatom variralo je od 6 do 36 </w:t>
      </w:r>
      <w:r w:rsidR="006561D1" w:rsidRPr="00394D9A">
        <w:rPr>
          <w:szCs w:val="22"/>
          <w:lang w:val="sr-Latn-RS"/>
        </w:rPr>
        <w:t>mjeseci</w:t>
      </w:r>
      <w:r w:rsidRPr="00394D9A">
        <w:rPr>
          <w:szCs w:val="22"/>
          <w:lang w:val="sr-Latn-RS"/>
        </w:rPr>
        <w:t xml:space="preserve"> (medijana 534,0 dana). Za pacijente randomizovane na varfarin, medijana </w:t>
      </w:r>
      <w:r w:rsidR="00BD52DD" w:rsidRPr="00394D9A">
        <w:rPr>
          <w:szCs w:val="22"/>
          <w:lang w:val="sr-Latn-RS"/>
        </w:rPr>
        <w:t>vreme</w:t>
      </w:r>
      <w:r w:rsidRPr="00394D9A">
        <w:rPr>
          <w:szCs w:val="22"/>
          <w:lang w:val="sr-Latn-RS"/>
        </w:rPr>
        <w:t>na u terapijskom rasponu (INR 2,0-3,0) bila je 64,9%.</w:t>
      </w:r>
    </w:p>
    <w:p w14:paraId="308D68DF" w14:textId="77777777" w:rsidR="00454778" w:rsidRPr="00394D9A" w:rsidRDefault="00454778" w:rsidP="00187D17">
      <w:pPr>
        <w:widowControl w:val="0"/>
        <w:rPr>
          <w:szCs w:val="22"/>
          <w:lang w:val="sr-Latn-RS"/>
        </w:rPr>
      </w:pPr>
    </w:p>
    <w:p w14:paraId="3BFD0E80" w14:textId="38A26A37" w:rsidR="00454778" w:rsidRPr="00394D9A" w:rsidRDefault="00454778" w:rsidP="00187D17">
      <w:pPr>
        <w:widowControl w:val="0"/>
        <w:rPr>
          <w:szCs w:val="22"/>
          <w:lang w:val="sr-Latn-RS"/>
        </w:rPr>
      </w:pPr>
      <w:r w:rsidRPr="00394D9A">
        <w:rPr>
          <w:szCs w:val="22"/>
          <w:lang w:val="sr-Latn-RS"/>
        </w:rPr>
        <w:t>U RE-MEDY ispitivanju pokazano je da l</w:t>
      </w:r>
      <w:r w:rsidR="00933D01" w:rsidRPr="00394D9A">
        <w:rPr>
          <w:szCs w:val="22"/>
          <w:lang w:val="sr-Latn-RS"/>
        </w:rPr>
        <w:t>ij</w:t>
      </w:r>
      <w:r w:rsidRPr="00394D9A">
        <w:rPr>
          <w:szCs w:val="22"/>
          <w:lang w:val="sr-Latn-RS"/>
        </w:rPr>
        <w:t>ečenje dabigatraneteksilatom 150 mg dva puta na dan nije bilo inferiorno u odnosu na varfarin (granica neinferiornosti: 2,85 za odnos rizika i 2,8 za razliku rizika).</w:t>
      </w:r>
    </w:p>
    <w:p w14:paraId="686C0778" w14:textId="77777777" w:rsidR="00DF5CEC" w:rsidRPr="00394D9A" w:rsidRDefault="00DF5CEC" w:rsidP="00187D17">
      <w:pPr>
        <w:widowControl w:val="0"/>
        <w:rPr>
          <w:szCs w:val="22"/>
          <w:lang w:val="sr-Latn-RS"/>
        </w:rPr>
      </w:pPr>
    </w:p>
    <w:p w14:paraId="5961ADE7" w14:textId="152C0B95" w:rsidR="00B33397" w:rsidRPr="00394D9A" w:rsidRDefault="00DF5CEC" w:rsidP="00187D17">
      <w:pPr>
        <w:widowControl w:val="0"/>
        <w:rPr>
          <w:b/>
          <w:bCs/>
          <w:szCs w:val="22"/>
          <w:lang w:val="sr-Latn-RS"/>
        </w:rPr>
      </w:pPr>
      <w:r w:rsidRPr="00394D9A">
        <w:rPr>
          <w:b/>
          <w:bCs/>
          <w:szCs w:val="22"/>
          <w:lang w:val="sr-Latn-RS"/>
        </w:rPr>
        <w:t>Tabela 2</w:t>
      </w:r>
      <w:r w:rsidR="00787E96" w:rsidRPr="00394D9A">
        <w:rPr>
          <w:b/>
          <w:bCs/>
          <w:szCs w:val="22"/>
          <w:lang w:val="sr-Latn-RS"/>
        </w:rPr>
        <w:t>3</w:t>
      </w:r>
      <w:r w:rsidRPr="00394D9A">
        <w:rPr>
          <w:b/>
          <w:bCs/>
          <w:szCs w:val="22"/>
          <w:lang w:val="sr-Latn-RS"/>
        </w:rPr>
        <w:t>: Analiza primarnih i sekundarnih ciljeva efikasnosti (VTE je zbir DVT i/ili PE) do kraja post-terapijskog perioda iz ispitivanja RE-MEDY</w:t>
      </w:r>
    </w:p>
    <w:p w14:paraId="2B92B302" w14:textId="35EA2938" w:rsidR="00DF5CEC" w:rsidRPr="00394D9A" w:rsidRDefault="00DF5CEC" w:rsidP="00187D17">
      <w:pPr>
        <w:widowControl w:val="0"/>
        <w:rPr>
          <w:b/>
          <w:bCs/>
          <w:szCs w:val="22"/>
          <w:lang w:val="sr-Latn-RS"/>
        </w:rPr>
      </w:pPr>
    </w:p>
    <w:tbl>
      <w:tblPr>
        <w:tblStyle w:val="TableGrid"/>
        <w:tblW w:w="5000" w:type="pct"/>
        <w:tblLook w:val="04A0" w:firstRow="1" w:lastRow="0" w:firstColumn="1" w:lastColumn="0" w:noHBand="0" w:noVBand="1"/>
      </w:tblPr>
      <w:tblGrid>
        <w:gridCol w:w="4065"/>
        <w:gridCol w:w="2588"/>
        <w:gridCol w:w="2408"/>
      </w:tblGrid>
      <w:tr w:rsidR="00DF5CEC" w:rsidRPr="00394D9A" w14:paraId="0B66018C" w14:textId="77777777" w:rsidTr="00DF17BA">
        <w:tc>
          <w:tcPr>
            <w:tcW w:w="2243" w:type="pct"/>
          </w:tcPr>
          <w:p w14:paraId="1147E1B7" w14:textId="77777777" w:rsidR="00DF5CEC" w:rsidRPr="00394D9A" w:rsidRDefault="00DF5CEC" w:rsidP="00187D17">
            <w:pPr>
              <w:widowControl w:val="0"/>
              <w:rPr>
                <w:b/>
                <w:bCs/>
                <w:szCs w:val="22"/>
                <w:lang w:val="sr-Latn-RS"/>
              </w:rPr>
            </w:pPr>
            <w:bookmarkStart w:id="2" w:name="_Hlk58235628"/>
          </w:p>
        </w:tc>
        <w:tc>
          <w:tcPr>
            <w:tcW w:w="1428" w:type="pct"/>
          </w:tcPr>
          <w:p w14:paraId="0DAAD278" w14:textId="642B5400" w:rsidR="00DF5CEC" w:rsidRPr="00394D9A" w:rsidRDefault="00DF5CEC" w:rsidP="00187D17">
            <w:pPr>
              <w:pStyle w:val="TableParagraph"/>
              <w:spacing w:line="240" w:lineRule="auto"/>
              <w:ind w:left="0" w:right="46"/>
              <w:jc w:val="center"/>
              <w:rPr>
                <w:lang w:val="sr-Latn-RS"/>
              </w:rPr>
            </w:pPr>
            <w:r w:rsidRPr="00394D9A">
              <w:rPr>
                <w:lang w:val="sr-Latn-RS"/>
              </w:rPr>
              <w:t xml:space="preserve">Dabigatraneteksilat </w:t>
            </w:r>
            <w:r w:rsidR="00454778" w:rsidRPr="00394D9A">
              <w:rPr>
                <w:lang w:val="sr-Latn-RS"/>
              </w:rPr>
              <w:br/>
            </w:r>
            <w:r w:rsidRPr="00394D9A">
              <w:rPr>
                <w:lang w:val="sr-Latn-RS"/>
              </w:rPr>
              <w:t>150 mg dva</w:t>
            </w:r>
            <w:r w:rsidR="004D22DA" w:rsidRPr="00394D9A">
              <w:rPr>
                <w:lang w:val="sr-Latn-RS"/>
              </w:rPr>
              <w:t xml:space="preserve"> </w:t>
            </w:r>
            <w:r w:rsidRPr="00394D9A">
              <w:rPr>
                <w:lang w:val="sr-Latn-RS"/>
              </w:rPr>
              <w:t>puta na dan</w:t>
            </w:r>
          </w:p>
        </w:tc>
        <w:tc>
          <w:tcPr>
            <w:tcW w:w="1330" w:type="pct"/>
          </w:tcPr>
          <w:p w14:paraId="6D5906C7" w14:textId="7839B222" w:rsidR="00DF5CEC" w:rsidRPr="00394D9A" w:rsidRDefault="00DF5CEC" w:rsidP="00187D17">
            <w:pPr>
              <w:widowControl w:val="0"/>
              <w:jc w:val="center"/>
              <w:rPr>
                <w:b/>
                <w:bCs/>
                <w:szCs w:val="22"/>
                <w:lang w:val="sr-Latn-RS"/>
              </w:rPr>
            </w:pPr>
            <w:r w:rsidRPr="00394D9A">
              <w:rPr>
                <w:szCs w:val="22"/>
                <w:lang w:val="sr-Latn-RS"/>
              </w:rPr>
              <w:t>Varfarin</w:t>
            </w:r>
          </w:p>
        </w:tc>
      </w:tr>
      <w:bookmarkEnd w:id="2"/>
      <w:tr w:rsidR="00DF5CEC" w:rsidRPr="00394D9A" w14:paraId="49A42EB7" w14:textId="77777777" w:rsidTr="00DF17BA">
        <w:tc>
          <w:tcPr>
            <w:tcW w:w="2243" w:type="pct"/>
          </w:tcPr>
          <w:p w14:paraId="51B5521F" w14:textId="095D1B16" w:rsidR="00DF5CEC" w:rsidRPr="00394D9A" w:rsidRDefault="00DF5CEC" w:rsidP="00187D17">
            <w:pPr>
              <w:widowControl w:val="0"/>
              <w:rPr>
                <w:b/>
                <w:bCs/>
                <w:szCs w:val="22"/>
                <w:lang w:val="sr-Latn-RS"/>
              </w:rPr>
            </w:pPr>
            <w:r w:rsidRPr="00394D9A">
              <w:rPr>
                <w:szCs w:val="22"/>
                <w:lang w:val="sr-Latn-RS"/>
              </w:rPr>
              <w:t>L</w:t>
            </w:r>
            <w:r w:rsidR="00933D01" w:rsidRPr="00394D9A">
              <w:rPr>
                <w:szCs w:val="22"/>
                <w:lang w:val="sr-Latn-RS"/>
              </w:rPr>
              <w:t>ij</w:t>
            </w:r>
            <w:r w:rsidRPr="00394D9A">
              <w:rPr>
                <w:szCs w:val="22"/>
                <w:lang w:val="sr-Latn-RS"/>
              </w:rPr>
              <w:t>ečeni pacijenti</w:t>
            </w:r>
          </w:p>
        </w:tc>
        <w:tc>
          <w:tcPr>
            <w:tcW w:w="1428" w:type="pct"/>
          </w:tcPr>
          <w:p w14:paraId="341C5684" w14:textId="10904644" w:rsidR="00DF5CEC" w:rsidRPr="00394D9A" w:rsidRDefault="00DF5CEC" w:rsidP="00187D17">
            <w:pPr>
              <w:widowControl w:val="0"/>
              <w:jc w:val="center"/>
              <w:rPr>
                <w:b/>
                <w:bCs/>
                <w:szCs w:val="22"/>
                <w:lang w:val="sr-Latn-RS"/>
              </w:rPr>
            </w:pPr>
            <w:r w:rsidRPr="00394D9A">
              <w:rPr>
                <w:szCs w:val="22"/>
                <w:lang w:val="sr-Latn-RS"/>
              </w:rPr>
              <w:t>1430</w:t>
            </w:r>
          </w:p>
        </w:tc>
        <w:tc>
          <w:tcPr>
            <w:tcW w:w="1330" w:type="pct"/>
          </w:tcPr>
          <w:p w14:paraId="3E2FC4F8" w14:textId="09E46331" w:rsidR="00DF5CEC" w:rsidRPr="00394D9A" w:rsidRDefault="00DF5CEC" w:rsidP="00187D17">
            <w:pPr>
              <w:widowControl w:val="0"/>
              <w:jc w:val="center"/>
              <w:rPr>
                <w:b/>
                <w:bCs/>
                <w:szCs w:val="22"/>
                <w:lang w:val="sr-Latn-RS"/>
              </w:rPr>
            </w:pPr>
            <w:r w:rsidRPr="00394D9A">
              <w:rPr>
                <w:szCs w:val="22"/>
                <w:lang w:val="sr-Latn-RS"/>
              </w:rPr>
              <w:t>1426</w:t>
            </w:r>
          </w:p>
        </w:tc>
      </w:tr>
      <w:tr w:rsidR="00DF5CEC" w:rsidRPr="00394D9A" w14:paraId="7FFFA76E" w14:textId="77777777" w:rsidTr="00DF17BA">
        <w:tc>
          <w:tcPr>
            <w:tcW w:w="2243" w:type="pct"/>
          </w:tcPr>
          <w:p w14:paraId="3AA10D67" w14:textId="019DBE66" w:rsidR="00DF5CEC" w:rsidRPr="00394D9A" w:rsidRDefault="00DF5CEC" w:rsidP="00187D17">
            <w:pPr>
              <w:pStyle w:val="TableParagraph"/>
              <w:spacing w:line="240" w:lineRule="auto"/>
              <w:ind w:left="0"/>
              <w:rPr>
                <w:lang w:val="sr-Latn-RS"/>
              </w:rPr>
            </w:pPr>
            <w:r w:rsidRPr="00394D9A">
              <w:rPr>
                <w:lang w:val="sr-Latn-RS"/>
              </w:rPr>
              <w:t>Rekurentna simptomatska VTE i smrt</w:t>
            </w:r>
            <w:r w:rsidR="00D90830" w:rsidRPr="00394D9A">
              <w:rPr>
                <w:lang w:val="sr-Latn-RS"/>
              </w:rPr>
              <w:t xml:space="preserve"> </w:t>
            </w:r>
            <w:r w:rsidRPr="00394D9A">
              <w:rPr>
                <w:lang w:val="sr-Latn-RS"/>
              </w:rPr>
              <w:t>povezana sa VTE</w:t>
            </w:r>
          </w:p>
        </w:tc>
        <w:tc>
          <w:tcPr>
            <w:tcW w:w="1428" w:type="pct"/>
            <w:vAlign w:val="center"/>
          </w:tcPr>
          <w:p w14:paraId="4F8C09F9" w14:textId="06D96E11" w:rsidR="00DF5CEC" w:rsidRPr="00394D9A" w:rsidRDefault="00DF5CEC" w:rsidP="00187D17">
            <w:pPr>
              <w:widowControl w:val="0"/>
              <w:jc w:val="center"/>
              <w:rPr>
                <w:b/>
                <w:bCs/>
                <w:szCs w:val="22"/>
                <w:lang w:val="sr-Latn-RS"/>
              </w:rPr>
            </w:pPr>
            <w:r w:rsidRPr="00394D9A">
              <w:rPr>
                <w:szCs w:val="22"/>
                <w:lang w:val="sr-Latn-RS"/>
              </w:rPr>
              <w:t>26 (1,8%)</w:t>
            </w:r>
          </w:p>
        </w:tc>
        <w:tc>
          <w:tcPr>
            <w:tcW w:w="1330" w:type="pct"/>
            <w:vAlign w:val="center"/>
          </w:tcPr>
          <w:p w14:paraId="4A678254" w14:textId="6098F268" w:rsidR="00DF5CEC" w:rsidRPr="00394D9A" w:rsidRDefault="00DF5CEC" w:rsidP="00187D17">
            <w:pPr>
              <w:widowControl w:val="0"/>
              <w:jc w:val="center"/>
              <w:rPr>
                <w:b/>
                <w:bCs/>
                <w:szCs w:val="22"/>
                <w:lang w:val="sr-Latn-RS"/>
              </w:rPr>
            </w:pPr>
            <w:r w:rsidRPr="00394D9A">
              <w:rPr>
                <w:szCs w:val="22"/>
                <w:lang w:val="sr-Latn-RS"/>
              </w:rPr>
              <w:t>18 (1,3%)</w:t>
            </w:r>
          </w:p>
        </w:tc>
      </w:tr>
      <w:tr w:rsidR="00DF5CEC" w:rsidRPr="00394D9A" w14:paraId="6A3E9A7D" w14:textId="77777777" w:rsidTr="00DF17BA">
        <w:tc>
          <w:tcPr>
            <w:tcW w:w="2243" w:type="pct"/>
          </w:tcPr>
          <w:p w14:paraId="0DC71BC7" w14:textId="18FEDFA2" w:rsidR="00DF5CEC" w:rsidRPr="00394D9A" w:rsidRDefault="00DF5CEC" w:rsidP="00187D17">
            <w:pPr>
              <w:pStyle w:val="TableParagraph"/>
              <w:spacing w:line="240" w:lineRule="auto"/>
              <w:ind w:left="0"/>
              <w:rPr>
                <w:lang w:val="sr-Latn-RS"/>
              </w:rPr>
            </w:pPr>
            <w:r w:rsidRPr="00394D9A">
              <w:rPr>
                <w:lang w:val="sr-Latn-RS"/>
              </w:rPr>
              <w:t>Odnos rizika u odnosu na varfarin</w:t>
            </w:r>
            <w:r w:rsidR="00D90830" w:rsidRPr="00394D9A">
              <w:rPr>
                <w:lang w:val="sr-Latn-RS"/>
              </w:rPr>
              <w:t xml:space="preserve"> </w:t>
            </w:r>
            <w:r w:rsidRPr="00394D9A">
              <w:rPr>
                <w:lang w:val="sr-Latn-RS"/>
              </w:rPr>
              <w:t>(interval pouzdanosti 95%)</w:t>
            </w:r>
          </w:p>
        </w:tc>
        <w:tc>
          <w:tcPr>
            <w:tcW w:w="1428" w:type="pct"/>
            <w:vAlign w:val="center"/>
          </w:tcPr>
          <w:p w14:paraId="2A815BAA" w14:textId="210D8A01" w:rsidR="00DF5CEC" w:rsidRPr="00394D9A" w:rsidRDefault="00DF5CEC" w:rsidP="00187D17">
            <w:pPr>
              <w:pStyle w:val="TableParagraph"/>
              <w:spacing w:line="240" w:lineRule="auto"/>
              <w:ind w:left="55" w:right="36"/>
              <w:jc w:val="center"/>
              <w:rPr>
                <w:lang w:val="sr-Latn-RS"/>
              </w:rPr>
            </w:pPr>
            <w:r w:rsidRPr="00394D9A">
              <w:rPr>
                <w:lang w:val="sr-Latn-RS"/>
              </w:rPr>
              <w:t>1,44 (0,78; 2,64)</w:t>
            </w:r>
          </w:p>
        </w:tc>
        <w:tc>
          <w:tcPr>
            <w:tcW w:w="1330" w:type="pct"/>
            <w:vAlign w:val="center"/>
          </w:tcPr>
          <w:p w14:paraId="3FA64F57" w14:textId="77777777" w:rsidR="00DF5CEC" w:rsidRPr="00394D9A" w:rsidRDefault="00DF5CEC" w:rsidP="00187D17">
            <w:pPr>
              <w:widowControl w:val="0"/>
              <w:jc w:val="center"/>
              <w:rPr>
                <w:b/>
                <w:bCs/>
                <w:szCs w:val="22"/>
                <w:lang w:val="sr-Latn-RS"/>
              </w:rPr>
            </w:pPr>
          </w:p>
        </w:tc>
      </w:tr>
      <w:tr w:rsidR="00DF5CEC" w:rsidRPr="00394D9A" w14:paraId="29254D91" w14:textId="77777777" w:rsidTr="00DF17BA">
        <w:tc>
          <w:tcPr>
            <w:tcW w:w="2243" w:type="pct"/>
          </w:tcPr>
          <w:p w14:paraId="7EB99E19" w14:textId="47C6150E" w:rsidR="00DF5CEC" w:rsidRPr="00394D9A" w:rsidRDefault="00DF5CEC" w:rsidP="00187D17">
            <w:pPr>
              <w:widowControl w:val="0"/>
              <w:rPr>
                <w:b/>
                <w:bCs/>
                <w:szCs w:val="22"/>
                <w:lang w:val="sr-Latn-RS"/>
              </w:rPr>
            </w:pPr>
            <w:r w:rsidRPr="00394D9A">
              <w:rPr>
                <w:szCs w:val="22"/>
                <w:lang w:val="sr-Latn-RS"/>
              </w:rPr>
              <w:lastRenderedPageBreak/>
              <w:t>Granica neinferiornosti</w:t>
            </w:r>
          </w:p>
        </w:tc>
        <w:tc>
          <w:tcPr>
            <w:tcW w:w="1428" w:type="pct"/>
          </w:tcPr>
          <w:p w14:paraId="31F32C7B" w14:textId="1522961A" w:rsidR="00DF5CEC" w:rsidRPr="00394D9A" w:rsidRDefault="00DF5CEC" w:rsidP="00187D17">
            <w:pPr>
              <w:widowControl w:val="0"/>
              <w:jc w:val="center"/>
              <w:rPr>
                <w:b/>
                <w:bCs/>
                <w:szCs w:val="22"/>
                <w:lang w:val="sr-Latn-RS"/>
              </w:rPr>
            </w:pPr>
            <w:r w:rsidRPr="00394D9A">
              <w:rPr>
                <w:szCs w:val="22"/>
                <w:lang w:val="sr-Latn-RS"/>
              </w:rPr>
              <w:t>2,85</w:t>
            </w:r>
          </w:p>
        </w:tc>
        <w:tc>
          <w:tcPr>
            <w:tcW w:w="1330" w:type="pct"/>
          </w:tcPr>
          <w:p w14:paraId="58FE26DA" w14:textId="77777777" w:rsidR="00DF5CEC" w:rsidRPr="00394D9A" w:rsidRDefault="00DF5CEC" w:rsidP="00187D17">
            <w:pPr>
              <w:widowControl w:val="0"/>
              <w:jc w:val="center"/>
              <w:rPr>
                <w:b/>
                <w:bCs/>
                <w:szCs w:val="22"/>
                <w:lang w:val="sr-Latn-RS"/>
              </w:rPr>
            </w:pPr>
          </w:p>
        </w:tc>
      </w:tr>
      <w:tr w:rsidR="00DF5CEC" w:rsidRPr="00394D9A" w14:paraId="15F84E1D" w14:textId="77777777" w:rsidTr="00DF17BA">
        <w:tc>
          <w:tcPr>
            <w:tcW w:w="2243" w:type="pct"/>
          </w:tcPr>
          <w:p w14:paraId="171D7B63" w14:textId="3CC28DDA" w:rsidR="00DF5CEC" w:rsidRPr="00394D9A" w:rsidRDefault="00DF5CEC" w:rsidP="00187D17">
            <w:pPr>
              <w:widowControl w:val="0"/>
              <w:rPr>
                <w:b/>
                <w:bCs/>
                <w:szCs w:val="22"/>
                <w:lang w:val="sr-Latn-RS"/>
              </w:rPr>
            </w:pPr>
            <w:r w:rsidRPr="00394D9A">
              <w:rPr>
                <w:szCs w:val="22"/>
                <w:lang w:val="sr-Latn-RS"/>
              </w:rPr>
              <w:t xml:space="preserve">Pacijenti </w:t>
            </w:r>
            <w:r w:rsidR="00826E8C" w:rsidRPr="00394D9A">
              <w:rPr>
                <w:szCs w:val="22"/>
                <w:lang w:val="sr-Latn-RS"/>
              </w:rPr>
              <w:t xml:space="preserve">sa </w:t>
            </w:r>
            <w:r w:rsidRPr="00394D9A">
              <w:rPr>
                <w:szCs w:val="22"/>
                <w:lang w:val="sr-Latn-RS"/>
              </w:rPr>
              <w:t xml:space="preserve">događajem nakon 18 </w:t>
            </w:r>
            <w:r w:rsidR="006561D1" w:rsidRPr="00394D9A">
              <w:rPr>
                <w:szCs w:val="22"/>
                <w:lang w:val="sr-Latn-RS"/>
              </w:rPr>
              <w:t>mjeseci</w:t>
            </w:r>
          </w:p>
        </w:tc>
        <w:tc>
          <w:tcPr>
            <w:tcW w:w="1428" w:type="pct"/>
          </w:tcPr>
          <w:p w14:paraId="611331EC" w14:textId="71FDA9C8" w:rsidR="00DF5CEC" w:rsidRPr="00394D9A" w:rsidRDefault="00DF5CEC" w:rsidP="00187D17">
            <w:pPr>
              <w:widowControl w:val="0"/>
              <w:jc w:val="center"/>
              <w:rPr>
                <w:b/>
                <w:bCs/>
                <w:szCs w:val="22"/>
                <w:lang w:val="sr-Latn-RS"/>
              </w:rPr>
            </w:pPr>
            <w:r w:rsidRPr="00394D9A">
              <w:rPr>
                <w:szCs w:val="22"/>
                <w:lang w:val="sr-Latn-RS"/>
              </w:rPr>
              <w:t>22</w:t>
            </w:r>
          </w:p>
        </w:tc>
        <w:tc>
          <w:tcPr>
            <w:tcW w:w="1330" w:type="pct"/>
          </w:tcPr>
          <w:p w14:paraId="386F03FA" w14:textId="2B675D43" w:rsidR="00DF5CEC" w:rsidRPr="00394D9A" w:rsidRDefault="00DF5CEC" w:rsidP="00187D17">
            <w:pPr>
              <w:widowControl w:val="0"/>
              <w:jc w:val="center"/>
              <w:rPr>
                <w:b/>
                <w:bCs/>
                <w:szCs w:val="22"/>
                <w:lang w:val="sr-Latn-RS"/>
              </w:rPr>
            </w:pPr>
            <w:r w:rsidRPr="00394D9A">
              <w:rPr>
                <w:szCs w:val="22"/>
                <w:lang w:val="sr-Latn-RS"/>
              </w:rPr>
              <w:t>17</w:t>
            </w:r>
          </w:p>
        </w:tc>
      </w:tr>
      <w:tr w:rsidR="00DF5CEC" w:rsidRPr="00394D9A" w14:paraId="4F370DD8" w14:textId="77777777" w:rsidTr="00DF17BA">
        <w:tc>
          <w:tcPr>
            <w:tcW w:w="2243" w:type="pct"/>
          </w:tcPr>
          <w:p w14:paraId="71D95C2A" w14:textId="44D36097" w:rsidR="00DF5CEC" w:rsidRPr="00394D9A" w:rsidRDefault="00DF5CEC" w:rsidP="00187D17">
            <w:pPr>
              <w:widowControl w:val="0"/>
              <w:rPr>
                <w:b/>
                <w:bCs/>
                <w:szCs w:val="22"/>
                <w:lang w:val="sr-Latn-RS"/>
              </w:rPr>
            </w:pPr>
            <w:r w:rsidRPr="00394D9A">
              <w:rPr>
                <w:szCs w:val="22"/>
                <w:lang w:val="sr-Latn-RS"/>
              </w:rPr>
              <w:t xml:space="preserve">Kumulativni rizik nakon18 </w:t>
            </w:r>
            <w:r w:rsidR="006561D1" w:rsidRPr="00394D9A">
              <w:rPr>
                <w:szCs w:val="22"/>
                <w:lang w:val="sr-Latn-RS"/>
              </w:rPr>
              <w:t>mjeseci</w:t>
            </w:r>
            <w:r w:rsidRPr="00394D9A">
              <w:rPr>
                <w:szCs w:val="22"/>
                <w:lang w:val="sr-Latn-RS"/>
              </w:rPr>
              <w:t xml:space="preserve"> (%)</w:t>
            </w:r>
          </w:p>
        </w:tc>
        <w:tc>
          <w:tcPr>
            <w:tcW w:w="1428" w:type="pct"/>
          </w:tcPr>
          <w:p w14:paraId="3AB1A8DA" w14:textId="1B3C3B5B" w:rsidR="00DF5CEC" w:rsidRPr="00394D9A" w:rsidRDefault="00DF5CEC" w:rsidP="00187D17">
            <w:pPr>
              <w:widowControl w:val="0"/>
              <w:jc w:val="center"/>
              <w:rPr>
                <w:b/>
                <w:bCs/>
                <w:szCs w:val="22"/>
                <w:lang w:val="sr-Latn-RS"/>
              </w:rPr>
            </w:pPr>
            <w:r w:rsidRPr="00394D9A">
              <w:rPr>
                <w:szCs w:val="22"/>
                <w:lang w:val="sr-Latn-RS"/>
              </w:rPr>
              <w:t>1,7</w:t>
            </w:r>
          </w:p>
        </w:tc>
        <w:tc>
          <w:tcPr>
            <w:tcW w:w="1330" w:type="pct"/>
          </w:tcPr>
          <w:p w14:paraId="4CA774C2" w14:textId="70BDD92A" w:rsidR="00DF5CEC" w:rsidRPr="00394D9A" w:rsidRDefault="00DF5CEC" w:rsidP="00187D17">
            <w:pPr>
              <w:widowControl w:val="0"/>
              <w:jc w:val="center"/>
              <w:rPr>
                <w:b/>
                <w:bCs/>
                <w:szCs w:val="22"/>
                <w:lang w:val="sr-Latn-RS"/>
              </w:rPr>
            </w:pPr>
            <w:r w:rsidRPr="00394D9A">
              <w:rPr>
                <w:szCs w:val="22"/>
                <w:lang w:val="sr-Latn-RS"/>
              </w:rPr>
              <w:t>1,4</w:t>
            </w:r>
          </w:p>
        </w:tc>
      </w:tr>
      <w:tr w:rsidR="00DF5CEC" w:rsidRPr="00394D9A" w14:paraId="63BD74A6" w14:textId="77777777" w:rsidTr="00DF17BA">
        <w:tc>
          <w:tcPr>
            <w:tcW w:w="2243" w:type="pct"/>
          </w:tcPr>
          <w:p w14:paraId="0E1AE95E" w14:textId="3E41088F" w:rsidR="00DF5CEC" w:rsidRPr="00394D9A" w:rsidRDefault="00DF5CEC" w:rsidP="00187D17">
            <w:pPr>
              <w:widowControl w:val="0"/>
              <w:rPr>
                <w:b/>
                <w:bCs/>
                <w:szCs w:val="22"/>
                <w:lang w:val="sr-Latn-RS"/>
              </w:rPr>
            </w:pPr>
            <w:r w:rsidRPr="00394D9A">
              <w:rPr>
                <w:szCs w:val="22"/>
                <w:lang w:val="sr-Latn-RS"/>
              </w:rPr>
              <w:t>Razlika rizika u odnosu na varfarin (%)</w:t>
            </w:r>
          </w:p>
        </w:tc>
        <w:tc>
          <w:tcPr>
            <w:tcW w:w="1428" w:type="pct"/>
          </w:tcPr>
          <w:p w14:paraId="39778315" w14:textId="5FF229CB" w:rsidR="00DF5CEC" w:rsidRPr="00394D9A" w:rsidRDefault="00DF5CEC" w:rsidP="00187D17">
            <w:pPr>
              <w:widowControl w:val="0"/>
              <w:jc w:val="center"/>
              <w:rPr>
                <w:b/>
                <w:bCs/>
                <w:szCs w:val="22"/>
                <w:lang w:val="sr-Latn-RS"/>
              </w:rPr>
            </w:pPr>
            <w:r w:rsidRPr="00394D9A">
              <w:rPr>
                <w:szCs w:val="22"/>
                <w:lang w:val="sr-Latn-RS"/>
              </w:rPr>
              <w:t>0,4</w:t>
            </w:r>
          </w:p>
        </w:tc>
        <w:tc>
          <w:tcPr>
            <w:tcW w:w="1330" w:type="pct"/>
          </w:tcPr>
          <w:p w14:paraId="38EC7E7E" w14:textId="77777777" w:rsidR="00DF5CEC" w:rsidRPr="00394D9A" w:rsidRDefault="00DF5CEC" w:rsidP="00187D17">
            <w:pPr>
              <w:widowControl w:val="0"/>
              <w:jc w:val="center"/>
              <w:rPr>
                <w:b/>
                <w:bCs/>
                <w:szCs w:val="22"/>
                <w:lang w:val="sr-Latn-RS"/>
              </w:rPr>
            </w:pPr>
          </w:p>
        </w:tc>
      </w:tr>
      <w:tr w:rsidR="00DF5CEC" w:rsidRPr="00394D9A" w14:paraId="0C9FC00A" w14:textId="77777777" w:rsidTr="00DF17BA">
        <w:tc>
          <w:tcPr>
            <w:tcW w:w="2243" w:type="pct"/>
          </w:tcPr>
          <w:p w14:paraId="7630EC14" w14:textId="683A3466" w:rsidR="00DF5CEC" w:rsidRPr="00394D9A" w:rsidRDefault="00DF5CEC" w:rsidP="00187D17">
            <w:pPr>
              <w:widowControl w:val="0"/>
              <w:rPr>
                <w:b/>
                <w:bCs/>
                <w:szCs w:val="22"/>
                <w:lang w:val="sr-Latn-RS"/>
              </w:rPr>
            </w:pPr>
            <w:r w:rsidRPr="00394D9A">
              <w:rPr>
                <w:szCs w:val="22"/>
                <w:lang w:val="sr-Latn-RS"/>
              </w:rPr>
              <w:t>Interval pouzdanosti 95%</w:t>
            </w:r>
          </w:p>
        </w:tc>
        <w:tc>
          <w:tcPr>
            <w:tcW w:w="1428" w:type="pct"/>
            <w:vAlign w:val="center"/>
          </w:tcPr>
          <w:p w14:paraId="4DDDAB0F" w14:textId="77777777" w:rsidR="00DF5CEC" w:rsidRPr="00394D9A" w:rsidRDefault="00DF5CEC" w:rsidP="00187D17">
            <w:pPr>
              <w:widowControl w:val="0"/>
              <w:jc w:val="center"/>
              <w:rPr>
                <w:b/>
                <w:bCs/>
                <w:szCs w:val="22"/>
                <w:lang w:val="sr-Latn-RS"/>
              </w:rPr>
            </w:pPr>
          </w:p>
        </w:tc>
        <w:tc>
          <w:tcPr>
            <w:tcW w:w="1330" w:type="pct"/>
            <w:vAlign w:val="center"/>
          </w:tcPr>
          <w:p w14:paraId="4BF83896" w14:textId="77777777" w:rsidR="00DF5CEC" w:rsidRPr="00394D9A" w:rsidRDefault="00DF5CEC" w:rsidP="00187D17">
            <w:pPr>
              <w:widowControl w:val="0"/>
              <w:jc w:val="center"/>
              <w:rPr>
                <w:b/>
                <w:bCs/>
                <w:szCs w:val="22"/>
                <w:lang w:val="sr-Latn-RS"/>
              </w:rPr>
            </w:pPr>
          </w:p>
        </w:tc>
      </w:tr>
      <w:tr w:rsidR="00DF5CEC" w:rsidRPr="00394D9A" w14:paraId="29637524" w14:textId="77777777" w:rsidTr="00DF17BA">
        <w:tc>
          <w:tcPr>
            <w:tcW w:w="2243" w:type="pct"/>
          </w:tcPr>
          <w:p w14:paraId="67970889" w14:textId="1BF91D3A" w:rsidR="00DF5CEC" w:rsidRPr="00394D9A" w:rsidRDefault="00DF5CEC" w:rsidP="00187D17">
            <w:pPr>
              <w:widowControl w:val="0"/>
              <w:rPr>
                <w:b/>
                <w:bCs/>
                <w:szCs w:val="22"/>
                <w:lang w:val="sr-Latn-RS"/>
              </w:rPr>
            </w:pPr>
            <w:r w:rsidRPr="00394D9A">
              <w:rPr>
                <w:szCs w:val="22"/>
                <w:lang w:val="sr-Latn-RS"/>
              </w:rPr>
              <w:t>Granica neinferiornosti</w:t>
            </w:r>
          </w:p>
        </w:tc>
        <w:tc>
          <w:tcPr>
            <w:tcW w:w="1428" w:type="pct"/>
            <w:vAlign w:val="center"/>
          </w:tcPr>
          <w:p w14:paraId="282F65DC" w14:textId="3EE2EA53" w:rsidR="00DF5CEC" w:rsidRPr="00394D9A" w:rsidRDefault="00DF5CEC" w:rsidP="00187D17">
            <w:pPr>
              <w:widowControl w:val="0"/>
              <w:jc w:val="center"/>
              <w:rPr>
                <w:b/>
                <w:bCs/>
                <w:szCs w:val="22"/>
                <w:lang w:val="sr-Latn-RS"/>
              </w:rPr>
            </w:pPr>
            <w:r w:rsidRPr="00394D9A">
              <w:rPr>
                <w:szCs w:val="22"/>
                <w:lang w:val="sr-Latn-RS"/>
              </w:rPr>
              <w:t>2,8</w:t>
            </w:r>
          </w:p>
        </w:tc>
        <w:tc>
          <w:tcPr>
            <w:tcW w:w="1330" w:type="pct"/>
            <w:vAlign w:val="center"/>
          </w:tcPr>
          <w:p w14:paraId="3D636697" w14:textId="77777777" w:rsidR="00DF5CEC" w:rsidRPr="00394D9A" w:rsidRDefault="00DF5CEC" w:rsidP="00187D17">
            <w:pPr>
              <w:widowControl w:val="0"/>
              <w:jc w:val="center"/>
              <w:rPr>
                <w:b/>
                <w:bCs/>
                <w:szCs w:val="22"/>
                <w:lang w:val="sr-Latn-RS"/>
              </w:rPr>
            </w:pPr>
          </w:p>
        </w:tc>
      </w:tr>
      <w:tr w:rsidR="00DF5CEC" w:rsidRPr="00394D9A" w14:paraId="53DAF2B6" w14:textId="77777777" w:rsidTr="00DF17BA">
        <w:tc>
          <w:tcPr>
            <w:tcW w:w="2243" w:type="pct"/>
          </w:tcPr>
          <w:p w14:paraId="6791A816" w14:textId="22444B18" w:rsidR="00DF5CEC" w:rsidRPr="00394D9A" w:rsidRDefault="00DF5CEC" w:rsidP="00187D17">
            <w:pPr>
              <w:widowControl w:val="0"/>
              <w:rPr>
                <w:b/>
                <w:bCs/>
                <w:szCs w:val="22"/>
                <w:lang w:val="sr-Latn-RS"/>
              </w:rPr>
            </w:pPr>
            <w:r w:rsidRPr="00394D9A">
              <w:rPr>
                <w:szCs w:val="22"/>
                <w:lang w:val="sr-Latn-RS"/>
              </w:rPr>
              <w:t>Sekundarni ciljevi efikasnosti</w:t>
            </w:r>
          </w:p>
        </w:tc>
        <w:tc>
          <w:tcPr>
            <w:tcW w:w="1428" w:type="pct"/>
            <w:vAlign w:val="center"/>
          </w:tcPr>
          <w:p w14:paraId="59EA552B" w14:textId="77777777" w:rsidR="00DF5CEC" w:rsidRPr="00394D9A" w:rsidRDefault="00DF5CEC" w:rsidP="00187D17">
            <w:pPr>
              <w:widowControl w:val="0"/>
              <w:jc w:val="center"/>
              <w:rPr>
                <w:b/>
                <w:bCs/>
                <w:szCs w:val="22"/>
                <w:lang w:val="sr-Latn-RS"/>
              </w:rPr>
            </w:pPr>
          </w:p>
        </w:tc>
        <w:tc>
          <w:tcPr>
            <w:tcW w:w="1330" w:type="pct"/>
            <w:vAlign w:val="center"/>
          </w:tcPr>
          <w:p w14:paraId="0DD23228" w14:textId="77777777" w:rsidR="00DF5CEC" w:rsidRPr="00394D9A" w:rsidRDefault="00DF5CEC" w:rsidP="00187D17">
            <w:pPr>
              <w:widowControl w:val="0"/>
              <w:jc w:val="center"/>
              <w:rPr>
                <w:b/>
                <w:bCs/>
                <w:szCs w:val="22"/>
                <w:lang w:val="sr-Latn-RS"/>
              </w:rPr>
            </w:pPr>
          </w:p>
        </w:tc>
      </w:tr>
      <w:tr w:rsidR="00DF5CEC" w:rsidRPr="00394D9A" w14:paraId="2E25A336" w14:textId="77777777" w:rsidTr="00DF17BA">
        <w:tc>
          <w:tcPr>
            <w:tcW w:w="2243" w:type="pct"/>
          </w:tcPr>
          <w:p w14:paraId="119E0337" w14:textId="210F597F" w:rsidR="00DF5CEC" w:rsidRPr="00394D9A" w:rsidRDefault="00DF5CEC" w:rsidP="00187D17">
            <w:pPr>
              <w:pStyle w:val="TableParagraph"/>
              <w:spacing w:line="240" w:lineRule="auto"/>
              <w:ind w:left="0"/>
              <w:rPr>
                <w:lang w:val="sr-Latn-RS"/>
              </w:rPr>
            </w:pPr>
            <w:r w:rsidRPr="00394D9A">
              <w:rPr>
                <w:lang w:val="sr-Latn-RS"/>
              </w:rPr>
              <w:t>Rekurentna simptomatska VTE i smrti svih</w:t>
            </w:r>
            <w:r w:rsidR="00D90830" w:rsidRPr="00394D9A">
              <w:rPr>
                <w:lang w:val="sr-Latn-RS"/>
              </w:rPr>
              <w:t xml:space="preserve"> </w:t>
            </w:r>
            <w:r w:rsidRPr="00394D9A">
              <w:rPr>
                <w:lang w:val="sr-Latn-RS"/>
              </w:rPr>
              <w:t>uzroka</w:t>
            </w:r>
          </w:p>
        </w:tc>
        <w:tc>
          <w:tcPr>
            <w:tcW w:w="1428" w:type="pct"/>
            <w:vAlign w:val="center"/>
          </w:tcPr>
          <w:p w14:paraId="75EE1950" w14:textId="545890F0" w:rsidR="00DF5CEC" w:rsidRPr="00394D9A" w:rsidRDefault="00DF5CEC" w:rsidP="00187D17">
            <w:pPr>
              <w:widowControl w:val="0"/>
              <w:jc w:val="center"/>
              <w:rPr>
                <w:b/>
                <w:bCs/>
                <w:szCs w:val="22"/>
                <w:lang w:val="sr-Latn-RS"/>
              </w:rPr>
            </w:pPr>
            <w:r w:rsidRPr="00394D9A">
              <w:rPr>
                <w:szCs w:val="22"/>
                <w:lang w:val="sr-Latn-RS"/>
              </w:rPr>
              <w:t>42 (2,9%)</w:t>
            </w:r>
          </w:p>
        </w:tc>
        <w:tc>
          <w:tcPr>
            <w:tcW w:w="1330" w:type="pct"/>
            <w:vAlign w:val="center"/>
          </w:tcPr>
          <w:p w14:paraId="4A4E0514" w14:textId="7EA4D3EC" w:rsidR="00DF5CEC" w:rsidRPr="00394D9A" w:rsidRDefault="00DF5CEC" w:rsidP="00187D17">
            <w:pPr>
              <w:widowControl w:val="0"/>
              <w:jc w:val="center"/>
              <w:rPr>
                <w:b/>
                <w:bCs/>
                <w:szCs w:val="22"/>
                <w:lang w:val="sr-Latn-RS"/>
              </w:rPr>
            </w:pPr>
            <w:r w:rsidRPr="00394D9A">
              <w:rPr>
                <w:szCs w:val="22"/>
                <w:lang w:val="sr-Latn-RS"/>
              </w:rPr>
              <w:t>36 (2,5%)</w:t>
            </w:r>
          </w:p>
        </w:tc>
      </w:tr>
      <w:tr w:rsidR="00DF5CEC" w:rsidRPr="00394D9A" w14:paraId="6B9A85A9" w14:textId="77777777" w:rsidTr="00DF17BA">
        <w:tc>
          <w:tcPr>
            <w:tcW w:w="2243" w:type="pct"/>
          </w:tcPr>
          <w:p w14:paraId="74F32B60" w14:textId="6B34D023" w:rsidR="00DF5CEC" w:rsidRPr="00394D9A" w:rsidRDefault="00DF5CEC" w:rsidP="00187D17">
            <w:pPr>
              <w:widowControl w:val="0"/>
              <w:rPr>
                <w:b/>
                <w:bCs/>
                <w:szCs w:val="22"/>
                <w:lang w:val="sr-Latn-RS"/>
              </w:rPr>
            </w:pPr>
            <w:r w:rsidRPr="00394D9A">
              <w:rPr>
                <w:szCs w:val="22"/>
                <w:lang w:val="sr-Latn-RS"/>
              </w:rPr>
              <w:t>Interval pouzdanosti 95%</w:t>
            </w:r>
          </w:p>
        </w:tc>
        <w:tc>
          <w:tcPr>
            <w:tcW w:w="1428" w:type="pct"/>
            <w:vAlign w:val="center"/>
          </w:tcPr>
          <w:p w14:paraId="2FD3FD22" w14:textId="2039D233" w:rsidR="00DF5CEC" w:rsidRPr="00394D9A" w:rsidRDefault="00DF5CEC" w:rsidP="00187D17">
            <w:pPr>
              <w:widowControl w:val="0"/>
              <w:jc w:val="center"/>
              <w:rPr>
                <w:b/>
                <w:bCs/>
                <w:szCs w:val="22"/>
                <w:lang w:val="sr-Latn-RS"/>
              </w:rPr>
            </w:pPr>
            <w:r w:rsidRPr="00394D9A">
              <w:rPr>
                <w:szCs w:val="22"/>
                <w:lang w:val="sr-Latn-RS"/>
              </w:rPr>
              <w:t>2,12; 3,95</w:t>
            </w:r>
          </w:p>
        </w:tc>
        <w:tc>
          <w:tcPr>
            <w:tcW w:w="1330" w:type="pct"/>
            <w:vAlign w:val="center"/>
          </w:tcPr>
          <w:p w14:paraId="72A2D38C" w14:textId="6541B03D" w:rsidR="00DF5CEC" w:rsidRPr="00394D9A" w:rsidRDefault="00DF5CEC" w:rsidP="00187D17">
            <w:pPr>
              <w:widowControl w:val="0"/>
              <w:jc w:val="center"/>
              <w:rPr>
                <w:b/>
                <w:bCs/>
                <w:szCs w:val="22"/>
                <w:lang w:val="sr-Latn-RS"/>
              </w:rPr>
            </w:pPr>
            <w:r w:rsidRPr="00394D9A">
              <w:rPr>
                <w:szCs w:val="22"/>
                <w:lang w:val="sr-Latn-RS"/>
              </w:rPr>
              <w:t>1,77; 3,48</w:t>
            </w:r>
          </w:p>
        </w:tc>
      </w:tr>
      <w:tr w:rsidR="00DF5CEC" w:rsidRPr="00394D9A" w14:paraId="18EE9EF4" w14:textId="77777777" w:rsidTr="00DF17BA">
        <w:tc>
          <w:tcPr>
            <w:tcW w:w="2243" w:type="pct"/>
          </w:tcPr>
          <w:p w14:paraId="2206A280" w14:textId="2412F977" w:rsidR="00DF5CEC" w:rsidRPr="00394D9A" w:rsidRDefault="00DF5CEC" w:rsidP="00187D17">
            <w:pPr>
              <w:widowControl w:val="0"/>
              <w:rPr>
                <w:b/>
                <w:bCs/>
                <w:szCs w:val="22"/>
                <w:lang w:val="sr-Latn-RS"/>
              </w:rPr>
            </w:pPr>
            <w:r w:rsidRPr="00394D9A">
              <w:rPr>
                <w:szCs w:val="22"/>
                <w:lang w:val="sr-Latn-RS"/>
              </w:rPr>
              <w:t>Simptomatska DVT</w:t>
            </w:r>
          </w:p>
        </w:tc>
        <w:tc>
          <w:tcPr>
            <w:tcW w:w="1428" w:type="pct"/>
            <w:vAlign w:val="center"/>
          </w:tcPr>
          <w:p w14:paraId="7394D6F2" w14:textId="4AE6E971" w:rsidR="00DF5CEC" w:rsidRPr="00394D9A" w:rsidRDefault="00DF5CEC" w:rsidP="00187D17">
            <w:pPr>
              <w:widowControl w:val="0"/>
              <w:jc w:val="center"/>
              <w:rPr>
                <w:b/>
                <w:bCs/>
                <w:szCs w:val="22"/>
                <w:lang w:val="sr-Latn-RS"/>
              </w:rPr>
            </w:pPr>
            <w:r w:rsidRPr="00394D9A">
              <w:rPr>
                <w:szCs w:val="22"/>
                <w:lang w:val="sr-Latn-RS"/>
              </w:rPr>
              <w:t>17 (1,2%)</w:t>
            </w:r>
          </w:p>
        </w:tc>
        <w:tc>
          <w:tcPr>
            <w:tcW w:w="1330" w:type="pct"/>
            <w:vAlign w:val="center"/>
          </w:tcPr>
          <w:p w14:paraId="300708F0" w14:textId="4D2BC18E" w:rsidR="00DF5CEC" w:rsidRPr="00394D9A" w:rsidRDefault="00DF5CEC" w:rsidP="00187D17">
            <w:pPr>
              <w:widowControl w:val="0"/>
              <w:jc w:val="center"/>
              <w:rPr>
                <w:b/>
                <w:bCs/>
                <w:szCs w:val="22"/>
                <w:lang w:val="sr-Latn-RS"/>
              </w:rPr>
            </w:pPr>
            <w:r w:rsidRPr="00394D9A">
              <w:rPr>
                <w:szCs w:val="22"/>
                <w:lang w:val="sr-Latn-RS"/>
              </w:rPr>
              <w:t>13 (0,9%)</w:t>
            </w:r>
          </w:p>
        </w:tc>
      </w:tr>
      <w:tr w:rsidR="00DF5CEC" w:rsidRPr="00394D9A" w14:paraId="51666A00" w14:textId="77777777" w:rsidTr="00DF17BA">
        <w:tc>
          <w:tcPr>
            <w:tcW w:w="2243" w:type="pct"/>
          </w:tcPr>
          <w:p w14:paraId="1554C039" w14:textId="661C8603" w:rsidR="00DF5CEC" w:rsidRPr="00394D9A" w:rsidRDefault="00DF5CEC" w:rsidP="00187D17">
            <w:pPr>
              <w:widowControl w:val="0"/>
              <w:rPr>
                <w:b/>
                <w:bCs/>
                <w:szCs w:val="22"/>
                <w:lang w:val="sr-Latn-RS"/>
              </w:rPr>
            </w:pPr>
            <w:r w:rsidRPr="00394D9A">
              <w:rPr>
                <w:szCs w:val="22"/>
                <w:lang w:val="sr-Latn-RS"/>
              </w:rPr>
              <w:t>Interval pouzdanosti 95%</w:t>
            </w:r>
          </w:p>
        </w:tc>
        <w:tc>
          <w:tcPr>
            <w:tcW w:w="1428" w:type="pct"/>
            <w:vAlign w:val="center"/>
          </w:tcPr>
          <w:p w14:paraId="6F5F0C6B" w14:textId="67AB5427" w:rsidR="00DF5CEC" w:rsidRPr="00394D9A" w:rsidRDefault="00DF5CEC" w:rsidP="00187D17">
            <w:pPr>
              <w:widowControl w:val="0"/>
              <w:jc w:val="center"/>
              <w:rPr>
                <w:b/>
                <w:bCs/>
                <w:szCs w:val="22"/>
                <w:lang w:val="sr-Latn-RS"/>
              </w:rPr>
            </w:pPr>
            <w:r w:rsidRPr="00394D9A">
              <w:rPr>
                <w:szCs w:val="22"/>
                <w:lang w:val="sr-Latn-RS"/>
              </w:rPr>
              <w:t>0,69; 1,90</w:t>
            </w:r>
          </w:p>
        </w:tc>
        <w:tc>
          <w:tcPr>
            <w:tcW w:w="1330" w:type="pct"/>
            <w:vAlign w:val="center"/>
          </w:tcPr>
          <w:p w14:paraId="2C6C4A2D" w14:textId="32C847B1" w:rsidR="00DF5CEC" w:rsidRPr="00394D9A" w:rsidRDefault="00DF5CEC" w:rsidP="00187D17">
            <w:pPr>
              <w:widowControl w:val="0"/>
              <w:jc w:val="center"/>
              <w:rPr>
                <w:b/>
                <w:bCs/>
                <w:szCs w:val="22"/>
                <w:lang w:val="sr-Latn-RS"/>
              </w:rPr>
            </w:pPr>
            <w:r w:rsidRPr="00394D9A">
              <w:rPr>
                <w:szCs w:val="22"/>
                <w:lang w:val="sr-Latn-RS"/>
              </w:rPr>
              <w:t>0,49; 1,55</w:t>
            </w:r>
          </w:p>
        </w:tc>
      </w:tr>
      <w:tr w:rsidR="00DF5CEC" w:rsidRPr="00394D9A" w14:paraId="1671A82F" w14:textId="77777777" w:rsidTr="00DF17BA">
        <w:tc>
          <w:tcPr>
            <w:tcW w:w="2243" w:type="pct"/>
          </w:tcPr>
          <w:p w14:paraId="60FD710B" w14:textId="48731DE1" w:rsidR="00DF5CEC" w:rsidRPr="00394D9A" w:rsidRDefault="00DF5CEC" w:rsidP="00187D17">
            <w:pPr>
              <w:widowControl w:val="0"/>
              <w:rPr>
                <w:b/>
                <w:bCs/>
                <w:szCs w:val="22"/>
                <w:lang w:val="sr-Latn-RS"/>
              </w:rPr>
            </w:pPr>
            <w:r w:rsidRPr="00394D9A">
              <w:rPr>
                <w:szCs w:val="22"/>
                <w:lang w:val="sr-Latn-RS"/>
              </w:rPr>
              <w:t>Simptomatska PE</w:t>
            </w:r>
          </w:p>
        </w:tc>
        <w:tc>
          <w:tcPr>
            <w:tcW w:w="1428" w:type="pct"/>
            <w:vAlign w:val="center"/>
          </w:tcPr>
          <w:p w14:paraId="75E6942D" w14:textId="0FD20196" w:rsidR="00DF5CEC" w:rsidRPr="00394D9A" w:rsidRDefault="00DF5CEC" w:rsidP="00187D17">
            <w:pPr>
              <w:widowControl w:val="0"/>
              <w:jc w:val="center"/>
              <w:rPr>
                <w:b/>
                <w:bCs/>
                <w:szCs w:val="22"/>
                <w:lang w:val="sr-Latn-RS"/>
              </w:rPr>
            </w:pPr>
            <w:r w:rsidRPr="00394D9A">
              <w:rPr>
                <w:szCs w:val="22"/>
                <w:lang w:val="sr-Latn-RS"/>
              </w:rPr>
              <w:t>10 (0,7%)</w:t>
            </w:r>
          </w:p>
        </w:tc>
        <w:tc>
          <w:tcPr>
            <w:tcW w:w="1330" w:type="pct"/>
            <w:vAlign w:val="center"/>
          </w:tcPr>
          <w:p w14:paraId="29CF72BE" w14:textId="01C04516" w:rsidR="00DF5CEC" w:rsidRPr="00394D9A" w:rsidRDefault="00DF5CEC" w:rsidP="00187D17">
            <w:pPr>
              <w:widowControl w:val="0"/>
              <w:jc w:val="center"/>
              <w:rPr>
                <w:b/>
                <w:bCs/>
                <w:szCs w:val="22"/>
                <w:lang w:val="sr-Latn-RS"/>
              </w:rPr>
            </w:pPr>
            <w:r w:rsidRPr="00394D9A">
              <w:rPr>
                <w:szCs w:val="22"/>
                <w:lang w:val="sr-Latn-RS"/>
              </w:rPr>
              <w:t>5 (0</w:t>
            </w:r>
            <w:r w:rsidR="00454778" w:rsidRPr="00394D9A">
              <w:rPr>
                <w:szCs w:val="22"/>
                <w:lang w:val="sr-Latn-RS"/>
              </w:rPr>
              <w:t>,4</w:t>
            </w:r>
            <w:r w:rsidRPr="00394D9A">
              <w:rPr>
                <w:szCs w:val="22"/>
                <w:lang w:val="sr-Latn-RS"/>
              </w:rPr>
              <w:t>%)</w:t>
            </w:r>
          </w:p>
        </w:tc>
      </w:tr>
      <w:tr w:rsidR="00DF5CEC" w:rsidRPr="00394D9A" w14:paraId="52E43848" w14:textId="77777777" w:rsidTr="00DF17BA">
        <w:tc>
          <w:tcPr>
            <w:tcW w:w="2243" w:type="pct"/>
          </w:tcPr>
          <w:p w14:paraId="214DDFA7" w14:textId="3A427CE8" w:rsidR="00DF5CEC" w:rsidRPr="00394D9A" w:rsidRDefault="00DF5CEC" w:rsidP="00187D17">
            <w:pPr>
              <w:widowControl w:val="0"/>
              <w:rPr>
                <w:b/>
                <w:bCs/>
                <w:szCs w:val="22"/>
                <w:lang w:val="sr-Latn-RS"/>
              </w:rPr>
            </w:pPr>
            <w:r w:rsidRPr="00394D9A">
              <w:rPr>
                <w:szCs w:val="22"/>
                <w:lang w:val="sr-Latn-RS"/>
              </w:rPr>
              <w:t>Interval pouzdanosti 95%</w:t>
            </w:r>
          </w:p>
        </w:tc>
        <w:tc>
          <w:tcPr>
            <w:tcW w:w="1428" w:type="pct"/>
            <w:vAlign w:val="center"/>
          </w:tcPr>
          <w:p w14:paraId="4389D592" w14:textId="6A0AC74F" w:rsidR="00DF5CEC" w:rsidRPr="00394D9A" w:rsidRDefault="00DF5CEC" w:rsidP="00187D17">
            <w:pPr>
              <w:widowControl w:val="0"/>
              <w:jc w:val="center"/>
              <w:rPr>
                <w:b/>
                <w:bCs/>
                <w:szCs w:val="22"/>
                <w:lang w:val="sr-Latn-RS"/>
              </w:rPr>
            </w:pPr>
            <w:r w:rsidRPr="00394D9A">
              <w:rPr>
                <w:szCs w:val="22"/>
                <w:lang w:val="sr-Latn-RS"/>
              </w:rPr>
              <w:t>0,34; 1,28</w:t>
            </w:r>
          </w:p>
        </w:tc>
        <w:tc>
          <w:tcPr>
            <w:tcW w:w="1330" w:type="pct"/>
            <w:vAlign w:val="center"/>
          </w:tcPr>
          <w:p w14:paraId="19D31BF5" w14:textId="3A8D1EE8" w:rsidR="00DF5CEC" w:rsidRPr="00394D9A" w:rsidRDefault="00DF5CEC" w:rsidP="00187D17">
            <w:pPr>
              <w:widowControl w:val="0"/>
              <w:jc w:val="center"/>
              <w:rPr>
                <w:b/>
                <w:bCs/>
                <w:szCs w:val="22"/>
                <w:lang w:val="sr-Latn-RS"/>
              </w:rPr>
            </w:pPr>
            <w:r w:rsidRPr="00394D9A">
              <w:rPr>
                <w:szCs w:val="22"/>
                <w:lang w:val="sr-Latn-RS"/>
              </w:rPr>
              <w:t>0,11; 0,82</w:t>
            </w:r>
          </w:p>
        </w:tc>
      </w:tr>
      <w:tr w:rsidR="00DF5CEC" w:rsidRPr="00394D9A" w14:paraId="2A9A4337" w14:textId="77777777" w:rsidTr="00DF17BA">
        <w:tc>
          <w:tcPr>
            <w:tcW w:w="2243" w:type="pct"/>
          </w:tcPr>
          <w:p w14:paraId="184FF76D" w14:textId="3722E680" w:rsidR="00DF5CEC" w:rsidRPr="00394D9A" w:rsidRDefault="00DF5CEC" w:rsidP="00187D17">
            <w:pPr>
              <w:widowControl w:val="0"/>
              <w:rPr>
                <w:b/>
                <w:bCs/>
                <w:szCs w:val="22"/>
                <w:lang w:val="sr-Latn-RS"/>
              </w:rPr>
            </w:pPr>
            <w:r w:rsidRPr="00394D9A">
              <w:rPr>
                <w:szCs w:val="22"/>
                <w:lang w:val="sr-Latn-RS"/>
              </w:rPr>
              <w:t>Smrti povezane s</w:t>
            </w:r>
            <w:r w:rsidR="00D90830" w:rsidRPr="00394D9A">
              <w:rPr>
                <w:szCs w:val="22"/>
                <w:lang w:val="sr-Latn-RS"/>
              </w:rPr>
              <w:t>a</w:t>
            </w:r>
            <w:r w:rsidRPr="00394D9A">
              <w:rPr>
                <w:szCs w:val="22"/>
                <w:lang w:val="sr-Latn-RS"/>
              </w:rPr>
              <w:t xml:space="preserve"> VTE</w:t>
            </w:r>
          </w:p>
        </w:tc>
        <w:tc>
          <w:tcPr>
            <w:tcW w:w="1428" w:type="pct"/>
            <w:vAlign w:val="center"/>
          </w:tcPr>
          <w:p w14:paraId="4ED3DF32" w14:textId="69579C5B" w:rsidR="00DF5CEC" w:rsidRPr="00394D9A" w:rsidRDefault="00DF5CEC" w:rsidP="00187D17">
            <w:pPr>
              <w:widowControl w:val="0"/>
              <w:jc w:val="center"/>
              <w:rPr>
                <w:b/>
                <w:bCs/>
                <w:szCs w:val="22"/>
                <w:lang w:val="sr-Latn-RS"/>
              </w:rPr>
            </w:pPr>
            <w:r w:rsidRPr="00394D9A">
              <w:rPr>
                <w:szCs w:val="22"/>
                <w:lang w:val="sr-Latn-RS"/>
              </w:rPr>
              <w:t>1 (0,1%)</w:t>
            </w:r>
          </w:p>
        </w:tc>
        <w:tc>
          <w:tcPr>
            <w:tcW w:w="1330" w:type="pct"/>
            <w:vAlign w:val="center"/>
          </w:tcPr>
          <w:p w14:paraId="31266FC2" w14:textId="4289442A" w:rsidR="00DF5CEC" w:rsidRPr="00394D9A" w:rsidRDefault="00DF5CEC" w:rsidP="00187D17">
            <w:pPr>
              <w:widowControl w:val="0"/>
              <w:jc w:val="center"/>
              <w:rPr>
                <w:b/>
                <w:bCs/>
                <w:szCs w:val="22"/>
                <w:lang w:val="sr-Latn-RS"/>
              </w:rPr>
            </w:pPr>
            <w:r w:rsidRPr="00394D9A">
              <w:rPr>
                <w:szCs w:val="22"/>
                <w:lang w:val="sr-Latn-RS"/>
              </w:rPr>
              <w:t>1 (0,1%)</w:t>
            </w:r>
          </w:p>
        </w:tc>
      </w:tr>
      <w:tr w:rsidR="00DF5CEC" w:rsidRPr="00394D9A" w14:paraId="7B0A35E2" w14:textId="77777777" w:rsidTr="00DF17BA">
        <w:tc>
          <w:tcPr>
            <w:tcW w:w="2243" w:type="pct"/>
          </w:tcPr>
          <w:p w14:paraId="7B11515F" w14:textId="70105645" w:rsidR="00DF5CEC" w:rsidRPr="00394D9A" w:rsidRDefault="00DF5CEC" w:rsidP="00187D17">
            <w:pPr>
              <w:widowControl w:val="0"/>
              <w:rPr>
                <w:b/>
                <w:bCs/>
                <w:szCs w:val="22"/>
                <w:lang w:val="sr-Latn-RS"/>
              </w:rPr>
            </w:pPr>
            <w:r w:rsidRPr="00394D9A">
              <w:rPr>
                <w:szCs w:val="22"/>
                <w:lang w:val="sr-Latn-RS"/>
              </w:rPr>
              <w:t>Interval pouzdanosti 9</w:t>
            </w:r>
            <w:r w:rsidR="00454778" w:rsidRPr="00394D9A">
              <w:rPr>
                <w:szCs w:val="22"/>
                <w:lang w:val="sr-Latn-RS"/>
              </w:rPr>
              <w:t>5</w:t>
            </w:r>
            <w:r w:rsidRPr="00394D9A">
              <w:rPr>
                <w:szCs w:val="22"/>
                <w:lang w:val="sr-Latn-RS"/>
              </w:rPr>
              <w:t>%</w:t>
            </w:r>
          </w:p>
        </w:tc>
        <w:tc>
          <w:tcPr>
            <w:tcW w:w="1428" w:type="pct"/>
          </w:tcPr>
          <w:p w14:paraId="626B92C9" w14:textId="18F187AE" w:rsidR="00DF5CEC" w:rsidRPr="00394D9A" w:rsidRDefault="00DF5CEC" w:rsidP="00187D17">
            <w:pPr>
              <w:widowControl w:val="0"/>
              <w:jc w:val="center"/>
              <w:rPr>
                <w:b/>
                <w:bCs/>
                <w:szCs w:val="22"/>
                <w:lang w:val="sr-Latn-RS"/>
              </w:rPr>
            </w:pPr>
            <w:r w:rsidRPr="00394D9A">
              <w:rPr>
                <w:szCs w:val="22"/>
                <w:lang w:val="sr-Latn-RS"/>
              </w:rPr>
              <w:t>0,00; 0,39</w:t>
            </w:r>
          </w:p>
        </w:tc>
        <w:tc>
          <w:tcPr>
            <w:tcW w:w="1330" w:type="pct"/>
          </w:tcPr>
          <w:p w14:paraId="53EB0ACD" w14:textId="04EEE180" w:rsidR="00DF5CEC" w:rsidRPr="00394D9A" w:rsidRDefault="00DF5CEC" w:rsidP="00187D17">
            <w:pPr>
              <w:widowControl w:val="0"/>
              <w:jc w:val="center"/>
              <w:rPr>
                <w:b/>
                <w:bCs/>
                <w:szCs w:val="22"/>
                <w:lang w:val="sr-Latn-RS"/>
              </w:rPr>
            </w:pPr>
            <w:r w:rsidRPr="00394D9A">
              <w:rPr>
                <w:szCs w:val="22"/>
                <w:lang w:val="sr-Latn-RS"/>
              </w:rPr>
              <w:t>0,00; 0,39</w:t>
            </w:r>
          </w:p>
        </w:tc>
      </w:tr>
      <w:tr w:rsidR="00DF5CEC" w:rsidRPr="00394D9A" w14:paraId="5A2D48A6" w14:textId="77777777" w:rsidTr="00DF17BA">
        <w:tc>
          <w:tcPr>
            <w:tcW w:w="2243" w:type="pct"/>
          </w:tcPr>
          <w:p w14:paraId="51C21005" w14:textId="5B4DA352" w:rsidR="00DF5CEC" w:rsidRPr="00394D9A" w:rsidRDefault="00DF5CEC" w:rsidP="00187D17">
            <w:pPr>
              <w:widowControl w:val="0"/>
              <w:rPr>
                <w:b/>
                <w:bCs/>
                <w:szCs w:val="22"/>
                <w:lang w:val="sr-Latn-RS"/>
              </w:rPr>
            </w:pPr>
            <w:r w:rsidRPr="00394D9A">
              <w:rPr>
                <w:szCs w:val="22"/>
                <w:lang w:val="sr-Latn-RS"/>
              </w:rPr>
              <w:t>Smrti svih uzroka</w:t>
            </w:r>
          </w:p>
        </w:tc>
        <w:tc>
          <w:tcPr>
            <w:tcW w:w="1428" w:type="pct"/>
          </w:tcPr>
          <w:p w14:paraId="1CED5F78" w14:textId="7F72C168" w:rsidR="00DF5CEC" w:rsidRPr="00394D9A" w:rsidRDefault="00DF5CEC" w:rsidP="00187D17">
            <w:pPr>
              <w:widowControl w:val="0"/>
              <w:jc w:val="center"/>
              <w:rPr>
                <w:b/>
                <w:bCs/>
                <w:szCs w:val="22"/>
                <w:lang w:val="sr-Latn-RS"/>
              </w:rPr>
            </w:pPr>
            <w:r w:rsidRPr="00394D9A">
              <w:rPr>
                <w:szCs w:val="22"/>
                <w:lang w:val="sr-Latn-RS"/>
              </w:rPr>
              <w:t>17 (1,2%)</w:t>
            </w:r>
          </w:p>
        </w:tc>
        <w:tc>
          <w:tcPr>
            <w:tcW w:w="1330" w:type="pct"/>
          </w:tcPr>
          <w:p w14:paraId="5974354A" w14:textId="297A74A3" w:rsidR="00DF5CEC" w:rsidRPr="00394D9A" w:rsidRDefault="00DF5CEC" w:rsidP="00187D17">
            <w:pPr>
              <w:widowControl w:val="0"/>
              <w:jc w:val="center"/>
              <w:rPr>
                <w:b/>
                <w:bCs/>
                <w:szCs w:val="22"/>
                <w:lang w:val="sr-Latn-RS"/>
              </w:rPr>
            </w:pPr>
            <w:r w:rsidRPr="00394D9A">
              <w:rPr>
                <w:szCs w:val="22"/>
                <w:lang w:val="sr-Latn-RS"/>
              </w:rPr>
              <w:t>19 (1,3%)</w:t>
            </w:r>
          </w:p>
        </w:tc>
      </w:tr>
      <w:tr w:rsidR="00DF5CEC" w:rsidRPr="00394D9A" w14:paraId="3373B852" w14:textId="77777777" w:rsidTr="00DF17BA">
        <w:tc>
          <w:tcPr>
            <w:tcW w:w="2243" w:type="pct"/>
          </w:tcPr>
          <w:p w14:paraId="5A28379E" w14:textId="4A67E926" w:rsidR="00DF5CEC" w:rsidRPr="00394D9A" w:rsidRDefault="00DF5CEC" w:rsidP="00187D17">
            <w:pPr>
              <w:widowControl w:val="0"/>
              <w:rPr>
                <w:szCs w:val="22"/>
                <w:lang w:val="sr-Latn-RS"/>
              </w:rPr>
            </w:pPr>
            <w:r w:rsidRPr="00394D9A">
              <w:rPr>
                <w:szCs w:val="22"/>
                <w:lang w:val="sr-Latn-RS"/>
              </w:rPr>
              <w:t>Interval pouzdanosti 95%</w:t>
            </w:r>
          </w:p>
        </w:tc>
        <w:tc>
          <w:tcPr>
            <w:tcW w:w="1428" w:type="pct"/>
          </w:tcPr>
          <w:p w14:paraId="53EA8B74" w14:textId="4A96A7E2" w:rsidR="00DF5CEC" w:rsidRPr="00394D9A" w:rsidRDefault="00DF5CEC" w:rsidP="00187D17">
            <w:pPr>
              <w:widowControl w:val="0"/>
              <w:jc w:val="center"/>
              <w:rPr>
                <w:szCs w:val="22"/>
                <w:lang w:val="sr-Latn-RS"/>
              </w:rPr>
            </w:pPr>
            <w:r w:rsidRPr="00394D9A">
              <w:rPr>
                <w:szCs w:val="22"/>
                <w:lang w:val="sr-Latn-RS"/>
              </w:rPr>
              <w:t>0,69; 1,90</w:t>
            </w:r>
          </w:p>
        </w:tc>
        <w:tc>
          <w:tcPr>
            <w:tcW w:w="1330" w:type="pct"/>
          </w:tcPr>
          <w:p w14:paraId="67F4BFEC" w14:textId="10B3791F" w:rsidR="00DF5CEC" w:rsidRPr="00394D9A" w:rsidRDefault="00DF5CEC" w:rsidP="00187D17">
            <w:pPr>
              <w:widowControl w:val="0"/>
              <w:jc w:val="center"/>
              <w:rPr>
                <w:szCs w:val="22"/>
                <w:lang w:val="sr-Latn-RS"/>
              </w:rPr>
            </w:pPr>
            <w:r w:rsidRPr="00394D9A">
              <w:rPr>
                <w:szCs w:val="22"/>
                <w:lang w:val="sr-Latn-RS"/>
              </w:rPr>
              <w:t>0,80; 2,07</w:t>
            </w:r>
          </w:p>
        </w:tc>
      </w:tr>
    </w:tbl>
    <w:p w14:paraId="0FA5CB29" w14:textId="77777777" w:rsidR="00D90830" w:rsidRPr="00394D9A" w:rsidRDefault="00D90830" w:rsidP="00187D17">
      <w:pPr>
        <w:widowControl w:val="0"/>
        <w:rPr>
          <w:szCs w:val="22"/>
          <w:lang w:val="sr-Latn-RS"/>
        </w:rPr>
      </w:pPr>
    </w:p>
    <w:p w14:paraId="3049CBBC" w14:textId="5CCE3263" w:rsidR="00454778" w:rsidRPr="00394D9A" w:rsidRDefault="00454778" w:rsidP="00187D17">
      <w:pPr>
        <w:widowControl w:val="0"/>
        <w:rPr>
          <w:szCs w:val="22"/>
          <w:lang w:val="sr-Latn-RS"/>
        </w:rPr>
      </w:pPr>
      <w:r w:rsidRPr="00394D9A">
        <w:rPr>
          <w:szCs w:val="22"/>
          <w:lang w:val="sr-Latn-RS"/>
        </w:rPr>
        <w:t>Cilj ispitivanja RE-SONATE bio je proc</w:t>
      </w:r>
      <w:r w:rsidR="00933D01" w:rsidRPr="00394D9A">
        <w:rPr>
          <w:szCs w:val="22"/>
          <w:lang w:val="sr-Latn-RS"/>
        </w:rPr>
        <w:t>j</w:t>
      </w:r>
      <w:r w:rsidRPr="00394D9A">
        <w:rPr>
          <w:szCs w:val="22"/>
          <w:lang w:val="sr-Latn-RS"/>
        </w:rPr>
        <w:t xml:space="preserve">ena superiornosti dabigatraneteksilata u odnosu na placebo radi prevencije rekurentne simptomatske DVT i/ili PE kod pacijenata koji su već završili 6-18 </w:t>
      </w:r>
      <w:r w:rsidR="006561D1" w:rsidRPr="00394D9A">
        <w:rPr>
          <w:szCs w:val="22"/>
          <w:lang w:val="sr-Latn-RS"/>
        </w:rPr>
        <w:t>mjeseci</w:t>
      </w:r>
      <w:r w:rsidRPr="00394D9A">
        <w:rPr>
          <w:szCs w:val="22"/>
          <w:lang w:val="sr-Latn-RS"/>
        </w:rPr>
        <w:t xml:space="preserve"> l</w:t>
      </w:r>
      <w:r w:rsidR="00933D01" w:rsidRPr="00394D9A">
        <w:rPr>
          <w:szCs w:val="22"/>
          <w:lang w:val="sr-Latn-RS"/>
        </w:rPr>
        <w:t>ij</w:t>
      </w:r>
      <w:r w:rsidRPr="00394D9A">
        <w:rPr>
          <w:szCs w:val="22"/>
          <w:lang w:val="sr-Latn-RS"/>
        </w:rPr>
        <w:t>ečenja sa VKA. Cilj l</w:t>
      </w:r>
      <w:r w:rsidR="00933D01" w:rsidRPr="00394D9A">
        <w:rPr>
          <w:szCs w:val="22"/>
          <w:lang w:val="sr-Latn-RS"/>
        </w:rPr>
        <w:t>ij</w:t>
      </w:r>
      <w:r w:rsidRPr="00394D9A">
        <w:rPr>
          <w:szCs w:val="22"/>
          <w:lang w:val="sr-Latn-RS"/>
        </w:rPr>
        <w:t xml:space="preserve">ečenja bilo je 6 </w:t>
      </w:r>
      <w:r w:rsidR="006561D1" w:rsidRPr="00394D9A">
        <w:rPr>
          <w:szCs w:val="22"/>
          <w:lang w:val="sr-Latn-RS"/>
        </w:rPr>
        <w:t>mjeseci</w:t>
      </w:r>
      <w:r w:rsidRPr="00394D9A">
        <w:rPr>
          <w:szCs w:val="22"/>
          <w:lang w:val="sr-Latn-RS"/>
        </w:rPr>
        <w:t xml:space="preserve"> dabigatran eteksilata 150 mg dva puta na dan bez potrebe za praćenjem.</w:t>
      </w:r>
    </w:p>
    <w:p w14:paraId="1A19B2EE" w14:textId="77777777" w:rsidR="00454778" w:rsidRPr="00394D9A" w:rsidRDefault="00454778" w:rsidP="00187D17">
      <w:pPr>
        <w:widowControl w:val="0"/>
        <w:rPr>
          <w:szCs w:val="22"/>
          <w:lang w:val="sr-Latn-RS"/>
        </w:rPr>
      </w:pPr>
    </w:p>
    <w:p w14:paraId="66F220D0" w14:textId="79688D60" w:rsidR="00454778" w:rsidRPr="00394D9A" w:rsidRDefault="00454778" w:rsidP="00187D17">
      <w:pPr>
        <w:widowControl w:val="0"/>
        <w:rPr>
          <w:szCs w:val="22"/>
          <w:lang w:val="sr-Latn-RS"/>
        </w:rPr>
      </w:pPr>
      <w:r w:rsidRPr="00394D9A">
        <w:rPr>
          <w:szCs w:val="22"/>
          <w:lang w:val="sr-Latn-RS"/>
        </w:rPr>
        <w:t>RE-SONATE je pokazao da je dabigatraneteksilat bio superioran u odnosu na placebo u prevenciji rekurentnih simptomatskih događaja DVT/PE uključujući neobjašnjene smrti, sa smanjenjem rizika od 5,6% na 0,4% (smanjenje relativnog rizika 92% na osnovu odnosa rizika) tokom perioda l</w:t>
      </w:r>
      <w:r w:rsidR="00933D01" w:rsidRPr="00394D9A">
        <w:rPr>
          <w:szCs w:val="22"/>
          <w:lang w:val="sr-Latn-RS"/>
        </w:rPr>
        <w:t>ij</w:t>
      </w:r>
      <w:r w:rsidRPr="00394D9A">
        <w:rPr>
          <w:szCs w:val="22"/>
          <w:lang w:val="sr-Latn-RS"/>
        </w:rPr>
        <w:t>ečenja (p</w:t>
      </w:r>
      <w:r w:rsidR="004D22DA" w:rsidRPr="00394D9A">
        <w:rPr>
          <w:szCs w:val="22"/>
          <w:lang w:val="sr-Latn-RS"/>
        </w:rPr>
        <w:t xml:space="preserve"> </w:t>
      </w:r>
      <w:r w:rsidRPr="00394D9A">
        <w:rPr>
          <w:szCs w:val="22"/>
          <w:lang w:val="sr-Latn-RS"/>
        </w:rPr>
        <w:t>&lt;0,0001). Sve sekundarne analize kao i analize os</w:t>
      </w:r>
      <w:r w:rsidR="004C2BA7" w:rsidRPr="00394D9A">
        <w:rPr>
          <w:szCs w:val="22"/>
          <w:lang w:val="sr-Latn-RS"/>
        </w:rPr>
        <w:t>j</w:t>
      </w:r>
      <w:r w:rsidRPr="00394D9A">
        <w:rPr>
          <w:szCs w:val="22"/>
          <w:lang w:val="sr-Latn-RS"/>
        </w:rPr>
        <w:t>etljivosti primarnog cilja i svih sekundarnih ciljeva pokazale su superiornost dabigatraneteksilata u odnosu na placebo.</w:t>
      </w:r>
    </w:p>
    <w:p w14:paraId="71E1A8EC" w14:textId="77777777" w:rsidR="00454778" w:rsidRPr="00394D9A" w:rsidRDefault="00454778" w:rsidP="00187D17">
      <w:pPr>
        <w:widowControl w:val="0"/>
        <w:rPr>
          <w:szCs w:val="22"/>
          <w:lang w:val="sr-Latn-RS"/>
        </w:rPr>
      </w:pPr>
    </w:p>
    <w:p w14:paraId="791A4C02" w14:textId="435A904D" w:rsidR="00454778" w:rsidRPr="00394D9A" w:rsidRDefault="00454778" w:rsidP="00187D17">
      <w:pPr>
        <w:widowControl w:val="0"/>
        <w:rPr>
          <w:szCs w:val="22"/>
          <w:lang w:val="sr-Latn-RS"/>
        </w:rPr>
      </w:pPr>
      <w:r w:rsidRPr="00394D9A">
        <w:rPr>
          <w:szCs w:val="22"/>
          <w:lang w:val="sr-Latn-RS"/>
        </w:rPr>
        <w:t xml:space="preserve">Ispitivanje je uključivalo period opservacije u trajanju od 12 </w:t>
      </w:r>
      <w:r w:rsidR="006561D1" w:rsidRPr="00394D9A">
        <w:rPr>
          <w:szCs w:val="22"/>
          <w:lang w:val="sr-Latn-RS"/>
        </w:rPr>
        <w:t>mjeseci</w:t>
      </w:r>
      <w:r w:rsidRPr="00394D9A">
        <w:rPr>
          <w:szCs w:val="22"/>
          <w:lang w:val="sr-Latn-RS"/>
        </w:rPr>
        <w:t xml:space="preserve"> nakon prekida l</w:t>
      </w:r>
      <w:r w:rsidR="00933D01" w:rsidRPr="00394D9A">
        <w:rPr>
          <w:szCs w:val="22"/>
          <w:lang w:val="sr-Latn-RS"/>
        </w:rPr>
        <w:t>ij</w:t>
      </w:r>
      <w:r w:rsidRPr="00394D9A">
        <w:rPr>
          <w:szCs w:val="22"/>
          <w:lang w:val="sr-Latn-RS"/>
        </w:rPr>
        <w:t xml:space="preserve">ečenja. Nakon prekida </w:t>
      </w:r>
      <w:r w:rsidR="00A639DA" w:rsidRPr="00394D9A">
        <w:rPr>
          <w:szCs w:val="22"/>
          <w:lang w:val="sr-Latn-RS"/>
        </w:rPr>
        <w:t>primjene</w:t>
      </w:r>
      <w:r w:rsidRPr="00394D9A">
        <w:rPr>
          <w:szCs w:val="22"/>
          <w:lang w:val="sr-Latn-RS"/>
        </w:rPr>
        <w:t xml:space="preserve"> ispitivanog </w:t>
      </w:r>
      <w:r w:rsidR="00A639DA" w:rsidRPr="00394D9A">
        <w:rPr>
          <w:szCs w:val="22"/>
          <w:lang w:val="sr-Latn-RS"/>
        </w:rPr>
        <w:t>lijeka</w:t>
      </w:r>
      <w:r w:rsidRPr="00394D9A">
        <w:rPr>
          <w:szCs w:val="22"/>
          <w:lang w:val="sr-Latn-RS"/>
        </w:rPr>
        <w:t xml:space="preserve"> efekat se održavao do kraja perioda praćenja, što ukazuje da je efekat dabigatraneteksilata iz početnog l</w:t>
      </w:r>
      <w:r w:rsidR="00933D01" w:rsidRPr="00394D9A">
        <w:rPr>
          <w:szCs w:val="22"/>
          <w:lang w:val="sr-Latn-RS"/>
        </w:rPr>
        <w:t>ij</w:t>
      </w:r>
      <w:r w:rsidRPr="00394D9A">
        <w:rPr>
          <w:szCs w:val="22"/>
          <w:lang w:val="sr-Latn-RS"/>
        </w:rPr>
        <w:t>ečenja bio zadržan. Nije bio prim</w:t>
      </w:r>
      <w:r w:rsidR="004C2BA7" w:rsidRPr="00394D9A">
        <w:rPr>
          <w:szCs w:val="22"/>
          <w:lang w:val="sr-Latn-RS"/>
        </w:rPr>
        <w:t>i</w:t>
      </w:r>
      <w:r w:rsidR="00933D01" w:rsidRPr="00394D9A">
        <w:rPr>
          <w:szCs w:val="22"/>
          <w:lang w:val="sr-Latn-RS"/>
        </w:rPr>
        <w:t>j</w:t>
      </w:r>
      <w:r w:rsidRPr="00394D9A">
        <w:rPr>
          <w:szCs w:val="22"/>
          <w:lang w:val="sr-Latn-RS"/>
        </w:rPr>
        <w:t>ećen povratni (</w:t>
      </w:r>
      <w:r w:rsidRPr="00394D9A">
        <w:rPr>
          <w:i/>
          <w:iCs/>
          <w:szCs w:val="22"/>
          <w:lang w:val="sr-Latn-RS"/>
        </w:rPr>
        <w:t>rebound</w:t>
      </w:r>
      <w:r w:rsidRPr="00394D9A">
        <w:rPr>
          <w:szCs w:val="22"/>
          <w:lang w:val="sr-Latn-RS"/>
        </w:rPr>
        <w:t>) efekat. Na kraju praćenja stopa VTE događaja kod pacijenata l</w:t>
      </w:r>
      <w:r w:rsidR="00933D01" w:rsidRPr="00394D9A">
        <w:rPr>
          <w:szCs w:val="22"/>
          <w:lang w:val="sr-Latn-RS"/>
        </w:rPr>
        <w:t>ij</w:t>
      </w:r>
      <w:r w:rsidRPr="00394D9A">
        <w:rPr>
          <w:szCs w:val="22"/>
          <w:lang w:val="sr-Latn-RS"/>
        </w:rPr>
        <w:t>ečenih dabigatraneteksilatom bila je 6,9% prema 10,7% u placebo grupi (odnos rizika 0,61 (95% CI 0,42; 0,88), p=0,0082).</w:t>
      </w:r>
    </w:p>
    <w:p w14:paraId="4A238D6A" w14:textId="77777777" w:rsidR="00D90830" w:rsidRPr="00394D9A" w:rsidRDefault="00D90830" w:rsidP="00187D17">
      <w:pPr>
        <w:widowControl w:val="0"/>
        <w:rPr>
          <w:b/>
          <w:bCs/>
          <w:szCs w:val="22"/>
          <w:lang w:val="sr-Latn-RS"/>
        </w:rPr>
      </w:pPr>
    </w:p>
    <w:p w14:paraId="733C2CD9" w14:textId="55C516A3" w:rsidR="00DF5CEC" w:rsidRPr="00394D9A" w:rsidRDefault="00D90830" w:rsidP="00187D17">
      <w:pPr>
        <w:widowControl w:val="0"/>
        <w:rPr>
          <w:b/>
          <w:bCs/>
          <w:szCs w:val="22"/>
          <w:lang w:val="sr-Latn-RS"/>
        </w:rPr>
      </w:pPr>
      <w:r w:rsidRPr="00394D9A">
        <w:rPr>
          <w:b/>
          <w:bCs/>
          <w:szCs w:val="22"/>
          <w:lang w:val="sr-Latn-RS"/>
        </w:rPr>
        <w:t>Tabela 2</w:t>
      </w:r>
      <w:r w:rsidR="00346DB9" w:rsidRPr="00394D9A">
        <w:rPr>
          <w:b/>
          <w:bCs/>
          <w:szCs w:val="22"/>
          <w:lang w:val="sr-Latn-RS"/>
        </w:rPr>
        <w:t>4</w:t>
      </w:r>
      <w:r w:rsidRPr="00394D9A">
        <w:rPr>
          <w:b/>
          <w:bCs/>
          <w:szCs w:val="22"/>
          <w:lang w:val="sr-Latn-RS"/>
        </w:rPr>
        <w:t>: Analiza primarnih i sekundarnih ciljeva efikasnosti (VTE je zbir DVT i/ili PE) do kraja post-terapijskog perioda iz ispitivanja RE-SONATE.</w:t>
      </w:r>
    </w:p>
    <w:p w14:paraId="711666AC" w14:textId="036DC136" w:rsidR="00D90830" w:rsidRPr="00394D9A" w:rsidRDefault="00D90830" w:rsidP="00187D17">
      <w:pPr>
        <w:widowControl w:val="0"/>
        <w:rPr>
          <w:b/>
          <w:bCs/>
          <w:szCs w:val="22"/>
          <w:lang w:val="sr-Latn-RS"/>
        </w:rPr>
      </w:pPr>
    </w:p>
    <w:tbl>
      <w:tblPr>
        <w:tblStyle w:val="TableGrid"/>
        <w:tblW w:w="0" w:type="auto"/>
        <w:tblLook w:val="04A0" w:firstRow="1" w:lastRow="0" w:firstColumn="1" w:lastColumn="0" w:noHBand="0" w:noVBand="1"/>
      </w:tblPr>
      <w:tblGrid>
        <w:gridCol w:w="3026"/>
        <w:gridCol w:w="3090"/>
        <w:gridCol w:w="2945"/>
      </w:tblGrid>
      <w:tr w:rsidR="00D90830" w:rsidRPr="00394D9A" w14:paraId="45D6CCD4" w14:textId="77777777" w:rsidTr="00D90830">
        <w:tc>
          <w:tcPr>
            <w:tcW w:w="3285" w:type="dxa"/>
          </w:tcPr>
          <w:p w14:paraId="18AE5A00" w14:textId="77777777" w:rsidR="00D90830" w:rsidRPr="00394D9A" w:rsidRDefault="00D90830" w:rsidP="00187D17">
            <w:pPr>
              <w:widowControl w:val="0"/>
              <w:rPr>
                <w:b/>
                <w:bCs/>
                <w:szCs w:val="22"/>
                <w:lang w:val="sr-Latn-RS"/>
              </w:rPr>
            </w:pPr>
          </w:p>
        </w:tc>
        <w:tc>
          <w:tcPr>
            <w:tcW w:w="3285" w:type="dxa"/>
          </w:tcPr>
          <w:p w14:paraId="73BF7C07" w14:textId="6BCBABF2" w:rsidR="00D90830" w:rsidRPr="00394D9A" w:rsidRDefault="00D90830" w:rsidP="00187D17">
            <w:pPr>
              <w:widowControl w:val="0"/>
              <w:jc w:val="center"/>
              <w:rPr>
                <w:b/>
                <w:bCs/>
                <w:szCs w:val="22"/>
                <w:lang w:val="sr-Latn-RS"/>
              </w:rPr>
            </w:pPr>
            <w:r w:rsidRPr="00394D9A">
              <w:rPr>
                <w:szCs w:val="22"/>
                <w:lang w:val="sr-Latn-RS"/>
              </w:rPr>
              <w:t xml:space="preserve">Dabigatraneteksilat </w:t>
            </w:r>
            <w:r w:rsidR="00454778" w:rsidRPr="00394D9A">
              <w:rPr>
                <w:szCs w:val="22"/>
                <w:lang w:val="sr-Latn-RS"/>
              </w:rPr>
              <w:br/>
            </w:r>
            <w:r w:rsidRPr="00394D9A">
              <w:rPr>
                <w:szCs w:val="22"/>
                <w:lang w:val="sr-Latn-RS"/>
              </w:rPr>
              <w:t>150 mg dva</w:t>
            </w:r>
            <w:r w:rsidR="004D22DA" w:rsidRPr="00394D9A">
              <w:rPr>
                <w:szCs w:val="22"/>
                <w:lang w:val="sr-Latn-RS"/>
              </w:rPr>
              <w:t xml:space="preserve"> </w:t>
            </w:r>
            <w:r w:rsidRPr="00394D9A">
              <w:rPr>
                <w:szCs w:val="22"/>
                <w:lang w:val="sr-Latn-RS"/>
              </w:rPr>
              <w:t>puta na dan</w:t>
            </w:r>
          </w:p>
        </w:tc>
        <w:tc>
          <w:tcPr>
            <w:tcW w:w="3285" w:type="dxa"/>
          </w:tcPr>
          <w:p w14:paraId="14060411" w14:textId="1E55768E" w:rsidR="00D90830" w:rsidRPr="00394D9A" w:rsidRDefault="00D90830" w:rsidP="00187D17">
            <w:pPr>
              <w:widowControl w:val="0"/>
              <w:jc w:val="center"/>
              <w:rPr>
                <w:b/>
                <w:bCs/>
                <w:szCs w:val="22"/>
                <w:lang w:val="sr-Latn-RS"/>
              </w:rPr>
            </w:pPr>
            <w:r w:rsidRPr="00394D9A">
              <w:rPr>
                <w:szCs w:val="22"/>
                <w:lang w:val="sr-Latn-RS"/>
              </w:rPr>
              <w:t>Placebo</w:t>
            </w:r>
          </w:p>
        </w:tc>
      </w:tr>
      <w:tr w:rsidR="00D90830" w:rsidRPr="00394D9A" w14:paraId="48CCAB71" w14:textId="77777777" w:rsidTr="00141DFB">
        <w:tc>
          <w:tcPr>
            <w:tcW w:w="3285" w:type="dxa"/>
          </w:tcPr>
          <w:p w14:paraId="77889507" w14:textId="54FC5324" w:rsidR="00D90830" w:rsidRPr="00394D9A" w:rsidRDefault="00D90830" w:rsidP="00187D17">
            <w:pPr>
              <w:widowControl w:val="0"/>
              <w:rPr>
                <w:b/>
                <w:bCs/>
                <w:szCs w:val="22"/>
                <w:lang w:val="sr-Latn-RS"/>
              </w:rPr>
            </w:pPr>
            <w:r w:rsidRPr="00394D9A">
              <w:rPr>
                <w:szCs w:val="22"/>
                <w:lang w:val="sr-Latn-RS"/>
              </w:rPr>
              <w:t>L</w:t>
            </w:r>
            <w:r w:rsidR="00933D01" w:rsidRPr="00394D9A">
              <w:rPr>
                <w:szCs w:val="22"/>
                <w:lang w:val="sr-Latn-RS"/>
              </w:rPr>
              <w:t>ij</w:t>
            </w:r>
            <w:r w:rsidRPr="00394D9A">
              <w:rPr>
                <w:szCs w:val="22"/>
                <w:lang w:val="sr-Latn-RS"/>
              </w:rPr>
              <w:t>ečeni pacijenti</w:t>
            </w:r>
          </w:p>
        </w:tc>
        <w:tc>
          <w:tcPr>
            <w:tcW w:w="3285" w:type="dxa"/>
            <w:vAlign w:val="center"/>
          </w:tcPr>
          <w:p w14:paraId="4DCA3144" w14:textId="77A805C4" w:rsidR="00D90830" w:rsidRPr="00394D9A" w:rsidRDefault="00D90830" w:rsidP="00187D17">
            <w:pPr>
              <w:widowControl w:val="0"/>
              <w:jc w:val="center"/>
              <w:rPr>
                <w:b/>
                <w:bCs/>
                <w:szCs w:val="22"/>
                <w:lang w:val="sr-Latn-RS"/>
              </w:rPr>
            </w:pPr>
            <w:r w:rsidRPr="00394D9A">
              <w:rPr>
                <w:szCs w:val="22"/>
                <w:lang w:val="sr-Latn-RS"/>
              </w:rPr>
              <w:t>681</w:t>
            </w:r>
          </w:p>
        </w:tc>
        <w:tc>
          <w:tcPr>
            <w:tcW w:w="3285" w:type="dxa"/>
            <w:vAlign w:val="center"/>
          </w:tcPr>
          <w:p w14:paraId="60D0E421" w14:textId="03F21B6E" w:rsidR="00D90830" w:rsidRPr="00394D9A" w:rsidRDefault="00D90830" w:rsidP="00187D17">
            <w:pPr>
              <w:widowControl w:val="0"/>
              <w:jc w:val="center"/>
              <w:rPr>
                <w:b/>
                <w:bCs/>
                <w:szCs w:val="22"/>
                <w:lang w:val="sr-Latn-RS"/>
              </w:rPr>
            </w:pPr>
            <w:r w:rsidRPr="00394D9A">
              <w:rPr>
                <w:szCs w:val="22"/>
                <w:lang w:val="sr-Latn-RS"/>
              </w:rPr>
              <w:t>662</w:t>
            </w:r>
          </w:p>
        </w:tc>
      </w:tr>
      <w:tr w:rsidR="00D90830" w:rsidRPr="00394D9A" w14:paraId="2B937CF9" w14:textId="77777777" w:rsidTr="00141DFB">
        <w:tc>
          <w:tcPr>
            <w:tcW w:w="3285" w:type="dxa"/>
          </w:tcPr>
          <w:p w14:paraId="7A12FBBC" w14:textId="77777777" w:rsidR="00D90830" w:rsidRPr="00394D9A" w:rsidRDefault="00D90830" w:rsidP="00187D17">
            <w:pPr>
              <w:pStyle w:val="TableParagraph"/>
              <w:spacing w:line="240" w:lineRule="auto"/>
              <w:ind w:left="0"/>
              <w:rPr>
                <w:lang w:val="sr-Latn-RS"/>
              </w:rPr>
            </w:pPr>
            <w:r w:rsidRPr="00394D9A">
              <w:rPr>
                <w:lang w:val="sr-Latn-RS"/>
              </w:rPr>
              <w:t>Rekurentna simptomatska</w:t>
            </w:r>
          </w:p>
          <w:p w14:paraId="6ED9E5A4" w14:textId="45506504" w:rsidR="00D90830" w:rsidRPr="00394D9A" w:rsidRDefault="00D90830" w:rsidP="00187D17">
            <w:pPr>
              <w:widowControl w:val="0"/>
              <w:rPr>
                <w:b/>
                <w:bCs/>
                <w:szCs w:val="22"/>
                <w:lang w:val="sr-Latn-RS"/>
              </w:rPr>
            </w:pPr>
            <w:r w:rsidRPr="00394D9A">
              <w:rPr>
                <w:szCs w:val="22"/>
                <w:lang w:val="sr-Latn-RS"/>
              </w:rPr>
              <w:t>VTE i povezane smrti</w:t>
            </w:r>
          </w:p>
        </w:tc>
        <w:tc>
          <w:tcPr>
            <w:tcW w:w="3285" w:type="dxa"/>
            <w:vAlign w:val="center"/>
          </w:tcPr>
          <w:p w14:paraId="384BAB61" w14:textId="6219DC8A" w:rsidR="00D90830" w:rsidRPr="00394D9A" w:rsidRDefault="00D90830" w:rsidP="00187D17">
            <w:pPr>
              <w:widowControl w:val="0"/>
              <w:jc w:val="center"/>
              <w:rPr>
                <w:b/>
                <w:bCs/>
                <w:szCs w:val="22"/>
                <w:lang w:val="sr-Latn-RS"/>
              </w:rPr>
            </w:pPr>
            <w:r w:rsidRPr="00394D9A">
              <w:rPr>
                <w:szCs w:val="22"/>
                <w:lang w:val="sr-Latn-RS"/>
              </w:rPr>
              <w:t>3 (0,4%)</w:t>
            </w:r>
          </w:p>
        </w:tc>
        <w:tc>
          <w:tcPr>
            <w:tcW w:w="3285" w:type="dxa"/>
            <w:vAlign w:val="center"/>
          </w:tcPr>
          <w:p w14:paraId="49FA8A2B" w14:textId="31496C7F" w:rsidR="00D90830" w:rsidRPr="00394D9A" w:rsidRDefault="00D90830" w:rsidP="00187D17">
            <w:pPr>
              <w:widowControl w:val="0"/>
              <w:jc w:val="center"/>
              <w:rPr>
                <w:b/>
                <w:bCs/>
                <w:szCs w:val="22"/>
                <w:lang w:val="sr-Latn-RS"/>
              </w:rPr>
            </w:pPr>
            <w:r w:rsidRPr="00394D9A">
              <w:rPr>
                <w:szCs w:val="22"/>
                <w:lang w:val="sr-Latn-RS"/>
              </w:rPr>
              <w:t>37 (5,6%)</w:t>
            </w:r>
          </w:p>
        </w:tc>
      </w:tr>
      <w:tr w:rsidR="00D90830" w:rsidRPr="00394D9A" w14:paraId="5A894B6A" w14:textId="77777777" w:rsidTr="00141DFB">
        <w:tc>
          <w:tcPr>
            <w:tcW w:w="3285" w:type="dxa"/>
          </w:tcPr>
          <w:p w14:paraId="6223A2A2" w14:textId="77777777" w:rsidR="00D90830" w:rsidRPr="00394D9A" w:rsidRDefault="00D90830" w:rsidP="00187D17">
            <w:pPr>
              <w:pStyle w:val="TableParagraph"/>
              <w:spacing w:line="240" w:lineRule="auto"/>
              <w:ind w:left="0" w:right="199"/>
              <w:rPr>
                <w:lang w:val="sr-Latn-RS"/>
              </w:rPr>
            </w:pPr>
            <w:r w:rsidRPr="00394D9A">
              <w:rPr>
                <w:lang w:val="sr-Latn-RS"/>
              </w:rPr>
              <w:t>Odnos rizika u odnosu na placebo (interval</w:t>
            </w:r>
          </w:p>
          <w:p w14:paraId="542E1EC5" w14:textId="0C22FA78" w:rsidR="00D90830" w:rsidRPr="00394D9A" w:rsidRDefault="00D90830" w:rsidP="00187D17">
            <w:pPr>
              <w:widowControl w:val="0"/>
              <w:rPr>
                <w:b/>
                <w:bCs/>
                <w:szCs w:val="22"/>
                <w:lang w:val="sr-Latn-RS"/>
              </w:rPr>
            </w:pPr>
            <w:r w:rsidRPr="00394D9A">
              <w:rPr>
                <w:szCs w:val="22"/>
                <w:lang w:val="sr-Latn-RS"/>
              </w:rPr>
              <w:t>pouzdanosti 95%)</w:t>
            </w:r>
          </w:p>
        </w:tc>
        <w:tc>
          <w:tcPr>
            <w:tcW w:w="3285" w:type="dxa"/>
            <w:vAlign w:val="center"/>
          </w:tcPr>
          <w:p w14:paraId="34EF8A5D" w14:textId="77777777" w:rsidR="00D90830" w:rsidRPr="00394D9A" w:rsidRDefault="00D90830" w:rsidP="00187D17">
            <w:pPr>
              <w:pStyle w:val="TableParagraph"/>
              <w:spacing w:line="240" w:lineRule="auto"/>
              <w:ind w:left="342" w:right="333"/>
              <w:jc w:val="center"/>
              <w:rPr>
                <w:lang w:val="sr-Latn-RS"/>
              </w:rPr>
            </w:pPr>
            <w:r w:rsidRPr="00394D9A">
              <w:rPr>
                <w:lang w:val="sr-Latn-RS"/>
              </w:rPr>
              <w:t>0,08</w:t>
            </w:r>
          </w:p>
          <w:p w14:paraId="085F3BE5" w14:textId="649BD12C" w:rsidR="00D90830" w:rsidRPr="00394D9A" w:rsidRDefault="00D90830" w:rsidP="00187D17">
            <w:pPr>
              <w:widowControl w:val="0"/>
              <w:jc w:val="center"/>
              <w:rPr>
                <w:b/>
                <w:bCs/>
                <w:szCs w:val="22"/>
                <w:lang w:val="sr-Latn-RS"/>
              </w:rPr>
            </w:pPr>
            <w:r w:rsidRPr="00394D9A">
              <w:rPr>
                <w:szCs w:val="22"/>
                <w:lang w:val="sr-Latn-RS"/>
              </w:rPr>
              <w:t>(0,02; 0,25)</w:t>
            </w:r>
          </w:p>
        </w:tc>
        <w:tc>
          <w:tcPr>
            <w:tcW w:w="3285" w:type="dxa"/>
            <w:vAlign w:val="center"/>
          </w:tcPr>
          <w:p w14:paraId="488968E1" w14:textId="77777777" w:rsidR="00D90830" w:rsidRPr="00394D9A" w:rsidRDefault="00D90830" w:rsidP="00187D17">
            <w:pPr>
              <w:widowControl w:val="0"/>
              <w:jc w:val="center"/>
              <w:rPr>
                <w:b/>
                <w:bCs/>
                <w:szCs w:val="22"/>
                <w:lang w:val="sr-Latn-RS"/>
              </w:rPr>
            </w:pPr>
          </w:p>
        </w:tc>
      </w:tr>
      <w:tr w:rsidR="00D90830" w:rsidRPr="00394D9A" w14:paraId="4541FBC9" w14:textId="77777777" w:rsidTr="00141DFB">
        <w:tc>
          <w:tcPr>
            <w:tcW w:w="3285" w:type="dxa"/>
          </w:tcPr>
          <w:p w14:paraId="601F0CE1" w14:textId="18D59E1C" w:rsidR="00D90830" w:rsidRPr="00394D9A" w:rsidRDefault="00D90830" w:rsidP="00187D17">
            <w:pPr>
              <w:widowControl w:val="0"/>
              <w:rPr>
                <w:b/>
                <w:bCs/>
                <w:szCs w:val="22"/>
                <w:lang w:val="sr-Latn-RS"/>
              </w:rPr>
            </w:pPr>
            <w:r w:rsidRPr="00394D9A">
              <w:rPr>
                <w:szCs w:val="22"/>
                <w:lang w:val="sr-Latn-RS"/>
              </w:rPr>
              <w:t>p-vr</w:t>
            </w:r>
            <w:r w:rsidR="00933D01" w:rsidRPr="00394D9A">
              <w:rPr>
                <w:szCs w:val="22"/>
                <w:lang w:val="sr-Latn-RS"/>
              </w:rPr>
              <w:t>ij</w:t>
            </w:r>
            <w:r w:rsidRPr="00394D9A">
              <w:rPr>
                <w:szCs w:val="22"/>
                <w:lang w:val="sr-Latn-RS"/>
              </w:rPr>
              <w:t>ednost za superiornost</w:t>
            </w:r>
          </w:p>
        </w:tc>
        <w:tc>
          <w:tcPr>
            <w:tcW w:w="3285" w:type="dxa"/>
            <w:vAlign w:val="center"/>
          </w:tcPr>
          <w:p w14:paraId="223DF8BE" w14:textId="4E7DAA18" w:rsidR="00D90830" w:rsidRPr="00394D9A" w:rsidRDefault="00D90830" w:rsidP="00187D17">
            <w:pPr>
              <w:widowControl w:val="0"/>
              <w:jc w:val="center"/>
              <w:rPr>
                <w:b/>
                <w:bCs/>
                <w:szCs w:val="22"/>
                <w:lang w:val="sr-Latn-RS"/>
              </w:rPr>
            </w:pPr>
            <w:r w:rsidRPr="00394D9A">
              <w:rPr>
                <w:szCs w:val="22"/>
                <w:lang w:val="sr-Latn-RS"/>
              </w:rPr>
              <w:t>&lt; 0,0001</w:t>
            </w:r>
          </w:p>
        </w:tc>
        <w:tc>
          <w:tcPr>
            <w:tcW w:w="3285" w:type="dxa"/>
            <w:vAlign w:val="center"/>
          </w:tcPr>
          <w:p w14:paraId="3E7C652B" w14:textId="77777777" w:rsidR="00D90830" w:rsidRPr="00394D9A" w:rsidRDefault="00D90830" w:rsidP="00187D17">
            <w:pPr>
              <w:widowControl w:val="0"/>
              <w:jc w:val="center"/>
              <w:rPr>
                <w:b/>
                <w:bCs/>
                <w:szCs w:val="22"/>
                <w:lang w:val="sr-Latn-RS"/>
              </w:rPr>
            </w:pPr>
          </w:p>
        </w:tc>
      </w:tr>
      <w:tr w:rsidR="00D90830" w:rsidRPr="00394D9A" w14:paraId="55DF52B6" w14:textId="77777777" w:rsidTr="00141DFB">
        <w:tc>
          <w:tcPr>
            <w:tcW w:w="3285" w:type="dxa"/>
          </w:tcPr>
          <w:p w14:paraId="0F652DB5" w14:textId="45F33E26" w:rsidR="00D90830" w:rsidRPr="00394D9A" w:rsidRDefault="00D90830" w:rsidP="00187D17">
            <w:pPr>
              <w:widowControl w:val="0"/>
              <w:rPr>
                <w:b/>
                <w:bCs/>
                <w:szCs w:val="22"/>
                <w:lang w:val="sr-Latn-RS"/>
              </w:rPr>
            </w:pPr>
            <w:r w:rsidRPr="00394D9A">
              <w:rPr>
                <w:szCs w:val="22"/>
                <w:lang w:val="sr-Latn-RS"/>
              </w:rPr>
              <w:t>Sekundarni ciljevi efikasnosti</w:t>
            </w:r>
          </w:p>
        </w:tc>
        <w:tc>
          <w:tcPr>
            <w:tcW w:w="3285" w:type="dxa"/>
            <w:vAlign w:val="center"/>
          </w:tcPr>
          <w:p w14:paraId="37972A82" w14:textId="77777777" w:rsidR="00D90830" w:rsidRPr="00394D9A" w:rsidRDefault="00D90830" w:rsidP="00187D17">
            <w:pPr>
              <w:widowControl w:val="0"/>
              <w:jc w:val="center"/>
              <w:rPr>
                <w:b/>
                <w:bCs/>
                <w:szCs w:val="22"/>
                <w:lang w:val="sr-Latn-RS"/>
              </w:rPr>
            </w:pPr>
          </w:p>
        </w:tc>
        <w:tc>
          <w:tcPr>
            <w:tcW w:w="3285" w:type="dxa"/>
            <w:vAlign w:val="center"/>
          </w:tcPr>
          <w:p w14:paraId="3D468815" w14:textId="77777777" w:rsidR="00D90830" w:rsidRPr="00394D9A" w:rsidRDefault="00D90830" w:rsidP="00187D17">
            <w:pPr>
              <w:widowControl w:val="0"/>
              <w:jc w:val="center"/>
              <w:rPr>
                <w:b/>
                <w:bCs/>
                <w:szCs w:val="22"/>
                <w:lang w:val="sr-Latn-RS"/>
              </w:rPr>
            </w:pPr>
          </w:p>
        </w:tc>
      </w:tr>
      <w:tr w:rsidR="00D90830" w:rsidRPr="00394D9A" w14:paraId="5A72145E" w14:textId="77777777" w:rsidTr="00141DFB">
        <w:tc>
          <w:tcPr>
            <w:tcW w:w="3285" w:type="dxa"/>
          </w:tcPr>
          <w:p w14:paraId="65844059" w14:textId="77777777" w:rsidR="00D90830" w:rsidRPr="00394D9A" w:rsidRDefault="00D90830" w:rsidP="00187D17">
            <w:pPr>
              <w:pStyle w:val="TableParagraph"/>
              <w:spacing w:line="240" w:lineRule="auto"/>
              <w:ind w:left="0"/>
              <w:rPr>
                <w:lang w:val="sr-Latn-RS"/>
              </w:rPr>
            </w:pPr>
            <w:r w:rsidRPr="00394D9A">
              <w:rPr>
                <w:lang w:val="sr-Latn-RS"/>
              </w:rPr>
              <w:t>Rekurentna simptomatska</w:t>
            </w:r>
          </w:p>
          <w:p w14:paraId="27D36FAD" w14:textId="1DA58D3F" w:rsidR="00D90830" w:rsidRPr="00394D9A" w:rsidRDefault="00D90830" w:rsidP="00187D17">
            <w:pPr>
              <w:widowControl w:val="0"/>
              <w:rPr>
                <w:szCs w:val="22"/>
                <w:lang w:val="sr-Latn-RS"/>
              </w:rPr>
            </w:pPr>
            <w:r w:rsidRPr="00394D9A">
              <w:rPr>
                <w:szCs w:val="22"/>
                <w:lang w:val="sr-Latn-RS"/>
              </w:rPr>
              <w:t>VTE i smrti svih uzroka</w:t>
            </w:r>
          </w:p>
        </w:tc>
        <w:tc>
          <w:tcPr>
            <w:tcW w:w="3285" w:type="dxa"/>
            <w:vAlign w:val="center"/>
          </w:tcPr>
          <w:p w14:paraId="7570156A" w14:textId="750734BD" w:rsidR="00D90830" w:rsidRPr="00394D9A" w:rsidRDefault="00D90830" w:rsidP="00187D17">
            <w:pPr>
              <w:widowControl w:val="0"/>
              <w:jc w:val="center"/>
              <w:rPr>
                <w:b/>
                <w:bCs/>
                <w:szCs w:val="22"/>
                <w:lang w:val="sr-Latn-RS"/>
              </w:rPr>
            </w:pPr>
            <w:r w:rsidRPr="00394D9A">
              <w:rPr>
                <w:szCs w:val="22"/>
                <w:lang w:val="sr-Latn-RS"/>
              </w:rPr>
              <w:t>3 (0,4%)</w:t>
            </w:r>
          </w:p>
        </w:tc>
        <w:tc>
          <w:tcPr>
            <w:tcW w:w="3285" w:type="dxa"/>
            <w:vAlign w:val="center"/>
          </w:tcPr>
          <w:p w14:paraId="67F26DFB" w14:textId="07019960" w:rsidR="00D90830" w:rsidRPr="00394D9A" w:rsidRDefault="00D90830" w:rsidP="00187D17">
            <w:pPr>
              <w:widowControl w:val="0"/>
              <w:jc w:val="center"/>
              <w:rPr>
                <w:b/>
                <w:bCs/>
                <w:szCs w:val="22"/>
                <w:lang w:val="sr-Latn-RS"/>
              </w:rPr>
            </w:pPr>
            <w:r w:rsidRPr="00394D9A">
              <w:rPr>
                <w:szCs w:val="22"/>
                <w:lang w:val="sr-Latn-RS"/>
              </w:rPr>
              <w:t>37 (5,6%)</w:t>
            </w:r>
          </w:p>
        </w:tc>
      </w:tr>
      <w:tr w:rsidR="00D90830" w:rsidRPr="00394D9A" w14:paraId="3E0125AE" w14:textId="77777777" w:rsidTr="00D90830">
        <w:tc>
          <w:tcPr>
            <w:tcW w:w="3285" w:type="dxa"/>
          </w:tcPr>
          <w:p w14:paraId="5000B291" w14:textId="4D0F6458" w:rsidR="00D90830" w:rsidRPr="00394D9A" w:rsidRDefault="00D90830" w:rsidP="00187D17">
            <w:pPr>
              <w:widowControl w:val="0"/>
              <w:rPr>
                <w:szCs w:val="22"/>
                <w:lang w:val="sr-Latn-RS"/>
              </w:rPr>
            </w:pPr>
            <w:r w:rsidRPr="00394D9A">
              <w:rPr>
                <w:szCs w:val="22"/>
                <w:lang w:val="sr-Latn-RS"/>
              </w:rPr>
              <w:t>Interval pouzdanosti 95%</w:t>
            </w:r>
          </w:p>
        </w:tc>
        <w:tc>
          <w:tcPr>
            <w:tcW w:w="3285" w:type="dxa"/>
          </w:tcPr>
          <w:p w14:paraId="45CF32C0" w14:textId="62895F88" w:rsidR="00D90830" w:rsidRPr="00394D9A" w:rsidRDefault="00D90830" w:rsidP="00187D17">
            <w:pPr>
              <w:widowControl w:val="0"/>
              <w:jc w:val="center"/>
              <w:rPr>
                <w:szCs w:val="22"/>
                <w:lang w:val="sr-Latn-RS"/>
              </w:rPr>
            </w:pPr>
            <w:r w:rsidRPr="00394D9A">
              <w:rPr>
                <w:szCs w:val="22"/>
                <w:lang w:val="sr-Latn-RS"/>
              </w:rPr>
              <w:t>0,09; 1,28</w:t>
            </w:r>
          </w:p>
        </w:tc>
        <w:tc>
          <w:tcPr>
            <w:tcW w:w="3285" w:type="dxa"/>
          </w:tcPr>
          <w:p w14:paraId="38DAD3EE" w14:textId="4B22BCE5" w:rsidR="00D90830" w:rsidRPr="00394D9A" w:rsidRDefault="00D90830" w:rsidP="00187D17">
            <w:pPr>
              <w:widowControl w:val="0"/>
              <w:jc w:val="center"/>
              <w:rPr>
                <w:szCs w:val="22"/>
                <w:lang w:val="sr-Latn-RS"/>
              </w:rPr>
            </w:pPr>
            <w:r w:rsidRPr="00394D9A">
              <w:rPr>
                <w:szCs w:val="22"/>
                <w:lang w:val="sr-Latn-RS"/>
              </w:rPr>
              <w:t>3,97; 7,62</w:t>
            </w:r>
          </w:p>
        </w:tc>
      </w:tr>
      <w:tr w:rsidR="00D90830" w:rsidRPr="00394D9A" w14:paraId="1A2B7ADA" w14:textId="77777777" w:rsidTr="00D90830">
        <w:tc>
          <w:tcPr>
            <w:tcW w:w="3285" w:type="dxa"/>
          </w:tcPr>
          <w:p w14:paraId="4A4DD47D" w14:textId="1114B9E4" w:rsidR="00D90830" w:rsidRPr="00394D9A" w:rsidRDefault="00D90830" w:rsidP="00187D17">
            <w:pPr>
              <w:widowControl w:val="0"/>
              <w:rPr>
                <w:szCs w:val="22"/>
                <w:lang w:val="sr-Latn-RS"/>
              </w:rPr>
            </w:pPr>
            <w:r w:rsidRPr="00394D9A">
              <w:rPr>
                <w:szCs w:val="22"/>
                <w:lang w:val="sr-Latn-RS"/>
              </w:rPr>
              <w:t>Simptomatska DVT</w:t>
            </w:r>
          </w:p>
        </w:tc>
        <w:tc>
          <w:tcPr>
            <w:tcW w:w="3285" w:type="dxa"/>
          </w:tcPr>
          <w:p w14:paraId="26DDA517" w14:textId="50754710" w:rsidR="00D90830" w:rsidRPr="00394D9A" w:rsidRDefault="00D90830" w:rsidP="00187D17">
            <w:pPr>
              <w:widowControl w:val="0"/>
              <w:jc w:val="center"/>
              <w:rPr>
                <w:szCs w:val="22"/>
                <w:lang w:val="sr-Latn-RS"/>
              </w:rPr>
            </w:pPr>
            <w:r w:rsidRPr="00394D9A">
              <w:rPr>
                <w:szCs w:val="22"/>
                <w:lang w:val="sr-Latn-RS"/>
              </w:rPr>
              <w:t>2 (0,3%)</w:t>
            </w:r>
          </w:p>
        </w:tc>
        <w:tc>
          <w:tcPr>
            <w:tcW w:w="3285" w:type="dxa"/>
          </w:tcPr>
          <w:p w14:paraId="2013297E" w14:textId="478D3487" w:rsidR="00D90830" w:rsidRPr="00394D9A" w:rsidRDefault="00D90830" w:rsidP="00187D17">
            <w:pPr>
              <w:widowControl w:val="0"/>
              <w:jc w:val="center"/>
              <w:rPr>
                <w:szCs w:val="22"/>
                <w:lang w:val="sr-Latn-RS"/>
              </w:rPr>
            </w:pPr>
            <w:r w:rsidRPr="00394D9A">
              <w:rPr>
                <w:szCs w:val="22"/>
                <w:lang w:val="sr-Latn-RS"/>
              </w:rPr>
              <w:t>23 (3,5%)</w:t>
            </w:r>
          </w:p>
        </w:tc>
      </w:tr>
      <w:tr w:rsidR="00D90830" w:rsidRPr="00394D9A" w14:paraId="6D1DF722" w14:textId="77777777" w:rsidTr="00D90830">
        <w:tc>
          <w:tcPr>
            <w:tcW w:w="3285" w:type="dxa"/>
          </w:tcPr>
          <w:p w14:paraId="22B85C0B" w14:textId="319EC924" w:rsidR="00D90830" w:rsidRPr="00394D9A" w:rsidRDefault="00D90830" w:rsidP="00187D17">
            <w:pPr>
              <w:widowControl w:val="0"/>
              <w:rPr>
                <w:szCs w:val="22"/>
                <w:lang w:val="sr-Latn-RS"/>
              </w:rPr>
            </w:pPr>
            <w:r w:rsidRPr="00394D9A">
              <w:rPr>
                <w:szCs w:val="22"/>
                <w:lang w:val="sr-Latn-RS"/>
              </w:rPr>
              <w:t>Interval pouzdanosti 95%</w:t>
            </w:r>
          </w:p>
        </w:tc>
        <w:tc>
          <w:tcPr>
            <w:tcW w:w="3285" w:type="dxa"/>
          </w:tcPr>
          <w:p w14:paraId="15AFD50F" w14:textId="3397323C" w:rsidR="00D90830" w:rsidRPr="00394D9A" w:rsidRDefault="00D90830" w:rsidP="00187D17">
            <w:pPr>
              <w:widowControl w:val="0"/>
              <w:jc w:val="center"/>
              <w:rPr>
                <w:szCs w:val="22"/>
                <w:lang w:val="sr-Latn-RS"/>
              </w:rPr>
            </w:pPr>
            <w:r w:rsidRPr="00394D9A">
              <w:rPr>
                <w:szCs w:val="22"/>
                <w:lang w:val="sr-Latn-RS"/>
              </w:rPr>
              <w:t>0,04; 1,06</w:t>
            </w:r>
          </w:p>
        </w:tc>
        <w:tc>
          <w:tcPr>
            <w:tcW w:w="3285" w:type="dxa"/>
          </w:tcPr>
          <w:p w14:paraId="158D69BB" w14:textId="4A6EFE90" w:rsidR="00D90830" w:rsidRPr="00394D9A" w:rsidRDefault="00D90830" w:rsidP="00187D17">
            <w:pPr>
              <w:widowControl w:val="0"/>
              <w:jc w:val="center"/>
              <w:rPr>
                <w:szCs w:val="22"/>
                <w:lang w:val="sr-Latn-RS"/>
              </w:rPr>
            </w:pPr>
            <w:r w:rsidRPr="00394D9A">
              <w:rPr>
                <w:szCs w:val="22"/>
                <w:lang w:val="sr-Latn-RS"/>
              </w:rPr>
              <w:t>2,21; 5,17</w:t>
            </w:r>
          </w:p>
        </w:tc>
      </w:tr>
      <w:tr w:rsidR="00D90830" w:rsidRPr="00394D9A" w14:paraId="0F1CA507" w14:textId="77777777" w:rsidTr="00D90830">
        <w:tc>
          <w:tcPr>
            <w:tcW w:w="3285" w:type="dxa"/>
          </w:tcPr>
          <w:p w14:paraId="4CBABBB8" w14:textId="58F3ADCC" w:rsidR="00D90830" w:rsidRPr="00394D9A" w:rsidRDefault="00D90830" w:rsidP="00187D17">
            <w:pPr>
              <w:widowControl w:val="0"/>
              <w:rPr>
                <w:szCs w:val="22"/>
                <w:lang w:val="sr-Latn-RS"/>
              </w:rPr>
            </w:pPr>
            <w:r w:rsidRPr="00394D9A">
              <w:rPr>
                <w:szCs w:val="22"/>
                <w:lang w:val="sr-Latn-RS"/>
              </w:rPr>
              <w:t>Simptomatska PE</w:t>
            </w:r>
          </w:p>
        </w:tc>
        <w:tc>
          <w:tcPr>
            <w:tcW w:w="3285" w:type="dxa"/>
          </w:tcPr>
          <w:p w14:paraId="32C055B1" w14:textId="1E1B1F1E" w:rsidR="00D90830" w:rsidRPr="00394D9A" w:rsidRDefault="00D90830" w:rsidP="00187D17">
            <w:pPr>
              <w:widowControl w:val="0"/>
              <w:jc w:val="center"/>
              <w:rPr>
                <w:szCs w:val="22"/>
                <w:lang w:val="sr-Latn-RS"/>
              </w:rPr>
            </w:pPr>
            <w:r w:rsidRPr="00394D9A">
              <w:rPr>
                <w:szCs w:val="22"/>
                <w:lang w:val="sr-Latn-RS"/>
              </w:rPr>
              <w:t>1 (0,1%)</w:t>
            </w:r>
          </w:p>
        </w:tc>
        <w:tc>
          <w:tcPr>
            <w:tcW w:w="3285" w:type="dxa"/>
          </w:tcPr>
          <w:p w14:paraId="17A42498" w14:textId="1193C689" w:rsidR="00D90830" w:rsidRPr="00394D9A" w:rsidRDefault="00D90830" w:rsidP="00187D17">
            <w:pPr>
              <w:widowControl w:val="0"/>
              <w:jc w:val="center"/>
              <w:rPr>
                <w:szCs w:val="22"/>
                <w:lang w:val="sr-Latn-RS"/>
              </w:rPr>
            </w:pPr>
            <w:r w:rsidRPr="00394D9A">
              <w:rPr>
                <w:szCs w:val="22"/>
                <w:lang w:val="sr-Latn-RS"/>
              </w:rPr>
              <w:t>14 (2,1%)</w:t>
            </w:r>
          </w:p>
        </w:tc>
      </w:tr>
      <w:tr w:rsidR="00D90830" w:rsidRPr="00394D9A" w14:paraId="444263AD" w14:textId="77777777" w:rsidTr="00D90830">
        <w:tc>
          <w:tcPr>
            <w:tcW w:w="3285" w:type="dxa"/>
          </w:tcPr>
          <w:p w14:paraId="22901B18" w14:textId="41F6B1A0" w:rsidR="00D90830" w:rsidRPr="00394D9A" w:rsidRDefault="00D90830" w:rsidP="00187D17">
            <w:pPr>
              <w:widowControl w:val="0"/>
              <w:rPr>
                <w:szCs w:val="22"/>
                <w:lang w:val="sr-Latn-RS"/>
              </w:rPr>
            </w:pPr>
            <w:r w:rsidRPr="00394D9A">
              <w:rPr>
                <w:szCs w:val="22"/>
                <w:lang w:val="sr-Latn-RS"/>
              </w:rPr>
              <w:t>Interval pouzdanosti 95%</w:t>
            </w:r>
          </w:p>
        </w:tc>
        <w:tc>
          <w:tcPr>
            <w:tcW w:w="3285" w:type="dxa"/>
          </w:tcPr>
          <w:p w14:paraId="0D6C3220" w14:textId="30090F6F" w:rsidR="00D90830" w:rsidRPr="00394D9A" w:rsidRDefault="00D90830" w:rsidP="00187D17">
            <w:pPr>
              <w:widowControl w:val="0"/>
              <w:jc w:val="center"/>
              <w:rPr>
                <w:szCs w:val="22"/>
                <w:lang w:val="sr-Latn-RS"/>
              </w:rPr>
            </w:pPr>
            <w:r w:rsidRPr="00394D9A">
              <w:rPr>
                <w:szCs w:val="22"/>
                <w:lang w:val="sr-Latn-RS"/>
              </w:rPr>
              <w:t>0,00; 0,82</w:t>
            </w:r>
          </w:p>
        </w:tc>
        <w:tc>
          <w:tcPr>
            <w:tcW w:w="3285" w:type="dxa"/>
          </w:tcPr>
          <w:p w14:paraId="0ACBB744" w14:textId="66A1D3AA" w:rsidR="00D90830" w:rsidRPr="00394D9A" w:rsidRDefault="00D90830" w:rsidP="00187D17">
            <w:pPr>
              <w:widowControl w:val="0"/>
              <w:jc w:val="center"/>
              <w:rPr>
                <w:szCs w:val="22"/>
                <w:lang w:val="sr-Latn-RS"/>
              </w:rPr>
            </w:pPr>
            <w:r w:rsidRPr="00394D9A">
              <w:rPr>
                <w:szCs w:val="22"/>
                <w:lang w:val="sr-Latn-RS"/>
              </w:rPr>
              <w:t>1,16; 3,52</w:t>
            </w:r>
          </w:p>
        </w:tc>
      </w:tr>
      <w:tr w:rsidR="00D90830" w:rsidRPr="00394D9A" w14:paraId="7190BAF1" w14:textId="77777777" w:rsidTr="00D90830">
        <w:tc>
          <w:tcPr>
            <w:tcW w:w="3285" w:type="dxa"/>
          </w:tcPr>
          <w:p w14:paraId="7B6DB590" w14:textId="42F9227C" w:rsidR="00D90830" w:rsidRPr="00394D9A" w:rsidRDefault="00D90830" w:rsidP="00187D17">
            <w:pPr>
              <w:widowControl w:val="0"/>
              <w:rPr>
                <w:szCs w:val="22"/>
                <w:lang w:val="sr-Latn-RS"/>
              </w:rPr>
            </w:pPr>
            <w:r w:rsidRPr="00394D9A">
              <w:rPr>
                <w:szCs w:val="22"/>
                <w:lang w:val="sr-Latn-RS"/>
              </w:rPr>
              <w:lastRenderedPageBreak/>
              <w:t>Smrti povezane sa VTE</w:t>
            </w:r>
          </w:p>
        </w:tc>
        <w:tc>
          <w:tcPr>
            <w:tcW w:w="3285" w:type="dxa"/>
          </w:tcPr>
          <w:p w14:paraId="3ADB4C39" w14:textId="0CB139FD" w:rsidR="00D90830" w:rsidRPr="00394D9A" w:rsidRDefault="00D90830" w:rsidP="00187D17">
            <w:pPr>
              <w:widowControl w:val="0"/>
              <w:jc w:val="center"/>
              <w:rPr>
                <w:szCs w:val="22"/>
                <w:lang w:val="sr-Latn-RS"/>
              </w:rPr>
            </w:pPr>
            <w:r w:rsidRPr="00394D9A">
              <w:rPr>
                <w:szCs w:val="22"/>
                <w:lang w:val="sr-Latn-RS"/>
              </w:rPr>
              <w:t>0 (0)</w:t>
            </w:r>
          </w:p>
        </w:tc>
        <w:tc>
          <w:tcPr>
            <w:tcW w:w="3285" w:type="dxa"/>
          </w:tcPr>
          <w:p w14:paraId="0A080ABD" w14:textId="060A5F0D" w:rsidR="00D90830" w:rsidRPr="00394D9A" w:rsidRDefault="00D90830" w:rsidP="00187D17">
            <w:pPr>
              <w:widowControl w:val="0"/>
              <w:jc w:val="center"/>
              <w:rPr>
                <w:szCs w:val="22"/>
                <w:lang w:val="sr-Latn-RS"/>
              </w:rPr>
            </w:pPr>
            <w:r w:rsidRPr="00394D9A">
              <w:rPr>
                <w:szCs w:val="22"/>
                <w:lang w:val="sr-Latn-RS"/>
              </w:rPr>
              <w:t>0 (0)</w:t>
            </w:r>
          </w:p>
        </w:tc>
      </w:tr>
      <w:tr w:rsidR="00D90830" w:rsidRPr="00394D9A" w14:paraId="220EA4AF" w14:textId="77777777" w:rsidTr="00D90830">
        <w:tc>
          <w:tcPr>
            <w:tcW w:w="3285" w:type="dxa"/>
          </w:tcPr>
          <w:p w14:paraId="5BF593E2" w14:textId="26D09043" w:rsidR="00D90830" w:rsidRPr="00394D9A" w:rsidRDefault="00D90830" w:rsidP="00187D17">
            <w:pPr>
              <w:widowControl w:val="0"/>
              <w:rPr>
                <w:szCs w:val="22"/>
                <w:lang w:val="sr-Latn-RS"/>
              </w:rPr>
            </w:pPr>
            <w:r w:rsidRPr="00394D9A">
              <w:rPr>
                <w:szCs w:val="22"/>
                <w:lang w:val="sr-Latn-RS"/>
              </w:rPr>
              <w:t>Inteval pouzdanosti 95%</w:t>
            </w:r>
          </w:p>
        </w:tc>
        <w:tc>
          <w:tcPr>
            <w:tcW w:w="3285" w:type="dxa"/>
          </w:tcPr>
          <w:p w14:paraId="773719D8" w14:textId="2A3B2725" w:rsidR="00D90830" w:rsidRPr="00394D9A" w:rsidRDefault="00D90830" w:rsidP="00187D17">
            <w:pPr>
              <w:widowControl w:val="0"/>
              <w:jc w:val="center"/>
              <w:rPr>
                <w:szCs w:val="22"/>
                <w:lang w:val="sr-Latn-RS"/>
              </w:rPr>
            </w:pPr>
            <w:r w:rsidRPr="00394D9A">
              <w:rPr>
                <w:szCs w:val="22"/>
                <w:lang w:val="sr-Latn-RS"/>
              </w:rPr>
              <w:t>0,00; 0,54</w:t>
            </w:r>
          </w:p>
        </w:tc>
        <w:tc>
          <w:tcPr>
            <w:tcW w:w="3285" w:type="dxa"/>
          </w:tcPr>
          <w:p w14:paraId="17E75E05" w14:textId="3A5970E3" w:rsidR="00D90830" w:rsidRPr="00394D9A" w:rsidRDefault="00D90830" w:rsidP="00187D17">
            <w:pPr>
              <w:widowControl w:val="0"/>
              <w:jc w:val="center"/>
              <w:rPr>
                <w:szCs w:val="22"/>
                <w:lang w:val="sr-Latn-RS"/>
              </w:rPr>
            </w:pPr>
            <w:r w:rsidRPr="00394D9A">
              <w:rPr>
                <w:szCs w:val="22"/>
                <w:lang w:val="sr-Latn-RS"/>
              </w:rPr>
              <w:t>0,00; 0,56</w:t>
            </w:r>
          </w:p>
        </w:tc>
      </w:tr>
      <w:tr w:rsidR="00D90830" w:rsidRPr="00394D9A" w14:paraId="18273489" w14:textId="77777777" w:rsidTr="00D90830">
        <w:tc>
          <w:tcPr>
            <w:tcW w:w="3285" w:type="dxa"/>
          </w:tcPr>
          <w:p w14:paraId="603F91DE" w14:textId="77247DAF" w:rsidR="00D90830" w:rsidRPr="00394D9A" w:rsidRDefault="00D90830" w:rsidP="00187D17">
            <w:pPr>
              <w:widowControl w:val="0"/>
              <w:rPr>
                <w:szCs w:val="22"/>
                <w:lang w:val="sr-Latn-RS"/>
              </w:rPr>
            </w:pPr>
            <w:r w:rsidRPr="00394D9A">
              <w:rPr>
                <w:szCs w:val="22"/>
                <w:lang w:val="sr-Latn-RS"/>
              </w:rPr>
              <w:t>Neobjašnjene smrti</w:t>
            </w:r>
          </w:p>
        </w:tc>
        <w:tc>
          <w:tcPr>
            <w:tcW w:w="3285" w:type="dxa"/>
          </w:tcPr>
          <w:p w14:paraId="01CBE5DE" w14:textId="1D4EF8F6" w:rsidR="00D90830" w:rsidRPr="00394D9A" w:rsidRDefault="00D90830" w:rsidP="00187D17">
            <w:pPr>
              <w:widowControl w:val="0"/>
              <w:jc w:val="center"/>
              <w:rPr>
                <w:szCs w:val="22"/>
                <w:lang w:val="sr-Latn-RS"/>
              </w:rPr>
            </w:pPr>
            <w:r w:rsidRPr="00394D9A">
              <w:rPr>
                <w:szCs w:val="22"/>
                <w:lang w:val="sr-Latn-RS"/>
              </w:rPr>
              <w:t>0 (0)</w:t>
            </w:r>
          </w:p>
        </w:tc>
        <w:tc>
          <w:tcPr>
            <w:tcW w:w="3285" w:type="dxa"/>
          </w:tcPr>
          <w:p w14:paraId="063E1E90" w14:textId="30B4C8F3" w:rsidR="00D90830" w:rsidRPr="00394D9A" w:rsidRDefault="00D90830" w:rsidP="00187D17">
            <w:pPr>
              <w:widowControl w:val="0"/>
              <w:jc w:val="center"/>
              <w:rPr>
                <w:szCs w:val="22"/>
                <w:lang w:val="sr-Latn-RS"/>
              </w:rPr>
            </w:pPr>
            <w:r w:rsidRPr="00394D9A">
              <w:rPr>
                <w:szCs w:val="22"/>
                <w:lang w:val="sr-Latn-RS"/>
              </w:rPr>
              <w:t>2 (0,3%)</w:t>
            </w:r>
          </w:p>
        </w:tc>
      </w:tr>
      <w:tr w:rsidR="00D90830" w:rsidRPr="00394D9A" w14:paraId="5D2F429B" w14:textId="77777777" w:rsidTr="00D90830">
        <w:tc>
          <w:tcPr>
            <w:tcW w:w="3285" w:type="dxa"/>
          </w:tcPr>
          <w:p w14:paraId="27C14EA8" w14:textId="791B21DA" w:rsidR="00D90830" w:rsidRPr="00394D9A" w:rsidRDefault="00D90830" w:rsidP="00187D17">
            <w:pPr>
              <w:widowControl w:val="0"/>
              <w:rPr>
                <w:szCs w:val="22"/>
                <w:lang w:val="sr-Latn-RS"/>
              </w:rPr>
            </w:pPr>
            <w:r w:rsidRPr="00394D9A">
              <w:rPr>
                <w:szCs w:val="22"/>
                <w:lang w:val="sr-Latn-RS"/>
              </w:rPr>
              <w:t>Interval pouzdanosti 95%</w:t>
            </w:r>
          </w:p>
        </w:tc>
        <w:tc>
          <w:tcPr>
            <w:tcW w:w="3285" w:type="dxa"/>
          </w:tcPr>
          <w:p w14:paraId="3DF34472" w14:textId="20EE9777" w:rsidR="00D90830" w:rsidRPr="00394D9A" w:rsidRDefault="00D90830" w:rsidP="00187D17">
            <w:pPr>
              <w:widowControl w:val="0"/>
              <w:jc w:val="center"/>
              <w:rPr>
                <w:szCs w:val="22"/>
                <w:lang w:val="sr-Latn-RS"/>
              </w:rPr>
            </w:pPr>
            <w:r w:rsidRPr="00394D9A">
              <w:rPr>
                <w:szCs w:val="22"/>
                <w:lang w:val="sr-Latn-RS"/>
              </w:rPr>
              <w:t>0,00; 0,54</w:t>
            </w:r>
          </w:p>
        </w:tc>
        <w:tc>
          <w:tcPr>
            <w:tcW w:w="3285" w:type="dxa"/>
          </w:tcPr>
          <w:p w14:paraId="389592D8" w14:textId="7C358007" w:rsidR="00D90830" w:rsidRPr="00394D9A" w:rsidRDefault="00D90830" w:rsidP="00187D17">
            <w:pPr>
              <w:widowControl w:val="0"/>
              <w:jc w:val="center"/>
              <w:rPr>
                <w:szCs w:val="22"/>
                <w:lang w:val="sr-Latn-RS"/>
              </w:rPr>
            </w:pPr>
            <w:r w:rsidRPr="00394D9A">
              <w:rPr>
                <w:szCs w:val="22"/>
                <w:lang w:val="sr-Latn-RS"/>
              </w:rPr>
              <w:t>0,04; 1,09</w:t>
            </w:r>
          </w:p>
        </w:tc>
      </w:tr>
      <w:tr w:rsidR="00D90830" w:rsidRPr="00394D9A" w14:paraId="342E037C" w14:textId="77777777" w:rsidTr="00D90830">
        <w:tc>
          <w:tcPr>
            <w:tcW w:w="3285" w:type="dxa"/>
          </w:tcPr>
          <w:p w14:paraId="15A689F3" w14:textId="64487D58" w:rsidR="00D90830" w:rsidRPr="00394D9A" w:rsidRDefault="00D90830" w:rsidP="00187D17">
            <w:pPr>
              <w:widowControl w:val="0"/>
              <w:rPr>
                <w:szCs w:val="22"/>
                <w:lang w:val="sr-Latn-RS"/>
              </w:rPr>
            </w:pPr>
            <w:r w:rsidRPr="00394D9A">
              <w:rPr>
                <w:szCs w:val="22"/>
                <w:lang w:val="sr-Latn-RS"/>
              </w:rPr>
              <w:t>Smrti svih uzroka</w:t>
            </w:r>
          </w:p>
        </w:tc>
        <w:tc>
          <w:tcPr>
            <w:tcW w:w="3285" w:type="dxa"/>
          </w:tcPr>
          <w:p w14:paraId="3106FA36" w14:textId="4BFD75E1" w:rsidR="00D90830" w:rsidRPr="00394D9A" w:rsidRDefault="00D90830" w:rsidP="00187D17">
            <w:pPr>
              <w:widowControl w:val="0"/>
              <w:jc w:val="center"/>
              <w:rPr>
                <w:szCs w:val="22"/>
                <w:lang w:val="sr-Latn-RS"/>
              </w:rPr>
            </w:pPr>
            <w:r w:rsidRPr="00394D9A">
              <w:rPr>
                <w:szCs w:val="22"/>
                <w:lang w:val="sr-Latn-RS"/>
              </w:rPr>
              <w:t>0 (0)</w:t>
            </w:r>
          </w:p>
        </w:tc>
        <w:tc>
          <w:tcPr>
            <w:tcW w:w="3285" w:type="dxa"/>
          </w:tcPr>
          <w:p w14:paraId="73B9A64E" w14:textId="6135E041" w:rsidR="00D90830" w:rsidRPr="00394D9A" w:rsidRDefault="00D90830" w:rsidP="00187D17">
            <w:pPr>
              <w:widowControl w:val="0"/>
              <w:jc w:val="center"/>
              <w:rPr>
                <w:szCs w:val="22"/>
                <w:lang w:val="sr-Latn-RS"/>
              </w:rPr>
            </w:pPr>
            <w:r w:rsidRPr="00394D9A">
              <w:rPr>
                <w:szCs w:val="22"/>
                <w:lang w:val="sr-Latn-RS"/>
              </w:rPr>
              <w:t>2 (0,3%)</w:t>
            </w:r>
          </w:p>
        </w:tc>
      </w:tr>
      <w:tr w:rsidR="00D90830" w:rsidRPr="00394D9A" w14:paraId="79C745AF" w14:textId="77777777" w:rsidTr="00D90830">
        <w:tc>
          <w:tcPr>
            <w:tcW w:w="3285" w:type="dxa"/>
          </w:tcPr>
          <w:p w14:paraId="0764D9AE" w14:textId="6CC94E25" w:rsidR="00D90830" w:rsidRPr="00394D9A" w:rsidRDefault="00D90830" w:rsidP="00187D17">
            <w:pPr>
              <w:widowControl w:val="0"/>
              <w:rPr>
                <w:szCs w:val="22"/>
                <w:lang w:val="sr-Latn-RS"/>
              </w:rPr>
            </w:pPr>
            <w:r w:rsidRPr="00394D9A">
              <w:rPr>
                <w:szCs w:val="22"/>
                <w:lang w:val="sr-Latn-RS"/>
              </w:rPr>
              <w:t>Interval pouzdanosti 95%</w:t>
            </w:r>
          </w:p>
        </w:tc>
        <w:tc>
          <w:tcPr>
            <w:tcW w:w="3285" w:type="dxa"/>
          </w:tcPr>
          <w:p w14:paraId="42FF9EAF" w14:textId="01C7E026" w:rsidR="00D90830" w:rsidRPr="00394D9A" w:rsidRDefault="00D90830" w:rsidP="00187D17">
            <w:pPr>
              <w:widowControl w:val="0"/>
              <w:jc w:val="center"/>
              <w:rPr>
                <w:szCs w:val="22"/>
                <w:lang w:val="sr-Latn-RS"/>
              </w:rPr>
            </w:pPr>
            <w:r w:rsidRPr="00394D9A">
              <w:rPr>
                <w:szCs w:val="22"/>
                <w:lang w:val="sr-Latn-RS"/>
              </w:rPr>
              <w:t>0,00; 0,54</w:t>
            </w:r>
          </w:p>
        </w:tc>
        <w:tc>
          <w:tcPr>
            <w:tcW w:w="3285" w:type="dxa"/>
          </w:tcPr>
          <w:p w14:paraId="63777B6F" w14:textId="6BEECB46" w:rsidR="00D90830" w:rsidRPr="00394D9A" w:rsidRDefault="00D90830" w:rsidP="00187D17">
            <w:pPr>
              <w:widowControl w:val="0"/>
              <w:jc w:val="center"/>
              <w:rPr>
                <w:szCs w:val="22"/>
                <w:lang w:val="sr-Latn-RS"/>
              </w:rPr>
            </w:pPr>
            <w:r w:rsidRPr="00394D9A">
              <w:rPr>
                <w:szCs w:val="22"/>
                <w:lang w:val="sr-Latn-RS"/>
              </w:rPr>
              <w:t>0,04; 1,09</w:t>
            </w:r>
          </w:p>
        </w:tc>
      </w:tr>
    </w:tbl>
    <w:p w14:paraId="0D33514A" w14:textId="77777777" w:rsidR="00DC7666" w:rsidRPr="00394D9A" w:rsidRDefault="00DC7666" w:rsidP="00187D17">
      <w:pPr>
        <w:widowControl w:val="0"/>
        <w:rPr>
          <w:i/>
          <w:iCs/>
          <w:szCs w:val="22"/>
          <w:highlight w:val="yellow"/>
          <w:u w:val="single"/>
          <w:lang w:val="sr-Latn-RS"/>
        </w:rPr>
      </w:pPr>
    </w:p>
    <w:p w14:paraId="03B2473F" w14:textId="2C248D1C" w:rsidR="00457DB6" w:rsidRPr="00394D9A" w:rsidRDefault="00457DB6" w:rsidP="00187D17">
      <w:pPr>
        <w:widowControl w:val="0"/>
        <w:rPr>
          <w:i/>
          <w:iCs/>
          <w:szCs w:val="22"/>
          <w:u w:val="single"/>
          <w:lang w:val="sr-Latn-RS"/>
        </w:rPr>
      </w:pPr>
      <w:r w:rsidRPr="00394D9A">
        <w:rPr>
          <w:i/>
          <w:iCs/>
          <w:szCs w:val="22"/>
          <w:u w:val="single"/>
          <w:lang w:val="sr-Latn-RS"/>
        </w:rPr>
        <w:t>Kliničke studije u prevenciji tromboembolije kod pacijenata sa v</w:t>
      </w:r>
      <w:r w:rsidR="004C2BA7" w:rsidRPr="00394D9A">
        <w:rPr>
          <w:i/>
          <w:iCs/>
          <w:szCs w:val="22"/>
          <w:u w:val="single"/>
          <w:lang w:val="sr-Latn-RS"/>
        </w:rPr>
        <w:t>j</w:t>
      </w:r>
      <w:r w:rsidRPr="00394D9A">
        <w:rPr>
          <w:i/>
          <w:iCs/>
          <w:szCs w:val="22"/>
          <w:u w:val="single"/>
          <w:lang w:val="sr-Latn-RS"/>
        </w:rPr>
        <w:t>eštačkim srčanim zaliscima</w:t>
      </w:r>
    </w:p>
    <w:p w14:paraId="4E11CAE1" w14:textId="77777777" w:rsidR="00457DB6" w:rsidRPr="00394D9A" w:rsidRDefault="00457DB6" w:rsidP="00187D17">
      <w:pPr>
        <w:widowControl w:val="0"/>
        <w:rPr>
          <w:szCs w:val="22"/>
          <w:lang w:val="sr-Latn-RS"/>
        </w:rPr>
      </w:pPr>
    </w:p>
    <w:p w14:paraId="4CF10F72" w14:textId="5C3A6600" w:rsidR="00457DB6" w:rsidRPr="00394D9A" w:rsidRDefault="00457DB6" w:rsidP="00187D17">
      <w:pPr>
        <w:widowControl w:val="0"/>
        <w:rPr>
          <w:szCs w:val="22"/>
          <w:lang w:val="sr-Latn-RS"/>
        </w:rPr>
      </w:pPr>
      <w:r w:rsidRPr="00394D9A">
        <w:rPr>
          <w:szCs w:val="22"/>
          <w:lang w:val="sr-Latn-RS"/>
        </w:rPr>
        <w:t xml:space="preserve">Klinička studija faze II ispitivala je dabigatraneteksilat i varfarin kod ukupno 252 pacijenata </w:t>
      </w:r>
      <w:r w:rsidR="00826E8C" w:rsidRPr="00394D9A">
        <w:rPr>
          <w:szCs w:val="22"/>
          <w:lang w:val="sr-Latn-RS"/>
        </w:rPr>
        <w:t xml:space="preserve">sa </w:t>
      </w:r>
      <w:r w:rsidRPr="00394D9A">
        <w:rPr>
          <w:szCs w:val="22"/>
          <w:lang w:val="sr-Latn-RS"/>
        </w:rPr>
        <w:t>nedavno ugrađenim mehaničkim srčanim zaliscima (tj. tokom trenutne hospitalizacije) i kod pacijenata kojima su mehanički srčani zalisci ugrađeni pr</w:t>
      </w:r>
      <w:r w:rsidR="004C2BA7" w:rsidRPr="00394D9A">
        <w:rPr>
          <w:szCs w:val="22"/>
          <w:lang w:val="sr-Latn-RS"/>
        </w:rPr>
        <w:t>ij</w:t>
      </w:r>
      <w:r w:rsidRPr="00394D9A">
        <w:rPr>
          <w:szCs w:val="22"/>
          <w:lang w:val="sr-Latn-RS"/>
        </w:rPr>
        <w:t>e više od tri m</w:t>
      </w:r>
      <w:r w:rsidR="00E46617" w:rsidRPr="00394D9A">
        <w:rPr>
          <w:szCs w:val="22"/>
          <w:lang w:val="sr-Latn-RS"/>
        </w:rPr>
        <w:t>j</w:t>
      </w:r>
      <w:r w:rsidRPr="00394D9A">
        <w:rPr>
          <w:szCs w:val="22"/>
          <w:lang w:val="sr-Latn-RS"/>
        </w:rPr>
        <w:t>eseca. Više tromboembolijskih događaja (uglavnom  moždanih udara i simptomatske/asimptomatske tromboze v</w:t>
      </w:r>
      <w:r w:rsidR="00E46617" w:rsidRPr="00394D9A">
        <w:rPr>
          <w:szCs w:val="22"/>
          <w:lang w:val="sr-Latn-RS"/>
        </w:rPr>
        <w:t>j</w:t>
      </w:r>
      <w:r w:rsidRPr="00394D9A">
        <w:rPr>
          <w:szCs w:val="22"/>
          <w:lang w:val="sr-Latn-RS"/>
        </w:rPr>
        <w:t xml:space="preserve">eštačkog zaliska) i više događaja krvarenja uočeno je </w:t>
      </w:r>
      <w:r w:rsidR="00826E8C" w:rsidRPr="00394D9A">
        <w:rPr>
          <w:szCs w:val="22"/>
          <w:lang w:val="sr-Latn-RS"/>
        </w:rPr>
        <w:t xml:space="preserve">sa </w:t>
      </w:r>
      <w:r w:rsidRPr="00394D9A">
        <w:rPr>
          <w:szCs w:val="22"/>
          <w:lang w:val="sr-Latn-RS"/>
        </w:rPr>
        <w:t>dabigatraneteksilatom nego sa varfarinom. Kod pacijenata u ranoj postoperativnoj fazi, veliko krvarenje se uglavnom manifestovalo kao hemoragijski perikardijalni izlivi, naročito kod pacijenata koji su započeli terapiju dabigatraneteksilatom rano (npr. trećeg dana) nakon ugrađivanja srčanog zaliska</w:t>
      </w:r>
      <w:r w:rsidR="004D22DA" w:rsidRPr="00394D9A">
        <w:rPr>
          <w:szCs w:val="22"/>
          <w:lang w:val="sr-Latn-RS"/>
        </w:rPr>
        <w:t>vidjeti</w:t>
      </w:r>
      <w:r w:rsidRPr="00394D9A">
        <w:rPr>
          <w:szCs w:val="22"/>
          <w:lang w:val="sr-Latn-RS"/>
        </w:rPr>
        <w:t xml:space="preserve"> </w:t>
      </w:r>
      <w:r w:rsidR="00D7145C" w:rsidRPr="00394D9A">
        <w:rPr>
          <w:szCs w:val="22"/>
          <w:lang w:val="sr-Latn-RS"/>
        </w:rPr>
        <w:t>dio</w:t>
      </w:r>
      <w:r w:rsidRPr="00394D9A">
        <w:rPr>
          <w:szCs w:val="22"/>
          <w:lang w:val="sr-Latn-RS"/>
        </w:rPr>
        <w:t xml:space="preserve"> 4.3).</w:t>
      </w:r>
    </w:p>
    <w:p w14:paraId="625ECB51" w14:textId="77777777" w:rsidR="00457DB6" w:rsidRPr="00394D9A" w:rsidRDefault="00457DB6" w:rsidP="00187D17">
      <w:pPr>
        <w:widowControl w:val="0"/>
        <w:rPr>
          <w:szCs w:val="22"/>
          <w:lang w:val="sr-Latn-RS"/>
        </w:rPr>
      </w:pPr>
    </w:p>
    <w:p w14:paraId="56EA6074" w14:textId="69AABD16" w:rsidR="00457DB6" w:rsidRPr="00394D9A" w:rsidRDefault="00457DB6" w:rsidP="00187D17">
      <w:pPr>
        <w:widowControl w:val="0"/>
        <w:rPr>
          <w:szCs w:val="22"/>
          <w:u w:val="single"/>
          <w:lang w:val="sr-Latn-RS"/>
        </w:rPr>
      </w:pPr>
      <w:r w:rsidRPr="00394D9A">
        <w:rPr>
          <w:szCs w:val="22"/>
          <w:u w:val="single"/>
          <w:lang w:val="sr-Latn-RS"/>
        </w:rPr>
        <w:t>Pedijatrijska populacija:</w:t>
      </w:r>
    </w:p>
    <w:p w14:paraId="5624ECF4" w14:textId="77777777" w:rsidR="00457DB6" w:rsidRPr="00394D9A" w:rsidRDefault="00457DB6" w:rsidP="00187D17">
      <w:pPr>
        <w:widowControl w:val="0"/>
        <w:rPr>
          <w:szCs w:val="22"/>
          <w:u w:val="single"/>
          <w:lang w:val="sr-Latn-RS"/>
        </w:rPr>
      </w:pPr>
    </w:p>
    <w:p w14:paraId="77FC92A3" w14:textId="77777777" w:rsidR="009A106B" w:rsidRPr="00394D9A" w:rsidRDefault="009A106B" w:rsidP="00187D17">
      <w:pPr>
        <w:widowControl w:val="0"/>
        <w:rPr>
          <w:i/>
          <w:szCs w:val="22"/>
          <w:u w:val="single"/>
          <w:lang w:val="sr-Latn-RS"/>
        </w:rPr>
      </w:pPr>
      <w:r w:rsidRPr="00394D9A">
        <w:rPr>
          <w:i/>
          <w:szCs w:val="22"/>
          <w:u w:val="single"/>
          <w:lang w:val="sr-Latn-RS"/>
        </w:rPr>
        <w:t>Prevencija moždanog udara i sistemske embolije kod odraslih pacijenata sa NVAF sa jednim ili više faktora rizika</w:t>
      </w:r>
    </w:p>
    <w:p w14:paraId="55939570" w14:textId="77777777" w:rsidR="009A106B" w:rsidRPr="00394D9A" w:rsidRDefault="009A106B" w:rsidP="00187D17">
      <w:pPr>
        <w:widowControl w:val="0"/>
        <w:rPr>
          <w:szCs w:val="22"/>
          <w:u w:val="single"/>
          <w:lang w:val="sr-Latn-RS"/>
        </w:rPr>
      </w:pPr>
    </w:p>
    <w:p w14:paraId="152897D8" w14:textId="05025E4F" w:rsidR="0022693A" w:rsidRPr="00394D9A" w:rsidRDefault="0022693A" w:rsidP="00187D17">
      <w:pPr>
        <w:widowControl w:val="0"/>
        <w:rPr>
          <w:szCs w:val="22"/>
          <w:lang w:val="sr-Latn-RS"/>
        </w:rPr>
      </w:pPr>
      <w:r w:rsidRPr="00394D9A">
        <w:rPr>
          <w:szCs w:val="22"/>
          <w:lang w:val="sr-Latn-RS"/>
        </w:rPr>
        <w:t>Evropska Agencija za l</w:t>
      </w:r>
      <w:r w:rsidR="004C2BA7" w:rsidRPr="00394D9A">
        <w:rPr>
          <w:szCs w:val="22"/>
          <w:lang w:val="sr-Latn-RS"/>
        </w:rPr>
        <w:t>j</w:t>
      </w:r>
      <w:r w:rsidRPr="00394D9A">
        <w:rPr>
          <w:szCs w:val="22"/>
          <w:lang w:val="sr-Latn-RS"/>
        </w:rPr>
        <w:t>ekove je odustala od obaveze da joj se podnesu rezultati studija referentnog lijeka koji sadrži dabigatraneteksilat u svim podgrupama pedijatrijske populacije za indikaciju prevencije moždanog udara i sistemske embolije kod pacijenata sa NVAF (vid</w:t>
      </w:r>
      <w:r w:rsidR="004C2BA7" w:rsidRPr="00394D9A">
        <w:rPr>
          <w:szCs w:val="22"/>
          <w:lang w:val="sr-Latn-RS"/>
        </w:rPr>
        <w:t>j</w:t>
      </w:r>
      <w:r w:rsidRPr="00394D9A">
        <w:rPr>
          <w:szCs w:val="22"/>
          <w:lang w:val="sr-Latn-RS"/>
        </w:rPr>
        <w:t xml:space="preserve">eti </w:t>
      </w:r>
      <w:r w:rsidR="003A2DDC" w:rsidRPr="00394D9A">
        <w:rPr>
          <w:szCs w:val="22"/>
          <w:lang w:val="sr-Latn-RS"/>
        </w:rPr>
        <w:t>dio</w:t>
      </w:r>
      <w:r w:rsidRPr="00394D9A">
        <w:rPr>
          <w:szCs w:val="22"/>
          <w:lang w:val="sr-Latn-RS"/>
        </w:rPr>
        <w:t xml:space="preserve"> 4.2 za informacije o pedijatrijskoj prim</w:t>
      </w:r>
      <w:r w:rsidR="004C2BA7" w:rsidRPr="00394D9A">
        <w:rPr>
          <w:szCs w:val="22"/>
          <w:lang w:val="sr-Latn-RS"/>
        </w:rPr>
        <w:t>j</w:t>
      </w:r>
      <w:r w:rsidRPr="00394D9A">
        <w:rPr>
          <w:szCs w:val="22"/>
          <w:lang w:val="sr-Latn-RS"/>
        </w:rPr>
        <w:t>eni).</w:t>
      </w:r>
    </w:p>
    <w:p w14:paraId="1A69638F" w14:textId="77777777" w:rsidR="00454778" w:rsidRPr="00394D9A" w:rsidRDefault="00454778" w:rsidP="00187D17">
      <w:pPr>
        <w:widowControl w:val="0"/>
        <w:rPr>
          <w:szCs w:val="22"/>
          <w:lang w:val="sr-Latn-RS"/>
        </w:rPr>
      </w:pPr>
    </w:p>
    <w:p w14:paraId="706841EE" w14:textId="498852E5" w:rsidR="004F3CA0" w:rsidRPr="00394D9A" w:rsidRDefault="004F3CA0" w:rsidP="00187D17">
      <w:pPr>
        <w:widowControl w:val="0"/>
        <w:rPr>
          <w:i/>
          <w:szCs w:val="22"/>
          <w:lang w:val="sr-Latn-RS"/>
        </w:rPr>
      </w:pPr>
      <w:r w:rsidRPr="00394D9A">
        <w:rPr>
          <w:i/>
          <w:szCs w:val="22"/>
          <w:u w:val="single"/>
          <w:lang w:val="sr-Latn-RS"/>
        </w:rPr>
        <w:t>Terapija VTE i prevencija rekurentne VTE kod pedijatrijskih pacijenata</w:t>
      </w:r>
    </w:p>
    <w:p w14:paraId="1839BA05" w14:textId="77777777" w:rsidR="00364F08" w:rsidRPr="00394D9A" w:rsidRDefault="00364F08" w:rsidP="00187D17">
      <w:pPr>
        <w:widowControl w:val="0"/>
        <w:rPr>
          <w:szCs w:val="22"/>
          <w:lang w:val="sr-Latn-RS"/>
        </w:rPr>
      </w:pPr>
    </w:p>
    <w:p w14:paraId="0F28521D" w14:textId="4EF2D73C" w:rsidR="00842F0B" w:rsidRPr="00394D9A" w:rsidRDefault="00842F0B" w:rsidP="00187D17">
      <w:pPr>
        <w:widowControl w:val="0"/>
        <w:rPr>
          <w:szCs w:val="22"/>
          <w:lang w:val="sr-Latn-RS"/>
        </w:rPr>
      </w:pPr>
      <w:r w:rsidRPr="00394D9A">
        <w:rPr>
          <w:szCs w:val="22"/>
          <w:lang w:val="sr-Latn-RS"/>
        </w:rPr>
        <w:t>Studija DIVERSITY bila je sprovedena kako bi se pokazala efikasnost i bezb</w:t>
      </w:r>
      <w:r w:rsidR="004C2BA7" w:rsidRPr="00394D9A">
        <w:rPr>
          <w:szCs w:val="22"/>
          <w:lang w:val="sr-Latn-RS"/>
        </w:rPr>
        <w:t>j</w:t>
      </w:r>
      <w:r w:rsidRPr="00394D9A">
        <w:rPr>
          <w:szCs w:val="22"/>
          <w:lang w:val="sr-Latn-RS"/>
        </w:rPr>
        <w:t xml:space="preserve">ednost dabigatraneteksilata u poređenju sa standardnom terapijom (eng. </w:t>
      </w:r>
      <w:r w:rsidRPr="00394D9A">
        <w:rPr>
          <w:i/>
          <w:szCs w:val="22"/>
          <w:lang w:val="sr-Latn-RS"/>
        </w:rPr>
        <w:t>standard of case</w:t>
      </w:r>
      <w:r w:rsidRPr="00394D9A">
        <w:rPr>
          <w:szCs w:val="22"/>
          <w:lang w:val="sr-Latn-RS"/>
        </w:rPr>
        <w:t xml:space="preserve"> SOC) za VTE kod pedijatrijskih pacijenata od njihovog rođenja do manje od 18 godina starosti. Studija je bila formulisana kao otvorena, randomizovana studija neinferiornosti sa paralelnim grupama. Uključeni pacijenti bili su randomizovani prema šemi 2:1 u jednu od grupa sa formulacijom dabigatraneteksilata u skladu sa njihovom starosnom dobi (kapsule, obložene granule ili oralni rastvor) (doze prilagođene starosnoj dobi i t</w:t>
      </w:r>
      <w:r w:rsidR="00557B09" w:rsidRPr="00394D9A">
        <w:rPr>
          <w:szCs w:val="22"/>
          <w:lang w:val="sr-Latn-RS"/>
        </w:rPr>
        <w:t>j</w:t>
      </w:r>
      <w:r w:rsidRPr="00394D9A">
        <w:rPr>
          <w:szCs w:val="22"/>
          <w:lang w:val="sr-Latn-RS"/>
        </w:rPr>
        <w:t>elesnoj masi) ili u grupu sa standardnom terapijom koja se sastojala od niskomolekularnog heparina (LMWH) ili antagoniste vitamina K (VKA) ili l</w:t>
      </w:r>
      <w:r w:rsidR="00557B09" w:rsidRPr="00394D9A">
        <w:rPr>
          <w:szCs w:val="22"/>
          <w:lang w:val="sr-Latn-RS"/>
        </w:rPr>
        <w:t>ij</w:t>
      </w:r>
      <w:r w:rsidRPr="00394D9A">
        <w:rPr>
          <w:szCs w:val="22"/>
          <w:lang w:val="sr-Latn-RS"/>
        </w:rPr>
        <w:t>eka fondaparinuks (1 pacijent starosne dobi od 12 godina). Primarni cilj praćenja bio je kompozitni cilj praćenja kod pacijenata sa potpunom razgradnjom tromba, izostankom rekurentne VTE i izostankom smrtnog ishoda povezanih sa VTE. Kriterijumi za isključenje bili su aktivni meningitis, encefalitis i intrakranijalni apsces.</w:t>
      </w:r>
    </w:p>
    <w:p w14:paraId="18E2E8F8" w14:textId="4767E571" w:rsidR="00842F0B" w:rsidRPr="00394D9A" w:rsidRDefault="00842F0B" w:rsidP="00187D17">
      <w:pPr>
        <w:widowControl w:val="0"/>
        <w:rPr>
          <w:szCs w:val="22"/>
          <w:lang w:val="sr-Latn-RS"/>
        </w:rPr>
      </w:pPr>
      <w:r w:rsidRPr="00394D9A">
        <w:rPr>
          <w:szCs w:val="22"/>
          <w:lang w:val="sr-Latn-RS"/>
        </w:rPr>
        <w:t>Ukupno je bilo randomizovano 267 pacijenata. Od toga je 176 pacijenata bilo na terapiji dabigatraneteksilatom, a 90 pacijenata su primali standardnu terapiju (1 randomizovani pacijent nije bio na terapiji). 168 pacijenata bilo je starosne dobi od 12 do manje od 18 godina, 64 pacijenta 2 do manje od 12 godina i 35 pacijenata bilo je mlađe od 2 godine.</w:t>
      </w:r>
    </w:p>
    <w:p w14:paraId="54B204F5" w14:textId="77D9F8EA" w:rsidR="00842F0B" w:rsidRPr="00394D9A" w:rsidRDefault="00842F0B" w:rsidP="00187D17">
      <w:pPr>
        <w:widowControl w:val="0"/>
        <w:rPr>
          <w:szCs w:val="22"/>
          <w:lang w:val="sr-Latn-RS"/>
        </w:rPr>
      </w:pPr>
      <w:r w:rsidRPr="00394D9A">
        <w:rPr>
          <w:szCs w:val="22"/>
          <w:lang w:val="sr-Latn-RS"/>
        </w:rPr>
        <w:t>Od 267 randomizovanih pacijenata, 81 pacijent (45,8 %) u grupi sa dabigatraneteksilatom i 38 pacijenata (42,2 %) u grupi sa standardnom terapijom, ispunjavalo je kriterijume kompozitnog cilja (potpuna razgradnja tromba, izostanak rekurentne VTE i izostanak smrtnog ishoda povezane sa VTE).</w:t>
      </w:r>
      <w:r w:rsidR="004D22DA" w:rsidRPr="00394D9A">
        <w:rPr>
          <w:szCs w:val="22"/>
          <w:lang w:val="sr-Latn-RS"/>
        </w:rPr>
        <w:t xml:space="preserve"> </w:t>
      </w:r>
      <w:r w:rsidRPr="00394D9A">
        <w:rPr>
          <w:szCs w:val="22"/>
          <w:lang w:val="sr-Latn-RS"/>
        </w:rPr>
        <w:t>Odgovarajući nivo razlike pokazao je neinferiornost dabigatraneteksilata u odnosu na standardnu terapiju. Konzistentni rezultati takođe su, generalno, bili uočeni u svim podgrupama: nije bilo značajnih razlika u efektu terapije za podgrupe formirane prema starosnoj dobi, polu, regiji i prisutnosti određenih faktora rizika. Za 3 različite starosne stratifikacije, ud</w:t>
      </w:r>
      <w:r w:rsidR="00557B09" w:rsidRPr="00394D9A">
        <w:rPr>
          <w:szCs w:val="22"/>
          <w:lang w:val="sr-Latn-RS"/>
        </w:rPr>
        <w:t>j</w:t>
      </w:r>
      <w:r w:rsidRPr="00394D9A">
        <w:rPr>
          <w:szCs w:val="22"/>
          <w:lang w:val="sr-Latn-RS"/>
        </w:rPr>
        <w:t>eli pacijenata koji su ispunjavali primarni parametar efikasnosti bili su u grupi dabigatraneteksilata i u grupi sa standardnom terapijom u odnosu 13/22(59,1 %) i 7/13 (53,8 %) za pacijente od rođenja do &lt; 2 godine, 21/43 (48,8 %) i 12/21 (57,1 %) za pacijente starosne dobi od 2 do &lt; 12 godina, i 47/112 (42,0 %) i 19/56 (33,9 %) za pacijente starosne dobi od 12 &lt; 18 godina.</w:t>
      </w:r>
    </w:p>
    <w:p w14:paraId="42A0691D" w14:textId="7AE68EBE" w:rsidR="00842F0B" w:rsidRPr="00394D9A" w:rsidRDefault="00842F0B" w:rsidP="00187D17">
      <w:pPr>
        <w:widowControl w:val="0"/>
        <w:rPr>
          <w:szCs w:val="22"/>
          <w:lang w:val="sr-Latn-RS"/>
        </w:rPr>
      </w:pPr>
      <w:r w:rsidRPr="00394D9A">
        <w:rPr>
          <w:szCs w:val="22"/>
          <w:lang w:val="sr-Latn-RS"/>
        </w:rPr>
        <w:t>Pojava obilnih krvarenja bila je prijavljena za 4 pacijenta (2,3 %) u grupi sa dabigatraneteksilatom i</w:t>
      </w:r>
      <w:r w:rsidR="004D22DA" w:rsidRPr="00394D9A">
        <w:rPr>
          <w:szCs w:val="22"/>
          <w:lang w:val="sr-Latn-RS"/>
        </w:rPr>
        <w:t xml:space="preserve"> </w:t>
      </w:r>
      <w:r w:rsidRPr="00394D9A">
        <w:rPr>
          <w:szCs w:val="22"/>
          <w:lang w:val="sr-Latn-RS"/>
        </w:rPr>
        <w:t xml:space="preserve">2 </w:t>
      </w:r>
      <w:r w:rsidRPr="00394D9A">
        <w:rPr>
          <w:szCs w:val="22"/>
          <w:lang w:val="sr-Latn-RS"/>
        </w:rPr>
        <w:lastRenderedPageBreak/>
        <w:t>pacijenta (2,2 %) u grupi sa standardnom terapijom. Nije bilo statistički značajne razlike u vremenu do pojave prvog događaja obilnog krvarenja. Trideset i osam pacijenata (21,6 %) u grupi sa dabigatraneteksilat i 22 pacijenta (24,4 %) u grupi sa standardnom terapijom imali su pojavu nekog događaja krvarenja, od kojih je većina klasifikovana kao ma</w:t>
      </w:r>
      <w:r w:rsidR="004D22DA" w:rsidRPr="00394D9A">
        <w:rPr>
          <w:szCs w:val="22"/>
          <w:lang w:val="sr-Latn-RS"/>
        </w:rPr>
        <w:t>nje</w:t>
      </w:r>
      <w:r w:rsidRPr="00394D9A">
        <w:rPr>
          <w:szCs w:val="22"/>
          <w:lang w:val="sr-Latn-RS"/>
        </w:rPr>
        <w:t xml:space="preserve"> krvarenje. </w:t>
      </w:r>
      <w:r w:rsidR="004D22DA" w:rsidRPr="00394D9A">
        <w:rPr>
          <w:szCs w:val="22"/>
          <w:lang w:val="sr-Latn-RS"/>
        </w:rPr>
        <w:t xml:space="preserve">Kombinovani </w:t>
      </w:r>
      <w:r w:rsidRPr="00394D9A">
        <w:rPr>
          <w:szCs w:val="22"/>
          <w:lang w:val="sr-Latn-RS"/>
        </w:rPr>
        <w:t>parametar praćenja pojave događaja obilnog krvarenja ili klinički značajnog ne-obilnog krvarenja (tokom terapije) bila je prijavljena za 6 (3,4 %) pacijenata u grupi sa dabigatraneteksilatom i 3 (3,3 %) pacijenta u grupi sa standardnom terapijom.</w:t>
      </w:r>
    </w:p>
    <w:p w14:paraId="5BDD2F35" w14:textId="77777777" w:rsidR="008B69AC" w:rsidRPr="00394D9A" w:rsidRDefault="008B69AC" w:rsidP="00187D17">
      <w:pPr>
        <w:widowControl w:val="0"/>
        <w:rPr>
          <w:szCs w:val="22"/>
          <w:lang w:val="sr-Latn-RS"/>
        </w:rPr>
      </w:pPr>
    </w:p>
    <w:p w14:paraId="1EED459E" w14:textId="4A3BA4F6" w:rsidR="00842F0B" w:rsidRPr="00394D9A" w:rsidRDefault="00842F0B" w:rsidP="00187D17">
      <w:pPr>
        <w:widowControl w:val="0"/>
        <w:rPr>
          <w:szCs w:val="22"/>
          <w:lang w:val="sr-Latn-RS"/>
        </w:rPr>
      </w:pPr>
      <w:r w:rsidRPr="00394D9A">
        <w:rPr>
          <w:szCs w:val="22"/>
          <w:lang w:val="sr-Latn-RS"/>
        </w:rPr>
        <w:t>Otvoreno, multicentrično ispitivanje faze III sa jednom grupom prospektivne kohorte (1160.108) sprovedeno je radi proc</w:t>
      </w:r>
      <w:r w:rsidR="00557B09" w:rsidRPr="00394D9A">
        <w:rPr>
          <w:szCs w:val="22"/>
          <w:lang w:val="sr-Latn-RS"/>
        </w:rPr>
        <w:t>j</w:t>
      </w:r>
      <w:r w:rsidRPr="00394D9A">
        <w:rPr>
          <w:szCs w:val="22"/>
          <w:lang w:val="sr-Latn-RS"/>
        </w:rPr>
        <w:t>ene bezb</w:t>
      </w:r>
      <w:r w:rsidR="00557B09" w:rsidRPr="00394D9A">
        <w:rPr>
          <w:szCs w:val="22"/>
          <w:lang w:val="sr-Latn-RS"/>
        </w:rPr>
        <w:t>j</w:t>
      </w:r>
      <w:r w:rsidRPr="00394D9A">
        <w:rPr>
          <w:szCs w:val="22"/>
          <w:lang w:val="sr-Latn-RS"/>
        </w:rPr>
        <w:t>ednosti prim</w:t>
      </w:r>
      <w:r w:rsidR="00557B09" w:rsidRPr="00394D9A">
        <w:rPr>
          <w:szCs w:val="22"/>
          <w:lang w:val="sr-Latn-RS"/>
        </w:rPr>
        <w:t>j</w:t>
      </w:r>
      <w:r w:rsidRPr="00394D9A">
        <w:rPr>
          <w:szCs w:val="22"/>
          <w:lang w:val="sr-Latn-RS"/>
        </w:rPr>
        <w:t>ene dabigatraneteksilat za prevenciju rekurentnog VTE kod pedijatrijskih pacijenata od njihovog rođenja do uzrasta mlađi od 18 godina. Pacijentima kojima je bila potrebna dalja antikoagulacija zbog prisutnosti kliničkog faktora rizika nakon završetka početne terapije za potvrđenu VTE (u trajanju od najmanje 3 m</w:t>
      </w:r>
      <w:r w:rsidR="00557B09" w:rsidRPr="00394D9A">
        <w:rPr>
          <w:szCs w:val="22"/>
          <w:lang w:val="sr-Latn-RS"/>
        </w:rPr>
        <w:t>j</w:t>
      </w:r>
      <w:r w:rsidRPr="00394D9A">
        <w:rPr>
          <w:szCs w:val="22"/>
          <w:lang w:val="sr-Latn-RS"/>
        </w:rPr>
        <w:t>eseca) ili nakon završetka studije DIVERSITY bilo je dozvoljeno da budu uključeni u studiju. Prihvatljivi pacijenti primali su dabigatraneteksilat u formulaciji prema njihovoj starosnoj dobi (kapsule, obložene granule ili oralni rastvor) i u dozi prilagođenoj njihovoj dobi i t</w:t>
      </w:r>
      <w:r w:rsidR="00557B09" w:rsidRPr="00394D9A">
        <w:rPr>
          <w:szCs w:val="22"/>
          <w:lang w:val="sr-Latn-RS"/>
        </w:rPr>
        <w:t>j</w:t>
      </w:r>
      <w:r w:rsidRPr="00394D9A">
        <w:rPr>
          <w:szCs w:val="22"/>
          <w:lang w:val="sr-Latn-RS"/>
        </w:rPr>
        <w:t>elesnoj masi sve dok ni</w:t>
      </w:r>
      <w:r w:rsidR="00157169" w:rsidRPr="00394D9A">
        <w:rPr>
          <w:szCs w:val="22"/>
          <w:lang w:val="sr-Latn-RS"/>
        </w:rPr>
        <w:t>je</w:t>
      </w:r>
      <w:r w:rsidRPr="00394D9A">
        <w:rPr>
          <w:szCs w:val="22"/>
          <w:lang w:val="sr-Latn-RS"/>
        </w:rPr>
        <w:t>su nestali klinički faktori rizika ili u trajanju od maksimalno 12 m</w:t>
      </w:r>
      <w:r w:rsidR="00557B09" w:rsidRPr="00394D9A">
        <w:rPr>
          <w:szCs w:val="22"/>
          <w:lang w:val="sr-Latn-RS"/>
        </w:rPr>
        <w:t>j</w:t>
      </w:r>
      <w:r w:rsidRPr="00394D9A">
        <w:rPr>
          <w:szCs w:val="22"/>
          <w:lang w:val="sr-Latn-RS"/>
        </w:rPr>
        <w:t>eseci.</w:t>
      </w:r>
    </w:p>
    <w:p w14:paraId="511FFF29" w14:textId="490C14FD" w:rsidR="00842F0B" w:rsidRPr="00394D9A" w:rsidRDefault="00842F0B" w:rsidP="00187D17">
      <w:pPr>
        <w:widowControl w:val="0"/>
        <w:rPr>
          <w:szCs w:val="22"/>
          <w:lang w:val="sr-Latn-RS"/>
        </w:rPr>
      </w:pPr>
      <w:r w:rsidRPr="00394D9A">
        <w:rPr>
          <w:szCs w:val="22"/>
          <w:lang w:val="sr-Latn-RS"/>
        </w:rPr>
        <w:t>Primarni parametar efikasnosti studije uključivao je ponovnu pojavu VTE, događaje obilnog i ma</w:t>
      </w:r>
      <w:r w:rsidR="004D22DA" w:rsidRPr="00394D9A">
        <w:rPr>
          <w:szCs w:val="22"/>
          <w:lang w:val="sr-Latn-RS"/>
        </w:rPr>
        <w:t>njeg</w:t>
      </w:r>
      <w:r w:rsidRPr="00394D9A">
        <w:rPr>
          <w:szCs w:val="22"/>
          <w:lang w:val="sr-Latn-RS"/>
        </w:rPr>
        <w:t xml:space="preserve"> krvarenja te smrtnost (ukupnu i povezanu sa trombotskim ili tromboembolijskim događajima) u 6. i</w:t>
      </w:r>
      <w:r w:rsidR="00F77DC2" w:rsidRPr="00394D9A">
        <w:rPr>
          <w:szCs w:val="22"/>
          <w:lang w:val="sr-Latn-RS"/>
        </w:rPr>
        <w:t xml:space="preserve"> </w:t>
      </w:r>
      <w:r w:rsidRPr="00394D9A">
        <w:rPr>
          <w:szCs w:val="22"/>
          <w:lang w:val="sr-Latn-RS"/>
        </w:rPr>
        <w:t>12. m</w:t>
      </w:r>
      <w:r w:rsidR="00557B09" w:rsidRPr="00394D9A">
        <w:rPr>
          <w:szCs w:val="22"/>
          <w:lang w:val="sr-Latn-RS"/>
        </w:rPr>
        <w:t>j</w:t>
      </w:r>
      <w:r w:rsidRPr="00394D9A">
        <w:rPr>
          <w:szCs w:val="22"/>
          <w:lang w:val="sr-Latn-RS"/>
        </w:rPr>
        <w:t>esecu. O događajima ishoda odlučivala je nezavisna sl</w:t>
      </w:r>
      <w:r w:rsidR="00557B09" w:rsidRPr="00394D9A">
        <w:rPr>
          <w:szCs w:val="22"/>
          <w:lang w:val="sr-Latn-RS"/>
        </w:rPr>
        <w:t>ij</w:t>
      </w:r>
      <w:r w:rsidRPr="00394D9A">
        <w:rPr>
          <w:szCs w:val="22"/>
          <w:lang w:val="sr-Latn-RS"/>
        </w:rPr>
        <w:t>epa komisija za proc</w:t>
      </w:r>
      <w:r w:rsidR="00557B09" w:rsidRPr="00394D9A">
        <w:rPr>
          <w:szCs w:val="22"/>
          <w:lang w:val="sr-Latn-RS"/>
        </w:rPr>
        <w:t>j</w:t>
      </w:r>
      <w:r w:rsidRPr="00394D9A">
        <w:rPr>
          <w:szCs w:val="22"/>
          <w:lang w:val="sr-Latn-RS"/>
        </w:rPr>
        <w:t>enu ishoda.</w:t>
      </w:r>
    </w:p>
    <w:p w14:paraId="49675D9A" w14:textId="4BC306DD" w:rsidR="00CE09F3" w:rsidRPr="00394D9A" w:rsidRDefault="00842F0B" w:rsidP="00187D17">
      <w:pPr>
        <w:widowControl w:val="0"/>
        <w:rPr>
          <w:szCs w:val="22"/>
          <w:lang w:val="sr-Latn-RS"/>
        </w:rPr>
      </w:pPr>
      <w:r w:rsidRPr="00394D9A">
        <w:rPr>
          <w:szCs w:val="22"/>
          <w:lang w:val="sr-Latn-RS"/>
        </w:rPr>
        <w:t>Ukupno je 214 pacijenata uključeno u studiju; od toga 162 pacijenta u starosnoj stratifikaciji 1 (u starosnoj dobi od 12 do manje od 18 godina), 43 pacijenta u starosnoj stratifikaciji 2 (u starosnoj dobi od 2 do manje od 12 godina) i 9 pacijenata u starosnoj stratifikaciji 3 (u starosnoj dobi od rođenja do manje od 2 godine). Tokom perioda terapije, 3 pacijenta (1,4 %) imala su potvrđenu pojavu rekurentnog VTE-a unutar prvih 12 m</w:t>
      </w:r>
      <w:r w:rsidR="00557B09" w:rsidRPr="00394D9A">
        <w:rPr>
          <w:szCs w:val="22"/>
          <w:lang w:val="sr-Latn-RS"/>
        </w:rPr>
        <w:t>j</w:t>
      </w:r>
      <w:r w:rsidRPr="00394D9A">
        <w:rPr>
          <w:szCs w:val="22"/>
          <w:lang w:val="sr-Latn-RS"/>
        </w:rPr>
        <w:t>eseci nakon početka terapije. Potvrđena pojava krvarenja tokom perioda terapije bila je prijavljena je za 48 pacijenata (22,5 %) unutar prvih 12 m</w:t>
      </w:r>
      <w:r w:rsidR="00557B09" w:rsidRPr="00394D9A">
        <w:rPr>
          <w:szCs w:val="22"/>
          <w:lang w:val="sr-Latn-RS"/>
        </w:rPr>
        <w:t>j</w:t>
      </w:r>
      <w:r w:rsidRPr="00394D9A">
        <w:rPr>
          <w:szCs w:val="22"/>
          <w:lang w:val="sr-Latn-RS"/>
        </w:rPr>
        <w:t>eseci. Većina događaja bili su mala krvarenja. Kod 3 pacijenta (1,4 %) javila se potvrđena pojava događaja obilnog krvarenja unutar prvih 12 m</w:t>
      </w:r>
      <w:r w:rsidR="00557B09" w:rsidRPr="00394D9A">
        <w:rPr>
          <w:szCs w:val="22"/>
          <w:lang w:val="sr-Latn-RS"/>
        </w:rPr>
        <w:t>j</w:t>
      </w:r>
      <w:r w:rsidRPr="00394D9A">
        <w:rPr>
          <w:szCs w:val="22"/>
          <w:lang w:val="sr-Latn-RS"/>
        </w:rPr>
        <w:t>eseci. Kod 3 pacijenta (1,4 %) prijavljena je potvrđena pojava klinički relevantnog ne-obilnog krvarenja unutar prvih 12 m</w:t>
      </w:r>
      <w:r w:rsidR="00557B09" w:rsidRPr="00394D9A">
        <w:rPr>
          <w:szCs w:val="22"/>
          <w:lang w:val="sr-Latn-RS"/>
        </w:rPr>
        <w:t>j</w:t>
      </w:r>
      <w:r w:rsidRPr="00394D9A">
        <w:rPr>
          <w:szCs w:val="22"/>
          <w:lang w:val="sr-Latn-RS"/>
        </w:rPr>
        <w:t>eseci. Tokom terapije nije bilo smrtnih slučajeva. Tokom perioda terapije, kod 3 pacijenta (1,4 %) razvio se posttrombotski sindrom (PTS) ili pogoršanje PTS-a unutar prvih 12 m</w:t>
      </w:r>
      <w:r w:rsidR="00557B09" w:rsidRPr="00394D9A">
        <w:rPr>
          <w:szCs w:val="22"/>
          <w:lang w:val="sr-Latn-RS"/>
        </w:rPr>
        <w:t>j</w:t>
      </w:r>
      <w:r w:rsidRPr="00394D9A">
        <w:rPr>
          <w:szCs w:val="22"/>
          <w:lang w:val="sr-Latn-RS"/>
        </w:rPr>
        <w:t>eseci.</w:t>
      </w:r>
    </w:p>
    <w:p w14:paraId="7A5B0C43" w14:textId="77777777" w:rsidR="00F401BA" w:rsidRPr="00394D9A" w:rsidRDefault="00F401BA" w:rsidP="00187D17">
      <w:pPr>
        <w:widowControl w:val="0"/>
        <w:tabs>
          <w:tab w:val="clear" w:pos="284"/>
          <w:tab w:val="left" w:pos="540"/>
          <w:tab w:val="left" w:pos="569"/>
        </w:tabs>
        <w:jc w:val="left"/>
        <w:rPr>
          <w:b/>
          <w:bCs/>
          <w:szCs w:val="22"/>
          <w:lang w:val="sr-Latn-RS"/>
        </w:rPr>
      </w:pPr>
    </w:p>
    <w:p w14:paraId="15300281" w14:textId="59AA6E6C" w:rsidR="00122674" w:rsidRPr="00394D9A" w:rsidRDefault="00122674" w:rsidP="00187D17">
      <w:pPr>
        <w:widowControl w:val="0"/>
        <w:tabs>
          <w:tab w:val="clear" w:pos="284"/>
          <w:tab w:val="left" w:pos="540"/>
          <w:tab w:val="left" w:pos="569"/>
        </w:tabs>
        <w:jc w:val="left"/>
        <w:rPr>
          <w:b/>
          <w:bCs/>
          <w:szCs w:val="22"/>
          <w:lang w:val="sr-Latn-RS"/>
        </w:rPr>
      </w:pPr>
      <w:r w:rsidRPr="00394D9A">
        <w:rPr>
          <w:b/>
          <w:bCs/>
          <w:szCs w:val="22"/>
          <w:lang w:val="sr-Latn-RS"/>
        </w:rPr>
        <w:t xml:space="preserve">5.2. </w:t>
      </w:r>
      <w:r w:rsidRPr="00394D9A">
        <w:rPr>
          <w:b/>
          <w:bCs/>
          <w:szCs w:val="22"/>
          <w:lang w:val="sr-Latn-RS"/>
        </w:rPr>
        <w:tab/>
        <w:t xml:space="preserve">Farmakokinetički podaci </w:t>
      </w:r>
    </w:p>
    <w:p w14:paraId="4B971714" w14:textId="7E5D4542" w:rsidR="00AB0AF7" w:rsidRPr="00394D9A" w:rsidRDefault="00AB0AF7" w:rsidP="00187D17">
      <w:pPr>
        <w:widowControl w:val="0"/>
        <w:rPr>
          <w:b/>
          <w:bCs/>
          <w:szCs w:val="22"/>
          <w:lang w:val="sr-Latn-RS"/>
        </w:rPr>
      </w:pPr>
    </w:p>
    <w:p w14:paraId="18F8D397" w14:textId="6FD6637A" w:rsidR="007C7E72" w:rsidRPr="00394D9A" w:rsidRDefault="007C7E72" w:rsidP="00187D17">
      <w:pPr>
        <w:widowControl w:val="0"/>
        <w:rPr>
          <w:szCs w:val="22"/>
          <w:lang w:val="sr-Latn-RS"/>
        </w:rPr>
      </w:pPr>
      <w:r w:rsidRPr="00394D9A">
        <w:rPr>
          <w:szCs w:val="22"/>
          <w:lang w:val="sr-Latn-RS"/>
        </w:rPr>
        <w:t xml:space="preserve">Nakon oralne </w:t>
      </w:r>
      <w:r w:rsidR="00A639DA" w:rsidRPr="00394D9A">
        <w:rPr>
          <w:szCs w:val="22"/>
          <w:lang w:val="sr-Latn-RS"/>
        </w:rPr>
        <w:t>primjene</w:t>
      </w:r>
      <w:r w:rsidRPr="00394D9A">
        <w:rPr>
          <w:szCs w:val="22"/>
          <w:lang w:val="sr-Latn-RS"/>
        </w:rPr>
        <w:t xml:space="preserve"> </w:t>
      </w:r>
      <w:r w:rsidR="00A639DA" w:rsidRPr="00394D9A">
        <w:rPr>
          <w:szCs w:val="22"/>
          <w:lang w:val="sr-Latn-RS"/>
        </w:rPr>
        <w:t>lijeka</w:t>
      </w:r>
      <w:r w:rsidRPr="00394D9A">
        <w:rPr>
          <w:szCs w:val="22"/>
          <w:lang w:val="sr-Latn-RS"/>
        </w:rPr>
        <w:t xml:space="preserve">, dabigatraneteksilat se brzo i kompletno konvertuje u dabigatran, koji je aktivna forma </w:t>
      </w:r>
      <w:r w:rsidR="00A639DA" w:rsidRPr="00394D9A">
        <w:rPr>
          <w:szCs w:val="22"/>
          <w:lang w:val="sr-Latn-RS"/>
        </w:rPr>
        <w:t>lijeka</w:t>
      </w:r>
      <w:r w:rsidRPr="00394D9A">
        <w:rPr>
          <w:szCs w:val="22"/>
          <w:lang w:val="sr-Latn-RS"/>
        </w:rPr>
        <w:t xml:space="preserve"> u plazmi. Pretvaranje pro</w:t>
      </w:r>
      <w:r w:rsidR="00A639DA" w:rsidRPr="00394D9A">
        <w:rPr>
          <w:szCs w:val="22"/>
          <w:lang w:val="sr-Latn-RS"/>
        </w:rPr>
        <w:t>lijeka</w:t>
      </w:r>
      <w:r w:rsidRPr="00394D9A">
        <w:rPr>
          <w:szCs w:val="22"/>
          <w:lang w:val="sr-Latn-RS"/>
        </w:rPr>
        <w:t xml:space="preserve"> dabigatraneteksilata hidrolizom koja je katalizovana esterazom u aktivni princip dabigatran je predominantno metabolička reakcija. Apsolutna bioraspoloživost dabigatrana nakon oralnog unošenja </w:t>
      </w:r>
      <w:r w:rsidR="00A639DA" w:rsidRPr="00394D9A">
        <w:rPr>
          <w:szCs w:val="22"/>
          <w:lang w:val="sr-Latn-RS"/>
        </w:rPr>
        <w:t>lijeka</w:t>
      </w:r>
      <w:r w:rsidRPr="00394D9A">
        <w:rPr>
          <w:szCs w:val="22"/>
          <w:lang w:val="sr-Latn-RS"/>
        </w:rPr>
        <w:t xml:space="preserve"> dabigatraneteksilata je oko 6,5%.</w:t>
      </w:r>
    </w:p>
    <w:p w14:paraId="3E4DB3E5" w14:textId="61851E63" w:rsidR="007C7E72" w:rsidRPr="00394D9A" w:rsidRDefault="007C7E72" w:rsidP="00187D17">
      <w:pPr>
        <w:widowControl w:val="0"/>
        <w:rPr>
          <w:szCs w:val="22"/>
          <w:lang w:val="sr-Latn-RS"/>
        </w:rPr>
      </w:pPr>
      <w:r w:rsidRPr="00394D9A">
        <w:rPr>
          <w:szCs w:val="22"/>
          <w:lang w:val="sr-Latn-RS"/>
        </w:rPr>
        <w:t xml:space="preserve">Nakon oralne </w:t>
      </w:r>
      <w:r w:rsidR="00A639DA" w:rsidRPr="00394D9A">
        <w:rPr>
          <w:szCs w:val="22"/>
          <w:lang w:val="sr-Latn-RS"/>
        </w:rPr>
        <w:t>primjene</w:t>
      </w:r>
      <w:r w:rsidRPr="00394D9A">
        <w:rPr>
          <w:szCs w:val="22"/>
          <w:lang w:val="sr-Latn-RS"/>
        </w:rPr>
        <w:t xml:space="preserve"> </w:t>
      </w:r>
      <w:r w:rsidR="00A639DA" w:rsidRPr="00394D9A">
        <w:rPr>
          <w:szCs w:val="22"/>
          <w:lang w:val="sr-Latn-RS"/>
        </w:rPr>
        <w:t>lijeka</w:t>
      </w:r>
      <w:r w:rsidRPr="00394D9A">
        <w:rPr>
          <w:szCs w:val="22"/>
          <w:lang w:val="sr-Latn-RS"/>
        </w:rPr>
        <w:t xml:space="preserve"> </w:t>
      </w:r>
      <w:r w:rsidR="00454778" w:rsidRPr="00394D9A">
        <w:rPr>
          <w:szCs w:val="22"/>
          <w:lang w:val="sr-Latn-RS"/>
        </w:rPr>
        <w:t>D</w:t>
      </w:r>
      <w:r w:rsidRPr="00394D9A">
        <w:rPr>
          <w:szCs w:val="22"/>
          <w:lang w:val="sr-Latn-RS"/>
        </w:rPr>
        <w:t xml:space="preserve">abigatran </w:t>
      </w:r>
      <w:r w:rsidR="00454778" w:rsidRPr="00394D9A">
        <w:rPr>
          <w:szCs w:val="22"/>
          <w:lang w:val="sr-Latn-RS"/>
        </w:rPr>
        <w:t xml:space="preserve">SK </w:t>
      </w:r>
      <w:r w:rsidRPr="00394D9A">
        <w:rPr>
          <w:szCs w:val="22"/>
          <w:lang w:val="sr-Latn-RS"/>
        </w:rPr>
        <w:t>kod zdravih dobrovoljaca, farmakokinetički profil dabigatrana u plazmi se karakteriše brzim povećanjem koncentracija u plazmi sa C</w:t>
      </w:r>
      <w:r w:rsidRPr="00394D9A">
        <w:rPr>
          <w:szCs w:val="22"/>
          <w:vertAlign w:val="subscript"/>
          <w:lang w:val="sr-Latn-RS"/>
        </w:rPr>
        <w:t>max</w:t>
      </w:r>
      <w:r w:rsidRPr="00394D9A">
        <w:rPr>
          <w:szCs w:val="22"/>
          <w:lang w:val="sr-Latn-RS"/>
        </w:rPr>
        <w:t xml:space="preserve"> koje se održavaju između 0,5 i 2,0 sata nakon </w:t>
      </w:r>
      <w:r w:rsidR="00A639DA" w:rsidRPr="00394D9A">
        <w:rPr>
          <w:szCs w:val="22"/>
          <w:lang w:val="sr-Latn-RS"/>
        </w:rPr>
        <w:t>primjene</w:t>
      </w:r>
      <w:r w:rsidRPr="00394D9A">
        <w:rPr>
          <w:szCs w:val="22"/>
          <w:lang w:val="sr-Latn-RS"/>
        </w:rPr>
        <w:t>.</w:t>
      </w:r>
    </w:p>
    <w:p w14:paraId="487B7715" w14:textId="77777777" w:rsidR="007C7E72" w:rsidRPr="00394D9A" w:rsidRDefault="007C7E72" w:rsidP="00187D17">
      <w:pPr>
        <w:widowControl w:val="0"/>
        <w:rPr>
          <w:szCs w:val="22"/>
          <w:lang w:val="sr-Latn-RS"/>
        </w:rPr>
      </w:pPr>
    </w:p>
    <w:p w14:paraId="45FB333B" w14:textId="2665BBEC" w:rsidR="007C7E72" w:rsidRPr="00394D9A" w:rsidRDefault="007C7E72" w:rsidP="00187D17">
      <w:pPr>
        <w:widowControl w:val="0"/>
        <w:rPr>
          <w:szCs w:val="22"/>
          <w:u w:val="single"/>
          <w:lang w:val="sr-Latn-RS"/>
        </w:rPr>
      </w:pPr>
      <w:r w:rsidRPr="00394D9A">
        <w:rPr>
          <w:szCs w:val="22"/>
          <w:u w:val="single"/>
          <w:lang w:val="sr-Latn-RS"/>
        </w:rPr>
        <w:t>Resorpcija</w:t>
      </w:r>
    </w:p>
    <w:p w14:paraId="27E7121F" w14:textId="77777777" w:rsidR="00A913E2" w:rsidRPr="00394D9A" w:rsidRDefault="00A913E2" w:rsidP="00187D17">
      <w:pPr>
        <w:widowControl w:val="0"/>
        <w:rPr>
          <w:szCs w:val="22"/>
          <w:u w:val="single"/>
          <w:lang w:val="sr-Latn-RS"/>
        </w:rPr>
      </w:pPr>
    </w:p>
    <w:p w14:paraId="45D25839" w14:textId="3C7738BA" w:rsidR="007C7E72" w:rsidRPr="00394D9A" w:rsidRDefault="007C7E72" w:rsidP="00187D17">
      <w:pPr>
        <w:widowControl w:val="0"/>
        <w:rPr>
          <w:szCs w:val="22"/>
          <w:lang w:val="sr-Latn-RS"/>
        </w:rPr>
      </w:pPr>
      <w:r w:rsidRPr="00394D9A">
        <w:rPr>
          <w:szCs w:val="22"/>
          <w:lang w:val="sr-Latn-RS"/>
        </w:rPr>
        <w:t>Studija za proc</w:t>
      </w:r>
      <w:r w:rsidR="00E46617" w:rsidRPr="00394D9A">
        <w:rPr>
          <w:szCs w:val="22"/>
          <w:lang w:val="sr-Latn-RS"/>
        </w:rPr>
        <w:t>j</w:t>
      </w:r>
      <w:r w:rsidRPr="00394D9A">
        <w:rPr>
          <w:szCs w:val="22"/>
          <w:lang w:val="sr-Latn-RS"/>
        </w:rPr>
        <w:t>enu postoperativne resorpcije dabigatraneteksilata, 1-3 sata nakon operacije, pokazala je</w:t>
      </w:r>
      <w:r w:rsidR="00A913E2" w:rsidRPr="00394D9A">
        <w:rPr>
          <w:szCs w:val="22"/>
          <w:lang w:val="sr-Latn-RS"/>
        </w:rPr>
        <w:t xml:space="preserve"> </w:t>
      </w:r>
      <w:r w:rsidRPr="00394D9A">
        <w:rPr>
          <w:szCs w:val="22"/>
          <w:lang w:val="sr-Latn-RS"/>
        </w:rPr>
        <w:t xml:space="preserve">relativno sporu resorpciju u poređenju </w:t>
      </w:r>
      <w:r w:rsidR="00826E8C" w:rsidRPr="00394D9A">
        <w:rPr>
          <w:szCs w:val="22"/>
          <w:lang w:val="sr-Latn-RS"/>
        </w:rPr>
        <w:t xml:space="preserve">sa </w:t>
      </w:r>
      <w:r w:rsidRPr="00394D9A">
        <w:rPr>
          <w:szCs w:val="22"/>
          <w:lang w:val="sr-Latn-RS"/>
        </w:rPr>
        <w:t>onom kod zdravih dobrovoljaca, pokazujući blagu krivu odnosa</w:t>
      </w:r>
      <w:r w:rsidR="00A913E2" w:rsidRPr="00394D9A">
        <w:rPr>
          <w:szCs w:val="22"/>
          <w:lang w:val="sr-Latn-RS"/>
        </w:rPr>
        <w:t xml:space="preserve"> </w:t>
      </w:r>
      <w:r w:rsidRPr="00394D9A">
        <w:rPr>
          <w:szCs w:val="22"/>
          <w:lang w:val="sr-Latn-RS"/>
        </w:rPr>
        <w:t xml:space="preserve">koncentracije </w:t>
      </w:r>
      <w:r w:rsidR="00A639DA" w:rsidRPr="00394D9A">
        <w:rPr>
          <w:szCs w:val="22"/>
          <w:lang w:val="sr-Latn-RS"/>
        </w:rPr>
        <w:t>lijeka</w:t>
      </w:r>
      <w:r w:rsidRPr="00394D9A">
        <w:rPr>
          <w:szCs w:val="22"/>
          <w:lang w:val="sr-Latn-RS"/>
        </w:rPr>
        <w:t xml:space="preserve"> u plazmi i </w:t>
      </w:r>
      <w:r w:rsidR="00BD52DD" w:rsidRPr="00394D9A">
        <w:rPr>
          <w:szCs w:val="22"/>
          <w:lang w:val="sr-Latn-RS"/>
        </w:rPr>
        <w:t>vreme</w:t>
      </w:r>
      <w:r w:rsidRPr="00394D9A">
        <w:rPr>
          <w:szCs w:val="22"/>
          <w:lang w:val="sr-Latn-RS"/>
        </w:rPr>
        <w:t xml:space="preserve">na bez visokih </w:t>
      </w:r>
      <w:r w:rsidR="00F77DC2" w:rsidRPr="00394D9A">
        <w:rPr>
          <w:szCs w:val="22"/>
          <w:lang w:val="sr-Latn-RS"/>
        </w:rPr>
        <w:t xml:space="preserve">maksimalnih </w:t>
      </w:r>
      <w:r w:rsidRPr="00394D9A">
        <w:rPr>
          <w:szCs w:val="22"/>
          <w:lang w:val="sr-Latn-RS"/>
        </w:rPr>
        <w:t xml:space="preserve">koncentracija. </w:t>
      </w:r>
      <w:r w:rsidR="00F77DC2" w:rsidRPr="00394D9A">
        <w:rPr>
          <w:szCs w:val="22"/>
          <w:lang w:val="sr-Latn-RS"/>
        </w:rPr>
        <w:t xml:space="preserve">Maksimalne </w:t>
      </w:r>
      <w:r w:rsidRPr="00394D9A">
        <w:rPr>
          <w:szCs w:val="22"/>
          <w:lang w:val="sr-Latn-RS"/>
        </w:rPr>
        <w:t>koncentracije u plazmi</w:t>
      </w:r>
      <w:r w:rsidR="00A913E2" w:rsidRPr="00394D9A">
        <w:rPr>
          <w:szCs w:val="22"/>
          <w:lang w:val="sr-Latn-RS"/>
        </w:rPr>
        <w:t xml:space="preserve"> </w:t>
      </w:r>
      <w:r w:rsidRPr="00394D9A">
        <w:rPr>
          <w:szCs w:val="22"/>
          <w:lang w:val="sr-Latn-RS"/>
        </w:rPr>
        <w:t>dostižu se 6 sati posl</w:t>
      </w:r>
      <w:r w:rsidR="00E46617" w:rsidRPr="00394D9A">
        <w:rPr>
          <w:szCs w:val="22"/>
          <w:lang w:val="sr-Latn-RS"/>
        </w:rPr>
        <w:t>ij</w:t>
      </w:r>
      <w:r w:rsidRPr="00394D9A">
        <w:rPr>
          <w:szCs w:val="22"/>
          <w:lang w:val="sr-Latn-RS"/>
        </w:rPr>
        <w:t xml:space="preserve">e </w:t>
      </w:r>
      <w:r w:rsidR="00A639DA" w:rsidRPr="00394D9A">
        <w:rPr>
          <w:szCs w:val="22"/>
          <w:lang w:val="sr-Latn-RS"/>
        </w:rPr>
        <w:t>primjene</w:t>
      </w:r>
      <w:r w:rsidRPr="00394D9A">
        <w:rPr>
          <w:szCs w:val="22"/>
          <w:lang w:val="sr-Latn-RS"/>
        </w:rPr>
        <w:t xml:space="preserve"> u postoperativnom periodu kao posl</w:t>
      </w:r>
      <w:r w:rsidR="00557B09" w:rsidRPr="00394D9A">
        <w:rPr>
          <w:szCs w:val="22"/>
          <w:lang w:val="sr-Latn-RS"/>
        </w:rPr>
        <w:t>j</w:t>
      </w:r>
      <w:r w:rsidRPr="00394D9A">
        <w:rPr>
          <w:szCs w:val="22"/>
          <w:lang w:val="sr-Latn-RS"/>
        </w:rPr>
        <w:t>edica faktora kao što su anestezija, GI</w:t>
      </w:r>
      <w:r w:rsidR="00A913E2" w:rsidRPr="00394D9A">
        <w:rPr>
          <w:szCs w:val="22"/>
          <w:lang w:val="sr-Latn-RS"/>
        </w:rPr>
        <w:t xml:space="preserve"> </w:t>
      </w:r>
      <w:r w:rsidRPr="00394D9A">
        <w:rPr>
          <w:szCs w:val="22"/>
          <w:lang w:val="sr-Latn-RS"/>
        </w:rPr>
        <w:t xml:space="preserve">pareza i uticaj operacije i </w:t>
      </w:r>
      <w:r w:rsidR="00454778" w:rsidRPr="00394D9A">
        <w:rPr>
          <w:szCs w:val="22"/>
          <w:lang w:val="sr-Latn-RS"/>
        </w:rPr>
        <w:t>nezavisno</w:t>
      </w:r>
      <w:r w:rsidRPr="00394D9A">
        <w:rPr>
          <w:szCs w:val="22"/>
          <w:lang w:val="sr-Latn-RS"/>
        </w:rPr>
        <w:t xml:space="preserve"> od formulacije </w:t>
      </w:r>
      <w:r w:rsidR="00A639DA" w:rsidRPr="00394D9A">
        <w:rPr>
          <w:szCs w:val="22"/>
          <w:lang w:val="sr-Latn-RS"/>
        </w:rPr>
        <w:t>lijeka</w:t>
      </w:r>
      <w:r w:rsidRPr="00394D9A">
        <w:rPr>
          <w:szCs w:val="22"/>
          <w:lang w:val="sr-Latn-RS"/>
        </w:rPr>
        <w:t>. U jednoj od studija je</w:t>
      </w:r>
      <w:r w:rsidR="00A913E2" w:rsidRPr="00394D9A">
        <w:rPr>
          <w:szCs w:val="22"/>
          <w:lang w:val="sr-Latn-RS"/>
        </w:rPr>
        <w:t xml:space="preserve"> </w:t>
      </w:r>
      <w:r w:rsidRPr="00394D9A">
        <w:rPr>
          <w:szCs w:val="22"/>
          <w:lang w:val="sr-Latn-RS"/>
        </w:rPr>
        <w:t>prim</w:t>
      </w:r>
      <w:r w:rsidR="00557B09" w:rsidRPr="00394D9A">
        <w:rPr>
          <w:szCs w:val="22"/>
          <w:lang w:val="sr-Latn-RS"/>
        </w:rPr>
        <w:t>i</w:t>
      </w:r>
      <w:r w:rsidR="00E46617" w:rsidRPr="00394D9A">
        <w:rPr>
          <w:szCs w:val="22"/>
          <w:lang w:val="sr-Latn-RS"/>
        </w:rPr>
        <w:t>j</w:t>
      </w:r>
      <w:r w:rsidRPr="00394D9A">
        <w:rPr>
          <w:szCs w:val="22"/>
          <w:lang w:val="sr-Latn-RS"/>
        </w:rPr>
        <w:t xml:space="preserve">ećeno da je spora i odložena resorpcija </w:t>
      </w:r>
      <w:r w:rsidR="00A639DA" w:rsidRPr="00394D9A">
        <w:rPr>
          <w:szCs w:val="22"/>
          <w:lang w:val="sr-Latn-RS"/>
        </w:rPr>
        <w:t>lijeka</w:t>
      </w:r>
      <w:r w:rsidRPr="00394D9A">
        <w:rPr>
          <w:szCs w:val="22"/>
          <w:lang w:val="sr-Latn-RS"/>
        </w:rPr>
        <w:t xml:space="preserve"> obično prisutna samo na dan operacije. Tokom sl</w:t>
      </w:r>
      <w:r w:rsidR="00157169" w:rsidRPr="00394D9A">
        <w:rPr>
          <w:szCs w:val="22"/>
          <w:lang w:val="sr-Latn-RS"/>
        </w:rPr>
        <w:t>j</w:t>
      </w:r>
      <w:r w:rsidRPr="00394D9A">
        <w:rPr>
          <w:szCs w:val="22"/>
          <w:lang w:val="sr-Latn-RS"/>
        </w:rPr>
        <w:t>edećih</w:t>
      </w:r>
      <w:r w:rsidR="00A913E2" w:rsidRPr="00394D9A">
        <w:rPr>
          <w:szCs w:val="22"/>
          <w:lang w:val="sr-Latn-RS"/>
        </w:rPr>
        <w:t xml:space="preserve"> </w:t>
      </w:r>
      <w:r w:rsidRPr="00394D9A">
        <w:rPr>
          <w:szCs w:val="22"/>
          <w:lang w:val="sr-Latn-RS"/>
        </w:rPr>
        <w:t xml:space="preserve">dana resorpcija dabigatrana je brza i sa </w:t>
      </w:r>
      <w:r w:rsidR="00F77DC2" w:rsidRPr="00394D9A">
        <w:rPr>
          <w:szCs w:val="22"/>
          <w:lang w:val="sr-Latn-RS"/>
        </w:rPr>
        <w:t xml:space="preserve">najvišim </w:t>
      </w:r>
      <w:r w:rsidRPr="00394D9A">
        <w:rPr>
          <w:szCs w:val="22"/>
          <w:lang w:val="sr-Latn-RS"/>
        </w:rPr>
        <w:t>koncentracija</w:t>
      </w:r>
      <w:r w:rsidR="00F77DC2" w:rsidRPr="00394D9A">
        <w:rPr>
          <w:szCs w:val="22"/>
          <w:lang w:val="sr-Latn-RS"/>
        </w:rPr>
        <w:t>ma</w:t>
      </w:r>
      <w:r w:rsidRPr="00394D9A">
        <w:rPr>
          <w:szCs w:val="22"/>
          <w:lang w:val="sr-Latn-RS"/>
        </w:rPr>
        <w:t xml:space="preserve"> u plazmi koje se postižu 2 sata nakon </w:t>
      </w:r>
      <w:r w:rsidR="00A639DA" w:rsidRPr="00394D9A">
        <w:rPr>
          <w:szCs w:val="22"/>
          <w:lang w:val="sr-Latn-RS"/>
        </w:rPr>
        <w:t>primjene</w:t>
      </w:r>
      <w:r w:rsidR="00A913E2" w:rsidRPr="00394D9A">
        <w:rPr>
          <w:szCs w:val="22"/>
          <w:lang w:val="sr-Latn-RS"/>
        </w:rPr>
        <w:t xml:space="preserve"> </w:t>
      </w:r>
      <w:r w:rsidR="00A639DA" w:rsidRPr="00394D9A">
        <w:rPr>
          <w:szCs w:val="22"/>
          <w:lang w:val="sr-Latn-RS"/>
        </w:rPr>
        <w:t>lijeka</w:t>
      </w:r>
      <w:r w:rsidRPr="00394D9A">
        <w:rPr>
          <w:szCs w:val="22"/>
          <w:lang w:val="sr-Latn-RS"/>
        </w:rPr>
        <w:t>.</w:t>
      </w:r>
    </w:p>
    <w:p w14:paraId="1E19DFAE" w14:textId="77777777" w:rsidR="00A913E2" w:rsidRPr="00394D9A" w:rsidRDefault="00A913E2" w:rsidP="00187D17">
      <w:pPr>
        <w:widowControl w:val="0"/>
        <w:rPr>
          <w:szCs w:val="22"/>
          <w:lang w:val="sr-Latn-RS"/>
        </w:rPr>
      </w:pPr>
    </w:p>
    <w:p w14:paraId="611DF837" w14:textId="4D0C17A3" w:rsidR="007C7E72" w:rsidRPr="00394D9A" w:rsidRDefault="007C7E72" w:rsidP="00187D17">
      <w:pPr>
        <w:widowControl w:val="0"/>
        <w:rPr>
          <w:szCs w:val="22"/>
          <w:lang w:val="sr-Latn-RS"/>
        </w:rPr>
      </w:pPr>
      <w:r w:rsidRPr="00394D9A">
        <w:rPr>
          <w:szCs w:val="22"/>
          <w:lang w:val="sr-Latn-RS"/>
        </w:rPr>
        <w:t xml:space="preserve">Hrana ne utiče na bioraspoloživost dabigatraneteksilata ali odlaže </w:t>
      </w:r>
      <w:r w:rsidR="00BD52DD" w:rsidRPr="00394D9A">
        <w:rPr>
          <w:szCs w:val="22"/>
          <w:lang w:val="sr-Latn-RS"/>
        </w:rPr>
        <w:t>vrijeme</w:t>
      </w:r>
      <w:r w:rsidRPr="00394D9A">
        <w:rPr>
          <w:szCs w:val="22"/>
          <w:lang w:val="sr-Latn-RS"/>
        </w:rPr>
        <w:t xml:space="preserve"> do postizanja maksimalne</w:t>
      </w:r>
      <w:r w:rsidR="00A913E2" w:rsidRPr="00394D9A">
        <w:rPr>
          <w:szCs w:val="22"/>
          <w:lang w:val="sr-Latn-RS"/>
        </w:rPr>
        <w:t xml:space="preserve"> </w:t>
      </w:r>
      <w:r w:rsidRPr="00394D9A">
        <w:rPr>
          <w:szCs w:val="22"/>
          <w:lang w:val="sr-Latn-RS"/>
        </w:rPr>
        <w:t>koncentracije u plazmi za 2 sata.</w:t>
      </w:r>
    </w:p>
    <w:p w14:paraId="6D82F1C0" w14:textId="77777777" w:rsidR="00A913E2" w:rsidRPr="00394D9A" w:rsidRDefault="00A913E2" w:rsidP="00187D17">
      <w:pPr>
        <w:widowControl w:val="0"/>
        <w:rPr>
          <w:szCs w:val="22"/>
          <w:lang w:val="sr-Latn-RS"/>
        </w:rPr>
      </w:pPr>
    </w:p>
    <w:p w14:paraId="55C83B95" w14:textId="2E28C7BA" w:rsidR="007C7E72" w:rsidRPr="00394D9A" w:rsidRDefault="007C7E72" w:rsidP="00187D17">
      <w:pPr>
        <w:widowControl w:val="0"/>
        <w:rPr>
          <w:szCs w:val="22"/>
          <w:lang w:val="sr-Latn-RS"/>
        </w:rPr>
      </w:pPr>
      <w:r w:rsidRPr="00394D9A">
        <w:rPr>
          <w:szCs w:val="22"/>
          <w:lang w:val="sr-Latn-RS"/>
        </w:rPr>
        <w:t>C</w:t>
      </w:r>
      <w:r w:rsidRPr="00394D9A">
        <w:rPr>
          <w:szCs w:val="22"/>
          <w:vertAlign w:val="subscript"/>
          <w:lang w:val="sr-Latn-RS"/>
        </w:rPr>
        <w:t>max</w:t>
      </w:r>
      <w:r w:rsidRPr="00394D9A">
        <w:rPr>
          <w:szCs w:val="22"/>
          <w:lang w:val="sr-Latn-RS"/>
        </w:rPr>
        <w:t xml:space="preserve"> i PIK bile su proporcionalne dozi.</w:t>
      </w:r>
    </w:p>
    <w:p w14:paraId="20CE899E" w14:textId="77777777" w:rsidR="00A913E2" w:rsidRPr="00394D9A" w:rsidRDefault="00A913E2" w:rsidP="00187D17">
      <w:pPr>
        <w:widowControl w:val="0"/>
        <w:rPr>
          <w:szCs w:val="22"/>
          <w:lang w:val="sr-Latn-RS"/>
        </w:rPr>
      </w:pPr>
    </w:p>
    <w:p w14:paraId="60CE4E82" w14:textId="4B2B30FD" w:rsidR="007C7E72" w:rsidRPr="00394D9A" w:rsidRDefault="007C7E72" w:rsidP="00187D17">
      <w:pPr>
        <w:widowControl w:val="0"/>
        <w:rPr>
          <w:szCs w:val="22"/>
          <w:lang w:val="sr-Latn-RS"/>
        </w:rPr>
      </w:pPr>
      <w:r w:rsidRPr="00394D9A">
        <w:rPr>
          <w:szCs w:val="22"/>
          <w:lang w:val="sr-Latn-RS"/>
        </w:rPr>
        <w:t xml:space="preserve">Oralna bioraspoloživost može da bude povećana za 75% nakon </w:t>
      </w:r>
      <w:r w:rsidR="00454778" w:rsidRPr="00394D9A">
        <w:rPr>
          <w:szCs w:val="22"/>
          <w:lang w:val="sr-Latn-RS"/>
        </w:rPr>
        <w:t>pojedinačne</w:t>
      </w:r>
      <w:r w:rsidRPr="00394D9A">
        <w:rPr>
          <w:szCs w:val="22"/>
          <w:lang w:val="sr-Latn-RS"/>
        </w:rPr>
        <w:t xml:space="preserve"> doze i 37% u stanju dinamičke</w:t>
      </w:r>
      <w:r w:rsidR="00A913E2" w:rsidRPr="00394D9A">
        <w:rPr>
          <w:szCs w:val="22"/>
          <w:lang w:val="sr-Latn-RS"/>
        </w:rPr>
        <w:t xml:space="preserve"> </w:t>
      </w:r>
      <w:r w:rsidRPr="00394D9A">
        <w:rPr>
          <w:szCs w:val="22"/>
          <w:lang w:val="sr-Latn-RS"/>
        </w:rPr>
        <w:t>ravnoteže u odnosu na referentnu formulaciju kapsule kada se pelete uzimaju bez</w:t>
      </w:r>
      <w:r w:rsidR="00A913E2" w:rsidRPr="00394D9A">
        <w:rPr>
          <w:szCs w:val="22"/>
          <w:lang w:val="sr-Latn-RS"/>
        </w:rPr>
        <w:t xml:space="preserve"> </w:t>
      </w:r>
      <w:r w:rsidR="00454778" w:rsidRPr="00394D9A">
        <w:rPr>
          <w:szCs w:val="22"/>
          <w:lang w:val="sr-Latn-RS"/>
        </w:rPr>
        <w:t>t</w:t>
      </w:r>
      <w:r w:rsidR="00E46617" w:rsidRPr="00394D9A">
        <w:rPr>
          <w:szCs w:val="22"/>
          <w:lang w:val="sr-Latn-RS"/>
        </w:rPr>
        <w:t>ij</w:t>
      </w:r>
      <w:r w:rsidR="00454778" w:rsidRPr="00394D9A">
        <w:rPr>
          <w:szCs w:val="22"/>
          <w:lang w:val="sr-Latn-RS"/>
        </w:rPr>
        <w:t xml:space="preserve">ela kapsule od </w:t>
      </w:r>
      <w:r w:rsidRPr="00394D9A">
        <w:rPr>
          <w:szCs w:val="22"/>
          <w:lang w:val="sr-Latn-RS"/>
        </w:rPr>
        <w:t xml:space="preserve">hidroksipropilmetilceluloze (HPMC). </w:t>
      </w:r>
      <w:r w:rsidR="00454778" w:rsidRPr="00394D9A">
        <w:rPr>
          <w:szCs w:val="22"/>
          <w:lang w:val="sr-Latn-RS"/>
        </w:rPr>
        <w:t>Zato</w:t>
      </w:r>
      <w:r w:rsidRPr="00394D9A">
        <w:rPr>
          <w:szCs w:val="22"/>
          <w:lang w:val="sr-Latn-RS"/>
        </w:rPr>
        <w:t>, integritet HPMC kapsula treba uv</w:t>
      </w:r>
      <w:r w:rsidR="00557B09" w:rsidRPr="00394D9A">
        <w:rPr>
          <w:szCs w:val="22"/>
          <w:lang w:val="sr-Latn-RS"/>
        </w:rPr>
        <w:t>i</w:t>
      </w:r>
      <w:r w:rsidR="00E46617" w:rsidRPr="00394D9A">
        <w:rPr>
          <w:szCs w:val="22"/>
          <w:lang w:val="sr-Latn-RS"/>
        </w:rPr>
        <w:t>j</w:t>
      </w:r>
      <w:r w:rsidRPr="00394D9A">
        <w:rPr>
          <w:szCs w:val="22"/>
          <w:lang w:val="sr-Latn-RS"/>
        </w:rPr>
        <w:t>ek da bude</w:t>
      </w:r>
      <w:r w:rsidR="00A913E2" w:rsidRPr="00394D9A">
        <w:rPr>
          <w:szCs w:val="22"/>
          <w:lang w:val="sr-Latn-RS"/>
        </w:rPr>
        <w:t xml:space="preserve"> </w:t>
      </w:r>
      <w:r w:rsidRPr="00394D9A">
        <w:rPr>
          <w:szCs w:val="22"/>
          <w:lang w:val="sr-Latn-RS"/>
        </w:rPr>
        <w:t xml:space="preserve">sačuvan tokom kliničke </w:t>
      </w:r>
      <w:r w:rsidR="00A639DA" w:rsidRPr="00394D9A">
        <w:rPr>
          <w:szCs w:val="22"/>
          <w:lang w:val="sr-Latn-RS"/>
        </w:rPr>
        <w:t>primjene</w:t>
      </w:r>
      <w:r w:rsidRPr="00394D9A">
        <w:rPr>
          <w:szCs w:val="22"/>
          <w:lang w:val="sr-Latn-RS"/>
        </w:rPr>
        <w:t xml:space="preserve"> kako bi se izb</w:t>
      </w:r>
      <w:r w:rsidR="00E46617" w:rsidRPr="00394D9A">
        <w:rPr>
          <w:szCs w:val="22"/>
          <w:lang w:val="sr-Latn-RS"/>
        </w:rPr>
        <w:t>j</w:t>
      </w:r>
      <w:r w:rsidRPr="00394D9A">
        <w:rPr>
          <w:szCs w:val="22"/>
          <w:lang w:val="sr-Latn-RS"/>
        </w:rPr>
        <w:t>eglo nenam</w:t>
      </w:r>
      <w:r w:rsidR="00E46617" w:rsidRPr="00394D9A">
        <w:rPr>
          <w:szCs w:val="22"/>
          <w:lang w:val="sr-Latn-RS"/>
        </w:rPr>
        <w:t>j</w:t>
      </w:r>
      <w:r w:rsidRPr="00394D9A">
        <w:rPr>
          <w:szCs w:val="22"/>
          <w:lang w:val="sr-Latn-RS"/>
        </w:rPr>
        <w:t>erno povećanje bioraspoloživosti</w:t>
      </w:r>
      <w:r w:rsidR="00A913E2" w:rsidRPr="00394D9A">
        <w:rPr>
          <w:szCs w:val="22"/>
          <w:lang w:val="sr-Latn-RS"/>
        </w:rPr>
        <w:t xml:space="preserve"> </w:t>
      </w:r>
      <w:r w:rsidRPr="00394D9A">
        <w:rPr>
          <w:szCs w:val="22"/>
          <w:lang w:val="sr-Latn-RS"/>
        </w:rPr>
        <w:t>dabigatraneteksilata (</w:t>
      </w:r>
      <w:r w:rsidR="00F77DC2" w:rsidRPr="00394D9A">
        <w:rPr>
          <w:szCs w:val="22"/>
          <w:lang w:val="sr-Latn-RS"/>
        </w:rPr>
        <w:t xml:space="preserve">vidjeti </w:t>
      </w:r>
      <w:r w:rsidR="00D7145C" w:rsidRPr="00394D9A">
        <w:rPr>
          <w:szCs w:val="22"/>
          <w:lang w:val="sr-Latn-RS"/>
        </w:rPr>
        <w:t>dio</w:t>
      </w:r>
      <w:r w:rsidRPr="00394D9A">
        <w:rPr>
          <w:szCs w:val="22"/>
          <w:lang w:val="sr-Latn-RS"/>
        </w:rPr>
        <w:t xml:space="preserve"> 4.2)</w:t>
      </w:r>
      <w:r w:rsidR="00454778" w:rsidRPr="00394D9A">
        <w:rPr>
          <w:szCs w:val="22"/>
          <w:lang w:val="sr-Latn-RS"/>
        </w:rPr>
        <w:t>.</w:t>
      </w:r>
    </w:p>
    <w:p w14:paraId="5C49EBBA" w14:textId="77777777" w:rsidR="00A913E2" w:rsidRPr="00394D9A" w:rsidRDefault="00A913E2" w:rsidP="00187D17">
      <w:pPr>
        <w:widowControl w:val="0"/>
        <w:rPr>
          <w:szCs w:val="22"/>
          <w:lang w:val="sr-Latn-RS"/>
        </w:rPr>
      </w:pPr>
    </w:p>
    <w:p w14:paraId="65A6CC68" w14:textId="1AE5327D" w:rsidR="007C7E72" w:rsidRPr="00394D9A" w:rsidRDefault="007C7E72" w:rsidP="00187D17">
      <w:pPr>
        <w:widowControl w:val="0"/>
        <w:rPr>
          <w:szCs w:val="22"/>
          <w:u w:val="single"/>
          <w:lang w:val="sr-Latn-RS"/>
        </w:rPr>
      </w:pPr>
      <w:r w:rsidRPr="00394D9A">
        <w:rPr>
          <w:szCs w:val="22"/>
          <w:u w:val="single"/>
          <w:lang w:val="sr-Latn-RS"/>
        </w:rPr>
        <w:t>Distribucija</w:t>
      </w:r>
    </w:p>
    <w:p w14:paraId="65CE98CF" w14:textId="77777777" w:rsidR="00A913E2" w:rsidRPr="00394D9A" w:rsidRDefault="00A913E2" w:rsidP="00187D17">
      <w:pPr>
        <w:widowControl w:val="0"/>
        <w:rPr>
          <w:szCs w:val="22"/>
          <w:lang w:val="sr-Latn-RS"/>
        </w:rPr>
      </w:pPr>
    </w:p>
    <w:p w14:paraId="0EBE452B" w14:textId="53032D01" w:rsidR="007C7E72" w:rsidRPr="00394D9A" w:rsidRDefault="007C7E72" w:rsidP="00187D17">
      <w:pPr>
        <w:widowControl w:val="0"/>
        <w:rPr>
          <w:szCs w:val="22"/>
          <w:lang w:val="sr-Latn-RS"/>
        </w:rPr>
      </w:pPr>
      <w:r w:rsidRPr="00394D9A">
        <w:rPr>
          <w:szCs w:val="22"/>
          <w:lang w:val="sr-Latn-RS"/>
        </w:rPr>
        <w:t>Zapažena je niska (34-35%) koncentracija nezavisnog vezivanja dabigatrana za humane plazma proteine.</w:t>
      </w:r>
      <w:r w:rsidR="00A913E2" w:rsidRPr="00394D9A">
        <w:rPr>
          <w:szCs w:val="22"/>
          <w:lang w:val="sr-Latn-RS"/>
        </w:rPr>
        <w:t xml:space="preserve"> </w:t>
      </w:r>
      <w:r w:rsidRPr="00394D9A">
        <w:rPr>
          <w:szCs w:val="22"/>
          <w:lang w:val="sr-Latn-RS"/>
        </w:rPr>
        <w:t xml:space="preserve">Volumen distribucije dabigatrana od 60-70 </w:t>
      </w:r>
      <w:r w:rsidR="00F77DC2" w:rsidRPr="00394D9A">
        <w:rPr>
          <w:szCs w:val="22"/>
          <w:lang w:val="sr-Latn-RS"/>
        </w:rPr>
        <w:t>l</w:t>
      </w:r>
      <w:r w:rsidRPr="00394D9A">
        <w:rPr>
          <w:szCs w:val="22"/>
          <w:lang w:val="sr-Latn-RS"/>
        </w:rPr>
        <w:t xml:space="preserve"> je bio veći od totalnog volumena t</w:t>
      </w:r>
      <w:r w:rsidR="00E46617" w:rsidRPr="00394D9A">
        <w:rPr>
          <w:szCs w:val="22"/>
          <w:lang w:val="sr-Latn-RS"/>
        </w:rPr>
        <w:t>j</w:t>
      </w:r>
      <w:r w:rsidRPr="00394D9A">
        <w:rPr>
          <w:szCs w:val="22"/>
          <w:lang w:val="sr-Latn-RS"/>
        </w:rPr>
        <w:t>elesne tečnosti što ukazuje</w:t>
      </w:r>
      <w:r w:rsidR="00A913E2" w:rsidRPr="00394D9A">
        <w:rPr>
          <w:szCs w:val="22"/>
          <w:lang w:val="sr-Latn-RS"/>
        </w:rPr>
        <w:t xml:space="preserve"> </w:t>
      </w:r>
      <w:r w:rsidRPr="00394D9A">
        <w:rPr>
          <w:szCs w:val="22"/>
          <w:lang w:val="sr-Latn-RS"/>
        </w:rPr>
        <w:t>na um</w:t>
      </w:r>
      <w:r w:rsidR="00E46617" w:rsidRPr="00394D9A">
        <w:rPr>
          <w:szCs w:val="22"/>
          <w:lang w:val="sr-Latn-RS"/>
        </w:rPr>
        <w:t>j</w:t>
      </w:r>
      <w:r w:rsidRPr="00394D9A">
        <w:rPr>
          <w:szCs w:val="22"/>
          <w:lang w:val="sr-Latn-RS"/>
        </w:rPr>
        <w:t>erenu tkivnu distribuciju dabigatrana.</w:t>
      </w:r>
    </w:p>
    <w:p w14:paraId="2CC19DA8" w14:textId="77777777" w:rsidR="00A913E2" w:rsidRPr="00394D9A" w:rsidRDefault="00A913E2" w:rsidP="00187D17">
      <w:pPr>
        <w:widowControl w:val="0"/>
        <w:rPr>
          <w:szCs w:val="22"/>
          <w:lang w:val="sr-Latn-RS"/>
        </w:rPr>
      </w:pPr>
    </w:p>
    <w:p w14:paraId="34702DC8" w14:textId="18BD471E" w:rsidR="007C7E72" w:rsidRPr="00394D9A" w:rsidRDefault="00B16549" w:rsidP="00187D17">
      <w:pPr>
        <w:widowControl w:val="0"/>
        <w:rPr>
          <w:szCs w:val="22"/>
          <w:u w:val="single"/>
          <w:lang w:val="sr-Latn-RS"/>
        </w:rPr>
      </w:pPr>
      <w:r w:rsidRPr="00394D9A">
        <w:rPr>
          <w:szCs w:val="22"/>
          <w:u w:val="single"/>
          <w:lang w:val="sr-Latn-RS"/>
        </w:rPr>
        <w:t>Biotransformacija</w:t>
      </w:r>
    </w:p>
    <w:p w14:paraId="5E00C436" w14:textId="77777777" w:rsidR="00A913E2" w:rsidRPr="00394D9A" w:rsidRDefault="00A913E2" w:rsidP="00187D17">
      <w:pPr>
        <w:widowControl w:val="0"/>
        <w:rPr>
          <w:szCs w:val="22"/>
          <w:lang w:val="sr-Latn-RS"/>
        </w:rPr>
      </w:pPr>
    </w:p>
    <w:p w14:paraId="1FBA4F8B" w14:textId="210F1E35" w:rsidR="007C7E72" w:rsidRPr="00394D9A" w:rsidRDefault="007C7E72" w:rsidP="00187D17">
      <w:pPr>
        <w:widowControl w:val="0"/>
        <w:rPr>
          <w:szCs w:val="22"/>
          <w:lang w:val="sr-Latn-RS"/>
        </w:rPr>
      </w:pPr>
      <w:r w:rsidRPr="00394D9A">
        <w:rPr>
          <w:szCs w:val="22"/>
          <w:lang w:val="sr-Latn-RS"/>
        </w:rPr>
        <w:t>Metabolizam i izlučivanje dabigatrana ispitani su na zdravim muškim ispitanicima kojima je intravenski</w:t>
      </w:r>
      <w:r w:rsidR="00A913E2" w:rsidRPr="00394D9A">
        <w:rPr>
          <w:szCs w:val="22"/>
          <w:lang w:val="sr-Latn-RS"/>
        </w:rPr>
        <w:t xml:space="preserve"> </w:t>
      </w:r>
      <w:r w:rsidRPr="00394D9A">
        <w:rPr>
          <w:szCs w:val="22"/>
          <w:lang w:val="sr-Latn-RS"/>
        </w:rPr>
        <w:t>ubrizgana jednokratna doza radioaktivno ob</w:t>
      </w:r>
      <w:r w:rsidR="00E46617" w:rsidRPr="00394D9A">
        <w:rPr>
          <w:szCs w:val="22"/>
          <w:lang w:val="sr-Latn-RS"/>
        </w:rPr>
        <w:t>i</w:t>
      </w:r>
      <w:r w:rsidRPr="00394D9A">
        <w:rPr>
          <w:szCs w:val="22"/>
          <w:lang w:val="sr-Latn-RS"/>
        </w:rPr>
        <w:t>l</w:t>
      </w:r>
      <w:r w:rsidR="00E46617" w:rsidRPr="00394D9A">
        <w:rPr>
          <w:szCs w:val="22"/>
          <w:lang w:val="sr-Latn-RS"/>
        </w:rPr>
        <w:t>j</w:t>
      </w:r>
      <w:r w:rsidRPr="00394D9A">
        <w:rPr>
          <w:szCs w:val="22"/>
          <w:lang w:val="sr-Latn-RS"/>
        </w:rPr>
        <w:t>eženog dabigatrana. Posl</w:t>
      </w:r>
      <w:r w:rsidR="00157169" w:rsidRPr="00394D9A">
        <w:rPr>
          <w:szCs w:val="22"/>
          <w:lang w:val="sr-Latn-RS"/>
        </w:rPr>
        <w:t>j</w:t>
      </w:r>
      <w:r w:rsidRPr="00394D9A">
        <w:rPr>
          <w:szCs w:val="22"/>
          <w:lang w:val="sr-Latn-RS"/>
        </w:rPr>
        <w:t xml:space="preserve">e intravenske </w:t>
      </w:r>
      <w:r w:rsidR="00A639DA" w:rsidRPr="00394D9A">
        <w:rPr>
          <w:szCs w:val="22"/>
          <w:lang w:val="sr-Latn-RS"/>
        </w:rPr>
        <w:t>primjene</w:t>
      </w:r>
      <w:r w:rsidRPr="00394D9A">
        <w:rPr>
          <w:szCs w:val="22"/>
          <w:lang w:val="sr-Latn-RS"/>
        </w:rPr>
        <w:t>,</w:t>
      </w:r>
      <w:r w:rsidR="00A913E2" w:rsidRPr="00394D9A">
        <w:rPr>
          <w:szCs w:val="22"/>
          <w:lang w:val="sr-Latn-RS"/>
        </w:rPr>
        <w:t xml:space="preserve"> </w:t>
      </w:r>
      <w:r w:rsidRPr="00394D9A">
        <w:rPr>
          <w:szCs w:val="22"/>
          <w:lang w:val="sr-Latn-RS"/>
        </w:rPr>
        <w:t>radioaktivnost koja potiče od dabigatrana eliminisana je primarno putem urina (85%). Proc</w:t>
      </w:r>
      <w:r w:rsidR="00557B09" w:rsidRPr="00394D9A">
        <w:rPr>
          <w:szCs w:val="22"/>
          <w:lang w:val="sr-Latn-RS"/>
        </w:rPr>
        <w:t>i</w:t>
      </w:r>
      <w:r w:rsidR="00E46617" w:rsidRPr="00394D9A">
        <w:rPr>
          <w:szCs w:val="22"/>
          <w:lang w:val="sr-Latn-RS"/>
        </w:rPr>
        <w:t>j</w:t>
      </w:r>
      <w:r w:rsidRPr="00394D9A">
        <w:rPr>
          <w:szCs w:val="22"/>
          <w:lang w:val="sr-Latn-RS"/>
        </w:rPr>
        <w:t>enjeno je da je</w:t>
      </w:r>
      <w:r w:rsidR="00A913E2" w:rsidRPr="00394D9A">
        <w:rPr>
          <w:szCs w:val="22"/>
          <w:lang w:val="sr-Latn-RS"/>
        </w:rPr>
        <w:t xml:space="preserve"> </w:t>
      </w:r>
      <w:r w:rsidRPr="00394D9A">
        <w:rPr>
          <w:szCs w:val="22"/>
          <w:lang w:val="sr-Latn-RS"/>
        </w:rPr>
        <w:t>6% od prim</w:t>
      </w:r>
      <w:r w:rsidR="00557B09" w:rsidRPr="00394D9A">
        <w:rPr>
          <w:szCs w:val="22"/>
          <w:lang w:val="sr-Latn-RS"/>
        </w:rPr>
        <w:t>i</w:t>
      </w:r>
      <w:r w:rsidR="00E46617" w:rsidRPr="00394D9A">
        <w:rPr>
          <w:szCs w:val="22"/>
          <w:lang w:val="sr-Latn-RS"/>
        </w:rPr>
        <w:t>j</w:t>
      </w:r>
      <w:r w:rsidRPr="00394D9A">
        <w:rPr>
          <w:szCs w:val="22"/>
          <w:lang w:val="sr-Latn-RS"/>
        </w:rPr>
        <w:t>enjene doze izlučeno putem fecesa. Ukupno je izlučeno 88-94% un</w:t>
      </w:r>
      <w:r w:rsidR="00E46617" w:rsidRPr="00394D9A">
        <w:rPr>
          <w:szCs w:val="22"/>
          <w:lang w:val="sr-Latn-RS"/>
        </w:rPr>
        <w:t>ij</w:t>
      </w:r>
      <w:r w:rsidRPr="00394D9A">
        <w:rPr>
          <w:szCs w:val="22"/>
          <w:lang w:val="sr-Latn-RS"/>
        </w:rPr>
        <w:t>ete radioaktivne doze,</w:t>
      </w:r>
      <w:r w:rsidR="00A913E2" w:rsidRPr="00394D9A">
        <w:rPr>
          <w:szCs w:val="22"/>
          <w:lang w:val="sr-Latn-RS"/>
        </w:rPr>
        <w:t xml:space="preserve"> </w:t>
      </w:r>
      <w:r w:rsidRPr="00394D9A">
        <w:rPr>
          <w:szCs w:val="22"/>
          <w:lang w:val="sr-Latn-RS"/>
        </w:rPr>
        <w:t>168 h nakon unošenja.</w:t>
      </w:r>
    </w:p>
    <w:p w14:paraId="59419CCA" w14:textId="3BE26A10" w:rsidR="007C7E72" w:rsidRPr="00394D9A" w:rsidRDefault="007C7E72" w:rsidP="00187D17">
      <w:pPr>
        <w:widowControl w:val="0"/>
        <w:rPr>
          <w:szCs w:val="22"/>
          <w:lang w:val="sr-Latn-RS"/>
        </w:rPr>
      </w:pPr>
      <w:r w:rsidRPr="00394D9A">
        <w:rPr>
          <w:szCs w:val="22"/>
          <w:lang w:val="sr-Latn-RS"/>
        </w:rPr>
        <w:t>Dabigatran se konjuguje formirajući farmakološki aktivne acilglukuronide. Postoje četiri pozicijska</w:t>
      </w:r>
      <w:r w:rsidR="00A913E2" w:rsidRPr="00394D9A">
        <w:rPr>
          <w:szCs w:val="22"/>
          <w:lang w:val="sr-Latn-RS"/>
        </w:rPr>
        <w:t xml:space="preserve"> </w:t>
      </w:r>
      <w:r w:rsidRPr="00394D9A">
        <w:rPr>
          <w:szCs w:val="22"/>
          <w:lang w:val="sr-Latn-RS"/>
        </w:rPr>
        <w:t>izomera, 1-O, 2-O, 3-O, 4-O-acilglukuronid, pri čemu je ud</w:t>
      </w:r>
      <w:r w:rsidR="00E46617" w:rsidRPr="00394D9A">
        <w:rPr>
          <w:szCs w:val="22"/>
          <w:lang w:val="sr-Latn-RS"/>
        </w:rPr>
        <w:t>i</w:t>
      </w:r>
      <w:r w:rsidRPr="00394D9A">
        <w:rPr>
          <w:szCs w:val="22"/>
          <w:lang w:val="sr-Latn-RS"/>
        </w:rPr>
        <w:t>o svakog od njih manji od 10% od ukupnog</w:t>
      </w:r>
      <w:r w:rsidR="00A913E2" w:rsidRPr="00394D9A">
        <w:rPr>
          <w:szCs w:val="22"/>
          <w:lang w:val="sr-Latn-RS"/>
        </w:rPr>
        <w:t xml:space="preserve"> </w:t>
      </w:r>
      <w:r w:rsidRPr="00394D9A">
        <w:rPr>
          <w:szCs w:val="22"/>
          <w:lang w:val="sr-Latn-RS"/>
        </w:rPr>
        <w:t>dabigatrana u plazmi.</w:t>
      </w:r>
      <w:r w:rsidR="00A913E2" w:rsidRPr="00394D9A">
        <w:rPr>
          <w:szCs w:val="22"/>
          <w:lang w:val="sr-Latn-RS"/>
        </w:rPr>
        <w:t xml:space="preserve"> </w:t>
      </w:r>
      <w:r w:rsidRPr="00394D9A">
        <w:rPr>
          <w:szCs w:val="22"/>
          <w:lang w:val="sr-Latn-RS"/>
        </w:rPr>
        <w:t>Tragovi drugih metabolita mogli su se prim</w:t>
      </w:r>
      <w:r w:rsidR="00E46617" w:rsidRPr="00394D9A">
        <w:rPr>
          <w:szCs w:val="22"/>
          <w:lang w:val="sr-Latn-RS"/>
        </w:rPr>
        <w:t>j</w:t>
      </w:r>
      <w:r w:rsidRPr="00394D9A">
        <w:rPr>
          <w:szCs w:val="22"/>
          <w:lang w:val="sr-Latn-RS"/>
        </w:rPr>
        <w:t>etiti samo uz pomoć visoko os</w:t>
      </w:r>
      <w:r w:rsidR="00E46617" w:rsidRPr="00394D9A">
        <w:rPr>
          <w:szCs w:val="22"/>
          <w:lang w:val="sr-Latn-RS"/>
        </w:rPr>
        <w:t>j</w:t>
      </w:r>
      <w:r w:rsidRPr="00394D9A">
        <w:rPr>
          <w:szCs w:val="22"/>
          <w:lang w:val="sr-Latn-RS"/>
        </w:rPr>
        <w:t>etljivih analitičkih metoda.</w:t>
      </w:r>
      <w:r w:rsidR="00A913E2" w:rsidRPr="00394D9A">
        <w:rPr>
          <w:szCs w:val="22"/>
          <w:lang w:val="sr-Latn-RS"/>
        </w:rPr>
        <w:t xml:space="preserve"> </w:t>
      </w:r>
      <w:r w:rsidRPr="00394D9A">
        <w:rPr>
          <w:szCs w:val="22"/>
          <w:lang w:val="sr-Latn-RS"/>
        </w:rPr>
        <w:t>Dabigatran se izlučuje uglavnom u neizm</w:t>
      </w:r>
      <w:r w:rsidR="00E46617" w:rsidRPr="00394D9A">
        <w:rPr>
          <w:szCs w:val="22"/>
          <w:lang w:val="sr-Latn-RS"/>
        </w:rPr>
        <w:t>j</w:t>
      </w:r>
      <w:r w:rsidRPr="00394D9A">
        <w:rPr>
          <w:szCs w:val="22"/>
          <w:lang w:val="sr-Latn-RS"/>
        </w:rPr>
        <w:t>enjenoj formi u urinu, brzinom od oko 100 m</w:t>
      </w:r>
      <w:r w:rsidR="00F77DC2" w:rsidRPr="00394D9A">
        <w:rPr>
          <w:szCs w:val="22"/>
          <w:lang w:val="sr-Latn-RS"/>
        </w:rPr>
        <w:t>l</w:t>
      </w:r>
      <w:r w:rsidRPr="00394D9A">
        <w:rPr>
          <w:szCs w:val="22"/>
          <w:lang w:val="sr-Latn-RS"/>
        </w:rPr>
        <w:t>/min koja</w:t>
      </w:r>
      <w:r w:rsidR="00A913E2" w:rsidRPr="00394D9A">
        <w:rPr>
          <w:szCs w:val="22"/>
          <w:lang w:val="sr-Latn-RS"/>
        </w:rPr>
        <w:t xml:space="preserve"> </w:t>
      </w:r>
      <w:r w:rsidRPr="00394D9A">
        <w:rPr>
          <w:szCs w:val="22"/>
          <w:lang w:val="sr-Latn-RS"/>
        </w:rPr>
        <w:t>odgovara brzini glomerularne filtracije.</w:t>
      </w:r>
    </w:p>
    <w:p w14:paraId="4FA924BA" w14:textId="77777777" w:rsidR="00A913E2" w:rsidRPr="00394D9A" w:rsidRDefault="00A913E2" w:rsidP="00187D17">
      <w:pPr>
        <w:widowControl w:val="0"/>
        <w:rPr>
          <w:szCs w:val="22"/>
          <w:lang w:val="sr-Latn-RS"/>
        </w:rPr>
      </w:pPr>
    </w:p>
    <w:p w14:paraId="4528DA82" w14:textId="61F37B3B" w:rsidR="007C7E72" w:rsidRPr="00394D9A" w:rsidRDefault="00B16549" w:rsidP="00187D17">
      <w:pPr>
        <w:widowControl w:val="0"/>
        <w:rPr>
          <w:szCs w:val="22"/>
          <w:u w:val="single"/>
          <w:lang w:val="sr-Latn-RS"/>
        </w:rPr>
      </w:pPr>
      <w:r w:rsidRPr="00394D9A">
        <w:rPr>
          <w:szCs w:val="22"/>
          <w:u w:val="single"/>
          <w:lang w:val="sr-Latn-RS"/>
        </w:rPr>
        <w:t>Eliminacija</w:t>
      </w:r>
    </w:p>
    <w:p w14:paraId="4F1A8026" w14:textId="77777777" w:rsidR="00A913E2" w:rsidRPr="00394D9A" w:rsidRDefault="00A913E2" w:rsidP="00187D17">
      <w:pPr>
        <w:widowControl w:val="0"/>
        <w:rPr>
          <w:szCs w:val="22"/>
          <w:lang w:val="sr-Latn-RS"/>
        </w:rPr>
      </w:pPr>
    </w:p>
    <w:p w14:paraId="2431C683" w14:textId="227CE5D3" w:rsidR="007C7E72" w:rsidRPr="00394D9A" w:rsidRDefault="00B16549" w:rsidP="00187D17">
      <w:pPr>
        <w:widowControl w:val="0"/>
        <w:rPr>
          <w:szCs w:val="22"/>
          <w:lang w:val="sr-Latn-RS"/>
        </w:rPr>
      </w:pPr>
      <w:r w:rsidRPr="00394D9A">
        <w:rPr>
          <w:szCs w:val="22"/>
          <w:lang w:val="sr-Latn-RS"/>
        </w:rPr>
        <w:t>K</w:t>
      </w:r>
      <w:r w:rsidR="007C7E72" w:rsidRPr="00394D9A">
        <w:rPr>
          <w:szCs w:val="22"/>
          <w:lang w:val="sr-Latn-RS"/>
        </w:rPr>
        <w:t xml:space="preserve">oncentracije dabigatrana </w:t>
      </w:r>
      <w:r w:rsidRPr="00394D9A">
        <w:rPr>
          <w:szCs w:val="22"/>
          <w:lang w:val="sr-Latn-RS"/>
        </w:rPr>
        <w:t xml:space="preserve">u plazmi </w:t>
      </w:r>
      <w:r w:rsidR="007C7E72" w:rsidRPr="00394D9A">
        <w:rPr>
          <w:szCs w:val="22"/>
          <w:lang w:val="sr-Latn-RS"/>
        </w:rPr>
        <w:t>su pokazale bieksponencijalni pad sa srednjim terminalnim</w:t>
      </w:r>
      <w:r w:rsidR="00A913E2" w:rsidRPr="00394D9A">
        <w:rPr>
          <w:szCs w:val="22"/>
          <w:lang w:val="sr-Latn-RS"/>
        </w:rPr>
        <w:t xml:space="preserve"> </w:t>
      </w:r>
      <w:r w:rsidR="007C7E72" w:rsidRPr="00394D9A">
        <w:rPr>
          <w:szCs w:val="22"/>
          <w:lang w:val="sr-Latn-RS"/>
        </w:rPr>
        <w:t>polu</w:t>
      </w:r>
      <w:r w:rsidR="00BD52DD" w:rsidRPr="00394D9A">
        <w:rPr>
          <w:szCs w:val="22"/>
          <w:lang w:val="sr-Latn-RS"/>
        </w:rPr>
        <w:t>vreme</w:t>
      </w:r>
      <w:r w:rsidR="007C7E72" w:rsidRPr="00394D9A">
        <w:rPr>
          <w:szCs w:val="22"/>
          <w:lang w:val="sr-Latn-RS"/>
        </w:rPr>
        <w:t>nom</w:t>
      </w:r>
      <w:r w:rsidR="00F77DC2" w:rsidRPr="00394D9A">
        <w:rPr>
          <w:szCs w:val="22"/>
          <w:lang w:val="sr-Latn-RS"/>
        </w:rPr>
        <w:t xml:space="preserve"> eliminacije</w:t>
      </w:r>
      <w:r w:rsidR="007C7E72" w:rsidRPr="00394D9A">
        <w:rPr>
          <w:szCs w:val="22"/>
          <w:lang w:val="sr-Latn-RS"/>
        </w:rPr>
        <w:t xml:space="preserve"> od 11 </w:t>
      </w:r>
      <w:r w:rsidRPr="00394D9A">
        <w:rPr>
          <w:szCs w:val="22"/>
          <w:lang w:val="sr-Latn-RS"/>
        </w:rPr>
        <w:t>sati</w:t>
      </w:r>
      <w:r w:rsidR="007C7E72" w:rsidRPr="00394D9A">
        <w:rPr>
          <w:szCs w:val="22"/>
          <w:lang w:val="sr-Latn-RS"/>
        </w:rPr>
        <w:t xml:space="preserve"> kod zdravih starijih dobrovoljaca. Nakon ponovljenih doza terminalno polu</w:t>
      </w:r>
      <w:r w:rsidR="00BD52DD" w:rsidRPr="00394D9A">
        <w:rPr>
          <w:szCs w:val="22"/>
          <w:lang w:val="sr-Latn-RS"/>
        </w:rPr>
        <w:t>vrijeme</w:t>
      </w:r>
      <w:r w:rsidR="00A913E2" w:rsidRPr="00394D9A">
        <w:rPr>
          <w:szCs w:val="22"/>
          <w:lang w:val="sr-Latn-RS"/>
        </w:rPr>
        <w:t xml:space="preserve"> </w:t>
      </w:r>
      <w:r w:rsidR="007C7E72" w:rsidRPr="00394D9A">
        <w:rPr>
          <w:szCs w:val="22"/>
          <w:lang w:val="sr-Latn-RS"/>
        </w:rPr>
        <w:t>eliminacije je iznosilo 12-14 sati. Polu</w:t>
      </w:r>
      <w:r w:rsidR="00BD52DD" w:rsidRPr="00394D9A">
        <w:rPr>
          <w:szCs w:val="22"/>
          <w:lang w:val="sr-Latn-RS"/>
        </w:rPr>
        <w:t>vrijeme</w:t>
      </w:r>
      <w:r w:rsidR="007C7E72" w:rsidRPr="00394D9A">
        <w:rPr>
          <w:szCs w:val="22"/>
          <w:lang w:val="sr-Latn-RS"/>
        </w:rPr>
        <w:t xml:space="preserve"> eliminacije je bilo dozno nezavisno. Ukoliko je bubrežna</w:t>
      </w:r>
      <w:r w:rsidR="00A913E2" w:rsidRPr="00394D9A">
        <w:rPr>
          <w:szCs w:val="22"/>
          <w:lang w:val="sr-Latn-RS"/>
        </w:rPr>
        <w:t xml:space="preserve"> </w:t>
      </w:r>
      <w:r w:rsidR="007C7E72" w:rsidRPr="00394D9A">
        <w:rPr>
          <w:szCs w:val="22"/>
          <w:lang w:val="sr-Latn-RS"/>
        </w:rPr>
        <w:t>funkcija oštećena polu</w:t>
      </w:r>
      <w:r w:rsidR="00BD52DD" w:rsidRPr="00394D9A">
        <w:rPr>
          <w:szCs w:val="22"/>
          <w:lang w:val="sr-Latn-RS"/>
        </w:rPr>
        <w:t>vrijeme</w:t>
      </w:r>
      <w:r w:rsidR="007C7E72" w:rsidRPr="00394D9A">
        <w:rPr>
          <w:szCs w:val="22"/>
          <w:lang w:val="sr-Latn-RS"/>
        </w:rPr>
        <w:t xml:space="preserve"> eliminacije je produženo, kao što je prikazano u tabeli </w:t>
      </w:r>
      <w:r w:rsidR="00AF495B" w:rsidRPr="00394D9A">
        <w:rPr>
          <w:szCs w:val="22"/>
          <w:lang w:val="sr-Latn-RS"/>
        </w:rPr>
        <w:t>2</w:t>
      </w:r>
      <w:r w:rsidR="0031016F" w:rsidRPr="00394D9A">
        <w:rPr>
          <w:szCs w:val="22"/>
          <w:lang w:val="sr-Latn-RS"/>
        </w:rPr>
        <w:t>3</w:t>
      </w:r>
      <w:r w:rsidR="007C7E72" w:rsidRPr="00394D9A">
        <w:rPr>
          <w:szCs w:val="22"/>
          <w:lang w:val="sr-Latn-RS"/>
        </w:rPr>
        <w:t>.</w:t>
      </w:r>
    </w:p>
    <w:p w14:paraId="67F7D3A3" w14:textId="77777777" w:rsidR="00A913E2" w:rsidRPr="00394D9A" w:rsidRDefault="00A913E2" w:rsidP="00187D17">
      <w:pPr>
        <w:widowControl w:val="0"/>
        <w:rPr>
          <w:szCs w:val="22"/>
          <w:lang w:val="sr-Latn-RS"/>
        </w:rPr>
      </w:pPr>
    </w:p>
    <w:p w14:paraId="249945B1" w14:textId="297EFF5D" w:rsidR="007C7E72" w:rsidRPr="00394D9A" w:rsidRDefault="007C7E72" w:rsidP="00187D17">
      <w:pPr>
        <w:widowControl w:val="0"/>
        <w:rPr>
          <w:szCs w:val="22"/>
          <w:u w:val="single"/>
          <w:lang w:val="sr-Latn-RS"/>
        </w:rPr>
      </w:pPr>
      <w:r w:rsidRPr="00394D9A">
        <w:rPr>
          <w:szCs w:val="22"/>
          <w:u w:val="single"/>
          <w:lang w:val="sr-Latn-RS"/>
        </w:rPr>
        <w:t>Posebne populacije</w:t>
      </w:r>
    </w:p>
    <w:p w14:paraId="081762E3" w14:textId="77777777" w:rsidR="00A913E2" w:rsidRPr="00394D9A" w:rsidRDefault="00A913E2" w:rsidP="00187D17">
      <w:pPr>
        <w:widowControl w:val="0"/>
        <w:rPr>
          <w:szCs w:val="22"/>
          <w:lang w:val="sr-Latn-RS"/>
        </w:rPr>
      </w:pPr>
    </w:p>
    <w:p w14:paraId="27135053" w14:textId="0439589D" w:rsidR="007C7E72" w:rsidRPr="00394D9A" w:rsidRDefault="007C7E72" w:rsidP="00187D17">
      <w:pPr>
        <w:widowControl w:val="0"/>
        <w:rPr>
          <w:i/>
          <w:iCs/>
          <w:szCs w:val="22"/>
          <w:u w:val="single"/>
          <w:lang w:val="sr-Latn-RS"/>
        </w:rPr>
      </w:pPr>
      <w:r w:rsidRPr="00394D9A">
        <w:rPr>
          <w:i/>
          <w:iCs/>
          <w:szCs w:val="22"/>
          <w:u w:val="single"/>
          <w:lang w:val="sr-Latn-RS"/>
        </w:rPr>
        <w:t>Bubrežna insuficijencija</w:t>
      </w:r>
    </w:p>
    <w:p w14:paraId="160D587F" w14:textId="00C67EB4" w:rsidR="007C7E72" w:rsidRPr="00394D9A" w:rsidRDefault="007C7E72" w:rsidP="00187D17">
      <w:pPr>
        <w:widowControl w:val="0"/>
        <w:rPr>
          <w:szCs w:val="22"/>
          <w:lang w:val="sr-Latn-RS"/>
        </w:rPr>
      </w:pPr>
      <w:r w:rsidRPr="00394D9A">
        <w:rPr>
          <w:szCs w:val="22"/>
          <w:lang w:val="sr-Latn-RS"/>
        </w:rPr>
        <w:t>U studijama faze I površina ispod krive (PIK) dabigatrana posl</w:t>
      </w:r>
      <w:r w:rsidR="00157169" w:rsidRPr="00394D9A">
        <w:rPr>
          <w:szCs w:val="22"/>
          <w:lang w:val="sr-Latn-RS"/>
        </w:rPr>
        <w:t>ij</w:t>
      </w:r>
      <w:r w:rsidRPr="00394D9A">
        <w:rPr>
          <w:szCs w:val="22"/>
          <w:lang w:val="sr-Latn-RS"/>
        </w:rPr>
        <w:t xml:space="preserve">e oralne </w:t>
      </w:r>
      <w:r w:rsidR="00A639DA" w:rsidRPr="00394D9A">
        <w:rPr>
          <w:szCs w:val="22"/>
          <w:lang w:val="sr-Latn-RS"/>
        </w:rPr>
        <w:t>primjene</w:t>
      </w:r>
      <w:r w:rsidRPr="00394D9A">
        <w:rPr>
          <w:szCs w:val="22"/>
          <w:lang w:val="sr-Latn-RS"/>
        </w:rPr>
        <w:t xml:space="preserve"> </w:t>
      </w:r>
      <w:r w:rsidR="00A913E2" w:rsidRPr="00394D9A">
        <w:rPr>
          <w:szCs w:val="22"/>
          <w:lang w:val="sr-Latn-RS"/>
        </w:rPr>
        <w:t>dabigatraneteksilata</w:t>
      </w:r>
      <w:r w:rsidRPr="00394D9A">
        <w:rPr>
          <w:szCs w:val="22"/>
          <w:lang w:val="sr-Latn-RS"/>
        </w:rPr>
        <w:t xml:space="preserve"> je oko 2,7</w:t>
      </w:r>
      <w:r w:rsidR="00A913E2" w:rsidRPr="00394D9A">
        <w:rPr>
          <w:szCs w:val="22"/>
          <w:lang w:val="sr-Latn-RS"/>
        </w:rPr>
        <w:t xml:space="preserve"> </w:t>
      </w:r>
      <w:r w:rsidRPr="00394D9A">
        <w:rPr>
          <w:szCs w:val="22"/>
          <w:lang w:val="sr-Latn-RS"/>
        </w:rPr>
        <w:t xml:space="preserve">puta veća kod </w:t>
      </w:r>
      <w:r w:rsidR="00641A5F">
        <w:rPr>
          <w:szCs w:val="22"/>
          <w:lang w:val="sr-Latn-RS"/>
        </w:rPr>
        <w:t xml:space="preserve">odraslih </w:t>
      </w:r>
      <w:r w:rsidRPr="00394D9A">
        <w:rPr>
          <w:szCs w:val="22"/>
          <w:lang w:val="sr-Latn-RS"/>
        </w:rPr>
        <w:t>dobrovoljaca sa um</w:t>
      </w:r>
      <w:r w:rsidR="00E46617" w:rsidRPr="00394D9A">
        <w:rPr>
          <w:szCs w:val="22"/>
          <w:lang w:val="sr-Latn-RS"/>
        </w:rPr>
        <w:t>j</w:t>
      </w:r>
      <w:r w:rsidRPr="00394D9A">
        <w:rPr>
          <w:szCs w:val="22"/>
          <w:lang w:val="sr-Latn-RS"/>
        </w:rPr>
        <w:t>erenom bubrežnom insuficijencijom (CrCL između 30-50 m</w:t>
      </w:r>
      <w:r w:rsidR="00F77DC2" w:rsidRPr="00394D9A">
        <w:rPr>
          <w:szCs w:val="22"/>
          <w:lang w:val="sr-Latn-RS"/>
        </w:rPr>
        <w:t>l</w:t>
      </w:r>
      <w:r w:rsidRPr="00394D9A">
        <w:rPr>
          <w:szCs w:val="22"/>
          <w:lang w:val="sr-Latn-RS"/>
        </w:rPr>
        <w:t>/min) u</w:t>
      </w:r>
      <w:r w:rsidR="00A913E2" w:rsidRPr="00394D9A">
        <w:rPr>
          <w:szCs w:val="22"/>
          <w:lang w:val="sr-Latn-RS"/>
        </w:rPr>
        <w:t xml:space="preserve"> </w:t>
      </w:r>
      <w:r w:rsidRPr="00394D9A">
        <w:rPr>
          <w:szCs w:val="22"/>
          <w:lang w:val="sr-Latn-RS"/>
        </w:rPr>
        <w:t>odnosu na one bez bubrežne insuficijencije.</w:t>
      </w:r>
    </w:p>
    <w:p w14:paraId="2E7AFF5B" w14:textId="77777777" w:rsidR="00A913E2" w:rsidRPr="00394D9A" w:rsidRDefault="00A913E2" w:rsidP="00187D17">
      <w:pPr>
        <w:widowControl w:val="0"/>
        <w:rPr>
          <w:szCs w:val="22"/>
          <w:lang w:val="sr-Latn-RS"/>
        </w:rPr>
      </w:pPr>
    </w:p>
    <w:p w14:paraId="2AD9911C" w14:textId="65C7E71D" w:rsidR="007C7E72" w:rsidRPr="00394D9A" w:rsidRDefault="007C7E72" w:rsidP="00187D17">
      <w:pPr>
        <w:widowControl w:val="0"/>
        <w:rPr>
          <w:szCs w:val="22"/>
          <w:lang w:val="sr-Latn-RS"/>
        </w:rPr>
      </w:pPr>
      <w:r w:rsidRPr="00394D9A">
        <w:rPr>
          <w:szCs w:val="22"/>
          <w:lang w:val="sr-Latn-RS"/>
        </w:rPr>
        <w:t xml:space="preserve">Kod malog broja </w:t>
      </w:r>
      <w:r w:rsidR="002C2188">
        <w:rPr>
          <w:szCs w:val="22"/>
          <w:lang w:val="sr-Latn-RS"/>
        </w:rPr>
        <w:t xml:space="preserve">odraslih </w:t>
      </w:r>
      <w:r w:rsidRPr="00394D9A">
        <w:rPr>
          <w:szCs w:val="22"/>
          <w:lang w:val="sr-Latn-RS"/>
        </w:rPr>
        <w:t>dobrovoljaca sa teškom bubrežnom insuficijencijom (CrCL 10-30 m</w:t>
      </w:r>
      <w:r w:rsidR="00F77DC2" w:rsidRPr="00394D9A">
        <w:rPr>
          <w:szCs w:val="22"/>
          <w:lang w:val="sr-Latn-RS"/>
        </w:rPr>
        <w:t>l</w:t>
      </w:r>
      <w:r w:rsidRPr="00394D9A">
        <w:rPr>
          <w:szCs w:val="22"/>
          <w:lang w:val="sr-Latn-RS"/>
        </w:rPr>
        <w:t>/min), površina</w:t>
      </w:r>
      <w:r w:rsidR="00A913E2" w:rsidRPr="00394D9A">
        <w:rPr>
          <w:szCs w:val="22"/>
          <w:lang w:val="sr-Latn-RS"/>
        </w:rPr>
        <w:t xml:space="preserve"> </w:t>
      </w:r>
      <w:r w:rsidRPr="00394D9A">
        <w:rPr>
          <w:szCs w:val="22"/>
          <w:lang w:val="sr-Latn-RS"/>
        </w:rPr>
        <w:t>ispod krive (PIK) dabigatrana bila je oko 6 puta veća, a polu</w:t>
      </w:r>
      <w:r w:rsidR="00BD52DD" w:rsidRPr="00394D9A">
        <w:rPr>
          <w:szCs w:val="22"/>
          <w:lang w:val="sr-Latn-RS"/>
        </w:rPr>
        <w:t>vrijeme</w:t>
      </w:r>
      <w:r w:rsidRPr="00394D9A">
        <w:rPr>
          <w:szCs w:val="22"/>
          <w:lang w:val="sr-Latn-RS"/>
        </w:rPr>
        <w:t xml:space="preserve"> eliminacije oko 2 puta duže nego kod</w:t>
      </w:r>
      <w:r w:rsidR="00A913E2" w:rsidRPr="00394D9A">
        <w:rPr>
          <w:szCs w:val="22"/>
          <w:lang w:val="sr-Latn-RS"/>
        </w:rPr>
        <w:t xml:space="preserve"> </w:t>
      </w:r>
      <w:r w:rsidRPr="00394D9A">
        <w:rPr>
          <w:szCs w:val="22"/>
          <w:lang w:val="sr-Latn-RS"/>
        </w:rPr>
        <w:t>pacijenata koji ne boluju od bubrežne insuficijencije (</w:t>
      </w:r>
      <w:r w:rsidR="00F77DC2" w:rsidRPr="00394D9A">
        <w:rPr>
          <w:szCs w:val="22"/>
          <w:lang w:val="sr-Latn-RS"/>
        </w:rPr>
        <w:t xml:space="preserve">vidjeti </w:t>
      </w:r>
      <w:r w:rsidR="00D7145C" w:rsidRPr="00394D9A">
        <w:rPr>
          <w:szCs w:val="22"/>
          <w:lang w:val="sr-Latn-RS"/>
        </w:rPr>
        <w:t>djelove</w:t>
      </w:r>
      <w:r w:rsidRPr="00394D9A">
        <w:rPr>
          <w:szCs w:val="22"/>
          <w:lang w:val="sr-Latn-RS"/>
        </w:rPr>
        <w:t xml:space="preserve"> 4.2, 4.3 i 4.4).</w:t>
      </w:r>
    </w:p>
    <w:p w14:paraId="34D524DD" w14:textId="77777777" w:rsidR="00A913E2" w:rsidRPr="00394D9A" w:rsidRDefault="00A913E2" w:rsidP="00187D17">
      <w:pPr>
        <w:widowControl w:val="0"/>
        <w:rPr>
          <w:szCs w:val="22"/>
          <w:lang w:val="sr-Latn-RS"/>
        </w:rPr>
      </w:pPr>
    </w:p>
    <w:p w14:paraId="5B3703DD" w14:textId="6AD61F29" w:rsidR="00AB0AF7" w:rsidRPr="00394D9A" w:rsidRDefault="007C7E72" w:rsidP="00187D17">
      <w:pPr>
        <w:widowControl w:val="0"/>
        <w:rPr>
          <w:b/>
          <w:bCs/>
          <w:szCs w:val="22"/>
          <w:lang w:val="sr-Latn-RS"/>
        </w:rPr>
      </w:pPr>
      <w:r w:rsidRPr="00394D9A">
        <w:rPr>
          <w:b/>
          <w:bCs/>
          <w:szCs w:val="22"/>
          <w:lang w:val="sr-Latn-RS"/>
        </w:rPr>
        <w:t xml:space="preserve">Tabela </w:t>
      </w:r>
      <w:r w:rsidR="00AF495B" w:rsidRPr="00394D9A">
        <w:rPr>
          <w:b/>
          <w:bCs/>
          <w:szCs w:val="22"/>
          <w:lang w:val="sr-Latn-RS"/>
        </w:rPr>
        <w:t>2</w:t>
      </w:r>
      <w:r w:rsidR="00963DCD" w:rsidRPr="00394D9A">
        <w:rPr>
          <w:b/>
          <w:bCs/>
          <w:szCs w:val="22"/>
          <w:lang w:val="sr-Latn-RS"/>
        </w:rPr>
        <w:t>5</w:t>
      </w:r>
      <w:r w:rsidRPr="00394D9A">
        <w:rPr>
          <w:b/>
          <w:bCs/>
          <w:szCs w:val="22"/>
          <w:lang w:val="sr-Latn-RS"/>
        </w:rPr>
        <w:t>: Polu</w:t>
      </w:r>
      <w:r w:rsidR="00BD52DD" w:rsidRPr="00394D9A">
        <w:rPr>
          <w:b/>
          <w:bCs/>
          <w:szCs w:val="22"/>
          <w:lang w:val="sr-Latn-RS"/>
        </w:rPr>
        <w:t>vrijeme</w:t>
      </w:r>
      <w:r w:rsidRPr="00394D9A">
        <w:rPr>
          <w:b/>
          <w:bCs/>
          <w:szCs w:val="22"/>
          <w:lang w:val="sr-Latn-RS"/>
        </w:rPr>
        <w:t xml:space="preserve"> eliminacije dabigatrana kod zdravih ispitanika i pacijenata sa oštećenjem</w:t>
      </w:r>
      <w:r w:rsidR="00A913E2" w:rsidRPr="00394D9A">
        <w:rPr>
          <w:b/>
          <w:bCs/>
          <w:szCs w:val="22"/>
          <w:lang w:val="sr-Latn-RS"/>
        </w:rPr>
        <w:t xml:space="preserve"> </w:t>
      </w:r>
      <w:r w:rsidRPr="00394D9A">
        <w:rPr>
          <w:b/>
          <w:bCs/>
          <w:szCs w:val="22"/>
          <w:lang w:val="sr-Latn-RS"/>
        </w:rPr>
        <w:t>funkcije bubrega</w:t>
      </w:r>
    </w:p>
    <w:p w14:paraId="32D9A5EF" w14:textId="62BF839C" w:rsidR="007C7E72" w:rsidRPr="00394D9A" w:rsidRDefault="007C7E72" w:rsidP="00187D17">
      <w:pPr>
        <w:widowControl w:val="0"/>
        <w:rPr>
          <w:b/>
          <w:bCs/>
          <w:szCs w:val="22"/>
          <w:lang w:val="sr-Latn-RS"/>
        </w:rPr>
      </w:pPr>
    </w:p>
    <w:tbl>
      <w:tblPr>
        <w:tblStyle w:val="TableGrid"/>
        <w:tblW w:w="0" w:type="auto"/>
        <w:tblLook w:val="04A0" w:firstRow="1" w:lastRow="0" w:firstColumn="1" w:lastColumn="0" w:noHBand="0" w:noVBand="1"/>
      </w:tblPr>
      <w:tblGrid>
        <w:gridCol w:w="2522"/>
        <w:gridCol w:w="6539"/>
      </w:tblGrid>
      <w:tr w:rsidR="007C7E72" w:rsidRPr="00394D9A" w14:paraId="00BFB890" w14:textId="77777777" w:rsidTr="007C7E72">
        <w:tc>
          <w:tcPr>
            <w:tcW w:w="2660" w:type="dxa"/>
          </w:tcPr>
          <w:p w14:paraId="6F6BFA29" w14:textId="5B333BBF" w:rsidR="007C7E72" w:rsidRPr="00394D9A" w:rsidRDefault="007C7E72" w:rsidP="00187D17">
            <w:pPr>
              <w:widowControl w:val="0"/>
              <w:jc w:val="center"/>
              <w:rPr>
                <w:szCs w:val="22"/>
                <w:lang w:val="sr-Latn-RS"/>
              </w:rPr>
            </w:pPr>
            <w:r w:rsidRPr="00394D9A">
              <w:rPr>
                <w:szCs w:val="22"/>
                <w:lang w:val="sr-Latn-RS"/>
              </w:rPr>
              <w:t>Glomerularna filtracija (CrCL) [m</w:t>
            </w:r>
            <w:r w:rsidR="00F77DC2" w:rsidRPr="00394D9A">
              <w:rPr>
                <w:szCs w:val="22"/>
                <w:lang w:val="sr-Latn-RS"/>
              </w:rPr>
              <w:t>l</w:t>
            </w:r>
            <w:r w:rsidRPr="00394D9A">
              <w:rPr>
                <w:szCs w:val="22"/>
                <w:lang w:val="sr-Latn-RS"/>
              </w:rPr>
              <w:t>/min]</w:t>
            </w:r>
          </w:p>
        </w:tc>
        <w:tc>
          <w:tcPr>
            <w:tcW w:w="7195" w:type="dxa"/>
          </w:tcPr>
          <w:p w14:paraId="3DFFAA87" w14:textId="53D38432" w:rsidR="007C7E72" w:rsidRPr="00394D9A" w:rsidRDefault="007C7E72" w:rsidP="00187D17">
            <w:pPr>
              <w:widowControl w:val="0"/>
              <w:jc w:val="center"/>
              <w:rPr>
                <w:szCs w:val="22"/>
                <w:lang w:val="sr-Latn-RS"/>
              </w:rPr>
            </w:pPr>
            <w:r w:rsidRPr="00394D9A">
              <w:rPr>
                <w:szCs w:val="22"/>
                <w:lang w:val="sr-Latn-RS"/>
              </w:rPr>
              <w:t>Geometrijska srednja vr</w:t>
            </w:r>
            <w:r w:rsidR="00E46617" w:rsidRPr="00394D9A">
              <w:rPr>
                <w:szCs w:val="22"/>
                <w:lang w:val="sr-Latn-RS"/>
              </w:rPr>
              <w:t>ij</w:t>
            </w:r>
            <w:r w:rsidRPr="00394D9A">
              <w:rPr>
                <w:szCs w:val="22"/>
                <w:lang w:val="sr-Latn-RS"/>
              </w:rPr>
              <w:t>ednost (gCV%; opseg)</w:t>
            </w:r>
          </w:p>
          <w:p w14:paraId="1C68EFAE" w14:textId="302688C1" w:rsidR="007C7E72" w:rsidRPr="00394D9A" w:rsidRDefault="007C7E72" w:rsidP="00187D17">
            <w:pPr>
              <w:widowControl w:val="0"/>
              <w:jc w:val="center"/>
              <w:rPr>
                <w:szCs w:val="22"/>
                <w:lang w:val="sr-Latn-RS"/>
              </w:rPr>
            </w:pPr>
            <w:r w:rsidRPr="00394D9A">
              <w:rPr>
                <w:szCs w:val="22"/>
                <w:lang w:val="sr-Latn-RS"/>
              </w:rPr>
              <w:t>polu</w:t>
            </w:r>
            <w:r w:rsidR="00BD52DD" w:rsidRPr="00394D9A">
              <w:rPr>
                <w:szCs w:val="22"/>
                <w:lang w:val="sr-Latn-RS"/>
              </w:rPr>
              <w:t>vrijeme</w:t>
            </w:r>
            <w:r w:rsidRPr="00394D9A">
              <w:rPr>
                <w:szCs w:val="22"/>
                <w:lang w:val="sr-Latn-RS"/>
              </w:rPr>
              <w:t xml:space="preserve"> eliminacije [h]</w:t>
            </w:r>
          </w:p>
        </w:tc>
      </w:tr>
      <w:tr w:rsidR="007C7E72" w:rsidRPr="00394D9A" w14:paraId="44DDDB0B" w14:textId="77777777" w:rsidTr="007C7E72">
        <w:tc>
          <w:tcPr>
            <w:tcW w:w="2660" w:type="dxa"/>
          </w:tcPr>
          <w:p w14:paraId="56181153" w14:textId="0228497E" w:rsidR="007C7E72" w:rsidRPr="00394D9A" w:rsidRDefault="007C7E72" w:rsidP="00187D17">
            <w:pPr>
              <w:widowControl w:val="0"/>
              <w:jc w:val="center"/>
              <w:rPr>
                <w:szCs w:val="22"/>
                <w:lang w:val="sr-Latn-RS"/>
              </w:rPr>
            </w:pPr>
            <w:r w:rsidRPr="00394D9A">
              <w:rPr>
                <w:szCs w:val="22"/>
                <w:lang w:val="sr-Latn-RS"/>
              </w:rPr>
              <w:t>≥</w:t>
            </w:r>
            <w:r w:rsidR="00F77DC2" w:rsidRPr="00394D9A">
              <w:rPr>
                <w:szCs w:val="22"/>
                <w:lang w:val="sr-Latn-RS"/>
              </w:rPr>
              <w:t xml:space="preserve"> </w:t>
            </w:r>
            <w:r w:rsidRPr="00394D9A">
              <w:rPr>
                <w:szCs w:val="22"/>
                <w:lang w:val="sr-Latn-RS"/>
              </w:rPr>
              <w:t>80</w:t>
            </w:r>
          </w:p>
        </w:tc>
        <w:tc>
          <w:tcPr>
            <w:tcW w:w="7195" w:type="dxa"/>
          </w:tcPr>
          <w:p w14:paraId="745D9303" w14:textId="4A1053F1" w:rsidR="007C7E72" w:rsidRPr="00394D9A" w:rsidRDefault="007C7E72" w:rsidP="00187D17">
            <w:pPr>
              <w:widowControl w:val="0"/>
              <w:jc w:val="center"/>
              <w:rPr>
                <w:szCs w:val="22"/>
                <w:lang w:val="sr-Latn-RS"/>
              </w:rPr>
            </w:pPr>
            <w:r w:rsidRPr="00394D9A">
              <w:rPr>
                <w:szCs w:val="22"/>
                <w:lang w:val="sr-Latn-RS"/>
              </w:rPr>
              <w:t>13,4 (25,7%; 11,0-21,6)</w:t>
            </w:r>
          </w:p>
        </w:tc>
      </w:tr>
      <w:tr w:rsidR="007C7E72" w:rsidRPr="00394D9A" w14:paraId="001FA2FD" w14:textId="77777777" w:rsidTr="007C7E72">
        <w:tc>
          <w:tcPr>
            <w:tcW w:w="2660" w:type="dxa"/>
          </w:tcPr>
          <w:p w14:paraId="0E28FFB4" w14:textId="6887E66F" w:rsidR="007C7E72" w:rsidRPr="00394D9A" w:rsidRDefault="007C7E72" w:rsidP="00187D17">
            <w:pPr>
              <w:widowControl w:val="0"/>
              <w:jc w:val="center"/>
              <w:rPr>
                <w:szCs w:val="22"/>
                <w:lang w:val="sr-Latn-RS"/>
              </w:rPr>
            </w:pPr>
            <w:r w:rsidRPr="00394D9A">
              <w:rPr>
                <w:szCs w:val="22"/>
                <w:lang w:val="sr-Latn-RS"/>
              </w:rPr>
              <w:t>≥</w:t>
            </w:r>
            <w:r w:rsidR="00F77DC2" w:rsidRPr="00394D9A">
              <w:rPr>
                <w:szCs w:val="22"/>
                <w:lang w:val="sr-Latn-RS"/>
              </w:rPr>
              <w:t xml:space="preserve"> </w:t>
            </w:r>
            <w:r w:rsidRPr="00394D9A">
              <w:rPr>
                <w:szCs w:val="22"/>
                <w:lang w:val="sr-Latn-RS"/>
              </w:rPr>
              <w:t>50 - &lt;</w:t>
            </w:r>
            <w:r w:rsidR="00F77DC2" w:rsidRPr="00394D9A">
              <w:rPr>
                <w:szCs w:val="22"/>
                <w:lang w:val="sr-Latn-RS"/>
              </w:rPr>
              <w:t xml:space="preserve"> </w:t>
            </w:r>
            <w:r w:rsidRPr="00394D9A">
              <w:rPr>
                <w:szCs w:val="22"/>
                <w:lang w:val="sr-Latn-RS"/>
              </w:rPr>
              <w:t>80</w:t>
            </w:r>
          </w:p>
        </w:tc>
        <w:tc>
          <w:tcPr>
            <w:tcW w:w="7195" w:type="dxa"/>
          </w:tcPr>
          <w:p w14:paraId="55E65389" w14:textId="26AB543F" w:rsidR="007C7E72" w:rsidRPr="00394D9A" w:rsidRDefault="007C7E72" w:rsidP="00187D17">
            <w:pPr>
              <w:widowControl w:val="0"/>
              <w:jc w:val="center"/>
              <w:rPr>
                <w:szCs w:val="22"/>
                <w:lang w:val="sr-Latn-RS"/>
              </w:rPr>
            </w:pPr>
            <w:r w:rsidRPr="00394D9A">
              <w:rPr>
                <w:szCs w:val="22"/>
                <w:lang w:val="sr-Latn-RS"/>
              </w:rPr>
              <w:t>15,3 (42,7%; 11,7-34,1)</w:t>
            </w:r>
          </w:p>
        </w:tc>
      </w:tr>
      <w:tr w:rsidR="007C7E72" w:rsidRPr="00394D9A" w14:paraId="6B071C68" w14:textId="77777777" w:rsidTr="007C7E72">
        <w:tc>
          <w:tcPr>
            <w:tcW w:w="2660" w:type="dxa"/>
          </w:tcPr>
          <w:p w14:paraId="58BC6CD2" w14:textId="76A4F482" w:rsidR="007C7E72" w:rsidRPr="00394D9A" w:rsidRDefault="007C7E72" w:rsidP="00187D17">
            <w:pPr>
              <w:widowControl w:val="0"/>
              <w:jc w:val="center"/>
              <w:rPr>
                <w:szCs w:val="22"/>
                <w:lang w:val="sr-Latn-RS"/>
              </w:rPr>
            </w:pPr>
            <w:r w:rsidRPr="00394D9A">
              <w:rPr>
                <w:szCs w:val="22"/>
                <w:lang w:val="sr-Latn-RS"/>
              </w:rPr>
              <w:t>≥</w:t>
            </w:r>
            <w:r w:rsidR="00F77DC2" w:rsidRPr="00394D9A">
              <w:rPr>
                <w:szCs w:val="22"/>
                <w:lang w:val="sr-Latn-RS"/>
              </w:rPr>
              <w:t xml:space="preserve"> </w:t>
            </w:r>
            <w:r w:rsidRPr="00394D9A">
              <w:rPr>
                <w:szCs w:val="22"/>
                <w:lang w:val="sr-Latn-RS"/>
              </w:rPr>
              <w:t>30 - &lt;</w:t>
            </w:r>
            <w:r w:rsidR="00F77DC2" w:rsidRPr="00394D9A">
              <w:rPr>
                <w:szCs w:val="22"/>
                <w:lang w:val="sr-Latn-RS"/>
              </w:rPr>
              <w:t xml:space="preserve"> </w:t>
            </w:r>
            <w:r w:rsidRPr="00394D9A">
              <w:rPr>
                <w:szCs w:val="22"/>
                <w:lang w:val="sr-Latn-RS"/>
              </w:rPr>
              <w:t>50</w:t>
            </w:r>
          </w:p>
        </w:tc>
        <w:tc>
          <w:tcPr>
            <w:tcW w:w="7195" w:type="dxa"/>
          </w:tcPr>
          <w:p w14:paraId="4FA794DF" w14:textId="19229C4B" w:rsidR="007C7E72" w:rsidRPr="00394D9A" w:rsidRDefault="007C7E72" w:rsidP="00187D17">
            <w:pPr>
              <w:widowControl w:val="0"/>
              <w:jc w:val="center"/>
              <w:rPr>
                <w:szCs w:val="22"/>
                <w:lang w:val="sr-Latn-RS"/>
              </w:rPr>
            </w:pPr>
            <w:r w:rsidRPr="00394D9A">
              <w:rPr>
                <w:szCs w:val="22"/>
                <w:lang w:val="sr-Latn-RS"/>
              </w:rPr>
              <w:t>18,4 (18,5%; 13,3-23,0)</w:t>
            </w:r>
          </w:p>
        </w:tc>
      </w:tr>
      <w:tr w:rsidR="007C7E72" w:rsidRPr="00394D9A" w14:paraId="4CB95CA6" w14:textId="77777777" w:rsidTr="007C7E72">
        <w:tc>
          <w:tcPr>
            <w:tcW w:w="2660" w:type="dxa"/>
          </w:tcPr>
          <w:p w14:paraId="0AD9A31E" w14:textId="31FD2735" w:rsidR="007C7E72" w:rsidRPr="00394D9A" w:rsidRDefault="007C7E72" w:rsidP="00187D17">
            <w:pPr>
              <w:widowControl w:val="0"/>
              <w:jc w:val="center"/>
              <w:rPr>
                <w:szCs w:val="22"/>
                <w:lang w:val="sr-Latn-RS"/>
              </w:rPr>
            </w:pPr>
            <w:r w:rsidRPr="00394D9A">
              <w:rPr>
                <w:szCs w:val="22"/>
                <w:lang w:val="sr-Latn-RS"/>
              </w:rPr>
              <w:t>&lt;</w:t>
            </w:r>
            <w:r w:rsidR="00F77DC2" w:rsidRPr="00394D9A">
              <w:rPr>
                <w:szCs w:val="22"/>
                <w:lang w:val="sr-Latn-RS"/>
              </w:rPr>
              <w:t xml:space="preserve"> </w:t>
            </w:r>
            <w:r w:rsidRPr="00394D9A">
              <w:rPr>
                <w:szCs w:val="22"/>
                <w:lang w:val="sr-Latn-RS"/>
              </w:rPr>
              <w:t>30</w:t>
            </w:r>
          </w:p>
        </w:tc>
        <w:tc>
          <w:tcPr>
            <w:tcW w:w="7195" w:type="dxa"/>
          </w:tcPr>
          <w:p w14:paraId="5A536793" w14:textId="7EE8D99B" w:rsidR="007C7E72" w:rsidRPr="00394D9A" w:rsidRDefault="007C7E72" w:rsidP="00187D17">
            <w:pPr>
              <w:widowControl w:val="0"/>
              <w:jc w:val="center"/>
              <w:rPr>
                <w:szCs w:val="22"/>
                <w:lang w:val="sr-Latn-RS"/>
              </w:rPr>
            </w:pPr>
            <w:r w:rsidRPr="00394D9A">
              <w:rPr>
                <w:szCs w:val="22"/>
                <w:lang w:val="sr-Latn-RS"/>
              </w:rPr>
              <w:t>27,2 (15,3%; 21,6-35,0)</w:t>
            </w:r>
          </w:p>
        </w:tc>
      </w:tr>
    </w:tbl>
    <w:p w14:paraId="6828E3F1" w14:textId="1211C92A" w:rsidR="007C7E72" w:rsidRPr="00394D9A" w:rsidRDefault="007C7E72" w:rsidP="00187D17">
      <w:pPr>
        <w:widowControl w:val="0"/>
        <w:rPr>
          <w:b/>
          <w:bCs/>
          <w:szCs w:val="22"/>
          <w:lang w:val="sr-Latn-RS"/>
        </w:rPr>
      </w:pPr>
    </w:p>
    <w:p w14:paraId="0FE4C26C" w14:textId="5787EB5F" w:rsidR="007C7E72" w:rsidRPr="00394D9A" w:rsidRDefault="007C7E72" w:rsidP="00187D17">
      <w:pPr>
        <w:widowControl w:val="0"/>
        <w:rPr>
          <w:szCs w:val="22"/>
          <w:lang w:val="sr-Latn-RS"/>
        </w:rPr>
      </w:pPr>
      <w:r w:rsidRPr="00394D9A">
        <w:rPr>
          <w:szCs w:val="22"/>
          <w:lang w:val="sr-Latn-RS"/>
        </w:rPr>
        <w:t>Osim toga, izloženost dabigatranu (najniža i vršna) bila je proc</w:t>
      </w:r>
      <w:r w:rsidR="00A06970" w:rsidRPr="00394D9A">
        <w:rPr>
          <w:szCs w:val="22"/>
          <w:lang w:val="sr-Latn-RS"/>
        </w:rPr>
        <w:t>i</w:t>
      </w:r>
      <w:r w:rsidR="00E46617" w:rsidRPr="00394D9A">
        <w:rPr>
          <w:szCs w:val="22"/>
          <w:lang w:val="sr-Latn-RS"/>
        </w:rPr>
        <w:t>j</w:t>
      </w:r>
      <w:r w:rsidRPr="00394D9A">
        <w:rPr>
          <w:szCs w:val="22"/>
          <w:lang w:val="sr-Latn-RS"/>
        </w:rPr>
        <w:t>enjena u prospektivnom, otvorenom,</w:t>
      </w:r>
      <w:r w:rsidR="00A913E2" w:rsidRPr="00394D9A">
        <w:rPr>
          <w:szCs w:val="22"/>
          <w:lang w:val="sr-Latn-RS"/>
        </w:rPr>
        <w:t xml:space="preserve"> </w:t>
      </w:r>
      <w:r w:rsidRPr="00394D9A">
        <w:rPr>
          <w:szCs w:val="22"/>
          <w:lang w:val="sr-Latn-RS"/>
        </w:rPr>
        <w:t xml:space="preserve">randomizovanom farmakokinetičkom ispitivanju kod pacijenata </w:t>
      </w:r>
      <w:r w:rsidR="00826E8C" w:rsidRPr="00394D9A">
        <w:rPr>
          <w:szCs w:val="22"/>
          <w:lang w:val="sr-Latn-RS"/>
        </w:rPr>
        <w:t xml:space="preserve">sa </w:t>
      </w:r>
      <w:r w:rsidRPr="00394D9A">
        <w:rPr>
          <w:szCs w:val="22"/>
          <w:lang w:val="sr-Latn-RS"/>
        </w:rPr>
        <w:t xml:space="preserve">nevalvularnom atrijalnom </w:t>
      </w:r>
      <w:r w:rsidRPr="00394D9A">
        <w:rPr>
          <w:szCs w:val="22"/>
          <w:lang w:val="sr-Latn-RS"/>
        </w:rPr>
        <w:lastRenderedPageBreak/>
        <w:t>fibrilacijom</w:t>
      </w:r>
      <w:r w:rsidR="00A913E2" w:rsidRPr="00394D9A">
        <w:rPr>
          <w:szCs w:val="22"/>
          <w:lang w:val="sr-Latn-RS"/>
        </w:rPr>
        <w:t xml:space="preserve"> </w:t>
      </w:r>
      <w:r w:rsidRPr="00394D9A">
        <w:rPr>
          <w:szCs w:val="22"/>
          <w:lang w:val="sr-Latn-RS"/>
        </w:rPr>
        <w:t>(NVAF) i teškim oštećenjem funkcije bubrega (definisanim kao klirens kreatinina [CrCl] 15-30 m</w:t>
      </w:r>
      <w:r w:rsidR="00F77DC2" w:rsidRPr="00394D9A">
        <w:rPr>
          <w:szCs w:val="22"/>
          <w:lang w:val="sr-Latn-RS"/>
        </w:rPr>
        <w:t>l</w:t>
      </w:r>
      <w:r w:rsidRPr="00394D9A">
        <w:rPr>
          <w:szCs w:val="22"/>
          <w:lang w:val="sr-Latn-RS"/>
        </w:rPr>
        <w:t>/min)</w:t>
      </w:r>
      <w:r w:rsidR="00A913E2" w:rsidRPr="00394D9A">
        <w:rPr>
          <w:szCs w:val="22"/>
          <w:lang w:val="sr-Latn-RS"/>
        </w:rPr>
        <w:t xml:space="preserve"> </w:t>
      </w:r>
      <w:r w:rsidRPr="00394D9A">
        <w:rPr>
          <w:szCs w:val="22"/>
          <w:lang w:val="sr-Latn-RS"/>
        </w:rPr>
        <w:t>koji su primali dabigatran</w:t>
      </w:r>
      <w:r w:rsidR="003D2DBC" w:rsidRPr="00394D9A">
        <w:rPr>
          <w:szCs w:val="22"/>
          <w:lang w:val="sr-Latn-RS"/>
        </w:rPr>
        <w:t xml:space="preserve"> </w:t>
      </w:r>
      <w:r w:rsidRPr="00394D9A">
        <w:rPr>
          <w:szCs w:val="22"/>
          <w:lang w:val="sr-Latn-RS"/>
        </w:rPr>
        <w:t>eteksilat u dozi od 75 mg dva</w:t>
      </w:r>
      <w:r w:rsidR="00F77DC2" w:rsidRPr="00394D9A">
        <w:rPr>
          <w:szCs w:val="22"/>
          <w:lang w:val="sr-Latn-RS"/>
        </w:rPr>
        <w:t xml:space="preserve"> </w:t>
      </w:r>
      <w:r w:rsidRPr="00394D9A">
        <w:rPr>
          <w:szCs w:val="22"/>
          <w:lang w:val="sr-Latn-RS"/>
        </w:rPr>
        <w:t>put</w:t>
      </w:r>
      <w:r w:rsidR="00F77DC2" w:rsidRPr="00394D9A">
        <w:rPr>
          <w:szCs w:val="22"/>
          <w:lang w:val="sr-Latn-RS"/>
        </w:rPr>
        <w:t>a</w:t>
      </w:r>
      <w:r w:rsidRPr="00394D9A">
        <w:rPr>
          <w:szCs w:val="22"/>
          <w:lang w:val="sr-Latn-RS"/>
        </w:rPr>
        <w:t xml:space="preserve"> dnevno.</w:t>
      </w:r>
    </w:p>
    <w:p w14:paraId="301EFD1D" w14:textId="6F5B918B" w:rsidR="007C7E72" w:rsidRPr="00394D9A" w:rsidRDefault="007C7E72" w:rsidP="00187D17">
      <w:pPr>
        <w:widowControl w:val="0"/>
        <w:rPr>
          <w:szCs w:val="22"/>
          <w:lang w:val="sr-Latn-RS"/>
        </w:rPr>
      </w:pPr>
      <w:r w:rsidRPr="00394D9A">
        <w:rPr>
          <w:szCs w:val="22"/>
          <w:lang w:val="sr-Latn-RS"/>
        </w:rPr>
        <w:t xml:space="preserve">Ovaj režim doveo je do geometrijske srednje </w:t>
      </w:r>
      <w:r w:rsidR="00BD52DD" w:rsidRPr="00394D9A">
        <w:rPr>
          <w:szCs w:val="22"/>
          <w:lang w:val="sr-Latn-RS"/>
        </w:rPr>
        <w:t>vrijednosti</w:t>
      </w:r>
      <w:r w:rsidRPr="00394D9A">
        <w:rPr>
          <w:szCs w:val="22"/>
          <w:lang w:val="sr-Latn-RS"/>
        </w:rPr>
        <w:t xml:space="preserve"> najniže koncentracije od 155 nanograma/m</w:t>
      </w:r>
      <w:r w:rsidR="00F77DC2" w:rsidRPr="00394D9A">
        <w:rPr>
          <w:szCs w:val="22"/>
          <w:lang w:val="sr-Latn-RS"/>
        </w:rPr>
        <w:t>l</w:t>
      </w:r>
      <w:r w:rsidRPr="00394D9A">
        <w:rPr>
          <w:szCs w:val="22"/>
          <w:lang w:val="sr-Latn-RS"/>
        </w:rPr>
        <w:t xml:space="preserve"> (gCV</w:t>
      </w:r>
      <w:r w:rsidR="00A913E2" w:rsidRPr="00394D9A">
        <w:rPr>
          <w:szCs w:val="22"/>
          <w:lang w:val="sr-Latn-RS"/>
        </w:rPr>
        <w:t xml:space="preserve"> </w:t>
      </w:r>
      <w:r w:rsidRPr="00394D9A">
        <w:rPr>
          <w:szCs w:val="22"/>
          <w:lang w:val="sr-Latn-RS"/>
        </w:rPr>
        <w:t>od 76,9%), izm</w:t>
      </w:r>
      <w:r w:rsidR="00E46617" w:rsidRPr="00394D9A">
        <w:rPr>
          <w:szCs w:val="22"/>
          <w:lang w:val="sr-Latn-RS"/>
        </w:rPr>
        <w:t>j</w:t>
      </w:r>
      <w:r w:rsidRPr="00394D9A">
        <w:rPr>
          <w:szCs w:val="22"/>
          <w:lang w:val="sr-Latn-RS"/>
        </w:rPr>
        <w:t>erene neposredno pr</w:t>
      </w:r>
      <w:r w:rsidR="00E46617" w:rsidRPr="00394D9A">
        <w:rPr>
          <w:szCs w:val="22"/>
          <w:lang w:val="sr-Latn-RS"/>
        </w:rPr>
        <w:t>ij</w:t>
      </w:r>
      <w:r w:rsidRPr="00394D9A">
        <w:rPr>
          <w:szCs w:val="22"/>
          <w:lang w:val="sr-Latn-RS"/>
        </w:rPr>
        <w:t xml:space="preserve">e </w:t>
      </w:r>
      <w:r w:rsidR="00A639DA" w:rsidRPr="00394D9A">
        <w:rPr>
          <w:szCs w:val="22"/>
          <w:lang w:val="sr-Latn-RS"/>
        </w:rPr>
        <w:t>primjene</w:t>
      </w:r>
      <w:r w:rsidRPr="00394D9A">
        <w:rPr>
          <w:szCs w:val="22"/>
          <w:lang w:val="sr-Latn-RS"/>
        </w:rPr>
        <w:t xml:space="preserve"> sl</w:t>
      </w:r>
      <w:r w:rsidR="00157169" w:rsidRPr="00394D9A">
        <w:rPr>
          <w:szCs w:val="22"/>
          <w:lang w:val="sr-Latn-RS"/>
        </w:rPr>
        <w:t>j</w:t>
      </w:r>
      <w:r w:rsidRPr="00394D9A">
        <w:rPr>
          <w:szCs w:val="22"/>
          <w:lang w:val="sr-Latn-RS"/>
        </w:rPr>
        <w:t xml:space="preserve">edeće doze i geometrijske srednje </w:t>
      </w:r>
      <w:r w:rsidR="00BD52DD" w:rsidRPr="00394D9A">
        <w:rPr>
          <w:szCs w:val="22"/>
          <w:lang w:val="sr-Latn-RS"/>
        </w:rPr>
        <w:t>vrijednosti</w:t>
      </w:r>
      <w:r w:rsidRPr="00394D9A">
        <w:rPr>
          <w:szCs w:val="22"/>
          <w:lang w:val="sr-Latn-RS"/>
        </w:rPr>
        <w:t xml:space="preserve"> </w:t>
      </w:r>
      <w:r w:rsidR="00F77DC2" w:rsidRPr="00394D9A">
        <w:rPr>
          <w:szCs w:val="22"/>
          <w:lang w:val="sr-Latn-RS"/>
        </w:rPr>
        <w:t xml:space="preserve">maksimalne </w:t>
      </w:r>
      <w:r w:rsidRPr="00394D9A">
        <w:rPr>
          <w:szCs w:val="22"/>
          <w:lang w:val="sr-Latn-RS"/>
        </w:rPr>
        <w:t>koncentracije od 202 nanograma/m</w:t>
      </w:r>
      <w:r w:rsidR="00F77DC2" w:rsidRPr="00394D9A">
        <w:rPr>
          <w:szCs w:val="22"/>
          <w:lang w:val="sr-Latn-RS"/>
        </w:rPr>
        <w:t>l</w:t>
      </w:r>
      <w:r w:rsidRPr="00394D9A">
        <w:rPr>
          <w:szCs w:val="22"/>
          <w:lang w:val="sr-Latn-RS"/>
        </w:rPr>
        <w:t xml:space="preserve"> (gCV od 70,6) izm</w:t>
      </w:r>
      <w:r w:rsidR="00E46617" w:rsidRPr="00394D9A">
        <w:rPr>
          <w:szCs w:val="22"/>
          <w:lang w:val="sr-Latn-RS"/>
        </w:rPr>
        <w:t>j</w:t>
      </w:r>
      <w:r w:rsidRPr="00394D9A">
        <w:rPr>
          <w:szCs w:val="22"/>
          <w:lang w:val="sr-Latn-RS"/>
        </w:rPr>
        <w:t xml:space="preserve">erene dva sata nakon </w:t>
      </w:r>
      <w:r w:rsidR="00A639DA" w:rsidRPr="00394D9A">
        <w:rPr>
          <w:szCs w:val="22"/>
          <w:lang w:val="sr-Latn-RS"/>
        </w:rPr>
        <w:t>primjene</w:t>
      </w:r>
      <w:r w:rsidRPr="00394D9A">
        <w:rPr>
          <w:szCs w:val="22"/>
          <w:lang w:val="sr-Latn-RS"/>
        </w:rPr>
        <w:t xml:space="preserve"> posl</w:t>
      </w:r>
      <w:r w:rsidR="00157169" w:rsidRPr="00394D9A">
        <w:rPr>
          <w:szCs w:val="22"/>
          <w:lang w:val="sr-Latn-RS"/>
        </w:rPr>
        <w:t>j</w:t>
      </w:r>
      <w:r w:rsidRPr="00394D9A">
        <w:rPr>
          <w:szCs w:val="22"/>
          <w:lang w:val="sr-Latn-RS"/>
        </w:rPr>
        <w:t>ednje doze.</w:t>
      </w:r>
    </w:p>
    <w:p w14:paraId="2FE11C20" w14:textId="299CC87C" w:rsidR="007C7E72" w:rsidRPr="00394D9A" w:rsidRDefault="007C7E72" w:rsidP="00187D17">
      <w:pPr>
        <w:widowControl w:val="0"/>
        <w:rPr>
          <w:szCs w:val="22"/>
          <w:lang w:val="sr-Latn-RS"/>
        </w:rPr>
      </w:pPr>
    </w:p>
    <w:p w14:paraId="3D76CD83" w14:textId="7CAAF8E1" w:rsidR="007C7E72" w:rsidRPr="00394D9A" w:rsidRDefault="007C7E72" w:rsidP="00187D17">
      <w:pPr>
        <w:widowControl w:val="0"/>
        <w:rPr>
          <w:szCs w:val="22"/>
          <w:lang w:val="sr-Latn-RS"/>
        </w:rPr>
      </w:pPr>
      <w:r w:rsidRPr="00394D9A">
        <w:rPr>
          <w:szCs w:val="22"/>
          <w:lang w:val="sr-Latn-RS"/>
        </w:rPr>
        <w:t xml:space="preserve">Klirens dabigatrana uz pomoć hemodijalize bio je ispitivan kod 7 </w:t>
      </w:r>
      <w:r w:rsidR="002C2188">
        <w:rPr>
          <w:szCs w:val="22"/>
          <w:lang w:val="sr-Latn-RS"/>
        </w:rPr>
        <w:t xml:space="preserve">odraslih </w:t>
      </w:r>
      <w:r w:rsidRPr="00394D9A">
        <w:rPr>
          <w:szCs w:val="22"/>
          <w:lang w:val="sr-Latn-RS"/>
        </w:rPr>
        <w:t>pacijenata sa terminalnim stadijumom</w:t>
      </w:r>
      <w:r w:rsidR="00A913E2" w:rsidRPr="00394D9A">
        <w:rPr>
          <w:szCs w:val="22"/>
          <w:lang w:val="sr-Latn-RS"/>
        </w:rPr>
        <w:t xml:space="preserve"> </w:t>
      </w:r>
      <w:r w:rsidRPr="00394D9A">
        <w:rPr>
          <w:szCs w:val="22"/>
          <w:lang w:val="sr-Latn-RS"/>
        </w:rPr>
        <w:t>bubrežne insuficijencije koji ni</w:t>
      </w:r>
      <w:r w:rsidR="00157169" w:rsidRPr="00394D9A">
        <w:rPr>
          <w:szCs w:val="22"/>
          <w:lang w:val="sr-Latn-RS"/>
        </w:rPr>
        <w:t>je</w:t>
      </w:r>
      <w:r w:rsidRPr="00394D9A">
        <w:rPr>
          <w:szCs w:val="22"/>
          <w:lang w:val="sr-Latn-RS"/>
        </w:rPr>
        <w:t>su imali atrijalnu fibrilaciju. Dijaliza je sprovođena sa stopom protoka od</w:t>
      </w:r>
      <w:r w:rsidR="00A913E2" w:rsidRPr="00394D9A">
        <w:rPr>
          <w:szCs w:val="22"/>
          <w:lang w:val="sr-Latn-RS"/>
        </w:rPr>
        <w:t xml:space="preserve"> </w:t>
      </w:r>
      <w:r w:rsidRPr="00394D9A">
        <w:rPr>
          <w:szCs w:val="22"/>
          <w:lang w:val="sr-Latn-RS"/>
        </w:rPr>
        <w:t>700 m</w:t>
      </w:r>
      <w:r w:rsidR="00F77DC2" w:rsidRPr="00394D9A">
        <w:rPr>
          <w:szCs w:val="22"/>
          <w:lang w:val="sr-Latn-RS"/>
        </w:rPr>
        <w:t>l</w:t>
      </w:r>
      <w:r w:rsidRPr="00394D9A">
        <w:rPr>
          <w:szCs w:val="22"/>
          <w:lang w:val="sr-Latn-RS"/>
        </w:rPr>
        <w:t>/min, tokom 4 sata, i sa stopom protoka krvi od 200 m</w:t>
      </w:r>
      <w:r w:rsidR="00F77DC2" w:rsidRPr="00394D9A">
        <w:rPr>
          <w:szCs w:val="22"/>
          <w:lang w:val="sr-Latn-RS"/>
        </w:rPr>
        <w:t>l</w:t>
      </w:r>
      <w:r w:rsidRPr="00394D9A">
        <w:rPr>
          <w:szCs w:val="22"/>
          <w:lang w:val="sr-Latn-RS"/>
        </w:rPr>
        <w:t>/min ili 350-390 m</w:t>
      </w:r>
      <w:r w:rsidR="00F77DC2" w:rsidRPr="00394D9A">
        <w:rPr>
          <w:szCs w:val="22"/>
          <w:lang w:val="sr-Latn-RS"/>
        </w:rPr>
        <w:t>l</w:t>
      </w:r>
      <w:r w:rsidRPr="00394D9A">
        <w:rPr>
          <w:szCs w:val="22"/>
          <w:lang w:val="sr-Latn-RS"/>
        </w:rPr>
        <w:t>/min. Ovo je imalo za</w:t>
      </w:r>
      <w:r w:rsidR="00A913E2" w:rsidRPr="00394D9A">
        <w:rPr>
          <w:szCs w:val="22"/>
          <w:lang w:val="sr-Latn-RS"/>
        </w:rPr>
        <w:t xml:space="preserve"> </w:t>
      </w:r>
      <w:r w:rsidRPr="00394D9A">
        <w:rPr>
          <w:szCs w:val="22"/>
          <w:lang w:val="sr-Latn-RS"/>
        </w:rPr>
        <w:t>posl</w:t>
      </w:r>
      <w:r w:rsidR="00157169" w:rsidRPr="00394D9A">
        <w:rPr>
          <w:szCs w:val="22"/>
          <w:lang w:val="sr-Latn-RS"/>
        </w:rPr>
        <w:t>j</w:t>
      </w:r>
      <w:r w:rsidRPr="00394D9A">
        <w:rPr>
          <w:szCs w:val="22"/>
          <w:lang w:val="sr-Latn-RS"/>
        </w:rPr>
        <w:t>edicu eliminaciju 50%, odnosno 60% koncentracije dabigatrana. Količina supstance uklonjena</w:t>
      </w:r>
      <w:r w:rsidR="00A913E2" w:rsidRPr="00394D9A">
        <w:rPr>
          <w:szCs w:val="22"/>
          <w:lang w:val="sr-Latn-RS"/>
        </w:rPr>
        <w:t xml:space="preserve"> </w:t>
      </w:r>
      <w:r w:rsidRPr="00394D9A">
        <w:rPr>
          <w:szCs w:val="22"/>
          <w:lang w:val="sr-Latn-RS"/>
        </w:rPr>
        <w:t>dijalizom je bila proporcionalna stopi protoka krvi do stope protoka krvi od 300 m</w:t>
      </w:r>
      <w:r w:rsidR="00F77DC2" w:rsidRPr="00394D9A">
        <w:rPr>
          <w:szCs w:val="22"/>
          <w:lang w:val="sr-Latn-RS"/>
        </w:rPr>
        <w:t>l</w:t>
      </w:r>
      <w:r w:rsidRPr="00394D9A">
        <w:rPr>
          <w:szCs w:val="22"/>
          <w:lang w:val="sr-Latn-RS"/>
        </w:rPr>
        <w:t>/min.</w:t>
      </w:r>
      <w:r w:rsidR="00A913E2" w:rsidRPr="00394D9A">
        <w:rPr>
          <w:szCs w:val="22"/>
          <w:lang w:val="sr-Latn-RS"/>
        </w:rPr>
        <w:t xml:space="preserve"> </w:t>
      </w:r>
      <w:r w:rsidRPr="00394D9A">
        <w:rPr>
          <w:szCs w:val="22"/>
          <w:lang w:val="sr-Latn-RS"/>
        </w:rPr>
        <w:t>Antikoagulaciona aktivnost dabigatrana se smanjivala sa padom njegove koncentracije u plazmi, ali ovo</w:t>
      </w:r>
      <w:r w:rsidR="00A913E2" w:rsidRPr="00394D9A">
        <w:rPr>
          <w:szCs w:val="22"/>
          <w:lang w:val="sr-Latn-RS"/>
        </w:rPr>
        <w:t xml:space="preserve"> </w:t>
      </w:r>
      <w:r w:rsidRPr="00394D9A">
        <w:rPr>
          <w:szCs w:val="22"/>
          <w:lang w:val="sr-Latn-RS"/>
        </w:rPr>
        <w:t>nije imalo utic</w:t>
      </w:r>
      <w:r w:rsidR="00B16549" w:rsidRPr="00394D9A">
        <w:rPr>
          <w:szCs w:val="22"/>
          <w:lang w:val="sr-Latn-RS"/>
        </w:rPr>
        <w:t>a</w:t>
      </w:r>
      <w:r w:rsidRPr="00394D9A">
        <w:rPr>
          <w:szCs w:val="22"/>
          <w:lang w:val="sr-Latn-RS"/>
        </w:rPr>
        <w:t>ja na odnos PK/PD.</w:t>
      </w:r>
    </w:p>
    <w:p w14:paraId="40DA74BA" w14:textId="127DEE24" w:rsidR="00A913E2" w:rsidRPr="00394D9A" w:rsidRDefault="00A913E2" w:rsidP="00187D17">
      <w:pPr>
        <w:widowControl w:val="0"/>
        <w:rPr>
          <w:szCs w:val="22"/>
          <w:lang w:val="sr-Latn-RS"/>
        </w:rPr>
      </w:pPr>
    </w:p>
    <w:p w14:paraId="668422F2" w14:textId="424ABFF0" w:rsidR="00AF495B" w:rsidRPr="00394D9A" w:rsidRDefault="00B16549" w:rsidP="00187D17">
      <w:pPr>
        <w:widowControl w:val="0"/>
        <w:rPr>
          <w:szCs w:val="22"/>
          <w:lang w:val="sr-Latn-RS"/>
        </w:rPr>
      </w:pPr>
      <w:r w:rsidRPr="00394D9A">
        <w:rPr>
          <w:szCs w:val="22"/>
          <w:lang w:val="sr-Latn-RS"/>
        </w:rPr>
        <w:t>Medijana</w:t>
      </w:r>
      <w:r w:rsidR="00AF495B" w:rsidRPr="00394D9A">
        <w:rPr>
          <w:szCs w:val="22"/>
          <w:lang w:val="sr-Latn-RS"/>
        </w:rPr>
        <w:t xml:space="preserve"> </w:t>
      </w:r>
      <w:r w:rsidR="00BD52DD" w:rsidRPr="00394D9A">
        <w:rPr>
          <w:szCs w:val="22"/>
          <w:lang w:val="sr-Latn-RS"/>
        </w:rPr>
        <w:t>vrijednosti</w:t>
      </w:r>
      <w:r w:rsidR="00AF495B" w:rsidRPr="00394D9A">
        <w:rPr>
          <w:szCs w:val="22"/>
          <w:lang w:val="sr-Latn-RS"/>
        </w:rPr>
        <w:t xml:space="preserve"> CrCL u studiji RE-LY bila je 68,4 m</w:t>
      </w:r>
      <w:r w:rsidR="00F77DC2" w:rsidRPr="00394D9A">
        <w:rPr>
          <w:szCs w:val="22"/>
          <w:lang w:val="sr-Latn-RS"/>
        </w:rPr>
        <w:t>l</w:t>
      </w:r>
      <w:r w:rsidR="00AF495B" w:rsidRPr="00394D9A">
        <w:rPr>
          <w:szCs w:val="22"/>
          <w:lang w:val="sr-Latn-RS"/>
        </w:rPr>
        <w:t>/min. Skoro polovina (45,8 %) pacijenata u RE-LY imala je CrCL &gt;50 - &lt;80 m</w:t>
      </w:r>
      <w:r w:rsidR="00F77DC2" w:rsidRPr="00394D9A">
        <w:rPr>
          <w:szCs w:val="22"/>
          <w:lang w:val="sr-Latn-RS"/>
        </w:rPr>
        <w:t>l</w:t>
      </w:r>
      <w:r w:rsidR="00AF495B" w:rsidRPr="00394D9A">
        <w:rPr>
          <w:szCs w:val="22"/>
          <w:lang w:val="sr-Latn-RS"/>
        </w:rPr>
        <w:t>/min. Pacijenti sa um</w:t>
      </w:r>
      <w:r w:rsidR="00E46617" w:rsidRPr="00394D9A">
        <w:rPr>
          <w:szCs w:val="22"/>
          <w:lang w:val="sr-Latn-RS"/>
        </w:rPr>
        <w:t>j</w:t>
      </w:r>
      <w:r w:rsidR="00AF495B" w:rsidRPr="00394D9A">
        <w:rPr>
          <w:szCs w:val="22"/>
          <w:lang w:val="sr-Latn-RS"/>
        </w:rPr>
        <w:t>erenom bubrežnom insuficijencijom (CrCL između 30</w:t>
      </w:r>
      <w:r w:rsidRPr="00394D9A">
        <w:rPr>
          <w:szCs w:val="22"/>
          <w:lang w:val="sr-Latn-RS"/>
        </w:rPr>
        <w:t>-</w:t>
      </w:r>
      <w:r w:rsidR="00AF495B" w:rsidRPr="00394D9A">
        <w:rPr>
          <w:szCs w:val="22"/>
          <w:lang w:val="sr-Latn-RS"/>
        </w:rPr>
        <w:t>50 m</w:t>
      </w:r>
      <w:r w:rsidR="00F77DC2" w:rsidRPr="00394D9A">
        <w:rPr>
          <w:szCs w:val="22"/>
          <w:lang w:val="sr-Latn-RS"/>
        </w:rPr>
        <w:t>l</w:t>
      </w:r>
      <w:r w:rsidR="00AF495B" w:rsidRPr="00394D9A">
        <w:rPr>
          <w:szCs w:val="22"/>
          <w:lang w:val="sr-Latn-RS"/>
        </w:rPr>
        <w:t>/min) u pros</w:t>
      </w:r>
      <w:r w:rsidR="00E46617" w:rsidRPr="00394D9A">
        <w:rPr>
          <w:szCs w:val="22"/>
          <w:lang w:val="sr-Latn-RS"/>
        </w:rPr>
        <w:t>j</w:t>
      </w:r>
      <w:r w:rsidR="00AF495B" w:rsidRPr="00394D9A">
        <w:rPr>
          <w:szCs w:val="22"/>
          <w:lang w:val="sr-Latn-RS"/>
        </w:rPr>
        <w:t>eku su imali 2,29 puta i 1,81-puta veće koncentracije dabigatrana u plazmi pr</w:t>
      </w:r>
      <w:r w:rsidR="00E46617" w:rsidRPr="00394D9A">
        <w:rPr>
          <w:szCs w:val="22"/>
          <w:lang w:val="sr-Latn-RS"/>
        </w:rPr>
        <w:t>ij</w:t>
      </w:r>
      <w:r w:rsidR="00AF495B" w:rsidRPr="00394D9A">
        <w:rPr>
          <w:szCs w:val="22"/>
          <w:lang w:val="sr-Latn-RS"/>
        </w:rPr>
        <w:t>e i posl</w:t>
      </w:r>
      <w:r w:rsidR="00E46617" w:rsidRPr="00394D9A">
        <w:rPr>
          <w:szCs w:val="22"/>
          <w:lang w:val="sr-Latn-RS"/>
        </w:rPr>
        <w:t>ij</w:t>
      </w:r>
      <w:r w:rsidR="00AF495B" w:rsidRPr="00394D9A">
        <w:rPr>
          <w:szCs w:val="22"/>
          <w:lang w:val="sr-Latn-RS"/>
        </w:rPr>
        <w:t>e doze, kada su upoređeni sa pacijentima bez bubrežne insuficijencije (CrCL ≥80 m</w:t>
      </w:r>
      <w:r w:rsidR="00F77DC2" w:rsidRPr="00394D9A">
        <w:rPr>
          <w:szCs w:val="22"/>
          <w:lang w:val="sr-Latn-RS"/>
        </w:rPr>
        <w:t>l</w:t>
      </w:r>
      <w:r w:rsidR="00AF495B" w:rsidRPr="00394D9A">
        <w:rPr>
          <w:szCs w:val="22"/>
          <w:lang w:val="sr-Latn-RS"/>
        </w:rPr>
        <w:t>/min).</w:t>
      </w:r>
    </w:p>
    <w:p w14:paraId="763D7B0C" w14:textId="77777777" w:rsidR="00AF495B" w:rsidRPr="00394D9A" w:rsidRDefault="00AF495B" w:rsidP="00187D17">
      <w:pPr>
        <w:widowControl w:val="0"/>
        <w:rPr>
          <w:szCs w:val="22"/>
          <w:lang w:val="sr-Latn-RS"/>
        </w:rPr>
      </w:pPr>
    </w:p>
    <w:p w14:paraId="2FA67319" w14:textId="41FBF161" w:rsidR="00AF495B" w:rsidRPr="00394D9A" w:rsidRDefault="00AF495B" w:rsidP="00187D17">
      <w:pPr>
        <w:widowControl w:val="0"/>
        <w:rPr>
          <w:szCs w:val="22"/>
          <w:lang w:val="sr-Latn-RS"/>
        </w:rPr>
      </w:pPr>
      <w:r w:rsidRPr="00394D9A">
        <w:rPr>
          <w:szCs w:val="22"/>
          <w:lang w:val="sr-Latn-RS"/>
        </w:rPr>
        <w:t>Medijan</w:t>
      </w:r>
      <w:r w:rsidR="00B16549" w:rsidRPr="00394D9A">
        <w:rPr>
          <w:szCs w:val="22"/>
          <w:lang w:val="sr-Latn-RS"/>
        </w:rPr>
        <w:t xml:space="preserve">a </w:t>
      </w:r>
      <w:r w:rsidR="00BD52DD" w:rsidRPr="00394D9A">
        <w:rPr>
          <w:szCs w:val="22"/>
          <w:lang w:val="sr-Latn-RS"/>
        </w:rPr>
        <w:t>vrijednosti</w:t>
      </w:r>
      <w:r w:rsidRPr="00394D9A">
        <w:rPr>
          <w:szCs w:val="22"/>
          <w:lang w:val="sr-Latn-RS"/>
        </w:rPr>
        <w:t xml:space="preserve"> CrCL u ispitivanju RE-COVER </w:t>
      </w:r>
      <w:r w:rsidR="00B16549" w:rsidRPr="00394D9A">
        <w:rPr>
          <w:szCs w:val="22"/>
          <w:lang w:val="sr-Latn-RS"/>
        </w:rPr>
        <w:t xml:space="preserve">bila </w:t>
      </w:r>
      <w:r w:rsidRPr="00394D9A">
        <w:rPr>
          <w:szCs w:val="22"/>
          <w:lang w:val="sr-Latn-RS"/>
        </w:rPr>
        <w:t>je 100,4 m</w:t>
      </w:r>
      <w:r w:rsidR="00F77DC2" w:rsidRPr="00394D9A">
        <w:rPr>
          <w:szCs w:val="22"/>
          <w:lang w:val="sr-Latn-RS"/>
        </w:rPr>
        <w:t>l</w:t>
      </w:r>
      <w:r w:rsidRPr="00394D9A">
        <w:rPr>
          <w:szCs w:val="22"/>
          <w:lang w:val="sr-Latn-RS"/>
        </w:rPr>
        <w:t>/min. 21,7% pacijenata je imalo blago oštećenje funkcije bubrega (CrCL &gt;</w:t>
      </w:r>
      <w:r w:rsidR="00F77DC2" w:rsidRPr="00394D9A">
        <w:rPr>
          <w:szCs w:val="22"/>
          <w:lang w:val="sr-Latn-RS"/>
        </w:rPr>
        <w:t xml:space="preserve"> </w:t>
      </w:r>
      <w:r w:rsidRPr="00394D9A">
        <w:rPr>
          <w:szCs w:val="22"/>
          <w:lang w:val="sr-Latn-RS"/>
        </w:rPr>
        <w:t>50 - &lt;</w:t>
      </w:r>
      <w:r w:rsidR="00F77DC2" w:rsidRPr="00394D9A">
        <w:rPr>
          <w:szCs w:val="22"/>
          <w:lang w:val="sr-Latn-RS"/>
        </w:rPr>
        <w:t xml:space="preserve"> </w:t>
      </w:r>
      <w:r w:rsidRPr="00394D9A">
        <w:rPr>
          <w:szCs w:val="22"/>
          <w:lang w:val="sr-Latn-RS"/>
        </w:rPr>
        <w:t>80 m</w:t>
      </w:r>
      <w:r w:rsidR="00F77DC2" w:rsidRPr="00394D9A">
        <w:rPr>
          <w:szCs w:val="22"/>
          <w:lang w:val="sr-Latn-RS"/>
        </w:rPr>
        <w:t>l</w:t>
      </w:r>
      <w:r w:rsidRPr="00394D9A">
        <w:rPr>
          <w:szCs w:val="22"/>
          <w:lang w:val="sr-Latn-RS"/>
        </w:rPr>
        <w:t>/min) i 4,5% pacijenata imalo je um</w:t>
      </w:r>
      <w:r w:rsidR="00E46617" w:rsidRPr="00394D9A">
        <w:rPr>
          <w:szCs w:val="22"/>
          <w:lang w:val="sr-Latn-RS"/>
        </w:rPr>
        <w:t>j</w:t>
      </w:r>
      <w:r w:rsidRPr="00394D9A">
        <w:rPr>
          <w:szCs w:val="22"/>
          <w:lang w:val="sr-Latn-RS"/>
        </w:rPr>
        <w:t>ereno oštećenje funkcije bubrega (CrCL između 30 i 50 m</w:t>
      </w:r>
      <w:r w:rsidR="00F77DC2" w:rsidRPr="00394D9A">
        <w:rPr>
          <w:szCs w:val="22"/>
          <w:lang w:val="sr-Latn-RS"/>
        </w:rPr>
        <w:t>l</w:t>
      </w:r>
      <w:r w:rsidRPr="00394D9A">
        <w:rPr>
          <w:szCs w:val="22"/>
          <w:lang w:val="sr-Latn-RS"/>
        </w:rPr>
        <w:t>/min). Pacijenti s</w:t>
      </w:r>
      <w:r w:rsidR="003D2DBC" w:rsidRPr="00394D9A">
        <w:rPr>
          <w:szCs w:val="22"/>
          <w:lang w:val="sr-Latn-RS"/>
        </w:rPr>
        <w:t>a</w:t>
      </w:r>
      <w:r w:rsidRPr="00394D9A">
        <w:rPr>
          <w:szCs w:val="22"/>
          <w:lang w:val="sr-Latn-RS"/>
        </w:rPr>
        <w:t xml:space="preserve"> blagim i um</w:t>
      </w:r>
      <w:r w:rsidR="00E46617" w:rsidRPr="00394D9A">
        <w:rPr>
          <w:szCs w:val="22"/>
          <w:lang w:val="sr-Latn-RS"/>
        </w:rPr>
        <w:t>j</w:t>
      </w:r>
      <w:r w:rsidRPr="00394D9A">
        <w:rPr>
          <w:szCs w:val="22"/>
          <w:lang w:val="sr-Latn-RS"/>
        </w:rPr>
        <w:t>erenim oštećenjem funkcije bubrega imali su, pri stanju ravnoteže, pros</w:t>
      </w:r>
      <w:r w:rsidR="00E46617" w:rsidRPr="00394D9A">
        <w:rPr>
          <w:szCs w:val="22"/>
          <w:lang w:val="sr-Latn-RS"/>
        </w:rPr>
        <w:t>j</w:t>
      </w:r>
      <w:r w:rsidRPr="00394D9A">
        <w:rPr>
          <w:szCs w:val="22"/>
          <w:lang w:val="sr-Latn-RS"/>
        </w:rPr>
        <w:t>ečno 1,8 puta odnosno 3,6 puta više koncentracije dabigatrana u plazmi pr</w:t>
      </w:r>
      <w:r w:rsidR="00E46617" w:rsidRPr="00394D9A">
        <w:rPr>
          <w:szCs w:val="22"/>
          <w:lang w:val="sr-Latn-RS"/>
        </w:rPr>
        <w:t>ij</w:t>
      </w:r>
      <w:r w:rsidRPr="00394D9A">
        <w:rPr>
          <w:szCs w:val="22"/>
          <w:lang w:val="sr-Latn-RS"/>
        </w:rPr>
        <w:t>e doziranja, u odnosu na pacijente s</w:t>
      </w:r>
      <w:r w:rsidR="003D2DBC" w:rsidRPr="00394D9A">
        <w:rPr>
          <w:szCs w:val="22"/>
          <w:lang w:val="sr-Latn-RS"/>
        </w:rPr>
        <w:t>a</w:t>
      </w:r>
      <w:r w:rsidRPr="00394D9A">
        <w:rPr>
          <w:szCs w:val="22"/>
          <w:lang w:val="sr-Latn-RS"/>
        </w:rPr>
        <w:t xml:space="preserve"> CrCL &gt;</w:t>
      </w:r>
      <w:r w:rsidR="00F77DC2" w:rsidRPr="00394D9A">
        <w:rPr>
          <w:szCs w:val="22"/>
          <w:lang w:val="sr-Latn-RS"/>
        </w:rPr>
        <w:t xml:space="preserve"> </w:t>
      </w:r>
      <w:r w:rsidRPr="00394D9A">
        <w:rPr>
          <w:szCs w:val="22"/>
          <w:lang w:val="sr-Latn-RS"/>
        </w:rPr>
        <w:t>80 m</w:t>
      </w:r>
      <w:r w:rsidR="00F77DC2" w:rsidRPr="00394D9A">
        <w:rPr>
          <w:szCs w:val="22"/>
          <w:lang w:val="sr-Latn-RS"/>
        </w:rPr>
        <w:t>l</w:t>
      </w:r>
      <w:r w:rsidRPr="00394D9A">
        <w:rPr>
          <w:szCs w:val="22"/>
          <w:lang w:val="sr-Latn-RS"/>
        </w:rPr>
        <w:t xml:space="preserve">/min. Slične </w:t>
      </w:r>
      <w:r w:rsidR="00BD52DD" w:rsidRPr="00394D9A">
        <w:rPr>
          <w:szCs w:val="22"/>
          <w:lang w:val="sr-Latn-RS"/>
        </w:rPr>
        <w:t>vrijednosti</w:t>
      </w:r>
      <w:r w:rsidRPr="00394D9A">
        <w:rPr>
          <w:szCs w:val="22"/>
          <w:lang w:val="sr-Latn-RS"/>
        </w:rPr>
        <w:t xml:space="preserve"> za CrCL pronađene su i u isptivanju RE- COVER II.</w:t>
      </w:r>
    </w:p>
    <w:p w14:paraId="1F9A43C0" w14:textId="77777777" w:rsidR="00AF495B" w:rsidRPr="00394D9A" w:rsidRDefault="00AF495B" w:rsidP="00187D17">
      <w:pPr>
        <w:widowControl w:val="0"/>
        <w:rPr>
          <w:szCs w:val="22"/>
          <w:lang w:val="sr-Latn-RS"/>
        </w:rPr>
      </w:pPr>
    </w:p>
    <w:p w14:paraId="04259FA4" w14:textId="72952F1F" w:rsidR="00AF495B" w:rsidRPr="00394D9A" w:rsidRDefault="00AF495B" w:rsidP="00187D17">
      <w:pPr>
        <w:widowControl w:val="0"/>
        <w:rPr>
          <w:szCs w:val="22"/>
          <w:lang w:val="sr-Latn-RS"/>
        </w:rPr>
      </w:pPr>
      <w:r w:rsidRPr="00394D9A">
        <w:rPr>
          <w:szCs w:val="22"/>
          <w:lang w:val="sr-Latn-RS"/>
        </w:rPr>
        <w:t>Medijan</w:t>
      </w:r>
      <w:r w:rsidR="00BD7C5B" w:rsidRPr="00394D9A">
        <w:rPr>
          <w:szCs w:val="22"/>
          <w:lang w:val="sr-Latn-RS"/>
        </w:rPr>
        <w:t>e</w:t>
      </w:r>
      <w:r w:rsidRPr="00394D9A">
        <w:rPr>
          <w:szCs w:val="22"/>
          <w:lang w:val="sr-Latn-RS"/>
        </w:rPr>
        <w:t xml:space="preserve"> CrCL u ispitivanjima RE-MEDY i RE-SONATE bil</w:t>
      </w:r>
      <w:r w:rsidR="00BD7C5B" w:rsidRPr="00394D9A">
        <w:rPr>
          <w:szCs w:val="22"/>
          <w:lang w:val="sr-Latn-RS"/>
        </w:rPr>
        <w:t>e</w:t>
      </w:r>
      <w:r w:rsidRPr="00394D9A">
        <w:rPr>
          <w:szCs w:val="22"/>
          <w:lang w:val="sr-Latn-RS"/>
        </w:rPr>
        <w:t xml:space="preserve"> su 99,0 m</w:t>
      </w:r>
      <w:r w:rsidR="00F77DC2" w:rsidRPr="00394D9A">
        <w:rPr>
          <w:szCs w:val="22"/>
          <w:lang w:val="sr-Latn-RS"/>
        </w:rPr>
        <w:t>l</w:t>
      </w:r>
      <w:r w:rsidRPr="00394D9A">
        <w:rPr>
          <w:szCs w:val="22"/>
          <w:lang w:val="sr-Latn-RS"/>
        </w:rPr>
        <w:t>/min, odnosno 99,7 m</w:t>
      </w:r>
      <w:r w:rsidR="00F77DC2" w:rsidRPr="00394D9A">
        <w:rPr>
          <w:szCs w:val="22"/>
          <w:lang w:val="sr-Latn-RS"/>
        </w:rPr>
        <w:t>l</w:t>
      </w:r>
      <w:r w:rsidRPr="00394D9A">
        <w:rPr>
          <w:szCs w:val="22"/>
          <w:lang w:val="sr-Latn-RS"/>
        </w:rPr>
        <w:t>/min, 22,9% i 22,5% pacijenata imalo je CrCL &gt;</w:t>
      </w:r>
      <w:r w:rsidR="00F77DC2" w:rsidRPr="00394D9A">
        <w:rPr>
          <w:szCs w:val="22"/>
          <w:lang w:val="sr-Latn-RS"/>
        </w:rPr>
        <w:t xml:space="preserve"> </w:t>
      </w:r>
      <w:r w:rsidRPr="00394D9A">
        <w:rPr>
          <w:szCs w:val="22"/>
          <w:lang w:val="sr-Latn-RS"/>
        </w:rPr>
        <w:t>50</w:t>
      </w:r>
      <w:r w:rsidR="00BD7C5B" w:rsidRPr="00394D9A">
        <w:rPr>
          <w:szCs w:val="22"/>
          <w:lang w:val="sr-Latn-RS"/>
        </w:rPr>
        <w:t xml:space="preserve"> </w:t>
      </w:r>
      <w:r w:rsidRPr="00394D9A">
        <w:rPr>
          <w:szCs w:val="22"/>
          <w:lang w:val="sr-Latn-RS"/>
        </w:rPr>
        <w:t>-</w:t>
      </w:r>
      <w:r w:rsidR="00BD7C5B" w:rsidRPr="00394D9A">
        <w:rPr>
          <w:szCs w:val="22"/>
          <w:lang w:val="sr-Latn-RS"/>
        </w:rPr>
        <w:t xml:space="preserve"> </w:t>
      </w:r>
      <w:r w:rsidRPr="00394D9A">
        <w:rPr>
          <w:szCs w:val="22"/>
          <w:lang w:val="sr-Latn-RS"/>
        </w:rPr>
        <w:t>&lt;</w:t>
      </w:r>
      <w:r w:rsidR="00F77DC2" w:rsidRPr="00394D9A">
        <w:rPr>
          <w:szCs w:val="22"/>
          <w:lang w:val="sr-Latn-RS"/>
        </w:rPr>
        <w:t xml:space="preserve"> </w:t>
      </w:r>
      <w:r w:rsidRPr="00394D9A">
        <w:rPr>
          <w:szCs w:val="22"/>
          <w:lang w:val="sr-Latn-RS"/>
        </w:rPr>
        <w:t>80 m</w:t>
      </w:r>
      <w:r w:rsidR="00F77DC2" w:rsidRPr="00394D9A">
        <w:rPr>
          <w:szCs w:val="22"/>
          <w:lang w:val="sr-Latn-RS"/>
        </w:rPr>
        <w:t>l</w:t>
      </w:r>
      <w:r w:rsidRPr="00394D9A">
        <w:rPr>
          <w:szCs w:val="22"/>
          <w:lang w:val="sr-Latn-RS"/>
        </w:rPr>
        <w:t>/min, a 4,1% i 4,8% imalo je CrCL između 30 i 50 m</w:t>
      </w:r>
      <w:r w:rsidR="00F77DC2" w:rsidRPr="00394D9A">
        <w:rPr>
          <w:szCs w:val="22"/>
          <w:lang w:val="sr-Latn-RS"/>
        </w:rPr>
        <w:t>l</w:t>
      </w:r>
      <w:r w:rsidRPr="00394D9A">
        <w:rPr>
          <w:szCs w:val="22"/>
          <w:lang w:val="sr-Latn-RS"/>
        </w:rPr>
        <w:t>/min u ispitivanjima RE-MEDY i RE-SONATE.</w:t>
      </w:r>
    </w:p>
    <w:p w14:paraId="2A389F70" w14:textId="77777777" w:rsidR="00AF495B" w:rsidRPr="00394D9A" w:rsidRDefault="00AF495B" w:rsidP="00187D17">
      <w:pPr>
        <w:widowControl w:val="0"/>
        <w:rPr>
          <w:szCs w:val="22"/>
          <w:lang w:val="sr-Latn-RS"/>
        </w:rPr>
      </w:pPr>
    </w:p>
    <w:p w14:paraId="11B6F5C8" w14:textId="77777777" w:rsidR="007C7E72" w:rsidRPr="00394D9A" w:rsidRDefault="007C7E72" w:rsidP="00187D17">
      <w:pPr>
        <w:widowControl w:val="0"/>
        <w:rPr>
          <w:i/>
          <w:iCs/>
          <w:szCs w:val="22"/>
          <w:u w:val="single"/>
          <w:lang w:val="sr-Latn-RS"/>
        </w:rPr>
      </w:pPr>
      <w:r w:rsidRPr="00394D9A">
        <w:rPr>
          <w:i/>
          <w:iCs/>
          <w:szCs w:val="22"/>
          <w:u w:val="single"/>
          <w:lang w:val="sr-Latn-RS"/>
        </w:rPr>
        <w:t>Stariji pacijenti</w:t>
      </w:r>
    </w:p>
    <w:p w14:paraId="15F51F47" w14:textId="3F6A52C5" w:rsidR="007C7E72" w:rsidRPr="00394D9A" w:rsidRDefault="007C7E72" w:rsidP="00187D17">
      <w:pPr>
        <w:widowControl w:val="0"/>
        <w:rPr>
          <w:szCs w:val="22"/>
          <w:lang w:val="sr-Latn-RS"/>
        </w:rPr>
      </w:pPr>
      <w:r w:rsidRPr="00394D9A">
        <w:rPr>
          <w:szCs w:val="22"/>
          <w:lang w:val="sr-Latn-RS"/>
        </w:rPr>
        <w:t>Specifične farmakokinetičke studije faze I u koje su bili uključeni stariji ispitanici pokazale su povećanje</w:t>
      </w:r>
      <w:r w:rsidR="00A913E2" w:rsidRPr="00394D9A">
        <w:rPr>
          <w:szCs w:val="22"/>
          <w:lang w:val="sr-Latn-RS"/>
        </w:rPr>
        <w:t xml:space="preserve"> </w:t>
      </w:r>
      <w:r w:rsidRPr="00394D9A">
        <w:rPr>
          <w:szCs w:val="22"/>
          <w:lang w:val="sr-Latn-RS"/>
        </w:rPr>
        <w:t>površine ispod krive (PIK) od 40-60% i više od 25% u C</w:t>
      </w:r>
      <w:r w:rsidRPr="00394D9A">
        <w:rPr>
          <w:szCs w:val="22"/>
          <w:vertAlign w:val="subscript"/>
          <w:lang w:val="sr-Latn-RS"/>
        </w:rPr>
        <w:t>max</w:t>
      </w:r>
      <w:r w:rsidRPr="00394D9A">
        <w:rPr>
          <w:szCs w:val="22"/>
          <w:lang w:val="sr-Latn-RS"/>
        </w:rPr>
        <w:t xml:space="preserve"> u poređenju sa mladim ispitanicima.</w:t>
      </w:r>
    </w:p>
    <w:p w14:paraId="4731BB3B" w14:textId="39BB0BE9" w:rsidR="007C7E72" w:rsidRPr="00394D9A" w:rsidRDefault="007C7E72" w:rsidP="00187D17">
      <w:pPr>
        <w:widowControl w:val="0"/>
        <w:rPr>
          <w:szCs w:val="22"/>
          <w:lang w:val="sr-Latn-RS"/>
        </w:rPr>
      </w:pPr>
      <w:r w:rsidRPr="00394D9A">
        <w:rPr>
          <w:szCs w:val="22"/>
          <w:lang w:val="sr-Latn-RS"/>
        </w:rPr>
        <w:t>Uticaj životnog doba na koncentracije dabigatrana potvrđene su RE-LY studijom, pri čemu su</w:t>
      </w:r>
      <w:r w:rsidR="005E7B81" w:rsidRPr="00394D9A">
        <w:rPr>
          <w:szCs w:val="22"/>
          <w:lang w:val="sr-Latn-RS"/>
        </w:rPr>
        <w:t xml:space="preserve"> </w:t>
      </w:r>
      <w:r w:rsidRPr="00394D9A">
        <w:rPr>
          <w:szCs w:val="22"/>
          <w:lang w:val="sr-Latn-RS"/>
        </w:rPr>
        <w:t>koncentracije bile oko 31% više kod pacijenata ≥ 75 godina, a za oko 22% niže kod pacijenata &lt; 65</w:t>
      </w:r>
      <w:r w:rsidR="005E7B81" w:rsidRPr="00394D9A">
        <w:rPr>
          <w:szCs w:val="22"/>
          <w:lang w:val="sr-Latn-RS"/>
        </w:rPr>
        <w:t xml:space="preserve"> </w:t>
      </w:r>
      <w:r w:rsidRPr="00394D9A">
        <w:rPr>
          <w:szCs w:val="22"/>
          <w:lang w:val="sr-Latn-RS"/>
        </w:rPr>
        <w:t>godina u poređenju sa pacijentima između 65 i 75 godina starosti (</w:t>
      </w:r>
      <w:r w:rsidR="00575DB9" w:rsidRPr="00394D9A">
        <w:rPr>
          <w:szCs w:val="22"/>
          <w:lang w:val="sr-Latn-RS"/>
        </w:rPr>
        <w:t xml:space="preserve">vidjeti </w:t>
      </w:r>
      <w:r w:rsidR="00D7145C" w:rsidRPr="00394D9A">
        <w:rPr>
          <w:szCs w:val="22"/>
          <w:lang w:val="sr-Latn-RS"/>
        </w:rPr>
        <w:t>djelove</w:t>
      </w:r>
      <w:r w:rsidRPr="00394D9A">
        <w:rPr>
          <w:szCs w:val="22"/>
          <w:lang w:val="sr-Latn-RS"/>
        </w:rPr>
        <w:t xml:space="preserve"> 4.2 i 4.4).</w:t>
      </w:r>
    </w:p>
    <w:p w14:paraId="60CB87E7" w14:textId="77777777" w:rsidR="00A913E2" w:rsidRPr="00394D9A" w:rsidRDefault="00A913E2" w:rsidP="00187D17">
      <w:pPr>
        <w:widowControl w:val="0"/>
        <w:rPr>
          <w:szCs w:val="22"/>
          <w:lang w:val="sr-Latn-RS"/>
        </w:rPr>
      </w:pPr>
    </w:p>
    <w:p w14:paraId="59E8A9A3" w14:textId="77777777" w:rsidR="007C7E72" w:rsidRPr="00394D9A" w:rsidRDefault="007C7E72" w:rsidP="00187D17">
      <w:pPr>
        <w:widowControl w:val="0"/>
        <w:rPr>
          <w:i/>
          <w:iCs/>
          <w:szCs w:val="22"/>
          <w:u w:val="single"/>
          <w:lang w:val="sr-Latn-RS"/>
        </w:rPr>
      </w:pPr>
      <w:r w:rsidRPr="00394D9A">
        <w:rPr>
          <w:i/>
          <w:iCs/>
          <w:szCs w:val="22"/>
          <w:u w:val="single"/>
          <w:lang w:val="sr-Latn-RS"/>
        </w:rPr>
        <w:t>Oštećenje funkcije jetre</w:t>
      </w:r>
    </w:p>
    <w:p w14:paraId="7669C62A" w14:textId="0FA75D55" w:rsidR="007C7E72" w:rsidRPr="00394D9A" w:rsidRDefault="007C7E72" w:rsidP="00187D17">
      <w:pPr>
        <w:widowControl w:val="0"/>
        <w:rPr>
          <w:szCs w:val="22"/>
          <w:lang w:val="sr-Latn-RS"/>
        </w:rPr>
      </w:pPr>
      <w:r w:rsidRPr="00394D9A">
        <w:rPr>
          <w:szCs w:val="22"/>
          <w:lang w:val="sr-Latn-RS"/>
        </w:rPr>
        <w:t>Ni</w:t>
      </w:r>
      <w:r w:rsidR="00B54B54" w:rsidRPr="00394D9A">
        <w:rPr>
          <w:szCs w:val="22"/>
          <w:lang w:val="sr-Latn-RS"/>
        </w:rPr>
        <w:t>je</w:t>
      </w:r>
      <w:r w:rsidRPr="00394D9A">
        <w:rPr>
          <w:szCs w:val="22"/>
          <w:lang w:val="sr-Latn-RS"/>
        </w:rPr>
        <w:t>su uočene prom</w:t>
      </w:r>
      <w:r w:rsidR="00B54B54" w:rsidRPr="00394D9A">
        <w:rPr>
          <w:szCs w:val="22"/>
          <w:lang w:val="sr-Latn-RS"/>
        </w:rPr>
        <w:t>j</w:t>
      </w:r>
      <w:r w:rsidRPr="00394D9A">
        <w:rPr>
          <w:szCs w:val="22"/>
          <w:lang w:val="sr-Latn-RS"/>
        </w:rPr>
        <w:t xml:space="preserve">ene u izloženosti dabigatranu kod 12 </w:t>
      </w:r>
      <w:r w:rsidR="002C2188">
        <w:rPr>
          <w:szCs w:val="22"/>
          <w:lang w:val="sr-Latn-RS"/>
        </w:rPr>
        <w:t xml:space="preserve">odraslih </w:t>
      </w:r>
      <w:r w:rsidRPr="00394D9A">
        <w:rPr>
          <w:szCs w:val="22"/>
          <w:lang w:val="sr-Latn-RS"/>
        </w:rPr>
        <w:t>ispitanika sa um</w:t>
      </w:r>
      <w:r w:rsidR="00B54B54" w:rsidRPr="00394D9A">
        <w:rPr>
          <w:szCs w:val="22"/>
          <w:lang w:val="sr-Latn-RS"/>
        </w:rPr>
        <w:t>j</w:t>
      </w:r>
      <w:r w:rsidRPr="00394D9A">
        <w:rPr>
          <w:szCs w:val="22"/>
          <w:lang w:val="sr-Latn-RS"/>
        </w:rPr>
        <w:t>erenom insuficijencijom jetre</w:t>
      </w:r>
      <w:r w:rsidR="00A913E2" w:rsidRPr="00394D9A">
        <w:rPr>
          <w:szCs w:val="22"/>
          <w:lang w:val="sr-Latn-RS"/>
        </w:rPr>
        <w:t xml:space="preserve"> </w:t>
      </w:r>
      <w:r w:rsidRPr="00394D9A">
        <w:rPr>
          <w:szCs w:val="22"/>
          <w:lang w:val="sr-Latn-RS"/>
        </w:rPr>
        <w:t>(</w:t>
      </w:r>
      <w:r w:rsidRPr="00394D9A">
        <w:rPr>
          <w:i/>
          <w:iCs/>
          <w:szCs w:val="22"/>
          <w:lang w:val="sr-Latn-RS"/>
        </w:rPr>
        <w:t>Child Pugh B</w:t>
      </w:r>
      <w:r w:rsidRPr="00394D9A">
        <w:rPr>
          <w:szCs w:val="22"/>
          <w:lang w:val="sr-Latn-RS"/>
        </w:rPr>
        <w:t>) u poređenju sa 12 kontrolnih ispitanika (</w:t>
      </w:r>
      <w:r w:rsidR="00575DB9" w:rsidRPr="00394D9A">
        <w:rPr>
          <w:szCs w:val="22"/>
          <w:lang w:val="sr-Latn-RS"/>
        </w:rPr>
        <w:t xml:space="preserve">vidjeti </w:t>
      </w:r>
      <w:r w:rsidR="00D7145C" w:rsidRPr="00394D9A">
        <w:rPr>
          <w:szCs w:val="22"/>
          <w:lang w:val="sr-Latn-RS"/>
        </w:rPr>
        <w:t>djelove</w:t>
      </w:r>
      <w:r w:rsidRPr="00394D9A">
        <w:rPr>
          <w:szCs w:val="22"/>
          <w:lang w:val="sr-Latn-RS"/>
        </w:rPr>
        <w:t xml:space="preserve"> 4.2 i 4.4).</w:t>
      </w:r>
    </w:p>
    <w:p w14:paraId="05C8D8C7" w14:textId="77777777" w:rsidR="00A913E2" w:rsidRPr="00394D9A" w:rsidRDefault="00A913E2" w:rsidP="00187D17">
      <w:pPr>
        <w:widowControl w:val="0"/>
        <w:rPr>
          <w:szCs w:val="22"/>
          <w:lang w:val="sr-Latn-RS"/>
        </w:rPr>
      </w:pPr>
    </w:p>
    <w:p w14:paraId="52E43650" w14:textId="5B7A1836" w:rsidR="007C7E72" w:rsidRPr="00394D9A" w:rsidRDefault="003E3709" w:rsidP="00187D17">
      <w:pPr>
        <w:widowControl w:val="0"/>
        <w:rPr>
          <w:i/>
          <w:iCs/>
          <w:szCs w:val="22"/>
          <w:u w:val="single"/>
          <w:lang w:val="sr-Latn-RS"/>
        </w:rPr>
      </w:pPr>
      <w:r w:rsidRPr="00394D9A">
        <w:rPr>
          <w:i/>
          <w:iCs/>
          <w:szCs w:val="22"/>
          <w:u w:val="single"/>
          <w:lang w:val="sr-Latn-RS"/>
        </w:rPr>
        <w:t>Tjelesna</w:t>
      </w:r>
      <w:r w:rsidR="007C7E72" w:rsidRPr="00394D9A">
        <w:rPr>
          <w:i/>
          <w:iCs/>
          <w:szCs w:val="22"/>
          <w:u w:val="single"/>
          <w:lang w:val="sr-Latn-RS"/>
        </w:rPr>
        <w:t xml:space="preserve"> masa</w:t>
      </w:r>
    </w:p>
    <w:p w14:paraId="066EACD1" w14:textId="769110BA" w:rsidR="007C7E72" w:rsidRPr="00394D9A" w:rsidRDefault="007C7E72" w:rsidP="00187D17">
      <w:pPr>
        <w:widowControl w:val="0"/>
        <w:rPr>
          <w:szCs w:val="22"/>
          <w:lang w:val="sr-Latn-RS"/>
        </w:rPr>
      </w:pPr>
      <w:r w:rsidRPr="00394D9A">
        <w:rPr>
          <w:szCs w:val="22"/>
          <w:lang w:val="sr-Latn-RS"/>
        </w:rPr>
        <w:t xml:space="preserve">Najmanje koncentracije dabigatrana su bile 20% niže kod </w:t>
      </w:r>
      <w:r w:rsidR="002C2188">
        <w:rPr>
          <w:szCs w:val="22"/>
          <w:lang w:val="sr-Latn-RS"/>
        </w:rPr>
        <w:t>odrasl</w:t>
      </w:r>
      <w:r w:rsidR="00EE59B3">
        <w:rPr>
          <w:szCs w:val="22"/>
          <w:lang w:val="sr-Latn-RS"/>
        </w:rPr>
        <w:t xml:space="preserve">ih </w:t>
      </w:r>
      <w:r w:rsidRPr="00394D9A">
        <w:rPr>
          <w:szCs w:val="22"/>
          <w:lang w:val="sr-Latn-RS"/>
        </w:rPr>
        <w:t>pacijenata sa t</w:t>
      </w:r>
      <w:r w:rsidR="00B54B54" w:rsidRPr="00394D9A">
        <w:rPr>
          <w:szCs w:val="22"/>
          <w:lang w:val="sr-Latn-RS"/>
        </w:rPr>
        <w:t>j</w:t>
      </w:r>
      <w:r w:rsidRPr="00394D9A">
        <w:rPr>
          <w:szCs w:val="22"/>
          <w:lang w:val="sr-Latn-RS"/>
        </w:rPr>
        <w:t>elesnom masom &gt;</w:t>
      </w:r>
      <w:r w:rsidR="00575DB9" w:rsidRPr="00394D9A">
        <w:rPr>
          <w:szCs w:val="22"/>
          <w:lang w:val="sr-Latn-RS"/>
        </w:rPr>
        <w:t xml:space="preserve"> </w:t>
      </w:r>
      <w:r w:rsidRPr="00394D9A">
        <w:rPr>
          <w:szCs w:val="22"/>
          <w:lang w:val="sr-Latn-RS"/>
        </w:rPr>
        <w:t>100 kg u</w:t>
      </w:r>
      <w:r w:rsidR="005E7B81" w:rsidRPr="00394D9A">
        <w:rPr>
          <w:szCs w:val="22"/>
          <w:lang w:val="sr-Latn-RS"/>
        </w:rPr>
        <w:t xml:space="preserve"> </w:t>
      </w:r>
      <w:r w:rsidRPr="00394D9A">
        <w:rPr>
          <w:szCs w:val="22"/>
          <w:lang w:val="sr-Latn-RS"/>
        </w:rPr>
        <w:t>poređenju sa pacijentima sa t</w:t>
      </w:r>
      <w:r w:rsidR="00B54B54" w:rsidRPr="00394D9A">
        <w:rPr>
          <w:szCs w:val="22"/>
          <w:lang w:val="sr-Latn-RS"/>
        </w:rPr>
        <w:t>j</w:t>
      </w:r>
      <w:r w:rsidRPr="00394D9A">
        <w:rPr>
          <w:szCs w:val="22"/>
          <w:lang w:val="sr-Latn-RS"/>
        </w:rPr>
        <w:t>elesnom masom od 50-100 kg. Većina ispitanika (80,8%) je bila u kategoriji</w:t>
      </w:r>
      <w:r w:rsidR="005E7B81" w:rsidRPr="00394D9A">
        <w:rPr>
          <w:szCs w:val="22"/>
          <w:lang w:val="sr-Latn-RS"/>
        </w:rPr>
        <w:t xml:space="preserve"> </w:t>
      </w:r>
      <w:r w:rsidRPr="00394D9A">
        <w:rPr>
          <w:szCs w:val="22"/>
          <w:lang w:val="sr-Latn-RS"/>
        </w:rPr>
        <w:t>onih sa t</w:t>
      </w:r>
      <w:r w:rsidR="00B54B54" w:rsidRPr="00394D9A">
        <w:rPr>
          <w:szCs w:val="22"/>
          <w:lang w:val="sr-Latn-RS"/>
        </w:rPr>
        <w:t>j</w:t>
      </w:r>
      <w:r w:rsidRPr="00394D9A">
        <w:rPr>
          <w:szCs w:val="22"/>
          <w:lang w:val="sr-Latn-RS"/>
        </w:rPr>
        <w:t>elesnom masom ≥</w:t>
      </w:r>
      <w:r w:rsidR="00575DB9" w:rsidRPr="00394D9A">
        <w:rPr>
          <w:szCs w:val="22"/>
          <w:lang w:val="sr-Latn-RS"/>
        </w:rPr>
        <w:t xml:space="preserve"> </w:t>
      </w:r>
      <w:r w:rsidRPr="00394D9A">
        <w:rPr>
          <w:szCs w:val="22"/>
          <w:lang w:val="sr-Latn-RS"/>
        </w:rPr>
        <w:t>50 kg i &lt;</w:t>
      </w:r>
      <w:r w:rsidR="00575DB9" w:rsidRPr="00394D9A">
        <w:rPr>
          <w:szCs w:val="22"/>
          <w:lang w:val="sr-Latn-RS"/>
        </w:rPr>
        <w:t xml:space="preserve"> </w:t>
      </w:r>
      <w:r w:rsidRPr="00394D9A">
        <w:rPr>
          <w:szCs w:val="22"/>
          <w:lang w:val="sr-Latn-RS"/>
        </w:rPr>
        <w:t>100 kg, bez jasno vidljivih razlika (</w:t>
      </w:r>
      <w:r w:rsidR="00575DB9" w:rsidRPr="00394D9A">
        <w:rPr>
          <w:szCs w:val="22"/>
          <w:lang w:val="sr-Latn-RS"/>
        </w:rPr>
        <w:t xml:space="preserve">vidjeti </w:t>
      </w:r>
      <w:r w:rsidR="00D7145C" w:rsidRPr="00394D9A">
        <w:rPr>
          <w:szCs w:val="22"/>
          <w:lang w:val="sr-Latn-RS"/>
        </w:rPr>
        <w:t>djelove</w:t>
      </w:r>
      <w:r w:rsidRPr="00394D9A">
        <w:rPr>
          <w:szCs w:val="22"/>
          <w:lang w:val="sr-Latn-RS"/>
        </w:rPr>
        <w:t xml:space="preserve"> 4.2 i 4.4). Ne</w:t>
      </w:r>
      <w:r w:rsidR="005E7B81" w:rsidRPr="00394D9A">
        <w:rPr>
          <w:szCs w:val="22"/>
          <w:lang w:val="sr-Latn-RS"/>
        </w:rPr>
        <w:t xml:space="preserve"> </w:t>
      </w:r>
      <w:r w:rsidRPr="00394D9A">
        <w:rPr>
          <w:szCs w:val="22"/>
          <w:lang w:val="sr-Latn-RS"/>
        </w:rPr>
        <w:t xml:space="preserve">postoji dovoljno kliničkih podataka za </w:t>
      </w:r>
      <w:r w:rsidR="00EE59B3">
        <w:rPr>
          <w:szCs w:val="22"/>
          <w:lang w:val="sr-Latn-RS"/>
        </w:rPr>
        <w:t xml:space="preserve">odrasle </w:t>
      </w:r>
      <w:r w:rsidRPr="00394D9A">
        <w:rPr>
          <w:szCs w:val="22"/>
          <w:lang w:val="sr-Latn-RS"/>
        </w:rPr>
        <w:t>pacijente sa t</w:t>
      </w:r>
      <w:r w:rsidR="00B54B54" w:rsidRPr="00394D9A">
        <w:rPr>
          <w:szCs w:val="22"/>
          <w:lang w:val="sr-Latn-RS"/>
        </w:rPr>
        <w:t>j</w:t>
      </w:r>
      <w:r w:rsidRPr="00394D9A">
        <w:rPr>
          <w:szCs w:val="22"/>
          <w:lang w:val="sr-Latn-RS"/>
        </w:rPr>
        <w:t>elesnom masom &lt;</w:t>
      </w:r>
      <w:r w:rsidR="00575DB9" w:rsidRPr="00394D9A">
        <w:rPr>
          <w:szCs w:val="22"/>
          <w:lang w:val="sr-Latn-RS"/>
        </w:rPr>
        <w:t xml:space="preserve"> </w:t>
      </w:r>
      <w:r w:rsidRPr="00394D9A">
        <w:rPr>
          <w:szCs w:val="22"/>
          <w:lang w:val="sr-Latn-RS"/>
        </w:rPr>
        <w:t>50 kg.</w:t>
      </w:r>
    </w:p>
    <w:p w14:paraId="43887599" w14:textId="77777777" w:rsidR="005E7B81" w:rsidRPr="00394D9A" w:rsidRDefault="005E7B81" w:rsidP="00187D17">
      <w:pPr>
        <w:widowControl w:val="0"/>
        <w:rPr>
          <w:szCs w:val="22"/>
          <w:lang w:val="sr-Latn-RS"/>
        </w:rPr>
      </w:pPr>
    </w:p>
    <w:p w14:paraId="5EE88C6A" w14:textId="77777777" w:rsidR="007C7E72" w:rsidRPr="00394D9A" w:rsidRDefault="007C7E72" w:rsidP="00187D17">
      <w:pPr>
        <w:widowControl w:val="0"/>
        <w:rPr>
          <w:i/>
          <w:iCs/>
          <w:szCs w:val="22"/>
          <w:u w:val="single"/>
          <w:lang w:val="sr-Latn-RS"/>
        </w:rPr>
      </w:pPr>
      <w:r w:rsidRPr="00394D9A">
        <w:rPr>
          <w:i/>
          <w:iCs/>
          <w:szCs w:val="22"/>
          <w:u w:val="single"/>
          <w:lang w:val="sr-Latn-RS"/>
        </w:rPr>
        <w:t>Pol</w:t>
      </w:r>
    </w:p>
    <w:p w14:paraId="6332FFAC" w14:textId="7E7AFCFE" w:rsidR="007C7E72" w:rsidRPr="00394D9A" w:rsidRDefault="00AF495B" w:rsidP="00187D17">
      <w:pPr>
        <w:widowControl w:val="0"/>
        <w:rPr>
          <w:szCs w:val="22"/>
          <w:lang w:val="sr-Latn-RS"/>
        </w:rPr>
      </w:pPr>
      <w:r w:rsidRPr="00394D9A">
        <w:rPr>
          <w:szCs w:val="22"/>
          <w:lang w:val="sr-Latn-RS"/>
        </w:rPr>
        <w:t>Kod pacijenata sa atrijalnom fibrilacijom</w:t>
      </w:r>
      <w:r w:rsidR="00575DB9" w:rsidRPr="00394D9A">
        <w:rPr>
          <w:szCs w:val="22"/>
          <w:lang w:val="sr-Latn-RS"/>
        </w:rPr>
        <w:t xml:space="preserve"> </w:t>
      </w:r>
      <w:r w:rsidRPr="00394D9A">
        <w:rPr>
          <w:szCs w:val="22"/>
          <w:lang w:val="sr-Latn-RS"/>
        </w:rPr>
        <w:t>žene</w:t>
      </w:r>
      <w:r w:rsidR="00575DB9" w:rsidRPr="00394D9A">
        <w:rPr>
          <w:szCs w:val="22"/>
          <w:lang w:val="sr-Latn-RS"/>
        </w:rPr>
        <w:t xml:space="preserve"> su</w:t>
      </w:r>
      <w:r w:rsidRPr="00394D9A">
        <w:rPr>
          <w:szCs w:val="22"/>
          <w:lang w:val="sr-Latn-RS"/>
        </w:rPr>
        <w:t xml:space="preserve"> u pros</w:t>
      </w:r>
      <w:r w:rsidR="00B54B54" w:rsidRPr="00394D9A">
        <w:rPr>
          <w:szCs w:val="22"/>
          <w:lang w:val="sr-Latn-RS"/>
        </w:rPr>
        <w:t>j</w:t>
      </w:r>
      <w:r w:rsidRPr="00394D9A">
        <w:rPr>
          <w:szCs w:val="22"/>
          <w:lang w:val="sr-Latn-RS"/>
        </w:rPr>
        <w:t xml:space="preserve">eku imale 30% više </w:t>
      </w:r>
      <w:r w:rsidR="00575DB9" w:rsidRPr="00394D9A">
        <w:rPr>
          <w:szCs w:val="22"/>
          <w:lang w:val="sr-Latn-RS"/>
        </w:rPr>
        <w:t xml:space="preserve">vrijednosti </w:t>
      </w:r>
      <w:r w:rsidRPr="00394D9A">
        <w:rPr>
          <w:szCs w:val="22"/>
          <w:lang w:val="sr-Latn-RS"/>
        </w:rPr>
        <w:t>najniže</w:t>
      </w:r>
      <w:r w:rsidR="00575DB9" w:rsidRPr="00394D9A">
        <w:rPr>
          <w:szCs w:val="22"/>
          <w:lang w:val="sr-Latn-RS"/>
        </w:rPr>
        <w:t xml:space="preserve"> koncentracije</w:t>
      </w:r>
      <w:r w:rsidRPr="00394D9A">
        <w:rPr>
          <w:szCs w:val="22"/>
          <w:lang w:val="sr-Latn-RS"/>
        </w:rPr>
        <w:t xml:space="preserve"> </w:t>
      </w:r>
      <w:r w:rsidR="00575DB9" w:rsidRPr="00394D9A">
        <w:rPr>
          <w:szCs w:val="22"/>
          <w:lang w:val="sr-Latn-RS"/>
        </w:rPr>
        <w:t xml:space="preserve">kao </w:t>
      </w:r>
      <w:r w:rsidRPr="00394D9A">
        <w:rPr>
          <w:szCs w:val="22"/>
          <w:lang w:val="sr-Latn-RS"/>
        </w:rPr>
        <w:t xml:space="preserve">i koncentracije </w:t>
      </w:r>
      <w:r w:rsidR="00575DB9" w:rsidRPr="00394D9A">
        <w:rPr>
          <w:szCs w:val="22"/>
          <w:lang w:val="sr-Latn-RS"/>
        </w:rPr>
        <w:t>nakon doziranja</w:t>
      </w:r>
      <w:r w:rsidRPr="00394D9A">
        <w:rPr>
          <w:szCs w:val="22"/>
          <w:lang w:val="sr-Latn-RS"/>
        </w:rPr>
        <w:t>. Nije potrebno prilagođavanje doze (</w:t>
      </w:r>
      <w:r w:rsidR="00575DB9" w:rsidRPr="00394D9A">
        <w:rPr>
          <w:szCs w:val="22"/>
          <w:lang w:val="sr-Latn-RS"/>
        </w:rPr>
        <w:t xml:space="preserve">vidjeti </w:t>
      </w:r>
      <w:r w:rsidR="00D7145C" w:rsidRPr="00394D9A">
        <w:rPr>
          <w:szCs w:val="22"/>
          <w:lang w:val="sr-Latn-RS"/>
        </w:rPr>
        <w:t>dio</w:t>
      </w:r>
      <w:r w:rsidRPr="00394D9A">
        <w:rPr>
          <w:szCs w:val="22"/>
          <w:lang w:val="sr-Latn-RS"/>
        </w:rPr>
        <w:t xml:space="preserve"> 4.2).</w:t>
      </w:r>
    </w:p>
    <w:p w14:paraId="75FC6FB6" w14:textId="77777777" w:rsidR="005E7B81" w:rsidRPr="00394D9A" w:rsidRDefault="005E7B81" w:rsidP="00187D17">
      <w:pPr>
        <w:widowControl w:val="0"/>
        <w:rPr>
          <w:szCs w:val="22"/>
          <w:lang w:val="sr-Latn-RS"/>
        </w:rPr>
      </w:pPr>
    </w:p>
    <w:p w14:paraId="3687486B" w14:textId="77777777" w:rsidR="007C7E72" w:rsidRPr="00394D9A" w:rsidRDefault="007C7E72" w:rsidP="00187D17">
      <w:pPr>
        <w:widowControl w:val="0"/>
        <w:rPr>
          <w:i/>
          <w:iCs/>
          <w:szCs w:val="22"/>
          <w:u w:val="single"/>
          <w:lang w:val="sr-Latn-RS"/>
        </w:rPr>
      </w:pPr>
      <w:r w:rsidRPr="00394D9A">
        <w:rPr>
          <w:i/>
          <w:iCs/>
          <w:szCs w:val="22"/>
          <w:u w:val="single"/>
          <w:lang w:val="sr-Latn-RS"/>
        </w:rPr>
        <w:t>Etničko poreklo</w:t>
      </w:r>
    </w:p>
    <w:p w14:paraId="275DD09C" w14:textId="3EDA26FC" w:rsidR="007C7E72" w:rsidRPr="00394D9A" w:rsidRDefault="007C7E72" w:rsidP="00187D17">
      <w:pPr>
        <w:widowControl w:val="0"/>
        <w:rPr>
          <w:szCs w:val="22"/>
          <w:lang w:val="sr-Latn-RS"/>
        </w:rPr>
      </w:pPr>
      <w:r w:rsidRPr="00394D9A">
        <w:rPr>
          <w:szCs w:val="22"/>
          <w:lang w:val="sr-Latn-RS"/>
        </w:rPr>
        <w:t>Ni</w:t>
      </w:r>
      <w:r w:rsidR="00157169" w:rsidRPr="00394D9A">
        <w:rPr>
          <w:szCs w:val="22"/>
          <w:lang w:val="sr-Latn-RS"/>
        </w:rPr>
        <w:t>je</w:t>
      </w:r>
      <w:r w:rsidRPr="00394D9A">
        <w:rPr>
          <w:szCs w:val="22"/>
          <w:lang w:val="sr-Latn-RS"/>
        </w:rPr>
        <w:t>su uočene klinički značajne međuetničke razlike među pripadnicima b</w:t>
      </w:r>
      <w:r w:rsidR="00B54B54" w:rsidRPr="00394D9A">
        <w:rPr>
          <w:szCs w:val="22"/>
          <w:lang w:val="sr-Latn-RS"/>
        </w:rPr>
        <w:t>ij</w:t>
      </w:r>
      <w:r w:rsidRPr="00394D9A">
        <w:rPr>
          <w:szCs w:val="22"/>
          <w:lang w:val="sr-Latn-RS"/>
        </w:rPr>
        <w:t>ele rase, Afro</w:t>
      </w:r>
      <w:r w:rsidR="00BD7C5B" w:rsidRPr="00394D9A">
        <w:rPr>
          <w:szCs w:val="22"/>
          <w:lang w:val="sr-Latn-RS"/>
        </w:rPr>
        <w:t>a</w:t>
      </w:r>
      <w:r w:rsidRPr="00394D9A">
        <w:rPr>
          <w:szCs w:val="22"/>
          <w:lang w:val="sr-Latn-RS"/>
        </w:rPr>
        <w:t>merikan</w:t>
      </w:r>
      <w:r w:rsidR="00575DB9" w:rsidRPr="00394D9A">
        <w:rPr>
          <w:szCs w:val="22"/>
          <w:lang w:val="sr-Latn-RS"/>
        </w:rPr>
        <w:t>aca</w:t>
      </w:r>
      <w:r w:rsidRPr="00394D9A">
        <w:rPr>
          <w:szCs w:val="22"/>
          <w:lang w:val="sr-Latn-RS"/>
        </w:rPr>
        <w:t>,</w:t>
      </w:r>
      <w:r w:rsidR="005E7B81" w:rsidRPr="00394D9A">
        <w:rPr>
          <w:szCs w:val="22"/>
          <w:lang w:val="sr-Latn-RS"/>
        </w:rPr>
        <w:t xml:space="preserve"> </w:t>
      </w:r>
      <w:r w:rsidR="00575DB9" w:rsidRPr="00394D9A">
        <w:rPr>
          <w:szCs w:val="22"/>
          <w:lang w:val="sr-Latn-RS"/>
        </w:rPr>
        <w:t>H</w:t>
      </w:r>
      <w:r w:rsidR="00BD7C5B" w:rsidRPr="00394D9A">
        <w:rPr>
          <w:szCs w:val="22"/>
          <w:lang w:val="sr-Latn-RS"/>
        </w:rPr>
        <w:t>ispan</w:t>
      </w:r>
      <w:r w:rsidR="00575DB9" w:rsidRPr="00394D9A">
        <w:rPr>
          <w:szCs w:val="22"/>
          <w:lang w:val="sr-Latn-RS"/>
        </w:rPr>
        <w:t>aca</w:t>
      </w:r>
      <w:r w:rsidRPr="00394D9A">
        <w:rPr>
          <w:szCs w:val="22"/>
          <w:lang w:val="sr-Latn-RS"/>
        </w:rPr>
        <w:t>, Japan</w:t>
      </w:r>
      <w:r w:rsidR="00575DB9" w:rsidRPr="00394D9A">
        <w:rPr>
          <w:szCs w:val="22"/>
          <w:lang w:val="sr-Latn-RS"/>
        </w:rPr>
        <w:t>aca</w:t>
      </w:r>
      <w:r w:rsidRPr="00394D9A">
        <w:rPr>
          <w:szCs w:val="22"/>
          <w:lang w:val="sr-Latn-RS"/>
        </w:rPr>
        <w:t xml:space="preserve"> ili Kinez</w:t>
      </w:r>
      <w:r w:rsidR="00575DB9" w:rsidRPr="00394D9A">
        <w:rPr>
          <w:szCs w:val="22"/>
          <w:lang w:val="sr-Latn-RS"/>
        </w:rPr>
        <w:t>a</w:t>
      </w:r>
      <w:r w:rsidRPr="00394D9A">
        <w:rPr>
          <w:szCs w:val="22"/>
          <w:lang w:val="sr-Latn-RS"/>
        </w:rPr>
        <w:t xml:space="preserve"> u pogledu farmakokinetike i farmakodinamike dabigatrana.</w:t>
      </w:r>
    </w:p>
    <w:p w14:paraId="40A161D5" w14:textId="77777777" w:rsidR="00C17B5B" w:rsidRPr="00394D9A" w:rsidRDefault="00C17B5B" w:rsidP="00187D17">
      <w:pPr>
        <w:widowControl w:val="0"/>
        <w:rPr>
          <w:szCs w:val="22"/>
          <w:lang w:val="sr-Latn-RS"/>
        </w:rPr>
      </w:pPr>
    </w:p>
    <w:p w14:paraId="7E82C24F" w14:textId="77777777" w:rsidR="00C17B5B" w:rsidRPr="00394D9A" w:rsidRDefault="00C17B5B" w:rsidP="00187D17">
      <w:pPr>
        <w:widowControl w:val="0"/>
        <w:rPr>
          <w:i/>
          <w:iCs/>
          <w:szCs w:val="22"/>
          <w:u w:val="single"/>
          <w:lang w:val="sr-Latn-RS"/>
        </w:rPr>
      </w:pPr>
      <w:r w:rsidRPr="00394D9A">
        <w:rPr>
          <w:i/>
          <w:iCs/>
          <w:szCs w:val="22"/>
          <w:u w:val="single"/>
          <w:lang w:val="sr-Latn-RS"/>
        </w:rPr>
        <w:t>Pedijatrijska populacija</w:t>
      </w:r>
    </w:p>
    <w:p w14:paraId="79654968" w14:textId="3E59A6B6" w:rsidR="00C17B5B" w:rsidRPr="00394D9A" w:rsidRDefault="00C17B5B" w:rsidP="00187D17">
      <w:pPr>
        <w:widowControl w:val="0"/>
        <w:rPr>
          <w:szCs w:val="22"/>
          <w:lang w:val="sr-Latn-RS"/>
        </w:rPr>
      </w:pPr>
      <w:r w:rsidRPr="00394D9A">
        <w:rPr>
          <w:szCs w:val="22"/>
          <w:lang w:val="sr-Latn-RS"/>
        </w:rPr>
        <w:lastRenderedPageBreak/>
        <w:t xml:space="preserve">Peroralna primjena dabigatraneteksilata </w:t>
      </w:r>
      <w:r w:rsidR="0020339D" w:rsidRPr="00394D9A">
        <w:rPr>
          <w:szCs w:val="22"/>
          <w:lang w:val="sr-Latn-RS"/>
        </w:rPr>
        <w:t xml:space="preserve">u skladu sa algoritmom </w:t>
      </w:r>
      <w:r w:rsidRPr="00394D9A">
        <w:rPr>
          <w:szCs w:val="22"/>
          <w:lang w:val="sr-Latn-RS"/>
        </w:rPr>
        <w:t>doziranja defini</w:t>
      </w:r>
      <w:r w:rsidR="00A06970" w:rsidRPr="00394D9A">
        <w:rPr>
          <w:szCs w:val="22"/>
          <w:lang w:val="sr-Latn-RS"/>
        </w:rPr>
        <w:t>s</w:t>
      </w:r>
      <w:r w:rsidRPr="00394D9A">
        <w:rPr>
          <w:szCs w:val="22"/>
          <w:lang w:val="sr-Latn-RS"/>
        </w:rPr>
        <w:t xml:space="preserve">anom u protokolu rezultirala je izloženošću unutar raspona opaženog </w:t>
      </w:r>
      <w:r w:rsidR="00A06970" w:rsidRPr="00394D9A">
        <w:rPr>
          <w:szCs w:val="22"/>
          <w:lang w:val="sr-Latn-RS"/>
        </w:rPr>
        <w:t>kod</w:t>
      </w:r>
      <w:r w:rsidRPr="00394D9A">
        <w:rPr>
          <w:szCs w:val="22"/>
          <w:lang w:val="sr-Latn-RS"/>
        </w:rPr>
        <w:t xml:space="preserve"> odraslih s</w:t>
      </w:r>
      <w:r w:rsidR="00A06970" w:rsidRPr="00394D9A">
        <w:rPr>
          <w:szCs w:val="22"/>
          <w:lang w:val="sr-Latn-RS"/>
        </w:rPr>
        <w:t>a</w:t>
      </w:r>
      <w:r w:rsidRPr="00394D9A">
        <w:rPr>
          <w:szCs w:val="22"/>
          <w:lang w:val="sr-Latn-RS"/>
        </w:rPr>
        <w:t xml:space="preserve"> DVT-om/PE-om. Na </w:t>
      </w:r>
      <w:r w:rsidR="00575DB9" w:rsidRPr="00394D9A">
        <w:rPr>
          <w:szCs w:val="22"/>
          <w:lang w:val="sr-Latn-RS"/>
        </w:rPr>
        <w:t xml:space="preserve">osnovu </w:t>
      </w:r>
      <w:r w:rsidR="00A06970" w:rsidRPr="00394D9A">
        <w:rPr>
          <w:szCs w:val="22"/>
          <w:lang w:val="sr-Latn-RS"/>
        </w:rPr>
        <w:t>grupne</w:t>
      </w:r>
      <w:r w:rsidRPr="00394D9A">
        <w:rPr>
          <w:szCs w:val="22"/>
          <w:lang w:val="sr-Latn-RS"/>
        </w:rPr>
        <w:t xml:space="preserve"> analize farmakokinetičkih podataka iz ispitivanja DIVERSITY i 1160.108, </w:t>
      </w:r>
      <w:r w:rsidR="00575DB9" w:rsidRPr="00394D9A">
        <w:rPr>
          <w:szCs w:val="22"/>
          <w:lang w:val="sr-Latn-RS"/>
        </w:rPr>
        <w:t xml:space="preserve">zabilježene </w:t>
      </w:r>
      <w:r w:rsidRPr="00394D9A">
        <w:rPr>
          <w:szCs w:val="22"/>
          <w:lang w:val="sr-Latn-RS"/>
        </w:rPr>
        <w:t xml:space="preserve">geometrijske srednje vrijednosti najniže izloženosti bile su 53,9 ng/ml, 63,0 ng/ml, odnosno 99,1 ng/ml u </w:t>
      </w:r>
      <w:r w:rsidR="00A06970" w:rsidRPr="00394D9A">
        <w:rPr>
          <w:szCs w:val="22"/>
          <w:lang w:val="sr-Latn-RS"/>
        </w:rPr>
        <w:t>grupama</w:t>
      </w:r>
      <w:r w:rsidRPr="00394D9A">
        <w:rPr>
          <w:szCs w:val="22"/>
          <w:lang w:val="sr-Latn-RS"/>
        </w:rPr>
        <w:t xml:space="preserve"> pedijatrijskih </w:t>
      </w:r>
      <w:r w:rsidR="00A06970" w:rsidRPr="00394D9A">
        <w:rPr>
          <w:szCs w:val="22"/>
          <w:lang w:val="sr-Latn-RS"/>
        </w:rPr>
        <w:t>pacijenata</w:t>
      </w:r>
      <w:r w:rsidRPr="00394D9A">
        <w:rPr>
          <w:szCs w:val="22"/>
          <w:lang w:val="sr-Latn-RS"/>
        </w:rPr>
        <w:t xml:space="preserve"> s</w:t>
      </w:r>
      <w:r w:rsidR="00A06970" w:rsidRPr="00394D9A">
        <w:rPr>
          <w:szCs w:val="22"/>
          <w:lang w:val="sr-Latn-RS"/>
        </w:rPr>
        <w:t>a</w:t>
      </w:r>
      <w:r w:rsidRPr="00394D9A">
        <w:rPr>
          <w:szCs w:val="22"/>
          <w:lang w:val="sr-Latn-RS"/>
        </w:rPr>
        <w:t xml:space="preserve"> VTE-om od 0 do &lt; 2 godine, 2 do &lt; 12 godina, odnosno 12 do &lt; 18 godina.</w:t>
      </w:r>
    </w:p>
    <w:p w14:paraId="44C36411" w14:textId="77777777" w:rsidR="005E7B81" w:rsidRPr="00394D9A" w:rsidRDefault="005E7B81" w:rsidP="00187D17">
      <w:pPr>
        <w:widowControl w:val="0"/>
        <w:rPr>
          <w:szCs w:val="22"/>
          <w:lang w:val="sr-Latn-RS"/>
        </w:rPr>
      </w:pPr>
    </w:p>
    <w:p w14:paraId="5518B215" w14:textId="14712CD5" w:rsidR="007C7E72" w:rsidRPr="00394D9A" w:rsidRDefault="007C7E72" w:rsidP="00187D17">
      <w:pPr>
        <w:widowControl w:val="0"/>
        <w:rPr>
          <w:i/>
          <w:iCs/>
          <w:szCs w:val="22"/>
          <w:u w:val="single"/>
          <w:lang w:val="sr-Latn-RS"/>
        </w:rPr>
      </w:pPr>
      <w:r w:rsidRPr="00394D9A">
        <w:rPr>
          <w:i/>
          <w:iCs/>
          <w:szCs w:val="22"/>
          <w:u w:val="single"/>
          <w:lang w:val="sr-Latn-RS"/>
        </w:rPr>
        <w:t>Farmakokinetičke interakcije</w:t>
      </w:r>
      <w:r w:rsidR="005E7B81" w:rsidRPr="00394D9A">
        <w:rPr>
          <w:i/>
          <w:iCs/>
          <w:szCs w:val="22"/>
          <w:u w:val="single"/>
          <w:lang w:val="sr-Latn-RS"/>
        </w:rPr>
        <w:t xml:space="preserve"> </w:t>
      </w:r>
    </w:p>
    <w:p w14:paraId="54D1AC3D" w14:textId="77777777" w:rsidR="005E7B81" w:rsidRPr="00394D9A" w:rsidRDefault="005E7B81" w:rsidP="00187D17">
      <w:pPr>
        <w:widowControl w:val="0"/>
        <w:rPr>
          <w:szCs w:val="22"/>
          <w:u w:val="single"/>
          <w:lang w:val="sr-Latn-RS"/>
        </w:rPr>
      </w:pPr>
    </w:p>
    <w:p w14:paraId="4F5EFDD0" w14:textId="3AE31675" w:rsidR="007C7E72" w:rsidRPr="00394D9A" w:rsidRDefault="007C7E72" w:rsidP="00187D17">
      <w:pPr>
        <w:widowControl w:val="0"/>
        <w:rPr>
          <w:szCs w:val="22"/>
          <w:lang w:val="sr-Latn-RS"/>
        </w:rPr>
      </w:pPr>
      <w:r w:rsidRPr="00394D9A">
        <w:rPr>
          <w:szCs w:val="22"/>
          <w:lang w:val="sr-Latn-RS"/>
        </w:rPr>
        <w:t xml:space="preserve">Studije interakcije </w:t>
      </w:r>
      <w:r w:rsidRPr="00394D9A">
        <w:rPr>
          <w:i/>
          <w:iCs/>
          <w:szCs w:val="22"/>
          <w:lang w:val="sr-Latn-RS"/>
        </w:rPr>
        <w:t xml:space="preserve">in vitro </w:t>
      </w:r>
      <w:r w:rsidRPr="00394D9A">
        <w:rPr>
          <w:szCs w:val="22"/>
          <w:lang w:val="sr-Latn-RS"/>
        </w:rPr>
        <w:t>ni</w:t>
      </w:r>
      <w:r w:rsidR="00B54B54" w:rsidRPr="00394D9A">
        <w:rPr>
          <w:szCs w:val="22"/>
          <w:lang w:val="sr-Latn-RS"/>
        </w:rPr>
        <w:t>je</w:t>
      </w:r>
      <w:r w:rsidRPr="00394D9A">
        <w:rPr>
          <w:szCs w:val="22"/>
          <w:lang w:val="sr-Latn-RS"/>
        </w:rPr>
        <w:t>su pokazale nikakvu inhibiciju ili indukciju glavnih izoenzima citohroma</w:t>
      </w:r>
      <w:r w:rsidR="005E7B81" w:rsidRPr="00394D9A">
        <w:rPr>
          <w:szCs w:val="22"/>
          <w:lang w:val="sr-Latn-RS"/>
        </w:rPr>
        <w:t xml:space="preserve"> </w:t>
      </w:r>
      <w:r w:rsidRPr="00394D9A">
        <w:rPr>
          <w:szCs w:val="22"/>
          <w:lang w:val="sr-Latn-RS"/>
        </w:rPr>
        <w:t xml:space="preserve">P450. To su potvrdile studije </w:t>
      </w:r>
      <w:r w:rsidRPr="00394D9A">
        <w:rPr>
          <w:i/>
          <w:iCs/>
          <w:szCs w:val="22"/>
          <w:lang w:val="sr-Latn-RS"/>
        </w:rPr>
        <w:t>in vivo</w:t>
      </w:r>
      <w:r w:rsidRPr="00394D9A">
        <w:rPr>
          <w:szCs w:val="22"/>
          <w:lang w:val="sr-Latn-RS"/>
        </w:rPr>
        <w:t xml:space="preserve"> sa zdravim dobrovoljcima, kod kojih nije bilo nikakve interakcije</w:t>
      </w:r>
      <w:r w:rsidR="005E7B81" w:rsidRPr="00394D9A">
        <w:rPr>
          <w:szCs w:val="22"/>
          <w:lang w:val="sr-Latn-RS"/>
        </w:rPr>
        <w:t xml:space="preserve"> </w:t>
      </w:r>
      <w:r w:rsidRPr="00394D9A">
        <w:rPr>
          <w:szCs w:val="22"/>
          <w:lang w:val="sr-Latn-RS"/>
        </w:rPr>
        <w:t>između ove terapije i sl</w:t>
      </w:r>
      <w:r w:rsidR="00157169" w:rsidRPr="00394D9A">
        <w:rPr>
          <w:szCs w:val="22"/>
          <w:lang w:val="sr-Latn-RS"/>
        </w:rPr>
        <w:t>j</w:t>
      </w:r>
      <w:r w:rsidRPr="00394D9A">
        <w:rPr>
          <w:szCs w:val="22"/>
          <w:lang w:val="sr-Latn-RS"/>
        </w:rPr>
        <w:t xml:space="preserve">edećih </w:t>
      </w:r>
      <w:r w:rsidR="00A639DA" w:rsidRPr="00394D9A">
        <w:rPr>
          <w:szCs w:val="22"/>
          <w:lang w:val="sr-Latn-RS"/>
        </w:rPr>
        <w:t>ljekova</w:t>
      </w:r>
      <w:r w:rsidRPr="00394D9A">
        <w:rPr>
          <w:szCs w:val="22"/>
          <w:lang w:val="sr-Latn-RS"/>
        </w:rPr>
        <w:t xml:space="preserve">: atorvastatina (CYP3A4), digoksina (interakcija </w:t>
      </w:r>
      <w:r w:rsidR="00CB2908" w:rsidRPr="00394D9A">
        <w:rPr>
          <w:szCs w:val="22"/>
          <w:lang w:val="sr-Latn-RS"/>
        </w:rPr>
        <w:t>na nivou</w:t>
      </w:r>
      <w:r w:rsidRPr="00394D9A">
        <w:rPr>
          <w:szCs w:val="22"/>
          <w:lang w:val="sr-Latn-RS"/>
        </w:rPr>
        <w:t xml:space="preserve"> P-gp</w:t>
      </w:r>
      <w:r w:rsidR="00CB2908" w:rsidRPr="00394D9A">
        <w:rPr>
          <w:szCs w:val="22"/>
          <w:lang w:val="sr-Latn-RS"/>
        </w:rPr>
        <w:t xml:space="preserve"> transportera</w:t>
      </w:r>
      <w:r w:rsidRPr="00394D9A">
        <w:rPr>
          <w:szCs w:val="22"/>
          <w:lang w:val="sr-Latn-RS"/>
        </w:rPr>
        <w:t>) i diklofenaka (CYP2C9).</w:t>
      </w:r>
    </w:p>
    <w:p w14:paraId="21F7A607" w14:textId="77777777" w:rsidR="00CE09F3" w:rsidRPr="00394D9A" w:rsidRDefault="00CE09F3" w:rsidP="00187D17">
      <w:pPr>
        <w:widowControl w:val="0"/>
        <w:rPr>
          <w:szCs w:val="22"/>
          <w:lang w:val="sr-Latn-RS"/>
        </w:rPr>
      </w:pPr>
    </w:p>
    <w:p w14:paraId="5FE8F1CE" w14:textId="77777777" w:rsidR="00122674" w:rsidRPr="00394D9A" w:rsidRDefault="00122674" w:rsidP="00187D17">
      <w:pPr>
        <w:widowControl w:val="0"/>
        <w:tabs>
          <w:tab w:val="clear" w:pos="284"/>
          <w:tab w:val="left" w:pos="540"/>
          <w:tab w:val="left" w:pos="569"/>
        </w:tabs>
        <w:jc w:val="left"/>
        <w:rPr>
          <w:b/>
          <w:bCs/>
          <w:szCs w:val="22"/>
          <w:lang w:val="sr-Latn-RS"/>
        </w:rPr>
      </w:pPr>
      <w:r w:rsidRPr="00394D9A">
        <w:rPr>
          <w:b/>
          <w:bCs/>
          <w:szCs w:val="22"/>
          <w:lang w:val="sr-Latn-RS"/>
        </w:rPr>
        <w:t xml:space="preserve">5.3. </w:t>
      </w:r>
      <w:r w:rsidRPr="00394D9A">
        <w:rPr>
          <w:b/>
          <w:bCs/>
          <w:szCs w:val="22"/>
          <w:lang w:val="sr-Latn-RS"/>
        </w:rPr>
        <w:tab/>
        <w:t xml:space="preserve">Pretklinički podaci o bezbjednosti </w:t>
      </w:r>
    </w:p>
    <w:p w14:paraId="5917D31C" w14:textId="77777777" w:rsidR="00CE09F3" w:rsidRPr="00394D9A" w:rsidRDefault="00CE09F3" w:rsidP="00187D17">
      <w:pPr>
        <w:widowControl w:val="0"/>
        <w:rPr>
          <w:szCs w:val="22"/>
          <w:lang w:val="sr-Latn-RS"/>
        </w:rPr>
      </w:pPr>
    </w:p>
    <w:p w14:paraId="50D8D9F0" w14:textId="139A0A64" w:rsidR="007C7E72" w:rsidRPr="00394D9A" w:rsidRDefault="007C7E72" w:rsidP="00187D17">
      <w:pPr>
        <w:widowControl w:val="0"/>
        <w:rPr>
          <w:szCs w:val="22"/>
          <w:lang w:val="sr-Latn-RS"/>
        </w:rPr>
      </w:pPr>
      <w:r w:rsidRPr="00394D9A">
        <w:rPr>
          <w:szCs w:val="22"/>
          <w:lang w:val="sr-Latn-RS"/>
        </w:rPr>
        <w:t>Pretklinički podaci pokazuju da ne postoji specifični rizik za ljude zasnovano na konvencionalnim studijama farmakološke bezb</w:t>
      </w:r>
      <w:r w:rsidR="00B54B54" w:rsidRPr="00394D9A">
        <w:rPr>
          <w:szCs w:val="22"/>
          <w:lang w:val="sr-Latn-RS"/>
        </w:rPr>
        <w:t>j</w:t>
      </w:r>
      <w:r w:rsidRPr="00394D9A">
        <w:rPr>
          <w:szCs w:val="22"/>
          <w:lang w:val="sr-Latn-RS"/>
        </w:rPr>
        <w:t>ednosti, toksičnosti nakon ponovljenih doza i genotoksičnosti.</w:t>
      </w:r>
    </w:p>
    <w:p w14:paraId="2E8771E6" w14:textId="77777777" w:rsidR="007C7E72" w:rsidRPr="00394D9A" w:rsidRDefault="007C7E72" w:rsidP="00187D17">
      <w:pPr>
        <w:widowControl w:val="0"/>
        <w:rPr>
          <w:szCs w:val="22"/>
          <w:lang w:val="sr-Latn-RS"/>
        </w:rPr>
      </w:pPr>
    </w:p>
    <w:p w14:paraId="37328A97" w14:textId="178D51A8" w:rsidR="007C7E72" w:rsidRPr="00394D9A" w:rsidRDefault="007C7E72" w:rsidP="00187D17">
      <w:pPr>
        <w:widowControl w:val="0"/>
        <w:rPr>
          <w:szCs w:val="22"/>
          <w:lang w:val="sr-Latn-RS"/>
        </w:rPr>
      </w:pPr>
      <w:r w:rsidRPr="00394D9A">
        <w:rPr>
          <w:szCs w:val="22"/>
          <w:lang w:val="sr-Latn-RS"/>
        </w:rPr>
        <w:t>Do efekata uočenih u studijama toksičnosti ponovljenih doza došlo je zbog pret</w:t>
      </w:r>
      <w:r w:rsidR="00B54B54" w:rsidRPr="00394D9A">
        <w:rPr>
          <w:szCs w:val="22"/>
          <w:lang w:val="sr-Latn-RS"/>
        </w:rPr>
        <w:t>j</w:t>
      </w:r>
      <w:r w:rsidRPr="00394D9A">
        <w:rPr>
          <w:szCs w:val="22"/>
          <w:lang w:val="sr-Latn-RS"/>
        </w:rPr>
        <w:t>eranog farmakodinamskog efekta dabigatrana.</w:t>
      </w:r>
    </w:p>
    <w:p w14:paraId="12218071" w14:textId="77777777" w:rsidR="007C7E72" w:rsidRPr="00394D9A" w:rsidRDefault="007C7E72" w:rsidP="00187D17">
      <w:pPr>
        <w:widowControl w:val="0"/>
        <w:rPr>
          <w:szCs w:val="22"/>
          <w:lang w:val="sr-Latn-RS"/>
        </w:rPr>
      </w:pPr>
    </w:p>
    <w:p w14:paraId="02C539B4" w14:textId="5080EC99" w:rsidR="007C7E72" w:rsidRPr="00394D9A" w:rsidRDefault="007C7E72" w:rsidP="00187D17">
      <w:pPr>
        <w:widowControl w:val="0"/>
        <w:rPr>
          <w:szCs w:val="22"/>
          <w:lang w:val="sr-Latn-RS"/>
        </w:rPr>
      </w:pPr>
      <w:r w:rsidRPr="00394D9A">
        <w:rPr>
          <w:szCs w:val="22"/>
          <w:lang w:val="sr-Latn-RS"/>
        </w:rPr>
        <w:t>Uticaj na fertilitet ženki pokazan je kroz smanjenje broja implantacija embriona i u povećanju gubitka embriona u preimplantacionom periodu pri dozi od 70 mg/kg (5 puta veći stepen izloženosti nego u plazmi pacijenata). Pri dozama koje su bile toksične za majke (5-10 puta veća izloženost nego kod pacijenata), smanjenje t</w:t>
      </w:r>
      <w:r w:rsidR="00B54B54" w:rsidRPr="00394D9A">
        <w:rPr>
          <w:szCs w:val="22"/>
          <w:lang w:val="sr-Latn-RS"/>
        </w:rPr>
        <w:t>j</w:t>
      </w:r>
      <w:r w:rsidRPr="00394D9A">
        <w:rPr>
          <w:szCs w:val="22"/>
          <w:lang w:val="sr-Latn-RS"/>
        </w:rPr>
        <w:t>elesne mase fetusa i vijabilnosti, zajedno sa povećanjem fetalnih varijacija je uočeno kod pacova i kunića. U animalnim studijama pre-i postnatalne toksičnosti, povećanje mortaliteta fetusa je prim</w:t>
      </w:r>
      <w:r w:rsidR="00A06970" w:rsidRPr="00394D9A">
        <w:rPr>
          <w:szCs w:val="22"/>
          <w:lang w:val="sr-Latn-RS"/>
        </w:rPr>
        <w:t>i</w:t>
      </w:r>
      <w:r w:rsidR="00B54B54" w:rsidRPr="00394D9A">
        <w:rPr>
          <w:szCs w:val="22"/>
          <w:lang w:val="sr-Latn-RS"/>
        </w:rPr>
        <w:t>j</w:t>
      </w:r>
      <w:r w:rsidRPr="00394D9A">
        <w:rPr>
          <w:szCs w:val="22"/>
          <w:lang w:val="sr-Latn-RS"/>
        </w:rPr>
        <w:t xml:space="preserve">ećeno pri dozama koje su bile toksične za ženke (4 puta veća izloženost </w:t>
      </w:r>
      <w:r w:rsidR="00A639DA" w:rsidRPr="00394D9A">
        <w:rPr>
          <w:szCs w:val="22"/>
          <w:lang w:val="sr-Latn-RS"/>
        </w:rPr>
        <w:t>lijek</w:t>
      </w:r>
      <w:r w:rsidRPr="00394D9A">
        <w:rPr>
          <w:szCs w:val="22"/>
          <w:lang w:val="sr-Latn-RS"/>
        </w:rPr>
        <w:t>u nego kod pacijenata).</w:t>
      </w:r>
    </w:p>
    <w:p w14:paraId="5AFC0334" w14:textId="77777777" w:rsidR="007C7E72" w:rsidRPr="00394D9A" w:rsidRDefault="007C7E72" w:rsidP="00187D17">
      <w:pPr>
        <w:widowControl w:val="0"/>
        <w:rPr>
          <w:szCs w:val="22"/>
          <w:lang w:val="sr-Latn-RS"/>
        </w:rPr>
      </w:pPr>
    </w:p>
    <w:p w14:paraId="555FA702" w14:textId="34E15208" w:rsidR="004F2041" w:rsidRPr="00394D9A" w:rsidRDefault="004F2041" w:rsidP="00187D17">
      <w:pPr>
        <w:widowControl w:val="0"/>
        <w:rPr>
          <w:szCs w:val="22"/>
          <w:lang w:val="sr-Latn-RS"/>
        </w:rPr>
      </w:pPr>
      <w:r w:rsidRPr="00394D9A">
        <w:rPr>
          <w:szCs w:val="22"/>
          <w:lang w:val="sr-Latn-RS"/>
        </w:rPr>
        <w:t>U ispitivanjima juvenilne toksičnosti sprovedenom na pacovima Han Wistar, smrtnost je bila povezana sa događajima krvarenja pri sličnim izloženostima kod kojih je bilo zab</w:t>
      </w:r>
      <w:r w:rsidR="00A06970" w:rsidRPr="00394D9A">
        <w:rPr>
          <w:szCs w:val="22"/>
          <w:lang w:val="sr-Latn-RS"/>
        </w:rPr>
        <w:t>ilj</w:t>
      </w:r>
      <w:r w:rsidRPr="00394D9A">
        <w:rPr>
          <w:szCs w:val="22"/>
          <w:lang w:val="sr-Latn-RS"/>
        </w:rPr>
        <w:t>eženo krvarenje na odraslim životinjama. I kod odraslih i kod juvenilnih pacova smatra se da je smrtnost bila povezana sa pret</w:t>
      </w:r>
      <w:r w:rsidR="00A06970" w:rsidRPr="00394D9A">
        <w:rPr>
          <w:szCs w:val="22"/>
          <w:lang w:val="sr-Latn-RS"/>
        </w:rPr>
        <w:t>j</w:t>
      </w:r>
      <w:r w:rsidRPr="00394D9A">
        <w:rPr>
          <w:szCs w:val="22"/>
          <w:lang w:val="sr-Latn-RS"/>
        </w:rPr>
        <w:t>eranom farmakološkom aktivnošću dabigatrana u kombinaciji sa d</w:t>
      </w:r>
      <w:r w:rsidR="00A06970" w:rsidRPr="00394D9A">
        <w:rPr>
          <w:szCs w:val="22"/>
          <w:lang w:val="sr-Latn-RS"/>
        </w:rPr>
        <w:t>j</w:t>
      </w:r>
      <w:r w:rsidRPr="00394D9A">
        <w:rPr>
          <w:szCs w:val="22"/>
          <w:lang w:val="sr-Latn-RS"/>
        </w:rPr>
        <w:t>elovanjem mehaničkih sila tokom doziranja i rukovanja. Podaci ispitivanja juvenilne toksičnosti ni</w:t>
      </w:r>
      <w:r w:rsidR="00157169" w:rsidRPr="00394D9A">
        <w:rPr>
          <w:szCs w:val="22"/>
          <w:lang w:val="sr-Latn-RS"/>
        </w:rPr>
        <w:t>je</w:t>
      </w:r>
      <w:r w:rsidRPr="00394D9A">
        <w:rPr>
          <w:szCs w:val="22"/>
          <w:lang w:val="sr-Latn-RS"/>
        </w:rPr>
        <w:t>su ukazala ni na povećanu os</w:t>
      </w:r>
      <w:r w:rsidR="00A06970" w:rsidRPr="00394D9A">
        <w:rPr>
          <w:szCs w:val="22"/>
          <w:lang w:val="sr-Latn-RS"/>
        </w:rPr>
        <w:t>j</w:t>
      </w:r>
      <w:r w:rsidRPr="00394D9A">
        <w:rPr>
          <w:szCs w:val="22"/>
          <w:lang w:val="sr-Latn-RS"/>
        </w:rPr>
        <w:t>etljivost na toksičnost, niti na bilo koju toksičnost specifičnu za juvenilne životinje.</w:t>
      </w:r>
    </w:p>
    <w:p w14:paraId="49DCF6DD" w14:textId="77777777" w:rsidR="004F2041" w:rsidRPr="00394D9A" w:rsidRDefault="004F2041" w:rsidP="00187D17">
      <w:pPr>
        <w:widowControl w:val="0"/>
        <w:rPr>
          <w:szCs w:val="22"/>
          <w:lang w:val="sr-Latn-RS"/>
        </w:rPr>
      </w:pPr>
    </w:p>
    <w:p w14:paraId="2CEB7DDB" w14:textId="1A1C4B24" w:rsidR="007C7E72" w:rsidRPr="00394D9A" w:rsidRDefault="007C7E72" w:rsidP="00187D17">
      <w:pPr>
        <w:widowControl w:val="0"/>
        <w:rPr>
          <w:szCs w:val="22"/>
          <w:lang w:val="sr-Latn-RS"/>
        </w:rPr>
      </w:pPr>
      <w:r w:rsidRPr="00394D9A">
        <w:rPr>
          <w:szCs w:val="22"/>
          <w:lang w:val="sr-Latn-RS"/>
        </w:rPr>
        <w:t>Doživotne studije toksičnosti na pacovima i miševima ni</w:t>
      </w:r>
      <w:r w:rsidR="00B54B54" w:rsidRPr="00394D9A">
        <w:rPr>
          <w:szCs w:val="22"/>
          <w:lang w:val="sr-Latn-RS"/>
        </w:rPr>
        <w:t>je</w:t>
      </w:r>
      <w:r w:rsidRPr="00394D9A">
        <w:rPr>
          <w:szCs w:val="22"/>
          <w:lang w:val="sr-Latn-RS"/>
        </w:rPr>
        <w:t>su pokazale tumorogeni potencijal dabigatrana pri maksimalnim dozama od 200 mg/kg.</w:t>
      </w:r>
    </w:p>
    <w:p w14:paraId="08542840" w14:textId="77777777" w:rsidR="007C7E72" w:rsidRPr="00394D9A" w:rsidRDefault="007C7E72" w:rsidP="00187D17">
      <w:pPr>
        <w:widowControl w:val="0"/>
        <w:rPr>
          <w:szCs w:val="22"/>
          <w:lang w:val="sr-Latn-RS"/>
        </w:rPr>
      </w:pPr>
    </w:p>
    <w:p w14:paraId="020AC586" w14:textId="503342DC" w:rsidR="00CE09F3" w:rsidRPr="00394D9A" w:rsidRDefault="007C7E72" w:rsidP="00187D17">
      <w:pPr>
        <w:widowControl w:val="0"/>
        <w:rPr>
          <w:szCs w:val="22"/>
          <w:lang w:val="sr-Latn-RS"/>
        </w:rPr>
      </w:pPr>
      <w:r w:rsidRPr="00394D9A">
        <w:rPr>
          <w:szCs w:val="22"/>
          <w:lang w:val="sr-Latn-RS"/>
        </w:rPr>
        <w:t xml:space="preserve">Dabigatran, aktivni </w:t>
      </w:r>
      <w:r w:rsidR="00575DB9" w:rsidRPr="00394D9A">
        <w:rPr>
          <w:szCs w:val="22"/>
          <w:lang w:val="sr-Latn-RS"/>
        </w:rPr>
        <w:t xml:space="preserve">dio </w:t>
      </w:r>
      <w:r w:rsidRPr="00394D9A">
        <w:rPr>
          <w:szCs w:val="22"/>
          <w:lang w:val="sr-Latn-RS"/>
        </w:rPr>
        <w:t>dabigatraneteksilat</w:t>
      </w:r>
      <w:r w:rsidR="00575DB9" w:rsidRPr="00394D9A">
        <w:rPr>
          <w:szCs w:val="22"/>
          <w:lang w:val="sr-Latn-RS"/>
        </w:rPr>
        <w:t xml:space="preserve"> </w:t>
      </w:r>
      <w:r w:rsidRPr="00394D9A">
        <w:rPr>
          <w:szCs w:val="22"/>
          <w:lang w:val="sr-Latn-RS"/>
        </w:rPr>
        <w:t xml:space="preserve">mesilata, zadržava </w:t>
      </w:r>
      <w:r w:rsidR="00575DB9" w:rsidRPr="00394D9A">
        <w:rPr>
          <w:szCs w:val="22"/>
          <w:lang w:val="sr-Latn-RS"/>
        </w:rPr>
        <w:t xml:space="preserve">se </w:t>
      </w:r>
      <w:r w:rsidRPr="00394D9A">
        <w:rPr>
          <w:szCs w:val="22"/>
          <w:lang w:val="sr-Latn-RS"/>
        </w:rPr>
        <w:t>u spoljnoj sredini.</w:t>
      </w:r>
    </w:p>
    <w:p w14:paraId="44A8333D" w14:textId="77777777" w:rsidR="00B30A7B" w:rsidRPr="00394D9A" w:rsidRDefault="00B30A7B" w:rsidP="00187D17">
      <w:pPr>
        <w:widowControl w:val="0"/>
        <w:rPr>
          <w:szCs w:val="22"/>
          <w:lang w:val="sr-Latn-RS"/>
        </w:rPr>
      </w:pPr>
    </w:p>
    <w:p w14:paraId="27D744DC" w14:textId="77777777" w:rsidR="00122674" w:rsidRPr="00394D9A" w:rsidRDefault="00122674" w:rsidP="00187D17">
      <w:pPr>
        <w:widowControl w:val="0"/>
        <w:rPr>
          <w:szCs w:val="22"/>
          <w:lang w:val="sr-Latn-RS"/>
        </w:rPr>
      </w:pPr>
    </w:p>
    <w:p w14:paraId="7D82F042" w14:textId="0879811E" w:rsidR="00122674" w:rsidRPr="00394D9A" w:rsidRDefault="00122674" w:rsidP="00187D17">
      <w:pPr>
        <w:widowControl w:val="0"/>
        <w:tabs>
          <w:tab w:val="clear" w:pos="284"/>
          <w:tab w:val="left" w:pos="540"/>
          <w:tab w:val="left" w:pos="569"/>
        </w:tabs>
        <w:jc w:val="left"/>
        <w:rPr>
          <w:b/>
          <w:bCs/>
          <w:szCs w:val="22"/>
          <w:lang w:val="sr-Latn-RS"/>
        </w:rPr>
      </w:pPr>
      <w:r w:rsidRPr="00394D9A">
        <w:rPr>
          <w:b/>
          <w:bCs/>
          <w:szCs w:val="22"/>
          <w:lang w:val="sr-Latn-RS"/>
        </w:rPr>
        <w:t xml:space="preserve">6. </w:t>
      </w:r>
      <w:r w:rsidRPr="00394D9A">
        <w:rPr>
          <w:b/>
          <w:bCs/>
          <w:szCs w:val="22"/>
          <w:lang w:val="sr-Latn-RS"/>
        </w:rPr>
        <w:tab/>
        <w:t>FARMACEUTSKI PODACI</w:t>
      </w:r>
    </w:p>
    <w:p w14:paraId="385B2388" w14:textId="77777777" w:rsidR="00122674" w:rsidRPr="00394D9A" w:rsidRDefault="00122674" w:rsidP="00187D17">
      <w:pPr>
        <w:widowControl w:val="0"/>
        <w:tabs>
          <w:tab w:val="clear" w:pos="284"/>
          <w:tab w:val="left" w:pos="540"/>
          <w:tab w:val="left" w:pos="569"/>
        </w:tabs>
        <w:jc w:val="left"/>
        <w:rPr>
          <w:b/>
          <w:bCs/>
          <w:szCs w:val="22"/>
          <w:lang w:val="sr-Latn-RS"/>
        </w:rPr>
      </w:pPr>
    </w:p>
    <w:p w14:paraId="084AC3D7" w14:textId="77777777" w:rsidR="00122674" w:rsidRPr="00394D9A" w:rsidRDefault="00122674" w:rsidP="00187D17">
      <w:pPr>
        <w:widowControl w:val="0"/>
        <w:tabs>
          <w:tab w:val="clear" w:pos="284"/>
          <w:tab w:val="left" w:pos="540"/>
          <w:tab w:val="left" w:pos="569"/>
        </w:tabs>
        <w:jc w:val="left"/>
        <w:rPr>
          <w:b/>
          <w:bCs/>
          <w:szCs w:val="22"/>
          <w:lang w:val="sr-Latn-RS"/>
        </w:rPr>
      </w:pPr>
      <w:r w:rsidRPr="00394D9A">
        <w:rPr>
          <w:b/>
          <w:bCs/>
          <w:szCs w:val="22"/>
          <w:lang w:val="sr-Latn-RS"/>
        </w:rPr>
        <w:t xml:space="preserve">6.1. </w:t>
      </w:r>
      <w:r w:rsidRPr="00394D9A">
        <w:rPr>
          <w:b/>
          <w:bCs/>
          <w:szCs w:val="22"/>
          <w:lang w:val="sr-Latn-RS"/>
        </w:rPr>
        <w:tab/>
        <w:t>Lista pomoćnih supstanci (ekscipijenasa)</w:t>
      </w:r>
    </w:p>
    <w:p w14:paraId="1A578BD3" w14:textId="77777777" w:rsidR="00CE09F3" w:rsidRPr="00394D9A" w:rsidRDefault="00CE09F3" w:rsidP="00187D17">
      <w:pPr>
        <w:widowControl w:val="0"/>
        <w:rPr>
          <w:szCs w:val="22"/>
          <w:lang w:val="sr-Latn-RS"/>
        </w:rPr>
      </w:pPr>
    </w:p>
    <w:p w14:paraId="2EF1783C" w14:textId="77777777" w:rsidR="00817C2E" w:rsidRPr="00394D9A" w:rsidRDefault="00817C2E" w:rsidP="00187D17">
      <w:pPr>
        <w:widowControl w:val="0"/>
        <w:rPr>
          <w:szCs w:val="22"/>
          <w:u w:val="single"/>
          <w:lang w:val="sr-Latn-RS"/>
        </w:rPr>
      </w:pPr>
      <w:bookmarkStart w:id="3" w:name="_Hlk59029516"/>
      <w:r w:rsidRPr="00394D9A">
        <w:rPr>
          <w:szCs w:val="22"/>
          <w:u w:val="single"/>
          <w:lang w:val="sr-Latn-RS"/>
        </w:rPr>
        <w:t>Sadržaj kapsule</w:t>
      </w:r>
    </w:p>
    <w:p w14:paraId="009E6992" w14:textId="77777777" w:rsidR="00817C2E" w:rsidRPr="00394D9A" w:rsidRDefault="00817C2E" w:rsidP="00187D17">
      <w:pPr>
        <w:pStyle w:val="BodyText"/>
        <w:tabs>
          <w:tab w:val="left" w:pos="684"/>
        </w:tabs>
        <w:ind w:left="0"/>
        <w:rPr>
          <w:rFonts w:cs="Times New Roman"/>
          <w:lang w:val="sr-Latn-RS"/>
        </w:rPr>
      </w:pPr>
      <w:r w:rsidRPr="00394D9A">
        <w:rPr>
          <w:rFonts w:cs="Times New Roman"/>
          <w:lang w:val="sr-Latn-RS"/>
        </w:rPr>
        <w:t>Celuloza, mikrokristalna (E-460);</w:t>
      </w:r>
    </w:p>
    <w:p w14:paraId="5844BC5C" w14:textId="5998CE9B" w:rsidR="00817C2E" w:rsidRPr="00394D9A" w:rsidRDefault="00817C2E" w:rsidP="00187D17">
      <w:pPr>
        <w:pStyle w:val="BodyText"/>
        <w:tabs>
          <w:tab w:val="left" w:pos="684"/>
        </w:tabs>
        <w:ind w:left="0"/>
        <w:rPr>
          <w:rFonts w:cs="Times New Roman"/>
          <w:lang w:val="sr-Latn-RS"/>
        </w:rPr>
      </w:pPr>
      <w:r w:rsidRPr="00394D9A">
        <w:rPr>
          <w:rFonts w:cs="Times New Roman"/>
          <w:lang w:val="sr-Latn-RS"/>
        </w:rPr>
        <w:t>Kroskarmeloza</w:t>
      </w:r>
      <w:r w:rsidR="004D3BF7" w:rsidRPr="00394D9A">
        <w:rPr>
          <w:rFonts w:cs="Times New Roman"/>
          <w:lang w:val="sr-Latn-RS"/>
        </w:rPr>
        <w:t xml:space="preserve"> </w:t>
      </w:r>
      <w:r w:rsidRPr="00394D9A">
        <w:rPr>
          <w:rFonts w:cs="Times New Roman"/>
          <w:lang w:val="sr-Latn-RS"/>
        </w:rPr>
        <w:t>natrijum (E-468);</w:t>
      </w:r>
    </w:p>
    <w:p w14:paraId="5FFB09B6" w14:textId="77777777" w:rsidR="00817C2E" w:rsidRPr="00394D9A" w:rsidRDefault="00817C2E" w:rsidP="00187D17">
      <w:pPr>
        <w:pStyle w:val="BodyText"/>
        <w:tabs>
          <w:tab w:val="left" w:pos="684"/>
        </w:tabs>
        <w:ind w:left="0"/>
        <w:rPr>
          <w:rFonts w:cs="Times New Roman"/>
          <w:lang w:val="sr-Latn-RS"/>
        </w:rPr>
      </w:pPr>
      <w:r w:rsidRPr="00394D9A">
        <w:rPr>
          <w:rFonts w:cs="Times New Roman"/>
          <w:lang w:val="sr-Latn-RS"/>
        </w:rPr>
        <w:t>Krospovidon (E-1202);</w:t>
      </w:r>
    </w:p>
    <w:p w14:paraId="3CB06CD3" w14:textId="77777777" w:rsidR="00817C2E" w:rsidRPr="00394D9A" w:rsidRDefault="00817C2E" w:rsidP="00187D17">
      <w:pPr>
        <w:pStyle w:val="BodyText"/>
        <w:tabs>
          <w:tab w:val="left" w:pos="684"/>
        </w:tabs>
        <w:ind w:left="0"/>
        <w:rPr>
          <w:rFonts w:cs="Times New Roman"/>
          <w:lang w:val="sr-Latn-RS"/>
        </w:rPr>
      </w:pPr>
      <w:r w:rsidRPr="00394D9A">
        <w:rPr>
          <w:rFonts w:cs="Times New Roman"/>
          <w:lang w:val="sr-Latn-RS"/>
        </w:rPr>
        <w:t>Vinska kiselina (E-334);</w:t>
      </w:r>
    </w:p>
    <w:p w14:paraId="574BAF18" w14:textId="77777777" w:rsidR="00817C2E" w:rsidRPr="00394D9A" w:rsidRDefault="00817C2E" w:rsidP="00187D17">
      <w:pPr>
        <w:pStyle w:val="BodyText"/>
        <w:tabs>
          <w:tab w:val="left" w:pos="684"/>
        </w:tabs>
        <w:ind w:left="0"/>
        <w:rPr>
          <w:rFonts w:cs="Times New Roman"/>
          <w:lang w:val="sr-Latn-RS"/>
        </w:rPr>
      </w:pPr>
      <w:r w:rsidRPr="00394D9A">
        <w:rPr>
          <w:rFonts w:cs="Times New Roman"/>
          <w:lang w:val="sr-Latn-RS"/>
        </w:rPr>
        <w:t>Hidroksipropilceluloza (E-463);</w:t>
      </w:r>
    </w:p>
    <w:p w14:paraId="0D8920C3" w14:textId="77777777" w:rsidR="00817C2E" w:rsidRPr="00394D9A" w:rsidRDefault="00817C2E" w:rsidP="00187D17">
      <w:pPr>
        <w:pStyle w:val="BodyText"/>
        <w:tabs>
          <w:tab w:val="left" w:pos="684"/>
        </w:tabs>
        <w:ind w:left="0"/>
        <w:rPr>
          <w:rFonts w:cs="Times New Roman"/>
          <w:lang w:val="sr-Latn-RS"/>
        </w:rPr>
      </w:pPr>
      <w:r w:rsidRPr="00394D9A">
        <w:rPr>
          <w:rFonts w:cs="Times New Roman"/>
          <w:lang w:val="sr-Latn-RS"/>
        </w:rPr>
        <w:t>Manitol (E-421);</w:t>
      </w:r>
    </w:p>
    <w:p w14:paraId="60BA81AD" w14:textId="563B0499" w:rsidR="00817C2E" w:rsidRPr="00394D9A" w:rsidRDefault="00817C2E" w:rsidP="00187D17">
      <w:pPr>
        <w:pStyle w:val="BodyText"/>
        <w:tabs>
          <w:tab w:val="left" w:pos="684"/>
        </w:tabs>
        <w:ind w:left="0"/>
        <w:rPr>
          <w:rFonts w:cs="Times New Roman"/>
          <w:lang w:val="sr-Latn-RS"/>
        </w:rPr>
      </w:pPr>
      <w:r w:rsidRPr="00394D9A">
        <w:rPr>
          <w:rFonts w:cs="Times New Roman"/>
          <w:lang w:val="sr-Latn-RS"/>
        </w:rPr>
        <w:t>Magnezijum</w:t>
      </w:r>
      <w:r w:rsidR="004D3BF7" w:rsidRPr="00394D9A">
        <w:rPr>
          <w:rFonts w:cs="Times New Roman"/>
          <w:lang w:val="sr-Latn-RS"/>
        </w:rPr>
        <w:t xml:space="preserve"> </w:t>
      </w:r>
      <w:r w:rsidRPr="00394D9A">
        <w:rPr>
          <w:rFonts w:cs="Times New Roman"/>
          <w:lang w:val="sr-Latn-RS"/>
        </w:rPr>
        <w:t>stearat (E-470b);</w:t>
      </w:r>
    </w:p>
    <w:p w14:paraId="6E0DA376" w14:textId="77777777" w:rsidR="00817C2E" w:rsidRPr="00394D9A" w:rsidRDefault="00817C2E" w:rsidP="00187D17">
      <w:pPr>
        <w:pStyle w:val="BodyText"/>
        <w:tabs>
          <w:tab w:val="left" w:pos="684"/>
        </w:tabs>
        <w:ind w:left="0"/>
        <w:rPr>
          <w:rFonts w:cs="Times New Roman"/>
          <w:lang w:val="sr-Latn-RS"/>
        </w:rPr>
      </w:pPr>
      <w:r w:rsidRPr="00394D9A">
        <w:rPr>
          <w:rFonts w:cs="Times New Roman"/>
          <w:lang w:val="sr-Latn-RS"/>
        </w:rPr>
        <w:t>Talk (E-553b).</w:t>
      </w:r>
    </w:p>
    <w:p w14:paraId="1C44C900" w14:textId="77777777" w:rsidR="00817C2E" w:rsidRPr="00394D9A" w:rsidRDefault="00817C2E" w:rsidP="00187D17">
      <w:pPr>
        <w:widowControl w:val="0"/>
        <w:rPr>
          <w:szCs w:val="22"/>
          <w:lang w:val="sr-Latn-RS"/>
        </w:rPr>
      </w:pPr>
    </w:p>
    <w:p w14:paraId="15DFC478" w14:textId="7CF3E50D" w:rsidR="00817C2E" w:rsidRPr="00394D9A" w:rsidRDefault="00817C2E" w:rsidP="00187D17">
      <w:pPr>
        <w:widowControl w:val="0"/>
        <w:rPr>
          <w:szCs w:val="22"/>
          <w:u w:val="single"/>
          <w:lang w:val="sr-Latn-RS"/>
        </w:rPr>
      </w:pPr>
      <w:r w:rsidRPr="00394D9A">
        <w:rPr>
          <w:szCs w:val="22"/>
          <w:u w:val="single"/>
          <w:lang w:val="sr-Latn-RS"/>
        </w:rPr>
        <w:t>T</w:t>
      </w:r>
      <w:r w:rsidR="00B54B54" w:rsidRPr="00394D9A">
        <w:rPr>
          <w:szCs w:val="22"/>
          <w:u w:val="single"/>
          <w:lang w:val="sr-Latn-RS"/>
        </w:rPr>
        <w:t>ij</w:t>
      </w:r>
      <w:r w:rsidRPr="00394D9A">
        <w:rPr>
          <w:szCs w:val="22"/>
          <w:u w:val="single"/>
          <w:lang w:val="sr-Latn-RS"/>
        </w:rPr>
        <w:t>elo i kapa kapsule</w:t>
      </w:r>
    </w:p>
    <w:p w14:paraId="4480DD4D" w14:textId="312C37D3" w:rsidR="00817C2E" w:rsidRPr="00394D9A" w:rsidRDefault="00817C2E" w:rsidP="00187D17">
      <w:pPr>
        <w:widowControl w:val="0"/>
        <w:rPr>
          <w:szCs w:val="22"/>
          <w:lang w:val="sr-Latn-RS"/>
        </w:rPr>
      </w:pPr>
      <w:r w:rsidRPr="00394D9A">
        <w:rPr>
          <w:szCs w:val="22"/>
          <w:lang w:val="sr-Latn-RS"/>
        </w:rPr>
        <w:lastRenderedPageBreak/>
        <w:t>Gvožđe(III)</w:t>
      </w:r>
      <w:r w:rsidR="004D3BF7" w:rsidRPr="00394D9A">
        <w:rPr>
          <w:szCs w:val="22"/>
          <w:lang w:val="sr-Latn-RS"/>
        </w:rPr>
        <w:t xml:space="preserve"> </w:t>
      </w:r>
      <w:r w:rsidRPr="00394D9A">
        <w:rPr>
          <w:szCs w:val="22"/>
          <w:lang w:val="sr-Latn-RS"/>
        </w:rPr>
        <w:t>oksid, crveni (E-172);</w:t>
      </w:r>
    </w:p>
    <w:p w14:paraId="1EB6A52C" w14:textId="0866761E" w:rsidR="00817C2E" w:rsidRPr="00394D9A" w:rsidRDefault="00817C2E" w:rsidP="00187D17">
      <w:pPr>
        <w:widowControl w:val="0"/>
        <w:rPr>
          <w:szCs w:val="22"/>
          <w:lang w:val="sr-Latn-RS"/>
        </w:rPr>
      </w:pPr>
      <w:r w:rsidRPr="00394D9A">
        <w:rPr>
          <w:szCs w:val="22"/>
          <w:lang w:val="sr-Latn-RS"/>
        </w:rPr>
        <w:t>Titan</w:t>
      </w:r>
      <w:r w:rsidR="004D3BF7" w:rsidRPr="00394D9A">
        <w:rPr>
          <w:szCs w:val="22"/>
          <w:lang w:val="sr-Latn-RS"/>
        </w:rPr>
        <w:t xml:space="preserve"> </w:t>
      </w:r>
      <w:r w:rsidRPr="00394D9A">
        <w:rPr>
          <w:szCs w:val="22"/>
          <w:lang w:val="sr-Latn-RS"/>
        </w:rPr>
        <w:t>dioksid (E-171);</w:t>
      </w:r>
    </w:p>
    <w:p w14:paraId="5FEB466D" w14:textId="77777777" w:rsidR="00817C2E" w:rsidRPr="00394D9A" w:rsidRDefault="00817C2E" w:rsidP="00187D17">
      <w:pPr>
        <w:widowControl w:val="0"/>
        <w:rPr>
          <w:szCs w:val="22"/>
          <w:lang w:val="sr-Latn-RS"/>
        </w:rPr>
      </w:pPr>
      <w:r w:rsidRPr="00394D9A">
        <w:rPr>
          <w:szCs w:val="22"/>
          <w:lang w:val="sr-Latn-RS"/>
        </w:rPr>
        <w:t>Hipromeloza (E-464).</w:t>
      </w:r>
    </w:p>
    <w:p w14:paraId="5FF99B56" w14:textId="77777777" w:rsidR="00817C2E" w:rsidRPr="00394D9A" w:rsidRDefault="00817C2E" w:rsidP="00187D17">
      <w:pPr>
        <w:widowControl w:val="0"/>
        <w:rPr>
          <w:szCs w:val="22"/>
          <w:lang w:val="sr-Latn-RS"/>
        </w:rPr>
      </w:pPr>
    </w:p>
    <w:p w14:paraId="05C926FC" w14:textId="77777777" w:rsidR="00817C2E" w:rsidRPr="00394D9A" w:rsidRDefault="00817C2E" w:rsidP="00187D17">
      <w:pPr>
        <w:widowControl w:val="0"/>
        <w:rPr>
          <w:szCs w:val="22"/>
          <w:u w:val="single"/>
          <w:lang w:val="sr-Latn-RS"/>
        </w:rPr>
      </w:pPr>
      <w:r w:rsidRPr="00394D9A">
        <w:rPr>
          <w:szCs w:val="22"/>
          <w:u w:val="single"/>
          <w:lang w:val="sr-Latn-RS"/>
        </w:rPr>
        <w:t>Crno mastilo za štampu</w:t>
      </w:r>
    </w:p>
    <w:p w14:paraId="10E944E0" w14:textId="77777777" w:rsidR="00817C2E" w:rsidRPr="00394D9A" w:rsidRDefault="00817C2E" w:rsidP="00187D17">
      <w:pPr>
        <w:widowControl w:val="0"/>
        <w:rPr>
          <w:szCs w:val="22"/>
          <w:lang w:val="sr-Latn-RS"/>
        </w:rPr>
      </w:pPr>
      <w:r w:rsidRPr="00394D9A">
        <w:rPr>
          <w:szCs w:val="22"/>
          <w:lang w:val="sr-Latn-RS"/>
        </w:rPr>
        <w:t>Šelak (E-904);</w:t>
      </w:r>
    </w:p>
    <w:p w14:paraId="6004091C" w14:textId="5DCE15EB" w:rsidR="00817C2E" w:rsidRPr="00394D9A" w:rsidRDefault="00817C2E" w:rsidP="00187D17">
      <w:pPr>
        <w:widowControl w:val="0"/>
        <w:rPr>
          <w:szCs w:val="22"/>
          <w:lang w:val="sr-Latn-RS"/>
        </w:rPr>
      </w:pPr>
      <w:r w:rsidRPr="00394D9A">
        <w:rPr>
          <w:szCs w:val="22"/>
          <w:lang w:val="sr-Latn-RS"/>
        </w:rPr>
        <w:t>Propilen</w:t>
      </w:r>
      <w:r w:rsidR="004D3BF7" w:rsidRPr="00394D9A">
        <w:rPr>
          <w:szCs w:val="22"/>
          <w:lang w:val="sr-Latn-RS"/>
        </w:rPr>
        <w:t xml:space="preserve"> </w:t>
      </w:r>
      <w:r w:rsidRPr="00394D9A">
        <w:rPr>
          <w:szCs w:val="22"/>
          <w:lang w:val="sr-Latn-RS"/>
        </w:rPr>
        <w:t>glikol (E-1520);</w:t>
      </w:r>
    </w:p>
    <w:p w14:paraId="15DE58CE" w14:textId="462BBAFA" w:rsidR="00817C2E" w:rsidRPr="00394D9A" w:rsidRDefault="00817C2E" w:rsidP="00187D17">
      <w:pPr>
        <w:widowControl w:val="0"/>
        <w:rPr>
          <w:szCs w:val="22"/>
          <w:lang w:val="sr-Latn-RS"/>
        </w:rPr>
      </w:pPr>
      <w:r w:rsidRPr="00394D9A">
        <w:rPr>
          <w:szCs w:val="22"/>
          <w:lang w:val="sr-Latn-RS"/>
        </w:rPr>
        <w:t>Amonijum</w:t>
      </w:r>
      <w:r w:rsidR="004D3BF7" w:rsidRPr="00394D9A">
        <w:rPr>
          <w:szCs w:val="22"/>
          <w:lang w:val="sr-Latn-RS"/>
        </w:rPr>
        <w:t xml:space="preserve"> </w:t>
      </w:r>
      <w:r w:rsidRPr="00394D9A">
        <w:rPr>
          <w:szCs w:val="22"/>
          <w:lang w:val="sr-Latn-RS"/>
        </w:rPr>
        <w:t>hidroksid, rastvor (E-527);</w:t>
      </w:r>
    </w:p>
    <w:p w14:paraId="0E01A451" w14:textId="16B0E429" w:rsidR="00817C2E" w:rsidRPr="00394D9A" w:rsidRDefault="00817C2E" w:rsidP="00187D17">
      <w:pPr>
        <w:widowControl w:val="0"/>
        <w:rPr>
          <w:szCs w:val="22"/>
          <w:lang w:val="sr-Latn-RS"/>
        </w:rPr>
      </w:pPr>
      <w:r w:rsidRPr="00394D9A">
        <w:rPr>
          <w:szCs w:val="22"/>
          <w:lang w:val="sr-Latn-RS"/>
        </w:rPr>
        <w:t>Gvožđe(III)</w:t>
      </w:r>
      <w:r w:rsidR="004D3BF7" w:rsidRPr="00394D9A">
        <w:rPr>
          <w:szCs w:val="22"/>
          <w:lang w:val="sr-Latn-RS"/>
        </w:rPr>
        <w:t xml:space="preserve"> </w:t>
      </w:r>
      <w:r w:rsidRPr="00394D9A">
        <w:rPr>
          <w:szCs w:val="22"/>
          <w:lang w:val="sr-Latn-RS"/>
        </w:rPr>
        <w:t>oksid, crni (E172);</w:t>
      </w:r>
    </w:p>
    <w:p w14:paraId="700963DB" w14:textId="1B2DBC7C" w:rsidR="00817C2E" w:rsidRPr="00394D9A" w:rsidRDefault="00817C2E" w:rsidP="00187D17">
      <w:pPr>
        <w:widowControl w:val="0"/>
        <w:rPr>
          <w:szCs w:val="22"/>
          <w:lang w:val="sr-Latn-RS"/>
        </w:rPr>
      </w:pPr>
      <w:r w:rsidRPr="00394D9A">
        <w:rPr>
          <w:szCs w:val="22"/>
          <w:lang w:val="sr-Latn-RS"/>
        </w:rPr>
        <w:t>Kalijum</w:t>
      </w:r>
      <w:r w:rsidR="004D3BF7" w:rsidRPr="00394D9A">
        <w:rPr>
          <w:szCs w:val="22"/>
          <w:lang w:val="sr-Latn-RS"/>
        </w:rPr>
        <w:t xml:space="preserve"> </w:t>
      </w:r>
      <w:r w:rsidRPr="00394D9A">
        <w:rPr>
          <w:szCs w:val="22"/>
          <w:lang w:val="sr-Latn-RS"/>
        </w:rPr>
        <w:t>hidroksid (E-525).</w:t>
      </w:r>
    </w:p>
    <w:bookmarkEnd w:id="3"/>
    <w:p w14:paraId="74D224F4" w14:textId="77777777" w:rsidR="00CF3562" w:rsidRPr="00394D9A" w:rsidRDefault="00CF3562" w:rsidP="00187D17">
      <w:pPr>
        <w:widowControl w:val="0"/>
        <w:rPr>
          <w:szCs w:val="22"/>
          <w:lang w:val="sr-Latn-RS"/>
        </w:rPr>
      </w:pPr>
    </w:p>
    <w:p w14:paraId="2ACDF1FB" w14:textId="77777777" w:rsidR="000E5A83" w:rsidRPr="00394D9A" w:rsidRDefault="000E5A83" w:rsidP="00187D17">
      <w:pPr>
        <w:widowControl w:val="0"/>
        <w:tabs>
          <w:tab w:val="left" w:pos="540"/>
          <w:tab w:val="left" w:pos="569"/>
        </w:tabs>
        <w:rPr>
          <w:b/>
          <w:bCs/>
          <w:szCs w:val="22"/>
          <w:lang w:val="sr-Latn-RS"/>
        </w:rPr>
      </w:pPr>
      <w:r w:rsidRPr="00394D9A">
        <w:rPr>
          <w:b/>
          <w:bCs/>
          <w:szCs w:val="22"/>
          <w:lang w:val="sr-Latn-RS"/>
        </w:rPr>
        <w:t xml:space="preserve">6.2. </w:t>
      </w:r>
      <w:r w:rsidRPr="00394D9A">
        <w:rPr>
          <w:b/>
          <w:bCs/>
          <w:szCs w:val="22"/>
          <w:lang w:val="sr-Latn-RS"/>
        </w:rPr>
        <w:tab/>
        <w:t>Inkompatibilnosti</w:t>
      </w:r>
    </w:p>
    <w:p w14:paraId="2DB5D825" w14:textId="4AB5D882" w:rsidR="00CE09F3" w:rsidRPr="00394D9A" w:rsidRDefault="00CE09F3" w:rsidP="00187D17">
      <w:pPr>
        <w:widowControl w:val="0"/>
        <w:rPr>
          <w:szCs w:val="22"/>
          <w:lang w:val="sr-Latn-RS"/>
        </w:rPr>
      </w:pPr>
    </w:p>
    <w:p w14:paraId="3D3FC187" w14:textId="33A71B76" w:rsidR="00CF3562" w:rsidRPr="00394D9A" w:rsidRDefault="00CF3562" w:rsidP="00187D17">
      <w:pPr>
        <w:widowControl w:val="0"/>
        <w:rPr>
          <w:szCs w:val="22"/>
          <w:lang w:val="sr-Latn-RS"/>
        </w:rPr>
      </w:pPr>
      <w:r w:rsidRPr="00394D9A">
        <w:rPr>
          <w:szCs w:val="22"/>
          <w:lang w:val="sr-Latn-RS"/>
        </w:rPr>
        <w:t>Nije prim</w:t>
      </w:r>
      <w:r w:rsidR="00B54B54" w:rsidRPr="00394D9A">
        <w:rPr>
          <w:szCs w:val="22"/>
          <w:lang w:val="sr-Latn-RS"/>
        </w:rPr>
        <w:t>j</w:t>
      </w:r>
      <w:r w:rsidRPr="00394D9A">
        <w:rPr>
          <w:szCs w:val="22"/>
          <w:lang w:val="sr-Latn-RS"/>
        </w:rPr>
        <w:t>enjivo.</w:t>
      </w:r>
    </w:p>
    <w:p w14:paraId="3431BF4F" w14:textId="77777777" w:rsidR="00CE09F3" w:rsidRPr="00394D9A" w:rsidRDefault="00CE09F3" w:rsidP="00187D17">
      <w:pPr>
        <w:widowControl w:val="0"/>
        <w:rPr>
          <w:szCs w:val="22"/>
          <w:lang w:val="sr-Latn-RS"/>
        </w:rPr>
      </w:pPr>
    </w:p>
    <w:p w14:paraId="368A2A93" w14:textId="77777777" w:rsidR="000E5A83" w:rsidRPr="00394D9A" w:rsidRDefault="000E5A83" w:rsidP="00187D17">
      <w:pPr>
        <w:widowControl w:val="0"/>
        <w:tabs>
          <w:tab w:val="left" w:pos="540"/>
          <w:tab w:val="left" w:pos="569"/>
        </w:tabs>
        <w:rPr>
          <w:b/>
          <w:bCs/>
          <w:szCs w:val="22"/>
          <w:lang w:val="sr-Latn-RS"/>
        </w:rPr>
      </w:pPr>
      <w:r w:rsidRPr="00394D9A">
        <w:rPr>
          <w:b/>
          <w:bCs/>
          <w:szCs w:val="22"/>
          <w:lang w:val="sr-Latn-RS"/>
        </w:rPr>
        <w:t xml:space="preserve">6.3. </w:t>
      </w:r>
      <w:r w:rsidRPr="00394D9A">
        <w:rPr>
          <w:b/>
          <w:bCs/>
          <w:szCs w:val="22"/>
          <w:lang w:val="sr-Latn-RS"/>
        </w:rPr>
        <w:tab/>
        <w:t>Rok upotrebe</w:t>
      </w:r>
    </w:p>
    <w:p w14:paraId="540BFE24" w14:textId="4B150A57" w:rsidR="00CE09F3" w:rsidRPr="00394D9A" w:rsidRDefault="00CE09F3" w:rsidP="00187D17">
      <w:pPr>
        <w:widowControl w:val="0"/>
        <w:rPr>
          <w:szCs w:val="22"/>
          <w:lang w:val="sr-Latn-RS"/>
        </w:rPr>
      </w:pPr>
    </w:p>
    <w:p w14:paraId="6746F4C4" w14:textId="65652496" w:rsidR="00CF3562" w:rsidRPr="00394D9A" w:rsidRDefault="00817C2E" w:rsidP="00187D17">
      <w:pPr>
        <w:widowControl w:val="0"/>
        <w:rPr>
          <w:szCs w:val="22"/>
          <w:lang w:val="sr-Latn-RS"/>
        </w:rPr>
      </w:pPr>
      <w:r w:rsidRPr="00394D9A">
        <w:rPr>
          <w:szCs w:val="22"/>
          <w:lang w:val="sr-Latn-RS"/>
        </w:rPr>
        <w:t>2</w:t>
      </w:r>
      <w:r w:rsidR="00CF3562" w:rsidRPr="00394D9A">
        <w:rPr>
          <w:szCs w:val="22"/>
          <w:lang w:val="sr-Latn-RS"/>
        </w:rPr>
        <w:t xml:space="preserve"> godine</w:t>
      </w:r>
      <w:r w:rsidRPr="00394D9A">
        <w:rPr>
          <w:szCs w:val="22"/>
          <w:lang w:val="sr-Latn-RS"/>
        </w:rPr>
        <w:t>.</w:t>
      </w:r>
    </w:p>
    <w:p w14:paraId="6B217CF9" w14:textId="77777777" w:rsidR="00CE09F3" w:rsidRPr="00394D9A" w:rsidRDefault="00CE09F3" w:rsidP="00187D17">
      <w:pPr>
        <w:widowControl w:val="0"/>
        <w:rPr>
          <w:szCs w:val="22"/>
          <w:lang w:val="sr-Latn-RS"/>
        </w:rPr>
      </w:pPr>
    </w:p>
    <w:p w14:paraId="1CCCE4FE" w14:textId="77777777" w:rsidR="000E5A83" w:rsidRPr="00394D9A" w:rsidRDefault="000E5A83" w:rsidP="00187D17">
      <w:pPr>
        <w:widowControl w:val="0"/>
        <w:tabs>
          <w:tab w:val="left" w:pos="540"/>
          <w:tab w:val="left" w:pos="569"/>
        </w:tabs>
        <w:rPr>
          <w:b/>
          <w:bCs/>
          <w:szCs w:val="22"/>
          <w:lang w:val="sr-Latn-RS"/>
        </w:rPr>
      </w:pPr>
      <w:r w:rsidRPr="00394D9A">
        <w:rPr>
          <w:b/>
          <w:bCs/>
          <w:szCs w:val="22"/>
          <w:lang w:val="sr-Latn-RS"/>
        </w:rPr>
        <w:t xml:space="preserve">6.4. </w:t>
      </w:r>
      <w:r w:rsidRPr="00394D9A">
        <w:rPr>
          <w:b/>
          <w:bCs/>
          <w:szCs w:val="22"/>
          <w:lang w:val="sr-Latn-RS"/>
        </w:rPr>
        <w:tab/>
        <w:t>Posebne mjere upozorenja pri čuvanju lijeka</w:t>
      </w:r>
    </w:p>
    <w:p w14:paraId="4B748FFA" w14:textId="4DE125C3" w:rsidR="00CE09F3" w:rsidRPr="00394D9A" w:rsidRDefault="00CE09F3" w:rsidP="00187D17">
      <w:pPr>
        <w:widowControl w:val="0"/>
        <w:rPr>
          <w:szCs w:val="22"/>
          <w:lang w:val="sr-Latn-RS"/>
        </w:rPr>
      </w:pPr>
    </w:p>
    <w:p w14:paraId="7AAD6E1A" w14:textId="391FC6F6" w:rsidR="00817C2E" w:rsidRPr="00394D9A" w:rsidRDefault="00817C2E" w:rsidP="00187D17">
      <w:pPr>
        <w:widowControl w:val="0"/>
        <w:rPr>
          <w:szCs w:val="22"/>
          <w:lang w:val="sr-Latn-RS"/>
        </w:rPr>
      </w:pPr>
      <w:r w:rsidRPr="00394D9A">
        <w:rPr>
          <w:szCs w:val="22"/>
          <w:lang w:val="sr-Latn-RS"/>
        </w:rPr>
        <w:t xml:space="preserve">Ovaj </w:t>
      </w:r>
      <w:r w:rsidR="00A639DA" w:rsidRPr="00394D9A">
        <w:rPr>
          <w:szCs w:val="22"/>
          <w:lang w:val="sr-Latn-RS"/>
        </w:rPr>
        <w:t>lijek</w:t>
      </w:r>
      <w:r w:rsidRPr="00394D9A">
        <w:rPr>
          <w:szCs w:val="22"/>
          <w:lang w:val="sr-Latn-RS"/>
        </w:rPr>
        <w:t xml:space="preserve"> ne zaht</w:t>
      </w:r>
      <w:r w:rsidR="00A06970" w:rsidRPr="00394D9A">
        <w:rPr>
          <w:szCs w:val="22"/>
          <w:lang w:val="sr-Latn-RS"/>
        </w:rPr>
        <w:t>i</w:t>
      </w:r>
      <w:r w:rsidR="00B54B54" w:rsidRPr="00394D9A">
        <w:rPr>
          <w:szCs w:val="22"/>
          <w:lang w:val="sr-Latn-RS"/>
        </w:rPr>
        <w:t>j</w:t>
      </w:r>
      <w:r w:rsidRPr="00394D9A">
        <w:rPr>
          <w:szCs w:val="22"/>
          <w:lang w:val="sr-Latn-RS"/>
        </w:rPr>
        <w:t>eva posebne uslove čuvanja.</w:t>
      </w:r>
    </w:p>
    <w:p w14:paraId="573A0218" w14:textId="77777777" w:rsidR="00273696" w:rsidRPr="00394D9A" w:rsidRDefault="00273696" w:rsidP="00187D17">
      <w:pPr>
        <w:widowControl w:val="0"/>
        <w:rPr>
          <w:szCs w:val="22"/>
          <w:lang w:val="sr-Latn-RS"/>
        </w:rPr>
      </w:pPr>
    </w:p>
    <w:p w14:paraId="7A09EBAD" w14:textId="77777777" w:rsidR="000E5A83" w:rsidRPr="00394D9A" w:rsidRDefault="000E5A83" w:rsidP="00187D17">
      <w:pPr>
        <w:widowControl w:val="0"/>
        <w:tabs>
          <w:tab w:val="left" w:pos="540"/>
          <w:tab w:val="left" w:pos="569"/>
        </w:tabs>
        <w:rPr>
          <w:b/>
          <w:bCs/>
          <w:szCs w:val="22"/>
          <w:lang w:val="sr-Latn-RS"/>
        </w:rPr>
      </w:pPr>
      <w:r w:rsidRPr="00394D9A">
        <w:rPr>
          <w:b/>
          <w:bCs/>
          <w:szCs w:val="22"/>
          <w:lang w:val="sr-Latn-RS"/>
        </w:rPr>
        <w:t xml:space="preserve">6.5. </w:t>
      </w:r>
      <w:r w:rsidRPr="00394D9A">
        <w:rPr>
          <w:b/>
          <w:bCs/>
          <w:szCs w:val="22"/>
          <w:lang w:val="sr-Latn-RS"/>
        </w:rPr>
        <w:tab/>
        <w:t xml:space="preserve">Vrsta i sadržaj pakovanja </w:t>
      </w:r>
    </w:p>
    <w:p w14:paraId="53CF2240" w14:textId="4C61C432" w:rsidR="00CF3562" w:rsidRPr="00394D9A" w:rsidRDefault="00CF3562" w:rsidP="00187D17">
      <w:pPr>
        <w:widowControl w:val="0"/>
        <w:rPr>
          <w:b/>
          <w:bCs/>
          <w:szCs w:val="22"/>
          <w:lang w:val="sr-Latn-RS"/>
        </w:rPr>
      </w:pPr>
    </w:p>
    <w:p w14:paraId="76C779A8" w14:textId="232778D2" w:rsidR="00817C2E" w:rsidRPr="00394D9A" w:rsidRDefault="00817C2E" w:rsidP="00187D17">
      <w:pPr>
        <w:widowControl w:val="0"/>
        <w:rPr>
          <w:szCs w:val="22"/>
          <w:lang w:val="sr-Latn-RS"/>
        </w:rPr>
      </w:pPr>
      <w:r w:rsidRPr="00394D9A">
        <w:rPr>
          <w:szCs w:val="22"/>
          <w:lang w:val="sr-Latn-RS"/>
        </w:rPr>
        <w:t xml:space="preserve">Unutrašnje pakovanje </w:t>
      </w:r>
      <w:r w:rsidR="00A639DA" w:rsidRPr="00394D9A">
        <w:rPr>
          <w:szCs w:val="22"/>
          <w:lang w:val="sr-Latn-RS"/>
        </w:rPr>
        <w:t>lijeka</w:t>
      </w:r>
      <w:r w:rsidRPr="00394D9A">
        <w:rPr>
          <w:szCs w:val="22"/>
          <w:lang w:val="sr-Latn-RS"/>
        </w:rPr>
        <w:t xml:space="preserve"> je aluminijum/aluminijum blister sa performacijom između doza i ugrađenim desikantom, koji sadrži 10 tvrdih kapsula.</w:t>
      </w:r>
    </w:p>
    <w:p w14:paraId="6F72D6AE" w14:textId="43587E49" w:rsidR="00817C2E" w:rsidRPr="00394D9A" w:rsidRDefault="00817C2E" w:rsidP="00187D17">
      <w:pPr>
        <w:widowControl w:val="0"/>
        <w:rPr>
          <w:szCs w:val="22"/>
          <w:lang w:val="sr-Latn-RS"/>
        </w:rPr>
      </w:pPr>
      <w:r w:rsidRPr="00394D9A">
        <w:rPr>
          <w:szCs w:val="22"/>
          <w:lang w:val="sr-Latn-RS"/>
        </w:rPr>
        <w:t xml:space="preserve">Spoljašnje pakovanje </w:t>
      </w:r>
      <w:r w:rsidR="00A639DA" w:rsidRPr="00394D9A">
        <w:rPr>
          <w:szCs w:val="22"/>
          <w:lang w:val="sr-Latn-RS"/>
        </w:rPr>
        <w:t>lijeka</w:t>
      </w:r>
      <w:r w:rsidRPr="00394D9A">
        <w:rPr>
          <w:szCs w:val="22"/>
          <w:lang w:val="sr-Latn-RS"/>
        </w:rPr>
        <w:t xml:space="preserve"> je složiva kartonska kutija u kojoj se nalazi 6 blistera sa po 10 kapsula (ukupno 60 tvrdih kapsula) i Uputstvo za </w:t>
      </w:r>
      <w:r w:rsidR="00A639DA" w:rsidRPr="00394D9A">
        <w:rPr>
          <w:szCs w:val="22"/>
          <w:lang w:val="sr-Latn-RS"/>
        </w:rPr>
        <w:t>lijek</w:t>
      </w:r>
      <w:r w:rsidRPr="00394D9A">
        <w:rPr>
          <w:szCs w:val="22"/>
          <w:lang w:val="sr-Latn-RS"/>
        </w:rPr>
        <w:t>.</w:t>
      </w:r>
    </w:p>
    <w:p w14:paraId="42AE1034" w14:textId="77777777" w:rsidR="00394D9A" w:rsidRPr="00394D9A" w:rsidRDefault="00394D9A" w:rsidP="00187D17">
      <w:pPr>
        <w:widowControl w:val="0"/>
        <w:rPr>
          <w:szCs w:val="22"/>
          <w:lang w:val="sr-Latn-RS"/>
        </w:rPr>
      </w:pPr>
    </w:p>
    <w:p w14:paraId="6534A605" w14:textId="77777777" w:rsidR="000E5A83" w:rsidRPr="00394D9A" w:rsidRDefault="000E5A83" w:rsidP="00187D17">
      <w:pPr>
        <w:widowControl w:val="0"/>
        <w:tabs>
          <w:tab w:val="left" w:pos="540"/>
          <w:tab w:val="left" w:pos="569"/>
        </w:tabs>
        <w:rPr>
          <w:b/>
          <w:bCs/>
          <w:szCs w:val="22"/>
          <w:lang w:val="sr-Latn-RS"/>
        </w:rPr>
      </w:pPr>
      <w:r w:rsidRPr="00394D9A">
        <w:rPr>
          <w:b/>
          <w:bCs/>
          <w:szCs w:val="22"/>
          <w:lang w:val="sr-Latn-RS"/>
        </w:rPr>
        <w:t xml:space="preserve">6.6. </w:t>
      </w:r>
      <w:r w:rsidRPr="00394D9A">
        <w:rPr>
          <w:b/>
          <w:bCs/>
          <w:szCs w:val="22"/>
          <w:lang w:val="sr-Latn-RS"/>
        </w:rPr>
        <w:tab/>
      </w:r>
      <w:r w:rsidRPr="00394D9A">
        <w:rPr>
          <w:b/>
          <w:bCs/>
          <w:color w:val="000000"/>
          <w:szCs w:val="22"/>
          <w:lang w:val="sr-Latn-RS"/>
        </w:rPr>
        <w:t>Posebne mjere opreza pri odlaganju materijala koji treba odbaciti nakon primjene lijeka</w:t>
      </w:r>
      <w:r w:rsidRPr="00394D9A">
        <w:rPr>
          <w:b/>
          <w:bCs/>
          <w:szCs w:val="22"/>
          <w:lang w:val="sr-Latn-RS"/>
        </w:rPr>
        <w:t xml:space="preserve"> (i druga uputstva za rukovanje lijekom) </w:t>
      </w:r>
    </w:p>
    <w:p w14:paraId="3147966E" w14:textId="77777777" w:rsidR="00817C2E" w:rsidRPr="00394D9A" w:rsidRDefault="00817C2E" w:rsidP="00187D17">
      <w:pPr>
        <w:widowControl w:val="0"/>
        <w:rPr>
          <w:szCs w:val="22"/>
          <w:lang w:val="sr-Latn-RS"/>
        </w:rPr>
      </w:pPr>
    </w:p>
    <w:p w14:paraId="2262B83A" w14:textId="2DBCF905" w:rsidR="00817C2E" w:rsidRPr="00394D9A" w:rsidRDefault="00817C2E" w:rsidP="00187D17">
      <w:pPr>
        <w:widowControl w:val="0"/>
        <w:rPr>
          <w:szCs w:val="22"/>
          <w:lang w:val="sr-Latn-RS"/>
        </w:rPr>
      </w:pPr>
      <w:r w:rsidRPr="00394D9A">
        <w:rPr>
          <w:szCs w:val="22"/>
          <w:lang w:val="sr-Latn-RS"/>
        </w:rPr>
        <w:t xml:space="preserve">Svu neiskorišćenu količinu </w:t>
      </w:r>
      <w:r w:rsidR="00A639DA" w:rsidRPr="00394D9A">
        <w:rPr>
          <w:szCs w:val="22"/>
          <w:lang w:val="sr-Latn-RS"/>
        </w:rPr>
        <w:t>lijeka</w:t>
      </w:r>
      <w:r w:rsidRPr="00394D9A">
        <w:rPr>
          <w:szCs w:val="22"/>
          <w:lang w:val="sr-Latn-RS"/>
        </w:rPr>
        <w:t xml:space="preserve"> ili otpadnog materijala nakon njegove upotrebe treba ukloniti u skladu sa važećim zakonskim propisima.</w:t>
      </w:r>
    </w:p>
    <w:p w14:paraId="05543181" w14:textId="2EED782A" w:rsidR="000E5A83" w:rsidRPr="00394D9A" w:rsidRDefault="000E5A83" w:rsidP="00187D17">
      <w:pPr>
        <w:widowControl w:val="0"/>
        <w:rPr>
          <w:szCs w:val="22"/>
          <w:lang w:val="sr-Latn-RS"/>
        </w:rPr>
      </w:pPr>
    </w:p>
    <w:p w14:paraId="6727BE85" w14:textId="77777777" w:rsidR="004D3BF7" w:rsidRPr="00394D9A" w:rsidRDefault="004D3BF7" w:rsidP="00187D17">
      <w:pPr>
        <w:widowControl w:val="0"/>
        <w:rPr>
          <w:szCs w:val="22"/>
          <w:lang w:val="sr-Latn-RS"/>
        </w:rPr>
      </w:pPr>
    </w:p>
    <w:p w14:paraId="6CE1025F" w14:textId="656D21AA" w:rsidR="000E5A83" w:rsidRPr="00394D9A" w:rsidRDefault="000E5A83" w:rsidP="00187D17">
      <w:pPr>
        <w:widowControl w:val="0"/>
        <w:tabs>
          <w:tab w:val="clear" w:pos="284"/>
          <w:tab w:val="left" w:pos="540"/>
          <w:tab w:val="left" w:pos="569"/>
        </w:tabs>
        <w:jc w:val="left"/>
        <w:rPr>
          <w:b/>
          <w:bCs/>
          <w:szCs w:val="22"/>
          <w:lang w:val="sr-Latn-RS"/>
        </w:rPr>
      </w:pPr>
      <w:r w:rsidRPr="00394D9A">
        <w:rPr>
          <w:b/>
          <w:bCs/>
          <w:szCs w:val="22"/>
          <w:lang w:val="sr-Latn-RS"/>
        </w:rPr>
        <w:t xml:space="preserve">7. </w:t>
      </w:r>
      <w:r w:rsidR="004D3BF7" w:rsidRPr="00394D9A">
        <w:rPr>
          <w:b/>
          <w:bCs/>
          <w:szCs w:val="22"/>
          <w:lang w:val="sr-Latn-RS"/>
        </w:rPr>
        <w:t xml:space="preserve">   </w:t>
      </w:r>
      <w:r w:rsidRPr="00394D9A">
        <w:rPr>
          <w:b/>
          <w:bCs/>
          <w:szCs w:val="22"/>
          <w:lang w:val="sr-Latn-RS"/>
        </w:rPr>
        <w:t xml:space="preserve">NOSILAC DOZVOLE </w:t>
      </w:r>
    </w:p>
    <w:p w14:paraId="1A90BAAC" w14:textId="77777777" w:rsidR="000E5A83" w:rsidRPr="00394D9A" w:rsidRDefault="000E5A83" w:rsidP="00187D17">
      <w:pPr>
        <w:widowControl w:val="0"/>
        <w:tabs>
          <w:tab w:val="clear" w:pos="284"/>
          <w:tab w:val="left" w:pos="540"/>
          <w:tab w:val="left" w:pos="569"/>
        </w:tabs>
        <w:jc w:val="left"/>
        <w:rPr>
          <w:b/>
          <w:bCs/>
          <w:szCs w:val="22"/>
          <w:lang w:val="sr-Latn-RS"/>
        </w:rPr>
      </w:pPr>
    </w:p>
    <w:p w14:paraId="650A8AF0" w14:textId="3C52DAB2" w:rsidR="00520559" w:rsidRDefault="00AD2F94" w:rsidP="00187D17">
      <w:pPr>
        <w:widowControl w:val="0"/>
        <w:rPr>
          <w:lang w:val="sr-Latn-ME"/>
        </w:rPr>
      </w:pPr>
      <w:r>
        <w:rPr>
          <w:lang w:val="sr-Latn-ME"/>
        </w:rPr>
        <w:t xml:space="preserve">Farmont M.P. d.o.o, </w:t>
      </w:r>
    </w:p>
    <w:p w14:paraId="57608C13" w14:textId="536B6CA0" w:rsidR="004E1159" w:rsidRPr="00394D9A" w:rsidRDefault="00AD2F94" w:rsidP="00187D17">
      <w:pPr>
        <w:widowControl w:val="0"/>
        <w:rPr>
          <w:szCs w:val="22"/>
          <w:lang w:val="sr-Latn-RS"/>
        </w:rPr>
      </w:pPr>
      <w:r>
        <w:rPr>
          <w:lang w:val="sr-Latn-ME"/>
        </w:rPr>
        <w:t>Kosić</w:t>
      </w:r>
      <w:r w:rsidR="00520559">
        <w:rPr>
          <w:lang w:val="sr-Latn-ME"/>
        </w:rPr>
        <w:t xml:space="preserve">, </w:t>
      </w:r>
      <w:r>
        <w:rPr>
          <w:lang w:val="sr-Latn-ME"/>
        </w:rPr>
        <w:t>Stari put bb</w:t>
      </w:r>
      <w:r w:rsidR="00520559">
        <w:rPr>
          <w:szCs w:val="22"/>
          <w:lang w:val="sr-Latn-RS"/>
        </w:rPr>
        <w:t xml:space="preserve">, </w:t>
      </w:r>
      <w:r>
        <w:rPr>
          <w:szCs w:val="22"/>
          <w:lang w:val="sr-Latn-RS"/>
        </w:rPr>
        <w:t>Danilovgrad</w:t>
      </w:r>
      <w:r w:rsidR="00520559">
        <w:rPr>
          <w:szCs w:val="22"/>
          <w:lang w:val="sr-Latn-RS"/>
        </w:rPr>
        <w:t xml:space="preserve">, </w:t>
      </w:r>
      <w:r w:rsidR="004E1159" w:rsidRPr="00394D9A">
        <w:rPr>
          <w:szCs w:val="22"/>
          <w:lang w:val="sr-Latn-RS"/>
        </w:rPr>
        <w:t>Crna Gora</w:t>
      </w:r>
    </w:p>
    <w:p w14:paraId="5A4CC763" w14:textId="70E82972" w:rsidR="00CE09F3" w:rsidRPr="00394D9A" w:rsidRDefault="00CE09F3" w:rsidP="00187D17">
      <w:pPr>
        <w:widowControl w:val="0"/>
        <w:rPr>
          <w:szCs w:val="22"/>
          <w:lang w:val="sr-Latn-RS"/>
        </w:rPr>
      </w:pPr>
    </w:p>
    <w:p w14:paraId="158AE09F" w14:textId="77777777" w:rsidR="000E5A83" w:rsidRPr="00394D9A" w:rsidRDefault="000E5A83" w:rsidP="00187D17">
      <w:pPr>
        <w:widowControl w:val="0"/>
        <w:rPr>
          <w:szCs w:val="22"/>
          <w:lang w:val="sr-Latn-RS"/>
        </w:rPr>
      </w:pPr>
    </w:p>
    <w:p w14:paraId="2A6BBEA7" w14:textId="0B98341B" w:rsidR="000E5A83" w:rsidRPr="00394D9A" w:rsidRDefault="000E5A83" w:rsidP="00187D17">
      <w:pPr>
        <w:widowControl w:val="0"/>
        <w:tabs>
          <w:tab w:val="left" w:pos="540"/>
          <w:tab w:val="left" w:pos="569"/>
        </w:tabs>
        <w:rPr>
          <w:b/>
          <w:bCs/>
          <w:szCs w:val="22"/>
          <w:lang w:val="sr-Latn-RS"/>
        </w:rPr>
      </w:pPr>
      <w:r w:rsidRPr="00394D9A">
        <w:rPr>
          <w:b/>
          <w:bCs/>
          <w:szCs w:val="22"/>
          <w:lang w:val="sr-Latn-RS"/>
        </w:rPr>
        <w:t xml:space="preserve">8. </w:t>
      </w:r>
      <w:r w:rsidRPr="00394D9A">
        <w:rPr>
          <w:b/>
          <w:bCs/>
          <w:szCs w:val="22"/>
          <w:lang w:val="sr-Latn-RS"/>
        </w:rPr>
        <w:tab/>
      </w:r>
      <w:r w:rsidR="004D3BF7" w:rsidRPr="00394D9A">
        <w:rPr>
          <w:b/>
          <w:bCs/>
          <w:szCs w:val="22"/>
          <w:lang w:val="sr-Latn-RS"/>
        </w:rPr>
        <w:t xml:space="preserve">   </w:t>
      </w:r>
      <w:r w:rsidRPr="00394D9A">
        <w:rPr>
          <w:b/>
          <w:bCs/>
          <w:szCs w:val="22"/>
          <w:lang w:val="sr-Latn-RS"/>
        </w:rPr>
        <w:t>BROJ DOZVOLE ZA STAVLJANJE LIJEKA U PROMET</w:t>
      </w:r>
    </w:p>
    <w:p w14:paraId="69139A5E" w14:textId="00FDCAD8" w:rsidR="007D364F" w:rsidRPr="00394D9A" w:rsidRDefault="007D364F" w:rsidP="00187D17">
      <w:pPr>
        <w:widowControl w:val="0"/>
        <w:tabs>
          <w:tab w:val="left" w:pos="540"/>
          <w:tab w:val="left" w:pos="569"/>
        </w:tabs>
        <w:rPr>
          <w:b/>
          <w:bCs/>
          <w:szCs w:val="22"/>
          <w:lang w:val="sr-Latn-RS"/>
        </w:rPr>
      </w:pPr>
    </w:p>
    <w:p w14:paraId="235B5E11" w14:textId="5F81E056" w:rsidR="007D364F" w:rsidRPr="00394D9A" w:rsidRDefault="007D364F" w:rsidP="00187D17">
      <w:pPr>
        <w:widowControl w:val="0"/>
        <w:tabs>
          <w:tab w:val="left" w:pos="540"/>
          <w:tab w:val="left" w:pos="569"/>
        </w:tabs>
        <w:rPr>
          <w:bCs/>
          <w:szCs w:val="22"/>
          <w:lang w:val="sr-Latn-RS"/>
        </w:rPr>
      </w:pPr>
      <w:r w:rsidRPr="00394D9A">
        <w:rPr>
          <w:bCs/>
          <w:szCs w:val="22"/>
          <w:lang w:val="sr-Latn-RS"/>
        </w:rPr>
        <w:t>2030/24/944 - 924</w:t>
      </w:r>
    </w:p>
    <w:p w14:paraId="7925D75F" w14:textId="39AA5C97" w:rsidR="00CE09F3" w:rsidRPr="00394D9A" w:rsidRDefault="00CE09F3" w:rsidP="00187D17">
      <w:pPr>
        <w:widowControl w:val="0"/>
        <w:rPr>
          <w:i/>
          <w:szCs w:val="22"/>
          <w:lang w:val="sr-Latn-RS"/>
        </w:rPr>
      </w:pPr>
    </w:p>
    <w:p w14:paraId="57AEEC3D" w14:textId="77777777" w:rsidR="00817C2E" w:rsidRPr="00394D9A" w:rsidRDefault="00817C2E" w:rsidP="00187D17">
      <w:pPr>
        <w:widowControl w:val="0"/>
        <w:rPr>
          <w:szCs w:val="22"/>
          <w:lang w:val="sr-Latn-RS"/>
        </w:rPr>
      </w:pPr>
    </w:p>
    <w:p w14:paraId="736A70DE" w14:textId="77777777" w:rsidR="000E5A83" w:rsidRPr="00394D9A" w:rsidRDefault="000E5A83" w:rsidP="00187D17">
      <w:pPr>
        <w:widowControl w:val="0"/>
        <w:tabs>
          <w:tab w:val="clear" w:pos="284"/>
          <w:tab w:val="left" w:pos="540"/>
          <w:tab w:val="left" w:pos="569"/>
        </w:tabs>
        <w:jc w:val="left"/>
        <w:rPr>
          <w:b/>
          <w:bCs/>
          <w:szCs w:val="22"/>
          <w:lang w:val="sr-Latn-RS"/>
        </w:rPr>
      </w:pPr>
      <w:r w:rsidRPr="00394D9A">
        <w:rPr>
          <w:b/>
          <w:bCs/>
          <w:szCs w:val="22"/>
          <w:lang w:val="sr-Latn-RS"/>
        </w:rPr>
        <w:t xml:space="preserve">9. </w:t>
      </w:r>
      <w:r w:rsidRPr="00394D9A">
        <w:rPr>
          <w:b/>
          <w:bCs/>
          <w:szCs w:val="22"/>
          <w:lang w:val="sr-Latn-RS"/>
        </w:rPr>
        <w:tab/>
        <w:t>DATUM PRVE DOZVOLE/OBNOVE DOZVOLE ZA STAVLJANJE LIJEKA U PROMET</w:t>
      </w:r>
    </w:p>
    <w:p w14:paraId="0FFE19E5" w14:textId="05527302" w:rsidR="00CE09F3" w:rsidRPr="00394D9A" w:rsidRDefault="00CE09F3" w:rsidP="00187D17">
      <w:pPr>
        <w:widowControl w:val="0"/>
        <w:autoSpaceDE w:val="0"/>
        <w:autoSpaceDN w:val="0"/>
        <w:adjustRightInd w:val="0"/>
        <w:rPr>
          <w:szCs w:val="22"/>
          <w:lang w:val="sr-Latn-RS"/>
        </w:rPr>
      </w:pPr>
    </w:p>
    <w:p w14:paraId="22342A61" w14:textId="4588C136" w:rsidR="00CE09F3" w:rsidRPr="00394D9A" w:rsidRDefault="007D364F" w:rsidP="00187D17">
      <w:pPr>
        <w:widowControl w:val="0"/>
        <w:rPr>
          <w:szCs w:val="22"/>
          <w:lang w:val="sr-Latn-RS"/>
        </w:rPr>
      </w:pPr>
      <w:r w:rsidRPr="00394D9A">
        <w:rPr>
          <w:szCs w:val="22"/>
          <w:lang w:val="sr-Latn-RS"/>
        </w:rPr>
        <w:t>22.02.2024. godine</w:t>
      </w:r>
    </w:p>
    <w:p w14:paraId="7C54FB96" w14:textId="19F793FC" w:rsidR="007D364F" w:rsidRDefault="007D364F" w:rsidP="00187D17">
      <w:pPr>
        <w:widowControl w:val="0"/>
        <w:rPr>
          <w:szCs w:val="22"/>
          <w:lang w:val="sr-Latn-RS"/>
        </w:rPr>
      </w:pPr>
    </w:p>
    <w:p w14:paraId="49F4EA89" w14:textId="77777777" w:rsidR="00520559" w:rsidRPr="00394D9A" w:rsidRDefault="00520559" w:rsidP="00187D17">
      <w:pPr>
        <w:widowControl w:val="0"/>
        <w:rPr>
          <w:szCs w:val="22"/>
          <w:lang w:val="sr-Latn-RS"/>
        </w:rPr>
      </w:pPr>
    </w:p>
    <w:p w14:paraId="38C9AC89" w14:textId="77777777" w:rsidR="000E5A83" w:rsidRPr="00394D9A" w:rsidRDefault="000E5A83" w:rsidP="00187D17">
      <w:pPr>
        <w:widowControl w:val="0"/>
        <w:tabs>
          <w:tab w:val="left" w:pos="540"/>
          <w:tab w:val="left" w:pos="569"/>
        </w:tabs>
        <w:ind w:left="540" w:hanging="540"/>
        <w:rPr>
          <w:bCs/>
          <w:szCs w:val="22"/>
          <w:lang w:val="sr-Latn-RS"/>
        </w:rPr>
      </w:pPr>
      <w:r w:rsidRPr="00394D9A">
        <w:rPr>
          <w:b/>
          <w:bCs/>
          <w:szCs w:val="22"/>
          <w:lang w:val="sr-Latn-RS"/>
        </w:rPr>
        <w:t xml:space="preserve">10. </w:t>
      </w:r>
      <w:r w:rsidRPr="00394D9A">
        <w:rPr>
          <w:b/>
          <w:bCs/>
          <w:szCs w:val="22"/>
          <w:lang w:val="sr-Latn-RS"/>
        </w:rPr>
        <w:tab/>
        <w:t xml:space="preserve">DATUM REVIZIJE TEKSTA </w:t>
      </w:r>
    </w:p>
    <w:p w14:paraId="349B30C1" w14:textId="77777777" w:rsidR="00923865" w:rsidRPr="00394D9A" w:rsidRDefault="00923865" w:rsidP="00187D17">
      <w:pPr>
        <w:widowControl w:val="0"/>
        <w:rPr>
          <w:bCs/>
          <w:szCs w:val="22"/>
          <w:lang w:val="sr-Latn-RS"/>
        </w:rPr>
      </w:pPr>
    </w:p>
    <w:p w14:paraId="5749AF49" w14:textId="16E1F0B5" w:rsidR="00923865" w:rsidRPr="00394D9A" w:rsidRDefault="00A01BFA" w:rsidP="00187D17">
      <w:pPr>
        <w:widowControl w:val="0"/>
        <w:rPr>
          <w:bCs/>
          <w:szCs w:val="22"/>
          <w:lang w:val="sr-Latn-RS"/>
        </w:rPr>
      </w:pPr>
      <w:r>
        <w:rPr>
          <w:bCs/>
          <w:szCs w:val="22"/>
          <w:lang w:val="sr-Latn-RS"/>
        </w:rPr>
        <w:t>Novembar</w:t>
      </w:r>
      <w:bookmarkStart w:id="4" w:name="_GoBack"/>
      <w:bookmarkEnd w:id="4"/>
      <w:r w:rsidR="00520559">
        <w:rPr>
          <w:bCs/>
          <w:szCs w:val="22"/>
          <w:lang w:val="sr-Latn-RS"/>
        </w:rPr>
        <w:t>, 2024. godine</w:t>
      </w:r>
    </w:p>
    <w:sectPr w:rsidR="00923865" w:rsidRPr="00394D9A" w:rsidSect="00DF17BA">
      <w:footerReference w:type="even" r:id="rId15"/>
      <w:footerReference w:type="default" r:id="rId16"/>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BF29C" w14:textId="77777777" w:rsidR="00235402" w:rsidRDefault="00235402">
      <w:r>
        <w:separator/>
      </w:r>
    </w:p>
  </w:endnote>
  <w:endnote w:type="continuationSeparator" w:id="0">
    <w:p w14:paraId="450D5CAC" w14:textId="77777777" w:rsidR="00235402" w:rsidRDefault="00235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Calibri"/>
    <w:charset w:val="00"/>
    <w:family w:val="swiss"/>
    <w:pitch w:val="variable"/>
    <w:sig w:usb0="00000087" w:usb1="00000000" w:usb2="00000000" w:usb3="00000000" w:csb0="0000001B"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1330A" w14:textId="0554F98D" w:rsidR="00187D17" w:rsidRDefault="00187D17"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200EEE" w14:textId="77777777" w:rsidR="00187D17" w:rsidRDefault="00187D17">
    <w:pPr>
      <w:pStyle w:val="Footer"/>
      <w:ind w:right="360"/>
    </w:pPr>
  </w:p>
  <w:p w14:paraId="080227DB" w14:textId="77777777" w:rsidR="00187D17" w:rsidRDefault="00187D17"/>
  <w:p w14:paraId="1479FEBB" w14:textId="77777777" w:rsidR="00187D17" w:rsidRDefault="00187D1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CDFAE" w14:textId="4A87CB56" w:rsidR="00187D17" w:rsidRPr="00DF17BA" w:rsidRDefault="00187D17" w:rsidP="00DF17BA">
    <w:pPr>
      <w:pStyle w:val="Footer"/>
      <w:tabs>
        <w:tab w:val="left" w:pos="5448"/>
      </w:tabs>
      <w:jc w:val="center"/>
      <w:rPr>
        <w:szCs w:val="22"/>
      </w:rPr>
    </w:pPr>
    <w:r w:rsidRPr="003B1361">
      <w:rPr>
        <w:szCs w:val="22"/>
      </w:rPr>
      <w:fldChar w:fldCharType="begin"/>
    </w:r>
    <w:r w:rsidRPr="00DF17BA">
      <w:rPr>
        <w:szCs w:val="22"/>
      </w:rPr>
      <w:instrText xml:space="preserve"> PAGE </w:instrText>
    </w:r>
    <w:r w:rsidRPr="003B1361">
      <w:rPr>
        <w:szCs w:val="22"/>
      </w:rPr>
      <w:fldChar w:fldCharType="separate"/>
    </w:r>
    <w:r w:rsidR="00A01BFA">
      <w:rPr>
        <w:noProof/>
        <w:szCs w:val="22"/>
      </w:rPr>
      <w:t>34</w:t>
    </w:r>
    <w:r w:rsidRPr="003B1361">
      <w:rPr>
        <w:szCs w:val="22"/>
      </w:rPr>
      <w:fldChar w:fldCharType="end"/>
    </w:r>
    <w:r w:rsidRPr="003B1361">
      <w:rPr>
        <w:szCs w:val="22"/>
      </w:rPr>
      <w:t xml:space="preserve"> / </w:t>
    </w:r>
    <w:r w:rsidRPr="003B1361">
      <w:rPr>
        <w:szCs w:val="22"/>
      </w:rPr>
      <w:fldChar w:fldCharType="begin"/>
    </w:r>
    <w:r w:rsidRPr="00DF17BA">
      <w:rPr>
        <w:szCs w:val="22"/>
      </w:rPr>
      <w:instrText xml:space="preserve"> NUMPAGES </w:instrText>
    </w:r>
    <w:r w:rsidRPr="003B1361">
      <w:rPr>
        <w:szCs w:val="22"/>
      </w:rPr>
      <w:fldChar w:fldCharType="separate"/>
    </w:r>
    <w:r w:rsidR="00A01BFA">
      <w:rPr>
        <w:noProof/>
        <w:szCs w:val="22"/>
      </w:rPr>
      <w:t>38</w:t>
    </w:r>
    <w:r w:rsidRPr="003B1361">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A9E72" w14:textId="77777777" w:rsidR="00235402" w:rsidRDefault="00235402">
      <w:r>
        <w:separator/>
      </w:r>
    </w:p>
  </w:footnote>
  <w:footnote w:type="continuationSeparator" w:id="0">
    <w:p w14:paraId="577BD4B3" w14:textId="77777777" w:rsidR="00235402" w:rsidRDefault="00235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0AEA6793"/>
    <w:multiLevelType w:val="hybridMultilevel"/>
    <w:tmpl w:val="68B2E71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DEE0D30"/>
    <w:multiLevelType w:val="hybridMultilevel"/>
    <w:tmpl w:val="3BD49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E973922"/>
    <w:multiLevelType w:val="hybridMultilevel"/>
    <w:tmpl w:val="367C9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03F58"/>
    <w:multiLevelType w:val="hybridMultilevel"/>
    <w:tmpl w:val="AEC2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C438F"/>
    <w:multiLevelType w:val="hybridMultilevel"/>
    <w:tmpl w:val="04C69C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9C3591D"/>
    <w:multiLevelType w:val="hybridMultilevel"/>
    <w:tmpl w:val="08783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429DD"/>
    <w:multiLevelType w:val="hybridMultilevel"/>
    <w:tmpl w:val="58FE7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FA765C"/>
    <w:multiLevelType w:val="hybridMultilevel"/>
    <w:tmpl w:val="A692C32C"/>
    <w:lvl w:ilvl="0" w:tplc="0809000B">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2E7FC8"/>
    <w:multiLevelType w:val="hybridMultilevel"/>
    <w:tmpl w:val="C3785E0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49A4621"/>
    <w:multiLevelType w:val="hybridMultilevel"/>
    <w:tmpl w:val="67267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F13245"/>
    <w:multiLevelType w:val="hybridMultilevel"/>
    <w:tmpl w:val="99A26E1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40681D47"/>
    <w:multiLevelType w:val="hybridMultilevel"/>
    <w:tmpl w:val="DBCE05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9A20E4"/>
    <w:multiLevelType w:val="hybridMultilevel"/>
    <w:tmpl w:val="172AF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975A89"/>
    <w:multiLevelType w:val="hybridMultilevel"/>
    <w:tmpl w:val="F2C65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A490677"/>
    <w:multiLevelType w:val="hybridMultilevel"/>
    <w:tmpl w:val="49FA7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7"/>
    </w:lvlOverride>
  </w:num>
  <w:num w:numId="3">
    <w:abstractNumId w:val="16"/>
  </w:num>
  <w:num w:numId="4">
    <w:abstractNumId w:val="10"/>
  </w:num>
  <w:num w:numId="5">
    <w:abstractNumId w:val="1"/>
  </w:num>
  <w:num w:numId="6">
    <w:abstractNumId w:val="5"/>
  </w:num>
  <w:num w:numId="7">
    <w:abstractNumId w:val="2"/>
  </w:num>
  <w:num w:numId="8">
    <w:abstractNumId w:val="17"/>
  </w:num>
  <w:num w:numId="9">
    <w:abstractNumId w:val="6"/>
  </w:num>
  <w:num w:numId="10">
    <w:abstractNumId w:val="12"/>
  </w:num>
  <w:num w:numId="11">
    <w:abstractNumId w:val="15"/>
  </w:num>
  <w:num w:numId="12">
    <w:abstractNumId w:val="11"/>
  </w:num>
  <w:num w:numId="13">
    <w:abstractNumId w:val="9"/>
  </w:num>
  <w:num w:numId="14">
    <w:abstractNumId w:val="13"/>
  </w:num>
  <w:num w:numId="15">
    <w:abstractNumId w:val="7"/>
  </w:num>
  <w:num w:numId="16">
    <w:abstractNumId w:val="4"/>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14DA"/>
    <w:rsid w:val="00001972"/>
    <w:rsid w:val="000052C2"/>
    <w:rsid w:val="00010FF2"/>
    <w:rsid w:val="000150D1"/>
    <w:rsid w:val="00016746"/>
    <w:rsid w:val="00017801"/>
    <w:rsid w:val="00027A36"/>
    <w:rsid w:val="00035E19"/>
    <w:rsid w:val="000413EE"/>
    <w:rsid w:val="00051233"/>
    <w:rsid w:val="00054680"/>
    <w:rsid w:val="00056A5F"/>
    <w:rsid w:val="0005798D"/>
    <w:rsid w:val="00064273"/>
    <w:rsid w:val="00067C8A"/>
    <w:rsid w:val="00070CEB"/>
    <w:rsid w:val="00083BE0"/>
    <w:rsid w:val="00087C29"/>
    <w:rsid w:val="00091C4B"/>
    <w:rsid w:val="00095FB6"/>
    <w:rsid w:val="00097476"/>
    <w:rsid w:val="0009758B"/>
    <w:rsid w:val="000A0F4A"/>
    <w:rsid w:val="000A3ACC"/>
    <w:rsid w:val="000B4D23"/>
    <w:rsid w:val="000D5631"/>
    <w:rsid w:val="000D5A23"/>
    <w:rsid w:val="000E5A83"/>
    <w:rsid w:val="000E691C"/>
    <w:rsid w:val="000E75C0"/>
    <w:rsid w:val="000E7B27"/>
    <w:rsid w:val="000F02B8"/>
    <w:rsid w:val="000F16F8"/>
    <w:rsid w:val="00101064"/>
    <w:rsid w:val="0010295F"/>
    <w:rsid w:val="00104876"/>
    <w:rsid w:val="001074CF"/>
    <w:rsid w:val="001208D4"/>
    <w:rsid w:val="00121AC3"/>
    <w:rsid w:val="00122674"/>
    <w:rsid w:val="00123968"/>
    <w:rsid w:val="0012662D"/>
    <w:rsid w:val="00141639"/>
    <w:rsid w:val="0014180A"/>
    <w:rsid w:val="00141DFB"/>
    <w:rsid w:val="0014319A"/>
    <w:rsid w:val="00144498"/>
    <w:rsid w:val="00151C49"/>
    <w:rsid w:val="00157169"/>
    <w:rsid w:val="001700E8"/>
    <w:rsid w:val="00173D18"/>
    <w:rsid w:val="00175772"/>
    <w:rsid w:val="00175A7E"/>
    <w:rsid w:val="001775F0"/>
    <w:rsid w:val="00181644"/>
    <w:rsid w:val="00182702"/>
    <w:rsid w:val="00185952"/>
    <w:rsid w:val="0018601D"/>
    <w:rsid w:val="00187D17"/>
    <w:rsid w:val="001975C3"/>
    <w:rsid w:val="001A2860"/>
    <w:rsid w:val="001B706A"/>
    <w:rsid w:val="001C3737"/>
    <w:rsid w:val="001D0E46"/>
    <w:rsid w:val="001D10C9"/>
    <w:rsid w:val="001E0A07"/>
    <w:rsid w:val="001E19DA"/>
    <w:rsid w:val="001E3CB1"/>
    <w:rsid w:val="001E4D8A"/>
    <w:rsid w:val="001E6145"/>
    <w:rsid w:val="001E7EA1"/>
    <w:rsid w:val="001F057D"/>
    <w:rsid w:val="001F119D"/>
    <w:rsid w:val="001F1F32"/>
    <w:rsid w:val="001F2D4E"/>
    <w:rsid w:val="001F39B6"/>
    <w:rsid w:val="001F4A69"/>
    <w:rsid w:val="0020009C"/>
    <w:rsid w:val="0020339D"/>
    <w:rsid w:val="00214D92"/>
    <w:rsid w:val="00217289"/>
    <w:rsid w:val="0022218E"/>
    <w:rsid w:val="0022223A"/>
    <w:rsid w:val="0022693A"/>
    <w:rsid w:val="00235402"/>
    <w:rsid w:val="0024132F"/>
    <w:rsid w:val="002429B1"/>
    <w:rsid w:val="00242BCA"/>
    <w:rsid w:val="00242DCD"/>
    <w:rsid w:val="00243904"/>
    <w:rsid w:val="00244997"/>
    <w:rsid w:val="00247621"/>
    <w:rsid w:val="00247C5C"/>
    <w:rsid w:val="00250EC2"/>
    <w:rsid w:val="00255F2F"/>
    <w:rsid w:val="00257AB4"/>
    <w:rsid w:val="00265397"/>
    <w:rsid w:val="002706C3"/>
    <w:rsid w:val="00273696"/>
    <w:rsid w:val="00273BE0"/>
    <w:rsid w:val="0027643B"/>
    <w:rsid w:val="00286993"/>
    <w:rsid w:val="00291EB6"/>
    <w:rsid w:val="002A2E38"/>
    <w:rsid w:val="002B6F6A"/>
    <w:rsid w:val="002B75BA"/>
    <w:rsid w:val="002B7A3D"/>
    <w:rsid w:val="002C0FBF"/>
    <w:rsid w:val="002C2188"/>
    <w:rsid w:val="002C3504"/>
    <w:rsid w:val="002C63B4"/>
    <w:rsid w:val="002C65F6"/>
    <w:rsid w:val="002D1C34"/>
    <w:rsid w:val="002D4E73"/>
    <w:rsid w:val="002D4F02"/>
    <w:rsid w:val="002D6D1D"/>
    <w:rsid w:val="002E231D"/>
    <w:rsid w:val="002F2E26"/>
    <w:rsid w:val="002F432C"/>
    <w:rsid w:val="002F5E2F"/>
    <w:rsid w:val="002F60CF"/>
    <w:rsid w:val="002F623A"/>
    <w:rsid w:val="002F639D"/>
    <w:rsid w:val="002F692C"/>
    <w:rsid w:val="0030010F"/>
    <w:rsid w:val="003007F6"/>
    <w:rsid w:val="00303D2F"/>
    <w:rsid w:val="0031016F"/>
    <w:rsid w:val="003103EC"/>
    <w:rsid w:val="00310EB6"/>
    <w:rsid w:val="00316FC0"/>
    <w:rsid w:val="00322BB4"/>
    <w:rsid w:val="00326A01"/>
    <w:rsid w:val="00335009"/>
    <w:rsid w:val="00336EEB"/>
    <w:rsid w:val="003452C0"/>
    <w:rsid w:val="00346DB9"/>
    <w:rsid w:val="00364F08"/>
    <w:rsid w:val="00382644"/>
    <w:rsid w:val="00383195"/>
    <w:rsid w:val="00387F73"/>
    <w:rsid w:val="00392B54"/>
    <w:rsid w:val="00394D9A"/>
    <w:rsid w:val="00395223"/>
    <w:rsid w:val="003A2DDC"/>
    <w:rsid w:val="003A2DF8"/>
    <w:rsid w:val="003A4378"/>
    <w:rsid w:val="003A6582"/>
    <w:rsid w:val="003B1361"/>
    <w:rsid w:val="003B2082"/>
    <w:rsid w:val="003B2875"/>
    <w:rsid w:val="003B48EB"/>
    <w:rsid w:val="003C18A4"/>
    <w:rsid w:val="003C25A6"/>
    <w:rsid w:val="003C6388"/>
    <w:rsid w:val="003C72EA"/>
    <w:rsid w:val="003D1A4E"/>
    <w:rsid w:val="003D2DBC"/>
    <w:rsid w:val="003D7B78"/>
    <w:rsid w:val="003E276C"/>
    <w:rsid w:val="003E3709"/>
    <w:rsid w:val="003E3EC7"/>
    <w:rsid w:val="003F2199"/>
    <w:rsid w:val="004050C3"/>
    <w:rsid w:val="004123CD"/>
    <w:rsid w:val="004234ED"/>
    <w:rsid w:val="00424070"/>
    <w:rsid w:val="004264E4"/>
    <w:rsid w:val="00427D41"/>
    <w:rsid w:val="00441A2D"/>
    <w:rsid w:val="00442BCA"/>
    <w:rsid w:val="00443FEA"/>
    <w:rsid w:val="00446D02"/>
    <w:rsid w:val="0045123C"/>
    <w:rsid w:val="00454778"/>
    <w:rsid w:val="00457DB6"/>
    <w:rsid w:val="00461D92"/>
    <w:rsid w:val="00462C33"/>
    <w:rsid w:val="00465749"/>
    <w:rsid w:val="00467E60"/>
    <w:rsid w:val="00471C50"/>
    <w:rsid w:val="00477EDA"/>
    <w:rsid w:val="004813E6"/>
    <w:rsid w:val="00490A7A"/>
    <w:rsid w:val="00492248"/>
    <w:rsid w:val="0049474B"/>
    <w:rsid w:val="00497648"/>
    <w:rsid w:val="004B086D"/>
    <w:rsid w:val="004B2848"/>
    <w:rsid w:val="004B5A11"/>
    <w:rsid w:val="004B7A50"/>
    <w:rsid w:val="004B7C3A"/>
    <w:rsid w:val="004C29E5"/>
    <w:rsid w:val="004C2BA7"/>
    <w:rsid w:val="004D22DA"/>
    <w:rsid w:val="004D230F"/>
    <w:rsid w:val="004D3BF7"/>
    <w:rsid w:val="004D4B32"/>
    <w:rsid w:val="004D577A"/>
    <w:rsid w:val="004E1159"/>
    <w:rsid w:val="004E122E"/>
    <w:rsid w:val="004E1E3F"/>
    <w:rsid w:val="004F2041"/>
    <w:rsid w:val="004F3CA0"/>
    <w:rsid w:val="004F49D2"/>
    <w:rsid w:val="004F6973"/>
    <w:rsid w:val="00503974"/>
    <w:rsid w:val="00505D38"/>
    <w:rsid w:val="005074B7"/>
    <w:rsid w:val="005113F3"/>
    <w:rsid w:val="00514603"/>
    <w:rsid w:val="00515AA7"/>
    <w:rsid w:val="00520559"/>
    <w:rsid w:val="0052230B"/>
    <w:rsid w:val="00522BBD"/>
    <w:rsid w:val="00523BC9"/>
    <w:rsid w:val="00525A8A"/>
    <w:rsid w:val="005276F0"/>
    <w:rsid w:val="00530909"/>
    <w:rsid w:val="00545EFF"/>
    <w:rsid w:val="0054645D"/>
    <w:rsid w:val="00550243"/>
    <w:rsid w:val="00557B09"/>
    <w:rsid w:val="0056375C"/>
    <w:rsid w:val="00570629"/>
    <w:rsid w:val="00573000"/>
    <w:rsid w:val="00573BE4"/>
    <w:rsid w:val="00575DB9"/>
    <w:rsid w:val="005818CE"/>
    <w:rsid w:val="005913DB"/>
    <w:rsid w:val="0059579D"/>
    <w:rsid w:val="0059779C"/>
    <w:rsid w:val="005A7A15"/>
    <w:rsid w:val="005B3388"/>
    <w:rsid w:val="005C3F73"/>
    <w:rsid w:val="005C685F"/>
    <w:rsid w:val="005C7549"/>
    <w:rsid w:val="005C7891"/>
    <w:rsid w:val="005C7C34"/>
    <w:rsid w:val="005D0815"/>
    <w:rsid w:val="005D5797"/>
    <w:rsid w:val="005D6466"/>
    <w:rsid w:val="005E2526"/>
    <w:rsid w:val="005E4875"/>
    <w:rsid w:val="005E5322"/>
    <w:rsid w:val="005E7B81"/>
    <w:rsid w:val="005F52C8"/>
    <w:rsid w:val="005F5B5F"/>
    <w:rsid w:val="006024D6"/>
    <w:rsid w:val="00603302"/>
    <w:rsid w:val="00604E4F"/>
    <w:rsid w:val="00605200"/>
    <w:rsid w:val="006054EE"/>
    <w:rsid w:val="00605D78"/>
    <w:rsid w:val="006118B6"/>
    <w:rsid w:val="006173C1"/>
    <w:rsid w:val="006270C0"/>
    <w:rsid w:val="00630195"/>
    <w:rsid w:val="006337CD"/>
    <w:rsid w:val="00634EF9"/>
    <w:rsid w:val="00640CD0"/>
    <w:rsid w:val="006413B0"/>
    <w:rsid w:val="00641A5F"/>
    <w:rsid w:val="00643432"/>
    <w:rsid w:val="00646AD3"/>
    <w:rsid w:val="006559AF"/>
    <w:rsid w:val="006561D1"/>
    <w:rsid w:val="00660ED5"/>
    <w:rsid w:val="0066188E"/>
    <w:rsid w:val="00662A58"/>
    <w:rsid w:val="0066602D"/>
    <w:rsid w:val="00666893"/>
    <w:rsid w:val="006668BB"/>
    <w:rsid w:val="00670AEA"/>
    <w:rsid w:val="00674214"/>
    <w:rsid w:val="00682FFD"/>
    <w:rsid w:val="006858D5"/>
    <w:rsid w:val="006863F8"/>
    <w:rsid w:val="00687118"/>
    <w:rsid w:val="006875BD"/>
    <w:rsid w:val="00693874"/>
    <w:rsid w:val="00693F46"/>
    <w:rsid w:val="00695DA7"/>
    <w:rsid w:val="006A0D8D"/>
    <w:rsid w:val="006A0FFA"/>
    <w:rsid w:val="006A2EBC"/>
    <w:rsid w:val="006A3F1C"/>
    <w:rsid w:val="006A44D2"/>
    <w:rsid w:val="006A7602"/>
    <w:rsid w:val="006A7A00"/>
    <w:rsid w:val="006B02A5"/>
    <w:rsid w:val="006B2670"/>
    <w:rsid w:val="006D05C0"/>
    <w:rsid w:val="006D2563"/>
    <w:rsid w:val="006E088B"/>
    <w:rsid w:val="006E333F"/>
    <w:rsid w:val="006F158F"/>
    <w:rsid w:val="007041D6"/>
    <w:rsid w:val="0071018B"/>
    <w:rsid w:val="0071436F"/>
    <w:rsid w:val="007169E1"/>
    <w:rsid w:val="00716B9D"/>
    <w:rsid w:val="00726402"/>
    <w:rsid w:val="007300CC"/>
    <w:rsid w:val="00732822"/>
    <w:rsid w:val="007446BA"/>
    <w:rsid w:val="007463DB"/>
    <w:rsid w:val="00750A64"/>
    <w:rsid w:val="00754024"/>
    <w:rsid w:val="007603D8"/>
    <w:rsid w:val="00764648"/>
    <w:rsid w:val="007647C7"/>
    <w:rsid w:val="007672F3"/>
    <w:rsid w:val="00772DBB"/>
    <w:rsid w:val="00773EAF"/>
    <w:rsid w:val="00774C65"/>
    <w:rsid w:val="00781E02"/>
    <w:rsid w:val="007833F2"/>
    <w:rsid w:val="00785A3B"/>
    <w:rsid w:val="00787732"/>
    <w:rsid w:val="00787E96"/>
    <w:rsid w:val="0079092C"/>
    <w:rsid w:val="007979BD"/>
    <w:rsid w:val="007A5478"/>
    <w:rsid w:val="007A57C7"/>
    <w:rsid w:val="007B16C4"/>
    <w:rsid w:val="007C2D6A"/>
    <w:rsid w:val="007C2D7E"/>
    <w:rsid w:val="007C6CA8"/>
    <w:rsid w:val="007C7E72"/>
    <w:rsid w:val="007D17FD"/>
    <w:rsid w:val="007D364F"/>
    <w:rsid w:val="007D48C5"/>
    <w:rsid w:val="007E06F0"/>
    <w:rsid w:val="007E5CCA"/>
    <w:rsid w:val="007F2844"/>
    <w:rsid w:val="00802DFC"/>
    <w:rsid w:val="00805AF0"/>
    <w:rsid w:val="00813D6A"/>
    <w:rsid w:val="00814781"/>
    <w:rsid w:val="00814988"/>
    <w:rsid w:val="00817C2E"/>
    <w:rsid w:val="008216FC"/>
    <w:rsid w:val="0082170F"/>
    <w:rsid w:val="00825D17"/>
    <w:rsid w:val="00826E8C"/>
    <w:rsid w:val="00834DBB"/>
    <w:rsid w:val="00834EFA"/>
    <w:rsid w:val="00841806"/>
    <w:rsid w:val="00842F0B"/>
    <w:rsid w:val="00842FFB"/>
    <w:rsid w:val="008436B6"/>
    <w:rsid w:val="00845CD6"/>
    <w:rsid w:val="00847132"/>
    <w:rsid w:val="00847A0B"/>
    <w:rsid w:val="00853389"/>
    <w:rsid w:val="00862620"/>
    <w:rsid w:val="0086351A"/>
    <w:rsid w:val="00871911"/>
    <w:rsid w:val="00873B3C"/>
    <w:rsid w:val="00874B61"/>
    <w:rsid w:val="00875B44"/>
    <w:rsid w:val="00876FB4"/>
    <w:rsid w:val="00880255"/>
    <w:rsid w:val="00886739"/>
    <w:rsid w:val="0089635E"/>
    <w:rsid w:val="008A3225"/>
    <w:rsid w:val="008A4300"/>
    <w:rsid w:val="008A48B7"/>
    <w:rsid w:val="008B0F92"/>
    <w:rsid w:val="008B3EB5"/>
    <w:rsid w:val="008B462B"/>
    <w:rsid w:val="008B4E6C"/>
    <w:rsid w:val="008B56CF"/>
    <w:rsid w:val="008B69AC"/>
    <w:rsid w:val="008C5809"/>
    <w:rsid w:val="008C59CA"/>
    <w:rsid w:val="008C76D7"/>
    <w:rsid w:val="008C7F6F"/>
    <w:rsid w:val="008D05E8"/>
    <w:rsid w:val="008D0744"/>
    <w:rsid w:val="008D58A0"/>
    <w:rsid w:val="008D78C9"/>
    <w:rsid w:val="008E0FC9"/>
    <w:rsid w:val="008E4543"/>
    <w:rsid w:val="008E5730"/>
    <w:rsid w:val="00913684"/>
    <w:rsid w:val="00915B1B"/>
    <w:rsid w:val="0091609B"/>
    <w:rsid w:val="00916215"/>
    <w:rsid w:val="0091689D"/>
    <w:rsid w:val="00921C26"/>
    <w:rsid w:val="00923865"/>
    <w:rsid w:val="0093016E"/>
    <w:rsid w:val="00930EED"/>
    <w:rsid w:val="009315AC"/>
    <w:rsid w:val="00933D01"/>
    <w:rsid w:val="00934B4D"/>
    <w:rsid w:val="00940426"/>
    <w:rsid w:val="00941B53"/>
    <w:rsid w:val="0095164B"/>
    <w:rsid w:val="00951AD4"/>
    <w:rsid w:val="009535C3"/>
    <w:rsid w:val="00955C75"/>
    <w:rsid w:val="00963DCD"/>
    <w:rsid w:val="009677DF"/>
    <w:rsid w:val="00974076"/>
    <w:rsid w:val="00976939"/>
    <w:rsid w:val="00987823"/>
    <w:rsid w:val="009878AE"/>
    <w:rsid w:val="00993595"/>
    <w:rsid w:val="009946F8"/>
    <w:rsid w:val="00996E6B"/>
    <w:rsid w:val="009A106B"/>
    <w:rsid w:val="009A1D64"/>
    <w:rsid w:val="009B1292"/>
    <w:rsid w:val="009B2430"/>
    <w:rsid w:val="009B338B"/>
    <w:rsid w:val="009B58AD"/>
    <w:rsid w:val="009B7935"/>
    <w:rsid w:val="009C7411"/>
    <w:rsid w:val="009C7BA2"/>
    <w:rsid w:val="009D1161"/>
    <w:rsid w:val="009D4420"/>
    <w:rsid w:val="009D667B"/>
    <w:rsid w:val="009D7481"/>
    <w:rsid w:val="009E3FC9"/>
    <w:rsid w:val="009E51EC"/>
    <w:rsid w:val="009F125C"/>
    <w:rsid w:val="009F4449"/>
    <w:rsid w:val="00A01BFA"/>
    <w:rsid w:val="00A02252"/>
    <w:rsid w:val="00A03DD9"/>
    <w:rsid w:val="00A06970"/>
    <w:rsid w:val="00A127F1"/>
    <w:rsid w:val="00A15AC2"/>
    <w:rsid w:val="00A270CF"/>
    <w:rsid w:val="00A27130"/>
    <w:rsid w:val="00A279D5"/>
    <w:rsid w:val="00A31C16"/>
    <w:rsid w:val="00A46FAD"/>
    <w:rsid w:val="00A555B2"/>
    <w:rsid w:val="00A639DA"/>
    <w:rsid w:val="00A6523F"/>
    <w:rsid w:val="00A7147C"/>
    <w:rsid w:val="00A74DE2"/>
    <w:rsid w:val="00A74EF5"/>
    <w:rsid w:val="00A75916"/>
    <w:rsid w:val="00A760C1"/>
    <w:rsid w:val="00A76114"/>
    <w:rsid w:val="00A7660B"/>
    <w:rsid w:val="00A86897"/>
    <w:rsid w:val="00A913E2"/>
    <w:rsid w:val="00A95733"/>
    <w:rsid w:val="00AA74E5"/>
    <w:rsid w:val="00AB0AF7"/>
    <w:rsid w:val="00AB0BC3"/>
    <w:rsid w:val="00AB4C82"/>
    <w:rsid w:val="00AB5465"/>
    <w:rsid w:val="00AB776E"/>
    <w:rsid w:val="00AC17C7"/>
    <w:rsid w:val="00AC7094"/>
    <w:rsid w:val="00AD09F4"/>
    <w:rsid w:val="00AD2F94"/>
    <w:rsid w:val="00AD3D67"/>
    <w:rsid w:val="00AD70DF"/>
    <w:rsid w:val="00AE17C5"/>
    <w:rsid w:val="00AE19A7"/>
    <w:rsid w:val="00AF0A7A"/>
    <w:rsid w:val="00AF3417"/>
    <w:rsid w:val="00AF3E34"/>
    <w:rsid w:val="00AF495B"/>
    <w:rsid w:val="00B03589"/>
    <w:rsid w:val="00B06B70"/>
    <w:rsid w:val="00B1508F"/>
    <w:rsid w:val="00B16549"/>
    <w:rsid w:val="00B22963"/>
    <w:rsid w:val="00B23426"/>
    <w:rsid w:val="00B24633"/>
    <w:rsid w:val="00B26FAC"/>
    <w:rsid w:val="00B30A7B"/>
    <w:rsid w:val="00B31AA2"/>
    <w:rsid w:val="00B32635"/>
    <w:rsid w:val="00B33397"/>
    <w:rsid w:val="00B406A7"/>
    <w:rsid w:val="00B40F45"/>
    <w:rsid w:val="00B51D41"/>
    <w:rsid w:val="00B539CF"/>
    <w:rsid w:val="00B54B54"/>
    <w:rsid w:val="00B56047"/>
    <w:rsid w:val="00B563A6"/>
    <w:rsid w:val="00B57168"/>
    <w:rsid w:val="00B625CA"/>
    <w:rsid w:val="00B67D82"/>
    <w:rsid w:val="00B72B9A"/>
    <w:rsid w:val="00B74C0B"/>
    <w:rsid w:val="00B76101"/>
    <w:rsid w:val="00B81FA7"/>
    <w:rsid w:val="00B8400D"/>
    <w:rsid w:val="00B91B5E"/>
    <w:rsid w:val="00B9225E"/>
    <w:rsid w:val="00B93A37"/>
    <w:rsid w:val="00BA1819"/>
    <w:rsid w:val="00BA5A22"/>
    <w:rsid w:val="00BA62A5"/>
    <w:rsid w:val="00BB55E5"/>
    <w:rsid w:val="00BC28CF"/>
    <w:rsid w:val="00BD52DD"/>
    <w:rsid w:val="00BD5C46"/>
    <w:rsid w:val="00BD6954"/>
    <w:rsid w:val="00BD725A"/>
    <w:rsid w:val="00BD7C5B"/>
    <w:rsid w:val="00BF2283"/>
    <w:rsid w:val="00BF34D0"/>
    <w:rsid w:val="00BF3750"/>
    <w:rsid w:val="00BF5204"/>
    <w:rsid w:val="00C0373E"/>
    <w:rsid w:val="00C06244"/>
    <w:rsid w:val="00C1294D"/>
    <w:rsid w:val="00C17B5B"/>
    <w:rsid w:val="00C22C7A"/>
    <w:rsid w:val="00C22D18"/>
    <w:rsid w:val="00C231A1"/>
    <w:rsid w:val="00C51C3F"/>
    <w:rsid w:val="00C521B7"/>
    <w:rsid w:val="00C52275"/>
    <w:rsid w:val="00C52C25"/>
    <w:rsid w:val="00C536C2"/>
    <w:rsid w:val="00C55F47"/>
    <w:rsid w:val="00C56E2E"/>
    <w:rsid w:val="00C62182"/>
    <w:rsid w:val="00C64A31"/>
    <w:rsid w:val="00C6661A"/>
    <w:rsid w:val="00C70901"/>
    <w:rsid w:val="00C7394D"/>
    <w:rsid w:val="00C82E8B"/>
    <w:rsid w:val="00C85763"/>
    <w:rsid w:val="00C85BCE"/>
    <w:rsid w:val="00C97E72"/>
    <w:rsid w:val="00CA2FEC"/>
    <w:rsid w:val="00CA3AFF"/>
    <w:rsid w:val="00CB2908"/>
    <w:rsid w:val="00CC4C88"/>
    <w:rsid w:val="00CC7BDF"/>
    <w:rsid w:val="00CD0B1F"/>
    <w:rsid w:val="00CD2993"/>
    <w:rsid w:val="00CD3F96"/>
    <w:rsid w:val="00CD4EE8"/>
    <w:rsid w:val="00CD6B72"/>
    <w:rsid w:val="00CE09F3"/>
    <w:rsid w:val="00CE1CBB"/>
    <w:rsid w:val="00CE4041"/>
    <w:rsid w:val="00CE76DA"/>
    <w:rsid w:val="00CF2A95"/>
    <w:rsid w:val="00CF3562"/>
    <w:rsid w:val="00CF4723"/>
    <w:rsid w:val="00D01905"/>
    <w:rsid w:val="00D01F98"/>
    <w:rsid w:val="00D0295D"/>
    <w:rsid w:val="00D02FCA"/>
    <w:rsid w:val="00D07233"/>
    <w:rsid w:val="00D11E94"/>
    <w:rsid w:val="00D21368"/>
    <w:rsid w:val="00D25985"/>
    <w:rsid w:val="00D264FC"/>
    <w:rsid w:val="00D30389"/>
    <w:rsid w:val="00D337F6"/>
    <w:rsid w:val="00D405B3"/>
    <w:rsid w:val="00D45574"/>
    <w:rsid w:val="00D4562D"/>
    <w:rsid w:val="00D46193"/>
    <w:rsid w:val="00D52CDB"/>
    <w:rsid w:val="00D5610B"/>
    <w:rsid w:val="00D61092"/>
    <w:rsid w:val="00D61710"/>
    <w:rsid w:val="00D6611E"/>
    <w:rsid w:val="00D70D0B"/>
    <w:rsid w:val="00D70EAA"/>
    <w:rsid w:val="00D7145C"/>
    <w:rsid w:val="00D721E8"/>
    <w:rsid w:val="00D76C59"/>
    <w:rsid w:val="00D85F37"/>
    <w:rsid w:val="00D90830"/>
    <w:rsid w:val="00DA7328"/>
    <w:rsid w:val="00DB19BD"/>
    <w:rsid w:val="00DB4534"/>
    <w:rsid w:val="00DB4585"/>
    <w:rsid w:val="00DB728F"/>
    <w:rsid w:val="00DB7609"/>
    <w:rsid w:val="00DC46EB"/>
    <w:rsid w:val="00DC568E"/>
    <w:rsid w:val="00DC5C26"/>
    <w:rsid w:val="00DC7666"/>
    <w:rsid w:val="00DD2A82"/>
    <w:rsid w:val="00DD3865"/>
    <w:rsid w:val="00DD3AF5"/>
    <w:rsid w:val="00DD4291"/>
    <w:rsid w:val="00DE5F2C"/>
    <w:rsid w:val="00DF101F"/>
    <w:rsid w:val="00DF17BA"/>
    <w:rsid w:val="00DF46E4"/>
    <w:rsid w:val="00DF5906"/>
    <w:rsid w:val="00DF5CEC"/>
    <w:rsid w:val="00E01125"/>
    <w:rsid w:val="00E04734"/>
    <w:rsid w:val="00E04856"/>
    <w:rsid w:val="00E11647"/>
    <w:rsid w:val="00E1584E"/>
    <w:rsid w:val="00E224C8"/>
    <w:rsid w:val="00E34D3B"/>
    <w:rsid w:val="00E3559B"/>
    <w:rsid w:val="00E46617"/>
    <w:rsid w:val="00E50CD3"/>
    <w:rsid w:val="00E53571"/>
    <w:rsid w:val="00E56089"/>
    <w:rsid w:val="00E563A7"/>
    <w:rsid w:val="00E711FC"/>
    <w:rsid w:val="00E71F36"/>
    <w:rsid w:val="00E76098"/>
    <w:rsid w:val="00E82F87"/>
    <w:rsid w:val="00E85164"/>
    <w:rsid w:val="00E87BE1"/>
    <w:rsid w:val="00E9291D"/>
    <w:rsid w:val="00E95738"/>
    <w:rsid w:val="00E9707F"/>
    <w:rsid w:val="00EA020F"/>
    <w:rsid w:val="00EA08B5"/>
    <w:rsid w:val="00EA1F85"/>
    <w:rsid w:val="00EC59AB"/>
    <w:rsid w:val="00EC68E4"/>
    <w:rsid w:val="00ED2EAF"/>
    <w:rsid w:val="00ED3638"/>
    <w:rsid w:val="00ED4585"/>
    <w:rsid w:val="00ED735F"/>
    <w:rsid w:val="00EE51A6"/>
    <w:rsid w:val="00EE59B3"/>
    <w:rsid w:val="00EE6F6F"/>
    <w:rsid w:val="00EF2DA9"/>
    <w:rsid w:val="00F10472"/>
    <w:rsid w:val="00F12C5B"/>
    <w:rsid w:val="00F20922"/>
    <w:rsid w:val="00F371CB"/>
    <w:rsid w:val="00F401BA"/>
    <w:rsid w:val="00F42610"/>
    <w:rsid w:val="00F45EE3"/>
    <w:rsid w:val="00F5775F"/>
    <w:rsid w:val="00F57B55"/>
    <w:rsid w:val="00F63F24"/>
    <w:rsid w:val="00F65512"/>
    <w:rsid w:val="00F67518"/>
    <w:rsid w:val="00F73DD7"/>
    <w:rsid w:val="00F779D6"/>
    <w:rsid w:val="00F77DC2"/>
    <w:rsid w:val="00F831BE"/>
    <w:rsid w:val="00F85670"/>
    <w:rsid w:val="00F93526"/>
    <w:rsid w:val="00FA1F19"/>
    <w:rsid w:val="00FB27B5"/>
    <w:rsid w:val="00FB48C3"/>
    <w:rsid w:val="00FC70C2"/>
    <w:rsid w:val="00FD00E8"/>
    <w:rsid w:val="00FD3089"/>
    <w:rsid w:val="00FD441D"/>
    <w:rsid w:val="00FE1474"/>
    <w:rsid w:val="00FE1BBC"/>
    <w:rsid w:val="00FE1C22"/>
    <w:rsid w:val="00FE248A"/>
    <w:rsid w:val="00FF0D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E7AD0"/>
  <w15:docId w15:val="{0543E5C0-5BB4-410C-997E-C741FFFD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A0B"/>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A7E"/>
    <w:pPr>
      <w:tabs>
        <w:tab w:val="clear" w:pos="284"/>
        <w:tab w:val="center" w:pos="4536"/>
        <w:tab w:val="right" w:pos="9072"/>
      </w:tabs>
    </w:pPr>
  </w:style>
  <w:style w:type="paragraph" w:styleId="Footer">
    <w:name w:val="footer"/>
    <w:basedOn w:val="Normal"/>
    <w:link w:val="FooterChar"/>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table" w:styleId="TableGrid">
    <w:name w:val="Table Grid"/>
    <w:basedOn w:val="TableNormal"/>
    <w:rsid w:val="00E76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2993"/>
    <w:pPr>
      <w:ind w:left="720"/>
      <w:contextualSpacing/>
    </w:pPr>
  </w:style>
  <w:style w:type="paragraph" w:customStyle="1" w:styleId="TableParagraph">
    <w:name w:val="Table Paragraph"/>
    <w:basedOn w:val="Normal"/>
    <w:uiPriority w:val="1"/>
    <w:qFormat/>
    <w:rsid w:val="00862620"/>
    <w:pPr>
      <w:widowControl w:val="0"/>
      <w:tabs>
        <w:tab w:val="clear" w:pos="284"/>
      </w:tabs>
      <w:autoSpaceDE w:val="0"/>
      <w:autoSpaceDN w:val="0"/>
      <w:spacing w:line="234" w:lineRule="exact"/>
      <w:ind w:left="110"/>
      <w:jc w:val="left"/>
    </w:pPr>
    <w:rPr>
      <w:szCs w:val="22"/>
      <w:lang w:val="bs" w:eastAsia="bs" w:bidi="bs"/>
    </w:rPr>
  </w:style>
  <w:style w:type="paragraph" w:styleId="BodyText">
    <w:name w:val="Body Text"/>
    <w:basedOn w:val="Normal"/>
    <w:link w:val="BodyTextChar"/>
    <w:uiPriority w:val="1"/>
    <w:qFormat/>
    <w:rsid w:val="00817C2E"/>
    <w:pPr>
      <w:widowControl w:val="0"/>
      <w:tabs>
        <w:tab w:val="clear" w:pos="284"/>
      </w:tabs>
      <w:ind w:left="118"/>
      <w:jc w:val="left"/>
    </w:pPr>
    <w:rPr>
      <w:rFonts w:cstheme="minorBidi"/>
      <w:szCs w:val="22"/>
    </w:rPr>
  </w:style>
  <w:style w:type="character" w:customStyle="1" w:styleId="BodyTextChar">
    <w:name w:val="Body Text Char"/>
    <w:basedOn w:val="DefaultParagraphFont"/>
    <w:link w:val="BodyText"/>
    <w:uiPriority w:val="1"/>
    <w:rsid w:val="00817C2E"/>
    <w:rPr>
      <w:rFonts w:cstheme="minorBidi"/>
      <w:sz w:val="22"/>
      <w:szCs w:val="22"/>
    </w:rPr>
  </w:style>
  <w:style w:type="paragraph" w:styleId="NoSpacing">
    <w:name w:val="No Spacing"/>
    <w:uiPriority w:val="1"/>
    <w:qFormat/>
    <w:rsid w:val="00523BC9"/>
    <w:rPr>
      <w:sz w:val="24"/>
      <w:szCs w:val="24"/>
    </w:rPr>
  </w:style>
  <w:style w:type="character" w:styleId="Hyperlink">
    <w:name w:val="Hyperlink"/>
    <w:basedOn w:val="DefaultParagraphFont"/>
    <w:rsid w:val="00523BC9"/>
    <w:rPr>
      <w:color w:val="0000FF" w:themeColor="hyperlink"/>
      <w:u w:val="single"/>
    </w:rPr>
  </w:style>
  <w:style w:type="paragraph" w:styleId="Revision">
    <w:name w:val="Revision"/>
    <w:hidden/>
    <w:uiPriority w:val="99"/>
    <w:semiHidden/>
    <w:rsid w:val="00F12C5B"/>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4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5901D92C0A53488226DAA50672513C" ma:contentTypeVersion="5" ma:contentTypeDescription="Create a new document." ma:contentTypeScope="" ma:versionID="36472597b9dda529241a7dddc7faa789">
  <xsd:schema xmlns:xsd="http://www.w3.org/2001/XMLSchema" xmlns:xs="http://www.w3.org/2001/XMLSchema" xmlns:p="http://schemas.microsoft.com/office/2006/metadata/properties" xmlns:ns2="9b74e457-1e32-4ec9-a27f-8b37a7a7f25b" xmlns:ns3="cbc364ad-8a9a-4765-88e4-b30c63fa45cb" targetNamespace="http://schemas.microsoft.com/office/2006/metadata/properties" ma:root="true" ma:fieldsID="4882dbd83790090803013e8fd4e5d8da" ns2:_="" ns3:_="">
    <xsd:import namespace="9b74e457-1e32-4ec9-a27f-8b37a7a7f25b"/>
    <xsd:import namespace="cbc364ad-8a9a-4765-88e4-b30c63fa45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4e457-1e32-4ec9-a27f-8b37a7a7f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364ad-8a9a-4765-88e4-b30c63fa45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945D4-045D-4BD0-81AD-82FF37105D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A8C4D8-CA42-4866-B10E-87348B2E5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4e457-1e32-4ec9-a27f-8b37a7a7f25b"/>
    <ds:schemaRef ds:uri="cbc364ad-8a9a-4765-88e4-b30c63fa4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B76CA4-CEE3-4B05-9AEF-C15CB992CCE6}">
  <ds:schemaRefs>
    <ds:schemaRef ds:uri="http://schemas.microsoft.com/sharepoint/v3/contenttype/forms"/>
  </ds:schemaRefs>
</ds:datastoreItem>
</file>

<file path=customXml/itemProps4.xml><?xml version="1.0" encoding="utf-8"?>
<ds:datastoreItem xmlns:ds="http://schemas.openxmlformats.org/officeDocument/2006/customXml" ds:itemID="{2E1239EF-5040-4121-8FC5-7AE43BE6C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17033</Words>
  <Characters>97089</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Tamara Nikezić</cp:lastModifiedBy>
  <cp:revision>3</cp:revision>
  <cp:lastPrinted>2024-05-28T11:42:00Z</cp:lastPrinted>
  <dcterms:created xsi:type="dcterms:W3CDTF">2024-11-18T08:39:00Z</dcterms:created>
  <dcterms:modified xsi:type="dcterms:W3CDTF">2024-11-23T06:43:00Z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0x0101006D5901D92C0A53488226DAA50672513C</vt:lpwstr>
  </property>
</Properties>
</file>