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26197" w14:textId="77777777" w:rsidR="002510A5" w:rsidRPr="001B7C32" w:rsidRDefault="002510A5" w:rsidP="001B7C32">
      <w:pPr>
        <w:widowControl w:val="0"/>
        <w:jc w:val="center"/>
        <w:rPr>
          <w:b/>
          <w:bCs/>
          <w:iCs/>
          <w:sz w:val="22"/>
          <w:szCs w:val="22"/>
          <w:u w:val="single"/>
          <w:lang w:val="de-DE"/>
        </w:rPr>
      </w:pPr>
      <w:r w:rsidRPr="001B7C32">
        <w:rPr>
          <w:b/>
          <w:bCs/>
          <w:iCs/>
          <w:sz w:val="22"/>
          <w:szCs w:val="22"/>
          <w:u w:val="single"/>
          <w:lang w:val="de-DE"/>
        </w:rPr>
        <w:t>SAŽETAK KARAKTERISTIKA LIJEKA</w:t>
      </w:r>
    </w:p>
    <w:p w14:paraId="68F6DE35" w14:textId="77777777" w:rsidR="002510A5" w:rsidRPr="00667453" w:rsidRDefault="002510A5" w:rsidP="001B7C32">
      <w:pPr>
        <w:widowControl w:val="0"/>
        <w:jc w:val="center"/>
        <w:rPr>
          <w:b/>
          <w:bCs/>
          <w:i/>
          <w:iCs/>
          <w:sz w:val="22"/>
          <w:szCs w:val="22"/>
          <w:u w:val="single"/>
          <w:lang w:val="sr-Latn-RS"/>
        </w:rPr>
      </w:pPr>
    </w:p>
    <w:p w14:paraId="61B776F0" w14:textId="77777777" w:rsidR="003C17AB" w:rsidRPr="00667453" w:rsidRDefault="003C17AB" w:rsidP="001B7C32">
      <w:pPr>
        <w:widowControl w:val="0"/>
        <w:jc w:val="both"/>
        <w:rPr>
          <w:sz w:val="22"/>
          <w:szCs w:val="22"/>
          <w:lang w:val="sr-Latn-RS"/>
        </w:rPr>
      </w:pPr>
    </w:p>
    <w:p w14:paraId="565AAD4D" w14:textId="4175DA7A" w:rsidR="00C37FD7" w:rsidRPr="00667453" w:rsidRDefault="005C5EF4" w:rsidP="001B7C32">
      <w:pPr>
        <w:widowControl w:val="0"/>
        <w:tabs>
          <w:tab w:val="left" w:pos="540"/>
          <w:tab w:val="left" w:pos="569"/>
        </w:tabs>
        <w:jc w:val="both"/>
        <w:rPr>
          <w:bCs/>
          <w:i/>
          <w:sz w:val="22"/>
          <w:szCs w:val="22"/>
          <w:lang w:val="sr-Latn-RS"/>
        </w:rPr>
      </w:pPr>
      <w:bookmarkStart w:id="0" w:name="_Hlk118790926"/>
      <w:r w:rsidRPr="00667453">
        <w:rPr>
          <w:noProof/>
          <w:sz w:val="22"/>
          <w:szCs w:val="22"/>
        </w:rPr>
        <w:drawing>
          <wp:inline distT="0" distB="0" distL="0" distR="0" wp14:anchorId="05E65F09" wp14:editId="07027BEC">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667453">
        <w:rPr>
          <w:noProof/>
          <w:sz w:val="22"/>
          <w:szCs w:val="22"/>
          <w:lang w:val="sr-Latn-RS"/>
        </w:rPr>
        <w:t xml:space="preserve"> Ovaj lijek je pod dodatnim praćenjem.</w:t>
      </w:r>
      <w:r w:rsidR="003C17AB" w:rsidRPr="00667453">
        <w:rPr>
          <w:sz w:val="22"/>
          <w:szCs w:val="22"/>
          <w:lang w:val="sr-Latn-RS"/>
        </w:rPr>
        <w:t xml:space="preserve"> </w:t>
      </w:r>
      <w:r w:rsidR="003C17AB" w:rsidRPr="00667453">
        <w:rPr>
          <w:noProof/>
          <w:sz w:val="22"/>
          <w:szCs w:val="22"/>
          <w:lang w:val="sr-Latn-RS"/>
        </w:rPr>
        <w:t>Time se omogućava brzo otkrivanje novih bezbjednosnih informacija. Zdravstveni radnici treba da prijave svaku sumnju na neželjeno dejstvo ovog lijeka.</w:t>
      </w:r>
      <w:r w:rsidR="003C17AB" w:rsidRPr="00667453">
        <w:rPr>
          <w:sz w:val="22"/>
          <w:szCs w:val="22"/>
          <w:lang w:val="sr-Latn-RS"/>
        </w:rPr>
        <w:t xml:space="preserve"> Za način prijavljivanja neželjenih dejstava vidjeti </w:t>
      </w:r>
      <w:r w:rsidR="007A3ECB" w:rsidRPr="00667453">
        <w:rPr>
          <w:sz w:val="22"/>
          <w:szCs w:val="22"/>
          <w:lang w:val="sr-Latn-RS"/>
        </w:rPr>
        <w:t xml:space="preserve">dio </w:t>
      </w:r>
      <w:r w:rsidR="003C17AB" w:rsidRPr="00667453">
        <w:rPr>
          <w:sz w:val="22"/>
          <w:szCs w:val="22"/>
          <w:lang w:val="sr-Latn-RS"/>
        </w:rPr>
        <w:t>4.8</w:t>
      </w:r>
      <w:r w:rsidR="003C17AB" w:rsidRPr="00667453">
        <w:rPr>
          <w:noProof/>
          <w:sz w:val="22"/>
          <w:szCs w:val="22"/>
          <w:lang w:val="sr-Latn-RS"/>
        </w:rPr>
        <w:t>.</w:t>
      </w:r>
      <w:r w:rsidR="00107BF7" w:rsidRPr="00667453">
        <w:rPr>
          <w:noProof/>
          <w:sz w:val="22"/>
          <w:szCs w:val="22"/>
          <w:lang w:val="sr-Latn-RS"/>
        </w:rPr>
        <w:t xml:space="preserve"> </w:t>
      </w:r>
    </w:p>
    <w:p w14:paraId="6FB75430" w14:textId="77777777" w:rsidR="003C17AB" w:rsidRPr="00667453" w:rsidRDefault="003C17AB" w:rsidP="001B7C32">
      <w:pPr>
        <w:widowControl w:val="0"/>
        <w:tabs>
          <w:tab w:val="left" w:pos="540"/>
          <w:tab w:val="left" w:pos="569"/>
        </w:tabs>
        <w:jc w:val="both"/>
        <w:rPr>
          <w:noProof/>
          <w:sz w:val="22"/>
          <w:szCs w:val="22"/>
          <w:lang w:val="sr-Latn-RS"/>
        </w:rPr>
      </w:pPr>
    </w:p>
    <w:bookmarkEnd w:id="0"/>
    <w:p w14:paraId="6725A0E2" w14:textId="77777777" w:rsidR="00C37FD7" w:rsidRPr="00667453" w:rsidRDefault="00C37FD7" w:rsidP="001B7C32">
      <w:pPr>
        <w:widowControl w:val="0"/>
        <w:tabs>
          <w:tab w:val="left" w:pos="540"/>
          <w:tab w:val="left" w:pos="569"/>
        </w:tabs>
        <w:jc w:val="both"/>
        <w:rPr>
          <w:bCs/>
          <w:sz w:val="22"/>
          <w:szCs w:val="22"/>
          <w:lang w:val="sr-Latn-RS"/>
        </w:rPr>
      </w:pPr>
    </w:p>
    <w:p w14:paraId="2999EA3A" w14:textId="77777777"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1.</w:t>
      </w:r>
      <w:r w:rsidR="00F5167F" w:rsidRPr="00667453">
        <w:rPr>
          <w:b/>
          <w:bCs/>
          <w:sz w:val="22"/>
          <w:szCs w:val="22"/>
          <w:lang w:val="sr-Latn-RS"/>
        </w:rPr>
        <w:tab/>
      </w:r>
      <w:r w:rsidR="002846DB" w:rsidRPr="00667453">
        <w:rPr>
          <w:b/>
          <w:bCs/>
          <w:sz w:val="22"/>
          <w:szCs w:val="22"/>
          <w:lang w:val="sr-Latn-RS"/>
        </w:rPr>
        <w:t xml:space="preserve">NAZIV </w:t>
      </w:r>
      <w:r w:rsidRPr="00667453">
        <w:rPr>
          <w:b/>
          <w:bCs/>
          <w:sz w:val="22"/>
          <w:szCs w:val="22"/>
          <w:lang w:val="sr-Latn-RS"/>
        </w:rPr>
        <w:t>LIJEKA</w:t>
      </w:r>
    </w:p>
    <w:p w14:paraId="10BB6AAC" w14:textId="77777777" w:rsidR="00EC2532" w:rsidRPr="00667453" w:rsidRDefault="00EC2532" w:rsidP="001B7C32">
      <w:pPr>
        <w:widowControl w:val="0"/>
        <w:jc w:val="both"/>
        <w:rPr>
          <w:sz w:val="22"/>
          <w:szCs w:val="22"/>
          <w:lang w:val="sr-Latn-RS"/>
        </w:rPr>
      </w:pPr>
    </w:p>
    <w:p w14:paraId="209549D4" w14:textId="6CBFE30E" w:rsidR="0082002F" w:rsidRPr="00667453" w:rsidRDefault="00192CBC" w:rsidP="001B7C32">
      <w:pPr>
        <w:pStyle w:val="BodyText"/>
        <w:jc w:val="both"/>
        <w:rPr>
          <w:lang w:val="sr-Latn-RS"/>
        </w:rPr>
      </w:pPr>
      <w:r w:rsidRPr="00667453">
        <w:rPr>
          <w:lang w:val="sr-Latn-RS"/>
        </w:rPr>
        <w:t>Saphnelo</w:t>
      </w:r>
      <w:r w:rsidR="0082002F" w:rsidRPr="00667453">
        <w:rPr>
          <w:lang w:val="sr-Latn-RS"/>
        </w:rPr>
        <w:t xml:space="preserve"> 300 mg koncentrat za rastvor za infuziju</w:t>
      </w:r>
    </w:p>
    <w:p w14:paraId="43422CC8" w14:textId="77777777" w:rsidR="000D425A" w:rsidRPr="00667453" w:rsidRDefault="000D425A" w:rsidP="001B7C32">
      <w:pPr>
        <w:widowControl w:val="0"/>
        <w:jc w:val="both"/>
        <w:rPr>
          <w:bCs/>
          <w:sz w:val="22"/>
          <w:szCs w:val="22"/>
          <w:lang w:val="sr-Latn-RS"/>
        </w:rPr>
      </w:pPr>
    </w:p>
    <w:p w14:paraId="5CBCD77D" w14:textId="6286D55F" w:rsidR="006D20A5" w:rsidRPr="00667453" w:rsidRDefault="00313A6F" w:rsidP="001B7C32">
      <w:pPr>
        <w:widowControl w:val="0"/>
        <w:jc w:val="both"/>
        <w:rPr>
          <w:sz w:val="22"/>
          <w:szCs w:val="22"/>
          <w:lang w:val="sr-Latn-RS"/>
        </w:rPr>
      </w:pPr>
      <w:r>
        <w:rPr>
          <w:sz w:val="22"/>
          <w:szCs w:val="22"/>
          <w:lang w:val="sr-Latn-RS"/>
        </w:rPr>
        <w:t xml:space="preserve"> </w:t>
      </w:r>
      <w:r w:rsidR="006D20A5" w:rsidRPr="00667453">
        <w:rPr>
          <w:sz w:val="22"/>
          <w:szCs w:val="22"/>
          <w:lang w:val="sr-Latn-RS"/>
        </w:rPr>
        <w:t>INN:</w:t>
      </w:r>
      <w:r w:rsidR="0082002F" w:rsidRPr="00667453">
        <w:rPr>
          <w:sz w:val="22"/>
          <w:szCs w:val="22"/>
          <w:lang w:val="sr-Latn-RS"/>
        </w:rPr>
        <w:t xml:space="preserve"> anifrolumab</w:t>
      </w:r>
    </w:p>
    <w:p w14:paraId="53A3ABC1" w14:textId="77777777" w:rsidR="006D20A5" w:rsidRPr="00667453" w:rsidRDefault="006D20A5" w:rsidP="001B7C32">
      <w:pPr>
        <w:widowControl w:val="0"/>
        <w:jc w:val="both"/>
        <w:rPr>
          <w:bCs/>
          <w:sz w:val="22"/>
          <w:szCs w:val="22"/>
          <w:lang w:val="sr-Latn-RS"/>
        </w:rPr>
      </w:pPr>
    </w:p>
    <w:p w14:paraId="4900E0AE" w14:textId="77777777" w:rsidR="00530BD7" w:rsidRPr="00667453" w:rsidRDefault="00530BD7" w:rsidP="001B7C32">
      <w:pPr>
        <w:widowControl w:val="0"/>
        <w:jc w:val="both"/>
        <w:rPr>
          <w:bCs/>
          <w:sz w:val="22"/>
          <w:szCs w:val="22"/>
          <w:lang w:val="sr-Latn-RS"/>
        </w:rPr>
      </w:pPr>
    </w:p>
    <w:p w14:paraId="41B85DAF" w14:textId="18F32338"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2. </w:t>
      </w:r>
      <w:r w:rsidR="00F5167F" w:rsidRPr="00667453">
        <w:rPr>
          <w:b/>
          <w:bCs/>
          <w:sz w:val="22"/>
          <w:szCs w:val="22"/>
          <w:lang w:val="sr-Latn-RS"/>
        </w:rPr>
        <w:tab/>
      </w:r>
      <w:r w:rsidRPr="00667453">
        <w:rPr>
          <w:b/>
          <w:bCs/>
          <w:sz w:val="22"/>
          <w:szCs w:val="22"/>
          <w:lang w:val="sr-Latn-RS"/>
        </w:rPr>
        <w:t>KVALITATIVNI I KVANTITATIVNI SASTAV</w:t>
      </w:r>
    </w:p>
    <w:p w14:paraId="429ACD65" w14:textId="47C6826B" w:rsidR="0082002F" w:rsidRPr="00667453" w:rsidRDefault="0082002F" w:rsidP="001B7C32">
      <w:pPr>
        <w:widowControl w:val="0"/>
        <w:tabs>
          <w:tab w:val="left" w:pos="540"/>
          <w:tab w:val="left" w:pos="569"/>
        </w:tabs>
        <w:jc w:val="both"/>
        <w:rPr>
          <w:b/>
          <w:bCs/>
          <w:sz w:val="22"/>
          <w:szCs w:val="22"/>
          <w:lang w:val="sr-Latn-RS"/>
        </w:rPr>
      </w:pPr>
    </w:p>
    <w:p w14:paraId="29948C94" w14:textId="77777777" w:rsidR="00014163" w:rsidRPr="00667453" w:rsidRDefault="0082002F" w:rsidP="001B7C32">
      <w:pPr>
        <w:widowControl w:val="0"/>
        <w:autoSpaceDE w:val="0"/>
        <w:autoSpaceDN w:val="0"/>
        <w:spacing w:line="477" w:lineRule="auto"/>
        <w:jc w:val="both"/>
        <w:rPr>
          <w:sz w:val="22"/>
          <w:szCs w:val="22"/>
          <w:lang w:val="sr-Latn-RS"/>
        </w:rPr>
      </w:pPr>
      <w:r w:rsidRPr="00667453">
        <w:rPr>
          <w:sz w:val="22"/>
          <w:szCs w:val="22"/>
          <w:lang w:val="sr-Latn-RS"/>
        </w:rPr>
        <w:t xml:space="preserve">Svaki ml koncentrata za rastvor za infuziju sadrži 150 mg anifrolumaba. </w:t>
      </w:r>
    </w:p>
    <w:p w14:paraId="0CAA5D0A" w14:textId="2A7A1C18" w:rsidR="0082002F" w:rsidRPr="00667453" w:rsidRDefault="0082002F" w:rsidP="001B7C32">
      <w:pPr>
        <w:widowControl w:val="0"/>
        <w:autoSpaceDE w:val="0"/>
        <w:autoSpaceDN w:val="0"/>
        <w:spacing w:line="477" w:lineRule="auto"/>
        <w:jc w:val="both"/>
        <w:rPr>
          <w:sz w:val="22"/>
          <w:szCs w:val="22"/>
          <w:lang w:val="sr-Latn-RS"/>
        </w:rPr>
      </w:pPr>
      <w:r w:rsidRPr="00667453">
        <w:rPr>
          <w:sz w:val="22"/>
          <w:szCs w:val="22"/>
          <w:lang w:val="sr-Latn-RS"/>
        </w:rPr>
        <w:t>Jedna bočica koncentrata od 2,0 ml sadrži 300 mg anifrolumaba (150 mg/ml).</w:t>
      </w:r>
    </w:p>
    <w:p w14:paraId="25861DD6" w14:textId="6E2C867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Anifrolumab je humano, imunoglobulinsko G1 kapa (IgG1κ) monoklonsko antitijelo koje se stvara u mišjim mijelomskim ćelijama (NS0) rekombinantnom DNK tehnologijom.</w:t>
      </w:r>
    </w:p>
    <w:p w14:paraId="58EEE0AF" w14:textId="77777777" w:rsidR="005A0B2E" w:rsidRPr="00667453" w:rsidRDefault="005A0B2E" w:rsidP="001B7C32">
      <w:pPr>
        <w:widowControl w:val="0"/>
        <w:jc w:val="both"/>
        <w:rPr>
          <w:sz w:val="22"/>
          <w:szCs w:val="22"/>
          <w:lang w:val="sr-Latn-RS"/>
        </w:rPr>
      </w:pPr>
    </w:p>
    <w:p w14:paraId="74614C34" w14:textId="53B55B2E" w:rsidR="00014163" w:rsidRPr="00667453" w:rsidRDefault="0003793F" w:rsidP="001B7C32">
      <w:pPr>
        <w:widowControl w:val="0"/>
        <w:autoSpaceDE w:val="0"/>
        <w:autoSpaceDN w:val="0"/>
        <w:spacing w:line="477" w:lineRule="auto"/>
        <w:jc w:val="both"/>
        <w:rPr>
          <w:sz w:val="22"/>
          <w:szCs w:val="22"/>
          <w:lang w:val="sr-Latn-RS"/>
        </w:rPr>
      </w:pPr>
      <w:r w:rsidRPr="00667453">
        <w:rPr>
          <w:sz w:val="22"/>
          <w:szCs w:val="22"/>
          <w:lang w:val="sr-Latn-RS"/>
        </w:rPr>
        <w:t>Za spisak svih ekscipijenasa, pogledati dio 6.1.</w:t>
      </w:r>
    </w:p>
    <w:p w14:paraId="0E66353B" w14:textId="77777777" w:rsidR="00C37FD7" w:rsidRPr="00667453" w:rsidRDefault="00C37FD7" w:rsidP="001B7C32">
      <w:pPr>
        <w:widowControl w:val="0"/>
        <w:jc w:val="both"/>
        <w:rPr>
          <w:sz w:val="22"/>
          <w:szCs w:val="22"/>
          <w:lang w:val="sr-Latn-RS"/>
        </w:rPr>
      </w:pPr>
    </w:p>
    <w:p w14:paraId="0214DB46" w14:textId="18607817"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3. </w:t>
      </w:r>
      <w:r w:rsidR="00F5167F" w:rsidRPr="00667453">
        <w:rPr>
          <w:b/>
          <w:bCs/>
          <w:sz w:val="22"/>
          <w:szCs w:val="22"/>
          <w:lang w:val="sr-Latn-RS"/>
        </w:rPr>
        <w:tab/>
      </w:r>
      <w:r w:rsidRPr="00667453">
        <w:rPr>
          <w:b/>
          <w:bCs/>
          <w:sz w:val="22"/>
          <w:szCs w:val="22"/>
          <w:lang w:val="sr-Latn-RS"/>
        </w:rPr>
        <w:t>FARMACEUTSKI OBLIK</w:t>
      </w:r>
      <w:r w:rsidR="009F2D23" w:rsidRPr="00667453">
        <w:rPr>
          <w:b/>
          <w:bCs/>
          <w:sz w:val="22"/>
          <w:szCs w:val="22"/>
          <w:lang w:val="sr-Latn-RS"/>
        </w:rPr>
        <w:t xml:space="preserve"> </w:t>
      </w:r>
    </w:p>
    <w:p w14:paraId="47EBC600" w14:textId="77777777" w:rsidR="0082002F" w:rsidRPr="00667453" w:rsidRDefault="0082002F" w:rsidP="001B7C32">
      <w:pPr>
        <w:widowControl w:val="0"/>
        <w:tabs>
          <w:tab w:val="left" w:pos="540"/>
          <w:tab w:val="left" w:pos="569"/>
        </w:tabs>
        <w:jc w:val="both"/>
        <w:rPr>
          <w:b/>
          <w:bCs/>
          <w:sz w:val="22"/>
          <w:szCs w:val="22"/>
          <w:lang w:val="sr-Latn-RS"/>
        </w:rPr>
      </w:pPr>
    </w:p>
    <w:p w14:paraId="25070F05" w14:textId="7777777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Koncentrat za rastvor za infuziju (sterilni koncentrat)</w:t>
      </w:r>
    </w:p>
    <w:p w14:paraId="1AD800BF" w14:textId="77777777" w:rsidR="0082002F" w:rsidRPr="00667453" w:rsidRDefault="0082002F" w:rsidP="001B7C32">
      <w:pPr>
        <w:widowControl w:val="0"/>
        <w:autoSpaceDE w:val="0"/>
        <w:autoSpaceDN w:val="0"/>
        <w:jc w:val="both"/>
        <w:rPr>
          <w:sz w:val="22"/>
          <w:szCs w:val="22"/>
          <w:lang w:val="sr-Latn-RS"/>
        </w:rPr>
      </w:pPr>
    </w:p>
    <w:p w14:paraId="6BA14F43" w14:textId="7777777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Bistar do opalescentan, bezbojan do blago žut rastvor sa pH 5,9.</w:t>
      </w:r>
    </w:p>
    <w:p w14:paraId="752CC0CD" w14:textId="77777777" w:rsidR="00411B4B" w:rsidRPr="00667453" w:rsidRDefault="00411B4B" w:rsidP="001B7C32">
      <w:pPr>
        <w:widowControl w:val="0"/>
        <w:jc w:val="both"/>
        <w:rPr>
          <w:bCs/>
          <w:sz w:val="22"/>
          <w:szCs w:val="22"/>
          <w:lang w:val="sr-Latn-RS"/>
        </w:rPr>
      </w:pPr>
    </w:p>
    <w:p w14:paraId="50ED7767" w14:textId="77777777" w:rsidR="00EC2532" w:rsidRPr="00667453" w:rsidRDefault="00EC2532" w:rsidP="001B7C32">
      <w:pPr>
        <w:widowControl w:val="0"/>
        <w:jc w:val="both"/>
        <w:rPr>
          <w:bCs/>
          <w:sz w:val="22"/>
          <w:szCs w:val="22"/>
          <w:lang w:val="sr-Latn-RS"/>
        </w:rPr>
      </w:pPr>
    </w:p>
    <w:p w14:paraId="410A8FCC" w14:textId="77777777"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4. </w:t>
      </w:r>
      <w:r w:rsidR="00480FB1" w:rsidRPr="00667453">
        <w:rPr>
          <w:b/>
          <w:bCs/>
          <w:sz w:val="22"/>
          <w:szCs w:val="22"/>
          <w:lang w:val="sr-Latn-RS"/>
        </w:rPr>
        <w:tab/>
      </w:r>
      <w:r w:rsidRPr="00667453">
        <w:rPr>
          <w:b/>
          <w:bCs/>
          <w:sz w:val="22"/>
          <w:szCs w:val="22"/>
          <w:lang w:val="sr-Latn-RS"/>
        </w:rPr>
        <w:t>KLINIČKI PODACI</w:t>
      </w:r>
    </w:p>
    <w:p w14:paraId="4D3B55BB" w14:textId="77777777" w:rsidR="00CD6F02" w:rsidRPr="00667453" w:rsidRDefault="00CD6F02" w:rsidP="001B7C32">
      <w:pPr>
        <w:widowControl w:val="0"/>
        <w:tabs>
          <w:tab w:val="left" w:pos="540"/>
          <w:tab w:val="left" w:pos="569"/>
        </w:tabs>
        <w:jc w:val="both"/>
        <w:rPr>
          <w:bCs/>
          <w:sz w:val="22"/>
          <w:szCs w:val="22"/>
          <w:lang w:val="sr-Latn-RS"/>
        </w:rPr>
      </w:pPr>
    </w:p>
    <w:p w14:paraId="7854D1DA" w14:textId="17F8F032"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4.1. </w:t>
      </w:r>
      <w:r w:rsidR="00480FB1" w:rsidRPr="00667453">
        <w:rPr>
          <w:b/>
          <w:bCs/>
          <w:sz w:val="22"/>
          <w:szCs w:val="22"/>
          <w:lang w:val="sr-Latn-RS"/>
        </w:rPr>
        <w:tab/>
      </w:r>
      <w:r w:rsidRPr="00667453">
        <w:rPr>
          <w:b/>
          <w:bCs/>
          <w:sz w:val="22"/>
          <w:szCs w:val="22"/>
          <w:lang w:val="sr-Latn-RS"/>
        </w:rPr>
        <w:t>Terapijske indikacije</w:t>
      </w:r>
    </w:p>
    <w:p w14:paraId="44237EDD" w14:textId="77777777" w:rsidR="0082002F" w:rsidRPr="00667453" w:rsidRDefault="0082002F" w:rsidP="001B7C32">
      <w:pPr>
        <w:widowControl w:val="0"/>
        <w:tabs>
          <w:tab w:val="left" w:pos="540"/>
          <w:tab w:val="left" w:pos="569"/>
        </w:tabs>
        <w:jc w:val="both"/>
        <w:rPr>
          <w:b/>
          <w:bCs/>
          <w:sz w:val="22"/>
          <w:szCs w:val="22"/>
          <w:lang w:val="sr-Latn-RS"/>
        </w:rPr>
      </w:pPr>
    </w:p>
    <w:p w14:paraId="3B13C2F6" w14:textId="18767564" w:rsidR="0082002F" w:rsidRPr="00667453" w:rsidRDefault="003C3ADC" w:rsidP="001B7C32">
      <w:pPr>
        <w:pStyle w:val="BodyText"/>
        <w:jc w:val="both"/>
        <w:rPr>
          <w:lang w:val="sr-Latn-RS"/>
        </w:rPr>
      </w:pPr>
      <w:r w:rsidRPr="00667453">
        <w:rPr>
          <w:lang w:val="sr-Latn-RS"/>
        </w:rPr>
        <w:t xml:space="preserve">Lijek </w:t>
      </w:r>
      <w:r w:rsidR="0082002F" w:rsidRPr="00667453">
        <w:rPr>
          <w:lang w:val="sr-Latn-RS"/>
        </w:rPr>
        <w:t xml:space="preserve">Saphnelo je indikovan kao dodatna terapija za </w:t>
      </w:r>
      <w:r w:rsidR="00745817" w:rsidRPr="00667453">
        <w:rPr>
          <w:lang w:val="sr-Latn-RS"/>
        </w:rPr>
        <w:t>liječenje</w:t>
      </w:r>
      <w:r w:rsidR="0082002F" w:rsidRPr="00667453">
        <w:rPr>
          <w:lang w:val="sr-Latn-RS"/>
        </w:rPr>
        <w:t xml:space="preserve"> odraslih pacijenata koji uprkos standardnoj terapiji imaju </w:t>
      </w:r>
      <w:r w:rsidR="00745817" w:rsidRPr="00667453">
        <w:rPr>
          <w:lang w:val="sr-Latn-RS"/>
        </w:rPr>
        <w:t>umjereni</w:t>
      </w:r>
      <w:r w:rsidR="0082002F" w:rsidRPr="00667453">
        <w:rPr>
          <w:lang w:val="sr-Latn-RS"/>
        </w:rPr>
        <w:t xml:space="preserve"> do težak aktivni sistemski eritemski lupus </w:t>
      </w:r>
      <w:r w:rsidR="00014163" w:rsidRPr="00667453">
        <w:rPr>
          <w:lang w:val="sr-Latn-RS"/>
        </w:rPr>
        <w:t>(engl</w:t>
      </w:r>
      <w:r w:rsidR="00014163" w:rsidRPr="00667453">
        <w:rPr>
          <w:i/>
          <w:lang w:val="sr-Latn-RS"/>
        </w:rPr>
        <w:t>. systemic lupus erythematosus</w:t>
      </w:r>
      <w:r w:rsidR="00014163" w:rsidRPr="00667453">
        <w:rPr>
          <w:lang w:val="sr-Latn-RS"/>
        </w:rPr>
        <w:t xml:space="preserve">, </w:t>
      </w:r>
      <w:r w:rsidR="0082002F" w:rsidRPr="00667453">
        <w:rPr>
          <w:lang w:val="sr-Latn-RS"/>
        </w:rPr>
        <w:t>SLE)</w:t>
      </w:r>
      <w:r w:rsidR="00014163" w:rsidRPr="00667453">
        <w:rPr>
          <w:lang w:val="sr-Latn-RS"/>
        </w:rPr>
        <w:t xml:space="preserve"> sa pozitivnim autoantiti</w:t>
      </w:r>
      <w:r w:rsidR="007444A6" w:rsidRPr="00667453">
        <w:rPr>
          <w:lang w:val="sr-Latn-RS"/>
        </w:rPr>
        <w:t>jelima</w:t>
      </w:r>
      <w:r w:rsidR="0082002F" w:rsidRPr="00667453">
        <w:rPr>
          <w:lang w:val="sr-Latn-RS"/>
        </w:rPr>
        <w:t>.</w:t>
      </w:r>
    </w:p>
    <w:p w14:paraId="6903A01D" w14:textId="77777777" w:rsidR="00411B4B" w:rsidRPr="00667453" w:rsidRDefault="00411B4B" w:rsidP="001B7C32">
      <w:pPr>
        <w:widowControl w:val="0"/>
        <w:tabs>
          <w:tab w:val="left" w:pos="540"/>
          <w:tab w:val="left" w:pos="569"/>
        </w:tabs>
        <w:jc w:val="both"/>
        <w:rPr>
          <w:bCs/>
          <w:sz w:val="22"/>
          <w:szCs w:val="22"/>
          <w:lang w:val="sr-Latn-RS"/>
        </w:rPr>
      </w:pPr>
    </w:p>
    <w:p w14:paraId="4B22658E" w14:textId="289F2790"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4.2. </w:t>
      </w:r>
      <w:r w:rsidR="00480FB1" w:rsidRPr="00667453">
        <w:rPr>
          <w:b/>
          <w:bCs/>
          <w:sz w:val="22"/>
          <w:szCs w:val="22"/>
          <w:lang w:val="sr-Latn-RS"/>
        </w:rPr>
        <w:tab/>
      </w:r>
      <w:r w:rsidRPr="00667453">
        <w:rPr>
          <w:b/>
          <w:bCs/>
          <w:sz w:val="22"/>
          <w:szCs w:val="22"/>
          <w:lang w:val="sr-Latn-RS"/>
        </w:rPr>
        <w:t>Doziranje i način primjene</w:t>
      </w:r>
    </w:p>
    <w:p w14:paraId="7CBD866B" w14:textId="77777777" w:rsidR="0082002F" w:rsidRPr="00667453" w:rsidRDefault="0082002F" w:rsidP="001B7C32">
      <w:pPr>
        <w:widowControl w:val="0"/>
        <w:tabs>
          <w:tab w:val="left" w:pos="540"/>
          <w:tab w:val="left" w:pos="569"/>
        </w:tabs>
        <w:jc w:val="both"/>
        <w:rPr>
          <w:b/>
          <w:bCs/>
          <w:sz w:val="22"/>
          <w:szCs w:val="22"/>
          <w:lang w:val="sr-Latn-RS"/>
        </w:rPr>
      </w:pPr>
    </w:p>
    <w:p w14:paraId="58DF5C1F" w14:textId="77777777" w:rsidR="00745817" w:rsidRPr="00667453" w:rsidRDefault="00745817" w:rsidP="001B7C32">
      <w:pPr>
        <w:widowControl w:val="0"/>
        <w:autoSpaceDE w:val="0"/>
        <w:autoSpaceDN w:val="0"/>
        <w:spacing w:line="477" w:lineRule="auto"/>
        <w:jc w:val="both"/>
        <w:rPr>
          <w:sz w:val="22"/>
          <w:szCs w:val="22"/>
          <w:lang w:val="sr-Latn-RS"/>
        </w:rPr>
      </w:pPr>
      <w:r w:rsidRPr="00667453">
        <w:rPr>
          <w:sz w:val="22"/>
          <w:szCs w:val="22"/>
          <w:lang w:val="sr-Latn-RS"/>
        </w:rPr>
        <w:t>Liječenje</w:t>
      </w:r>
      <w:r w:rsidR="0082002F" w:rsidRPr="00667453">
        <w:rPr>
          <w:sz w:val="22"/>
          <w:szCs w:val="22"/>
          <w:lang w:val="sr-Latn-RS"/>
        </w:rPr>
        <w:t xml:space="preserve"> mora da započne i nadgleda </w:t>
      </w:r>
      <w:r w:rsidRPr="00667453">
        <w:rPr>
          <w:sz w:val="22"/>
          <w:szCs w:val="22"/>
          <w:lang w:val="sr-Latn-RS"/>
        </w:rPr>
        <w:t>ljekar</w:t>
      </w:r>
      <w:r w:rsidR="0082002F" w:rsidRPr="00667453">
        <w:rPr>
          <w:sz w:val="22"/>
          <w:szCs w:val="22"/>
          <w:lang w:val="sr-Latn-RS"/>
        </w:rPr>
        <w:t xml:space="preserve"> sa iskustvom u </w:t>
      </w:r>
      <w:r w:rsidRPr="00667453">
        <w:rPr>
          <w:sz w:val="22"/>
          <w:szCs w:val="22"/>
          <w:lang w:val="sr-Latn-RS"/>
        </w:rPr>
        <w:t>liječenju</w:t>
      </w:r>
      <w:r w:rsidR="0082002F" w:rsidRPr="00667453">
        <w:rPr>
          <w:sz w:val="22"/>
          <w:szCs w:val="22"/>
          <w:lang w:val="sr-Latn-RS"/>
        </w:rPr>
        <w:t xml:space="preserve"> SLE. </w:t>
      </w:r>
    </w:p>
    <w:p w14:paraId="4B26B6F0" w14:textId="0BDDF8BE" w:rsidR="0082002F" w:rsidRPr="00667453" w:rsidRDefault="0082002F" w:rsidP="001B7C32">
      <w:pPr>
        <w:widowControl w:val="0"/>
        <w:autoSpaceDE w:val="0"/>
        <w:autoSpaceDN w:val="0"/>
        <w:spacing w:line="477" w:lineRule="auto"/>
        <w:jc w:val="both"/>
        <w:rPr>
          <w:sz w:val="22"/>
          <w:szCs w:val="22"/>
          <w:lang w:val="sr-Latn-RS"/>
        </w:rPr>
      </w:pPr>
      <w:r w:rsidRPr="00667453">
        <w:rPr>
          <w:sz w:val="22"/>
          <w:szCs w:val="22"/>
          <w:u w:val="single"/>
          <w:lang w:val="sr-Latn-RS"/>
        </w:rPr>
        <w:t>Doziranje</w:t>
      </w:r>
      <w:r w:rsidR="00745817" w:rsidRPr="00667453">
        <w:rPr>
          <w:sz w:val="22"/>
          <w:szCs w:val="22"/>
          <w:u w:val="single"/>
          <w:lang w:val="sr-Latn-RS"/>
        </w:rPr>
        <w:t>:</w:t>
      </w:r>
    </w:p>
    <w:p w14:paraId="2744DF5E" w14:textId="3AF7E5AB" w:rsidR="0082002F" w:rsidRPr="00667453" w:rsidRDefault="0082002F" w:rsidP="001B7C32">
      <w:pPr>
        <w:widowControl w:val="0"/>
        <w:autoSpaceDE w:val="0"/>
        <w:autoSpaceDN w:val="0"/>
        <w:spacing w:line="237" w:lineRule="auto"/>
        <w:jc w:val="both"/>
        <w:rPr>
          <w:sz w:val="22"/>
          <w:szCs w:val="22"/>
          <w:lang w:val="sr-Latn-RS"/>
        </w:rPr>
      </w:pPr>
      <w:r w:rsidRPr="00667453">
        <w:rPr>
          <w:sz w:val="22"/>
          <w:szCs w:val="22"/>
          <w:lang w:val="sr-Latn-RS"/>
        </w:rPr>
        <w:t>Preporučena doza je 300 mg, prim</w:t>
      </w:r>
      <w:r w:rsidR="00745817" w:rsidRPr="00667453">
        <w:rPr>
          <w:sz w:val="22"/>
          <w:szCs w:val="22"/>
          <w:lang w:val="sr-Latn-RS"/>
        </w:rPr>
        <w:t>j</w:t>
      </w:r>
      <w:r w:rsidRPr="00667453">
        <w:rPr>
          <w:sz w:val="22"/>
          <w:szCs w:val="22"/>
          <w:lang w:val="sr-Latn-RS"/>
        </w:rPr>
        <w:t>enjena intravenskom infuzijom tokom 30 minuta svake 4 ned</w:t>
      </w:r>
      <w:r w:rsidR="007444A6" w:rsidRPr="00667453">
        <w:rPr>
          <w:sz w:val="22"/>
          <w:szCs w:val="22"/>
          <w:lang w:val="sr-Latn-RS"/>
        </w:rPr>
        <w:t>j</w:t>
      </w:r>
      <w:r w:rsidRPr="00667453">
        <w:rPr>
          <w:sz w:val="22"/>
          <w:szCs w:val="22"/>
          <w:lang w:val="sr-Latn-RS"/>
        </w:rPr>
        <w:t>elje.</w:t>
      </w:r>
    </w:p>
    <w:p w14:paraId="1839EC3F" w14:textId="77777777" w:rsidR="0082002F" w:rsidRPr="00667453" w:rsidRDefault="0082002F" w:rsidP="001B7C32">
      <w:pPr>
        <w:widowControl w:val="0"/>
        <w:autoSpaceDE w:val="0"/>
        <w:autoSpaceDN w:val="0"/>
        <w:jc w:val="both"/>
        <w:rPr>
          <w:sz w:val="22"/>
          <w:szCs w:val="22"/>
          <w:lang w:val="sr-Latn-RS"/>
        </w:rPr>
      </w:pPr>
    </w:p>
    <w:p w14:paraId="0128F13A" w14:textId="138246FC" w:rsidR="0082002F" w:rsidRPr="00667453" w:rsidRDefault="0082002F" w:rsidP="001B7C32">
      <w:pPr>
        <w:widowControl w:val="0"/>
        <w:tabs>
          <w:tab w:val="left" w:pos="8222"/>
          <w:tab w:val="left" w:pos="8364"/>
          <w:tab w:val="left" w:pos="8647"/>
        </w:tabs>
        <w:autoSpaceDE w:val="0"/>
        <w:autoSpaceDN w:val="0"/>
        <w:spacing w:line="237" w:lineRule="auto"/>
        <w:jc w:val="both"/>
        <w:rPr>
          <w:sz w:val="22"/>
          <w:szCs w:val="22"/>
          <w:lang w:val="sr-Latn-RS"/>
        </w:rPr>
      </w:pPr>
      <w:r w:rsidRPr="00667453">
        <w:rPr>
          <w:sz w:val="22"/>
          <w:szCs w:val="22"/>
          <w:lang w:val="sr-Latn-RS"/>
        </w:rPr>
        <w:t>Pacijentima koji u anamnezi imaju reakcije povezane sa infuzijom može se dati premedikacija (npr.</w:t>
      </w:r>
      <w:r w:rsidR="001F60C9" w:rsidRPr="00667453">
        <w:rPr>
          <w:sz w:val="22"/>
          <w:szCs w:val="22"/>
          <w:lang w:val="sr-Latn-RS"/>
        </w:rPr>
        <w:t xml:space="preserve"> </w:t>
      </w:r>
      <w:r w:rsidRPr="00667453">
        <w:rPr>
          <w:sz w:val="22"/>
          <w:szCs w:val="22"/>
          <w:lang w:val="sr-Latn-RS"/>
        </w:rPr>
        <w:t>antihistaminik) pr</w:t>
      </w:r>
      <w:r w:rsidR="00745817" w:rsidRPr="00667453">
        <w:rPr>
          <w:sz w:val="22"/>
          <w:szCs w:val="22"/>
          <w:lang w:val="sr-Latn-RS"/>
        </w:rPr>
        <w:t>ij</w:t>
      </w:r>
      <w:r w:rsidRPr="00667453">
        <w:rPr>
          <w:sz w:val="22"/>
          <w:szCs w:val="22"/>
          <w:lang w:val="sr-Latn-RS"/>
        </w:rPr>
        <w:t>e infuzije anifrolumaba (vid</w:t>
      </w:r>
      <w:r w:rsidR="00745817" w:rsidRPr="00667453">
        <w:rPr>
          <w:sz w:val="22"/>
          <w:szCs w:val="22"/>
          <w:lang w:val="sr-Latn-RS"/>
        </w:rPr>
        <w:t>j</w:t>
      </w:r>
      <w:r w:rsidRPr="00667453">
        <w:rPr>
          <w:sz w:val="22"/>
          <w:szCs w:val="22"/>
          <w:lang w:val="sr-Latn-RS"/>
        </w:rPr>
        <w:t xml:space="preserve">eti </w:t>
      </w:r>
      <w:r w:rsidR="00014163" w:rsidRPr="00667453">
        <w:rPr>
          <w:sz w:val="22"/>
          <w:szCs w:val="22"/>
          <w:lang w:val="sr-Latn-RS"/>
        </w:rPr>
        <w:t>dio</w:t>
      </w:r>
      <w:r w:rsidRPr="00667453">
        <w:rPr>
          <w:sz w:val="22"/>
          <w:szCs w:val="22"/>
          <w:lang w:val="sr-Latn-RS"/>
        </w:rPr>
        <w:t xml:space="preserve"> 4.4).</w:t>
      </w:r>
    </w:p>
    <w:p w14:paraId="1ABAE45C" w14:textId="77777777" w:rsidR="0082002F" w:rsidRPr="00667453" w:rsidRDefault="0082002F" w:rsidP="001B7C32">
      <w:pPr>
        <w:widowControl w:val="0"/>
        <w:autoSpaceDE w:val="0"/>
        <w:autoSpaceDN w:val="0"/>
        <w:jc w:val="both"/>
        <w:rPr>
          <w:sz w:val="22"/>
          <w:szCs w:val="22"/>
          <w:lang w:val="sr-Latn-RS"/>
        </w:rPr>
      </w:pPr>
    </w:p>
    <w:p w14:paraId="0ED7704C" w14:textId="77777777" w:rsidR="0082002F" w:rsidRPr="00667453" w:rsidRDefault="0082002F" w:rsidP="001B7C32">
      <w:pPr>
        <w:widowControl w:val="0"/>
        <w:autoSpaceDE w:val="0"/>
        <w:autoSpaceDN w:val="0"/>
        <w:jc w:val="both"/>
        <w:rPr>
          <w:i/>
          <w:sz w:val="22"/>
          <w:szCs w:val="22"/>
          <w:lang w:val="sr-Latn-RS"/>
        </w:rPr>
      </w:pPr>
      <w:r w:rsidRPr="00667453">
        <w:rPr>
          <w:i/>
          <w:iCs/>
          <w:sz w:val="22"/>
          <w:szCs w:val="22"/>
          <w:lang w:val="sr-Latn-RS"/>
        </w:rPr>
        <w:t>Propuštena doza</w:t>
      </w:r>
    </w:p>
    <w:p w14:paraId="79FBCE8A" w14:textId="2F915A2B" w:rsidR="0082002F" w:rsidRPr="00667453" w:rsidRDefault="0082002F" w:rsidP="001B7C32">
      <w:pPr>
        <w:widowControl w:val="0"/>
        <w:autoSpaceDE w:val="0"/>
        <w:autoSpaceDN w:val="0"/>
        <w:spacing w:line="237" w:lineRule="auto"/>
        <w:jc w:val="both"/>
        <w:rPr>
          <w:sz w:val="22"/>
          <w:szCs w:val="22"/>
          <w:lang w:val="sr-Latn-RS"/>
        </w:rPr>
      </w:pPr>
      <w:r w:rsidRPr="00667453">
        <w:rPr>
          <w:sz w:val="22"/>
          <w:szCs w:val="22"/>
          <w:lang w:val="sr-Latn-RS"/>
        </w:rPr>
        <w:t>Ukoliko se propusti planirana infuzija, terapiju treba nastaviti što je pr</w:t>
      </w:r>
      <w:r w:rsidR="00745817" w:rsidRPr="00667453">
        <w:rPr>
          <w:sz w:val="22"/>
          <w:szCs w:val="22"/>
          <w:lang w:val="sr-Latn-RS"/>
        </w:rPr>
        <w:t>ij</w:t>
      </w:r>
      <w:r w:rsidRPr="00667453">
        <w:rPr>
          <w:sz w:val="22"/>
          <w:szCs w:val="22"/>
          <w:lang w:val="sr-Latn-RS"/>
        </w:rPr>
        <w:t>e moguće. Između dv</w:t>
      </w:r>
      <w:r w:rsidR="00014163" w:rsidRPr="00667453">
        <w:rPr>
          <w:sz w:val="22"/>
          <w:szCs w:val="22"/>
          <w:lang w:val="sr-Latn-RS"/>
        </w:rPr>
        <w:t>ij</w:t>
      </w:r>
      <w:r w:rsidRPr="00667453">
        <w:rPr>
          <w:sz w:val="22"/>
          <w:szCs w:val="22"/>
          <w:lang w:val="sr-Latn-RS"/>
        </w:rPr>
        <w:t>e doze mora se održavati interval od najmanje 14 dana.</w:t>
      </w:r>
    </w:p>
    <w:p w14:paraId="4C2F6BCC" w14:textId="77777777" w:rsidR="0082002F" w:rsidRPr="00667453" w:rsidRDefault="0082002F" w:rsidP="001B7C32">
      <w:pPr>
        <w:widowControl w:val="0"/>
        <w:autoSpaceDE w:val="0"/>
        <w:autoSpaceDN w:val="0"/>
        <w:rPr>
          <w:sz w:val="22"/>
          <w:szCs w:val="22"/>
          <w:lang w:val="sr-Latn-RS"/>
        </w:rPr>
      </w:pPr>
    </w:p>
    <w:p w14:paraId="5247434E" w14:textId="77777777"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lastRenderedPageBreak/>
        <w:t>Posebne populacije</w:t>
      </w:r>
    </w:p>
    <w:p w14:paraId="12EDEB25" w14:textId="77777777" w:rsidR="0082002F" w:rsidRPr="00667453" w:rsidRDefault="0082002F" w:rsidP="001B7C32">
      <w:pPr>
        <w:widowControl w:val="0"/>
        <w:autoSpaceDE w:val="0"/>
        <w:autoSpaceDN w:val="0"/>
        <w:jc w:val="both"/>
        <w:rPr>
          <w:sz w:val="22"/>
          <w:szCs w:val="22"/>
          <w:lang w:val="sr-Latn-RS"/>
        </w:rPr>
      </w:pPr>
    </w:p>
    <w:p w14:paraId="4C629BD2" w14:textId="77777777" w:rsidR="0082002F" w:rsidRPr="00667453" w:rsidRDefault="0082002F" w:rsidP="001B7C32">
      <w:pPr>
        <w:widowControl w:val="0"/>
        <w:autoSpaceDE w:val="0"/>
        <w:autoSpaceDN w:val="0"/>
        <w:jc w:val="both"/>
        <w:rPr>
          <w:i/>
          <w:sz w:val="22"/>
          <w:szCs w:val="22"/>
          <w:lang w:val="sr-Latn-RS"/>
        </w:rPr>
      </w:pPr>
      <w:r w:rsidRPr="00667453">
        <w:rPr>
          <w:i/>
          <w:iCs/>
          <w:sz w:val="22"/>
          <w:szCs w:val="22"/>
          <w:lang w:val="sr-Latn-RS"/>
        </w:rPr>
        <w:t>Starije osobe (≥ 65 godina)</w:t>
      </w:r>
    </w:p>
    <w:p w14:paraId="7E0095A9" w14:textId="3916E6D3" w:rsidR="0082002F" w:rsidRPr="00667453" w:rsidRDefault="0082002F" w:rsidP="001B7C32">
      <w:pPr>
        <w:widowControl w:val="0"/>
        <w:tabs>
          <w:tab w:val="left" w:pos="8647"/>
        </w:tabs>
        <w:autoSpaceDE w:val="0"/>
        <w:autoSpaceDN w:val="0"/>
        <w:spacing w:line="278" w:lineRule="auto"/>
        <w:jc w:val="both"/>
        <w:rPr>
          <w:sz w:val="22"/>
          <w:szCs w:val="22"/>
          <w:lang w:val="sr-Latn-RS"/>
        </w:rPr>
      </w:pPr>
      <w:r w:rsidRPr="00667453">
        <w:rPr>
          <w:sz w:val="22"/>
          <w:szCs w:val="22"/>
          <w:lang w:val="sr-Latn-RS"/>
        </w:rPr>
        <w:t>Nije potrebno podešavanje doze. Dostupni su ograničeni podaci o prim</w:t>
      </w:r>
      <w:r w:rsidR="00745817" w:rsidRPr="00667453">
        <w:rPr>
          <w:sz w:val="22"/>
          <w:szCs w:val="22"/>
          <w:lang w:val="sr-Latn-RS"/>
        </w:rPr>
        <w:t>j</w:t>
      </w:r>
      <w:r w:rsidRPr="00667453">
        <w:rPr>
          <w:sz w:val="22"/>
          <w:szCs w:val="22"/>
          <w:lang w:val="sr-Latn-RS"/>
        </w:rPr>
        <w:t>eni kod osoba ≥ 65 godina (n = 20); nema dostupnih podataka za pacijente starije od 75 godina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5.2).</w:t>
      </w:r>
    </w:p>
    <w:p w14:paraId="2FD22397" w14:textId="77777777" w:rsidR="0082002F" w:rsidRPr="00667453" w:rsidRDefault="0082002F" w:rsidP="001B7C32">
      <w:pPr>
        <w:widowControl w:val="0"/>
        <w:autoSpaceDE w:val="0"/>
        <w:autoSpaceDN w:val="0"/>
        <w:jc w:val="both"/>
        <w:rPr>
          <w:i/>
          <w:sz w:val="22"/>
          <w:szCs w:val="22"/>
          <w:lang w:val="sr-Latn-RS"/>
        </w:rPr>
      </w:pPr>
      <w:r w:rsidRPr="00667453">
        <w:rPr>
          <w:i/>
          <w:iCs/>
          <w:sz w:val="22"/>
          <w:szCs w:val="22"/>
          <w:lang w:val="sr-Latn-RS"/>
        </w:rPr>
        <w:t>Oštećenje funkcije bubrega</w:t>
      </w:r>
    </w:p>
    <w:p w14:paraId="2BAC1A2B" w14:textId="076A26C1" w:rsidR="0082002F" w:rsidRPr="00667453" w:rsidRDefault="0082002F" w:rsidP="001B7C32">
      <w:pPr>
        <w:widowControl w:val="0"/>
        <w:autoSpaceDE w:val="0"/>
        <w:autoSpaceDN w:val="0"/>
        <w:spacing w:line="237" w:lineRule="auto"/>
        <w:jc w:val="both"/>
        <w:rPr>
          <w:sz w:val="22"/>
          <w:szCs w:val="22"/>
          <w:lang w:val="sr-Latn-RS"/>
        </w:rPr>
      </w:pPr>
      <w:r w:rsidRPr="00667453">
        <w:rPr>
          <w:sz w:val="22"/>
          <w:szCs w:val="22"/>
          <w:lang w:val="sr-Latn-RS"/>
        </w:rPr>
        <w:t>Nije potrebno podešavanje doze. Nema iskustva sa pacijentima sa teškim oštećenjem funkcije bubrega, ni u krajnjem stadijumu bolesti bubrega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5.2).</w:t>
      </w:r>
    </w:p>
    <w:p w14:paraId="0474B3F3" w14:textId="77777777" w:rsidR="0082002F" w:rsidRPr="00667453" w:rsidRDefault="0082002F" w:rsidP="001B7C32">
      <w:pPr>
        <w:widowControl w:val="0"/>
        <w:autoSpaceDE w:val="0"/>
        <w:autoSpaceDN w:val="0"/>
        <w:jc w:val="both"/>
        <w:rPr>
          <w:sz w:val="22"/>
          <w:szCs w:val="22"/>
          <w:lang w:val="sr-Latn-RS"/>
        </w:rPr>
      </w:pPr>
    </w:p>
    <w:p w14:paraId="0C2819F8" w14:textId="77777777" w:rsidR="0082002F" w:rsidRPr="00667453" w:rsidRDefault="0082002F" w:rsidP="001B7C32">
      <w:pPr>
        <w:widowControl w:val="0"/>
        <w:autoSpaceDE w:val="0"/>
        <w:autoSpaceDN w:val="0"/>
        <w:jc w:val="both"/>
        <w:rPr>
          <w:i/>
          <w:sz w:val="22"/>
          <w:szCs w:val="22"/>
          <w:lang w:val="sr-Latn-RS"/>
        </w:rPr>
      </w:pPr>
      <w:r w:rsidRPr="00667453">
        <w:rPr>
          <w:i/>
          <w:iCs/>
          <w:sz w:val="22"/>
          <w:szCs w:val="22"/>
          <w:lang w:val="sr-Latn-RS"/>
        </w:rPr>
        <w:t>Oštećenje funkcije jetre</w:t>
      </w:r>
    </w:p>
    <w:p w14:paraId="7978E468" w14:textId="344468DE" w:rsidR="0082002F" w:rsidRPr="00667453" w:rsidRDefault="0082002F" w:rsidP="001B7C32">
      <w:pPr>
        <w:widowControl w:val="0"/>
        <w:autoSpaceDE w:val="0"/>
        <w:autoSpaceDN w:val="0"/>
        <w:jc w:val="both"/>
        <w:rPr>
          <w:sz w:val="22"/>
          <w:szCs w:val="22"/>
          <w:lang w:val="sr-Latn-RS"/>
        </w:rPr>
      </w:pPr>
      <w:r w:rsidRPr="00667453">
        <w:rPr>
          <w:sz w:val="22"/>
          <w:szCs w:val="22"/>
          <w:lang w:val="sr-Latn-RS"/>
        </w:rPr>
        <w:t>Nije potrebno podešavanje doze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5.2).</w:t>
      </w:r>
    </w:p>
    <w:p w14:paraId="2DDF5528" w14:textId="77777777" w:rsidR="0082002F" w:rsidRPr="00667453" w:rsidRDefault="0082002F" w:rsidP="001B7C32">
      <w:pPr>
        <w:widowControl w:val="0"/>
        <w:autoSpaceDE w:val="0"/>
        <w:autoSpaceDN w:val="0"/>
        <w:jc w:val="both"/>
        <w:rPr>
          <w:sz w:val="22"/>
          <w:szCs w:val="22"/>
          <w:lang w:val="sr-Latn-RS"/>
        </w:rPr>
      </w:pPr>
    </w:p>
    <w:p w14:paraId="6BD29E3E" w14:textId="77777777" w:rsidR="0082002F" w:rsidRPr="00667453" w:rsidRDefault="0082002F" w:rsidP="001B7C32">
      <w:pPr>
        <w:widowControl w:val="0"/>
        <w:autoSpaceDE w:val="0"/>
        <w:autoSpaceDN w:val="0"/>
        <w:jc w:val="both"/>
        <w:rPr>
          <w:i/>
          <w:sz w:val="22"/>
          <w:szCs w:val="22"/>
          <w:lang w:val="sr-Latn-RS"/>
        </w:rPr>
      </w:pPr>
      <w:r w:rsidRPr="00667453">
        <w:rPr>
          <w:i/>
          <w:iCs/>
          <w:sz w:val="22"/>
          <w:szCs w:val="22"/>
          <w:lang w:val="sr-Latn-RS"/>
        </w:rPr>
        <w:t>Pedijatrijska populacija</w:t>
      </w:r>
    </w:p>
    <w:p w14:paraId="0A0DB201" w14:textId="75B06E6D" w:rsidR="0082002F" w:rsidRPr="00667453" w:rsidRDefault="00745817" w:rsidP="001B7C32">
      <w:pPr>
        <w:widowControl w:val="0"/>
        <w:autoSpaceDE w:val="0"/>
        <w:autoSpaceDN w:val="0"/>
        <w:spacing w:line="237" w:lineRule="auto"/>
        <w:jc w:val="both"/>
        <w:rPr>
          <w:sz w:val="22"/>
          <w:szCs w:val="22"/>
          <w:lang w:val="sr-Latn-RS"/>
        </w:rPr>
      </w:pPr>
      <w:r w:rsidRPr="00667453">
        <w:rPr>
          <w:sz w:val="22"/>
          <w:szCs w:val="22"/>
          <w:lang w:val="sr-Latn-RS"/>
        </w:rPr>
        <w:t>Bezbjednost</w:t>
      </w:r>
      <w:r w:rsidR="0082002F" w:rsidRPr="00667453">
        <w:rPr>
          <w:sz w:val="22"/>
          <w:szCs w:val="22"/>
          <w:lang w:val="sr-Latn-RS"/>
        </w:rPr>
        <w:t xml:space="preserve"> i efikasnost l</w:t>
      </w:r>
      <w:r w:rsidR="0065696A" w:rsidRPr="00667453">
        <w:rPr>
          <w:sz w:val="22"/>
          <w:szCs w:val="22"/>
          <w:lang w:val="sr-Latn-RS"/>
        </w:rPr>
        <w:t>ij</w:t>
      </w:r>
      <w:r w:rsidR="0082002F" w:rsidRPr="00667453">
        <w:rPr>
          <w:sz w:val="22"/>
          <w:szCs w:val="22"/>
          <w:lang w:val="sr-Latn-RS"/>
        </w:rPr>
        <w:t xml:space="preserve">eka Saphnelo još </w:t>
      </w:r>
      <w:r w:rsidRPr="00667453">
        <w:rPr>
          <w:sz w:val="22"/>
          <w:szCs w:val="22"/>
          <w:lang w:val="sr-Latn-RS"/>
        </w:rPr>
        <w:t>nijesu</w:t>
      </w:r>
      <w:r w:rsidR="0082002F" w:rsidRPr="00667453">
        <w:rPr>
          <w:sz w:val="22"/>
          <w:szCs w:val="22"/>
          <w:lang w:val="sr-Latn-RS"/>
        </w:rPr>
        <w:t xml:space="preserve"> utvrđene kod d</w:t>
      </w:r>
      <w:r w:rsidRPr="00667453">
        <w:rPr>
          <w:sz w:val="22"/>
          <w:szCs w:val="22"/>
          <w:lang w:val="sr-Latn-RS"/>
        </w:rPr>
        <w:t>j</w:t>
      </w:r>
      <w:r w:rsidR="0082002F" w:rsidRPr="00667453">
        <w:rPr>
          <w:sz w:val="22"/>
          <w:szCs w:val="22"/>
          <w:lang w:val="sr-Latn-RS"/>
        </w:rPr>
        <w:t>ece i adolescenata (mlađih od 18 godina). Nema dostupnih podataka.</w:t>
      </w:r>
    </w:p>
    <w:p w14:paraId="4A727F0B" w14:textId="77777777" w:rsidR="0082002F" w:rsidRPr="00667453" w:rsidRDefault="0082002F" w:rsidP="001B7C32">
      <w:pPr>
        <w:widowControl w:val="0"/>
        <w:autoSpaceDE w:val="0"/>
        <w:autoSpaceDN w:val="0"/>
        <w:jc w:val="both"/>
        <w:rPr>
          <w:sz w:val="22"/>
          <w:szCs w:val="22"/>
          <w:lang w:val="sr-Latn-RS"/>
        </w:rPr>
      </w:pPr>
    </w:p>
    <w:p w14:paraId="2580A90E" w14:textId="004558AA"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Način prim</w:t>
      </w:r>
      <w:r w:rsidR="00745817" w:rsidRPr="00667453">
        <w:rPr>
          <w:sz w:val="22"/>
          <w:szCs w:val="22"/>
          <w:u w:val="single"/>
          <w:lang w:val="sr-Latn-RS"/>
        </w:rPr>
        <w:t>j</w:t>
      </w:r>
      <w:r w:rsidRPr="00667453">
        <w:rPr>
          <w:sz w:val="22"/>
          <w:szCs w:val="22"/>
          <w:u w:val="single"/>
          <w:lang w:val="sr-Latn-RS"/>
        </w:rPr>
        <w:t>ene</w:t>
      </w:r>
    </w:p>
    <w:p w14:paraId="53E252AE" w14:textId="77777777" w:rsidR="0082002F" w:rsidRPr="00667453" w:rsidRDefault="0082002F" w:rsidP="001B7C32">
      <w:pPr>
        <w:widowControl w:val="0"/>
        <w:autoSpaceDE w:val="0"/>
        <w:autoSpaceDN w:val="0"/>
        <w:jc w:val="both"/>
        <w:rPr>
          <w:sz w:val="22"/>
          <w:szCs w:val="22"/>
          <w:lang w:val="sr-Latn-RS"/>
        </w:rPr>
      </w:pPr>
    </w:p>
    <w:p w14:paraId="2C8AB9D3" w14:textId="293C0995"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Za intravensku </w:t>
      </w:r>
      <w:r w:rsidR="00745817" w:rsidRPr="00667453">
        <w:rPr>
          <w:sz w:val="22"/>
          <w:szCs w:val="22"/>
          <w:lang w:val="sr-Latn-RS"/>
        </w:rPr>
        <w:t>primjenu</w:t>
      </w:r>
      <w:r w:rsidRPr="00667453">
        <w:rPr>
          <w:sz w:val="22"/>
          <w:szCs w:val="22"/>
          <w:lang w:val="sr-Latn-RS"/>
        </w:rPr>
        <w:t>.</w:t>
      </w:r>
    </w:p>
    <w:p w14:paraId="61079A9C" w14:textId="77777777" w:rsidR="0082002F" w:rsidRPr="00667453" w:rsidRDefault="0082002F" w:rsidP="001B7C32">
      <w:pPr>
        <w:widowControl w:val="0"/>
        <w:autoSpaceDE w:val="0"/>
        <w:autoSpaceDN w:val="0"/>
        <w:jc w:val="both"/>
        <w:rPr>
          <w:sz w:val="22"/>
          <w:szCs w:val="22"/>
          <w:lang w:val="sr-Latn-RS"/>
        </w:rPr>
      </w:pPr>
    </w:p>
    <w:p w14:paraId="7BC32D08" w14:textId="43D4F2B1" w:rsidR="0082002F" w:rsidRPr="00667453" w:rsidRDefault="00FC1F26" w:rsidP="001B7C32">
      <w:pPr>
        <w:widowControl w:val="0"/>
        <w:autoSpaceDE w:val="0"/>
        <w:autoSpaceDN w:val="0"/>
        <w:jc w:val="both"/>
        <w:rPr>
          <w:sz w:val="22"/>
          <w:szCs w:val="22"/>
          <w:lang w:val="sr-Latn-RS"/>
        </w:rPr>
      </w:pPr>
      <w:r w:rsidRPr="00667453">
        <w:rPr>
          <w:sz w:val="22"/>
          <w:szCs w:val="22"/>
          <w:lang w:val="sr-Latn-RS"/>
        </w:rPr>
        <w:t xml:space="preserve">Lijek </w:t>
      </w:r>
      <w:r w:rsidR="0082002F" w:rsidRPr="00667453">
        <w:rPr>
          <w:sz w:val="22"/>
          <w:szCs w:val="22"/>
          <w:lang w:val="sr-Latn-RS"/>
        </w:rPr>
        <w:t>Saphnelo se ne sm</w:t>
      </w:r>
      <w:r w:rsidR="008419A5" w:rsidRPr="00667453">
        <w:rPr>
          <w:sz w:val="22"/>
          <w:szCs w:val="22"/>
          <w:lang w:val="sr-Latn-RS"/>
        </w:rPr>
        <w:t>ij</w:t>
      </w:r>
      <w:r w:rsidR="0082002F" w:rsidRPr="00667453">
        <w:rPr>
          <w:sz w:val="22"/>
          <w:szCs w:val="22"/>
          <w:lang w:val="sr-Latn-RS"/>
        </w:rPr>
        <w:t>e prim</w:t>
      </w:r>
      <w:r w:rsidR="008419A5" w:rsidRPr="00667453">
        <w:rPr>
          <w:sz w:val="22"/>
          <w:szCs w:val="22"/>
          <w:lang w:val="sr-Latn-RS"/>
        </w:rPr>
        <w:t>j</w:t>
      </w:r>
      <w:r w:rsidR="0082002F" w:rsidRPr="00667453">
        <w:rPr>
          <w:sz w:val="22"/>
          <w:szCs w:val="22"/>
          <w:lang w:val="sr-Latn-RS"/>
        </w:rPr>
        <w:t>enjivati brzom ni bolusnom intravenskom injekcijom.</w:t>
      </w:r>
    </w:p>
    <w:p w14:paraId="09A38E5C" w14:textId="77777777" w:rsidR="0082002F" w:rsidRPr="00667453" w:rsidRDefault="0082002F" w:rsidP="001B7C32">
      <w:pPr>
        <w:widowControl w:val="0"/>
        <w:autoSpaceDE w:val="0"/>
        <w:autoSpaceDN w:val="0"/>
        <w:jc w:val="both"/>
        <w:rPr>
          <w:sz w:val="22"/>
          <w:szCs w:val="22"/>
          <w:lang w:val="sr-Latn-RS"/>
        </w:rPr>
      </w:pPr>
    </w:p>
    <w:p w14:paraId="62991C09" w14:textId="2F885B54" w:rsidR="0082002F" w:rsidRPr="00667453" w:rsidRDefault="0082002F" w:rsidP="001B7C32">
      <w:pPr>
        <w:widowControl w:val="0"/>
        <w:autoSpaceDE w:val="0"/>
        <w:autoSpaceDN w:val="0"/>
        <w:jc w:val="both"/>
        <w:rPr>
          <w:sz w:val="22"/>
          <w:szCs w:val="22"/>
          <w:lang w:val="sr-Latn-RS"/>
        </w:rPr>
      </w:pPr>
      <w:r w:rsidRPr="00B15FA8">
        <w:rPr>
          <w:sz w:val="22"/>
          <w:szCs w:val="22"/>
          <w:lang w:val="sr-Latn-RS"/>
        </w:rPr>
        <w:t>Nakon što se razblaži rastvorom natrijum</w:t>
      </w:r>
      <w:r w:rsidR="008419A5" w:rsidRPr="00B15FA8">
        <w:rPr>
          <w:sz w:val="22"/>
          <w:szCs w:val="22"/>
          <w:lang w:val="sr-Latn-RS"/>
        </w:rPr>
        <w:t xml:space="preserve"> </w:t>
      </w:r>
      <w:r w:rsidRPr="00B15FA8">
        <w:rPr>
          <w:sz w:val="22"/>
          <w:szCs w:val="22"/>
          <w:lang w:val="sr-Latn-RS"/>
        </w:rPr>
        <w:t>hlorida za injekcije od 9 mg/ml (0,9%),</w:t>
      </w:r>
      <w:r w:rsidR="00FC1F26" w:rsidRPr="00B15FA8">
        <w:rPr>
          <w:sz w:val="22"/>
          <w:szCs w:val="22"/>
          <w:lang w:val="sr-Latn-RS"/>
        </w:rPr>
        <w:t xml:space="preserve"> lijek</w:t>
      </w:r>
      <w:r w:rsidRPr="00B15FA8">
        <w:rPr>
          <w:sz w:val="22"/>
          <w:szCs w:val="22"/>
          <w:lang w:val="sr-Latn-RS"/>
        </w:rPr>
        <w:t xml:space="preserve"> Saphnelo se prim</w:t>
      </w:r>
      <w:r w:rsidR="00745817" w:rsidRPr="00B15FA8">
        <w:rPr>
          <w:sz w:val="22"/>
          <w:szCs w:val="22"/>
          <w:lang w:val="sr-Latn-RS"/>
        </w:rPr>
        <w:t>j</w:t>
      </w:r>
      <w:r w:rsidRPr="00B15FA8">
        <w:rPr>
          <w:sz w:val="22"/>
          <w:szCs w:val="22"/>
          <w:lang w:val="sr-Latn-RS"/>
        </w:rPr>
        <w:t>enjuje infuzijom tokom 30 minuta kroz intravensku infuzionu liniju koja ima sterilan, linijski</w:t>
      </w:r>
      <w:r w:rsidR="000B668E" w:rsidRPr="00B15FA8">
        <w:rPr>
          <w:sz w:val="22"/>
          <w:szCs w:val="22"/>
          <w:lang w:val="sr-Latn-RS"/>
        </w:rPr>
        <w:t xml:space="preserve"> </w:t>
      </w:r>
      <w:r w:rsidR="006617BE">
        <w:rPr>
          <w:sz w:val="22"/>
          <w:szCs w:val="22"/>
          <w:lang w:val="sr-Latn-RS"/>
        </w:rPr>
        <w:t>filter veličine</w:t>
      </w:r>
      <w:r w:rsidR="005C2557" w:rsidRPr="00B15FA8">
        <w:rPr>
          <w:sz w:val="22"/>
          <w:szCs w:val="22"/>
          <w:lang w:val="sr-Latn-RS"/>
        </w:rPr>
        <w:t xml:space="preserve"> pora od 0,2 do 15 mikrona koji se slabo vezuje za proteine </w:t>
      </w:r>
      <w:r w:rsidR="000B668E" w:rsidRPr="00B15FA8">
        <w:rPr>
          <w:sz w:val="22"/>
          <w:szCs w:val="22"/>
          <w:lang w:val="sr-Latn-RS"/>
        </w:rPr>
        <w:t>ili dodatni</w:t>
      </w:r>
      <w:r w:rsidR="005C2557">
        <w:rPr>
          <w:sz w:val="22"/>
          <w:szCs w:val="22"/>
          <w:lang w:val="sr-Latn-RS"/>
        </w:rPr>
        <w:t xml:space="preserve"> filter</w:t>
      </w:r>
      <w:r w:rsidRPr="00B15FA8">
        <w:rPr>
          <w:sz w:val="22"/>
          <w:szCs w:val="22"/>
          <w:lang w:val="sr-Latn-RS"/>
        </w:rPr>
        <w:t>.</w:t>
      </w:r>
    </w:p>
    <w:p w14:paraId="26D58373" w14:textId="77777777" w:rsidR="0082002F" w:rsidRPr="00667453" w:rsidRDefault="0082002F" w:rsidP="001B7C32">
      <w:pPr>
        <w:widowControl w:val="0"/>
        <w:autoSpaceDE w:val="0"/>
        <w:autoSpaceDN w:val="0"/>
        <w:jc w:val="both"/>
        <w:rPr>
          <w:sz w:val="22"/>
          <w:szCs w:val="22"/>
          <w:lang w:val="sr-Latn-RS"/>
        </w:rPr>
      </w:pPr>
    </w:p>
    <w:p w14:paraId="6820A81E" w14:textId="7C8677F2" w:rsidR="0082002F" w:rsidRPr="00667453" w:rsidRDefault="0082002F" w:rsidP="001B7C32">
      <w:pPr>
        <w:widowControl w:val="0"/>
        <w:autoSpaceDE w:val="0"/>
        <w:autoSpaceDN w:val="0"/>
        <w:jc w:val="both"/>
        <w:rPr>
          <w:sz w:val="22"/>
          <w:szCs w:val="22"/>
          <w:lang w:val="sr-Latn-RS"/>
        </w:rPr>
      </w:pPr>
      <w:r w:rsidRPr="00667453">
        <w:rPr>
          <w:sz w:val="22"/>
          <w:szCs w:val="22"/>
          <w:lang w:val="sr-Latn-RS"/>
        </w:rPr>
        <w:t>Ako se kod pacijenta pojavi reakcija na infuziju, može se smanjiti brzina infuzije ili privremeno prekinuti prim</w:t>
      </w:r>
      <w:r w:rsidR="00745817" w:rsidRPr="00667453">
        <w:rPr>
          <w:sz w:val="22"/>
          <w:szCs w:val="22"/>
          <w:lang w:val="sr-Latn-RS"/>
        </w:rPr>
        <w:t>j</w:t>
      </w:r>
      <w:r w:rsidRPr="00667453">
        <w:rPr>
          <w:sz w:val="22"/>
          <w:szCs w:val="22"/>
          <w:lang w:val="sr-Latn-RS"/>
        </w:rPr>
        <w:t>ena.</w:t>
      </w:r>
    </w:p>
    <w:p w14:paraId="47DE82D4" w14:textId="77777777" w:rsidR="0082002F" w:rsidRPr="00667453" w:rsidRDefault="0082002F" w:rsidP="001B7C32">
      <w:pPr>
        <w:widowControl w:val="0"/>
        <w:autoSpaceDE w:val="0"/>
        <w:autoSpaceDN w:val="0"/>
        <w:jc w:val="both"/>
        <w:rPr>
          <w:sz w:val="22"/>
          <w:szCs w:val="22"/>
          <w:lang w:val="sr-Latn-RS"/>
        </w:rPr>
      </w:pPr>
    </w:p>
    <w:p w14:paraId="3E4DE97D" w14:textId="345CB2FF" w:rsidR="0082002F" w:rsidRPr="00667453" w:rsidRDefault="0082002F" w:rsidP="001B7C32">
      <w:pPr>
        <w:widowControl w:val="0"/>
        <w:autoSpaceDE w:val="0"/>
        <w:autoSpaceDN w:val="0"/>
        <w:jc w:val="both"/>
        <w:rPr>
          <w:sz w:val="22"/>
          <w:szCs w:val="22"/>
          <w:lang w:val="sr-Latn-RS"/>
        </w:rPr>
      </w:pPr>
      <w:r w:rsidRPr="00667453">
        <w:rPr>
          <w:sz w:val="22"/>
          <w:szCs w:val="22"/>
          <w:lang w:val="sr-Latn-RS"/>
        </w:rPr>
        <w:t>Po završetku infuzije komplet za infuziju treba isprati sa 25 ml rastvora natrijum</w:t>
      </w:r>
      <w:r w:rsidR="008419A5" w:rsidRPr="00667453">
        <w:rPr>
          <w:sz w:val="22"/>
          <w:szCs w:val="22"/>
          <w:lang w:val="sr-Latn-RS"/>
        </w:rPr>
        <w:t xml:space="preserve"> </w:t>
      </w:r>
      <w:r w:rsidRPr="00667453">
        <w:rPr>
          <w:sz w:val="22"/>
          <w:szCs w:val="22"/>
          <w:lang w:val="sr-Latn-RS"/>
        </w:rPr>
        <w:t xml:space="preserve">hlorida za injekcije od 9 mg/ml (0,9%) kako bi se osigurala </w:t>
      </w:r>
      <w:r w:rsidR="00745817" w:rsidRPr="00667453">
        <w:rPr>
          <w:sz w:val="22"/>
          <w:szCs w:val="22"/>
          <w:lang w:val="sr-Latn-RS"/>
        </w:rPr>
        <w:t>primjena</w:t>
      </w:r>
      <w:r w:rsidRPr="00667453">
        <w:rPr>
          <w:sz w:val="22"/>
          <w:szCs w:val="22"/>
          <w:lang w:val="sr-Latn-RS"/>
        </w:rPr>
        <w:t xml:space="preserve"> c</w:t>
      </w:r>
      <w:r w:rsidR="008419A5" w:rsidRPr="00667453">
        <w:rPr>
          <w:sz w:val="22"/>
          <w:szCs w:val="22"/>
          <w:lang w:val="sr-Latn-RS"/>
        </w:rPr>
        <w:t>j</w:t>
      </w:r>
      <w:r w:rsidRPr="00667453">
        <w:rPr>
          <w:sz w:val="22"/>
          <w:szCs w:val="22"/>
          <w:lang w:val="sr-Latn-RS"/>
        </w:rPr>
        <w:t>elokupne doze rastvora za infuziju.</w:t>
      </w:r>
    </w:p>
    <w:p w14:paraId="4E033E85" w14:textId="77777777" w:rsidR="0082002F" w:rsidRPr="00667453" w:rsidRDefault="0082002F" w:rsidP="001B7C32">
      <w:pPr>
        <w:widowControl w:val="0"/>
        <w:autoSpaceDE w:val="0"/>
        <w:autoSpaceDN w:val="0"/>
        <w:jc w:val="both"/>
        <w:rPr>
          <w:sz w:val="22"/>
          <w:szCs w:val="22"/>
          <w:lang w:val="sr-Latn-RS"/>
        </w:rPr>
      </w:pPr>
    </w:p>
    <w:p w14:paraId="6D82538C" w14:textId="38FBC806" w:rsidR="0082002F" w:rsidRPr="00667453" w:rsidRDefault="00FC1F26" w:rsidP="001B7C32">
      <w:pPr>
        <w:widowControl w:val="0"/>
        <w:autoSpaceDE w:val="0"/>
        <w:autoSpaceDN w:val="0"/>
        <w:jc w:val="both"/>
        <w:rPr>
          <w:sz w:val="22"/>
          <w:szCs w:val="22"/>
          <w:lang w:val="sr-Latn-RS"/>
        </w:rPr>
      </w:pPr>
      <w:r w:rsidRPr="00667453">
        <w:rPr>
          <w:sz w:val="22"/>
          <w:szCs w:val="22"/>
          <w:lang w:val="sr-Latn-RS"/>
        </w:rPr>
        <w:t>N</w:t>
      </w:r>
      <w:r w:rsidR="00171DF7" w:rsidRPr="00667453">
        <w:rPr>
          <w:sz w:val="22"/>
          <w:szCs w:val="22"/>
          <w:lang w:val="sr-Latn-RS"/>
        </w:rPr>
        <w:t>e</w:t>
      </w:r>
      <w:r w:rsidRPr="00667453">
        <w:rPr>
          <w:sz w:val="22"/>
          <w:szCs w:val="22"/>
          <w:lang w:val="sr-Latn-RS"/>
        </w:rPr>
        <w:t xml:space="preserve"> smiju se </w:t>
      </w:r>
      <w:r w:rsidR="003C3ADC" w:rsidRPr="00667453">
        <w:rPr>
          <w:sz w:val="22"/>
          <w:szCs w:val="22"/>
          <w:lang w:val="sr-Latn-RS"/>
        </w:rPr>
        <w:t>istovremeno</w:t>
      </w:r>
      <w:r w:rsidR="0082002F" w:rsidRPr="00667453">
        <w:rPr>
          <w:sz w:val="22"/>
          <w:szCs w:val="22"/>
          <w:lang w:val="sr-Latn-RS"/>
        </w:rPr>
        <w:t xml:space="preserve"> da</w:t>
      </w:r>
      <w:r w:rsidRPr="00667453">
        <w:rPr>
          <w:sz w:val="22"/>
          <w:szCs w:val="22"/>
          <w:lang w:val="sr-Latn-RS"/>
        </w:rPr>
        <w:t>vati</w:t>
      </w:r>
      <w:r w:rsidR="0082002F" w:rsidRPr="00667453">
        <w:rPr>
          <w:sz w:val="22"/>
          <w:szCs w:val="22"/>
          <w:lang w:val="sr-Latn-RS"/>
        </w:rPr>
        <w:t xml:space="preserve"> drug</w:t>
      </w:r>
      <w:r w:rsidRPr="00667453">
        <w:rPr>
          <w:sz w:val="22"/>
          <w:szCs w:val="22"/>
          <w:lang w:val="sr-Latn-RS"/>
        </w:rPr>
        <w:t>i</w:t>
      </w:r>
      <w:r w:rsidR="0082002F" w:rsidRPr="00667453">
        <w:rPr>
          <w:sz w:val="22"/>
          <w:szCs w:val="22"/>
          <w:lang w:val="sr-Latn-RS"/>
        </w:rPr>
        <w:t xml:space="preserve"> l</w:t>
      </w:r>
      <w:r w:rsidR="00745817" w:rsidRPr="00667453">
        <w:rPr>
          <w:sz w:val="22"/>
          <w:szCs w:val="22"/>
          <w:lang w:val="sr-Latn-RS"/>
        </w:rPr>
        <w:t>j</w:t>
      </w:r>
      <w:r w:rsidR="0082002F" w:rsidRPr="00667453">
        <w:rPr>
          <w:sz w:val="22"/>
          <w:szCs w:val="22"/>
          <w:lang w:val="sr-Latn-RS"/>
        </w:rPr>
        <w:t>ekov</w:t>
      </w:r>
      <w:r w:rsidRPr="00667453">
        <w:rPr>
          <w:sz w:val="22"/>
          <w:szCs w:val="22"/>
          <w:lang w:val="sr-Latn-RS"/>
        </w:rPr>
        <w:t>i</w:t>
      </w:r>
      <w:r w:rsidR="0082002F" w:rsidRPr="00667453">
        <w:rPr>
          <w:sz w:val="22"/>
          <w:szCs w:val="22"/>
          <w:lang w:val="sr-Latn-RS"/>
        </w:rPr>
        <w:t xml:space="preserve"> kroz istu infuzionu liniju.</w:t>
      </w:r>
    </w:p>
    <w:p w14:paraId="3BCC1CE4" w14:textId="77777777" w:rsidR="0082002F" w:rsidRPr="00667453" w:rsidRDefault="0082002F" w:rsidP="001B7C32">
      <w:pPr>
        <w:widowControl w:val="0"/>
        <w:autoSpaceDE w:val="0"/>
        <w:autoSpaceDN w:val="0"/>
        <w:jc w:val="both"/>
        <w:rPr>
          <w:sz w:val="22"/>
          <w:szCs w:val="22"/>
          <w:lang w:val="sr-Latn-RS"/>
        </w:rPr>
      </w:pPr>
    </w:p>
    <w:p w14:paraId="019EDD72" w14:textId="2E355A15" w:rsidR="0072020E" w:rsidRPr="00667453" w:rsidRDefault="0082002F" w:rsidP="001B7C32">
      <w:pPr>
        <w:widowControl w:val="0"/>
        <w:autoSpaceDE w:val="0"/>
        <w:autoSpaceDN w:val="0"/>
        <w:jc w:val="both"/>
        <w:rPr>
          <w:sz w:val="22"/>
          <w:szCs w:val="22"/>
          <w:lang w:val="sr-Latn-RS"/>
        </w:rPr>
      </w:pPr>
      <w:r w:rsidRPr="00667453">
        <w:rPr>
          <w:sz w:val="22"/>
          <w:szCs w:val="22"/>
          <w:lang w:val="sr-Latn-RS"/>
        </w:rPr>
        <w:t>Za uputstva o razblaženju l</w:t>
      </w:r>
      <w:r w:rsidR="00745817" w:rsidRPr="00667453">
        <w:rPr>
          <w:sz w:val="22"/>
          <w:szCs w:val="22"/>
          <w:lang w:val="sr-Latn-RS"/>
        </w:rPr>
        <w:t>ij</w:t>
      </w:r>
      <w:r w:rsidRPr="00667453">
        <w:rPr>
          <w:sz w:val="22"/>
          <w:szCs w:val="22"/>
          <w:lang w:val="sr-Latn-RS"/>
        </w:rPr>
        <w:t>eka pr</w:t>
      </w:r>
      <w:r w:rsidR="00745817" w:rsidRPr="00667453">
        <w:rPr>
          <w:sz w:val="22"/>
          <w:szCs w:val="22"/>
          <w:lang w:val="sr-Latn-RS"/>
        </w:rPr>
        <w:t>ij</w:t>
      </w:r>
      <w:r w:rsidRPr="00667453">
        <w:rPr>
          <w:sz w:val="22"/>
          <w:szCs w:val="22"/>
          <w:lang w:val="sr-Latn-RS"/>
        </w:rPr>
        <w:t xml:space="preserve">e </w:t>
      </w:r>
      <w:r w:rsidR="00745817" w:rsidRPr="00667453">
        <w:rPr>
          <w:sz w:val="22"/>
          <w:szCs w:val="22"/>
          <w:lang w:val="sr-Latn-RS"/>
        </w:rPr>
        <w:t>primjene</w:t>
      </w:r>
      <w:r w:rsidRPr="00667453">
        <w:rPr>
          <w:sz w:val="22"/>
          <w:szCs w:val="22"/>
          <w:lang w:val="sr-Latn-RS"/>
        </w:rPr>
        <w:t xml:space="preserve">, </w:t>
      </w:r>
      <w:r w:rsidR="00B51CCD" w:rsidRPr="00667453">
        <w:rPr>
          <w:sz w:val="22"/>
          <w:szCs w:val="22"/>
          <w:lang w:val="sr-Latn-RS"/>
        </w:rPr>
        <w:t xml:space="preserve">vidjeti </w:t>
      </w:r>
      <w:r w:rsidR="008419A5" w:rsidRPr="00667453">
        <w:rPr>
          <w:sz w:val="22"/>
          <w:szCs w:val="22"/>
          <w:lang w:val="sr-Latn-RS"/>
        </w:rPr>
        <w:t>dio</w:t>
      </w:r>
      <w:r w:rsidRPr="00667453">
        <w:rPr>
          <w:sz w:val="22"/>
          <w:szCs w:val="22"/>
          <w:lang w:val="sr-Latn-RS"/>
        </w:rPr>
        <w:t xml:space="preserve"> 6.6.</w:t>
      </w:r>
    </w:p>
    <w:p w14:paraId="65DB6C24" w14:textId="77777777" w:rsidR="00452E9D" w:rsidRPr="00667453" w:rsidRDefault="00452E9D" w:rsidP="001B7C32">
      <w:pPr>
        <w:widowControl w:val="0"/>
        <w:tabs>
          <w:tab w:val="left" w:pos="540"/>
          <w:tab w:val="left" w:pos="569"/>
        </w:tabs>
        <w:jc w:val="both"/>
        <w:rPr>
          <w:bCs/>
          <w:sz w:val="22"/>
          <w:szCs w:val="22"/>
          <w:lang w:val="sr-Latn-RS"/>
        </w:rPr>
      </w:pPr>
    </w:p>
    <w:p w14:paraId="2DD0846F" w14:textId="17192ED5"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4.3. </w:t>
      </w:r>
      <w:r w:rsidR="00480FB1" w:rsidRPr="00667453">
        <w:rPr>
          <w:b/>
          <w:bCs/>
          <w:sz w:val="22"/>
          <w:szCs w:val="22"/>
          <w:lang w:val="sr-Latn-RS"/>
        </w:rPr>
        <w:tab/>
      </w:r>
      <w:r w:rsidRPr="00667453">
        <w:rPr>
          <w:b/>
          <w:bCs/>
          <w:sz w:val="22"/>
          <w:szCs w:val="22"/>
          <w:lang w:val="sr-Latn-RS"/>
        </w:rPr>
        <w:t>Kontraindikacije</w:t>
      </w:r>
    </w:p>
    <w:p w14:paraId="3C265EAC" w14:textId="77777777" w:rsidR="0082002F" w:rsidRPr="00667453" w:rsidRDefault="0082002F" w:rsidP="001B7C32">
      <w:pPr>
        <w:widowControl w:val="0"/>
        <w:tabs>
          <w:tab w:val="left" w:pos="540"/>
          <w:tab w:val="left" w:pos="569"/>
        </w:tabs>
        <w:jc w:val="both"/>
        <w:rPr>
          <w:b/>
          <w:bCs/>
          <w:sz w:val="22"/>
          <w:szCs w:val="22"/>
          <w:lang w:val="sr-Latn-RS"/>
        </w:rPr>
      </w:pPr>
    </w:p>
    <w:p w14:paraId="45E895DE" w14:textId="6D54C75E" w:rsidR="0082002F" w:rsidRPr="00667453" w:rsidRDefault="00745817" w:rsidP="001B7C32">
      <w:pPr>
        <w:pStyle w:val="BodyText"/>
        <w:jc w:val="both"/>
        <w:rPr>
          <w:lang w:val="sr-Latn-RS"/>
        </w:rPr>
      </w:pPr>
      <w:r w:rsidRPr="00667453">
        <w:rPr>
          <w:lang w:val="sr-Latn-RS"/>
        </w:rPr>
        <w:t>Preosjetljivost</w:t>
      </w:r>
      <w:r w:rsidR="0082002F" w:rsidRPr="00667453">
        <w:rPr>
          <w:lang w:val="sr-Latn-RS"/>
        </w:rPr>
        <w:t xml:space="preserve"> na aktivnu supstancu ili bilo koju od pomoćnih supstanci navedenih u </w:t>
      </w:r>
      <w:r w:rsidR="008419A5" w:rsidRPr="00667453">
        <w:rPr>
          <w:lang w:val="sr-Latn-RS"/>
        </w:rPr>
        <w:t>dijelu</w:t>
      </w:r>
      <w:r w:rsidR="0082002F" w:rsidRPr="00667453">
        <w:rPr>
          <w:lang w:val="sr-Latn-RS"/>
        </w:rPr>
        <w:t xml:space="preserve"> 6.1.</w:t>
      </w:r>
    </w:p>
    <w:p w14:paraId="33756A9F" w14:textId="77777777" w:rsidR="0072020E" w:rsidRPr="00667453" w:rsidRDefault="0072020E" w:rsidP="001B7C32">
      <w:pPr>
        <w:widowControl w:val="0"/>
        <w:tabs>
          <w:tab w:val="left" w:pos="540"/>
          <w:tab w:val="left" w:pos="569"/>
        </w:tabs>
        <w:jc w:val="both"/>
        <w:rPr>
          <w:bCs/>
          <w:sz w:val="22"/>
          <w:szCs w:val="22"/>
          <w:lang w:val="sr-Latn-RS"/>
        </w:rPr>
      </w:pPr>
    </w:p>
    <w:p w14:paraId="3A881680" w14:textId="3DEF0CD7"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 xml:space="preserve">4.4. </w:t>
      </w:r>
      <w:r w:rsidR="00480FB1" w:rsidRPr="00667453">
        <w:rPr>
          <w:b/>
          <w:bCs/>
          <w:sz w:val="22"/>
          <w:szCs w:val="22"/>
          <w:lang w:val="sr-Latn-RS"/>
        </w:rPr>
        <w:tab/>
      </w:r>
      <w:r w:rsidR="0001769A" w:rsidRPr="00667453">
        <w:rPr>
          <w:b/>
          <w:bCs/>
          <w:sz w:val="22"/>
          <w:szCs w:val="22"/>
          <w:lang w:val="sr-Latn-RS"/>
        </w:rPr>
        <w:t>Posebna upozorenja i mjere opreza pri upotrebi lijeka</w:t>
      </w:r>
    </w:p>
    <w:p w14:paraId="2D7DA4C3" w14:textId="77777777" w:rsidR="0082002F" w:rsidRPr="00667453" w:rsidRDefault="0082002F" w:rsidP="001B7C32">
      <w:pPr>
        <w:widowControl w:val="0"/>
        <w:tabs>
          <w:tab w:val="left" w:pos="540"/>
          <w:tab w:val="left" w:pos="569"/>
        </w:tabs>
        <w:jc w:val="both"/>
        <w:rPr>
          <w:b/>
          <w:bCs/>
          <w:sz w:val="22"/>
          <w:szCs w:val="22"/>
          <w:lang w:val="sr-Latn-RS"/>
        </w:rPr>
      </w:pPr>
    </w:p>
    <w:p w14:paraId="48268EC7" w14:textId="64888050"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Sl</w:t>
      </w:r>
      <w:r w:rsidR="00745817" w:rsidRPr="00667453">
        <w:rPr>
          <w:sz w:val="22"/>
          <w:szCs w:val="22"/>
          <w:u w:val="single"/>
          <w:lang w:val="sr-Latn-RS"/>
        </w:rPr>
        <w:t>j</w:t>
      </w:r>
      <w:r w:rsidRPr="00667453">
        <w:rPr>
          <w:sz w:val="22"/>
          <w:szCs w:val="22"/>
          <w:u w:val="single"/>
          <w:lang w:val="sr-Latn-RS"/>
        </w:rPr>
        <w:t>edljivost</w:t>
      </w:r>
    </w:p>
    <w:p w14:paraId="0A403C24" w14:textId="77777777" w:rsidR="0082002F" w:rsidRPr="00667453" w:rsidRDefault="0082002F" w:rsidP="001B7C32">
      <w:pPr>
        <w:widowControl w:val="0"/>
        <w:autoSpaceDE w:val="0"/>
        <w:autoSpaceDN w:val="0"/>
        <w:jc w:val="both"/>
        <w:rPr>
          <w:sz w:val="22"/>
          <w:szCs w:val="22"/>
          <w:lang w:val="sr-Latn-RS"/>
        </w:rPr>
      </w:pPr>
    </w:p>
    <w:p w14:paraId="5D4FEE5E" w14:textId="41C201EA" w:rsidR="0082002F" w:rsidRPr="00667453" w:rsidRDefault="0082002F" w:rsidP="001B7C32">
      <w:pPr>
        <w:widowControl w:val="0"/>
        <w:autoSpaceDE w:val="0"/>
        <w:autoSpaceDN w:val="0"/>
        <w:jc w:val="both"/>
        <w:rPr>
          <w:sz w:val="22"/>
          <w:szCs w:val="22"/>
          <w:lang w:val="sr-Latn-RS"/>
        </w:rPr>
      </w:pPr>
      <w:r w:rsidRPr="00667453">
        <w:rPr>
          <w:sz w:val="22"/>
          <w:szCs w:val="22"/>
          <w:lang w:val="sr-Latn-RS"/>
        </w:rPr>
        <w:t>Kako bi se poboljšala sl</w:t>
      </w:r>
      <w:r w:rsidR="00745817" w:rsidRPr="00667453">
        <w:rPr>
          <w:sz w:val="22"/>
          <w:szCs w:val="22"/>
          <w:lang w:val="sr-Latn-RS"/>
        </w:rPr>
        <w:t>j</w:t>
      </w:r>
      <w:r w:rsidRPr="00667453">
        <w:rPr>
          <w:sz w:val="22"/>
          <w:szCs w:val="22"/>
          <w:lang w:val="sr-Latn-RS"/>
        </w:rPr>
        <w:t>edljivost bioloških l</w:t>
      </w:r>
      <w:r w:rsidR="00745817" w:rsidRPr="00667453">
        <w:rPr>
          <w:sz w:val="22"/>
          <w:szCs w:val="22"/>
          <w:lang w:val="sr-Latn-RS"/>
        </w:rPr>
        <w:t>j</w:t>
      </w:r>
      <w:r w:rsidRPr="00667453">
        <w:rPr>
          <w:sz w:val="22"/>
          <w:szCs w:val="22"/>
          <w:lang w:val="sr-Latn-RS"/>
        </w:rPr>
        <w:t xml:space="preserve">ekova, naziv i broj serije </w:t>
      </w:r>
      <w:r w:rsidR="008419A5" w:rsidRPr="00667453">
        <w:rPr>
          <w:sz w:val="22"/>
          <w:szCs w:val="22"/>
          <w:lang w:val="sr-Latn-RS"/>
        </w:rPr>
        <w:t>primjen</w:t>
      </w:r>
      <w:r w:rsidRPr="00667453">
        <w:rPr>
          <w:sz w:val="22"/>
          <w:szCs w:val="22"/>
          <w:lang w:val="sr-Latn-RS"/>
        </w:rPr>
        <w:t>jenog proizvoda treba jasno zab</w:t>
      </w:r>
      <w:r w:rsidR="008419A5" w:rsidRPr="00667453">
        <w:rPr>
          <w:sz w:val="22"/>
          <w:szCs w:val="22"/>
          <w:lang w:val="sr-Latn-RS"/>
        </w:rPr>
        <w:t>il</w:t>
      </w:r>
      <w:r w:rsidR="00745817" w:rsidRPr="00667453">
        <w:rPr>
          <w:sz w:val="22"/>
          <w:szCs w:val="22"/>
          <w:lang w:val="sr-Latn-RS"/>
        </w:rPr>
        <w:t>j</w:t>
      </w:r>
      <w:r w:rsidRPr="00667453">
        <w:rPr>
          <w:sz w:val="22"/>
          <w:szCs w:val="22"/>
          <w:lang w:val="sr-Latn-RS"/>
        </w:rPr>
        <w:t>eležiti.</w:t>
      </w:r>
    </w:p>
    <w:p w14:paraId="5E787C51" w14:textId="77777777" w:rsidR="0082002F" w:rsidRPr="00667453" w:rsidRDefault="0082002F" w:rsidP="001B7C32">
      <w:pPr>
        <w:widowControl w:val="0"/>
        <w:autoSpaceDE w:val="0"/>
        <w:autoSpaceDN w:val="0"/>
        <w:jc w:val="both"/>
        <w:rPr>
          <w:sz w:val="22"/>
          <w:szCs w:val="22"/>
          <w:lang w:val="sr-Latn-RS"/>
        </w:rPr>
      </w:pPr>
    </w:p>
    <w:p w14:paraId="4F46060B" w14:textId="77777777"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Grupe pacijenata koje su bile isključene iz kliničkih studija</w:t>
      </w:r>
    </w:p>
    <w:p w14:paraId="4C62ACEF" w14:textId="77777777" w:rsidR="0082002F" w:rsidRPr="00667453" w:rsidRDefault="0082002F" w:rsidP="001B7C32">
      <w:pPr>
        <w:widowControl w:val="0"/>
        <w:autoSpaceDE w:val="0"/>
        <w:autoSpaceDN w:val="0"/>
        <w:jc w:val="both"/>
        <w:rPr>
          <w:sz w:val="22"/>
          <w:szCs w:val="22"/>
          <w:lang w:val="sr-Latn-RS"/>
        </w:rPr>
      </w:pPr>
    </w:p>
    <w:p w14:paraId="00913DF8" w14:textId="2CE911E9" w:rsidR="0082002F" w:rsidRPr="00667453" w:rsidRDefault="0082002F" w:rsidP="001B7C32">
      <w:pPr>
        <w:widowControl w:val="0"/>
        <w:autoSpaceDE w:val="0"/>
        <w:autoSpaceDN w:val="0"/>
        <w:jc w:val="both"/>
        <w:rPr>
          <w:sz w:val="22"/>
          <w:szCs w:val="22"/>
          <w:lang w:val="sr-Latn-RS"/>
        </w:rPr>
      </w:pPr>
      <w:r w:rsidRPr="00667453">
        <w:rPr>
          <w:sz w:val="22"/>
          <w:szCs w:val="22"/>
          <w:lang w:val="sr-Latn-RS"/>
        </w:rPr>
        <w:t>Anifrolumab nije ispitivan u kombinaciji sa drugim biološkim terapijama, uključujući terapije koje ciljano d</w:t>
      </w:r>
      <w:r w:rsidR="00745817" w:rsidRPr="00667453">
        <w:rPr>
          <w:sz w:val="22"/>
          <w:szCs w:val="22"/>
          <w:lang w:val="sr-Latn-RS"/>
        </w:rPr>
        <w:t>j</w:t>
      </w:r>
      <w:r w:rsidRPr="00667453">
        <w:rPr>
          <w:sz w:val="22"/>
          <w:szCs w:val="22"/>
          <w:lang w:val="sr-Latn-RS"/>
        </w:rPr>
        <w:t xml:space="preserve">eluju na B-ćelije. Zato se </w:t>
      </w:r>
      <w:r w:rsidR="00745817" w:rsidRPr="00667453">
        <w:rPr>
          <w:sz w:val="22"/>
          <w:szCs w:val="22"/>
          <w:lang w:val="sr-Latn-RS"/>
        </w:rPr>
        <w:t>liječenje</w:t>
      </w:r>
      <w:r w:rsidRPr="00667453">
        <w:rPr>
          <w:sz w:val="22"/>
          <w:szCs w:val="22"/>
          <w:lang w:val="sr-Latn-RS"/>
        </w:rPr>
        <w:t xml:space="preserve"> anifrolumabom ne preporučuje u kombinaciji sa biološkim terapijama.</w:t>
      </w:r>
    </w:p>
    <w:p w14:paraId="544581C8" w14:textId="77777777" w:rsidR="00122098" w:rsidRPr="00667453" w:rsidRDefault="00122098" w:rsidP="001B7C32">
      <w:pPr>
        <w:widowControl w:val="0"/>
        <w:autoSpaceDE w:val="0"/>
        <w:autoSpaceDN w:val="0"/>
        <w:spacing w:line="237" w:lineRule="auto"/>
        <w:jc w:val="both"/>
        <w:rPr>
          <w:sz w:val="22"/>
          <w:szCs w:val="22"/>
          <w:lang w:val="sr-Latn-RS"/>
        </w:rPr>
      </w:pPr>
    </w:p>
    <w:p w14:paraId="13B80E5A" w14:textId="39D5A5C6" w:rsidR="0082002F" w:rsidRPr="00667453" w:rsidRDefault="0082002F" w:rsidP="001B7C32">
      <w:pPr>
        <w:widowControl w:val="0"/>
        <w:autoSpaceDE w:val="0"/>
        <w:autoSpaceDN w:val="0"/>
        <w:spacing w:line="237" w:lineRule="auto"/>
        <w:jc w:val="both"/>
        <w:rPr>
          <w:sz w:val="22"/>
          <w:szCs w:val="22"/>
          <w:lang w:val="sr-Latn-RS"/>
        </w:rPr>
      </w:pPr>
      <w:r w:rsidRPr="00667453">
        <w:rPr>
          <w:sz w:val="22"/>
          <w:szCs w:val="22"/>
          <w:lang w:val="sr-Latn-RS"/>
        </w:rPr>
        <w:t>Anifrolumab nije ispitivan kod pacijenata sa teškim aktivnim lupusom centralnog nervnog sistema ili teškim aktivnim lupusnim nefritisom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5.1).</w:t>
      </w:r>
    </w:p>
    <w:p w14:paraId="170B4773" w14:textId="77777777" w:rsidR="0082002F" w:rsidRPr="00667453" w:rsidRDefault="0082002F" w:rsidP="001B7C32">
      <w:pPr>
        <w:widowControl w:val="0"/>
        <w:autoSpaceDE w:val="0"/>
        <w:autoSpaceDN w:val="0"/>
        <w:jc w:val="both"/>
        <w:rPr>
          <w:sz w:val="22"/>
          <w:szCs w:val="22"/>
          <w:lang w:val="sr-Latn-RS"/>
        </w:rPr>
      </w:pPr>
    </w:p>
    <w:p w14:paraId="26C0B576" w14:textId="4C5A4F73" w:rsidR="0082002F" w:rsidRPr="00667453" w:rsidRDefault="00745817" w:rsidP="001B7C32">
      <w:pPr>
        <w:widowControl w:val="0"/>
        <w:autoSpaceDE w:val="0"/>
        <w:autoSpaceDN w:val="0"/>
        <w:jc w:val="both"/>
        <w:rPr>
          <w:sz w:val="22"/>
          <w:szCs w:val="22"/>
          <w:lang w:val="sr-Latn-RS"/>
        </w:rPr>
      </w:pPr>
      <w:r w:rsidRPr="00667453">
        <w:rPr>
          <w:sz w:val="22"/>
          <w:szCs w:val="22"/>
          <w:u w:val="single"/>
          <w:lang w:val="sr-Latn-RS"/>
        </w:rPr>
        <w:t>Preosjetljivost</w:t>
      </w:r>
    </w:p>
    <w:p w14:paraId="49FE2990" w14:textId="77777777" w:rsidR="0082002F" w:rsidRPr="00667453" w:rsidRDefault="0082002F" w:rsidP="001B7C32">
      <w:pPr>
        <w:widowControl w:val="0"/>
        <w:autoSpaceDE w:val="0"/>
        <w:autoSpaceDN w:val="0"/>
        <w:jc w:val="both"/>
        <w:rPr>
          <w:sz w:val="22"/>
          <w:szCs w:val="22"/>
          <w:lang w:val="sr-Latn-RS"/>
        </w:rPr>
      </w:pPr>
    </w:p>
    <w:p w14:paraId="368D4DE8" w14:textId="4FCDB18B"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Nakon </w:t>
      </w:r>
      <w:r w:rsidR="00745817" w:rsidRPr="00667453">
        <w:rPr>
          <w:sz w:val="22"/>
          <w:szCs w:val="22"/>
          <w:lang w:val="sr-Latn-RS"/>
        </w:rPr>
        <w:t>primjene</w:t>
      </w:r>
      <w:r w:rsidRPr="00667453">
        <w:rPr>
          <w:sz w:val="22"/>
          <w:szCs w:val="22"/>
          <w:lang w:val="sr-Latn-RS"/>
        </w:rPr>
        <w:t xml:space="preserve"> anifrolumaba prijavljene su ozbiljne reakcije </w:t>
      </w:r>
      <w:r w:rsidR="00745817" w:rsidRPr="00667453">
        <w:rPr>
          <w:sz w:val="22"/>
          <w:szCs w:val="22"/>
          <w:lang w:val="sr-Latn-RS"/>
        </w:rPr>
        <w:t>preosjetljivost</w:t>
      </w:r>
      <w:r w:rsidRPr="00667453">
        <w:rPr>
          <w:sz w:val="22"/>
          <w:szCs w:val="22"/>
          <w:lang w:val="sr-Latn-RS"/>
        </w:rPr>
        <w:t>i, uključujući anafilaksu (</w:t>
      </w:r>
      <w:r w:rsidR="00B51CCD" w:rsidRPr="00667453">
        <w:rPr>
          <w:sz w:val="22"/>
          <w:szCs w:val="22"/>
          <w:lang w:val="sr-Latn-RS"/>
        </w:rPr>
        <w:t xml:space="preserve">vidjeti </w:t>
      </w:r>
      <w:r w:rsidR="008419A5" w:rsidRPr="00667453">
        <w:rPr>
          <w:sz w:val="22"/>
          <w:szCs w:val="22"/>
          <w:lang w:val="sr-Latn-RS"/>
        </w:rPr>
        <w:t>dio</w:t>
      </w:r>
      <w:r w:rsidRPr="00667453">
        <w:rPr>
          <w:sz w:val="22"/>
          <w:szCs w:val="22"/>
          <w:lang w:val="sr-Latn-RS"/>
        </w:rPr>
        <w:t xml:space="preserve"> 4.8).</w:t>
      </w:r>
    </w:p>
    <w:p w14:paraId="2706AD26" w14:textId="1D247D8F"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U </w:t>
      </w:r>
      <w:r w:rsidR="007C4430" w:rsidRPr="001164DC">
        <w:rPr>
          <w:sz w:val="22"/>
          <w:szCs w:val="22"/>
          <w:lang w:val="sr-Latn-RS"/>
        </w:rPr>
        <w:t>52-ned</w:t>
      </w:r>
      <w:r w:rsidR="00B51CCD" w:rsidRPr="001164DC">
        <w:rPr>
          <w:sz w:val="22"/>
          <w:szCs w:val="22"/>
          <w:lang w:val="sr-Latn-RS"/>
        </w:rPr>
        <w:t>j</w:t>
      </w:r>
      <w:r w:rsidR="007C4430" w:rsidRPr="001164DC">
        <w:rPr>
          <w:sz w:val="22"/>
          <w:szCs w:val="22"/>
          <w:lang w:val="sr-Latn-RS"/>
        </w:rPr>
        <w:t>eljnim</w:t>
      </w:r>
      <w:r w:rsidR="007C4430" w:rsidRPr="00667453">
        <w:rPr>
          <w:sz w:val="22"/>
          <w:szCs w:val="22"/>
          <w:lang w:val="sr-Latn-RS"/>
        </w:rPr>
        <w:t xml:space="preserve"> </w:t>
      </w:r>
      <w:r w:rsidRPr="00667453">
        <w:rPr>
          <w:sz w:val="22"/>
          <w:szCs w:val="22"/>
          <w:lang w:val="sr-Latn-RS"/>
        </w:rPr>
        <w:t xml:space="preserve">placebom kontrolisanim kliničkim ispitivanjima ozbiljne reakcije </w:t>
      </w:r>
      <w:r w:rsidR="00745817" w:rsidRPr="00667453">
        <w:rPr>
          <w:sz w:val="22"/>
          <w:szCs w:val="22"/>
          <w:lang w:val="sr-Latn-RS"/>
        </w:rPr>
        <w:t>preosjetljivost</w:t>
      </w:r>
      <w:r w:rsidRPr="00667453">
        <w:rPr>
          <w:sz w:val="22"/>
          <w:szCs w:val="22"/>
          <w:lang w:val="sr-Latn-RS"/>
        </w:rPr>
        <w:t>i (uključujući angioedem) prijavljene su kod 0,6% pacijenata koji su primali anifrolumab.</w:t>
      </w:r>
    </w:p>
    <w:p w14:paraId="462D652B" w14:textId="77777777" w:rsidR="0082002F" w:rsidRPr="00667453" w:rsidRDefault="0082002F" w:rsidP="001B7C32">
      <w:pPr>
        <w:widowControl w:val="0"/>
        <w:autoSpaceDE w:val="0"/>
        <w:autoSpaceDN w:val="0"/>
        <w:jc w:val="both"/>
        <w:rPr>
          <w:sz w:val="22"/>
          <w:szCs w:val="22"/>
          <w:lang w:val="sr-Latn-RS"/>
        </w:rPr>
      </w:pPr>
    </w:p>
    <w:p w14:paraId="568EFEB5" w14:textId="4146662F"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Pacijentima koji u anamnezi imaju reakcije povezane sa infuzijom odnosno </w:t>
      </w:r>
      <w:r w:rsidR="00745817" w:rsidRPr="00667453">
        <w:rPr>
          <w:sz w:val="22"/>
          <w:szCs w:val="22"/>
          <w:lang w:val="sr-Latn-RS"/>
        </w:rPr>
        <w:t>preosjetljivost</w:t>
      </w:r>
      <w:r w:rsidRPr="00667453">
        <w:rPr>
          <w:sz w:val="22"/>
          <w:szCs w:val="22"/>
          <w:lang w:val="sr-Latn-RS"/>
        </w:rPr>
        <w:t xml:space="preserve"> može se dati premedikacija (npr. antihistaminik) pr</w:t>
      </w:r>
      <w:r w:rsidR="00745817" w:rsidRPr="00667453">
        <w:rPr>
          <w:sz w:val="22"/>
          <w:szCs w:val="22"/>
          <w:lang w:val="sr-Latn-RS"/>
        </w:rPr>
        <w:t>ij</w:t>
      </w:r>
      <w:r w:rsidRPr="00667453">
        <w:rPr>
          <w:sz w:val="22"/>
          <w:szCs w:val="22"/>
          <w:lang w:val="sr-Latn-RS"/>
        </w:rPr>
        <w:t>e infuzije anifrolumaba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4.2).</w:t>
      </w:r>
    </w:p>
    <w:p w14:paraId="46CE48A9" w14:textId="77777777" w:rsidR="0082002F" w:rsidRPr="00667453" w:rsidRDefault="0082002F" w:rsidP="001B7C32">
      <w:pPr>
        <w:widowControl w:val="0"/>
        <w:autoSpaceDE w:val="0"/>
        <w:autoSpaceDN w:val="0"/>
        <w:jc w:val="both"/>
        <w:rPr>
          <w:sz w:val="22"/>
          <w:szCs w:val="22"/>
          <w:lang w:val="sr-Latn-RS"/>
        </w:rPr>
      </w:pPr>
    </w:p>
    <w:p w14:paraId="72C64C3D" w14:textId="4EAEDF81"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U slučaju pojave ozbiljne reakcije povezane sa infuzijom ili reakcije </w:t>
      </w:r>
      <w:r w:rsidR="00745817" w:rsidRPr="00667453">
        <w:rPr>
          <w:sz w:val="22"/>
          <w:szCs w:val="22"/>
          <w:lang w:val="sr-Latn-RS"/>
        </w:rPr>
        <w:t>preosjetljivost</w:t>
      </w:r>
      <w:r w:rsidRPr="00667453">
        <w:rPr>
          <w:sz w:val="22"/>
          <w:szCs w:val="22"/>
          <w:lang w:val="sr-Latn-RS"/>
        </w:rPr>
        <w:t>i (npr. anafilakse) treba odmah prekinuti prim</w:t>
      </w:r>
      <w:r w:rsidR="00745817" w:rsidRPr="00667453">
        <w:rPr>
          <w:sz w:val="22"/>
          <w:szCs w:val="22"/>
          <w:lang w:val="sr-Latn-RS"/>
        </w:rPr>
        <w:t>j</w:t>
      </w:r>
      <w:r w:rsidRPr="00667453">
        <w:rPr>
          <w:sz w:val="22"/>
          <w:szCs w:val="22"/>
          <w:lang w:val="sr-Latn-RS"/>
        </w:rPr>
        <w:t>enu anifrolumaba i uvesti odgovarajuću terapiju.</w:t>
      </w:r>
    </w:p>
    <w:p w14:paraId="3C67BFFD" w14:textId="77777777" w:rsidR="0082002F" w:rsidRPr="00667453" w:rsidRDefault="0082002F" w:rsidP="001B7C32">
      <w:pPr>
        <w:widowControl w:val="0"/>
        <w:autoSpaceDE w:val="0"/>
        <w:autoSpaceDN w:val="0"/>
        <w:jc w:val="both"/>
        <w:rPr>
          <w:sz w:val="22"/>
          <w:szCs w:val="22"/>
          <w:lang w:val="sr-Latn-RS"/>
        </w:rPr>
      </w:pPr>
    </w:p>
    <w:p w14:paraId="733D2240" w14:textId="77777777"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Infekcije</w:t>
      </w:r>
    </w:p>
    <w:p w14:paraId="0B57ED2F" w14:textId="77777777" w:rsidR="0082002F" w:rsidRPr="00667453" w:rsidRDefault="0082002F" w:rsidP="001B7C32">
      <w:pPr>
        <w:widowControl w:val="0"/>
        <w:autoSpaceDE w:val="0"/>
        <w:autoSpaceDN w:val="0"/>
        <w:jc w:val="both"/>
        <w:rPr>
          <w:sz w:val="22"/>
          <w:szCs w:val="22"/>
          <w:lang w:val="sr-Latn-RS"/>
        </w:rPr>
      </w:pPr>
    </w:p>
    <w:p w14:paraId="4732E855" w14:textId="685F6A56" w:rsidR="0082002F" w:rsidRPr="00667453" w:rsidRDefault="0082002F" w:rsidP="001B7C32">
      <w:pPr>
        <w:widowControl w:val="0"/>
        <w:autoSpaceDE w:val="0"/>
        <w:autoSpaceDN w:val="0"/>
        <w:jc w:val="both"/>
        <w:rPr>
          <w:sz w:val="22"/>
          <w:szCs w:val="22"/>
          <w:lang w:val="sr-Latn-RS"/>
        </w:rPr>
      </w:pPr>
      <w:r w:rsidRPr="00667453">
        <w:rPr>
          <w:sz w:val="22"/>
          <w:szCs w:val="22"/>
          <w:lang w:val="sr-Latn-RS"/>
        </w:rPr>
        <w:t>Anifrolumab povećava rizik od respiratornih infekcija i herpesa zostera (zab</w:t>
      </w:r>
      <w:r w:rsidR="007C4430" w:rsidRPr="00667453">
        <w:rPr>
          <w:sz w:val="22"/>
          <w:szCs w:val="22"/>
          <w:lang w:val="sr-Latn-RS"/>
        </w:rPr>
        <w:t>il</w:t>
      </w:r>
      <w:r w:rsidR="00745817" w:rsidRPr="00667453">
        <w:rPr>
          <w:sz w:val="22"/>
          <w:szCs w:val="22"/>
          <w:lang w:val="sr-Latn-RS"/>
        </w:rPr>
        <w:t>j</w:t>
      </w:r>
      <w:r w:rsidRPr="00667453">
        <w:rPr>
          <w:sz w:val="22"/>
          <w:szCs w:val="22"/>
          <w:lang w:val="sr-Latn-RS"/>
        </w:rPr>
        <w:t xml:space="preserve">eženi su slučajevi diseminovanog herpesa zostera),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4.8. Pacijenti sa SLE koji uzimaju i imunosupresive mogu biti izloženi većem riziku od infekcije herpesom zosterom.</w:t>
      </w:r>
    </w:p>
    <w:p w14:paraId="0707F0EE" w14:textId="77777777" w:rsidR="0082002F" w:rsidRPr="00667453" w:rsidRDefault="0082002F" w:rsidP="001B7C32">
      <w:pPr>
        <w:widowControl w:val="0"/>
        <w:autoSpaceDE w:val="0"/>
        <w:autoSpaceDN w:val="0"/>
        <w:jc w:val="both"/>
        <w:rPr>
          <w:sz w:val="22"/>
          <w:szCs w:val="22"/>
          <w:lang w:val="sr-Latn-RS"/>
        </w:rPr>
      </w:pPr>
    </w:p>
    <w:p w14:paraId="56B28B17" w14:textId="16A75388" w:rsidR="0082002F" w:rsidRPr="00667453" w:rsidRDefault="0082002F" w:rsidP="001B7C32">
      <w:pPr>
        <w:widowControl w:val="0"/>
        <w:autoSpaceDE w:val="0"/>
        <w:autoSpaceDN w:val="0"/>
        <w:spacing w:line="237" w:lineRule="auto"/>
        <w:jc w:val="both"/>
        <w:rPr>
          <w:sz w:val="22"/>
          <w:szCs w:val="22"/>
          <w:lang w:val="sr-Latn-RS"/>
        </w:rPr>
      </w:pPr>
      <w:r w:rsidRPr="00667453">
        <w:rPr>
          <w:sz w:val="22"/>
          <w:szCs w:val="22"/>
          <w:lang w:val="sr-Latn-RS"/>
        </w:rPr>
        <w:t>U kontrolisanim kliničkim ispitivanjima javile su se ozbiljne i nekada smrtonosne infekcije</w:t>
      </w:r>
      <w:r w:rsidR="00C64811">
        <w:rPr>
          <w:sz w:val="22"/>
          <w:szCs w:val="22"/>
          <w:lang w:val="sr-Latn-RS"/>
        </w:rPr>
        <w:t xml:space="preserve"> </w:t>
      </w:r>
      <w:r w:rsidR="00C64811" w:rsidRPr="00B15FA8">
        <w:rPr>
          <w:sz w:val="22"/>
          <w:szCs w:val="22"/>
          <w:lang w:val="sr-Latn-RS"/>
        </w:rPr>
        <w:t>(uključujući pneumoniju)</w:t>
      </w:r>
      <w:r w:rsidRPr="00B15FA8">
        <w:rPr>
          <w:sz w:val="22"/>
          <w:szCs w:val="22"/>
          <w:lang w:val="sr-Latn-RS"/>
        </w:rPr>
        <w:t>,</w:t>
      </w:r>
      <w:r w:rsidRPr="00667453">
        <w:rPr>
          <w:sz w:val="22"/>
          <w:szCs w:val="22"/>
          <w:lang w:val="sr-Latn-RS"/>
        </w:rPr>
        <w:t xml:space="preserve"> uključujući kod pacijenata l</w:t>
      </w:r>
      <w:r w:rsidR="00745817" w:rsidRPr="00667453">
        <w:rPr>
          <w:sz w:val="22"/>
          <w:szCs w:val="22"/>
          <w:lang w:val="sr-Latn-RS"/>
        </w:rPr>
        <w:t>ij</w:t>
      </w:r>
      <w:r w:rsidRPr="00667453">
        <w:rPr>
          <w:sz w:val="22"/>
          <w:szCs w:val="22"/>
          <w:lang w:val="sr-Latn-RS"/>
        </w:rPr>
        <w:t>ečenih anifrolumabom.</w:t>
      </w:r>
    </w:p>
    <w:p w14:paraId="1A8EC6C7" w14:textId="77777777" w:rsidR="0082002F" w:rsidRPr="00667453" w:rsidRDefault="0082002F" w:rsidP="001B7C32">
      <w:pPr>
        <w:widowControl w:val="0"/>
        <w:autoSpaceDE w:val="0"/>
        <w:autoSpaceDN w:val="0"/>
        <w:jc w:val="both"/>
        <w:rPr>
          <w:sz w:val="22"/>
          <w:szCs w:val="22"/>
          <w:lang w:val="sr-Latn-RS"/>
        </w:rPr>
      </w:pPr>
    </w:p>
    <w:p w14:paraId="726C7677" w14:textId="728E6452" w:rsidR="0082002F" w:rsidRPr="00667453" w:rsidRDefault="0082002F" w:rsidP="001B7C32">
      <w:pPr>
        <w:widowControl w:val="0"/>
        <w:autoSpaceDE w:val="0"/>
        <w:autoSpaceDN w:val="0"/>
        <w:jc w:val="both"/>
        <w:rPr>
          <w:sz w:val="22"/>
          <w:szCs w:val="22"/>
          <w:lang w:val="sr-Latn-RS"/>
        </w:rPr>
      </w:pPr>
      <w:r w:rsidRPr="00667453">
        <w:rPr>
          <w:sz w:val="22"/>
          <w:szCs w:val="22"/>
          <w:lang w:val="sr-Latn-RS"/>
        </w:rPr>
        <w:t>Zbog mehanizma dejstva, anifrolumab treba prim</w:t>
      </w:r>
      <w:r w:rsidR="00745817" w:rsidRPr="00667453">
        <w:rPr>
          <w:sz w:val="22"/>
          <w:szCs w:val="22"/>
          <w:lang w:val="sr-Latn-RS"/>
        </w:rPr>
        <w:t>j</w:t>
      </w:r>
      <w:r w:rsidRPr="00667453">
        <w:rPr>
          <w:sz w:val="22"/>
          <w:szCs w:val="22"/>
          <w:lang w:val="sr-Latn-RS"/>
        </w:rPr>
        <w:t xml:space="preserve">enjivati uz oprez kod pacijenata sa hroničnom infekcijom, rekurentnim infekcijama u anamnezi ili poznatim faktorima rizika za infekciju. </w:t>
      </w:r>
      <w:r w:rsidR="00745817" w:rsidRPr="00667453">
        <w:rPr>
          <w:sz w:val="22"/>
          <w:szCs w:val="22"/>
          <w:lang w:val="sr-Latn-RS"/>
        </w:rPr>
        <w:t>Liječenje</w:t>
      </w:r>
      <w:r w:rsidRPr="00667453">
        <w:rPr>
          <w:sz w:val="22"/>
          <w:szCs w:val="22"/>
          <w:lang w:val="sr-Latn-RS"/>
        </w:rPr>
        <w:t xml:space="preserve"> anifrolumabom ne sm</w:t>
      </w:r>
      <w:r w:rsidR="00745817" w:rsidRPr="00667453">
        <w:rPr>
          <w:sz w:val="22"/>
          <w:szCs w:val="22"/>
          <w:lang w:val="sr-Latn-RS"/>
        </w:rPr>
        <w:t>ij</w:t>
      </w:r>
      <w:r w:rsidRPr="00667453">
        <w:rPr>
          <w:sz w:val="22"/>
          <w:szCs w:val="22"/>
          <w:lang w:val="sr-Latn-RS"/>
        </w:rPr>
        <w:t>e se započeti kod pacijenata sa bilo kakvom klinički značajnom aktivnom infekcijom sve dok se ona ne povuče ili na odgovarajući način l</w:t>
      </w:r>
      <w:r w:rsidR="00745817" w:rsidRPr="00667453">
        <w:rPr>
          <w:sz w:val="22"/>
          <w:szCs w:val="22"/>
          <w:lang w:val="sr-Latn-RS"/>
        </w:rPr>
        <w:t>ij</w:t>
      </w:r>
      <w:r w:rsidRPr="00667453">
        <w:rPr>
          <w:sz w:val="22"/>
          <w:szCs w:val="22"/>
          <w:lang w:val="sr-Latn-RS"/>
        </w:rPr>
        <w:t>eči. Pacijente treba uputiti da potraže sav</w:t>
      </w:r>
      <w:r w:rsidR="00745817" w:rsidRPr="00667453">
        <w:rPr>
          <w:sz w:val="22"/>
          <w:szCs w:val="22"/>
          <w:lang w:val="sr-Latn-RS"/>
        </w:rPr>
        <w:t>j</w:t>
      </w:r>
      <w:r w:rsidRPr="00667453">
        <w:rPr>
          <w:sz w:val="22"/>
          <w:szCs w:val="22"/>
          <w:lang w:val="sr-Latn-RS"/>
        </w:rPr>
        <w:t xml:space="preserve">et </w:t>
      </w:r>
      <w:r w:rsidR="00745817" w:rsidRPr="00667453">
        <w:rPr>
          <w:sz w:val="22"/>
          <w:szCs w:val="22"/>
          <w:lang w:val="sr-Latn-RS"/>
        </w:rPr>
        <w:t>ljekar</w:t>
      </w:r>
      <w:r w:rsidRPr="00667453">
        <w:rPr>
          <w:sz w:val="22"/>
          <w:szCs w:val="22"/>
          <w:lang w:val="sr-Latn-RS"/>
        </w:rPr>
        <w:t>a ako se jave znaci ili simptomi klinički značajne infekcije. Ako se kod pacijenta pojavi infekcija ili nema odgovora na standardnu terapiju, potrebno je pažljivo nadzirati pacijenta i pažljivo razmotriti privremeni prekid terapije anifrolumabom dok se infekcija ne povuče.</w:t>
      </w:r>
    </w:p>
    <w:p w14:paraId="46099995" w14:textId="77777777" w:rsidR="0082002F" w:rsidRPr="00667453" w:rsidRDefault="0082002F" w:rsidP="001B7C32">
      <w:pPr>
        <w:widowControl w:val="0"/>
        <w:autoSpaceDE w:val="0"/>
        <w:autoSpaceDN w:val="0"/>
        <w:jc w:val="both"/>
        <w:rPr>
          <w:sz w:val="22"/>
          <w:szCs w:val="22"/>
          <w:lang w:val="sr-Latn-RS"/>
        </w:rPr>
      </w:pPr>
    </w:p>
    <w:p w14:paraId="7955C7C3" w14:textId="62BEE0AC" w:rsidR="0082002F" w:rsidRPr="00667453" w:rsidRDefault="0082002F" w:rsidP="001B7C32">
      <w:pPr>
        <w:widowControl w:val="0"/>
        <w:autoSpaceDE w:val="0"/>
        <w:autoSpaceDN w:val="0"/>
        <w:jc w:val="both"/>
        <w:rPr>
          <w:sz w:val="22"/>
          <w:szCs w:val="22"/>
          <w:lang w:val="sr-Latn-RS"/>
        </w:rPr>
      </w:pPr>
      <w:r w:rsidRPr="00667453">
        <w:rPr>
          <w:sz w:val="22"/>
          <w:szCs w:val="22"/>
          <w:lang w:val="sr-Latn-RS"/>
        </w:rPr>
        <w:t>Ni</w:t>
      </w:r>
      <w:r w:rsidR="00745817" w:rsidRPr="00667453">
        <w:rPr>
          <w:sz w:val="22"/>
          <w:szCs w:val="22"/>
          <w:lang w:val="sr-Latn-RS"/>
        </w:rPr>
        <w:t>je</w:t>
      </w:r>
      <w:r w:rsidRPr="00667453">
        <w:rPr>
          <w:sz w:val="22"/>
          <w:szCs w:val="22"/>
          <w:lang w:val="sr-Latn-RS"/>
        </w:rPr>
        <w:t xml:space="preserve">su sprovedene studije </w:t>
      </w:r>
      <w:r w:rsidR="00745817" w:rsidRPr="00667453">
        <w:rPr>
          <w:sz w:val="22"/>
          <w:szCs w:val="22"/>
          <w:lang w:val="sr-Latn-RS"/>
        </w:rPr>
        <w:t>primjene</w:t>
      </w:r>
      <w:r w:rsidRPr="00667453">
        <w:rPr>
          <w:sz w:val="22"/>
          <w:szCs w:val="22"/>
          <w:lang w:val="sr-Latn-RS"/>
        </w:rPr>
        <w:t xml:space="preserve"> kod pacijenata sa primarnom imunodeficijencijom u anamnezi.</w:t>
      </w:r>
    </w:p>
    <w:p w14:paraId="6ADD6D7D" w14:textId="77777777" w:rsidR="0082002F" w:rsidRPr="00667453" w:rsidRDefault="0082002F" w:rsidP="001B7C32">
      <w:pPr>
        <w:widowControl w:val="0"/>
        <w:autoSpaceDE w:val="0"/>
        <w:autoSpaceDN w:val="0"/>
        <w:jc w:val="both"/>
        <w:rPr>
          <w:sz w:val="22"/>
          <w:szCs w:val="22"/>
          <w:lang w:val="sr-Latn-RS"/>
        </w:rPr>
      </w:pPr>
    </w:p>
    <w:p w14:paraId="4BBE32BF" w14:textId="25F929F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U placebom kontrolisanim kliničkim ispitivanjima </w:t>
      </w:r>
      <w:r w:rsidR="00745817" w:rsidRPr="00667453">
        <w:rPr>
          <w:sz w:val="22"/>
          <w:szCs w:val="22"/>
          <w:lang w:val="sr-Latn-RS"/>
        </w:rPr>
        <w:t>nijesu</w:t>
      </w:r>
      <w:r w:rsidRPr="00667453">
        <w:rPr>
          <w:sz w:val="22"/>
          <w:szCs w:val="22"/>
          <w:lang w:val="sr-Latn-RS"/>
        </w:rPr>
        <w:t xml:space="preserve"> učestvovali pacijenti sa aktivnom ili latentnom tuberkulozom u anamnezi kod kojih se nije mogla potvrditi prim</w:t>
      </w:r>
      <w:r w:rsidR="00745817" w:rsidRPr="00667453">
        <w:rPr>
          <w:sz w:val="22"/>
          <w:szCs w:val="22"/>
          <w:lang w:val="sr-Latn-RS"/>
        </w:rPr>
        <w:t>j</w:t>
      </w:r>
      <w:r w:rsidRPr="00667453">
        <w:rPr>
          <w:sz w:val="22"/>
          <w:szCs w:val="22"/>
          <w:lang w:val="sr-Latn-RS"/>
        </w:rPr>
        <w:t>ena odgovarajuće terapije. Kod pacijenata sa nel</w:t>
      </w:r>
      <w:r w:rsidR="00745817" w:rsidRPr="00667453">
        <w:rPr>
          <w:sz w:val="22"/>
          <w:szCs w:val="22"/>
          <w:lang w:val="sr-Latn-RS"/>
        </w:rPr>
        <w:t>ij</w:t>
      </w:r>
      <w:r w:rsidRPr="00667453">
        <w:rPr>
          <w:sz w:val="22"/>
          <w:szCs w:val="22"/>
          <w:lang w:val="sr-Latn-RS"/>
        </w:rPr>
        <w:t xml:space="preserve">ečenom latentnom tuberkulozom treba razmotriti </w:t>
      </w:r>
      <w:r w:rsidR="00745817" w:rsidRPr="00667453">
        <w:rPr>
          <w:sz w:val="22"/>
          <w:szCs w:val="22"/>
          <w:lang w:val="sr-Latn-RS"/>
        </w:rPr>
        <w:t>primjenu</w:t>
      </w:r>
      <w:r w:rsidRPr="00667453">
        <w:rPr>
          <w:sz w:val="22"/>
          <w:szCs w:val="22"/>
          <w:lang w:val="sr-Latn-RS"/>
        </w:rPr>
        <w:t xml:space="preserve"> terapije protiv tuberkuloze pr</w:t>
      </w:r>
      <w:r w:rsidR="00745817" w:rsidRPr="00667453">
        <w:rPr>
          <w:sz w:val="22"/>
          <w:szCs w:val="22"/>
          <w:lang w:val="sr-Latn-RS"/>
        </w:rPr>
        <w:t>ij</w:t>
      </w:r>
      <w:r w:rsidRPr="00667453">
        <w:rPr>
          <w:sz w:val="22"/>
          <w:szCs w:val="22"/>
          <w:lang w:val="sr-Latn-RS"/>
        </w:rPr>
        <w:t>e uvođenja anifrolumaba. Anifrolumab se ne sm</w:t>
      </w:r>
      <w:r w:rsidR="00745817" w:rsidRPr="00667453">
        <w:rPr>
          <w:sz w:val="22"/>
          <w:szCs w:val="22"/>
          <w:lang w:val="sr-Latn-RS"/>
        </w:rPr>
        <w:t>ij</w:t>
      </w:r>
      <w:r w:rsidRPr="00667453">
        <w:rPr>
          <w:sz w:val="22"/>
          <w:szCs w:val="22"/>
          <w:lang w:val="sr-Latn-RS"/>
        </w:rPr>
        <w:t xml:space="preserve">e </w:t>
      </w:r>
      <w:r w:rsidR="008419A5" w:rsidRPr="00667453">
        <w:rPr>
          <w:sz w:val="22"/>
          <w:szCs w:val="22"/>
          <w:lang w:val="sr-Latn-RS"/>
        </w:rPr>
        <w:t>primjen</w:t>
      </w:r>
      <w:r w:rsidRPr="00667453">
        <w:rPr>
          <w:sz w:val="22"/>
          <w:szCs w:val="22"/>
          <w:lang w:val="sr-Latn-RS"/>
        </w:rPr>
        <w:t>jivati kod pacijenata sa aktivnom tuberkulozom.</w:t>
      </w:r>
    </w:p>
    <w:p w14:paraId="5AAD973C" w14:textId="77777777" w:rsidR="0082002F" w:rsidRPr="00667453" w:rsidRDefault="0082002F" w:rsidP="001B7C32">
      <w:pPr>
        <w:widowControl w:val="0"/>
        <w:autoSpaceDE w:val="0"/>
        <w:autoSpaceDN w:val="0"/>
        <w:jc w:val="both"/>
        <w:rPr>
          <w:sz w:val="22"/>
          <w:szCs w:val="22"/>
          <w:lang w:val="sr-Latn-RS"/>
        </w:rPr>
      </w:pPr>
    </w:p>
    <w:p w14:paraId="508FCE6F" w14:textId="77777777"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Imunizacije</w:t>
      </w:r>
    </w:p>
    <w:p w14:paraId="37EF58E8" w14:textId="77777777" w:rsidR="0082002F" w:rsidRPr="00667453" w:rsidRDefault="0082002F" w:rsidP="001B7C32">
      <w:pPr>
        <w:widowControl w:val="0"/>
        <w:autoSpaceDE w:val="0"/>
        <w:autoSpaceDN w:val="0"/>
        <w:jc w:val="both"/>
        <w:rPr>
          <w:sz w:val="22"/>
          <w:szCs w:val="22"/>
          <w:lang w:val="sr-Latn-RS"/>
        </w:rPr>
      </w:pPr>
    </w:p>
    <w:p w14:paraId="74329B4A" w14:textId="79A56DB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Nema dostupnih podataka o imun</w:t>
      </w:r>
      <w:r w:rsidR="007C4430" w:rsidRPr="00667453">
        <w:rPr>
          <w:sz w:val="22"/>
          <w:szCs w:val="22"/>
          <w:lang w:val="sr-Latn-RS"/>
        </w:rPr>
        <w:t>om</w:t>
      </w:r>
      <w:r w:rsidRPr="00667453">
        <w:rPr>
          <w:sz w:val="22"/>
          <w:szCs w:val="22"/>
          <w:lang w:val="sr-Latn-RS"/>
        </w:rPr>
        <w:t xml:space="preserve"> odgovoru na vakcine.</w:t>
      </w:r>
    </w:p>
    <w:p w14:paraId="547C4C02" w14:textId="77777777" w:rsidR="0082002F" w:rsidRPr="00667453" w:rsidRDefault="0082002F" w:rsidP="001B7C32">
      <w:pPr>
        <w:widowControl w:val="0"/>
        <w:autoSpaceDE w:val="0"/>
        <w:autoSpaceDN w:val="0"/>
        <w:jc w:val="both"/>
        <w:rPr>
          <w:sz w:val="22"/>
          <w:szCs w:val="22"/>
          <w:lang w:val="sr-Latn-RS"/>
        </w:rPr>
      </w:pPr>
    </w:p>
    <w:p w14:paraId="3F7CD8BF" w14:textId="5A6F011C" w:rsidR="0082002F" w:rsidRPr="00667453" w:rsidRDefault="0082002F" w:rsidP="001B7C32">
      <w:pPr>
        <w:widowControl w:val="0"/>
        <w:autoSpaceDE w:val="0"/>
        <w:autoSpaceDN w:val="0"/>
        <w:jc w:val="both"/>
        <w:rPr>
          <w:sz w:val="22"/>
          <w:szCs w:val="22"/>
          <w:lang w:val="sr-Latn-RS"/>
        </w:rPr>
      </w:pPr>
      <w:r w:rsidRPr="00667453">
        <w:rPr>
          <w:sz w:val="22"/>
          <w:szCs w:val="22"/>
          <w:lang w:val="sr-Latn-RS"/>
        </w:rPr>
        <w:t>Pr</w:t>
      </w:r>
      <w:r w:rsidR="00745817" w:rsidRPr="00667453">
        <w:rPr>
          <w:sz w:val="22"/>
          <w:szCs w:val="22"/>
          <w:lang w:val="sr-Latn-RS"/>
        </w:rPr>
        <w:t>ij</w:t>
      </w:r>
      <w:r w:rsidRPr="00667453">
        <w:rPr>
          <w:sz w:val="22"/>
          <w:szCs w:val="22"/>
          <w:lang w:val="sr-Latn-RS"/>
        </w:rPr>
        <w:t xml:space="preserve">e početka </w:t>
      </w:r>
      <w:r w:rsidR="00745817" w:rsidRPr="00667453">
        <w:rPr>
          <w:sz w:val="22"/>
          <w:szCs w:val="22"/>
          <w:lang w:val="sr-Latn-RS"/>
        </w:rPr>
        <w:t>liječenja</w:t>
      </w:r>
      <w:r w:rsidRPr="00667453">
        <w:rPr>
          <w:sz w:val="22"/>
          <w:szCs w:val="22"/>
          <w:lang w:val="sr-Latn-RS"/>
        </w:rPr>
        <w:t xml:space="preserve"> treba razmotriti završetak svih odgovarajućih imunizacija u skladu sa važećim </w:t>
      </w:r>
      <w:r w:rsidR="008419A5" w:rsidRPr="00667453">
        <w:rPr>
          <w:sz w:val="22"/>
          <w:szCs w:val="22"/>
          <w:lang w:val="sr-Latn-RS"/>
        </w:rPr>
        <w:t>smije</w:t>
      </w:r>
      <w:r w:rsidRPr="00667453">
        <w:rPr>
          <w:sz w:val="22"/>
          <w:szCs w:val="22"/>
          <w:lang w:val="sr-Latn-RS"/>
        </w:rPr>
        <w:t xml:space="preserve">rnicama za imunizaciju. Kod pacijenata </w:t>
      </w:r>
      <w:r w:rsidR="00745817" w:rsidRPr="00667453">
        <w:rPr>
          <w:sz w:val="22"/>
          <w:szCs w:val="22"/>
          <w:lang w:val="sr-Latn-RS"/>
        </w:rPr>
        <w:t>liječen</w:t>
      </w:r>
      <w:r w:rsidRPr="00667453">
        <w:rPr>
          <w:sz w:val="22"/>
          <w:szCs w:val="22"/>
          <w:lang w:val="sr-Latn-RS"/>
        </w:rPr>
        <w:t>ih anifrolumabom treba izb</w:t>
      </w:r>
      <w:r w:rsidR="007C4430" w:rsidRPr="00667453">
        <w:rPr>
          <w:sz w:val="22"/>
          <w:szCs w:val="22"/>
          <w:lang w:val="sr-Latn-RS"/>
        </w:rPr>
        <w:t>j</w:t>
      </w:r>
      <w:r w:rsidRPr="00667453">
        <w:rPr>
          <w:sz w:val="22"/>
          <w:szCs w:val="22"/>
          <w:lang w:val="sr-Latn-RS"/>
        </w:rPr>
        <w:t xml:space="preserve">egavati istovremenu </w:t>
      </w:r>
      <w:r w:rsidR="00745817" w:rsidRPr="00667453">
        <w:rPr>
          <w:sz w:val="22"/>
          <w:szCs w:val="22"/>
          <w:lang w:val="sr-Latn-RS"/>
        </w:rPr>
        <w:t>primjenu</w:t>
      </w:r>
      <w:r w:rsidRPr="00667453">
        <w:rPr>
          <w:sz w:val="22"/>
          <w:szCs w:val="22"/>
          <w:lang w:val="sr-Latn-RS"/>
        </w:rPr>
        <w:t xml:space="preserve"> živih ili atenuisanih vakcina.</w:t>
      </w:r>
    </w:p>
    <w:p w14:paraId="3393E011" w14:textId="77777777" w:rsidR="0082002F" w:rsidRPr="00667453" w:rsidRDefault="0082002F" w:rsidP="001B7C32">
      <w:pPr>
        <w:widowControl w:val="0"/>
        <w:autoSpaceDE w:val="0"/>
        <w:autoSpaceDN w:val="0"/>
        <w:jc w:val="both"/>
        <w:rPr>
          <w:sz w:val="22"/>
          <w:szCs w:val="22"/>
          <w:lang w:val="sr-Latn-RS"/>
        </w:rPr>
      </w:pPr>
    </w:p>
    <w:p w14:paraId="4B07CD5C" w14:textId="77777777"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Malignitet</w:t>
      </w:r>
    </w:p>
    <w:p w14:paraId="055E0C74" w14:textId="77777777" w:rsidR="0082002F" w:rsidRPr="00667453" w:rsidRDefault="0082002F" w:rsidP="001B7C32">
      <w:pPr>
        <w:widowControl w:val="0"/>
        <w:autoSpaceDE w:val="0"/>
        <w:autoSpaceDN w:val="0"/>
        <w:jc w:val="both"/>
        <w:rPr>
          <w:sz w:val="22"/>
          <w:szCs w:val="22"/>
          <w:lang w:val="sr-Latn-RS"/>
        </w:rPr>
      </w:pPr>
    </w:p>
    <w:p w14:paraId="0410834E" w14:textId="0D31E83C" w:rsidR="0082002F" w:rsidRPr="00667453" w:rsidRDefault="0082002F" w:rsidP="001B7C32">
      <w:pPr>
        <w:widowControl w:val="0"/>
        <w:tabs>
          <w:tab w:val="left" w:pos="8364"/>
        </w:tabs>
        <w:autoSpaceDE w:val="0"/>
        <w:autoSpaceDN w:val="0"/>
        <w:jc w:val="both"/>
        <w:rPr>
          <w:sz w:val="22"/>
          <w:szCs w:val="22"/>
          <w:lang w:val="sr-Latn-RS"/>
        </w:rPr>
      </w:pPr>
      <w:r w:rsidRPr="00667453">
        <w:rPr>
          <w:sz w:val="22"/>
          <w:szCs w:val="22"/>
          <w:lang w:val="sr-Latn-RS"/>
        </w:rPr>
        <w:t xml:space="preserve">Uticaj </w:t>
      </w:r>
      <w:r w:rsidR="00745817" w:rsidRPr="00667453">
        <w:rPr>
          <w:sz w:val="22"/>
          <w:szCs w:val="22"/>
          <w:lang w:val="sr-Latn-RS"/>
        </w:rPr>
        <w:t>liječenja</w:t>
      </w:r>
      <w:r w:rsidRPr="00667453">
        <w:rPr>
          <w:sz w:val="22"/>
          <w:szCs w:val="22"/>
          <w:lang w:val="sr-Latn-RS"/>
        </w:rPr>
        <w:t xml:space="preserve"> anifrolumabom na potencijalni razvoj maligniteta nije poznat. </w:t>
      </w:r>
      <w:r w:rsidR="00745817" w:rsidRPr="00667453">
        <w:rPr>
          <w:sz w:val="22"/>
          <w:szCs w:val="22"/>
          <w:lang w:val="sr-Latn-RS"/>
        </w:rPr>
        <w:t>Nijesu</w:t>
      </w:r>
      <w:r w:rsidRPr="00667453">
        <w:rPr>
          <w:sz w:val="22"/>
          <w:szCs w:val="22"/>
          <w:lang w:val="sr-Latn-RS"/>
        </w:rPr>
        <w:t xml:space="preserve"> sprovedene studije na pacijentima sa malignitetom u anamnezi. Ipak, pacijenti sa planocelularnim ili bazocelularnim karcinomom kože i karcinomom grlića materice koji je u potpunosti odstranjen ili odgovarajuće </w:t>
      </w:r>
      <w:r w:rsidR="00745817" w:rsidRPr="00667453">
        <w:rPr>
          <w:sz w:val="22"/>
          <w:szCs w:val="22"/>
          <w:lang w:val="sr-Latn-RS"/>
        </w:rPr>
        <w:t>liječen</w:t>
      </w:r>
      <w:r w:rsidRPr="00667453">
        <w:rPr>
          <w:sz w:val="22"/>
          <w:szCs w:val="22"/>
          <w:lang w:val="sr-Latn-RS"/>
        </w:rPr>
        <w:t xml:space="preserve"> mogli su da učestvuju u kliničkim ispitivanjima SLE.</w:t>
      </w:r>
    </w:p>
    <w:p w14:paraId="0889ED8E" w14:textId="77777777" w:rsidR="0082002F" w:rsidRPr="00667453" w:rsidRDefault="0082002F" w:rsidP="001B7C32">
      <w:pPr>
        <w:widowControl w:val="0"/>
        <w:autoSpaceDE w:val="0"/>
        <w:autoSpaceDN w:val="0"/>
        <w:jc w:val="both"/>
        <w:rPr>
          <w:sz w:val="22"/>
          <w:szCs w:val="22"/>
          <w:lang w:val="sr-Latn-RS"/>
        </w:rPr>
      </w:pPr>
    </w:p>
    <w:p w14:paraId="2E6B0620" w14:textId="5A16DF72"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U </w:t>
      </w:r>
      <w:r w:rsidR="007C4430" w:rsidRPr="001164DC">
        <w:rPr>
          <w:sz w:val="22"/>
          <w:szCs w:val="22"/>
          <w:lang w:val="sr-Latn-RS"/>
        </w:rPr>
        <w:t>52-ned</w:t>
      </w:r>
      <w:r w:rsidR="00B51CCD" w:rsidRPr="001164DC">
        <w:rPr>
          <w:sz w:val="22"/>
          <w:szCs w:val="22"/>
          <w:lang w:val="sr-Latn-RS"/>
        </w:rPr>
        <w:t>j</w:t>
      </w:r>
      <w:r w:rsidR="007C4430" w:rsidRPr="001164DC">
        <w:rPr>
          <w:sz w:val="22"/>
          <w:szCs w:val="22"/>
          <w:lang w:val="sr-Latn-RS"/>
        </w:rPr>
        <w:t>eljnim</w:t>
      </w:r>
      <w:r w:rsidR="007C4430" w:rsidRPr="00667453">
        <w:rPr>
          <w:sz w:val="22"/>
          <w:szCs w:val="22"/>
          <w:lang w:val="sr-Latn-RS"/>
        </w:rPr>
        <w:t xml:space="preserve"> </w:t>
      </w:r>
      <w:r w:rsidRPr="00667453">
        <w:rPr>
          <w:sz w:val="22"/>
          <w:szCs w:val="22"/>
          <w:lang w:val="sr-Latn-RS"/>
        </w:rPr>
        <w:t xml:space="preserve">placebom kontrolisanim kliničkim ispitivanjima, nezavisno od doze, maligne neoplazme (uključujući nemelanomski karcinom kože) prijavljene su kod 1,2% pacijenata </w:t>
      </w:r>
      <w:r w:rsidR="00745817" w:rsidRPr="00667453">
        <w:rPr>
          <w:sz w:val="22"/>
          <w:szCs w:val="22"/>
          <w:lang w:val="sr-Latn-RS"/>
        </w:rPr>
        <w:t>liječen</w:t>
      </w:r>
      <w:r w:rsidRPr="00667453">
        <w:rPr>
          <w:sz w:val="22"/>
          <w:szCs w:val="22"/>
          <w:lang w:val="sr-Latn-RS"/>
        </w:rPr>
        <w:t>ih anifrolumabom</w:t>
      </w:r>
      <w:r w:rsidR="00D10B81">
        <w:rPr>
          <w:sz w:val="22"/>
          <w:szCs w:val="22"/>
          <w:lang w:val="sr-Latn-RS"/>
        </w:rPr>
        <w:t>,</w:t>
      </w:r>
      <w:r w:rsidRPr="00667453">
        <w:rPr>
          <w:sz w:val="22"/>
          <w:szCs w:val="22"/>
          <w:lang w:val="sr-Latn-RS"/>
        </w:rPr>
        <w:t xml:space="preserve"> u poređenju sa 0,6% pacijenata koji su primali placebo (</w:t>
      </w:r>
      <w:r w:rsidRPr="00B15FA8">
        <w:rPr>
          <w:sz w:val="22"/>
          <w:szCs w:val="22"/>
          <w:lang w:val="sr-Latn-RS"/>
        </w:rPr>
        <w:t>stopa incidence prilagođena za izloženost</w:t>
      </w:r>
      <w:r w:rsidR="00C64811" w:rsidRPr="00B15FA8">
        <w:rPr>
          <w:sz w:val="22"/>
          <w:szCs w:val="22"/>
          <w:lang w:val="sr-Latn-RS"/>
        </w:rPr>
        <w:t xml:space="preserve"> </w:t>
      </w:r>
      <w:r w:rsidR="00C64811" w:rsidRPr="001B7C32">
        <w:rPr>
          <w:sz w:val="22"/>
          <w:szCs w:val="22"/>
          <w:lang w:val="sr-Latn-RS"/>
        </w:rPr>
        <w:t>[</w:t>
      </w:r>
      <w:r w:rsidR="00D10B81" w:rsidRPr="00D10B81">
        <w:rPr>
          <w:sz w:val="22"/>
          <w:szCs w:val="22"/>
          <w:lang w:val="sr-Latn-RS"/>
        </w:rPr>
        <w:t xml:space="preserve">engl. </w:t>
      </w:r>
      <w:r w:rsidR="00D10B81" w:rsidRPr="003B1C29">
        <w:rPr>
          <w:i/>
          <w:sz w:val="22"/>
          <w:szCs w:val="22"/>
          <w:lang w:val="sr-Latn-RS"/>
        </w:rPr>
        <w:t>exposure-adjusted incidence rate</w:t>
      </w:r>
      <w:r w:rsidR="00D10B81">
        <w:rPr>
          <w:sz w:val="22"/>
          <w:szCs w:val="22"/>
          <w:lang w:val="sr-Latn-RS"/>
        </w:rPr>
        <w:t xml:space="preserve">, </w:t>
      </w:r>
      <w:r w:rsidR="00C64811" w:rsidRPr="001B7C32">
        <w:rPr>
          <w:sz w:val="22"/>
          <w:szCs w:val="22"/>
          <w:lang w:val="sr-Latn-RS"/>
        </w:rPr>
        <w:t>EAIR]</w:t>
      </w:r>
      <w:r w:rsidRPr="00B15FA8">
        <w:rPr>
          <w:sz w:val="22"/>
          <w:szCs w:val="22"/>
          <w:lang w:val="sr-Latn-RS"/>
        </w:rPr>
        <w:t>: 1,2 odnosno 0,7</w:t>
      </w:r>
      <w:r w:rsidR="00C64811" w:rsidRPr="00B15FA8">
        <w:rPr>
          <w:sz w:val="22"/>
          <w:szCs w:val="22"/>
          <w:lang w:val="sr-Latn-RS"/>
        </w:rPr>
        <w:t xml:space="preserve"> slučajeva</w:t>
      </w:r>
      <w:r w:rsidRPr="00B15FA8">
        <w:rPr>
          <w:sz w:val="22"/>
          <w:szCs w:val="22"/>
          <w:lang w:val="sr-Latn-RS"/>
        </w:rPr>
        <w:t xml:space="preserve"> na 100 pacijent-godina</w:t>
      </w:r>
      <w:r w:rsidR="00C64811" w:rsidRPr="00B15FA8">
        <w:rPr>
          <w:sz w:val="22"/>
          <w:szCs w:val="22"/>
          <w:lang w:val="sr-Latn-RS"/>
        </w:rPr>
        <w:t xml:space="preserve"> (</w:t>
      </w:r>
      <w:r w:rsidR="006C01D1">
        <w:rPr>
          <w:sz w:val="22"/>
          <w:szCs w:val="22"/>
          <w:lang w:val="sr-Latn-RS"/>
        </w:rPr>
        <w:t xml:space="preserve">engl. </w:t>
      </w:r>
      <w:r w:rsidR="006C01D1" w:rsidRPr="003B1C29">
        <w:rPr>
          <w:i/>
          <w:sz w:val="22"/>
          <w:szCs w:val="22"/>
          <w:lang w:val="sr-Latn-RS"/>
        </w:rPr>
        <w:t>patient years</w:t>
      </w:r>
      <w:r w:rsidR="006C01D1">
        <w:rPr>
          <w:sz w:val="22"/>
          <w:szCs w:val="22"/>
          <w:lang w:val="sr-Latn-RS"/>
        </w:rPr>
        <w:t>,</w:t>
      </w:r>
      <w:r w:rsidR="006C01D1" w:rsidRPr="006C01D1">
        <w:rPr>
          <w:sz w:val="22"/>
          <w:szCs w:val="22"/>
          <w:lang w:val="sr-Latn-RS"/>
        </w:rPr>
        <w:t xml:space="preserve"> </w:t>
      </w:r>
      <w:r w:rsidR="00C64811" w:rsidRPr="00B15FA8">
        <w:rPr>
          <w:sz w:val="22"/>
          <w:szCs w:val="22"/>
          <w:lang w:val="sr-Latn-RS"/>
        </w:rPr>
        <w:t>PY)</w:t>
      </w:r>
      <w:r w:rsidRPr="00B15FA8">
        <w:rPr>
          <w:sz w:val="22"/>
          <w:szCs w:val="22"/>
          <w:lang w:val="sr-Latn-RS"/>
        </w:rPr>
        <w:t>).</w:t>
      </w:r>
      <w:r w:rsidRPr="00667453">
        <w:rPr>
          <w:sz w:val="22"/>
          <w:szCs w:val="22"/>
          <w:lang w:val="sr-Latn-RS"/>
        </w:rPr>
        <w:t xml:space="preserve"> Drugi maligniteti osim nemelanomskog karcinoma kože </w:t>
      </w:r>
      <w:r w:rsidR="008419A5" w:rsidRPr="00667453">
        <w:rPr>
          <w:sz w:val="22"/>
          <w:szCs w:val="22"/>
          <w:lang w:val="sr-Latn-RS"/>
        </w:rPr>
        <w:t>zabilje</w:t>
      </w:r>
      <w:r w:rsidRPr="00667453">
        <w:rPr>
          <w:sz w:val="22"/>
          <w:szCs w:val="22"/>
          <w:lang w:val="sr-Latn-RS"/>
        </w:rPr>
        <w:t xml:space="preserve">ženi </w:t>
      </w:r>
      <w:r w:rsidRPr="00667453">
        <w:rPr>
          <w:sz w:val="22"/>
          <w:szCs w:val="22"/>
          <w:lang w:val="sr-Latn-RS"/>
        </w:rPr>
        <w:lastRenderedPageBreak/>
        <w:t xml:space="preserve">su kod 0,7% pacijenata </w:t>
      </w:r>
      <w:r w:rsidR="00745817" w:rsidRPr="00667453">
        <w:rPr>
          <w:sz w:val="22"/>
          <w:szCs w:val="22"/>
          <w:lang w:val="sr-Latn-RS"/>
        </w:rPr>
        <w:t>liječen</w:t>
      </w:r>
      <w:r w:rsidRPr="00667453">
        <w:rPr>
          <w:sz w:val="22"/>
          <w:szCs w:val="22"/>
          <w:lang w:val="sr-Latn-RS"/>
        </w:rPr>
        <w:t xml:space="preserve">ih anifrolumabom i 0,6% onih koji su primali placebo. Maligniteti </w:t>
      </w:r>
      <w:r w:rsidR="008419A5" w:rsidRPr="00667453">
        <w:rPr>
          <w:sz w:val="22"/>
          <w:szCs w:val="22"/>
          <w:lang w:val="sr-Latn-RS"/>
        </w:rPr>
        <w:t>zabilje</w:t>
      </w:r>
      <w:r w:rsidRPr="00667453">
        <w:rPr>
          <w:sz w:val="22"/>
          <w:szCs w:val="22"/>
          <w:lang w:val="sr-Latn-RS"/>
        </w:rPr>
        <w:t xml:space="preserve">ženi kod više od jednog pacijenta </w:t>
      </w:r>
      <w:r w:rsidR="00745817" w:rsidRPr="00667453">
        <w:rPr>
          <w:sz w:val="22"/>
          <w:szCs w:val="22"/>
          <w:lang w:val="sr-Latn-RS"/>
        </w:rPr>
        <w:t>liječen</w:t>
      </w:r>
      <w:r w:rsidRPr="00667453">
        <w:rPr>
          <w:sz w:val="22"/>
          <w:szCs w:val="22"/>
          <w:lang w:val="sr-Latn-RS"/>
        </w:rPr>
        <w:t>og anifrolumabom uključivali su karcinom dojke i karcinom skvamoznih ćelija.</w:t>
      </w:r>
    </w:p>
    <w:p w14:paraId="7E7E2DC5" w14:textId="47797708"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Kod pacijenata sa poznatim faktorima rizika za razvoj ili recidiv maligniteta treba individualno razmotriti odnos koristi i rizika </w:t>
      </w:r>
      <w:r w:rsidR="00745817" w:rsidRPr="00667453">
        <w:rPr>
          <w:sz w:val="22"/>
          <w:szCs w:val="22"/>
          <w:lang w:val="sr-Latn-RS"/>
        </w:rPr>
        <w:t>liječenja</w:t>
      </w:r>
      <w:r w:rsidRPr="00667453">
        <w:rPr>
          <w:sz w:val="22"/>
          <w:szCs w:val="22"/>
          <w:lang w:val="sr-Latn-RS"/>
        </w:rPr>
        <w:t xml:space="preserve">. Potreban je oprez kad se razmatra nastavak </w:t>
      </w:r>
      <w:r w:rsidR="00745817" w:rsidRPr="00667453">
        <w:rPr>
          <w:sz w:val="22"/>
          <w:szCs w:val="22"/>
          <w:lang w:val="sr-Latn-RS"/>
        </w:rPr>
        <w:t>liječenja</w:t>
      </w:r>
      <w:r w:rsidRPr="00667453">
        <w:rPr>
          <w:sz w:val="22"/>
          <w:szCs w:val="22"/>
          <w:lang w:val="sr-Latn-RS"/>
        </w:rPr>
        <w:t xml:space="preserve"> pacijenata kod kojih je došlo do pojave maligniteta.</w:t>
      </w:r>
    </w:p>
    <w:p w14:paraId="031785AF" w14:textId="77777777" w:rsidR="00057E35" w:rsidRPr="00667453" w:rsidRDefault="00057E35" w:rsidP="001B7C32">
      <w:pPr>
        <w:widowControl w:val="0"/>
        <w:tabs>
          <w:tab w:val="left" w:pos="540"/>
          <w:tab w:val="left" w:pos="569"/>
        </w:tabs>
        <w:jc w:val="both"/>
        <w:rPr>
          <w:bCs/>
          <w:sz w:val="22"/>
          <w:szCs w:val="22"/>
          <w:lang w:val="sr-Latn-RS"/>
        </w:rPr>
      </w:pPr>
    </w:p>
    <w:p w14:paraId="38704CD0" w14:textId="77777777" w:rsidR="00411B4B" w:rsidRPr="00667453" w:rsidRDefault="00411B4B" w:rsidP="001B7C32">
      <w:pPr>
        <w:widowControl w:val="0"/>
        <w:tabs>
          <w:tab w:val="left" w:pos="540"/>
          <w:tab w:val="left" w:pos="569"/>
        </w:tabs>
        <w:jc w:val="both"/>
        <w:rPr>
          <w:b/>
          <w:bCs/>
          <w:sz w:val="22"/>
          <w:szCs w:val="22"/>
          <w:lang w:val="sr-Latn-RS"/>
        </w:rPr>
      </w:pPr>
      <w:r w:rsidRPr="00667453">
        <w:rPr>
          <w:b/>
          <w:bCs/>
          <w:sz w:val="22"/>
          <w:szCs w:val="22"/>
          <w:lang w:val="sr-Latn-RS"/>
        </w:rPr>
        <w:t>4.5.</w:t>
      </w:r>
      <w:r w:rsidR="000D60CC" w:rsidRPr="00667453">
        <w:rPr>
          <w:b/>
          <w:bCs/>
          <w:sz w:val="22"/>
          <w:szCs w:val="22"/>
          <w:lang w:val="sr-Latn-RS"/>
        </w:rPr>
        <w:tab/>
      </w:r>
      <w:r w:rsidRPr="00667453">
        <w:rPr>
          <w:b/>
          <w:bCs/>
          <w:sz w:val="22"/>
          <w:szCs w:val="22"/>
          <w:lang w:val="sr-Latn-RS"/>
        </w:rPr>
        <w:t>Interakcije sa drugim ljekovima i druge vrste interakcija</w:t>
      </w:r>
    </w:p>
    <w:p w14:paraId="473F90EB" w14:textId="23475C43" w:rsidR="0072020E" w:rsidRPr="00667453" w:rsidRDefault="0072020E" w:rsidP="001B7C32">
      <w:pPr>
        <w:widowControl w:val="0"/>
        <w:tabs>
          <w:tab w:val="left" w:pos="540"/>
          <w:tab w:val="left" w:pos="569"/>
        </w:tabs>
        <w:jc w:val="both"/>
        <w:rPr>
          <w:bCs/>
          <w:sz w:val="22"/>
          <w:szCs w:val="22"/>
          <w:lang w:val="sr-Latn-RS"/>
        </w:rPr>
      </w:pPr>
    </w:p>
    <w:p w14:paraId="5BA9037B" w14:textId="74DE594F"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Studije interakcije sa drugim </w:t>
      </w:r>
      <w:r w:rsidR="00745817" w:rsidRPr="00667453">
        <w:rPr>
          <w:sz w:val="22"/>
          <w:szCs w:val="22"/>
          <w:lang w:val="sr-Latn-RS"/>
        </w:rPr>
        <w:t>ljekovima</w:t>
      </w:r>
      <w:r w:rsidRPr="00667453">
        <w:rPr>
          <w:sz w:val="22"/>
          <w:szCs w:val="22"/>
          <w:lang w:val="sr-Latn-RS"/>
        </w:rPr>
        <w:t xml:space="preserve"> </w:t>
      </w:r>
      <w:r w:rsidR="00745817" w:rsidRPr="00667453">
        <w:rPr>
          <w:sz w:val="22"/>
          <w:szCs w:val="22"/>
          <w:lang w:val="sr-Latn-RS"/>
        </w:rPr>
        <w:t>nijesu</w:t>
      </w:r>
      <w:r w:rsidRPr="00667453">
        <w:rPr>
          <w:sz w:val="22"/>
          <w:szCs w:val="22"/>
          <w:lang w:val="sr-Latn-RS"/>
        </w:rPr>
        <w:t xml:space="preserve"> sprovedene.</w:t>
      </w:r>
    </w:p>
    <w:p w14:paraId="7DF76597" w14:textId="77777777" w:rsidR="0082002F" w:rsidRPr="00667453" w:rsidRDefault="0082002F" w:rsidP="001B7C32">
      <w:pPr>
        <w:widowControl w:val="0"/>
        <w:autoSpaceDE w:val="0"/>
        <w:autoSpaceDN w:val="0"/>
        <w:jc w:val="both"/>
        <w:rPr>
          <w:sz w:val="22"/>
          <w:szCs w:val="22"/>
          <w:lang w:val="sr-Latn-RS"/>
        </w:rPr>
      </w:pPr>
    </w:p>
    <w:p w14:paraId="17013EE1" w14:textId="7777777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Ne očekuje se da će anifrolumab proći metabolizam posredstvom jetrenih enzima, niti da će biti eliminisan putem bubrega.</w:t>
      </w:r>
    </w:p>
    <w:p w14:paraId="25D5FC4E" w14:textId="77777777" w:rsidR="0082002F" w:rsidRPr="00667453" w:rsidRDefault="0082002F" w:rsidP="001B7C32">
      <w:pPr>
        <w:widowControl w:val="0"/>
        <w:autoSpaceDE w:val="0"/>
        <w:autoSpaceDN w:val="0"/>
        <w:jc w:val="both"/>
        <w:rPr>
          <w:sz w:val="22"/>
          <w:szCs w:val="22"/>
          <w:lang w:val="sr-Latn-RS"/>
        </w:rPr>
      </w:pPr>
    </w:p>
    <w:p w14:paraId="1D3D0984" w14:textId="71FD68C9" w:rsidR="0082002F" w:rsidRPr="00667453" w:rsidRDefault="0082002F" w:rsidP="001B7C32">
      <w:pPr>
        <w:widowControl w:val="0"/>
        <w:autoSpaceDE w:val="0"/>
        <w:autoSpaceDN w:val="0"/>
        <w:jc w:val="both"/>
        <w:rPr>
          <w:sz w:val="22"/>
          <w:szCs w:val="22"/>
          <w:lang w:val="sr-Latn-RS"/>
        </w:rPr>
      </w:pPr>
      <w:r w:rsidRPr="00667453">
        <w:rPr>
          <w:sz w:val="22"/>
          <w:szCs w:val="22"/>
          <w:lang w:val="sr-Latn-RS"/>
        </w:rPr>
        <w:t>Povišeni nivoi određenih citokina tokom hronične upale potiskuju proizvodnju nekih enzima CYP450. Anifrolumab blago snižava nivoe nekih citokina, ali nije poznato da li utiče na aktivnost CYP450. Preporučuje se terapijsko praćenje kod pacijenata koji se istovremeno l</w:t>
      </w:r>
      <w:r w:rsidR="00745817" w:rsidRPr="00667453">
        <w:rPr>
          <w:sz w:val="22"/>
          <w:szCs w:val="22"/>
          <w:lang w:val="sr-Latn-RS"/>
        </w:rPr>
        <w:t>ij</w:t>
      </w:r>
      <w:r w:rsidRPr="00667453">
        <w:rPr>
          <w:sz w:val="22"/>
          <w:szCs w:val="22"/>
          <w:lang w:val="sr-Latn-RS"/>
        </w:rPr>
        <w:t xml:space="preserve">eče drugim </w:t>
      </w:r>
      <w:r w:rsidR="00745817" w:rsidRPr="00667453">
        <w:rPr>
          <w:sz w:val="22"/>
          <w:szCs w:val="22"/>
          <w:lang w:val="sr-Latn-RS"/>
        </w:rPr>
        <w:t>ljekovima</w:t>
      </w:r>
      <w:r w:rsidRPr="00667453">
        <w:rPr>
          <w:sz w:val="22"/>
          <w:szCs w:val="22"/>
          <w:lang w:val="sr-Latn-RS"/>
        </w:rPr>
        <w:t xml:space="preserve"> koji su supstrati CYP sa uskim terapijskim indeksom i čija se doza individualno podešava (npr. varfarinom).</w:t>
      </w:r>
    </w:p>
    <w:p w14:paraId="49A2C3E0" w14:textId="77777777" w:rsidR="0082002F" w:rsidRPr="00667453" w:rsidRDefault="0082002F" w:rsidP="001B7C32">
      <w:pPr>
        <w:widowControl w:val="0"/>
        <w:autoSpaceDE w:val="0"/>
        <w:autoSpaceDN w:val="0"/>
        <w:jc w:val="both"/>
        <w:rPr>
          <w:sz w:val="22"/>
          <w:szCs w:val="22"/>
          <w:lang w:val="sr-Latn-RS"/>
        </w:rPr>
      </w:pPr>
    </w:p>
    <w:p w14:paraId="044147B0" w14:textId="3A98F2BE"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Imun</w:t>
      </w:r>
      <w:r w:rsidR="00114A14" w:rsidRPr="00667453">
        <w:rPr>
          <w:sz w:val="22"/>
          <w:szCs w:val="22"/>
          <w:u w:val="single"/>
          <w:lang w:val="sr-Latn-RS"/>
        </w:rPr>
        <w:t>ološko</w:t>
      </w:r>
      <w:r w:rsidRPr="00667453">
        <w:rPr>
          <w:sz w:val="22"/>
          <w:szCs w:val="22"/>
          <w:u w:val="single"/>
          <w:lang w:val="sr-Latn-RS"/>
        </w:rPr>
        <w:t xml:space="preserve"> odgovor</w:t>
      </w:r>
    </w:p>
    <w:p w14:paraId="5767E036" w14:textId="77777777" w:rsidR="0082002F" w:rsidRPr="00667453" w:rsidRDefault="0082002F" w:rsidP="001B7C32">
      <w:pPr>
        <w:widowControl w:val="0"/>
        <w:autoSpaceDE w:val="0"/>
        <w:autoSpaceDN w:val="0"/>
        <w:jc w:val="both"/>
        <w:rPr>
          <w:sz w:val="22"/>
          <w:szCs w:val="22"/>
          <w:lang w:val="sr-Latn-RS"/>
        </w:rPr>
      </w:pPr>
    </w:p>
    <w:p w14:paraId="47115713" w14:textId="3D116694"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Nije ispitivana istovremena </w:t>
      </w:r>
      <w:r w:rsidR="00745817" w:rsidRPr="00667453">
        <w:rPr>
          <w:sz w:val="22"/>
          <w:szCs w:val="22"/>
          <w:lang w:val="sr-Latn-RS"/>
        </w:rPr>
        <w:t>primjena</w:t>
      </w:r>
      <w:r w:rsidRPr="00667453">
        <w:rPr>
          <w:sz w:val="22"/>
          <w:szCs w:val="22"/>
          <w:lang w:val="sr-Latn-RS"/>
        </w:rPr>
        <w:t xml:space="preserve"> anifrolumaba i vakcina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4.4).</w:t>
      </w:r>
    </w:p>
    <w:p w14:paraId="03AB3F53" w14:textId="77777777" w:rsidR="0082002F" w:rsidRPr="00667453" w:rsidRDefault="0082002F" w:rsidP="001B7C32">
      <w:pPr>
        <w:widowControl w:val="0"/>
        <w:tabs>
          <w:tab w:val="left" w:pos="540"/>
          <w:tab w:val="left" w:pos="569"/>
        </w:tabs>
        <w:jc w:val="both"/>
        <w:rPr>
          <w:bCs/>
          <w:sz w:val="22"/>
          <w:szCs w:val="22"/>
          <w:lang w:val="sr-Latn-RS"/>
        </w:rPr>
      </w:pPr>
    </w:p>
    <w:p w14:paraId="6CA7718B" w14:textId="77777777" w:rsidR="0072020E" w:rsidRPr="00667453" w:rsidRDefault="0072020E" w:rsidP="001B7C32">
      <w:pPr>
        <w:widowControl w:val="0"/>
        <w:tabs>
          <w:tab w:val="left" w:pos="540"/>
          <w:tab w:val="left" w:pos="569"/>
        </w:tabs>
        <w:jc w:val="both"/>
        <w:rPr>
          <w:b/>
          <w:sz w:val="22"/>
          <w:szCs w:val="22"/>
          <w:lang w:val="sr-Latn-RS"/>
        </w:rPr>
      </w:pPr>
      <w:r w:rsidRPr="00667453">
        <w:rPr>
          <w:b/>
          <w:bCs/>
          <w:sz w:val="22"/>
          <w:szCs w:val="22"/>
          <w:lang w:val="sr-Latn-RS"/>
        </w:rPr>
        <w:t xml:space="preserve">4.6. </w:t>
      </w:r>
      <w:r w:rsidR="00480FB1" w:rsidRPr="00667453">
        <w:rPr>
          <w:b/>
          <w:bCs/>
          <w:sz w:val="22"/>
          <w:szCs w:val="22"/>
          <w:lang w:val="sr-Latn-RS"/>
        </w:rPr>
        <w:tab/>
      </w:r>
      <w:r w:rsidR="006D20A5" w:rsidRPr="00667453">
        <w:rPr>
          <w:b/>
          <w:sz w:val="22"/>
          <w:szCs w:val="22"/>
          <w:lang w:val="sr-Latn-RS"/>
        </w:rPr>
        <w:t>Plodnost, trudnoća i dojenje</w:t>
      </w:r>
    </w:p>
    <w:p w14:paraId="6EBBCA18" w14:textId="77777777" w:rsidR="002031B3" w:rsidRPr="00667453" w:rsidRDefault="002031B3" w:rsidP="001B7C32">
      <w:pPr>
        <w:widowControl w:val="0"/>
        <w:tabs>
          <w:tab w:val="left" w:pos="540"/>
          <w:tab w:val="left" w:pos="569"/>
        </w:tabs>
        <w:jc w:val="both"/>
        <w:rPr>
          <w:sz w:val="22"/>
          <w:szCs w:val="22"/>
          <w:u w:val="single"/>
          <w:lang w:val="sr-Latn-RS"/>
        </w:rPr>
      </w:pPr>
    </w:p>
    <w:p w14:paraId="3544EA70" w14:textId="77777777" w:rsidR="002031B3" w:rsidRPr="00667453" w:rsidRDefault="002031B3" w:rsidP="001B7C32">
      <w:pPr>
        <w:widowControl w:val="0"/>
        <w:tabs>
          <w:tab w:val="left" w:pos="540"/>
          <w:tab w:val="left" w:pos="569"/>
        </w:tabs>
        <w:jc w:val="both"/>
        <w:rPr>
          <w:sz w:val="22"/>
          <w:szCs w:val="22"/>
          <w:lang w:val="sr-Latn-RS"/>
        </w:rPr>
      </w:pPr>
      <w:r w:rsidRPr="00667453">
        <w:rPr>
          <w:sz w:val="22"/>
          <w:szCs w:val="22"/>
          <w:lang w:val="sr-Latn-RS"/>
        </w:rPr>
        <w:t>Plodnost</w:t>
      </w:r>
    </w:p>
    <w:p w14:paraId="2FE29DEF" w14:textId="61B6653F" w:rsidR="002031B3" w:rsidRPr="00667453" w:rsidRDefault="002031B3" w:rsidP="001B7C32">
      <w:pPr>
        <w:widowControl w:val="0"/>
        <w:tabs>
          <w:tab w:val="left" w:pos="540"/>
          <w:tab w:val="left" w:pos="569"/>
        </w:tabs>
        <w:jc w:val="both"/>
        <w:rPr>
          <w:sz w:val="22"/>
          <w:szCs w:val="22"/>
          <w:u w:val="single"/>
          <w:lang w:val="sr-Latn-RS"/>
        </w:rPr>
      </w:pPr>
    </w:p>
    <w:p w14:paraId="78DDD736" w14:textId="7777777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Nema podataka o uticaju na plodnost kod ljudi.</w:t>
      </w:r>
    </w:p>
    <w:p w14:paraId="71962F85" w14:textId="77777777" w:rsidR="0082002F" w:rsidRPr="00667453" w:rsidRDefault="0082002F" w:rsidP="001B7C32">
      <w:pPr>
        <w:widowControl w:val="0"/>
        <w:autoSpaceDE w:val="0"/>
        <w:autoSpaceDN w:val="0"/>
        <w:jc w:val="both"/>
        <w:rPr>
          <w:sz w:val="22"/>
          <w:szCs w:val="22"/>
          <w:lang w:val="sr-Latn-RS"/>
        </w:rPr>
      </w:pPr>
    </w:p>
    <w:p w14:paraId="29A9F9BA" w14:textId="0C29EC2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Studije na životinjama ne ukazuju ni na kakva štetna dejstva anifrolumaba na indirektne m</w:t>
      </w:r>
      <w:r w:rsidR="00745817" w:rsidRPr="00667453">
        <w:rPr>
          <w:sz w:val="22"/>
          <w:szCs w:val="22"/>
          <w:lang w:val="sr-Latn-RS"/>
        </w:rPr>
        <w:t>j</w:t>
      </w:r>
      <w:r w:rsidRPr="00667453">
        <w:rPr>
          <w:sz w:val="22"/>
          <w:szCs w:val="22"/>
          <w:lang w:val="sr-Latn-RS"/>
        </w:rPr>
        <w:t>ere plodnosti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5.3).</w:t>
      </w:r>
    </w:p>
    <w:p w14:paraId="2D57101C" w14:textId="77777777" w:rsidR="0082002F" w:rsidRPr="00667453" w:rsidRDefault="0082002F" w:rsidP="001B7C32">
      <w:pPr>
        <w:widowControl w:val="0"/>
        <w:tabs>
          <w:tab w:val="left" w:pos="540"/>
          <w:tab w:val="left" w:pos="569"/>
        </w:tabs>
        <w:jc w:val="both"/>
        <w:rPr>
          <w:sz w:val="22"/>
          <w:szCs w:val="22"/>
          <w:u w:val="single"/>
          <w:lang w:val="sr-Latn-RS"/>
        </w:rPr>
      </w:pPr>
    </w:p>
    <w:p w14:paraId="23D1AC19" w14:textId="77777777" w:rsidR="007A3ECB" w:rsidRPr="00667453" w:rsidRDefault="007A3ECB" w:rsidP="001B7C32">
      <w:pPr>
        <w:widowControl w:val="0"/>
        <w:tabs>
          <w:tab w:val="left" w:pos="540"/>
          <w:tab w:val="left" w:pos="569"/>
        </w:tabs>
        <w:jc w:val="both"/>
        <w:rPr>
          <w:sz w:val="22"/>
          <w:szCs w:val="22"/>
          <w:u w:val="single"/>
          <w:lang w:val="sr-Latn-RS"/>
        </w:rPr>
      </w:pPr>
      <w:r w:rsidRPr="00667453">
        <w:rPr>
          <w:sz w:val="22"/>
          <w:szCs w:val="22"/>
          <w:u w:val="single"/>
          <w:lang w:val="sr-Latn-RS"/>
        </w:rPr>
        <w:t>Trudnoća</w:t>
      </w:r>
    </w:p>
    <w:p w14:paraId="27FE4C9A" w14:textId="1E254A21" w:rsidR="0082002F" w:rsidRPr="00667453" w:rsidRDefault="0082002F" w:rsidP="001B7C32">
      <w:pPr>
        <w:widowControl w:val="0"/>
        <w:autoSpaceDE w:val="0"/>
        <w:autoSpaceDN w:val="0"/>
        <w:jc w:val="both"/>
        <w:rPr>
          <w:sz w:val="22"/>
          <w:szCs w:val="22"/>
          <w:lang w:val="sr-Latn-RS"/>
        </w:rPr>
      </w:pPr>
      <w:r w:rsidRPr="00667453">
        <w:rPr>
          <w:sz w:val="22"/>
          <w:szCs w:val="22"/>
          <w:lang w:val="sr-Latn-RS"/>
        </w:rPr>
        <w:t>Dostupni su ograničeni podaci (manje od 300 ishoda trudnoća) o prim</w:t>
      </w:r>
      <w:r w:rsidR="00745817" w:rsidRPr="00667453">
        <w:rPr>
          <w:sz w:val="22"/>
          <w:szCs w:val="22"/>
          <w:lang w:val="sr-Latn-RS"/>
        </w:rPr>
        <w:t>j</w:t>
      </w:r>
      <w:r w:rsidRPr="00667453">
        <w:rPr>
          <w:sz w:val="22"/>
          <w:szCs w:val="22"/>
          <w:lang w:val="sr-Latn-RS"/>
        </w:rPr>
        <w:t>eni l</w:t>
      </w:r>
      <w:r w:rsidR="00745817" w:rsidRPr="00667453">
        <w:rPr>
          <w:sz w:val="22"/>
          <w:szCs w:val="22"/>
          <w:lang w:val="sr-Latn-RS"/>
        </w:rPr>
        <w:t>ij</w:t>
      </w:r>
      <w:r w:rsidRPr="00667453">
        <w:rPr>
          <w:sz w:val="22"/>
          <w:szCs w:val="22"/>
          <w:lang w:val="sr-Latn-RS"/>
        </w:rPr>
        <w:t>eka Saphnelo kod trudnica.</w:t>
      </w:r>
    </w:p>
    <w:p w14:paraId="61CD77BA" w14:textId="77777777" w:rsidR="0082002F" w:rsidRPr="00667453" w:rsidRDefault="0082002F" w:rsidP="001B7C32">
      <w:pPr>
        <w:widowControl w:val="0"/>
        <w:autoSpaceDE w:val="0"/>
        <w:autoSpaceDN w:val="0"/>
        <w:jc w:val="both"/>
        <w:rPr>
          <w:sz w:val="22"/>
          <w:szCs w:val="22"/>
          <w:lang w:val="sr-Latn-RS"/>
        </w:rPr>
      </w:pPr>
    </w:p>
    <w:p w14:paraId="2276F4DC" w14:textId="44F53EC3"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Studije na životinjama </w:t>
      </w:r>
      <w:r w:rsidR="00745817" w:rsidRPr="00667453">
        <w:rPr>
          <w:sz w:val="22"/>
          <w:szCs w:val="22"/>
          <w:lang w:val="sr-Latn-RS"/>
        </w:rPr>
        <w:t>nijesu</w:t>
      </w:r>
      <w:r w:rsidRPr="00667453">
        <w:rPr>
          <w:sz w:val="22"/>
          <w:szCs w:val="22"/>
          <w:lang w:val="sr-Latn-RS"/>
        </w:rPr>
        <w:t xml:space="preserve"> dale jasne rezultate u pogledu reproduktivne toksičnosti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5.3).</w:t>
      </w:r>
    </w:p>
    <w:p w14:paraId="489C710A" w14:textId="77777777" w:rsidR="0082002F" w:rsidRPr="00667453" w:rsidRDefault="0082002F" w:rsidP="001B7C32">
      <w:pPr>
        <w:widowControl w:val="0"/>
        <w:autoSpaceDE w:val="0"/>
        <w:autoSpaceDN w:val="0"/>
        <w:jc w:val="both"/>
        <w:rPr>
          <w:sz w:val="22"/>
          <w:szCs w:val="22"/>
          <w:lang w:val="sr-Latn-RS"/>
        </w:rPr>
      </w:pPr>
    </w:p>
    <w:p w14:paraId="34A973A9" w14:textId="2120FA23" w:rsidR="0082002F" w:rsidRPr="00667453" w:rsidRDefault="0075776A" w:rsidP="001B7C32">
      <w:pPr>
        <w:widowControl w:val="0"/>
        <w:autoSpaceDE w:val="0"/>
        <w:autoSpaceDN w:val="0"/>
        <w:jc w:val="both"/>
        <w:rPr>
          <w:sz w:val="22"/>
          <w:szCs w:val="22"/>
          <w:lang w:val="sr-Latn-RS"/>
        </w:rPr>
      </w:pPr>
      <w:r w:rsidRPr="00667453">
        <w:rPr>
          <w:sz w:val="22"/>
          <w:szCs w:val="22"/>
          <w:lang w:val="sr-Latn-RS"/>
        </w:rPr>
        <w:t xml:space="preserve">Lijek </w:t>
      </w:r>
      <w:r w:rsidR="0082002F" w:rsidRPr="00667453">
        <w:rPr>
          <w:sz w:val="22"/>
          <w:szCs w:val="22"/>
          <w:lang w:val="sr-Latn-RS"/>
        </w:rPr>
        <w:t xml:space="preserve">Saphnelo se ne preporučuje kod trudnica i žena sa reproduktivnim potencijalom koje ne koriste kontracepciju, osim u slučajevima kada moguća korist </w:t>
      </w:r>
      <w:r w:rsidR="00745817" w:rsidRPr="00667453">
        <w:rPr>
          <w:sz w:val="22"/>
          <w:szCs w:val="22"/>
          <w:lang w:val="sr-Latn-RS"/>
        </w:rPr>
        <w:t>liječenja</w:t>
      </w:r>
      <w:r w:rsidR="0082002F" w:rsidRPr="00667453">
        <w:rPr>
          <w:sz w:val="22"/>
          <w:szCs w:val="22"/>
          <w:lang w:val="sr-Latn-RS"/>
        </w:rPr>
        <w:t xml:space="preserve"> </w:t>
      </w:r>
      <w:r w:rsidRPr="00667453">
        <w:rPr>
          <w:sz w:val="22"/>
          <w:szCs w:val="22"/>
          <w:lang w:val="sr-Latn-RS"/>
        </w:rPr>
        <w:t xml:space="preserve">prevazilazi </w:t>
      </w:r>
      <w:r w:rsidR="0082002F" w:rsidRPr="00667453">
        <w:rPr>
          <w:sz w:val="22"/>
          <w:szCs w:val="22"/>
          <w:lang w:val="sr-Latn-RS"/>
        </w:rPr>
        <w:t>mogući rizik.</w:t>
      </w:r>
    </w:p>
    <w:p w14:paraId="3DC3FF7E" w14:textId="77777777" w:rsidR="002031B3" w:rsidRPr="00667453" w:rsidRDefault="002031B3" w:rsidP="001B7C32">
      <w:pPr>
        <w:widowControl w:val="0"/>
        <w:tabs>
          <w:tab w:val="left" w:pos="540"/>
          <w:tab w:val="left" w:pos="569"/>
        </w:tabs>
        <w:jc w:val="both"/>
        <w:rPr>
          <w:sz w:val="22"/>
          <w:szCs w:val="22"/>
          <w:u w:val="single"/>
          <w:lang w:val="sr-Latn-RS"/>
        </w:rPr>
      </w:pPr>
    </w:p>
    <w:p w14:paraId="232D5865" w14:textId="77777777" w:rsidR="0072020E" w:rsidRPr="00667453" w:rsidRDefault="007A3ECB" w:rsidP="001B7C32">
      <w:pPr>
        <w:widowControl w:val="0"/>
        <w:tabs>
          <w:tab w:val="left" w:pos="540"/>
          <w:tab w:val="left" w:pos="569"/>
        </w:tabs>
        <w:jc w:val="both"/>
        <w:rPr>
          <w:b/>
          <w:bCs/>
          <w:sz w:val="22"/>
          <w:szCs w:val="22"/>
          <w:lang w:val="sr-Latn-RS"/>
        </w:rPr>
      </w:pPr>
      <w:r w:rsidRPr="00667453">
        <w:rPr>
          <w:sz w:val="22"/>
          <w:szCs w:val="22"/>
          <w:u w:val="single"/>
          <w:lang w:val="sr-Latn-RS"/>
        </w:rPr>
        <w:t xml:space="preserve">Dojenje </w:t>
      </w:r>
    </w:p>
    <w:p w14:paraId="1DA4E972" w14:textId="703D29C2" w:rsidR="00227BDB" w:rsidRPr="00667453" w:rsidRDefault="00227BDB" w:rsidP="001B7C32">
      <w:pPr>
        <w:widowControl w:val="0"/>
        <w:tabs>
          <w:tab w:val="left" w:pos="540"/>
          <w:tab w:val="left" w:pos="569"/>
        </w:tabs>
        <w:ind w:hanging="540"/>
        <w:rPr>
          <w:b/>
          <w:bCs/>
          <w:sz w:val="22"/>
          <w:szCs w:val="22"/>
          <w:lang w:val="sr-Latn-RS"/>
        </w:rPr>
      </w:pPr>
    </w:p>
    <w:p w14:paraId="141B3A58" w14:textId="0928E5FD" w:rsidR="0082002F" w:rsidRPr="00667453" w:rsidRDefault="0082002F" w:rsidP="001B7C32">
      <w:pPr>
        <w:widowControl w:val="0"/>
        <w:tabs>
          <w:tab w:val="left" w:pos="8789"/>
        </w:tabs>
        <w:autoSpaceDE w:val="0"/>
        <w:autoSpaceDN w:val="0"/>
        <w:jc w:val="both"/>
        <w:rPr>
          <w:sz w:val="22"/>
          <w:szCs w:val="22"/>
          <w:lang w:val="sr-Latn-RS"/>
        </w:rPr>
      </w:pPr>
      <w:r w:rsidRPr="00667453">
        <w:rPr>
          <w:sz w:val="22"/>
          <w:szCs w:val="22"/>
          <w:lang w:val="sr-Latn-RS"/>
        </w:rPr>
        <w:t>Nije poznato da li se anifrolumab izlučuje u majčino ml</w:t>
      </w:r>
      <w:r w:rsidR="00745817" w:rsidRPr="00667453">
        <w:rPr>
          <w:sz w:val="22"/>
          <w:szCs w:val="22"/>
          <w:lang w:val="sr-Latn-RS"/>
        </w:rPr>
        <w:t>ij</w:t>
      </w:r>
      <w:r w:rsidRPr="00667453">
        <w:rPr>
          <w:sz w:val="22"/>
          <w:szCs w:val="22"/>
          <w:lang w:val="sr-Latn-RS"/>
        </w:rPr>
        <w:t>eko. Anifrolumab je otkriven u ml</w:t>
      </w:r>
      <w:r w:rsidR="00745817" w:rsidRPr="00667453">
        <w:rPr>
          <w:sz w:val="22"/>
          <w:szCs w:val="22"/>
          <w:lang w:val="sr-Latn-RS"/>
        </w:rPr>
        <w:t>ij</w:t>
      </w:r>
      <w:r w:rsidRPr="00667453">
        <w:rPr>
          <w:sz w:val="22"/>
          <w:szCs w:val="22"/>
          <w:lang w:val="sr-Latn-RS"/>
        </w:rPr>
        <w:t>eku ženki makaki majmuna (</w:t>
      </w:r>
      <w:r w:rsidR="00745817" w:rsidRPr="00667453">
        <w:rPr>
          <w:sz w:val="22"/>
          <w:szCs w:val="22"/>
          <w:lang w:val="sr-Latn-RS"/>
        </w:rPr>
        <w:t>vidjeti</w:t>
      </w:r>
      <w:r w:rsidRPr="00667453">
        <w:rPr>
          <w:sz w:val="22"/>
          <w:szCs w:val="22"/>
          <w:lang w:val="sr-Latn-RS"/>
        </w:rPr>
        <w:t xml:space="preserve"> </w:t>
      </w:r>
      <w:r w:rsidR="008419A5" w:rsidRPr="00667453">
        <w:rPr>
          <w:sz w:val="22"/>
          <w:szCs w:val="22"/>
          <w:lang w:val="sr-Latn-RS"/>
        </w:rPr>
        <w:t>dio</w:t>
      </w:r>
      <w:r w:rsidRPr="00667453">
        <w:rPr>
          <w:sz w:val="22"/>
          <w:szCs w:val="22"/>
          <w:lang w:val="sr-Latn-RS"/>
        </w:rPr>
        <w:t xml:space="preserve"> 5.3).</w:t>
      </w:r>
    </w:p>
    <w:p w14:paraId="7399F8BD" w14:textId="77777777" w:rsidR="0082002F" w:rsidRPr="00667453" w:rsidRDefault="0082002F" w:rsidP="001B7C32">
      <w:pPr>
        <w:widowControl w:val="0"/>
        <w:autoSpaceDE w:val="0"/>
        <w:autoSpaceDN w:val="0"/>
        <w:jc w:val="both"/>
        <w:rPr>
          <w:sz w:val="22"/>
          <w:szCs w:val="22"/>
          <w:lang w:val="sr-Latn-RS"/>
        </w:rPr>
      </w:pPr>
    </w:p>
    <w:p w14:paraId="74E86265" w14:textId="7777777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Ne može se isključiti rizik za odojče.</w:t>
      </w:r>
    </w:p>
    <w:p w14:paraId="1213A0B9" w14:textId="77777777" w:rsidR="0082002F" w:rsidRPr="00667453" w:rsidRDefault="0082002F" w:rsidP="001B7C32">
      <w:pPr>
        <w:widowControl w:val="0"/>
        <w:autoSpaceDE w:val="0"/>
        <w:autoSpaceDN w:val="0"/>
        <w:jc w:val="both"/>
        <w:rPr>
          <w:sz w:val="22"/>
          <w:szCs w:val="22"/>
          <w:lang w:val="sr-Latn-RS"/>
        </w:rPr>
      </w:pPr>
    </w:p>
    <w:p w14:paraId="440A8380" w14:textId="1ECDCCF3" w:rsidR="00122098" w:rsidRPr="00667453" w:rsidRDefault="0082002F" w:rsidP="003B1C29">
      <w:pPr>
        <w:widowControl w:val="0"/>
        <w:autoSpaceDE w:val="0"/>
        <w:autoSpaceDN w:val="0"/>
        <w:jc w:val="both"/>
        <w:rPr>
          <w:b/>
          <w:bCs/>
          <w:sz w:val="22"/>
          <w:szCs w:val="22"/>
          <w:lang w:val="sr-Latn-RS"/>
        </w:rPr>
      </w:pPr>
      <w:r w:rsidRPr="00667453">
        <w:rPr>
          <w:sz w:val="22"/>
          <w:szCs w:val="22"/>
          <w:lang w:val="sr-Latn-RS"/>
        </w:rPr>
        <w:t>Neophodno je don</w:t>
      </w:r>
      <w:r w:rsidR="00114A14" w:rsidRPr="00667453">
        <w:rPr>
          <w:sz w:val="22"/>
          <w:szCs w:val="22"/>
          <w:lang w:val="sr-Latn-RS"/>
        </w:rPr>
        <w:t>ij</w:t>
      </w:r>
      <w:r w:rsidRPr="00667453">
        <w:rPr>
          <w:sz w:val="22"/>
          <w:szCs w:val="22"/>
          <w:lang w:val="sr-Latn-RS"/>
        </w:rPr>
        <w:t>eti odluku da li trajno prekinuti dojenje ili trajno ili privremeno prekinuti terapiju l</w:t>
      </w:r>
      <w:r w:rsidR="00745817" w:rsidRPr="00667453">
        <w:rPr>
          <w:sz w:val="22"/>
          <w:szCs w:val="22"/>
          <w:lang w:val="sr-Latn-RS"/>
        </w:rPr>
        <w:t>ij</w:t>
      </w:r>
      <w:r w:rsidRPr="00667453">
        <w:rPr>
          <w:sz w:val="22"/>
          <w:szCs w:val="22"/>
          <w:lang w:val="sr-Latn-RS"/>
        </w:rPr>
        <w:t>ekom Saphnelo, uzimajući u obzir prednosti dojenja za d</w:t>
      </w:r>
      <w:r w:rsidR="00745817" w:rsidRPr="00667453">
        <w:rPr>
          <w:sz w:val="22"/>
          <w:szCs w:val="22"/>
          <w:lang w:val="sr-Latn-RS"/>
        </w:rPr>
        <w:t>ij</w:t>
      </w:r>
      <w:r w:rsidRPr="00667453">
        <w:rPr>
          <w:sz w:val="22"/>
          <w:szCs w:val="22"/>
          <w:lang w:val="sr-Latn-RS"/>
        </w:rPr>
        <w:t>ete i prednosti terapije za ženu.</w:t>
      </w:r>
    </w:p>
    <w:p w14:paraId="2F259928" w14:textId="77777777" w:rsidR="00122098" w:rsidRPr="00667453" w:rsidRDefault="00122098" w:rsidP="001B7C32">
      <w:pPr>
        <w:widowControl w:val="0"/>
        <w:tabs>
          <w:tab w:val="left" w:pos="540"/>
          <w:tab w:val="left" w:pos="569"/>
        </w:tabs>
        <w:ind w:hanging="540"/>
        <w:jc w:val="both"/>
        <w:rPr>
          <w:b/>
          <w:bCs/>
          <w:sz w:val="22"/>
          <w:szCs w:val="22"/>
          <w:lang w:val="sr-Latn-RS"/>
        </w:rPr>
      </w:pPr>
    </w:p>
    <w:p w14:paraId="5A9C6A38" w14:textId="3D102343" w:rsidR="0072020E"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4.7. </w:t>
      </w:r>
      <w:r w:rsidR="00480FB1" w:rsidRPr="00667453">
        <w:rPr>
          <w:b/>
          <w:bCs/>
          <w:sz w:val="22"/>
          <w:szCs w:val="22"/>
          <w:lang w:val="sr-Latn-RS"/>
        </w:rPr>
        <w:tab/>
      </w:r>
      <w:r w:rsidRPr="00667453">
        <w:rPr>
          <w:b/>
          <w:bCs/>
          <w:sz w:val="22"/>
          <w:szCs w:val="22"/>
          <w:lang w:val="sr-Latn-RS"/>
        </w:rPr>
        <w:t xml:space="preserve">Uticaj na </w:t>
      </w:r>
      <w:r w:rsidR="002031B3" w:rsidRPr="00667453">
        <w:rPr>
          <w:b/>
          <w:bCs/>
          <w:sz w:val="22"/>
          <w:szCs w:val="22"/>
          <w:lang w:val="sr-Latn-RS"/>
        </w:rPr>
        <w:t xml:space="preserve">sposobnost </w:t>
      </w:r>
      <w:r w:rsidR="00F34554" w:rsidRPr="00667453">
        <w:rPr>
          <w:b/>
          <w:bCs/>
          <w:sz w:val="22"/>
          <w:szCs w:val="22"/>
          <w:lang w:val="sr-Latn-RS"/>
        </w:rPr>
        <w:t>upravljanja vozili</w:t>
      </w:r>
      <w:r w:rsidRPr="00667453">
        <w:rPr>
          <w:b/>
          <w:bCs/>
          <w:sz w:val="22"/>
          <w:szCs w:val="22"/>
          <w:lang w:val="sr-Latn-RS"/>
        </w:rPr>
        <w:t>m</w:t>
      </w:r>
      <w:r w:rsidR="00F34554" w:rsidRPr="00667453">
        <w:rPr>
          <w:b/>
          <w:bCs/>
          <w:sz w:val="22"/>
          <w:szCs w:val="22"/>
          <w:lang w:val="sr-Latn-RS"/>
        </w:rPr>
        <w:t>a</w:t>
      </w:r>
      <w:r w:rsidRPr="00667453">
        <w:rPr>
          <w:b/>
          <w:bCs/>
          <w:sz w:val="22"/>
          <w:szCs w:val="22"/>
          <w:lang w:val="sr-Latn-RS"/>
        </w:rPr>
        <w:t xml:space="preserve"> i </w:t>
      </w:r>
      <w:r w:rsidR="000D3449" w:rsidRPr="00667453">
        <w:rPr>
          <w:b/>
          <w:bCs/>
          <w:sz w:val="22"/>
          <w:szCs w:val="22"/>
          <w:lang w:val="sr-Latn-RS"/>
        </w:rPr>
        <w:t xml:space="preserve">rukovanje </w:t>
      </w:r>
      <w:r w:rsidRPr="00667453">
        <w:rPr>
          <w:b/>
          <w:bCs/>
          <w:sz w:val="22"/>
          <w:szCs w:val="22"/>
          <w:lang w:val="sr-Latn-RS"/>
        </w:rPr>
        <w:t>mašinama</w:t>
      </w:r>
    </w:p>
    <w:p w14:paraId="692ED2E6" w14:textId="77777777" w:rsidR="00CE69E1" w:rsidRPr="00667453" w:rsidRDefault="00CE69E1" w:rsidP="001B7C32">
      <w:pPr>
        <w:widowControl w:val="0"/>
        <w:tabs>
          <w:tab w:val="left" w:pos="540"/>
          <w:tab w:val="left" w:pos="569"/>
        </w:tabs>
        <w:ind w:hanging="540"/>
        <w:jc w:val="both"/>
        <w:rPr>
          <w:b/>
          <w:bCs/>
          <w:sz w:val="22"/>
          <w:szCs w:val="22"/>
          <w:lang w:val="sr-Latn-RS"/>
        </w:rPr>
      </w:pPr>
    </w:p>
    <w:p w14:paraId="6E7235ED" w14:textId="111CF90E" w:rsidR="0082002F" w:rsidRPr="00667453" w:rsidRDefault="0082002F" w:rsidP="001B7C32">
      <w:pPr>
        <w:widowControl w:val="0"/>
        <w:autoSpaceDE w:val="0"/>
        <w:autoSpaceDN w:val="0"/>
        <w:jc w:val="both"/>
        <w:rPr>
          <w:sz w:val="22"/>
          <w:szCs w:val="22"/>
          <w:lang w:val="sr-Latn-RS"/>
        </w:rPr>
      </w:pPr>
      <w:r w:rsidRPr="00667453">
        <w:rPr>
          <w:sz w:val="22"/>
          <w:szCs w:val="22"/>
          <w:lang w:val="sr-Latn-RS"/>
        </w:rPr>
        <w:t>L</w:t>
      </w:r>
      <w:r w:rsidR="00745817" w:rsidRPr="00667453">
        <w:rPr>
          <w:sz w:val="22"/>
          <w:szCs w:val="22"/>
          <w:lang w:val="sr-Latn-RS"/>
        </w:rPr>
        <w:t>ij</w:t>
      </w:r>
      <w:r w:rsidRPr="00667453">
        <w:rPr>
          <w:sz w:val="22"/>
          <w:szCs w:val="22"/>
          <w:lang w:val="sr-Latn-RS"/>
        </w:rPr>
        <w:t>ek Saphnelo nema nikakav ili ima zanemarljiv uticaj na sposobnost upravljanja vozilima i rukovanja mašinama.</w:t>
      </w:r>
    </w:p>
    <w:p w14:paraId="3DA3BBD6" w14:textId="77777777" w:rsidR="0072020E" w:rsidRPr="00667453" w:rsidRDefault="0072020E" w:rsidP="001B7C32">
      <w:pPr>
        <w:widowControl w:val="0"/>
        <w:tabs>
          <w:tab w:val="left" w:pos="540"/>
          <w:tab w:val="left" w:pos="569"/>
        </w:tabs>
        <w:jc w:val="both"/>
        <w:rPr>
          <w:b/>
          <w:bCs/>
          <w:sz w:val="22"/>
          <w:szCs w:val="22"/>
          <w:lang w:val="sr-Latn-RS"/>
        </w:rPr>
      </w:pPr>
    </w:p>
    <w:p w14:paraId="4D69E43F" w14:textId="77777777" w:rsidR="0072020E"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4.8. </w:t>
      </w:r>
      <w:r w:rsidR="00480FB1" w:rsidRPr="00667453">
        <w:rPr>
          <w:b/>
          <w:bCs/>
          <w:sz w:val="22"/>
          <w:szCs w:val="22"/>
          <w:lang w:val="sr-Latn-RS"/>
        </w:rPr>
        <w:tab/>
      </w:r>
      <w:r w:rsidRPr="00667453">
        <w:rPr>
          <w:b/>
          <w:bCs/>
          <w:sz w:val="22"/>
          <w:szCs w:val="22"/>
          <w:lang w:val="sr-Latn-RS"/>
        </w:rPr>
        <w:t>Neželjena dejstva</w:t>
      </w:r>
    </w:p>
    <w:p w14:paraId="7266271D" w14:textId="04E6AB7A" w:rsidR="004E70AD" w:rsidRPr="00667453" w:rsidRDefault="004E70AD" w:rsidP="001B7C32">
      <w:pPr>
        <w:widowControl w:val="0"/>
        <w:tabs>
          <w:tab w:val="left" w:pos="540"/>
          <w:tab w:val="left" w:pos="569"/>
        </w:tabs>
        <w:jc w:val="both"/>
        <w:rPr>
          <w:b/>
          <w:bCs/>
          <w:sz w:val="22"/>
          <w:szCs w:val="22"/>
          <w:lang w:val="sr-Latn-RS"/>
        </w:rPr>
      </w:pPr>
    </w:p>
    <w:p w14:paraId="4B332CE3" w14:textId="1F8B410A"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lastRenderedPageBreak/>
        <w:t>Sažetak bezb</w:t>
      </w:r>
      <w:r w:rsidR="00745817" w:rsidRPr="00667453">
        <w:rPr>
          <w:sz w:val="22"/>
          <w:szCs w:val="22"/>
          <w:u w:val="single"/>
          <w:lang w:val="sr-Latn-RS"/>
        </w:rPr>
        <w:t>j</w:t>
      </w:r>
      <w:r w:rsidRPr="00667453">
        <w:rPr>
          <w:sz w:val="22"/>
          <w:szCs w:val="22"/>
          <w:u w:val="single"/>
          <w:lang w:val="sr-Latn-RS"/>
        </w:rPr>
        <w:t>ednosnog profila</w:t>
      </w:r>
    </w:p>
    <w:p w14:paraId="054DD301" w14:textId="77777777" w:rsidR="0082002F" w:rsidRPr="00667453" w:rsidRDefault="0082002F" w:rsidP="001B7C32">
      <w:pPr>
        <w:widowControl w:val="0"/>
        <w:autoSpaceDE w:val="0"/>
        <w:autoSpaceDN w:val="0"/>
        <w:jc w:val="both"/>
        <w:rPr>
          <w:sz w:val="22"/>
          <w:szCs w:val="22"/>
          <w:lang w:val="sr-Latn-RS"/>
        </w:rPr>
      </w:pPr>
    </w:p>
    <w:p w14:paraId="15A47095" w14:textId="69183CD6"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Najčešće </w:t>
      </w:r>
      <w:r w:rsidR="00745817" w:rsidRPr="00667453">
        <w:rPr>
          <w:sz w:val="22"/>
          <w:szCs w:val="22"/>
          <w:lang w:val="sr-Latn-RS"/>
        </w:rPr>
        <w:t>zab</w:t>
      </w:r>
      <w:r w:rsidR="00114A14" w:rsidRPr="00667453">
        <w:rPr>
          <w:sz w:val="22"/>
          <w:szCs w:val="22"/>
          <w:lang w:val="sr-Latn-RS"/>
        </w:rPr>
        <w:t>ilj</w:t>
      </w:r>
      <w:r w:rsidR="00745817" w:rsidRPr="00667453">
        <w:rPr>
          <w:sz w:val="22"/>
          <w:szCs w:val="22"/>
          <w:lang w:val="sr-Latn-RS"/>
        </w:rPr>
        <w:t>ežene</w:t>
      </w:r>
      <w:r w:rsidRPr="00667453">
        <w:rPr>
          <w:sz w:val="22"/>
          <w:szCs w:val="22"/>
          <w:lang w:val="sr-Latn-RS"/>
        </w:rPr>
        <w:t xml:space="preserve"> neželjene reakcije tokom </w:t>
      </w:r>
      <w:r w:rsidR="00745817" w:rsidRPr="00667453">
        <w:rPr>
          <w:sz w:val="22"/>
          <w:szCs w:val="22"/>
          <w:lang w:val="sr-Latn-RS"/>
        </w:rPr>
        <w:t>liječenja</w:t>
      </w:r>
      <w:r w:rsidRPr="00667453">
        <w:rPr>
          <w:sz w:val="22"/>
          <w:szCs w:val="22"/>
          <w:lang w:val="sr-Latn-RS"/>
        </w:rPr>
        <w:t xml:space="preserve"> anifrolumabom bile su infekcija gornjeg respiratornog trakta (34%), bronhitis (11%), reakcija povezana sa infuzijom (9,4%) i herpes zoster (6,1%). Najčešća ozbiljna neželjena reakcija bila je herpes zoster (0,4%).</w:t>
      </w:r>
    </w:p>
    <w:p w14:paraId="607FC5D7" w14:textId="77777777" w:rsidR="0082002F" w:rsidRPr="00667453" w:rsidRDefault="0082002F" w:rsidP="001B7C32">
      <w:pPr>
        <w:widowControl w:val="0"/>
        <w:autoSpaceDE w:val="0"/>
        <w:autoSpaceDN w:val="0"/>
        <w:jc w:val="both"/>
        <w:rPr>
          <w:sz w:val="22"/>
          <w:szCs w:val="22"/>
          <w:lang w:val="sr-Latn-RS"/>
        </w:rPr>
      </w:pPr>
    </w:p>
    <w:p w14:paraId="20D5AE69" w14:textId="2855DAF2"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 xml:space="preserve">Tabelarni prikaz neželjenih </w:t>
      </w:r>
      <w:r w:rsidR="00114A14" w:rsidRPr="00667453">
        <w:rPr>
          <w:sz w:val="22"/>
          <w:szCs w:val="22"/>
          <w:u w:val="single"/>
          <w:lang w:val="sr-Latn-RS"/>
        </w:rPr>
        <w:t>dejstava</w:t>
      </w:r>
    </w:p>
    <w:p w14:paraId="4090BBCD" w14:textId="77777777" w:rsidR="0082002F" w:rsidRPr="00667453" w:rsidRDefault="0082002F" w:rsidP="001B7C32">
      <w:pPr>
        <w:widowControl w:val="0"/>
        <w:autoSpaceDE w:val="0"/>
        <w:autoSpaceDN w:val="0"/>
        <w:jc w:val="both"/>
        <w:rPr>
          <w:sz w:val="22"/>
          <w:szCs w:val="22"/>
          <w:lang w:val="sr-Latn-RS"/>
        </w:rPr>
      </w:pPr>
    </w:p>
    <w:p w14:paraId="7FB86959" w14:textId="38437EB8" w:rsidR="0082002F" w:rsidRPr="00667453" w:rsidRDefault="0082002F" w:rsidP="001B7C32">
      <w:pPr>
        <w:widowControl w:val="0"/>
        <w:autoSpaceDE w:val="0"/>
        <w:autoSpaceDN w:val="0"/>
        <w:jc w:val="both"/>
        <w:rPr>
          <w:sz w:val="22"/>
          <w:szCs w:val="22"/>
          <w:lang w:val="sr-Latn-RS"/>
        </w:rPr>
      </w:pPr>
      <w:r w:rsidRPr="00667453">
        <w:rPr>
          <w:sz w:val="22"/>
          <w:szCs w:val="22"/>
          <w:lang w:val="sr-Latn-RS"/>
        </w:rPr>
        <w:t>U tabeli 1 prikazan</w:t>
      </w:r>
      <w:r w:rsidR="003B5CF1">
        <w:rPr>
          <w:sz w:val="22"/>
          <w:szCs w:val="22"/>
          <w:lang w:val="sr-Latn-RS"/>
        </w:rPr>
        <w:t>a</w:t>
      </w:r>
      <w:r w:rsidRPr="00667453">
        <w:rPr>
          <w:sz w:val="22"/>
          <w:szCs w:val="22"/>
          <w:lang w:val="sr-Latn-RS"/>
        </w:rPr>
        <w:t xml:space="preserve"> su neželjen</w:t>
      </w:r>
      <w:r w:rsidR="00114A14" w:rsidRPr="00667453">
        <w:rPr>
          <w:sz w:val="22"/>
          <w:szCs w:val="22"/>
          <w:lang w:val="sr-Latn-RS"/>
        </w:rPr>
        <w:t>a</w:t>
      </w:r>
      <w:r w:rsidRPr="00667453">
        <w:rPr>
          <w:sz w:val="22"/>
          <w:szCs w:val="22"/>
          <w:lang w:val="sr-Latn-RS"/>
        </w:rPr>
        <w:t xml:space="preserve"> </w:t>
      </w:r>
      <w:r w:rsidR="00114A14" w:rsidRPr="00667453">
        <w:rPr>
          <w:sz w:val="22"/>
          <w:szCs w:val="22"/>
          <w:lang w:val="sr-Latn-RS"/>
        </w:rPr>
        <w:t>dejstva</w:t>
      </w:r>
      <w:r w:rsidRPr="00667453">
        <w:rPr>
          <w:sz w:val="22"/>
          <w:szCs w:val="22"/>
          <w:lang w:val="sr-Latn-RS"/>
        </w:rPr>
        <w:t xml:space="preserve"> </w:t>
      </w:r>
      <w:r w:rsidR="00745817" w:rsidRPr="00667453">
        <w:rPr>
          <w:sz w:val="22"/>
          <w:szCs w:val="22"/>
          <w:lang w:val="sr-Latn-RS"/>
        </w:rPr>
        <w:t>zab</w:t>
      </w:r>
      <w:r w:rsidR="00114A14" w:rsidRPr="00667453">
        <w:rPr>
          <w:sz w:val="22"/>
          <w:szCs w:val="22"/>
          <w:lang w:val="sr-Latn-RS"/>
        </w:rPr>
        <w:t>ilj</w:t>
      </w:r>
      <w:r w:rsidR="00745817" w:rsidRPr="00667453">
        <w:rPr>
          <w:sz w:val="22"/>
          <w:szCs w:val="22"/>
          <w:lang w:val="sr-Latn-RS"/>
        </w:rPr>
        <w:t>ežen</w:t>
      </w:r>
      <w:r w:rsidR="00114A14" w:rsidRPr="00667453">
        <w:rPr>
          <w:sz w:val="22"/>
          <w:szCs w:val="22"/>
          <w:lang w:val="sr-Latn-RS"/>
        </w:rPr>
        <w:t>a</w:t>
      </w:r>
      <w:r w:rsidRPr="00667453">
        <w:rPr>
          <w:sz w:val="22"/>
          <w:szCs w:val="22"/>
          <w:lang w:val="sr-Latn-RS"/>
        </w:rPr>
        <w:t xml:space="preserve"> u kontrolisanim kliničkim </w:t>
      </w:r>
      <w:r w:rsidRPr="001B7C32">
        <w:rPr>
          <w:sz w:val="22"/>
          <w:szCs w:val="22"/>
          <w:lang w:val="sr-Latn-RS"/>
        </w:rPr>
        <w:t>ispitivanjima</w:t>
      </w:r>
      <w:r w:rsidR="001E30E7" w:rsidRPr="001B7C32">
        <w:rPr>
          <w:sz w:val="22"/>
          <w:szCs w:val="22"/>
          <w:lang w:val="sr-Latn-RS"/>
        </w:rPr>
        <w:t xml:space="preserve"> </w:t>
      </w:r>
      <w:r w:rsidR="001E30E7" w:rsidRPr="003B1C29">
        <w:rPr>
          <w:sz w:val="22"/>
          <w:szCs w:val="22"/>
          <w:lang w:val="sr-Latn-RS"/>
        </w:rPr>
        <w:t xml:space="preserve">i </w:t>
      </w:r>
      <w:r w:rsidR="003B5CF1">
        <w:rPr>
          <w:sz w:val="22"/>
          <w:szCs w:val="22"/>
          <w:lang w:val="sr-Latn-RS"/>
        </w:rPr>
        <w:t>nakon stavljanja lijeka u promet</w:t>
      </w:r>
      <w:r w:rsidRPr="00B15FA8">
        <w:rPr>
          <w:sz w:val="22"/>
          <w:szCs w:val="22"/>
          <w:lang w:val="sr-Latn-RS"/>
        </w:rPr>
        <w:t>,</w:t>
      </w:r>
      <w:r w:rsidRPr="00667453">
        <w:rPr>
          <w:sz w:val="22"/>
          <w:szCs w:val="22"/>
          <w:lang w:val="sr-Latn-RS"/>
        </w:rPr>
        <w:t xml:space="preserve"> klasifikovan</w:t>
      </w:r>
      <w:r w:rsidR="003B5CF1">
        <w:rPr>
          <w:sz w:val="22"/>
          <w:szCs w:val="22"/>
          <w:lang w:val="sr-Latn-RS"/>
        </w:rPr>
        <w:t>a</w:t>
      </w:r>
      <w:r w:rsidRPr="00667453">
        <w:rPr>
          <w:sz w:val="22"/>
          <w:szCs w:val="22"/>
          <w:lang w:val="sr-Latn-RS"/>
        </w:rPr>
        <w:t xml:space="preserve"> prema MedDRA klasi sistema organa (SOC). U okviru svake klase sistema organa, poželjni termini su uređeni po opadanju učestalosti, a onda po opadanju ozbiljnosti. Učestalost pojave neželjenih reakcija definisana je kao: veoma česta (≥1/10); česta ( 1/100 do &lt;1/10); povremena (≥1/1000 do &lt;1/100); </w:t>
      </w:r>
      <w:r w:rsidR="006416F2" w:rsidRPr="00667453">
        <w:rPr>
          <w:sz w:val="22"/>
          <w:szCs w:val="22"/>
          <w:lang w:val="sr-Latn-RS"/>
        </w:rPr>
        <w:t>rijetk</w:t>
      </w:r>
      <w:r w:rsidRPr="00667453">
        <w:rPr>
          <w:sz w:val="22"/>
          <w:szCs w:val="22"/>
          <w:lang w:val="sr-Latn-RS"/>
        </w:rPr>
        <w:t>a (≥1/10000 do</w:t>
      </w:r>
      <w:r w:rsidR="00114A14" w:rsidRPr="00667453">
        <w:rPr>
          <w:sz w:val="22"/>
          <w:szCs w:val="22"/>
          <w:lang w:val="sr-Latn-RS"/>
        </w:rPr>
        <w:t xml:space="preserve"> </w:t>
      </w:r>
      <w:r w:rsidRPr="00667453">
        <w:rPr>
          <w:sz w:val="22"/>
          <w:szCs w:val="22"/>
          <w:lang w:val="sr-Latn-RS"/>
        </w:rPr>
        <w:t>1/1000); veoma r</w:t>
      </w:r>
      <w:r w:rsidR="006416F2" w:rsidRPr="00667453">
        <w:rPr>
          <w:sz w:val="22"/>
          <w:szCs w:val="22"/>
          <w:lang w:val="sr-Latn-RS"/>
        </w:rPr>
        <w:t>ij</w:t>
      </w:r>
      <w:r w:rsidRPr="00667453">
        <w:rPr>
          <w:sz w:val="22"/>
          <w:szCs w:val="22"/>
          <w:lang w:val="sr-Latn-RS"/>
        </w:rPr>
        <w:t>etka (&lt;1/10000) i nepoznata (ne može se proc</w:t>
      </w:r>
      <w:r w:rsidR="006416F2" w:rsidRPr="00667453">
        <w:rPr>
          <w:sz w:val="22"/>
          <w:szCs w:val="22"/>
          <w:lang w:val="sr-Latn-RS"/>
        </w:rPr>
        <w:t>ij</w:t>
      </w:r>
      <w:r w:rsidRPr="00667453">
        <w:rPr>
          <w:sz w:val="22"/>
          <w:szCs w:val="22"/>
          <w:lang w:val="sr-Latn-RS"/>
        </w:rPr>
        <w:t>eniti na osnovu postojećih podataka).</w:t>
      </w:r>
    </w:p>
    <w:p w14:paraId="60AE6BB9" w14:textId="77777777" w:rsidR="0082002F" w:rsidRPr="00667453" w:rsidRDefault="0082002F" w:rsidP="001B7C32">
      <w:pPr>
        <w:widowControl w:val="0"/>
        <w:autoSpaceDE w:val="0"/>
        <w:autoSpaceDN w:val="0"/>
        <w:jc w:val="both"/>
        <w:rPr>
          <w:sz w:val="22"/>
          <w:szCs w:val="22"/>
          <w:lang w:val="sr-Latn-RS"/>
        </w:rPr>
      </w:pPr>
    </w:p>
    <w:p w14:paraId="1E6783BB" w14:textId="10611983" w:rsidR="0082002F" w:rsidRPr="00667453" w:rsidRDefault="0082002F" w:rsidP="003B1C29">
      <w:pPr>
        <w:widowControl w:val="0"/>
        <w:tabs>
          <w:tab w:val="left" w:pos="1666"/>
        </w:tabs>
        <w:autoSpaceDE w:val="0"/>
        <w:autoSpaceDN w:val="0"/>
        <w:outlineLvl w:val="0"/>
        <w:rPr>
          <w:b/>
          <w:bCs/>
          <w:sz w:val="22"/>
          <w:szCs w:val="22"/>
          <w:lang w:val="sr-Latn-RS"/>
        </w:rPr>
      </w:pPr>
      <w:r w:rsidRPr="00667453">
        <w:rPr>
          <w:b/>
          <w:bCs/>
          <w:sz w:val="22"/>
          <w:szCs w:val="22"/>
          <w:lang w:val="sr-Latn-RS"/>
        </w:rPr>
        <w:t>Tabela 1</w:t>
      </w:r>
      <w:r w:rsidR="001B7C32">
        <w:rPr>
          <w:b/>
          <w:bCs/>
          <w:sz w:val="22"/>
          <w:szCs w:val="22"/>
          <w:lang w:val="sr-Latn-RS"/>
        </w:rPr>
        <w:tab/>
      </w:r>
      <w:r w:rsidRPr="00667453">
        <w:rPr>
          <w:b/>
          <w:bCs/>
          <w:sz w:val="22"/>
          <w:szCs w:val="22"/>
          <w:lang w:val="sr-Latn-RS"/>
        </w:rPr>
        <w:t>Neželjene reakcije</w:t>
      </w:r>
    </w:p>
    <w:p w14:paraId="04356984" w14:textId="77777777" w:rsidR="0082002F" w:rsidRPr="00667453" w:rsidRDefault="0082002F" w:rsidP="001B7C32">
      <w:pPr>
        <w:widowControl w:val="0"/>
        <w:autoSpaceDE w:val="0"/>
        <w:autoSpaceDN w:val="0"/>
        <w:rPr>
          <w:b/>
          <w:sz w:val="22"/>
          <w:szCs w:val="22"/>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2"/>
        <w:gridCol w:w="3541"/>
        <w:gridCol w:w="1250"/>
      </w:tblGrid>
      <w:tr w:rsidR="0082002F" w:rsidRPr="001B7C32" w14:paraId="494F0809" w14:textId="77777777" w:rsidTr="003B1C29">
        <w:tc>
          <w:tcPr>
            <w:tcW w:w="4272" w:type="dxa"/>
          </w:tcPr>
          <w:p w14:paraId="101D927F" w14:textId="77777777" w:rsidR="0082002F" w:rsidRPr="00667453" w:rsidRDefault="0082002F" w:rsidP="001B7C32">
            <w:pPr>
              <w:widowControl w:val="0"/>
              <w:autoSpaceDE w:val="0"/>
              <w:autoSpaceDN w:val="0"/>
              <w:ind w:left="110"/>
              <w:rPr>
                <w:b/>
                <w:sz w:val="22"/>
                <w:szCs w:val="22"/>
                <w:lang w:val="sr-Latn-RS"/>
              </w:rPr>
            </w:pPr>
            <w:r w:rsidRPr="00667453">
              <w:rPr>
                <w:b/>
                <w:bCs/>
                <w:sz w:val="22"/>
                <w:szCs w:val="22"/>
                <w:lang w:val="sr-Latn-RS"/>
              </w:rPr>
              <w:t>MedDRA klasa sistema organa</w:t>
            </w:r>
          </w:p>
        </w:tc>
        <w:tc>
          <w:tcPr>
            <w:tcW w:w="3541" w:type="dxa"/>
          </w:tcPr>
          <w:p w14:paraId="5989C5B0" w14:textId="010BC327" w:rsidR="0082002F" w:rsidRPr="00667453" w:rsidRDefault="0082002F" w:rsidP="001B7C32">
            <w:pPr>
              <w:widowControl w:val="0"/>
              <w:autoSpaceDE w:val="0"/>
              <w:autoSpaceDN w:val="0"/>
              <w:ind w:left="110"/>
              <w:rPr>
                <w:b/>
                <w:sz w:val="22"/>
                <w:szCs w:val="22"/>
                <w:lang w:val="sr-Latn-RS"/>
              </w:rPr>
            </w:pPr>
            <w:r w:rsidRPr="00667453">
              <w:rPr>
                <w:b/>
                <w:bCs/>
                <w:sz w:val="22"/>
                <w:szCs w:val="22"/>
                <w:lang w:val="sr-Latn-RS"/>
              </w:rPr>
              <w:t>MedDRA p</w:t>
            </w:r>
            <w:r w:rsidR="0075776A" w:rsidRPr="00667453">
              <w:rPr>
                <w:b/>
                <w:bCs/>
                <w:sz w:val="22"/>
                <w:szCs w:val="22"/>
                <w:lang w:val="sr-Latn-RS"/>
              </w:rPr>
              <w:t>reporučeni</w:t>
            </w:r>
            <w:r w:rsidRPr="00667453">
              <w:rPr>
                <w:b/>
                <w:bCs/>
                <w:sz w:val="22"/>
                <w:szCs w:val="22"/>
                <w:lang w:val="sr-Latn-RS"/>
              </w:rPr>
              <w:t xml:space="preserve"> termin</w:t>
            </w:r>
          </w:p>
        </w:tc>
        <w:tc>
          <w:tcPr>
            <w:tcW w:w="1250" w:type="dxa"/>
          </w:tcPr>
          <w:p w14:paraId="1571C995" w14:textId="77777777" w:rsidR="0082002F" w:rsidRPr="00667453" w:rsidRDefault="0082002F" w:rsidP="001B7C32">
            <w:pPr>
              <w:widowControl w:val="0"/>
              <w:autoSpaceDE w:val="0"/>
              <w:autoSpaceDN w:val="0"/>
              <w:ind w:left="104"/>
              <w:rPr>
                <w:b/>
                <w:sz w:val="22"/>
                <w:szCs w:val="22"/>
                <w:lang w:val="sr-Latn-RS"/>
              </w:rPr>
            </w:pPr>
            <w:r w:rsidRPr="00667453">
              <w:rPr>
                <w:b/>
                <w:bCs/>
                <w:sz w:val="22"/>
                <w:szCs w:val="22"/>
                <w:lang w:val="sr-Latn-RS"/>
              </w:rPr>
              <w:t>Učestalost</w:t>
            </w:r>
          </w:p>
        </w:tc>
      </w:tr>
      <w:tr w:rsidR="0082002F" w:rsidRPr="00667453" w14:paraId="1C7CA4BC" w14:textId="77777777" w:rsidTr="003B1C29">
        <w:tc>
          <w:tcPr>
            <w:tcW w:w="4272" w:type="dxa"/>
            <w:vMerge w:val="restart"/>
          </w:tcPr>
          <w:p w14:paraId="77F40FDE" w14:textId="77777777" w:rsidR="0082002F" w:rsidRPr="00667453" w:rsidRDefault="0082002F" w:rsidP="001B7C32">
            <w:pPr>
              <w:widowControl w:val="0"/>
              <w:autoSpaceDE w:val="0"/>
              <w:autoSpaceDN w:val="0"/>
              <w:spacing w:line="273" w:lineRule="auto"/>
              <w:ind w:left="110"/>
              <w:rPr>
                <w:sz w:val="22"/>
                <w:szCs w:val="22"/>
                <w:lang w:val="sr-Latn-RS"/>
              </w:rPr>
            </w:pPr>
            <w:r w:rsidRPr="00667453">
              <w:rPr>
                <w:sz w:val="22"/>
                <w:szCs w:val="22"/>
                <w:lang w:val="sr-Latn-RS"/>
              </w:rPr>
              <w:t>Infekcije i infestacije</w:t>
            </w:r>
          </w:p>
        </w:tc>
        <w:tc>
          <w:tcPr>
            <w:tcW w:w="3541" w:type="dxa"/>
          </w:tcPr>
          <w:p w14:paraId="6911A63E" w14:textId="77777777" w:rsidR="0082002F" w:rsidRPr="00667453" w:rsidRDefault="0082002F" w:rsidP="001B7C32">
            <w:pPr>
              <w:widowControl w:val="0"/>
              <w:autoSpaceDE w:val="0"/>
              <w:autoSpaceDN w:val="0"/>
              <w:ind w:left="110"/>
              <w:rPr>
                <w:sz w:val="22"/>
                <w:szCs w:val="22"/>
                <w:lang w:val="sr-Latn-RS"/>
              </w:rPr>
            </w:pPr>
            <w:r w:rsidRPr="00667453">
              <w:rPr>
                <w:sz w:val="22"/>
                <w:szCs w:val="22"/>
                <w:lang w:val="sr-Latn-RS"/>
              </w:rPr>
              <w:t>Infekcija gornjeg respiratornog trakta*</w:t>
            </w:r>
          </w:p>
        </w:tc>
        <w:tc>
          <w:tcPr>
            <w:tcW w:w="1250" w:type="dxa"/>
          </w:tcPr>
          <w:p w14:paraId="65237642"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Veoma česta</w:t>
            </w:r>
          </w:p>
        </w:tc>
      </w:tr>
      <w:tr w:rsidR="0082002F" w:rsidRPr="00667453" w14:paraId="1424B83D" w14:textId="77777777" w:rsidTr="003B1C29">
        <w:tc>
          <w:tcPr>
            <w:tcW w:w="4272" w:type="dxa"/>
            <w:vMerge/>
            <w:tcBorders>
              <w:top w:val="nil"/>
            </w:tcBorders>
          </w:tcPr>
          <w:p w14:paraId="74C88334" w14:textId="77777777" w:rsidR="0082002F" w:rsidRPr="00667453" w:rsidRDefault="0082002F" w:rsidP="001B7C32">
            <w:pPr>
              <w:widowControl w:val="0"/>
              <w:autoSpaceDE w:val="0"/>
              <w:autoSpaceDN w:val="0"/>
              <w:rPr>
                <w:sz w:val="22"/>
                <w:szCs w:val="22"/>
                <w:lang w:val="sr-Latn-RS"/>
              </w:rPr>
            </w:pPr>
          </w:p>
        </w:tc>
        <w:tc>
          <w:tcPr>
            <w:tcW w:w="3541" w:type="dxa"/>
          </w:tcPr>
          <w:p w14:paraId="4B5E69F6" w14:textId="77777777" w:rsidR="0082002F" w:rsidRPr="00667453" w:rsidRDefault="0082002F" w:rsidP="001B7C32">
            <w:pPr>
              <w:widowControl w:val="0"/>
              <w:autoSpaceDE w:val="0"/>
              <w:autoSpaceDN w:val="0"/>
              <w:ind w:left="110"/>
              <w:rPr>
                <w:sz w:val="22"/>
                <w:szCs w:val="22"/>
                <w:lang w:val="sr-Latn-RS"/>
              </w:rPr>
            </w:pPr>
            <w:r w:rsidRPr="00667453">
              <w:rPr>
                <w:sz w:val="22"/>
                <w:szCs w:val="22"/>
                <w:lang w:val="sr-Latn-RS"/>
              </w:rPr>
              <w:t>Bronhitis*</w:t>
            </w:r>
          </w:p>
        </w:tc>
        <w:tc>
          <w:tcPr>
            <w:tcW w:w="1250" w:type="dxa"/>
          </w:tcPr>
          <w:p w14:paraId="0013D6D1"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Veoma česta</w:t>
            </w:r>
          </w:p>
        </w:tc>
      </w:tr>
      <w:tr w:rsidR="0082002F" w:rsidRPr="00667453" w14:paraId="4B59176A" w14:textId="77777777" w:rsidTr="003B1C29">
        <w:tc>
          <w:tcPr>
            <w:tcW w:w="4272" w:type="dxa"/>
            <w:vMerge/>
            <w:tcBorders>
              <w:top w:val="nil"/>
            </w:tcBorders>
          </w:tcPr>
          <w:p w14:paraId="5FBCCB5C" w14:textId="77777777" w:rsidR="0082002F" w:rsidRPr="00667453" w:rsidRDefault="0082002F" w:rsidP="001B7C32">
            <w:pPr>
              <w:widowControl w:val="0"/>
              <w:autoSpaceDE w:val="0"/>
              <w:autoSpaceDN w:val="0"/>
              <w:rPr>
                <w:sz w:val="22"/>
                <w:szCs w:val="22"/>
                <w:lang w:val="sr-Latn-RS"/>
              </w:rPr>
            </w:pPr>
          </w:p>
        </w:tc>
        <w:tc>
          <w:tcPr>
            <w:tcW w:w="3541" w:type="dxa"/>
          </w:tcPr>
          <w:p w14:paraId="68D26FB1" w14:textId="77777777" w:rsidR="0082002F" w:rsidRPr="00667453" w:rsidRDefault="0082002F" w:rsidP="001B7C32">
            <w:pPr>
              <w:widowControl w:val="0"/>
              <w:autoSpaceDE w:val="0"/>
              <w:autoSpaceDN w:val="0"/>
              <w:ind w:left="110"/>
              <w:rPr>
                <w:sz w:val="22"/>
                <w:szCs w:val="22"/>
                <w:lang w:val="sr-Latn-RS"/>
              </w:rPr>
            </w:pPr>
            <w:r w:rsidRPr="00667453">
              <w:rPr>
                <w:sz w:val="22"/>
                <w:szCs w:val="22"/>
                <w:lang w:val="sr-Latn-RS"/>
              </w:rPr>
              <w:t>Herpes zoster</w:t>
            </w:r>
          </w:p>
        </w:tc>
        <w:tc>
          <w:tcPr>
            <w:tcW w:w="1250" w:type="dxa"/>
          </w:tcPr>
          <w:p w14:paraId="6C13B6CF"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Česta</w:t>
            </w:r>
          </w:p>
        </w:tc>
      </w:tr>
      <w:tr w:rsidR="0082002F" w:rsidRPr="00667453" w14:paraId="287E5BF4" w14:textId="77777777" w:rsidTr="003B1C29">
        <w:tc>
          <w:tcPr>
            <w:tcW w:w="4272" w:type="dxa"/>
            <w:vMerge/>
            <w:tcBorders>
              <w:top w:val="nil"/>
            </w:tcBorders>
          </w:tcPr>
          <w:p w14:paraId="33E40CDC" w14:textId="77777777" w:rsidR="0082002F" w:rsidRPr="00667453" w:rsidRDefault="0082002F" w:rsidP="001B7C32">
            <w:pPr>
              <w:widowControl w:val="0"/>
              <w:autoSpaceDE w:val="0"/>
              <w:autoSpaceDN w:val="0"/>
              <w:rPr>
                <w:sz w:val="22"/>
                <w:szCs w:val="22"/>
                <w:lang w:val="sr-Latn-RS"/>
              </w:rPr>
            </w:pPr>
          </w:p>
        </w:tc>
        <w:tc>
          <w:tcPr>
            <w:tcW w:w="3541" w:type="dxa"/>
          </w:tcPr>
          <w:p w14:paraId="4ECE151C" w14:textId="77777777" w:rsidR="0082002F" w:rsidRPr="00667453" w:rsidRDefault="0082002F" w:rsidP="001B7C32">
            <w:pPr>
              <w:widowControl w:val="0"/>
              <w:autoSpaceDE w:val="0"/>
              <w:autoSpaceDN w:val="0"/>
              <w:ind w:left="110"/>
              <w:rPr>
                <w:sz w:val="22"/>
                <w:szCs w:val="22"/>
                <w:lang w:val="sr-Latn-RS"/>
              </w:rPr>
            </w:pPr>
            <w:r w:rsidRPr="00667453">
              <w:rPr>
                <w:sz w:val="22"/>
                <w:szCs w:val="22"/>
                <w:lang w:val="sr-Latn-RS"/>
              </w:rPr>
              <w:t>Infekcija respiratornog trakta*</w:t>
            </w:r>
          </w:p>
        </w:tc>
        <w:tc>
          <w:tcPr>
            <w:tcW w:w="1250" w:type="dxa"/>
          </w:tcPr>
          <w:p w14:paraId="530CAE0F"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Česta</w:t>
            </w:r>
          </w:p>
        </w:tc>
      </w:tr>
      <w:tr w:rsidR="0082002F" w:rsidRPr="00667453" w14:paraId="5FC7FD78" w14:textId="77777777" w:rsidTr="003B1C29">
        <w:tc>
          <w:tcPr>
            <w:tcW w:w="4272" w:type="dxa"/>
            <w:vMerge w:val="restart"/>
          </w:tcPr>
          <w:p w14:paraId="129A65B4" w14:textId="5FEAA3E5" w:rsidR="0082002F" w:rsidRPr="00667453" w:rsidRDefault="0082002F" w:rsidP="001B7C32">
            <w:pPr>
              <w:widowControl w:val="0"/>
              <w:autoSpaceDE w:val="0"/>
              <w:autoSpaceDN w:val="0"/>
              <w:spacing w:line="278" w:lineRule="auto"/>
              <w:ind w:left="110"/>
              <w:rPr>
                <w:sz w:val="22"/>
                <w:szCs w:val="22"/>
                <w:lang w:val="sr-Latn-RS"/>
              </w:rPr>
            </w:pPr>
            <w:r w:rsidRPr="00667453">
              <w:rPr>
                <w:sz w:val="22"/>
                <w:szCs w:val="22"/>
                <w:lang w:val="sr-Latn-RS"/>
              </w:rPr>
              <w:t>Poremećaji imun</w:t>
            </w:r>
            <w:r w:rsidR="00114A14" w:rsidRPr="00667453">
              <w:rPr>
                <w:sz w:val="22"/>
                <w:szCs w:val="22"/>
                <w:lang w:val="sr-Latn-RS"/>
              </w:rPr>
              <w:t>ološkog</w:t>
            </w:r>
            <w:r w:rsidRPr="00667453">
              <w:rPr>
                <w:sz w:val="22"/>
                <w:szCs w:val="22"/>
                <w:lang w:val="sr-Latn-RS"/>
              </w:rPr>
              <w:t xml:space="preserve"> sistema</w:t>
            </w:r>
          </w:p>
        </w:tc>
        <w:tc>
          <w:tcPr>
            <w:tcW w:w="3541" w:type="dxa"/>
          </w:tcPr>
          <w:p w14:paraId="483C577F" w14:textId="022A58ED" w:rsidR="0082002F" w:rsidRPr="00667453" w:rsidRDefault="00745817" w:rsidP="001B7C32">
            <w:pPr>
              <w:widowControl w:val="0"/>
              <w:autoSpaceDE w:val="0"/>
              <w:autoSpaceDN w:val="0"/>
              <w:ind w:left="110"/>
              <w:rPr>
                <w:sz w:val="22"/>
                <w:szCs w:val="22"/>
                <w:lang w:val="sr-Latn-RS"/>
              </w:rPr>
            </w:pPr>
            <w:r w:rsidRPr="00667453">
              <w:rPr>
                <w:sz w:val="22"/>
                <w:szCs w:val="22"/>
                <w:lang w:val="sr-Latn-RS"/>
              </w:rPr>
              <w:t>Preosjetljivost</w:t>
            </w:r>
          </w:p>
        </w:tc>
        <w:tc>
          <w:tcPr>
            <w:tcW w:w="1250" w:type="dxa"/>
          </w:tcPr>
          <w:p w14:paraId="4DF58A50"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Česta</w:t>
            </w:r>
          </w:p>
        </w:tc>
      </w:tr>
      <w:tr w:rsidR="0082002F" w:rsidRPr="00667453" w14:paraId="146EC5CD" w14:textId="77777777" w:rsidTr="003B1C29">
        <w:tc>
          <w:tcPr>
            <w:tcW w:w="4272" w:type="dxa"/>
            <w:vMerge/>
            <w:tcBorders>
              <w:top w:val="nil"/>
            </w:tcBorders>
          </w:tcPr>
          <w:p w14:paraId="1653DFB4" w14:textId="77777777" w:rsidR="0082002F" w:rsidRPr="00667453" w:rsidRDefault="0082002F" w:rsidP="001B7C32">
            <w:pPr>
              <w:widowControl w:val="0"/>
              <w:autoSpaceDE w:val="0"/>
              <w:autoSpaceDN w:val="0"/>
              <w:rPr>
                <w:sz w:val="22"/>
                <w:szCs w:val="22"/>
                <w:lang w:val="sr-Latn-RS"/>
              </w:rPr>
            </w:pPr>
          </w:p>
        </w:tc>
        <w:tc>
          <w:tcPr>
            <w:tcW w:w="3541" w:type="dxa"/>
          </w:tcPr>
          <w:p w14:paraId="2AB9C094" w14:textId="77777777" w:rsidR="0082002F" w:rsidRPr="00667453" w:rsidRDefault="0082002F" w:rsidP="001B7C32">
            <w:pPr>
              <w:widowControl w:val="0"/>
              <w:autoSpaceDE w:val="0"/>
              <w:autoSpaceDN w:val="0"/>
              <w:ind w:left="110"/>
              <w:rPr>
                <w:sz w:val="22"/>
                <w:szCs w:val="22"/>
                <w:lang w:val="sr-Latn-RS"/>
              </w:rPr>
            </w:pPr>
            <w:r w:rsidRPr="00667453">
              <w:rPr>
                <w:sz w:val="22"/>
                <w:szCs w:val="22"/>
                <w:lang w:val="sr-Latn-RS"/>
              </w:rPr>
              <w:t>Anafilaktička reakcija</w:t>
            </w:r>
          </w:p>
        </w:tc>
        <w:tc>
          <w:tcPr>
            <w:tcW w:w="1250" w:type="dxa"/>
          </w:tcPr>
          <w:p w14:paraId="331DAC7B"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Povremena</w:t>
            </w:r>
            <w:r w:rsidRPr="00667453">
              <w:rPr>
                <w:sz w:val="22"/>
                <w:szCs w:val="22"/>
                <w:vertAlign w:val="superscript"/>
                <w:lang w:val="sr-Latn-RS"/>
              </w:rPr>
              <w:t>§</w:t>
            </w:r>
          </w:p>
        </w:tc>
      </w:tr>
      <w:tr w:rsidR="001E30E7" w:rsidRPr="00667453" w14:paraId="5361FC10" w14:textId="77777777" w:rsidTr="003B1C29">
        <w:tc>
          <w:tcPr>
            <w:tcW w:w="4272" w:type="dxa"/>
          </w:tcPr>
          <w:p w14:paraId="5BC51C80" w14:textId="7CB36937" w:rsidR="001E30E7" w:rsidRPr="00B15FA8" w:rsidRDefault="001E30E7" w:rsidP="001B7C32">
            <w:pPr>
              <w:widowControl w:val="0"/>
              <w:autoSpaceDE w:val="0"/>
              <w:autoSpaceDN w:val="0"/>
              <w:spacing w:line="278" w:lineRule="auto"/>
              <w:ind w:left="110"/>
              <w:rPr>
                <w:sz w:val="22"/>
                <w:szCs w:val="22"/>
                <w:lang w:val="sr-Latn-RS"/>
              </w:rPr>
            </w:pPr>
            <w:r w:rsidRPr="00B15FA8">
              <w:rPr>
                <w:sz w:val="22"/>
                <w:szCs w:val="22"/>
                <w:lang w:val="sr-Latn-RS"/>
              </w:rPr>
              <w:t>Poremećaji mišićno-skeletnog i vezivnog tkiva</w:t>
            </w:r>
          </w:p>
        </w:tc>
        <w:tc>
          <w:tcPr>
            <w:tcW w:w="3541" w:type="dxa"/>
          </w:tcPr>
          <w:p w14:paraId="33E34220" w14:textId="370D9A1A" w:rsidR="001E30E7" w:rsidRPr="00B15FA8" w:rsidRDefault="001E30E7" w:rsidP="001B7C32">
            <w:pPr>
              <w:widowControl w:val="0"/>
              <w:autoSpaceDE w:val="0"/>
              <w:autoSpaceDN w:val="0"/>
              <w:ind w:left="110"/>
              <w:rPr>
                <w:sz w:val="22"/>
                <w:szCs w:val="22"/>
                <w:lang w:val="sr-Latn-RS"/>
              </w:rPr>
            </w:pPr>
            <w:r w:rsidRPr="00B15FA8">
              <w:rPr>
                <w:sz w:val="22"/>
                <w:szCs w:val="22"/>
                <w:lang w:val="sr-Latn-RS"/>
              </w:rPr>
              <w:t>Artralgija</w:t>
            </w:r>
          </w:p>
        </w:tc>
        <w:tc>
          <w:tcPr>
            <w:tcW w:w="1250" w:type="dxa"/>
          </w:tcPr>
          <w:p w14:paraId="306CA77C" w14:textId="71E34ACF" w:rsidR="001E30E7" w:rsidRPr="00B15FA8" w:rsidRDefault="001E30E7" w:rsidP="001B7C32">
            <w:pPr>
              <w:widowControl w:val="0"/>
              <w:autoSpaceDE w:val="0"/>
              <w:autoSpaceDN w:val="0"/>
              <w:ind w:left="104"/>
              <w:rPr>
                <w:sz w:val="22"/>
                <w:szCs w:val="22"/>
                <w:lang w:val="sr-Latn-RS"/>
              </w:rPr>
            </w:pPr>
            <w:r w:rsidRPr="00B15FA8">
              <w:rPr>
                <w:sz w:val="22"/>
                <w:szCs w:val="22"/>
                <w:lang w:val="sr-Latn-RS"/>
              </w:rPr>
              <w:t>Nepoznata</w:t>
            </w:r>
          </w:p>
        </w:tc>
      </w:tr>
      <w:tr w:rsidR="0082002F" w:rsidRPr="00667453" w14:paraId="3448B71D" w14:textId="77777777" w:rsidTr="003B1C29">
        <w:tc>
          <w:tcPr>
            <w:tcW w:w="4272" w:type="dxa"/>
          </w:tcPr>
          <w:p w14:paraId="78A6F826" w14:textId="77777777" w:rsidR="0082002F" w:rsidRPr="00667453" w:rsidRDefault="0082002F" w:rsidP="001B7C32">
            <w:pPr>
              <w:widowControl w:val="0"/>
              <w:autoSpaceDE w:val="0"/>
              <w:autoSpaceDN w:val="0"/>
              <w:spacing w:line="278" w:lineRule="auto"/>
              <w:ind w:left="110"/>
              <w:rPr>
                <w:sz w:val="22"/>
                <w:szCs w:val="22"/>
                <w:lang w:val="sr-Latn-RS"/>
              </w:rPr>
            </w:pPr>
            <w:r w:rsidRPr="00667453">
              <w:rPr>
                <w:sz w:val="22"/>
                <w:szCs w:val="22"/>
                <w:lang w:val="sr-Latn-RS"/>
              </w:rPr>
              <w:t>Povreda, trovanje i proceduralne komplikacije</w:t>
            </w:r>
          </w:p>
        </w:tc>
        <w:tc>
          <w:tcPr>
            <w:tcW w:w="3541" w:type="dxa"/>
          </w:tcPr>
          <w:p w14:paraId="388AD03A" w14:textId="77777777" w:rsidR="0082002F" w:rsidRPr="00667453" w:rsidRDefault="0082002F" w:rsidP="001B7C32">
            <w:pPr>
              <w:widowControl w:val="0"/>
              <w:autoSpaceDE w:val="0"/>
              <w:autoSpaceDN w:val="0"/>
              <w:ind w:left="110"/>
              <w:rPr>
                <w:sz w:val="22"/>
                <w:szCs w:val="22"/>
                <w:lang w:val="sr-Latn-RS"/>
              </w:rPr>
            </w:pPr>
            <w:r w:rsidRPr="00667453">
              <w:rPr>
                <w:sz w:val="22"/>
                <w:szCs w:val="22"/>
                <w:lang w:val="sr-Latn-RS"/>
              </w:rPr>
              <w:t>Reakcija povezana sa infuzijom</w:t>
            </w:r>
          </w:p>
        </w:tc>
        <w:tc>
          <w:tcPr>
            <w:tcW w:w="1250" w:type="dxa"/>
          </w:tcPr>
          <w:p w14:paraId="406315D1" w14:textId="77777777" w:rsidR="0082002F" w:rsidRPr="00667453" w:rsidRDefault="0082002F" w:rsidP="001B7C32">
            <w:pPr>
              <w:widowControl w:val="0"/>
              <w:autoSpaceDE w:val="0"/>
              <w:autoSpaceDN w:val="0"/>
              <w:ind w:left="104"/>
              <w:rPr>
                <w:sz w:val="22"/>
                <w:szCs w:val="22"/>
                <w:lang w:val="sr-Latn-RS"/>
              </w:rPr>
            </w:pPr>
            <w:r w:rsidRPr="00667453">
              <w:rPr>
                <w:sz w:val="22"/>
                <w:szCs w:val="22"/>
                <w:lang w:val="sr-Latn-RS"/>
              </w:rPr>
              <w:t>Česta</w:t>
            </w:r>
          </w:p>
        </w:tc>
      </w:tr>
    </w:tbl>
    <w:p w14:paraId="64A59240" w14:textId="77777777" w:rsidR="0082002F" w:rsidRPr="003B1C29" w:rsidRDefault="0082002F" w:rsidP="001B7C32">
      <w:pPr>
        <w:widowControl w:val="0"/>
        <w:autoSpaceDE w:val="0"/>
        <w:autoSpaceDN w:val="0"/>
        <w:spacing w:line="276" w:lineRule="auto"/>
        <w:jc w:val="both"/>
        <w:rPr>
          <w:sz w:val="20"/>
          <w:szCs w:val="22"/>
          <w:lang w:val="sr-Latn-RS"/>
        </w:rPr>
      </w:pPr>
      <w:r w:rsidRPr="003B1C29">
        <w:rPr>
          <w:sz w:val="20"/>
          <w:szCs w:val="22"/>
          <w:lang w:val="sr-Latn-RS"/>
        </w:rPr>
        <w:t>* Grupisani termini: infekcija gornjeg respiratornog trakta (uključujući infekciju gornjeg respiratornog trakta, nazofaringitis, faringitis); bronhitis (uključujući bronhitis, virusni bronhitis, traheobronhitis); infekcija respiratornog trakta (uključujući infekciju respiratornog trakta, virusnu infekciju respiratornog trakta, bakterijsku infekciju respiratornog trakta).</w:t>
      </w:r>
    </w:p>
    <w:p w14:paraId="3EE87C5D" w14:textId="65E7FDA7" w:rsidR="0082002F" w:rsidRPr="003B1C29" w:rsidRDefault="0082002F" w:rsidP="001B7C32">
      <w:pPr>
        <w:widowControl w:val="0"/>
        <w:autoSpaceDE w:val="0"/>
        <w:autoSpaceDN w:val="0"/>
        <w:spacing w:line="229" w:lineRule="exact"/>
        <w:jc w:val="both"/>
        <w:rPr>
          <w:sz w:val="20"/>
          <w:szCs w:val="22"/>
          <w:lang w:val="sr-Latn-RS"/>
        </w:rPr>
      </w:pPr>
      <w:r w:rsidRPr="003B1C29">
        <w:rPr>
          <w:sz w:val="20"/>
          <w:szCs w:val="22"/>
          <w:vertAlign w:val="superscript"/>
          <w:lang w:val="sr-Latn-RS"/>
        </w:rPr>
        <w:t>§</w:t>
      </w:r>
      <w:r w:rsidRPr="003B1C29">
        <w:rPr>
          <w:sz w:val="20"/>
          <w:szCs w:val="22"/>
          <w:lang w:val="sr-Latn-RS"/>
        </w:rPr>
        <w:t xml:space="preserve"> </w:t>
      </w:r>
      <w:r w:rsidR="00745817" w:rsidRPr="003B1C29">
        <w:rPr>
          <w:sz w:val="20"/>
          <w:szCs w:val="22"/>
          <w:lang w:val="sr-Latn-RS"/>
        </w:rPr>
        <w:t>Vidjeti</w:t>
      </w:r>
      <w:r w:rsidRPr="003B1C29">
        <w:rPr>
          <w:sz w:val="20"/>
          <w:szCs w:val="22"/>
          <w:lang w:val="sr-Latn-RS"/>
        </w:rPr>
        <w:t xml:space="preserve"> „Opis odabranih neželjenih reakcija” u nastavku i </w:t>
      </w:r>
      <w:r w:rsidR="008419A5" w:rsidRPr="003B1C29">
        <w:rPr>
          <w:sz w:val="20"/>
          <w:szCs w:val="22"/>
          <w:lang w:val="sr-Latn-RS"/>
        </w:rPr>
        <w:t>dio</w:t>
      </w:r>
      <w:r w:rsidRPr="003B1C29">
        <w:rPr>
          <w:sz w:val="20"/>
          <w:szCs w:val="22"/>
          <w:lang w:val="sr-Latn-RS"/>
        </w:rPr>
        <w:t xml:space="preserve"> 4.4.</w:t>
      </w:r>
    </w:p>
    <w:p w14:paraId="10F4C868" w14:textId="77777777" w:rsidR="00C64811" w:rsidRDefault="00C64811" w:rsidP="001B7C32">
      <w:pPr>
        <w:widowControl w:val="0"/>
        <w:autoSpaceDE w:val="0"/>
        <w:autoSpaceDN w:val="0"/>
        <w:spacing w:line="229" w:lineRule="exact"/>
        <w:jc w:val="both"/>
        <w:rPr>
          <w:sz w:val="22"/>
          <w:szCs w:val="22"/>
          <w:lang w:val="sr-Latn-RS"/>
        </w:rPr>
      </w:pPr>
    </w:p>
    <w:p w14:paraId="54E419D3" w14:textId="77777777" w:rsidR="00C64811" w:rsidRPr="003B1C29" w:rsidRDefault="00C64811" w:rsidP="001B7C32">
      <w:pPr>
        <w:widowControl w:val="0"/>
        <w:autoSpaceDE w:val="0"/>
        <w:autoSpaceDN w:val="0"/>
        <w:spacing w:line="229" w:lineRule="exact"/>
        <w:jc w:val="both"/>
        <w:rPr>
          <w:sz w:val="22"/>
          <w:szCs w:val="22"/>
          <w:u w:val="single"/>
          <w:lang w:val="sr-Latn-RS"/>
        </w:rPr>
      </w:pPr>
      <w:r w:rsidRPr="003B1C29">
        <w:rPr>
          <w:sz w:val="22"/>
          <w:szCs w:val="22"/>
          <w:u w:val="single"/>
          <w:lang w:val="sr-Latn-RS"/>
        </w:rPr>
        <w:t xml:space="preserve">Dugoročna sigurnost </w:t>
      </w:r>
    </w:p>
    <w:p w14:paraId="4DBFA28C" w14:textId="77777777" w:rsidR="00C64811" w:rsidRPr="00B15FA8" w:rsidRDefault="00C64811" w:rsidP="001B7C32">
      <w:pPr>
        <w:widowControl w:val="0"/>
        <w:autoSpaceDE w:val="0"/>
        <w:autoSpaceDN w:val="0"/>
        <w:spacing w:line="229" w:lineRule="exact"/>
        <w:jc w:val="both"/>
        <w:rPr>
          <w:sz w:val="22"/>
          <w:szCs w:val="22"/>
          <w:lang w:val="sr-Latn-RS"/>
        </w:rPr>
      </w:pPr>
    </w:p>
    <w:p w14:paraId="67D0085C" w14:textId="62DFCAD6" w:rsidR="00C64811" w:rsidRPr="00667453" w:rsidRDefault="00C64811" w:rsidP="001B7C32">
      <w:pPr>
        <w:widowControl w:val="0"/>
        <w:autoSpaceDE w:val="0"/>
        <w:autoSpaceDN w:val="0"/>
        <w:spacing w:line="229" w:lineRule="exact"/>
        <w:jc w:val="both"/>
        <w:rPr>
          <w:sz w:val="22"/>
          <w:szCs w:val="22"/>
          <w:lang w:val="sr-Latn-RS"/>
        </w:rPr>
      </w:pPr>
      <w:r w:rsidRPr="00B15FA8">
        <w:rPr>
          <w:sz w:val="22"/>
          <w:szCs w:val="22"/>
          <w:lang w:val="sr-Latn-RS"/>
        </w:rPr>
        <w:t>Pacijenti koji su završili ispitivanja 1 i 2 (</w:t>
      </w:r>
      <w:r w:rsidR="00756C18">
        <w:rPr>
          <w:sz w:val="22"/>
          <w:szCs w:val="22"/>
          <w:lang w:val="sr-Latn-RS"/>
        </w:rPr>
        <w:t>„</w:t>
      </w:r>
      <w:r w:rsidR="00756C18" w:rsidRPr="003B1C29">
        <w:rPr>
          <w:i/>
          <w:sz w:val="22"/>
          <w:szCs w:val="22"/>
          <w:lang w:val="sr-Latn-RS"/>
        </w:rPr>
        <w:t>feeder</w:t>
      </w:r>
      <w:r w:rsidR="00756C18">
        <w:rPr>
          <w:sz w:val="22"/>
          <w:szCs w:val="22"/>
          <w:lang w:val="sr-Latn-RS"/>
        </w:rPr>
        <w:t xml:space="preserve">“ ispitivanja </w:t>
      </w:r>
      <w:r w:rsidRPr="00B15FA8">
        <w:rPr>
          <w:sz w:val="22"/>
          <w:szCs w:val="22"/>
          <w:lang w:val="sr-Latn-RS"/>
        </w:rPr>
        <w:t>faz</w:t>
      </w:r>
      <w:r w:rsidR="00756C18">
        <w:rPr>
          <w:sz w:val="22"/>
          <w:szCs w:val="22"/>
          <w:lang w:val="sr-Latn-RS"/>
        </w:rPr>
        <w:t>e</w:t>
      </w:r>
      <w:r w:rsidRPr="00B15FA8">
        <w:rPr>
          <w:sz w:val="22"/>
          <w:szCs w:val="22"/>
          <w:lang w:val="sr-Latn-RS"/>
        </w:rPr>
        <w:t xml:space="preserve"> III) do 52. nedjelje </w:t>
      </w:r>
      <w:r w:rsidR="00756C18">
        <w:rPr>
          <w:sz w:val="22"/>
          <w:szCs w:val="22"/>
          <w:lang w:val="sr-Latn-RS"/>
        </w:rPr>
        <w:t>bili su pogodni za</w:t>
      </w:r>
      <w:r w:rsidRPr="00B15FA8">
        <w:rPr>
          <w:sz w:val="22"/>
          <w:szCs w:val="22"/>
          <w:lang w:val="sr-Latn-RS"/>
        </w:rPr>
        <w:t xml:space="preserve"> nastav</w:t>
      </w:r>
      <w:r w:rsidR="00756C18">
        <w:rPr>
          <w:sz w:val="22"/>
          <w:szCs w:val="22"/>
          <w:lang w:val="sr-Latn-RS"/>
        </w:rPr>
        <w:t>ak</w:t>
      </w:r>
      <w:r w:rsidRPr="00B15FA8">
        <w:rPr>
          <w:sz w:val="22"/>
          <w:szCs w:val="22"/>
          <w:lang w:val="sr-Latn-RS"/>
        </w:rPr>
        <w:t xml:space="preserve"> liječenj</w:t>
      </w:r>
      <w:r w:rsidR="00756C18">
        <w:rPr>
          <w:sz w:val="22"/>
          <w:szCs w:val="22"/>
          <w:lang w:val="sr-Latn-RS"/>
        </w:rPr>
        <w:t>a</w:t>
      </w:r>
      <w:r w:rsidRPr="00B15FA8">
        <w:rPr>
          <w:sz w:val="22"/>
          <w:szCs w:val="22"/>
          <w:lang w:val="sr-Latn-RS"/>
        </w:rPr>
        <w:t xml:space="preserve"> u randomizovanom, dvostruko slijepom, placebom kontrolisanom dugotrajnom produže</w:t>
      </w:r>
      <w:r w:rsidR="00756C18">
        <w:rPr>
          <w:sz w:val="22"/>
          <w:szCs w:val="22"/>
          <w:lang w:val="sr-Latn-RS"/>
        </w:rPr>
        <w:t>tku ispitivanja</w:t>
      </w:r>
      <w:r w:rsidRPr="00B15FA8">
        <w:rPr>
          <w:sz w:val="22"/>
          <w:szCs w:val="22"/>
          <w:lang w:val="sr-Latn-RS"/>
        </w:rPr>
        <w:t xml:space="preserve"> (</w:t>
      </w:r>
      <w:r w:rsidR="00756C18">
        <w:rPr>
          <w:sz w:val="22"/>
          <w:szCs w:val="22"/>
          <w:lang w:val="sr-Latn-RS"/>
        </w:rPr>
        <w:t xml:space="preserve">engl. </w:t>
      </w:r>
      <w:r w:rsidR="00756C18" w:rsidRPr="003B1C29">
        <w:rPr>
          <w:i/>
          <w:sz w:val="22"/>
          <w:szCs w:val="22"/>
          <w:lang w:val="sr-Latn-RS"/>
        </w:rPr>
        <w:t>long-term extension</w:t>
      </w:r>
      <w:r w:rsidR="00756C18">
        <w:rPr>
          <w:sz w:val="22"/>
          <w:szCs w:val="22"/>
          <w:lang w:val="sr-Latn-RS"/>
        </w:rPr>
        <w:t>,</w:t>
      </w:r>
      <w:r w:rsidR="00756C18" w:rsidRPr="00756C18">
        <w:rPr>
          <w:sz w:val="22"/>
          <w:szCs w:val="22"/>
          <w:lang w:val="sr-Latn-RS"/>
        </w:rPr>
        <w:t xml:space="preserve"> </w:t>
      </w:r>
      <w:r w:rsidRPr="00B15FA8">
        <w:rPr>
          <w:sz w:val="22"/>
          <w:szCs w:val="22"/>
          <w:lang w:val="sr-Latn-RS"/>
        </w:rPr>
        <w:t xml:space="preserve">LTE) </w:t>
      </w:r>
      <w:r w:rsidR="00756C18">
        <w:rPr>
          <w:sz w:val="22"/>
          <w:szCs w:val="22"/>
          <w:lang w:val="sr-Latn-RS"/>
        </w:rPr>
        <w:t>tokom</w:t>
      </w:r>
      <w:r w:rsidR="00756C18" w:rsidRPr="00B15FA8">
        <w:rPr>
          <w:sz w:val="22"/>
          <w:szCs w:val="22"/>
          <w:lang w:val="sr-Latn-RS"/>
        </w:rPr>
        <w:t xml:space="preserve"> </w:t>
      </w:r>
      <w:r w:rsidRPr="00B15FA8">
        <w:rPr>
          <w:sz w:val="22"/>
          <w:szCs w:val="22"/>
          <w:lang w:val="sr-Latn-RS"/>
        </w:rPr>
        <w:t>dodatne 3 godine (vidjeti dio 5.1). Ukupni dugoročni profil bezbjednosti anifrolumaba bio je u skladu sa ispitivanjima od 52 ned</w:t>
      </w:r>
      <w:r w:rsidR="000B3036" w:rsidRPr="00B15FA8">
        <w:rPr>
          <w:sz w:val="22"/>
          <w:szCs w:val="22"/>
          <w:lang w:val="sr-Latn-RS"/>
        </w:rPr>
        <w:t>j</w:t>
      </w:r>
      <w:r w:rsidRPr="00B15FA8">
        <w:rPr>
          <w:sz w:val="22"/>
          <w:szCs w:val="22"/>
          <w:lang w:val="sr-Latn-RS"/>
        </w:rPr>
        <w:t>elje.</w:t>
      </w:r>
    </w:p>
    <w:p w14:paraId="77F7D0D3" w14:textId="77777777" w:rsidR="0082002F" w:rsidRPr="00667453" w:rsidRDefault="0082002F" w:rsidP="001B7C32">
      <w:pPr>
        <w:widowControl w:val="0"/>
        <w:autoSpaceDE w:val="0"/>
        <w:autoSpaceDN w:val="0"/>
        <w:jc w:val="both"/>
        <w:rPr>
          <w:sz w:val="22"/>
          <w:szCs w:val="22"/>
          <w:lang w:val="sr-Latn-RS"/>
        </w:rPr>
      </w:pPr>
    </w:p>
    <w:p w14:paraId="79133512" w14:textId="5A80AF1D" w:rsidR="0082002F" w:rsidRPr="00667453" w:rsidRDefault="0082002F" w:rsidP="001B7C32">
      <w:pPr>
        <w:widowControl w:val="0"/>
        <w:autoSpaceDE w:val="0"/>
        <w:autoSpaceDN w:val="0"/>
        <w:jc w:val="both"/>
        <w:rPr>
          <w:sz w:val="22"/>
          <w:szCs w:val="22"/>
          <w:lang w:val="sr-Latn-RS"/>
        </w:rPr>
      </w:pPr>
      <w:r w:rsidRPr="00667453">
        <w:rPr>
          <w:sz w:val="22"/>
          <w:szCs w:val="22"/>
          <w:u w:val="single"/>
          <w:lang w:val="sr-Latn-RS"/>
        </w:rPr>
        <w:t xml:space="preserve">Opis odabranih neželjenih </w:t>
      </w:r>
      <w:r w:rsidR="00114A14" w:rsidRPr="00667453">
        <w:rPr>
          <w:sz w:val="22"/>
          <w:szCs w:val="22"/>
          <w:u w:val="single"/>
          <w:lang w:val="sr-Latn-RS"/>
        </w:rPr>
        <w:t>dejstava</w:t>
      </w:r>
    </w:p>
    <w:p w14:paraId="70E7EEA5" w14:textId="77777777" w:rsidR="0082002F" w:rsidRPr="00667453" w:rsidRDefault="0082002F" w:rsidP="001B7C32">
      <w:pPr>
        <w:widowControl w:val="0"/>
        <w:autoSpaceDE w:val="0"/>
        <w:autoSpaceDN w:val="0"/>
        <w:jc w:val="both"/>
        <w:rPr>
          <w:sz w:val="22"/>
          <w:szCs w:val="22"/>
          <w:lang w:val="sr-Latn-RS"/>
        </w:rPr>
      </w:pPr>
    </w:p>
    <w:p w14:paraId="0CBB1A91" w14:textId="40A93BDB" w:rsidR="0082002F" w:rsidRPr="00667453" w:rsidRDefault="0082002F" w:rsidP="001B7C32">
      <w:pPr>
        <w:widowControl w:val="0"/>
        <w:autoSpaceDE w:val="0"/>
        <w:autoSpaceDN w:val="0"/>
        <w:jc w:val="both"/>
        <w:rPr>
          <w:i/>
          <w:sz w:val="22"/>
          <w:szCs w:val="22"/>
          <w:lang w:val="sr-Latn-RS"/>
        </w:rPr>
      </w:pPr>
      <w:r w:rsidRPr="00667453">
        <w:rPr>
          <w:i/>
          <w:iCs/>
          <w:sz w:val="22"/>
          <w:szCs w:val="22"/>
          <w:lang w:val="sr-Latn-RS"/>
        </w:rPr>
        <w:t xml:space="preserve">Reakcije </w:t>
      </w:r>
      <w:r w:rsidR="00745817" w:rsidRPr="00667453">
        <w:rPr>
          <w:i/>
          <w:iCs/>
          <w:sz w:val="22"/>
          <w:szCs w:val="22"/>
          <w:lang w:val="sr-Latn-RS"/>
        </w:rPr>
        <w:t>preosjetljivost</w:t>
      </w:r>
      <w:r w:rsidRPr="00667453">
        <w:rPr>
          <w:i/>
          <w:iCs/>
          <w:sz w:val="22"/>
          <w:szCs w:val="22"/>
          <w:lang w:val="sr-Latn-RS"/>
        </w:rPr>
        <w:t>i i reakcije povezane sa infuzijom</w:t>
      </w:r>
    </w:p>
    <w:p w14:paraId="00F6F270" w14:textId="755439E9"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Incidenca reakcija </w:t>
      </w:r>
      <w:r w:rsidR="00745817" w:rsidRPr="00667453">
        <w:rPr>
          <w:sz w:val="22"/>
          <w:szCs w:val="22"/>
          <w:lang w:val="sr-Latn-RS"/>
        </w:rPr>
        <w:t>preosjetljivost</w:t>
      </w:r>
      <w:r w:rsidRPr="00667453">
        <w:rPr>
          <w:sz w:val="22"/>
          <w:szCs w:val="22"/>
          <w:lang w:val="sr-Latn-RS"/>
        </w:rPr>
        <w:t xml:space="preserve">i iznosila je 2,8% u grupi </w:t>
      </w:r>
      <w:r w:rsidR="00745817" w:rsidRPr="00667453">
        <w:rPr>
          <w:sz w:val="22"/>
          <w:szCs w:val="22"/>
          <w:lang w:val="sr-Latn-RS"/>
        </w:rPr>
        <w:t>liječen</w:t>
      </w:r>
      <w:r w:rsidRPr="00667453">
        <w:rPr>
          <w:sz w:val="22"/>
          <w:szCs w:val="22"/>
          <w:lang w:val="sr-Latn-RS"/>
        </w:rPr>
        <w:t xml:space="preserve">oj anifrolumabom i 0,6% u grupi koja je primala placebo. Sve reakcije </w:t>
      </w:r>
      <w:r w:rsidR="00745817" w:rsidRPr="00667453">
        <w:rPr>
          <w:sz w:val="22"/>
          <w:szCs w:val="22"/>
          <w:lang w:val="sr-Latn-RS"/>
        </w:rPr>
        <w:t>preosjetljivost</w:t>
      </w:r>
      <w:r w:rsidRPr="00667453">
        <w:rPr>
          <w:sz w:val="22"/>
          <w:szCs w:val="22"/>
          <w:lang w:val="sr-Latn-RS"/>
        </w:rPr>
        <w:t xml:space="preserve">i prijavljene su kod </w:t>
      </w:r>
      <w:r w:rsidR="00745817" w:rsidRPr="00667453">
        <w:rPr>
          <w:sz w:val="22"/>
          <w:szCs w:val="22"/>
          <w:lang w:val="sr-Latn-RS"/>
        </w:rPr>
        <w:t>primjene</w:t>
      </w:r>
      <w:r w:rsidRPr="00667453">
        <w:rPr>
          <w:sz w:val="22"/>
          <w:szCs w:val="22"/>
          <w:lang w:val="sr-Latn-RS"/>
        </w:rPr>
        <w:t xml:space="preserve"> prvih 6 infuzija.</w:t>
      </w:r>
    </w:p>
    <w:p w14:paraId="1CBF6A49" w14:textId="5F666147" w:rsidR="0082002F"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Reakcije </w:t>
      </w:r>
      <w:r w:rsidR="00745817" w:rsidRPr="00667453">
        <w:rPr>
          <w:sz w:val="22"/>
          <w:szCs w:val="22"/>
          <w:lang w:val="sr-Latn-RS"/>
        </w:rPr>
        <w:t>preosjetljivost</w:t>
      </w:r>
      <w:r w:rsidRPr="00667453">
        <w:rPr>
          <w:sz w:val="22"/>
          <w:szCs w:val="22"/>
          <w:lang w:val="sr-Latn-RS"/>
        </w:rPr>
        <w:t>i pretežno su bile blagog do um</w:t>
      </w:r>
      <w:r w:rsidR="006416F2" w:rsidRPr="00667453">
        <w:rPr>
          <w:sz w:val="22"/>
          <w:szCs w:val="22"/>
          <w:lang w:val="sr-Latn-RS"/>
        </w:rPr>
        <w:t>j</w:t>
      </w:r>
      <w:r w:rsidRPr="00667453">
        <w:rPr>
          <w:sz w:val="22"/>
          <w:szCs w:val="22"/>
          <w:lang w:val="sr-Latn-RS"/>
        </w:rPr>
        <w:t xml:space="preserve">erenog intenziteta i </w:t>
      </w:r>
      <w:r w:rsidR="00745817" w:rsidRPr="00667453">
        <w:rPr>
          <w:sz w:val="22"/>
          <w:szCs w:val="22"/>
          <w:lang w:val="sr-Latn-RS"/>
        </w:rPr>
        <w:t>nijesu</w:t>
      </w:r>
      <w:r w:rsidRPr="00667453">
        <w:rPr>
          <w:sz w:val="22"/>
          <w:szCs w:val="22"/>
          <w:lang w:val="sr-Latn-RS"/>
        </w:rPr>
        <w:t xml:space="preserve"> dovele do prekida </w:t>
      </w:r>
      <w:r w:rsidR="00745817" w:rsidRPr="00667453">
        <w:rPr>
          <w:sz w:val="22"/>
          <w:szCs w:val="22"/>
          <w:lang w:val="sr-Latn-RS"/>
        </w:rPr>
        <w:t>liječenja</w:t>
      </w:r>
      <w:r w:rsidRPr="00667453">
        <w:rPr>
          <w:sz w:val="22"/>
          <w:szCs w:val="22"/>
          <w:lang w:val="sr-Latn-RS"/>
        </w:rPr>
        <w:t xml:space="preserve"> anifrolumabom. Kod jednog pacijenta je </w:t>
      </w:r>
      <w:r w:rsidR="008419A5" w:rsidRPr="00667453">
        <w:rPr>
          <w:sz w:val="22"/>
          <w:szCs w:val="22"/>
          <w:lang w:val="sr-Latn-RS"/>
        </w:rPr>
        <w:t>zabilje</w:t>
      </w:r>
      <w:r w:rsidRPr="00667453">
        <w:rPr>
          <w:sz w:val="22"/>
          <w:szCs w:val="22"/>
          <w:lang w:val="sr-Latn-RS"/>
        </w:rPr>
        <w:t xml:space="preserve">žena ozbiljna neželjena reakcija </w:t>
      </w:r>
      <w:r w:rsidR="00745817" w:rsidRPr="00667453">
        <w:rPr>
          <w:sz w:val="22"/>
          <w:szCs w:val="22"/>
          <w:lang w:val="sr-Latn-RS"/>
        </w:rPr>
        <w:t>preosjetljivost</w:t>
      </w:r>
      <w:r w:rsidRPr="00667453">
        <w:rPr>
          <w:sz w:val="22"/>
          <w:szCs w:val="22"/>
          <w:lang w:val="sr-Latn-RS"/>
        </w:rPr>
        <w:t xml:space="preserve">i tokom prve infuzije. Taj pacijent je nastavio da prima anifrolumab uz </w:t>
      </w:r>
      <w:r w:rsidR="00745817" w:rsidRPr="00667453">
        <w:rPr>
          <w:sz w:val="22"/>
          <w:szCs w:val="22"/>
          <w:lang w:val="sr-Latn-RS"/>
        </w:rPr>
        <w:t>primjenu</w:t>
      </w:r>
      <w:r w:rsidRPr="00667453">
        <w:rPr>
          <w:sz w:val="22"/>
          <w:szCs w:val="22"/>
          <w:lang w:val="sr-Latn-RS"/>
        </w:rPr>
        <w:t xml:space="preserve"> premedikacije pr</w:t>
      </w:r>
      <w:r w:rsidR="006416F2" w:rsidRPr="00667453">
        <w:rPr>
          <w:sz w:val="22"/>
          <w:szCs w:val="22"/>
          <w:lang w:val="sr-Latn-RS"/>
        </w:rPr>
        <w:t>ij</w:t>
      </w:r>
      <w:r w:rsidRPr="00667453">
        <w:rPr>
          <w:sz w:val="22"/>
          <w:szCs w:val="22"/>
          <w:lang w:val="sr-Latn-RS"/>
        </w:rPr>
        <w:t>e sl</w:t>
      </w:r>
      <w:r w:rsidR="0075776A" w:rsidRPr="00667453">
        <w:rPr>
          <w:sz w:val="22"/>
          <w:szCs w:val="22"/>
          <w:lang w:val="sr-Latn-RS"/>
        </w:rPr>
        <w:t>j</w:t>
      </w:r>
      <w:r w:rsidRPr="00667453">
        <w:rPr>
          <w:sz w:val="22"/>
          <w:szCs w:val="22"/>
          <w:lang w:val="sr-Latn-RS"/>
        </w:rPr>
        <w:t>edećih infuzija.</w:t>
      </w:r>
    </w:p>
    <w:p w14:paraId="765D43D1" w14:textId="77777777" w:rsidR="0082002F" w:rsidRPr="00667453" w:rsidRDefault="0082002F" w:rsidP="001B7C32">
      <w:pPr>
        <w:widowControl w:val="0"/>
        <w:autoSpaceDE w:val="0"/>
        <w:autoSpaceDN w:val="0"/>
        <w:jc w:val="both"/>
        <w:rPr>
          <w:sz w:val="22"/>
          <w:szCs w:val="22"/>
          <w:lang w:val="sr-Latn-RS"/>
        </w:rPr>
      </w:pPr>
    </w:p>
    <w:p w14:paraId="72FF9156" w14:textId="3B4A5109" w:rsidR="0082002F" w:rsidRPr="00667453" w:rsidRDefault="0082002F" w:rsidP="001B7C32">
      <w:pPr>
        <w:widowControl w:val="0"/>
        <w:autoSpaceDE w:val="0"/>
        <w:autoSpaceDN w:val="0"/>
        <w:jc w:val="both"/>
        <w:rPr>
          <w:sz w:val="22"/>
          <w:szCs w:val="22"/>
          <w:lang w:val="sr-Latn-RS"/>
        </w:rPr>
      </w:pPr>
      <w:r w:rsidRPr="00667453">
        <w:rPr>
          <w:sz w:val="22"/>
          <w:szCs w:val="22"/>
          <w:lang w:val="sr-Latn-RS"/>
        </w:rPr>
        <w:t>U programu razvoja l</w:t>
      </w:r>
      <w:r w:rsidR="006416F2" w:rsidRPr="00667453">
        <w:rPr>
          <w:sz w:val="22"/>
          <w:szCs w:val="22"/>
          <w:lang w:val="sr-Latn-RS"/>
        </w:rPr>
        <w:t>ij</w:t>
      </w:r>
      <w:r w:rsidRPr="00667453">
        <w:rPr>
          <w:sz w:val="22"/>
          <w:szCs w:val="22"/>
          <w:lang w:val="sr-Latn-RS"/>
        </w:rPr>
        <w:t xml:space="preserve">eka za SLE, anafilaktička reakcija je </w:t>
      </w:r>
      <w:r w:rsidR="008419A5" w:rsidRPr="00667453">
        <w:rPr>
          <w:sz w:val="22"/>
          <w:szCs w:val="22"/>
          <w:lang w:val="sr-Latn-RS"/>
        </w:rPr>
        <w:t>zabilje</w:t>
      </w:r>
      <w:r w:rsidRPr="00667453">
        <w:rPr>
          <w:sz w:val="22"/>
          <w:szCs w:val="22"/>
          <w:lang w:val="sr-Latn-RS"/>
        </w:rPr>
        <w:t xml:space="preserve">žena kod 0,1% (1/837) pacijenata; taj događaj se javio nakon </w:t>
      </w:r>
      <w:r w:rsidR="00745817" w:rsidRPr="00667453">
        <w:rPr>
          <w:sz w:val="22"/>
          <w:szCs w:val="22"/>
          <w:lang w:val="sr-Latn-RS"/>
        </w:rPr>
        <w:t>primjene</w:t>
      </w:r>
      <w:r w:rsidRPr="00667453">
        <w:rPr>
          <w:sz w:val="22"/>
          <w:szCs w:val="22"/>
          <w:lang w:val="sr-Latn-RS"/>
        </w:rPr>
        <w:t xml:space="preserve"> doze od 150 mg anifrolumaba, a pacijent se oporavio nakon </w:t>
      </w:r>
      <w:r w:rsidR="00745817" w:rsidRPr="00667453">
        <w:rPr>
          <w:sz w:val="22"/>
          <w:szCs w:val="22"/>
          <w:lang w:val="sr-Latn-RS"/>
        </w:rPr>
        <w:t>liječenja</w:t>
      </w:r>
      <w:r w:rsidRPr="00667453">
        <w:rPr>
          <w:sz w:val="22"/>
          <w:szCs w:val="22"/>
          <w:lang w:val="sr-Latn-RS"/>
        </w:rPr>
        <w:t xml:space="preserve"> (</w:t>
      </w:r>
      <w:r w:rsidR="0075776A" w:rsidRPr="00667453">
        <w:rPr>
          <w:sz w:val="22"/>
          <w:szCs w:val="22"/>
          <w:lang w:val="sr-Latn-RS"/>
        </w:rPr>
        <w:t xml:space="preserve">vidjeti </w:t>
      </w:r>
      <w:r w:rsidR="008419A5" w:rsidRPr="00667453">
        <w:rPr>
          <w:sz w:val="22"/>
          <w:szCs w:val="22"/>
          <w:lang w:val="sr-Latn-RS"/>
        </w:rPr>
        <w:t>dio</w:t>
      </w:r>
      <w:r w:rsidRPr="00667453">
        <w:rPr>
          <w:sz w:val="22"/>
          <w:szCs w:val="22"/>
          <w:lang w:val="sr-Latn-RS"/>
        </w:rPr>
        <w:t xml:space="preserve"> 4.4).</w:t>
      </w:r>
    </w:p>
    <w:p w14:paraId="517781C2" w14:textId="77777777" w:rsidR="0082002F" w:rsidRPr="00667453" w:rsidRDefault="0082002F" w:rsidP="001B7C32">
      <w:pPr>
        <w:widowControl w:val="0"/>
        <w:autoSpaceDE w:val="0"/>
        <w:autoSpaceDN w:val="0"/>
        <w:jc w:val="both"/>
        <w:rPr>
          <w:sz w:val="22"/>
          <w:szCs w:val="22"/>
          <w:lang w:val="sr-Latn-RS"/>
        </w:rPr>
      </w:pPr>
    </w:p>
    <w:p w14:paraId="6EFEFEE9" w14:textId="4E94CBCF" w:rsidR="00122098" w:rsidRPr="00667453" w:rsidRDefault="0082002F" w:rsidP="001B7C32">
      <w:pPr>
        <w:widowControl w:val="0"/>
        <w:autoSpaceDE w:val="0"/>
        <w:autoSpaceDN w:val="0"/>
        <w:jc w:val="both"/>
        <w:rPr>
          <w:sz w:val="22"/>
          <w:szCs w:val="22"/>
          <w:lang w:val="sr-Latn-RS"/>
        </w:rPr>
      </w:pPr>
      <w:r w:rsidRPr="00667453">
        <w:rPr>
          <w:sz w:val="22"/>
          <w:szCs w:val="22"/>
          <w:lang w:val="sr-Latn-RS"/>
        </w:rPr>
        <w:t xml:space="preserve">Incidenca reakcija povezanih sa infuzijom iznosila je 9,4% u grupi </w:t>
      </w:r>
      <w:r w:rsidR="00745817" w:rsidRPr="00667453">
        <w:rPr>
          <w:sz w:val="22"/>
          <w:szCs w:val="22"/>
          <w:lang w:val="sr-Latn-RS"/>
        </w:rPr>
        <w:t>liječen</w:t>
      </w:r>
      <w:r w:rsidRPr="00667453">
        <w:rPr>
          <w:sz w:val="22"/>
          <w:szCs w:val="22"/>
          <w:lang w:val="sr-Latn-RS"/>
        </w:rPr>
        <w:t>oj anifrolumabom i 7,1% u grupi koja je primala placebo. Reakcije povezane sa infuzijom bile su blagog do um</w:t>
      </w:r>
      <w:r w:rsidR="006416F2" w:rsidRPr="00667453">
        <w:rPr>
          <w:sz w:val="22"/>
          <w:szCs w:val="22"/>
          <w:lang w:val="sr-Latn-RS"/>
        </w:rPr>
        <w:t>j</w:t>
      </w:r>
      <w:r w:rsidRPr="00667453">
        <w:rPr>
          <w:sz w:val="22"/>
          <w:szCs w:val="22"/>
          <w:lang w:val="sr-Latn-RS"/>
        </w:rPr>
        <w:t xml:space="preserve">erenog intenziteta (najčešći simptomi bili su glavobolja, mučnina, povraćanje, umor i vrtoglavica), nijedna nije bila ozbiljna i nijedna nije dovela do prekida </w:t>
      </w:r>
      <w:r w:rsidR="00745817" w:rsidRPr="00667453">
        <w:rPr>
          <w:sz w:val="22"/>
          <w:szCs w:val="22"/>
          <w:lang w:val="sr-Latn-RS"/>
        </w:rPr>
        <w:t>primjene</w:t>
      </w:r>
      <w:r w:rsidRPr="00667453">
        <w:rPr>
          <w:sz w:val="22"/>
          <w:szCs w:val="22"/>
          <w:lang w:val="sr-Latn-RS"/>
        </w:rPr>
        <w:t xml:space="preserve"> anifrolumaba. Reakcije povezane sa infuzijom </w:t>
      </w:r>
      <w:r w:rsidRPr="00667453">
        <w:rPr>
          <w:sz w:val="22"/>
          <w:szCs w:val="22"/>
          <w:lang w:val="sr-Latn-RS"/>
        </w:rPr>
        <w:lastRenderedPageBreak/>
        <w:t xml:space="preserve">najčešće su </w:t>
      </w:r>
      <w:r w:rsidR="00114A14" w:rsidRPr="00667453">
        <w:rPr>
          <w:sz w:val="22"/>
          <w:szCs w:val="22"/>
          <w:lang w:val="sr-Latn-RS"/>
        </w:rPr>
        <w:t>za</w:t>
      </w:r>
      <w:r w:rsidRPr="00667453">
        <w:rPr>
          <w:sz w:val="22"/>
          <w:szCs w:val="22"/>
          <w:lang w:val="sr-Latn-RS"/>
        </w:rPr>
        <w:t>b</w:t>
      </w:r>
      <w:r w:rsidR="00114A14" w:rsidRPr="00667453">
        <w:rPr>
          <w:sz w:val="22"/>
          <w:szCs w:val="22"/>
          <w:lang w:val="sr-Latn-RS"/>
        </w:rPr>
        <w:t>ilje</w:t>
      </w:r>
      <w:r w:rsidRPr="00667453">
        <w:rPr>
          <w:sz w:val="22"/>
          <w:szCs w:val="22"/>
          <w:lang w:val="sr-Latn-RS"/>
        </w:rPr>
        <w:t xml:space="preserve">žene na početku </w:t>
      </w:r>
      <w:r w:rsidR="00745817" w:rsidRPr="00667453">
        <w:rPr>
          <w:sz w:val="22"/>
          <w:szCs w:val="22"/>
          <w:lang w:val="sr-Latn-RS"/>
        </w:rPr>
        <w:t>liječenja</w:t>
      </w:r>
      <w:r w:rsidRPr="00667453">
        <w:rPr>
          <w:sz w:val="22"/>
          <w:szCs w:val="22"/>
          <w:lang w:val="sr-Latn-RS"/>
        </w:rPr>
        <w:t xml:space="preserve">, kod </w:t>
      </w:r>
      <w:r w:rsidR="00745817" w:rsidRPr="00667453">
        <w:rPr>
          <w:sz w:val="22"/>
          <w:szCs w:val="22"/>
          <w:lang w:val="sr-Latn-RS"/>
        </w:rPr>
        <w:t>primjene</w:t>
      </w:r>
      <w:r w:rsidRPr="00667453">
        <w:rPr>
          <w:sz w:val="22"/>
          <w:szCs w:val="22"/>
          <w:lang w:val="sr-Latn-RS"/>
        </w:rPr>
        <w:t xml:space="preserve"> prve i druge infuzije, dok je kod sl</w:t>
      </w:r>
      <w:r w:rsidR="006416F2" w:rsidRPr="00667453">
        <w:rPr>
          <w:sz w:val="22"/>
          <w:szCs w:val="22"/>
          <w:lang w:val="sr-Latn-RS"/>
        </w:rPr>
        <w:t>j</w:t>
      </w:r>
      <w:r w:rsidRPr="00667453">
        <w:rPr>
          <w:sz w:val="22"/>
          <w:szCs w:val="22"/>
          <w:lang w:val="sr-Latn-RS"/>
        </w:rPr>
        <w:t xml:space="preserve">edećih infuzija </w:t>
      </w:r>
      <w:r w:rsidR="008419A5" w:rsidRPr="00667453">
        <w:rPr>
          <w:sz w:val="22"/>
          <w:szCs w:val="22"/>
          <w:lang w:val="sr-Latn-RS"/>
        </w:rPr>
        <w:t>zabilje</w:t>
      </w:r>
      <w:r w:rsidRPr="00667453">
        <w:rPr>
          <w:sz w:val="22"/>
          <w:szCs w:val="22"/>
          <w:lang w:val="sr-Latn-RS"/>
        </w:rPr>
        <w:t>žen manji broj prijava</w:t>
      </w:r>
      <w:r w:rsidR="00122098" w:rsidRPr="00667453">
        <w:rPr>
          <w:sz w:val="22"/>
          <w:szCs w:val="22"/>
          <w:lang w:val="sr-Latn-RS"/>
        </w:rPr>
        <w:t>.</w:t>
      </w:r>
    </w:p>
    <w:p w14:paraId="3D5BAA54" w14:textId="396B6BC4" w:rsidR="00122098" w:rsidRPr="00667453" w:rsidRDefault="00122098" w:rsidP="001B7C32">
      <w:pPr>
        <w:widowControl w:val="0"/>
        <w:autoSpaceDE w:val="0"/>
        <w:autoSpaceDN w:val="0"/>
        <w:jc w:val="both"/>
        <w:rPr>
          <w:sz w:val="22"/>
          <w:szCs w:val="22"/>
          <w:lang w:val="sr-Latn-RS"/>
        </w:rPr>
      </w:pPr>
    </w:p>
    <w:p w14:paraId="68D6D7B4" w14:textId="77777777" w:rsidR="00122098" w:rsidRPr="00667453" w:rsidRDefault="00122098" w:rsidP="001B7C32">
      <w:pPr>
        <w:widowControl w:val="0"/>
        <w:autoSpaceDE w:val="0"/>
        <w:autoSpaceDN w:val="0"/>
        <w:jc w:val="both"/>
        <w:rPr>
          <w:i/>
          <w:sz w:val="22"/>
          <w:szCs w:val="22"/>
          <w:lang w:val="sr-Latn-RS"/>
        </w:rPr>
      </w:pPr>
      <w:r w:rsidRPr="00667453">
        <w:rPr>
          <w:i/>
          <w:iCs/>
          <w:sz w:val="22"/>
          <w:szCs w:val="22"/>
          <w:lang w:val="sr-Latn-RS"/>
        </w:rPr>
        <w:t>Respiratorne infekcije</w:t>
      </w:r>
    </w:p>
    <w:p w14:paraId="151DFE0B" w14:textId="77777777" w:rsidR="00122098" w:rsidRPr="00667453" w:rsidRDefault="00122098" w:rsidP="001B7C32">
      <w:pPr>
        <w:widowControl w:val="0"/>
        <w:autoSpaceDE w:val="0"/>
        <w:autoSpaceDN w:val="0"/>
        <w:jc w:val="both"/>
        <w:rPr>
          <w:sz w:val="22"/>
          <w:szCs w:val="22"/>
          <w:lang w:val="sr-Latn-RS"/>
        </w:rPr>
      </w:pPr>
      <w:r w:rsidRPr="00667453">
        <w:rPr>
          <w:sz w:val="22"/>
          <w:szCs w:val="22"/>
          <w:lang w:val="sr-Latn-RS"/>
        </w:rPr>
        <w:t>Stope prijavljivanja za anifrolumab u odnosu na placebo iznosile su: 34,4% prema 23,2% za infekciju gornjeg respiratornog trakta, 10,7% prema 5,2% za bronhitis i 3,3% prema 1,5% za infekciju respiratornog trakta. Infekcije uglavnom nijesu bile ozbiljne, bile su blagog ili umjerenog intenziteta i povukle su se bez prekida liječenja anifrolumabom (vidjeti dio 4.4).</w:t>
      </w:r>
    </w:p>
    <w:p w14:paraId="3AA7A3D1" w14:textId="77777777" w:rsidR="00122098" w:rsidRPr="00667453" w:rsidRDefault="00122098" w:rsidP="001B7C32">
      <w:pPr>
        <w:widowControl w:val="0"/>
        <w:autoSpaceDE w:val="0"/>
        <w:autoSpaceDN w:val="0"/>
        <w:jc w:val="both"/>
        <w:rPr>
          <w:sz w:val="22"/>
          <w:szCs w:val="22"/>
          <w:lang w:val="sr-Latn-RS"/>
        </w:rPr>
      </w:pPr>
    </w:p>
    <w:p w14:paraId="4C446F21" w14:textId="77777777" w:rsidR="00122098" w:rsidRPr="00667453" w:rsidRDefault="00122098" w:rsidP="001B7C32">
      <w:pPr>
        <w:widowControl w:val="0"/>
        <w:autoSpaceDE w:val="0"/>
        <w:autoSpaceDN w:val="0"/>
        <w:jc w:val="both"/>
        <w:rPr>
          <w:i/>
          <w:sz w:val="22"/>
          <w:szCs w:val="22"/>
          <w:lang w:val="sr-Latn-RS"/>
        </w:rPr>
      </w:pPr>
      <w:r w:rsidRPr="00667453">
        <w:rPr>
          <w:i/>
          <w:iCs/>
          <w:sz w:val="22"/>
          <w:szCs w:val="22"/>
          <w:lang w:val="sr-Latn-RS"/>
        </w:rPr>
        <w:t>Herpes zoster</w:t>
      </w:r>
    </w:p>
    <w:p w14:paraId="78681588" w14:textId="37D1A069" w:rsidR="00122098" w:rsidRPr="00667453" w:rsidRDefault="000B3036" w:rsidP="001B7C32">
      <w:pPr>
        <w:widowControl w:val="0"/>
        <w:autoSpaceDE w:val="0"/>
        <w:autoSpaceDN w:val="0"/>
        <w:jc w:val="both"/>
        <w:rPr>
          <w:sz w:val="22"/>
          <w:szCs w:val="22"/>
          <w:lang w:val="sr-Latn-RS"/>
        </w:rPr>
      </w:pPr>
      <w:r w:rsidRPr="00B15FA8">
        <w:rPr>
          <w:sz w:val="22"/>
          <w:szCs w:val="22"/>
          <w:lang w:val="sr-Latn-RS"/>
        </w:rPr>
        <w:t>U kliničkim ispitivanjima od 52 nedjelje i</w:t>
      </w:r>
      <w:r w:rsidR="00122098" w:rsidRPr="00B15FA8">
        <w:rPr>
          <w:sz w:val="22"/>
          <w:szCs w:val="22"/>
          <w:lang w:val="sr-Latn-RS"/>
        </w:rPr>
        <w:t>ncidenca infekcija herpes zosterom iznosila je 6,1% u grupi liječenoj anifrolumabom i 1,3% u grupi koja je primala placebo (vidjeti dio 4.4)</w:t>
      </w:r>
      <w:r w:rsidRPr="00B15FA8">
        <w:rPr>
          <w:sz w:val="22"/>
          <w:szCs w:val="22"/>
          <w:lang w:val="sr-Latn-RS"/>
        </w:rPr>
        <w:t xml:space="preserve">, </w:t>
      </w:r>
      <w:r w:rsidR="00122098" w:rsidRPr="00B15FA8">
        <w:rPr>
          <w:sz w:val="22"/>
          <w:szCs w:val="22"/>
          <w:lang w:val="sr-Latn-RS"/>
        </w:rPr>
        <w:t>srednje vrijeme do početka bilo je 139 dana (raspon 2–351 dan).</w:t>
      </w:r>
      <w:r w:rsidRPr="001B7C32">
        <w:rPr>
          <w:lang w:val="sr-Latn-RS"/>
        </w:rPr>
        <w:t xml:space="preserve"> </w:t>
      </w:r>
      <w:r w:rsidRPr="00B15FA8">
        <w:rPr>
          <w:sz w:val="22"/>
          <w:szCs w:val="22"/>
          <w:lang w:val="sr-Latn-RS"/>
        </w:rPr>
        <w:t xml:space="preserve">Nakon toga, u LTE </w:t>
      </w:r>
      <w:r w:rsidR="00756C18" w:rsidRPr="00B15FA8">
        <w:rPr>
          <w:sz w:val="22"/>
          <w:szCs w:val="22"/>
          <w:lang w:val="sr-Latn-RS"/>
        </w:rPr>
        <w:t xml:space="preserve">su se </w:t>
      </w:r>
      <w:r w:rsidRPr="00B15FA8">
        <w:rPr>
          <w:sz w:val="22"/>
          <w:szCs w:val="22"/>
          <w:lang w:val="sr-Latn-RS"/>
        </w:rPr>
        <w:t>stope incidence vremenom smanjivale.</w:t>
      </w:r>
    </w:p>
    <w:p w14:paraId="4C0F0CB9" w14:textId="77777777" w:rsidR="00122098" w:rsidRPr="00667453" w:rsidRDefault="00122098" w:rsidP="001B7C32">
      <w:pPr>
        <w:widowControl w:val="0"/>
        <w:autoSpaceDE w:val="0"/>
        <w:autoSpaceDN w:val="0"/>
        <w:jc w:val="both"/>
        <w:rPr>
          <w:sz w:val="22"/>
          <w:szCs w:val="22"/>
          <w:lang w:val="sr-Latn-RS"/>
        </w:rPr>
      </w:pPr>
    </w:p>
    <w:p w14:paraId="7867FB08" w14:textId="77777777" w:rsidR="00122098" w:rsidRPr="00667453" w:rsidRDefault="00122098" w:rsidP="001B7C32">
      <w:pPr>
        <w:widowControl w:val="0"/>
        <w:autoSpaceDE w:val="0"/>
        <w:autoSpaceDN w:val="0"/>
        <w:jc w:val="both"/>
        <w:rPr>
          <w:sz w:val="22"/>
          <w:szCs w:val="22"/>
          <w:lang w:val="sr-Latn-RS"/>
        </w:rPr>
      </w:pPr>
      <w:r w:rsidRPr="00667453">
        <w:rPr>
          <w:sz w:val="22"/>
          <w:szCs w:val="22"/>
          <w:lang w:val="sr-Latn-RS"/>
        </w:rPr>
        <w:t>Infekcije herpes zosterom pretežno su imale lokalizovane kožne manifestacije, bile su blagog ili umjerenog intenziteta i povukle su se bez prekida liječenja anifrolumabom. Prijavljeni su i slučajevi u kojima je bolest zahvatala više dermatoma i slučajevi diseminovane bolesti (uključujući zahvaćenost centralnog nervnog sistema) (vidjeti dio 4.4).</w:t>
      </w:r>
    </w:p>
    <w:p w14:paraId="48165C57" w14:textId="77777777" w:rsidR="00122098" w:rsidRPr="00667453" w:rsidRDefault="00122098" w:rsidP="001B7C32">
      <w:pPr>
        <w:widowControl w:val="0"/>
        <w:autoSpaceDE w:val="0"/>
        <w:autoSpaceDN w:val="0"/>
        <w:jc w:val="both"/>
        <w:rPr>
          <w:sz w:val="22"/>
          <w:szCs w:val="22"/>
          <w:lang w:val="sr-Latn-RS"/>
        </w:rPr>
      </w:pPr>
    </w:p>
    <w:p w14:paraId="1CE147F4" w14:textId="77777777" w:rsidR="00122098" w:rsidRPr="00667453" w:rsidRDefault="00122098" w:rsidP="001B7C32">
      <w:pPr>
        <w:widowControl w:val="0"/>
        <w:autoSpaceDE w:val="0"/>
        <w:autoSpaceDN w:val="0"/>
        <w:jc w:val="both"/>
        <w:rPr>
          <w:sz w:val="22"/>
          <w:szCs w:val="22"/>
          <w:lang w:val="sr-Latn-RS"/>
        </w:rPr>
      </w:pPr>
      <w:r w:rsidRPr="00667453">
        <w:rPr>
          <w:sz w:val="22"/>
          <w:szCs w:val="22"/>
          <w:u w:val="single"/>
          <w:lang w:val="sr-Latn-RS"/>
        </w:rPr>
        <w:t>Imunogenost</w:t>
      </w:r>
    </w:p>
    <w:p w14:paraId="09922706" w14:textId="77777777" w:rsidR="00122098" w:rsidRPr="00667453" w:rsidRDefault="00122098" w:rsidP="001B7C32">
      <w:pPr>
        <w:widowControl w:val="0"/>
        <w:autoSpaceDE w:val="0"/>
        <w:autoSpaceDN w:val="0"/>
        <w:jc w:val="both"/>
        <w:rPr>
          <w:sz w:val="22"/>
          <w:szCs w:val="22"/>
          <w:lang w:val="sr-Latn-RS"/>
        </w:rPr>
      </w:pPr>
    </w:p>
    <w:p w14:paraId="1292A294" w14:textId="77777777" w:rsidR="000B3036" w:rsidRDefault="00122098" w:rsidP="001B7C32">
      <w:pPr>
        <w:widowControl w:val="0"/>
        <w:autoSpaceDE w:val="0"/>
        <w:autoSpaceDN w:val="0"/>
        <w:spacing w:line="244" w:lineRule="auto"/>
        <w:jc w:val="both"/>
        <w:rPr>
          <w:sz w:val="22"/>
          <w:szCs w:val="22"/>
          <w:lang w:val="sr-Latn-RS"/>
        </w:rPr>
      </w:pPr>
      <w:r w:rsidRPr="00667453">
        <w:rPr>
          <w:sz w:val="22"/>
          <w:szCs w:val="22"/>
          <w:lang w:val="sr-Latn-RS"/>
        </w:rPr>
        <w:t xml:space="preserve">U ispitivanjima faze III antitijela na lijek koja su se razvila tokom liječenja otkrivena su kod 6 od 352 (1,7%) pacijenta liječena anifrolumabom prema preporučenom režimu doziranja tokom 60-nedjeljnog perioda studije. </w:t>
      </w:r>
    </w:p>
    <w:p w14:paraId="11F4D332" w14:textId="77777777" w:rsidR="000B3036" w:rsidRDefault="000B3036" w:rsidP="001B7C32">
      <w:pPr>
        <w:widowControl w:val="0"/>
        <w:autoSpaceDE w:val="0"/>
        <w:autoSpaceDN w:val="0"/>
        <w:spacing w:line="244" w:lineRule="auto"/>
        <w:jc w:val="both"/>
        <w:rPr>
          <w:sz w:val="22"/>
          <w:szCs w:val="22"/>
          <w:lang w:val="sr-Latn-RS"/>
        </w:rPr>
      </w:pPr>
    </w:p>
    <w:p w14:paraId="3AB91559" w14:textId="5B154C0E" w:rsidR="000B3036" w:rsidRDefault="000B3036" w:rsidP="001B7C32">
      <w:pPr>
        <w:widowControl w:val="0"/>
        <w:autoSpaceDE w:val="0"/>
        <w:autoSpaceDN w:val="0"/>
        <w:spacing w:line="244" w:lineRule="auto"/>
        <w:jc w:val="both"/>
        <w:rPr>
          <w:sz w:val="22"/>
          <w:szCs w:val="22"/>
          <w:lang w:val="sr-Latn-RS"/>
        </w:rPr>
      </w:pPr>
      <w:r w:rsidRPr="00B15FA8">
        <w:rPr>
          <w:sz w:val="22"/>
          <w:szCs w:val="22"/>
          <w:lang w:val="sr-Latn-RS"/>
        </w:rPr>
        <w:t xml:space="preserve">U LTE </w:t>
      </w:r>
      <w:r w:rsidR="00756C18">
        <w:rPr>
          <w:sz w:val="22"/>
          <w:szCs w:val="22"/>
          <w:lang w:val="sr-Latn-RS"/>
        </w:rPr>
        <w:t>faze</w:t>
      </w:r>
      <w:r w:rsidR="00756C18" w:rsidRPr="00B15FA8">
        <w:rPr>
          <w:sz w:val="22"/>
          <w:szCs w:val="22"/>
          <w:lang w:val="sr-Latn-RS"/>
        </w:rPr>
        <w:t xml:space="preserve"> III </w:t>
      </w:r>
      <w:r w:rsidRPr="00B15FA8">
        <w:rPr>
          <w:sz w:val="22"/>
          <w:szCs w:val="22"/>
          <w:lang w:val="sr-Latn-RS"/>
        </w:rPr>
        <w:t xml:space="preserve">(od 2. do 4. godine na liječenju), antitijela </w:t>
      </w:r>
      <w:r w:rsidR="00F40506">
        <w:rPr>
          <w:sz w:val="22"/>
          <w:szCs w:val="22"/>
          <w:lang w:val="sr-Latn-RS"/>
        </w:rPr>
        <w:t>na</w:t>
      </w:r>
      <w:r w:rsidR="00F40506" w:rsidRPr="00B15FA8">
        <w:rPr>
          <w:sz w:val="22"/>
          <w:szCs w:val="22"/>
          <w:lang w:val="sr-Latn-RS"/>
        </w:rPr>
        <w:t xml:space="preserve"> </w:t>
      </w:r>
      <w:r w:rsidRPr="00B15FA8">
        <w:rPr>
          <w:sz w:val="22"/>
          <w:szCs w:val="22"/>
          <w:lang w:val="sr-Latn-RS"/>
        </w:rPr>
        <w:t>ljekov</w:t>
      </w:r>
      <w:r w:rsidR="00F40506">
        <w:rPr>
          <w:sz w:val="22"/>
          <w:szCs w:val="22"/>
          <w:lang w:val="sr-Latn-RS"/>
        </w:rPr>
        <w:t>e</w:t>
      </w:r>
      <w:r w:rsidRPr="00B15FA8">
        <w:rPr>
          <w:sz w:val="22"/>
          <w:szCs w:val="22"/>
          <w:lang w:val="sr-Latn-RS"/>
        </w:rPr>
        <w:t xml:space="preserve"> koja su se pojavila u liječenju otkrivena su kod dodatnih 5 pacijenata liječenih anifrolumabom.</w:t>
      </w:r>
    </w:p>
    <w:p w14:paraId="3CA021D4" w14:textId="77777777" w:rsidR="000B3036" w:rsidRDefault="000B3036" w:rsidP="001B7C32">
      <w:pPr>
        <w:widowControl w:val="0"/>
        <w:autoSpaceDE w:val="0"/>
        <w:autoSpaceDN w:val="0"/>
        <w:spacing w:line="244" w:lineRule="auto"/>
        <w:jc w:val="both"/>
        <w:rPr>
          <w:sz w:val="22"/>
          <w:szCs w:val="22"/>
          <w:lang w:val="sr-Latn-RS"/>
        </w:rPr>
      </w:pPr>
    </w:p>
    <w:p w14:paraId="46EFBA51" w14:textId="616C8F60" w:rsidR="00122098" w:rsidRPr="00667453" w:rsidRDefault="00122098" w:rsidP="001B7C32">
      <w:pPr>
        <w:widowControl w:val="0"/>
        <w:autoSpaceDE w:val="0"/>
        <w:autoSpaceDN w:val="0"/>
        <w:spacing w:line="244" w:lineRule="auto"/>
        <w:jc w:val="both"/>
        <w:rPr>
          <w:sz w:val="22"/>
          <w:szCs w:val="22"/>
          <w:lang w:val="sr-Latn-RS"/>
        </w:rPr>
      </w:pPr>
      <w:r w:rsidRPr="00667453">
        <w:rPr>
          <w:sz w:val="22"/>
          <w:szCs w:val="22"/>
          <w:lang w:val="sr-Latn-RS"/>
        </w:rPr>
        <w:t>Zbog metodoloških ograničenja</w:t>
      </w:r>
      <w:r w:rsidR="000B3036">
        <w:rPr>
          <w:sz w:val="22"/>
          <w:szCs w:val="22"/>
          <w:lang w:val="sr-Latn-RS"/>
        </w:rPr>
        <w:t>,</w:t>
      </w:r>
      <w:r w:rsidRPr="00667453">
        <w:rPr>
          <w:sz w:val="22"/>
          <w:szCs w:val="22"/>
          <w:lang w:val="sr-Latn-RS"/>
        </w:rPr>
        <w:t xml:space="preserve"> klinički značaj </w:t>
      </w:r>
      <w:r w:rsidR="000B3036" w:rsidRPr="00B15FA8">
        <w:rPr>
          <w:sz w:val="22"/>
          <w:szCs w:val="22"/>
          <w:lang w:val="sr-Latn-RS"/>
        </w:rPr>
        <w:t>ovih</w:t>
      </w:r>
      <w:r w:rsidR="000B3036" w:rsidRPr="00667453">
        <w:rPr>
          <w:sz w:val="22"/>
          <w:szCs w:val="22"/>
          <w:lang w:val="sr-Latn-RS"/>
        </w:rPr>
        <w:t xml:space="preserve"> </w:t>
      </w:r>
      <w:r w:rsidRPr="00667453">
        <w:rPr>
          <w:sz w:val="22"/>
          <w:szCs w:val="22"/>
          <w:lang w:val="sr-Latn-RS"/>
        </w:rPr>
        <w:t>nalaza nije poznat.</w:t>
      </w:r>
    </w:p>
    <w:p w14:paraId="4E28236A" w14:textId="0A0D6B16" w:rsidR="00122098" w:rsidRPr="00667453" w:rsidRDefault="00122098" w:rsidP="001B7C32">
      <w:pPr>
        <w:widowControl w:val="0"/>
        <w:autoSpaceDE w:val="0"/>
        <w:autoSpaceDN w:val="0"/>
        <w:spacing w:line="244" w:lineRule="auto"/>
        <w:jc w:val="both"/>
        <w:rPr>
          <w:sz w:val="22"/>
          <w:szCs w:val="22"/>
          <w:lang w:val="sr-Latn-RS"/>
        </w:rPr>
      </w:pPr>
    </w:p>
    <w:p w14:paraId="0A515DC8" w14:textId="77777777" w:rsidR="00122098" w:rsidRPr="00667453" w:rsidRDefault="00122098" w:rsidP="001B7C32">
      <w:pPr>
        <w:widowControl w:val="0"/>
        <w:spacing w:line="276" w:lineRule="auto"/>
        <w:rPr>
          <w:rFonts w:eastAsia="Calibri"/>
          <w:sz w:val="22"/>
          <w:szCs w:val="22"/>
          <w:u w:val="single"/>
          <w:lang w:val="sr-Latn-RS"/>
        </w:rPr>
      </w:pPr>
      <w:r w:rsidRPr="00667453">
        <w:rPr>
          <w:rFonts w:eastAsia="Calibri"/>
          <w:sz w:val="22"/>
          <w:szCs w:val="22"/>
          <w:u w:val="single"/>
          <w:lang w:val="sr-Latn-RS"/>
        </w:rPr>
        <w:t>Prijavljivanje sumnji na neželjena dejstva</w:t>
      </w:r>
    </w:p>
    <w:p w14:paraId="6E877DF9" w14:textId="77777777" w:rsidR="00122098" w:rsidRPr="00667453" w:rsidRDefault="00122098" w:rsidP="001B7C32">
      <w:pPr>
        <w:widowControl w:val="0"/>
        <w:jc w:val="both"/>
        <w:rPr>
          <w:rFonts w:eastAsia="Calibri"/>
          <w:sz w:val="22"/>
          <w:szCs w:val="22"/>
          <w:lang w:val="sr-Latn-RS"/>
        </w:rPr>
      </w:pPr>
      <w:r w:rsidRPr="00667453">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EF89BC3" w14:textId="77777777" w:rsidR="00122098" w:rsidRPr="00667453" w:rsidRDefault="00122098" w:rsidP="001B7C32">
      <w:pPr>
        <w:pStyle w:val="NoSpacing"/>
        <w:widowControl w:val="0"/>
        <w:jc w:val="both"/>
        <w:rPr>
          <w:rFonts w:eastAsia="Calibri"/>
          <w:sz w:val="22"/>
          <w:szCs w:val="22"/>
          <w:lang w:val="sr-Latn-RS"/>
        </w:rPr>
      </w:pPr>
      <w:r w:rsidRPr="00667453">
        <w:rPr>
          <w:rFonts w:eastAsia="Calibri"/>
          <w:sz w:val="22"/>
          <w:szCs w:val="22"/>
          <w:lang w:val="sr-Latn-RS"/>
        </w:rPr>
        <w:t xml:space="preserve">Institut za ljekove i medicinska sredstva </w:t>
      </w:r>
    </w:p>
    <w:p w14:paraId="027C6DAC" w14:textId="77777777" w:rsidR="00122098" w:rsidRPr="00667453" w:rsidRDefault="00122098" w:rsidP="001B7C32">
      <w:pPr>
        <w:pStyle w:val="NoSpacing"/>
        <w:widowControl w:val="0"/>
        <w:jc w:val="both"/>
        <w:rPr>
          <w:rFonts w:eastAsia="Calibri"/>
          <w:sz w:val="22"/>
          <w:szCs w:val="22"/>
          <w:lang w:val="sr-Latn-RS"/>
        </w:rPr>
      </w:pPr>
      <w:r w:rsidRPr="00667453">
        <w:rPr>
          <w:rFonts w:eastAsia="Calibri"/>
          <w:sz w:val="22"/>
          <w:szCs w:val="22"/>
          <w:lang w:val="sr-Latn-RS"/>
        </w:rPr>
        <w:t>Odjeljenje za farmakovigilancu</w:t>
      </w:r>
    </w:p>
    <w:p w14:paraId="7A880D30" w14:textId="77777777" w:rsidR="00122098" w:rsidRPr="00667453" w:rsidRDefault="00122098" w:rsidP="001B7C32">
      <w:pPr>
        <w:pStyle w:val="NoSpacing"/>
        <w:widowControl w:val="0"/>
        <w:jc w:val="both"/>
        <w:rPr>
          <w:rFonts w:eastAsia="Calibri"/>
          <w:sz w:val="22"/>
          <w:szCs w:val="22"/>
          <w:lang w:val="sr-Latn-RS"/>
        </w:rPr>
      </w:pPr>
      <w:r w:rsidRPr="00667453">
        <w:rPr>
          <w:rFonts w:eastAsia="Calibri"/>
          <w:sz w:val="22"/>
          <w:szCs w:val="22"/>
          <w:lang w:val="sr-Latn-RS"/>
        </w:rPr>
        <w:t>Bulevar Ivana Crnojevića 64a, 81000 Podgorica</w:t>
      </w:r>
    </w:p>
    <w:p w14:paraId="506EE300" w14:textId="77777777" w:rsidR="00122098" w:rsidRPr="00667453" w:rsidRDefault="00122098" w:rsidP="001B7C32">
      <w:pPr>
        <w:pStyle w:val="NoSpacing"/>
        <w:widowControl w:val="0"/>
        <w:rPr>
          <w:rFonts w:eastAsia="Calibri"/>
          <w:sz w:val="22"/>
          <w:szCs w:val="22"/>
          <w:lang w:val="sr-Latn-RS"/>
        </w:rPr>
      </w:pPr>
    </w:p>
    <w:p w14:paraId="49074B72" w14:textId="77777777" w:rsidR="00122098" w:rsidRPr="00667453" w:rsidRDefault="00122098" w:rsidP="001B7C32">
      <w:pPr>
        <w:pStyle w:val="NoSpacing"/>
        <w:widowControl w:val="0"/>
        <w:jc w:val="both"/>
        <w:rPr>
          <w:rFonts w:eastAsia="Calibri"/>
          <w:sz w:val="22"/>
          <w:szCs w:val="22"/>
          <w:lang w:val="sr-Latn-RS"/>
        </w:rPr>
      </w:pPr>
      <w:r w:rsidRPr="00667453">
        <w:rPr>
          <w:rFonts w:eastAsia="Calibri"/>
          <w:sz w:val="22"/>
          <w:szCs w:val="22"/>
          <w:lang w:val="sr-Latn-RS"/>
        </w:rPr>
        <w:t>tel: +382 (0) 20 310 280</w:t>
      </w:r>
    </w:p>
    <w:p w14:paraId="37E62317" w14:textId="77777777" w:rsidR="00122098" w:rsidRPr="00667453" w:rsidRDefault="00122098" w:rsidP="001B7C32">
      <w:pPr>
        <w:pStyle w:val="NoSpacing"/>
        <w:widowControl w:val="0"/>
        <w:tabs>
          <w:tab w:val="left" w:pos="6720"/>
        </w:tabs>
        <w:jc w:val="both"/>
        <w:rPr>
          <w:rFonts w:eastAsia="Calibri"/>
          <w:sz w:val="22"/>
          <w:szCs w:val="22"/>
          <w:lang w:val="sr-Latn-RS"/>
        </w:rPr>
      </w:pPr>
      <w:r w:rsidRPr="00667453">
        <w:rPr>
          <w:rFonts w:eastAsia="Calibri"/>
          <w:sz w:val="22"/>
          <w:szCs w:val="22"/>
          <w:lang w:val="sr-Latn-RS"/>
        </w:rPr>
        <w:t>fax: +382 (0) 20 310 581</w:t>
      </w:r>
      <w:r w:rsidRPr="00667453">
        <w:rPr>
          <w:rFonts w:eastAsia="Calibri"/>
          <w:sz w:val="22"/>
          <w:szCs w:val="22"/>
          <w:lang w:val="sr-Latn-RS"/>
        </w:rPr>
        <w:tab/>
      </w:r>
    </w:p>
    <w:p w14:paraId="12DCF88F" w14:textId="77777777" w:rsidR="00122098" w:rsidRPr="00667453" w:rsidRDefault="00122098" w:rsidP="001B7C32">
      <w:pPr>
        <w:pStyle w:val="NoSpacing"/>
        <w:widowControl w:val="0"/>
        <w:jc w:val="both"/>
        <w:rPr>
          <w:rFonts w:eastAsia="Calibri"/>
          <w:sz w:val="22"/>
          <w:szCs w:val="22"/>
          <w:lang w:val="sr-Latn-RS"/>
        </w:rPr>
      </w:pPr>
      <w:hyperlink r:id="rId9" w:history="1">
        <w:r w:rsidRPr="00667453">
          <w:rPr>
            <w:rStyle w:val="Hyperlink"/>
            <w:rFonts w:eastAsia="Calibri"/>
            <w:sz w:val="22"/>
            <w:szCs w:val="22"/>
            <w:lang w:val="sr-Latn-RS"/>
          </w:rPr>
          <w:t>www.cinmed.me</w:t>
        </w:r>
      </w:hyperlink>
    </w:p>
    <w:p w14:paraId="42383933" w14:textId="77777777" w:rsidR="00122098" w:rsidRPr="00667453" w:rsidRDefault="00122098" w:rsidP="001B7C32">
      <w:pPr>
        <w:pStyle w:val="NoSpacing"/>
        <w:widowControl w:val="0"/>
        <w:jc w:val="both"/>
        <w:rPr>
          <w:rFonts w:eastAsia="Calibri"/>
          <w:color w:val="0000FF"/>
          <w:sz w:val="22"/>
          <w:szCs w:val="22"/>
          <w:u w:val="single"/>
          <w:lang w:val="sr-Latn-RS"/>
        </w:rPr>
      </w:pPr>
      <w:hyperlink r:id="rId10" w:history="1">
        <w:r w:rsidRPr="00667453">
          <w:rPr>
            <w:rStyle w:val="Hyperlink"/>
            <w:rFonts w:eastAsia="Calibri"/>
            <w:sz w:val="22"/>
            <w:szCs w:val="22"/>
            <w:lang w:val="sr-Latn-RS"/>
          </w:rPr>
          <w:t>nezeljenadejstva@cinmed.me</w:t>
        </w:r>
      </w:hyperlink>
    </w:p>
    <w:p w14:paraId="01F73CA9" w14:textId="77777777" w:rsidR="00122098" w:rsidRPr="00667453" w:rsidRDefault="00122098" w:rsidP="001B7C32">
      <w:pPr>
        <w:pStyle w:val="NoSpacing"/>
        <w:widowControl w:val="0"/>
        <w:jc w:val="both"/>
        <w:rPr>
          <w:rFonts w:eastAsia="Calibri"/>
          <w:sz w:val="22"/>
          <w:szCs w:val="22"/>
          <w:lang w:val="sr-Latn-RS"/>
        </w:rPr>
      </w:pPr>
      <w:r w:rsidRPr="00667453">
        <w:rPr>
          <w:rFonts w:eastAsia="Calibri"/>
          <w:sz w:val="22"/>
          <w:szCs w:val="22"/>
          <w:lang w:val="sr-Latn-RS"/>
        </w:rPr>
        <w:t>putem IS zdravstvene zaštite</w:t>
      </w:r>
    </w:p>
    <w:p w14:paraId="04DEDECA" w14:textId="77777777" w:rsidR="00122098" w:rsidRPr="00667453" w:rsidRDefault="00122098" w:rsidP="001B7C32">
      <w:pPr>
        <w:pStyle w:val="NoSpacing"/>
        <w:widowControl w:val="0"/>
        <w:jc w:val="both"/>
        <w:rPr>
          <w:rFonts w:eastAsia="Calibri"/>
          <w:sz w:val="22"/>
          <w:szCs w:val="22"/>
          <w:lang w:val="sr-Latn-RS"/>
        </w:rPr>
      </w:pPr>
      <w:r w:rsidRPr="00667453">
        <w:rPr>
          <w:rFonts w:eastAsia="Calibri"/>
          <w:sz w:val="22"/>
          <w:szCs w:val="22"/>
          <w:lang w:val="sr-Latn-RS"/>
        </w:rPr>
        <w:t>QR kod za online prijavu sumnje na neželjeno dejstvo lijeka:</w:t>
      </w:r>
    </w:p>
    <w:p w14:paraId="7515921F" w14:textId="77777777" w:rsidR="00122098" w:rsidRPr="00667453" w:rsidRDefault="00122098" w:rsidP="001B7C32">
      <w:pPr>
        <w:pStyle w:val="NoSpacing"/>
        <w:widowControl w:val="0"/>
        <w:jc w:val="both"/>
        <w:rPr>
          <w:rFonts w:eastAsia="Calibri"/>
          <w:sz w:val="22"/>
          <w:szCs w:val="22"/>
          <w:lang w:val="sr-Latn-RS"/>
        </w:rPr>
      </w:pPr>
    </w:p>
    <w:p w14:paraId="57939C92" w14:textId="77777777" w:rsidR="00122098" w:rsidRPr="00667453" w:rsidRDefault="00122098" w:rsidP="001B7C32">
      <w:pPr>
        <w:pStyle w:val="NoSpacing"/>
        <w:widowControl w:val="0"/>
        <w:rPr>
          <w:rFonts w:eastAsia="Calibri"/>
          <w:sz w:val="22"/>
          <w:szCs w:val="22"/>
          <w:lang w:val="sr-Latn-RS"/>
        </w:rPr>
      </w:pPr>
      <w:r w:rsidRPr="00667453">
        <w:rPr>
          <w:noProof/>
          <w:sz w:val="22"/>
          <w:szCs w:val="22"/>
        </w:rPr>
        <w:drawing>
          <wp:inline distT="0" distB="0" distL="0" distR="0" wp14:anchorId="54EA7E8E" wp14:editId="4305EE8B">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C5EBB1A" w14:textId="77777777" w:rsidR="000B3036" w:rsidRDefault="000B3036" w:rsidP="001B7C32">
      <w:pPr>
        <w:widowControl w:val="0"/>
        <w:tabs>
          <w:tab w:val="left" w:pos="540"/>
          <w:tab w:val="left" w:pos="569"/>
        </w:tabs>
        <w:jc w:val="both"/>
        <w:rPr>
          <w:b/>
          <w:bCs/>
          <w:sz w:val="22"/>
          <w:szCs w:val="22"/>
          <w:lang w:val="sr-Latn-RS"/>
        </w:rPr>
      </w:pPr>
    </w:p>
    <w:p w14:paraId="7A13DEE9" w14:textId="342FE486" w:rsidR="00CD6F02"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4.9. </w:t>
      </w:r>
      <w:r w:rsidR="00480FB1" w:rsidRPr="00667453">
        <w:rPr>
          <w:b/>
          <w:bCs/>
          <w:sz w:val="22"/>
          <w:szCs w:val="22"/>
          <w:lang w:val="sr-Latn-RS"/>
        </w:rPr>
        <w:tab/>
      </w:r>
      <w:r w:rsidRPr="00667453">
        <w:rPr>
          <w:b/>
          <w:bCs/>
          <w:sz w:val="22"/>
          <w:szCs w:val="22"/>
          <w:lang w:val="sr-Latn-RS"/>
        </w:rPr>
        <w:t>Predoziranje</w:t>
      </w:r>
      <w:r w:rsidR="002846DB" w:rsidRPr="00667453">
        <w:rPr>
          <w:b/>
          <w:bCs/>
          <w:sz w:val="22"/>
          <w:szCs w:val="22"/>
          <w:lang w:val="sr-Latn-RS"/>
        </w:rPr>
        <w:t xml:space="preserve"> </w:t>
      </w:r>
    </w:p>
    <w:p w14:paraId="675B7C8A" w14:textId="77777777" w:rsidR="00CD6F02" w:rsidRPr="00667453" w:rsidRDefault="00CD6F02" w:rsidP="001B7C32">
      <w:pPr>
        <w:widowControl w:val="0"/>
        <w:tabs>
          <w:tab w:val="left" w:pos="540"/>
          <w:tab w:val="left" w:pos="569"/>
        </w:tabs>
        <w:jc w:val="both"/>
        <w:rPr>
          <w:b/>
          <w:bCs/>
          <w:sz w:val="22"/>
          <w:szCs w:val="22"/>
          <w:lang w:val="sr-Latn-RS"/>
        </w:rPr>
      </w:pPr>
    </w:p>
    <w:p w14:paraId="032AF88D" w14:textId="77777777" w:rsidR="0082002F" w:rsidRPr="00667453" w:rsidRDefault="0082002F" w:rsidP="001B7C32">
      <w:pPr>
        <w:widowControl w:val="0"/>
        <w:autoSpaceDE w:val="0"/>
        <w:autoSpaceDN w:val="0"/>
        <w:spacing w:line="244" w:lineRule="auto"/>
        <w:jc w:val="both"/>
        <w:rPr>
          <w:sz w:val="22"/>
          <w:szCs w:val="22"/>
          <w:lang w:val="sr-Latn-RS"/>
        </w:rPr>
      </w:pPr>
      <w:r w:rsidRPr="00667453">
        <w:rPr>
          <w:sz w:val="22"/>
          <w:szCs w:val="22"/>
          <w:lang w:val="sr-Latn-RS"/>
        </w:rPr>
        <w:t>U kliničkim ispitivanjima pacijenti sa SLE su primali intravenske doze do 1000 mg bez znaka toksičnosti koja bi ograničavala dozu.</w:t>
      </w:r>
    </w:p>
    <w:p w14:paraId="228DDF97" w14:textId="77777777" w:rsidR="0082002F" w:rsidRPr="00667453" w:rsidRDefault="0082002F" w:rsidP="001B7C32">
      <w:pPr>
        <w:widowControl w:val="0"/>
        <w:autoSpaceDE w:val="0"/>
        <w:autoSpaceDN w:val="0"/>
        <w:jc w:val="both"/>
        <w:rPr>
          <w:sz w:val="22"/>
          <w:szCs w:val="22"/>
          <w:lang w:val="sr-Latn-RS"/>
        </w:rPr>
      </w:pPr>
    </w:p>
    <w:p w14:paraId="37C75756" w14:textId="469D229E" w:rsidR="0082002F" w:rsidRPr="00667453" w:rsidRDefault="0082002F" w:rsidP="001B7C32">
      <w:pPr>
        <w:widowControl w:val="0"/>
        <w:autoSpaceDE w:val="0"/>
        <w:autoSpaceDN w:val="0"/>
        <w:spacing w:line="249" w:lineRule="auto"/>
        <w:jc w:val="both"/>
        <w:rPr>
          <w:sz w:val="22"/>
          <w:szCs w:val="22"/>
          <w:lang w:val="sr-Latn-RS"/>
        </w:rPr>
      </w:pPr>
      <w:r w:rsidRPr="00667453">
        <w:rPr>
          <w:sz w:val="22"/>
          <w:szCs w:val="22"/>
          <w:lang w:val="sr-Latn-RS"/>
        </w:rPr>
        <w:t>Ne postoji specifična terapija za predoziranje anifrolumabom. Ukoliko dođe do predoziranja, pacijenta treba suportivno l</w:t>
      </w:r>
      <w:r w:rsidR="006416F2" w:rsidRPr="00667453">
        <w:rPr>
          <w:sz w:val="22"/>
          <w:szCs w:val="22"/>
          <w:lang w:val="sr-Latn-RS"/>
        </w:rPr>
        <w:t>ij</w:t>
      </w:r>
      <w:r w:rsidRPr="00667453">
        <w:rPr>
          <w:sz w:val="22"/>
          <w:szCs w:val="22"/>
          <w:lang w:val="sr-Latn-RS"/>
        </w:rPr>
        <w:t>ečiti uz odgovarajuće praćenje po potrebi.</w:t>
      </w:r>
    </w:p>
    <w:p w14:paraId="02891984" w14:textId="5C751AA6" w:rsidR="002F1ABB" w:rsidRPr="00667453" w:rsidRDefault="002F1ABB" w:rsidP="001B7C32">
      <w:pPr>
        <w:widowControl w:val="0"/>
        <w:autoSpaceDE w:val="0"/>
        <w:autoSpaceDN w:val="0"/>
        <w:jc w:val="both"/>
        <w:rPr>
          <w:sz w:val="22"/>
          <w:szCs w:val="22"/>
          <w:lang w:val="sr-Latn-RS"/>
        </w:rPr>
      </w:pPr>
    </w:p>
    <w:p w14:paraId="3BC5A98D" w14:textId="77777777" w:rsidR="00227BDB" w:rsidRPr="00667453" w:rsidRDefault="00227BDB" w:rsidP="001B7C32">
      <w:pPr>
        <w:widowControl w:val="0"/>
        <w:tabs>
          <w:tab w:val="left" w:pos="540"/>
          <w:tab w:val="left" w:pos="569"/>
        </w:tabs>
        <w:jc w:val="both"/>
        <w:rPr>
          <w:b/>
          <w:bCs/>
          <w:sz w:val="22"/>
          <w:szCs w:val="22"/>
          <w:lang w:val="sr-Latn-RS"/>
        </w:rPr>
      </w:pPr>
    </w:p>
    <w:p w14:paraId="290663E2" w14:textId="77777777" w:rsidR="0072020E"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5. </w:t>
      </w:r>
      <w:r w:rsidR="00480FB1" w:rsidRPr="00667453">
        <w:rPr>
          <w:b/>
          <w:bCs/>
          <w:sz w:val="22"/>
          <w:szCs w:val="22"/>
          <w:lang w:val="sr-Latn-RS"/>
        </w:rPr>
        <w:tab/>
      </w:r>
      <w:r w:rsidRPr="00667453">
        <w:rPr>
          <w:b/>
          <w:bCs/>
          <w:sz w:val="22"/>
          <w:szCs w:val="22"/>
          <w:lang w:val="sr-Latn-RS"/>
        </w:rPr>
        <w:t>FARMAKOLOŠK</w:t>
      </w:r>
      <w:r w:rsidR="000D425A" w:rsidRPr="00667453">
        <w:rPr>
          <w:b/>
          <w:bCs/>
          <w:sz w:val="22"/>
          <w:szCs w:val="22"/>
          <w:lang w:val="sr-Latn-RS"/>
        </w:rPr>
        <w:t>I</w:t>
      </w:r>
      <w:r w:rsidRPr="00667453">
        <w:rPr>
          <w:b/>
          <w:bCs/>
          <w:sz w:val="22"/>
          <w:szCs w:val="22"/>
          <w:lang w:val="sr-Latn-RS"/>
        </w:rPr>
        <w:t xml:space="preserve"> PODACI</w:t>
      </w:r>
    </w:p>
    <w:p w14:paraId="7532B0E3" w14:textId="77777777" w:rsidR="0072020E" w:rsidRPr="00667453" w:rsidRDefault="0072020E" w:rsidP="001B7C32">
      <w:pPr>
        <w:widowControl w:val="0"/>
        <w:tabs>
          <w:tab w:val="left" w:pos="540"/>
          <w:tab w:val="left" w:pos="569"/>
        </w:tabs>
        <w:jc w:val="both"/>
        <w:rPr>
          <w:b/>
          <w:bCs/>
          <w:sz w:val="22"/>
          <w:szCs w:val="22"/>
          <w:lang w:val="sr-Latn-RS"/>
        </w:rPr>
      </w:pPr>
    </w:p>
    <w:p w14:paraId="34B8E1DC" w14:textId="77777777" w:rsidR="0072020E"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5.1. </w:t>
      </w:r>
      <w:r w:rsidR="00480FB1" w:rsidRPr="00667453">
        <w:rPr>
          <w:b/>
          <w:bCs/>
          <w:sz w:val="22"/>
          <w:szCs w:val="22"/>
          <w:lang w:val="sr-Latn-RS"/>
        </w:rPr>
        <w:tab/>
      </w:r>
      <w:r w:rsidRPr="00667453">
        <w:rPr>
          <w:b/>
          <w:bCs/>
          <w:sz w:val="22"/>
          <w:szCs w:val="22"/>
          <w:lang w:val="sr-Latn-RS"/>
        </w:rPr>
        <w:t>Farmakodinamski podaci</w:t>
      </w:r>
      <w:r w:rsidR="003A7059" w:rsidRPr="00667453">
        <w:rPr>
          <w:b/>
          <w:bCs/>
          <w:sz w:val="22"/>
          <w:szCs w:val="22"/>
          <w:lang w:val="sr-Latn-RS"/>
        </w:rPr>
        <w:t xml:space="preserve"> </w:t>
      </w:r>
    </w:p>
    <w:p w14:paraId="33BD9641" w14:textId="77777777" w:rsidR="00F45F77" w:rsidRPr="00667453" w:rsidRDefault="00F45F77" w:rsidP="001B7C32">
      <w:pPr>
        <w:widowControl w:val="0"/>
        <w:tabs>
          <w:tab w:val="left" w:pos="540"/>
          <w:tab w:val="left" w:pos="569"/>
        </w:tabs>
        <w:jc w:val="both"/>
        <w:rPr>
          <w:b/>
          <w:bCs/>
          <w:sz w:val="22"/>
          <w:szCs w:val="22"/>
          <w:lang w:val="sr-Latn-RS"/>
        </w:rPr>
      </w:pPr>
    </w:p>
    <w:p w14:paraId="16CC79F3" w14:textId="54D7797D" w:rsidR="0082002F" w:rsidRPr="00667453" w:rsidRDefault="0072020E" w:rsidP="001B7C32">
      <w:pPr>
        <w:pStyle w:val="BodyText"/>
        <w:spacing w:line="237" w:lineRule="auto"/>
        <w:jc w:val="both"/>
        <w:rPr>
          <w:lang w:val="sr-Latn-RS"/>
        </w:rPr>
      </w:pPr>
      <w:r w:rsidRPr="00667453">
        <w:rPr>
          <w:bCs/>
          <w:lang w:val="sr-Latn-RS"/>
        </w:rPr>
        <w:t>Farmakoterapijska grupa:</w:t>
      </w:r>
      <w:r w:rsidR="0082002F" w:rsidRPr="00667453">
        <w:rPr>
          <w:lang w:val="sr-Latn-RS"/>
        </w:rPr>
        <w:t xml:space="preserve"> Imunosupresivi, </w:t>
      </w:r>
      <w:r w:rsidR="00192CBC" w:rsidRPr="00667453">
        <w:rPr>
          <w:lang w:val="sr-Latn-RS"/>
        </w:rPr>
        <w:t>s</w:t>
      </w:r>
      <w:r w:rsidR="0082002F" w:rsidRPr="00667453">
        <w:rPr>
          <w:lang w:val="sr-Latn-RS"/>
        </w:rPr>
        <w:t>elektivni imunosupresivi</w:t>
      </w:r>
    </w:p>
    <w:p w14:paraId="4E0DF80C" w14:textId="77777777" w:rsidR="0072020E" w:rsidRPr="00667453" w:rsidRDefault="0072020E" w:rsidP="001B7C32">
      <w:pPr>
        <w:widowControl w:val="0"/>
        <w:tabs>
          <w:tab w:val="left" w:pos="540"/>
          <w:tab w:val="left" w:pos="569"/>
        </w:tabs>
        <w:jc w:val="both"/>
        <w:rPr>
          <w:bCs/>
          <w:sz w:val="22"/>
          <w:szCs w:val="22"/>
          <w:lang w:val="sr-Latn-RS"/>
        </w:rPr>
      </w:pPr>
    </w:p>
    <w:p w14:paraId="0FA872AD" w14:textId="7A3056A7" w:rsidR="0082002F" w:rsidRPr="00667453" w:rsidRDefault="0072020E" w:rsidP="001B7C32">
      <w:pPr>
        <w:pStyle w:val="BodyText"/>
        <w:spacing w:line="237" w:lineRule="auto"/>
        <w:jc w:val="both"/>
        <w:rPr>
          <w:lang w:val="sr-Latn-RS"/>
        </w:rPr>
      </w:pPr>
      <w:r w:rsidRPr="00667453">
        <w:rPr>
          <w:bCs/>
          <w:lang w:val="sr-Latn-RS"/>
        </w:rPr>
        <w:t>ATC kod:</w:t>
      </w:r>
      <w:r w:rsidR="0082002F" w:rsidRPr="00667453">
        <w:rPr>
          <w:lang w:val="sr-Latn-RS"/>
        </w:rPr>
        <w:t xml:space="preserve"> </w:t>
      </w:r>
      <w:r w:rsidR="000840BF" w:rsidRPr="000840BF">
        <w:rPr>
          <w:lang w:val="sr-Latn-RS"/>
        </w:rPr>
        <w:t>L04AG11</w:t>
      </w:r>
    </w:p>
    <w:p w14:paraId="5E0D4BB9"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Mehanizam dejstva</w:t>
      </w:r>
    </w:p>
    <w:p w14:paraId="3F1EF38A" w14:textId="77777777" w:rsidR="00745817" w:rsidRPr="00667453" w:rsidRDefault="00745817" w:rsidP="001B7C32">
      <w:pPr>
        <w:widowControl w:val="0"/>
        <w:autoSpaceDE w:val="0"/>
        <w:autoSpaceDN w:val="0"/>
        <w:jc w:val="both"/>
        <w:rPr>
          <w:sz w:val="22"/>
          <w:szCs w:val="22"/>
          <w:lang w:val="sr-Latn-RS"/>
        </w:rPr>
      </w:pPr>
    </w:p>
    <w:p w14:paraId="2171CE3A" w14:textId="26DE8873" w:rsidR="00745817" w:rsidRPr="00667453" w:rsidRDefault="00745817" w:rsidP="001B7C32">
      <w:pPr>
        <w:widowControl w:val="0"/>
        <w:autoSpaceDE w:val="0"/>
        <w:autoSpaceDN w:val="0"/>
        <w:jc w:val="both"/>
        <w:rPr>
          <w:sz w:val="22"/>
          <w:szCs w:val="22"/>
          <w:lang w:val="sr-Latn-RS"/>
        </w:rPr>
      </w:pPr>
      <w:r w:rsidRPr="00667453">
        <w:rPr>
          <w:sz w:val="22"/>
          <w:szCs w:val="22"/>
          <w:lang w:val="sr-Latn-RS"/>
        </w:rPr>
        <w:t>Anifrolumab je humano imunoglobulinsko G1 kapa monoklonsko antitijelo koje se vezuje za podjedinicu 1 receptora za interferon tipa I (IFNAR1) sa visokom specifičnošću i afinitetom. Tim vezivanjem se inhibi</w:t>
      </w:r>
      <w:r w:rsidR="00E70B6A" w:rsidRPr="00667453">
        <w:rPr>
          <w:sz w:val="22"/>
          <w:szCs w:val="22"/>
          <w:lang w:val="sr-Latn-RS"/>
        </w:rPr>
        <w:t>ra</w:t>
      </w:r>
      <w:r w:rsidRPr="00667453">
        <w:rPr>
          <w:sz w:val="22"/>
          <w:szCs w:val="22"/>
          <w:lang w:val="sr-Latn-RS"/>
        </w:rPr>
        <w:t xml:space="preserve"> signalizacija putem interferona tipa I tako se blokira njegova biološka aktivnost. Anifrolumab takođe indukuje ulazak receptora IFNAR1 u ćeliju, čime se na ćelijskoj površini smanjuje broj receptora IFNAR1 dostupnih za stvaranje receptorskog sklopa. Blokiranjem receptorima posredovane signalizacije putem interferona tipa I inhibi</w:t>
      </w:r>
      <w:r w:rsidR="00E70B6A" w:rsidRPr="00667453">
        <w:rPr>
          <w:sz w:val="22"/>
          <w:szCs w:val="22"/>
          <w:lang w:val="sr-Latn-RS"/>
        </w:rPr>
        <w:t>ra</w:t>
      </w:r>
      <w:r w:rsidRPr="00667453">
        <w:rPr>
          <w:sz w:val="22"/>
          <w:szCs w:val="22"/>
          <w:lang w:val="sr-Latn-RS"/>
        </w:rPr>
        <w:t xml:space="preserve"> se ekspresija gena koji odgovaraju na stimulaciju interferonom, kao i nizvodni inflamatorni i imun</w:t>
      </w:r>
      <w:r w:rsidR="00114A14" w:rsidRPr="00667453">
        <w:rPr>
          <w:sz w:val="22"/>
          <w:szCs w:val="22"/>
          <w:lang w:val="sr-Latn-RS"/>
        </w:rPr>
        <w:t>ološki</w:t>
      </w:r>
      <w:r w:rsidRPr="00667453">
        <w:rPr>
          <w:sz w:val="22"/>
          <w:szCs w:val="22"/>
          <w:lang w:val="sr-Latn-RS"/>
        </w:rPr>
        <w:t xml:space="preserve"> procesi. Inhibicijom interferona tipa I blokira se diferencijacija plazma ćelija i normalizuju nivoi podgrupa T-ćelija u perifernoj krvi, čime se ponovo uspostavlja ravnoteža između stečene i urođene imunosti koja je narušena kod SLE.</w:t>
      </w:r>
    </w:p>
    <w:p w14:paraId="4C4402FB" w14:textId="77777777" w:rsidR="0082002F" w:rsidRPr="00667453" w:rsidRDefault="0082002F" w:rsidP="001B7C32">
      <w:pPr>
        <w:widowControl w:val="0"/>
        <w:tabs>
          <w:tab w:val="left" w:pos="540"/>
          <w:tab w:val="left" w:pos="569"/>
        </w:tabs>
        <w:jc w:val="both"/>
        <w:rPr>
          <w:bCs/>
          <w:sz w:val="22"/>
          <w:szCs w:val="22"/>
          <w:lang w:val="sr-Latn-RS"/>
        </w:rPr>
      </w:pPr>
    </w:p>
    <w:p w14:paraId="2D4A03C8"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Farmakodinamska dejstva</w:t>
      </w:r>
    </w:p>
    <w:p w14:paraId="0B7FE9F3" w14:textId="77777777" w:rsidR="00745817" w:rsidRPr="00667453" w:rsidRDefault="00745817" w:rsidP="001B7C32">
      <w:pPr>
        <w:widowControl w:val="0"/>
        <w:autoSpaceDE w:val="0"/>
        <w:autoSpaceDN w:val="0"/>
        <w:jc w:val="both"/>
        <w:rPr>
          <w:sz w:val="22"/>
          <w:szCs w:val="22"/>
          <w:lang w:val="sr-Latn-RS"/>
        </w:rPr>
      </w:pPr>
    </w:p>
    <w:p w14:paraId="453EBE08" w14:textId="56C8ED0E"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Kod odraslih pacijenata koji imaju SLE, primjena anifrolumaba u dozama od ≥ 300 mg intravenskom infuzijom svake 4 ned</w:t>
      </w:r>
      <w:r w:rsidR="00192CBC" w:rsidRPr="00667453">
        <w:rPr>
          <w:sz w:val="22"/>
          <w:szCs w:val="22"/>
          <w:lang w:val="sr-Latn-RS"/>
        </w:rPr>
        <w:t>j</w:t>
      </w:r>
      <w:r w:rsidRPr="00667453">
        <w:rPr>
          <w:sz w:val="22"/>
          <w:szCs w:val="22"/>
          <w:lang w:val="sr-Latn-RS"/>
        </w:rPr>
        <w:t>elje postigla je postojanu neutralizaciju (≥ 80%) farmakodinamskog potpisa interferona tipa I u krvi utvrđenog na osnovu ekspresije 21 gena indukovanog interferonom. Ta supresija se javila već 4 ned</w:t>
      </w:r>
      <w:r w:rsidR="00192CBC" w:rsidRPr="00667453">
        <w:rPr>
          <w:sz w:val="22"/>
          <w:szCs w:val="22"/>
          <w:lang w:val="sr-Latn-RS"/>
        </w:rPr>
        <w:t>j</w:t>
      </w:r>
      <w:r w:rsidRPr="00667453">
        <w:rPr>
          <w:sz w:val="22"/>
          <w:szCs w:val="22"/>
          <w:lang w:val="sr-Latn-RS"/>
        </w:rPr>
        <w:t>elje nakon početka liječenja i održala se na istom nivou ili čak povećala tokom 52-ned</w:t>
      </w:r>
      <w:r w:rsidR="00192CBC" w:rsidRPr="00667453">
        <w:rPr>
          <w:sz w:val="22"/>
          <w:szCs w:val="22"/>
          <w:lang w:val="sr-Latn-RS"/>
        </w:rPr>
        <w:t>j</w:t>
      </w:r>
      <w:r w:rsidRPr="00667453">
        <w:rPr>
          <w:sz w:val="22"/>
          <w:szCs w:val="22"/>
          <w:lang w:val="sr-Latn-RS"/>
        </w:rPr>
        <w:t>eljnog perioda liječenja.</w:t>
      </w:r>
    </w:p>
    <w:p w14:paraId="130D1FF0" w14:textId="27C9A1A1" w:rsidR="00745817" w:rsidRPr="00667453" w:rsidRDefault="00745817" w:rsidP="001B7C32">
      <w:pPr>
        <w:widowControl w:val="0"/>
        <w:tabs>
          <w:tab w:val="left" w:pos="8080"/>
        </w:tabs>
        <w:autoSpaceDE w:val="0"/>
        <w:autoSpaceDN w:val="0"/>
        <w:spacing w:line="247" w:lineRule="auto"/>
        <w:jc w:val="both"/>
        <w:rPr>
          <w:sz w:val="22"/>
          <w:szCs w:val="22"/>
          <w:lang w:val="sr-Latn-RS"/>
        </w:rPr>
      </w:pPr>
      <w:r w:rsidRPr="00667453">
        <w:rPr>
          <w:sz w:val="22"/>
          <w:szCs w:val="22"/>
          <w:lang w:val="sr-Latn-RS"/>
        </w:rPr>
        <w:t>Nakon prekida primjene anifrolumaba na kraju 52-ned</w:t>
      </w:r>
      <w:r w:rsidR="00192CBC" w:rsidRPr="00667453">
        <w:rPr>
          <w:sz w:val="22"/>
          <w:szCs w:val="22"/>
          <w:lang w:val="sr-Latn-RS"/>
        </w:rPr>
        <w:t>j</w:t>
      </w:r>
      <w:r w:rsidRPr="00667453">
        <w:rPr>
          <w:sz w:val="22"/>
          <w:szCs w:val="22"/>
          <w:lang w:val="sr-Latn-RS"/>
        </w:rPr>
        <w:t>eljnog perioda liječenja u kliničkim ispitivanjima SLE, farmakodinamski potpis interferona tipa I u uzorcima krvi vratio se na početne nivoe u okviru 8 do 12 ned</w:t>
      </w:r>
      <w:r w:rsidR="00192CBC" w:rsidRPr="00667453">
        <w:rPr>
          <w:sz w:val="22"/>
          <w:szCs w:val="22"/>
          <w:lang w:val="sr-Latn-RS"/>
        </w:rPr>
        <w:t>j</w:t>
      </w:r>
      <w:r w:rsidRPr="00667453">
        <w:rPr>
          <w:sz w:val="22"/>
          <w:szCs w:val="22"/>
          <w:lang w:val="sr-Latn-RS"/>
        </w:rPr>
        <w:t>elja. Anifrolumab u intravenskoj dozi od 150 mg u ranim vremenskim tačkama je ostvario supresiju genskog potpisa manju od 20%, koja je do kraja perioda liječenja dostigla maksimalan nivo manji od 60%.</w:t>
      </w:r>
    </w:p>
    <w:p w14:paraId="798EE44B" w14:textId="77777777" w:rsidR="00745817" w:rsidRPr="00667453" w:rsidRDefault="00745817" w:rsidP="001B7C32">
      <w:pPr>
        <w:widowControl w:val="0"/>
        <w:autoSpaceDE w:val="0"/>
        <w:autoSpaceDN w:val="0"/>
        <w:jc w:val="both"/>
        <w:rPr>
          <w:sz w:val="22"/>
          <w:szCs w:val="22"/>
          <w:lang w:val="sr-Latn-RS"/>
        </w:rPr>
      </w:pPr>
    </w:p>
    <w:p w14:paraId="79D91498" w14:textId="5DB49730"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Kod pacijenata sa SLE koji su na početku ispitivanja bili pozitivni na antitijela na dsDNA, anifrolumab u dozi od 300 mg smanjio je broj antitijela na dsDNA tokom vremena do 52. ned</w:t>
      </w:r>
      <w:r w:rsidR="00C152FB" w:rsidRPr="00667453">
        <w:rPr>
          <w:sz w:val="22"/>
          <w:szCs w:val="22"/>
          <w:lang w:val="sr-Latn-RS"/>
        </w:rPr>
        <w:t>j</w:t>
      </w:r>
      <w:r w:rsidRPr="00667453">
        <w:rPr>
          <w:sz w:val="22"/>
          <w:szCs w:val="22"/>
          <w:lang w:val="sr-Latn-RS"/>
        </w:rPr>
        <w:t>elje.</w:t>
      </w:r>
    </w:p>
    <w:p w14:paraId="17F7F518" w14:textId="77777777" w:rsidR="00745817" w:rsidRPr="00667453" w:rsidRDefault="00745817" w:rsidP="001B7C32">
      <w:pPr>
        <w:widowControl w:val="0"/>
        <w:autoSpaceDE w:val="0"/>
        <w:autoSpaceDN w:val="0"/>
        <w:jc w:val="both"/>
        <w:rPr>
          <w:sz w:val="22"/>
          <w:szCs w:val="22"/>
          <w:lang w:val="sr-Latn-RS"/>
        </w:rPr>
      </w:pPr>
    </w:p>
    <w:p w14:paraId="1E826686" w14:textId="3D6D6797" w:rsidR="00745817" w:rsidRPr="00667453" w:rsidRDefault="00745817" w:rsidP="001B7C32">
      <w:pPr>
        <w:widowControl w:val="0"/>
        <w:tabs>
          <w:tab w:val="left" w:pos="7938"/>
        </w:tabs>
        <w:autoSpaceDE w:val="0"/>
        <w:autoSpaceDN w:val="0"/>
        <w:spacing w:line="244" w:lineRule="auto"/>
        <w:jc w:val="both"/>
        <w:rPr>
          <w:sz w:val="22"/>
          <w:szCs w:val="22"/>
          <w:lang w:val="sr-Latn-RS"/>
        </w:rPr>
      </w:pPr>
      <w:r w:rsidRPr="00667453">
        <w:rPr>
          <w:sz w:val="22"/>
          <w:szCs w:val="22"/>
          <w:lang w:val="sr-Latn-RS"/>
        </w:rPr>
        <w:t xml:space="preserve">Kod pacijenata sa niskim nivoima komplemenata (C3 i C4) koji su primali anifrolumab </w:t>
      </w:r>
      <w:r w:rsidR="008419A5" w:rsidRPr="00667453">
        <w:rPr>
          <w:sz w:val="22"/>
          <w:szCs w:val="22"/>
          <w:lang w:val="sr-Latn-RS"/>
        </w:rPr>
        <w:t>zabilje</w:t>
      </w:r>
      <w:r w:rsidRPr="00667453">
        <w:rPr>
          <w:sz w:val="22"/>
          <w:szCs w:val="22"/>
          <w:lang w:val="sr-Latn-RS"/>
        </w:rPr>
        <w:t>ženi su povišeni nivoi komplemenata do 52. ned</w:t>
      </w:r>
      <w:r w:rsidR="00192CBC" w:rsidRPr="00667453">
        <w:rPr>
          <w:sz w:val="22"/>
          <w:szCs w:val="22"/>
          <w:lang w:val="sr-Latn-RS"/>
        </w:rPr>
        <w:t>j</w:t>
      </w:r>
      <w:r w:rsidRPr="00667453">
        <w:rPr>
          <w:sz w:val="22"/>
          <w:szCs w:val="22"/>
          <w:lang w:val="sr-Latn-RS"/>
        </w:rPr>
        <w:t>elje.</w:t>
      </w:r>
    </w:p>
    <w:p w14:paraId="0BA3DD21" w14:textId="77777777" w:rsidR="00745817" w:rsidRPr="00667453" w:rsidRDefault="00745817" w:rsidP="001B7C32">
      <w:pPr>
        <w:widowControl w:val="0"/>
        <w:autoSpaceDE w:val="0"/>
        <w:autoSpaceDN w:val="0"/>
        <w:jc w:val="both"/>
        <w:rPr>
          <w:sz w:val="22"/>
          <w:szCs w:val="22"/>
          <w:lang w:val="sr-Latn-RS"/>
        </w:rPr>
      </w:pPr>
    </w:p>
    <w:p w14:paraId="2866E22D"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Klinička efikasnost</w:t>
      </w:r>
    </w:p>
    <w:p w14:paraId="0DFFB21D" w14:textId="77777777" w:rsidR="00745817" w:rsidRPr="00667453" w:rsidRDefault="00745817" w:rsidP="001B7C32">
      <w:pPr>
        <w:widowControl w:val="0"/>
        <w:autoSpaceDE w:val="0"/>
        <w:autoSpaceDN w:val="0"/>
        <w:jc w:val="both"/>
        <w:rPr>
          <w:sz w:val="22"/>
          <w:szCs w:val="22"/>
          <w:lang w:val="sr-Latn-RS"/>
        </w:rPr>
      </w:pPr>
    </w:p>
    <w:p w14:paraId="2560CD3E" w14:textId="695C8FDE" w:rsidR="00745817" w:rsidRPr="00667453" w:rsidRDefault="00745817" w:rsidP="001B7C32">
      <w:pPr>
        <w:widowControl w:val="0"/>
        <w:autoSpaceDE w:val="0"/>
        <w:autoSpaceDN w:val="0"/>
        <w:spacing w:line="247" w:lineRule="auto"/>
        <w:jc w:val="both"/>
        <w:rPr>
          <w:sz w:val="22"/>
          <w:szCs w:val="22"/>
          <w:lang w:val="sr-Latn-RS"/>
        </w:rPr>
      </w:pPr>
      <w:r w:rsidRPr="00667453">
        <w:rPr>
          <w:sz w:val="22"/>
          <w:szCs w:val="22"/>
          <w:lang w:val="sr-Latn-RS"/>
        </w:rPr>
        <w:t xml:space="preserve">Bezbjednost i </w:t>
      </w:r>
      <w:r w:rsidR="00E70B6A" w:rsidRPr="00667453">
        <w:rPr>
          <w:sz w:val="22"/>
          <w:szCs w:val="22"/>
          <w:lang w:val="sr-Latn-RS"/>
        </w:rPr>
        <w:t>efikasnost</w:t>
      </w:r>
      <w:r w:rsidRPr="00667453">
        <w:rPr>
          <w:sz w:val="22"/>
          <w:szCs w:val="22"/>
          <w:lang w:val="sr-Latn-RS"/>
        </w:rPr>
        <w:t xml:space="preserve"> anifrolumaba oc</w:t>
      </w:r>
      <w:r w:rsidR="00192CBC" w:rsidRPr="00667453">
        <w:rPr>
          <w:sz w:val="22"/>
          <w:szCs w:val="22"/>
          <w:lang w:val="sr-Latn-RS"/>
        </w:rPr>
        <w:t>j</w:t>
      </w:r>
      <w:r w:rsidRPr="00667453">
        <w:rPr>
          <w:sz w:val="22"/>
          <w:szCs w:val="22"/>
          <w:lang w:val="sr-Latn-RS"/>
        </w:rPr>
        <w:t>enjivane su u dv</w:t>
      </w:r>
      <w:r w:rsidR="00192CBC" w:rsidRPr="00667453">
        <w:rPr>
          <w:sz w:val="22"/>
          <w:szCs w:val="22"/>
          <w:lang w:val="sr-Latn-RS"/>
        </w:rPr>
        <w:t>ij</w:t>
      </w:r>
      <w:r w:rsidRPr="00667453">
        <w:rPr>
          <w:sz w:val="22"/>
          <w:szCs w:val="22"/>
          <w:lang w:val="sr-Latn-RS"/>
        </w:rPr>
        <w:t>e 52-ned</w:t>
      </w:r>
      <w:r w:rsidR="00192CBC" w:rsidRPr="00667453">
        <w:rPr>
          <w:sz w:val="22"/>
          <w:szCs w:val="22"/>
          <w:lang w:val="sr-Latn-RS"/>
        </w:rPr>
        <w:t>j</w:t>
      </w:r>
      <w:r w:rsidRPr="00667453">
        <w:rPr>
          <w:sz w:val="22"/>
          <w:szCs w:val="22"/>
          <w:lang w:val="sr-Latn-RS"/>
        </w:rPr>
        <w:t>eljne, multicentrične, randomizovane, dvostruko sl</w:t>
      </w:r>
      <w:r w:rsidR="006416F2" w:rsidRPr="00667453">
        <w:rPr>
          <w:sz w:val="22"/>
          <w:szCs w:val="22"/>
          <w:lang w:val="sr-Latn-RS"/>
        </w:rPr>
        <w:t>ij</w:t>
      </w:r>
      <w:r w:rsidRPr="00667453">
        <w:rPr>
          <w:sz w:val="22"/>
          <w:szCs w:val="22"/>
          <w:lang w:val="sr-Latn-RS"/>
        </w:rPr>
        <w:t>epe, placebom kontrolisane studije faze III (ispitivanje 1 [TULIP 1] i ispitivanje 2 [TULIP 2]). Pacijentima je bio dijagnostikovan SLE prema klasifikacionim kriterijumima A</w:t>
      </w:r>
      <w:r w:rsidR="006416F2" w:rsidRPr="00667453">
        <w:rPr>
          <w:sz w:val="22"/>
          <w:szCs w:val="22"/>
          <w:lang w:val="sr-Latn-RS"/>
        </w:rPr>
        <w:t>meri</w:t>
      </w:r>
      <w:r w:rsidRPr="00667453">
        <w:rPr>
          <w:sz w:val="22"/>
          <w:szCs w:val="22"/>
          <w:lang w:val="sr-Latn-RS"/>
        </w:rPr>
        <w:t>čkog reumatološkog društva (iz 1997. godine).</w:t>
      </w:r>
    </w:p>
    <w:p w14:paraId="0DAE7AAD" w14:textId="77777777" w:rsidR="00745817" w:rsidRPr="00667453" w:rsidRDefault="00745817" w:rsidP="001B7C32">
      <w:pPr>
        <w:widowControl w:val="0"/>
        <w:autoSpaceDE w:val="0"/>
        <w:autoSpaceDN w:val="0"/>
        <w:jc w:val="both"/>
        <w:rPr>
          <w:sz w:val="22"/>
          <w:szCs w:val="22"/>
          <w:lang w:val="sr-Latn-RS"/>
        </w:rPr>
      </w:pPr>
    </w:p>
    <w:p w14:paraId="79A4E655" w14:textId="758AE77F" w:rsidR="00745817" w:rsidRPr="00667453" w:rsidRDefault="00745817" w:rsidP="001B7C32">
      <w:pPr>
        <w:widowControl w:val="0"/>
        <w:autoSpaceDE w:val="0"/>
        <w:autoSpaceDN w:val="0"/>
        <w:spacing w:line="247" w:lineRule="auto"/>
        <w:jc w:val="both"/>
        <w:rPr>
          <w:sz w:val="22"/>
          <w:szCs w:val="22"/>
          <w:lang w:val="sr-Latn-RS"/>
        </w:rPr>
      </w:pPr>
      <w:r w:rsidRPr="00667453">
        <w:rPr>
          <w:sz w:val="22"/>
          <w:szCs w:val="22"/>
          <w:lang w:val="sr-Latn-RS"/>
        </w:rPr>
        <w:t>Svi pacijenti su imali ≥ 18 godina i um</w:t>
      </w:r>
      <w:r w:rsidR="006416F2" w:rsidRPr="00667453">
        <w:rPr>
          <w:sz w:val="22"/>
          <w:szCs w:val="22"/>
          <w:lang w:val="sr-Latn-RS"/>
        </w:rPr>
        <w:t>j</w:t>
      </w:r>
      <w:r w:rsidRPr="00667453">
        <w:rPr>
          <w:sz w:val="22"/>
          <w:szCs w:val="22"/>
          <w:lang w:val="sr-Latn-RS"/>
        </w:rPr>
        <w:t xml:space="preserve">erenu do tešku bolest, uz indeks aktivnosti bolesti SLE 2000 (SLEDAI-2K) ≥ 6 bodova, zahvaćenost organa prema kriterijima </w:t>
      </w:r>
      <w:r w:rsidRPr="00667453">
        <w:rPr>
          <w:i/>
          <w:sz w:val="22"/>
          <w:szCs w:val="22"/>
          <w:lang w:val="sr-Latn-RS"/>
        </w:rPr>
        <w:t>British Isles Lupus Assessment Group</w:t>
      </w:r>
      <w:r w:rsidRPr="00667453">
        <w:rPr>
          <w:sz w:val="22"/>
          <w:szCs w:val="22"/>
          <w:lang w:val="sr-Latn-RS"/>
        </w:rPr>
        <w:t xml:space="preserve"> (BILAG) i rezultat ≥ 1 prema globalnoj proc</w:t>
      </w:r>
      <w:r w:rsidR="00192CBC" w:rsidRPr="00667453">
        <w:rPr>
          <w:sz w:val="22"/>
          <w:szCs w:val="22"/>
          <w:lang w:val="sr-Latn-RS"/>
        </w:rPr>
        <w:t>j</w:t>
      </w:r>
      <w:r w:rsidRPr="00667453">
        <w:rPr>
          <w:sz w:val="22"/>
          <w:szCs w:val="22"/>
          <w:lang w:val="sr-Latn-RS"/>
        </w:rPr>
        <w:t>eni ljekara (PGA), uprkos tome što su na početku ispitivanja primali standardnu terapiju za SLE koja je uključivala ili samo jedan od sl</w:t>
      </w:r>
      <w:r w:rsidR="003D0C1E" w:rsidRPr="00667453">
        <w:rPr>
          <w:sz w:val="22"/>
          <w:szCs w:val="22"/>
          <w:lang w:val="sr-Latn-RS"/>
        </w:rPr>
        <w:t>j</w:t>
      </w:r>
      <w:r w:rsidRPr="00667453">
        <w:rPr>
          <w:sz w:val="22"/>
          <w:szCs w:val="22"/>
          <w:lang w:val="sr-Latn-RS"/>
        </w:rPr>
        <w:t xml:space="preserve">edećih ljekova ili bilo koju kombinaciju tih ljekova: oralne kortikosteroide, antimalarike odnosno imunosupresive. Uz izuzetak oralnih kortikosteroida (prednizona ili ekvivalenta), čija se doza morala smanjiti prema </w:t>
      </w:r>
      <w:r w:rsidRPr="00667453">
        <w:rPr>
          <w:sz w:val="22"/>
          <w:szCs w:val="22"/>
          <w:lang w:val="sr-Latn-RS"/>
        </w:rPr>
        <w:lastRenderedPageBreak/>
        <w:t>protokolu, pacijenti su tokom kliničkih ispitivanja nastavili da primaju dotadašnju terapiju za SLE u stabilnim dozama. U ispitivanjima nijesu mogli da učestvuju pacijenti sa teškim aktivnim lupusnim nefritisom i pacijenti sa teškim aktivnim lupusom centralnog nervnog sistema. Tokom kliničkih ispitivanja nije bila dozvoljena primjena drugih bioloških ljekova i ciklofosfamida.</w:t>
      </w:r>
    </w:p>
    <w:p w14:paraId="46254084" w14:textId="1F08213A"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Pacijenti koji su primali druge biološke terapije morali su pr</w:t>
      </w:r>
      <w:r w:rsidR="00E70B6A" w:rsidRPr="00667453">
        <w:rPr>
          <w:sz w:val="22"/>
          <w:szCs w:val="22"/>
          <w:lang w:val="sr-Latn-RS"/>
        </w:rPr>
        <w:t>ij</w:t>
      </w:r>
      <w:r w:rsidRPr="00667453">
        <w:rPr>
          <w:sz w:val="22"/>
          <w:szCs w:val="22"/>
          <w:lang w:val="sr-Latn-RS"/>
        </w:rPr>
        <w:t>e uključivanja u ispitivanje da završe period eliminacije l</w:t>
      </w:r>
      <w:r w:rsidR="006416F2" w:rsidRPr="00667453">
        <w:rPr>
          <w:sz w:val="22"/>
          <w:szCs w:val="22"/>
          <w:lang w:val="sr-Latn-RS"/>
        </w:rPr>
        <w:t>ij</w:t>
      </w:r>
      <w:r w:rsidRPr="00667453">
        <w:rPr>
          <w:sz w:val="22"/>
          <w:szCs w:val="22"/>
          <w:lang w:val="sr-Latn-RS"/>
        </w:rPr>
        <w:t xml:space="preserve">eka iz organizma u trajanju od najmanje 5 </w:t>
      </w:r>
      <w:r w:rsidR="003D0C1E" w:rsidRPr="00667453">
        <w:rPr>
          <w:sz w:val="22"/>
          <w:szCs w:val="22"/>
          <w:lang w:val="sr-Latn-RS"/>
        </w:rPr>
        <w:t xml:space="preserve">poluvremena eliminacije </w:t>
      </w:r>
      <w:r w:rsidRPr="00667453">
        <w:rPr>
          <w:sz w:val="22"/>
          <w:szCs w:val="22"/>
          <w:lang w:val="sr-Latn-RS"/>
        </w:rPr>
        <w:t>l</w:t>
      </w:r>
      <w:r w:rsidR="006416F2" w:rsidRPr="00667453">
        <w:rPr>
          <w:sz w:val="22"/>
          <w:szCs w:val="22"/>
          <w:lang w:val="sr-Latn-RS"/>
        </w:rPr>
        <w:t>ij</w:t>
      </w:r>
      <w:r w:rsidRPr="00667453">
        <w:rPr>
          <w:sz w:val="22"/>
          <w:szCs w:val="22"/>
          <w:lang w:val="sr-Latn-RS"/>
        </w:rPr>
        <w:t>eka. Ob</w:t>
      </w:r>
      <w:r w:rsidR="006416F2" w:rsidRPr="00667453">
        <w:rPr>
          <w:sz w:val="22"/>
          <w:szCs w:val="22"/>
          <w:lang w:val="sr-Latn-RS"/>
        </w:rPr>
        <w:t>j</w:t>
      </w:r>
      <w:r w:rsidRPr="00667453">
        <w:rPr>
          <w:sz w:val="22"/>
          <w:szCs w:val="22"/>
          <w:lang w:val="sr-Latn-RS"/>
        </w:rPr>
        <w:t>e studije su sprovedene u S</w:t>
      </w:r>
      <w:r w:rsidR="00E70B6A" w:rsidRPr="00667453">
        <w:rPr>
          <w:sz w:val="22"/>
          <w:szCs w:val="22"/>
          <w:lang w:val="sr-Latn-RS"/>
        </w:rPr>
        <w:t>j</w:t>
      </w:r>
      <w:r w:rsidRPr="00667453">
        <w:rPr>
          <w:sz w:val="22"/>
          <w:szCs w:val="22"/>
          <w:lang w:val="sr-Latn-RS"/>
        </w:rPr>
        <w:t>evernoj A</w:t>
      </w:r>
      <w:r w:rsidR="006416F2" w:rsidRPr="00667453">
        <w:rPr>
          <w:sz w:val="22"/>
          <w:szCs w:val="22"/>
          <w:lang w:val="sr-Latn-RS"/>
        </w:rPr>
        <w:t>mjeri</w:t>
      </w:r>
      <w:r w:rsidRPr="00667453">
        <w:rPr>
          <w:sz w:val="22"/>
          <w:szCs w:val="22"/>
          <w:lang w:val="sr-Latn-RS"/>
        </w:rPr>
        <w:t>ci, Evropi, Južnoj A</w:t>
      </w:r>
      <w:r w:rsidR="006416F2" w:rsidRPr="00667453">
        <w:rPr>
          <w:sz w:val="22"/>
          <w:szCs w:val="22"/>
          <w:lang w:val="sr-Latn-RS"/>
        </w:rPr>
        <w:t>mjeri</w:t>
      </w:r>
      <w:r w:rsidRPr="00667453">
        <w:rPr>
          <w:sz w:val="22"/>
          <w:szCs w:val="22"/>
          <w:lang w:val="sr-Latn-RS"/>
        </w:rPr>
        <w:t xml:space="preserve">ci i Aziji. Pacijenti su primali anifrolumab ili placebo </w:t>
      </w:r>
      <w:r w:rsidR="008419A5" w:rsidRPr="00667453">
        <w:rPr>
          <w:sz w:val="22"/>
          <w:szCs w:val="22"/>
          <w:lang w:val="sr-Latn-RS"/>
        </w:rPr>
        <w:t>primjen</w:t>
      </w:r>
      <w:r w:rsidRPr="00667453">
        <w:rPr>
          <w:sz w:val="22"/>
          <w:szCs w:val="22"/>
          <w:lang w:val="sr-Latn-RS"/>
        </w:rPr>
        <w:t>jene intravenskom infuzijom svake 4 ned</w:t>
      </w:r>
      <w:r w:rsidR="003D0C1E" w:rsidRPr="00667453">
        <w:rPr>
          <w:sz w:val="22"/>
          <w:szCs w:val="22"/>
          <w:lang w:val="sr-Latn-RS"/>
        </w:rPr>
        <w:t>j</w:t>
      </w:r>
      <w:r w:rsidRPr="00667453">
        <w:rPr>
          <w:sz w:val="22"/>
          <w:szCs w:val="22"/>
          <w:lang w:val="sr-Latn-RS"/>
        </w:rPr>
        <w:t>elje.</w:t>
      </w:r>
    </w:p>
    <w:p w14:paraId="1E28E8B0" w14:textId="77777777" w:rsidR="00745817" w:rsidRPr="00667453" w:rsidRDefault="00745817" w:rsidP="001B7C32">
      <w:pPr>
        <w:widowControl w:val="0"/>
        <w:autoSpaceDE w:val="0"/>
        <w:autoSpaceDN w:val="0"/>
        <w:jc w:val="both"/>
        <w:rPr>
          <w:sz w:val="22"/>
          <w:szCs w:val="22"/>
          <w:lang w:val="sr-Latn-RS"/>
        </w:rPr>
      </w:pPr>
    </w:p>
    <w:p w14:paraId="22736E86" w14:textId="77777777" w:rsidR="00745817" w:rsidRPr="00667453" w:rsidRDefault="00745817" w:rsidP="001B7C32">
      <w:pPr>
        <w:widowControl w:val="0"/>
        <w:autoSpaceDE w:val="0"/>
        <w:autoSpaceDN w:val="0"/>
        <w:jc w:val="both"/>
        <w:rPr>
          <w:sz w:val="22"/>
          <w:szCs w:val="22"/>
          <w:lang w:val="sr-Latn-RS"/>
        </w:rPr>
      </w:pPr>
      <w:r w:rsidRPr="00667453">
        <w:rPr>
          <w:sz w:val="22"/>
          <w:szCs w:val="22"/>
          <w:lang w:val="sr-Latn-RS"/>
        </w:rPr>
        <w:t>Ispitivanje 1 (N = 457) i ispitivanje 2 (N = 362) imala su sličan dizajn.</w:t>
      </w:r>
    </w:p>
    <w:p w14:paraId="4163C234" w14:textId="77777777" w:rsidR="00745817" w:rsidRPr="00667453" w:rsidRDefault="00745817" w:rsidP="001B7C32">
      <w:pPr>
        <w:widowControl w:val="0"/>
        <w:autoSpaceDE w:val="0"/>
        <w:autoSpaceDN w:val="0"/>
        <w:jc w:val="both"/>
        <w:rPr>
          <w:sz w:val="22"/>
          <w:szCs w:val="22"/>
          <w:lang w:val="sr-Latn-RS"/>
        </w:rPr>
      </w:pPr>
    </w:p>
    <w:p w14:paraId="2B1E0F39" w14:textId="2063350D"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Primarna krajnja tačka u ispitivanju 1 bio je indeks odgovora SLE (SRI-4), koji se definisao kao ispunjavanje svakog od sl</w:t>
      </w:r>
      <w:r w:rsidR="003D0C1E" w:rsidRPr="00667453">
        <w:rPr>
          <w:sz w:val="22"/>
          <w:szCs w:val="22"/>
          <w:lang w:val="sr-Latn-RS"/>
        </w:rPr>
        <w:t>j</w:t>
      </w:r>
      <w:r w:rsidRPr="00667453">
        <w:rPr>
          <w:sz w:val="22"/>
          <w:szCs w:val="22"/>
          <w:lang w:val="sr-Latn-RS"/>
        </w:rPr>
        <w:t>edećih kriterijuma u 52. ned</w:t>
      </w:r>
      <w:r w:rsidR="003D0C1E" w:rsidRPr="00667453">
        <w:rPr>
          <w:sz w:val="22"/>
          <w:szCs w:val="22"/>
          <w:lang w:val="sr-Latn-RS"/>
        </w:rPr>
        <w:t>j</w:t>
      </w:r>
      <w:r w:rsidRPr="00667453">
        <w:rPr>
          <w:sz w:val="22"/>
          <w:szCs w:val="22"/>
          <w:lang w:val="sr-Latn-RS"/>
        </w:rPr>
        <w:t>elji u odnosu na početak:</w:t>
      </w:r>
    </w:p>
    <w:p w14:paraId="3B3AB860" w14:textId="77777777" w:rsidR="00745817" w:rsidRPr="00667453" w:rsidRDefault="00745817" w:rsidP="001B7C32">
      <w:pPr>
        <w:widowControl w:val="0"/>
        <w:numPr>
          <w:ilvl w:val="0"/>
          <w:numId w:val="12"/>
        </w:numPr>
        <w:tabs>
          <w:tab w:val="left" w:pos="682"/>
          <w:tab w:val="left" w:pos="683"/>
        </w:tabs>
        <w:autoSpaceDE w:val="0"/>
        <w:autoSpaceDN w:val="0"/>
        <w:spacing w:line="260" w:lineRule="exact"/>
        <w:ind w:hanging="568"/>
        <w:jc w:val="both"/>
        <w:rPr>
          <w:sz w:val="22"/>
          <w:szCs w:val="22"/>
          <w:lang w:val="sr-Latn-RS"/>
        </w:rPr>
      </w:pPr>
      <w:r w:rsidRPr="00667453">
        <w:rPr>
          <w:sz w:val="22"/>
          <w:szCs w:val="22"/>
          <w:lang w:val="sr-Latn-RS"/>
        </w:rPr>
        <w:t>Smanjenje početnog SLEDAI-2K rezultata za ≥ 4 boda;</w:t>
      </w:r>
    </w:p>
    <w:p w14:paraId="56C01D54" w14:textId="77777777" w:rsidR="00745817" w:rsidRPr="00667453" w:rsidRDefault="00745817" w:rsidP="001B7C32">
      <w:pPr>
        <w:widowControl w:val="0"/>
        <w:numPr>
          <w:ilvl w:val="0"/>
          <w:numId w:val="12"/>
        </w:numPr>
        <w:tabs>
          <w:tab w:val="left" w:pos="682"/>
          <w:tab w:val="left" w:pos="683"/>
        </w:tabs>
        <w:autoSpaceDE w:val="0"/>
        <w:autoSpaceDN w:val="0"/>
        <w:jc w:val="both"/>
        <w:rPr>
          <w:sz w:val="22"/>
          <w:szCs w:val="22"/>
          <w:lang w:val="sr-Latn-RS"/>
        </w:rPr>
      </w:pPr>
      <w:r w:rsidRPr="00667453">
        <w:rPr>
          <w:sz w:val="22"/>
          <w:szCs w:val="22"/>
          <w:lang w:val="sr-Latn-RS"/>
        </w:rPr>
        <w:t>Bez zahvaćenosti novih sistema organa, definisanog kao 1 ili više BILAG A ili 2 ili više BILAG B stavki u odnosu na početak;</w:t>
      </w:r>
    </w:p>
    <w:p w14:paraId="23321348" w14:textId="77777777" w:rsidR="00745817" w:rsidRPr="00667453" w:rsidRDefault="00745817" w:rsidP="001B7C32">
      <w:pPr>
        <w:widowControl w:val="0"/>
        <w:numPr>
          <w:ilvl w:val="0"/>
          <w:numId w:val="12"/>
        </w:numPr>
        <w:tabs>
          <w:tab w:val="left" w:pos="682"/>
          <w:tab w:val="left" w:pos="683"/>
        </w:tabs>
        <w:autoSpaceDE w:val="0"/>
        <w:autoSpaceDN w:val="0"/>
        <w:jc w:val="both"/>
        <w:rPr>
          <w:sz w:val="22"/>
          <w:szCs w:val="22"/>
          <w:lang w:val="sr-Latn-RS"/>
        </w:rPr>
      </w:pPr>
      <w:r w:rsidRPr="00667453">
        <w:rPr>
          <w:sz w:val="22"/>
          <w:szCs w:val="22"/>
          <w:lang w:val="sr-Latn-RS"/>
        </w:rPr>
        <w:t>Bez pogoršanja aktivnosti lupusa od početka, definisanog kao povećanje PGA rezultata za ≥ 0,30 bodova na vizuelnoj analognoj skali (VAS) od 3 boda;</w:t>
      </w:r>
    </w:p>
    <w:p w14:paraId="531A7CFC" w14:textId="68B3C36E" w:rsidR="00745817" w:rsidRPr="00667453" w:rsidRDefault="00745817" w:rsidP="001B7C32">
      <w:pPr>
        <w:widowControl w:val="0"/>
        <w:numPr>
          <w:ilvl w:val="0"/>
          <w:numId w:val="12"/>
        </w:numPr>
        <w:tabs>
          <w:tab w:val="left" w:pos="682"/>
          <w:tab w:val="left" w:pos="683"/>
        </w:tabs>
        <w:autoSpaceDE w:val="0"/>
        <w:autoSpaceDN w:val="0"/>
        <w:spacing w:line="269" w:lineRule="exact"/>
        <w:ind w:hanging="568"/>
        <w:jc w:val="both"/>
        <w:rPr>
          <w:sz w:val="22"/>
          <w:szCs w:val="22"/>
          <w:lang w:val="sr-Latn-RS"/>
        </w:rPr>
      </w:pPr>
      <w:r w:rsidRPr="00667453">
        <w:rPr>
          <w:sz w:val="22"/>
          <w:szCs w:val="22"/>
          <w:lang w:val="sr-Latn-RS"/>
        </w:rPr>
        <w:t>Bez primjene ograničenih ljekova u m</w:t>
      </w:r>
      <w:r w:rsidR="006416F2" w:rsidRPr="00667453">
        <w:rPr>
          <w:sz w:val="22"/>
          <w:szCs w:val="22"/>
          <w:lang w:val="sr-Latn-RS"/>
        </w:rPr>
        <w:t>j</w:t>
      </w:r>
      <w:r w:rsidRPr="00667453">
        <w:rPr>
          <w:sz w:val="22"/>
          <w:szCs w:val="22"/>
          <w:lang w:val="sr-Latn-RS"/>
        </w:rPr>
        <w:t>eri većoj od one dozvoljene protokolom;</w:t>
      </w:r>
    </w:p>
    <w:p w14:paraId="3A39A27E" w14:textId="77777777" w:rsidR="00745817" w:rsidRPr="00667453" w:rsidRDefault="00745817" w:rsidP="001B7C32">
      <w:pPr>
        <w:widowControl w:val="0"/>
        <w:numPr>
          <w:ilvl w:val="0"/>
          <w:numId w:val="12"/>
        </w:numPr>
        <w:tabs>
          <w:tab w:val="left" w:pos="682"/>
          <w:tab w:val="left" w:pos="683"/>
        </w:tabs>
        <w:autoSpaceDE w:val="0"/>
        <w:autoSpaceDN w:val="0"/>
        <w:spacing w:line="269" w:lineRule="exact"/>
        <w:ind w:hanging="568"/>
        <w:jc w:val="both"/>
        <w:rPr>
          <w:sz w:val="22"/>
          <w:szCs w:val="22"/>
          <w:lang w:val="sr-Latn-RS"/>
        </w:rPr>
      </w:pPr>
      <w:r w:rsidRPr="00667453">
        <w:rPr>
          <w:sz w:val="22"/>
          <w:szCs w:val="22"/>
          <w:lang w:val="sr-Latn-RS"/>
        </w:rPr>
        <w:t>Bez prekida terapije.</w:t>
      </w:r>
    </w:p>
    <w:p w14:paraId="501B9889" w14:textId="77777777" w:rsidR="00745817" w:rsidRPr="00667453" w:rsidRDefault="00745817" w:rsidP="001B7C32">
      <w:pPr>
        <w:widowControl w:val="0"/>
        <w:autoSpaceDE w:val="0"/>
        <w:autoSpaceDN w:val="0"/>
        <w:jc w:val="both"/>
        <w:rPr>
          <w:sz w:val="22"/>
          <w:szCs w:val="22"/>
          <w:lang w:val="sr-Latn-RS"/>
        </w:rPr>
      </w:pPr>
    </w:p>
    <w:p w14:paraId="4DB794AA" w14:textId="6C974917"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Primarna m</w:t>
      </w:r>
      <w:r w:rsidR="00E70B6A" w:rsidRPr="00667453">
        <w:rPr>
          <w:sz w:val="22"/>
          <w:szCs w:val="22"/>
          <w:lang w:val="sr-Latn-RS"/>
        </w:rPr>
        <w:t>j</w:t>
      </w:r>
      <w:r w:rsidRPr="00667453">
        <w:rPr>
          <w:sz w:val="22"/>
          <w:szCs w:val="22"/>
          <w:lang w:val="sr-Latn-RS"/>
        </w:rPr>
        <w:t xml:space="preserve">era ishoda u ispitivanju 2 bio je odgovor </w:t>
      </w:r>
      <w:r w:rsidRPr="00667453">
        <w:rPr>
          <w:i/>
          <w:sz w:val="22"/>
          <w:szCs w:val="22"/>
          <w:lang w:val="sr-Latn-RS"/>
        </w:rPr>
        <w:t>British Isles Lupus Assessment Group based Composite Lupus Assessment</w:t>
      </w:r>
      <w:r w:rsidRPr="00667453">
        <w:rPr>
          <w:sz w:val="22"/>
          <w:szCs w:val="22"/>
          <w:lang w:val="sr-Latn-RS"/>
        </w:rPr>
        <w:t xml:space="preserve"> (BICLA) u 52. ned</w:t>
      </w:r>
      <w:r w:rsidR="003D0C1E" w:rsidRPr="00667453">
        <w:rPr>
          <w:sz w:val="22"/>
          <w:szCs w:val="22"/>
          <w:lang w:val="sr-Latn-RS"/>
        </w:rPr>
        <w:t>j</w:t>
      </w:r>
      <w:r w:rsidRPr="00667453">
        <w:rPr>
          <w:sz w:val="22"/>
          <w:szCs w:val="22"/>
          <w:lang w:val="sr-Latn-RS"/>
        </w:rPr>
        <w:t>elji, definisan kao poboljšanje u svim domenima organa sa um</w:t>
      </w:r>
      <w:r w:rsidR="006416F2" w:rsidRPr="00667453">
        <w:rPr>
          <w:sz w:val="22"/>
          <w:szCs w:val="22"/>
          <w:lang w:val="sr-Latn-RS"/>
        </w:rPr>
        <w:t>j</w:t>
      </w:r>
      <w:r w:rsidRPr="00667453">
        <w:rPr>
          <w:sz w:val="22"/>
          <w:szCs w:val="22"/>
          <w:lang w:val="sr-Latn-RS"/>
        </w:rPr>
        <w:t>ereno teškom ili teškom aktivnošću bolesti na početku:</w:t>
      </w:r>
    </w:p>
    <w:p w14:paraId="5CAC6E43" w14:textId="26C05054" w:rsidR="00745817" w:rsidRPr="00667453" w:rsidRDefault="00745817" w:rsidP="001B7C32">
      <w:pPr>
        <w:widowControl w:val="0"/>
        <w:numPr>
          <w:ilvl w:val="0"/>
          <w:numId w:val="12"/>
        </w:numPr>
        <w:tabs>
          <w:tab w:val="left" w:pos="682"/>
          <w:tab w:val="left" w:pos="683"/>
        </w:tabs>
        <w:autoSpaceDE w:val="0"/>
        <w:autoSpaceDN w:val="0"/>
        <w:jc w:val="both"/>
        <w:rPr>
          <w:sz w:val="22"/>
          <w:szCs w:val="22"/>
          <w:lang w:val="sr-Latn-RS"/>
        </w:rPr>
      </w:pPr>
      <w:r w:rsidRPr="00667453">
        <w:rPr>
          <w:sz w:val="22"/>
          <w:szCs w:val="22"/>
          <w:lang w:val="sr-Latn-RS"/>
        </w:rPr>
        <w:t>smanjenje svih početnih BILAG A rezultata na B/C/D i početnih BILAG B rezultata na C/D i bez pogoršanja BILAG rezultata u drugim sistemima organa, definisanog kao ≥ 1 novi BILAG A ili ≥ 2 nova BILAG B;bez pogoršanja SLEDAI-2K rezultata od početne vr</w:t>
      </w:r>
      <w:r w:rsidR="006416F2" w:rsidRPr="00667453">
        <w:rPr>
          <w:sz w:val="22"/>
          <w:szCs w:val="22"/>
          <w:lang w:val="sr-Latn-RS"/>
        </w:rPr>
        <w:t>ij</w:t>
      </w:r>
      <w:r w:rsidRPr="00667453">
        <w:rPr>
          <w:sz w:val="22"/>
          <w:szCs w:val="22"/>
          <w:lang w:val="sr-Latn-RS"/>
        </w:rPr>
        <w:t>ednosti, pri čemu je pogoršanje definisano kao povećanje početne vr</w:t>
      </w:r>
      <w:r w:rsidR="006416F2" w:rsidRPr="00667453">
        <w:rPr>
          <w:sz w:val="22"/>
          <w:szCs w:val="22"/>
          <w:lang w:val="sr-Latn-RS"/>
        </w:rPr>
        <w:t>ij</w:t>
      </w:r>
      <w:r w:rsidRPr="00667453">
        <w:rPr>
          <w:sz w:val="22"/>
          <w:szCs w:val="22"/>
          <w:lang w:val="sr-Latn-RS"/>
        </w:rPr>
        <w:t>ednosti za više od 0 bodova;</w:t>
      </w:r>
    </w:p>
    <w:p w14:paraId="5E0EF4B4" w14:textId="77777777" w:rsidR="00745817" w:rsidRPr="00667453" w:rsidRDefault="00745817" w:rsidP="001B7C32">
      <w:pPr>
        <w:widowControl w:val="0"/>
        <w:numPr>
          <w:ilvl w:val="0"/>
          <w:numId w:val="12"/>
        </w:numPr>
        <w:tabs>
          <w:tab w:val="left" w:pos="682"/>
          <w:tab w:val="left" w:pos="683"/>
        </w:tabs>
        <w:autoSpaceDE w:val="0"/>
        <w:autoSpaceDN w:val="0"/>
        <w:jc w:val="both"/>
        <w:rPr>
          <w:sz w:val="22"/>
          <w:szCs w:val="22"/>
          <w:lang w:val="sr-Latn-RS"/>
        </w:rPr>
      </w:pPr>
      <w:r w:rsidRPr="00667453">
        <w:rPr>
          <w:sz w:val="22"/>
          <w:szCs w:val="22"/>
          <w:lang w:val="sr-Latn-RS"/>
        </w:rPr>
        <w:t>bez pogoršanja aktivnosti lupusa od početka, definisanog kao povećanje ≥ 0,30 bodova na PGA VAS od 3 poena;</w:t>
      </w:r>
    </w:p>
    <w:p w14:paraId="7ECE7A99" w14:textId="3BD9A020" w:rsidR="00745817" w:rsidRPr="00667453" w:rsidRDefault="00745817" w:rsidP="001B7C32">
      <w:pPr>
        <w:widowControl w:val="0"/>
        <w:numPr>
          <w:ilvl w:val="0"/>
          <w:numId w:val="12"/>
        </w:numPr>
        <w:tabs>
          <w:tab w:val="left" w:pos="682"/>
          <w:tab w:val="left" w:pos="683"/>
        </w:tabs>
        <w:autoSpaceDE w:val="0"/>
        <w:autoSpaceDN w:val="0"/>
        <w:spacing w:line="269" w:lineRule="exact"/>
        <w:ind w:hanging="568"/>
        <w:jc w:val="both"/>
        <w:rPr>
          <w:sz w:val="22"/>
          <w:szCs w:val="22"/>
          <w:lang w:val="sr-Latn-RS"/>
        </w:rPr>
      </w:pPr>
      <w:r w:rsidRPr="00667453">
        <w:rPr>
          <w:sz w:val="22"/>
          <w:szCs w:val="22"/>
          <w:lang w:val="sr-Latn-RS"/>
        </w:rPr>
        <w:t xml:space="preserve">bez primjene ograničenih ljekova u </w:t>
      </w:r>
      <w:r w:rsidR="006416F2" w:rsidRPr="00667453">
        <w:rPr>
          <w:sz w:val="22"/>
          <w:szCs w:val="22"/>
          <w:lang w:val="sr-Latn-RS"/>
        </w:rPr>
        <w:t>mjeri</w:t>
      </w:r>
      <w:r w:rsidRPr="00667453">
        <w:rPr>
          <w:sz w:val="22"/>
          <w:szCs w:val="22"/>
          <w:lang w:val="sr-Latn-RS"/>
        </w:rPr>
        <w:t xml:space="preserve"> većoj od one dozvoljene protokolom;</w:t>
      </w:r>
    </w:p>
    <w:p w14:paraId="52423E49" w14:textId="77777777" w:rsidR="00745817" w:rsidRPr="00667453" w:rsidRDefault="00745817" w:rsidP="001B7C32">
      <w:pPr>
        <w:widowControl w:val="0"/>
        <w:numPr>
          <w:ilvl w:val="0"/>
          <w:numId w:val="12"/>
        </w:numPr>
        <w:tabs>
          <w:tab w:val="left" w:pos="682"/>
          <w:tab w:val="left" w:pos="683"/>
        </w:tabs>
        <w:autoSpaceDE w:val="0"/>
        <w:autoSpaceDN w:val="0"/>
        <w:spacing w:line="269" w:lineRule="exact"/>
        <w:ind w:hanging="568"/>
        <w:jc w:val="both"/>
        <w:rPr>
          <w:sz w:val="22"/>
          <w:szCs w:val="22"/>
          <w:lang w:val="sr-Latn-RS"/>
        </w:rPr>
      </w:pPr>
      <w:r w:rsidRPr="00667453">
        <w:rPr>
          <w:sz w:val="22"/>
          <w:szCs w:val="22"/>
          <w:lang w:val="sr-Latn-RS"/>
        </w:rPr>
        <w:t>bez prekida terapije.</w:t>
      </w:r>
    </w:p>
    <w:p w14:paraId="525C565A" w14:textId="77777777" w:rsidR="00745817" w:rsidRPr="00667453" w:rsidRDefault="00745817" w:rsidP="001B7C32">
      <w:pPr>
        <w:widowControl w:val="0"/>
        <w:autoSpaceDE w:val="0"/>
        <w:autoSpaceDN w:val="0"/>
        <w:jc w:val="both"/>
        <w:rPr>
          <w:sz w:val="22"/>
          <w:szCs w:val="22"/>
          <w:lang w:val="sr-Latn-RS"/>
        </w:rPr>
      </w:pPr>
    </w:p>
    <w:p w14:paraId="3B69A0C0" w14:textId="65CD5915"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Sekundarne krajnje tačke efikasnosti u ob</w:t>
      </w:r>
      <w:r w:rsidR="003D0C1E" w:rsidRPr="00667453">
        <w:rPr>
          <w:sz w:val="22"/>
          <w:szCs w:val="22"/>
          <w:lang w:val="sr-Latn-RS"/>
        </w:rPr>
        <w:t>j</w:t>
      </w:r>
      <w:r w:rsidRPr="00667453">
        <w:rPr>
          <w:sz w:val="22"/>
          <w:szCs w:val="22"/>
          <w:lang w:val="sr-Latn-RS"/>
        </w:rPr>
        <w:t>e studije uključivale su održano smanjenje doze oralnih kortikosteroida i godišnju stopu pogoršanja. Ove studije su proc</w:t>
      </w:r>
      <w:r w:rsidR="006416F2" w:rsidRPr="00667453">
        <w:rPr>
          <w:sz w:val="22"/>
          <w:szCs w:val="22"/>
          <w:lang w:val="sr-Latn-RS"/>
        </w:rPr>
        <w:t>j</w:t>
      </w:r>
      <w:r w:rsidRPr="00667453">
        <w:rPr>
          <w:sz w:val="22"/>
          <w:szCs w:val="22"/>
          <w:lang w:val="sr-Latn-RS"/>
        </w:rPr>
        <w:t xml:space="preserve">enjivale </w:t>
      </w:r>
      <w:r w:rsidR="00E70B6A" w:rsidRPr="00667453">
        <w:rPr>
          <w:sz w:val="22"/>
          <w:szCs w:val="22"/>
          <w:lang w:val="sr-Latn-RS"/>
        </w:rPr>
        <w:t>efikasnost</w:t>
      </w:r>
      <w:r w:rsidRPr="00667453">
        <w:rPr>
          <w:sz w:val="22"/>
          <w:szCs w:val="22"/>
          <w:lang w:val="sr-Latn-RS"/>
        </w:rPr>
        <w:t xml:space="preserve"> anifrolumaba od 300 mg u odnosu na placebo.</w:t>
      </w:r>
    </w:p>
    <w:p w14:paraId="5E48A85C" w14:textId="77777777" w:rsidR="00745817" w:rsidRPr="00667453" w:rsidRDefault="00745817" w:rsidP="001B7C32">
      <w:pPr>
        <w:widowControl w:val="0"/>
        <w:autoSpaceDE w:val="0"/>
        <w:autoSpaceDN w:val="0"/>
        <w:jc w:val="both"/>
        <w:rPr>
          <w:sz w:val="22"/>
          <w:szCs w:val="22"/>
          <w:lang w:val="sr-Latn-RS"/>
        </w:rPr>
      </w:pPr>
    </w:p>
    <w:p w14:paraId="6DCA3B53" w14:textId="6A7C09F5"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Demografske karakteristike pacijenata su generalno bile slične u oba ispitivanja, pa je tako u ispitivanjima 1 i 2 medijana starosti iznosila 41,3 odnosno 42,1 godinu (raspon: 18–69), 4,4% odnosno 1,7% pacijenata imalo je ≥ 65 godina, 92% odnosno 93% su bile žene, 71% odnosno 60% pacijenata su bili</w:t>
      </w:r>
      <w:r w:rsidR="00E70B6A" w:rsidRPr="00667453">
        <w:rPr>
          <w:sz w:val="22"/>
          <w:szCs w:val="22"/>
          <w:lang w:val="sr-Latn-RS"/>
        </w:rPr>
        <w:t xml:space="preserve"> </w:t>
      </w:r>
      <w:r w:rsidRPr="00667453">
        <w:rPr>
          <w:sz w:val="22"/>
          <w:szCs w:val="22"/>
          <w:lang w:val="sr-Latn-RS"/>
        </w:rPr>
        <w:t>b</w:t>
      </w:r>
      <w:r w:rsidR="003D0C1E" w:rsidRPr="00667453">
        <w:rPr>
          <w:sz w:val="22"/>
          <w:szCs w:val="22"/>
          <w:lang w:val="sr-Latn-RS"/>
        </w:rPr>
        <w:t>i</w:t>
      </w:r>
      <w:r w:rsidR="00E70B6A" w:rsidRPr="00667453">
        <w:rPr>
          <w:sz w:val="22"/>
          <w:szCs w:val="22"/>
          <w:lang w:val="sr-Latn-RS"/>
        </w:rPr>
        <w:t>j</w:t>
      </w:r>
      <w:r w:rsidRPr="00667453">
        <w:rPr>
          <w:sz w:val="22"/>
          <w:szCs w:val="22"/>
          <w:lang w:val="sr-Latn-RS"/>
        </w:rPr>
        <w:t>elci, 14% odnosno 12% crnci/Afroa</w:t>
      </w:r>
      <w:r w:rsidR="006416F2" w:rsidRPr="00667453">
        <w:rPr>
          <w:sz w:val="22"/>
          <w:szCs w:val="22"/>
          <w:lang w:val="sr-Latn-RS"/>
        </w:rPr>
        <w:t>meri</w:t>
      </w:r>
      <w:r w:rsidRPr="00667453">
        <w:rPr>
          <w:sz w:val="22"/>
          <w:szCs w:val="22"/>
          <w:lang w:val="sr-Latn-RS"/>
        </w:rPr>
        <w:t>kanci, a 5% odnosno 17% Azijati. U oba ispitivanja 72% pacijenata je imalo visoku aktivnost bolesti (SLEDAI-2K rezultat ≥ 10). U ispitivanjima 1 i 2, 47% odnosno 49% pacijenata imalo je tešku bolest (BILAG A) u najmanje 1 sistemu organa, dok je njih 46% odnosno 47% imalo um</w:t>
      </w:r>
      <w:r w:rsidR="006416F2" w:rsidRPr="00667453">
        <w:rPr>
          <w:sz w:val="22"/>
          <w:szCs w:val="22"/>
          <w:lang w:val="sr-Latn-RS"/>
        </w:rPr>
        <w:t>j</w:t>
      </w:r>
      <w:r w:rsidRPr="00667453">
        <w:rPr>
          <w:sz w:val="22"/>
          <w:szCs w:val="22"/>
          <w:lang w:val="sr-Latn-RS"/>
        </w:rPr>
        <w:t>erenu bolest (BILAG B) u barem 2 sistema organa. Najčešće zahvaćeni sistemi organa (BILAG A ili B na početku) bili su mukokutani (ispitivanje 1: 87%; ispitivanje 2: 85%) i mišićno-koštani sistem (ispitivanje 1: 89%; ispitivanje 2: 88%).</w:t>
      </w:r>
    </w:p>
    <w:p w14:paraId="0252D2B2" w14:textId="77777777" w:rsidR="00745817" w:rsidRPr="00667453" w:rsidRDefault="00745817" w:rsidP="001B7C32">
      <w:pPr>
        <w:widowControl w:val="0"/>
        <w:autoSpaceDE w:val="0"/>
        <w:autoSpaceDN w:val="0"/>
        <w:jc w:val="both"/>
        <w:rPr>
          <w:sz w:val="22"/>
          <w:szCs w:val="22"/>
          <w:lang w:val="sr-Latn-RS"/>
        </w:rPr>
      </w:pPr>
    </w:p>
    <w:p w14:paraId="3E69ADBD" w14:textId="5FC78D11"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U ispitivanjima 1 i 2 90% pacijenata (oba ispitivanja) bilo je seropozitivno na antinuklearna antitijela (ANA), a 45% odnosno 44% je bilo pozitivno na antitijela na anti-dvolančanu DNK (dsDNA), 34% odnosno 40% pacijenata imalo je nizak nivo C3, a 21% odnosno 26% nizak nivo C4.</w:t>
      </w:r>
    </w:p>
    <w:p w14:paraId="773AF28B" w14:textId="77777777" w:rsidR="00745817" w:rsidRPr="00667453" w:rsidRDefault="00745817" w:rsidP="001B7C32">
      <w:pPr>
        <w:widowControl w:val="0"/>
        <w:autoSpaceDE w:val="0"/>
        <w:autoSpaceDN w:val="0"/>
        <w:jc w:val="both"/>
        <w:rPr>
          <w:sz w:val="22"/>
          <w:szCs w:val="22"/>
          <w:lang w:val="sr-Latn-RS"/>
        </w:rPr>
      </w:pPr>
    </w:p>
    <w:p w14:paraId="4B26103C" w14:textId="15EF5EED" w:rsidR="00745817" w:rsidRPr="00667453" w:rsidRDefault="00745817" w:rsidP="001B7C32">
      <w:pPr>
        <w:widowControl w:val="0"/>
        <w:autoSpaceDE w:val="0"/>
        <w:autoSpaceDN w:val="0"/>
        <w:spacing w:line="249" w:lineRule="auto"/>
        <w:jc w:val="both"/>
        <w:rPr>
          <w:sz w:val="22"/>
          <w:szCs w:val="22"/>
          <w:lang w:val="sr-Latn-RS"/>
        </w:rPr>
      </w:pPr>
      <w:r w:rsidRPr="00667453">
        <w:rPr>
          <w:sz w:val="22"/>
          <w:szCs w:val="22"/>
          <w:lang w:val="sr-Latn-RS"/>
        </w:rPr>
        <w:t>L</w:t>
      </w:r>
      <w:r w:rsidR="006416F2" w:rsidRPr="00667453">
        <w:rPr>
          <w:sz w:val="22"/>
          <w:szCs w:val="22"/>
          <w:lang w:val="sr-Latn-RS"/>
        </w:rPr>
        <w:t>j</w:t>
      </w:r>
      <w:r w:rsidRPr="00667453">
        <w:rPr>
          <w:sz w:val="22"/>
          <w:szCs w:val="22"/>
          <w:lang w:val="sr-Latn-RS"/>
        </w:rPr>
        <w:t>ekovi koje su pacijenti uzimali u okviru standardne terapije na početku ispitivanja uključivali su oralne kortikosteroide (ispitivanje 1: 83%, ispitivanje 2: 81%), antimalarike (ispitivanje 1: 73%, ispitivanje 2: 70%) i imunosupresive (ispitivanje 1: 47%,ispitivanje 2: 48%; uključujući azatioprin, metotreksat, mikofenolat i mizoribin). Među pacijentima koji su na početku ispitivanja uzimali oralne kortikosteroide (prednizon ili ekvivalent) srednja vr</w:t>
      </w:r>
      <w:r w:rsidR="00E70B6A" w:rsidRPr="00667453">
        <w:rPr>
          <w:sz w:val="22"/>
          <w:szCs w:val="22"/>
          <w:lang w:val="sr-Latn-RS"/>
        </w:rPr>
        <w:t>ij</w:t>
      </w:r>
      <w:r w:rsidRPr="00667453">
        <w:rPr>
          <w:sz w:val="22"/>
          <w:szCs w:val="22"/>
          <w:lang w:val="sr-Latn-RS"/>
        </w:rPr>
        <w:t>ednost dnevne doze iznosila je 12</w:t>
      </w:r>
      <w:r w:rsidR="00FF7979" w:rsidRPr="00667453">
        <w:rPr>
          <w:sz w:val="22"/>
          <w:szCs w:val="22"/>
          <w:lang w:val="sr-Latn-RS"/>
        </w:rPr>
        <w:t xml:space="preserve">, </w:t>
      </w:r>
      <w:r w:rsidRPr="00667453">
        <w:rPr>
          <w:sz w:val="22"/>
          <w:szCs w:val="22"/>
          <w:lang w:val="sr-Latn-RS"/>
        </w:rPr>
        <w:t>3 mg u ispitivanju 1 i</w:t>
      </w:r>
      <w:r w:rsidR="00E70B6A" w:rsidRPr="00667453">
        <w:rPr>
          <w:sz w:val="22"/>
          <w:szCs w:val="22"/>
          <w:lang w:val="sr-Latn-RS"/>
        </w:rPr>
        <w:t xml:space="preserve"> </w:t>
      </w:r>
      <w:r w:rsidRPr="00667453">
        <w:rPr>
          <w:sz w:val="22"/>
          <w:szCs w:val="22"/>
          <w:lang w:val="sr-Latn-RS"/>
        </w:rPr>
        <w:t>10,</w:t>
      </w:r>
      <w:r w:rsidR="00FF7979" w:rsidRPr="00667453">
        <w:rPr>
          <w:sz w:val="22"/>
          <w:szCs w:val="22"/>
          <w:lang w:val="sr-Latn-RS"/>
        </w:rPr>
        <w:t xml:space="preserve"> </w:t>
      </w:r>
      <w:r w:rsidRPr="00667453">
        <w:rPr>
          <w:sz w:val="22"/>
          <w:szCs w:val="22"/>
          <w:lang w:val="sr-Latn-RS"/>
        </w:rPr>
        <w:t xml:space="preserve">7 mg </w:t>
      </w:r>
      <w:r w:rsidRPr="00667453">
        <w:rPr>
          <w:sz w:val="22"/>
          <w:szCs w:val="22"/>
          <w:lang w:val="sr-Latn-RS"/>
        </w:rPr>
        <w:lastRenderedPageBreak/>
        <w:t>u ispitivanju 2. Tokom perioda od 8. do 40. ned</w:t>
      </w:r>
      <w:r w:rsidR="003D0C1E" w:rsidRPr="00667453">
        <w:rPr>
          <w:sz w:val="22"/>
          <w:szCs w:val="22"/>
          <w:lang w:val="sr-Latn-RS"/>
        </w:rPr>
        <w:t>j</w:t>
      </w:r>
      <w:r w:rsidRPr="00667453">
        <w:rPr>
          <w:sz w:val="22"/>
          <w:szCs w:val="22"/>
          <w:lang w:val="sr-Latn-RS"/>
        </w:rPr>
        <w:t>elje pacijenti koji su na početku uzimali ≥ 10 mg oralnih kortikosteroida dnevno morali su da smanje dozu oralnih kortikosteroida na ≤ 7,5 mg dnevno, osim ako je došlo do pogoršanja aktivnosti bolesti.</w:t>
      </w:r>
    </w:p>
    <w:p w14:paraId="0E49A218" w14:textId="77777777" w:rsidR="00745817" w:rsidRPr="00667453" w:rsidRDefault="00745817" w:rsidP="001B7C32">
      <w:pPr>
        <w:widowControl w:val="0"/>
        <w:autoSpaceDE w:val="0"/>
        <w:autoSpaceDN w:val="0"/>
        <w:jc w:val="both"/>
        <w:rPr>
          <w:sz w:val="22"/>
          <w:szCs w:val="22"/>
          <w:lang w:val="sr-Latn-RS"/>
        </w:rPr>
      </w:pPr>
    </w:p>
    <w:p w14:paraId="39DC3375" w14:textId="39A005A0"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Za odgovore BICLA i SRI(4) pacijenti koji su prekinuli liječenje pr</w:t>
      </w:r>
      <w:r w:rsidR="00E70B6A" w:rsidRPr="00667453">
        <w:rPr>
          <w:sz w:val="22"/>
          <w:szCs w:val="22"/>
          <w:lang w:val="sr-Latn-RS"/>
        </w:rPr>
        <w:t>ij</w:t>
      </w:r>
      <w:r w:rsidRPr="00667453">
        <w:rPr>
          <w:sz w:val="22"/>
          <w:szCs w:val="22"/>
          <w:lang w:val="sr-Latn-RS"/>
        </w:rPr>
        <w:t>e 52. ned</w:t>
      </w:r>
      <w:r w:rsidR="003D0C1E" w:rsidRPr="00667453">
        <w:rPr>
          <w:sz w:val="22"/>
          <w:szCs w:val="22"/>
          <w:lang w:val="sr-Latn-RS"/>
        </w:rPr>
        <w:t>j</w:t>
      </w:r>
      <w:r w:rsidRPr="00667453">
        <w:rPr>
          <w:sz w:val="22"/>
          <w:szCs w:val="22"/>
          <w:lang w:val="sr-Latn-RS"/>
        </w:rPr>
        <w:t>elje smatrani su pacijentima bez odgovora. Liječenje pr</w:t>
      </w:r>
      <w:r w:rsidR="006416F2" w:rsidRPr="00667453">
        <w:rPr>
          <w:sz w:val="22"/>
          <w:szCs w:val="22"/>
          <w:lang w:val="sr-Latn-RS"/>
        </w:rPr>
        <w:t>ij</w:t>
      </w:r>
      <w:r w:rsidRPr="00667453">
        <w:rPr>
          <w:sz w:val="22"/>
          <w:szCs w:val="22"/>
          <w:lang w:val="sr-Latn-RS"/>
        </w:rPr>
        <w:t>e 52.</w:t>
      </w:r>
      <w:r w:rsidR="00FF7979" w:rsidRPr="00667453">
        <w:rPr>
          <w:sz w:val="22"/>
          <w:szCs w:val="22"/>
          <w:lang w:val="sr-Latn-RS"/>
        </w:rPr>
        <w:t xml:space="preserve"> </w:t>
      </w:r>
      <w:r w:rsidRPr="00667453">
        <w:rPr>
          <w:sz w:val="22"/>
          <w:szCs w:val="22"/>
          <w:lang w:val="sr-Latn-RS"/>
        </w:rPr>
        <w:t>ned</w:t>
      </w:r>
      <w:r w:rsidR="003D0C1E" w:rsidRPr="00667453">
        <w:rPr>
          <w:sz w:val="22"/>
          <w:szCs w:val="22"/>
          <w:lang w:val="sr-Latn-RS"/>
        </w:rPr>
        <w:t>j</w:t>
      </w:r>
      <w:r w:rsidRPr="00667453">
        <w:rPr>
          <w:sz w:val="22"/>
          <w:szCs w:val="22"/>
          <w:lang w:val="sr-Latn-RS"/>
        </w:rPr>
        <w:t xml:space="preserve">elje je prekinulo 35 pacijenata (19%) koji su primali anifrolumab i 38 pacijenata (21%) koji su primali placebo u ispitivanju 1, odnosno 27 (15%) pacijenata koji su primali anifrolumab i 52 (29%) pacijenta koji su primali placebo u ispitivanju 2. Rezultati su prikazani u </w:t>
      </w:r>
      <w:r w:rsidR="00FF7979" w:rsidRPr="00667453">
        <w:rPr>
          <w:sz w:val="22"/>
          <w:szCs w:val="22"/>
          <w:lang w:val="sr-Latn-RS"/>
        </w:rPr>
        <w:t>T</w:t>
      </w:r>
      <w:r w:rsidRPr="00667453">
        <w:rPr>
          <w:sz w:val="22"/>
          <w:szCs w:val="22"/>
          <w:lang w:val="sr-Latn-RS"/>
        </w:rPr>
        <w:t>abeli 2.</w:t>
      </w:r>
    </w:p>
    <w:p w14:paraId="4FAEE6F2" w14:textId="77777777" w:rsidR="00745817" w:rsidRPr="00667453" w:rsidRDefault="00745817" w:rsidP="001B7C32">
      <w:pPr>
        <w:widowControl w:val="0"/>
        <w:autoSpaceDE w:val="0"/>
        <w:autoSpaceDN w:val="0"/>
        <w:jc w:val="both"/>
        <w:rPr>
          <w:sz w:val="22"/>
          <w:szCs w:val="22"/>
          <w:lang w:val="sr-Latn-RS"/>
        </w:rPr>
      </w:pPr>
    </w:p>
    <w:p w14:paraId="03DEAAC8" w14:textId="77777777" w:rsidR="00745817" w:rsidRPr="00667453" w:rsidRDefault="00745817" w:rsidP="001B7C32">
      <w:pPr>
        <w:widowControl w:val="0"/>
        <w:tabs>
          <w:tab w:val="left" w:pos="1555"/>
        </w:tabs>
        <w:autoSpaceDE w:val="0"/>
        <w:autoSpaceDN w:val="0"/>
        <w:ind w:left="115"/>
        <w:jc w:val="both"/>
        <w:outlineLvl w:val="0"/>
        <w:rPr>
          <w:b/>
          <w:bCs/>
          <w:sz w:val="22"/>
          <w:szCs w:val="22"/>
          <w:lang w:val="sr-Latn-RS"/>
        </w:rPr>
      </w:pPr>
      <w:r w:rsidRPr="00667453">
        <w:rPr>
          <w:b/>
          <w:bCs/>
          <w:sz w:val="22"/>
          <w:szCs w:val="22"/>
          <w:lang w:val="sr-Latn-RS"/>
        </w:rPr>
        <w:t>Tabela 2</w:t>
      </w:r>
      <w:r w:rsidRPr="00667453">
        <w:rPr>
          <w:b/>
          <w:bCs/>
          <w:sz w:val="22"/>
          <w:szCs w:val="22"/>
          <w:lang w:val="sr-Latn-RS"/>
        </w:rPr>
        <w:tab/>
        <w:t>Rezultati efikasnosti kod odraslih sa SLE u ispitivanju 1 i ispitivanju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1656"/>
        <w:gridCol w:w="1059"/>
        <w:gridCol w:w="1659"/>
        <w:gridCol w:w="1057"/>
      </w:tblGrid>
      <w:tr w:rsidR="00745817" w:rsidRPr="00667453" w14:paraId="7AAE3E77" w14:textId="77777777" w:rsidTr="003B1C29">
        <w:tc>
          <w:tcPr>
            <w:tcW w:w="3632" w:type="dxa"/>
            <w:vMerge w:val="restart"/>
          </w:tcPr>
          <w:p w14:paraId="104A7E78" w14:textId="77777777" w:rsidR="00745817" w:rsidRPr="00667453" w:rsidRDefault="00745817" w:rsidP="001B7C32">
            <w:pPr>
              <w:widowControl w:val="0"/>
              <w:autoSpaceDE w:val="0"/>
              <w:autoSpaceDN w:val="0"/>
              <w:rPr>
                <w:sz w:val="22"/>
                <w:szCs w:val="22"/>
                <w:lang w:val="sr-Latn-RS"/>
              </w:rPr>
            </w:pPr>
          </w:p>
        </w:tc>
        <w:tc>
          <w:tcPr>
            <w:tcW w:w="2715" w:type="dxa"/>
            <w:gridSpan w:val="2"/>
          </w:tcPr>
          <w:p w14:paraId="14E283D5" w14:textId="77777777" w:rsidR="00745817" w:rsidRPr="00667453" w:rsidRDefault="00745817" w:rsidP="001B7C32">
            <w:pPr>
              <w:widowControl w:val="0"/>
              <w:autoSpaceDE w:val="0"/>
              <w:autoSpaceDN w:val="0"/>
              <w:ind w:left="1099"/>
              <w:jc w:val="center"/>
              <w:rPr>
                <w:b/>
                <w:sz w:val="22"/>
                <w:szCs w:val="22"/>
                <w:lang w:val="sr-Latn-RS"/>
              </w:rPr>
            </w:pPr>
            <w:r w:rsidRPr="00667453">
              <w:rPr>
                <w:b/>
                <w:bCs/>
                <w:sz w:val="22"/>
                <w:szCs w:val="22"/>
                <w:lang w:val="sr-Latn-RS"/>
              </w:rPr>
              <w:t>Ispitivanje 1</w:t>
            </w:r>
          </w:p>
        </w:tc>
        <w:tc>
          <w:tcPr>
            <w:tcW w:w="2716" w:type="dxa"/>
            <w:gridSpan w:val="2"/>
          </w:tcPr>
          <w:p w14:paraId="50E84BBC" w14:textId="77777777" w:rsidR="00745817" w:rsidRPr="00667453" w:rsidRDefault="00745817" w:rsidP="001B7C32">
            <w:pPr>
              <w:widowControl w:val="0"/>
              <w:autoSpaceDE w:val="0"/>
              <w:autoSpaceDN w:val="0"/>
              <w:ind w:left="1106"/>
              <w:jc w:val="center"/>
              <w:rPr>
                <w:b/>
                <w:sz w:val="22"/>
                <w:szCs w:val="22"/>
                <w:lang w:val="sr-Latn-RS"/>
              </w:rPr>
            </w:pPr>
            <w:r w:rsidRPr="00667453">
              <w:rPr>
                <w:b/>
                <w:bCs/>
                <w:sz w:val="22"/>
                <w:szCs w:val="22"/>
                <w:lang w:val="sr-Latn-RS"/>
              </w:rPr>
              <w:t>Ispitivanje 2</w:t>
            </w:r>
          </w:p>
        </w:tc>
      </w:tr>
      <w:tr w:rsidR="00745817" w:rsidRPr="00667453" w14:paraId="4A9D4249" w14:textId="77777777" w:rsidTr="003B1C29">
        <w:tc>
          <w:tcPr>
            <w:tcW w:w="3632" w:type="dxa"/>
            <w:vMerge/>
            <w:tcBorders>
              <w:top w:val="nil"/>
            </w:tcBorders>
          </w:tcPr>
          <w:p w14:paraId="099F4CE6" w14:textId="77777777" w:rsidR="00745817" w:rsidRPr="00667453" w:rsidRDefault="00745817" w:rsidP="001B7C32">
            <w:pPr>
              <w:widowControl w:val="0"/>
              <w:autoSpaceDE w:val="0"/>
              <w:autoSpaceDN w:val="0"/>
              <w:rPr>
                <w:sz w:val="22"/>
                <w:szCs w:val="22"/>
                <w:lang w:val="sr-Latn-RS"/>
              </w:rPr>
            </w:pPr>
          </w:p>
        </w:tc>
        <w:tc>
          <w:tcPr>
            <w:tcW w:w="1656" w:type="dxa"/>
          </w:tcPr>
          <w:p w14:paraId="3F55DC29" w14:textId="77777777" w:rsidR="00745817" w:rsidRPr="00667453" w:rsidRDefault="00745817" w:rsidP="001B7C32">
            <w:pPr>
              <w:widowControl w:val="0"/>
              <w:autoSpaceDE w:val="0"/>
              <w:autoSpaceDN w:val="0"/>
              <w:spacing w:line="235" w:lineRule="auto"/>
              <w:ind w:left="407" w:hanging="245"/>
              <w:rPr>
                <w:b/>
                <w:sz w:val="22"/>
                <w:szCs w:val="22"/>
                <w:lang w:val="sr-Latn-RS"/>
              </w:rPr>
            </w:pPr>
            <w:r w:rsidRPr="00667453">
              <w:rPr>
                <w:b/>
                <w:bCs/>
                <w:sz w:val="22"/>
                <w:szCs w:val="22"/>
                <w:lang w:val="sr-Latn-RS"/>
              </w:rPr>
              <w:t>Anifrolumab 300 mg</w:t>
            </w:r>
          </w:p>
        </w:tc>
        <w:tc>
          <w:tcPr>
            <w:tcW w:w="1059" w:type="dxa"/>
          </w:tcPr>
          <w:p w14:paraId="5BEBEB1B" w14:textId="77777777" w:rsidR="00745817" w:rsidRPr="00667453" w:rsidRDefault="00745817" w:rsidP="001B7C32">
            <w:pPr>
              <w:widowControl w:val="0"/>
              <w:autoSpaceDE w:val="0"/>
              <w:autoSpaceDN w:val="0"/>
              <w:ind w:left="134"/>
              <w:jc w:val="center"/>
              <w:rPr>
                <w:b/>
                <w:sz w:val="22"/>
                <w:szCs w:val="22"/>
                <w:lang w:val="sr-Latn-RS"/>
              </w:rPr>
            </w:pPr>
            <w:r w:rsidRPr="00667453">
              <w:rPr>
                <w:b/>
                <w:bCs/>
                <w:sz w:val="22"/>
                <w:szCs w:val="22"/>
                <w:lang w:val="sr-Latn-RS"/>
              </w:rPr>
              <w:t>Placebo</w:t>
            </w:r>
          </w:p>
        </w:tc>
        <w:tc>
          <w:tcPr>
            <w:tcW w:w="1659" w:type="dxa"/>
          </w:tcPr>
          <w:p w14:paraId="04A75F53" w14:textId="77777777" w:rsidR="00745817" w:rsidRPr="00667453" w:rsidRDefault="00745817" w:rsidP="001B7C32">
            <w:pPr>
              <w:widowControl w:val="0"/>
              <w:autoSpaceDE w:val="0"/>
              <w:autoSpaceDN w:val="0"/>
              <w:spacing w:line="235" w:lineRule="auto"/>
              <w:ind w:left="410" w:hanging="245"/>
              <w:rPr>
                <w:b/>
                <w:sz w:val="22"/>
                <w:szCs w:val="22"/>
                <w:lang w:val="sr-Latn-RS"/>
              </w:rPr>
            </w:pPr>
            <w:r w:rsidRPr="00667453">
              <w:rPr>
                <w:b/>
                <w:bCs/>
                <w:sz w:val="22"/>
                <w:szCs w:val="22"/>
                <w:lang w:val="sr-Latn-RS"/>
              </w:rPr>
              <w:t>Anifrolumab 300 mg</w:t>
            </w:r>
          </w:p>
        </w:tc>
        <w:tc>
          <w:tcPr>
            <w:tcW w:w="1057" w:type="dxa"/>
          </w:tcPr>
          <w:p w14:paraId="2400B7F0" w14:textId="77777777" w:rsidR="00745817" w:rsidRPr="00667453" w:rsidRDefault="00745817" w:rsidP="001B7C32">
            <w:pPr>
              <w:widowControl w:val="0"/>
              <w:autoSpaceDE w:val="0"/>
              <w:autoSpaceDN w:val="0"/>
              <w:ind w:left="132"/>
              <w:jc w:val="center"/>
              <w:rPr>
                <w:b/>
                <w:sz w:val="22"/>
                <w:szCs w:val="22"/>
                <w:lang w:val="sr-Latn-RS"/>
              </w:rPr>
            </w:pPr>
            <w:r w:rsidRPr="00667453">
              <w:rPr>
                <w:b/>
                <w:bCs/>
                <w:sz w:val="22"/>
                <w:szCs w:val="22"/>
                <w:lang w:val="sr-Latn-RS"/>
              </w:rPr>
              <w:t>Placebo</w:t>
            </w:r>
          </w:p>
        </w:tc>
      </w:tr>
      <w:tr w:rsidR="00745817" w:rsidRPr="00667453" w14:paraId="68EDA395" w14:textId="77777777" w:rsidTr="003B1C29">
        <w:tc>
          <w:tcPr>
            <w:tcW w:w="9063" w:type="dxa"/>
            <w:gridSpan w:val="5"/>
          </w:tcPr>
          <w:p w14:paraId="0E04CB08" w14:textId="01A2A71D" w:rsidR="00745817" w:rsidRPr="00667453" w:rsidRDefault="00745817" w:rsidP="001B7C32">
            <w:pPr>
              <w:widowControl w:val="0"/>
              <w:autoSpaceDE w:val="0"/>
              <w:autoSpaceDN w:val="0"/>
              <w:ind w:left="110"/>
              <w:rPr>
                <w:b/>
                <w:sz w:val="22"/>
                <w:szCs w:val="22"/>
                <w:lang w:val="sr-Latn-RS"/>
              </w:rPr>
            </w:pPr>
            <w:r w:rsidRPr="00667453">
              <w:rPr>
                <w:b/>
                <w:bCs/>
                <w:sz w:val="22"/>
                <w:szCs w:val="22"/>
                <w:lang w:val="sr-Latn-RS"/>
              </w:rPr>
              <w:t>BICLA odgovor u 52. ned</w:t>
            </w:r>
            <w:r w:rsidR="00112DD8" w:rsidRPr="00667453">
              <w:rPr>
                <w:b/>
                <w:bCs/>
                <w:sz w:val="22"/>
                <w:szCs w:val="22"/>
                <w:lang w:val="sr-Latn-RS"/>
              </w:rPr>
              <w:t>j</w:t>
            </w:r>
            <w:r w:rsidRPr="00667453">
              <w:rPr>
                <w:b/>
                <w:bCs/>
                <w:sz w:val="22"/>
                <w:szCs w:val="22"/>
                <w:lang w:val="sr-Latn-RS"/>
              </w:rPr>
              <w:t>elji*</w:t>
            </w:r>
          </w:p>
        </w:tc>
      </w:tr>
      <w:tr w:rsidR="00745817" w:rsidRPr="00667453" w14:paraId="7EAC1B4F" w14:textId="77777777" w:rsidTr="003B1C29">
        <w:tc>
          <w:tcPr>
            <w:tcW w:w="3632" w:type="dxa"/>
          </w:tcPr>
          <w:p w14:paraId="7FA97560" w14:textId="77777777" w:rsidR="00745817" w:rsidRPr="00667453" w:rsidRDefault="00745817" w:rsidP="001B7C32">
            <w:pPr>
              <w:widowControl w:val="0"/>
              <w:autoSpaceDE w:val="0"/>
              <w:autoSpaceDN w:val="0"/>
              <w:ind w:left="287"/>
              <w:rPr>
                <w:sz w:val="22"/>
                <w:szCs w:val="22"/>
                <w:lang w:val="sr-Latn-RS"/>
              </w:rPr>
            </w:pPr>
            <w:r w:rsidRPr="00667453">
              <w:rPr>
                <w:sz w:val="22"/>
                <w:szCs w:val="22"/>
                <w:lang w:val="sr-Latn-RS"/>
              </w:rPr>
              <w:t>Stopa odgovora, % (n/N)</w:t>
            </w:r>
          </w:p>
        </w:tc>
        <w:tc>
          <w:tcPr>
            <w:tcW w:w="1656" w:type="dxa"/>
          </w:tcPr>
          <w:p w14:paraId="2308D372" w14:textId="77777777" w:rsidR="00745817" w:rsidRPr="00667453" w:rsidRDefault="00745817" w:rsidP="001B7C32">
            <w:pPr>
              <w:widowControl w:val="0"/>
              <w:autoSpaceDE w:val="0"/>
              <w:autoSpaceDN w:val="0"/>
              <w:ind w:left="156"/>
              <w:jc w:val="center"/>
              <w:rPr>
                <w:sz w:val="22"/>
                <w:szCs w:val="22"/>
                <w:lang w:val="sr-Latn-RS"/>
              </w:rPr>
            </w:pPr>
            <w:r w:rsidRPr="00667453">
              <w:rPr>
                <w:sz w:val="22"/>
                <w:szCs w:val="22"/>
                <w:lang w:val="sr-Latn-RS"/>
              </w:rPr>
              <w:t>47,1 (85/180)</w:t>
            </w:r>
          </w:p>
        </w:tc>
        <w:tc>
          <w:tcPr>
            <w:tcW w:w="1059" w:type="dxa"/>
          </w:tcPr>
          <w:p w14:paraId="24A481BA"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30,2 (55/184)</w:t>
            </w:r>
          </w:p>
        </w:tc>
        <w:tc>
          <w:tcPr>
            <w:tcW w:w="1659" w:type="dxa"/>
          </w:tcPr>
          <w:p w14:paraId="561170B8"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47,8 (86/180)</w:t>
            </w:r>
          </w:p>
        </w:tc>
        <w:tc>
          <w:tcPr>
            <w:tcW w:w="1057" w:type="dxa"/>
          </w:tcPr>
          <w:p w14:paraId="761E2CDD" w14:textId="77777777" w:rsidR="00745817" w:rsidRPr="00667453" w:rsidRDefault="00745817" w:rsidP="001B7C32">
            <w:pPr>
              <w:widowControl w:val="0"/>
              <w:autoSpaceDE w:val="0"/>
              <w:autoSpaceDN w:val="0"/>
              <w:ind w:left="132"/>
              <w:jc w:val="center"/>
              <w:rPr>
                <w:sz w:val="22"/>
                <w:szCs w:val="22"/>
                <w:lang w:val="sr-Latn-RS"/>
              </w:rPr>
            </w:pPr>
            <w:r w:rsidRPr="00667453">
              <w:rPr>
                <w:sz w:val="22"/>
                <w:szCs w:val="22"/>
                <w:lang w:val="sr-Latn-RS"/>
              </w:rPr>
              <w:t>31,5 (57/182)</w:t>
            </w:r>
          </w:p>
        </w:tc>
      </w:tr>
      <w:tr w:rsidR="00745817" w:rsidRPr="00667453" w14:paraId="4D66851A" w14:textId="77777777" w:rsidTr="003B1C29">
        <w:tc>
          <w:tcPr>
            <w:tcW w:w="3632" w:type="dxa"/>
          </w:tcPr>
          <w:p w14:paraId="2BA09DD0" w14:textId="77777777" w:rsidR="00745817" w:rsidRPr="00667453" w:rsidRDefault="00745817" w:rsidP="001B7C32">
            <w:pPr>
              <w:widowControl w:val="0"/>
              <w:autoSpaceDE w:val="0"/>
              <w:autoSpaceDN w:val="0"/>
              <w:ind w:left="287"/>
              <w:rPr>
                <w:sz w:val="22"/>
                <w:szCs w:val="22"/>
                <w:lang w:val="sr-Latn-RS"/>
              </w:rPr>
            </w:pPr>
            <w:r w:rsidRPr="00667453">
              <w:rPr>
                <w:sz w:val="22"/>
                <w:szCs w:val="22"/>
                <w:lang w:val="sr-Latn-RS"/>
              </w:rPr>
              <w:t>Razlika % (95% CI)</w:t>
            </w:r>
          </w:p>
        </w:tc>
        <w:tc>
          <w:tcPr>
            <w:tcW w:w="2715" w:type="dxa"/>
            <w:gridSpan w:val="2"/>
          </w:tcPr>
          <w:p w14:paraId="4BD2EEA2" w14:textId="77777777" w:rsidR="00745817" w:rsidRPr="00667453" w:rsidRDefault="00745817" w:rsidP="001B7C32">
            <w:pPr>
              <w:widowControl w:val="0"/>
              <w:autoSpaceDE w:val="0"/>
              <w:autoSpaceDN w:val="0"/>
              <w:ind w:left="796"/>
              <w:rPr>
                <w:sz w:val="22"/>
                <w:szCs w:val="22"/>
                <w:lang w:val="sr-Latn-RS"/>
              </w:rPr>
            </w:pPr>
            <w:r w:rsidRPr="00667453">
              <w:rPr>
                <w:sz w:val="22"/>
                <w:szCs w:val="22"/>
                <w:lang w:val="sr-Latn-RS"/>
              </w:rPr>
              <w:t>17,0 (7,2, 26,8)</w:t>
            </w:r>
          </w:p>
        </w:tc>
        <w:tc>
          <w:tcPr>
            <w:tcW w:w="2716" w:type="dxa"/>
            <w:gridSpan w:val="2"/>
          </w:tcPr>
          <w:p w14:paraId="76198DEC" w14:textId="77777777" w:rsidR="00745817" w:rsidRPr="00667453" w:rsidRDefault="00745817" w:rsidP="001B7C32">
            <w:pPr>
              <w:widowControl w:val="0"/>
              <w:autoSpaceDE w:val="0"/>
              <w:autoSpaceDN w:val="0"/>
              <w:ind w:left="799"/>
              <w:rPr>
                <w:sz w:val="22"/>
                <w:szCs w:val="22"/>
                <w:lang w:val="sr-Latn-RS"/>
              </w:rPr>
            </w:pPr>
            <w:r w:rsidRPr="00667453">
              <w:rPr>
                <w:sz w:val="22"/>
                <w:szCs w:val="22"/>
                <w:lang w:val="sr-Latn-RS"/>
              </w:rPr>
              <w:t>16,3 (6,3, 26,3)</w:t>
            </w:r>
          </w:p>
        </w:tc>
      </w:tr>
      <w:tr w:rsidR="00745817" w:rsidRPr="00667453" w14:paraId="1B4663D5" w14:textId="77777777" w:rsidTr="003B1C29">
        <w:tc>
          <w:tcPr>
            <w:tcW w:w="3632" w:type="dxa"/>
            <w:tcBorders>
              <w:bottom w:val="nil"/>
            </w:tcBorders>
          </w:tcPr>
          <w:p w14:paraId="710D25B6" w14:textId="77777777" w:rsidR="00745817" w:rsidRPr="00667453" w:rsidRDefault="00745817" w:rsidP="001B7C32">
            <w:pPr>
              <w:widowControl w:val="0"/>
              <w:autoSpaceDE w:val="0"/>
              <w:autoSpaceDN w:val="0"/>
              <w:ind w:left="110"/>
              <w:rPr>
                <w:sz w:val="22"/>
                <w:szCs w:val="22"/>
                <w:lang w:val="sr-Latn-RS"/>
              </w:rPr>
            </w:pPr>
            <w:r w:rsidRPr="00667453">
              <w:rPr>
                <w:sz w:val="22"/>
                <w:szCs w:val="22"/>
                <w:u w:val="single"/>
                <w:lang w:val="sr-Latn-RS"/>
              </w:rPr>
              <w:t>Komponente BICLA odgovora:</w:t>
            </w:r>
          </w:p>
        </w:tc>
        <w:tc>
          <w:tcPr>
            <w:tcW w:w="1656" w:type="dxa"/>
            <w:tcBorders>
              <w:bottom w:val="nil"/>
            </w:tcBorders>
          </w:tcPr>
          <w:p w14:paraId="206CAD35" w14:textId="77777777" w:rsidR="00745817" w:rsidRPr="00667453" w:rsidRDefault="00745817" w:rsidP="001B7C32">
            <w:pPr>
              <w:widowControl w:val="0"/>
              <w:autoSpaceDE w:val="0"/>
              <w:autoSpaceDN w:val="0"/>
              <w:rPr>
                <w:sz w:val="22"/>
                <w:szCs w:val="22"/>
                <w:lang w:val="sr-Latn-RS"/>
              </w:rPr>
            </w:pPr>
          </w:p>
        </w:tc>
        <w:tc>
          <w:tcPr>
            <w:tcW w:w="1059" w:type="dxa"/>
            <w:tcBorders>
              <w:bottom w:val="nil"/>
            </w:tcBorders>
          </w:tcPr>
          <w:p w14:paraId="043D87ED" w14:textId="77777777" w:rsidR="00745817" w:rsidRPr="00667453" w:rsidRDefault="00745817" w:rsidP="001B7C32">
            <w:pPr>
              <w:widowControl w:val="0"/>
              <w:autoSpaceDE w:val="0"/>
              <w:autoSpaceDN w:val="0"/>
              <w:rPr>
                <w:sz w:val="22"/>
                <w:szCs w:val="22"/>
                <w:lang w:val="sr-Latn-RS"/>
              </w:rPr>
            </w:pPr>
          </w:p>
        </w:tc>
        <w:tc>
          <w:tcPr>
            <w:tcW w:w="1659" w:type="dxa"/>
            <w:tcBorders>
              <w:bottom w:val="nil"/>
            </w:tcBorders>
          </w:tcPr>
          <w:p w14:paraId="47942F04" w14:textId="77777777" w:rsidR="00745817" w:rsidRPr="00667453" w:rsidRDefault="00745817" w:rsidP="001B7C32">
            <w:pPr>
              <w:widowControl w:val="0"/>
              <w:autoSpaceDE w:val="0"/>
              <w:autoSpaceDN w:val="0"/>
              <w:rPr>
                <w:sz w:val="22"/>
                <w:szCs w:val="22"/>
                <w:lang w:val="sr-Latn-RS"/>
              </w:rPr>
            </w:pPr>
          </w:p>
        </w:tc>
        <w:tc>
          <w:tcPr>
            <w:tcW w:w="1057" w:type="dxa"/>
            <w:tcBorders>
              <w:bottom w:val="nil"/>
            </w:tcBorders>
          </w:tcPr>
          <w:p w14:paraId="1ADC94D5" w14:textId="77777777" w:rsidR="00745817" w:rsidRPr="00667453" w:rsidRDefault="00745817" w:rsidP="001B7C32">
            <w:pPr>
              <w:widowControl w:val="0"/>
              <w:autoSpaceDE w:val="0"/>
              <w:autoSpaceDN w:val="0"/>
              <w:rPr>
                <w:sz w:val="22"/>
                <w:szCs w:val="22"/>
                <w:lang w:val="sr-Latn-RS"/>
              </w:rPr>
            </w:pPr>
          </w:p>
        </w:tc>
      </w:tr>
      <w:tr w:rsidR="00745817" w:rsidRPr="00667453" w14:paraId="2C72020C" w14:textId="77777777" w:rsidTr="003B1C29">
        <w:tc>
          <w:tcPr>
            <w:tcW w:w="3632" w:type="dxa"/>
            <w:tcBorders>
              <w:top w:val="nil"/>
              <w:bottom w:val="nil"/>
            </w:tcBorders>
          </w:tcPr>
          <w:p w14:paraId="76709B8C" w14:textId="77777777" w:rsidR="00745817" w:rsidRPr="00667453" w:rsidRDefault="00745817" w:rsidP="001B7C32">
            <w:pPr>
              <w:widowControl w:val="0"/>
              <w:autoSpaceDE w:val="0"/>
              <w:autoSpaceDN w:val="0"/>
              <w:ind w:left="110"/>
              <w:rPr>
                <w:sz w:val="22"/>
                <w:szCs w:val="22"/>
                <w:lang w:val="sr-Latn-RS"/>
              </w:rPr>
            </w:pPr>
            <w:r w:rsidRPr="00667453">
              <w:rPr>
                <w:sz w:val="22"/>
                <w:szCs w:val="22"/>
                <w:lang w:val="sr-Latn-RS"/>
              </w:rPr>
              <w:t xml:space="preserve">Poboljšanje BILAG, n (%) </w:t>
            </w:r>
            <w:r w:rsidRPr="00667453">
              <w:rPr>
                <w:sz w:val="22"/>
                <w:szCs w:val="22"/>
                <w:vertAlign w:val="superscript"/>
                <w:lang w:val="sr-Latn-RS"/>
              </w:rPr>
              <w:t>†</w:t>
            </w:r>
          </w:p>
        </w:tc>
        <w:tc>
          <w:tcPr>
            <w:tcW w:w="1656" w:type="dxa"/>
            <w:tcBorders>
              <w:top w:val="nil"/>
              <w:bottom w:val="nil"/>
            </w:tcBorders>
          </w:tcPr>
          <w:p w14:paraId="590C3A67" w14:textId="77777777" w:rsidR="00745817" w:rsidRPr="00667453" w:rsidRDefault="00745817" w:rsidP="001B7C32">
            <w:pPr>
              <w:widowControl w:val="0"/>
              <w:autoSpaceDE w:val="0"/>
              <w:autoSpaceDN w:val="0"/>
              <w:ind w:left="156"/>
              <w:jc w:val="center"/>
              <w:rPr>
                <w:sz w:val="22"/>
                <w:szCs w:val="22"/>
                <w:lang w:val="sr-Latn-RS"/>
              </w:rPr>
            </w:pPr>
            <w:r w:rsidRPr="00667453">
              <w:rPr>
                <w:sz w:val="22"/>
                <w:szCs w:val="22"/>
                <w:lang w:val="sr-Latn-RS"/>
              </w:rPr>
              <w:t>85 (47,2)</w:t>
            </w:r>
          </w:p>
        </w:tc>
        <w:tc>
          <w:tcPr>
            <w:tcW w:w="1059" w:type="dxa"/>
            <w:tcBorders>
              <w:top w:val="nil"/>
              <w:bottom w:val="nil"/>
            </w:tcBorders>
          </w:tcPr>
          <w:p w14:paraId="452954AA"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58 (31,5)</w:t>
            </w:r>
          </w:p>
        </w:tc>
        <w:tc>
          <w:tcPr>
            <w:tcW w:w="1659" w:type="dxa"/>
            <w:tcBorders>
              <w:top w:val="nil"/>
              <w:bottom w:val="nil"/>
            </w:tcBorders>
          </w:tcPr>
          <w:p w14:paraId="5DA1D007"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88 (48,9)</w:t>
            </w:r>
          </w:p>
        </w:tc>
        <w:tc>
          <w:tcPr>
            <w:tcW w:w="1057" w:type="dxa"/>
            <w:tcBorders>
              <w:top w:val="nil"/>
              <w:bottom w:val="nil"/>
            </w:tcBorders>
          </w:tcPr>
          <w:p w14:paraId="23B68751" w14:textId="77777777" w:rsidR="00745817" w:rsidRPr="00667453" w:rsidRDefault="00745817" w:rsidP="001B7C32">
            <w:pPr>
              <w:widowControl w:val="0"/>
              <w:autoSpaceDE w:val="0"/>
              <w:autoSpaceDN w:val="0"/>
              <w:ind w:left="132"/>
              <w:jc w:val="center"/>
              <w:rPr>
                <w:sz w:val="22"/>
                <w:szCs w:val="22"/>
                <w:lang w:val="sr-Latn-RS"/>
              </w:rPr>
            </w:pPr>
            <w:r w:rsidRPr="00667453">
              <w:rPr>
                <w:sz w:val="22"/>
                <w:szCs w:val="22"/>
                <w:lang w:val="sr-Latn-RS"/>
              </w:rPr>
              <w:t>59 (32,4)</w:t>
            </w:r>
          </w:p>
        </w:tc>
      </w:tr>
      <w:tr w:rsidR="00745817" w:rsidRPr="00667453" w14:paraId="3D46CA11" w14:textId="77777777" w:rsidTr="003B1C29">
        <w:tc>
          <w:tcPr>
            <w:tcW w:w="3632" w:type="dxa"/>
            <w:tcBorders>
              <w:top w:val="nil"/>
              <w:bottom w:val="nil"/>
            </w:tcBorders>
          </w:tcPr>
          <w:p w14:paraId="2CC5551C" w14:textId="77777777" w:rsidR="00745817" w:rsidRPr="00667453" w:rsidRDefault="00745817" w:rsidP="001B7C32">
            <w:pPr>
              <w:widowControl w:val="0"/>
              <w:autoSpaceDE w:val="0"/>
              <w:autoSpaceDN w:val="0"/>
              <w:ind w:left="110"/>
              <w:rPr>
                <w:sz w:val="22"/>
                <w:szCs w:val="22"/>
                <w:lang w:val="sr-Latn-RS"/>
              </w:rPr>
            </w:pPr>
            <w:r w:rsidRPr="00667453">
              <w:rPr>
                <w:sz w:val="22"/>
                <w:szCs w:val="22"/>
                <w:lang w:val="sr-Latn-RS"/>
              </w:rPr>
              <w:t xml:space="preserve">Bez pogoršanja SLEDAI-2K, n (%) </w:t>
            </w:r>
            <w:r w:rsidRPr="00667453">
              <w:rPr>
                <w:sz w:val="22"/>
                <w:szCs w:val="22"/>
                <w:vertAlign w:val="superscript"/>
                <w:lang w:val="sr-Latn-RS"/>
              </w:rPr>
              <w:t>†</w:t>
            </w:r>
          </w:p>
        </w:tc>
        <w:tc>
          <w:tcPr>
            <w:tcW w:w="1656" w:type="dxa"/>
            <w:tcBorders>
              <w:top w:val="nil"/>
              <w:bottom w:val="nil"/>
            </w:tcBorders>
          </w:tcPr>
          <w:p w14:paraId="295EE957" w14:textId="77777777" w:rsidR="00745817" w:rsidRPr="00667453" w:rsidRDefault="00745817" w:rsidP="001B7C32">
            <w:pPr>
              <w:widowControl w:val="0"/>
              <w:autoSpaceDE w:val="0"/>
              <w:autoSpaceDN w:val="0"/>
              <w:ind w:left="151"/>
              <w:jc w:val="center"/>
              <w:rPr>
                <w:sz w:val="22"/>
                <w:szCs w:val="22"/>
                <w:lang w:val="sr-Latn-RS"/>
              </w:rPr>
            </w:pPr>
            <w:r w:rsidRPr="00667453">
              <w:rPr>
                <w:sz w:val="22"/>
                <w:szCs w:val="22"/>
                <w:lang w:val="sr-Latn-RS"/>
              </w:rPr>
              <w:t>121 (67,2)</w:t>
            </w:r>
          </w:p>
        </w:tc>
        <w:tc>
          <w:tcPr>
            <w:tcW w:w="1059" w:type="dxa"/>
            <w:tcBorders>
              <w:top w:val="nil"/>
              <w:bottom w:val="nil"/>
            </w:tcBorders>
          </w:tcPr>
          <w:p w14:paraId="392A8419"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104 (56,5)</w:t>
            </w:r>
          </w:p>
        </w:tc>
        <w:tc>
          <w:tcPr>
            <w:tcW w:w="1659" w:type="dxa"/>
            <w:tcBorders>
              <w:top w:val="nil"/>
              <w:bottom w:val="nil"/>
            </w:tcBorders>
          </w:tcPr>
          <w:p w14:paraId="2F1A9697"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122 (67,8)</w:t>
            </w:r>
          </w:p>
        </w:tc>
        <w:tc>
          <w:tcPr>
            <w:tcW w:w="1057" w:type="dxa"/>
            <w:tcBorders>
              <w:top w:val="nil"/>
              <w:bottom w:val="nil"/>
            </w:tcBorders>
          </w:tcPr>
          <w:p w14:paraId="2A0FDABA" w14:textId="77777777" w:rsidR="00745817" w:rsidRPr="00667453" w:rsidRDefault="00745817" w:rsidP="001B7C32">
            <w:pPr>
              <w:widowControl w:val="0"/>
              <w:autoSpaceDE w:val="0"/>
              <w:autoSpaceDN w:val="0"/>
              <w:ind w:left="132"/>
              <w:jc w:val="center"/>
              <w:rPr>
                <w:sz w:val="22"/>
                <w:szCs w:val="22"/>
                <w:lang w:val="sr-Latn-RS"/>
              </w:rPr>
            </w:pPr>
            <w:r w:rsidRPr="00667453">
              <w:rPr>
                <w:sz w:val="22"/>
                <w:szCs w:val="22"/>
                <w:lang w:val="sr-Latn-RS"/>
              </w:rPr>
              <w:t>94 (51,6)</w:t>
            </w:r>
          </w:p>
        </w:tc>
      </w:tr>
      <w:tr w:rsidR="00745817" w:rsidRPr="00667453" w14:paraId="4D8050C4" w14:textId="77777777" w:rsidTr="003B1C29">
        <w:tc>
          <w:tcPr>
            <w:tcW w:w="3632" w:type="dxa"/>
            <w:tcBorders>
              <w:top w:val="nil"/>
              <w:bottom w:val="nil"/>
            </w:tcBorders>
          </w:tcPr>
          <w:p w14:paraId="5FC2C65D" w14:textId="77777777" w:rsidR="00745817" w:rsidRPr="00667453" w:rsidRDefault="00745817" w:rsidP="001B7C32">
            <w:pPr>
              <w:widowControl w:val="0"/>
              <w:autoSpaceDE w:val="0"/>
              <w:autoSpaceDN w:val="0"/>
              <w:ind w:left="110"/>
              <w:rPr>
                <w:sz w:val="22"/>
                <w:szCs w:val="22"/>
                <w:lang w:val="sr-Latn-RS"/>
              </w:rPr>
            </w:pPr>
            <w:r w:rsidRPr="00667453">
              <w:rPr>
                <w:sz w:val="22"/>
                <w:szCs w:val="22"/>
                <w:lang w:val="sr-Latn-RS"/>
              </w:rPr>
              <w:t xml:space="preserve">Bez pogoršanja PGA, n (%) </w:t>
            </w:r>
            <w:r w:rsidRPr="00667453">
              <w:rPr>
                <w:sz w:val="22"/>
                <w:szCs w:val="22"/>
                <w:vertAlign w:val="superscript"/>
                <w:lang w:val="sr-Latn-RS"/>
              </w:rPr>
              <w:t>†</w:t>
            </w:r>
          </w:p>
        </w:tc>
        <w:tc>
          <w:tcPr>
            <w:tcW w:w="1656" w:type="dxa"/>
            <w:tcBorders>
              <w:top w:val="nil"/>
              <w:bottom w:val="nil"/>
            </w:tcBorders>
          </w:tcPr>
          <w:p w14:paraId="4E40D5F8" w14:textId="77777777" w:rsidR="00745817" w:rsidRPr="00667453" w:rsidRDefault="00745817" w:rsidP="001B7C32">
            <w:pPr>
              <w:widowControl w:val="0"/>
              <w:autoSpaceDE w:val="0"/>
              <w:autoSpaceDN w:val="0"/>
              <w:ind w:left="151"/>
              <w:jc w:val="center"/>
              <w:rPr>
                <w:sz w:val="22"/>
                <w:szCs w:val="22"/>
                <w:lang w:val="sr-Latn-RS"/>
              </w:rPr>
            </w:pPr>
            <w:r w:rsidRPr="00667453">
              <w:rPr>
                <w:sz w:val="22"/>
                <w:szCs w:val="22"/>
                <w:lang w:val="sr-Latn-RS"/>
              </w:rPr>
              <w:t>117 (65,0)</w:t>
            </w:r>
          </w:p>
        </w:tc>
        <w:tc>
          <w:tcPr>
            <w:tcW w:w="1059" w:type="dxa"/>
            <w:tcBorders>
              <w:top w:val="nil"/>
              <w:bottom w:val="nil"/>
            </w:tcBorders>
          </w:tcPr>
          <w:p w14:paraId="285D726C"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105 (57,1)</w:t>
            </w:r>
          </w:p>
        </w:tc>
        <w:tc>
          <w:tcPr>
            <w:tcW w:w="1659" w:type="dxa"/>
            <w:tcBorders>
              <w:top w:val="nil"/>
              <w:bottom w:val="nil"/>
            </w:tcBorders>
          </w:tcPr>
          <w:p w14:paraId="23FB5F38"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122 (67,8)</w:t>
            </w:r>
          </w:p>
        </w:tc>
        <w:tc>
          <w:tcPr>
            <w:tcW w:w="1057" w:type="dxa"/>
            <w:tcBorders>
              <w:top w:val="nil"/>
              <w:bottom w:val="nil"/>
            </w:tcBorders>
          </w:tcPr>
          <w:p w14:paraId="7D80B3D8" w14:textId="77777777" w:rsidR="00745817" w:rsidRPr="00667453" w:rsidRDefault="00745817" w:rsidP="001B7C32">
            <w:pPr>
              <w:widowControl w:val="0"/>
              <w:autoSpaceDE w:val="0"/>
              <w:autoSpaceDN w:val="0"/>
              <w:ind w:left="132"/>
              <w:jc w:val="center"/>
              <w:rPr>
                <w:sz w:val="22"/>
                <w:szCs w:val="22"/>
                <w:lang w:val="sr-Latn-RS"/>
              </w:rPr>
            </w:pPr>
            <w:r w:rsidRPr="00667453">
              <w:rPr>
                <w:sz w:val="22"/>
                <w:szCs w:val="22"/>
                <w:lang w:val="sr-Latn-RS"/>
              </w:rPr>
              <w:t>95 (52,2)</w:t>
            </w:r>
          </w:p>
        </w:tc>
      </w:tr>
      <w:tr w:rsidR="00745817" w:rsidRPr="00667453" w14:paraId="522CA31E" w14:textId="77777777" w:rsidTr="003B1C29">
        <w:tc>
          <w:tcPr>
            <w:tcW w:w="3632" w:type="dxa"/>
            <w:tcBorders>
              <w:top w:val="nil"/>
              <w:bottom w:val="nil"/>
            </w:tcBorders>
          </w:tcPr>
          <w:p w14:paraId="4EA74D3D" w14:textId="77777777" w:rsidR="00745817" w:rsidRPr="00667453" w:rsidRDefault="00745817" w:rsidP="001B7C32">
            <w:pPr>
              <w:widowControl w:val="0"/>
              <w:autoSpaceDE w:val="0"/>
              <w:autoSpaceDN w:val="0"/>
              <w:ind w:left="110"/>
              <w:rPr>
                <w:sz w:val="22"/>
                <w:szCs w:val="22"/>
                <w:lang w:val="sr-Latn-RS"/>
              </w:rPr>
            </w:pPr>
            <w:r w:rsidRPr="00667453">
              <w:rPr>
                <w:sz w:val="22"/>
                <w:szCs w:val="22"/>
                <w:lang w:val="sr-Latn-RS"/>
              </w:rPr>
              <w:t>Bez prekida terapije, n (%)</w:t>
            </w:r>
          </w:p>
        </w:tc>
        <w:tc>
          <w:tcPr>
            <w:tcW w:w="1656" w:type="dxa"/>
            <w:tcBorders>
              <w:top w:val="nil"/>
              <w:bottom w:val="nil"/>
            </w:tcBorders>
          </w:tcPr>
          <w:p w14:paraId="034AF56E" w14:textId="77777777" w:rsidR="00745817" w:rsidRPr="00667453" w:rsidRDefault="00745817" w:rsidP="001B7C32">
            <w:pPr>
              <w:widowControl w:val="0"/>
              <w:autoSpaceDE w:val="0"/>
              <w:autoSpaceDN w:val="0"/>
              <w:ind w:left="151"/>
              <w:jc w:val="center"/>
              <w:rPr>
                <w:sz w:val="22"/>
                <w:szCs w:val="22"/>
                <w:lang w:val="sr-Latn-RS"/>
              </w:rPr>
            </w:pPr>
            <w:r w:rsidRPr="00667453">
              <w:rPr>
                <w:sz w:val="22"/>
                <w:szCs w:val="22"/>
                <w:lang w:val="sr-Latn-RS"/>
              </w:rPr>
              <w:t>145 (80,6)</w:t>
            </w:r>
          </w:p>
        </w:tc>
        <w:tc>
          <w:tcPr>
            <w:tcW w:w="1059" w:type="dxa"/>
            <w:tcBorders>
              <w:top w:val="nil"/>
              <w:bottom w:val="nil"/>
            </w:tcBorders>
          </w:tcPr>
          <w:p w14:paraId="6DB62F63"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146 (79,3)</w:t>
            </w:r>
          </w:p>
        </w:tc>
        <w:tc>
          <w:tcPr>
            <w:tcW w:w="1659" w:type="dxa"/>
            <w:tcBorders>
              <w:top w:val="nil"/>
              <w:bottom w:val="nil"/>
            </w:tcBorders>
          </w:tcPr>
          <w:p w14:paraId="0144CC2D"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153 (85,0)</w:t>
            </w:r>
          </w:p>
        </w:tc>
        <w:tc>
          <w:tcPr>
            <w:tcW w:w="1057" w:type="dxa"/>
            <w:tcBorders>
              <w:top w:val="nil"/>
              <w:bottom w:val="nil"/>
            </w:tcBorders>
          </w:tcPr>
          <w:p w14:paraId="4759916B"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130 (71,4)</w:t>
            </w:r>
          </w:p>
        </w:tc>
      </w:tr>
      <w:tr w:rsidR="00745817" w:rsidRPr="00667453" w14:paraId="639E3594" w14:textId="77777777" w:rsidTr="003B1C29">
        <w:tc>
          <w:tcPr>
            <w:tcW w:w="3632" w:type="dxa"/>
            <w:tcBorders>
              <w:top w:val="nil"/>
            </w:tcBorders>
          </w:tcPr>
          <w:p w14:paraId="157A94C3" w14:textId="1D4BD149" w:rsidR="00745817" w:rsidRPr="00667453" w:rsidRDefault="00745817" w:rsidP="001B7C32">
            <w:pPr>
              <w:widowControl w:val="0"/>
              <w:autoSpaceDE w:val="0"/>
              <w:autoSpaceDN w:val="0"/>
              <w:ind w:left="110"/>
              <w:rPr>
                <w:sz w:val="22"/>
                <w:szCs w:val="22"/>
                <w:lang w:val="sr-Latn-RS"/>
              </w:rPr>
            </w:pPr>
            <w:r w:rsidRPr="00667453">
              <w:rPr>
                <w:sz w:val="22"/>
                <w:szCs w:val="22"/>
                <w:lang w:val="sr-Latn-RS"/>
              </w:rPr>
              <w:t xml:space="preserve">Bez primjene ograničenih ljekova u </w:t>
            </w:r>
            <w:r w:rsidR="006416F2" w:rsidRPr="00667453">
              <w:rPr>
                <w:sz w:val="22"/>
                <w:szCs w:val="22"/>
                <w:lang w:val="sr-Latn-RS"/>
              </w:rPr>
              <w:t>mjeri</w:t>
            </w:r>
            <w:r w:rsidRPr="00667453">
              <w:rPr>
                <w:sz w:val="22"/>
                <w:szCs w:val="22"/>
                <w:lang w:val="sr-Latn-RS"/>
              </w:rPr>
              <w:t xml:space="preserve"> većoj od one dozvoljene protokolom, n (%)</w:t>
            </w:r>
          </w:p>
        </w:tc>
        <w:tc>
          <w:tcPr>
            <w:tcW w:w="1656" w:type="dxa"/>
            <w:tcBorders>
              <w:top w:val="nil"/>
            </w:tcBorders>
          </w:tcPr>
          <w:p w14:paraId="1AA9AEAB" w14:textId="77777777" w:rsidR="00745817" w:rsidRPr="00667453" w:rsidRDefault="00745817" w:rsidP="001B7C32">
            <w:pPr>
              <w:widowControl w:val="0"/>
              <w:autoSpaceDE w:val="0"/>
              <w:autoSpaceDN w:val="0"/>
              <w:ind w:left="151"/>
              <w:jc w:val="center"/>
              <w:rPr>
                <w:sz w:val="22"/>
                <w:szCs w:val="22"/>
                <w:lang w:val="sr-Latn-RS"/>
              </w:rPr>
            </w:pPr>
            <w:r w:rsidRPr="00667453">
              <w:rPr>
                <w:sz w:val="22"/>
                <w:szCs w:val="22"/>
                <w:lang w:val="sr-Latn-RS"/>
              </w:rPr>
              <w:t>140 (77,8)</w:t>
            </w:r>
          </w:p>
        </w:tc>
        <w:tc>
          <w:tcPr>
            <w:tcW w:w="1059" w:type="dxa"/>
            <w:tcBorders>
              <w:top w:val="nil"/>
            </w:tcBorders>
          </w:tcPr>
          <w:p w14:paraId="7A9EA7F1"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128 (69,6)</w:t>
            </w:r>
          </w:p>
        </w:tc>
        <w:tc>
          <w:tcPr>
            <w:tcW w:w="1659" w:type="dxa"/>
            <w:tcBorders>
              <w:top w:val="nil"/>
            </w:tcBorders>
          </w:tcPr>
          <w:p w14:paraId="339DAFE1"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144 (80,0)</w:t>
            </w:r>
          </w:p>
        </w:tc>
        <w:tc>
          <w:tcPr>
            <w:tcW w:w="1057" w:type="dxa"/>
            <w:tcBorders>
              <w:top w:val="nil"/>
            </w:tcBorders>
          </w:tcPr>
          <w:p w14:paraId="437110CC"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123 (67,6)</w:t>
            </w:r>
          </w:p>
        </w:tc>
      </w:tr>
      <w:tr w:rsidR="00745817" w:rsidRPr="00667453" w14:paraId="3315B1EC" w14:textId="77777777" w:rsidTr="003B1C29">
        <w:tc>
          <w:tcPr>
            <w:tcW w:w="3632" w:type="dxa"/>
            <w:vMerge w:val="restart"/>
          </w:tcPr>
          <w:p w14:paraId="3B3FDCF6" w14:textId="77777777" w:rsidR="00745817" w:rsidRPr="00667453" w:rsidRDefault="00745817" w:rsidP="001B7C32">
            <w:pPr>
              <w:widowControl w:val="0"/>
              <w:autoSpaceDE w:val="0"/>
              <w:autoSpaceDN w:val="0"/>
              <w:rPr>
                <w:sz w:val="22"/>
                <w:szCs w:val="22"/>
                <w:lang w:val="sr-Latn-RS"/>
              </w:rPr>
            </w:pPr>
          </w:p>
        </w:tc>
        <w:tc>
          <w:tcPr>
            <w:tcW w:w="2715" w:type="dxa"/>
            <w:gridSpan w:val="2"/>
          </w:tcPr>
          <w:p w14:paraId="1C0C9E1D" w14:textId="77777777" w:rsidR="00745817" w:rsidRPr="00667453" w:rsidRDefault="00745817" w:rsidP="001B7C32">
            <w:pPr>
              <w:widowControl w:val="0"/>
              <w:autoSpaceDE w:val="0"/>
              <w:autoSpaceDN w:val="0"/>
              <w:ind w:left="1099"/>
              <w:jc w:val="center"/>
              <w:rPr>
                <w:b/>
                <w:sz w:val="22"/>
                <w:szCs w:val="22"/>
                <w:lang w:val="sr-Latn-RS"/>
              </w:rPr>
            </w:pPr>
            <w:r w:rsidRPr="00667453">
              <w:rPr>
                <w:b/>
                <w:bCs/>
                <w:sz w:val="22"/>
                <w:szCs w:val="22"/>
                <w:lang w:val="sr-Latn-RS"/>
              </w:rPr>
              <w:t>Ispitivanje 1</w:t>
            </w:r>
          </w:p>
        </w:tc>
        <w:tc>
          <w:tcPr>
            <w:tcW w:w="2716" w:type="dxa"/>
            <w:gridSpan w:val="2"/>
          </w:tcPr>
          <w:p w14:paraId="2B1A82B9" w14:textId="77777777" w:rsidR="00745817" w:rsidRPr="00667453" w:rsidRDefault="00745817" w:rsidP="001B7C32">
            <w:pPr>
              <w:widowControl w:val="0"/>
              <w:autoSpaceDE w:val="0"/>
              <w:autoSpaceDN w:val="0"/>
              <w:ind w:left="1106"/>
              <w:jc w:val="center"/>
              <w:rPr>
                <w:b/>
                <w:sz w:val="22"/>
                <w:szCs w:val="22"/>
                <w:lang w:val="sr-Latn-RS"/>
              </w:rPr>
            </w:pPr>
            <w:r w:rsidRPr="00667453">
              <w:rPr>
                <w:b/>
                <w:bCs/>
                <w:sz w:val="22"/>
                <w:szCs w:val="22"/>
                <w:lang w:val="sr-Latn-RS"/>
              </w:rPr>
              <w:t>Ispitivanje 2</w:t>
            </w:r>
          </w:p>
        </w:tc>
      </w:tr>
      <w:tr w:rsidR="00745817" w:rsidRPr="00667453" w14:paraId="6B721681" w14:textId="77777777" w:rsidTr="003B1C29">
        <w:tc>
          <w:tcPr>
            <w:tcW w:w="3632" w:type="dxa"/>
            <w:vMerge/>
            <w:tcBorders>
              <w:top w:val="nil"/>
            </w:tcBorders>
          </w:tcPr>
          <w:p w14:paraId="625785D8" w14:textId="77777777" w:rsidR="00745817" w:rsidRPr="00667453" w:rsidRDefault="00745817" w:rsidP="001B7C32">
            <w:pPr>
              <w:widowControl w:val="0"/>
              <w:autoSpaceDE w:val="0"/>
              <w:autoSpaceDN w:val="0"/>
              <w:rPr>
                <w:sz w:val="22"/>
                <w:szCs w:val="22"/>
                <w:lang w:val="sr-Latn-RS"/>
              </w:rPr>
            </w:pPr>
          </w:p>
        </w:tc>
        <w:tc>
          <w:tcPr>
            <w:tcW w:w="1656" w:type="dxa"/>
          </w:tcPr>
          <w:p w14:paraId="52B6AAE0" w14:textId="77777777" w:rsidR="00745817" w:rsidRPr="00667453" w:rsidRDefault="00745817" w:rsidP="001B7C32">
            <w:pPr>
              <w:widowControl w:val="0"/>
              <w:autoSpaceDE w:val="0"/>
              <w:autoSpaceDN w:val="0"/>
              <w:ind w:left="407" w:hanging="245"/>
              <w:rPr>
                <w:b/>
                <w:sz w:val="22"/>
                <w:szCs w:val="22"/>
                <w:lang w:val="sr-Latn-RS"/>
              </w:rPr>
            </w:pPr>
            <w:r w:rsidRPr="00667453">
              <w:rPr>
                <w:b/>
                <w:bCs/>
                <w:sz w:val="22"/>
                <w:szCs w:val="22"/>
                <w:lang w:val="sr-Latn-RS"/>
              </w:rPr>
              <w:t>Anifrolumab 300 mg</w:t>
            </w:r>
          </w:p>
        </w:tc>
        <w:tc>
          <w:tcPr>
            <w:tcW w:w="1059" w:type="dxa"/>
          </w:tcPr>
          <w:p w14:paraId="44C6336F" w14:textId="77777777" w:rsidR="00745817" w:rsidRPr="00667453" w:rsidRDefault="00745817" w:rsidP="001B7C32">
            <w:pPr>
              <w:widowControl w:val="0"/>
              <w:autoSpaceDE w:val="0"/>
              <w:autoSpaceDN w:val="0"/>
              <w:ind w:left="134"/>
              <w:jc w:val="center"/>
              <w:rPr>
                <w:b/>
                <w:sz w:val="22"/>
                <w:szCs w:val="22"/>
                <w:lang w:val="sr-Latn-RS"/>
              </w:rPr>
            </w:pPr>
            <w:r w:rsidRPr="00667453">
              <w:rPr>
                <w:b/>
                <w:bCs/>
                <w:sz w:val="22"/>
                <w:szCs w:val="22"/>
                <w:lang w:val="sr-Latn-RS"/>
              </w:rPr>
              <w:t>Placebo</w:t>
            </w:r>
          </w:p>
        </w:tc>
        <w:tc>
          <w:tcPr>
            <w:tcW w:w="1659" w:type="dxa"/>
          </w:tcPr>
          <w:p w14:paraId="02AFFDEC" w14:textId="77777777" w:rsidR="00745817" w:rsidRPr="00667453" w:rsidRDefault="00745817" w:rsidP="001B7C32">
            <w:pPr>
              <w:widowControl w:val="0"/>
              <w:autoSpaceDE w:val="0"/>
              <w:autoSpaceDN w:val="0"/>
              <w:ind w:left="410" w:hanging="245"/>
              <w:rPr>
                <w:b/>
                <w:sz w:val="22"/>
                <w:szCs w:val="22"/>
                <w:lang w:val="sr-Latn-RS"/>
              </w:rPr>
            </w:pPr>
            <w:r w:rsidRPr="00667453">
              <w:rPr>
                <w:b/>
                <w:bCs/>
                <w:sz w:val="22"/>
                <w:szCs w:val="22"/>
                <w:lang w:val="sr-Latn-RS"/>
              </w:rPr>
              <w:t>Anifrolumab 300 mg</w:t>
            </w:r>
          </w:p>
        </w:tc>
        <w:tc>
          <w:tcPr>
            <w:tcW w:w="1057" w:type="dxa"/>
          </w:tcPr>
          <w:p w14:paraId="34ACFCFC" w14:textId="77777777" w:rsidR="00745817" w:rsidRPr="00667453" w:rsidRDefault="00745817" w:rsidP="001B7C32">
            <w:pPr>
              <w:widowControl w:val="0"/>
              <w:autoSpaceDE w:val="0"/>
              <w:autoSpaceDN w:val="0"/>
              <w:ind w:left="132"/>
              <w:jc w:val="center"/>
              <w:rPr>
                <w:b/>
                <w:sz w:val="22"/>
                <w:szCs w:val="22"/>
                <w:lang w:val="sr-Latn-RS"/>
              </w:rPr>
            </w:pPr>
            <w:r w:rsidRPr="00667453">
              <w:rPr>
                <w:b/>
                <w:bCs/>
                <w:sz w:val="22"/>
                <w:szCs w:val="22"/>
                <w:lang w:val="sr-Latn-RS"/>
              </w:rPr>
              <w:t>Placebo</w:t>
            </w:r>
          </w:p>
        </w:tc>
      </w:tr>
      <w:tr w:rsidR="00745817" w:rsidRPr="00667453" w14:paraId="41045E88" w14:textId="77777777" w:rsidTr="003B1C29">
        <w:tc>
          <w:tcPr>
            <w:tcW w:w="9063" w:type="dxa"/>
            <w:gridSpan w:val="5"/>
          </w:tcPr>
          <w:p w14:paraId="12D6443C" w14:textId="0EF8C72A" w:rsidR="00745817" w:rsidRPr="00667453" w:rsidRDefault="00745817" w:rsidP="001B7C32">
            <w:pPr>
              <w:widowControl w:val="0"/>
              <w:autoSpaceDE w:val="0"/>
              <w:autoSpaceDN w:val="0"/>
              <w:ind w:left="110"/>
              <w:rPr>
                <w:b/>
                <w:sz w:val="22"/>
                <w:szCs w:val="22"/>
                <w:lang w:val="sr-Latn-RS"/>
              </w:rPr>
            </w:pPr>
            <w:r w:rsidRPr="00667453">
              <w:rPr>
                <w:b/>
                <w:bCs/>
                <w:sz w:val="22"/>
                <w:szCs w:val="22"/>
                <w:lang w:val="sr-Latn-RS"/>
              </w:rPr>
              <w:t>SRI-4 odgovor u 52. ned</w:t>
            </w:r>
            <w:r w:rsidR="00112DD8" w:rsidRPr="00667453">
              <w:rPr>
                <w:b/>
                <w:bCs/>
                <w:sz w:val="22"/>
                <w:szCs w:val="22"/>
                <w:lang w:val="sr-Latn-RS"/>
              </w:rPr>
              <w:t>j</w:t>
            </w:r>
            <w:r w:rsidRPr="00667453">
              <w:rPr>
                <w:b/>
                <w:bCs/>
                <w:sz w:val="22"/>
                <w:szCs w:val="22"/>
                <w:lang w:val="sr-Latn-RS"/>
              </w:rPr>
              <w:t>elji*</w:t>
            </w:r>
          </w:p>
        </w:tc>
      </w:tr>
      <w:tr w:rsidR="00745817" w:rsidRPr="00667453" w14:paraId="379C3E2F" w14:textId="77777777" w:rsidTr="003B1C29">
        <w:tc>
          <w:tcPr>
            <w:tcW w:w="3632" w:type="dxa"/>
          </w:tcPr>
          <w:p w14:paraId="5FAB4BBD" w14:textId="77777777" w:rsidR="00745817" w:rsidRPr="00667453" w:rsidRDefault="00745817" w:rsidP="001B7C32">
            <w:pPr>
              <w:widowControl w:val="0"/>
              <w:autoSpaceDE w:val="0"/>
              <w:autoSpaceDN w:val="0"/>
              <w:ind w:left="287"/>
              <w:rPr>
                <w:b/>
                <w:sz w:val="22"/>
                <w:szCs w:val="22"/>
                <w:lang w:val="sr-Latn-RS"/>
              </w:rPr>
            </w:pPr>
            <w:r w:rsidRPr="00667453">
              <w:rPr>
                <w:sz w:val="22"/>
                <w:szCs w:val="22"/>
                <w:lang w:val="sr-Latn-RS"/>
              </w:rPr>
              <w:t xml:space="preserve">Stopa odgovora, % (n/N) </w:t>
            </w:r>
            <w:r w:rsidRPr="00667453">
              <w:rPr>
                <w:b/>
                <w:bCs/>
                <w:sz w:val="22"/>
                <w:szCs w:val="22"/>
                <w:vertAlign w:val="superscript"/>
                <w:lang w:val="sr-Latn-RS"/>
              </w:rPr>
              <w:t>†</w:t>
            </w:r>
          </w:p>
        </w:tc>
        <w:tc>
          <w:tcPr>
            <w:tcW w:w="1656" w:type="dxa"/>
          </w:tcPr>
          <w:p w14:paraId="498584AD" w14:textId="77777777" w:rsidR="00745817" w:rsidRPr="00667453" w:rsidRDefault="00745817" w:rsidP="001B7C32">
            <w:pPr>
              <w:widowControl w:val="0"/>
              <w:autoSpaceDE w:val="0"/>
              <w:autoSpaceDN w:val="0"/>
              <w:ind w:left="156"/>
              <w:jc w:val="center"/>
              <w:rPr>
                <w:sz w:val="22"/>
                <w:szCs w:val="22"/>
                <w:lang w:val="sr-Latn-RS"/>
              </w:rPr>
            </w:pPr>
            <w:r w:rsidRPr="00667453">
              <w:rPr>
                <w:sz w:val="22"/>
                <w:szCs w:val="22"/>
                <w:lang w:val="sr-Latn-RS"/>
              </w:rPr>
              <w:t>49,0 (88/180)</w:t>
            </w:r>
          </w:p>
        </w:tc>
        <w:tc>
          <w:tcPr>
            <w:tcW w:w="1059" w:type="dxa"/>
          </w:tcPr>
          <w:p w14:paraId="223FB3B8"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43,0 (79/184)</w:t>
            </w:r>
          </w:p>
        </w:tc>
        <w:tc>
          <w:tcPr>
            <w:tcW w:w="1659" w:type="dxa"/>
          </w:tcPr>
          <w:p w14:paraId="00DE6FA4"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55,5 (100/180)</w:t>
            </w:r>
          </w:p>
        </w:tc>
        <w:tc>
          <w:tcPr>
            <w:tcW w:w="1057" w:type="dxa"/>
          </w:tcPr>
          <w:p w14:paraId="706D993A" w14:textId="77777777" w:rsidR="00745817" w:rsidRPr="00667453" w:rsidRDefault="00745817" w:rsidP="001B7C32">
            <w:pPr>
              <w:widowControl w:val="0"/>
              <w:autoSpaceDE w:val="0"/>
              <w:autoSpaceDN w:val="0"/>
              <w:ind w:left="132"/>
              <w:jc w:val="center"/>
              <w:rPr>
                <w:sz w:val="22"/>
                <w:szCs w:val="22"/>
                <w:lang w:val="sr-Latn-RS"/>
              </w:rPr>
            </w:pPr>
            <w:r w:rsidRPr="00667453">
              <w:rPr>
                <w:sz w:val="22"/>
                <w:szCs w:val="22"/>
                <w:lang w:val="sr-Latn-RS"/>
              </w:rPr>
              <w:t>37,3 (68/182)</w:t>
            </w:r>
          </w:p>
        </w:tc>
      </w:tr>
      <w:tr w:rsidR="00745817" w:rsidRPr="00667453" w14:paraId="16499910" w14:textId="77777777" w:rsidTr="003B1C29">
        <w:tc>
          <w:tcPr>
            <w:tcW w:w="3632" w:type="dxa"/>
          </w:tcPr>
          <w:p w14:paraId="000A56B0" w14:textId="77777777" w:rsidR="00745817" w:rsidRPr="00667453" w:rsidRDefault="00745817" w:rsidP="001B7C32">
            <w:pPr>
              <w:widowControl w:val="0"/>
              <w:autoSpaceDE w:val="0"/>
              <w:autoSpaceDN w:val="0"/>
              <w:ind w:left="287"/>
              <w:rPr>
                <w:sz w:val="22"/>
                <w:szCs w:val="22"/>
                <w:lang w:val="sr-Latn-RS"/>
              </w:rPr>
            </w:pPr>
            <w:r w:rsidRPr="00667453">
              <w:rPr>
                <w:sz w:val="22"/>
                <w:szCs w:val="22"/>
                <w:lang w:val="sr-Latn-RS"/>
              </w:rPr>
              <w:t>Razlika % (95% CI)</w:t>
            </w:r>
          </w:p>
        </w:tc>
        <w:tc>
          <w:tcPr>
            <w:tcW w:w="2715" w:type="dxa"/>
            <w:gridSpan w:val="2"/>
          </w:tcPr>
          <w:p w14:paraId="27AC4799" w14:textId="77777777" w:rsidR="00745817" w:rsidRPr="00667453" w:rsidRDefault="00745817" w:rsidP="001B7C32">
            <w:pPr>
              <w:widowControl w:val="0"/>
              <w:autoSpaceDE w:val="0"/>
              <w:autoSpaceDN w:val="0"/>
              <w:ind w:left="810"/>
              <w:rPr>
                <w:sz w:val="22"/>
                <w:szCs w:val="22"/>
                <w:lang w:val="sr-Latn-RS"/>
              </w:rPr>
            </w:pPr>
            <w:r w:rsidRPr="00667453">
              <w:rPr>
                <w:sz w:val="22"/>
                <w:szCs w:val="22"/>
                <w:lang w:val="sr-Latn-RS"/>
              </w:rPr>
              <w:t>6,0 (-4,2, 16,2)</w:t>
            </w:r>
          </w:p>
        </w:tc>
        <w:tc>
          <w:tcPr>
            <w:tcW w:w="2716" w:type="dxa"/>
            <w:gridSpan w:val="2"/>
          </w:tcPr>
          <w:p w14:paraId="17439220" w14:textId="77777777" w:rsidR="00745817" w:rsidRPr="00667453" w:rsidRDefault="00745817" w:rsidP="001B7C32">
            <w:pPr>
              <w:widowControl w:val="0"/>
              <w:autoSpaceDE w:val="0"/>
              <w:autoSpaceDN w:val="0"/>
              <w:ind w:left="799"/>
              <w:rPr>
                <w:sz w:val="22"/>
                <w:szCs w:val="22"/>
                <w:lang w:val="sr-Latn-RS"/>
              </w:rPr>
            </w:pPr>
            <w:r w:rsidRPr="00667453">
              <w:rPr>
                <w:sz w:val="22"/>
                <w:szCs w:val="22"/>
                <w:lang w:val="sr-Latn-RS"/>
              </w:rPr>
              <w:t>18,2 (8,1, 28,3)</w:t>
            </w:r>
          </w:p>
        </w:tc>
      </w:tr>
      <w:tr w:rsidR="00745817" w:rsidRPr="00667453" w14:paraId="2CC57F00" w14:textId="77777777" w:rsidTr="003B1C29">
        <w:tc>
          <w:tcPr>
            <w:tcW w:w="9063" w:type="dxa"/>
            <w:gridSpan w:val="5"/>
          </w:tcPr>
          <w:p w14:paraId="2081C093" w14:textId="77777777" w:rsidR="00745817" w:rsidRPr="00667453" w:rsidRDefault="00745817" w:rsidP="001B7C32">
            <w:pPr>
              <w:widowControl w:val="0"/>
              <w:autoSpaceDE w:val="0"/>
              <w:autoSpaceDN w:val="0"/>
              <w:ind w:left="110"/>
              <w:rPr>
                <w:b/>
                <w:sz w:val="22"/>
                <w:szCs w:val="22"/>
                <w:lang w:val="sr-Latn-RS"/>
              </w:rPr>
            </w:pPr>
            <w:r w:rsidRPr="00667453">
              <w:rPr>
                <w:b/>
                <w:bCs/>
                <w:sz w:val="22"/>
                <w:szCs w:val="22"/>
                <w:lang w:val="sr-Latn-RS"/>
              </w:rPr>
              <w:t xml:space="preserve">Održano smanjenje doze OKS </w:t>
            </w:r>
            <w:r w:rsidRPr="00667453">
              <w:rPr>
                <w:b/>
                <w:bCs/>
                <w:sz w:val="22"/>
                <w:szCs w:val="22"/>
                <w:vertAlign w:val="superscript"/>
                <w:lang w:val="sr-Latn-RS"/>
              </w:rPr>
              <w:t>‡</w:t>
            </w:r>
          </w:p>
        </w:tc>
      </w:tr>
      <w:tr w:rsidR="00745817" w:rsidRPr="00667453" w14:paraId="134D20CB" w14:textId="77777777" w:rsidTr="003B1C29">
        <w:tc>
          <w:tcPr>
            <w:tcW w:w="3632" w:type="dxa"/>
          </w:tcPr>
          <w:p w14:paraId="2FA5F44C" w14:textId="77777777" w:rsidR="00745817" w:rsidRPr="00667453" w:rsidRDefault="00745817" w:rsidP="001B7C32">
            <w:pPr>
              <w:widowControl w:val="0"/>
              <w:autoSpaceDE w:val="0"/>
              <w:autoSpaceDN w:val="0"/>
              <w:ind w:left="283"/>
              <w:rPr>
                <w:b/>
                <w:sz w:val="22"/>
                <w:szCs w:val="22"/>
                <w:lang w:val="sr-Latn-RS"/>
              </w:rPr>
            </w:pPr>
            <w:r w:rsidRPr="00667453">
              <w:rPr>
                <w:sz w:val="22"/>
                <w:szCs w:val="22"/>
                <w:lang w:val="sr-Latn-RS"/>
              </w:rPr>
              <w:t xml:space="preserve">Stopa odgovora, % (n/N) </w:t>
            </w:r>
            <w:r w:rsidRPr="00667453">
              <w:rPr>
                <w:b/>
                <w:bCs/>
                <w:sz w:val="22"/>
                <w:szCs w:val="22"/>
                <w:vertAlign w:val="superscript"/>
                <w:lang w:val="sr-Latn-RS"/>
              </w:rPr>
              <w:t>†</w:t>
            </w:r>
          </w:p>
        </w:tc>
        <w:tc>
          <w:tcPr>
            <w:tcW w:w="1656" w:type="dxa"/>
          </w:tcPr>
          <w:p w14:paraId="0C99E486" w14:textId="77777777" w:rsidR="00745817" w:rsidRPr="00667453" w:rsidRDefault="00745817" w:rsidP="001B7C32">
            <w:pPr>
              <w:widowControl w:val="0"/>
              <w:autoSpaceDE w:val="0"/>
              <w:autoSpaceDN w:val="0"/>
              <w:ind w:left="156"/>
              <w:jc w:val="center"/>
              <w:rPr>
                <w:sz w:val="22"/>
                <w:szCs w:val="22"/>
                <w:lang w:val="sr-Latn-RS"/>
              </w:rPr>
            </w:pPr>
            <w:r w:rsidRPr="00667453">
              <w:rPr>
                <w:sz w:val="22"/>
                <w:szCs w:val="22"/>
                <w:lang w:val="sr-Latn-RS"/>
              </w:rPr>
              <w:t>49,7 (51/103)</w:t>
            </w:r>
          </w:p>
        </w:tc>
        <w:tc>
          <w:tcPr>
            <w:tcW w:w="1059" w:type="dxa"/>
          </w:tcPr>
          <w:p w14:paraId="06E0A527"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33,1 (34/102)</w:t>
            </w:r>
          </w:p>
        </w:tc>
        <w:tc>
          <w:tcPr>
            <w:tcW w:w="1659" w:type="dxa"/>
          </w:tcPr>
          <w:p w14:paraId="732C6CAE"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51,5 (45/87)</w:t>
            </w:r>
          </w:p>
        </w:tc>
        <w:tc>
          <w:tcPr>
            <w:tcW w:w="1057" w:type="dxa"/>
          </w:tcPr>
          <w:p w14:paraId="0A52532A"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30,2 (25/83)</w:t>
            </w:r>
          </w:p>
        </w:tc>
      </w:tr>
      <w:tr w:rsidR="00745817" w:rsidRPr="00667453" w14:paraId="6C873AD3" w14:textId="77777777" w:rsidTr="003B1C29">
        <w:tc>
          <w:tcPr>
            <w:tcW w:w="3632" w:type="dxa"/>
          </w:tcPr>
          <w:p w14:paraId="10EFB782" w14:textId="77777777" w:rsidR="00745817" w:rsidRPr="00667453" w:rsidRDefault="00745817" w:rsidP="001B7C32">
            <w:pPr>
              <w:widowControl w:val="0"/>
              <w:autoSpaceDE w:val="0"/>
              <w:autoSpaceDN w:val="0"/>
              <w:ind w:left="283"/>
              <w:rPr>
                <w:sz w:val="22"/>
                <w:szCs w:val="22"/>
                <w:lang w:val="sr-Latn-RS"/>
              </w:rPr>
            </w:pPr>
            <w:r w:rsidRPr="00667453">
              <w:rPr>
                <w:sz w:val="22"/>
                <w:szCs w:val="22"/>
                <w:lang w:val="sr-Latn-RS"/>
              </w:rPr>
              <w:t>Razlika % (95% CI)</w:t>
            </w:r>
          </w:p>
        </w:tc>
        <w:tc>
          <w:tcPr>
            <w:tcW w:w="2715" w:type="dxa"/>
            <w:gridSpan w:val="2"/>
          </w:tcPr>
          <w:p w14:paraId="575FACB3" w14:textId="77777777" w:rsidR="00745817" w:rsidRPr="00667453" w:rsidRDefault="00745817" w:rsidP="001B7C32">
            <w:pPr>
              <w:widowControl w:val="0"/>
              <w:autoSpaceDE w:val="0"/>
              <w:autoSpaceDN w:val="0"/>
              <w:ind w:left="796"/>
              <w:rPr>
                <w:sz w:val="22"/>
                <w:szCs w:val="22"/>
                <w:lang w:val="sr-Latn-RS"/>
              </w:rPr>
            </w:pPr>
            <w:r w:rsidRPr="00667453">
              <w:rPr>
                <w:sz w:val="22"/>
                <w:szCs w:val="22"/>
                <w:lang w:val="sr-Latn-RS"/>
              </w:rPr>
              <w:t>16,6 (3,4, 29,8)</w:t>
            </w:r>
          </w:p>
        </w:tc>
        <w:tc>
          <w:tcPr>
            <w:tcW w:w="2716" w:type="dxa"/>
            <w:gridSpan w:val="2"/>
          </w:tcPr>
          <w:p w14:paraId="0C712AE5" w14:textId="77777777" w:rsidR="00745817" w:rsidRPr="00667453" w:rsidRDefault="00745817" w:rsidP="001B7C32">
            <w:pPr>
              <w:widowControl w:val="0"/>
              <w:autoSpaceDE w:val="0"/>
              <w:autoSpaceDN w:val="0"/>
              <w:ind w:left="799"/>
              <w:rPr>
                <w:sz w:val="22"/>
                <w:szCs w:val="22"/>
                <w:lang w:val="sr-Latn-RS"/>
              </w:rPr>
            </w:pPr>
            <w:r w:rsidRPr="00667453">
              <w:rPr>
                <w:sz w:val="22"/>
                <w:szCs w:val="22"/>
                <w:lang w:val="sr-Latn-RS"/>
              </w:rPr>
              <w:t>21,2 (6,8, 35,7)</w:t>
            </w:r>
          </w:p>
        </w:tc>
      </w:tr>
      <w:tr w:rsidR="00745817" w:rsidRPr="00667453" w14:paraId="6C56ED69" w14:textId="77777777" w:rsidTr="003B1C29">
        <w:tc>
          <w:tcPr>
            <w:tcW w:w="9063" w:type="dxa"/>
            <w:gridSpan w:val="5"/>
          </w:tcPr>
          <w:p w14:paraId="1AE8B43B" w14:textId="77777777" w:rsidR="00745817" w:rsidRPr="00667453" w:rsidRDefault="00745817" w:rsidP="001B7C32">
            <w:pPr>
              <w:widowControl w:val="0"/>
              <w:autoSpaceDE w:val="0"/>
              <w:autoSpaceDN w:val="0"/>
              <w:ind w:left="110"/>
              <w:rPr>
                <w:b/>
                <w:sz w:val="22"/>
                <w:szCs w:val="22"/>
                <w:lang w:val="sr-Latn-RS"/>
              </w:rPr>
            </w:pPr>
            <w:r w:rsidRPr="00667453">
              <w:rPr>
                <w:b/>
                <w:bCs/>
                <w:sz w:val="22"/>
                <w:szCs w:val="22"/>
                <w:lang w:val="sr-Latn-RS"/>
              </w:rPr>
              <w:t>Stopa pogoršanja</w:t>
            </w:r>
          </w:p>
        </w:tc>
      </w:tr>
      <w:tr w:rsidR="00745817" w:rsidRPr="00667453" w14:paraId="7EE3E890" w14:textId="77777777" w:rsidTr="003B1C29">
        <w:tc>
          <w:tcPr>
            <w:tcW w:w="3632" w:type="dxa"/>
          </w:tcPr>
          <w:p w14:paraId="5DDEB4E7" w14:textId="55D9A420" w:rsidR="00745817" w:rsidRPr="00667453" w:rsidRDefault="00745817" w:rsidP="001B7C32">
            <w:pPr>
              <w:widowControl w:val="0"/>
              <w:autoSpaceDE w:val="0"/>
              <w:autoSpaceDN w:val="0"/>
              <w:ind w:left="287"/>
              <w:rPr>
                <w:sz w:val="22"/>
                <w:szCs w:val="22"/>
                <w:lang w:val="sr-Latn-RS"/>
              </w:rPr>
            </w:pPr>
            <w:r w:rsidRPr="00667453">
              <w:rPr>
                <w:sz w:val="22"/>
                <w:szCs w:val="22"/>
                <w:lang w:val="sr-Latn-RS"/>
              </w:rPr>
              <w:t>Proc</w:t>
            </w:r>
            <w:r w:rsidR="00112DD8" w:rsidRPr="00667453">
              <w:rPr>
                <w:sz w:val="22"/>
                <w:szCs w:val="22"/>
                <w:lang w:val="sr-Latn-RS"/>
              </w:rPr>
              <w:t>ij</w:t>
            </w:r>
            <w:r w:rsidRPr="00667453">
              <w:rPr>
                <w:sz w:val="22"/>
                <w:szCs w:val="22"/>
                <w:lang w:val="sr-Latn-RS"/>
              </w:rPr>
              <w:t>enjena stopa pogoršanja na godišnjem nivou,</w:t>
            </w:r>
          </w:p>
          <w:p w14:paraId="43CEE127" w14:textId="77777777" w:rsidR="00745817" w:rsidRPr="00667453" w:rsidRDefault="00745817" w:rsidP="001B7C32">
            <w:pPr>
              <w:widowControl w:val="0"/>
              <w:autoSpaceDE w:val="0"/>
              <w:autoSpaceDN w:val="0"/>
              <w:ind w:left="287"/>
              <w:rPr>
                <w:sz w:val="22"/>
                <w:szCs w:val="22"/>
                <w:lang w:val="sr-Latn-RS"/>
              </w:rPr>
            </w:pPr>
            <w:r w:rsidRPr="00667453">
              <w:rPr>
                <w:sz w:val="22"/>
                <w:szCs w:val="22"/>
                <w:lang w:val="sr-Latn-RS"/>
              </w:rPr>
              <w:t>(95% CI)</w:t>
            </w:r>
          </w:p>
        </w:tc>
        <w:tc>
          <w:tcPr>
            <w:tcW w:w="1656" w:type="dxa"/>
          </w:tcPr>
          <w:p w14:paraId="72A069D6" w14:textId="77777777" w:rsidR="00745817" w:rsidRPr="00667453" w:rsidRDefault="00745817" w:rsidP="001B7C32">
            <w:pPr>
              <w:widowControl w:val="0"/>
              <w:autoSpaceDE w:val="0"/>
              <w:autoSpaceDN w:val="0"/>
              <w:ind w:left="152"/>
              <w:jc w:val="center"/>
              <w:rPr>
                <w:sz w:val="22"/>
                <w:szCs w:val="22"/>
                <w:lang w:val="sr-Latn-RS"/>
              </w:rPr>
            </w:pPr>
            <w:r w:rsidRPr="00667453">
              <w:rPr>
                <w:sz w:val="22"/>
                <w:szCs w:val="22"/>
                <w:lang w:val="sr-Latn-RS"/>
              </w:rPr>
              <w:t>0,57</w:t>
            </w:r>
          </w:p>
          <w:p w14:paraId="0F091A53" w14:textId="77777777" w:rsidR="00745817" w:rsidRPr="00667453" w:rsidRDefault="00745817" w:rsidP="001B7C32">
            <w:pPr>
              <w:widowControl w:val="0"/>
              <w:autoSpaceDE w:val="0"/>
              <w:autoSpaceDN w:val="0"/>
              <w:ind w:left="151"/>
              <w:jc w:val="center"/>
              <w:rPr>
                <w:sz w:val="22"/>
                <w:szCs w:val="22"/>
                <w:lang w:val="sr-Latn-RS"/>
              </w:rPr>
            </w:pPr>
            <w:r w:rsidRPr="00667453">
              <w:rPr>
                <w:sz w:val="22"/>
                <w:szCs w:val="22"/>
                <w:lang w:val="sr-Latn-RS"/>
              </w:rPr>
              <w:t>(0,43, 0,76)</w:t>
            </w:r>
          </w:p>
        </w:tc>
        <w:tc>
          <w:tcPr>
            <w:tcW w:w="1059" w:type="dxa"/>
          </w:tcPr>
          <w:p w14:paraId="6B43A510" w14:textId="77777777" w:rsidR="00745817" w:rsidRPr="00667453" w:rsidRDefault="00745817" w:rsidP="001B7C32">
            <w:pPr>
              <w:widowControl w:val="0"/>
              <w:autoSpaceDE w:val="0"/>
              <w:autoSpaceDN w:val="0"/>
              <w:ind w:left="132"/>
              <w:jc w:val="center"/>
              <w:rPr>
                <w:sz w:val="22"/>
                <w:szCs w:val="22"/>
                <w:lang w:val="sr-Latn-RS"/>
              </w:rPr>
            </w:pPr>
            <w:r w:rsidRPr="00667453">
              <w:rPr>
                <w:sz w:val="22"/>
                <w:szCs w:val="22"/>
                <w:lang w:val="sr-Latn-RS"/>
              </w:rPr>
              <w:t>0,68</w:t>
            </w:r>
          </w:p>
          <w:p w14:paraId="1D203885"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(0,52, 0,90)</w:t>
            </w:r>
          </w:p>
        </w:tc>
        <w:tc>
          <w:tcPr>
            <w:tcW w:w="1659" w:type="dxa"/>
          </w:tcPr>
          <w:p w14:paraId="78251AC2"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0,43</w:t>
            </w:r>
          </w:p>
          <w:p w14:paraId="42807984" w14:textId="77777777" w:rsidR="00745817" w:rsidRPr="00667453" w:rsidRDefault="00745817" w:rsidP="001B7C32">
            <w:pPr>
              <w:widowControl w:val="0"/>
              <w:autoSpaceDE w:val="0"/>
              <w:autoSpaceDN w:val="0"/>
              <w:ind w:left="106"/>
              <w:jc w:val="center"/>
              <w:rPr>
                <w:sz w:val="22"/>
                <w:szCs w:val="22"/>
                <w:lang w:val="sr-Latn-RS"/>
              </w:rPr>
            </w:pPr>
            <w:r w:rsidRPr="00667453">
              <w:rPr>
                <w:sz w:val="22"/>
                <w:szCs w:val="22"/>
                <w:lang w:val="sr-Latn-RS"/>
              </w:rPr>
              <w:t>(0,31, 0,59)</w:t>
            </w:r>
          </w:p>
        </w:tc>
        <w:tc>
          <w:tcPr>
            <w:tcW w:w="1057" w:type="dxa"/>
          </w:tcPr>
          <w:p w14:paraId="55C28C4D" w14:textId="77777777" w:rsidR="00745817" w:rsidRPr="00667453" w:rsidRDefault="00745817" w:rsidP="001B7C32">
            <w:pPr>
              <w:widowControl w:val="0"/>
              <w:autoSpaceDE w:val="0"/>
              <w:autoSpaceDN w:val="0"/>
              <w:ind w:left="127"/>
              <w:jc w:val="center"/>
              <w:rPr>
                <w:sz w:val="22"/>
                <w:szCs w:val="22"/>
                <w:lang w:val="sr-Latn-RS"/>
              </w:rPr>
            </w:pPr>
            <w:r w:rsidRPr="00667453">
              <w:rPr>
                <w:sz w:val="22"/>
                <w:szCs w:val="22"/>
                <w:lang w:val="sr-Latn-RS"/>
              </w:rPr>
              <w:t>0,64</w:t>
            </w:r>
          </w:p>
          <w:p w14:paraId="238D4D87" w14:textId="77777777" w:rsidR="00745817" w:rsidRPr="00667453" w:rsidRDefault="00745817" w:rsidP="001B7C32">
            <w:pPr>
              <w:widowControl w:val="0"/>
              <w:autoSpaceDE w:val="0"/>
              <w:autoSpaceDN w:val="0"/>
              <w:ind w:left="134"/>
              <w:jc w:val="center"/>
              <w:rPr>
                <w:sz w:val="22"/>
                <w:szCs w:val="22"/>
                <w:lang w:val="sr-Latn-RS"/>
              </w:rPr>
            </w:pPr>
            <w:r w:rsidRPr="00667453">
              <w:rPr>
                <w:sz w:val="22"/>
                <w:szCs w:val="22"/>
                <w:lang w:val="sr-Latn-RS"/>
              </w:rPr>
              <w:t>(0,47, 0,86)</w:t>
            </w:r>
          </w:p>
        </w:tc>
      </w:tr>
      <w:tr w:rsidR="00745817" w:rsidRPr="00667453" w14:paraId="72769C71" w14:textId="77777777" w:rsidTr="003B1C29">
        <w:tc>
          <w:tcPr>
            <w:tcW w:w="3632" w:type="dxa"/>
          </w:tcPr>
          <w:p w14:paraId="085DE92E" w14:textId="2D83BE2E" w:rsidR="00745817" w:rsidRPr="00667453" w:rsidRDefault="00745817" w:rsidP="001B7C32">
            <w:pPr>
              <w:widowControl w:val="0"/>
              <w:autoSpaceDE w:val="0"/>
              <w:autoSpaceDN w:val="0"/>
              <w:ind w:left="287"/>
              <w:rPr>
                <w:sz w:val="22"/>
                <w:szCs w:val="22"/>
                <w:lang w:val="sr-Latn-RS"/>
              </w:rPr>
            </w:pPr>
            <w:r w:rsidRPr="00667453">
              <w:rPr>
                <w:sz w:val="22"/>
                <w:szCs w:val="22"/>
                <w:lang w:val="sr-Latn-RS"/>
              </w:rPr>
              <w:t>Proc</w:t>
            </w:r>
            <w:r w:rsidR="00112DD8" w:rsidRPr="00667453">
              <w:rPr>
                <w:sz w:val="22"/>
                <w:szCs w:val="22"/>
                <w:lang w:val="sr-Latn-RS"/>
              </w:rPr>
              <w:t>ij</w:t>
            </w:r>
            <w:r w:rsidRPr="00667453">
              <w:rPr>
                <w:sz w:val="22"/>
                <w:szCs w:val="22"/>
                <w:lang w:val="sr-Latn-RS"/>
              </w:rPr>
              <w:t>enjen odnos stopa (95% CI)</w:t>
            </w:r>
          </w:p>
        </w:tc>
        <w:tc>
          <w:tcPr>
            <w:tcW w:w="2715" w:type="dxa"/>
            <w:gridSpan w:val="2"/>
          </w:tcPr>
          <w:p w14:paraId="15C74FC6" w14:textId="77777777" w:rsidR="00745817" w:rsidRPr="00667453" w:rsidRDefault="00745817" w:rsidP="001B7C32">
            <w:pPr>
              <w:widowControl w:val="0"/>
              <w:autoSpaceDE w:val="0"/>
              <w:autoSpaceDN w:val="0"/>
              <w:ind w:left="743"/>
              <w:rPr>
                <w:sz w:val="22"/>
                <w:szCs w:val="22"/>
                <w:lang w:val="sr-Latn-RS"/>
              </w:rPr>
            </w:pPr>
            <w:r w:rsidRPr="00667453">
              <w:rPr>
                <w:sz w:val="22"/>
                <w:szCs w:val="22"/>
                <w:lang w:val="sr-Latn-RS"/>
              </w:rPr>
              <w:t>0,83 (0,61, 1,15)</w:t>
            </w:r>
          </w:p>
        </w:tc>
        <w:tc>
          <w:tcPr>
            <w:tcW w:w="2716" w:type="dxa"/>
            <w:gridSpan w:val="2"/>
          </w:tcPr>
          <w:p w14:paraId="1A4C0C0A" w14:textId="77777777" w:rsidR="00745817" w:rsidRPr="00667453" w:rsidRDefault="00745817" w:rsidP="001B7C32">
            <w:pPr>
              <w:widowControl w:val="0"/>
              <w:autoSpaceDE w:val="0"/>
              <w:autoSpaceDN w:val="0"/>
              <w:ind w:left="751"/>
              <w:rPr>
                <w:sz w:val="22"/>
                <w:szCs w:val="22"/>
                <w:lang w:val="sr-Latn-RS"/>
              </w:rPr>
            </w:pPr>
            <w:r w:rsidRPr="00667453">
              <w:rPr>
                <w:sz w:val="22"/>
                <w:szCs w:val="22"/>
                <w:lang w:val="sr-Latn-RS"/>
              </w:rPr>
              <w:t>0,67 (0,48, 0,94)</w:t>
            </w:r>
          </w:p>
        </w:tc>
      </w:tr>
    </w:tbl>
    <w:p w14:paraId="4B5C9FD3" w14:textId="4B048C3D" w:rsidR="00745817" w:rsidRPr="003B1C29" w:rsidRDefault="00745817" w:rsidP="001B7C32">
      <w:pPr>
        <w:widowControl w:val="0"/>
        <w:autoSpaceDE w:val="0"/>
        <w:autoSpaceDN w:val="0"/>
        <w:jc w:val="both"/>
        <w:rPr>
          <w:sz w:val="20"/>
          <w:szCs w:val="22"/>
          <w:lang w:val="sr-Latn-RS"/>
        </w:rPr>
      </w:pPr>
      <w:r w:rsidRPr="003B1C29">
        <w:rPr>
          <w:sz w:val="20"/>
          <w:szCs w:val="22"/>
          <w:lang w:val="sr-Latn-RS"/>
        </w:rPr>
        <w:t xml:space="preserve">BICLA: </w:t>
      </w:r>
      <w:r w:rsidRPr="003B1C29">
        <w:rPr>
          <w:i/>
          <w:sz w:val="20"/>
          <w:szCs w:val="22"/>
          <w:lang w:val="sr-Latn-RS"/>
        </w:rPr>
        <w:t>British Isles Lupus Assessment Group-based Composite Lupus Assessment</w:t>
      </w:r>
      <w:r w:rsidRPr="003B1C29">
        <w:rPr>
          <w:sz w:val="20"/>
          <w:szCs w:val="22"/>
          <w:lang w:val="sr-Latn-RS"/>
        </w:rPr>
        <w:t xml:space="preserve">; BILAG: </w:t>
      </w:r>
      <w:r w:rsidRPr="003B1C29">
        <w:rPr>
          <w:i/>
          <w:sz w:val="20"/>
          <w:szCs w:val="22"/>
          <w:lang w:val="sr-Latn-RS"/>
        </w:rPr>
        <w:t>British Isles Lupus</w:t>
      </w:r>
      <w:r w:rsidR="00B42158" w:rsidRPr="003B1C29">
        <w:rPr>
          <w:i/>
          <w:sz w:val="20"/>
          <w:szCs w:val="22"/>
          <w:lang w:val="sr-Latn-RS"/>
        </w:rPr>
        <w:t xml:space="preserve"> </w:t>
      </w:r>
      <w:r w:rsidRPr="003B1C29">
        <w:rPr>
          <w:i/>
          <w:sz w:val="20"/>
          <w:szCs w:val="22"/>
          <w:lang w:val="sr-Latn-RS"/>
        </w:rPr>
        <w:t>Assessment Group</w:t>
      </w:r>
      <w:r w:rsidRPr="003B1C29">
        <w:rPr>
          <w:sz w:val="20"/>
          <w:szCs w:val="22"/>
          <w:lang w:val="sr-Latn-RS"/>
        </w:rPr>
        <w:t>, PGA: globalna proc</w:t>
      </w:r>
      <w:r w:rsidR="006416F2" w:rsidRPr="003B1C29">
        <w:rPr>
          <w:sz w:val="20"/>
          <w:szCs w:val="22"/>
          <w:lang w:val="sr-Latn-RS"/>
        </w:rPr>
        <w:t>j</w:t>
      </w:r>
      <w:r w:rsidRPr="003B1C29">
        <w:rPr>
          <w:sz w:val="20"/>
          <w:szCs w:val="22"/>
          <w:lang w:val="sr-Latn-RS"/>
        </w:rPr>
        <w:t>ena ljekara; SLEDAI-2K: Indeks aktivnosti bolesti sistemskog eritemskog lupusa 2000; SRI-4: Indeks odgovora SLE.</w:t>
      </w:r>
    </w:p>
    <w:p w14:paraId="3B6C3666" w14:textId="77777777" w:rsidR="00745817" w:rsidRPr="003B1C29" w:rsidRDefault="00745817" w:rsidP="001B7C32">
      <w:pPr>
        <w:widowControl w:val="0"/>
        <w:autoSpaceDE w:val="0"/>
        <w:autoSpaceDN w:val="0"/>
        <w:spacing w:line="205" w:lineRule="exact"/>
        <w:jc w:val="both"/>
        <w:rPr>
          <w:sz w:val="20"/>
          <w:szCs w:val="22"/>
          <w:lang w:val="sr-Latn-RS"/>
        </w:rPr>
      </w:pPr>
      <w:r w:rsidRPr="003B1C29">
        <w:rPr>
          <w:sz w:val="20"/>
          <w:szCs w:val="22"/>
          <w:lang w:val="sr-Latn-RS"/>
        </w:rPr>
        <w:t>Svi pacijenti su primali standardnu terapiju.</w:t>
      </w:r>
    </w:p>
    <w:p w14:paraId="416FAB3D" w14:textId="5AD2DDEE" w:rsidR="00745817" w:rsidRPr="003B1C29" w:rsidRDefault="00745817" w:rsidP="001B7C32">
      <w:pPr>
        <w:widowControl w:val="0"/>
        <w:autoSpaceDE w:val="0"/>
        <w:autoSpaceDN w:val="0"/>
        <w:jc w:val="both"/>
        <w:rPr>
          <w:sz w:val="20"/>
          <w:szCs w:val="22"/>
          <w:lang w:val="sr-Latn-RS"/>
        </w:rPr>
      </w:pPr>
      <w:r w:rsidRPr="003B1C29">
        <w:rPr>
          <w:sz w:val="20"/>
          <w:szCs w:val="22"/>
          <w:lang w:val="sr-Latn-RS"/>
        </w:rPr>
        <w:t>* BICLA i SRI(4) se zasnivaju na objedinjenim proc</w:t>
      </w:r>
      <w:r w:rsidR="00E70B6A" w:rsidRPr="003B1C29">
        <w:rPr>
          <w:sz w:val="20"/>
          <w:szCs w:val="22"/>
          <w:lang w:val="sr-Latn-RS"/>
        </w:rPr>
        <w:t>j</w:t>
      </w:r>
      <w:r w:rsidRPr="003B1C29">
        <w:rPr>
          <w:sz w:val="20"/>
          <w:szCs w:val="22"/>
          <w:lang w:val="sr-Latn-RS"/>
        </w:rPr>
        <w:t>enjivanim parametrima, pri čemu su prekid liječenja ili primjena ograničenih ljekova d</w:t>
      </w:r>
      <w:r w:rsidR="00E70B6A" w:rsidRPr="003B1C29">
        <w:rPr>
          <w:sz w:val="20"/>
          <w:szCs w:val="22"/>
          <w:lang w:val="sr-Latn-RS"/>
        </w:rPr>
        <w:t>i</w:t>
      </w:r>
      <w:r w:rsidRPr="003B1C29">
        <w:rPr>
          <w:sz w:val="20"/>
          <w:szCs w:val="22"/>
          <w:lang w:val="sr-Latn-RS"/>
        </w:rPr>
        <w:t>o kriterijuma za odgovor.</w:t>
      </w:r>
    </w:p>
    <w:p w14:paraId="7409283C" w14:textId="60E8C01D" w:rsidR="00745817" w:rsidRPr="003B1C29" w:rsidRDefault="00745817" w:rsidP="001B7C32">
      <w:pPr>
        <w:widowControl w:val="0"/>
        <w:autoSpaceDE w:val="0"/>
        <w:autoSpaceDN w:val="0"/>
        <w:spacing w:line="244" w:lineRule="auto"/>
        <w:jc w:val="both"/>
        <w:rPr>
          <w:sz w:val="20"/>
          <w:szCs w:val="22"/>
          <w:lang w:val="sr-Latn-RS"/>
        </w:rPr>
      </w:pPr>
      <w:r w:rsidRPr="003B1C29">
        <w:rPr>
          <w:sz w:val="20"/>
          <w:szCs w:val="22"/>
          <w:lang w:val="sr-Latn-RS"/>
        </w:rPr>
        <w:t xml:space="preserve">† Pacijenti koji su prekinuli liječenje ili uzimali ograničene ljekove u </w:t>
      </w:r>
      <w:r w:rsidR="006416F2" w:rsidRPr="003B1C29">
        <w:rPr>
          <w:sz w:val="20"/>
          <w:szCs w:val="22"/>
          <w:lang w:val="sr-Latn-RS"/>
        </w:rPr>
        <w:t>mjeri</w:t>
      </w:r>
      <w:r w:rsidRPr="003B1C29">
        <w:rPr>
          <w:sz w:val="20"/>
          <w:szCs w:val="22"/>
          <w:lang w:val="sr-Latn-RS"/>
        </w:rPr>
        <w:t xml:space="preserve"> većoj od one dozvoljene protokolom se smatraju pacijentima bez odgovora.</w:t>
      </w:r>
    </w:p>
    <w:p w14:paraId="1E598746" w14:textId="03623B6F" w:rsidR="00745817" w:rsidRPr="003B1C29" w:rsidRDefault="00745817" w:rsidP="001B7C32">
      <w:pPr>
        <w:widowControl w:val="0"/>
        <w:tabs>
          <w:tab w:val="left" w:pos="399"/>
        </w:tabs>
        <w:autoSpaceDE w:val="0"/>
        <w:autoSpaceDN w:val="0"/>
        <w:spacing w:line="202" w:lineRule="exact"/>
        <w:jc w:val="both"/>
        <w:rPr>
          <w:sz w:val="20"/>
          <w:szCs w:val="22"/>
          <w:lang w:val="sr-Latn-RS"/>
        </w:rPr>
      </w:pPr>
      <w:r w:rsidRPr="003B1C29">
        <w:rPr>
          <w:sz w:val="20"/>
          <w:szCs w:val="22"/>
          <w:lang w:val="sr-Latn-RS"/>
        </w:rPr>
        <w:t>‡</w:t>
      </w:r>
      <w:r w:rsidRPr="003B1C29">
        <w:rPr>
          <w:sz w:val="20"/>
          <w:szCs w:val="22"/>
          <w:lang w:val="sr-Latn-RS"/>
        </w:rPr>
        <w:tab/>
        <w:t>Podgrupa pacijenata sa OKS ≥10 mg dnevno na početku. Pacijenti sa odgovorom definisani su kao pacijenti koji su do 40. ned</w:t>
      </w:r>
      <w:r w:rsidR="00F54E9F" w:rsidRPr="003B1C29">
        <w:rPr>
          <w:sz w:val="20"/>
          <w:szCs w:val="22"/>
          <w:lang w:val="sr-Latn-RS"/>
        </w:rPr>
        <w:t>j</w:t>
      </w:r>
      <w:r w:rsidRPr="003B1C29">
        <w:rPr>
          <w:sz w:val="20"/>
          <w:szCs w:val="22"/>
          <w:lang w:val="sr-Latn-RS"/>
        </w:rPr>
        <w:t>elje smanjili dozu OKS</w:t>
      </w:r>
    </w:p>
    <w:p w14:paraId="6BA75D79" w14:textId="2C250462" w:rsidR="00745817" w:rsidRPr="003B1C29" w:rsidRDefault="00745817" w:rsidP="001B7C32">
      <w:pPr>
        <w:widowControl w:val="0"/>
        <w:autoSpaceDE w:val="0"/>
        <w:autoSpaceDN w:val="0"/>
        <w:spacing w:line="207" w:lineRule="exact"/>
        <w:jc w:val="both"/>
        <w:rPr>
          <w:sz w:val="20"/>
          <w:szCs w:val="22"/>
          <w:lang w:val="sr-Latn-RS"/>
        </w:rPr>
      </w:pPr>
      <w:r w:rsidRPr="003B1C29">
        <w:rPr>
          <w:sz w:val="20"/>
          <w:szCs w:val="22"/>
          <w:lang w:val="sr-Latn-RS"/>
        </w:rPr>
        <w:t>≤ 7,5 mg dnevno i održali je do 52. ned</w:t>
      </w:r>
      <w:r w:rsidR="001C4C34" w:rsidRPr="003B1C29">
        <w:rPr>
          <w:sz w:val="20"/>
          <w:szCs w:val="22"/>
          <w:lang w:val="sr-Latn-RS"/>
        </w:rPr>
        <w:t>j</w:t>
      </w:r>
      <w:r w:rsidRPr="003B1C29">
        <w:rPr>
          <w:sz w:val="20"/>
          <w:szCs w:val="22"/>
          <w:lang w:val="sr-Latn-RS"/>
        </w:rPr>
        <w:t>elje.</w:t>
      </w:r>
    </w:p>
    <w:p w14:paraId="0EB9CB05" w14:textId="77777777" w:rsidR="00745817" w:rsidRDefault="00745817" w:rsidP="001B7C32">
      <w:pPr>
        <w:widowControl w:val="0"/>
        <w:autoSpaceDE w:val="0"/>
        <w:autoSpaceDN w:val="0"/>
        <w:jc w:val="both"/>
        <w:rPr>
          <w:sz w:val="22"/>
          <w:szCs w:val="22"/>
          <w:lang w:val="sr-Latn-RS"/>
        </w:rPr>
      </w:pPr>
    </w:p>
    <w:p w14:paraId="6FF419EF" w14:textId="77777777" w:rsidR="00F40506" w:rsidRDefault="00F40506" w:rsidP="001B7C32">
      <w:pPr>
        <w:widowControl w:val="0"/>
        <w:autoSpaceDE w:val="0"/>
        <w:autoSpaceDN w:val="0"/>
        <w:jc w:val="both"/>
        <w:rPr>
          <w:i/>
          <w:iCs/>
          <w:sz w:val="22"/>
          <w:szCs w:val="22"/>
          <w:lang w:val="sr-Latn-RS"/>
        </w:rPr>
      </w:pPr>
    </w:p>
    <w:p w14:paraId="5944C2B4" w14:textId="1CD86833" w:rsidR="000B3036" w:rsidRPr="00B15FA8" w:rsidRDefault="000B3036" w:rsidP="001B7C32">
      <w:pPr>
        <w:widowControl w:val="0"/>
        <w:autoSpaceDE w:val="0"/>
        <w:autoSpaceDN w:val="0"/>
        <w:jc w:val="both"/>
        <w:rPr>
          <w:i/>
          <w:iCs/>
          <w:sz w:val="22"/>
          <w:szCs w:val="22"/>
          <w:lang w:val="sr-Latn-RS"/>
        </w:rPr>
      </w:pPr>
      <w:r w:rsidRPr="00B15FA8">
        <w:rPr>
          <w:i/>
          <w:iCs/>
          <w:sz w:val="22"/>
          <w:szCs w:val="22"/>
          <w:lang w:val="sr-Latn-RS"/>
        </w:rPr>
        <w:lastRenderedPageBreak/>
        <w:t>Dugoročn</w:t>
      </w:r>
      <w:r w:rsidR="00F40506">
        <w:rPr>
          <w:i/>
          <w:iCs/>
          <w:sz w:val="22"/>
          <w:szCs w:val="22"/>
          <w:lang w:val="sr-Latn-RS"/>
        </w:rPr>
        <w:t>i</w:t>
      </w:r>
      <w:r w:rsidRPr="00B15FA8">
        <w:rPr>
          <w:i/>
          <w:iCs/>
          <w:sz w:val="22"/>
          <w:szCs w:val="22"/>
          <w:lang w:val="sr-Latn-RS"/>
        </w:rPr>
        <w:t xml:space="preserve"> produže</w:t>
      </w:r>
      <w:r w:rsidR="00F40506">
        <w:rPr>
          <w:i/>
          <w:iCs/>
          <w:sz w:val="22"/>
          <w:szCs w:val="22"/>
          <w:lang w:val="sr-Latn-RS"/>
        </w:rPr>
        <w:t>tak ispitivanja</w:t>
      </w:r>
    </w:p>
    <w:p w14:paraId="3DEE4776" w14:textId="12932208" w:rsidR="000B3036" w:rsidRPr="00B15FA8" w:rsidRDefault="000B3036" w:rsidP="001B7C32">
      <w:pPr>
        <w:widowControl w:val="0"/>
        <w:autoSpaceDE w:val="0"/>
        <w:autoSpaceDN w:val="0"/>
        <w:jc w:val="both"/>
        <w:rPr>
          <w:sz w:val="22"/>
          <w:szCs w:val="22"/>
          <w:lang w:val="sr-Latn-RS"/>
        </w:rPr>
      </w:pPr>
      <w:r w:rsidRPr="00B15FA8">
        <w:rPr>
          <w:sz w:val="22"/>
          <w:szCs w:val="22"/>
          <w:lang w:val="sr-Latn-RS"/>
        </w:rPr>
        <w:t>Pacijenti koji su završili ispitivanja 1 i 2 (</w:t>
      </w:r>
      <w:r w:rsidR="00F40506">
        <w:rPr>
          <w:sz w:val="22"/>
          <w:szCs w:val="22"/>
          <w:lang w:val="sr-Latn-RS"/>
        </w:rPr>
        <w:t>„</w:t>
      </w:r>
      <w:r w:rsidR="00F40506" w:rsidRPr="003B1C29">
        <w:rPr>
          <w:i/>
          <w:sz w:val="22"/>
          <w:szCs w:val="22"/>
          <w:lang w:val="sr-Latn-RS"/>
        </w:rPr>
        <w:t>feeder</w:t>
      </w:r>
      <w:r w:rsidR="00F40506">
        <w:rPr>
          <w:sz w:val="22"/>
          <w:szCs w:val="22"/>
          <w:lang w:val="sr-Latn-RS"/>
        </w:rPr>
        <w:t>“ ispitivanja</w:t>
      </w:r>
      <w:r w:rsidRPr="00B15FA8">
        <w:rPr>
          <w:sz w:val="22"/>
          <w:szCs w:val="22"/>
          <w:lang w:val="sr-Latn-RS"/>
        </w:rPr>
        <w:t>) do 52. ned</w:t>
      </w:r>
      <w:r w:rsidR="000B2A85" w:rsidRPr="00B15FA8">
        <w:rPr>
          <w:sz w:val="22"/>
          <w:szCs w:val="22"/>
          <w:lang w:val="sr-Latn-RS"/>
        </w:rPr>
        <w:t>j</w:t>
      </w:r>
      <w:r w:rsidRPr="00B15FA8">
        <w:rPr>
          <w:sz w:val="22"/>
          <w:szCs w:val="22"/>
          <w:lang w:val="sr-Latn-RS"/>
        </w:rPr>
        <w:t xml:space="preserve">elje </w:t>
      </w:r>
      <w:r w:rsidR="00F40506">
        <w:rPr>
          <w:sz w:val="22"/>
          <w:szCs w:val="22"/>
          <w:lang w:val="sr-Latn-RS"/>
        </w:rPr>
        <w:t>bili su podobni za</w:t>
      </w:r>
      <w:r w:rsidRPr="00B15FA8">
        <w:rPr>
          <w:sz w:val="22"/>
          <w:szCs w:val="22"/>
          <w:lang w:val="sr-Latn-RS"/>
        </w:rPr>
        <w:t xml:space="preserve"> nastav</w:t>
      </w:r>
      <w:r w:rsidR="00F40506">
        <w:rPr>
          <w:sz w:val="22"/>
          <w:szCs w:val="22"/>
          <w:lang w:val="sr-Latn-RS"/>
        </w:rPr>
        <w:t>ak</w:t>
      </w:r>
      <w:r w:rsidRPr="00B15FA8">
        <w:rPr>
          <w:sz w:val="22"/>
          <w:szCs w:val="22"/>
          <w:lang w:val="sr-Latn-RS"/>
        </w:rPr>
        <w:t xml:space="preserve"> l</w:t>
      </w:r>
      <w:r w:rsidR="000B2A85" w:rsidRPr="00B15FA8">
        <w:rPr>
          <w:sz w:val="22"/>
          <w:szCs w:val="22"/>
          <w:lang w:val="sr-Latn-RS"/>
        </w:rPr>
        <w:t>ij</w:t>
      </w:r>
      <w:r w:rsidRPr="00B15FA8">
        <w:rPr>
          <w:sz w:val="22"/>
          <w:szCs w:val="22"/>
          <w:lang w:val="sr-Latn-RS"/>
        </w:rPr>
        <w:t>ečenj</w:t>
      </w:r>
      <w:r w:rsidR="00F40506">
        <w:rPr>
          <w:sz w:val="22"/>
          <w:szCs w:val="22"/>
          <w:lang w:val="sr-Latn-RS"/>
        </w:rPr>
        <w:t>a</w:t>
      </w:r>
      <w:r w:rsidRPr="00B15FA8">
        <w:rPr>
          <w:sz w:val="22"/>
          <w:szCs w:val="22"/>
          <w:lang w:val="sr-Latn-RS"/>
        </w:rPr>
        <w:t xml:space="preserve"> u randomizovanom, dvostruko sl</w:t>
      </w:r>
      <w:r w:rsidR="000B2A85" w:rsidRPr="00B15FA8">
        <w:rPr>
          <w:sz w:val="22"/>
          <w:szCs w:val="22"/>
          <w:lang w:val="sr-Latn-RS"/>
        </w:rPr>
        <w:t>ij</w:t>
      </w:r>
      <w:r w:rsidRPr="00B15FA8">
        <w:rPr>
          <w:sz w:val="22"/>
          <w:szCs w:val="22"/>
          <w:lang w:val="sr-Latn-RS"/>
        </w:rPr>
        <w:t xml:space="preserve">epom, placebom kontrolisanom, trogodišnjem LTE. Pacijenti koji su primali anifrolumab, bilo </w:t>
      </w:r>
      <w:r w:rsidR="00F40506">
        <w:rPr>
          <w:sz w:val="22"/>
          <w:szCs w:val="22"/>
          <w:lang w:val="sr-Latn-RS"/>
        </w:rPr>
        <w:t xml:space="preserve">u dozi od </w:t>
      </w:r>
      <w:r w:rsidRPr="00B15FA8">
        <w:rPr>
          <w:sz w:val="22"/>
          <w:szCs w:val="22"/>
          <w:lang w:val="sr-Latn-RS"/>
        </w:rPr>
        <w:t xml:space="preserve">150 mg ili 300 mg, u ispitivanjima 1 i 2, primali su anifrolumab 300 mg u LTE. Pacijenti koji su primali placebo u ispitivanjima 1 i 2 ponovo </w:t>
      </w:r>
      <w:r w:rsidR="00F40506" w:rsidRPr="00B15FA8">
        <w:rPr>
          <w:sz w:val="22"/>
          <w:szCs w:val="22"/>
          <w:lang w:val="sr-Latn-RS"/>
        </w:rPr>
        <w:t xml:space="preserve">su </w:t>
      </w:r>
      <w:r w:rsidRPr="00B15FA8">
        <w:rPr>
          <w:sz w:val="22"/>
          <w:szCs w:val="22"/>
          <w:lang w:val="sr-Latn-RS"/>
        </w:rPr>
        <w:t>randomiz</w:t>
      </w:r>
      <w:r w:rsidR="00F40506">
        <w:rPr>
          <w:sz w:val="22"/>
          <w:szCs w:val="22"/>
          <w:lang w:val="sr-Latn-RS"/>
        </w:rPr>
        <w:t>ov</w:t>
      </w:r>
      <w:r w:rsidRPr="00B15FA8">
        <w:rPr>
          <w:sz w:val="22"/>
          <w:szCs w:val="22"/>
          <w:lang w:val="sr-Latn-RS"/>
        </w:rPr>
        <w:t xml:space="preserve">ani </w:t>
      </w:r>
      <w:r w:rsidR="00F40506">
        <w:rPr>
          <w:sz w:val="22"/>
          <w:szCs w:val="22"/>
          <w:lang w:val="sr-Latn-RS"/>
        </w:rPr>
        <w:t xml:space="preserve">u odnosu </w:t>
      </w:r>
      <w:r w:rsidRPr="00B15FA8">
        <w:rPr>
          <w:sz w:val="22"/>
          <w:szCs w:val="22"/>
          <w:lang w:val="sr-Latn-RS"/>
        </w:rPr>
        <w:t>1:1 da primaju ili anifrolumab</w:t>
      </w:r>
      <w:r w:rsidR="00F40506">
        <w:rPr>
          <w:sz w:val="22"/>
          <w:szCs w:val="22"/>
          <w:lang w:val="sr-Latn-RS"/>
        </w:rPr>
        <w:t xml:space="preserve"> u dozi od</w:t>
      </w:r>
      <w:r w:rsidRPr="00B15FA8">
        <w:rPr>
          <w:sz w:val="22"/>
          <w:szCs w:val="22"/>
          <w:lang w:val="sr-Latn-RS"/>
        </w:rPr>
        <w:t xml:space="preserve"> 300 mg ili placebo, dajući približni anifrolumab 300 mg</w:t>
      </w:r>
      <w:r w:rsidR="00F40506">
        <w:rPr>
          <w:sz w:val="22"/>
          <w:szCs w:val="22"/>
          <w:lang w:val="sr-Latn-RS"/>
        </w:rPr>
        <w:t xml:space="preserve"> </w:t>
      </w:r>
      <w:r w:rsidRPr="00B15FA8">
        <w:rPr>
          <w:sz w:val="22"/>
          <w:szCs w:val="22"/>
          <w:lang w:val="sr-Latn-RS"/>
        </w:rPr>
        <w:t xml:space="preserve">: placebo </w:t>
      </w:r>
      <w:r w:rsidR="005C2557" w:rsidRPr="00B15FA8">
        <w:rPr>
          <w:sz w:val="22"/>
          <w:szCs w:val="22"/>
          <w:lang w:val="sr-Latn-RS"/>
        </w:rPr>
        <w:t xml:space="preserve">odnos </w:t>
      </w:r>
      <w:r w:rsidRPr="00B15FA8">
        <w:rPr>
          <w:sz w:val="22"/>
          <w:szCs w:val="22"/>
          <w:lang w:val="sr-Latn-RS"/>
        </w:rPr>
        <w:t>od 4:1 u LTE.</w:t>
      </w:r>
    </w:p>
    <w:p w14:paraId="79384C0F" w14:textId="77777777" w:rsidR="000B3036" w:rsidRPr="00B15FA8" w:rsidRDefault="000B3036" w:rsidP="001B7C32">
      <w:pPr>
        <w:widowControl w:val="0"/>
        <w:autoSpaceDE w:val="0"/>
        <w:autoSpaceDN w:val="0"/>
        <w:jc w:val="both"/>
        <w:rPr>
          <w:sz w:val="22"/>
          <w:szCs w:val="22"/>
          <w:lang w:val="sr-Latn-RS"/>
        </w:rPr>
      </w:pPr>
    </w:p>
    <w:p w14:paraId="5941A68C" w14:textId="3BFE8FB4" w:rsidR="000B3036" w:rsidRDefault="000B3036" w:rsidP="001B7C32">
      <w:pPr>
        <w:widowControl w:val="0"/>
        <w:autoSpaceDE w:val="0"/>
        <w:autoSpaceDN w:val="0"/>
        <w:jc w:val="both"/>
        <w:rPr>
          <w:sz w:val="22"/>
          <w:szCs w:val="22"/>
          <w:lang w:val="sr-Latn-RS"/>
        </w:rPr>
      </w:pPr>
      <w:r w:rsidRPr="00B15FA8">
        <w:rPr>
          <w:sz w:val="22"/>
          <w:szCs w:val="22"/>
          <w:lang w:val="sr-Latn-RS"/>
        </w:rPr>
        <w:t>Dugoročna efikasnost je proc</w:t>
      </w:r>
      <w:r w:rsidR="000B2A85" w:rsidRPr="00B15FA8">
        <w:rPr>
          <w:sz w:val="22"/>
          <w:szCs w:val="22"/>
          <w:lang w:val="sr-Latn-RS"/>
        </w:rPr>
        <w:t>ij</w:t>
      </w:r>
      <w:r w:rsidRPr="00B15FA8">
        <w:rPr>
          <w:sz w:val="22"/>
          <w:szCs w:val="22"/>
          <w:lang w:val="sr-Latn-RS"/>
        </w:rPr>
        <w:t xml:space="preserve">enjena kod pacijenata koji su primali anifrolumab </w:t>
      </w:r>
      <w:r w:rsidR="005C2557">
        <w:rPr>
          <w:sz w:val="22"/>
          <w:szCs w:val="22"/>
          <w:lang w:val="sr-Latn-RS"/>
        </w:rPr>
        <w:t xml:space="preserve">u dozi od </w:t>
      </w:r>
      <w:r w:rsidRPr="00B15FA8">
        <w:rPr>
          <w:sz w:val="22"/>
          <w:szCs w:val="22"/>
          <w:lang w:val="sr-Latn-RS"/>
        </w:rPr>
        <w:t xml:space="preserve">300 mg ili placebo u </w:t>
      </w:r>
      <w:r w:rsidR="005C2557">
        <w:rPr>
          <w:sz w:val="22"/>
          <w:szCs w:val="22"/>
          <w:lang w:val="sr-Latn-RS"/>
        </w:rPr>
        <w:t>„</w:t>
      </w:r>
      <w:r w:rsidR="005C2557" w:rsidRPr="003B1C29">
        <w:rPr>
          <w:i/>
          <w:sz w:val="22"/>
          <w:szCs w:val="22"/>
          <w:lang w:val="sr-Latn-RS"/>
        </w:rPr>
        <w:t>feeder</w:t>
      </w:r>
      <w:r w:rsidR="005C2557">
        <w:rPr>
          <w:sz w:val="22"/>
          <w:szCs w:val="22"/>
          <w:lang w:val="sr-Latn-RS"/>
        </w:rPr>
        <w:t xml:space="preserve">“ </w:t>
      </w:r>
      <w:r w:rsidRPr="00B15FA8">
        <w:rPr>
          <w:sz w:val="22"/>
          <w:szCs w:val="22"/>
          <w:lang w:val="sr-Latn-RS"/>
        </w:rPr>
        <w:t>ispitivanju i nastavili da primaju ist</w:t>
      </w:r>
      <w:r w:rsidR="005C2557">
        <w:rPr>
          <w:sz w:val="22"/>
          <w:szCs w:val="22"/>
          <w:lang w:val="sr-Latn-RS"/>
        </w:rPr>
        <w:t>u</w:t>
      </w:r>
      <w:r w:rsidRPr="00B15FA8">
        <w:rPr>
          <w:sz w:val="22"/>
          <w:szCs w:val="22"/>
          <w:lang w:val="sr-Latn-RS"/>
        </w:rPr>
        <w:t xml:space="preserve"> </w:t>
      </w:r>
      <w:r w:rsidR="005C2557">
        <w:rPr>
          <w:sz w:val="22"/>
          <w:szCs w:val="22"/>
          <w:lang w:val="sr-Latn-RS"/>
        </w:rPr>
        <w:t>terapiju</w:t>
      </w:r>
      <w:r w:rsidR="005C2557" w:rsidRPr="00B15FA8">
        <w:rPr>
          <w:sz w:val="22"/>
          <w:szCs w:val="22"/>
          <w:lang w:val="sr-Latn-RS"/>
        </w:rPr>
        <w:t xml:space="preserve"> </w:t>
      </w:r>
      <w:r w:rsidRPr="00B15FA8">
        <w:rPr>
          <w:sz w:val="22"/>
          <w:szCs w:val="22"/>
          <w:lang w:val="sr-Latn-RS"/>
        </w:rPr>
        <w:t>u LTE (anifrolumab</w:t>
      </w:r>
      <w:r w:rsidR="005C2557">
        <w:rPr>
          <w:sz w:val="22"/>
          <w:szCs w:val="22"/>
          <w:lang w:val="sr-Latn-RS"/>
        </w:rPr>
        <w:t>,</w:t>
      </w:r>
      <w:r w:rsidRPr="00B15FA8">
        <w:rPr>
          <w:sz w:val="22"/>
          <w:szCs w:val="22"/>
          <w:lang w:val="sr-Latn-RS"/>
        </w:rPr>
        <w:t xml:space="preserve"> N=257; placebo</w:t>
      </w:r>
      <w:r w:rsidR="005C2557">
        <w:rPr>
          <w:sz w:val="22"/>
          <w:szCs w:val="22"/>
          <w:lang w:val="sr-Latn-RS"/>
        </w:rPr>
        <w:t>,</w:t>
      </w:r>
      <w:r w:rsidRPr="00B15FA8">
        <w:rPr>
          <w:sz w:val="22"/>
          <w:szCs w:val="22"/>
          <w:lang w:val="sr-Latn-RS"/>
        </w:rPr>
        <w:t xml:space="preserve"> N=112). Od toga, 69% pacijenata koji su primali anifrolumab (177/257) i 46% pacijenata koji su primali placebo (52/112) završili su ukupno 4 godine na l</w:t>
      </w:r>
      <w:r w:rsidR="000B2A85" w:rsidRPr="00B15FA8">
        <w:rPr>
          <w:sz w:val="22"/>
          <w:szCs w:val="22"/>
          <w:lang w:val="sr-Latn-RS"/>
        </w:rPr>
        <w:t>ij</w:t>
      </w:r>
      <w:r w:rsidRPr="00B15FA8">
        <w:rPr>
          <w:sz w:val="22"/>
          <w:szCs w:val="22"/>
          <w:lang w:val="sr-Latn-RS"/>
        </w:rPr>
        <w:t>ečenju. U 208. ned</w:t>
      </w:r>
      <w:r w:rsidR="000B2A85" w:rsidRPr="00B15FA8">
        <w:rPr>
          <w:sz w:val="22"/>
          <w:szCs w:val="22"/>
          <w:lang w:val="sr-Latn-RS"/>
        </w:rPr>
        <w:t>j</w:t>
      </w:r>
      <w:r w:rsidRPr="00B15FA8">
        <w:rPr>
          <w:sz w:val="22"/>
          <w:szCs w:val="22"/>
          <w:lang w:val="sr-Latn-RS"/>
        </w:rPr>
        <w:t>elji, srednji SLEDAI-2K skor (SE) bio je 3,4 (0,25) i 4,0 (0,46) kod pacijenata koji su primali anifrolumab (n=140) i placebo (n=44), respektivno.</w:t>
      </w:r>
    </w:p>
    <w:p w14:paraId="73167A06" w14:textId="77777777" w:rsidR="000B3036" w:rsidRPr="00667453" w:rsidRDefault="000B3036" w:rsidP="001B7C32">
      <w:pPr>
        <w:widowControl w:val="0"/>
        <w:autoSpaceDE w:val="0"/>
        <w:autoSpaceDN w:val="0"/>
        <w:jc w:val="both"/>
        <w:rPr>
          <w:sz w:val="22"/>
          <w:szCs w:val="22"/>
          <w:lang w:val="sr-Latn-RS"/>
        </w:rPr>
      </w:pPr>
    </w:p>
    <w:p w14:paraId="08AE2D33"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Pedijatrijska populacija</w:t>
      </w:r>
    </w:p>
    <w:p w14:paraId="1D08C1B7" w14:textId="77777777" w:rsidR="00745817" w:rsidRPr="00667453" w:rsidRDefault="00745817" w:rsidP="001B7C32">
      <w:pPr>
        <w:widowControl w:val="0"/>
        <w:autoSpaceDE w:val="0"/>
        <w:autoSpaceDN w:val="0"/>
        <w:jc w:val="both"/>
        <w:rPr>
          <w:sz w:val="22"/>
          <w:szCs w:val="22"/>
          <w:lang w:val="sr-Latn-RS"/>
        </w:rPr>
      </w:pPr>
    </w:p>
    <w:p w14:paraId="08F1B1B0" w14:textId="0884D415" w:rsidR="0072020E" w:rsidRPr="00667453" w:rsidRDefault="00745817" w:rsidP="001B7C32">
      <w:pPr>
        <w:widowControl w:val="0"/>
        <w:tabs>
          <w:tab w:val="left" w:pos="7797"/>
        </w:tabs>
        <w:autoSpaceDE w:val="0"/>
        <w:autoSpaceDN w:val="0"/>
        <w:jc w:val="both"/>
        <w:rPr>
          <w:bCs/>
          <w:sz w:val="22"/>
          <w:szCs w:val="22"/>
          <w:lang w:val="sr-Latn-RS"/>
        </w:rPr>
      </w:pPr>
      <w:r w:rsidRPr="00667453">
        <w:rPr>
          <w:sz w:val="22"/>
          <w:szCs w:val="22"/>
          <w:lang w:val="sr-Latn-RS"/>
        </w:rPr>
        <w:t xml:space="preserve">Evropska agencija za ljekove oslobodila je proizvođača obaveze da dostavi rezultate ispitivanja sa anifrolumabom za jednu ili više podgrupa pedijatrijske populacije u liječenju sistemskog eritemskog lupusa (vidjeti </w:t>
      </w:r>
      <w:r w:rsidR="008419A5" w:rsidRPr="00667453">
        <w:rPr>
          <w:sz w:val="22"/>
          <w:szCs w:val="22"/>
          <w:lang w:val="sr-Latn-RS"/>
        </w:rPr>
        <w:t>dio</w:t>
      </w:r>
      <w:r w:rsidRPr="00667453">
        <w:rPr>
          <w:sz w:val="22"/>
          <w:szCs w:val="22"/>
          <w:lang w:val="sr-Latn-RS"/>
        </w:rPr>
        <w:t xml:space="preserve"> 4.2. za informacije o pedijatrijskoj prim</w:t>
      </w:r>
      <w:r w:rsidR="006416F2" w:rsidRPr="00667453">
        <w:rPr>
          <w:sz w:val="22"/>
          <w:szCs w:val="22"/>
          <w:lang w:val="sr-Latn-RS"/>
        </w:rPr>
        <w:t>j</w:t>
      </w:r>
      <w:r w:rsidRPr="00667453">
        <w:rPr>
          <w:sz w:val="22"/>
          <w:szCs w:val="22"/>
          <w:lang w:val="sr-Latn-RS"/>
        </w:rPr>
        <w:t>eni).</w:t>
      </w:r>
    </w:p>
    <w:p w14:paraId="3B3A71CC" w14:textId="77777777" w:rsidR="002E37A5" w:rsidRPr="00667453" w:rsidRDefault="002E37A5" w:rsidP="001B7C32">
      <w:pPr>
        <w:widowControl w:val="0"/>
        <w:tabs>
          <w:tab w:val="left" w:pos="540"/>
          <w:tab w:val="left" w:pos="569"/>
        </w:tabs>
        <w:jc w:val="both"/>
        <w:rPr>
          <w:b/>
          <w:bCs/>
          <w:sz w:val="22"/>
          <w:szCs w:val="22"/>
          <w:lang w:val="sr-Latn-RS"/>
        </w:rPr>
      </w:pPr>
    </w:p>
    <w:p w14:paraId="4C2C762D" w14:textId="5054D40E" w:rsidR="0072020E"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5.2. </w:t>
      </w:r>
      <w:r w:rsidR="00480FB1" w:rsidRPr="00667453">
        <w:rPr>
          <w:b/>
          <w:bCs/>
          <w:sz w:val="22"/>
          <w:szCs w:val="22"/>
          <w:lang w:val="sr-Latn-RS"/>
        </w:rPr>
        <w:tab/>
      </w:r>
      <w:r w:rsidRPr="00667453">
        <w:rPr>
          <w:b/>
          <w:bCs/>
          <w:sz w:val="22"/>
          <w:szCs w:val="22"/>
          <w:lang w:val="sr-Latn-RS"/>
        </w:rPr>
        <w:t>Farmakokinetički podaci</w:t>
      </w:r>
      <w:r w:rsidR="003A7059" w:rsidRPr="00667453">
        <w:rPr>
          <w:b/>
          <w:bCs/>
          <w:sz w:val="22"/>
          <w:szCs w:val="22"/>
          <w:lang w:val="sr-Latn-RS"/>
        </w:rPr>
        <w:t xml:space="preserve"> </w:t>
      </w:r>
    </w:p>
    <w:p w14:paraId="6157EF6E" w14:textId="058940B5" w:rsidR="00745817" w:rsidRPr="00667453" w:rsidRDefault="00745817" w:rsidP="001B7C32">
      <w:pPr>
        <w:widowControl w:val="0"/>
        <w:tabs>
          <w:tab w:val="left" w:pos="540"/>
          <w:tab w:val="left" w:pos="569"/>
        </w:tabs>
        <w:jc w:val="both"/>
        <w:rPr>
          <w:b/>
          <w:bCs/>
          <w:sz w:val="22"/>
          <w:szCs w:val="22"/>
          <w:lang w:val="sr-Latn-RS"/>
        </w:rPr>
      </w:pPr>
    </w:p>
    <w:p w14:paraId="14C0C548" w14:textId="101B1BA0" w:rsidR="00745817" w:rsidRPr="00667453" w:rsidRDefault="00745817" w:rsidP="001B7C32">
      <w:pPr>
        <w:widowControl w:val="0"/>
        <w:autoSpaceDE w:val="0"/>
        <w:autoSpaceDN w:val="0"/>
        <w:spacing w:line="247" w:lineRule="auto"/>
        <w:jc w:val="both"/>
        <w:rPr>
          <w:sz w:val="22"/>
          <w:szCs w:val="22"/>
          <w:lang w:val="sr-Latn-RS"/>
        </w:rPr>
      </w:pPr>
      <w:r w:rsidRPr="00667453">
        <w:rPr>
          <w:sz w:val="22"/>
          <w:szCs w:val="22"/>
          <w:lang w:val="sr-Latn-RS"/>
        </w:rPr>
        <w:t>Farmakokinetika anifrolumaba ispitivana je kod odraslih pacijenata sa SLE nakon primjene intravenskih doza u rasponu od 100 do 1000 mg jednom svake 4 ned</w:t>
      </w:r>
      <w:r w:rsidR="00112DD8" w:rsidRPr="00667453">
        <w:rPr>
          <w:sz w:val="22"/>
          <w:szCs w:val="22"/>
          <w:lang w:val="sr-Latn-RS"/>
        </w:rPr>
        <w:t>j</w:t>
      </w:r>
      <w:r w:rsidRPr="00667453">
        <w:rPr>
          <w:sz w:val="22"/>
          <w:szCs w:val="22"/>
          <w:lang w:val="sr-Latn-RS"/>
        </w:rPr>
        <w:t>elje i kod zdravih dobrovoljaca nakon primjene samo jedne doze.</w:t>
      </w:r>
    </w:p>
    <w:p w14:paraId="425D1779" w14:textId="77777777" w:rsidR="00745817" w:rsidRPr="00667453" w:rsidRDefault="00745817" w:rsidP="001B7C32">
      <w:pPr>
        <w:widowControl w:val="0"/>
        <w:autoSpaceDE w:val="0"/>
        <w:autoSpaceDN w:val="0"/>
        <w:jc w:val="both"/>
        <w:rPr>
          <w:sz w:val="22"/>
          <w:szCs w:val="22"/>
          <w:lang w:val="sr-Latn-RS"/>
        </w:rPr>
      </w:pPr>
    </w:p>
    <w:p w14:paraId="085A5F44" w14:textId="6B5FE0D8"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Anifrolumab pokazuje nelinearnu farmakokinetiku u rasponu doza od 100 mg do 1000 mg. Farmakokinetička izloženost brže se smanjivala pri dozama manjim od 300 mg svake 4 ned</w:t>
      </w:r>
      <w:r w:rsidR="00112DD8" w:rsidRPr="00667453">
        <w:rPr>
          <w:sz w:val="22"/>
          <w:szCs w:val="22"/>
          <w:lang w:val="sr-Latn-RS"/>
        </w:rPr>
        <w:t>j</w:t>
      </w:r>
      <w:r w:rsidRPr="00667453">
        <w:rPr>
          <w:sz w:val="22"/>
          <w:szCs w:val="22"/>
          <w:lang w:val="sr-Latn-RS"/>
        </w:rPr>
        <w:t>elje (preporučena doza).</w:t>
      </w:r>
    </w:p>
    <w:p w14:paraId="0E05732C" w14:textId="77777777" w:rsidR="00745817" w:rsidRPr="00667453" w:rsidRDefault="00745817" w:rsidP="001B7C32">
      <w:pPr>
        <w:widowControl w:val="0"/>
        <w:autoSpaceDE w:val="0"/>
        <w:autoSpaceDN w:val="0"/>
        <w:jc w:val="both"/>
        <w:rPr>
          <w:sz w:val="22"/>
          <w:szCs w:val="22"/>
          <w:lang w:val="sr-Latn-RS"/>
        </w:rPr>
      </w:pPr>
    </w:p>
    <w:p w14:paraId="02200CB2"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Resorpcija</w:t>
      </w:r>
    </w:p>
    <w:p w14:paraId="2293B480" w14:textId="77777777" w:rsidR="00745817" w:rsidRPr="00667453" w:rsidRDefault="00745817" w:rsidP="001B7C32">
      <w:pPr>
        <w:widowControl w:val="0"/>
        <w:autoSpaceDE w:val="0"/>
        <w:autoSpaceDN w:val="0"/>
        <w:jc w:val="both"/>
        <w:rPr>
          <w:sz w:val="22"/>
          <w:szCs w:val="22"/>
          <w:lang w:val="sr-Latn-RS"/>
        </w:rPr>
      </w:pPr>
    </w:p>
    <w:p w14:paraId="6382AE02" w14:textId="77777777" w:rsidR="005C2557" w:rsidRDefault="00745817" w:rsidP="001B7C32">
      <w:pPr>
        <w:widowControl w:val="0"/>
        <w:autoSpaceDE w:val="0"/>
        <w:autoSpaceDN w:val="0"/>
        <w:spacing w:line="477" w:lineRule="auto"/>
        <w:jc w:val="both"/>
        <w:rPr>
          <w:sz w:val="22"/>
          <w:szCs w:val="22"/>
          <w:lang w:val="sr-Latn-RS"/>
        </w:rPr>
      </w:pPr>
      <w:r w:rsidRPr="00667453">
        <w:rPr>
          <w:sz w:val="22"/>
          <w:szCs w:val="22"/>
          <w:lang w:val="sr-Latn-RS"/>
        </w:rPr>
        <w:t xml:space="preserve">Anifrolumab se </w:t>
      </w:r>
      <w:r w:rsidR="008419A5" w:rsidRPr="00667453">
        <w:rPr>
          <w:sz w:val="22"/>
          <w:szCs w:val="22"/>
          <w:lang w:val="sr-Latn-RS"/>
        </w:rPr>
        <w:t>primjen</w:t>
      </w:r>
      <w:r w:rsidRPr="00667453">
        <w:rPr>
          <w:sz w:val="22"/>
          <w:szCs w:val="22"/>
          <w:lang w:val="sr-Latn-RS"/>
        </w:rPr>
        <w:t>juje intravenskom fuzijom.</w:t>
      </w:r>
    </w:p>
    <w:p w14:paraId="17804FF2" w14:textId="2FDBB2D3" w:rsidR="00745817" w:rsidRPr="00667453" w:rsidRDefault="00745817" w:rsidP="001B7C32">
      <w:pPr>
        <w:widowControl w:val="0"/>
        <w:autoSpaceDE w:val="0"/>
        <w:autoSpaceDN w:val="0"/>
        <w:spacing w:line="477" w:lineRule="auto"/>
        <w:jc w:val="both"/>
        <w:rPr>
          <w:sz w:val="22"/>
          <w:szCs w:val="22"/>
          <w:lang w:val="sr-Latn-RS"/>
        </w:rPr>
      </w:pPr>
      <w:r w:rsidRPr="00667453">
        <w:rPr>
          <w:sz w:val="22"/>
          <w:szCs w:val="22"/>
          <w:u w:val="single"/>
          <w:lang w:val="sr-Latn-RS"/>
        </w:rPr>
        <w:t>Distribucija</w:t>
      </w:r>
    </w:p>
    <w:p w14:paraId="3087BF4C" w14:textId="530BE8EF"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Na osnovu populacione farmakokinetičke analize, proc</w:t>
      </w:r>
      <w:r w:rsidR="00112DD8" w:rsidRPr="00667453">
        <w:rPr>
          <w:sz w:val="22"/>
          <w:szCs w:val="22"/>
          <w:lang w:val="sr-Latn-RS"/>
        </w:rPr>
        <w:t>ij</w:t>
      </w:r>
      <w:r w:rsidRPr="00667453">
        <w:rPr>
          <w:sz w:val="22"/>
          <w:szCs w:val="22"/>
          <w:lang w:val="sr-Latn-RS"/>
        </w:rPr>
        <w:t>enjeni centralni i periferni volumen distribucije anifrolumaba iznosio je 2,</w:t>
      </w:r>
      <w:r w:rsidR="00F54E9F" w:rsidRPr="00667453">
        <w:rPr>
          <w:sz w:val="22"/>
          <w:szCs w:val="22"/>
          <w:lang w:val="sr-Latn-RS"/>
        </w:rPr>
        <w:t xml:space="preserve"> </w:t>
      </w:r>
      <w:r w:rsidRPr="00667453">
        <w:rPr>
          <w:sz w:val="22"/>
          <w:szCs w:val="22"/>
          <w:lang w:val="sr-Latn-RS"/>
        </w:rPr>
        <w:t>93 l (uz interindividualnu varijabilnost CV od 26,</w:t>
      </w:r>
      <w:r w:rsidR="00F54E9F" w:rsidRPr="00667453">
        <w:rPr>
          <w:sz w:val="22"/>
          <w:szCs w:val="22"/>
          <w:lang w:val="sr-Latn-RS"/>
        </w:rPr>
        <w:t xml:space="preserve"> </w:t>
      </w:r>
      <w:r w:rsidRPr="00667453">
        <w:rPr>
          <w:sz w:val="22"/>
          <w:szCs w:val="22"/>
          <w:lang w:val="sr-Latn-RS"/>
        </w:rPr>
        <w:t>9%) odnosno 3,</w:t>
      </w:r>
      <w:r w:rsidR="00F54E9F" w:rsidRPr="00667453">
        <w:rPr>
          <w:sz w:val="22"/>
          <w:szCs w:val="22"/>
          <w:lang w:val="sr-Latn-RS"/>
        </w:rPr>
        <w:t xml:space="preserve"> </w:t>
      </w:r>
      <w:r w:rsidRPr="00667453">
        <w:rPr>
          <w:sz w:val="22"/>
          <w:szCs w:val="22"/>
          <w:lang w:val="sr-Latn-RS"/>
        </w:rPr>
        <w:t>3 l za pacijenta t</w:t>
      </w:r>
      <w:r w:rsidR="006416F2" w:rsidRPr="00667453">
        <w:rPr>
          <w:sz w:val="22"/>
          <w:szCs w:val="22"/>
          <w:lang w:val="sr-Latn-RS"/>
        </w:rPr>
        <w:t>j</w:t>
      </w:r>
      <w:r w:rsidRPr="00667453">
        <w:rPr>
          <w:sz w:val="22"/>
          <w:szCs w:val="22"/>
          <w:lang w:val="sr-Latn-RS"/>
        </w:rPr>
        <w:t>elesne mase 69,</w:t>
      </w:r>
      <w:r w:rsidR="00F54E9F" w:rsidRPr="00667453">
        <w:rPr>
          <w:sz w:val="22"/>
          <w:szCs w:val="22"/>
          <w:lang w:val="sr-Latn-RS"/>
        </w:rPr>
        <w:t xml:space="preserve"> </w:t>
      </w:r>
      <w:r w:rsidRPr="00667453">
        <w:rPr>
          <w:sz w:val="22"/>
          <w:szCs w:val="22"/>
          <w:lang w:val="sr-Latn-RS"/>
        </w:rPr>
        <w:t>1 kg.</w:t>
      </w:r>
    </w:p>
    <w:p w14:paraId="62C28BEB" w14:textId="77777777" w:rsidR="00745817" w:rsidRPr="00667453" w:rsidRDefault="00745817" w:rsidP="001B7C32">
      <w:pPr>
        <w:widowControl w:val="0"/>
        <w:autoSpaceDE w:val="0"/>
        <w:autoSpaceDN w:val="0"/>
        <w:jc w:val="both"/>
        <w:rPr>
          <w:sz w:val="22"/>
          <w:szCs w:val="22"/>
          <w:lang w:val="sr-Latn-RS"/>
        </w:rPr>
      </w:pPr>
    </w:p>
    <w:p w14:paraId="5C7E90E2"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Biotransformacija</w:t>
      </w:r>
    </w:p>
    <w:p w14:paraId="7E89181F" w14:textId="77777777" w:rsidR="00745817" w:rsidRPr="00667453" w:rsidRDefault="00745817" w:rsidP="001B7C32">
      <w:pPr>
        <w:widowControl w:val="0"/>
        <w:autoSpaceDE w:val="0"/>
        <w:autoSpaceDN w:val="0"/>
        <w:jc w:val="both"/>
        <w:rPr>
          <w:sz w:val="22"/>
          <w:szCs w:val="22"/>
          <w:lang w:val="sr-Latn-RS"/>
        </w:rPr>
      </w:pPr>
    </w:p>
    <w:p w14:paraId="7D1B16EB" w14:textId="5341D5E9" w:rsidR="00745817" w:rsidRPr="00667453" w:rsidRDefault="00745817" w:rsidP="001B7C32">
      <w:pPr>
        <w:widowControl w:val="0"/>
        <w:autoSpaceDE w:val="0"/>
        <w:autoSpaceDN w:val="0"/>
        <w:jc w:val="both"/>
        <w:rPr>
          <w:sz w:val="22"/>
          <w:szCs w:val="22"/>
          <w:lang w:val="sr-Latn-RS"/>
        </w:rPr>
      </w:pPr>
      <w:r w:rsidRPr="00667453">
        <w:rPr>
          <w:sz w:val="22"/>
          <w:szCs w:val="22"/>
          <w:lang w:val="sr-Latn-RS"/>
        </w:rPr>
        <w:t>Anifrolumab je protein, stoga posebne studije metabolizma nijesu izvršene.</w:t>
      </w:r>
      <w:r w:rsidR="00F54E9F" w:rsidRPr="00667453">
        <w:rPr>
          <w:sz w:val="22"/>
          <w:szCs w:val="22"/>
          <w:lang w:val="sr-Latn-RS"/>
        </w:rPr>
        <w:t xml:space="preserve"> </w:t>
      </w:r>
      <w:r w:rsidRPr="00667453">
        <w:rPr>
          <w:sz w:val="22"/>
          <w:szCs w:val="22"/>
          <w:lang w:val="sr-Latn-RS"/>
        </w:rPr>
        <w:t>Anifrolumab se eliminiše eliminacionim putem u kome posreduje ciljni IFNAR i putem retikuloendotelnog sistema u kome se očekuje razgradnja anifrolumaba do malih peptida i pojedinačnih aminokis</w:t>
      </w:r>
      <w:r w:rsidR="006416F2" w:rsidRPr="00667453">
        <w:rPr>
          <w:sz w:val="22"/>
          <w:szCs w:val="22"/>
          <w:lang w:val="sr-Latn-RS"/>
        </w:rPr>
        <w:t>j</w:t>
      </w:r>
      <w:r w:rsidRPr="00667453">
        <w:rPr>
          <w:sz w:val="22"/>
          <w:szCs w:val="22"/>
          <w:lang w:val="sr-Latn-RS"/>
        </w:rPr>
        <w:t>elina d</w:t>
      </w:r>
      <w:r w:rsidR="006416F2" w:rsidRPr="00667453">
        <w:rPr>
          <w:sz w:val="22"/>
          <w:szCs w:val="22"/>
          <w:lang w:val="sr-Latn-RS"/>
        </w:rPr>
        <w:t>j</w:t>
      </w:r>
      <w:r w:rsidRPr="00667453">
        <w:rPr>
          <w:sz w:val="22"/>
          <w:szCs w:val="22"/>
          <w:lang w:val="sr-Latn-RS"/>
        </w:rPr>
        <w:t>elovanjem proteolitičkih enzima koji su široko rasprostranjeni u organizmu.</w:t>
      </w:r>
    </w:p>
    <w:p w14:paraId="134B2CCF" w14:textId="77777777" w:rsidR="00745817" w:rsidRPr="00667453" w:rsidRDefault="00745817" w:rsidP="001B7C32">
      <w:pPr>
        <w:widowControl w:val="0"/>
        <w:autoSpaceDE w:val="0"/>
        <w:autoSpaceDN w:val="0"/>
        <w:jc w:val="both"/>
        <w:rPr>
          <w:sz w:val="22"/>
          <w:szCs w:val="22"/>
          <w:lang w:val="sr-Latn-RS"/>
        </w:rPr>
      </w:pPr>
    </w:p>
    <w:p w14:paraId="4602C95B"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Eliminacija</w:t>
      </w:r>
    </w:p>
    <w:p w14:paraId="73F37ED3" w14:textId="77777777" w:rsidR="00745817" w:rsidRPr="00667453" w:rsidRDefault="00745817" w:rsidP="001B7C32">
      <w:pPr>
        <w:widowControl w:val="0"/>
        <w:autoSpaceDE w:val="0"/>
        <w:autoSpaceDN w:val="0"/>
        <w:jc w:val="both"/>
        <w:rPr>
          <w:sz w:val="22"/>
          <w:szCs w:val="22"/>
          <w:lang w:val="sr-Latn-RS"/>
        </w:rPr>
      </w:pPr>
    </w:p>
    <w:p w14:paraId="5F554B87" w14:textId="30D2ED65"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Zbog zasićenja klirensa posredovanog receptorima IFNAR1 pri višim dozama, izloženost l</w:t>
      </w:r>
      <w:r w:rsidR="006416F2" w:rsidRPr="00667453">
        <w:rPr>
          <w:sz w:val="22"/>
          <w:szCs w:val="22"/>
          <w:lang w:val="sr-Latn-RS"/>
        </w:rPr>
        <w:t>ij</w:t>
      </w:r>
      <w:r w:rsidRPr="00667453">
        <w:rPr>
          <w:sz w:val="22"/>
          <w:szCs w:val="22"/>
          <w:lang w:val="sr-Latn-RS"/>
        </w:rPr>
        <w:t>eku povećava se više nego proporcionalno dozi.</w:t>
      </w:r>
    </w:p>
    <w:p w14:paraId="663F6304" w14:textId="77777777" w:rsidR="00745817" w:rsidRPr="00667453" w:rsidRDefault="00745817" w:rsidP="001B7C32">
      <w:pPr>
        <w:widowControl w:val="0"/>
        <w:autoSpaceDE w:val="0"/>
        <w:autoSpaceDN w:val="0"/>
        <w:jc w:val="both"/>
        <w:rPr>
          <w:sz w:val="22"/>
          <w:szCs w:val="22"/>
          <w:lang w:val="sr-Latn-RS"/>
        </w:rPr>
      </w:pPr>
    </w:p>
    <w:p w14:paraId="28C67CA7" w14:textId="6559774B"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Tipičan sistemski klirens (CL) proc</w:t>
      </w:r>
      <w:r w:rsidR="006416F2" w:rsidRPr="00667453">
        <w:rPr>
          <w:sz w:val="22"/>
          <w:szCs w:val="22"/>
          <w:lang w:val="sr-Latn-RS"/>
        </w:rPr>
        <w:t>ij</w:t>
      </w:r>
      <w:r w:rsidRPr="00667453">
        <w:rPr>
          <w:sz w:val="22"/>
          <w:szCs w:val="22"/>
          <w:lang w:val="sr-Latn-RS"/>
        </w:rPr>
        <w:t>enjen populacionim farmakokinetičkim mo</w:t>
      </w:r>
      <w:r w:rsidR="006416F2" w:rsidRPr="00667453">
        <w:rPr>
          <w:sz w:val="22"/>
          <w:szCs w:val="22"/>
          <w:lang w:val="sr-Latn-RS"/>
        </w:rPr>
        <w:t>djelovanj</w:t>
      </w:r>
      <w:r w:rsidRPr="00667453">
        <w:rPr>
          <w:sz w:val="22"/>
          <w:szCs w:val="22"/>
          <w:lang w:val="sr-Latn-RS"/>
        </w:rPr>
        <w:t>em iznosio je 0,</w:t>
      </w:r>
      <w:r w:rsidR="00F54E9F" w:rsidRPr="00667453">
        <w:rPr>
          <w:sz w:val="22"/>
          <w:szCs w:val="22"/>
          <w:lang w:val="sr-Latn-RS"/>
        </w:rPr>
        <w:t xml:space="preserve"> </w:t>
      </w:r>
      <w:r w:rsidRPr="00667453">
        <w:rPr>
          <w:sz w:val="22"/>
          <w:szCs w:val="22"/>
          <w:lang w:val="sr-Latn-RS"/>
        </w:rPr>
        <w:t>193 l dnevno, uz interindividualnu varijabilnost CV od 33,0%. Medijana CL polako se vremenom smanjuje, uz smanjenje od 8,</w:t>
      </w:r>
      <w:r w:rsidR="00F54E9F" w:rsidRPr="00667453">
        <w:rPr>
          <w:sz w:val="22"/>
          <w:szCs w:val="22"/>
          <w:lang w:val="sr-Latn-RS"/>
        </w:rPr>
        <w:t xml:space="preserve"> </w:t>
      </w:r>
      <w:r w:rsidRPr="00667453">
        <w:rPr>
          <w:sz w:val="22"/>
          <w:szCs w:val="22"/>
          <w:lang w:val="sr-Latn-RS"/>
        </w:rPr>
        <w:t>4% nakon godinu dana liječenja.</w:t>
      </w:r>
      <w:r w:rsidR="000B2A85" w:rsidRPr="001B7C32">
        <w:rPr>
          <w:lang w:val="sr-Latn-RS"/>
        </w:rPr>
        <w:t xml:space="preserve"> </w:t>
      </w:r>
      <w:r w:rsidR="000B2A85" w:rsidRPr="00B15FA8">
        <w:rPr>
          <w:sz w:val="22"/>
          <w:szCs w:val="22"/>
          <w:lang w:val="sr-Latn-RS"/>
        </w:rPr>
        <w:t>Nakon dugoročnih posmatranja, utvrđeno je da je klirens anifrolumaba stabilan u godinama od 2 do 4 na liječenju.</w:t>
      </w:r>
    </w:p>
    <w:p w14:paraId="61A8D13B" w14:textId="77777777" w:rsidR="00745817" w:rsidRPr="00667453" w:rsidRDefault="00745817" w:rsidP="001B7C32">
      <w:pPr>
        <w:widowControl w:val="0"/>
        <w:autoSpaceDE w:val="0"/>
        <w:autoSpaceDN w:val="0"/>
        <w:jc w:val="both"/>
        <w:rPr>
          <w:sz w:val="22"/>
          <w:szCs w:val="22"/>
          <w:lang w:val="sr-Latn-RS"/>
        </w:rPr>
      </w:pPr>
    </w:p>
    <w:p w14:paraId="246FB7FA" w14:textId="2AF70010" w:rsidR="00745817" w:rsidRPr="00667453" w:rsidRDefault="00745817" w:rsidP="001B7C32">
      <w:pPr>
        <w:widowControl w:val="0"/>
        <w:autoSpaceDE w:val="0"/>
        <w:autoSpaceDN w:val="0"/>
        <w:spacing w:line="247" w:lineRule="auto"/>
        <w:jc w:val="both"/>
        <w:rPr>
          <w:sz w:val="22"/>
          <w:szCs w:val="22"/>
          <w:lang w:val="sr-Latn-RS"/>
        </w:rPr>
      </w:pPr>
      <w:r w:rsidRPr="00667453">
        <w:rPr>
          <w:sz w:val="22"/>
          <w:szCs w:val="22"/>
          <w:lang w:val="sr-Latn-RS"/>
        </w:rPr>
        <w:t>Prema populacionoj farmakokinetičkoj analizi, koncentracije anifrolumaba u serumu bile su ispod nivoa detekcije kod većine pacijenata (95%) približno 16 ned</w:t>
      </w:r>
      <w:r w:rsidR="00112DD8" w:rsidRPr="00667453">
        <w:rPr>
          <w:sz w:val="22"/>
          <w:szCs w:val="22"/>
          <w:lang w:val="sr-Latn-RS"/>
        </w:rPr>
        <w:t>j</w:t>
      </w:r>
      <w:r w:rsidRPr="00667453">
        <w:rPr>
          <w:sz w:val="22"/>
          <w:szCs w:val="22"/>
          <w:lang w:val="sr-Latn-RS"/>
        </w:rPr>
        <w:t>elja nakon posl</w:t>
      </w:r>
      <w:r w:rsidR="00112DD8" w:rsidRPr="00667453">
        <w:rPr>
          <w:sz w:val="22"/>
          <w:szCs w:val="22"/>
          <w:lang w:val="sr-Latn-RS"/>
        </w:rPr>
        <w:t>j</w:t>
      </w:r>
      <w:r w:rsidRPr="00667453">
        <w:rPr>
          <w:sz w:val="22"/>
          <w:szCs w:val="22"/>
          <w:lang w:val="sr-Latn-RS"/>
        </w:rPr>
        <w:t>ednje doze l</w:t>
      </w:r>
      <w:r w:rsidR="006416F2" w:rsidRPr="00667453">
        <w:rPr>
          <w:sz w:val="22"/>
          <w:szCs w:val="22"/>
          <w:lang w:val="sr-Latn-RS"/>
        </w:rPr>
        <w:t>ij</w:t>
      </w:r>
      <w:r w:rsidRPr="00667453">
        <w:rPr>
          <w:sz w:val="22"/>
          <w:szCs w:val="22"/>
          <w:lang w:val="sr-Latn-RS"/>
        </w:rPr>
        <w:t xml:space="preserve">eka kad se anifrolumab </w:t>
      </w:r>
      <w:r w:rsidR="008419A5" w:rsidRPr="00667453">
        <w:rPr>
          <w:sz w:val="22"/>
          <w:szCs w:val="22"/>
          <w:lang w:val="sr-Latn-RS"/>
        </w:rPr>
        <w:t>primjen</w:t>
      </w:r>
      <w:r w:rsidRPr="00667453">
        <w:rPr>
          <w:sz w:val="22"/>
          <w:szCs w:val="22"/>
          <w:lang w:val="sr-Latn-RS"/>
        </w:rPr>
        <w:t>jivao tokom godinu dana.</w:t>
      </w:r>
    </w:p>
    <w:p w14:paraId="6CF1A8BE" w14:textId="77777777" w:rsidR="00745817" w:rsidRPr="00667453" w:rsidRDefault="00745817" w:rsidP="001B7C32">
      <w:pPr>
        <w:widowControl w:val="0"/>
        <w:autoSpaceDE w:val="0"/>
        <w:autoSpaceDN w:val="0"/>
        <w:jc w:val="both"/>
        <w:rPr>
          <w:sz w:val="22"/>
          <w:szCs w:val="22"/>
          <w:lang w:val="sr-Latn-RS"/>
        </w:rPr>
      </w:pPr>
    </w:p>
    <w:p w14:paraId="0DE36056"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Posebne populacije</w:t>
      </w:r>
    </w:p>
    <w:p w14:paraId="66F37884" w14:textId="77777777" w:rsidR="00745817" w:rsidRPr="00667453" w:rsidRDefault="00745817" w:rsidP="001B7C32">
      <w:pPr>
        <w:widowControl w:val="0"/>
        <w:autoSpaceDE w:val="0"/>
        <w:autoSpaceDN w:val="0"/>
        <w:jc w:val="both"/>
        <w:rPr>
          <w:sz w:val="22"/>
          <w:szCs w:val="22"/>
          <w:lang w:val="sr-Latn-RS"/>
        </w:rPr>
      </w:pPr>
    </w:p>
    <w:p w14:paraId="25633F6A" w14:textId="2FB0ACD5"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Godine života, rasa, etničko poreklo, region, pol, interferonski status i t</w:t>
      </w:r>
      <w:r w:rsidR="006416F2" w:rsidRPr="00667453">
        <w:rPr>
          <w:sz w:val="22"/>
          <w:szCs w:val="22"/>
          <w:lang w:val="sr-Latn-RS"/>
        </w:rPr>
        <w:t>j</w:t>
      </w:r>
      <w:r w:rsidRPr="00667453">
        <w:rPr>
          <w:sz w:val="22"/>
          <w:szCs w:val="22"/>
          <w:lang w:val="sr-Latn-RS"/>
        </w:rPr>
        <w:t>elesna masa nijesu bili povezani sa klinički važnom razlikom u sistemskom klirensu koja bi zaht</w:t>
      </w:r>
      <w:r w:rsidR="008723B0" w:rsidRPr="00667453">
        <w:rPr>
          <w:sz w:val="22"/>
          <w:szCs w:val="22"/>
          <w:lang w:val="sr-Latn-RS"/>
        </w:rPr>
        <w:t>ij</w:t>
      </w:r>
      <w:r w:rsidRPr="00667453">
        <w:rPr>
          <w:sz w:val="22"/>
          <w:szCs w:val="22"/>
          <w:lang w:val="sr-Latn-RS"/>
        </w:rPr>
        <w:t>evala podešavanje doze.</w:t>
      </w:r>
    </w:p>
    <w:p w14:paraId="6B8488B7" w14:textId="77777777" w:rsidR="00745817" w:rsidRPr="00667453" w:rsidRDefault="00745817" w:rsidP="001B7C32">
      <w:pPr>
        <w:widowControl w:val="0"/>
        <w:autoSpaceDE w:val="0"/>
        <w:autoSpaceDN w:val="0"/>
        <w:rPr>
          <w:sz w:val="22"/>
          <w:szCs w:val="22"/>
          <w:lang w:val="sr-Latn-RS"/>
        </w:rPr>
      </w:pPr>
    </w:p>
    <w:p w14:paraId="567DD20F" w14:textId="77777777" w:rsidR="00745817" w:rsidRPr="00667453" w:rsidRDefault="00745817" w:rsidP="001B7C32">
      <w:pPr>
        <w:widowControl w:val="0"/>
        <w:autoSpaceDE w:val="0"/>
        <w:autoSpaceDN w:val="0"/>
        <w:jc w:val="both"/>
        <w:rPr>
          <w:i/>
          <w:sz w:val="22"/>
          <w:szCs w:val="22"/>
          <w:lang w:val="sr-Latn-RS"/>
        </w:rPr>
      </w:pPr>
      <w:r w:rsidRPr="00667453">
        <w:rPr>
          <w:i/>
          <w:iCs/>
          <w:sz w:val="22"/>
          <w:szCs w:val="22"/>
          <w:lang w:val="sr-Latn-RS"/>
        </w:rPr>
        <w:t>Stariji pacijenti (≥ 65 godina)</w:t>
      </w:r>
    </w:p>
    <w:p w14:paraId="33F073C6" w14:textId="21F2F096" w:rsidR="00745817" w:rsidRPr="00667453" w:rsidRDefault="00745817" w:rsidP="001B7C32">
      <w:pPr>
        <w:widowControl w:val="0"/>
        <w:autoSpaceDE w:val="0"/>
        <w:autoSpaceDN w:val="0"/>
        <w:spacing w:line="249" w:lineRule="auto"/>
        <w:jc w:val="both"/>
        <w:rPr>
          <w:sz w:val="22"/>
          <w:szCs w:val="22"/>
          <w:lang w:val="sr-Latn-RS"/>
        </w:rPr>
      </w:pPr>
      <w:r w:rsidRPr="00667453">
        <w:rPr>
          <w:sz w:val="22"/>
          <w:szCs w:val="22"/>
          <w:lang w:val="sr-Latn-RS"/>
        </w:rPr>
        <w:t>Prema populacionoj farmakokinetičkoj analizi, godine života (raspon: 18–69 godina) nijesu uticale na klirens anifrolumaba; skup podataka za populacionu farmakokinetičku analizu uključivao je 20 (3%) pacijenata ≥ 65 godina.</w:t>
      </w:r>
    </w:p>
    <w:p w14:paraId="2A96431B" w14:textId="77777777" w:rsidR="00745817" w:rsidRPr="00667453" w:rsidRDefault="00745817" w:rsidP="001B7C32">
      <w:pPr>
        <w:widowControl w:val="0"/>
        <w:autoSpaceDE w:val="0"/>
        <w:autoSpaceDN w:val="0"/>
        <w:jc w:val="both"/>
        <w:rPr>
          <w:sz w:val="22"/>
          <w:szCs w:val="22"/>
          <w:lang w:val="sr-Latn-RS"/>
        </w:rPr>
      </w:pPr>
    </w:p>
    <w:p w14:paraId="619923EB" w14:textId="77777777" w:rsidR="00745817" w:rsidRPr="00667453" w:rsidRDefault="00745817" w:rsidP="001B7C32">
      <w:pPr>
        <w:widowControl w:val="0"/>
        <w:autoSpaceDE w:val="0"/>
        <w:autoSpaceDN w:val="0"/>
        <w:jc w:val="both"/>
        <w:rPr>
          <w:i/>
          <w:sz w:val="22"/>
          <w:szCs w:val="22"/>
          <w:lang w:val="sr-Latn-RS"/>
        </w:rPr>
      </w:pPr>
      <w:r w:rsidRPr="00667453">
        <w:rPr>
          <w:i/>
          <w:iCs/>
          <w:sz w:val="22"/>
          <w:szCs w:val="22"/>
          <w:lang w:val="sr-Latn-RS"/>
        </w:rPr>
        <w:t>Oštećenje funkcije bubrega</w:t>
      </w:r>
    </w:p>
    <w:p w14:paraId="4B03E8A7" w14:textId="5D17BE1E" w:rsidR="00745817" w:rsidRPr="00667453" w:rsidRDefault="00745817" w:rsidP="001B7C32">
      <w:pPr>
        <w:widowControl w:val="0"/>
        <w:autoSpaceDE w:val="0"/>
        <w:autoSpaceDN w:val="0"/>
        <w:jc w:val="both"/>
        <w:rPr>
          <w:sz w:val="22"/>
          <w:szCs w:val="22"/>
          <w:lang w:val="sr-Latn-RS"/>
        </w:rPr>
      </w:pPr>
      <w:r w:rsidRPr="00667453">
        <w:rPr>
          <w:sz w:val="22"/>
          <w:szCs w:val="22"/>
          <w:lang w:val="sr-Latn-RS"/>
        </w:rPr>
        <w:t>Nijesu sprovedene posebne kliničke studije za ispitivanje uticaja oštećenja funkcije bubrega na anifrolumab. Prema populacionim farmakokinetičkim analizama, klirens anifrolumaba bio je uporediv kod pacijenata sa SLE koji su imali blago (60–89 ml/min/1,</w:t>
      </w:r>
      <w:r w:rsidR="00F54E9F" w:rsidRPr="00667453">
        <w:rPr>
          <w:sz w:val="22"/>
          <w:szCs w:val="22"/>
          <w:lang w:val="sr-Latn-RS"/>
        </w:rPr>
        <w:t xml:space="preserve"> </w:t>
      </w:r>
      <w:r w:rsidRPr="00667453">
        <w:rPr>
          <w:sz w:val="22"/>
          <w:szCs w:val="22"/>
          <w:lang w:val="sr-Latn-RS"/>
        </w:rPr>
        <w:t>73 m</w:t>
      </w:r>
      <w:r w:rsidRPr="00667453">
        <w:rPr>
          <w:sz w:val="22"/>
          <w:szCs w:val="22"/>
          <w:vertAlign w:val="superscript"/>
          <w:lang w:val="sr-Latn-RS"/>
        </w:rPr>
        <w:t>2</w:t>
      </w:r>
      <w:r w:rsidRPr="00667453">
        <w:rPr>
          <w:sz w:val="22"/>
          <w:szCs w:val="22"/>
          <w:lang w:val="sr-Latn-RS"/>
        </w:rPr>
        <w:t>) i um</w:t>
      </w:r>
      <w:r w:rsidR="008723B0" w:rsidRPr="00667453">
        <w:rPr>
          <w:sz w:val="22"/>
          <w:szCs w:val="22"/>
          <w:lang w:val="sr-Latn-RS"/>
        </w:rPr>
        <w:t>j</w:t>
      </w:r>
      <w:r w:rsidRPr="00667453">
        <w:rPr>
          <w:sz w:val="22"/>
          <w:szCs w:val="22"/>
          <w:lang w:val="sr-Latn-RS"/>
        </w:rPr>
        <w:t xml:space="preserve">ereno smanjenje </w:t>
      </w:r>
      <w:r w:rsidR="006416F2" w:rsidRPr="00667453">
        <w:rPr>
          <w:sz w:val="22"/>
          <w:szCs w:val="22"/>
          <w:lang w:val="sr-Latn-RS"/>
        </w:rPr>
        <w:t>vrijednosti</w:t>
      </w:r>
      <w:r w:rsidRPr="00667453">
        <w:rPr>
          <w:sz w:val="22"/>
          <w:szCs w:val="22"/>
          <w:lang w:val="sr-Latn-RS"/>
        </w:rPr>
        <w:t xml:space="preserve"> eGFR (30–59 ml/min/1,</w:t>
      </w:r>
      <w:r w:rsidR="00F54E9F" w:rsidRPr="00667453">
        <w:rPr>
          <w:sz w:val="22"/>
          <w:szCs w:val="22"/>
          <w:lang w:val="sr-Latn-RS"/>
        </w:rPr>
        <w:t xml:space="preserve"> </w:t>
      </w:r>
      <w:r w:rsidRPr="00667453">
        <w:rPr>
          <w:sz w:val="22"/>
          <w:szCs w:val="22"/>
          <w:lang w:val="sr-Latn-RS"/>
        </w:rPr>
        <w:t>73 m</w:t>
      </w:r>
      <w:r w:rsidRPr="00667453">
        <w:rPr>
          <w:sz w:val="22"/>
          <w:szCs w:val="22"/>
          <w:vertAlign w:val="superscript"/>
          <w:lang w:val="sr-Latn-RS"/>
        </w:rPr>
        <w:t>2</w:t>
      </w:r>
      <w:r w:rsidRPr="00667453">
        <w:rPr>
          <w:sz w:val="22"/>
          <w:szCs w:val="22"/>
          <w:lang w:val="sr-Latn-RS"/>
        </w:rPr>
        <w:t>) i onih sa normalnom bubrežnom funkcijom (≥ 90 ml/min/1,</w:t>
      </w:r>
      <w:r w:rsidR="00F54E9F" w:rsidRPr="00667453">
        <w:rPr>
          <w:sz w:val="22"/>
          <w:szCs w:val="22"/>
          <w:lang w:val="sr-Latn-RS"/>
        </w:rPr>
        <w:t xml:space="preserve"> </w:t>
      </w:r>
      <w:r w:rsidRPr="00667453">
        <w:rPr>
          <w:sz w:val="22"/>
          <w:szCs w:val="22"/>
          <w:lang w:val="sr-Latn-RS"/>
        </w:rPr>
        <w:t>73 m</w:t>
      </w:r>
      <w:r w:rsidRPr="00667453">
        <w:rPr>
          <w:sz w:val="22"/>
          <w:szCs w:val="22"/>
          <w:vertAlign w:val="superscript"/>
          <w:lang w:val="sr-Latn-RS"/>
        </w:rPr>
        <w:t>2</w:t>
      </w:r>
      <w:r w:rsidRPr="00667453">
        <w:rPr>
          <w:sz w:val="22"/>
          <w:szCs w:val="22"/>
          <w:lang w:val="sr-Latn-RS"/>
        </w:rPr>
        <w:t xml:space="preserve">). Pacijenti sa SLE koji su imali vrlo izraženo smanjenje </w:t>
      </w:r>
      <w:r w:rsidR="006416F2" w:rsidRPr="00667453">
        <w:rPr>
          <w:sz w:val="22"/>
          <w:szCs w:val="22"/>
          <w:lang w:val="sr-Latn-RS"/>
        </w:rPr>
        <w:t>vrijednosti</w:t>
      </w:r>
      <w:r w:rsidRPr="00667453">
        <w:rPr>
          <w:sz w:val="22"/>
          <w:szCs w:val="22"/>
          <w:lang w:val="sr-Latn-RS"/>
        </w:rPr>
        <w:t xml:space="preserve"> eGFR ili su bili u završnom stadijumu bubrežne bolesti (&lt; 30 ml/min/1,</w:t>
      </w:r>
      <w:r w:rsidR="00F54E9F" w:rsidRPr="00667453">
        <w:rPr>
          <w:sz w:val="22"/>
          <w:szCs w:val="22"/>
          <w:lang w:val="sr-Latn-RS"/>
        </w:rPr>
        <w:t xml:space="preserve"> </w:t>
      </w:r>
      <w:r w:rsidRPr="00667453">
        <w:rPr>
          <w:sz w:val="22"/>
          <w:szCs w:val="22"/>
          <w:lang w:val="sr-Latn-RS"/>
        </w:rPr>
        <w:t>73 m</w:t>
      </w:r>
      <w:r w:rsidRPr="00667453">
        <w:rPr>
          <w:sz w:val="22"/>
          <w:szCs w:val="22"/>
          <w:vertAlign w:val="superscript"/>
          <w:lang w:val="sr-Latn-RS"/>
        </w:rPr>
        <w:t>2</w:t>
      </w:r>
      <w:r w:rsidRPr="00667453">
        <w:rPr>
          <w:sz w:val="22"/>
          <w:szCs w:val="22"/>
          <w:lang w:val="sr-Latn-RS"/>
        </w:rPr>
        <w:t>) nijesu mogli da učestvuju u kliničkim ispitivanjima; anifrolumab se ne izlučuje putem bubrega.</w:t>
      </w:r>
    </w:p>
    <w:p w14:paraId="7001394A" w14:textId="77777777" w:rsidR="00745817" w:rsidRPr="00667453" w:rsidRDefault="00745817" w:rsidP="001B7C32">
      <w:pPr>
        <w:widowControl w:val="0"/>
        <w:autoSpaceDE w:val="0"/>
        <w:autoSpaceDN w:val="0"/>
        <w:jc w:val="both"/>
        <w:rPr>
          <w:sz w:val="22"/>
          <w:szCs w:val="22"/>
          <w:lang w:val="sr-Latn-RS"/>
        </w:rPr>
      </w:pPr>
    </w:p>
    <w:p w14:paraId="79FFB7ED" w14:textId="1806EF85" w:rsidR="00745817" w:rsidRPr="00667453" w:rsidRDefault="00745817" w:rsidP="001B7C32">
      <w:pPr>
        <w:widowControl w:val="0"/>
        <w:autoSpaceDE w:val="0"/>
        <w:autoSpaceDN w:val="0"/>
        <w:jc w:val="both"/>
        <w:rPr>
          <w:sz w:val="22"/>
          <w:szCs w:val="22"/>
          <w:lang w:val="sr-Latn-RS"/>
        </w:rPr>
      </w:pPr>
      <w:r w:rsidRPr="00667453">
        <w:rPr>
          <w:sz w:val="22"/>
          <w:szCs w:val="22"/>
          <w:lang w:val="sr-Latn-RS"/>
        </w:rPr>
        <w:t>U kliničkim ispitivanjima nijesu mogli da učestvuju ni pacijenti sa UPCR &gt;2 mg/mg. Prema populacionim farmakokinetičkim analizama, povišen odnos proteina i kreatinina u mokraći (UPCR) nije značajno uticao na klirens anifrolumaba.</w:t>
      </w:r>
    </w:p>
    <w:p w14:paraId="623FFC9A" w14:textId="77777777" w:rsidR="00745817" w:rsidRPr="00667453" w:rsidRDefault="00745817" w:rsidP="001B7C32">
      <w:pPr>
        <w:widowControl w:val="0"/>
        <w:autoSpaceDE w:val="0"/>
        <w:autoSpaceDN w:val="0"/>
        <w:jc w:val="both"/>
        <w:rPr>
          <w:sz w:val="22"/>
          <w:szCs w:val="22"/>
          <w:lang w:val="sr-Latn-RS"/>
        </w:rPr>
      </w:pPr>
    </w:p>
    <w:p w14:paraId="4BCA8360" w14:textId="77777777" w:rsidR="00745817" w:rsidRPr="00667453" w:rsidRDefault="00745817" w:rsidP="001B7C32">
      <w:pPr>
        <w:widowControl w:val="0"/>
        <w:autoSpaceDE w:val="0"/>
        <w:autoSpaceDN w:val="0"/>
        <w:jc w:val="both"/>
        <w:rPr>
          <w:i/>
          <w:sz w:val="22"/>
          <w:szCs w:val="22"/>
          <w:lang w:val="sr-Latn-RS"/>
        </w:rPr>
      </w:pPr>
      <w:r w:rsidRPr="00667453">
        <w:rPr>
          <w:i/>
          <w:iCs/>
          <w:sz w:val="22"/>
          <w:szCs w:val="22"/>
          <w:lang w:val="sr-Latn-RS"/>
        </w:rPr>
        <w:t>Oštećenje funkcije jetre</w:t>
      </w:r>
    </w:p>
    <w:p w14:paraId="331ED524" w14:textId="199CCF42"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Nijesu sprovedene posebne kliničke studije za ispitivanje uticaja oštećenja funkcije jetre na anifrolumab.</w:t>
      </w:r>
    </w:p>
    <w:p w14:paraId="40E382B2" w14:textId="77777777" w:rsidR="00745817" w:rsidRPr="00667453" w:rsidRDefault="00745817" w:rsidP="001B7C32">
      <w:pPr>
        <w:widowControl w:val="0"/>
        <w:autoSpaceDE w:val="0"/>
        <w:autoSpaceDN w:val="0"/>
        <w:jc w:val="both"/>
        <w:rPr>
          <w:sz w:val="22"/>
          <w:szCs w:val="22"/>
          <w:lang w:val="sr-Latn-RS"/>
        </w:rPr>
      </w:pPr>
    </w:p>
    <w:p w14:paraId="7319BE7A" w14:textId="4DB8A05D" w:rsidR="00745817" w:rsidRPr="00667453" w:rsidRDefault="00745817" w:rsidP="001B7C32">
      <w:pPr>
        <w:widowControl w:val="0"/>
        <w:autoSpaceDE w:val="0"/>
        <w:autoSpaceDN w:val="0"/>
        <w:spacing w:line="247" w:lineRule="auto"/>
        <w:jc w:val="both"/>
        <w:rPr>
          <w:sz w:val="22"/>
          <w:szCs w:val="22"/>
          <w:lang w:val="sr-Latn-RS"/>
        </w:rPr>
      </w:pPr>
      <w:r w:rsidRPr="00667453">
        <w:rPr>
          <w:sz w:val="22"/>
          <w:szCs w:val="22"/>
          <w:lang w:val="sr-Latn-RS"/>
        </w:rPr>
        <w:t>Kao IgG1 monoklonsko antitijelo, anifrolumab se prvenstveno eliminiše katabolizmom i ne očekuje se njegov metabolizam putem jetrenih enzima, pa nije v</w:t>
      </w:r>
      <w:r w:rsidR="008723B0" w:rsidRPr="00667453">
        <w:rPr>
          <w:sz w:val="22"/>
          <w:szCs w:val="22"/>
          <w:lang w:val="sr-Latn-RS"/>
        </w:rPr>
        <w:t>j</w:t>
      </w:r>
      <w:r w:rsidRPr="00667453">
        <w:rPr>
          <w:sz w:val="22"/>
          <w:szCs w:val="22"/>
          <w:lang w:val="sr-Latn-RS"/>
        </w:rPr>
        <w:t>erovatno da će prom</w:t>
      </w:r>
      <w:r w:rsidR="008723B0" w:rsidRPr="00667453">
        <w:rPr>
          <w:sz w:val="22"/>
          <w:szCs w:val="22"/>
          <w:lang w:val="sr-Latn-RS"/>
        </w:rPr>
        <w:t>j</w:t>
      </w:r>
      <w:r w:rsidRPr="00667453">
        <w:rPr>
          <w:sz w:val="22"/>
          <w:szCs w:val="22"/>
          <w:lang w:val="sr-Latn-RS"/>
        </w:rPr>
        <w:t>ene jetrene funkcije uticati na eliminaciju anifrolumaba. Prema populacionim farmakokinetičkim analizama, početne vr</w:t>
      </w:r>
      <w:r w:rsidR="006416F2" w:rsidRPr="00667453">
        <w:rPr>
          <w:sz w:val="22"/>
          <w:szCs w:val="22"/>
          <w:lang w:val="sr-Latn-RS"/>
        </w:rPr>
        <w:t>ij</w:t>
      </w:r>
      <w:r w:rsidRPr="00667453">
        <w:rPr>
          <w:sz w:val="22"/>
          <w:szCs w:val="22"/>
          <w:lang w:val="sr-Latn-RS"/>
        </w:rPr>
        <w:t>ednosti biomarkera funkcije jetre (ALT i AST ≤ 2,</w:t>
      </w:r>
      <w:r w:rsidR="00F54E9F" w:rsidRPr="00667453">
        <w:rPr>
          <w:sz w:val="22"/>
          <w:szCs w:val="22"/>
          <w:lang w:val="sr-Latn-RS"/>
        </w:rPr>
        <w:t xml:space="preserve"> </w:t>
      </w:r>
      <w:r w:rsidRPr="00667453">
        <w:rPr>
          <w:sz w:val="22"/>
          <w:szCs w:val="22"/>
          <w:lang w:val="sr-Latn-RS"/>
        </w:rPr>
        <w:t>0 x ULN i ukupni bilirubin) nijesu imale klinički važno dejstvo na klirens anifrolumaba.</w:t>
      </w:r>
    </w:p>
    <w:p w14:paraId="3DAD4A07" w14:textId="77777777" w:rsidR="00745817" w:rsidRPr="00667453" w:rsidRDefault="00745817" w:rsidP="001B7C32">
      <w:pPr>
        <w:widowControl w:val="0"/>
        <w:autoSpaceDE w:val="0"/>
        <w:autoSpaceDN w:val="0"/>
        <w:jc w:val="both"/>
        <w:rPr>
          <w:sz w:val="22"/>
          <w:szCs w:val="22"/>
          <w:lang w:val="sr-Latn-RS"/>
        </w:rPr>
      </w:pPr>
    </w:p>
    <w:p w14:paraId="3BFDC430"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Interakcije</w:t>
      </w:r>
    </w:p>
    <w:p w14:paraId="115C3085" w14:textId="77777777" w:rsidR="00745817" w:rsidRPr="00667453" w:rsidRDefault="00745817" w:rsidP="001B7C32">
      <w:pPr>
        <w:widowControl w:val="0"/>
        <w:autoSpaceDE w:val="0"/>
        <w:autoSpaceDN w:val="0"/>
        <w:jc w:val="both"/>
        <w:rPr>
          <w:sz w:val="22"/>
          <w:szCs w:val="22"/>
          <w:lang w:val="sr-Latn-RS"/>
        </w:rPr>
      </w:pPr>
    </w:p>
    <w:p w14:paraId="18BE11F2" w14:textId="0C9D1075" w:rsidR="00745817" w:rsidRPr="00667453" w:rsidRDefault="00745817" w:rsidP="001B7C32">
      <w:pPr>
        <w:widowControl w:val="0"/>
        <w:autoSpaceDE w:val="0"/>
        <w:autoSpaceDN w:val="0"/>
        <w:spacing w:line="244" w:lineRule="auto"/>
        <w:jc w:val="both"/>
        <w:rPr>
          <w:sz w:val="22"/>
          <w:szCs w:val="22"/>
          <w:lang w:val="sr-Latn-RS"/>
        </w:rPr>
      </w:pPr>
      <w:r w:rsidRPr="00667453">
        <w:rPr>
          <w:sz w:val="22"/>
          <w:szCs w:val="22"/>
          <w:lang w:val="sr-Latn-RS"/>
        </w:rPr>
        <w:t>Prema populacionim farmakokinetičkim analizama, istovremena primjena oralnih kortikosteroida, antimalarika, imunosupresiva (uključujući azatioprin, metotreksat, mikofenolat i mizoribin), NSAIL, ACE inhibitora i inhibitora HMG-CoA reduktaze nije značajno uticala na farmakokinetiku anifrolumaba.</w:t>
      </w:r>
    </w:p>
    <w:p w14:paraId="60BE78BC" w14:textId="77777777" w:rsidR="0072020E" w:rsidRPr="00667453" w:rsidRDefault="0072020E" w:rsidP="001B7C32">
      <w:pPr>
        <w:widowControl w:val="0"/>
        <w:tabs>
          <w:tab w:val="left" w:pos="540"/>
          <w:tab w:val="left" w:pos="569"/>
        </w:tabs>
        <w:jc w:val="both"/>
        <w:rPr>
          <w:bCs/>
          <w:sz w:val="22"/>
          <w:szCs w:val="22"/>
          <w:lang w:val="sr-Latn-RS"/>
        </w:rPr>
      </w:pPr>
    </w:p>
    <w:p w14:paraId="062A9CB7" w14:textId="0C0E2AC4" w:rsidR="0072020E" w:rsidRPr="00667453" w:rsidRDefault="0072020E" w:rsidP="001B7C32">
      <w:pPr>
        <w:widowControl w:val="0"/>
        <w:tabs>
          <w:tab w:val="left" w:pos="540"/>
          <w:tab w:val="left" w:pos="569"/>
        </w:tabs>
        <w:jc w:val="both"/>
        <w:rPr>
          <w:b/>
          <w:bCs/>
          <w:sz w:val="22"/>
          <w:szCs w:val="22"/>
          <w:lang w:val="sr-Latn-RS"/>
        </w:rPr>
      </w:pPr>
      <w:r w:rsidRPr="00667453">
        <w:rPr>
          <w:b/>
          <w:bCs/>
          <w:sz w:val="22"/>
          <w:szCs w:val="22"/>
          <w:lang w:val="sr-Latn-RS"/>
        </w:rPr>
        <w:t xml:space="preserve">5.3. </w:t>
      </w:r>
      <w:r w:rsidR="00480FB1" w:rsidRPr="00667453">
        <w:rPr>
          <w:b/>
          <w:bCs/>
          <w:sz w:val="22"/>
          <w:szCs w:val="22"/>
          <w:lang w:val="sr-Latn-RS"/>
        </w:rPr>
        <w:tab/>
      </w:r>
      <w:r w:rsidR="008723B0" w:rsidRPr="00667453">
        <w:rPr>
          <w:b/>
          <w:bCs/>
          <w:sz w:val="22"/>
          <w:szCs w:val="22"/>
          <w:lang w:val="sr-Latn-RS"/>
        </w:rPr>
        <w:t>Pretklinički</w:t>
      </w:r>
      <w:r w:rsidRPr="00667453">
        <w:rPr>
          <w:b/>
          <w:bCs/>
          <w:sz w:val="22"/>
          <w:szCs w:val="22"/>
          <w:lang w:val="sr-Latn-RS"/>
        </w:rPr>
        <w:t xml:space="preserve"> podaci o bezbjednosti </w:t>
      </w:r>
    </w:p>
    <w:p w14:paraId="2BCAD8D8" w14:textId="77777777" w:rsidR="00836B35" w:rsidRPr="00667453" w:rsidRDefault="00836B35" w:rsidP="001B7C32">
      <w:pPr>
        <w:widowControl w:val="0"/>
        <w:tabs>
          <w:tab w:val="left" w:pos="540"/>
          <w:tab w:val="left" w:pos="569"/>
        </w:tabs>
        <w:jc w:val="both"/>
        <w:rPr>
          <w:bCs/>
          <w:sz w:val="22"/>
          <w:szCs w:val="22"/>
          <w:lang w:val="sr-Latn-RS"/>
        </w:rPr>
      </w:pPr>
    </w:p>
    <w:p w14:paraId="1E850AC6" w14:textId="6AC8EDE3" w:rsidR="00745817" w:rsidRPr="00667453" w:rsidRDefault="006B66BB" w:rsidP="001B7C32">
      <w:pPr>
        <w:widowControl w:val="0"/>
        <w:autoSpaceDE w:val="0"/>
        <w:autoSpaceDN w:val="0"/>
        <w:jc w:val="both"/>
        <w:rPr>
          <w:sz w:val="22"/>
          <w:szCs w:val="22"/>
          <w:lang w:val="sr-Latn-RS"/>
        </w:rPr>
      </w:pPr>
      <w:r w:rsidRPr="00667453">
        <w:rPr>
          <w:sz w:val="22"/>
          <w:szCs w:val="22"/>
          <w:u w:val="single"/>
          <w:lang w:val="sr-Latn-RS"/>
        </w:rPr>
        <w:t>Pretklinički podaci</w:t>
      </w:r>
    </w:p>
    <w:p w14:paraId="70FB18A1" w14:textId="77777777" w:rsidR="00745817" w:rsidRPr="00667453" w:rsidRDefault="00745817" w:rsidP="001B7C32">
      <w:pPr>
        <w:widowControl w:val="0"/>
        <w:autoSpaceDE w:val="0"/>
        <w:autoSpaceDN w:val="0"/>
        <w:jc w:val="both"/>
        <w:rPr>
          <w:sz w:val="22"/>
          <w:szCs w:val="22"/>
          <w:lang w:val="sr-Latn-RS"/>
        </w:rPr>
      </w:pPr>
    </w:p>
    <w:p w14:paraId="6BECDC5C" w14:textId="395B0983" w:rsidR="00745817" w:rsidRPr="00667453" w:rsidRDefault="006B66BB" w:rsidP="001B7C32">
      <w:pPr>
        <w:widowControl w:val="0"/>
        <w:tabs>
          <w:tab w:val="left" w:pos="8364"/>
        </w:tabs>
        <w:autoSpaceDE w:val="0"/>
        <w:autoSpaceDN w:val="0"/>
        <w:spacing w:line="237" w:lineRule="auto"/>
        <w:jc w:val="both"/>
        <w:rPr>
          <w:sz w:val="22"/>
          <w:szCs w:val="22"/>
          <w:lang w:val="sr-Latn-RS"/>
        </w:rPr>
      </w:pPr>
      <w:r w:rsidRPr="00667453">
        <w:rPr>
          <w:sz w:val="22"/>
          <w:szCs w:val="22"/>
          <w:lang w:val="sr-Latn-RS"/>
        </w:rPr>
        <w:t>Pret</w:t>
      </w:r>
      <w:r w:rsidR="00745817" w:rsidRPr="00667453">
        <w:rPr>
          <w:sz w:val="22"/>
          <w:szCs w:val="22"/>
          <w:lang w:val="sr-Latn-RS"/>
        </w:rPr>
        <w:t>klinički podaci ne ukazuju na poseban rizik za ljude na osnovu konvencionalnih studija bezb</w:t>
      </w:r>
      <w:r w:rsidR="006416F2" w:rsidRPr="00667453">
        <w:rPr>
          <w:sz w:val="22"/>
          <w:szCs w:val="22"/>
          <w:lang w:val="sr-Latn-RS"/>
        </w:rPr>
        <w:t>j</w:t>
      </w:r>
      <w:r w:rsidR="00745817" w:rsidRPr="00667453">
        <w:rPr>
          <w:sz w:val="22"/>
          <w:szCs w:val="22"/>
          <w:lang w:val="sr-Latn-RS"/>
        </w:rPr>
        <w:t>ednosne farmakologije ili studija toksičnosti ponovljenih doza sa makaki majmunima.</w:t>
      </w:r>
    </w:p>
    <w:p w14:paraId="78CEA9A2" w14:textId="77777777" w:rsidR="00745817" w:rsidRPr="00667453" w:rsidRDefault="00745817" w:rsidP="001B7C32">
      <w:pPr>
        <w:widowControl w:val="0"/>
        <w:autoSpaceDE w:val="0"/>
        <w:autoSpaceDN w:val="0"/>
        <w:jc w:val="both"/>
        <w:rPr>
          <w:sz w:val="22"/>
          <w:szCs w:val="22"/>
          <w:lang w:val="sr-Latn-RS"/>
        </w:rPr>
      </w:pPr>
    </w:p>
    <w:p w14:paraId="2B4EA191"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Mutagenost i kancerogenost</w:t>
      </w:r>
    </w:p>
    <w:p w14:paraId="0298F8F1" w14:textId="77777777" w:rsidR="00745817" w:rsidRPr="00667453" w:rsidRDefault="00745817" w:rsidP="001B7C32">
      <w:pPr>
        <w:widowControl w:val="0"/>
        <w:autoSpaceDE w:val="0"/>
        <w:autoSpaceDN w:val="0"/>
        <w:jc w:val="both"/>
        <w:rPr>
          <w:sz w:val="22"/>
          <w:szCs w:val="22"/>
          <w:lang w:val="sr-Latn-RS"/>
        </w:rPr>
      </w:pPr>
    </w:p>
    <w:p w14:paraId="4192F10B" w14:textId="50678BAE" w:rsidR="00745817" w:rsidRPr="00667453" w:rsidRDefault="00745817" w:rsidP="001B7C32">
      <w:pPr>
        <w:widowControl w:val="0"/>
        <w:autoSpaceDE w:val="0"/>
        <w:autoSpaceDN w:val="0"/>
        <w:jc w:val="both"/>
        <w:rPr>
          <w:sz w:val="22"/>
          <w:szCs w:val="22"/>
          <w:lang w:val="sr-Latn-RS"/>
        </w:rPr>
      </w:pPr>
      <w:r w:rsidRPr="00667453">
        <w:rPr>
          <w:sz w:val="22"/>
          <w:szCs w:val="22"/>
          <w:lang w:val="sr-Latn-RS"/>
        </w:rPr>
        <w:t>Anifrolumab je monoklonsko t</w:t>
      </w:r>
      <w:r w:rsidR="00383868" w:rsidRPr="00667453">
        <w:rPr>
          <w:sz w:val="22"/>
          <w:szCs w:val="22"/>
          <w:lang w:val="sr-Latn-RS"/>
        </w:rPr>
        <w:t>ij</w:t>
      </w:r>
      <w:r w:rsidRPr="00667453">
        <w:rPr>
          <w:sz w:val="22"/>
          <w:szCs w:val="22"/>
          <w:lang w:val="sr-Latn-RS"/>
        </w:rPr>
        <w:t>elo i studije genotoksičnosti i kancerogenosti nijesu izvršene kao takve.</w:t>
      </w:r>
    </w:p>
    <w:p w14:paraId="3D361561" w14:textId="77777777" w:rsidR="00745817" w:rsidRPr="00667453" w:rsidRDefault="00745817" w:rsidP="001B7C32">
      <w:pPr>
        <w:widowControl w:val="0"/>
        <w:autoSpaceDE w:val="0"/>
        <w:autoSpaceDN w:val="0"/>
        <w:jc w:val="both"/>
        <w:rPr>
          <w:sz w:val="22"/>
          <w:szCs w:val="22"/>
          <w:lang w:val="sr-Latn-RS"/>
        </w:rPr>
      </w:pPr>
    </w:p>
    <w:p w14:paraId="5EDF07AC" w14:textId="207622C5" w:rsidR="00745817" w:rsidRPr="00667453" w:rsidRDefault="00745817" w:rsidP="001B7C32">
      <w:pPr>
        <w:widowControl w:val="0"/>
        <w:autoSpaceDE w:val="0"/>
        <w:autoSpaceDN w:val="0"/>
        <w:jc w:val="both"/>
        <w:rPr>
          <w:sz w:val="22"/>
          <w:szCs w:val="22"/>
          <w:lang w:val="sr-Latn-RS"/>
        </w:rPr>
      </w:pPr>
      <w:r w:rsidRPr="00667453">
        <w:rPr>
          <w:sz w:val="22"/>
          <w:szCs w:val="22"/>
          <w:lang w:val="sr-Latn-RS"/>
        </w:rPr>
        <w:t>U modelima blokade receptora IFNAR1 kod glodara zab</w:t>
      </w:r>
      <w:r w:rsidR="00114A14" w:rsidRPr="00667453">
        <w:rPr>
          <w:sz w:val="22"/>
          <w:szCs w:val="22"/>
          <w:lang w:val="sr-Latn-RS"/>
        </w:rPr>
        <w:t>ilje</w:t>
      </w:r>
      <w:r w:rsidRPr="00667453">
        <w:rPr>
          <w:sz w:val="22"/>
          <w:szCs w:val="22"/>
          <w:lang w:val="sr-Latn-RS"/>
        </w:rPr>
        <w:t>žen je povećan kancerogeni potencijal. Klinički značaj tih nalaza nije poznat.</w:t>
      </w:r>
    </w:p>
    <w:p w14:paraId="2D363EBB" w14:textId="77777777" w:rsidR="00745817" w:rsidRPr="00667453" w:rsidRDefault="00745817" w:rsidP="001B7C32">
      <w:pPr>
        <w:widowControl w:val="0"/>
        <w:autoSpaceDE w:val="0"/>
        <w:autoSpaceDN w:val="0"/>
        <w:jc w:val="both"/>
        <w:rPr>
          <w:sz w:val="22"/>
          <w:szCs w:val="22"/>
          <w:lang w:val="sr-Latn-RS"/>
        </w:rPr>
      </w:pPr>
    </w:p>
    <w:p w14:paraId="15115F55" w14:textId="77777777" w:rsidR="00745817" w:rsidRPr="00667453" w:rsidRDefault="00745817" w:rsidP="001B7C32">
      <w:pPr>
        <w:widowControl w:val="0"/>
        <w:autoSpaceDE w:val="0"/>
        <w:autoSpaceDN w:val="0"/>
        <w:jc w:val="both"/>
        <w:rPr>
          <w:sz w:val="22"/>
          <w:szCs w:val="22"/>
          <w:lang w:val="sr-Latn-RS"/>
        </w:rPr>
      </w:pPr>
      <w:r w:rsidRPr="00667453">
        <w:rPr>
          <w:sz w:val="22"/>
          <w:szCs w:val="22"/>
          <w:u w:val="single"/>
          <w:lang w:val="sr-Latn-RS"/>
        </w:rPr>
        <w:t>Reproduktivna toksičnost</w:t>
      </w:r>
    </w:p>
    <w:p w14:paraId="5682F9B9" w14:textId="77777777" w:rsidR="00745817" w:rsidRPr="00667453" w:rsidRDefault="00745817" w:rsidP="001B7C32">
      <w:pPr>
        <w:widowControl w:val="0"/>
        <w:autoSpaceDE w:val="0"/>
        <w:autoSpaceDN w:val="0"/>
        <w:jc w:val="both"/>
        <w:rPr>
          <w:sz w:val="22"/>
          <w:szCs w:val="22"/>
          <w:lang w:val="sr-Latn-RS"/>
        </w:rPr>
      </w:pPr>
    </w:p>
    <w:p w14:paraId="79B310BC" w14:textId="77777777" w:rsidR="00745817" w:rsidRPr="00667453" w:rsidRDefault="00745817" w:rsidP="001B7C32">
      <w:pPr>
        <w:widowControl w:val="0"/>
        <w:autoSpaceDE w:val="0"/>
        <w:autoSpaceDN w:val="0"/>
        <w:jc w:val="both"/>
        <w:rPr>
          <w:i/>
          <w:sz w:val="22"/>
          <w:szCs w:val="22"/>
          <w:lang w:val="sr-Latn-RS"/>
        </w:rPr>
      </w:pPr>
      <w:r w:rsidRPr="00667453">
        <w:rPr>
          <w:i/>
          <w:iCs/>
          <w:sz w:val="22"/>
          <w:szCs w:val="22"/>
          <w:lang w:val="sr-Latn-RS"/>
        </w:rPr>
        <w:t>Razvojna toksičnost</w:t>
      </w:r>
    </w:p>
    <w:p w14:paraId="4532B5C3" w14:textId="121288FD" w:rsidR="00745817" w:rsidRPr="00667453" w:rsidRDefault="00745817" w:rsidP="001B7C32">
      <w:pPr>
        <w:widowControl w:val="0"/>
        <w:autoSpaceDE w:val="0"/>
        <w:autoSpaceDN w:val="0"/>
        <w:jc w:val="both"/>
        <w:rPr>
          <w:sz w:val="22"/>
          <w:szCs w:val="22"/>
          <w:lang w:val="sr-Latn-RS"/>
        </w:rPr>
      </w:pPr>
      <w:r w:rsidRPr="00667453">
        <w:rPr>
          <w:sz w:val="22"/>
          <w:szCs w:val="22"/>
          <w:lang w:val="sr-Latn-RS"/>
        </w:rPr>
        <w:t xml:space="preserve">U ispitivanjima prenatalnog i postnatalnog razvoja sprovedenim na makaki majmunima </w:t>
      </w:r>
      <w:r w:rsidR="008419A5" w:rsidRPr="00667453">
        <w:rPr>
          <w:sz w:val="22"/>
          <w:szCs w:val="22"/>
          <w:lang w:val="sr-Latn-RS"/>
        </w:rPr>
        <w:t>zabilje</w:t>
      </w:r>
      <w:r w:rsidRPr="00667453">
        <w:rPr>
          <w:sz w:val="22"/>
          <w:szCs w:val="22"/>
          <w:lang w:val="sr-Latn-RS"/>
        </w:rPr>
        <w:t xml:space="preserve">žena je povećana incidenca gubitka embriona i ploda; incidenca tih nalaza bila je u okviru kontrolnih </w:t>
      </w:r>
      <w:r w:rsidR="006416F2" w:rsidRPr="00667453">
        <w:rPr>
          <w:sz w:val="22"/>
          <w:szCs w:val="22"/>
          <w:lang w:val="sr-Latn-RS"/>
        </w:rPr>
        <w:t>vrijednosti</w:t>
      </w:r>
      <w:r w:rsidRPr="00667453">
        <w:rPr>
          <w:sz w:val="22"/>
          <w:szCs w:val="22"/>
          <w:lang w:val="sr-Latn-RS"/>
        </w:rPr>
        <w:t xml:space="preserve"> iz prethodnih ispitivanja i nije bila statistički značajna. Relevantnost tih nalaza za ljude nije poznata. Nijesu </w:t>
      </w:r>
      <w:r w:rsidR="008419A5" w:rsidRPr="00667453">
        <w:rPr>
          <w:sz w:val="22"/>
          <w:szCs w:val="22"/>
          <w:lang w:val="sr-Latn-RS"/>
        </w:rPr>
        <w:t>zabilje</w:t>
      </w:r>
      <w:r w:rsidRPr="00667453">
        <w:rPr>
          <w:sz w:val="22"/>
          <w:szCs w:val="22"/>
          <w:lang w:val="sr-Latn-RS"/>
        </w:rPr>
        <w:t>ženi uticaji na majku ni postnatalni razvoj pri nivoima izloženosti do približno</w:t>
      </w:r>
      <w:r w:rsidR="008723B0" w:rsidRPr="00667453">
        <w:rPr>
          <w:sz w:val="22"/>
          <w:szCs w:val="22"/>
          <w:lang w:val="sr-Latn-RS"/>
        </w:rPr>
        <w:t xml:space="preserve"> </w:t>
      </w:r>
      <w:r w:rsidRPr="00667453">
        <w:rPr>
          <w:sz w:val="22"/>
          <w:szCs w:val="22"/>
          <w:lang w:val="sr-Latn-RS"/>
        </w:rPr>
        <w:t>28 puta većim od onih koji se postižu maksimalnom preporučenom dozom kod ljudi (MRHD) na osnovu AUC. Na osnovu dostupnih podataka ne može se isključiti moguće dejstvo anifrolumaba na začeće i implantaciju.</w:t>
      </w:r>
    </w:p>
    <w:p w14:paraId="4573DB19" w14:textId="77777777" w:rsidR="00745817" w:rsidRPr="00667453" w:rsidRDefault="00745817" w:rsidP="001B7C32">
      <w:pPr>
        <w:widowControl w:val="0"/>
        <w:autoSpaceDE w:val="0"/>
        <w:autoSpaceDN w:val="0"/>
        <w:jc w:val="both"/>
        <w:rPr>
          <w:sz w:val="22"/>
          <w:szCs w:val="22"/>
          <w:lang w:val="sr-Latn-RS"/>
        </w:rPr>
      </w:pPr>
    </w:p>
    <w:p w14:paraId="08A91F15" w14:textId="77777777" w:rsidR="00745817" w:rsidRPr="00667453" w:rsidRDefault="00745817" w:rsidP="001B7C32">
      <w:pPr>
        <w:widowControl w:val="0"/>
        <w:autoSpaceDE w:val="0"/>
        <w:autoSpaceDN w:val="0"/>
        <w:spacing w:line="251" w:lineRule="exact"/>
        <w:jc w:val="both"/>
        <w:rPr>
          <w:i/>
          <w:sz w:val="22"/>
          <w:szCs w:val="22"/>
          <w:lang w:val="sr-Latn-RS"/>
        </w:rPr>
      </w:pPr>
      <w:r w:rsidRPr="00667453">
        <w:rPr>
          <w:i/>
          <w:iCs/>
          <w:sz w:val="22"/>
          <w:szCs w:val="22"/>
          <w:lang w:val="sr-Latn-RS"/>
        </w:rPr>
        <w:t>Plodnost</w:t>
      </w:r>
    </w:p>
    <w:p w14:paraId="15BD5213" w14:textId="17BBADC5" w:rsidR="00745817" w:rsidRPr="00667453" w:rsidRDefault="00745817" w:rsidP="001B7C32">
      <w:pPr>
        <w:widowControl w:val="0"/>
        <w:autoSpaceDE w:val="0"/>
        <w:autoSpaceDN w:val="0"/>
        <w:jc w:val="both"/>
        <w:rPr>
          <w:sz w:val="22"/>
          <w:szCs w:val="22"/>
          <w:lang w:val="sr-Latn-RS"/>
        </w:rPr>
      </w:pPr>
      <w:r w:rsidRPr="00667453">
        <w:rPr>
          <w:sz w:val="22"/>
          <w:szCs w:val="22"/>
          <w:lang w:val="sr-Latn-RS"/>
        </w:rPr>
        <w:t>U ispitivanjima na životinjama nijesu se direktno oc</w:t>
      </w:r>
      <w:r w:rsidR="006B66BB" w:rsidRPr="00667453">
        <w:rPr>
          <w:sz w:val="22"/>
          <w:szCs w:val="22"/>
          <w:lang w:val="sr-Latn-RS"/>
        </w:rPr>
        <w:t>j</w:t>
      </w:r>
      <w:r w:rsidRPr="00667453">
        <w:rPr>
          <w:sz w:val="22"/>
          <w:szCs w:val="22"/>
          <w:lang w:val="sr-Latn-RS"/>
        </w:rPr>
        <w:t>enjivala dejstva na plodnost mužjaka i ženki. U 9-m</w:t>
      </w:r>
      <w:r w:rsidR="00383868" w:rsidRPr="00667453">
        <w:rPr>
          <w:sz w:val="22"/>
          <w:szCs w:val="22"/>
          <w:lang w:val="sr-Latn-RS"/>
        </w:rPr>
        <w:t>j</w:t>
      </w:r>
      <w:r w:rsidRPr="00667453">
        <w:rPr>
          <w:sz w:val="22"/>
          <w:szCs w:val="22"/>
          <w:lang w:val="sr-Latn-RS"/>
        </w:rPr>
        <w:t xml:space="preserve">esečnom ispitivanju primjene ponovljenih doza nijesu </w:t>
      </w:r>
      <w:r w:rsidR="008419A5" w:rsidRPr="00667453">
        <w:rPr>
          <w:sz w:val="22"/>
          <w:szCs w:val="22"/>
          <w:lang w:val="sr-Latn-RS"/>
        </w:rPr>
        <w:t>zabilje</w:t>
      </w:r>
      <w:r w:rsidRPr="00667453">
        <w:rPr>
          <w:sz w:val="22"/>
          <w:szCs w:val="22"/>
          <w:lang w:val="sr-Latn-RS"/>
        </w:rPr>
        <w:t>žena neželjena dejstva povezana sa anifrolumabom na indirektne m</w:t>
      </w:r>
      <w:r w:rsidR="008723B0" w:rsidRPr="00667453">
        <w:rPr>
          <w:sz w:val="22"/>
          <w:szCs w:val="22"/>
          <w:lang w:val="sr-Latn-RS"/>
        </w:rPr>
        <w:t>j</w:t>
      </w:r>
      <w:r w:rsidRPr="00667453">
        <w:rPr>
          <w:sz w:val="22"/>
          <w:szCs w:val="22"/>
          <w:lang w:val="sr-Latn-RS"/>
        </w:rPr>
        <w:t>ere plodnosti mužjaka ili ženki, na osnovu analize sperme, stadijuma spermatogeneze, menstruacijskog ciklusa, težine organa i histopatoloških nalaza u reproduktivnim organima makaki majmuna pri nivoima</w:t>
      </w:r>
      <w:r w:rsidR="008723B0" w:rsidRPr="00667453">
        <w:rPr>
          <w:sz w:val="22"/>
          <w:szCs w:val="22"/>
          <w:lang w:val="sr-Latn-RS"/>
        </w:rPr>
        <w:t xml:space="preserve"> </w:t>
      </w:r>
      <w:r w:rsidRPr="00667453">
        <w:rPr>
          <w:sz w:val="22"/>
          <w:szCs w:val="22"/>
          <w:lang w:val="sr-Latn-RS"/>
        </w:rPr>
        <w:t>izloženosti približno 58 puta većima od MRHD na osnovu AUC.</w:t>
      </w:r>
    </w:p>
    <w:p w14:paraId="160616EA" w14:textId="77777777" w:rsidR="006B66BB" w:rsidRPr="00667453" w:rsidRDefault="006B66BB" w:rsidP="001B7C32">
      <w:pPr>
        <w:widowControl w:val="0"/>
        <w:autoSpaceDE w:val="0"/>
        <w:autoSpaceDN w:val="0"/>
        <w:jc w:val="both"/>
        <w:rPr>
          <w:sz w:val="22"/>
          <w:szCs w:val="22"/>
          <w:lang w:val="sr-Latn-RS"/>
        </w:rPr>
      </w:pPr>
    </w:p>
    <w:p w14:paraId="1FEDB16F" w14:textId="77777777" w:rsidR="00396DFD" w:rsidRPr="00667453" w:rsidRDefault="00396DFD" w:rsidP="001B7C32">
      <w:pPr>
        <w:widowControl w:val="0"/>
        <w:tabs>
          <w:tab w:val="left" w:pos="540"/>
          <w:tab w:val="left" w:pos="569"/>
        </w:tabs>
        <w:rPr>
          <w:b/>
          <w:bCs/>
          <w:sz w:val="22"/>
          <w:szCs w:val="22"/>
          <w:lang w:val="sr-Latn-RS"/>
        </w:rPr>
      </w:pPr>
    </w:p>
    <w:p w14:paraId="7CBCB66E" w14:textId="77777777" w:rsidR="0072020E" w:rsidRPr="00667453" w:rsidRDefault="0072020E" w:rsidP="001B7C32">
      <w:pPr>
        <w:widowControl w:val="0"/>
        <w:tabs>
          <w:tab w:val="left" w:pos="540"/>
          <w:tab w:val="left" w:pos="569"/>
        </w:tabs>
        <w:rPr>
          <w:b/>
          <w:bCs/>
          <w:sz w:val="22"/>
          <w:szCs w:val="22"/>
          <w:lang w:val="sr-Latn-RS"/>
        </w:rPr>
      </w:pPr>
      <w:r w:rsidRPr="00667453">
        <w:rPr>
          <w:b/>
          <w:bCs/>
          <w:sz w:val="22"/>
          <w:szCs w:val="22"/>
          <w:lang w:val="sr-Latn-RS"/>
        </w:rPr>
        <w:t xml:space="preserve">6. </w:t>
      </w:r>
      <w:r w:rsidR="00480FB1" w:rsidRPr="00667453">
        <w:rPr>
          <w:b/>
          <w:bCs/>
          <w:sz w:val="22"/>
          <w:szCs w:val="22"/>
          <w:lang w:val="sr-Latn-RS"/>
        </w:rPr>
        <w:tab/>
      </w:r>
      <w:r w:rsidRPr="00667453">
        <w:rPr>
          <w:b/>
          <w:bCs/>
          <w:sz w:val="22"/>
          <w:szCs w:val="22"/>
          <w:lang w:val="sr-Latn-RS"/>
        </w:rPr>
        <w:t>FARMACEUTSKI PODACI</w:t>
      </w:r>
    </w:p>
    <w:p w14:paraId="6EAF8242" w14:textId="77777777" w:rsidR="00836B35" w:rsidRPr="00667453" w:rsidRDefault="00836B35" w:rsidP="001B7C32">
      <w:pPr>
        <w:widowControl w:val="0"/>
        <w:tabs>
          <w:tab w:val="left" w:pos="540"/>
          <w:tab w:val="left" w:pos="569"/>
        </w:tabs>
        <w:rPr>
          <w:bCs/>
          <w:sz w:val="22"/>
          <w:szCs w:val="22"/>
          <w:lang w:val="sr-Latn-RS"/>
        </w:rPr>
      </w:pPr>
    </w:p>
    <w:p w14:paraId="5E25182F" w14:textId="08C5A3B5" w:rsidR="0072020E" w:rsidRPr="00667453" w:rsidRDefault="0072020E" w:rsidP="001B7C32">
      <w:pPr>
        <w:widowControl w:val="0"/>
        <w:tabs>
          <w:tab w:val="left" w:pos="540"/>
          <w:tab w:val="left" w:pos="569"/>
        </w:tabs>
        <w:rPr>
          <w:b/>
          <w:bCs/>
          <w:sz w:val="22"/>
          <w:szCs w:val="22"/>
          <w:lang w:val="sr-Latn-RS"/>
        </w:rPr>
      </w:pPr>
      <w:r w:rsidRPr="00667453">
        <w:rPr>
          <w:b/>
          <w:bCs/>
          <w:sz w:val="22"/>
          <w:szCs w:val="22"/>
          <w:lang w:val="sr-Latn-RS"/>
        </w:rPr>
        <w:t xml:space="preserve">6.1. </w:t>
      </w:r>
      <w:r w:rsidR="00480FB1" w:rsidRPr="00667453">
        <w:rPr>
          <w:b/>
          <w:bCs/>
          <w:sz w:val="22"/>
          <w:szCs w:val="22"/>
          <w:lang w:val="sr-Latn-RS"/>
        </w:rPr>
        <w:tab/>
      </w:r>
      <w:r w:rsidRPr="00667453">
        <w:rPr>
          <w:b/>
          <w:bCs/>
          <w:sz w:val="22"/>
          <w:szCs w:val="22"/>
          <w:lang w:val="sr-Latn-RS"/>
        </w:rPr>
        <w:t>Lista pomoćnih supstanci</w:t>
      </w:r>
      <w:r w:rsidR="002E0135" w:rsidRPr="00667453">
        <w:rPr>
          <w:b/>
          <w:bCs/>
          <w:sz w:val="22"/>
          <w:szCs w:val="22"/>
          <w:lang w:val="sr-Latn-RS"/>
        </w:rPr>
        <w:t xml:space="preserve"> (ekscipijenasa)</w:t>
      </w:r>
    </w:p>
    <w:p w14:paraId="3A12F9FA" w14:textId="77777777" w:rsidR="00C45043" w:rsidRDefault="00C45043" w:rsidP="001B7C32">
      <w:pPr>
        <w:widowControl w:val="0"/>
        <w:tabs>
          <w:tab w:val="left" w:pos="540"/>
          <w:tab w:val="left" w:pos="569"/>
        </w:tabs>
        <w:rPr>
          <w:sz w:val="22"/>
          <w:szCs w:val="22"/>
          <w:lang w:val="sr-Latn-RS"/>
        </w:rPr>
      </w:pPr>
    </w:p>
    <w:p w14:paraId="4FEF0B34" w14:textId="39F65476" w:rsidR="00745817" w:rsidRPr="00667453" w:rsidRDefault="00745817" w:rsidP="001B7C32">
      <w:pPr>
        <w:widowControl w:val="0"/>
        <w:tabs>
          <w:tab w:val="left" w:pos="540"/>
          <w:tab w:val="left" w:pos="569"/>
        </w:tabs>
        <w:rPr>
          <w:sz w:val="22"/>
          <w:szCs w:val="22"/>
          <w:lang w:val="sr-Latn-RS"/>
        </w:rPr>
      </w:pPr>
      <w:r w:rsidRPr="00667453">
        <w:rPr>
          <w:sz w:val="22"/>
          <w:szCs w:val="22"/>
          <w:lang w:val="sr-Latn-RS"/>
        </w:rPr>
        <w:t>Histidin</w:t>
      </w:r>
    </w:p>
    <w:p w14:paraId="66C286F1" w14:textId="77777777" w:rsidR="00745817" w:rsidRPr="00667453" w:rsidRDefault="00745817" w:rsidP="001B7C32">
      <w:pPr>
        <w:widowControl w:val="0"/>
        <w:tabs>
          <w:tab w:val="left" w:pos="540"/>
          <w:tab w:val="left" w:pos="569"/>
        </w:tabs>
        <w:rPr>
          <w:sz w:val="22"/>
          <w:szCs w:val="22"/>
          <w:lang w:val="sr-Latn-RS"/>
        </w:rPr>
      </w:pPr>
      <w:r w:rsidRPr="00667453">
        <w:rPr>
          <w:sz w:val="22"/>
          <w:szCs w:val="22"/>
          <w:lang w:val="sr-Latn-RS"/>
        </w:rPr>
        <w:t>Histidin hidrohlorid monohidrat</w:t>
      </w:r>
    </w:p>
    <w:p w14:paraId="208DB710" w14:textId="4FBFB6C6" w:rsidR="00745817" w:rsidRPr="00667453" w:rsidRDefault="00745817" w:rsidP="001B7C32">
      <w:pPr>
        <w:widowControl w:val="0"/>
        <w:tabs>
          <w:tab w:val="left" w:pos="540"/>
          <w:tab w:val="left" w:pos="569"/>
        </w:tabs>
        <w:rPr>
          <w:sz w:val="22"/>
          <w:szCs w:val="22"/>
          <w:lang w:val="sr-Latn-RS"/>
        </w:rPr>
      </w:pPr>
      <w:r w:rsidRPr="00667453">
        <w:rPr>
          <w:sz w:val="22"/>
          <w:szCs w:val="22"/>
          <w:lang w:val="sr-Latn-RS"/>
        </w:rPr>
        <w:t>Lizin hidrohlorid</w:t>
      </w:r>
    </w:p>
    <w:p w14:paraId="39D43306" w14:textId="77777777" w:rsidR="00745817" w:rsidRPr="00667453" w:rsidRDefault="00745817" w:rsidP="001B7C32">
      <w:pPr>
        <w:widowControl w:val="0"/>
        <w:tabs>
          <w:tab w:val="left" w:pos="540"/>
          <w:tab w:val="left" w:pos="569"/>
        </w:tabs>
        <w:rPr>
          <w:sz w:val="22"/>
          <w:szCs w:val="22"/>
          <w:lang w:val="sr-Latn-RS"/>
        </w:rPr>
      </w:pPr>
      <w:r w:rsidRPr="00667453">
        <w:rPr>
          <w:sz w:val="22"/>
          <w:szCs w:val="22"/>
          <w:lang w:val="sr-Latn-RS"/>
        </w:rPr>
        <w:t xml:space="preserve">Trehaloza dihidrat </w:t>
      </w:r>
    </w:p>
    <w:p w14:paraId="1798BEF3" w14:textId="77777777" w:rsidR="00745817" w:rsidRPr="00667453" w:rsidRDefault="00745817" w:rsidP="001B7C32">
      <w:pPr>
        <w:widowControl w:val="0"/>
        <w:tabs>
          <w:tab w:val="left" w:pos="540"/>
          <w:tab w:val="left" w:pos="569"/>
        </w:tabs>
        <w:rPr>
          <w:sz w:val="22"/>
          <w:szCs w:val="22"/>
          <w:lang w:val="sr-Latn-RS"/>
        </w:rPr>
      </w:pPr>
      <w:r w:rsidRPr="00667453">
        <w:rPr>
          <w:sz w:val="22"/>
          <w:szCs w:val="22"/>
          <w:lang w:val="sr-Latn-RS"/>
        </w:rPr>
        <w:t xml:space="preserve">Polisorbat 80 </w:t>
      </w:r>
    </w:p>
    <w:p w14:paraId="212614DF" w14:textId="1CB64599" w:rsidR="00745817" w:rsidRPr="00667453" w:rsidRDefault="00745817" w:rsidP="001B7C32">
      <w:pPr>
        <w:widowControl w:val="0"/>
        <w:tabs>
          <w:tab w:val="left" w:pos="540"/>
          <w:tab w:val="left" w:pos="569"/>
        </w:tabs>
        <w:rPr>
          <w:sz w:val="22"/>
          <w:szCs w:val="22"/>
          <w:lang w:val="sr-Latn-RS"/>
        </w:rPr>
      </w:pPr>
      <w:r w:rsidRPr="00667453">
        <w:rPr>
          <w:sz w:val="22"/>
          <w:szCs w:val="22"/>
          <w:lang w:val="sr-Latn-RS"/>
        </w:rPr>
        <w:t>Voda za injekcije</w:t>
      </w:r>
    </w:p>
    <w:p w14:paraId="501DA6CE" w14:textId="77777777" w:rsidR="0072020E" w:rsidRPr="00667453" w:rsidRDefault="0072020E" w:rsidP="001B7C32">
      <w:pPr>
        <w:widowControl w:val="0"/>
        <w:tabs>
          <w:tab w:val="left" w:pos="540"/>
          <w:tab w:val="left" w:pos="569"/>
        </w:tabs>
        <w:rPr>
          <w:sz w:val="22"/>
          <w:szCs w:val="22"/>
          <w:lang w:val="sr-Latn-RS"/>
        </w:rPr>
      </w:pPr>
    </w:p>
    <w:p w14:paraId="1C94FD9C" w14:textId="77777777" w:rsidR="0072020E" w:rsidRPr="00667453" w:rsidRDefault="0072020E" w:rsidP="001B7C32">
      <w:pPr>
        <w:widowControl w:val="0"/>
        <w:tabs>
          <w:tab w:val="left" w:pos="540"/>
          <w:tab w:val="left" w:pos="569"/>
        </w:tabs>
        <w:rPr>
          <w:b/>
          <w:bCs/>
          <w:sz w:val="22"/>
          <w:szCs w:val="22"/>
          <w:lang w:val="sr-Latn-RS"/>
        </w:rPr>
      </w:pPr>
      <w:r w:rsidRPr="00667453">
        <w:rPr>
          <w:b/>
          <w:bCs/>
          <w:sz w:val="22"/>
          <w:szCs w:val="22"/>
          <w:lang w:val="sr-Latn-RS"/>
        </w:rPr>
        <w:t xml:space="preserve">6.2. </w:t>
      </w:r>
      <w:r w:rsidR="00480FB1" w:rsidRPr="00667453">
        <w:rPr>
          <w:b/>
          <w:bCs/>
          <w:sz w:val="22"/>
          <w:szCs w:val="22"/>
          <w:lang w:val="sr-Latn-RS"/>
        </w:rPr>
        <w:tab/>
      </w:r>
      <w:r w:rsidRPr="00667453">
        <w:rPr>
          <w:b/>
          <w:bCs/>
          <w:sz w:val="22"/>
          <w:szCs w:val="22"/>
          <w:lang w:val="sr-Latn-RS"/>
        </w:rPr>
        <w:t>Inkompatibilnost</w:t>
      </w:r>
      <w:r w:rsidR="002846DB" w:rsidRPr="00667453">
        <w:rPr>
          <w:b/>
          <w:bCs/>
          <w:sz w:val="22"/>
          <w:szCs w:val="22"/>
          <w:lang w:val="sr-Latn-RS"/>
        </w:rPr>
        <w:t>i</w:t>
      </w:r>
    </w:p>
    <w:p w14:paraId="5083E1C9" w14:textId="77777777" w:rsidR="00C45043" w:rsidRDefault="00C45043" w:rsidP="001B7C32">
      <w:pPr>
        <w:widowControl w:val="0"/>
        <w:autoSpaceDE w:val="0"/>
        <w:autoSpaceDN w:val="0"/>
        <w:spacing w:line="237" w:lineRule="auto"/>
        <w:rPr>
          <w:sz w:val="22"/>
          <w:szCs w:val="22"/>
          <w:lang w:val="sr-Latn-RS"/>
        </w:rPr>
      </w:pPr>
    </w:p>
    <w:p w14:paraId="3224B66E" w14:textId="202F4557" w:rsidR="00745817" w:rsidRPr="00667453" w:rsidRDefault="00745817" w:rsidP="001B7C32">
      <w:pPr>
        <w:widowControl w:val="0"/>
        <w:autoSpaceDE w:val="0"/>
        <w:autoSpaceDN w:val="0"/>
        <w:spacing w:line="237" w:lineRule="auto"/>
        <w:rPr>
          <w:sz w:val="22"/>
          <w:szCs w:val="22"/>
          <w:lang w:val="sr-Latn-RS"/>
        </w:rPr>
      </w:pPr>
      <w:r w:rsidRPr="00667453">
        <w:rPr>
          <w:sz w:val="22"/>
          <w:szCs w:val="22"/>
          <w:lang w:val="sr-Latn-RS"/>
        </w:rPr>
        <w:t>U odsustvu studija kompatibilnosti, ovaj l</w:t>
      </w:r>
      <w:r w:rsidR="008723B0" w:rsidRPr="00667453">
        <w:rPr>
          <w:sz w:val="22"/>
          <w:szCs w:val="22"/>
          <w:lang w:val="sr-Latn-RS"/>
        </w:rPr>
        <w:t>ij</w:t>
      </w:r>
      <w:r w:rsidRPr="00667453">
        <w:rPr>
          <w:sz w:val="22"/>
          <w:szCs w:val="22"/>
          <w:lang w:val="sr-Latn-RS"/>
        </w:rPr>
        <w:t>ek se ne sm</w:t>
      </w:r>
      <w:r w:rsidR="00383868" w:rsidRPr="00667453">
        <w:rPr>
          <w:sz w:val="22"/>
          <w:szCs w:val="22"/>
          <w:lang w:val="sr-Latn-RS"/>
        </w:rPr>
        <w:t>ij</w:t>
      </w:r>
      <w:r w:rsidRPr="00667453">
        <w:rPr>
          <w:sz w:val="22"/>
          <w:szCs w:val="22"/>
          <w:lang w:val="sr-Latn-RS"/>
        </w:rPr>
        <w:t>e m</w:t>
      </w:r>
      <w:r w:rsidR="008723B0" w:rsidRPr="00667453">
        <w:rPr>
          <w:sz w:val="22"/>
          <w:szCs w:val="22"/>
          <w:lang w:val="sr-Latn-RS"/>
        </w:rPr>
        <w:t>ij</w:t>
      </w:r>
      <w:r w:rsidRPr="00667453">
        <w:rPr>
          <w:sz w:val="22"/>
          <w:szCs w:val="22"/>
          <w:lang w:val="sr-Latn-RS"/>
        </w:rPr>
        <w:t>ešati sa drugim ljekovima.</w:t>
      </w:r>
    </w:p>
    <w:p w14:paraId="1AD21C2C" w14:textId="77777777" w:rsidR="0072020E" w:rsidRPr="00667453" w:rsidRDefault="0072020E" w:rsidP="001B7C32">
      <w:pPr>
        <w:widowControl w:val="0"/>
        <w:tabs>
          <w:tab w:val="left" w:pos="540"/>
          <w:tab w:val="left" w:pos="569"/>
        </w:tabs>
        <w:rPr>
          <w:bCs/>
          <w:sz w:val="22"/>
          <w:szCs w:val="22"/>
          <w:lang w:val="sr-Latn-RS"/>
        </w:rPr>
      </w:pPr>
    </w:p>
    <w:p w14:paraId="098F76F0" w14:textId="77777777" w:rsidR="0072020E" w:rsidRPr="00667453" w:rsidRDefault="0072020E" w:rsidP="001B7C32">
      <w:pPr>
        <w:widowControl w:val="0"/>
        <w:tabs>
          <w:tab w:val="left" w:pos="540"/>
          <w:tab w:val="left" w:pos="569"/>
        </w:tabs>
        <w:rPr>
          <w:b/>
          <w:bCs/>
          <w:sz w:val="22"/>
          <w:szCs w:val="22"/>
          <w:lang w:val="sr-Latn-RS"/>
        </w:rPr>
      </w:pPr>
      <w:r w:rsidRPr="00667453">
        <w:rPr>
          <w:b/>
          <w:bCs/>
          <w:sz w:val="22"/>
          <w:szCs w:val="22"/>
          <w:lang w:val="sr-Latn-RS"/>
        </w:rPr>
        <w:t>6.3.</w:t>
      </w:r>
      <w:r w:rsidR="00C05DF8" w:rsidRPr="00667453">
        <w:rPr>
          <w:b/>
          <w:bCs/>
          <w:sz w:val="22"/>
          <w:szCs w:val="22"/>
          <w:lang w:val="sr-Latn-RS"/>
        </w:rPr>
        <w:t xml:space="preserve"> </w:t>
      </w:r>
      <w:r w:rsidR="00480FB1" w:rsidRPr="00667453">
        <w:rPr>
          <w:b/>
          <w:bCs/>
          <w:sz w:val="22"/>
          <w:szCs w:val="22"/>
          <w:lang w:val="sr-Latn-RS"/>
        </w:rPr>
        <w:tab/>
      </w:r>
      <w:r w:rsidRPr="00667453">
        <w:rPr>
          <w:b/>
          <w:bCs/>
          <w:sz w:val="22"/>
          <w:szCs w:val="22"/>
          <w:lang w:val="sr-Latn-RS"/>
        </w:rPr>
        <w:t>Rok upotrebe</w:t>
      </w:r>
    </w:p>
    <w:p w14:paraId="5F33E6DE" w14:textId="77777777" w:rsidR="0039375C" w:rsidRPr="00667453" w:rsidRDefault="0039375C" w:rsidP="001B7C32">
      <w:pPr>
        <w:widowControl w:val="0"/>
        <w:autoSpaceDE w:val="0"/>
        <w:autoSpaceDN w:val="0"/>
        <w:rPr>
          <w:sz w:val="22"/>
          <w:szCs w:val="22"/>
          <w:u w:val="single"/>
          <w:lang w:val="sr-Latn-RS"/>
        </w:rPr>
      </w:pPr>
    </w:p>
    <w:p w14:paraId="257F6B1D" w14:textId="06F424C9" w:rsidR="00745817" w:rsidRPr="00667453" w:rsidRDefault="00745817" w:rsidP="001B7C32">
      <w:pPr>
        <w:widowControl w:val="0"/>
        <w:autoSpaceDE w:val="0"/>
        <w:autoSpaceDN w:val="0"/>
        <w:rPr>
          <w:sz w:val="22"/>
          <w:szCs w:val="22"/>
          <w:lang w:val="sr-Latn-RS"/>
        </w:rPr>
      </w:pPr>
      <w:r w:rsidRPr="00667453">
        <w:rPr>
          <w:sz w:val="22"/>
          <w:szCs w:val="22"/>
          <w:u w:val="single"/>
          <w:lang w:val="sr-Latn-RS"/>
        </w:rPr>
        <w:t>Neotvorena bočica</w:t>
      </w:r>
    </w:p>
    <w:p w14:paraId="52582982" w14:textId="0B1F5181" w:rsidR="00745817" w:rsidRDefault="00745817" w:rsidP="003B1C29">
      <w:pPr>
        <w:widowControl w:val="0"/>
        <w:autoSpaceDE w:val="0"/>
        <w:autoSpaceDN w:val="0"/>
        <w:jc w:val="both"/>
        <w:rPr>
          <w:sz w:val="22"/>
          <w:szCs w:val="22"/>
          <w:lang w:val="sr-Latn-RS"/>
        </w:rPr>
      </w:pPr>
      <w:r w:rsidRPr="00667453">
        <w:rPr>
          <w:sz w:val="22"/>
          <w:szCs w:val="22"/>
          <w:lang w:val="sr-Latn-RS"/>
        </w:rPr>
        <w:t>3 godine.</w:t>
      </w:r>
    </w:p>
    <w:p w14:paraId="2F451723" w14:textId="77777777" w:rsidR="00F139EC" w:rsidRPr="00667453" w:rsidRDefault="00F139EC" w:rsidP="003B1C29">
      <w:pPr>
        <w:widowControl w:val="0"/>
        <w:autoSpaceDE w:val="0"/>
        <w:autoSpaceDN w:val="0"/>
        <w:jc w:val="both"/>
        <w:rPr>
          <w:sz w:val="22"/>
          <w:szCs w:val="22"/>
          <w:lang w:val="sr-Latn-RS"/>
        </w:rPr>
      </w:pPr>
    </w:p>
    <w:p w14:paraId="182B7AF9" w14:textId="77777777" w:rsidR="00745817" w:rsidRPr="00667453" w:rsidRDefault="00745817" w:rsidP="003B1C29">
      <w:pPr>
        <w:widowControl w:val="0"/>
        <w:autoSpaceDE w:val="0"/>
        <w:autoSpaceDN w:val="0"/>
        <w:jc w:val="both"/>
        <w:rPr>
          <w:sz w:val="22"/>
          <w:szCs w:val="22"/>
          <w:lang w:val="sr-Latn-RS"/>
        </w:rPr>
      </w:pPr>
      <w:r w:rsidRPr="00667453">
        <w:rPr>
          <w:sz w:val="22"/>
          <w:szCs w:val="22"/>
          <w:u w:val="single"/>
          <w:lang w:val="sr-Latn-RS"/>
        </w:rPr>
        <w:t>Razblažen rastvor za infuziju</w:t>
      </w:r>
    </w:p>
    <w:p w14:paraId="03BD2F95" w14:textId="26849E85" w:rsidR="00745817" w:rsidRPr="00667453" w:rsidRDefault="00745817" w:rsidP="003B1C29">
      <w:pPr>
        <w:widowControl w:val="0"/>
        <w:autoSpaceDE w:val="0"/>
        <w:autoSpaceDN w:val="0"/>
        <w:jc w:val="both"/>
        <w:rPr>
          <w:sz w:val="22"/>
          <w:szCs w:val="22"/>
          <w:lang w:val="sr-Latn-RS"/>
        </w:rPr>
      </w:pPr>
      <w:r w:rsidRPr="00667453">
        <w:rPr>
          <w:sz w:val="22"/>
          <w:szCs w:val="22"/>
          <w:lang w:val="sr-Latn-RS"/>
        </w:rPr>
        <w:t>Hemijska i fizička stabilnost pri upotrebi pokazana je u periodu od 24 sata na 2–8°C i 4 sata na 25°C.</w:t>
      </w:r>
    </w:p>
    <w:p w14:paraId="0BD72BB1" w14:textId="77777777" w:rsidR="00745817" w:rsidRPr="00667453" w:rsidRDefault="00745817" w:rsidP="003B1C29">
      <w:pPr>
        <w:widowControl w:val="0"/>
        <w:autoSpaceDE w:val="0"/>
        <w:autoSpaceDN w:val="0"/>
        <w:jc w:val="both"/>
        <w:rPr>
          <w:sz w:val="22"/>
          <w:szCs w:val="22"/>
          <w:lang w:val="sr-Latn-RS"/>
        </w:rPr>
      </w:pPr>
    </w:p>
    <w:p w14:paraId="58B3E07E" w14:textId="48C20E3C" w:rsidR="00745817" w:rsidRPr="00667453" w:rsidRDefault="00745817" w:rsidP="003B1C29">
      <w:pPr>
        <w:widowControl w:val="0"/>
        <w:autoSpaceDE w:val="0"/>
        <w:autoSpaceDN w:val="0"/>
        <w:jc w:val="both"/>
        <w:rPr>
          <w:sz w:val="22"/>
          <w:szCs w:val="22"/>
          <w:lang w:val="sr-Latn-RS"/>
        </w:rPr>
      </w:pPr>
      <w:r w:rsidRPr="00667453">
        <w:rPr>
          <w:sz w:val="22"/>
          <w:szCs w:val="22"/>
          <w:lang w:val="sr-Latn-RS"/>
        </w:rPr>
        <w:t>Sa mikrobiološke tačke gledišta, proizvod treba upotrebiti odmah nakon razblaživanja. Ukoliko se ne upotr</w:t>
      </w:r>
      <w:r w:rsidR="00383868" w:rsidRPr="00667453">
        <w:rPr>
          <w:sz w:val="22"/>
          <w:szCs w:val="22"/>
          <w:lang w:val="sr-Latn-RS"/>
        </w:rPr>
        <w:t>ij</w:t>
      </w:r>
      <w:r w:rsidRPr="00667453">
        <w:rPr>
          <w:sz w:val="22"/>
          <w:szCs w:val="22"/>
          <w:lang w:val="sr-Latn-RS"/>
        </w:rPr>
        <w:t>ebi odmah, vremena skladištenja l</w:t>
      </w:r>
      <w:r w:rsidR="00383868" w:rsidRPr="00667453">
        <w:rPr>
          <w:sz w:val="22"/>
          <w:szCs w:val="22"/>
          <w:lang w:val="sr-Latn-RS"/>
        </w:rPr>
        <w:t>ij</w:t>
      </w:r>
      <w:r w:rsidRPr="00667453">
        <w:rPr>
          <w:sz w:val="22"/>
          <w:szCs w:val="22"/>
          <w:lang w:val="sr-Latn-RS"/>
        </w:rPr>
        <w:t>eka spremnog za upotrebu i uslovi pr</w:t>
      </w:r>
      <w:r w:rsidR="00383868" w:rsidRPr="00667453">
        <w:rPr>
          <w:sz w:val="22"/>
          <w:szCs w:val="22"/>
          <w:lang w:val="sr-Latn-RS"/>
        </w:rPr>
        <w:t>ij</w:t>
      </w:r>
      <w:r w:rsidRPr="00667453">
        <w:rPr>
          <w:sz w:val="22"/>
          <w:szCs w:val="22"/>
          <w:lang w:val="sr-Latn-RS"/>
        </w:rPr>
        <w:t>e upotrebe odgovornost su korisnika i obično nijesu duža od 24 sata na 2–8°C.</w:t>
      </w:r>
    </w:p>
    <w:p w14:paraId="5FD29C71" w14:textId="77777777" w:rsidR="0072020E" w:rsidRPr="00667453" w:rsidRDefault="0072020E" w:rsidP="003B1C29">
      <w:pPr>
        <w:widowControl w:val="0"/>
        <w:tabs>
          <w:tab w:val="left" w:pos="540"/>
          <w:tab w:val="left" w:pos="569"/>
        </w:tabs>
        <w:jc w:val="both"/>
        <w:rPr>
          <w:bCs/>
          <w:sz w:val="22"/>
          <w:szCs w:val="22"/>
          <w:lang w:val="sr-Latn-RS"/>
        </w:rPr>
      </w:pPr>
    </w:p>
    <w:p w14:paraId="2DC8914A" w14:textId="6FA8A514" w:rsidR="0072020E" w:rsidRPr="00667453" w:rsidRDefault="0072020E" w:rsidP="003B1C29">
      <w:pPr>
        <w:widowControl w:val="0"/>
        <w:tabs>
          <w:tab w:val="left" w:pos="540"/>
          <w:tab w:val="left" w:pos="569"/>
        </w:tabs>
        <w:jc w:val="both"/>
        <w:rPr>
          <w:b/>
          <w:bCs/>
          <w:sz w:val="22"/>
          <w:szCs w:val="22"/>
          <w:lang w:val="sr-Latn-RS"/>
        </w:rPr>
      </w:pPr>
      <w:r w:rsidRPr="00667453">
        <w:rPr>
          <w:b/>
          <w:bCs/>
          <w:sz w:val="22"/>
          <w:szCs w:val="22"/>
          <w:lang w:val="sr-Latn-RS"/>
        </w:rPr>
        <w:t xml:space="preserve">6.4. </w:t>
      </w:r>
      <w:r w:rsidR="00480FB1" w:rsidRPr="00667453">
        <w:rPr>
          <w:b/>
          <w:bCs/>
          <w:sz w:val="22"/>
          <w:szCs w:val="22"/>
          <w:lang w:val="sr-Latn-RS"/>
        </w:rPr>
        <w:tab/>
      </w:r>
      <w:r w:rsidRPr="00667453">
        <w:rPr>
          <w:b/>
          <w:bCs/>
          <w:sz w:val="22"/>
          <w:szCs w:val="22"/>
          <w:lang w:val="sr-Latn-RS"/>
        </w:rPr>
        <w:t>Posebne mjere upozorenja pri čuvanju</w:t>
      </w:r>
      <w:r w:rsidR="00F8570A" w:rsidRPr="00667453">
        <w:rPr>
          <w:b/>
          <w:bCs/>
          <w:sz w:val="22"/>
          <w:szCs w:val="22"/>
          <w:lang w:val="sr-Latn-RS"/>
        </w:rPr>
        <w:t xml:space="preserve"> lijeka</w:t>
      </w:r>
    </w:p>
    <w:p w14:paraId="33D1ECDF" w14:textId="77777777" w:rsidR="00745817" w:rsidRPr="00667453" w:rsidRDefault="00745817" w:rsidP="003B1C29">
      <w:pPr>
        <w:widowControl w:val="0"/>
        <w:tabs>
          <w:tab w:val="left" w:pos="540"/>
          <w:tab w:val="left" w:pos="569"/>
        </w:tabs>
        <w:jc w:val="both"/>
        <w:rPr>
          <w:b/>
          <w:bCs/>
          <w:sz w:val="22"/>
          <w:szCs w:val="22"/>
          <w:lang w:val="sr-Latn-RS"/>
        </w:rPr>
      </w:pPr>
    </w:p>
    <w:p w14:paraId="431420E9" w14:textId="77777777" w:rsidR="00745817" w:rsidRPr="00667453" w:rsidRDefault="00745817">
      <w:pPr>
        <w:widowControl w:val="0"/>
        <w:autoSpaceDE w:val="0"/>
        <w:autoSpaceDN w:val="0"/>
        <w:jc w:val="both"/>
        <w:rPr>
          <w:sz w:val="22"/>
          <w:szCs w:val="22"/>
          <w:lang w:val="sr-Latn-RS"/>
        </w:rPr>
      </w:pPr>
      <w:r w:rsidRPr="00667453">
        <w:rPr>
          <w:sz w:val="22"/>
          <w:szCs w:val="22"/>
          <w:u w:val="single"/>
          <w:lang w:val="sr-Latn-RS"/>
        </w:rPr>
        <w:t>Neotvorena bočica</w:t>
      </w:r>
    </w:p>
    <w:p w14:paraId="781E84CE" w14:textId="57A8FD4B" w:rsidR="00745817" w:rsidRPr="00667453" w:rsidRDefault="00745817" w:rsidP="003B1C29">
      <w:pPr>
        <w:widowControl w:val="0"/>
        <w:autoSpaceDE w:val="0"/>
        <w:autoSpaceDN w:val="0"/>
        <w:jc w:val="both"/>
        <w:rPr>
          <w:sz w:val="22"/>
          <w:szCs w:val="22"/>
          <w:lang w:val="sr-Latn-RS"/>
        </w:rPr>
      </w:pPr>
      <w:r w:rsidRPr="00667453">
        <w:rPr>
          <w:sz w:val="22"/>
          <w:szCs w:val="22"/>
          <w:lang w:val="sr-Latn-RS"/>
        </w:rPr>
        <w:t>Čuvajte u frižideru (2–8°C).</w:t>
      </w:r>
    </w:p>
    <w:p w14:paraId="45D9BAC3" w14:textId="4199B719" w:rsidR="00745817" w:rsidRPr="00667453" w:rsidRDefault="00745817" w:rsidP="003B1C29">
      <w:pPr>
        <w:widowControl w:val="0"/>
        <w:autoSpaceDE w:val="0"/>
        <w:autoSpaceDN w:val="0"/>
        <w:jc w:val="both"/>
        <w:rPr>
          <w:sz w:val="22"/>
          <w:szCs w:val="22"/>
          <w:lang w:val="sr-Latn-RS"/>
        </w:rPr>
      </w:pPr>
      <w:r w:rsidRPr="00667453">
        <w:rPr>
          <w:sz w:val="22"/>
          <w:szCs w:val="22"/>
          <w:lang w:val="sr-Latn-RS"/>
        </w:rPr>
        <w:t>Čuvajte u originalnom pakovanju kako biste l</w:t>
      </w:r>
      <w:r w:rsidR="00383868" w:rsidRPr="00667453">
        <w:rPr>
          <w:sz w:val="22"/>
          <w:szCs w:val="22"/>
          <w:lang w:val="sr-Latn-RS"/>
        </w:rPr>
        <w:t>ij</w:t>
      </w:r>
      <w:r w:rsidRPr="00667453">
        <w:rPr>
          <w:sz w:val="22"/>
          <w:szCs w:val="22"/>
          <w:lang w:val="sr-Latn-RS"/>
        </w:rPr>
        <w:t>e</w:t>
      </w:r>
      <w:r w:rsidR="008723B0" w:rsidRPr="00667453">
        <w:rPr>
          <w:sz w:val="22"/>
          <w:szCs w:val="22"/>
          <w:lang w:val="sr-Latn-RS"/>
        </w:rPr>
        <w:t xml:space="preserve">k </w:t>
      </w:r>
      <w:r w:rsidRPr="00667453">
        <w:rPr>
          <w:sz w:val="22"/>
          <w:szCs w:val="22"/>
          <w:lang w:val="sr-Latn-RS"/>
        </w:rPr>
        <w:t>zaštitili od sv</w:t>
      </w:r>
      <w:r w:rsidR="00383868" w:rsidRPr="00667453">
        <w:rPr>
          <w:sz w:val="22"/>
          <w:szCs w:val="22"/>
          <w:lang w:val="sr-Latn-RS"/>
        </w:rPr>
        <w:t>j</w:t>
      </w:r>
      <w:r w:rsidRPr="00667453">
        <w:rPr>
          <w:sz w:val="22"/>
          <w:szCs w:val="22"/>
          <w:lang w:val="sr-Latn-RS"/>
        </w:rPr>
        <w:t>etlosti. Nemojte da zamrzavate, niti da mućkate.</w:t>
      </w:r>
    </w:p>
    <w:p w14:paraId="4CDEA248" w14:textId="77777777" w:rsidR="00745817" w:rsidRPr="00667453" w:rsidRDefault="00745817" w:rsidP="003B1C29">
      <w:pPr>
        <w:widowControl w:val="0"/>
        <w:autoSpaceDE w:val="0"/>
        <w:autoSpaceDN w:val="0"/>
        <w:jc w:val="both"/>
        <w:rPr>
          <w:sz w:val="22"/>
          <w:szCs w:val="22"/>
          <w:lang w:val="sr-Latn-RS"/>
        </w:rPr>
      </w:pPr>
    </w:p>
    <w:p w14:paraId="14047D06" w14:textId="77777777" w:rsidR="00745817" w:rsidRPr="00667453" w:rsidRDefault="00745817" w:rsidP="003B1C29">
      <w:pPr>
        <w:widowControl w:val="0"/>
        <w:autoSpaceDE w:val="0"/>
        <w:autoSpaceDN w:val="0"/>
        <w:jc w:val="both"/>
        <w:rPr>
          <w:sz w:val="22"/>
          <w:szCs w:val="22"/>
          <w:lang w:val="sr-Latn-RS"/>
        </w:rPr>
      </w:pPr>
      <w:r w:rsidRPr="00667453">
        <w:rPr>
          <w:sz w:val="22"/>
          <w:szCs w:val="22"/>
          <w:u w:val="single"/>
          <w:lang w:val="sr-Latn-RS"/>
        </w:rPr>
        <w:t>Razblažen rastvor za infuziju</w:t>
      </w:r>
    </w:p>
    <w:p w14:paraId="410E5C83" w14:textId="113E31E7" w:rsidR="00745817" w:rsidRPr="00667453" w:rsidRDefault="00745817" w:rsidP="003B1C29">
      <w:pPr>
        <w:widowControl w:val="0"/>
        <w:autoSpaceDE w:val="0"/>
        <w:autoSpaceDN w:val="0"/>
        <w:jc w:val="both"/>
        <w:rPr>
          <w:sz w:val="22"/>
          <w:szCs w:val="22"/>
          <w:lang w:val="sr-Latn-RS"/>
        </w:rPr>
      </w:pPr>
      <w:r w:rsidRPr="00667453">
        <w:rPr>
          <w:sz w:val="22"/>
          <w:szCs w:val="22"/>
          <w:lang w:val="sr-Latn-RS"/>
        </w:rPr>
        <w:t>Za uputstva o uslovima za čuvanje nakon razblaženja l</w:t>
      </w:r>
      <w:r w:rsidR="00383868" w:rsidRPr="00667453">
        <w:rPr>
          <w:sz w:val="22"/>
          <w:szCs w:val="22"/>
          <w:lang w:val="sr-Latn-RS"/>
        </w:rPr>
        <w:t>ij</w:t>
      </w:r>
      <w:r w:rsidRPr="00667453">
        <w:rPr>
          <w:sz w:val="22"/>
          <w:szCs w:val="22"/>
          <w:lang w:val="sr-Latn-RS"/>
        </w:rPr>
        <w:t xml:space="preserve">eka, pogledajte </w:t>
      </w:r>
      <w:r w:rsidR="008419A5" w:rsidRPr="00667453">
        <w:rPr>
          <w:sz w:val="22"/>
          <w:szCs w:val="22"/>
          <w:lang w:val="sr-Latn-RS"/>
        </w:rPr>
        <w:t>dio</w:t>
      </w:r>
      <w:r w:rsidRPr="00667453">
        <w:rPr>
          <w:sz w:val="22"/>
          <w:szCs w:val="22"/>
          <w:lang w:val="sr-Latn-RS"/>
        </w:rPr>
        <w:t xml:space="preserve"> 6.3.</w:t>
      </w:r>
    </w:p>
    <w:p w14:paraId="027A8F7D" w14:textId="77777777" w:rsidR="00EC2532" w:rsidRPr="00667453" w:rsidRDefault="00EC2532" w:rsidP="003B1C29">
      <w:pPr>
        <w:widowControl w:val="0"/>
        <w:tabs>
          <w:tab w:val="left" w:pos="540"/>
          <w:tab w:val="left" w:pos="569"/>
        </w:tabs>
        <w:jc w:val="both"/>
        <w:rPr>
          <w:bCs/>
          <w:sz w:val="22"/>
          <w:szCs w:val="22"/>
          <w:lang w:val="sr-Latn-RS"/>
        </w:rPr>
      </w:pPr>
    </w:p>
    <w:p w14:paraId="32DF6C74" w14:textId="5651D287" w:rsidR="0072020E" w:rsidRPr="00667453" w:rsidRDefault="0072020E" w:rsidP="003B1C29">
      <w:pPr>
        <w:widowControl w:val="0"/>
        <w:tabs>
          <w:tab w:val="left" w:pos="540"/>
          <w:tab w:val="left" w:pos="569"/>
        </w:tabs>
        <w:jc w:val="both"/>
        <w:rPr>
          <w:b/>
          <w:bCs/>
          <w:sz w:val="22"/>
          <w:szCs w:val="22"/>
          <w:lang w:val="sr-Latn-RS"/>
        </w:rPr>
      </w:pPr>
      <w:r w:rsidRPr="00667453">
        <w:rPr>
          <w:b/>
          <w:bCs/>
          <w:sz w:val="22"/>
          <w:szCs w:val="22"/>
          <w:lang w:val="sr-Latn-RS"/>
        </w:rPr>
        <w:lastRenderedPageBreak/>
        <w:t xml:space="preserve">6.5. </w:t>
      </w:r>
      <w:r w:rsidR="00480FB1" w:rsidRPr="00667453">
        <w:rPr>
          <w:b/>
          <w:bCs/>
          <w:sz w:val="22"/>
          <w:szCs w:val="22"/>
          <w:lang w:val="sr-Latn-RS"/>
        </w:rPr>
        <w:tab/>
      </w:r>
      <w:r w:rsidR="002846DB" w:rsidRPr="00667453">
        <w:rPr>
          <w:b/>
          <w:bCs/>
          <w:sz w:val="22"/>
          <w:szCs w:val="22"/>
          <w:lang w:val="sr-Latn-RS"/>
        </w:rPr>
        <w:t xml:space="preserve">Vrsta i sadržaj </w:t>
      </w:r>
      <w:r w:rsidR="00F8570A" w:rsidRPr="00667453">
        <w:rPr>
          <w:b/>
          <w:bCs/>
          <w:sz w:val="22"/>
          <w:szCs w:val="22"/>
          <w:lang w:val="sr-Latn-RS"/>
        </w:rPr>
        <w:t>pakovanja</w:t>
      </w:r>
      <w:r w:rsidR="00C06864" w:rsidRPr="00667453">
        <w:rPr>
          <w:b/>
          <w:bCs/>
          <w:sz w:val="22"/>
          <w:szCs w:val="22"/>
          <w:lang w:val="sr-Latn-RS"/>
        </w:rPr>
        <w:t xml:space="preserve"> </w:t>
      </w:r>
    </w:p>
    <w:p w14:paraId="1C0676C9" w14:textId="77777777" w:rsidR="00745817" w:rsidRPr="00667453" w:rsidRDefault="00745817" w:rsidP="003B1C29">
      <w:pPr>
        <w:widowControl w:val="0"/>
        <w:tabs>
          <w:tab w:val="left" w:pos="540"/>
          <w:tab w:val="left" w:pos="569"/>
        </w:tabs>
        <w:jc w:val="both"/>
        <w:rPr>
          <w:b/>
          <w:bCs/>
          <w:sz w:val="22"/>
          <w:szCs w:val="22"/>
          <w:lang w:val="sr-Latn-RS"/>
        </w:rPr>
      </w:pPr>
    </w:p>
    <w:p w14:paraId="369DD729" w14:textId="35F64523" w:rsidR="00745817" w:rsidRPr="00667453" w:rsidRDefault="00745817" w:rsidP="003B1C29">
      <w:pPr>
        <w:widowControl w:val="0"/>
        <w:autoSpaceDE w:val="0"/>
        <w:autoSpaceDN w:val="0"/>
        <w:jc w:val="both"/>
        <w:rPr>
          <w:sz w:val="22"/>
          <w:szCs w:val="22"/>
          <w:lang w:val="sr-Latn-RS"/>
        </w:rPr>
      </w:pPr>
      <w:r w:rsidRPr="00667453">
        <w:rPr>
          <w:sz w:val="22"/>
          <w:szCs w:val="22"/>
          <w:lang w:val="sr-Latn-RS"/>
        </w:rPr>
        <w:t>2,0 ml koncentrata u bočici od providnog stakla tipa I sa elastomernim zapušačem i sivim aluminijumskim zaptivnim d</w:t>
      </w:r>
      <w:r w:rsidR="00383868" w:rsidRPr="00667453">
        <w:rPr>
          <w:sz w:val="22"/>
          <w:szCs w:val="22"/>
          <w:lang w:val="sr-Latn-RS"/>
        </w:rPr>
        <w:t>ij</w:t>
      </w:r>
      <w:r w:rsidRPr="00667453">
        <w:rPr>
          <w:sz w:val="22"/>
          <w:szCs w:val="22"/>
          <w:lang w:val="sr-Latn-RS"/>
        </w:rPr>
        <w:t>elom koji se skida.</w:t>
      </w:r>
    </w:p>
    <w:p w14:paraId="6053FFF5" w14:textId="77777777" w:rsidR="00745817" w:rsidRPr="00667453" w:rsidRDefault="00745817" w:rsidP="003B1C29">
      <w:pPr>
        <w:widowControl w:val="0"/>
        <w:autoSpaceDE w:val="0"/>
        <w:autoSpaceDN w:val="0"/>
        <w:jc w:val="both"/>
        <w:rPr>
          <w:sz w:val="22"/>
          <w:szCs w:val="22"/>
          <w:lang w:val="sr-Latn-RS"/>
        </w:rPr>
      </w:pPr>
    </w:p>
    <w:p w14:paraId="118F4D52" w14:textId="77777777" w:rsidR="00745817" w:rsidRPr="00667453" w:rsidRDefault="00745817" w:rsidP="003B1C29">
      <w:pPr>
        <w:widowControl w:val="0"/>
        <w:autoSpaceDE w:val="0"/>
        <w:autoSpaceDN w:val="0"/>
        <w:jc w:val="both"/>
        <w:rPr>
          <w:sz w:val="22"/>
          <w:szCs w:val="22"/>
          <w:lang w:val="sr-Latn-RS"/>
        </w:rPr>
      </w:pPr>
      <w:r w:rsidRPr="00667453">
        <w:rPr>
          <w:sz w:val="22"/>
          <w:szCs w:val="22"/>
          <w:lang w:val="sr-Latn-RS"/>
        </w:rPr>
        <w:t>U pakovanju se nalazi 1 bočica.</w:t>
      </w:r>
    </w:p>
    <w:p w14:paraId="405060E8" w14:textId="77777777" w:rsidR="0072020E" w:rsidRPr="00667453" w:rsidRDefault="0072020E" w:rsidP="003B1C29">
      <w:pPr>
        <w:widowControl w:val="0"/>
        <w:tabs>
          <w:tab w:val="left" w:pos="540"/>
          <w:tab w:val="left" w:pos="569"/>
        </w:tabs>
        <w:jc w:val="both"/>
        <w:rPr>
          <w:bCs/>
          <w:sz w:val="22"/>
          <w:szCs w:val="22"/>
          <w:lang w:val="sr-Latn-RS"/>
        </w:rPr>
      </w:pPr>
    </w:p>
    <w:p w14:paraId="66A268B0" w14:textId="69CDC840" w:rsidR="002846DB" w:rsidRPr="00667453" w:rsidRDefault="0072020E" w:rsidP="003B1C29">
      <w:pPr>
        <w:widowControl w:val="0"/>
        <w:tabs>
          <w:tab w:val="left" w:pos="540"/>
          <w:tab w:val="left" w:pos="569"/>
        </w:tabs>
        <w:jc w:val="both"/>
        <w:rPr>
          <w:b/>
          <w:bCs/>
          <w:sz w:val="22"/>
          <w:szCs w:val="22"/>
          <w:lang w:val="sr-Latn-RS"/>
        </w:rPr>
      </w:pPr>
      <w:r w:rsidRPr="00667453">
        <w:rPr>
          <w:b/>
          <w:bCs/>
          <w:sz w:val="22"/>
          <w:szCs w:val="22"/>
          <w:lang w:val="sr-Latn-RS"/>
        </w:rPr>
        <w:t xml:space="preserve">6.6. </w:t>
      </w:r>
      <w:r w:rsidR="00480FB1" w:rsidRPr="00667453">
        <w:rPr>
          <w:b/>
          <w:bCs/>
          <w:sz w:val="22"/>
          <w:szCs w:val="22"/>
          <w:lang w:val="sr-Latn-RS"/>
        </w:rPr>
        <w:tab/>
      </w:r>
      <w:r w:rsidRPr="00667453">
        <w:rPr>
          <w:b/>
          <w:bCs/>
          <w:color w:val="000000"/>
          <w:sz w:val="22"/>
          <w:szCs w:val="22"/>
          <w:lang w:val="sr-Latn-RS"/>
        </w:rPr>
        <w:t>Posebne mjere opreza pri odlaganju materijala koji treba odbaciti nakon primjene lijeka</w:t>
      </w:r>
      <w:r w:rsidRPr="00667453">
        <w:rPr>
          <w:b/>
          <w:bCs/>
          <w:sz w:val="22"/>
          <w:szCs w:val="22"/>
          <w:lang w:val="sr-Latn-RS"/>
        </w:rPr>
        <w:t xml:space="preserve"> </w:t>
      </w:r>
      <w:r w:rsidR="00310F03" w:rsidRPr="00667453">
        <w:rPr>
          <w:b/>
          <w:bCs/>
          <w:sz w:val="22"/>
          <w:szCs w:val="22"/>
          <w:lang w:val="sr-Latn-RS"/>
        </w:rPr>
        <w:t>(i druga uputs</w:t>
      </w:r>
      <w:r w:rsidR="004109FA" w:rsidRPr="00667453">
        <w:rPr>
          <w:b/>
          <w:bCs/>
          <w:sz w:val="22"/>
          <w:szCs w:val="22"/>
          <w:lang w:val="sr-Latn-RS"/>
        </w:rPr>
        <w:t>t</w:t>
      </w:r>
      <w:r w:rsidR="00310F03" w:rsidRPr="00667453">
        <w:rPr>
          <w:b/>
          <w:bCs/>
          <w:sz w:val="22"/>
          <w:szCs w:val="22"/>
          <w:lang w:val="sr-Latn-RS"/>
        </w:rPr>
        <w:t xml:space="preserve">va za rukovanje lijekom) </w:t>
      </w:r>
    </w:p>
    <w:p w14:paraId="16883843" w14:textId="77777777" w:rsidR="00745817" w:rsidRPr="00667453" w:rsidRDefault="00745817" w:rsidP="003B1C29">
      <w:pPr>
        <w:widowControl w:val="0"/>
        <w:tabs>
          <w:tab w:val="left" w:pos="540"/>
          <w:tab w:val="left" w:pos="569"/>
        </w:tabs>
        <w:jc w:val="both"/>
        <w:rPr>
          <w:b/>
          <w:bCs/>
          <w:sz w:val="22"/>
          <w:szCs w:val="22"/>
          <w:lang w:val="sr-Latn-RS"/>
        </w:rPr>
      </w:pPr>
    </w:p>
    <w:p w14:paraId="61647BF9" w14:textId="292485AF" w:rsidR="00745817" w:rsidRPr="00667453" w:rsidRDefault="00745817" w:rsidP="003B1C29">
      <w:pPr>
        <w:widowControl w:val="0"/>
        <w:autoSpaceDE w:val="0"/>
        <w:autoSpaceDN w:val="0"/>
        <w:jc w:val="both"/>
        <w:rPr>
          <w:sz w:val="22"/>
          <w:szCs w:val="22"/>
          <w:lang w:val="sr-Latn-RS"/>
        </w:rPr>
      </w:pPr>
      <w:r w:rsidRPr="00667453">
        <w:rPr>
          <w:sz w:val="22"/>
          <w:szCs w:val="22"/>
          <w:lang w:val="sr-Latn-RS"/>
        </w:rPr>
        <w:t xml:space="preserve">Saphnelo se isporučuje u bočici za jednu dozu. Rastvor za infuziju treba da priprema i </w:t>
      </w:r>
      <w:r w:rsidR="008419A5" w:rsidRPr="00667453">
        <w:rPr>
          <w:sz w:val="22"/>
          <w:szCs w:val="22"/>
          <w:lang w:val="sr-Latn-RS"/>
        </w:rPr>
        <w:t>primjen</w:t>
      </w:r>
      <w:r w:rsidRPr="00667453">
        <w:rPr>
          <w:sz w:val="22"/>
          <w:szCs w:val="22"/>
          <w:lang w:val="sr-Latn-RS"/>
        </w:rPr>
        <w:t>juje zdravstveni radnik koristeći aseptičnu tehniku na sledeći način:</w:t>
      </w:r>
    </w:p>
    <w:p w14:paraId="66F4DCE4" w14:textId="77777777" w:rsidR="00745817" w:rsidRPr="00667453" w:rsidRDefault="00745817" w:rsidP="003B1C29">
      <w:pPr>
        <w:widowControl w:val="0"/>
        <w:autoSpaceDE w:val="0"/>
        <w:autoSpaceDN w:val="0"/>
        <w:jc w:val="both"/>
        <w:rPr>
          <w:sz w:val="22"/>
          <w:szCs w:val="22"/>
          <w:lang w:val="sr-Latn-RS"/>
        </w:rPr>
      </w:pPr>
    </w:p>
    <w:p w14:paraId="5ACB0412" w14:textId="77777777" w:rsidR="00745817" w:rsidRPr="00667453" w:rsidRDefault="00745817" w:rsidP="003B1C29">
      <w:pPr>
        <w:widowControl w:val="0"/>
        <w:autoSpaceDE w:val="0"/>
        <w:autoSpaceDN w:val="0"/>
        <w:jc w:val="both"/>
        <w:rPr>
          <w:sz w:val="22"/>
          <w:szCs w:val="22"/>
          <w:lang w:val="sr-Latn-RS"/>
        </w:rPr>
      </w:pPr>
      <w:r w:rsidRPr="00667453">
        <w:rPr>
          <w:sz w:val="22"/>
          <w:szCs w:val="22"/>
          <w:u w:val="single"/>
          <w:lang w:val="sr-Latn-RS"/>
        </w:rPr>
        <w:t>Priprema rastvora</w:t>
      </w:r>
    </w:p>
    <w:p w14:paraId="3968204C" w14:textId="77777777" w:rsidR="00745817" w:rsidRPr="00667453" w:rsidRDefault="00745817" w:rsidP="003B1C29">
      <w:pPr>
        <w:widowControl w:val="0"/>
        <w:autoSpaceDE w:val="0"/>
        <w:autoSpaceDN w:val="0"/>
        <w:jc w:val="both"/>
        <w:rPr>
          <w:sz w:val="22"/>
          <w:szCs w:val="22"/>
          <w:lang w:val="sr-Latn-RS"/>
        </w:rPr>
      </w:pPr>
    </w:p>
    <w:p w14:paraId="6AABE3D1" w14:textId="665B4780" w:rsidR="00745817" w:rsidRPr="00667453" w:rsidRDefault="00745817" w:rsidP="003B1C29">
      <w:pPr>
        <w:widowControl w:val="0"/>
        <w:numPr>
          <w:ilvl w:val="0"/>
          <w:numId w:val="13"/>
        </w:numPr>
        <w:autoSpaceDE w:val="0"/>
        <w:autoSpaceDN w:val="0"/>
        <w:spacing w:line="244" w:lineRule="auto"/>
        <w:ind w:left="284" w:hanging="284"/>
        <w:jc w:val="both"/>
        <w:rPr>
          <w:sz w:val="22"/>
          <w:szCs w:val="22"/>
          <w:lang w:val="sr-Latn-RS"/>
        </w:rPr>
      </w:pPr>
      <w:r w:rsidRPr="00667453">
        <w:rPr>
          <w:sz w:val="22"/>
          <w:szCs w:val="22"/>
          <w:lang w:val="sr-Latn-RS"/>
        </w:rPr>
        <w:t>Vizuelno prov</w:t>
      </w:r>
      <w:r w:rsidR="00383868" w:rsidRPr="00667453">
        <w:rPr>
          <w:sz w:val="22"/>
          <w:szCs w:val="22"/>
          <w:lang w:val="sr-Latn-RS"/>
        </w:rPr>
        <w:t>j</w:t>
      </w:r>
      <w:r w:rsidRPr="00667453">
        <w:rPr>
          <w:sz w:val="22"/>
          <w:szCs w:val="22"/>
          <w:lang w:val="sr-Latn-RS"/>
        </w:rPr>
        <w:t>erite da li u bočici postoje čestice i prom</w:t>
      </w:r>
      <w:r w:rsidR="00383868" w:rsidRPr="00667453">
        <w:rPr>
          <w:sz w:val="22"/>
          <w:szCs w:val="22"/>
          <w:lang w:val="sr-Latn-RS"/>
        </w:rPr>
        <w:t>j</w:t>
      </w:r>
      <w:r w:rsidRPr="00667453">
        <w:rPr>
          <w:sz w:val="22"/>
          <w:szCs w:val="22"/>
          <w:lang w:val="sr-Latn-RS"/>
        </w:rPr>
        <w:t>ena boje. Saphnelo je bistar do opalescentan, bezbojan do blago žut rastvor. Bacite bočicu ukoliko je rastvor zamućen, ili ukoliko je prom</w:t>
      </w:r>
      <w:r w:rsidR="00383868" w:rsidRPr="00667453">
        <w:rPr>
          <w:sz w:val="22"/>
          <w:szCs w:val="22"/>
          <w:lang w:val="sr-Latn-RS"/>
        </w:rPr>
        <w:t>ij</w:t>
      </w:r>
      <w:r w:rsidRPr="00667453">
        <w:rPr>
          <w:sz w:val="22"/>
          <w:szCs w:val="22"/>
          <w:lang w:val="sr-Latn-RS"/>
        </w:rPr>
        <w:t>enio boju ili se u njemu vide čestice. Ne mućkajte bočicu.</w:t>
      </w:r>
    </w:p>
    <w:p w14:paraId="5F4FAB74" w14:textId="77777777" w:rsidR="00745817" w:rsidRPr="00667453" w:rsidRDefault="00745817" w:rsidP="003B1C29">
      <w:pPr>
        <w:widowControl w:val="0"/>
        <w:autoSpaceDE w:val="0"/>
        <w:autoSpaceDN w:val="0"/>
        <w:ind w:left="284" w:hanging="284"/>
        <w:jc w:val="both"/>
        <w:rPr>
          <w:sz w:val="22"/>
          <w:szCs w:val="22"/>
          <w:lang w:val="sr-Latn-RS"/>
        </w:rPr>
      </w:pPr>
    </w:p>
    <w:p w14:paraId="0E717BE0" w14:textId="57C2DBD6" w:rsidR="00745817" w:rsidRPr="00667453" w:rsidRDefault="00745817" w:rsidP="003B1C29">
      <w:pPr>
        <w:widowControl w:val="0"/>
        <w:numPr>
          <w:ilvl w:val="0"/>
          <w:numId w:val="13"/>
        </w:numPr>
        <w:autoSpaceDE w:val="0"/>
        <w:autoSpaceDN w:val="0"/>
        <w:spacing w:line="244" w:lineRule="auto"/>
        <w:ind w:left="284" w:hanging="284"/>
        <w:jc w:val="both"/>
        <w:rPr>
          <w:sz w:val="22"/>
          <w:szCs w:val="22"/>
          <w:lang w:val="sr-Latn-RS"/>
        </w:rPr>
      </w:pPr>
      <w:r w:rsidRPr="00667453">
        <w:rPr>
          <w:sz w:val="22"/>
          <w:szCs w:val="22"/>
          <w:lang w:val="sr-Latn-RS"/>
        </w:rPr>
        <w:t>Razblažite 2,0 ml Saphnelo rastvora za infuziju u kesi za infuziju koja sadrži rastvor natrijum</w:t>
      </w:r>
      <w:r w:rsidR="008723B0" w:rsidRPr="00667453">
        <w:rPr>
          <w:sz w:val="22"/>
          <w:szCs w:val="22"/>
          <w:lang w:val="sr-Latn-RS"/>
        </w:rPr>
        <w:t xml:space="preserve"> </w:t>
      </w:r>
      <w:r w:rsidRPr="00667453">
        <w:rPr>
          <w:sz w:val="22"/>
          <w:szCs w:val="22"/>
          <w:lang w:val="sr-Latn-RS"/>
        </w:rPr>
        <w:t xml:space="preserve">hlorida za injekcije od 9 mg/ml (0,9%) tako da dobijete </w:t>
      </w:r>
      <w:r w:rsidR="000B2A85" w:rsidRPr="00B15FA8">
        <w:rPr>
          <w:sz w:val="22"/>
          <w:szCs w:val="22"/>
          <w:lang w:val="sr-Latn-RS"/>
        </w:rPr>
        <w:t>50 ml ili</w:t>
      </w:r>
      <w:r w:rsidR="000B2A85">
        <w:rPr>
          <w:sz w:val="22"/>
          <w:szCs w:val="22"/>
          <w:lang w:val="sr-Latn-RS"/>
        </w:rPr>
        <w:t xml:space="preserve"> </w:t>
      </w:r>
      <w:r w:rsidRPr="00667453">
        <w:rPr>
          <w:sz w:val="22"/>
          <w:szCs w:val="22"/>
          <w:lang w:val="sr-Latn-RS"/>
        </w:rPr>
        <w:t>100 ml l</w:t>
      </w:r>
      <w:r w:rsidR="00383868" w:rsidRPr="00667453">
        <w:rPr>
          <w:sz w:val="22"/>
          <w:szCs w:val="22"/>
          <w:lang w:val="sr-Latn-RS"/>
        </w:rPr>
        <w:t>ij</w:t>
      </w:r>
      <w:r w:rsidRPr="00667453">
        <w:rPr>
          <w:sz w:val="22"/>
          <w:szCs w:val="22"/>
          <w:lang w:val="sr-Latn-RS"/>
        </w:rPr>
        <w:t>eka.</w:t>
      </w:r>
    </w:p>
    <w:p w14:paraId="32AA0815" w14:textId="77777777" w:rsidR="00745817" w:rsidRPr="00667453" w:rsidRDefault="00745817" w:rsidP="003B1C29">
      <w:pPr>
        <w:widowControl w:val="0"/>
        <w:autoSpaceDE w:val="0"/>
        <w:autoSpaceDN w:val="0"/>
        <w:ind w:left="284" w:hanging="284"/>
        <w:jc w:val="both"/>
        <w:rPr>
          <w:sz w:val="22"/>
          <w:szCs w:val="22"/>
          <w:lang w:val="sr-Latn-RS"/>
        </w:rPr>
      </w:pPr>
    </w:p>
    <w:p w14:paraId="4004E0F3" w14:textId="1DCA5659" w:rsidR="00745817" w:rsidRPr="00667453" w:rsidRDefault="00745817" w:rsidP="003B1C29">
      <w:pPr>
        <w:widowControl w:val="0"/>
        <w:numPr>
          <w:ilvl w:val="0"/>
          <w:numId w:val="13"/>
        </w:numPr>
        <w:autoSpaceDE w:val="0"/>
        <w:autoSpaceDN w:val="0"/>
        <w:ind w:left="284" w:hanging="284"/>
        <w:jc w:val="both"/>
        <w:rPr>
          <w:sz w:val="22"/>
          <w:szCs w:val="22"/>
          <w:lang w:val="sr-Latn-RS"/>
        </w:rPr>
      </w:pPr>
      <w:r w:rsidRPr="00667453">
        <w:rPr>
          <w:sz w:val="22"/>
          <w:szCs w:val="22"/>
          <w:lang w:val="sr-Latn-RS"/>
        </w:rPr>
        <w:t>Prom</w:t>
      </w:r>
      <w:r w:rsidR="00C45043">
        <w:rPr>
          <w:sz w:val="22"/>
          <w:szCs w:val="22"/>
          <w:lang w:val="sr-Latn-RS"/>
        </w:rPr>
        <w:t>i</w:t>
      </w:r>
      <w:r w:rsidR="008723B0" w:rsidRPr="00667453">
        <w:rPr>
          <w:sz w:val="22"/>
          <w:szCs w:val="22"/>
          <w:lang w:val="sr-Latn-RS"/>
        </w:rPr>
        <w:t>j</w:t>
      </w:r>
      <w:r w:rsidRPr="00667453">
        <w:rPr>
          <w:sz w:val="22"/>
          <w:szCs w:val="22"/>
          <w:lang w:val="sr-Latn-RS"/>
        </w:rPr>
        <w:t>ešajte rastvor laganim okretanjem. Ne mućkajte.</w:t>
      </w:r>
    </w:p>
    <w:p w14:paraId="1636A385" w14:textId="77777777" w:rsidR="00745817" w:rsidRPr="00667453" w:rsidRDefault="00745817" w:rsidP="003B1C29">
      <w:pPr>
        <w:widowControl w:val="0"/>
        <w:autoSpaceDE w:val="0"/>
        <w:autoSpaceDN w:val="0"/>
        <w:ind w:left="284" w:hanging="284"/>
        <w:jc w:val="both"/>
        <w:rPr>
          <w:sz w:val="22"/>
          <w:szCs w:val="22"/>
          <w:lang w:val="sr-Latn-RS"/>
        </w:rPr>
      </w:pPr>
    </w:p>
    <w:p w14:paraId="492BE59B" w14:textId="77777777" w:rsidR="00745817" w:rsidRPr="00667453" w:rsidRDefault="00745817" w:rsidP="003B1C29">
      <w:pPr>
        <w:widowControl w:val="0"/>
        <w:numPr>
          <w:ilvl w:val="0"/>
          <w:numId w:val="13"/>
        </w:numPr>
        <w:autoSpaceDE w:val="0"/>
        <w:autoSpaceDN w:val="0"/>
        <w:ind w:left="284" w:hanging="284"/>
        <w:jc w:val="both"/>
        <w:rPr>
          <w:sz w:val="22"/>
          <w:szCs w:val="22"/>
          <w:lang w:val="sr-Latn-RS"/>
        </w:rPr>
      </w:pPr>
      <w:r w:rsidRPr="00667453">
        <w:rPr>
          <w:sz w:val="22"/>
          <w:szCs w:val="22"/>
          <w:lang w:val="sr-Latn-RS"/>
        </w:rPr>
        <w:t>Svu količinu koncentrata koja preostane u bočici neophodno je baciti.</w:t>
      </w:r>
    </w:p>
    <w:p w14:paraId="34143F4E" w14:textId="77777777" w:rsidR="00745817" w:rsidRPr="00667453" w:rsidRDefault="00745817" w:rsidP="003B1C29">
      <w:pPr>
        <w:widowControl w:val="0"/>
        <w:autoSpaceDE w:val="0"/>
        <w:autoSpaceDN w:val="0"/>
        <w:ind w:left="284" w:hanging="284"/>
        <w:jc w:val="both"/>
        <w:rPr>
          <w:sz w:val="22"/>
          <w:szCs w:val="22"/>
          <w:lang w:val="sr-Latn-RS"/>
        </w:rPr>
      </w:pPr>
    </w:p>
    <w:p w14:paraId="07CD5E91" w14:textId="090A1CDC" w:rsidR="00745817" w:rsidRPr="00667453" w:rsidRDefault="00745817" w:rsidP="003B1C29">
      <w:pPr>
        <w:widowControl w:val="0"/>
        <w:numPr>
          <w:ilvl w:val="0"/>
          <w:numId w:val="13"/>
        </w:numPr>
        <w:autoSpaceDE w:val="0"/>
        <w:autoSpaceDN w:val="0"/>
        <w:spacing w:line="244" w:lineRule="auto"/>
        <w:ind w:left="284" w:hanging="284"/>
        <w:jc w:val="both"/>
        <w:rPr>
          <w:sz w:val="22"/>
          <w:szCs w:val="22"/>
          <w:lang w:val="sr-Latn-RS"/>
        </w:rPr>
      </w:pPr>
      <w:r w:rsidRPr="00667453">
        <w:rPr>
          <w:sz w:val="22"/>
          <w:szCs w:val="22"/>
          <w:lang w:val="sr-Latn-RS"/>
        </w:rPr>
        <w:t>Preporučuje se da se rastvor za infuziju prim</w:t>
      </w:r>
      <w:r w:rsidR="00383868" w:rsidRPr="00667453">
        <w:rPr>
          <w:sz w:val="22"/>
          <w:szCs w:val="22"/>
          <w:lang w:val="sr-Latn-RS"/>
        </w:rPr>
        <w:t>ij</w:t>
      </w:r>
      <w:r w:rsidRPr="00667453">
        <w:rPr>
          <w:sz w:val="22"/>
          <w:szCs w:val="22"/>
          <w:lang w:val="sr-Latn-RS"/>
        </w:rPr>
        <w:t xml:space="preserve">eni neposredno nakon pripreme. Ukoliko se rastvor za infuziju čuva u frižideru (vidjeti </w:t>
      </w:r>
      <w:r w:rsidR="008419A5" w:rsidRPr="00667453">
        <w:rPr>
          <w:sz w:val="22"/>
          <w:szCs w:val="22"/>
          <w:lang w:val="sr-Latn-RS"/>
        </w:rPr>
        <w:t>dio</w:t>
      </w:r>
      <w:r w:rsidRPr="00667453">
        <w:rPr>
          <w:sz w:val="22"/>
          <w:szCs w:val="22"/>
          <w:lang w:val="sr-Latn-RS"/>
        </w:rPr>
        <w:t xml:space="preserve"> 6.3), ostavite ga da dostigne sobnu temperaturu (15–25°C) pr</w:t>
      </w:r>
      <w:r w:rsidR="00E70B6A" w:rsidRPr="00667453">
        <w:rPr>
          <w:sz w:val="22"/>
          <w:szCs w:val="22"/>
          <w:lang w:val="sr-Latn-RS"/>
        </w:rPr>
        <w:t>ij</w:t>
      </w:r>
      <w:r w:rsidRPr="00667453">
        <w:rPr>
          <w:sz w:val="22"/>
          <w:szCs w:val="22"/>
          <w:lang w:val="sr-Latn-RS"/>
        </w:rPr>
        <w:t>e primjene.</w:t>
      </w:r>
    </w:p>
    <w:p w14:paraId="6CB1A23C" w14:textId="77777777" w:rsidR="00745817" w:rsidRPr="00667453" w:rsidRDefault="00745817" w:rsidP="003B1C29">
      <w:pPr>
        <w:widowControl w:val="0"/>
        <w:autoSpaceDE w:val="0"/>
        <w:autoSpaceDN w:val="0"/>
        <w:jc w:val="both"/>
        <w:rPr>
          <w:sz w:val="22"/>
          <w:szCs w:val="22"/>
          <w:lang w:val="sr-Latn-RS"/>
        </w:rPr>
      </w:pPr>
    </w:p>
    <w:p w14:paraId="75A9D586" w14:textId="77777777" w:rsidR="00745817" w:rsidRPr="00667453" w:rsidRDefault="00745817" w:rsidP="003B1C29">
      <w:pPr>
        <w:widowControl w:val="0"/>
        <w:autoSpaceDE w:val="0"/>
        <w:autoSpaceDN w:val="0"/>
        <w:jc w:val="both"/>
        <w:rPr>
          <w:sz w:val="22"/>
          <w:szCs w:val="22"/>
          <w:lang w:val="sr-Latn-RS"/>
        </w:rPr>
      </w:pPr>
      <w:r w:rsidRPr="00667453">
        <w:rPr>
          <w:sz w:val="22"/>
          <w:szCs w:val="22"/>
          <w:u w:val="single"/>
          <w:lang w:val="sr-Latn-RS"/>
        </w:rPr>
        <w:t>Odlaganje</w:t>
      </w:r>
    </w:p>
    <w:p w14:paraId="0F716E18" w14:textId="77777777" w:rsidR="00745817" w:rsidRPr="00667453" w:rsidRDefault="00745817" w:rsidP="003B1C29">
      <w:pPr>
        <w:widowControl w:val="0"/>
        <w:autoSpaceDE w:val="0"/>
        <w:autoSpaceDN w:val="0"/>
        <w:jc w:val="both"/>
        <w:rPr>
          <w:sz w:val="22"/>
          <w:szCs w:val="22"/>
          <w:lang w:val="sr-Latn-RS"/>
        </w:rPr>
      </w:pPr>
    </w:p>
    <w:p w14:paraId="0D993E4D" w14:textId="5DF1BF35" w:rsidR="00745817" w:rsidRPr="00667453" w:rsidRDefault="00745817" w:rsidP="003B1C29">
      <w:pPr>
        <w:widowControl w:val="0"/>
        <w:autoSpaceDE w:val="0"/>
        <w:autoSpaceDN w:val="0"/>
        <w:jc w:val="both"/>
        <w:rPr>
          <w:sz w:val="22"/>
          <w:szCs w:val="22"/>
          <w:lang w:val="sr-Latn-RS"/>
        </w:rPr>
      </w:pPr>
      <w:r w:rsidRPr="00667453">
        <w:rPr>
          <w:sz w:val="22"/>
          <w:szCs w:val="22"/>
          <w:lang w:val="sr-Latn-RS"/>
        </w:rPr>
        <w:t>Neupotr</w:t>
      </w:r>
      <w:r w:rsidR="00C45043">
        <w:rPr>
          <w:sz w:val="22"/>
          <w:szCs w:val="22"/>
          <w:lang w:val="sr-Latn-RS"/>
        </w:rPr>
        <w:t>ij</w:t>
      </w:r>
      <w:r w:rsidRPr="00667453">
        <w:rPr>
          <w:sz w:val="22"/>
          <w:szCs w:val="22"/>
          <w:lang w:val="sr-Latn-RS"/>
        </w:rPr>
        <w:t>ebljen l</w:t>
      </w:r>
      <w:r w:rsidR="00383868" w:rsidRPr="00667453">
        <w:rPr>
          <w:sz w:val="22"/>
          <w:szCs w:val="22"/>
          <w:lang w:val="sr-Latn-RS"/>
        </w:rPr>
        <w:t>ij</w:t>
      </w:r>
      <w:r w:rsidRPr="00667453">
        <w:rPr>
          <w:sz w:val="22"/>
          <w:szCs w:val="22"/>
          <w:lang w:val="sr-Latn-RS"/>
        </w:rPr>
        <w:t>ek ili otpadni materijal odlažu se u skladu s lokalnim propisima.</w:t>
      </w:r>
    </w:p>
    <w:p w14:paraId="7F9721EB" w14:textId="77777777" w:rsidR="00B66A70" w:rsidRPr="00667453" w:rsidRDefault="00B66A70" w:rsidP="003B1C29">
      <w:pPr>
        <w:widowControl w:val="0"/>
        <w:tabs>
          <w:tab w:val="left" w:pos="540"/>
          <w:tab w:val="left" w:pos="569"/>
        </w:tabs>
        <w:jc w:val="both"/>
        <w:rPr>
          <w:b/>
          <w:bCs/>
          <w:sz w:val="22"/>
          <w:szCs w:val="22"/>
          <w:lang w:val="sr-Latn-RS"/>
        </w:rPr>
      </w:pPr>
    </w:p>
    <w:p w14:paraId="63FD297B" w14:textId="77777777" w:rsidR="0072020E" w:rsidRPr="00667453" w:rsidRDefault="0072020E" w:rsidP="003B1C29">
      <w:pPr>
        <w:widowControl w:val="0"/>
        <w:tabs>
          <w:tab w:val="left" w:pos="540"/>
          <w:tab w:val="left" w:pos="569"/>
        </w:tabs>
        <w:jc w:val="both"/>
        <w:rPr>
          <w:bCs/>
          <w:sz w:val="22"/>
          <w:szCs w:val="22"/>
          <w:lang w:val="sr-Latn-RS"/>
        </w:rPr>
      </w:pPr>
    </w:p>
    <w:p w14:paraId="022D504B" w14:textId="77777777" w:rsidR="00F8570A" w:rsidRPr="00667453" w:rsidRDefault="0072020E" w:rsidP="003B1C29">
      <w:pPr>
        <w:widowControl w:val="0"/>
        <w:tabs>
          <w:tab w:val="left" w:pos="540"/>
          <w:tab w:val="left" w:pos="569"/>
        </w:tabs>
        <w:jc w:val="both"/>
        <w:rPr>
          <w:b/>
          <w:bCs/>
          <w:sz w:val="22"/>
          <w:szCs w:val="22"/>
          <w:lang w:val="sr-Latn-RS"/>
        </w:rPr>
      </w:pPr>
      <w:r w:rsidRPr="00667453">
        <w:rPr>
          <w:b/>
          <w:bCs/>
          <w:sz w:val="22"/>
          <w:szCs w:val="22"/>
          <w:lang w:val="sr-Latn-RS"/>
        </w:rPr>
        <w:t xml:space="preserve">7. </w:t>
      </w:r>
      <w:r w:rsidR="00480FB1" w:rsidRPr="00667453">
        <w:rPr>
          <w:b/>
          <w:bCs/>
          <w:sz w:val="22"/>
          <w:szCs w:val="22"/>
          <w:lang w:val="sr-Latn-RS"/>
        </w:rPr>
        <w:tab/>
      </w:r>
      <w:r w:rsidRPr="00667453">
        <w:rPr>
          <w:b/>
          <w:bCs/>
          <w:sz w:val="22"/>
          <w:szCs w:val="22"/>
          <w:lang w:val="sr-Latn-RS"/>
        </w:rPr>
        <w:t>NOSILAC DOZVOLE</w:t>
      </w:r>
      <w:r w:rsidR="00483928" w:rsidRPr="00667453">
        <w:rPr>
          <w:b/>
          <w:bCs/>
          <w:sz w:val="22"/>
          <w:szCs w:val="22"/>
          <w:lang w:val="sr-Latn-RS"/>
        </w:rPr>
        <w:t xml:space="preserve"> </w:t>
      </w:r>
    </w:p>
    <w:p w14:paraId="1F6E0359" w14:textId="77777777" w:rsidR="00C61BE0" w:rsidRPr="00667453" w:rsidRDefault="00C61BE0" w:rsidP="003B1C29">
      <w:pPr>
        <w:widowControl w:val="0"/>
        <w:tabs>
          <w:tab w:val="left" w:pos="540"/>
          <w:tab w:val="left" w:pos="569"/>
        </w:tabs>
        <w:jc w:val="both"/>
        <w:rPr>
          <w:bCs/>
          <w:sz w:val="22"/>
          <w:szCs w:val="22"/>
          <w:lang w:val="sr-Latn-RS"/>
        </w:rPr>
      </w:pPr>
    </w:p>
    <w:p w14:paraId="5A83265A" w14:textId="330FBED5" w:rsidR="00C37FD7" w:rsidRDefault="00745817" w:rsidP="003B1C29">
      <w:pPr>
        <w:widowControl w:val="0"/>
        <w:tabs>
          <w:tab w:val="left" w:pos="540"/>
          <w:tab w:val="left" w:pos="569"/>
        </w:tabs>
        <w:jc w:val="both"/>
        <w:rPr>
          <w:bCs/>
          <w:sz w:val="22"/>
          <w:szCs w:val="22"/>
          <w:lang w:val="sr-Latn-RS"/>
        </w:rPr>
      </w:pPr>
      <w:r w:rsidRPr="00667453">
        <w:rPr>
          <w:bCs/>
          <w:sz w:val="22"/>
          <w:szCs w:val="22"/>
          <w:lang w:val="sr-Latn-RS"/>
        </w:rPr>
        <w:t>Glosarij d.o.o.</w:t>
      </w:r>
      <w:r w:rsidR="00C45043">
        <w:rPr>
          <w:bCs/>
          <w:sz w:val="22"/>
          <w:szCs w:val="22"/>
          <w:lang w:val="sr-Latn-RS"/>
        </w:rPr>
        <w:t>,</w:t>
      </w:r>
      <w:r w:rsidRPr="00667453">
        <w:rPr>
          <w:bCs/>
          <w:sz w:val="22"/>
          <w:szCs w:val="22"/>
          <w:lang w:val="sr-Latn-RS"/>
        </w:rPr>
        <w:t xml:space="preserve"> Vojislavljevića 76, 81 000 Podgorica, Crna Gora</w:t>
      </w:r>
    </w:p>
    <w:p w14:paraId="05F3FA86" w14:textId="579B6F9B" w:rsidR="00313A6F" w:rsidRDefault="00313A6F" w:rsidP="003B1C29">
      <w:pPr>
        <w:widowControl w:val="0"/>
        <w:tabs>
          <w:tab w:val="left" w:pos="540"/>
          <w:tab w:val="left" w:pos="569"/>
        </w:tabs>
        <w:jc w:val="both"/>
        <w:rPr>
          <w:bCs/>
          <w:sz w:val="22"/>
          <w:szCs w:val="22"/>
          <w:lang w:val="sr-Latn-RS"/>
        </w:rPr>
      </w:pPr>
    </w:p>
    <w:p w14:paraId="1E834516" w14:textId="77777777" w:rsidR="008723B0" w:rsidRPr="00667453" w:rsidRDefault="008723B0" w:rsidP="003B1C29">
      <w:pPr>
        <w:widowControl w:val="0"/>
        <w:tabs>
          <w:tab w:val="left" w:pos="540"/>
          <w:tab w:val="left" w:pos="569"/>
        </w:tabs>
        <w:jc w:val="both"/>
        <w:rPr>
          <w:bCs/>
          <w:sz w:val="22"/>
          <w:szCs w:val="22"/>
          <w:lang w:val="sr-Latn-RS"/>
        </w:rPr>
      </w:pPr>
    </w:p>
    <w:p w14:paraId="7463444D" w14:textId="794B2F79" w:rsidR="0072020E" w:rsidRDefault="0072020E" w:rsidP="003B1C29">
      <w:pPr>
        <w:widowControl w:val="0"/>
        <w:tabs>
          <w:tab w:val="left" w:pos="540"/>
          <w:tab w:val="left" w:pos="569"/>
        </w:tabs>
        <w:jc w:val="both"/>
        <w:rPr>
          <w:b/>
          <w:bCs/>
          <w:sz w:val="22"/>
          <w:szCs w:val="22"/>
          <w:lang w:val="sr-Latn-RS"/>
        </w:rPr>
      </w:pPr>
      <w:r w:rsidRPr="00667453">
        <w:rPr>
          <w:b/>
          <w:bCs/>
          <w:sz w:val="22"/>
          <w:szCs w:val="22"/>
          <w:lang w:val="sr-Latn-RS"/>
        </w:rPr>
        <w:t xml:space="preserve">8. </w:t>
      </w:r>
      <w:r w:rsidR="00480FB1" w:rsidRPr="00667453">
        <w:rPr>
          <w:b/>
          <w:bCs/>
          <w:sz w:val="22"/>
          <w:szCs w:val="22"/>
          <w:lang w:val="sr-Latn-RS"/>
        </w:rPr>
        <w:tab/>
      </w:r>
      <w:r w:rsidRPr="00667453">
        <w:rPr>
          <w:b/>
          <w:bCs/>
          <w:sz w:val="22"/>
          <w:szCs w:val="22"/>
          <w:lang w:val="sr-Latn-RS"/>
        </w:rPr>
        <w:t>BROJ DOZVOLE</w:t>
      </w:r>
      <w:r w:rsidR="008A6D43" w:rsidRPr="00667453">
        <w:rPr>
          <w:b/>
          <w:bCs/>
          <w:sz w:val="22"/>
          <w:szCs w:val="22"/>
          <w:lang w:val="sr-Latn-RS"/>
        </w:rPr>
        <w:t xml:space="preserve"> ZA STAVLJANJE LIJEKA U PROMET</w:t>
      </w:r>
    </w:p>
    <w:p w14:paraId="54691EC1" w14:textId="47F53144" w:rsidR="00313A6F" w:rsidRDefault="00313A6F" w:rsidP="003B1C29">
      <w:pPr>
        <w:widowControl w:val="0"/>
        <w:tabs>
          <w:tab w:val="left" w:pos="540"/>
          <w:tab w:val="left" w:pos="569"/>
        </w:tabs>
        <w:jc w:val="both"/>
        <w:rPr>
          <w:b/>
          <w:bCs/>
          <w:sz w:val="22"/>
          <w:szCs w:val="22"/>
          <w:lang w:val="sr-Latn-RS"/>
        </w:rPr>
      </w:pPr>
    </w:p>
    <w:p w14:paraId="246FE28F" w14:textId="7C80525B" w:rsidR="00313A6F" w:rsidRPr="00B8428E" w:rsidRDefault="00313A6F" w:rsidP="003B1C29">
      <w:pPr>
        <w:widowControl w:val="0"/>
        <w:tabs>
          <w:tab w:val="left" w:pos="540"/>
          <w:tab w:val="left" w:pos="569"/>
        </w:tabs>
        <w:jc w:val="both"/>
        <w:rPr>
          <w:bCs/>
          <w:sz w:val="22"/>
          <w:szCs w:val="22"/>
          <w:lang w:val="sr-Latn-RS"/>
        </w:rPr>
      </w:pPr>
      <w:r w:rsidRPr="00B8428E">
        <w:rPr>
          <w:bCs/>
          <w:sz w:val="22"/>
          <w:szCs w:val="22"/>
          <w:lang w:val="sr-Latn-RS"/>
        </w:rPr>
        <w:t>2030/23/4381 - 7458</w:t>
      </w:r>
    </w:p>
    <w:p w14:paraId="1F40369C" w14:textId="77777777" w:rsidR="0072020E" w:rsidRPr="00667453" w:rsidRDefault="0072020E" w:rsidP="003B1C29">
      <w:pPr>
        <w:widowControl w:val="0"/>
        <w:tabs>
          <w:tab w:val="left" w:pos="540"/>
          <w:tab w:val="left" w:pos="569"/>
        </w:tabs>
        <w:jc w:val="both"/>
        <w:rPr>
          <w:bCs/>
          <w:sz w:val="22"/>
          <w:szCs w:val="22"/>
          <w:lang w:val="sr-Latn-RS"/>
        </w:rPr>
      </w:pPr>
    </w:p>
    <w:p w14:paraId="7D7BC33A" w14:textId="77777777" w:rsidR="00F45F77" w:rsidRPr="00667453" w:rsidRDefault="00F45F77" w:rsidP="003B1C29">
      <w:pPr>
        <w:widowControl w:val="0"/>
        <w:tabs>
          <w:tab w:val="left" w:pos="540"/>
          <w:tab w:val="left" w:pos="569"/>
        </w:tabs>
        <w:jc w:val="both"/>
        <w:rPr>
          <w:bCs/>
          <w:sz w:val="22"/>
          <w:szCs w:val="22"/>
          <w:lang w:val="sr-Latn-RS"/>
        </w:rPr>
      </w:pPr>
    </w:p>
    <w:p w14:paraId="0FFD8FFE" w14:textId="3AFB89C6" w:rsidR="0072020E" w:rsidRDefault="0072020E" w:rsidP="003B1C29">
      <w:pPr>
        <w:widowControl w:val="0"/>
        <w:tabs>
          <w:tab w:val="left" w:pos="540"/>
          <w:tab w:val="left" w:pos="569"/>
        </w:tabs>
        <w:jc w:val="both"/>
        <w:rPr>
          <w:b/>
          <w:bCs/>
          <w:sz w:val="22"/>
          <w:szCs w:val="22"/>
          <w:lang w:val="sr-Latn-RS"/>
        </w:rPr>
      </w:pPr>
      <w:r w:rsidRPr="00667453">
        <w:rPr>
          <w:b/>
          <w:bCs/>
          <w:sz w:val="22"/>
          <w:szCs w:val="22"/>
          <w:lang w:val="sr-Latn-RS"/>
        </w:rPr>
        <w:t xml:space="preserve">9. </w:t>
      </w:r>
      <w:r w:rsidR="00480FB1" w:rsidRPr="00667453">
        <w:rPr>
          <w:b/>
          <w:bCs/>
          <w:sz w:val="22"/>
          <w:szCs w:val="22"/>
          <w:lang w:val="sr-Latn-RS"/>
        </w:rPr>
        <w:tab/>
      </w:r>
      <w:r w:rsidRPr="00667453">
        <w:rPr>
          <w:b/>
          <w:bCs/>
          <w:sz w:val="22"/>
          <w:szCs w:val="22"/>
          <w:lang w:val="sr-Latn-RS"/>
        </w:rPr>
        <w:t xml:space="preserve">DATUM </w:t>
      </w:r>
      <w:r w:rsidR="00C05DF8" w:rsidRPr="00667453">
        <w:rPr>
          <w:b/>
          <w:bCs/>
          <w:sz w:val="22"/>
          <w:szCs w:val="22"/>
          <w:lang w:val="sr-Latn-RS"/>
        </w:rPr>
        <w:t xml:space="preserve">PRVE </w:t>
      </w:r>
      <w:r w:rsidR="008A6D43" w:rsidRPr="00667453">
        <w:rPr>
          <w:b/>
          <w:bCs/>
          <w:sz w:val="22"/>
          <w:szCs w:val="22"/>
          <w:lang w:val="sr-Latn-RS"/>
        </w:rPr>
        <w:t>DOZVOLE</w:t>
      </w:r>
      <w:r w:rsidR="00C05DF8" w:rsidRPr="00667453">
        <w:rPr>
          <w:b/>
          <w:bCs/>
          <w:sz w:val="22"/>
          <w:szCs w:val="22"/>
          <w:lang w:val="sr-Latn-RS"/>
        </w:rPr>
        <w:t>/OBNOVE DOZVOLE</w:t>
      </w:r>
      <w:r w:rsidR="008A6D43" w:rsidRPr="00667453">
        <w:rPr>
          <w:b/>
          <w:bCs/>
          <w:sz w:val="22"/>
          <w:szCs w:val="22"/>
          <w:lang w:val="sr-Latn-RS"/>
        </w:rPr>
        <w:t xml:space="preserve"> ZA STAVLJANJE LIJEKA U PROMET</w:t>
      </w:r>
    </w:p>
    <w:p w14:paraId="5EE1406D" w14:textId="393B3685" w:rsidR="00313A6F" w:rsidRDefault="00313A6F" w:rsidP="003B1C29">
      <w:pPr>
        <w:widowControl w:val="0"/>
        <w:tabs>
          <w:tab w:val="left" w:pos="540"/>
          <w:tab w:val="left" w:pos="569"/>
        </w:tabs>
        <w:jc w:val="both"/>
        <w:rPr>
          <w:b/>
          <w:bCs/>
          <w:sz w:val="22"/>
          <w:szCs w:val="22"/>
          <w:lang w:val="sr-Latn-RS"/>
        </w:rPr>
      </w:pPr>
    </w:p>
    <w:p w14:paraId="2FA74F27" w14:textId="332FCD90" w:rsidR="00313A6F" w:rsidRPr="00B8428E" w:rsidRDefault="00313A6F" w:rsidP="003B1C29">
      <w:pPr>
        <w:widowControl w:val="0"/>
        <w:tabs>
          <w:tab w:val="left" w:pos="540"/>
          <w:tab w:val="left" w:pos="569"/>
        </w:tabs>
        <w:jc w:val="both"/>
        <w:rPr>
          <w:bCs/>
          <w:sz w:val="22"/>
          <w:szCs w:val="22"/>
          <w:lang w:val="sr-Latn-RS"/>
        </w:rPr>
      </w:pPr>
      <w:r w:rsidRPr="00B8428E">
        <w:rPr>
          <w:bCs/>
          <w:sz w:val="22"/>
          <w:szCs w:val="22"/>
          <w:lang w:val="sr-Latn-RS"/>
        </w:rPr>
        <w:t>28.11.2023. godine</w:t>
      </w:r>
    </w:p>
    <w:p w14:paraId="0D89C9EF" w14:textId="77777777" w:rsidR="0072020E" w:rsidRPr="00667453" w:rsidRDefault="0072020E" w:rsidP="003B1C29">
      <w:pPr>
        <w:widowControl w:val="0"/>
        <w:tabs>
          <w:tab w:val="left" w:pos="540"/>
          <w:tab w:val="left" w:pos="569"/>
        </w:tabs>
        <w:jc w:val="both"/>
        <w:rPr>
          <w:bCs/>
          <w:sz w:val="22"/>
          <w:szCs w:val="22"/>
          <w:lang w:val="sr-Latn-RS"/>
        </w:rPr>
      </w:pPr>
    </w:p>
    <w:p w14:paraId="7A149450" w14:textId="77777777" w:rsidR="00836B35" w:rsidRPr="00667453" w:rsidRDefault="00836B35" w:rsidP="003B1C29">
      <w:pPr>
        <w:widowControl w:val="0"/>
        <w:tabs>
          <w:tab w:val="left" w:pos="540"/>
          <w:tab w:val="left" w:pos="569"/>
        </w:tabs>
        <w:jc w:val="both"/>
        <w:rPr>
          <w:bCs/>
          <w:sz w:val="22"/>
          <w:szCs w:val="22"/>
          <w:lang w:val="sr-Latn-RS"/>
        </w:rPr>
      </w:pPr>
    </w:p>
    <w:p w14:paraId="028AADA3" w14:textId="77777777" w:rsidR="003F6A59" w:rsidRPr="00667453" w:rsidRDefault="0072020E" w:rsidP="003B1C29">
      <w:pPr>
        <w:widowControl w:val="0"/>
        <w:tabs>
          <w:tab w:val="left" w:pos="540"/>
          <w:tab w:val="left" w:pos="569"/>
        </w:tabs>
        <w:jc w:val="both"/>
        <w:rPr>
          <w:bCs/>
          <w:sz w:val="22"/>
          <w:szCs w:val="22"/>
          <w:lang w:val="sr-Latn-RS"/>
        </w:rPr>
      </w:pPr>
      <w:r w:rsidRPr="00667453">
        <w:rPr>
          <w:b/>
          <w:bCs/>
          <w:sz w:val="22"/>
          <w:szCs w:val="22"/>
          <w:lang w:val="sr-Latn-RS"/>
        </w:rPr>
        <w:t xml:space="preserve">10. </w:t>
      </w:r>
      <w:r w:rsidR="00480FB1" w:rsidRPr="00667453">
        <w:rPr>
          <w:b/>
          <w:bCs/>
          <w:sz w:val="22"/>
          <w:szCs w:val="22"/>
          <w:lang w:val="sr-Latn-RS"/>
        </w:rPr>
        <w:tab/>
      </w:r>
      <w:r w:rsidR="002846DB" w:rsidRPr="00667453">
        <w:rPr>
          <w:b/>
          <w:bCs/>
          <w:sz w:val="22"/>
          <w:szCs w:val="22"/>
          <w:lang w:val="sr-Latn-RS"/>
        </w:rPr>
        <w:t>D</w:t>
      </w:r>
      <w:r w:rsidR="00EC2532" w:rsidRPr="00667453">
        <w:rPr>
          <w:b/>
          <w:bCs/>
          <w:sz w:val="22"/>
          <w:szCs w:val="22"/>
          <w:lang w:val="sr-Latn-RS"/>
        </w:rPr>
        <w:t xml:space="preserve">ATUM REVIZIJE TEKSTA </w:t>
      </w:r>
    </w:p>
    <w:p w14:paraId="1D340156" w14:textId="77777777" w:rsidR="003F6A59" w:rsidRPr="00667453" w:rsidRDefault="003F6A59" w:rsidP="003B1C29">
      <w:pPr>
        <w:widowControl w:val="0"/>
        <w:tabs>
          <w:tab w:val="left" w:pos="540"/>
          <w:tab w:val="left" w:pos="569"/>
        </w:tabs>
        <w:jc w:val="both"/>
        <w:rPr>
          <w:bCs/>
          <w:sz w:val="22"/>
          <w:szCs w:val="22"/>
          <w:lang w:val="sr-Latn-RS"/>
        </w:rPr>
      </w:pPr>
    </w:p>
    <w:p w14:paraId="4A3C49C1" w14:textId="6401EC00" w:rsidR="003F6A59" w:rsidRPr="00667453" w:rsidRDefault="00F574B0" w:rsidP="003B1C29">
      <w:pPr>
        <w:widowControl w:val="0"/>
        <w:jc w:val="both"/>
        <w:rPr>
          <w:sz w:val="22"/>
          <w:szCs w:val="22"/>
          <w:lang w:val="sr-Latn-RS"/>
        </w:rPr>
      </w:pPr>
      <w:r>
        <w:rPr>
          <w:sz w:val="22"/>
          <w:szCs w:val="22"/>
          <w:lang w:val="sr-Latn-RS"/>
        </w:rPr>
        <w:t>Novembar, 2024. godine</w:t>
      </w:r>
    </w:p>
    <w:sectPr w:rsidR="003F6A59" w:rsidRPr="00667453"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1F8B2" w14:textId="77777777" w:rsidR="00CB541C" w:rsidRDefault="00CB541C">
      <w:r>
        <w:separator/>
      </w:r>
    </w:p>
  </w:endnote>
  <w:endnote w:type="continuationSeparator" w:id="0">
    <w:p w14:paraId="3CC5693F" w14:textId="77777777" w:rsidR="00CB541C" w:rsidRDefault="00CB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7F7C" w14:textId="0955913D" w:rsidR="00D10B81" w:rsidRPr="00B23F69" w:rsidRDefault="00D10B8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617BE">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617BE">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A6085" w14:textId="77777777" w:rsidR="00CB541C" w:rsidRDefault="00CB541C">
      <w:r>
        <w:separator/>
      </w:r>
    </w:p>
  </w:footnote>
  <w:footnote w:type="continuationSeparator" w:id="0">
    <w:p w14:paraId="6563884F" w14:textId="77777777" w:rsidR="00CB541C" w:rsidRDefault="00CB5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3.6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BA04D7"/>
    <w:multiLevelType w:val="hybridMultilevel"/>
    <w:tmpl w:val="B44C4820"/>
    <w:lvl w:ilvl="0" w:tplc="486242DA">
      <w:numFmt w:val="bullet"/>
      <w:lvlText w:val=""/>
      <w:lvlJc w:val="left"/>
      <w:pPr>
        <w:ind w:left="682" w:hanging="567"/>
      </w:pPr>
      <w:rPr>
        <w:rFonts w:ascii="Symbol" w:eastAsia="Symbol" w:hAnsi="Symbol" w:cs="Symbol" w:hint="default"/>
        <w:w w:val="100"/>
        <w:sz w:val="22"/>
        <w:szCs w:val="22"/>
        <w:lang w:val="en-US" w:eastAsia="en-US" w:bidi="ar-SA"/>
      </w:rPr>
    </w:lvl>
    <w:lvl w:ilvl="1" w:tplc="0A384E90">
      <w:numFmt w:val="bullet"/>
      <w:lvlText w:val="•"/>
      <w:lvlJc w:val="left"/>
      <w:pPr>
        <w:ind w:left="1542" w:hanging="567"/>
      </w:pPr>
      <w:rPr>
        <w:rFonts w:hint="default"/>
        <w:lang w:val="en-US" w:eastAsia="en-US" w:bidi="ar-SA"/>
      </w:rPr>
    </w:lvl>
    <w:lvl w:ilvl="2" w:tplc="508C59A8">
      <w:numFmt w:val="bullet"/>
      <w:lvlText w:val="•"/>
      <w:lvlJc w:val="left"/>
      <w:pPr>
        <w:ind w:left="2405" w:hanging="567"/>
      </w:pPr>
      <w:rPr>
        <w:rFonts w:hint="default"/>
        <w:lang w:val="en-US" w:eastAsia="en-US" w:bidi="ar-SA"/>
      </w:rPr>
    </w:lvl>
    <w:lvl w:ilvl="3" w:tplc="EDD6E012">
      <w:numFmt w:val="bullet"/>
      <w:lvlText w:val="•"/>
      <w:lvlJc w:val="left"/>
      <w:pPr>
        <w:ind w:left="3267" w:hanging="567"/>
      </w:pPr>
      <w:rPr>
        <w:rFonts w:hint="default"/>
        <w:lang w:val="en-US" w:eastAsia="en-US" w:bidi="ar-SA"/>
      </w:rPr>
    </w:lvl>
    <w:lvl w:ilvl="4" w:tplc="BC661BB6">
      <w:numFmt w:val="bullet"/>
      <w:lvlText w:val="•"/>
      <w:lvlJc w:val="left"/>
      <w:pPr>
        <w:ind w:left="4130" w:hanging="567"/>
      </w:pPr>
      <w:rPr>
        <w:rFonts w:hint="default"/>
        <w:lang w:val="en-US" w:eastAsia="en-US" w:bidi="ar-SA"/>
      </w:rPr>
    </w:lvl>
    <w:lvl w:ilvl="5" w:tplc="8318BB98">
      <w:numFmt w:val="bullet"/>
      <w:lvlText w:val="•"/>
      <w:lvlJc w:val="left"/>
      <w:pPr>
        <w:ind w:left="4992" w:hanging="567"/>
      </w:pPr>
      <w:rPr>
        <w:rFonts w:hint="default"/>
        <w:lang w:val="en-US" w:eastAsia="en-US" w:bidi="ar-SA"/>
      </w:rPr>
    </w:lvl>
    <w:lvl w:ilvl="6" w:tplc="5E9CE9F8">
      <w:numFmt w:val="bullet"/>
      <w:lvlText w:val="•"/>
      <w:lvlJc w:val="left"/>
      <w:pPr>
        <w:ind w:left="5855" w:hanging="567"/>
      </w:pPr>
      <w:rPr>
        <w:rFonts w:hint="default"/>
        <w:lang w:val="en-US" w:eastAsia="en-US" w:bidi="ar-SA"/>
      </w:rPr>
    </w:lvl>
    <w:lvl w:ilvl="7" w:tplc="95D826CC">
      <w:numFmt w:val="bullet"/>
      <w:lvlText w:val="•"/>
      <w:lvlJc w:val="left"/>
      <w:pPr>
        <w:ind w:left="6717" w:hanging="567"/>
      </w:pPr>
      <w:rPr>
        <w:rFonts w:hint="default"/>
        <w:lang w:val="en-US" w:eastAsia="en-US" w:bidi="ar-SA"/>
      </w:rPr>
    </w:lvl>
    <w:lvl w:ilvl="8" w:tplc="DA54835C">
      <w:numFmt w:val="bullet"/>
      <w:lvlText w:val="•"/>
      <w:lvlJc w:val="left"/>
      <w:pPr>
        <w:ind w:left="7580" w:hanging="567"/>
      </w:pPr>
      <w:rPr>
        <w:rFonts w:hint="default"/>
        <w:lang w:val="en-US" w:eastAsia="en-US" w:bidi="ar-SA"/>
      </w:rPr>
    </w:lvl>
  </w:abstractNum>
  <w:abstractNum w:abstractNumId="3" w15:restartNumberingAfterBreak="0">
    <w:nsid w:val="22CF04B6"/>
    <w:multiLevelType w:val="hybridMultilevel"/>
    <w:tmpl w:val="B5EA55BC"/>
    <w:lvl w:ilvl="0" w:tplc="8BA0056C">
      <w:start w:val="1"/>
      <w:numFmt w:val="decimal"/>
      <w:lvlText w:val="%1."/>
      <w:lvlJc w:val="left"/>
      <w:pPr>
        <w:ind w:left="682" w:hanging="567"/>
      </w:pPr>
      <w:rPr>
        <w:rFonts w:ascii="Times New Roman" w:eastAsia="Times New Roman" w:hAnsi="Times New Roman" w:cs="Times New Roman" w:hint="default"/>
        <w:w w:val="100"/>
        <w:sz w:val="22"/>
        <w:szCs w:val="22"/>
        <w:lang w:val="en-US" w:eastAsia="en-US" w:bidi="ar-SA"/>
      </w:rPr>
    </w:lvl>
    <w:lvl w:ilvl="1" w:tplc="64243FD0">
      <w:numFmt w:val="bullet"/>
      <w:lvlText w:val="•"/>
      <w:lvlJc w:val="left"/>
      <w:pPr>
        <w:ind w:left="1542" w:hanging="567"/>
      </w:pPr>
      <w:rPr>
        <w:rFonts w:hint="default"/>
        <w:lang w:val="en-US" w:eastAsia="en-US" w:bidi="ar-SA"/>
      </w:rPr>
    </w:lvl>
    <w:lvl w:ilvl="2" w:tplc="8124E8EA">
      <w:numFmt w:val="bullet"/>
      <w:lvlText w:val="•"/>
      <w:lvlJc w:val="left"/>
      <w:pPr>
        <w:ind w:left="2405" w:hanging="567"/>
      </w:pPr>
      <w:rPr>
        <w:rFonts w:hint="default"/>
        <w:lang w:val="en-US" w:eastAsia="en-US" w:bidi="ar-SA"/>
      </w:rPr>
    </w:lvl>
    <w:lvl w:ilvl="3" w:tplc="DD827F90">
      <w:numFmt w:val="bullet"/>
      <w:lvlText w:val="•"/>
      <w:lvlJc w:val="left"/>
      <w:pPr>
        <w:ind w:left="3267" w:hanging="567"/>
      </w:pPr>
      <w:rPr>
        <w:rFonts w:hint="default"/>
        <w:lang w:val="en-US" w:eastAsia="en-US" w:bidi="ar-SA"/>
      </w:rPr>
    </w:lvl>
    <w:lvl w:ilvl="4" w:tplc="30CA0FCC">
      <w:numFmt w:val="bullet"/>
      <w:lvlText w:val="•"/>
      <w:lvlJc w:val="left"/>
      <w:pPr>
        <w:ind w:left="4130" w:hanging="567"/>
      </w:pPr>
      <w:rPr>
        <w:rFonts w:hint="default"/>
        <w:lang w:val="en-US" w:eastAsia="en-US" w:bidi="ar-SA"/>
      </w:rPr>
    </w:lvl>
    <w:lvl w:ilvl="5" w:tplc="7986ABEE">
      <w:numFmt w:val="bullet"/>
      <w:lvlText w:val="•"/>
      <w:lvlJc w:val="left"/>
      <w:pPr>
        <w:ind w:left="4992" w:hanging="567"/>
      </w:pPr>
      <w:rPr>
        <w:rFonts w:hint="default"/>
        <w:lang w:val="en-US" w:eastAsia="en-US" w:bidi="ar-SA"/>
      </w:rPr>
    </w:lvl>
    <w:lvl w:ilvl="6" w:tplc="6A4C4C52">
      <w:numFmt w:val="bullet"/>
      <w:lvlText w:val="•"/>
      <w:lvlJc w:val="left"/>
      <w:pPr>
        <w:ind w:left="5855" w:hanging="567"/>
      </w:pPr>
      <w:rPr>
        <w:rFonts w:hint="default"/>
        <w:lang w:val="en-US" w:eastAsia="en-US" w:bidi="ar-SA"/>
      </w:rPr>
    </w:lvl>
    <w:lvl w:ilvl="7" w:tplc="400C7E6C">
      <w:numFmt w:val="bullet"/>
      <w:lvlText w:val="•"/>
      <w:lvlJc w:val="left"/>
      <w:pPr>
        <w:ind w:left="6717" w:hanging="567"/>
      </w:pPr>
      <w:rPr>
        <w:rFonts w:hint="default"/>
        <w:lang w:val="en-US" w:eastAsia="en-US" w:bidi="ar-SA"/>
      </w:rPr>
    </w:lvl>
    <w:lvl w:ilvl="8" w:tplc="59F43C5A">
      <w:numFmt w:val="bullet"/>
      <w:lvlText w:val="•"/>
      <w:lvlJc w:val="left"/>
      <w:pPr>
        <w:ind w:left="7580" w:hanging="567"/>
      </w:pPr>
      <w:rPr>
        <w:rFonts w:hint="default"/>
        <w:lang w:val="en-US" w:eastAsia="en-US" w:bidi="ar-SA"/>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123502">
    <w:abstractNumId w:val="4"/>
  </w:num>
  <w:num w:numId="2" w16cid:durableId="833955392">
    <w:abstractNumId w:val="11"/>
  </w:num>
  <w:num w:numId="3" w16cid:durableId="732701338">
    <w:abstractNumId w:val="0"/>
  </w:num>
  <w:num w:numId="4" w16cid:durableId="1642541553">
    <w:abstractNumId w:val="10"/>
  </w:num>
  <w:num w:numId="5" w16cid:durableId="1710035903">
    <w:abstractNumId w:val="6"/>
  </w:num>
  <w:num w:numId="6" w16cid:durableId="374935075">
    <w:abstractNumId w:val="1"/>
  </w:num>
  <w:num w:numId="7" w16cid:durableId="1058473602">
    <w:abstractNumId w:val="9"/>
  </w:num>
  <w:num w:numId="8" w16cid:durableId="1370910667">
    <w:abstractNumId w:val="5"/>
  </w:num>
  <w:num w:numId="9" w16cid:durableId="948203078">
    <w:abstractNumId w:val="8"/>
  </w:num>
  <w:num w:numId="10" w16cid:durableId="84114084">
    <w:abstractNumId w:val="12"/>
  </w:num>
  <w:num w:numId="11" w16cid:durableId="1535119239">
    <w:abstractNumId w:val="7"/>
  </w:num>
  <w:num w:numId="12" w16cid:durableId="1839730061">
    <w:abstractNumId w:val="2"/>
  </w:num>
  <w:num w:numId="13" w16cid:durableId="1770811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6"/>
    <w:rsid w:val="00000528"/>
    <w:rsid w:val="00014163"/>
    <w:rsid w:val="0001769A"/>
    <w:rsid w:val="000176CA"/>
    <w:rsid w:val="00036FA0"/>
    <w:rsid w:val="0003793F"/>
    <w:rsid w:val="00057E35"/>
    <w:rsid w:val="00076726"/>
    <w:rsid w:val="00080303"/>
    <w:rsid w:val="000840BF"/>
    <w:rsid w:val="000A3F58"/>
    <w:rsid w:val="000B2A85"/>
    <w:rsid w:val="000B3036"/>
    <w:rsid w:val="000B668E"/>
    <w:rsid w:val="000D2343"/>
    <w:rsid w:val="000D3449"/>
    <w:rsid w:val="000D425A"/>
    <w:rsid w:val="000D60CC"/>
    <w:rsid w:val="000E2084"/>
    <w:rsid w:val="000E6F55"/>
    <w:rsid w:val="000F1465"/>
    <w:rsid w:val="000F77FA"/>
    <w:rsid w:val="00107BF7"/>
    <w:rsid w:val="00112DD8"/>
    <w:rsid w:val="00114A14"/>
    <w:rsid w:val="001164DC"/>
    <w:rsid w:val="00122098"/>
    <w:rsid w:val="00126F53"/>
    <w:rsid w:val="0014766D"/>
    <w:rsid w:val="001536CC"/>
    <w:rsid w:val="00171DF7"/>
    <w:rsid w:val="00192CBC"/>
    <w:rsid w:val="001A3FBA"/>
    <w:rsid w:val="001A5518"/>
    <w:rsid w:val="001B1C6A"/>
    <w:rsid w:val="001B7C32"/>
    <w:rsid w:val="001C1263"/>
    <w:rsid w:val="001C1417"/>
    <w:rsid w:val="001C4C34"/>
    <w:rsid w:val="001E30E7"/>
    <w:rsid w:val="001E390B"/>
    <w:rsid w:val="001F42FB"/>
    <w:rsid w:val="001F60C9"/>
    <w:rsid w:val="001F719A"/>
    <w:rsid w:val="002031B3"/>
    <w:rsid w:val="00215931"/>
    <w:rsid w:val="00224C91"/>
    <w:rsid w:val="00227BDB"/>
    <w:rsid w:val="00234CB1"/>
    <w:rsid w:val="002352F8"/>
    <w:rsid w:val="002510A5"/>
    <w:rsid w:val="00254A0A"/>
    <w:rsid w:val="00266046"/>
    <w:rsid w:val="002846DB"/>
    <w:rsid w:val="00284CCD"/>
    <w:rsid w:val="00286DF4"/>
    <w:rsid w:val="002A7A99"/>
    <w:rsid w:val="002C6637"/>
    <w:rsid w:val="002E0135"/>
    <w:rsid w:val="002E37A5"/>
    <w:rsid w:val="002F1ABB"/>
    <w:rsid w:val="00310F03"/>
    <w:rsid w:val="00310F28"/>
    <w:rsid w:val="00313A6F"/>
    <w:rsid w:val="003247D2"/>
    <w:rsid w:val="003445C1"/>
    <w:rsid w:val="00355B61"/>
    <w:rsid w:val="00362686"/>
    <w:rsid w:val="00371510"/>
    <w:rsid w:val="00383868"/>
    <w:rsid w:val="0039375C"/>
    <w:rsid w:val="00396DFD"/>
    <w:rsid w:val="003A7059"/>
    <w:rsid w:val="003B1C29"/>
    <w:rsid w:val="003B5CF1"/>
    <w:rsid w:val="003B7A36"/>
    <w:rsid w:val="003C17AB"/>
    <w:rsid w:val="003C3ADC"/>
    <w:rsid w:val="003C7823"/>
    <w:rsid w:val="003D0C1E"/>
    <w:rsid w:val="003E1DCC"/>
    <w:rsid w:val="003F11A1"/>
    <w:rsid w:val="003F6A59"/>
    <w:rsid w:val="004065C8"/>
    <w:rsid w:val="004109FA"/>
    <w:rsid w:val="00411B4B"/>
    <w:rsid w:val="00415BEE"/>
    <w:rsid w:val="00427F85"/>
    <w:rsid w:val="00436F42"/>
    <w:rsid w:val="004378B4"/>
    <w:rsid w:val="00451314"/>
    <w:rsid w:val="00452E9D"/>
    <w:rsid w:val="004534C7"/>
    <w:rsid w:val="00456F65"/>
    <w:rsid w:val="004671AA"/>
    <w:rsid w:val="00472AB0"/>
    <w:rsid w:val="00480FB1"/>
    <w:rsid w:val="00483928"/>
    <w:rsid w:val="00487C23"/>
    <w:rsid w:val="004B2E23"/>
    <w:rsid w:val="004C331F"/>
    <w:rsid w:val="004D219F"/>
    <w:rsid w:val="004D6103"/>
    <w:rsid w:val="004E3BCE"/>
    <w:rsid w:val="004E70AD"/>
    <w:rsid w:val="004F0E97"/>
    <w:rsid w:val="00501DD1"/>
    <w:rsid w:val="005038D6"/>
    <w:rsid w:val="00515C21"/>
    <w:rsid w:val="00530BD7"/>
    <w:rsid w:val="00545CD2"/>
    <w:rsid w:val="005476F3"/>
    <w:rsid w:val="00570BAB"/>
    <w:rsid w:val="00572527"/>
    <w:rsid w:val="00573E40"/>
    <w:rsid w:val="00576348"/>
    <w:rsid w:val="00593AA0"/>
    <w:rsid w:val="005A0B2E"/>
    <w:rsid w:val="005A23D2"/>
    <w:rsid w:val="005A36CB"/>
    <w:rsid w:val="005B49B8"/>
    <w:rsid w:val="005B71A7"/>
    <w:rsid w:val="005C0741"/>
    <w:rsid w:val="005C2557"/>
    <w:rsid w:val="005C5EF4"/>
    <w:rsid w:val="005E25F3"/>
    <w:rsid w:val="005E2E0B"/>
    <w:rsid w:val="005E7A7D"/>
    <w:rsid w:val="00602457"/>
    <w:rsid w:val="00637615"/>
    <w:rsid w:val="006416F2"/>
    <w:rsid w:val="00644FC3"/>
    <w:rsid w:val="00646BD1"/>
    <w:rsid w:val="0065534F"/>
    <w:rsid w:val="006561C2"/>
    <w:rsid w:val="0065696A"/>
    <w:rsid w:val="006617BE"/>
    <w:rsid w:val="00667453"/>
    <w:rsid w:val="00671CB3"/>
    <w:rsid w:val="006728F0"/>
    <w:rsid w:val="00674A14"/>
    <w:rsid w:val="00674BAF"/>
    <w:rsid w:val="00682200"/>
    <w:rsid w:val="00692BF6"/>
    <w:rsid w:val="00697E85"/>
    <w:rsid w:val="006A1497"/>
    <w:rsid w:val="006B0BD1"/>
    <w:rsid w:val="006B5404"/>
    <w:rsid w:val="006B66BB"/>
    <w:rsid w:val="006C01D1"/>
    <w:rsid w:val="006D20A5"/>
    <w:rsid w:val="006D37BF"/>
    <w:rsid w:val="00702E22"/>
    <w:rsid w:val="0072020E"/>
    <w:rsid w:val="0072216C"/>
    <w:rsid w:val="00741DDC"/>
    <w:rsid w:val="007444A6"/>
    <w:rsid w:val="00745817"/>
    <w:rsid w:val="00756C18"/>
    <w:rsid w:val="0075776A"/>
    <w:rsid w:val="00786071"/>
    <w:rsid w:val="007A3ECB"/>
    <w:rsid w:val="007C39C7"/>
    <w:rsid w:val="007C4430"/>
    <w:rsid w:val="007D7BB3"/>
    <w:rsid w:val="00805AEB"/>
    <w:rsid w:val="0082002F"/>
    <w:rsid w:val="00824AB9"/>
    <w:rsid w:val="00836B35"/>
    <w:rsid w:val="008419A5"/>
    <w:rsid w:val="00843BDE"/>
    <w:rsid w:val="00854064"/>
    <w:rsid w:val="008723B0"/>
    <w:rsid w:val="0087588C"/>
    <w:rsid w:val="0089705C"/>
    <w:rsid w:val="008A6D43"/>
    <w:rsid w:val="008B491E"/>
    <w:rsid w:val="008C1A28"/>
    <w:rsid w:val="008C2E98"/>
    <w:rsid w:val="008E49BD"/>
    <w:rsid w:val="008E53E9"/>
    <w:rsid w:val="008E5771"/>
    <w:rsid w:val="008F4ACF"/>
    <w:rsid w:val="00924166"/>
    <w:rsid w:val="0093200D"/>
    <w:rsid w:val="0093273F"/>
    <w:rsid w:val="00940B9B"/>
    <w:rsid w:val="0095676E"/>
    <w:rsid w:val="00956983"/>
    <w:rsid w:val="00963CF0"/>
    <w:rsid w:val="00964BB1"/>
    <w:rsid w:val="009775D9"/>
    <w:rsid w:val="00997175"/>
    <w:rsid w:val="009A1847"/>
    <w:rsid w:val="009B062A"/>
    <w:rsid w:val="009D2541"/>
    <w:rsid w:val="009E7C6F"/>
    <w:rsid w:val="009F1793"/>
    <w:rsid w:val="009F2D23"/>
    <w:rsid w:val="00A01D69"/>
    <w:rsid w:val="00A02335"/>
    <w:rsid w:val="00A46C9A"/>
    <w:rsid w:val="00A5384C"/>
    <w:rsid w:val="00A619F3"/>
    <w:rsid w:val="00A62A73"/>
    <w:rsid w:val="00A8756D"/>
    <w:rsid w:val="00A87FF6"/>
    <w:rsid w:val="00AA0A3B"/>
    <w:rsid w:val="00AA2763"/>
    <w:rsid w:val="00AA33B6"/>
    <w:rsid w:val="00AB2ECF"/>
    <w:rsid w:val="00AB50CA"/>
    <w:rsid w:val="00AB6D64"/>
    <w:rsid w:val="00AC53CE"/>
    <w:rsid w:val="00AD2193"/>
    <w:rsid w:val="00AE4255"/>
    <w:rsid w:val="00AF2AC7"/>
    <w:rsid w:val="00AF74CE"/>
    <w:rsid w:val="00AF7593"/>
    <w:rsid w:val="00B15FA8"/>
    <w:rsid w:val="00B208DB"/>
    <w:rsid w:val="00B23F69"/>
    <w:rsid w:val="00B42158"/>
    <w:rsid w:val="00B51CCD"/>
    <w:rsid w:val="00B60619"/>
    <w:rsid w:val="00B66A70"/>
    <w:rsid w:val="00B67366"/>
    <w:rsid w:val="00B8023D"/>
    <w:rsid w:val="00B80EE1"/>
    <w:rsid w:val="00B84135"/>
    <w:rsid w:val="00B8428E"/>
    <w:rsid w:val="00BD4F7A"/>
    <w:rsid w:val="00C04D34"/>
    <w:rsid w:val="00C05900"/>
    <w:rsid w:val="00C05DF8"/>
    <w:rsid w:val="00C06864"/>
    <w:rsid w:val="00C10F54"/>
    <w:rsid w:val="00C152FB"/>
    <w:rsid w:val="00C23D8D"/>
    <w:rsid w:val="00C37AA3"/>
    <w:rsid w:val="00C37FD7"/>
    <w:rsid w:val="00C43419"/>
    <w:rsid w:val="00C44CF3"/>
    <w:rsid w:val="00C45043"/>
    <w:rsid w:val="00C61BE0"/>
    <w:rsid w:val="00C64811"/>
    <w:rsid w:val="00C6707E"/>
    <w:rsid w:val="00C70B0E"/>
    <w:rsid w:val="00C773CA"/>
    <w:rsid w:val="00C83785"/>
    <w:rsid w:val="00C94C0D"/>
    <w:rsid w:val="00CA1FEB"/>
    <w:rsid w:val="00CB541C"/>
    <w:rsid w:val="00CD3C10"/>
    <w:rsid w:val="00CD3F79"/>
    <w:rsid w:val="00CD4F85"/>
    <w:rsid w:val="00CD68C3"/>
    <w:rsid w:val="00CD6F02"/>
    <w:rsid w:val="00CE246D"/>
    <w:rsid w:val="00CE69E1"/>
    <w:rsid w:val="00CF07A0"/>
    <w:rsid w:val="00CF3E03"/>
    <w:rsid w:val="00D0082A"/>
    <w:rsid w:val="00D10B81"/>
    <w:rsid w:val="00D21455"/>
    <w:rsid w:val="00D47634"/>
    <w:rsid w:val="00D65420"/>
    <w:rsid w:val="00D709B3"/>
    <w:rsid w:val="00D9558A"/>
    <w:rsid w:val="00DA2ED6"/>
    <w:rsid w:val="00DB76B8"/>
    <w:rsid w:val="00DC2EA1"/>
    <w:rsid w:val="00DD6AAF"/>
    <w:rsid w:val="00DE3F5C"/>
    <w:rsid w:val="00DF1D20"/>
    <w:rsid w:val="00E20320"/>
    <w:rsid w:val="00E21324"/>
    <w:rsid w:val="00E246B9"/>
    <w:rsid w:val="00E31FEA"/>
    <w:rsid w:val="00E3578D"/>
    <w:rsid w:val="00E45169"/>
    <w:rsid w:val="00E47787"/>
    <w:rsid w:val="00E51C30"/>
    <w:rsid w:val="00E55971"/>
    <w:rsid w:val="00E64180"/>
    <w:rsid w:val="00E7031C"/>
    <w:rsid w:val="00E70B6A"/>
    <w:rsid w:val="00E74AEE"/>
    <w:rsid w:val="00E868E5"/>
    <w:rsid w:val="00E9237A"/>
    <w:rsid w:val="00E939FA"/>
    <w:rsid w:val="00EA5765"/>
    <w:rsid w:val="00EC2532"/>
    <w:rsid w:val="00ED7812"/>
    <w:rsid w:val="00EE64AF"/>
    <w:rsid w:val="00EF3B86"/>
    <w:rsid w:val="00F04AAD"/>
    <w:rsid w:val="00F05D9F"/>
    <w:rsid w:val="00F139EC"/>
    <w:rsid w:val="00F317E9"/>
    <w:rsid w:val="00F34554"/>
    <w:rsid w:val="00F40506"/>
    <w:rsid w:val="00F45F77"/>
    <w:rsid w:val="00F5167F"/>
    <w:rsid w:val="00F52258"/>
    <w:rsid w:val="00F54E9F"/>
    <w:rsid w:val="00F574B0"/>
    <w:rsid w:val="00F708A7"/>
    <w:rsid w:val="00F8570A"/>
    <w:rsid w:val="00F91C7B"/>
    <w:rsid w:val="00FC1F26"/>
    <w:rsid w:val="00FD58CE"/>
    <w:rsid w:val="00FE46CA"/>
    <w:rsid w:val="00FE46DE"/>
    <w:rsid w:val="00FF5F82"/>
    <w:rsid w:val="00FF797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200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
    <w:name w:val="Body Text"/>
    <w:basedOn w:val="Normal"/>
    <w:link w:val="BodyTextChar"/>
    <w:uiPriority w:val="1"/>
    <w:qFormat/>
    <w:rsid w:val="0082002F"/>
    <w:pPr>
      <w:widowControl w:val="0"/>
      <w:autoSpaceDE w:val="0"/>
      <w:autoSpaceDN w:val="0"/>
    </w:pPr>
    <w:rPr>
      <w:sz w:val="22"/>
      <w:szCs w:val="22"/>
    </w:rPr>
  </w:style>
  <w:style w:type="character" w:customStyle="1" w:styleId="BodyTextChar">
    <w:name w:val="Body Text Char"/>
    <w:basedOn w:val="DefaultParagraphFont"/>
    <w:link w:val="BodyText"/>
    <w:uiPriority w:val="1"/>
    <w:rsid w:val="0082002F"/>
    <w:rPr>
      <w:sz w:val="22"/>
      <w:szCs w:val="22"/>
      <w:lang w:val="en-US" w:eastAsia="en-US"/>
    </w:rPr>
  </w:style>
  <w:style w:type="character" w:customStyle="1" w:styleId="Heading1Char">
    <w:name w:val="Heading 1 Char"/>
    <w:basedOn w:val="DefaultParagraphFont"/>
    <w:link w:val="Heading1"/>
    <w:rsid w:val="0082002F"/>
    <w:rPr>
      <w:rFonts w:asciiTheme="majorHAnsi" w:eastAsiaTheme="majorEastAsia" w:hAnsiTheme="majorHAnsi" w:cstheme="majorBidi"/>
      <w:color w:val="2E74B5" w:themeColor="accent1" w:themeShade="BF"/>
      <w:sz w:val="32"/>
      <w:szCs w:val="32"/>
      <w:lang w:val="en-US" w:eastAsia="en-US"/>
    </w:rPr>
  </w:style>
  <w:style w:type="character" w:customStyle="1" w:styleId="FooterChar">
    <w:name w:val="Footer Char"/>
    <w:basedOn w:val="DefaultParagraphFont"/>
    <w:link w:val="Footer"/>
    <w:uiPriority w:val="99"/>
    <w:rsid w:val="00122098"/>
    <w:rPr>
      <w:sz w:val="24"/>
      <w:szCs w:val="24"/>
      <w:lang w:val="en-US" w:eastAsia="en-US"/>
    </w:rPr>
  </w:style>
  <w:style w:type="paragraph" w:styleId="Revision">
    <w:name w:val="Revision"/>
    <w:hidden/>
    <w:uiPriority w:val="99"/>
    <w:semiHidden/>
    <w:rsid w:val="00171D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1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32917-84E0-4BF7-BA97-8894206B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5064</Words>
  <Characters>31407</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36399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Milena Ljeskovic</cp:lastModifiedBy>
  <cp:revision>3</cp:revision>
  <dcterms:created xsi:type="dcterms:W3CDTF">2024-11-20T13:36:00Z</dcterms:created>
  <dcterms:modified xsi:type="dcterms:W3CDTF">2024-11-20T13:36:00Z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